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9D198D" w:rsidRDefault="002411DE" w:rsidP="00A15B4E">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94890440"/>
      <w:r w:rsidRPr="00A15B4E">
        <w:rPr>
          <w:rFonts w:ascii="Arial" w:hAnsi="Arial" w:cs="Arial"/>
          <w:b/>
          <w:color w:val="000000" w:themeColor="text1"/>
          <w:sz w:val="20"/>
          <w:szCs w:val="20"/>
          <w:lang w:val="es-ES_tradnl" w:eastAsia="es-ES"/>
        </w:rPr>
        <w:t xml:space="preserve"> </w:t>
      </w:r>
      <w:r w:rsidR="00B55C69" w:rsidRPr="009D198D">
        <w:rPr>
          <w:rFonts w:ascii="Arial" w:hAnsi="Arial" w:cs="Arial"/>
          <w:b/>
          <w:color w:val="000000" w:themeColor="text1"/>
          <w:sz w:val="20"/>
          <w:szCs w:val="20"/>
          <w:lang w:val="es-ES_tradnl" w:eastAsia="es-ES"/>
        </w:rPr>
        <w:t>CCE-DES-FM-17</w:t>
      </w:r>
      <w:bookmarkStart w:id="3" w:name="_Hlk50481752"/>
      <w:bookmarkEnd w:id="0"/>
      <w:bookmarkEnd w:id="1"/>
    </w:p>
    <w:p w14:paraId="39940E94" w14:textId="77777777" w:rsidR="00A15B4E" w:rsidRPr="009D198D" w:rsidRDefault="00A15B4E" w:rsidP="00A15B4E">
      <w:pPr>
        <w:rPr>
          <w:rFonts w:ascii="Arial" w:eastAsia="Calibri" w:hAnsi="Arial" w:cs="Arial"/>
          <w:b/>
          <w:color w:val="000000" w:themeColor="text1"/>
          <w:sz w:val="20"/>
          <w:szCs w:val="20"/>
        </w:rPr>
      </w:pPr>
    </w:p>
    <w:p w14:paraId="100F0586" w14:textId="7A58BE93" w:rsidR="00AF2D89" w:rsidRPr="00654129" w:rsidRDefault="00AF2D89" w:rsidP="00A15B4E">
      <w:pPr>
        <w:rPr>
          <w:rFonts w:ascii="Arial" w:eastAsia="Calibri" w:hAnsi="Arial" w:cs="Arial"/>
          <w:b/>
          <w:color w:val="000000" w:themeColor="text1"/>
          <w:sz w:val="22"/>
          <w:szCs w:val="22"/>
          <w:lang w:eastAsia="en-US"/>
        </w:rPr>
      </w:pPr>
      <w:r w:rsidRPr="00654129">
        <w:rPr>
          <w:rFonts w:ascii="Arial" w:eastAsia="Calibri" w:hAnsi="Arial" w:cs="Arial"/>
          <w:b/>
          <w:color w:val="000000" w:themeColor="text1"/>
          <w:sz w:val="22"/>
          <w:szCs w:val="22"/>
        </w:rPr>
        <w:t xml:space="preserve">PRINCIPIO DE PUBLICIDAD – Noción </w:t>
      </w:r>
    </w:p>
    <w:p w14:paraId="2B5392B7" w14:textId="77777777" w:rsidR="00AF2D89" w:rsidRPr="009D198D" w:rsidRDefault="00AF2D89" w:rsidP="00A15B4E">
      <w:pPr>
        <w:rPr>
          <w:rFonts w:ascii="Arial" w:eastAsia="Calibri" w:hAnsi="Arial" w:cs="Arial"/>
          <w:b/>
          <w:color w:val="000000" w:themeColor="text1"/>
          <w:sz w:val="20"/>
          <w:szCs w:val="20"/>
        </w:rPr>
      </w:pPr>
    </w:p>
    <w:p w14:paraId="05C3302A" w14:textId="7AC6220C" w:rsidR="00994092" w:rsidRPr="00994092" w:rsidRDefault="00994092" w:rsidP="00994092">
      <w:pPr>
        <w:widowControl w:val="0"/>
        <w:tabs>
          <w:tab w:val="left" w:pos="728"/>
        </w:tabs>
        <w:autoSpaceDE w:val="0"/>
        <w:autoSpaceDN w:val="0"/>
        <w:jc w:val="both"/>
        <w:rPr>
          <w:rFonts w:ascii="Arial" w:eastAsia="Arial" w:hAnsi="Arial" w:cs="Arial"/>
          <w:sz w:val="20"/>
          <w:szCs w:val="20"/>
          <w:lang w:val="es-ES"/>
        </w:rPr>
      </w:pPr>
      <w:r w:rsidRPr="00994092">
        <w:rPr>
          <w:rFonts w:ascii="Arial" w:eastAsia="Arial" w:hAnsi="Arial" w:cs="Arial"/>
          <w:sz w:val="20"/>
          <w:szCs w:val="20"/>
          <w:lang w:val="es-ES"/>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57C34F4D" w14:textId="77777777" w:rsidR="00994092" w:rsidRDefault="00994092" w:rsidP="00994092">
      <w:pPr>
        <w:widowControl w:val="0"/>
        <w:tabs>
          <w:tab w:val="left" w:pos="728"/>
        </w:tabs>
        <w:autoSpaceDE w:val="0"/>
        <w:autoSpaceDN w:val="0"/>
        <w:jc w:val="both"/>
        <w:rPr>
          <w:rFonts w:ascii="Arial" w:eastAsia="Arial" w:hAnsi="Arial" w:cs="Arial"/>
          <w:sz w:val="20"/>
          <w:szCs w:val="20"/>
          <w:lang w:val="es-ES"/>
        </w:rPr>
      </w:pPr>
    </w:p>
    <w:p w14:paraId="47E91215" w14:textId="70D30A6A" w:rsidR="00994092" w:rsidRDefault="00994092" w:rsidP="00994092">
      <w:pPr>
        <w:widowControl w:val="0"/>
        <w:tabs>
          <w:tab w:val="left" w:pos="728"/>
        </w:tabs>
        <w:autoSpaceDE w:val="0"/>
        <w:autoSpaceDN w:val="0"/>
        <w:jc w:val="both"/>
        <w:rPr>
          <w:rFonts w:ascii="Arial" w:eastAsia="Arial" w:hAnsi="Arial" w:cs="Arial"/>
          <w:sz w:val="20"/>
          <w:szCs w:val="20"/>
          <w:lang w:val="es-ES"/>
        </w:rPr>
      </w:pPr>
      <w:r w:rsidRPr="00994092">
        <w:rPr>
          <w:rFonts w:ascii="Arial" w:eastAsia="Arial" w:hAnsi="Arial" w:cs="Arial"/>
          <w:sz w:val="20"/>
          <w:szCs w:val="20"/>
          <w:lang w:val="es-ES"/>
        </w:rPr>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w:t>
      </w:r>
    </w:p>
    <w:p w14:paraId="451D3D42" w14:textId="77777777" w:rsidR="00994092" w:rsidRDefault="00994092" w:rsidP="00994092">
      <w:pPr>
        <w:widowControl w:val="0"/>
        <w:tabs>
          <w:tab w:val="left" w:pos="728"/>
        </w:tabs>
        <w:autoSpaceDE w:val="0"/>
        <w:autoSpaceDN w:val="0"/>
        <w:jc w:val="both"/>
        <w:rPr>
          <w:rFonts w:ascii="Arial" w:eastAsia="Arial" w:hAnsi="Arial" w:cs="Arial"/>
          <w:sz w:val="20"/>
          <w:szCs w:val="20"/>
          <w:lang w:val="es-ES"/>
        </w:rPr>
      </w:pPr>
    </w:p>
    <w:p w14:paraId="15EEBF46" w14:textId="2D22D521" w:rsidR="00FC5E68" w:rsidRPr="00654129" w:rsidRDefault="007A771C" w:rsidP="00A15B4E">
      <w:pPr>
        <w:jc w:val="both"/>
        <w:rPr>
          <w:rFonts w:ascii="Arial" w:eastAsiaTheme="minorHAnsi" w:hAnsi="Arial" w:cs="Arial"/>
          <w:b/>
          <w:bCs/>
          <w:sz w:val="22"/>
          <w:szCs w:val="22"/>
          <w:lang w:val="es-ES"/>
        </w:rPr>
      </w:pPr>
      <w:r w:rsidRPr="00654129">
        <w:rPr>
          <w:rFonts w:ascii="Arial" w:eastAsia="Arial" w:hAnsi="Arial" w:cs="Arial"/>
          <w:b/>
          <w:bCs/>
          <w:sz w:val="22"/>
          <w:szCs w:val="22"/>
          <w:lang w:val="es-ES"/>
        </w:rPr>
        <w:t>SECOP – Publicación de documentos</w:t>
      </w:r>
      <w:r w:rsidRPr="00654129">
        <w:rPr>
          <w:rFonts w:ascii="Arial" w:hAnsi="Arial" w:cs="Arial"/>
          <w:b/>
          <w:bCs/>
          <w:sz w:val="22"/>
          <w:szCs w:val="22"/>
          <w:lang w:val="es-ES"/>
        </w:rPr>
        <w:t xml:space="preserve"> – </w:t>
      </w:r>
      <w:r w:rsidRPr="00654129">
        <w:rPr>
          <w:rFonts w:ascii="Arial" w:eastAsia="Arial" w:hAnsi="Arial" w:cs="Arial"/>
          <w:b/>
          <w:bCs/>
          <w:sz w:val="22"/>
          <w:szCs w:val="22"/>
          <w:lang w:val="es-ES"/>
        </w:rPr>
        <w:t>Deber de publicación</w:t>
      </w:r>
      <w:r w:rsidR="00FC5E68" w:rsidRPr="00654129">
        <w:rPr>
          <w:rFonts w:ascii="Arial" w:hAnsi="Arial" w:cs="Arial"/>
          <w:b/>
          <w:bCs/>
          <w:sz w:val="22"/>
          <w:szCs w:val="22"/>
          <w:lang w:val="es-ES"/>
        </w:rPr>
        <w:t xml:space="preserve"> </w:t>
      </w:r>
    </w:p>
    <w:p w14:paraId="6C5343FB" w14:textId="77777777" w:rsidR="007A771C" w:rsidRPr="009D198D" w:rsidRDefault="007A771C" w:rsidP="00A15B4E">
      <w:pPr>
        <w:widowControl w:val="0"/>
        <w:tabs>
          <w:tab w:val="left" w:pos="728"/>
        </w:tabs>
        <w:autoSpaceDE w:val="0"/>
        <w:autoSpaceDN w:val="0"/>
        <w:jc w:val="both"/>
        <w:rPr>
          <w:rFonts w:ascii="Arial" w:eastAsia="Arial" w:hAnsi="Arial" w:cs="Arial"/>
          <w:b/>
          <w:bCs/>
          <w:sz w:val="20"/>
          <w:szCs w:val="20"/>
          <w:lang w:val="es-ES"/>
        </w:rPr>
      </w:pPr>
    </w:p>
    <w:p w14:paraId="510472E1" w14:textId="6588BB98" w:rsidR="00994092" w:rsidRDefault="00994092" w:rsidP="00A15B4E">
      <w:pPr>
        <w:widowControl w:val="0"/>
        <w:tabs>
          <w:tab w:val="left" w:pos="728"/>
        </w:tabs>
        <w:autoSpaceDE w:val="0"/>
        <w:autoSpaceDN w:val="0"/>
        <w:jc w:val="both"/>
        <w:rPr>
          <w:rFonts w:ascii="Arial" w:hAnsi="Arial" w:cs="Arial"/>
          <w:sz w:val="20"/>
          <w:szCs w:val="20"/>
          <w:lang w:val="es-ES"/>
        </w:rPr>
      </w:pPr>
      <w:r w:rsidRPr="00994092">
        <w:rPr>
          <w:rFonts w:ascii="Arial" w:hAnsi="Arial" w:cs="Arial"/>
          <w:sz w:val="20"/>
          <w:szCs w:val="20"/>
          <w:lang w:val="es-ES"/>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 lo que permite controlar las actuaciones y decisiones de la Administración y el cumplimiento de los demás principios de la contratación públic</w:t>
      </w:r>
      <w:r>
        <w:rPr>
          <w:rFonts w:ascii="Arial" w:hAnsi="Arial" w:cs="Arial"/>
          <w:sz w:val="20"/>
          <w:szCs w:val="20"/>
          <w:lang w:val="es-ES"/>
        </w:rPr>
        <w:t>a.</w:t>
      </w:r>
    </w:p>
    <w:p w14:paraId="0035EC50" w14:textId="387C2A20" w:rsidR="007A771C" w:rsidRPr="009D198D" w:rsidRDefault="007A771C" w:rsidP="00A15B4E">
      <w:pPr>
        <w:widowControl w:val="0"/>
        <w:tabs>
          <w:tab w:val="left" w:pos="728"/>
        </w:tabs>
        <w:autoSpaceDE w:val="0"/>
        <w:autoSpaceDN w:val="0"/>
        <w:jc w:val="both"/>
        <w:rPr>
          <w:rFonts w:ascii="Arial" w:eastAsiaTheme="minorHAnsi" w:hAnsi="Arial" w:cs="Arial"/>
          <w:sz w:val="20"/>
          <w:szCs w:val="20"/>
          <w:lang w:val="es-ES"/>
        </w:rPr>
      </w:pPr>
      <w:r w:rsidRPr="009D198D">
        <w:rPr>
          <w:rFonts w:ascii="Arial" w:hAnsi="Arial" w:cs="Arial"/>
          <w:sz w:val="20"/>
          <w:szCs w:val="20"/>
          <w:lang w:val="es-ES"/>
        </w:rPr>
        <w:t>[…]</w:t>
      </w:r>
      <w:r w:rsidRPr="009D198D">
        <w:rPr>
          <w:rFonts w:ascii="Arial" w:eastAsiaTheme="minorHAnsi" w:hAnsi="Arial" w:cs="Arial"/>
          <w:sz w:val="20"/>
          <w:szCs w:val="20"/>
          <w:lang w:val="es-ES"/>
        </w:rPr>
        <w:br/>
      </w:r>
    </w:p>
    <w:p w14:paraId="3CE66097" w14:textId="08599C6F" w:rsidR="00994092" w:rsidRDefault="00994092" w:rsidP="00994092">
      <w:pPr>
        <w:widowControl w:val="0"/>
        <w:tabs>
          <w:tab w:val="left" w:pos="728"/>
        </w:tabs>
        <w:autoSpaceDE w:val="0"/>
        <w:autoSpaceDN w:val="0"/>
        <w:jc w:val="both"/>
        <w:rPr>
          <w:rFonts w:ascii="Arial" w:eastAsia="Calibri" w:hAnsi="Arial" w:cs="Arial"/>
          <w:sz w:val="20"/>
          <w:szCs w:val="20"/>
          <w:lang w:val="es-ES"/>
        </w:rPr>
      </w:pPr>
      <w:r w:rsidRPr="00994092">
        <w:rPr>
          <w:rFonts w:ascii="Arial" w:eastAsia="Calibri" w:hAnsi="Arial" w:cs="Arial"/>
          <w:sz w:val="20"/>
          <w:szCs w:val="20"/>
          <w:lang w:val="es-ES"/>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r>
        <w:rPr>
          <w:rFonts w:ascii="Arial" w:eastAsia="Calibri" w:hAnsi="Arial" w:cs="Arial"/>
          <w:sz w:val="20"/>
          <w:szCs w:val="20"/>
          <w:lang w:val="es-ES"/>
        </w:rPr>
        <w:t xml:space="preserve"> </w:t>
      </w:r>
      <w:r w:rsidRPr="00994092">
        <w:rPr>
          <w:rFonts w:ascii="Arial" w:eastAsia="Calibri" w:hAnsi="Arial" w:cs="Arial"/>
          <w:sz w:val="20"/>
          <w:szCs w:val="20"/>
          <w:lang w:val="es-ES"/>
        </w:rPr>
        <w:t xml:space="preserve">En ese orden, el deber de publicar la actividad contractual de las entidades estatales no solo está regulado en el artículo 3 de la Ley 1150 de 2007, y en el artículo 2.2.1.1.1.7.1. del Decreto 1082 de 2015, sino también en la Ley 1712 de 2014, y en el Decreto 1081 de 2015, normas que no solo refuerzan y complementan al régimen de contratación estatal en cuanto a la publicidad, sino que lo amplían, para incluir la publicación de los «procedimientos» y la información relativa a la «gestión contractual», sin el condicionamiento de tratarse exclusivamente de los </w:t>
      </w:r>
      <w:r w:rsidRPr="00994092">
        <w:rPr>
          <w:rFonts w:ascii="Arial" w:eastAsia="Calibri" w:hAnsi="Arial" w:cs="Arial"/>
          <w:i/>
          <w:iCs/>
          <w:sz w:val="20"/>
          <w:szCs w:val="20"/>
          <w:lang w:val="es-ES"/>
        </w:rPr>
        <w:t xml:space="preserve">Documentos del Proceso </w:t>
      </w:r>
      <w:r w:rsidRPr="00994092">
        <w:rPr>
          <w:rFonts w:ascii="Arial" w:eastAsia="Calibri" w:hAnsi="Arial" w:cs="Arial"/>
          <w:sz w:val="20"/>
          <w:szCs w:val="20"/>
          <w:lang w:val="es-ES"/>
        </w:rPr>
        <w:t>expedidos por la «entidad estatal».</w:t>
      </w:r>
    </w:p>
    <w:p w14:paraId="59D9215C" w14:textId="77777777" w:rsidR="007A771C" w:rsidRPr="00654129" w:rsidRDefault="007A771C" w:rsidP="00A15B4E">
      <w:pPr>
        <w:widowControl w:val="0"/>
        <w:tabs>
          <w:tab w:val="left" w:pos="728"/>
        </w:tabs>
        <w:autoSpaceDE w:val="0"/>
        <w:autoSpaceDN w:val="0"/>
        <w:jc w:val="both"/>
        <w:rPr>
          <w:rFonts w:ascii="Arial" w:eastAsia="Arial" w:hAnsi="Arial" w:cs="Arial"/>
          <w:b/>
          <w:bCs/>
          <w:sz w:val="22"/>
          <w:szCs w:val="22"/>
          <w:lang w:val="es-ES"/>
        </w:rPr>
      </w:pPr>
    </w:p>
    <w:p w14:paraId="79E1AE58" w14:textId="03355205" w:rsidR="007A771C" w:rsidRPr="00654129" w:rsidRDefault="007A771C" w:rsidP="00A15B4E">
      <w:pPr>
        <w:jc w:val="both"/>
        <w:rPr>
          <w:rFonts w:ascii="Arial" w:eastAsiaTheme="minorHAnsi" w:hAnsi="Arial" w:cs="Arial"/>
          <w:b/>
          <w:bCs/>
          <w:sz w:val="22"/>
          <w:szCs w:val="22"/>
          <w:lang w:val="es-ES"/>
        </w:rPr>
      </w:pPr>
      <w:r w:rsidRPr="00654129">
        <w:rPr>
          <w:rFonts w:ascii="Arial" w:hAnsi="Arial" w:cs="Arial"/>
          <w:b/>
          <w:bCs/>
          <w:sz w:val="22"/>
          <w:szCs w:val="22"/>
          <w:lang w:val="es-ES"/>
        </w:rPr>
        <w:t xml:space="preserve">DOCUMENTOS DEL PROCESO – </w:t>
      </w:r>
      <w:r w:rsidR="00C23D0D" w:rsidRPr="00654129">
        <w:rPr>
          <w:rFonts w:ascii="Arial" w:hAnsi="Arial" w:cs="Arial"/>
          <w:b/>
          <w:bCs/>
          <w:sz w:val="22"/>
          <w:szCs w:val="22"/>
          <w:lang w:val="es-ES"/>
        </w:rPr>
        <w:t>Proceso de contratación –</w:t>
      </w:r>
      <w:r w:rsidR="0021731D" w:rsidRPr="00654129">
        <w:rPr>
          <w:rFonts w:ascii="Arial" w:hAnsi="Arial" w:cs="Arial"/>
          <w:b/>
          <w:bCs/>
          <w:sz w:val="22"/>
          <w:szCs w:val="22"/>
          <w:lang w:val="es-ES"/>
        </w:rPr>
        <w:t xml:space="preserve">Publicación – Plazo de publicación </w:t>
      </w:r>
    </w:p>
    <w:p w14:paraId="21D21E04" w14:textId="77777777" w:rsidR="00FC5E68" w:rsidRPr="009D198D" w:rsidRDefault="00FC5E68" w:rsidP="00A15B4E">
      <w:pPr>
        <w:jc w:val="both"/>
        <w:rPr>
          <w:rFonts w:ascii="Arial" w:eastAsia="Calibri" w:hAnsi="Arial" w:cs="Arial"/>
          <w:sz w:val="20"/>
          <w:szCs w:val="20"/>
          <w:lang w:val="es-ES"/>
        </w:rPr>
      </w:pPr>
    </w:p>
    <w:p w14:paraId="14BF1C2A" w14:textId="77777777" w:rsidR="00994092" w:rsidRPr="00994092" w:rsidRDefault="00994092" w:rsidP="00994092">
      <w:pPr>
        <w:jc w:val="both"/>
        <w:rPr>
          <w:rFonts w:ascii="Arial" w:eastAsia="Calibri" w:hAnsi="Arial" w:cs="Arial"/>
          <w:sz w:val="20"/>
          <w:szCs w:val="20"/>
          <w:lang w:val="es-ES"/>
        </w:rPr>
      </w:pPr>
      <w:r w:rsidRPr="00994092">
        <w:rPr>
          <w:rFonts w:ascii="Arial" w:eastAsia="Calibri" w:hAnsi="Arial" w:cs="Arial"/>
          <w:sz w:val="20"/>
          <w:szCs w:val="20"/>
          <w:lang w:val="es-ES"/>
        </w:rPr>
        <w:t xml:space="preserve">Esto quiere decir que las entidades estatales, además de los documentos y actos administrativos </w:t>
      </w:r>
      <w:r w:rsidRPr="00994092">
        <w:rPr>
          <w:rFonts w:ascii="Arial" w:eastAsia="Calibri" w:hAnsi="Arial" w:cs="Arial"/>
          <w:sz w:val="20"/>
          <w:szCs w:val="20"/>
          <w:lang w:val="es-ES"/>
        </w:rPr>
        <w:softHyphen/>
      </w:r>
      <w:r w:rsidRPr="00994092">
        <w:rPr>
          <w:rFonts w:ascii="Arial" w:eastAsia="Calibri" w:hAnsi="Arial" w:cs="Arial"/>
          <w:sz w:val="20"/>
          <w:szCs w:val="20"/>
          <w:lang w:val="es-ES"/>
        </w:rPr>
        <w:softHyphen/>
        <w:t>–de trámite o definitivos– que expiden durante los procedimientos de contratación</w:t>
      </w:r>
      <w:r w:rsidRPr="00994092">
        <w:rPr>
          <w:rFonts w:ascii="Arial" w:eastAsia="Calibri" w:hAnsi="Arial" w:cs="Arial"/>
          <w:i/>
          <w:iCs/>
          <w:sz w:val="20"/>
          <w:szCs w:val="20"/>
          <w:lang w:val="es-ES"/>
        </w:rPr>
        <w:t>,</w:t>
      </w:r>
      <w:r w:rsidRPr="00994092">
        <w:rPr>
          <w:rFonts w:ascii="Arial" w:eastAsia="Calibri" w:hAnsi="Arial" w:cs="Arial"/>
          <w:sz w:val="20"/>
          <w:szCs w:val="20"/>
          <w:lang w:val="es-ES"/>
        </w:rPr>
        <w:t xml:space="preserve"> deben publicar los documentos que los impulsan y materializan, incluso los que no produce exclusivamente la entidad, pero que hacen parte del procedimiento. Esto es lo que sucede, por ejemplo, con las observaciones formuladas por la ciudadanía al proyecto de pliego de condiciones, por los proponentes al informe de evaluación, aclaraciones a las ofertas realizadas por los oferentes, y cualquier otra actuación que a pesar de no tener origen en la entidad estatal, ni caber en estricto sentido en lo que se entiende </w:t>
      </w:r>
      <w:r w:rsidRPr="00994092">
        <w:rPr>
          <w:rFonts w:ascii="Arial" w:eastAsia="Calibri" w:hAnsi="Arial" w:cs="Arial"/>
          <w:sz w:val="20"/>
          <w:szCs w:val="20"/>
          <w:lang w:val="es-ES"/>
        </w:rPr>
        <w:lastRenderedPageBreak/>
        <w:t>con la expresión</w:t>
      </w:r>
      <w:r w:rsidRPr="00994092">
        <w:rPr>
          <w:rFonts w:ascii="Arial" w:eastAsia="Calibri" w:hAnsi="Arial" w:cs="Arial"/>
          <w:i/>
          <w:iCs/>
          <w:sz w:val="20"/>
          <w:szCs w:val="20"/>
          <w:lang w:val="es-ES"/>
        </w:rPr>
        <w:t xml:space="preserve"> Documento del Proceso, </w:t>
      </w:r>
      <w:r w:rsidRPr="00994092">
        <w:rPr>
          <w:rFonts w:ascii="Arial" w:eastAsia="Calibri" w:hAnsi="Arial" w:cs="Arial"/>
          <w:sz w:val="20"/>
          <w:szCs w:val="20"/>
          <w:lang w:val="es-ES"/>
        </w:rPr>
        <w:t xml:space="preserve">hace parte de su desarrollo, y que por disposición de la Ley de transparencia y acceso a la información pública, debe publicar la entidad de manera proactiva. </w:t>
      </w:r>
    </w:p>
    <w:p w14:paraId="4F8863F7" w14:textId="3E6FD1CC" w:rsidR="0021731D" w:rsidRPr="009D198D" w:rsidRDefault="0021731D" w:rsidP="00A15B4E">
      <w:pPr>
        <w:jc w:val="both"/>
        <w:rPr>
          <w:rFonts w:ascii="Arial" w:eastAsia="Calibri" w:hAnsi="Arial" w:cs="Arial"/>
          <w:sz w:val="20"/>
          <w:szCs w:val="20"/>
          <w:lang w:val="es-ES"/>
        </w:rPr>
      </w:pPr>
    </w:p>
    <w:p w14:paraId="62D05B7F" w14:textId="72C17B61" w:rsidR="0021731D" w:rsidRPr="009D198D" w:rsidRDefault="0021731D" w:rsidP="00A15B4E">
      <w:pPr>
        <w:jc w:val="both"/>
        <w:rPr>
          <w:rFonts w:ascii="Arial" w:eastAsia="Calibri" w:hAnsi="Arial" w:cs="Arial"/>
          <w:sz w:val="20"/>
          <w:szCs w:val="20"/>
          <w:lang w:val="es-ES"/>
        </w:rPr>
      </w:pPr>
      <w:r w:rsidRPr="009D198D">
        <w:rPr>
          <w:rFonts w:ascii="Arial" w:eastAsia="Calibri" w:hAnsi="Arial" w:cs="Arial"/>
          <w:sz w:val="20"/>
          <w:szCs w:val="20"/>
          <w:lang w:val="es-ES"/>
        </w:rPr>
        <w:t xml:space="preserve">[…] </w:t>
      </w:r>
    </w:p>
    <w:p w14:paraId="03A72FD4" w14:textId="77777777" w:rsidR="0021731D" w:rsidRPr="009D198D" w:rsidRDefault="0021731D" w:rsidP="00A15B4E">
      <w:pPr>
        <w:jc w:val="both"/>
        <w:rPr>
          <w:rFonts w:ascii="Arial" w:eastAsia="Calibri" w:hAnsi="Arial" w:cs="Arial"/>
          <w:sz w:val="20"/>
          <w:szCs w:val="20"/>
          <w:lang w:val="es-ES"/>
        </w:rPr>
      </w:pPr>
    </w:p>
    <w:p w14:paraId="06B35291" w14:textId="77777777" w:rsidR="00994092" w:rsidRDefault="00994092" w:rsidP="00A15B4E">
      <w:pPr>
        <w:jc w:val="both"/>
        <w:rPr>
          <w:rFonts w:ascii="Arial" w:eastAsia="Calibri" w:hAnsi="Arial" w:cs="Arial"/>
          <w:sz w:val="20"/>
          <w:szCs w:val="20"/>
          <w:lang w:val="es-ES"/>
        </w:rPr>
      </w:pPr>
      <w:r w:rsidRPr="00994092">
        <w:rPr>
          <w:rFonts w:ascii="Arial" w:eastAsia="Calibri" w:hAnsi="Arial" w:cs="Arial"/>
          <w:sz w:val="20"/>
          <w:szCs w:val="20"/>
          <w:lang w:val="es-ES"/>
        </w:rPr>
        <w:t>En este sentido, todos los actos administrativos o documentos que se produzcan con ocasión del proceso contractual deben publicarse dentro de los tres (3) días siguientes a su expedición, con independencia que sean expedidos unilateralmente por la entidad contratante o que sean documentos suscritos por las partes</w:t>
      </w:r>
      <w:r>
        <w:rPr>
          <w:rFonts w:ascii="Arial" w:eastAsia="Calibri" w:hAnsi="Arial" w:cs="Arial"/>
          <w:sz w:val="20"/>
          <w:szCs w:val="20"/>
          <w:lang w:val="es-ES"/>
        </w:rPr>
        <w:t xml:space="preserve">. </w:t>
      </w:r>
    </w:p>
    <w:p w14:paraId="3025CC3A" w14:textId="3518A93C" w:rsidR="00AF2D89" w:rsidRPr="00654129" w:rsidRDefault="00AF2D89" w:rsidP="00A15B4E">
      <w:pPr>
        <w:jc w:val="both"/>
        <w:rPr>
          <w:rFonts w:ascii="Arial" w:eastAsia="Calibri" w:hAnsi="Arial" w:cs="Arial"/>
          <w:b/>
          <w:sz w:val="22"/>
          <w:szCs w:val="22"/>
          <w:lang w:val="es-MX" w:eastAsia="en-US"/>
        </w:rPr>
      </w:pPr>
    </w:p>
    <w:p w14:paraId="02BC5DAA" w14:textId="77777777" w:rsidR="00107899" w:rsidRPr="00654129" w:rsidRDefault="00107899" w:rsidP="00A15B4E">
      <w:pPr>
        <w:jc w:val="both"/>
        <w:rPr>
          <w:rFonts w:ascii="Arial" w:eastAsia="Calibri" w:hAnsi="Arial" w:cs="Arial"/>
          <w:b/>
          <w:bCs/>
          <w:sz w:val="22"/>
          <w:szCs w:val="22"/>
          <w:lang w:val="es-ES" w:eastAsia="en-US"/>
        </w:rPr>
      </w:pPr>
      <w:r w:rsidRPr="00654129">
        <w:rPr>
          <w:rFonts w:ascii="Arial" w:eastAsia="Calibri" w:hAnsi="Arial" w:cs="Arial"/>
          <w:b/>
          <w:bCs/>
          <w:sz w:val="22"/>
          <w:szCs w:val="22"/>
          <w:lang w:val="es-ES"/>
        </w:rPr>
        <w:t>SECOP II – Medio de publicidad – Plataforma transaccional</w:t>
      </w:r>
    </w:p>
    <w:p w14:paraId="0F61F8B6" w14:textId="77777777" w:rsidR="00107899" w:rsidRPr="009D198D" w:rsidRDefault="00107899" w:rsidP="00A15B4E">
      <w:pPr>
        <w:jc w:val="both"/>
        <w:rPr>
          <w:rFonts w:ascii="Arial" w:eastAsia="Calibri" w:hAnsi="Arial" w:cs="Arial"/>
          <w:sz w:val="20"/>
          <w:szCs w:val="20"/>
          <w:lang w:val="es-ES"/>
        </w:rPr>
      </w:pPr>
    </w:p>
    <w:p w14:paraId="480C0A37" w14:textId="387649A3" w:rsidR="00C23D0D" w:rsidRPr="009D198D" w:rsidRDefault="00994092" w:rsidP="00A15B4E">
      <w:pPr>
        <w:jc w:val="both"/>
        <w:rPr>
          <w:rFonts w:ascii="Arial" w:eastAsia="Calibri" w:hAnsi="Arial" w:cs="Arial"/>
          <w:sz w:val="20"/>
          <w:szCs w:val="20"/>
          <w:lang w:val="es-ES"/>
        </w:rPr>
      </w:pPr>
      <w:r w:rsidRPr="00994092">
        <w:rPr>
          <w:rFonts w:ascii="Arial" w:eastAsia="Calibri" w:hAnsi="Arial" w:cs="Arial"/>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r w:rsidR="00C23D0D" w:rsidRPr="009D198D">
        <w:rPr>
          <w:rFonts w:ascii="Arial" w:eastAsia="Calibri" w:hAnsi="Arial" w:cs="Arial"/>
          <w:sz w:val="20"/>
          <w:szCs w:val="20"/>
          <w:lang w:val="es-ES"/>
        </w:rPr>
        <w:t xml:space="preserve">. […] </w:t>
      </w:r>
      <w:r w:rsidRPr="00994092">
        <w:rPr>
          <w:rFonts w:ascii="Arial" w:eastAsia="Calibri" w:hAnsi="Arial" w:cs="Arial"/>
          <w:sz w:val="20"/>
          <w:szCs w:val="20"/>
          <w:lang w:val="es-ES"/>
        </w:rPr>
        <w:t xml:space="preserve">En ese orden, el carácter transaccional de SECOP II, como herramienta que permite no solo publicar sino también gestionar y crear </w:t>
      </w:r>
      <w:r w:rsidRPr="00994092">
        <w:rPr>
          <w:rFonts w:ascii="Arial" w:eastAsia="Calibri" w:hAnsi="Arial" w:cs="Arial"/>
          <w:i/>
          <w:iCs/>
          <w:sz w:val="20"/>
          <w:szCs w:val="20"/>
          <w:lang w:val="es-ES"/>
        </w:rPr>
        <w:t xml:space="preserve">Documentos del Proceso, </w:t>
      </w:r>
      <w:r w:rsidRPr="00994092">
        <w:rPr>
          <w:rFonts w:ascii="Arial" w:eastAsia="Calibri" w:hAnsi="Arial" w:cs="Arial"/>
          <w:sz w:val="20"/>
          <w:szCs w:val="20"/>
          <w:lang w:val="es-ES"/>
        </w:rPr>
        <w:t xml:space="preserve">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w:t>
      </w:r>
    </w:p>
    <w:p w14:paraId="4790180E" w14:textId="77777777" w:rsidR="008F5D21" w:rsidRPr="00654129" w:rsidRDefault="008F5D21" w:rsidP="00A15B4E">
      <w:pPr>
        <w:jc w:val="both"/>
        <w:rPr>
          <w:rFonts w:ascii="Arial" w:eastAsia="Calibri" w:hAnsi="Arial" w:cs="Arial"/>
          <w:b/>
          <w:sz w:val="22"/>
          <w:szCs w:val="22"/>
          <w:lang w:val="es-MX" w:eastAsia="en-US"/>
        </w:rPr>
      </w:pPr>
    </w:p>
    <w:p w14:paraId="4E7C9086" w14:textId="46946FC1" w:rsidR="003C02AE" w:rsidRPr="00654129" w:rsidRDefault="003C02AE" w:rsidP="00A15B4E">
      <w:pPr>
        <w:jc w:val="both"/>
        <w:rPr>
          <w:rFonts w:ascii="Arial" w:eastAsia="Calibri" w:hAnsi="Arial" w:cs="Arial"/>
          <w:sz w:val="22"/>
          <w:szCs w:val="22"/>
          <w:lang w:val="es-MX" w:eastAsia="en-US"/>
        </w:rPr>
      </w:pPr>
      <w:r w:rsidRPr="00654129">
        <w:rPr>
          <w:rFonts w:ascii="Arial" w:eastAsia="Calibri" w:hAnsi="Arial" w:cs="Arial"/>
          <w:b/>
          <w:sz w:val="22"/>
          <w:szCs w:val="22"/>
          <w:lang w:val="es-MX" w:eastAsia="en-US"/>
        </w:rPr>
        <w:t>PLAN ANUAL DE ADQUISICIONES – Plan de acción</w:t>
      </w:r>
    </w:p>
    <w:p w14:paraId="1BC1530D" w14:textId="77777777" w:rsidR="003C02AE" w:rsidRPr="009D198D" w:rsidRDefault="003C02AE" w:rsidP="00A15B4E">
      <w:pPr>
        <w:jc w:val="both"/>
        <w:rPr>
          <w:rFonts w:ascii="Arial" w:hAnsi="Arial" w:cs="Arial"/>
          <w:bCs/>
          <w:sz w:val="20"/>
          <w:szCs w:val="20"/>
          <w:lang w:val="es-MX"/>
        </w:rPr>
      </w:pPr>
    </w:p>
    <w:p w14:paraId="289DF159" w14:textId="2E1D497E" w:rsidR="00994092" w:rsidRDefault="00994092" w:rsidP="00A15B4E">
      <w:pPr>
        <w:jc w:val="both"/>
        <w:rPr>
          <w:rFonts w:ascii="Arial" w:eastAsia="Calibri" w:hAnsi="Arial" w:cs="Arial"/>
          <w:sz w:val="20"/>
          <w:szCs w:val="20"/>
          <w:lang w:val="es-ES"/>
        </w:rPr>
      </w:pPr>
      <w:r w:rsidRPr="00994092">
        <w:rPr>
          <w:rFonts w:ascii="Arial" w:eastAsia="Calibri" w:hAnsi="Arial" w:cs="Arial"/>
          <w:sz w:val="20"/>
          <w:szCs w:val="20"/>
          <w:lang w:val="es-ES"/>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114F2A58" w14:textId="17D24CC5" w:rsidR="003C02AE" w:rsidRPr="00654129" w:rsidRDefault="00B7377E" w:rsidP="00A15B4E">
      <w:pPr>
        <w:jc w:val="both"/>
        <w:rPr>
          <w:rFonts w:ascii="Arial" w:eastAsia="Calibri" w:hAnsi="Arial" w:cs="Arial"/>
          <w:sz w:val="22"/>
          <w:szCs w:val="22"/>
          <w:lang w:val="es-ES"/>
        </w:rPr>
      </w:pPr>
      <w:r w:rsidRPr="009D198D">
        <w:rPr>
          <w:rFonts w:ascii="Arial" w:eastAsia="Calibri" w:hAnsi="Arial" w:cs="Arial"/>
          <w:sz w:val="20"/>
          <w:szCs w:val="20"/>
          <w:lang w:val="es-ES"/>
        </w:rPr>
        <w:t xml:space="preserve">  </w:t>
      </w:r>
    </w:p>
    <w:p w14:paraId="251833C2" w14:textId="6DF2CF93" w:rsidR="003C02AE" w:rsidRPr="00654129" w:rsidRDefault="003C02AE" w:rsidP="00A15B4E">
      <w:pPr>
        <w:jc w:val="both"/>
        <w:rPr>
          <w:rFonts w:ascii="Arial" w:eastAsia="Calibri" w:hAnsi="Arial" w:cs="Arial"/>
          <w:b/>
          <w:sz w:val="22"/>
          <w:szCs w:val="22"/>
          <w:lang w:val="es-ES"/>
        </w:rPr>
      </w:pPr>
      <w:r w:rsidRPr="00654129">
        <w:rPr>
          <w:rFonts w:ascii="Arial" w:eastAsia="Calibri" w:hAnsi="Arial" w:cs="Arial"/>
          <w:b/>
          <w:sz w:val="22"/>
          <w:szCs w:val="22"/>
          <w:lang w:val="es-ES"/>
        </w:rPr>
        <w:t xml:space="preserve">PLAN ANUAL DE ADQUISICIONES – Publicidad </w:t>
      </w:r>
      <w:r w:rsidRPr="00654129">
        <w:rPr>
          <w:rFonts w:ascii="Arial" w:hAnsi="Arial" w:cs="Arial"/>
          <w:b/>
          <w:bCs/>
          <w:sz w:val="22"/>
          <w:szCs w:val="22"/>
          <w:lang w:val="es-ES"/>
        </w:rPr>
        <w:t>– Entidades estatales obligadas</w:t>
      </w:r>
      <w:r w:rsidR="00806E32" w:rsidRPr="00654129">
        <w:rPr>
          <w:rFonts w:ascii="Arial" w:hAnsi="Arial" w:cs="Arial"/>
          <w:b/>
          <w:bCs/>
          <w:sz w:val="22"/>
          <w:szCs w:val="22"/>
          <w:lang w:val="es-ES"/>
        </w:rPr>
        <w:t xml:space="preserve"> – </w:t>
      </w:r>
      <w:r w:rsidR="00AF2D89" w:rsidRPr="00654129">
        <w:rPr>
          <w:rFonts w:ascii="Arial" w:hAnsi="Arial" w:cs="Arial"/>
          <w:b/>
          <w:bCs/>
          <w:sz w:val="22"/>
          <w:szCs w:val="22"/>
          <w:lang w:val="es-ES"/>
        </w:rPr>
        <w:t>Consecuencias</w:t>
      </w:r>
      <w:r w:rsidR="00806E32" w:rsidRPr="00654129">
        <w:rPr>
          <w:rFonts w:ascii="Arial" w:hAnsi="Arial" w:cs="Arial"/>
          <w:b/>
          <w:bCs/>
          <w:sz w:val="22"/>
          <w:szCs w:val="22"/>
          <w:lang w:val="es-ES"/>
        </w:rPr>
        <w:t xml:space="preserve"> </w:t>
      </w:r>
      <w:r w:rsidR="00AF2D89" w:rsidRPr="00654129">
        <w:rPr>
          <w:rFonts w:ascii="Arial" w:hAnsi="Arial" w:cs="Arial"/>
          <w:b/>
          <w:bCs/>
          <w:sz w:val="22"/>
          <w:szCs w:val="22"/>
          <w:lang w:val="es-ES"/>
        </w:rPr>
        <w:t xml:space="preserve">no publicación </w:t>
      </w:r>
    </w:p>
    <w:p w14:paraId="2C865F63" w14:textId="77777777" w:rsidR="003C02AE" w:rsidRPr="009D198D" w:rsidRDefault="003C02AE" w:rsidP="00A15B4E">
      <w:pPr>
        <w:jc w:val="both"/>
        <w:rPr>
          <w:rFonts w:ascii="Arial" w:eastAsia="Calibri" w:hAnsi="Arial" w:cs="Arial"/>
          <w:sz w:val="20"/>
          <w:szCs w:val="20"/>
          <w:lang w:val="es-ES"/>
        </w:rPr>
      </w:pPr>
    </w:p>
    <w:p w14:paraId="059BCCC0" w14:textId="77777777" w:rsidR="00994092" w:rsidRDefault="00AF2D89" w:rsidP="00A15B4E">
      <w:pPr>
        <w:jc w:val="both"/>
        <w:rPr>
          <w:rFonts w:ascii="Arial" w:eastAsia="Calibri" w:hAnsi="Arial" w:cs="Arial"/>
          <w:sz w:val="20"/>
          <w:szCs w:val="20"/>
          <w:lang w:val="es-ES"/>
        </w:rPr>
      </w:pPr>
      <w:r w:rsidRPr="009D198D">
        <w:rPr>
          <w:rFonts w:ascii="Arial" w:eastAsia="Calibri" w:hAnsi="Arial" w:cs="Arial"/>
          <w:sz w:val="20"/>
          <w:szCs w:val="20"/>
          <w:lang w:val="es-ES"/>
        </w:rPr>
        <w:t xml:space="preserve">[…] </w:t>
      </w:r>
      <w:r w:rsidR="00994092" w:rsidRPr="00994092">
        <w:rPr>
          <w:rFonts w:ascii="Arial" w:eastAsia="Calibri" w:hAnsi="Arial" w:cs="Arial"/>
          <w:sz w:val="20"/>
          <w:szCs w:val="20"/>
          <w:lang w:val="es-ES"/>
        </w:rPr>
        <w:t>la publicación del Plan Anual de Adquisiciones no solo es una obligación de las entidades regidas por el Estatuto General de Contratación de la Administración Pública, sino también de los obligados en el marco de la Ley 1712 de 2014, que contraten con cargo a recursos públicos. Dichas normas no prevén una consecuencia jurídica directa de la no publicación del plan, ni atribuyen a alguna autoridad en concreto el deber de hacer un seguimiento. No obstante, ello no desvirtúa el carácter de deber legal en el que consiste la obligación de publicar del plan, por lo que su desatención, eventualmente, podría ser considerada como un hecho relevante en el marco del régimen disciplinario y/o de responsabilidad fiscal, acarreando posibles sanciones para el servidor público responsable, que no son objeto de estudio del presente concepto por ser un asunto ajeno a la competencia consultiva de esta Agencia.</w:t>
      </w:r>
    </w:p>
    <w:p w14:paraId="715D2628" w14:textId="77777777" w:rsidR="00AF2D89" w:rsidRPr="009D198D" w:rsidRDefault="00AF2D89" w:rsidP="00A15B4E">
      <w:pPr>
        <w:jc w:val="both"/>
        <w:rPr>
          <w:rFonts w:ascii="Arial" w:eastAsia="Calibri" w:hAnsi="Arial" w:cs="Arial"/>
          <w:sz w:val="20"/>
          <w:szCs w:val="20"/>
          <w:lang w:val="es-ES"/>
        </w:rPr>
      </w:pPr>
    </w:p>
    <w:p w14:paraId="4346E60B" w14:textId="77777777" w:rsidR="008F5D21" w:rsidRPr="00654129" w:rsidRDefault="008F5D21" w:rsidP="00A15B4E">
      <w:pPr>
        <w:jc w:val="both"/>
        <w:rPr>
          <w:rFonts w:ascii="Arial" w:eastAsia="Calibri" w:hAnsi="Arial" w:cs="Arial"/>
          <w:b/>
          <w:sz w:val="22"/>
          <w:szCs w:val="22"/>
        </w:rPr>
      </w:pPr>
      <w:r w:rsidRPr="00654129">
        <w:rPr>
          <w:rFonts w:ascii="Arial" w:eastAsia="Calibri" w:hAnsi="Arial" w:cs="Arial"/>
          <w:b/>
          <w:sz w:val="22"/>
          <w:szCs w:val="22"/>
        </w:rPr>
        <w:t xml:space="preserve">PLAN ANUAL DE ADQUISICIONES – Vigencia </w:t>
      </w:r>
    </w:p>
    <w:p w14:paraId="11F40A3E" w14:textId="77777777" w:rsidR="008F5D21" w:rsidRPr="009D198D" w:rsidRDefault="008F5D21" w:rsidP="00A15B4E">
      <w:pPr>
        <w:jc w:val="both"/>
        <w:rPr>
          <w:rFonts w:ascii="Arial" w:eastAsia="Calibri" w:hAnsi="Arial" w:cs="Arial"/>
          <w:sz w:val="20"/>
          <w:szCs w:val="20"/>
        </w:rPr>
      </w:pPr>
    </w:p>
    <w:p w14:paraId="77257E0F" w14:textId="77777777" w:rsidR="00DB3840" w:rsidRPr="00DB3840" w:rsidRDefault="008F5D21" w:rsidP="00DB3840">
      <w:pPr>
        <w:jc w:val="both"/>
        <w:rPr>
          <w:rFonts w:ascii="Arial" w:eastAsia="Calibri" w:hAnsi="Arial" w:cs="Arial"/>
          <w:sz w:val="20"/>
          <w:szCs w:val="20"/>
          <w:lang w:val="es-ES"/>
        </w:rPr>
      </w:pPr>
      <w:r w:rsidRPr="009D198D">
        <w:rPr>
          <w:rFonts w:ascii="Arial" w:eastAsia="Calibri" w:hAnsi="Arial" w:cs="Arial"/>
          <w:sz w:val="20"/>
          <w:szCs w:val="20"/>
          <w:lang w:val="es-ES"/>
        </w:rPr>
        <w:t xml:space="preserve">[…] </w:t>
      </w:r>
      <w:r w:rsidR="00DB3840" w:rsidRPr="00DB3840">
        <w:rPr>
          <w:rFonts w:ascii="Arial" w:eastAsia="Calibri" w:hAnsi="Arial" w:cs="Arial"/>
          <w:sz w:val="20"/>
          <w:szCs w:val="20"/>
          <w:lang w:val="es-ES"/>
        </w:rPr>
        <w:t xml:space="preserve">el plan anual de adquisiciones está vigente desde el día de su publicación y hasta el 31 de diciembre del año correspondiente y, por lo tanto, el plan debe contener la lista de todos los bienes, obras y servicios que se pretenden adquirir durante ese periodo. </w:t>
      </w:r>
    </w:p>
    <w:p w14:paraId="211F3312" w14:textId="4B25829B" w:rsidR="008F5D21" w:rsidRPr="009D198D" w:rsidRDefault="00DB3840" w:rsidP="00DB3840">
      <w:pPr>
        <w:jc w:val="both"/>
        <w:rPr>
          <w:rFonts w:ascii="Arial" w:eastAsia="Calibri" w:hAnsi="Arial" w:cs="Arial"/>
          <w:sz w:val="20"/>
          <w:szCs w:val="20"/>
          <w:lang w:val="es-ES"/>
        </w:rPr>
      </w:pPr>
      <w:r w:rsidRPr="00DB3840">
        <w:rPr>
          <w:rFonts w:ascii="Arial" w:eastAsia="Calibri" w:hAnsi="Arial" w:cs="Arial"/>
          <w:sz w:val="20"/>
          <w:szCs w:val="20"/>
          <w:lang w:val="es-ES"/>
        </w:rPr>
        <w:lastRenderedPageBreak/>
        <w:t xml:space="preserve">Lo anterior no obsta para que la publicación del plan anual de adquisiciones sea obligatoria antes de la celebración de cualquier contrato por parte de las entidades estatales. Conforme al artículo 74 de la Ley 1474 de 2011, las entidades elaboran el plan anual de adquisiciones </w:t>
      </w:r>
      <w:r w:rsidRPr="00DB3840">
        <w:rPr>
          <w:rFonts w:ascii="Arial" w:eastAsia="Calibri" w:hAnsi="Arial" w:cs="Arial"/>
          <w:i/>
          <w:iCs/>
          <w:sz w:val="20"/>
          <w:szCs w:val="20"/>
          <w:lang w:val="es-ES"/>
        </w:rPr>
        <w:t>para el año siguiente</w:t>
      </w:r>
      <w:r w:rsidRPr="00DB3840">
        <w:rPr>
          <w:rFonts w:ascii="Arial" w:eastAsia="Calibri" w:hAnsi="Arial" w:cs="Arial"/>
          <w:sz w:val="20"/>
          <w:szCs w:val="20"/>
          <w:lang w:val="es-ES"/>
        </w:rPr>
        <w:t xml:space="preserve">. </w:t>
      </w:r>
    </w:p>
    <w:p w14:paraId="5239E9BE" w14:textId="77777777" w:rsidR="008F5D21" w:rsidRPr="009D198D" w:rsidRDefault="008F5D21" w:rsidP="00A15B4E">
      <w:pPr>
        <w:jc w:val="both"/>
        <w:rPr>
          <w:rFonts w:ascii="Arial" w:eastAsia="Calibri" w:hAnsi="Arial" w:cs="Arial"/>
          <w:sz w:val="20"/>
          <w:szCs w:val="20"/>
          <w:lang w:val="es-ES"/>
        </w:rPr>
      </w:pPr>
    </w:p>
    <w:p w14:paraId="65C98DE5" w14:textId="77777777" w:rsidR="003C02AE" w:rsidRPr="00654129" w:rsidRDefault="003C02AE" w:rsidP="00A15B4E">
      <w:pPr>
        <w:jc w:val="both"/>
        <w:rPr>
          <w:rFonts w:ascii="Arial" w:eastAsia="Calibri" w:hAnsi="Arial" w:cs="Arial"/>
          <w:b/>
          <w:sz w:val="22"/>
          <w:szCs w:val="22"/>
        </w:rPr>
      </w:pPr>
      <w:r w:rsidRPr="00654129">
        <w:rPr>
          <w:rFonts w:ascii="Arial" w:eastAsia="Calibri" w:hAnsi="Arial" w:cs="Arial"/>
          <w:b/>
          <w:sz w:val="22"/>
          <w:szCs w:val="22"/>
        </w:rPr>
        <w:t>PLAN ANUAL DE ADQUISICIONES – Publicación antes de contratar</w:t>
      </w:r>
    </w:p>
    <w:p w14:paraId="00557F3C" w14:textId="77777777" w:rsidR="003C02AE" w:rsidRPr="009D198D" w:rsidRDefault="003C02AE" w:rsidP="00A15B4E">
      <w:pPr>
        <w:jc w:val="both"/>
        <w:rPr>
          <w:rFonts w:ascii="Arial" w:eastAsia="Calibri" w:hAnsi="Arial" w:cs="Arial"/>
          <w:b/>
          <w:sz w:val="20"/>
          <w:szCs w:val="20"/>
        </w:rPr>
      </w:pPr>
    </w:p>
    <w:p w14:paraId="10A96F8D" w14:textId="77777777" w:rsidR="00DB3840" w:rsidRPr="00DB3840" w:rsidRDefault="00DB3840" w:rsidP="00DB3840">
      <w:pPr>
        <w:jc w:val="both"/>
        <w:rPr>
          <w:rFonts w:ascii="Arial" w:eastAsia="Calibri" w:hAnsi="Arial" w:cs="Arial"/>
          <w:sz w:val="20"/>
          <w:szCs w:val="20"/>
          <w:lang w:val="es-ES"/>
        </w:rPr>
      </w:pPr>
      <w:r w:rsidRPr="00DB3840">
        <w:rPr>
          <w:rFonts w:ascii="Arial" w:eastAsia="Calibri" w:hAnsi="Arial" w:cs="Arial"/>
          <w:sz w:val="20"/>
          <w:szCs w:val="20"/>
          <w:lang w:val="es-ES"/>
        </w:rPr>
        <w:t xml:space="preserve">Reiterando las consideraciones del Concepto Unificado CU-348 del 3 de julio de 2020 de esta Agencia, la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término máximo previsto por la ley, los contratos celebrados durante el primer mes del año no entrarían en el plan de adquisiciones y no sería posible incluirlos de manera posterior. </w:t>
      </w:r>
    </w:p>
    <w:p w14:paraId="12B7C4D4" w14:textId="77777777" w:rsidR="00A15B4E" w:rsidRPr="009D198D" w:rsidRDefault="00A15B4E" w:rsidP="00A15B4E">
      <w:pPr>
        <w:jc w:val="both"/>
        <w:rPr>
          <w:rFonts w:ascii="Arial" w:eastAsia="Calibri" w:hAnsi="Arial" w:cs="Arial"/>
          <w:sz w:val="20"/>
          <w:szCs w:val="20"/>
          <w:lang w:val="es-ES"/>
        </w:rPr>
      </w:pPr>
    </w:p>
    <w:p w14:paraId="0DCC37C0" w14:textId="5DDF7113" w:rsidR="003C02AE" w:rsidRDefault="00DB3840" w:rsidP="00DB3840">
      <w:pPr>
        <w:jc w:val="both"/>
        <w:rPr>
          <w:rFonts w:ascii="Arial" w:eastAsia="Calibri" w:hAnsi="Arial" w:cs="Arial"/>
          <w:sz w:val="20"/>
          <w:szCs w:val="20"/>
          <w:lang w:val="es-ES"/>
        </w:rPr>
      </w:pPr>
      <w:r w:rsidRPr="00DB3840">
        <w:rPr>
          <w:rFonts w:ascii="Arial" w:eastAsia="Calibri" w:hAnsi="Arial" w:cs="Arial"/>
          <w:sz w:val="20"/>
          <w:szCs w:val="20"/>
          <w:lang w:val="es-ES"/>
        </w:rPr>
        <w:t>En ese orden de ideas, el plan anual de adquisiciones debe elaborarse y publicarse antes de la celebración de cualquier contrato estatal, pues solo esta interpretación de la norma permite que se materialicen verdaderamente las finalidades de este instrumento de planeación en el ordenamiento colombiano. Las entidades del Estado tienen la posibilidad de publicar el plan anual de adquisiciones hasta el 31 de enero del año en curso. Pese a ello, dicha publicación debe anteceder a la celebración del primer contrato del año</w:t>
      </w:r>
      <w:r>
        <w:rPr>
          <w:rFonts w:ascii="Arial" w:eastAsia="Calibri" w:hAnsi="Arial" w:cs="Arial"/>
          <w:sz w:val="20"/>
          <w:szCs w:val="20"/>
          <w:lang w:val="es-ES"/>
        </w:rPr>
        <w:t>.</w:t>
      </w:r>
    </w:p>
    <w:p w14:paraId="6001BE17" w14:textId="77777777" w:rsidR="00DB3840" w:rsidRPr="00DB3840" w:rsidRDefault="00DB3840" w:rsidP="00DB3840">
      <w:pPr>
        <w:jc w:val="both"/>
        <w:rPr>
          <w:rFonts w:ascii="Arial" w:eastAsia="Calibri" w:hAnsi="Arial" w:cs="Arial"/>
          <w:sz w:val="20"/>
          <w:szCs w:val="20"/>
          <w:lang w:val="es-ES"/>
        </w:rPr>
      </w:pPr>
    </w:p>
    <w:p w14:paraId="67AC7368" w14:textId="5A0C0087" w:rsidR="0021731D" w:rsidRPr="00654129" w:rsidRDefault="00C23D0D" w:rsidP="00A15B4E">
      <w:pPr>
        <w:jc w:val="both"/>
        <w:rPr>
          <w:rFonts w:ascii="Arial" w:hAnsi="Arial" w:cs="Arial"/>
          <w:b/>
          <w:bCs/>
          <w:sz w:val="22"/>
          <w:szCs w:val="22"/>
          <w:lang w:val="es-ES"/>
        </w:rPr>
      </w:pPr>
      <w:r w:rsidRPr="00654129">
        <w:rPr>
          <w:rFonts w:ascii="Arial" w:hAnsi="Arial" w:cs="Arial"/>
          <w:b/>
          <w:bCs/>
          <w:sz w:val="22"/>
          <w:szCs w:val="22"/>
          <w:lang w:val="es-ES"/>
        </w:rPr>
        <w:t>ETAPA</w:t>
      </w:r>
      <w:r w:rsidR="00164832" w:rsidRPr="00654129">
        <w:rPr>
          <w:rFonts w:ascii="Arial" w:hAnsi="Arial" w:cs="Arial"/>
          <w:b/>
          <w:bCs/>
          <w:sz w:val="22"/>
          <w:szCs w:val="22"/>
          <w:lang w:val="es-ES"/>
        </w:rPr>
        <w:t>S</w:t>
      </w:r>
      <w:r w:rsidRPr="00654129">
        <w:rPr>
          <w:rFonts w:ascii="Arial" w:hAnsi="Arial" w:cs="Arial"/>
          <w:b/>
          <w:bCs/>
          <w:sz w:val="22"/>
          <w:szCs w:val="22"/>
          <w:lang w:val="es-ES"/>
        </w:rPr>
        <w:t xml:space="preserve"> PROCES</w:t>
      </w:r>
      <w:r w:rsidR="008D1F1B" w:rsidRPr="00654129">
        <w:rPr>
          <w:rFonts w:ascii="Arial" w:hAnsi="Arial" w:cs="Arial"/>
          <w:b/>
          <w:bCs/>
          <w:sz w:val="22"/>
          <w:szCs w:val="22"/>
          <w:lang w:val="es-ES"/>
        </w:rPr>
        <w:t>O CONTRACTUAL</w:t>
      </w:r>
      <w:r w:rsidRPr="00654129">
        <w:rPr>
          <w:rFonts w:ascii="Arial" w:eastAsia="Calibri" w:hAnsi="Arial" w:cs="Arial"/>
          <w:b/>
          <w:sz w:val="22"/>
          <w:szCs w:val="22"/>
        </w:rPr>
        <w:t xml:space="preserve">– Actividad precontractual – Etapa contractual – Etapa </w:t>
      </w:r>
      <w:proofErr w:type="spellStart"/>
      <w:r w:rsidRPr="00654129">
        <w:rPr>
          <w:rFonts w:ascii="Arial" w:eastAsia="Calibri" w:hAnsi="Arial" w:cs="Arial"/>
          <w:b/>
          <w:sz w:val="22"/>
          <w:szCs w:val="22"/>
        </w:rPr>
        <w:t>Postcontractual</w:t>
      </w:r>
      <w:proofErr w:type="spellEnd"/>
      <w:r w:rsidRPr="00654129">
        <w:rPr>
          <w:rFonts w:ascii="Arial" w:eastAsia="Calibri" w:hAnsi="Arial" w:cs="Arial"/>
          <w:b/>
          <w:sz w:val="22"/>
          <w:szCs w:val="22"/>
        </w:rPr>
        <w:t xml:space="preserve"> </w:t>
      </w:r>
    </w:p>
    <w:p w14:paraId="75F5382E" w14:textId="5B79253C" w:rsidR="00C23D0D" w:rsidRPr="009D198D" w:rsidRDefault="00C23D0D" w:rsidP="00A15B4E">
      <w:pPr>
        <w:rPr>
          <w:rFonts w:ascii="Arial" w:hAnsi="Arial" w:cs="Arial"/>
          <w:sz w:val="20"/>
          <w:szCs w:val="20"/>
          <w:lang w:val="es-ES"/>
        </w:rPr>
      </w:pPr>
    </w:p>
    <w:p w14:paraId="5196579F" w14:textId="6BA6A0DB" w:rsidR="00C23D0D" w:rsidRPr="009D198D" w:rsidRDefault="00DB3840" w:rsidP="00A15B4E">
      <w:pPr>
        <w:jc w:val="both"/>
        <w:rPr>
          <w:rFonts w:ascii="Arial" w:eastAsia="Calibri" w:hAnsi="Arial" w:cs="Arial"/>
          <w:sz w:val="20"/>
          <w:szCs w:val="20"/>
          <w:lang w:val="es-ES"/>
        </w:rPr>
      </w:pPr>
      <w:r w:rsidRPr="00DB3840">
        <w:rPr>
          <w:rFonts w:ascii="Arial" w:eastAsia="Calibri" w:hAnsi="Arial" w:cs="Arial"/>
          <w:sz w:val="20"/>
          <w:szCs w:val="20"/>
          <w:lang w:val="es-ES"/>
        </w:rPr>
        <w:t>La actividad precontractual corresponde a la etapa en la cual la entidad realiza la planeación de un proyecto de acuerdo con sus necesidades, analizando, entre otros aspectos, la conveniencia y oportunidad del objeto de contratación y desarrolla el procedimiento de selección del oferente de conformidad con la modalidad de selección aplicable. En otros términos, la etapa precontractual es «</w:t>
      </w:r>
      <w:r w:rsidRPr="00DB3840">
        <w:rPr>
          <w:rFonts w:ascii="Arial" w:eastAsia="Calibri" w:hAnsi="Arial" w:cs="Arial"/>
          <w:sz w:val="20"/>
          <w:szCs w:val="20"/>
        </w:rPr>
        <w:t>el fruto del principio de planeación, postulado que hace exigible que las decisiones que se adopten a lo largo del trámite precontractual sean de carácter motivado, con apoyo en los parámetros y directrices fijadas en el pliego de condiciones</w:t>
      </w:r>
      <w:r w:rsidRPr="00DB3840">
        <w:rPr>
          <w:rFonts w:ascii="Arial" w:eastAsia="Calibri" w:hAnsi="Arial" w:cs="Arial"/>
          <w:sz w:val="20"/>
          <w:szCs w:val="20"/>
          <w:lang w:val="es-ES"/>
        </w:rPr>
        <w:t>»</w:t>
      </w:r>
      <w:r w:rsidR="00164832" w:rsidRPr="009D198D">
        <w:rPr>
          <w:rFonts w:ascii="Arial" w:eastAsia="Calibri" w:hAnsi="Arial" w:cs="Arial"/>
          <w:sz w:val="20"/>
          <w:szCs w:val="20"/>
          <w:lang w:val="es-ES"/>
        </w:rPr>
        <w:t>. [….]</w:t>
      </w:r>
    </w:p>
    <w:p w14:paraId="7E6D1B42" w14:textId="3ABBC191" w:rsidR="00164832" w:rsidRPr="009D198D" w:rsidRDefault="00164832" w:rsidP="00A15B4E">
      <w:pPr>
        <w:jc w:val="both"/>
        <w:rPr>
          <w:rFonts w:ascii="Arial" w:eastAsia="Calibri" w:hAnsi="Arial" w:cs="Arial"/>
          <w:sz w:val="20"/>
          <w:szCs w:val="20"/>
          <w:lang w:val="es-ES"/>
        </w:rPr>
      </w:pPr>
    </w:p>
    <w:p w14:paraId="4FFDA4A0" w14:textId="3A947058" w:rsidR="00164832" w:rsidRPr="009D198D" w:rsidRDefault="00DB3840" w:rsidP="00A15B4E">
      <w:pPr>
        <w:jc w:val="both"/>
        <w:rPr>
          <w:rFonts w:ascii="Arial" w:eastAsia="Calibri" w:hAnsi="Arial" w:cs="Arial"/>
          <w:sz w:val="20"/>
          <w:szCs w:val="20"/>
        </w:rPr>
      </w:pPr>
      <w:r w:rsidRPr="00DB3840">
        <w:rPr>
          <w:rFonts w:ascii="Arial" w:eastAsia="Calibri" w:hAnsi="Arial" w:cs="Arial"/>
          <w:sz w:val="20"/>
          <w:szCs w:val="20"/>
        </w:rPr>
        <w:t xml:space="preserve">En lo que respecta a la </w:t>
      </w:r>
      <w:r w:rsidRPr="00DB3840">
        <w:rPr>
          <w:rFonts w:ascii="Arial" w:eastAsia="Calibri" w:hAnsi="Arial" w:cs="Arial"/>
          <w:i/>
          <w:iCs/>
          <w:sz w:val="20"/>
          <w:szCs w:val="20"/>
        </w:rPr>
        <w:t>etapa contractual</w:t>
      </w:r>
      <w:r w:rsidRPr="00DB3840">
        <w:rPr>
          <w:rFonts w:ascii="Arial" w:eastAsia="Calibri" w:hAnsi="Arial" w:cs="Arial"/>
          <w:sz w:val="20"/>
          <w:szCs w:val="20"/>
        </w:rPr>
        <w:t xml:space="preserve">, es necesario resaltar que esta se compone de «a) legalización y perfeccionamiento del contrato, verificación de los requisitos de ejecución </w:t>
      </w:r>
      <w:proofErr w:type="gramStart"/>
      <w:r w:rsidRPr="00DB3840">
        <w:rPr>
          <w:rFonts w:ascii="Arial" w:eastAsia="Calibri" w:hAnsi="Arial" w:cs="Arial"/>
          <w:sz w:val="20"/>
          <w:szCs w:val="20"/>
        </w:rPr>
        <w:t>del mismo</w:t>
      </w:r>
      <w:proofErr w:type="gramEnd"/>
      <w:r w:rsidRPr="00DB3840">
        <w:rPr>
          <w:rFonts w:ascii="Arial" w:eastAsia="Calibri" w:hAnsi="Arial" w:cs="Arial"/>
          <w:sz w:val="20"/>
          <w:szCs w:val="20"/>
        </w:rPr>
        <w:t>, b) ejecución propiamente dicha y c) terminación»</w:t>
      </w:r>
      <w:r w:rsidR="00164832" w:rsidRPr="009D198D">
        <w:rPr>
          <w:rFonts w:ascii="Arial" w:eastAsia="Calibri" w:hAnsi="Arial" w:cs="Arial"/>
          <w:sz w:val="20"/>
          <w:szCs w:val="20"/>
        </w:rPr>
        <w:t xml:space="preserve"> […] </w:t>
      </w:r>
    </w:p>
    <w:p w14:paraId="6B669414" w14:textId="594BA772" w:rsidR="00164832" w:rsidRPr="009D198D" w:rsidRDefault="00164832" w:rsidP="00A15B4E">
      <w:pPr>
        <w:jc w:val="both"/>
        <w:rPr>
          <w:rFonts w:ascii="Arial" w:eastAsia="Calibri" w:hAnsi="Arial" w:cs="Arial"/>
          <w:sz w:val="20"/>
          <w:szCs w:val="20"/>
        </w:rPr>
      </w:pPr>
    </w:p>
    <w:p w14:paraId="6F73B629" w14:textId="77777777" w:rsidR="00DB3840" w:rsidRDefault="00DB3840" w:rsidP="00A15B4E">
      <w:pPr>
        <w:jc w:val="both"/>
        <w:rPr>
          <w:rFonts w:ascii="Arial" w:eastAsia="Calibri" w:hAnsi="Arial" w:cs="Arial"/>
          <w:bCs/>
          <w:sz w:val="20"/>
          <w:szCs w:val="20"/>
          <w:lang w:val="es-ES_tradnl"/>
        </w:rPr>
      </w:pPr>
      <w:r w:rsidRPr="00DB3840">
        <w:rPr>
          <w:rFonts w:ascii="Arial" w:eastAsia="Calibri" w:hAnsi="Arial" w:cs="Arial"/>
          <w:bCs/>
          <w:sz w:val="20"/>
          <w:szCs w:val="20"/>
          <w:lang w:val="es-ES_tradnl"/>
        </w:rPr>
        <w:t xml:space="preserve">Por último, en relación con la «etapa </w:t>
      </w:r>
      <w:proofErr w:type="spellStart"/>
      <w:r w:rsidRPr="00DB3840">
        <w:rPr>
          <w:rFonts w:ascii="Arial" w:eastAsia="Calibri" w:hAnsi="Arial" w:cs="Arial"/>
          <w:bCs/>
          <w:sz w:val="20"/>
          <w:szCs w:val="20"/>
          <w:lang w:val="es-ES_tradnl"/>
        </w:rPr>
        <w:t>postcontractual</w:t>
      </w:r>
      <w:proofErr w:type="spellEnd"/>
      <w:r w:rsidRPr="00DB3840">
        <w:rPr>
          <w:rFonts w:ascii="Arial" w:eastAsia="Calibri" w:hAnsi="Arial" w:cs="Arial"/>
          <w:bCs/>
          <w:sz w:val="20"/>
          <w:szCs w:val="20"/>
          <w:lang w:val="es-ES_tradnl"/>
        </w:rPr>
        <w:t xml:space="preserve">», es preciso resaltar que esta no se encuentra definida en el EGCAP y su desarrollo ha sido eminentemente jurisprudencial y doctrinario. A este respecto, el Consejo de Estado señala que la etapa </w:t>
      </w:r>
      <w:proofErr w:type="spellStart"/>
      <w:r w:rsidRPr="00DB3840">
        <w:rPr>
          <w:rFonts w:ascii="Arial" w:eastAsia="Calibri" w:hAnsi="Arial" w:cs="Arial"/>
          <w:bCs/>
          <w:sz w:val="20"/>
          <w:szCs w:val="20"/>
          <w:lang w:val="es-ES_tradnl"/>
        </w:rPr>
        <w:t>postcontractual</w:t>
      </w:r>
      <w:proofErr w:type="spellEnd"/>
      <w:r w:rsidRPr="00DB3840">
        <w:rPr>
          <w:rFonts w:ascii="Arial" w:eastAsia="Calibri" w:hAnsi="Arial" w:cs="Arial"/>
          <w:bCs/>
          <w:sz w:val="20"/>
          <w:szCs w:val="20"/>
          <w:lang w:val="es-ES_tradnl"/>
        </w:rPr>
        <w:t xml:space="preserve"> «se compone de la liquidación del contrato y comprende el balance financiero y contable del mismo en donde se hace el corte final de cuentas teniendo como punto de partida su objeto, valor y demás condiciones de este»</w:t>
      </w:r>
    </w:p>
    <w:p w14:paraId="641C0E86" w14:textId="77777777" w:rsidR="00762F5D" w:rsidRPr="00654129" w:rsidRDefault="00762F5D" w:rsidP="00A15B4E">
      <w:pPr>
        <w:jc w:val="both"/>
        <w:rPr>
          <w:rFonts w:ascii="Arial" w:eastAsia="Calibri" w:hAnsi="Arial" w:cs="Arial"/>
          <w:sz w:val="22"/>
          <w:szCs w:val="22"/>
          <w:lang w:val="es-ES"/>
        </w:rPr>
      </w:pPr>
    </w:p>
    <w:p w14:paraId="644ECC42" w14:textId="77777777" w:rsidR="00164832" w:rsidRPr="00654129" w:rsidRDefault="00164832" w:rsidP="00A15B4E">
      <w:pPr>
        <w:jc w:val="both"/>
        <w:rPr>
          <w:rFonts w:ascii="Arial" w:eastAsia="Calibri" w:hAnsi="Arial" w:cs="Arial"/>
          <w:b/>
          <w:color w:val="000000" w:themeColor="text1"/>
          <w:sz w:val="22"/>
          <w:szCs w:val="22"/>
        </w:rPr>
      </w:pPr>
      <w:r w:rsidRPr="00654129">
        <w:rPr>
          <w:rFonts w:ascii="Arial" w:eastAsia="Calibri" w:hAnsi="Arial" w:cs="Arial"/>
          <w:b/>
          <w:color w:val="000000" w:themeColor="text1"/>
          <w:sz w:val="22"/>
          <w:szCs w:val="22"/>
        </w:rPr>
        <w:t xml:space="preserve">SELECCIÓN DE CONTRATISTA </w:t>
      </w:r>
      <w:bookmarkStart w:id="4" w:name="_Hlk39676694"/>
      <w:r w:rsidRPr="00654129">
        <w:rPr>
          <w:rFonts w:ascii="Arial" w:eastAsia="Calibri" w:hAnsi="Arial" w:cs="Arial"/>
          <w:b/>
          <w:color w:val="000000" w:themeColor="text1"/>
          <w:sz w:val="22"/>
          <w:szCs w:val="22"/>
        </w:rPr>
        <w:t>–</w:t>
      </w:r>
      <w:bookmarkEnd w:id="4"/>
      <w:r w:rsidRPr="00654129">
        <w:rPr>
          <w:rFonts w:ascii="Arial" w:eastAsia="Calibri" w:hAnsi="Arial" w:cs="Arial"/>
          <w:b/>
          <w:color w:val="000000" w:themeColor="text1"/>
          <w:sz w:val="22"/>
          <w:szCs w:val="22"/>
        </w:rPr>
        <w:t xml:space="preserve"> Procedimiento reglado – Etapas – Términos perentorios y preclusivos </w:t>
      </w:r>
    </w:p>
    <w:p w14:paraId="3DFEFDB5" w14:textId="77777777" w:rsidR="00164832" w:rsidRPr="009D198D" w:rsidRDefault="00164832" w:rsidP="00A15B4E">
      <w:pPr>
        <w:jc w:val="both"/>
        <w:rPr>
          <w:rFonts w:ascii="Arial" w:eastAsia="Calibri" w:hAnsi="Arial" w:cs="Arial"/>
          <w:b/>
          <w:color w:val="000000" w:themeColor="text1"/>
          <w:sz w:val="20"/>
          <w:szCs w:val="20"/>
        </w:rPr>
      </w:pPr>
    </w:p>
    <w:p w14:paraId="5F97625C" w14:textId="6CFB9E91" w:rsidR="00DB3840" w:rsidRDefault="0418961F" w:rsidP="00A15B4E">
      <w:pPr>
        <w:jc w:val="both"/>
        <w:rPr>
          <w:rFonts w:ascii="Arial" w:eastAsia="Calibri" w:hAnsi="Arial" w:cs="Arial"/>
          <w:color w:val="000000" w:themeColor="text1"/>
          <w:sz w:val="20"/>
          <w:szCs w:val="20"/>
          <w:lang w:val="es-ES"/>
        </w:rPr>
      </w:pPr>
      <w:r w:rsidRPr="15DD4D77">
        <w:rPr>
          <w:rFonts w:ascii="Arial" w:eastAsia="Calibri" w:hAnsi="Arial" w:cs="Arial"/>
          <w:color w:val="000000" w:themeColor="text1"/>
          <w:sz w:val="20"/>
          <w:szCs w:val="20"/>
          <w:lang w:val="es-ES"/>
        </w:rPr>
        <w:t>P</w:t>
      </w:r>
      <w:r w:rsidR="00DB3840" w:rsidRPr="15DD4D77">
        <w:rPr>
          <w:rFonts w:ascii="Arial" w:eastAsia="Calibri" w:hAnsi="Arial" w:cs="Arial"/>
          <w:color w:val="000000" w:themeColor="text1"/>
          <w:sz w:val="20"/>
          <w:szCs w:val="20"/>
          <w:lang w:val="es-ES"/>
        </w:rPr>
        <w:t xml:space="preserve">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w:t>
      </w:r>
      <w:r w:rsidR="00DB3840" w:rsidRPr="15DD4D77">
        <w:rPr>
          <w:rFonts w:ascii="Arial" w:eastAsia="Calibri" w:hAnsi="Arial" w:cs="Arial"/>
          <w:color w:val="000000" w:themeColor="text1"/>
          <w:sz w:val="20"/>
          <w:szCs w:val="20"/>
          <w:lang w:val="es-ES"/>
        </w:rPr>
        <w:lastRenderedPageBreak/>
        <w:t xml:space="preserve">Ley 80 de 1993, la Ley 1150 de 2007 ─que, entre otras disposiciones, regula las modalidades de selección para la escogencia del contratista─; y los artículos 2.2.1.1.2.1.1. y siguientes del Decreto </w:t>
      </w:r>
      <w:r w:rsidR="32702FE3" w:rsidRPr="15DD4D77">
        <w:rPr>
          <w:rFonts w:ascii="Arial" w:eastAsia="Calibri" w:hAnsi="Arial" w:cs="Arial"/>
          <w:color w:val="000000" w:themeColor="text1"/>
          <w:sz w:val="20"/>
          <w:szCs w:val="20"/>
          <w:lang w:val="es-ES"/>
        </w:rPr>
        <w:t>1</w:t>
      </w:r>
      <w:r w:rsidR="00DB3840" w:rsidRPr="15DD4D77">
        <w:rPr>
          <w:rFonts w:ascii="Arial" w:eastAsia="Calibri" w:hAnsi="Arial" w:cs="Arial"/>
          <w:color w:val="000000" w:themeColor="text1"/>
          <w:sz w:val="20"/>
          <w:szCs w:val="20"/>
          <w:lang w:val="es-ES"/>
        </w:rPr>
        <w:t>082 de 2015, que concreta cada modalidad de selección, señalando reglas o pasos a seguir para adjudicar y celebrar el contrato estatal.</w:t>
      </w:r>
    </w:p>
    <w:p w14:paraId="5B98920E" w14:textId="77777777" w:rsidR="00DB3840" w:rsidRDefault="00DB3840" w:rsidP="00A15B4E">
      <w:pPr>
        <w:jc w:val="both"/>
        <w:rPr>
          <w:rFonts w:ascii="Arial" w:eastAsia="Calibri" w:hAnsi="Arial" w:cs="Arial"/>
          <w:color w:val="000000" w:themeColor="text1"/>
          <w:sz w:val="20"/>
          <w:szCs w:val="20"/>
          <w:lang w:val="es-ES"/>
        </w:rPr>
      </w:pPr>
    </w:p>
    <w:p w14:paraId="176C009A" w14:textId="5359C5BA" w:rsidR="00164832" w:rsidRPr="009D198D" w:rsidRDefault="00DB3840" w:rsidP="00DB3840">
      <w:pPr>
        <w:jc w:val="both"/>
        <w:rPr>
          <w:rFonts w:ascii="Arial" w:eastAsia="Calibri" w:hAnsi="Arial" w:cs="Arial"/>
          <w:color w:val="000000" w:themeColor="text1"/>
          <w:sz w:val="20"/>
          <w:szCs w:val="20"/>
        </w:rPr>
      </w:pPr>
      <w:r w:rsidRPr="00DB3840">
        <w:rPr>
          <w:rFonts w:ascii="Arial" w:eastAsia="Calibri" w:hAnsi="Arial" w:cs="Arial"/>
          <w:color w:val="000000" w:themeColor="text1"/>
          <w:sz w:val="20"/>
          <w:szCs w:val="20"/>
          <w:lang w:val="es-ES"/>
        </w:rPr>
        <w:t>El artículo 25 de la Ley 80 de 1993</w:t>
      </w:r>
      <w:r w:rsidRPr="00DB3840">
        <w:rPr>
          <w:rFonts w:ascii="Arial" w:eastAsia="Calibri" w:hAnsi="Arial" w:cs="Arial"/>
          <w:color w:val="000000" w:themeColor="text1"/>
          <w:sz w:val="20"/>
          <w:szCs w:val="20"/>
          <w:vertAlign w:val="superscript"/>
          <w:lang w:val="es-ES"/>
        </w:rPr>
        <w:t xml:space="preserve"> </w:t>
      </w:r>
      <w:r w:rsidRPr="00DB3840">
        <w:rPr>
          <w:rFonts w:ascii="Arial" w:eastAsia="Calibri" w:hAnsi="Arial" w:cs="Arial"/>
          <w:color w:val="000000" w:themeColor="text1"/>
          <w:sz w:val="20"/>
          <w:szCs w:val="20"/>
          <w:lang w:val="es-ES"/>
        </w:rPr>
        <w:t xml:space="preserve">consagra el principio de economía, en virtud del cual, las normas de selección y el pliego de condiciones deben establecer términos perentorios y preclusivos para cada una de las etapas de los procesos de selección, a fin de asegurar la selección objetiva del contratista. </w:t>
      </w:r>
    </w:p>
    <w:p w14:paraId="29CD6970" w14:textId="4852C37B" w:rsidR="00164832" w:rsidRPr="009D198D" w:rsidRDefault="00164832" w:rsidP="00A15B4E">
      <w:pPr>
        <w:rPr>
          <w:rFonts w:ascii="Arial" w:eastAsia="Calibri" w:hAnsi="Arial" w:cs="Arial"/>
          <w:b/>
          <w:bCs/>
          <w:sz w:val="20"/>
          <w:szCs w:val="20"/>
          <w:lang w:val="es-MX" w:eastAsia="en-US"/>
        </w:rPr>
      </w:pPr>
    </w:p>
    <w:p w14:paraId="2A221EB3" w14:textId="1C11ACE4" w:rsidR="00164832" w:rsidRPr="00654129" w:rsidRDefault="008D1F1B" w:rsidP="00A15B4E">
      <w:pPr>
        <w:rPr>
          <w:rFonts w:ascii="Arial" w:hAnsi="Arial" w:cs="Arial"/>
          <w:b/>
          <w:bCs/>
          <w:sz w:val="22"/>
          <w:szCs w:val="22"/>
          <w:lang w:val="es-ES"/>
        </w:rPr>
      </w:pPr>
      <w:r w:rsidRPr="00654129">
        <w:rPr>
          <w:rFonts w:ascii="Arial" w:eastAsia="Calibri" w:hAnsi="Arial" w:cs="Arial"/>
          <w:b/>
          <w:bCs/>
          <w:sz w:val="22"/>
          <w:szCs w:val="22"/>
          <w:lang w:val="es-MX" w:eastAsia="en-US"/>
        </w:rPr>
        <w:t xml:space="preserve">AUDIENCIA DE ADJUDICACIÓN </w:t>
      </w:r>
      <w:r w:rsidRPr="00654129">
        <w:rPr>
          <w:rFonts w:ascii="Arial" w:eastAsia="Calibri" w:hAnsi="Arial" w:cs="Arial"/>
          <w:b/>
          <w:color w:val="000000" w:themeColor="text1"/>
          <w:sz w:val="22"/>
          <w:szCs w:val="22"/>
        </w:rPr>
        <w:t xml:space="preserve">– Adjudicación del contrato </w:t>
      </w:r>
      <w:r w:rsidR="001D3415" w:rsidRPr="00654129">
        <w:rPr>
          <w:rFonts w:ascii="Arial" w:eastAsia="Calibri" w:hAnsi="Arial" w:cs="Arial"/>
          <w:b/>
          <w:color w:val="000000" w:themeColor="text1"/>
          <w:sz w:val="22"/>
          <w:szCs w:val="22"/>
        </w:rPr>
        <w:t xml:space="preserve">– Obligatoriedad </w:t>
      </w:r>
    </w:p>
    <w:p w14:paraId="093702B1" w14:textId="77777777" w:rsidR="0021731D" w:rsidRPr="009D198D" w:rsidRDefault="0021731D" w:rsidP="00A15B4E">
      <w:pPr>
        <w:rPr>
          <w:rFonts w:ascii="Arial" w:hAnsi="Arial" w:cs="Arial"/>
          <w:sz w:val="20"/>
          <w:szCs w:val="20"/>
          <w:lang w:val="es-ES"/>
        </w:rPr>
      </w:pPr>
    </w:p>
    <w:bookmarkEnd w:id="3"/>
    <w:p w14:paraId="0665D32F" w14:textId="3552897D" w:rsidR="001D3415" w:rsidRPr="009D198D" w:rsidRDefault="004C2241" w:rsidP="004C2241">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Pr="004C2241">
        <w:rPr>
          <w:rFonts w:ascii="Arial" w:eastAsia="Calibri" w:hAnsi="Arial" w:cs="Arial"/>
          <w:color w:val="000000" w:themeColor="text1"/>
          <w:sz w:val="20"/>
          <w:szCs w:val="20"/>
        </w:rPr>
        <w:t>esulta obligatoria en los procesos de licitación pública, por disposición de los artículos 30, numeral 10, de la Ley 80 de 1993 y 9 de la Ley 1150 de 2007, en concordancia con el artículo 273 de la Constitución Política.</w:t>
      </w:r>
      <w:r w:rsidRPr="004C2241">
        <w:rPr>
          <w:rFonts w:ascii="Arial" w:eastAsia="Calibri" w:hAnsi="Arial" w:cs="Arial"/>
          <w:bCs/>
          <w:color w:val="000000" w:themeColor="text1"/>
          <w:sz w:val="20"/>
          <w:szCs w:val="20"/>
          <w:lang w:val="es-ES_tradnl"/>
        </w:rPr>
        <w:t xml:space="preserve"> Según estas disposiciones, la adjudicación se hará de forma obligatoria en audiencia pública, mediante resolución motivada, que se entenderá notificada al proponente favorecido en dicha audiencia. En concordancia, el artículo 2.2.1.2.1.1.2. del Decreto 1082 de 2015 establece que en los procesos de licitación son obligatorias las audiencias de asignación de riesgos y de adjudicación</w:t>
      </w:r>
      <w:r w:rsidRPr="004C2241">
        <w:rPr>
          <w:rFonts w:ascii="Arial" w:eastAsia="Calibri" w:hAnsi="Arial" w:cs="Arial"/>
          <w:bCs/>
          <w:i/>
          <w:iCs/>
          <w:color w:val="000000" w:themeColor="text1"/>
          <w:sz w:val="20"/>
          <w:szCs w:val="20"/>
          <w:lang w:val="es-ES_tradnl"/>
        </w:rPr>
        <w:t xml:space="preserve">. </w:t>
      </w:r>
      <w:r w:rsidRPr="004C2241">
        <w:rPr>
          <w:rFonts w:ascii="Arial" w:eastAsia="Calibri" w:hAnsi="Arial" w:cs="Arial"/>
          <w:bCs/>
          <w:color w:val="000000" w:themeColor="text1"/>
          <w:sz w:val="20"/>
          <w:szCs w:val="20"/>
          <w:lang w:val="es-ES_tradnl"/>
        </w:rPr>
        <w:t>En esta última, la entidad estatal, entre otras reglas a aplicar, puede prescindir de la lectura del borrador del acto administrativo de adjudicación siempre que lo haya publicado en el SECOP con antelación. De este modo, la adjudicación del contrato se realiza durante la audiencia pública de adjudicación y por regla general en esta se deberá dar lectura del acto de adjudicación.</w:t>
      </w:r>
      <w:r w:rsidRPr="004C2241">
        <w:rPr>
          <w:rFonts w:ascii="Arial" w:eastAsia="Calibri" w:hAnsi="Arial" w:cs="Arial"/>
          <w:color w:val="000000" w:themeColor="text1"/>
          <w:sz w:val="20"/>
          <w:szCs w:val="20"/>
        </w:rPr>
        <w:t xml:space="preserve">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w:t>
      </w:r>
      <w:proofErr w:type="gramStart"/>
      <w:r w:rsidRPr="004C2241">
        <w:rPr>
          <w:rFonts w:ascii="Arial" w:eastAsia="Calibri" w:hAnsi="Arial" w:cs="Arial"/>
          <w:color w:val="000000" w:themeColor="text1"/>
          <w:sz w:val="20"/>
          <w:szCs w:val="20"/>
        </w:rPr>
        <w:t>la misma</w:t>
      </w:r>
      <w:proofErr w:type="gramEnd"/>
      <w:r w:rsidRPr="004C2241">
        <w:rPr>
          <w:rFonts w:ascii="Arial" w:eastAsia="Calibri" w:hAnsi="Arial" w:cs="Arial"/>
          <w:color w:val="000000" w:themeColor="text1"/>
          <w:sz w:val="20"/>
          <w:szCs w:val="20"/>
        </w:rPr>
        <w:t>.</w:t>
      </w:r>
    </w:p>
    <w:p w14:paraId="29B3EEAF" w14:textId="4FCD49F2" w:rsidR="0007147D" w:rsidRPr="009D198D" w:rsidRDefault="0007147D" w:rsidP="00A15B4E">
      <w:pPr>
        <w:jc w:val="both"/>
        <w:rPr>
          <w:rFonts w:ascii="Arial" w:hAnsi="Arial" w:cs="Arial"/>
          <w:noProof/>
          <w:color w:val="000000" w:themeColor="text1"/>
          <w:sz w:val="20"/>
          <w:szCs w:val="20"/>
          <w:lang w:val="pt-BR"/>
        </w:rPr>
      </w:pPr>
    </w:p>
    <w:p w14:paraId="7781B3D4" w14:textId="77777777" w:rsidR="001D3415" w:rsidRPr="00654129" w:rsidRDefault="001D3415" w:rsidP="00A15B4E">
      <w:pPr>
        <w:jc w:val="both"/>
        <w:rPr>
          <w:rFonts w:ascii="Arial" w:eastAsia="Calibri" w:hAnsi="Arial" w:cs="Arial"/>
          <w:b/>
          <w:bCs/>
          <w:sz w:val="22"/>
          <w:szCs w:val="22"/>
          <w:lang w:val="es-MX" w:eastAsia="en-US"/>
        </w:rPr>
      </w:pPr>
      <w:r w:rsidRPr="00654129">
        <w:rPr>
          <w:rFonts w:ascii="Arial" w:eastAsia="Calibri" w:hAnsi="Arial" w:cs="Arial"/>
          <w:b/>
          <w:bCs/>
          <w:sz w:val="22"/>
          <w:szCs w:val="22"/>
          <w:lang w:val="es-MX" w:eastAsia="en-US"/>
        </w:rPr>
        <w:t xml:space="preserve">AUDIENCIA DE ADJUDICACIÓN </w:t>
      </w:r>
      <w:r w:rsidRPr="00654129">
        <w:rPr>
          <w:rFonts w:ascii="Arial" w:eastAsia="Calibri" w:hAnsi="Arial" w:cs="Arial"/>
          <w:b/>
          <w:color w:val="000000" w:themeColor="text1"/>
          <w:sz w:val="22"/>
          <w:szCs w:val="22"/>
        </w:rPr>
        <w:t xml:space="preserve">– Licitación pública para seleccionar contratistas de obra pública – Actuaciones </w:t>
      </w:r>
    </w:p>
    <w:p w14:paraId="45DCD103" w14:textId="77777777" w:rsidR="001D3415" w:rsidRPr="009D198D" w:rsidRDefault="001D3415" w:rsidP="00A15B4E">
      <w:pPr>
        <w:rPr>
          <w:rFonts w:ascii="Arial" w:eastAsia="Calibri" w:hAnsi="Arial" w:cs="Arial"/>
          <w:b/>
          <w:bCs/>
          <w:sz w:val="20"/>
          <w:szCs w:val="20"/>
          <w:lang w:val="es-MX" w:eastAsia="en-US"/>
        </w:rPr>
      </w:pPr>
    </w:p>
    <w:p w14:paraId="7DAE33D3" w14:textId="77777777" w:rsidR="004C2241" w:rsidRPr="004C2241" w:rsidRDefault="004C2241" w:rsidP="004C2241">
      <w:pPr>
        <w:jc w:val="both"/>
        <w:rPr>
          <w:rFonts w:ascii="Arial" w:eastAsia="Calibri" w:hAnsi="Arial" w:cs="Arial"/>
          <w:color w:val="000000" w:themeColor="text1"/>
          <w:sz w:val="20"/>
          <w:szCs w:val="20"/>
          <w:lang w:val="es-ES_tradnl"/>
        </w:rPr>
      </w:pPr>
      <w:r w:rsidRPr="004C2241">
        <w:rPr>
          <w:rFonts w:ascii="Arial" w:eastAsia="Calibri" w:hAnsi="Arial" w:cs="Arial"/>
          <w:color w:val="000000" w:themeColor="text1"/>
          <w:sz w:val="20"/>
          <w:szCs w:val="20"/>
          <w:lang w:val="es-ES_tradnl"/>
        </w:rPr>
        <w:t xml:space="preserve">En el caso de las licitaciones públicas para seleccionar contratistas de obra pública, en la audiencia efectiva de adjudicación, por disposición del inciso final del parágrafo 3º del artículo 30 de la Ley 80 de 1993, adicionado por el artículo 1 de la Ley 1882 de 2018, se deben llevar a cabo tres actuaciones adicionales a la adjudicación del contrato: </w:t>
      </w:r>
      <w:r w:rsidRPr="004C2241">
        <w:rPr>
          <w:rFonts w:ascii="Arial" w:eastAsia="Calibri" w:hAnsi="Arial" w:cs="Arial"/>
          <w:i/>
          <w:iCs/>
          <w:color w:val="000000" w:themeColor="text1"/>
          <w:sz w:val="20"/>
          <w:szCs w:val="20"/>
          <w:lang w:val="es-ES_tradnl"/>
        </w:rPr>
        <w:t>primero</w:t>
      </w:r>
      <w:r w:rsidRPr="004C2241">
        <w:rPr>
          <w:rFonts w:ascii="Arial" w:eastAsia="Calibri" w:hAnsi="Arial" w:cs="Arial"/>
          <w:color w:val="000000" w:themeColor="text1"/>
          <w:sz w:val="20"/>
          <w:szCs w:val="20"/>
          <w:lang w:val="es-ES_tradnl"/>
        </w:rPr>
        <w:t xml:space="preserve">, la entidad debe permitir a los proponentes que realicen observaciones en relación con el informe final de evaluación. </w:t>
      </w:r>
      <w:r w:rsidRPr="004C2241">
        <w:rPr>
          <w:rFonts w:ascii="Arial" w:eastAsia="Calibri" w:hAnsi="Arial" w:cs="Arial"/>
          <w:i/>
          <w:iCs/>
          <w:color w:val="000000" w:themeColor="text1"/>
          <w:sz w:val="20"/>
          <w:szCs w:val="20"/>
          <w:lang w:val="es-ES_tradnl"/>
        </w:rPr>
        <w:t>Segundo</w:t>
      </w:r>
      <w:r w:rsidRPr="004C2241">
        <w:rPr>
          <w:rFonts w:ascii="Arial" w:eastAsia="Calibri" w:hAnsi="Arial" w:cs="Arial"/>
          <w:color w:val="000000" w:themeColor="text1"/>
          <w:sz w:val="20"/>
          <w:szCs w:val="20"/>
          <w:lang w:val="es-ES_tradnl"/>
        </w:rPr>
        <w:t>, se abre el sobre número dos (2), que contienen la oferta económica y se evalúan las propuestas mediante el método establecido en el pliego de condiciones. Y,</w:t>
      </w:r>
      <w:r w:rsidRPr="004C2241">
        <w:rPr>
          <w:rFonts w:ascii="Arial" w:eastAsia="Calibri" w:hAnsi="Arial" w:cs="Arial"/>
          <w:i/>
          <w:iCs/>
          <w:color w:val="000000" w:themeColor="text1"/>
          <w:sz w:val="20"/>
          <w:szCs w:val="20"/>
          <w:lang w:val="es-ES_tradnl"/>
        </w:rPr>
        <w:t xml:space="preserve"> tercero</w:t>
      </w:r>
      <w:r w:rsidRPr="004C2241">
        <w:rPr>
          <w:rFonts w:ascii="Arial" w:eastAsia="Calibri" w:hAnsi="Arial" w:cs="Arial"/>
          <w:color w:val="000000" w:themeColor="text1"/>
          <w:sz w:val="20"/>
          <w:szCs w:val="20"/>
          <w:lang w:val="es-ES_tradnl"/>
        </w:rPr>
        <w:t xml:space="preserve">, a los proponentes habilitados se les corre traslado de la evaluación de las ofertas económicas, solo para la revisión «del aspecto económico», luego de lo cual la entidad debe </w:t>
      </w:r>
      <w:proofErr w:type="gramStart"/>
      <w:r w:rsidRPr="004C2241">
        <w:rPr>
          <w:rFonts w:ascii="Arial" w:eastAsia="Calibri" w:hAnsi="Arial" w:cs="Arial"/>
          <w:color w:val="000000" w:themeColor="text1"/>
          <w:sz w:val="20"/>
          <w:szCs w:val="20"/>
          <w:lang w:val="es-ES_tradnl"/>
        </w:rPr>
        <w:t>proceder a establecer</w:t>
      </w:r>
      <w:proofErr w:type="gramEnd"/>
      <w:r w:rsidRPr="004C2241">
        <w:rPr>
          <w:rFonts w:ascii="Arial" w:eastAsia="Calibri" w:hAnsi="Arial" w:cs="Arial"/>
          <w:color w:val="000000" w:themeColor="text1"/>
          <w:sz w:val="20"/>
          <w:szCs w:val="20"/>
          <w:lang w:val="es-ES_tradnl"/>
        </w:rPr>
        <w:t xml:space="preserve"> el orden de elegibilidad y, finalmente, a adjudicar el contrato estatal. </w:t>
      </w:r>
      <w:r w:rsidRPr="004C2241">
        <w:rPr>
          <w:rFonts w:ascii="Arial" w:eastAsia="Calibri" w:hAnsi="Arial" w:cs="Arial"/>
          <w:bCs/>
          <w:color w:val="000000" w:themeColor="text1"/>
          <w:sz w:val="20"/>
          <w:szCs w:val="20"/>
          <w:lang w:val="es-MX"/>
        </w:rPr>
        <w:t>Así las cosas, aunque son tres actuaciones adicionales a la adjudicación, se surten en la misma oportunidad y etapa, esto es, en la</w:t>
      </w:r>
      <w:r w:rsidRPr="004C2241">
        <w:rPr>
          <w:rFonts w:ascii="Arial" w:eastAsia="Calibri" w:hAnsi="Arial" w:cs="Arial"/>
          <w:i/>
          <w:iCs/>
          <w:color w:val="000000" w:themeColor="text1"/>
          <w:sz w:val="20"/>
          <w:szCs w:val="20"/>
        </w:rPr>
        <w:t xml:space="preserve"> audiencia efectiva de adjudicación</w:t>
      </w:r>
      <w:r w:rsidRPr="004C2241">
        <w:rPr>
          <w:rFonts w:ascii="Arial" w:eastAsia="Calibri" w:hAnsi="Arial" w:cs="Arial"/>
          <w:bCs/>
          <w:color w:val="000000" w:themeColor="text1"/>
          <w:sz w:val="20"/>
          <w:szCs w:val="20"/>
          <w:lang w:val="es-MX"/>
        </w:rPr>
        <w:t xml:space="preserve">. </w:t>
      </w:r>
    </w:p>
    <w:p w14:paraId="0FD7922D" w14:textId="77777777" w:rsidR="00A15B4E" w:rsidRPr="009D198D" w:rsidRDefault="00A15B4E" w:rsidP="00A15B4E">
      <w:pPr>
        <w:jc w:val="both"/>
        <w:rPr>
          <w:rFonts w:ascii="Arial" w:eastAsia="Calibri" w:hAnsi="Arial" w:cs="Arial"/>
          <w:color w:val="000000" w:themeColor="text1"/>
          <w:sz w:val="20"/>
          <w:szCs w:val="20"/>
        </w:rPr>
      </w:pPr>
    </w:p>
    <w:p w14:paraId="119AB796" w14:textId="3B9E922A" w:rsidR="001D3415" w:rsidRPr="00654129" w:rsidRDefault="001D3415" w:rsidP="00A15B4E">
      <w:pPr>
        <w:jc w:val="both"/>
        <w:rPr>
          <w:rFonts w:ascii="Arial" w:eastAsia="Calibri" w:hAnsi="Arial" w:cs="Arial"/>
          <w:b/>
          <w:color w:val="000000" w:themeColor="text1"/>
          <w:sz w:val="22"/>
          <w:szCs w:val="22"/>
        </w:rPr>
      </w:pPr>
      <w:r w:rsidRPr="00654129">
        <w:rPr>
          <w:rFonts w:ascii="Arial" w:eastAsia="Calibri" w:hAnsi="Arial" w:cs="Arial"/>
          <w:b/>
          <w:bCs/>
          <w:sz w:val="22"/>
          <w:szCs w:val="22"/>
          <w:lang w:val="es-MX" w:eastAsia="en-US"/>
        </w:rPr>
        <w:t xml:space="preserve">AUDIENCIA DE ADJUDICACIÓN </w:t>
      </w:r>
      <w:r w:rsidRPr="00654129">
        <w:rPr>
          <w:rFonts w:ascii="Arial" w:eastAsia="Calibri" w:hAnsi="Arial" w:cs="Arial"/>
          <w:b/>
          <w:color w:val="000000" w:themeColor="text1"/>
          <w:sz w:val="22"/>
          <w:szCs w:val="22"/>
        </w:rPr>
        <w:t xml:space="preserve">– Adendas – Modificación al cronograma </w:t>
      </w:r>
    </w:p>
    <w:p w14:paraId="4D5A3444" w14:textId="1893FAD5" w:rsidR="001D3415" w:rsidRPr="009D198D" w:rsidRDefault="001D3415" w:rsidP="00A15B4E">
      <w:pPr>
        <w:jc w:val="both"/>
        <w:rPr>
          <w:rFonts w:ascii="Arial" w:eastAsia="Calibri" w:hAnsi="Arial" w:cs="Arial"/>
          <w:b/>
          <w:color w:val="000000" w:themeColor="text1"/>
          <w:sz w:val="20"/>
          <w:szCs w:val="20"/>
        </w:rPr>
      </w:pPr>
    </w:p>
    <w:p w14:paraId="326B28F7" w14:textId="5D529F28" w:rsidR="004C2241" w:rsidRDefault="4493D1FB" w:rsidP="00A15B4E">
      <w:pPr>
        <w:jc w:val="both"/>
        <w:rPr>
          <w:rFonts w:ascii="Arial" w:eastAsia="Calibri" w:hAnsi="Arial" w:cs="Arial"/>
          <w:color w:val="000000" w:themeColor="text1"/>
          <w:sz w:val="20"/>
          <w:szCs w:val="20"/>
        </w:rPr>
      </w:pPr>
      <w:r w:rsidRPr="15DD4D77">
        <w:rPr>
          <w:rFonts w:ascii="Arial" w:eastAsia="Calibri" w:hAnsi="Arial" w:cs="Arial"/>
          <w:color w:val="000000" w:themeColor="text1"/>
          <w:sz w:val="20"/>
          <w:szCs w:val="20"/>
          <w:lang w:val="es-ES"/>
        </w:rPr>
        <w:t>E</w:t>
      </w:r>
      <w:r w:rsidR="004C2241" w:rsidRPr="15DD4D77">
        <w:rPr>
          <w:rFonts w:ascii="Arial" w:eastAsia="Calibri" w:hAnsi="Arial" w:cs="Arial"/>
          <w:color w:val="000000" w:themeColor="text1"/>
          <w:sz w:val="20"/>
          <w:szCs w:val="20"/>
          <w:lang w:val="es-ES"/>
        </w:rPr>
        <w:t>l artículo 2.2.1.1.2.2.1</w:t>
      </w:r>
      <w:r w:rsidR="004C2241" w:rsidRPr="15DD4D77">
        <w:rPr>
          <w:rFonts w:ascii="Arial" w:eastAsia="Calibri" w:hAnsi="Arial" w:cs="Arial"/>
          <w:color w:val="000000" w:themeColor="text1"/>
          <w:sz w:val="20"/>
          <w:szCs w:val="20"/>
          <w:lang w:val="es-MX"/>
        </w:rPr>
        <w:t xml:space="preserve"> de Decreto 1082 de 2015 dispone que l</w:t>
      </w:r>
      <w:r w:rsidR="004C2241" w:rsidRPr="15DD4D77">
        <w:rPr>
          <w:rFonts w:ascii="Arial" w:eastAsia="Calibri" w:hAnsi="Arial" w:cs="Arial"/>
          <w:color w:val="000000" w:themeColor="text1"/>
          <w:sz w:val="20"/>
          <w:szCs w:val="20"/>
          <w:lang w:val="es-ES"/>
        </w:rPr>
        <w:t xml:space="preserve">a entidad estatal puede expedir adendas para modificar el cronograma una vez vencido el término para la presentación de las ofertas y antes de la adjudicación del contrato. </w:t>
      </w:r>
      <w:r w:rsidR="004C2241" w:rsidRPr="15DD4D77">
        <w:rPr>
          <w:rFonts w:ascii="Arial" w:eastAsia="Calibri" w:hAnsi="Arial" w:cs="Arial"/>
          <w:color w:val="000000" w:themeColor="text1"/>
          <w:sz w:val="20"/>
          <w:szCs w:val="20"/>
        </w:rPr>
        <w:t>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064F247B" w14:textId="77777777" w:rsidR="001D3415" w:rsidRPr="009D198D" w:rsidRDefault="001D3415" w:rsidP="00A15B4E">
      <w:pPr>
        <w:jc w:val="both"/>
        <w:rPr>
          <w:rFonts w:ascii="Arial" w:eastAsia="Calibri" w:hAnsi="Arial" w:cs="Arial"/>
          <w:color w:val="000000" w:themeColor="text1"/>
          <w:sz w:val="20"/>
          <w:szCs w:val="20"/>
        </w:rPr>
      </w:pPr>
    </w:p>
    <w:p w14:paraId="2B76667D" w14:textId="77777777" w:rsidR="004C2241" w:rsidRPr="004C2241" w:rsidRDefault="004C2241" w:rsidP="004C2241">
      <w:pPr>
        <w:jc w:val="both"/>
        <w:rPr>
          <w:rFonts w:ascii="Arial" w:eastAsia="Calibri" w:hAnsi="Arial" w:cs="Arial"/>
          <w:color w:val="000000" w:themeColor="text1"/>
          <w:sz w:val="20"/>
          <w:szCs w:val="20"/>
          <w:lang w:val="es-ES_tradnl"/>
        </w:rPr>
      </w:pPr>
      <w:r w:rsidRPr="004C2241">
        <w:rPr>
          <w:rFonts w:ascii="Arial" w:eastAsia="Calibri" w:hAnsi="Arial" w:cs="Arial"/>
          <w:bCs/>
          <w:color w:val="000000" w:themeColor="text1"/>
          <w:sz w:val="20"/>
          <w:szCs w:val="20"/>
          <w:lang w:val="es-ES_tradnl"/>
        </w:rPr>
        <w:lastRenderedPageBreak/>
        <w:t xml:space="preserve">Esto significa que, en </w:t>
      </w:r>
      <w:r w:rsidRPr="004C2241">
        <w:rPr>
          <w:rFonts w:ascii="Arial" w:eastAsia="Calibri" w:hAnsi="Arial" w:cs="Arial"/>
          <w:color w:val="000000" w:themeColor="text1"/>
          <w:sz w:val="20"/>
          <w:szCs w:val="20"/>
        </w:rPr>
        <w:t>las licitaciones públicas para seleccionar contratistas de obra pública,</w:t>
      </w:r>
      <w:r w:rsidRPr="004C2241">
        <w:rPr>
          <w:rFonts w:ascii="Arial" w:eastAsia="Calibri" w:hAnsi="Arial" w:cs="Arial"/>
          <w:bCs/>
          <w:color w:val="000000" w:themeColor="text1"/>
          <w:sz w:val="20"/>
          <w:szCs w:val="20"/>
          <w:lang w:val="es-ES_tradnl"/>
        </w:rPr>
        <w:t xml:space="preserve"> la entidad podrá expedir adendas para modificar el cronograma antes del inicio de la etapa de la </w:t>
      </w:r>
      <w:r w:rsidRPr="004C2241">
        <w:rPr>
          <w:rFonts w:ascii="Arial" w:eastAsia="Calibri" w:hAnsi="Arial" w:cs="Arial"/>
          <w:i/>
          <w:iCs/>
          <w:color w:val="000000" w:themeColor="text1"/>
          <w:sz w:val="20"/>
          <w:szCs w:val="20"/>
        </w:rPr>
        <w:t xml:space="preserve">audiencia efectiva de adjudicación, </w:t>
      </w:r>
      <w:r w:rsidRPr="004C2241">
        <w:rPr>
          <w:rFonts w:ascii="Arial" w:eastAsia="Calibri" w:hAnsi="Arial" w:cs="Arial"/>
          <w:color w:val="000000" w:themeColor="text1"/>
          <w:sz w:val="20"/>
          <w:szCs w:val="20"/>
        </w:rPr>
        <w:t>en la cual se adjudica el contrato, para modificar los plazos de las siguientes etapas</w:t>
      </w:r>
      <w:r w:rsidRPr="004C2241">
        <w:rPr>
          <w:rFonts w:ascii="Arial" w:eastAsia="Calibri" w:hAnsi="Arial" w:cs="Arial"/>
          <w:bCs/>
          <w:color w:val="000000" w:themeColor="text1"/>
          <w:sz w:val="20"/>
          <w:szCs w:val="20"/>
          <w:lang w:val="es-ES_tradnl"/>
        </w:rPr>
        <w:t xml:space="preserve">. </w:t>
      </w:r>
      <w:r w:rsidRPr="004C2241">
        <w:rPr>
          <w:rFonts w:ascii="Arial" w:eastAsia="Calibri" w:hAnsi="Arial" w:cs="Arial"/>
          <w:color w:val="000000" w:themeColor="text1"/>
          <w:sz w:val="20"/>
          <w:szCs w:val="20"/>
          <w:lang w:val="es-ES_tradnl"/>
        </w:rPr>
        <w:t xml:space="preserve">Por consiguiente, a juicio de esta Agencia no es viable que durante el desarrollo de esta audiencia se realicen modificaciones al cronograma en relación con la adjudicación del contrato, pues esta actuación no es una oportunidad independiente o una etapa siguiente de la </w:t>
      </w:r>
      <w:r w:rsidRPr="004C2241">
        <w:rPr>
          <w:rFonts w:ascii="Arial" w:eastAsia="Calibri" w:hAnsi="Arial" w:cs="Arial"/>
          <w:i/>
          <w:iCs/>
          <w:color w:val="000000" w:themeColor="text1"/>
          <w:sz w:val="20"/>
          <w:szCs w:val="20"/>
        </w:rPr>
        <w:t xml:space="preserve">audiencia efectiva de adjudicación, </w:t>
      </w:r>
      <w:r w:rsidRPr="004C2241">
        <w:rPr>
          <w:rFonts w:ascii="Arial" w:eastAsia="Calibri" w:hAnsi="Arial" w:cs="Arial"/>
          <w:color w:val="000000" w:themeColor="text1"/>
          <w:sz w:val="20"/>
          <w:szCs w:val="20"/>
        </w:rPr>
        <w:t>sino que hace parte de ella.</w:t>
      </w:r>
      <w:r w:rsidRPr="004C2241">
        <w:rPr>
          <w:rFonts w:ascii="Arial" w:eastAsia="Calibri" w:hAnsi="Arial" w:cs="Arial"/>
          <w:i/>
          <w:iCs/>
          <w:color w:val="000000" w:themeColor="text1"/>
          <w:sz w:val="20"/>
          <w:szCs w:val="20"/>
        </w:rPr>
        <w:t xml:space="preserve"> </w:t>
      </w:r>
      <w:r w:rsidRPr="004C2241">
        <w:rPr>
          <w:rFonts w:ascii="Arial" w:eastAsia="Calibri" w:hAnsi="Arial" w:cs="Arial"/>
          <w:color w:val="000000" w:themeColor="text1"/>
          <w:sz w:val="20"/>
          <w:szCs w:val="20"/>
        </w:rPr>
        <w:t>Por demás, debe precisarse que e</w:t>
      </w:r>
      <w:r w:rsidRPr="004C2241">
        <w:rPr>
          <w:rFonts w:ascii="Arial" w:eastAsia="Calibri" w:hAnsi="Arial" w:cs="Arial"/>
          <w:color w:val="000000" w:themeColor="text1"/>
          <w:sz w:val="20"/>
          <w:szCs w:val="20"/>
          <w:lang w:val="es-ES_tradnl"/>
        </w:rPr>
        <w:t xml:space="preserve">n lo que respecta a la publicación del acto de adjudicación la entidad cuenta con un plazo de 3 días para realizarlo conforme el </w:t>
      </w:r>
      <w:r w:rsidRPr="004C2241">
        <w:rPr>
          <w:rFonts w:ascii="Arial" w:eastAsia="Calibri" w:hAnsi="Arial" w:cs="Arial"/>
          <w:bCs/>
          <w:color w:val="000000" w:themeColor="text1"/>
          <w:sz w:val="20"/>
          <w:szCs w:val="20"/>
          <w:lang w:val="es-MX"/>
        </w:rPr>
        <w:t xml:space="preserve">artículo </w:t>
      </w:r>
      <w:r w:rsidRPr="004C2241">
        <w:rPr>
          <w:rFonts w:ascii="Arial" w:eastAsia="Calibri" w:hAnsi="Arial" w:cs="Arial"/>
          <w:color w:val="000000" w:themeColor="text1"/>
          <w:sz w:val="20"/>
          <w:szCs w:val="20"/>
          <w:lang w:val="es-ES_tradnl"/>
        </w:rPr>
        <w:t>2.2.1.1.1.7.1 del Decreto 1082 de 2015.</w:t>
      </w:r>
    </w:p>
    <w:p w14:paraId="021DA815" w14:textId="77777777" w:rsidR="0005302E" w:rsidRPr="00654129" w:rsidRDefault="0005302E" w:rsidP="00A15B4E">
      <w:pPr>
        <w:jc w:val="both"/>
        <w:rPr>
          <w:rFonts w:ascii="Arial" w:hAnsi="Arial" w:cs="Arial"/>
          <w:noProof/>
          <w:color w:val="000000" w:themeColor="text1"/>
          <w:sz w:val="22"/>
          <w:szCs w:val="22"/>
          <w:lang w:val="es-ES_tradnl"/>
        </w:rPr>
      </w:pPr>
    </w:p>
    <w:p w14:paraId="46C5DD0F" w14:textId="77777777" w:rsidR="0005302E" w:rsidRPr="00654129" w:rsidRDefault="0005302E" w:rsidP="00A15B4E">
      <w:pPr>
        <w:jc w:val="both"/>
        <w:rPr>
          <w:rFonts w:ascii="Arial" w:eastAsia="Calibri" w:hAnsi="Arial" w:cs="Arial"/>
          <w:b/>
          <w:sz w:val="22"/>
          <w:szCs w:val="22"/>
          <w:lang w:val="es-ES_tradnl"/>
        </w:rPr>
      </w:pPr>
      <w:r w:rsidRPr="00654129">
        <w:rPr>
          <w:rFonts w:ascii="Arial" w:eastAsia="Calibri" w:hAnsi="Arial" w:cs="Arial"/>
          <w:b/>
          <w:sz w:val="22"/>
          <w:szCs w:val="22"/>
          <w:lang w:val="es-ES_tradnl"/>
        </w:rPr>
        <w:t xml:space="preserve">LEY DE EMPRENDIMIENTO </w:t>
      </w:r>
      <w:r w:rsidRPr="00654129">
        <w:rPr>
          <w:rFonts w:ascii="Arial" w:eastAsia="Calibri" w:hAnsi="Arial" w:cs="Arial"/>
          <w:b/>
          <w:color w:val="000000" w:themeColor="text1"/>
          <w:sz w:val="22"/>
          <w:szCs w:val="22"/>
          <w:lang w:val="es-ES_tradnl"/>
        </w:rPr>
        <w:t>–</w:t>
      </w:r>
      <w:r w:rsidRPr="00654129">
        <w:rPr>
          <w:rFonts w:ascii="Arial" w:eastAsia="Calibri" w:hAnsi="Arial" w:cs="Arial"/>
          <w:b/>
          <w:sz w:val="22"/>
          <w:szCs w:val="22"/>
          <w:lang w:val="es-ES_tradnl"/>
        </w:rPr>
        <w:t xml:space="preserve"> Ley 2069 de 2020 </w:t>
      </w:r>
      <w:r w:rsidRPr="00654129">
        <w:rPr>
          <w:rFonts w:ascii="Arial" w:eastAsia="Calibri" w:hAnsi="Arial" w:cs="Arial"/>
          <w:b/>
          <w:color w:val="000000" w:themeColor="text1"/>
          <w:sz w:val="22"/>
          <w:szCs w:val="22"/>
          <w:lang w:val="es-ES_tradnl"/>
        </w:rPr>
        <w:t xml:space="preserve">– Vigencia </w:t>
      </w:r>
    </w:p>
    <w:p w14:paraId="2FBE6178" w14:textId="77777777" w:rsidR="0005302E" w:rsidRPr="009D198D" w:rsidRDefault="0005302E" w:rsidP="00A15B4E">
      <w:pPr>
        <w:jc w:val="both"/>
        <w:rPr>
          <w:rFonts w:ascii="Arial" w:eastAsia="Calibri" w:hAnsi="Arial" w:cs="Arial"/>
          <w:b/>
          <w:sz w:val="20"/>
          <w:szCs w:val="20"/>
          <w:lang w:val="es-ES_tradnl"/>
        </w:rPr>
      </w:pPr>
    </w:p>
    <w:p w14:paraId="67D8A2C8" w14:textId="77777777" w:rsidR="004C2241" w:rsidRPr="004C2241" w:rsidRDefault="004C2241" w:rsidP="004C2241">
      <w:pPr>
        <w:jc w:val="both"/>
        <w:rPr>
          <w:rFonts w:ascii="Arial" w:eastAsia="Calibri" w:hAnsi="Arial" w:cs="Arial"/>
          <w:sz w:val="20"/>
          <w:szCs w:val="20"/>
          <w:lang w:val="es-ES_tradnl"/>
        </w:rPr>
      </w:pPr>
      <w:r w:rsidRPr="004C2241">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más adelante.</w:t>
      </w:r>
    </w:p>
    <w:p w14:paraId="3E29404D" w14:textId="77777777" w:rsidR="0005302E" w:rsidRPr="009D198D" w:rsidRDefault="0005302E" w:rsidP="00A15B4E">
      <w:pPr>
        <w:jc w:val="both"/>
        <w:rPr>
          <w:rFonts w:ascii="Arial" w:eastAsia="Calibri" w:hAnsi="Arial" w:cs="Arial"/>
          <w:sz w:val="20"/>
          <w:szCs w:val="20"/>
          <w:lang w:val="es-ES_tradnl"/>
        </w:rPr>
      </w:pPr>
    </w:p>
    <w:p w14:paraId="0696D390" w14:textId="77777777" w:rsidR="0005302E" w:rsidRPr="00654129" w:rsidRDefault="0005302E" w:rsidP="00A15B4E">
      <w:pPr>
        <w:jc w:val="both"/>
        <w:rPr>
          <w:rFonts w:ascii="Arial" w:eastAsia="Calibri" w:hAnsi="Arial" w:cs="Arial"/>
          <w:b/>
          <w:sz w:val="22"/>
          <w:szCs w:val="22"/>
          <w:lang w:val="es-ES_tradnl"/>
        </w:rPr>
      </w:pPr>
      <w:r w:rsidRPr="00654129">
        <w:rPr>
          <w:rFonts w:ascii="Arial" w:eastAsia="Calibri" w:hAnsi="Arial" w:cs="Arial"/>
          <w:b/>
          <w:sz w:val="22"/>
          <w:szCs w:val="22"/>
          <w:lang w:val="es-ES_tradnl"/>
        </w:rPr>
        <w:t xml:space="preserve">PROMOCIÓN DEL DESARROLLO </w:t>
      </w:r>
      <w:r w:rsidRPr="00654129">
        <w:rPr>
          <w:rFonts w:ascii="Arial" w:eastAsia="Calibri" w:hAnsi="Arial" w:cs="Arial"/>
          <w:b/>
          <w:color w:val="000000" w:themeColor="text1"/>
          <w:sz w:val="22"/>
          <w:szCs w:val="22"/>
          <w:lang w:val="es-ES_tradnl"/>
        </w:rPr>
        <w:t>– Contratación estatal –</w:t>
      </w:r>
      <w:r w:rsidRPr="00654129">
        <w:rPr>
          <w:rFonts w:ascii="Arial" w:eastAsia="Calibri" w:hAnsi="Arial" w:cs="Arial"/>
          <w:b/>
          <w:sz w:val="22"/>
          <w:szCs w:val="22"/>
          <w:lang w:val="es-ES_tradnl"/>
        </w:rPr>
        <w:t xml:space="preserve"> Ley 2069 </w:t>
      </w:r>
      <w:r w:rsidRPr="00654129">
        <w:rPr>
          <w:rFonts w:ascii="Arial" w:eastAsia="Calibri" w:hAnsi="Arial" w:cs="Arial"/>
          <w:b/>
          <w:color w:val="000000" w:themeColor="text1"/>
          <w:sz w:val="22"/>
          <w:szCs w:val="22"/>
          <w:lang w:val="es-ES_tradnl"/>
        </w:rPr>
        <w:t xml:space="preserve">– Artículo 34 – Subrogación </w:t>
      </w:r>
    </w:p>
    <w:p w14:paraId="633EF05C" w14:textId="77777777" w:rsidR="0005302E" w:rsidRPr="009D198D" w:rsidRDefault="0005302E" w:rsidP="00A15B4E">
      <w:pPr>
        <w:jc w:val="both"/>
        <w:rPr>
          <w:rFonts w:ascii="Arial" w:eastAsia="Calibri" w:hAnsi="Arial" w:cs="Arial"/>
          <w:sz w:val="20"/>
          <w:szCs w:val="20"/>
          <w:lang w:val="es-ES_tradnl"/>
        </w:rPr>
      </w:pPr>
    </w:p>
    <w:p w14:paraId="35FA271C" w14:textId="77777777" w:rsidR="004C2241" w:rsidRPr="004C2241" w:rsidRDefault="004C2241" w:rsidP="004C2241">
      <w:pPr>
        <w:jc w:val="both"/>
        <w:rPr>
          <w:rFonts w:ascii="Arial" w:eastAsia="Calibri" w:hAnsi="Arial" w:cs="Arial"/>
          <w:sz w:val="20"/>
          <w:szCs w:val="20"/>
          <w:lang w:val="es-ES_tradnl"/>
        </w:rPr>
      </w:pPr>
      <w:r w:rsidRPr="004C2241">
        <w:rPr>
          <w:rFonts w:ascii="Arial" w:eastAsia="Calibri" w:hAnsi="Arial" w:cs="Arial"/>
          <w:sz w:val="20"/>
          <w:szCs w:val="20"/>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5F05DB2E" w14:textId="77777777" w:rsidR="0005302E" w:rsidRPr="009D198D" w:rsidRDefault="0005302E" w:rsidP="00A15B4E">
      <w:pPr>
        <w:jc w:val="both"/>
        <w:rPr>
          <w:rFonts w:ascii="Arial" w:eastAsia="Calibri" w:hAnsi="Arial" w:cs="Arial"/>
          <w:sz w:val="20"/>
          <w:szCs w:val="20"/>
          <w:lang w:val="es-ES_tradnl"/>
        </w:rPr>
      </w:pPr>
    </w:p>
    <w:p w14:paraId="54768A24" w14:textId="77777777" w:rsidR="004C2241" w:rsidRPr="004C2241" w:rsidRDefault="004C2241" w:rsidP="004C2241">
      <w:pPr>
        <w:jc w:val="both"/>
        <w:rPr>
          <w:rFonts w:ascii="Arial" w:eastAsia="Calibri" w:hAnsi="Arial" w:cs="Arial"/>
          <w:sz w:val="20"/>
          <w:szCs w:val="20"/>
          <w:lang w:val="es-ES_tradnl"/>
        </w:rPr>
      </w:pPr>
      <w:r w:rsidRPr="004C2241">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2F412C79" w14:textId="77777777" w:rsidR="004C2241" w:rsidRDefault="004C2241" w:rsidP="00A15B4E">
      <w:pPr>
        <w:jc w:val="both"/>
        <w:rPr>
          <w:rFonts w:ascii="Arial" w:eastAsia="Calibri" w:hAnsi="Arial" w:cs="Arial"/>
          <w:sz w:val="20"/>
          <w:szCs w:val="20"/>
          <w:lang w:val="es-ES_tradnl"/>
        </w:rPr>
      </w:pPr>
    </w:p>
    <w:p w14:paraId="4F94B1D3" w14:textId="2033FE01" w:rsidR="0005302E" w:rsidRPr="00654129" w:rsidRDefault="0005302E" w:rsidP="00A15B4E">
      <w:pPr>
        <w:jc w:val="both"/>
        <w:rPr>
          <w:rFonts w:ascii="Arial" w:eastAsia="Calibri" w:hAnsi="Arial" w:cs="Arial"/>
          <w:b/>
          <w:sz w:val="22"/>
          <w:szCs w:val="22"/>
          <w:lang w:val="es-ES_tradnl"/>
        </w:rPr>
      </w:pPr>
      <w:r w:rsidRPr="00654129">
        <w:rPr>
          <w:rFonts w:ascii="Arial" w:eastAsia="Calibri" w:hAnsi="Arial" w:cs="Arial"/>
          <w:b/>
          <w:sz w:val="22"/>
          <w:szCs w:val="22"/>
          <w:lang w:val="es-ES_tradnl"/>
        </w:rPr>
        <w:t xml:space="preserve">MIPYMES </w:t>
      </w:r>
      <w:r w:rsidRPr="00654129">
        <w:rPr>
          <w:rFonts w:ascii="Arial" w:eastAsia="Calibri" w:hAnsi="Arial" w:cs="Arial"/>
          <w:b/>
          <w:color w:val="000000" w:themeColor="text1"/>
          <w:sz w:val="22"/>
          <w:szCs w:val="22"/>
          <w:lang w:val="es-ES_tradnl"/>
        </w:rPr>
        <w:t>–</w:t>
      </w:r>
      <w:r w:rsidRPr="00654129">
        <w:rPr>
          <w:rFonts w:ascii="Arial" w:eastAsia="Calibri" w:hAnsi="Arial" w:cs="Arial"/>
          <w:b/>
          <w:sz w:val="22"/>
          <w:szCs w:val="22"/>
          <w:lang w:val="es-ES_tradnl"/>
        </w:rPr>
        <w:t xml:space="preserve"> Ley 2069 </w:t>
      </w:r>
      <w:r w:rsidRPr="00654129">
        <w:rPr>
          <w:rFonts w:ascii="Arial" w:eastAsia="Calibri" w:hAnsi="Arial" w:cs="Arial"/>
          <w:b/>
          <w:color w:val="000000" w:themeColor="text1"/>
          <w:sz w:val="22"/>
          <w:szCs w:val="22"/>
          <w:lang w:val="es-ES_tradnl"/>
        </w:rPr>
        <w:t>– Artículo 34 – Convocatorias limitadas – Vigencia</w:t>
      </w:r>
      <w:r w:rsidRPr="00654129">
        <w:rPr>
          <w:rFonts w:ascii="Arial" w:eastAsia="Calibri" w:hAnsi="Arial" w:cs="Arial"/>
          <w:sz w:val="22"/>
          <w:szCs w:val="22"/>
          <w:lang w:val="es-ES_tradnl"/>
        </w:rPr>
        <w:t xml:space="preserve"> </w:t>
      </w:r>
      <w:r w:rsidRPr="00654129">
        <w:rPr>
          <w:rFonts w:ascii="Arial" w:eastAsia="Calibri" w:hAnsi="Arial" w:cs="Arial"/>
          <w:b/>
          <w:color w:val="000000" w:themeColor="text1"/>
          <w:sz w:val="22"/>
          <w:szCs w:val="22"/>
          <w:lang w:val="es-ES_tradnl"/>
        </w:rPr>
        <w:t>– Artículo 2.2.1.2.4.2.2</w:t>
      </w:r>
    </w:p>
    <w:p w14:paraId="1676BC0E" w14:textId="77777777" w:rsidR="0005302E" w:rsidRPr="00654129" w:rsidRDefault="0005302E" w:rsidP="00A15B4E">
      <w:pPr>
        <w:jc w:val="both"/>
        <w:rPr>
          <w:rFonts w:ascii="Arial" w:eastAsia="Calibri" w:hAnsi="Arial" w:cs="Arial"/>
          <w:sz w:val="22"/>
          <w:szCs w:val="22"/>
          <w:lang w:val="es-ES_tradnl"/>
        </w:rPr>
      </w:pPr>
    </w:p>
    <w:p w14:paraId="7BEAC6E9" w14:textId="77777777" w:rsidR="004C2241" w:rsidRDefault="0005302E" w:rsidP="00A15B4E">
      <w:pPr>
        <w:jc w:val="both"/>
        <w:rPr>
          <w:rFonts w:ascii="Arial" w:eastAsia="Calibri" w:hAnsi="Arial" w:cs="Arial"/>
          <w:sz w:val="20"/>
          <w:szCs w:val="20"/>
          <w:lang w:val="es-ES_tradnl"/>
        </w:rPr>
      </w:pPr>
      <w:r w:rsidRPr="009D198D">
        <w:rPr>
          <w:rFonts w:ascii="Arial" w:eastAsia="Calibri" w:hAnsi="Arial" w:cs="Arial"/>
          <w:sz w:val="20"/>
          <w:szCs w:val="20"/>
          <w:lang w:val="es-ES_tradnl"/>
        </w:rPr>
        <w:t xml:space="preserve">[…], </w:t>
      </w:r>
      <w:r w:rsidR="004C2241" w:rsidRPr="004C2241">
        <w:rPr>
          <w:rFonts w:ascii="Arial" w:eastAsia="Calibri" w:hAnsi="Arial" w:cs="Arial"/>
          <w:sz w:val="20"/>
          <w:szCs w:val="20"/>
          <w:lang w:val="es-ES_tradnl"/>
        </w:rPr>
        <w:t xml:space="preserve">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004C2241" w:rsidRPr="004C2241">
        <w:rPr>
          <w:rFonts w:ascii="Arial" w:eastAsia="Calibri" w:hAnsi="Arial" w:cs="Arial"/>
          <w:sz w:val="20"/>
          <w:szCs w:val="20"/>
          <w:lang w:val="es-ES_tradnl"/>
        </w:rPr>
        <w:t>esta</w:t>
      </w:r>
      <w:proofErr w:type="spellEnd"/>
      <w:r w:rsidR="004C2241" w:rsidRPr="004C2241">
        <w:rPr>
          <w:rFonts w:ascii="Arial" w:eastAsia="Calibri" w:hAnsi="Arial" w:cs="Arial"/>
          <w:sz w:val="20"/>
          <w:szCs w:val="20"/>
          <w:lang w:val="es-ES_tradnl"/>
        </w:rPr>
        <w:t xml:space="preserve"> «deroga […] todas las disposiciones que le sean contrarias». Entonces, además del decaimiento del artículo 2.2.1.2.4.2.2. del Decreto 1082 de 2015, debe entenderse que esta norma está derogada.</w:t>
      </w:r>
    </w:p>
    <w:p w14:paraId="313D8495" w14:textId="77777777" w:rsidR="0005302E" w:rsidRPr="009D198D" w:rsidRDefault="0005302E" w:rsidP="00A15B4E">
      <w:pPr>
        <w:jc w:val="both"/>
        <w:rPr>
          <w:rFonts w:ascii="Arial" w:eastAsia="Calibri" w:hAnsi="Arial" w:cs="Arial"/>
          <w:sz w:val="20"/>
          <w:szCs w:val="20"/>
          <w:lang w:val="es-ES_tradnl"/>
        </w:rPr>
      </w:pPr>
    </w:p>
    <w:p w14:paraId="0D2DEFE8" w14:textId="77777777" w:rsidR="004C2241" w:rsidRPr="004C2241" w:rsidRDefault="004C2241" w:rsidP="004C2241">
      <w:pPr>
        <w:jc w:val="both"/>
        <w:rPr>
          <w:rFonts w:ascii="Arial" w:eastAsia="Calibri" w:hAnsi="Arial" w:cs="Arial"/>
          <w:sz w:val="20"/>
          <w:szCs w:val="20"/>
          <w:lang w:val="es-ES_tradnl"/>
        </w:rPr>
      </w:pPr>
      <w:r w:rsidRPr="004C2241">
        <w:rPr>
          <w:rFonts w:ascii="Arial" w:eastAsia="Calibri" w:hAnsi="Arial" w:cs="Arial"/>
          <w:sz w:val="20"/>
          <w:szCs w:val="20"/>
          <w:lang w:val="es-ES_tradnl"/>
        </w:rPr>
        <w:t xml:space="preserve">Por último, no es válido aducir que los apartados normativos del artículo 2.2.1.2.4.2.2. original del Decreto 1082 de 2015 –antes de la modificación realizada por el Decreto 1860 de 2021– que, en su </w:t>
      </w:r>
      <w:r w:rsidRPr="004C2241">
        <w:rPr>
          <w:rFonts w:ascii="Arial" w:eastAsia="Calibri" w:hAnsi="Arial" w:cs="Arial"/>
          <w:sz w:val="20"/>
          <w:szCs w:val="20"/>
          <w:lang w:val="es-ES_tradnl"/>
        </w:rPr>
        <w:lastRenderedPageBreak/>
        <w:t xml:space="preserve">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expedidas, que permitan llevar a cabo las convocatorias limitadas a </w:t>
      </w:r>
      <w:proofErr w:type="spellStart"/>
      <w:r w:rsidRPr="004C2241">
        <w:rPr>
          <w:rFonts w:ascii="Arial" w:eastAsia="Calibri" w:hAnsi="Arial" w:cs="Arial"/>
          <w:sz w:val="20"/>
          <w:szCs w:val="20"/>
          <w:lang w:val="es-ES_tradnl"/>
        </w:rPr>
        <w:t>Mipymes</w:t>
      </w:r>
      <w:proofErr w:type="spellEnd"/>
      <w:r w:rsidRPr="004C2241">
        <w:rPr>
          <w:rFonts w:ascii="Arial" w:eastAsia="Calibri" w:hAnsi="Arial" w:cs="Arial"/>
          <w:sz w:val="20"/>
          <w:szCs w:val="20"/>
          <w:lang w:val="es-ES_tradnl"/>
        </w:rPr>
        <w:t xml:space="preserve">, lo cual demuestra la voluntad legislativa de establecer la necesidad de una nueva reglamentación de la materia. En tal sentido, las entidades estatales, los patrimonios autónomos constituidos por estas y los particulares que ejecuten recursos públicos, no pueden adoptar convocatorias limitadas a </w:t>
      </w:r>
      <w:proofErr w:type="spellStart"/>
      <w:r w:rsidRPr="004C2241">
        <w:rPr>
          <w:rFonts w:ascii="Arial" w:eastAsia="Calibri" w:hAnsi="Arial" w:cs="Arial"/>
          <w:sz w:val="20"/>
          <w:szCs w:val="20"/>
          <w:lang w:val="es-ES_tradnl"/>
        </w:rPr>
        <w:t>Mipymes</w:t>
      </w:r>
      <w:proofErr w:type="spellEnd"/>
      <w:r w:rsidRPr="004C2241">
        <w:rPr>
          <w:rFonts w:ascii="Arial" w:eastAsia="Calibri" w:hAnsi="Arial" w:cs="Arial"/>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598067D1" w14:textId="77777777" w:rsidR="0005302E" w:rsidRPr="009D198D" w:rsidRDefault="0005302E" w:rsidP="00A15B4E">
      <w:pPr>
        <w:tabs>
          <w:tab w:val="left" w:pos="6551"/>
        </w:tabs>
        <w:jc w:val="both"/>
        <w:rPr>
          <w:rFonts w:ascii="Arial" w:eastAsia="Calibri" w:hAnsi="Arial" w:cs="Arial"/>
          <w:b/>
          <w:color w:val="000000" w:themeColor="text1"/>
          <w:sz w:val="20"/>
          <w:szCs w:val="20"/>
          <w:lang w:val="es-ES_tradnl"/>
        </w:rPr>
      </w:pPr>
    </w:p>
    <w:p w14:paraId="43820CFE" w14:textId="28BD4D30" w:rsidR="0005302E" w:rsidRPr="00654129" w:rsidRDefault="0005302E" w:rsidP="00A15B4E">
      <w:pPr>
        <w:tabs>
          <w:tab w:val="left" w:pos="6551"/>
        </w:tabs>
        <w:jc w:val="both"/>
        <w:rPr>
          <w:rFonts w:ascii="Arial" w:eastAsia="Calibri" w:hAnsi="Arial" w:cs="Arial"/>
          <w:b/>
          <w:color w:val="000000" w:themeColor="text1"/>
          <w:sz w:val="22"/>
          <w:szCs w:val="22"/>
          <w:lang w:val="es-ES_tradnl"/>
        </w:rPr>
      </w:pPr>
      <w:r w:rsidRPr="00654129">
        <w:rPr>
          <w:rFonts w:ascii="Arial" w:eastAsia="Calibri" w:hAnsi="Arial" w:cs="Arial"/>
          <w:b/>
          <w:color w:val="000000" w:themeColor="text1"/>
          <w:sz w:val="22"/>
          <w:szCs w:val="22"/>
          <w:lang w:val="es-ES_tradnl"/>
        </w:rPr>
        <w:t xml:space="preserve">CONVOCATORIAS LIMITADAS – Decreto 1860 de 2021 – Vigencia </w:t>
      </w:r>
    </w:p>
    <w:p w14:paraId="0146FB97" w14:textId="77777777" w:rsidR="00B215EA" w:rsidRPr="009D198D" w:rsidRDefault="00B215EA" w:rsidP="00A15B4E">
      <w:pPr>
        <w:tabs>
          <w:tab w:val="left" w:pos="6551"/>
        </w:tabs>
        <w:jc w:val="both"/>
        <w:rPr>
          <w:rFonts w:ascii="Arial" w:hAnsi="Arial" w:cs="Arial"/>
          <w:noProof/>
          <w:color w:val="000000" w:themeColor="text1"/>
          <w:sz w:val="20"/>
          <w:szCs w:val="20"/>
          <w:lang w:val="pt-BR"/>
        </w:rPr>
      </w:pPr>
    </w:p>
    <w:p w14:paraId="3884404A" w14:textId="5ECEF831" w:rsidR="00CC50A8" w:rsidRPr="00CC50A8" w:rsidRDefault="00CC50A8" w:rsidP="00CC50A8">
      <w:pPr>
        <w:jc w:val="both"/>
        <w:rPr>
          <w:rFonts w:ascii="Arial" w:eastAsia="Calibri" w:hAnsi="Arial" w:cs="Arial"/>
          <w:sz w:val="20"/>
          <w:szCs w:val="20"/>
        </w:rPr>
      </w:pPr>
      <w:r>
        <w:rPr>
          <w:rFonts w:ascii="Arial" w:eastAsia="Calibri" w:hAnsi="Arial" w:cs="Arial"/>
          <w:sz w:val="20"/>
          <w:szCs w:val="20"/>
          <w:lang w:val="es-ES_tradnl"/>
        </w:rPr>
        <w:t>E</w:t>
      </w:r>
      <w:r w:rsidRPr="00CC50A8">
        <w:rPr>
          <w:rFonts w:ascii="Arial" w:eastAsia="Calibri" w:hAnsi="Arial" w:cs="Arial"/>
          <w:sz w:val="20"/>
          <w:szCs w:val="20"/>
          <w:lang w:val="es-ES_tradnl"/>
        </w:rPr>
        <w:t xml:space="preserve">n desarrollo de la Ley 2069 de 2020 el gobierno nacional expidió el Decreto </w:t>
      </w:r>
      <w:r w:rsidRPr="00CC50A8">
        <w:rPr>
          <w:rFonts w:ascii="Arial" w:eastAsia="Calibri" w:hAnsi="Arial" w:cs="Arial"/>
          <w:sz w:val="20"/>
          <w:szCs w:val="20"/>
          <w:lang w:val="es-MX"/>
        </w:rPr>
        <w:t>1860 del 24 de diciembre de 2021</w:t>
      </w:r>
      <w:r w:rsidRPr="00CC50A8">
        <w:rPr>
          <w:rFonts w:ascii="Arial" w:eastAsia="Calibri" w:hAnsi="Arial" w:cs="Arial"/>
          <w:sz w:val="20"/>
          <w:szCs w:val="20"/>
          <w:lang w:val="es-ES_tradnl"/>
        </w:rPr>
        <w:t xml:space="preserve"> mediante el cual se reglamentan los artículos 30,</w:t>
      </w:r>
      <w:r w:rsidRPr="00CC50A8">
        <w:rPr>
          <w:rFonts w:ascii="Arial" w:eastAsia="Calibri" w:hAnsi="Arial" w:cs="Arial"/>
          <w:sz w:val="20"/>
          <w:szCs w:val="20"/>
          <w:lang w:val="es-MX"/>
        </w:rPr>
        <w:t xml:space="preserve"> 31, 32, 34 y 35 de la Ley 2069 de 2020, en lo relativo al sistema de compras públicas. Concretamente, frente a las convocatorias limitadas a </w:t>
      </w:r>
      <w:proofErr w:type="spellStart"/>
      <w:r w:rsidRPr="00CC50A8">
        <w:rPr>
          <w:rFonts w:ascii="Arial" w:eastAsia="Calibri" w:hAnsi="Arial" w:cs="Arial"/>
          <w:sz w:val="20"/>
          <w:szCs w:val="20"/>
          <w:lang w:val="es-MX"/>
        </w:rPr>
        <w:t>Mipymes</w:t>
      </w:r>
      <w:proofErr w:type="spellEnd"/>
      <w:r w:rsidRPr="00CC50A8">
        <w:rPr>
          <w:rFonts w:ascii="Arial" w:eastAsia="Calibri" w:hAnsi="Arial" w:cs="Arial"/>
          <w:sz w:val="20"/>
          <w:szCs w:val="20"/>
          <w:lang w:val="es-MX"/>
        </w:rPr>
        <w:t xml:space="preserve"> del artículo 34, el Decreto </w:t>
      </w:r>
      <w:r w:rsidRPr="00CC50A8">
        <w:rPr>
          <w:rFonts w:ascii="Arial" w:eastAsia="Calibri" w:hAnsi="Arial" w:cs="Arial"/>
          <w:sz w:val="20"/>
          <w:szCs w:val="20"/>
        </w:rPr>
        <w:t xml:space="preserve">definió las condiciones y los montos para la adopción de convocatorias limitadas a </w:t>
      </w:r>
      <w:proofErr w:type="spellStart"/>
      <w:r w:rsidRPr="00CC50A8">
        <w:rPr>
          <w:rFonts w:ascii="Arial" w:eastAsia="Calibri" w:hAnsi="Arial" w:cs="Arial"/>
          <w:sz w:val="20"/>
          <w:szCs w:val="20"/>
        </w:rPr>
        <w:t>Mipyme</w:t>
      </w:r>
      <w:proofErr w:type="spellEnd"/>
      <w:r w:rsidRPr="00CC50A8">
        <w:rPr>
          <w:rFonts w:ascii="Arial" w:eastAsia="Calibri" w:hAnsi="Arial" w:cs="Arial"/>
          <w:sz w:val="20"/>
          <w:szCs w:val="20"/>
        </w:rPr>
        <w:t>, las limitaciones territoriales y la acreditación de los requisitos para participar en convocatorias limitadas.</w:t>
      </w:r>
      <w:r w:rsidRPr="00CC50A8">
        <w:rPr>
          <w:rFonts w:ascii="Arial" w:eastAsia="Calibri" w:hAnsi="Arial" w:cs="Arial"/>
          <w:sz w:val="20"/>
          <w:szCs w:val="20"/>
          <w:lang w:val="es-MX"/>
        </w:rPr>
        <w:t xml:space="preserve"> </w:t>
      </w:r>
      <w:r w:rsidRPr="00CC50A8">
        <w:rPr>
          <w:rFonts w:ascii="Arial" w:eastAsia="Calibri" w:hAnsi="Arial" w:cs="Arial"/>
          <w:sz w:val="20"/>
          <w:szCs w:val="20"/>
          <w:lang w:val="es-ES_tradnl"/>
        </w:rPr>
        <w:t>Por ello, mediante el artículo 5 se modificaron los artículos 2.2.1.2.4.2.2., 2.2.1.2.4.2.3. y 2.2.1.2.4.2.4. de la Subsección 2 de la Sección 4 del Capítulo 2 del Título 1 de la Parte 2 del Libro 2 del Decreto 1082 de 2015.</w:t>
      </w:r>
      <w:r>
        <w:rPr>
          <w:rFonts w:ascii="Arial" w:eastAsia="Calibri" w:hAnsi="Arial" w:cs="Arial"/>
          <w:sz w:val="20"/>
          <w:szCs w:val="20"/>
        </w:rPr>
        <w:t xml:space="preserve"> </w:t>
      </w:r>
      <w:r w:rsidRPr="00CC50A8">
        <w:rPr>
          <w:rFonts w:ascii="Arial" w:eastAsia="Calibri" w:hAnsi="Arial" w:cs="Arial"/>
          <w:sz w:val="20"/>
          <w:szCs w:val="20"/>
          <w:lang w:val="es-ES_tradnl"/>
        </w:rPr>
        <w:t xml:space="preserve">Conforme el artículo 8 del Decreto 1860 de 2021, </w:t>
      </w:r>
      <w:r w:rsidRPr="00CC50A8">
        <w:rPr>
          <w:rFonts w:ascii="Arial" w:eastAsia="Calibri" w:hAnsi="Arial" w:cs="Arial"/>
          <w:sz w:val="20"/>
          <w:szCs w:val="20"/>
        </w:rPr>
        <w:t xml:space="preserve">las disposiciones contenidas en dicho decreto se aplicarán a los procedimientos de selección cuya invitación, aviso de convocatoria o documento equivalente se publique a los tres (3) meses contados a partir de su expedición. Por tanto, las convocatorias limitadas a </w:t>
      </w:r>
      <w:proofErr w:type="spellStart"/>
      <w:r w:rsidRPr="00CC50A8">
        <w:rPr>
          <w:rFonts w:ascii="Arial" w:eastAsia="Calibri" w:hAnsi="Arial" w:cs="Arial"/>
          <w:sz w:val="20"/>
          <w:szCs w:val="20"/>
        </w:rPr>
        <w:t>Mipyme</w:t>
      </w:r>
      <w:proofErr w:type="spellEnd"/>
      <w:r w:rsidRPr="00CC50A8">
        <w:rPr>
          <w:rFonts w:ascii="Arial" w:eastAsia="Calibri" w:hAnsi="Arial" w:cs="Arial"/>
          <w:sz w:val="20"/>
          <w:szCs w:val="20"/>
        </w:rPr>
        <w:t xml:space="preserve"> establecida en este Decreto deberá ser aplicada a los procedimientos de selección cuya invitación, aviso de convocatoria o documento equivalente se publique con posterioridad al 24 de marzo de 2022.</w:t>
      </w:r>
    </w:p>
    <w:p w14:paraId="1534C4ED" w14:textId="77777777" w:rsidR="00B215EA" w:rsidRPr="009D198D" w:rsidRDefault="00B215EA" w:rsidP="00A15B4E">
      <w:pPr>
        <w:jc w:val="both"/>
        <w:rPr>
          <w:rFonts w:ascii="Arial" w:eastAsia="Calibri" w:hAnsi="Arial" w:cs="Arial"/>
          <w:sz w:val="20"/>
          <w:szCs w:val="20"/>
          <w:lang w:val="es-ES_tradnl"/>
        </w:rPr>
      </w:pPr>
    </w:p>
    <w:p w14:paraId="520EDDA7" w14:textId="10FD755B" w:rsidR="00B215EA" w:rsidRPr="009D198D" w:rsidRDefault="00CC50A8" w:rsidP="00CC50A8">
      <w:pPr>
        <w:jc w:val="both"/>
        <w:rPr>
          <w:rFonts w:ascii="Arial" w:eastAsia="Calibri" w:hAnsi="Arial" w:cs="Arial"/>
          <w:sz w:val="20"/>
          <w:szCs w:val="20"/>
          <w:lang w:val="es-ES_tradnl"/>
        </w:rPr>
      </w:pPr>
      <w:r w:rsidRPr="00CC50A8">
        <w:rPr>
          <w:rFonts w:ascii="Arial" w:eastAsia="Calibri" w:hAnsi="Arial" w:cs="Arial"/>
          <w:bCs/>
          <w:sz w:val="20"/>
          <w:szCs w:val="20"/>
          <w:lang w:val="es-ES_tradnl"/>
        </w:rPr>
        <w:t xml:space="preserve">Así las cosas, actualmente las entidades estatales, los patrimonios autónomos constituidos por estas y los particulares que ejecuten recursos públicos, no pueden adoptar convocatorias limitadas a </w:t>
      </w:r>
      <w:proofErr w:type="spellStart"/>
      <w:r w:rsidRPr="00CC50A8">
        <w:rPr>
          <w:rFonts w:ascii="Arial" w:eastAsia="Calibri" w:hAnsi="Arial" w:cs="Arial"/>
          <w:bCs/>
          <w:sz w:val="20"/>
          <w:szCs w:val="20"/>
          <w:lang w:val="es-ES_tradnl"/>
        </w:rPr>
        <w:t>Mipymes</w:t>
      </w:r>
      <w:proofErr w:type="spellEnd"/>
      <w:r w:rsidRPr="00CC50A8">
        <w:rPr>
          <w:rFonts w:ascii="Arial" w:eastAsia="Calibri" w:hAnsi="Arial" w:cs="Arial"/>
          <w:bCs/>
          <w:sz w:val="20"/>
          <w:szCs w:val="20"/>
          <w:lang w:val="es-ES_tradnl"/>
        </w:rPr>
        <w:t xml:space="preserve"> puesto que el artículo 5 de la Ley 1860 de 2021 que modificó el artículo 2.2.1.2.4.2.2 del Decreto 1082 de 2015 </w:t>
      </w:r>
      <w:proofErr w:type="gramStart"/>
      <w:r w:rsidRPr="00CC50A8">
        <w:rPr>
          <w:rFonts w:ascii="Arial" w:eastAsia="Calibri" w:hAnsi="Arial" w:cs="Arial"/>
          <w:bCs/>
          <w:sz w:val="20"/>
          <w:szCs w:val="20"/>
          <w:lang w:val="es-ES_tradnl"/>
        </w:rPr>
        <w:t>entrará en vigencia</w:t>
      </w:r>
      <w:proofErr w:type="gramEnd"/>
      <w:r w:rsidRPr="00CC50A8">
        <w:rPr>
          <w:rFonts w:ascii="Arial" w:eastAsia="Calibri" w:hAnsi="Arial" w:cs="Arial"/>
          <w:bCs/>
          <w:sz w:val="20"/>
          <w:szCs w:val="20"/>
          <w:lang w:val="es-ES_tradnl"/>
        </w:rPr>
        <w:t xml:space="preserve"> para</w:t>
      </w:r>
      <w:r w:rsidRPr="00CC50A8">
        <w:rPr>
          <w:rFonts w:ascii="Arial" w:eastAsia="Calibri" w:hAnsi="Arial" w:cs="Arial"/>
          <w:sz w:val="20"/>
          <w:szCs w:val="20"/>
        </w:rPr>
        <w:t xml:space="preserve"> los procedimientos de selección cuya invitación, aviso de convocatoria o documento equivalente se publique</w:t>
      </w:r>
      <w:r w:rsidRPr="00CC50A8">
        <w:rPr>
          <w:rFonts w:ascii="Arial" w:eastAsia="Calibri" w:hAnsi="Arial" w:cs="Arial"/>
          <w:bCs/>
          <w:sz w:val="20"/>
          <w:szCs w:val="20"/>
          <w:lang w:val="es-ES_tradnl"/>
        </w:rPr>
        <w:t xml:space="preserve"> a partir del 24 de marzo de 2022</w:t>
      </w:r>
      <w:r>
        <w:rPr>
          <w:rFonts w:ascii="Arial" w:eastAsia="Calibri" w:hAnsi="Arial" w:cs="Arial"/>
          <w:bCs/>
          <w:sz w:val="20"/>
          <w:szCs w:val="20"/>
          <w:lang w:val="es-ES_tradnl"/>
        </w:rPr>
        <w:t>.</w:t>
      </w:r>
      <w:r w:rsidR="00B215EA" w:rsidRPr="009D198D">
        <w:rPr>
          <w:rFonts w:ascii="Arial" w:eastAsia="Calibri" w:hAnsi="Arial" w:cs="Arial"/>
          <w:sz w:val="20"/>
          <w:szCs w:val="20"/>
          <w:lang w:val="es-ES_tradnl"/>
        </w:rPr>
        <w:t xml:space="preserve"> </w:t>
      </w:r>
    </w:p>
    <w:p w14:paraId="3D2F5A7A" w14:textId="5CAEBFA1" w:rsidR="001D3415" w:rsidRPr="009D198D" w:rsidRDefault="001D3415" w:rsidP="00A15B4E">
      <w:pPr>
        <w:jc w:val="both"/>
        <w:rPr>
          <w:rFonts w:ascii="Arial" w:eastAsia="Calibri" w:hAnsi="Arial" w:cs="Arial"/>
          <w:color w:val="000000" w:themeColor="text1"/>
          <w:sz w:val="20"/>
          <w:szCs w:val="20"/>
        </w:rPr>
      </w:pPr>
    </w:p>
    <w:p w14:paraId="68CBE29F" w14:textId="77777777" w:rsidR="00DF4756" w:rsidRPr="00654129" w:rsidRDefault="00DF4756" w:rsidP="00A15B4E">
      <w:pPr>
        <w:jc w:val="both"/>
        <w:rPr>
          <w:rFonts w:ascii="Arial" w:eastAsia="Calibri" w:hAnsi="Arial" w:cs="Arial"/>
          <w:b/>
          <w:bCs/>
          <w:color w:val="000000" w:themeColor="text1"/>
          <w:sz w:val="22"/>
          <w:szCs w:val="22"/>
          <w:lang w:val="es-ES"/>
        </w:rPr>
      </w:pPr>
      <w:r w:rsidRPr="00654129">
        <w:rPr>
          <w:rFonts w:ascii="Arial" w:eastAsia="Calibri" w:hAnsi="Arial" w:cs="Arial"/>
          <w:b/>
          <w:bCs/>
          <w:color w:val="000000" w:themeColor="text1"/>
          <w:sz w:val="22"/>
          <w:szCs w:val="22"/>
          <w:lang w:val="es-ES"/>
        </w:rPr>
        <w:t xml:space="preserve">PRINCIPIO DE ANUALIDAD – Definición </w:t>
      </w:r>
    </w:p>
    <w:p w14:paraId="36FA5E01" w14:textId="3DF51006" w:rsidR="001D3415" w:rsidRPr="009D198D" w:rsidRDefault="001D3415" w:rsidP="00A15B4E">
      <w:pPr>
        <w:jc w:val="both"/>
        <w:rPr>
          <w:rFonts w:ascii="Arial" w:eastAsia="Calibri" w:hAnsi="Arial" w:cs="Arial"/>
          <w:color w:val="000000" w:themeColor="text1"/>
          <w:sz w:val="20"/>
          <w:szCs w:val="20"/>
        </w:rPr>
      </w:pPr>
    </w:p>
    <w:p w14:paraId="75753AAD" w14:textId="10249363" w:rsidR="00CC50A8" w:rsidRPr="00CC50A8" w:rsidRDefault="00CC50A8" w:rsidP="00CC50A8">
      <w:pPr>
        <w:jc w:val="both"/>
        <w:rPr>
          <w:rFonts w:ascii="Arial" w:eastAsia="Calibri" w:hAnsi="Arial" w:cs="Arial"/>
          <w:color w:val="000000" w:themeColor="text1"/>
          <w:sz w:val="20"/>
          <w:szCs w:val="20"/>
          <w:lang w:val="es-ES_tradnl"/>
        </w:rPr>
      </w:pPr>
      <w:r w:rsidRPr="00CC50A8">
        <w:rPr>
          <w:rFonts w:ascii="Arial" w:eastAsia="Calibri" w:hAnsi="Arial" w:cs="Arial"/>
          <w:color w:val="000000" w:themeColor="text1"/>
          <w:sz w:val="20"/>
          <w:szCs w:val="20"/>
          <w:lang w:val="es-ES_tradnl"/>
        </w:rPr>
        <w:t xml:space="preserve">Las entidades estatales deben sujetarse a los principios que rigen el sistema presupuestal, entre los cuales se encuentra el de anualidad del gasto público. Este principio encuentra fundamento constitucional en </w:t>
      </w:r>
      <w:r w:rsidRPr="00CC50A8">
        <w:rPr>
          <w:rFonts w:ascii="Arial" w:eastAsia="Calibri" w:hAnsi="Arial" w:cs="Arial"/>
          <w:bCs/>
          <w:color w:val="000000" w:themeColor="text1"/>
          <w:sz w:val="20"/>
          <w:szCs w:val="20"/>
          <w:lang w:val="es-ES_tradnl"/>
        </w:rPr>
        <w:t>el artículo 346 superior que contiene el régimen general del presupuesto de rentas y la ley de apropiaciones, que deberá presentarse al Congreso dentro de los primeros diez días de cada legislatura, elaborarse y aprobarse dentro de un marco de sostenibilidad fiscal y corresponder al Plan Nacional de Desarrollo. De conformidad con la misma norma constitucional, el presupuesto tiene vigencia anual y, por tanto, tienen como finalidad fijar los gastos y las rentas nacionales del Estado para la respectiva vigencia fiscal anual.</w:t>
      </w:r>
      <w:r w:rsidRPr="00CC50A8">
        <w:rPr>
          <w:rFonts w:ascii="Arial" w:eastAsia="Calibri" w:hAnsi="Arial" w:cs="Arial"/>
          <w:color w:val="000000" w:themeColor="text1"/>
          <w:sz w:val="20"/>
          <w:szCs w:val="20"/>
          <w:lang w:val="es-ES_tradnl"/>
        </w:rPr>
        <w:t xml:space="preserve"> En armonía con lo anterior, el Estatuto Orgánico del Presupuesto consagra este principio en el artículo 14 consistente en que «Después del 31 de diciembre no podrán asumirse compromisos con cargo a las apropiaciones del año fiscal que se cierra en esa fecha y los saldos de apropiación no afectados por compromisos caducarán sin excepción». Es decir, los gastos previstos en el presupuesto anual se deben ejecutar dentro de una vigencia fiscal comprendida entre el 1 de enero y el 31 de diciembre</w:t>
      </w:r>
    </w:p>
    <w:p w14:paraId="6632B603" w14:textId="77777777" w:rsidR="00DF4756" w:rsidRPr="00654129" w:rsidRDefault="00DF4756" w:rsidP="00A15B4E">
      <w:pPr>
        <w:jc w:val="both"/>
        <w:rPr>
          <w:rFonts w:ascii="Arial" w:eastAsia="Calibri" w:hAnsi="Arial" w:cs="Arial"/>
          <w:color w:val="000000" w:themeColor="text1"/>
          <w:sz w:val="22"/>
          <w:szCs w:val="22"/>
        </w:rPr>
      </w:pPr>
    </w:p>
    <w:p w14:paraId="427D74E5" w14:textId="10F4CFC6" w:rsidR="00DF4756" w:rsidRPr="00654129" w:rsidRDefault="00DF4756" w:rsidP="00A15B4E">
      <w:pPr>
        <w:jc w:val="both"/>
        <w:rPr>
          <w:rFonts w:ascii="Arial" w:eastAsia="Calibri" w:hAnsi="Arial" w:cs="Arial"/>
          <w:b/>
          <w:bCs/>
          <w:color w:val="000000" w:themeColor="text1"/>
          <w:sz w:val="22"/>
          <w:szCs w:val="22"/>
          <w:lang w:val="es-ES"/>
        </w:rPr>
      </w:pPr>
      <w:r w:rsidRPr="00654129">
        <w:rPr>
          <w:rFonts w:ascii="Arial" w:eastAsia="Calibri" w:hAnsi="Arial" w:cs="Arial"/>
          <w:b/>
          <w:bCs/>
          <w:color w:val="000000" w:themeColor="text1"/>
          <w:sz w:val="22"/>
          <w:szCs w:val="22"/>
          <w:lang w:val="es-ES"/>
        </w:rPr>
        <w:t>PRINCIPIO DE ANUALIDAD – Excepciones</w:t>
      </w:r>
    </w:p>
    <w:p w14:paraId="1AD3A06B" w14:textId="43BDF945" w:rsidR="00DF4756" w:rsidRPr="009D198D" w:rsidRDefault="00DF4756" w:rsidP="00A15B4E">
      <w:pPr>
        <w:jc w:val="both"/>
        <w:rPr>
          <w:rFonts w:ascii="Arial" w:eastAsia="Calibri" w:hAnsi="Arial" w:cs="Arial"/>
          <w:b/>
          <w:bCs/>
          <w:color w:val="000000" w:themeColor="text1"/>
          <w:sz w:val="20"/>
          <w:szCs w:val="20"/>
          <w:lang w:val="es-ES"/>
        </w:rPr>
      </w:pPr>
    </w:p>
    <w:p w14:paraId="6F2C5D6E" w14:textId="03A6F5BD" w:rsidR="00CC50A8" w:rsidRPr="00CC50A8" w:rsidRDefault="00CC50A8" w:rsidP="00CC50A8">
      <w:pPr>
        <w:jc w:val="both"/>
        <w:rPr>
          <w:rFonts w:ascii="Arial" w:eastAsia="Calibri" w:hAnsi="Arial" w:cs="Arial"/>
          <w:color w:val="000000" w:themeColor="text1"/>
          <w:sz w:val="20"/>
          <w:szCs w:val="20"/>
          <w:lang w:val="es-ES"/>
        </w:rPr>
      </w:pPr>
      <w:r w:rsidRPr="00CC50A8">
        <w:rPr>
          <w:rFonts w:ascii="Arial" w:eastAsia="Calibri" w:hAnsi="Arial" w:cs="Arial"/>
          <w:color w:val="000000" w:themeColor="text1"/>
          <w:sz w:val="20"/>
          <w:szCs w:val="20"/>
          <w:lang w:val="es-ES_tradnl"/>
        </w:rPr>
        <w:lastRenderedPageBreak/>
        <w:t xml:space="preserve">Dentro los mecanismos presupuestales que constituyen excepciones al principio de anualidad se identifican i) las vigencias futuras, </w:t>
      </w:r>
      <w:proofErr w:type="spellStart"/>
      <w:r w:rsidRPr="00CC50A8">
        <w:rPr>
          <w:rFonts w:ascii="Arial" w:eastAsia="Calibri" w:hAnsi="Arial" w:cs="Arial"/>
          <w:color w:val="000000" w:themeColor="text1"/>
          <w:sz w:val="20"/>
          <w:szCs w:val="20"/>
          <w:lang w:val="es-ES_tradnl"/>
        </w:rPr>
        <w:t>ii</w:t>
      </w:r>
      <w:proofErr w:type="spellEnd"/>
      <w:r w:rsidRPr="00CC50A8">
        <w:rPr>
          <w:rFonts w:ascii="Arial" w:eastAsia="Calibri" w:hAnsi="Arial" w:cs="Arial"/>
          <w:color w:val="000000" w:themeColor="text1"/>
          <w:sz w:val="20"/>
          <w:szCs w:val="20"/>
          <w:lang w:val="es-ES_tradnl"/>
        </w:rPr>
        <w:t xml:space="preserve">) las cuentas por pagar y </w:t>
      </w:r>
      <w:proofErr w:type="spellStart"/>
      <w:r w:rsidRPr="00CC50A8">
        <w:rPr>
          <w:rFonts w:ascii="Arial" w:eastAsia="Calibri" w:hAnsi="Arial" w:cs="Arial"/>
          <w:color w:val="000000" w:themeColor="text1"/>
          <w:sz w:val="20"/>
          <w:szCs w:val="20"/>
          <w:lang w:val="es-ES_tradnl"/>
        </w:rPr>
        <w:t>iii</w:t>
      </w:r>
      <w:proofErr w:type="spellEnd"/>
      <w:r w:rsidRPr="00CC50A8">
        <w:rPr>
          <w:rFonts w:ascii="Arial" w:eastAsia="Calibri" w:hAnsi="Arial" w:cs="Arial"/>
          <w:color w:val="000000" w:themeColor="text1"/>
          <w:sz w:val="20"/>
          <w:szCs w:val="20"/>
          <w:lang w:val="es-ES_tradnl"/>
        </w:rPr>
        <w:t xml:space="preserve">) las reservas presupuestales. Las </w:t>
      </w:r>
      <w:r w:rsidRPr="00CC50A8">
        <w:rPr>
          <w:rFonts w:ascii="Arial" w:eastAsia="Calibri" w:hAnsi="Arial" w:cs="Arial"/>
          <w:i/>
          <w:iCs/>
          <w:color w:val="000000" w:themeColor="text1"/>
          <w:sz w:val="20"/>
          <w:szCs w:val="20"/>
          <w:lang w:val="es-ES_tradnl"/>
        </w:rPr>
        <w:t>primeras</w:t>
      </w:r>
      <w:r w:rsidRPr="00CC50A8">
        <w:rPr>
          <w:rFonts w:ascii="Arial" w:eastAsia="Calibri" w:hAnsi="Arial" w:cs="Arial"/>
          <w:color w:val="000000" w:themeColor="text1"/>
          <w:sz w:val="20"/>
          <w:szCs w:val="20"/>
          <w:lang w:val="es-ES_tradnl"/>
        </w:rPr>
        <w:t>, de conformidad con el artículo 23 del Estatuto Orgánico del Presupuesto</w:t>
      </w:r>
      <w:r w:rsidRPr="00CC50A8">
        <w:rPr>
          <w:rFonts w:ascii="Arial" w:eastAsia="Calibri" w:hAnsi="Arial" w:cs="Arial"/>
          <w:i/>
          <w:iCs/>
          <w:color w:val="000000" w:themeColor="text1"/>
          <w:sz w:val="20"/>
          <w:szCs w:val="20"/>
          <w:lang w:val="es-ES_tradnl"/>
        </w:rPr>
        <w:t xml:space="preserve">, </w:t>
      </w:r>
      <w:r w:rsidRPr="00CC50A8">
        <w:rPr>
          <w:rFonts w:ascii="Arial" w:eastAsia="Calibri" w:hAnsi="Arial" w:cs="Arial"/>
          <w:color w:val="000000" w:themeColor="text1"/>
          <w:sz w:val="20"/>
          <w:szCs w:val="20"/>
          <w:lang w:val="es-ES_tradnl"/>
        </w:rPr>
        <w:t>se</w:t>
      </w:r>
      <w:r w:rsidRPr="00CC50A8">
        <w:rPr>
          <w:rFonts w:ascii="Arial" w:eastAsia="Calibri" w:hAnsi="Arial" w:cs="Arial"/>
          <w:i/>
          <w:iCs/>
          <w:color w:val="000000" w:themeColor="text1"/>
          <w:sz w:val="20"/>
          <w:szCs w:val="20"/>
          <w:lang w:val="es-ES_tradnl"/>
        </w:rPr>
        <w:t xml:space="preserve"> </w:t>
      </w:r>
      <w:r w:rsidRPr="00CC50A8">
        <w:rPr>
          <w:rFonts w:ascii="Arial" w:eastAsia="Calibri" w:hAnsi="Arial" w:cs="Arial"/>
          <w:color w:val="000000" w:themeColor="text1"/>
          <w:sz w:val="20"/>
          <w:szCs w:val="20"/>
          <w:lang w:val="es-ES_tradnl"/>
        </w:rPr>
        <w:t xml:space="preserve">refieren a la autorización que deben solicitar las entidades para asumir obligaciones que afectarán los presupuestos siguientes a los de la vigencia fiscal en la que inició la ejecución. Las </w:t>
      </w:r>
      <w:r w:rsidRPr="00CC50A8">
        <w:rPr>
          <w:rFonts w:ascii="Arial" w:eastAsia="Calibri" w:hAnsi="Arial" w:cs="Arial"/>
          <w:i/>
          <w:iCs/>
          <w:color w:val="000000" w:themeColor="text1"/>
          <w:sz w:val="20"/>
          <w:szCs w:val="20"/>
          <w:lang w:val="es-ES_tradnl"/>
        </w:rPr>
        <w:t>segundas,</w:t>
      </w:r>
      <w:r w:rsidRPr="00CC50A8">
        <w:rPr>
          <w:rFonts w:ascii="Arial" w:eastAsia="Calibri" w:hAnsi="Arial" w:cs="Arial"/>
          <w:color w:val="000000" w:themeColor="text1"/>
          <w:sz w:val="20"/>
          <w:szCs w:val="20"/>
          <w:lang w:val="es-ES_tradnl"/>
        </w:rPr>
        <w:t xml:space="preserve"> esto es, las cuentas por pagar consisten en obligaciones cumplidas en la vigencia actual,</w:t>
      </w:r>
      <w:r w:rsidRPr="00CC50A8">
        <w:rPr>
          <w:rFonts w:ascii="Arial" w:eastAsia="Calibri" w:hAnsi="Arial" w:cs="Arial"/>
          <w:color w:val="000000" w:themeColor="text1"/>
          <w:sz w:val="20"/>
          <w:szCs w:val="20"/>
        </w:rPr>
        <w:t xml:space="preserve"> correspondientes a los anticipos pactados en los contratos y a la entrega de bienes y servicios,</w:t>
      </w:r>
      <w:r w:rsidRPr="00CC50A8">
        <w:rPr>
          <w:rFonts w:ascii="Arial" w:eastAsia="Calibri" w:hAnsi="Arial" w:cs="Arial"/>
          <w:color w:val="000000" w:themeColor="text1"/>
          <w:sz w:val="20"/>
          <w:szCs w:val="20"/>
          <w:lang w:val="es-ES_tradnl"/>
        </w:rPr>
        <w:t xml:space="preserve"> de las cuales solo se encuentra pendiente el pago de acuerdo con los compromisos presupuestales adquiridos por la entidad. Y las </w:t>
      </w:r>
      <w:r w:rsidRPr="00CC50A8">
        <w:rPr>
          <w:rFonts w:ascii="Arial" w:eastAsia="Calibri" w:hAnsi="Arial" w:cs="Arial"/>
          <w:i/>
          <w:iCs/>
          <w:color w:val="000000" w:themeColor="text1"/>
          <w:sz w:val="20"/>
          <w:szCs w:val="20"/>
          <w:lang w:val="es-ES_tradnl"/>
        </w:rPr>
        <w:t xml:space="preserve">terceras, </w:t>
      </w:r>
      <w:r w:rsidRPr="00CC50A8">
        <w:rPr>
          <w:rFonts w:ascii="Arial" w:eastAsia="Calibri" w:hAnsi="Arial" w:cs="Arial"/>
          <w:color w:val="000000" w:themeColor="text1"/>
          <w:sz w:val="20"/>
          <w:szCs w:val="20"/>
          <w:lang w:val="es-ES_tradnl"/>
        </w:rPr>
        <w:t xml:space="preserve">las reservas presupuestales </w:t>
      </w:r>
      <w:r w:rsidRPr="00CC50A8">
        <w:rPr>
          <w:rFonts w:ascii="Arial" w:eastAsia="Calibri" w:hAnsi="Arial" w:cs="Arial"/>
          <w:color w:val="000000" w:themeColor="text1"/>
          <w:sz w:val="20"/>
          <w:szCs w:val="20"/>
          <w:lang w:val="es-ES"/>
        </w:rPr>
        <w:t xml:space="preserve">suponen que «Al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 origen». </w:t>
      </w:r>
    </w:p>
    <w:p w14:paraId="6A10A215" w14:textId="77777777" w:rsidR="00DF4756" w:rsidRPr="009D198D" w:rsidRDefault="00DF4756" w:rsidP="00A15B4E">
      <w:pPr>
        <w:jc w:val="both"/>
        <w:rPr>
          <w:rFonts w:ascii="Arial" w:eastAsia="Calibri" w:hAnsi="Arial" w:cs="Arial"/>
          <w:b/>
          <w:bCs/>
          <w:color w:val="000000" w:themeColor="text1"/>
          <w:sz w:val="20"/>
          <w:szCs w:val="20"/>
          <w:lang w:val="es-ES"/>
        </w:rPr>
      </w:pPr>
    </w:p>
    <w:p w14:paraId="7735382C" w14:textId="0C8ABC93" w:rsidR="00EE3577" w:rsidRPr="00654129" w:rsidRDefault="00EE3577" w:rsidP="00A15B4E">
      <w:pPr>
        <w:jc w:val="both"/>
        <w:rPr>
          <w:rFonts w:ascii="Arial" w:eastAsia="Calibri" w:hAnsi="Arial" w:cs="Arial"/>
          <w:b/>
          <w:bCs/>
          <w:color w:val="000000" w:themeColor="text1"/>
          <w:sz w:val="22"/>
          <w:szCs w:val="22"/>
          <w:lang w:val="es-ES_tradnl" w:eastAsia="en-US"/>
        </w:rPr>
      </w:pPr>
      <w:r w:rsidRPr="00654129">
        <w:rPr>
          <w:rFonts w:ascii="Arial" w:eastAsia="Calibri" w:hAnsi="Arial" w:cs="Arial"/>
          <w:b/>
          <w:bCs/>
          <w:color w:val="000000" w:themeColor="text1"/>
          <w:sz w:val="22"/>
          <w:szCs w:val="22"/>
          <w:lang w:val="es-ES_tradnl"/>
        </w:rPr>
        <w:t>FIDUCIA MERCANTIL ― Fiducia pública ― Patrimonio autónomo ―</w:t>
      </w:r>
      <w:r w:rsidR="00A15B4E" w:rsidRPr="00654129">
        <w:rPr>
          <w:rFonts w:ascii="Arial" w:eastAsia="Calibri" w:hAnsi="Arial" w:cs="Arial"/>
          <w:b/>
          <w:bCs/>
          <w:color w:val="000000" w:themeColor="text1"/>
          <w:sz w:val="22"/>
          <w:szCs w:val="22"/>
          <w:lang w:val="es-ES_tradnl"/>
        </w:rPr>
        <w:t xml:space="preserve"> Encargo fiduciario ―</w:t>
      </w:r>
      <w:r w:rsidRPr="00654129">
        <w:rPr>
          <w:rFonts w:ascii="Arial" w:eastAsia="Calibri" w:hAnsi="Arial" w:cs="Arial"/>
          <w:b/>
          <w:bCs/>
          <w:color w:val="000000" w:themeColor="text1"/>
          <w:sz w:val="22"/>
          <w:szCs w:val="22"/>
          <w:lang w:val="es-ES_tradnl"/>
        </w:rPr>
        <w:t xml:space="preserve"> Diferencias</w:t>
      </w:r>
    </w:p>
    <w:p w14:paraId="7D82C9EF" w14:textId="77777777" w:rsidR="00CC50A8" w:rsidRPr="009D198D" w:rsidRDefault="00CC50A8" w:rsidP="00A15B4E">
      <w:pPr>
        <w:jc w:val="both"/>
        <w:rPr>
          <w:rFonts w:ascii="Arial" w:eastAsia="Calibri" w:hAnsi="Arial" w:cs="Arial"/>
          <w:color w:val="000000" w:themeColor="text1"/>
          <w:sz w:val="20"/>
          <w:szCs w:val="20"/>
          <w:lang w:val="es-ES_tradnl"/>
        </w:rPr>
      </w:pPr>
    </w:p>
    <w:p w14:paraId="0ED0848A" w14:textId="77777777" w:rsidR="00CC50A8" w:rsidRPr="00CC50A8" w:rsidRDefault="00CC50A8" w:rsidP="00CC50A8">
      <w:pPr>
        <w:jc w:val="both"/>
        <w:rPr>
          <w:rFonts w:ascii="Arial" w:eastAsia="Calibri" w:hAnsi="Arial" w:cs="Arial"/>
          <w:color w:val="000000" w:themeColor="text1"/>
          <w:sz w:val="20"/>
          <w:szCs w:val="20"/>
          <w:lang w:val="es-ES_tradnl"/>
        </w:rPr>
      </w:pPr>
      <w:r w:rsidRPr="00CC50A8">
        <w:rPr>
          <w:rFonts w:ascii="Arial" w:eastAsia="Calibri" w:hAnsi="Arial" w:cs="Arial"/>
          <w:color w:val="000000" w:themeColor="text1"/>
          <w:sz w:val="20"/>
          <w:szCs w:val="20"/>
          <w:lang w:val="es-ES_tradnl"/>
        </w:rPr>
        <w:t>El contrato de fiducia mercantil es diferente del contrato de fiducia pública, regulado en el numeral 5º del artículo 32 de la Ley 80 de 1993, pues este último nunca implicará transferencia de dominio sobre bienes o recursos estatales, ni constituirá patrimonio autónomo del propio de la respectiva entidad oficial. En este contexto, la constitución de patrimonios autónomos por parte de entidades estatales solamente puede darse en virtud de una autorización legal, como se explicó, con apoyo en el Consejo de Estado. Respecto de la fiducia pública y el encargo fiduciario, el Consejo de Estado ha precisado que el primero constituye un contrato nuevo y autónomo y el segundo se autoriza solamente para administrar o manejar los recursos vinculados a contratos que las entidades estatales celebren,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 como se explicó en el numeral 2.6 de este concepto.</w:t>
      </w:r>
    </w:p>
    <w:p w14:paraId="6F6A5658" w14:textId="5D7F5525" w:rsidR="00EE3577" w:rsidRPr="009D198D" w:rsidRDefault="00EE3577" w:rsidP="001D3415">
      <w:pPr>
        <w:jc w:val="both"/>
        <w:rPr>
          <w:rFonts w:ascii="Arial" w:eastAsia="Calibri" w:hAnsi="Arial" w:cs="Arial"/>
          <w:color w:val="000000" w:themeColor="text1"/>
          <w:sz w:val="20"/>
          <w:szCs w:val="20"/>
        </w:rPr>
      </w:pPr>
    </w:p>
    <w:p w14:paraId="78F24AEC" w14:textId="023141D0" w:rsidR="00EE3577" w:rsidRPr="009D198D" w:rsidRDefault="00EE3577" w:rsidP="001D3415">
      <w:pPr>
        <w:jc w:val="both"/>
        <w:rPr>
          <w:rFonts w:ascii="Arial" w:eastAsia="Calibri" w:hAnsi="Arial" w:cs="Arial"/>
          <w:color w:val="000000" w:themeColor="text1"/>
          <w:sz w:val="20"/>
          <w:szCs w:val="20"/>
        </w:rPr>
      </w:pPr>
    </w:p>
    <w:p w14:paraId="32F5558D" w14:textId="77777777" w:rsidR="001B6266" w:rsidRPr="009D198D" w:rsidRDefault="001B6266">
      <w:pPr>
        <w:spacing w:after="200" w:line="276" w:lineRule="auto"/>
        <w:rPr>
          <w:rFonts w:ascii="Arial" w:hAnsi="Arial" w:cs="Arial"/>
          <w:noProof/>
          <w:color w:val="000000" w:themeColor="text1"/>
          <w:sz w:val="22"/>
          <w:lang w:val="pt-BR"/>
        </w:rPr>
      </w:pPr>
      <w:r w:rsidRPr="009D198D">
        <w:rPr>
          <w:rFonts w:ascii="Arial" w:hAnsi="Arial" w:cs="Arial"/>
          <w:noProof/>
          <w:color w:val="000000" w:themeColor="text1"/>
          <w:sz w:val="22"/>
          <w:lang w:val="pt-BR"/>
        </w:rPr>
        <w:br w:type="page"/>
      </w:r>
    </w:p>
    <w:p w14:paraId="2E3364D4" w14:textId="77777777" w:rsidR="00CC50A8" w:rsidRDefault="00CC50A8" w:rsidP="00C118DB">
      <w:pPr>
        <w:spacing w:line="276" w:lineRule="auto"/>
        <w:jc w:val="both"/>
        <w:rPr>
          <w:rFonts w:ascii="Arial" w:hAnsi="Arial" w:cs="Arial"/>
          <w:noProof/>
          <w:color w:val="000000" w:themeColor="text1"/>
          <w:sz w:val="22"/>
          <w:lang w:val="pt-BR"/>
        </w:rPr>
      </w:pPr>
    </w:p>
    <w:p w14:paraId="6BFC1920" w14:textId="77777777" w:rsidR="00CC50A8" w:rsidRDefault="00CC50A8" w:rsidP="00C118DB">
      <w:pPr>
        <w:spacing w:line="276" w:lineRule="auto"/>
        <w:jc w:val="both"/>
        <w:rPr>
          <w:rFonts w:ascii="Arial" w:hAnsi="Arial" w:cs="Arial"/>
          <w:noProof/>
          <w:color w:val="000000" w:themeColor="text1"/>
          <w:sz w:val="22"/>
          <w:lang w:val="pt-BR"/>
        </w:rPr>
      </w:pPr>
    </w:p>
    <w:p w14:paraId="0D5FA997" w14:textId="48E71DE6" w:rsidR="00654129" w:rsidRPr="00654129" w:rsidRDefault="00654129" w:rsidP="00654129">
      <w:pPr>
        <w:rPr>
          <w:rFonts w:ascii="Arial" w:eastAsia="Arial" w:hAnsi="Arial" w:cs="Arial"/>
          <w:color w:val="000000"/>
          <w:sz w:val="22"/>
          <w:szCs w:val="22"/>
          <w:lang w:val="es-MX"/>
        </w:rPr>
      </w:pPr>
      <w:r w:rsidRPr="00654129">
        <w:rPr>
          <w:rFonts w:ascii="Arial" w:eastAsia="Arial" w:hAnsi="Arial" w:cs="Arial"/>
          <w:color w:val="000000"/>
          <w:sz w:val="22"/>
          <w:szCs w:val="22"/>
          <w:lang w:val="es-MX"/>
        </w:rPr>
        <w:t xml:space="preserve">Bogotá, </w:t>
      </w:r>
      <w:r>
        <w:rPr>
          <w:rFonts w:ascii="Arial" w:eastAsia="Arial" w:hAnsi="Arial" w:cs="Arial"/>
          <w:color w:val="000000"/>
          <w:sz w:val="22"/>
          <w:szCs w:val="22"/>
          <w:lang w:val="es-MX"/>
        </w:rPr>
        <w:t>04</w:t>
      </w:r>
      <w:r w:rsidRPr="00654129">
        <w:rPr>
          <w:rFonts w:ascii="Arial" w:eastAsia="Arial" w:hAnsi="Arial" w:cs="Arial"/>
          <w:color w:val="000000"/>
          <w:sz w:val="22"/>
          <w:szCs w:val="22"/>
          <w:lang w:val="es-MX"/>
        </w:rPr>
        <w:t xml:space="preserve"> </w:t>
      </w:r>
      <w:proofErr w:type="gramStart"/>
      <w:r>
        <w:rPr>
          <w:rFonts w:ascii="Arial" w:eastAsia="Arial" w:hAnsi="Arial" w:cs="Arial"/>
          <w:color w:val="000000"/>
          <w:sz w:val="22"/>
          <w:szCs w:val="22"/>
          <w:lang w:val="es-MX"/>
        </w:rPr>
        <w:t>Febrero</w:t>
      </w:r>
      <w:proofErr w:type="gramEnd"/>
      <w:r w:rsidRPr="00654129">
        <w:rPr>
          <w:rFonts w:ascii="Arial" w:eastAsia="Arial" w:hAnsi="Arial" w:cs="Arial"/>
          <w:color w:val="000000"/>
          <w:sz w:val="22"/>
          <w:szCs w:val="22"/>
          <w:lang w:val="es-MX"/>
        </w:rPr>
        <w:t xml:space="preserve"> 2022</w:t>
      </w:r>
    </w:p>
    <w:p w14:paraId="36AE699A" w14:textId="77777777" w:rsidR="00631A31" w:rsidRPr="009D198D" w:rsidRDefault="00631A31" w:rsidP="00193B52">
      <w:pPr>
        <w:jc w:val="both"/>
        <w:rPr>
          <w:rFonts w:ascii="Arial" w:hAnsi="Arial" w:cs="Arial"/>
          <w:b/>
          <w:color w:val="000000" w:themeColor="text1"/>
          <w:sz w:val="22"/>
          <w:lang w:val="pt-BR"/>
        </w:rPr>
      </w:pPr>
    </w:p>
    <w:p w14:paraId="5C1617A7" w14:textId="77777777" w:rsidR="00631A31" w:rsidRPr="009D198D" w:rsidRDefault="00631A31" w:rsidP="00F96D27">
      <w:pPr>
        <w:jc w:val="both"/>
        <w:rPr>
          <w:rFonts w:ascii="Arial" w:eastAsia="Calibri" w:hAnsi="Arial" w:cs="Arial"/>
          <w:noProof/>
          <w:color w:val="000000" w:themeColor="text1"/>
          <w:sz w:val="20"/>
          <w:lang w:val="pt-BR"/>
        </w:rPr>
      </w:pPr>
    </w:p>
    <w:p w14:paraId="5E89E106" w14:textId="2996A89E" w:rsidR="00B95C30" w:rsidRPr="009D198D" w:rsidRDefault="00037632" w:rsidP="00B95C30">
      <w:pPr>
        <w:spacing w:line="276" w:lineRule="auto"/>
        <w:jc w:val="right"/>
        <w:rPr>
          <w:rFonts w:ascii="Arial" w:hAnsi="Arial" w:cs="Arial"/>
          <w:b/>
          <w:noProof/>
          <w:color w:val="000000" w:themeColor="text1"/>
          <w:sz w:val="22"/>
          <w:szCs w:val="22"/>
          <w:lang w:val="pt-BR"/>
        </w:rPr>
      </w:pPr>
      <w:r w:rsidRPr="00037632">
        <w:rPr>
          <w:rFonts w:ascii="Arial" w:hAnsi="Arial" w:cs="Arial"/>
          <w:b/>
          <w:noProof/>
          <w:color w:val="000000" w:themeColor="text1"/>
          <w:sz w:val="22"/>
          <w:szCs w:val="22"/>
          <w:lang w:val="pt-BR"/>
        </w:rPr>
        <w:drawing>
          <wp:inline distT="0" distB="0" distL="0" distR="0" wp14:anchorId="6BF0D95F" wp14:editId="526101E6">
            <wp:extent cx="241935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695325"/>
                    </a:xfrm>
                    <a:prstGeom prst="rect">
                      <a:avLst/>
                    </a:prstGeom>
                    <a:noFill/>
                    <a:ln>
                      <a:noFill/>
                    </a:ln>
                  </pic:spPr>
                </pic:pic>
              </a:graphicData>
            </a:graphic>
          </wp:inline>
        </w:drawing>
      </w:r>
    </w:p>
    <w:p w14:paraId="6A8A869B" w14:textId="77777777" w:rsidR="00B95C30" w:rsidRPr="009D198D" w:rsidRDefault="00B95C30" w:rsidP="00B95C30">
      <w:pPr>
        <w:jc w:val="both"/>
        <w:rPr>
          <w:rFonts w:ascii="Arial" w:hAnsi="Arial" w:cs="Arial"/>
          <w:b/>
          <w:color w:val="000000" w:themeColor="text1"/>
          <w:sz w:val="22"/>
          <w:lang w:val="pt-BR"/>
        </w:rPr>
      </w:pPr>
    </w:p>
    <w:p w14:paraId="5FDF9495" w14:textId="77777777" w:rsidR="00631A31" w:rsidRPr="009D198D" w:rsidRDefault="00631A31" w:rsidP="00B95C30">
      <w:pPr>
        <w:jc w:val="both"/>
        <w:rPr>
          <w:rFonts w:ascii="Arial" w:hAnsi="Arial" w:cs="Arial"/>
          <w:b/>
          <w:color w:val="000000" w:themeColor="text1"/>
          <w:sz w:val="22"/>
          <w:lang w:val="pt-BR"/>
        </w:rPr>
      </w:pPr>
    </w:p>
    <w:p w14:paraId="5F5AE9EF" w14:textId="526EE870" w:rsidR="00B95C30" w:rsidRPr="009D198D" w:rsidRDefault="00B95C30" w:rsidP="00B95C30">
      <w:pPr>
        <w:jc w:val="both"/>
        <w:rPr>
          <w:rFonts w:ascii="Arial" w:eastAsia="Calibri" w:hAnsi="Arial" w:cs="Arial"/>
          <w:color w:val="000000" w:themeColor="text1"/>
          <w:sz w:val="22"/>
          <w:lang w:val="es-ES_tradnl"/>
        </w:rPr>
      </w:pPr>
      <w:r w:rsidRPr="009D198D">
        <w:rPr>
          <w:rFonts w:ascii="Arial" w:eastAsia="Calibri" w:hAnsi="Arial" w:cs="Arial"/>
          <w:color w:val="000000" w:themeColor="text1"/>
          <w:sz w:val="22"/>
          <w:lang w:val="es-ES_tradnl"/>
        </w:rPr>
        <w:t>Señor</w:t>
      </w:r>
    </w:p>
    <w:p w14:paraId="08A0FA34" w14:textId="1FFC32DA" w:rsidR="007D409B" w:rsidRPr="009D198D" w:rsidRDefault="00030003" w:rsidP="00B95C30">
      <w:pPr>
        <w:jc w:val="both"/>
        <w:rPr>
          <w:rFonts w:ascii="Arial" w:eastAsia="Calibri" w:hAnsi="Arial" w:cs="Arial"/>
          <w:b/>
          <w:color w:val="000000" w:themeColor="text1"/>
          <w:sz w:val="22"/>
        </w:rPr>
      </w:pPr>
      <w:r w:rsidRPr="009D198D">
        <w:rPr>
          <w:rFonts w:ascii="Arial" w:eastAsia="Calibri" w:hAnsi="Arial" w:cs="Arial"/>
          <w:b/>
          <w:color w:val="000000" w:themeColor="text1"/>
          <w:sz w:val="22"/>
        </w:rPr>
        <w:t>Yeison Rodrigo Castillo</w:t>
      </w:r>
      <w:r w:rsidR="006305C1" w:rsidRPr="009D198D">
        <w:rPr>
          <w:rFonts w:ascii="Arial" w:eastAsia="Calibri" w:hAnsi="Arial" w:cs="Arial"/>
          <w:b/>
          <w:color w:val="000000" w:themeColor="text1"/>
          <w:sz w:val="22"/>
        </w:rPr>
        <w:t xml:space="preserve"> Briceño</w:t>
      </w:r>
    </w:p>
    <w:p w14:paraId="49EE3453" w14:textId="7E166C71" w:rsidR="00030003" w:rsidRPr="009D198D" w:rsidRDefault="00030003" w:rsidP="00B95C30">
      <w:pPr>
        <w:jc w:val="both"/>
        <w:rPr>
          <w:rFonts w:ascii="Arial" w:eastAsia="Calibri" w:hAnsi="Arial" w:cs="Arial"/>
          <w:bCs/>
          <w:color w:val="000000" w:themeColor="text1"/>
          <w:sz w:val="22"/>
        </w:rPr>
      </w:pPr>
      <w:r w:rsidRPr="009D198D">
        <w:rPr>
          <w:rFonts w:ascii="Arial" w:eastAsia="Calibri" w:hAnsi="Arial" w:cs="Arial"/>
          <w:bCs/>
          <w:color w:val="000000" w:themeColor="text1"/>
          <w:sz w:val="22"/>
        </w:rPr>
        <w:t>Secretario Jurídico y de Contratación</w:t>
      </w:r>
    </w:p>
    <w:p w14:paraId="3D4B37C4" w14:textId="7FC667F2" w:rsidR="00030003" w:rsidRPr="009D198D" w:rsidRDefault="00030003" w:rsidP="00B95C30">
      <w:pPr>
        <w:jc w:val="both"/>
        <w:rPr>
          <w:rFonts w:ascii="Arial" w:eastAsia="Calibri" w:hAnsi="Arial" w:cs="Arial"/>
          <w:b/>
          <w:color w:val="000000" w:themeColor="text1"/>
          <w:sz w:val="22"/>
          <w:lang w:val="es-ES_tradnl"/>
        </w:rPr>
      </w:pPr>
      <w:r w:rsidRPr="009D198D">
        <w:rPr>
          <w:rFonts w:ascii="Arial" w:eastAsia="Calibri" w:hAnsi="Arial" w:cs="Arial"/>
          <w:bCs/>
          <w:color w:val="000000" w:themeColor="text1"/>
          <w:sz w:val="22"/>
        </w:rPr>
        <w:t xml:space="preserve">Gobernación del </w:t>
      </w:r>
      <w:proofErr w:type="spellStart"/>
      <w:r w:rsidRPr="009D198D">
        <w:rPr>
          <w:rFonts w:ascii="Arial" w:eastAsia="Calibri" w:hAnsi="Arial" w:cs="Arial"/>
          <w:bCs/>
          <w:color w:val="000000" w:themeColor="text1"/>
          <w:sz w:val="22"/>
        </w:rPr>
        <w:t>Guanía</w:t>
      </w:r>
      <w:proofErr w:type="spellEnd"/>
    </w:p>
    <w:p w14:paraId="1F53FEB5" w14:textId="46350B1C" w:rsidR="00631A31" w:rsidRPr="009D198D" w:rsidRDefault="00CA2206" w:rsidP="00B95C30">
      <w:pPr>
        <w:jc w:val="both"/>
        <w:rPr>
          <w:rFonts w:ascii="Arial" w:eastAsia="Calibri" w:hAnsi="Arial" w:cs="Arial"/>
          <w:color w:val="000000" w:themeColor="text1"/>
          <w:sz w:val="22"/>
          <w:lang w:val="es-ES_tradnl"/>
        </w:rPr>
      </w:pPr>
      <w:proofErr w:type="spellStart"/>
      <w:r w:rsidRPr="009D198D">
        <w:rPr>
          <w:rFonts w:ascii="Arial" w:eastAsia="Calibri" w:hAnsi="Arial" w:cs="Arial"/>
          <w:color w:val="000000" w:themeColor="text1"/>
          <w:sz w:val="22"/>
          <w:lang w:val="es-ES_tradnl"/>
        </w:rPr>
        <w:t>Irínida</w:t>
      </w:r>
      <w:proofErr w:type="spellEnd"/>
      <w:r w:rsidRPr="009D198D">
        <w:rPr>
          <w:rFonts w:ascii="Arial" w:eastAsia="Calibri" w:hAnsi="Arial" w:cs="Arial"/>
          <w:color w:val="000000" w:themeColor="text1"/>
          <w:sz w:val="22"/>
          <w:lang w:val="es-ES_tradnl"/>
        </w:rPr>
        <w:t xml:space="preserve">, </w:t>
      </w:r>
      <w:proofErr w:type="spellStart"/>
      <w:r w:rsidRPr="009D198D">
        <w:rPr>
          <w:rFonts w:ascii="Arial" w:eastAsia="Calibri" w:hAnsi="Arial" w:cs="Arial"/>
          <w:color w:val="000000" w:themeColor="text1"/>
          <w:sz w:val="22"/>
          <w:lang w:val="es-ES_tradnl"/>
        </w:rPr>
        <w:t>Guanía</w:t>
      </w:r>
      <w:proofErr w:type="spellEnd"/>
      <w:r w:rsidRPr="009D198D">
        <w:rPr>
          <w:rFonts w:ascii="Arial" w:eastAsia="Calibri" w:hAnsi="Arial" w:cs="Arial"/>
          <w:color w:val="000000" w:themeColor="text1"/>
          <w:sz w:val="22"/>
          <w:lang w:val="es-ES_tradnl"/>
        </w:rPr>
        <w:t xml:space="preserve"> </w:t>
      </w:r>
    </w:p>
    <w:p w14:paraId="6F1EED12" w14:textId="77777777" w:rsidR="00F96D27" w:rsidRPr="009D198D" w:rsidRDefault="00F96D27" w:rsidP="00B95C30">
      <w:pPr>
        <w:jc w:val="both"/>
        <w:rPr>
          <w:rFonts w:ascii="Arial" w:eastAsia="Calibri" w:hAnsi="Arial" w:cs="Arial"/>
          <w:color w:val="000000" w:themeColor="text1"/>
          <w:sz w:val="22"/>
          <w:lang w:val="es-ES_tradnl"/>
        </w:rPr>
      </w:pPr>
    </w:p>
    <w:p w14:paraId="1BD594F9" w14:textId="0C0BC965" w:rsidR="00B95C30" w:rsidRPr="009D198D" w:rsidRDefault="00B7377E" w:rsidP="003C0791">
      <w:pPr>
        <w:rPr>
          <w:rFonts w:ascii="Arial" w:eastAsia="Calibri" w:hAnsi="Arial" w:cs="Arial"/>
          <w:b/>
          <w:bCs/>
          <w:color w:val="000000" w:themeColor="text1"/>
          <w:sz w:val="22"/>
          <w:lang w:val="es-ES_tradnl"/>
        </w:rPr>
      </w:pPr>
      <w:r w:rsidRPr="009D198D">
        <w:rPr>
          <w:rFonts w:ascii="Arial" w:eastAsia="Calibri" w:hAnsi="Arial" w:cs="Arial"/>
          <w:b/>
          <w:bCs/>
          <w:color w:val="000000" w:themeColor="text1"/>
          <w:sz w:val="22"/>
          <w:lang w:val="es-ES_tradnl"/>
        </w:rPr>
        <w:t xml:space="preserve">                     </w:t>
      </w:r>
      <w:r w:rsidR="00762F5D" w:rsidRPr="009D198D">
        <w:rPr>
          <w:rFonts w:ascii="Arial" w:eastAsia="Calibri" w:hAnsi="Arial" w:cs="Arial"/>
          <w:b/>
          <w:bCs/>
          <w:color w:val="000000" w:themeColor="text1"/>
          <w:sz w:val="22"/>
          <w:lang w:val="es-ES_tradnl"/>
        </w:rPr>
        <w:t xml:space="preserve">                       </w:t>
      </w:r>
      <w:r w:rsidR="00023FA5" w:rsidRPr="009D198D">
        <w:rPr>
          <w:rFonts w:ascii="Arial" w:eastAsia="Calibri" w:hAnsi="Arial" w:cs="Arial"/>
          <w:b/>
          <w:bCs/>
          <w:color w:val="000000" w:themeColor="text1"/>
          <w:sz w:val="22"/>
          <w:lang w:val="es-ES_tradnl"/>
        </w:rPr>
        <w:t xml:space="preserve">Concepto C ‒ </w:t>
      </w:r>
      <w:r w:rsidR="00CA2206" w:rsidRPr="009D198D">
        <w:rPr>
          <w:rFonts w:ascii="Arial" w:eastAsia="Calibri" w:hAnsi="Arial" w:cs="Arial"/>
          <w:b/>
          <w:bCs/>
          <w:color w:val="000000" w:themeColor="text1"/>
          <w:sz w:val="22"/>
          <w:lang w:val="es-ES_tradnl"/>
        </w:rPr>
        <w:t>744</w:t>
      </w:r>
      <w:r w:rsidR="00275FBF" w:rsidRPr="009D198D">
        <w:rPr>
          <w:rFonts w:ascii="Arial" w:eastAsia="Calibri" w:hAnsi="Arial" w:cs="Arial"/>
          <w:b/>
          <w:bCs/>
          <w:color w:val="000000" w:themeColor="text1"/>
          <w:sz w:val="22"/>
          <w:lang w:val="es-ES_tradnl"/>
        </w:rPr>
        <w:t xml:space="preserve"> de 202</w:t>
      </w:r>
      <w:r w:rsidR="00DC6DCE" w:rsidRPr="009D198D">
        <w:rPr>
          <w:rFonts w:ascii="Arial" w:eastAsia="Calibri" w:hAnsi="Arial" w:cs="Arial"/>
          <w:b/>
          <w:bCs/>
          <w:color w:val="000000" w:themeColor="text1"/>
          <w:sz w:val="22"/>
          <w:lang w:val="es-ES_tradnl"/>
        </w:rPr>
        <w:t>1</w:t>
      </w:r>
    </w:p>
    <w:p w14:paraId="1E43C8B9" w14:textId="77777777" w:rsidR="009A52E4" w:rsidRPr="009D198D"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9D198D" w14:paraId="19DFC051" w14:textId="77777777" w:rsidTr="00D15356">
        <w:tc>
          <w:tcPr>
            <w:tcW w:w="2689" w:type="dxa"/>
          </w:tcPr>
          <w:p w14:paraId="6BC0D1AC" w14:textId="5C27C667" w:rsidR="00B95C30" w:rsidRPr="009D198D" w:rsidRDefault="00B95C30" w:rsidP="00D15356">
            <w:pPr>
              <w:jc w:val="both"/>
              <w:rPr>
                <w:rFonts w:ascii="Arial" w:eastAsia="Calibri" w:hAnsi="Arial" w:cs="Arial"/>
                <w:color w:val="000000" w:themeColor="text1"/>
                <w:lang w:val="es-ES_tradnl"/>
              </w:rPr>
            </w:pPr>
            <w:r w:rsidRPr="009D198D">
              <w:rPr>
                <w:rFonts w:ascii="Arial" w:eastAsia="Calibri" w:hAnsi="Arial" w:cs="Arial"/>
                <w:b/>
                <w:color w:val="000000" w:themeColor="text1"/>
                <w:lang w:val="es-ES_tradnl"/>
              </w:rPr>
              <w:t>Temas:</w:t>
            </w:r>
            <w:r w:rsidR="00B7377E" w:rsidRPr="009D198D">
              <w:rPr>
                <w:rFonts w:ascii="Arial" w:eastAsia="Calibri" w:hAnsi="Arial" w:cs="Arial"/>
                <w:color w:val="000000" w:themeColor="text1"/>
                <w:lang w:val="es-ES_tradnl"/>
              </w:rPr>
              <w:t xml:space="preserve">                   </w:t>
            </w:r>
          </w:p>
        </w:tc>
        <w:tc>
          <w:tcPr>
            <w:tcW w:w="6237" w:type="dxa"/>
          </w:tcPr>
          <w:p w14:paraId="5F389CAF" w14:textId="1D02A977" w:rsidR="00B95C30" w:rsidRPr="009D198D" w:rsidRDefault="00A15B4E" w:rsidP="00A15B4E">
            <w:pPr>
              <w:jc w:val="both"/>
              <w:rPr>
                <w:rFonts w:ascii="Arial" w:eastAsia="Calibri" w:hAnsi="Arial" w:cs="Arial"/>
                <w:bCs/>
                <w:color w:val="000000" w:themeColor="text1"/>
                <w:sz w:val="22"/>
                <w:szCs w:val="22"/>
                <w:lang w:val="es-ES_tradnl" w:eastAsia="en-US"/>
              </w:rPr>
            </w:pPr>
            <w:r w:rsidRPr="00864B4A">
              <w:rPr>
                <w:rFonts w:ascii="Arial" w:eastAsia="Calibri" w:hAnsi="Arial" w:cs="Arial"/>
                <w:bCs/>
                <w:color w:val="000000" w:themeColor="text1"/>
                <w:sz w:val="22"/>
                <w:szCs w:val="22"/>
              </w:rPr>
              <w:t xml:space="preserve">PRINCIPIO DE PUBLICIDAD – Noción / </w:t>
            </w:r>
            <w:r w:rsidRPr="00864B4A">
              <w:rPr>
                <w:rFonts w:ascii="Arial" w:eastAsia="Arial" w:hAnsi="Arial" w:cs="Arial"/>
                <w:bCs/>
                <w:sz w:val="22"/>
                <w:szCs w:val="22"/>
                <w:lang w:val="es-ES"/>
              </w:rPr>
              <w:t>SECOP – Publicación de documentos</w:t>
            </w:r>
            <w:r w:rsidRPr="00864B4A">
              <w:rPr>
                <w:rFonts w:ascii="Arial" w:hAnsi="Arial" w:cs="Arial"/>
                <w:bCs/>
                <w:sz w:val="22"/>
                <w:szCs w:val="22"/>
                <w:lang w:val="es-ES"/>
              </w:rPr>
              <w:t xml:space="preserve"> – </w:t>
            </w:r>
            <w:r w:rsidRPr="00864B4A">
              <w:rPr>
                <w:rFonts w:ascii="Arial" w:eastAsia="Arial" w:hAnsi="Arial" w:cs="Arial"/>
                <w:bCs/>
                <w:sz w:val="22"/>
                <w:szCs w:val="22"/>
                <w:lang w:val="es-ES"/>
              </w:rPr>
              <w:t>Deber de publicación</w:t>
            </w:r>
            <w:r w:rsidRPr="00864B4A">
              <w:rPr>
                <w:rFonts w:ascii="Arial" w:hAnsi="Arial" w:cs="Arial"/>
                <w:bCs/>
                <w:sz w:val="22"/>
                <w:szCs w:val="22"/>
                <w:lang w:val="es-ES"/>
              </w:rPr>
              <w:t xml:space="preserve"> / DOCUMENTOS DEL PROCESO – Proceso de contratación –Publicación – Plazo de publicación / </w:t>
            </w:r>
            <w:r w:rsidRPr="00864B4A">
              <w:rPr>
                <w:rFonts w:ascii="Arial" w:eastAsia="Calibri" w:hAnsi="Arial" w:cs="Arial"/>
                <w:bCs/>
                <w:sz w:val="22"/>
                <w:szCs w:val="22"/>
                <w:lang w:val="es-ES"/>
              </w:rPr>
              <w:t xml:space="preserve">SECOP II – Medio de publicidad – Plataforma transaccional / </w:t>
            </w:r>
            <w:r w:rsidRPr="00864B4A">
              <w:rPr>
                <w:rFonts w:ascii="Arial" w:eastAsia="Calibri" w:hAnsi="Arial" w:cs="Arial"/>
                <w:bCs/>
                <w:sz w:val="22"/>
                <w:szCs w:val="22"/>
                <w:lang w:val="es-MX" w:eastAsia="en-US"/>
              </w:rPr>
              <w:t>PLAN ANUAL DE ADQUISICIONES – Plan de acción /</w:t>
            </w:r>
            <w:r w:rsidRPr="00864B4A">
              <w:rPr>
                <w:rFonts w:ascii="Arial" w:eastAsia="Calibri" w:hAnsi="Arial" w:cs="Arial"/>
                <w:bCs/>
                <w:sz w:val="22"/>
                <w:szCs w:val="22"/>
              </w:rPr>
              <w:t xml:space="preserve"> PLAN ANUAL DE ADQUISICIONES – Publicación antes de contratar / </w:t>
            </w:r>
            <w:r w:rsidRPr="00864B4A">
              <w:rPr>
                <w:rFonts w:ascii="Arial" w:hAnsi="Arial" w:cs="Arial"/>
                <w:bCs/>
                <w:sz w:val="22"/>
                <w:szCs w:val="22"/>
                <w:lang w:val="es-ES"/>
              </w:rPr>
              <w:t>ETAPAS PROCESO CONTRACTUAL</w:t>
            </w:r>
            <w:r w:rsidRPr="00864B4A">
              <w:rPr>
                <w:rFonts w:ascii="Arial" w:eastAsia="Calibri" w:hAnsi="Arial" w:cs="Arial"/>
                <w:bCs/>
                <w:sz w:val="22"/>
                <w:szCs w:val="22"/>
              </w:rPr>
              <w:t xml:space="preserve">– Actividad precontractual – Etapa contractual – Etapa </w:t>
            </w:r>
            <w:proofErr w:type="spellStart"/>
            <w:r w:rsidRPr="00864B4A">
              <w:rPr>
                <w:rFonts w:ascii="Arial" w:eastAsia="Calibri" w:hAnsi="Arial" w:cs="Arial"/>
                <w:bCs/>
                <w:sz w:val="22"/>
                <w:szCs w:val="22"/>
              </w:rPr>
              <w:t>Postcontractual</w:t>
            </w:r>
            <w:proofErr w:type="spellEnd"/>
            <w:r w:rsidRPr="00864B4A">
              <w:rPr>
                <w:rFonts w:ascii="Arial" w:eastAsia="Calibri" w:hAnsi="Arial" w:cs="Arial"/>
                <w:bCs/>
                <w:sz w:val="22"/>
                <w:szCs w:val="22"/>
              </w:rPr>
              <w:t xml:space="preserve"> / </w:t>
            </w:r>
            <w:r w:rsidRPr="00864B4A">
              <w:rPr>
                <w:rFonts w:ascii="Arial" w:eastAsia="Calibri" w:hAnsi="Arial" w:cs="Arial"/>
                <w:bCs/>
                <w:color w:val="000000" w:themeColor="text1"/>
                <w:sz w:val="22"/>
                <w:szCs w:val="22"/>
              </w:rPr>
              <w:t xml:space="preserve">SELECCIÓN DE CONTRATISTA – Procedimiento reglado – Etapas – Términos perentorios y preclusivos / </w:t>
            </w:r>
            <w:r w:rsidRPr="00864B4A">
              <w:rPr>
                <w:rFonts w:ascii="Arial" w:eastAsia="Calibri" w:hAnsi="Arial" w:cs="Arial"/>
                <w:bCs/>
                <w:color w:val="000000" w:themeColor="text1"/>
                <w:sz w:val="22"/>
                <w:szCs w:val="22"/>
                <w:lang w:val="es-MX"/>
              </w:rPr>
              <w:t xml:space="preserve">AUDIENCIA DE ADJUDICACIÓN </w:t>
            </w:r>
            <w:r w:rsidRPr="00864B4A">
              <w:rPr>
                <w:rFonts w:ascii="Arial" w:eastAsia="Calibri" w:hAnsi="Arial" w:cs="Arial"/>
                <w:bCs/>
                <w:color w:val="000000" w:themeColor="text1"/>
                <w:sz w:val="22"/>
                <w:szCs w:val="22"/>
              </w:rPr>
              <w:t xml:space="preserve">– Adjudicación del contrato – Obligatoriedad / </w:t>
            </w:r>
            <w:r w:rsidRPr="00864B4A">
              <w:rPr>
                <w:rFonts w:ascii="Arial" w:eastAsia="Calibri" w:hAnsi="Arial" w:cs="Arial"/>
                <w:bCs/>
                <w:sz w:val="22"/>
                <w:szCs w:val="22"/>
                <w:lang w:val="es-MX" w:eastAsia="en-US"/>
              </w:rPr>
              <w:t xml:space="preserve">AUDIENCIA DE ADJUDICACIÓN </w:t>
            </w:r>
            <w:r w:rsidRPr="00864B4A">
              <w:rPr>
                <w:rFonts w:ascii="Arial" w:eastAsia="Calibri" w:hAnsi="Arial" w:cs="Arial"/>
                <w:bCs/>
                <w:color w:val="000000" w:themeColor="text1"/>
                <w:sz w:val="22"/>
                <w:szCs w:val="22"/>
              </w:rPr>
              <w:t xml:space="preserve">– Licitación pública para seleccionar contratistas de obra pública – Actuaciones / </w:t>
            </w:r>
            <w:r w:rsidRPr="00864B4A">
              <w:rPr>
                <w:rFonts w:ascii="Arial" w:eastAsia="Calibri" w:hAnsi="Arial" w:cs="Arial"/>
                <w:bCs/>
                <w:sz w:val="22"/>
                <w:szCs w:val="22"/>
                <w:lang w:val="es-MX" w:eastAsia="en-US"/>
              </w:rPr>
              <w:t xml:space="preserve">AUDIENCIA DE ADJUDICACIÓN </w:t>
            </w:r>
            <w:r w:rsidRPr="00864B4A">
              <w:rPr>
                <w:rFonts w:ascii="Arial" w:eastAsia="Calibri" w:hAnsi="Arial" w:cs="Arial"/>
                <w:bCs/>
                <w:color w:val="000000" w:themeColor="text1"/>
                <w:sz w:val="22"/>
                <w:szCs w:val="22"/>
              </w:rPr>
              <w:t xml:space="preserve">– Adendas – Modificación al cronograma / </w:t>
            </w:r>
            <w:r w:rsidRPr="00864B4A">
              <w:rPr>
                <w:rFonts w:ascii="Arial" w:eastAsia="Calibri" w:hAnsi="Arial" w:cs="Arial"/>
                <w:bCs/>
                <w:sz w:val="22"/>
                <w:szCs w:val="22"/>
                <w:lang w:val="es-ES_tradnl"/>
              </w:rPr>
              <w:t xml:space="preserve">LEY DE EMPRENDIMIENTO </w:t>
            </w:r>
            <w:r w:rsidRPr="00864B4A">
              <w:rPr>
                <w:rFonts w:ascii="Arial" w:eastAsia="Calibri" w:hAnsi="Arial" w:cs="Arial"/>
                <w:bCs/>
                <w:color w:val="000000" w:themeColor="text1"/>
                <w:sz w:val="22"/>
                <w:szCs w:val="22"/>
                <w:lang w:val="es-ES_tradnl"/>
              </w:rPr>
              <w:t>–</w:t>
            </w:r>
            <w:r w:rsidRPr="00864B4A">
              <w:rPr>
                <w:rFonts w:ascii="Arial" w:eastAsia="Calibri" w:hAnsi="Arial" w:cs="Arial"/>
                <w:bCs/>
                <w:sz w:val="22"/>
                <w:szCs w:val="22"/>
                <w:lang w:val="es-ES_tradnl"/>
              </w:rPr>
              <w:t xml:space="preserve"> Ley 2069 de 2020 </w:t>
            </w:r>
            <w:r w:rsidRPr="00864B4A">
              <w:rPr>
                <w:rFonts w:ascii="Arial" w:eastAsia="Calibri" w:hAnsi="Arial" w:cs="Arial"/>
                <w:bCs/>
                <w:color w:val="000000" w:themeColor="text1"/>
                <w:sz w:val="22"/>
                <w:szCs w:val="22"/>
                <w:lang w:val="es-ES_tradnl"/>
              </w:rPr>
              <w:t xml:space="preserve">– Vigencia / </w:t>
            </w:r>
            <w:r w:rsidRPr="00864B4A">
              <w:rPr>
                <w:rFonts w:ascii="Arial" w:eastAsia="Calibri" w:hAnsi="Arial" w:cs="Arial"/>
                <w:bCs/>
                <w:sz w:val="22"/>
                <w:szCs w:val="22"/>
                <w:lang w:val="es-ES_tradnl"/>
              </w:rPr>
              <w:t xml:space="preserve">PROMOCIÓN DEL DESARROLLO </w:t>
            </w:r>
            <w:r w:rsidRPr="00864B4A">
              <w:rPr>
                <w:rFonts w:ascii="Arial" w:eastAsia="Calibri" w:hAnsi="Arial" w:cs="Arial"/>
                <w:bCs/>
                <w:color w:val="000000" w:themeColor="text1"/>
                <w:sz w:val="22"/>
                <w:szCs w:val="22"/>
                <w:lang w:val="es-ES_tradnl"/>
              </w:rPr>
              <w:t>– Contratación estatal –</w:t>
            </w:r>
            <w:r w:rsidRPr="00864B4A">
              <w:rPr>
                <w:rFonts w:ascii="Arial" w:eastAsia="Calibri" w:hAnsi="Arial" w:cs="Arial"/>
                <w:bCs/>
                <w:sz w:val="22"/>
                <w:szCs w:val="22"/>
                <w:lang w:val="es-ES_tradnl"/>
              </w:rPr>
              <w:t xml:space="preserve"> Ley 2069 </w:t>
            </w:r>
            <w:r w:rsidRPr="00864B4A">
              <w:rPr>
                <w:rFonts w:ascii="Arial" w:eastAsia="Calibri" w:hAnsi="Arial" w:cs="Arial"/>
                <w:bCs/>
                <w:color w:val="000000" w:themeColor="text1"/>
                <w:sz w:val="22"/>
                <w:szCs w:val="22"/>
                <w:lang w:val="es-ES_tradnl"/>
              </w:rPr>
              <w:t xml:space="preserve">– Artículo 34 – Subrogación / </w:t>
            </w:r>
            <w:r w:rsidRPr="00864B4A">
              <w:rPr>
                <w:rFonts w:ascii="Arial" w:eastAsia="Calibri" w:hAnsi="Arial" w:cs="Arial"/>
                <w:bCs/>
                <w:sz w:val="22"/>
                <w:szCs w:val="22"/>
                <w:lang w:val="es-ES_tradnl"/>
              </w:rPr>
              <w:t xml:space="preserve">MIPYMES </w:t>
            </w:r>
            <w:r w:rsidRPr="00864B4A">
              <w:rPr>
                <w:rFonts w:ascii="Arial" w:eastAsia="Calibri" w:hAnsi="Arial" w:cs="Arial"/>
                <w:bCs/>
                <w:color w:val="000000" w:themeColor="text1"/>
                <w:sz w:val="22"/>
                <w:szCs w:val="22"/>
                <w:lang w:val="es-ES_tradnl"/>
              </w:rPr>
              <w:t>–</w:t>
            </w:r>
            <w:r w:rsidRPr="00864B4A">
              <w:rPr>
                <w:rFonts w:ascii="Arial" w:eastAsia="Calibri" w:hAnsi="Arial" w:cs="Arial"/>
                <w:bCs/>
                <w:sz w:val="22"/>
                <w:szCs w:val="22"/>
                <w:lang w:val="es-ES_tradnl"/>
              </w:rPr>
              <w:t xml:space="preserve"> Ley 2069 </w:t>
            </w:r>
            <w:r w:rsidRPr="00864B4A">
              <w:rPr>
                <w:rFonts w:ascii="Arial" w:eastAsia="Calibri" w:hAnsi="Arial" w:cs="Arial"/>
                <w:bCs/>
                <w:color w:val="000000" w:themeColor="text1"/>
                <w:sz w:val="22"/>
                <w:szCs w:val="22"/>
                <w:lang w:val="es-ES_tradnl"/>
              </w:rPr>
              <w:t>– Artículo 34 – Convocatorias limitadas – Vigencia</w:t>
            </w:r>
            <w:r w:rsidRPr="00864B4A">
              <w:rPr>
                <w:rFonts w:ascii="Arial" w:eastAsia="Calibri" w:hAnsi="Arial" w:cs="Arial"/>
                <w:bCs/>
                <w:sz w:val="22"/>
                <w:szCs w:val="22"/>
                <w:lang w:val="es-ES_tradnl"/>
              </w:rPr>
              <w:t xml:space="preserve"> </w:t>
            </w:r>
            <w:r w:rsidRPr="00864B4A">
              <w:rPr>
                <w:rFonts w:ascii="Arial" w:eastAsia="Calibri" w:hAnsi="Arial" w:cs="Arial"/>
                <w:bCs/>
                <w:color w:val="000000" w:themeColor="text1"/>
                <w:sz w:val="22"/>
                <w:szCs w:val="22"/>
                <w:lang w:val="es-ES_tradnl"/>
              </w:rPr>
              <w:t xml:space="preserve">– Artículo 2.2.1.2.4.2.2 / CONVOCATORIAS LIMITADAS – Decreto 1860 de 2021 – Vigencia / </w:t>
            </w:r>
            <w:r w:rsidR="00EB485D" w:rsidRPr="00864B4A">
              <w:rPr>
                <w:rFonts w:ascii="Arial" w:eastAsia="Calibri" w:hAnsi="Arial" w:cs="Arial"/>
                <w:bCs/>
                <w:color w:val="000000" w:themeColor="text1"/>
                <w:sz w:val="22"/>
                <w:szCs w:val="22"/>
                <w:lang w:val="es-ES"/>
              </w:rPr>
              <w:t>PRINCIPIO DE ANUALIDAD – Definición /</w:t>
            </w:r>
            <w:r w:rsidR="00B7377E" w:rsidRPr="00864B4A">
              <w:rPr>
                <w:rFonts w:ascii="Arial" w:eastAsia="Calibri" w:hAnsi="Arial" w:cs="Arial"/>
                <w:bCs/>
                <w:color w:val="000000" w:themeColor="text1"/>
                <w:sz w:val="22"/>
                <w:szCs w:val="22"/>
                <w:lang w:val="es-ES"/>
              </w:rPr>
              <w:t xml:space="preserve"> </w:t>
            </w:r>
            <w:r w:rsidR="00EB485D" w:rsidRPr="00864B4A">
              <w:rPr>
                <w:rFonts w:ascii="Arial" w:eastAsia="Calibri" w:hAnsi="Arial" w:cs="Arial"/>
                <w:bCs/>
                <w:color w:val="000000" w:themeColor="text1"/>
                <w:sz w:val="22"/>
                <w:szCs w:val="22"/>
                <w:lang w:val="es-ES"/>
              </w:rPr>
              <w:t xml:space="preserve">PRINCIPIO DE ANUALIDAD – Excepciones / </w:t>
            </w:r>
            <w:r w:rsidR="00EB485D" w:rsidRPr="00864B4A">
              <w:rPr>
                <w:rFonts w:ascii="Arial" w:eastAsia="Calibri" w:hAnsi="Arial" w:cs="Arial"/>
                <w:bCs/>
                <w:color w:val="000000" w:themeColor="text1"/>
                <w:sz w:val="22"/>
                <w:szCs w:val="22"/>
                <w:lang w:val="es-ES_tradnl"/>
              </w:rPr>
              <w:t>FIDUCIA MERCANTIL ― Fiducia pública ― Patrimonio autónomo ― Encargo fiduciario ― Diferencias</w:t>
            </w:r>
            <w:r w:rsidR="00EA3626" w:rsidRPr="009D198D">
              <w:rPr>
                <w:rFonts w:ascii="Arial" w:eastAsia="Calibri" w:hAnsi="Arial" w:cs="Arial"/>
                <w:bCs/>
                <w:sz w:val="22"/>
                <w:szCs w:val="22"/>
                <w:lang w:val="es-ES_tradnl"/>
              </w:rPr>
              <w:t xml:space="preserve"> </w:t>
            </w:r>
          </w:p>
        </w:tc>
      </w:tr>
      <w:tr w:rsidR="00B95C30" w:rsidRPr="009D198D" w14:paraId="27CD52AB" w14:textId="77777777" w:rsidTr="00D15356">
        <w:tc>
          <w:tcPr>
            <w:tcW w:w="2689" w:type="dxa"/>
          </w:tcPr>
          <w:p w14:paraId="37E195A1" w14:textId="6D5F998E" w:rsidR="00B95C30" w:rsidRPr="009D198D" w:rsidRDefault="00B95C30" w:rsidP="00D15356">
            <w:pPr>
              <w:spacing w:before="120"/>
              <w:jc w:val="both"/>
              <w:rPr>
                <w:rFonts w:ascii="Arial" w:eastAsia="Calibri" w:hAnsi="Arial" w:cs="Arial"/>
                <w:b/>
                <w:color w:val="000000" w:themeColor="text1"/>
                <w:lang w:val="es-ES_tradnl"/>
              </w:rPr>
            </w:pPr>
            <w:r w:rsidRPr="009D198D">
              <w:rPr>
                <w:rFonts w:ascii="Arial" w:eastAsia="Calibri" w:hAnsi="Arial" w:cs="Arial"/>
                <w:b/>
                <w:color w:val="000000" w:themeColor="text1"/>
                <w:lang w:val="es-ES_tradnl"/>
              </w:rPr>
              <w:t>Radicación:</w:t>
            </w:r>
            <w:r w:rsidR="00B7377E" w:rsidRPr="009D198D">
              <w:rPr>
                <w:rFonts w:ascii="Arial" w:eastAsia="Calibri" w:hAnsi="Arial" w:cs="Arial"/>
                <w:color w:val="000000" w:themeColor="text1"/>
                <w:lang w:val="es-ES_tradnl"/>
              </w:rPr>
              <w:t xml:space="preserve">               </w:t>
            </w:r>
          </w:p>
        </w:tc>
        <w:tc>
          <w:tcPr>
            <w:tcW w:w="6237" w:type="dxa"/>
          </w:tcPr>
          <w:p w14:paraId="09088B1B" w14:textId="44E06323" w:rsidR="00B95C30" w:rsidRPr="009D198D" w:rsidRDefault="00B95C30" w:rsidP="00FF7134">
            <w:pPr>
              <w:spacing w:before="120"/>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Respuesta a consulta</w:t>
            </w:r>
            <w:r w:rsidR="00F21D6D" w:rsidRPr="009D198D">
              <w:rPr>
                <w:rFonts w:ascii="Arial" w:eastAsia="Calibri" w:hAnsi="Arial" w:cs="Arial"/>
                <w:color w:val="000000" w:themeColor="text1"/>
                <w:sz w:val="22"/>
                <w:szCs w:val="22"/>
                <w:lang w:val="es-ES_tradnl"/>
              </w:rPr>
              <w:t xml:space="preserve"> </w:t>
            </w:r>
            <w:r w:rsidR="00CA2206" w:rsidRPr="009D198D">
              <w:rPr>
                <w:rFonts w:ascii="Arial" w:eastAsia="Calibri" w:hAnsi="Arial" w:cs="Arial"/>
                <w:color w:val="000000" w:themeColor="text1"/>
                <w:sz w:val="22"/>
                <w:szCs w:val="22"/>
              </w:rPr>
              <w:t>P20211222011674</w:t>
            </w:r>
          </w:p>
        </w:tc>
      </w:tr>
    </w:tbl>
    <w:p w14:paraId="635FAA34" w14:textId="2978198E" w:rsidR="006D69FA" w:rsidRPr="009D198D" w:rsidRDefault="006D69FA" w:rsidP="003C3339">
      <w:pPr>
        <w:jc w:val="both"/>
        <w:rPr>
          <w:rFonts w:ascii="Arial" w:eastAsia="Calibri" w:hAnsi="Arial" w:cs="Arial"/>
          <w:color w:val="000000" w:themeColor="text1"/>
          <w:sz w:val="22"/>
          <w:lang w:val="es-ES_tradnl"/>
        </w:rPr>
      </w:pPr>
    </w:p>
    <w:p w14:paraId="7F7926D6" w14:textId="77777777" w:rsidR="009A52E4" w:rsidRPr="009D198D" w:rsidRDefault="009A52E4" w:rsidP="003C3339">
      <w:pPr>
        <w:jc w:val="both"/>
        <w:rPr>
          <w:rFonts w:ascii="Arial" w:eastAsia="Calibri" w:hAnsi="Arial" w:cs="Arial"/>
          <w:color w:val="000000" w:themeColor="text1"/>
          <w:sz w:val="22"/>
          <w:lang w:val="es-ES_tradnl"/>
        </w:rPr>
      </w:pPr>
    </w:p>
    <w:p w14:paraId="1CF4AEA0" w14:textId="443CCB91" w:rsidR="003C3339" w:rsidRPr="009D198D" w:rsidRDefault="003C3339" w:rsidP="003C3339">
      <w:pPr>
        <w:jc w:val="both"/>
        <w:rPr>
          <w:rFonts w:ascii="Arial" w:eastAsia="Calibri" w:hAnsi="Arial" w:cs="Arial"/>
          <w:color w:val="000000" w:themeColor="text1"/>
          <w:sz w:val="22"/>
          <w:lang w:val="es-ES_tradnl"/>
        </w:rPr>
      </w:pPr>
      <w:r w:rsidRPr="009D198D">
        <w:rPr>
          <w:rFonts w:ascii="Arial" w:eastAsia="Calibri" w:hAnsi="Arial" w:cs="Arial"/>
          <w:color w:val="000000" w:themeColor="text1"/>
          <w:sz w:val="22"/>
          <w:lang w:val="es-ES_tradnl"/>
        </w:rPr>
        <w:t>Estimad</w:t>
      </w:r>
      <w:r w:rsidR="00E8414B" w:rsidRPr="009D198D">
        <w:rPr>
          <w:rFonts w:ascii="Arial" w:eastAsia="Calibri" w:hAnsi="Arial" w:cs="Arial"/>
          <w:color w:val="000000" w:themeColor="text1"/>
          <w:sz w:val="22"/>
          <w:lang w:val="es-ES_tradnl"/>
        </w:rPr>
        <w:t>o</w:t>
      </w:r>
      <w:r w:rsidRPr="009D198D">
        <w:rPr>
          <w:rFonts w:ascii="Arial" w:eastAsia="Calibri" w:hAnsi="Arial" w:cs="Arial"/>
          <w:color w:val="000000" w:themeColor="text1"/>
          <w:sz w:val="22"/>
          <w:lang w:val="es-ES_tradnl"/>
        </w:rPr>
        <w:t xml:space="preserve"> señor </w:t>
      </w:r>
      <w:r w:rsidR="00CA2206" w:rsidRPr="009D198D">
        <w:rPr>
          <w:rFonts w:ascii="Arial" w:eastAsia="Calibri" w:hAnsi="Arial" w:cs="Arial"/>
          <w:color w:val="000000" w:themeColor="text1"/>
          <w:sz w:val="22"/>
          <w:lang w:val="es-ES_tradnl"/>
        </w:rPr>
        <w:t>Castillo</w:t>
      </w:r>
      <w:r w:rsidRPr="009D198D">
        <w:rPr>
          <w:rFonts w:ascii="Arial" w:eastAsia="Calibri" w:hAnsi="Arial" w:cs="Arial"/>
          <w:color w:val="000000" w:themeColor="text1"/>
          <w:sz w:val="22"/>
          <w:lang w:val="es-ES_tradnl"/>
        </w:rPr>
        <w:t>:</w:t>
      </w:r>
    </w:p>
    <w:p w14:paraId="1EAE5543" w14:textId="37990AD8" w:rsidR="00DD5B04" w:rsidRPr="009D198D" w:rsidRDefault="00DD5B04" w:rsidP="00DF76A2">
      <w:pPr>
        <w:jc w:val="both"/>
        <w:rPr>
          <w:rFonts w:ascii="Arial" w:eastAsia="Calibri" w:hAnsi="Arial" w:cs="Arial"/>
          <w:color w:val="000000" w:themeColor="text1"/>
          <w:sz w:val="22"/>
          <w:lang w:val="es-ES_tradnl"/>
        </w:rPr>
      </w:pPr>
    </w:p>
    <w:p w14:paraId="2109B2D3" w14:textId="713625EF" w:rsidR="00DD5B04" w:rsidRPr="009D198D" w:rsidRDefault="00DD5B04" w:rsidP="00DF76A2">
      <w:pPr>
        <w:spacing w:line="276" w:lineRule="auto"/>
        <w:jc w:val="both"/>
        <w:rPr>
          <w:rFonts w:ascii="Arial" w:eastAsia="Calibri" w:hAnsi="Arial" w:cs="Arial"/>
          <w:color w:val="000000" w:themeColor="text1"/>
          <w:sz w:val="22"/>
          <w:lang w:val="es-ES_tradnl"/>
        </w:rPr>
      </w:pPr>
      <w:r w:rsidRPr="009D198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9D198D">
        <w:rPr>
          <w:rFonts w:ascii="Arial" w:eastAsia="Calibri" w:hAnsi="Arial" w:cs="Arial"/>
          <w:color w:val="000000" w:themeColor="text1"/>
          <w:sz w:val="22"/>
          <w:lang w:val="es-ES_tradnl"/>
        </w:rPr>
        <w:t>,</w:t>
      </w:r>
      <w:r w:rsidRPr="009D198D">
        <w:rPr>
          <w:rFonts w:ascii="Arial" w:eastAsia="Calibri" w:hAnsi="Arial" w:cs="Arial"/>
          <w:color w:val="000000" w:themeColor="text1"/>
          <w:sz w:val="22"/>
          <w:lang w:val="es-ES_tradnl"/>
        </w:rPr>
        <w:t xml:space="preserve"> responde su consulta</w:t>
      </w:r>
      <w:r w:rsidR="00E8414B" w:rsidRPr="009D198D">
        <w:rPr>
          <w:rFonts w:ascii="Arial" w:eastAsia="Calibri" w:hAnsi="Arial" w:cs="Arial"/>
          <w:color w:val="000000" w:themeColor="text1"/>
          <w:sz w:val="22"/>
          <w:lang w:val="es-ES_tradnl"/>
        </w:rPr>
        <w:t xml:space="preserve"> </w:t>
      </w:r>
      <w:r w:rsidRPr="009D198D">
        <w:rPr>
          <w:rFonts w:ascii="Arial" w:eastAsia="Calibri" w:hAnsi="Arial" w:cs="Arial"/>
          <w:color w:val="000000" w:themeColor="text1"/>
          <w:sz w:val="22"/>
          <w:lang w:val="es-ES_tradnl"/>
        </w:rPr>
        <w:t xml:space="preserve">del </w:t>
      </w:r>
      <w:r w:rsidR="006305C1" w:rsidRPr="009D198D">
        <w:rPr>
          <w:rFonts w:ascii="Arial" w:eastAsia="Calibri" w:hAnsi="Arial" w:cs="Arial"/>
          <w:color w:val="000000" w:themeColor="text1"/>
          <w:sz w:val="22"/>
          <w:lang w:val="es-ES_tradnl"/>
        </w:rPr>
        <w:t>21</w:t>
      </w:r>
      <w:r w:rsidR="00F21D6D" w:rsidRPr="009D198D">
        <w:rPr>
          <w:rFonts w:ascii="Arial" w:eastAsia="Calibri" w:hAnsi="Arial" w:cs="Arial"/>
          <w:color w:val="000000" w:themeColor="text1"/>
          <w:sz w:val="22"/>
          <w:lang w:val="es-ES_tradnl"/>
        </w:rPr>
        <w:t xml:space="preserve"> de </w:t>
      </w:r>
      <w:r w:rsidR="006305C1" w:rsidRPr="009D198D">
        <w:rPr>
          <w:rFonts w:ascii="Arial" w:eastAsia="Calibri" w:hAnsi="Arial" w:cs="Arial"/>
          <w:color w:val="000000" w:themeColor="text1"/>
          <w:sz w:val="22"/>
          <w:lang w:val="es-ES_tradnl"/>
        </w:rPr>
        <w:t>diciembre</w:t>
      </w:r>
      <w:r w:rsidR="00F21D6D" w:rsidRPr="009D198D">
        <w:rPr>
          <w:rFonts w:ascii="Arial" w:eastAsia="Calibri" w:hAnsi="Arial" w:cs="Arial"/>
          <w:color w:val="000000" w:themeColor="text1"/>
          <w:sz w:val="22"/>
          <w:lang w:val="es-ES_tradnl"/>
        </w:rPr>
        <w:t xml:space="preserve"> </w:t>
      </w:r>
      <w:r w:rsidR="001A54FD" w:rsidRPr="009D198D">
        <w:rPr>
          <w:rFonts w:ascii="Arial" w:eastAsia="Calibri" w:hAnsi="Arial" w:cs="Arial"/>
          <w:color w:val="000000" w:themeColor="text1"/>
          <w:sz w:val="22"/>
          <w:lang w:val="es-ES_tradnl"/>
        </w:rPr>
        <w:t xml:space="preserve">de </w:t>
      </w:r>
      <w:r w:rsidR="00F21D6D" w:rsidRPr="009D198D">
        <w:rPr>
          <w:rFonts w:ascii="Arial" w:eastAsia="Calibri" w:hAnsi="Arial" w:cs="Arial"/>
          <w:color w:val="000000" w:themeColor="text1"/>
          <w:sz w:val="22"/>
          <w:lang w:val="es-ES_tradnl"/>
        </w:rPr>
        <w:t>2021.</w:t>
      </w:r>
    </w:p>
    <w:p w14:paraId="0C1E0712" w14:textId="77777777" w:rsidR="00DD5B04" w:rsidRPr="009D198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D198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D198D">
        <w:rPr>
          <w:rFonts w:ascii="Arial" w:eastAsia="Calibri" w:hAnsi="Arial" w:cs="Arial"/>
          <w:b/>
          <w:color w:val="000000" w:themeColor="text1"/>
          <w:sz w:val="22"/>
          <w:lang w:val="es-ES_tradnl"/>
        </w:rPr>
        <w:t xml:space="preserve">Problema planteado </w:t>
      </w:r>
    </w:p>
    <w:p w14:paraId="224B43D3" w14:textId="77777777" w:rsidR="00DD5B04" w:rsidRPr="009D198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46381C61" w:rsidR="00F96D27" w:rsidRPr="009D198D" w:rsidRDefault="006305C1" w:rsidP="007D7503">
      <w:pPr>
        <w:spacing w:line="276" w:lineRule="auto"/>
        <w:jc w:val="both"/>
        <w:rPr>
          <w:rFonts w:ascii="Arial" w:hAnsi="Arial" w:cs="Arial"/>
          <w:color w:val="000000" w:themeColor="text1"/>
          <w:sz w:val="22"/>
          <w:lang w:val="es-ES_tradnl"/>
        </w:rPr>
      </w:pPr>
      <w:r w:rsidRPr="009D198D">
        <w:rPr>
          <w:rFonts w:ascii="Arial" w:hAnsi="Arial" w:cs="Arial"/>
          <w:color w:val="000000" w:themeColor="text1"/>
          <w:sz w:val="22"/>
          <w:lang w:val="es-ES_tradnl"/>
        </w:rPr>
        <w:t>U</w:t>
      </w:r>
      <w:r w:rsidR="00827203" w:rsidRPr="009D198D">
        <w:rPr>
          <w:rFonts w:ascii="Arial" w:hAnsi="Arial" w:cs="Arial"/>
          <w:color w:val="000000" w:themeColor="text1"/>
          <w:sz w:val="22"/>
          <w:lang w:val="es-ES_tradnl"/>
        </w:rPr>
        <w:t xml:space="preserve">sted formula </w:t>
      </w:r>
      <w:r w:rsidR="00026092" w:rsidRPr="009D198D">
        <w:rPr>
          <w:rFonts w:ascii="Arial" w:hAnsi="Arial" w:cs="Arial"/>
          <w:color w:val="000000" w:themeColor="text1"/>
          <w:sz w:val="22"/>
          <w:lang w:val="es-ES_tradnl"/>
        </w:rPr>
        <w:t>la</w:t>
      </w:r>
      <w:r w:rsidRPr="009D198D">
        <w:rPr>
          <w:rFonts w:ascii="Arial" w:hAnsi="Arial" w:cs="Arial"/>
          <w:color w:val="000000" w:themeColor="text1"/>
          <w:sz w:val="22"/>
          <w:lang w:val="es-ES_tradnl"/>
        </w:rPr>
        <w:t>s</w:t>
      </w:r>
      <w:r w:rsidR="00026092" w:rsidRPr="009D198D">
        <w:rPr>
          <w:rFonts w:ascii="Arial" w:hAnsi="Arial" w:cs="Arial"/>
          <w:color w:val="000000" w:themeColor="text1"/>
          <w:sz w:val="22"/>
          <w:lang w:val="es-ES_tradnl"/>
        </w:rPr>
        <w:t xml:space="preserve"> siguiente</w:t>
      </w:r>
      <w:r w:rsidRPr="009D198D">
        <w:rPr>
          <w:rFonts w:ascii="Arial" w:hAnsi="Arial" w:cs="Arial"/>
          <w:color w:val="000000" w:themeColor="text1"/>
          <w:sz w:val="22"/>
          <w:lang w:val="es-ES_tradnl"/>
        </w:rPr>
        <w:t>s</w:t>
      </w:r>
      <w:r w:rsidR="00AC4D8F" w:rsidRPr="009D198D">
        <w:rPr>
          <w:rFonts w:ascii="Arial" w:hAnsi="Arial" w:cs="Arial"/>
          <w:color w:val="000000" w:themeColor="text1"/>
          <w:sz w:val="22"/>
          <w:lang w:val="es-ES_tradnl"/>
        </w:rPr>
        <w:t xml:space="preserve"> </w:t>
      </w:r>
      <w:r w:rsidRPr="009D198D">
        <w:rPr>
          <w:rFonts w:ascii="Arial" w:hAnsi="Arial" w:cs="Arial"/>
          <w:color w:val="000000" w:themeColor="text1"/>
          <w:sz w:val="22"/>
          <w:lang w:val="es-ES_tradnl"/>
        </w:rPr>
        <w:t>preguntas</w:t>
      </w:r>
      <w:r w:rsidR="007577DA" w:rsidRPr="009D198D">
        <w:rPr>
          <w:rFonts w:ascii="Arial" w:hAnsi="Arial" w:cs="Arial"/>
          <w:color w:val="000000" w:themeColor="text1"/>
          <w:sz w:val="22"/>
          <w:lang w:val="es-ES_tradnl"/>
        </w:rPr>
        <w:t xml:space="preserve">: </w:t>
      </w:r>
    </w:p>
    <w:p w14:paraId="4BAB5F82" w14:textId="77777777" w:rsidR="001A16A5" w:rsidRPr="009D198D" w:rsidRDefault="001A16A5" w:rsidP="00942BB9">
      <w:pPr>
        <w:spacing w:line="276" w:lineRule="auto"/>
        <w:ind w:right="476"/>
        <w:jc w:val="both"/>
        <w:rPr>
          <w:rFonts w:ascii="Arial" w:eastAsia="Calibri" w:hAnsi="Arial" w:cs="Arial"/>
          <w:sz w:val="21"/>
          <w:szCs w:val="21"/>
          <w:lang w:eastAsia="en-US"/>
        </w:rPr>
      </w:pPr>
    </w:p>
    <w:p w14:paraId="6C2EA624" w14:textId="2683BB59" w:rsidR="006305C1" w:rsidRPr="009D198D" w:rsidRDefault="00942BB9" w:rsidP="005F7B4F">
      <w:pPr>
        <w:ind w:left="709" w:right="474"/>
        <w:jc w:val="both"/>
        <w:rPr>
          <w:rFonts w:ascii="Arial" w:eastAsia="Calibri" w:hAnsi="Arial" w:cs="Arial"/>
          <w:b/>
          <w:bCs/>
          <w:sz w:val="21"/>
          <w:szCs w:val="21"/>
          <w:u w:val="single"/>
          <w:lang w:eastAsia="en-US"/>
        </w:rPr>
      </w:pPr>
      <w:r w:rsidRPr="009D198D">
        <w:rPr>
          <w:rFonts w:ascii="Arial" w:eastAsia="Calibri" w:hAnsi="Arial" w:cs="Arial"/>
          <w:color w:val="000000" w:themeColor="text1"/>
          <w:sz w:val="21"/>
          <w:szCs w:val="21"/>
        </w:rPr>
        <w:t>«</w:t>
      </w:r>
      <w:r w:rsidR="006305C1" w:rsidRPr="009D198D">
        <w:rPr>
          <w:rFonts w:ascii="Arial" w:eastAsia="Calibri" w:hAnsi="Arial" w:cs="Arial"/>
          <w:color w:val="000000" w:themeColor="text1"/>
          <w:sz w:val="21"/>
          <w:szCs w:val="21"/>
        </w:rPr>
        <w:t xml:space="preserve">1.De acuerdo con el Art. 2.2.1.1.2.2.1 del decreto 1082/2015 en concordancia con el Art. 30 numeral 5 de la ley 80/1993, la entidad estatal puede expedir adendas para modificar el cronograma una vez vencido el término para la presentación de ofertas (esto es el momento del cierre) </w:t>
      </w:r>
      <w:r w:rsidR="006305C1" w:rsidRPr="009D198D">
        <w:rPr>
          <w:rFonts w:ascii="Arial" w:eastAsia="Calibri" w:hAnsi="Arial" w:cs="Arial"/>
          <w:b/>
          <w:bCs/>
          <w:color w:val="000000" w:themeColor="text1"/>
          <w:sz w:val="21"/>
          <w:szCs w:val="21"/>
        </w:rPr>
        <w:t xml:space="preserve">y antes de la adjudicación del contrato </w:t>
      </w:r>
      <w:r w:rsidR="006305C1" w:rsidRPr="009D198D">
        <w:rPr>
          <w:rFonts w:ascii="Arial" w:eastAsia="Calibri" w:hAnsi="Arial" w:cs="Arial"/>
          <w:color w:val="000000" w:themeColor="text1"/>
          <w:sz w:val="21"/>
          <w:szCs w:val="21"/>
        </w:rPr>
        <w:t xml:space="preserve">(esto es el acto administrativo unilateral expedido por el ordenador del gasto, mediante el cual selecciona al mejor oferente según criterios establecidos en el pliego de condiciones definitivo, según Art. 9 Ley 1150/2007). Por tanto: </w:t>
      </w:r>
      <w:r w:rsidR="006305C1" w:rsidRPr="009D198D">
        <w:rPr>
          <w:rFonts w:ascii="Arial" w:eastAsia="Calibri" w:hAnsi="Arial" w:cs="Arial"/>
          <w:b/>
          <w:bCs/>
          <w:color w:val="000000" w:themeColor="text1"/>
          <w:sz w:val="21"/>
          <w:szCs w:val="21"/>
        </w:rPr>
        <w:t>A.</w:t>
      </w:r>
      <w:r w:rsidR="00777AEB" w:rsidRPr="009D198D">
        <w:rPr>
          <w:rFonts w:ascii="Arial" w:eastAsia="Calibri" w:hAnsi="Arial" w:cs="Arial"/>
          <w:b/>
          <w:bCs/>
          <w:color w:val="000000" w:themeColor="text1"/>
          <w:sz w:val="21"/>
          <w:szCs w:val="21"/>
        </w:rPr>
        <w:t xml:space="preserve"> ¿</w:t>
      </w:r>
      <w:r w:rsidR="006305C1" w:rsidRPr="009D198D">
        <w:rPr>
          <w:rFonts w:ascii="Arial" w:eastAsia="Calibri" w:hAnsi="Arial" w:cs="Arial"/>
          <w:b/>
          <w:bCs/>
          <w:color w:val="000000" w:themeColor="text1"/>
          <w:sz w:val="21"/>
          <w:szCs w:val="21"/>
        </w:rPr>
        <w:t xml:space="preserve">La Entidad Pública, dentro de la Audiencia de Apertura de Sobre Económico y Adjudicación, puede expedir y publicar Adenda, para efectos de modificar, corregir o aclarar en el cronograma del proceso, la fecha definitiva para la expedición o publicación del acto administrativo de adjudicación o declaratoria de desierto del proceso contractual? De ser afirmativa la respuesta, dicha Adenda </w:t>
      </w:r>
      <w:r w:rsidR="002D3F8D" w:rsidRPr="009D198D">
        <w:rPr>
          <w:rFonts w:ascii="Arial" w:eastAsia="Calibri" w:hAnsi="Arial" w:cs="Arial"/>
          <w:b/>
          <w:bCs/>
          <w:color w:val="000000" w:themeColor="text1"/>
          <w:sz w:val="21"/>
          <w:szCs w:val="21"/>
        </w:rPr>
        <w:t>¿</w:t>
      </w:r>
      <w:r w:rsidR="006305C1" w:rsidRPr="009D198D">
        <w:rPr>
          <w:rFonts w:ascii="Arial" w:eastAsia="Calibri" w:hAnsi="Arial" w:cs="Arial"/>
          <w:b/>
          <w:bCs/>
          <w:color w:val="000000" w:themeColor="text1"/>
          <w:sz w:val="21"/>
          <w:szCs w:val="21"/>
        </w:rPr>
        <w:t xml:space="preserve">gozaría de plena eficacia jurídica por ser emitida oportunamente, es decir, antes de la adjudicación del </w:t>
      </w:r>
      <w:proofErr w:type="gramStart"/>
      <w:r w:rsidR="006305C1" w:rsidRPr="009D198D">
        <w:rPr>
          <w:rFonts w:ascii="Arial" w:eastAsia="Calibri" w:hAnsi="Arial" w:cs="Arial"/>
          <w:b/>
          <w:bCs/>
          <w:color w:val="000000" w:themeColor="text1"/>
          <w:sz w:val="21"/>
          <w:szCs w:val="21"/>
        </w:rPr>
        <w:t>contrato</w:t>
      </w:r>
      <w:r w:rsidR="002D3F8D" w:rsidRPr="009D198D">
        <w:rPr>
          <w:rFonts w:ascii="Arial" w:eastAsia="Calibri" w:hAnsi="Arial" w:cs="Arial"/>
          <w:b/>
          <w:bCs/>
          <w:color w:val="000000" w:themeColor="text1"/>
          <w:sz w:val="21"/>
          <w:szCs w:val="21"/>
        </w:rPr>
        <w:t>?</w:t>
      </w:r>
      <w:r w:rsidR="00777AEB" w:rsidRPr="009D198D">
        <w:rPr>
          <w:rFonts w:ascii="Arial" w:eastAsia="Calibri" w:hAnsi="Arial" w:cs="Arial"/>
          <w:b/>
          <w:bCs/>
          <w:color w:val="000000" w:themeColor="text1"/>
          <w:sz w:val="21"/>
          <w:szCs w:val="21"/>
        </w:rPr>
        <w:t>.</w:t>
      </w:r>
      <w:proofErr w:type="gramEnd"/>
    </w:p>
    <w:p w14:paraId="170A16F9" w14:textId="77777777" w:rsidR="005F7B4F" w:rsidRPr="009D198D" w:rsidRDefault="005F7B4F" w:rsidP="005F7B4F">
      <w:pPr>
        <w:ind w:left="709" w:right="476"/>
        <w:jc w:val="both"/>
        <w:rPr>
          <w:rFonts w:ascii="Arial" w:eastAsia="Calibri" w:hAnsi="Arial" w:cs="Arial"/>
          <w:bCs/>
          <w:sz w:val="21"/>
          <w:szCs w:val="21"/>
          <w:lang w:eastAsia="en-US"/>
        </w:rPr>
      </w:pPr>
    </w:p>
    <w:p w14:paraId="792007A0" w14:textId="07E06DE9" w:rsidR="005F7B4F" w:rsidRPr="009D198D" w:rsidRDefault="005F7B4F" w:rsidP="005F7B4F">
      <w:pPr>
        <w:ind w:left="709" w:right="476"/>
        <w:jc w:val="both"/>
        <w:rPr>
          <w:rFonts w:ascii="Arial" w:eastAsia="Calibri" w:hAnsi="Arial" w:cs="Arial"/>
          <w:b/>
          <w:sz w:val="21"/>
          <w:szCs w:val="21"/>
          <w:lang w:eastAsia="en-US"/>
        </w:rPr>
      </w:pPr>
      <w:r w:rsidRPr="009D198D">
        <w:rPr>
          <w:rFonts w:ascii="Arial" w:eastAsia="Calibri" w:hAnsi="Arial" w:cs="Arial"/>
          <w:bCs/>
          <w:sz w:val="21"/>
          <w:szCs w:val="21"/>
          <w:lang w:eastAsia="en-US"/>
        </w:rPr>
        <w:t>2.</w:t>
      </w:r>
      <w:r w:rsidRPr="009D198D">
        <w:rPr>
          <w:rFonts w:ascii="Arial" w:eastAsia="Calibri" w:hAnsi="Arial" w:cs="Arial"/>
          <w:b/>
          <w:sz w:val="21"/>
          <w:szCs w:val="21"/>
          <w:lang w:eastAsia="en-US"/>
        </w:rPr>
        <w:t xml:space="preserve"> </w:t>
      </w:r>
      <w:r w:rsidRPr="009D198D">
        <w:rPr>
          <w:rFonts w:ascii="Arial" w:eastAsia="Calibri" w:hAnsi="Arial" w:cs="Arial"/>
          <w:bCs/>
          <w:sz w:val="21"/>
          <w:szCs w:val="21"/>
          <w:lang w:eastAsia="en-US"/>
        </w:rPr>
        <w:t xml:space="preserve">Teniendo en cuenta que el Art. de la </w:t>
      </w:r>
      <w:proofErr w:type="spellStart"/>
      <w:r w:rsidRPr="009D198D">
        <w:rPr>
          <w:rFonts w:ascii="Arial" w:eastAsia="Calibri" w:hAnsi="Arial" w:cs="Arial"/>
          <w:bCs/>
          <w:sz w:val="21"/>
          <w:szCs w:val="21"/>
          <w:lang w:eastAsia="en-US"/>
        </w:rPr>
        <w:t>Iey</w:t>
      </w:r>
      <w:proofErr w:type="spellEnd"/>
      <w:r w:rsidRPr="009D198D">
        <w:rPr>
          <w:rFonts w:ascii="Arial" w:eastAsia="Calibri" w:hAnsi="Arial" w:cs="Arial"/>
          <w:bCs/>
          <w:sz w:val="21"/>
          <w:szCs w:val="21"/>
          <w:lang w:eastAsia="en-US"/>
        </w:rPr>
        <w:t xml:space="preserve"> 1474 de 2011 establece al plan anual de adquisiciones (PAA) como parte del plan de acción, por lo tanto, la entidad estatal puede elaborarlo, aprobarlo y aplicar lo planeado, independiente del plazo que posee para publicar en el SECOP, que vence el 31 de enero,</w:t>
      </w:r>
      <w:r w:rsidRPr="009D198D">
        <w:rPr>
          <w:rFonts w:ascii="Arial" w:eastAsia="Calibri" w:hAnsi="Arial" w:cs="Arial"/>
          <w:b/>
          <w:sz w:val="21"/>
          <w:szCs w:val="21"/>
          <w:lang w:eastAsia="en-US"/>
        </w:rPr>
        <w:t xml:space="preserve"> A. ¿una Entidad Estatal celebrar contratos en el mes de enero sin haber publicado en el SECOP el PAA? B. ¿es viable jurídicamente para la Entidad estatal, realizar estudios previos, celebrar y ejecutar contratos durante el mes de enero con anterioridad al vencimiento del plazo para la publicación del Plan Anual de Adquisiciones en el SECOP? C. ¿La publicación del Plan Anual de Adquisiciones (PAA) en el SECOP, es requisito para su existencia o eficacia, o solo es requerido para su oponibilidad? D. ¿</w:t>
      </w:r>
      <w:proofErr w:type="spellStart"/>
      <w:r w:rsidRPr="009D198D">
        <w:rPr>
          <w:rFonts w:ascii="Arial" w:eastAsia="Calibri" w:hAnsi="Arial" w:cs="Arial"/>
          <w:b/>
          <w:sz w:val="21"/>
          <w:szCs w:val="21"/>
          <w:lang w:eastAsia="en-US"/>
        </w:rPr>
        <w:t>CuáI</w:t>
      </w:r>
      <w:proofErr w:type="spellEnd"/>
      <w:r w:rsidRPr="009D198D">
        <w:rPr>
          <w:rFonts w:ascii="Arial" w:eastAsia="Calibri" w:hAnsi="Arial" w:cs="Arial"/>
          <w:b/>
          <w:sz w:val="21"/>
          <w:szCs w:val="21"/>
          <w:lang w:eastAsia="en-US"/>
        </w:rPr>
        <w:t xml:space="preserve"> es la consecuencia de celebrar contratos sin publicar el Plan Anual de Adquisiciones (PAA) en el SECOP a más tardar el 31 de enero? E. Qué alternativa poseen las entidades que no poseen conectividad de internet, para publicar su Plan Anual de Adquisiciones (PAA) antes del 31 de enero? F. ¿Es posible publicar el Plan Anual de Adquisiciones (PAA) con posterioridad al 31 de enero, cuando exista justa causa para no haberlo efectuado dentro del término?</w:t>
      </w:r>
    </w:p>
    <w:p w14:paraId="47E544FB" w14:textId="41943A02" w:rsidR="005F7B4F" w:rsidRPr="009D198D" w:rsidRDefault="005F7B4F" w:rsidP="005F7B4F">
      <w:pPr>
        <w:ind w:left="709" w:right="476"/>
        <w:jc w:val="both"/>
        <w:rPr>
          <w:rFonts w:ascii="Arial" w:eastAsia="Calibri" w:hAnsi="Arial" w:cs="Arial"/>
          <w:b/>
          <w:sz w:val="21"/>
          <w:szCs w:val="21"/>
          <w:lang w:eastAsia="en-US"/>
        </w:rPr>
      </w:pPr>
    </w:p>
    <w:p w14:paraId="4E6E0485" w14:textId="77777777" w:rsidR="005F7B4F" w:rsidRPr="009D198D" w:rsidRDefault="005F7B4F" w:rsidP="005F7B4F">
      <w:pPr>
        <w:ind w:left="709" w:right="476"/>
        <w:jc w:val="both"/>
        <w:rPr>
          <w:rFonts w:ascii="Arial" w:eastAsia="Calibri" w:hAnsi="Arial" w:cs="Arial"/>
          <w:b/>
          <w:bCs/>
          <w:sz w:val="21"/>
          <w:szCs w:val="21"/>
          <w:lang w:val="es-ES_tradnl" w:eastAsia="en-US"/>
        </w:rPr>
      </w:pPr>
      <w:r w:rsidRPr="009D198D">
        <w:rPr>
          <w:rFonts w:ascii="Arial" w:eastAsia="Calibri" w:hAnsi="Arial" w:cs="Arial"/>
          <w:sz w:val="21"/>
          <w:szCs w:val="21"/>
          <w:lang w:val="es-ES_tradnl" w:eastAsia="en-US"/>
        </w:rPr>
        <w:t>3</w:t>
      </w:r>
      <w:r w:rsidRPr="009D198D">
        <w:rPr>
          <w:rFonts w:ascii="Arial" w:eastAsia="Calibri" w:hAnsi="Arial" w:cs="Arial"/>
          <w:b/>
          <w:bCs/>
          <w:sz w:val="21"/>
          <w:szCs w:val="21"/>
          <w:lang w:val="es-ES_tradnl" w:eastAsia="en-US"/>
        </w:rPr>
        <w:t xml:space="preserve">. </w:t>
      </w:r>
      <w:r w:rsidRPr="009D198D">
        <w:rPr>
          <w:rFonts w:ascii="Arial" w:eastAsia="Calibri" w:hAnsi="Arial" w:cs="Arial"/>
          <w:sz w:val="21"/>
          <w:szCs w:val="21"/>
          <w:lang w:val="es-ES_tradnl" w:eastAsia="en-US"/>
        </w:rPr>
        <w:t xml:space="preserve">Acorde con la normativa del sistema del Sistema de Compra Publica y en especial lo contemplado en el Art. 34 la </w:t>
      </w:r>
      <w:proofErr w:type="spellStart"/>
      <w:r w:rsidRPr="009D198D">
        <w:rPr>
          <w:rFonts w:ascii="Arial" w:eastAsia="Calibri" w:hAnsi="Arial" w:cs="Arial"/>
          <w:sz w:val="21"/>
          <w:szCs w:val="21"/>
          <w:lang w:val="es-ES_tradnl" w:eastAsia="en-US"/>
        </w:rPr>
        <w:t>Iey</w:t>
      </w:r>
      <w:proofErr w:type="spellEnd"/>
      <w:r w:rsidRPr="009D198D">
        <w:rPr>
          <w:rFonts w:ascii="Arial" w:eastAsia="Calibri" w:hAnsi="Arial" w:cs="Arial"/>
          <w:sz w:val="21"/>
          <w:szCs w:val="21"/>
          <w:lang w:val="es-ES_tradnl" w:eastAsia="en-US"/>
        </w:rPr>
        <w:t xml:space="preserve"> 2069 de 2020 que modifica el Art. 12 de la </w:t>
      </w:r>
      <w:proofErr w:type="spellStart"/>
      <w:r w:rsidRPr="009D198D">
        <w:rPr>
          <w:rFonts w:ascii="Arial" w:eastAsia="Calibri" w:hAnsi="Arial" w:cs="Arial"/>
          <w:sz w:val="21"/>
          <w:szCs w:val="21"/>
          <w:lang w:val="es-ES_tradnl" w:eastAsia="en-US"/>
        </w:rPr>
        <w:t>Iey</w:t>
      </w:r>
      <w:proofErr w:type="spellEnd"/>
      <w:r w:rsidRPr="009D198D">
        <w:rPr>
          <w:rFonts w:ascii="Arial" w:eastAsia="Calibri" w:hAnsi="Arial" w:cs="Arial"/>
          <w:sz w:val="21"/>
          <w:szCs w:val="21"/>
          <w:lang w:val="es-ES_tradnl" w:eastAsia="en-US"/>
        </w:rPr>
        <w:t xml:space="preserve"> 1150 de 2007, de cara a lo expresado en el Art. 2.2.1.2.4.2.2 del Decreto 1082 de 2015</w:t>
      </w:r>
      <w:r w:rsidRPr="009D198D">
        <w:rPr>
          <w:rFonts w:ascii="Arial" w:eastAsia="Calibri" w:hAnsi="Arial" w:cs="Arial"/>
          <w:b/>
          <w:bCs/>
          <w:sz w:val="21"/>
          <w:szCs w:val="21"/>
          <w:lang w:val="es-ES_tradnl" w:eastAsia="en-US"/>
        </w:rPr>
        <w:t xml:space="preserve"> A. ¿En la actualidad, es posible limitar a MIPYMES los procesos de selección susceptibles de ello? B. Existe actualmente una derogatoria tacita del Art. 2?2.1.2.4.2.2 del Decreto 1082 de 2015 respecto a lo </w:t>
      </w:r>
      <w:r w:rsidRPr="009D198D">
        <w:rPr>
          <w:rFonts w:ascii="Arial" w:eastAsia="Calibri" w:hAnsi="Arial" w:cs="Arial"/>
          <w:b/>
          <w:bCs/>
          <w:sz w:val="21"/>
          <w:szCs w:val="21"/>
          <w:lang w:val="es-ES_tradnl" w:eastAsia="en-US"/>
        </w:rPr>
        <w:lastRenderedPageBreak/>
        <w:t xml:space="preserve">contemplado en el Art. 34 la </w:t>
      </w:r>
      <w:proofErr w:type="spellStart"/>
      <w:r w:rsidRPr="009D198D">
        <w:rPr>
          <w:rFonts w:ascii="Arial" w:eastAsia="Calibri" w:hAnsi="Arial" w:cs="Arial"/>
          <w:b/>
          <w:bCs/>
          <w:sz w:val="21"/>
          <w:szCs w:val="21"/>
          <w:lang w:val="es-ES_tradnl" w:eastAsia="en-US"/>
        </w:rPr>
        <w:t>Iey</w:t>
      </w:r>
      <w:proofErr w:type="spellEnd"/>
      <w:r w:rsidRPr="009D198D">
        <w:rPr>
          <w:rFonts w:ascii="Arial" w:eastAsia="Calibri" w:hAnsi="Arial" w:cs="Arial"/>
          <w:b/>
          <w:bCs/>
          <w:sz w:val="21"/>
          <w:szCs w:val="21"/>
          <w:lang w:val="es-ES_tradnl" w:eastAsia="en-US"/>
        </w:rPr>
        <w:t xml:space="preserve"> 2069 de 2020 que modifica el Art. 12 de la </w:t>
      </w:r>
      <w:proofErr w:type="spellStart"/>
      <w:r w:rsidRPr="009D198D">
        <w:rPr>
          <w:rFonts w:ascii="Arial" w:eastAsia="Calibri" w:hAnsi="Arial" w:cs="Arial"/>
          <w:b/>
          <w:bCs/>
          <w:sz w:val="21"/>
          <w:szCs w:val="21"/>
          <w:lang w:val="es-ES_tradnl" w:eastAsia="en-US"/>
        </w:rPr>
        <w:t>Iey</w:t>
      </w:r>
      <w:proofErr w:type="spellEnd"/>
      <w:r w:rsidRPr="009D198D">
        <w:rPr>
          <w:rFonts w:ascii="Arial" w:eastAsia="Calibri" w:hAnsi="Arial" w:cs="Arial"/>
          <w:b/>
          <w:bCs/>
          <w:sz w:val="21"/>
          <w:szCs w:val="21"/>
          <w:lang w:val="es-ES_tradnl" w:eastAsia="en-US"/>
        </w:rPr>
        <w:t xml:space="preserve"> 1150 de 2007?</w:t>
      </w:r>
    </w:p>
    <w:p w14:paraId="6E823CFC" w14:textId="77777777" w:rsidR="005F7B4F" w:rsidRPr="009D198D" w:rsidRDefault="005F7B4F" w:rsidP="005F7B4F">
      <w:pPr>
        <w:ind w:left="709" w:right="476"/>
        <w:jc w:val="both"/>
        <w:rPr>
          <w:rFonts w:ascii="Arial" w:eastAsia="Calibri" w:hAnsi="Arial" w:cs="Arial"/>
          <w:b/>
          <w:sz w:val="21"/>
          <w:szCs w:val="21"/>
          <w:lang w:eastAsia="en-US"/>
        </w:rPr>
      </w:pPr>
    </w:p>
    <w:p w14:paraId="3ED42570" w14:textId="0DB6C0AC" w:rsidR="00960F3E" w:rsidRPr="009D198D" w:rsidRDefault="00960F3E" w:rsidP="00960F3E">
      <w:pPr>
        <w:ind w:left="709" w:right="476"/>
        <w:jc w:val="both"/>
        <w:rPr>
          <w:rFonts w:ascii="Arial" w:eastAsia="Calibri" w:hAnsi="Arial" w:cs="Arial"/>
          <w:sz w:val="21"/>
          <w:szCs w:val="21"/>
          <w:lang w:val="es-ES_tradnl" w:eastAsia="en-US"/>
        </w:rPr>
      </w:pPr>
      <w:r w:rsidRPr="009D198D">
        <w:rPr>
          <w:rFonts w:ascii="Arial" w:eastAsia="Calibri" w:hAnsi="Arial" w:cs="Arial"/>
          <w:sz w:val="21"/>
          <w:szCs w:val="21"/>
          <w:lang w:val="es-ES_tradnl" w:eastAsia="en-US"/>
        </w:rPr>
        <w:t xml:space="preserve">4. El Art. 2.2.1.1.1.7.1. del Decreto 1082-20 15 que establece: “La Entidad Estatal está obligada a publicar en el SECOP los </w:t>
      </w:r>
      <w:r w:rsidRPr="009D198D">
        <w:rPr>
          <w:rFonts w:ascii="Arial" w:eastAsia="Calibri" w:hAnsi="Arial" w:cs="Arial"/>
          <w:b/>
          <w:bCs/>
          <w:sz w:val="21"/>
          <w:szCs w:val="21"/>
          <w:u w:val="single"/>
          <w:lang w:val="es-ES_tradnl" w:eastAsia="en-US"/>
        </w:rPr>
        <w:t>Documentos del Proceso</w:t>
      </w:r>
      <w:r w:rsidRPr="009D198D">
        <w:rPr>
          <w:rFonts w:ascii="Arial" w:eastAsia="Calibri" w:hAnsi="Arial" w:cs="Arial"/>
          <w:sz w:val="21"/>
          <w:szCs w:val="21"/>
          <w:lang w:val="es-ES_tradnl" w:eastAsia="en-US"/>
        </w:rPr>
        <w:t xml:space="preserve"> y </w:t>
      </w:r>
      <w:r w:rsidRPr="009D198D">
        <w:rPr>
          <w:rFonts w:ascii="Arial" w:eastAsia="Calibri" w:hAnsi="Arial" w:cs="Arial"/>
          <w:b/>
          <w:bCs/>
          <w:sz w:val="21"/>
          <w:szCs w:val="21"/>
          <w:u w:val="single"/>
          <w:lang w:val="es-ES_tradnl" w:eastAsia="en-US"/>
        </w:rPr>
        <w:t xml:space="preserve">los actos </w:t>
      </w:r>
      <w:r w:rsidRPr="009D198D">
        <w:rPr>
          <w:rFonts w:ascii="Arial" w:eastAsia="Calibri" w:hAnsi="Arial" w:cs="Arial"/>
          <w:sz w:val="21"/>
          <w:szCs w:val="21"/>
          <w:u w:val="single"/>
          <w:lang w:val="es-ES_tradnl" w:eastAsia="en-US"/>
        </w:rPr>
        <w:t>administrativos del Proceso de Contratación</w:t>
      </w:r>
      <w:r w:rsidRPr="009D198D">
        <w:rPr>
          <w:rFonts w:ascii="Arial" w:eastAsia="Calibri" w:hAnsi="Arial" w:cs="Arial"/>
          <w:sz w:val="21"/>
          <w:szCs w:val="21"/>
          <w:lang w:val="es-ES_tradnl" w:eastAsia="en-US"/>
        </w:rPr>
        <w:t xml:space="preserve">, dentro de los tres (3) días siguientes a </w:t>
      </w:r>
      <w:r w:rsidRPr="009D198D">
        <w:rPr>
          <w:rFonts w:ascii="Arial" w:eastAsia="Calibri" w:hAnsi="Arial" w:cs="Arial"/>
          <w:b/>
          <w:bCs/>
          <w:sz w:val="21"/>
          <w:szCs w:val="21"/>
          <w:u w:val="single"/>
          <w:lang w:val="es-ES_tradnl" w:eastAsia="en-US"/>
        </w:rPr>
        <w:t>su expedición</w:t>
      </w:r>
      <w:r w:rsidRPr="009D198D">
        <w:rPr>
          <w:rFonts w:ascii="Arial" w:eastAsia="Calibri" w:hAnsi="Arial" w:cs="Arial"/>
          <w:sz w:val="21"/>
          <w:szCs w:val="21"/>
          <w:lang w:val="es-ES_tradnl" w:eastAsia="en-US"/>
        </w:rPr>
        <w:t>. La oferta que debe ser publicada es la del adjudicatario del Proceso de Contratación. Los documentos de las operaciones que se realicen en bolsa de productos no tienen que ser publicados en el SECOP”.</w:t>
      </w:r>
    </w:p>
    <w:p w14:paraId="6BACFD32" w14:textId="77777777" w:rsidR="00960F3E" w:rsidRPr="009D198D" w:rsidRDefault="00960F3E" w:rsidP="00960F3E">
      <w:pPr>
        <w:ind w:left="709" w:right="476"/>
        <w:jc w:val="both"/>
        <w:rPr>
          <w:rFonts w:ascii="Arial" w:eastAsia="Calibri" w:hAnsi="Arial" w:cs="Arial"/>
          <w:sz w:val="21"/>
          <w:szCs w:val="21"/>
          <w:lang w:val="es-ES_tradnl" w:eastAsia="en-US"/>
        </w:rPr>
      </w:pPr>
    </w:p>
    <w:p w14:paraId="667A5A40" w14:textId="77777777" w:rsidR="00960F3E" w:rsidRPr="009D198D" w:rsidRDefault="00960F3E" w:rsidP="00960F3E">
      <w:pPr>
        <w:ind w:left="709" w:right="476"/>
        <w:jc w:val="both"/>
        <w:rPr>
          <w:rFonts w:ascii="Arial" w:eastAsia="Calibri" w:hAnsi="Arial" w:cs="Arial"/>
          <w:sz w:val="21"/>
          <w:szCs w:val="21"/>
          <w:u w:val="single"/>
          <w:lang w:val="es-ES_tradnl" w:eastAsia="en-US"/>
        </w:rPr>
      </w:pPr>
      <w:r w:rsidRPr="009D198D">
        <w:rPr>
          <w:rFonts w:ascii="Arial" w:eastAsia="Calibri" w:hAnsi="Arial" w:cs="Arial"/>
          <w:sz w:val="21"/>
          <w:szCs w:val="21"/>
          <w:lang w:val="es-ES_tradnl" w:eastAsia="en-US"/>
        </w:rPr>
        <w:t xml:space="preserve">De acuerdo con las definiciones del Art. 2.2.1.1.1. .1 del Decreto 1082-2015 los </w:t>
      </w:r>
      <w:r w:rsidRPr="009D198D">
        <w:rPr>
          <w:rFonts w:ascii="Arial" w:eastAsia="Calibri" w:hAnsi="Arial" w:cs="Arial"/>
          <w:b/>
          <w:bCs/>
          <w:sz w:val="21"/>
          <w:szCs w:val="21"/>
          <w:u w:val="single"/>
          <w:lang w:val="es-ES_tradnl" w:eastAsia="en-US"/>
        </w:rPr>
        <w:t>documentos del proceso</w:t>
      </w:r>
      <w:r w:rsidRPr="009D198D">
        <w:rPr>
          <w:rFonts w:ascii="Arial" w:eastAsia="Calibri" w:hAnsi="Arial" w:cs="Arial"/>
          <w:sz w:val="21"/>
          <w:szCs w:val="21"/>
          <w:lang w:val="es-ES_tradnl" w:eastAsia="en-US"/>
        </w:rPr>
        <w:t xml:space="preserve"> que la entidad debe publicar son taxativos, tal como se proceden a enunciar: </w:t>
      </w:r>
      <w:r w:rsidRPr="009D198D">
        <w:rPr>
          <w:rFonts w:ascii="Arial" w:eastAsia="Calibri" w:hAnsi="Arial" w:cs="Arial"/>
          <w:b/>
          <w:bCs/>
          <w:sz w:val="21"/>
          <w:szCs w:val="21"/>
          <w:lang w:val="es-ES_tradnl" w:eastAsia="en-US"/>
        </w:rPr>
        <w:t>(a)</w:t>
      </w:r>
      <w:r w:rsidRPr="009D198D">
        <w:rPr>
          <w:rFonts w:ascii="Arial" w:eastAsia="Calibri" w:hAnsi="Arial" w:cs="Arial"/>
          <w:sz w:val="21"/>
          <w:szCs w:val="21"/>
          <w:lang w:val="es-ES_tradnl" w:eastAsia="en-US"/>
        </w:rPr>
        <w:t xml:space="preserve"> los estudios y documentos previos; </w:t>
      </w:r>
      <w:r w:rsidRPr="009D198D">
        <w:rPr>
          <w:rFonts w:ascii="Arial" w:eastAsia="Calibri" w:hAnsi="Arial" w:cs="Arial"/>
          <w:b/>
          <w:bCs/>
          <w:sz w:val="21"/>
          <w:szCs w:val="21"/>
          <w:lang w:val="es-ES_tradnl" w:eastAsia="en-US"/>
        </w:rPr>
        <w:t>(b)</w:t>
      </w:r>
      <w:r w:rsidRPr="009D198D">
        <w:rPr>
          <w:rFonts w:ascii="Arial" w:eastAsia="Calibri" w:hAnsi="Arial" w:cs="Arial"/>
          <w:sz w:val="21"/>
          <w:szCs w:val="21"/>
          <w:lang w:val="es-ES_tradnl" w:eastAsia="en-US"/>
        </w:rPr>
        <w:t xml:space="preserve"> el aviso de convocatoria; </w:t>
      </w:r>
      <w:r w:rsidRPr="009D198D">
        <w:rPr>
          <w:rFonts w:ascii="Arial" w:eastAsia="Calibri" w:hAnsi="Arial" w:cs="Arial"/>
          <w:b/>
          <w:bCs/>
          <w:sz w:val="21"/>
          <w:szCs w:val="21"/>
          <w:lang w:val="es-ES_tradnl" w:eastAsia="en-US"/>
        </w:rPr>
        <w:t>(c)</w:t>
      </w:r>
      <w:r w:rsidRPr="009D198D">
        <w:rPr>
          <w:rFonts w:ascii="Arial" w:eastAsia="Calibri" w:hAnsi="Arial" w:cs="Arial"/>
          <w:sz w:val="21"/>
          <w:szCs w:val="21"/>
          <w:lang w:val="es-ES_tradnl" w:eastAsia="en-US"/>
        </w:rPr>
        <w:t xml:space="preserve"> los pliegos de condiciones o la invitación</w:t>
      </w:r>
      <w:r w:rsidRPr="009D198D">
        <w:rPr>
          <w:rFonts w:ascii="Arial" w:eastAsia="Calibri" w:hAnsi="Arial" w:cs="Arial"/>
          <w:b/>
          <w:bCs/>
          <w:sz w:val="21"/>
          <w:szCs w:val="21"/>
          <w:lang w:val="es-ES_tradnl" w:eastAsia="en-US"/>
        </w:rPr>
        <w:t>; (d)</w:t>
      </w:r>
      <w:r w:rsidRPr="009D198D">
        <w:rPr>
          <w:rFonts w:ascii="Arial" w:eastAsia="Calibri" w:hAnsi="Arial" w:cs="Arial"/>
          <w:sz w:val="21"/>
          <w:szCs w:val="21"/>
          <w:lang w:val="es-ES_tradnl" w:eastAsia="en-US"/>
        </w:rPr>
        <w:t xml:space="preserve"> las Adendas; </w:t>
      </w:r>
      <w:r w:rsidRPr="009D198D">
        <w:rPr>
          <w:rFonts w:ascii="Arial" w:eastAsia="Calibri" w:hAnsi="Arial" w:cs="Arial"/>
          <w:b/>
          <w:bCs/>
          <w:sz w:val="21"/>
          <w:szCs w:val="21"/>
          <w:lang w:val="es-ES_tradnl" w:eastAsia="en-US"/>
        </w:rPr>
        <w:t xml:space="preserve">(e) </w:t>
      </w:r>
      <w:r w:rsidRPr="009D198D">
        <w:rPr>
          <w:rFonts w:ascii="Arial" w:eastAsia="Calibri" w:hAnsi="Arial" w:cs="Arial"/>
          <w:sz w:val="21"/>
          <w:szCs w:val="21"/>
          <w:lang w:val="es-ES_tradnl" w:eastAsia="en-US"/>
        </w:rPr>
        <w:t xml:space="preserve">la oferta; </w:t>
      </w:r>
      <w:r w:rsidRPr="009D198D">
        <w:rPr>
          <w:rFonts w:ascii="Arial" w:eastAsia="Calibri" w:hAnsi="Arial" w:cs="Arial"/>
          <w:b/>
          <w:bCs/>
          <w:sz w:val="21"/>
          <w:szCs w:val="21"/>
          <w:lang w:val="es-ES_tradnl" w:eastAsia="en-US"/>
        </w:rPr>
        <w:t>(f)</w:t>
      </w:r>
      <w:r w:rsidRPr="009D198D">
        <w:rPr>
          <w:rFonts w:ascii="Arial" w:eastAsia="Calibri" w:hAnsi="Arial" w:cs="Arial"/>
          <w:sz w:val="21"/>
          <w:szCs w:val="21"/>
          <w:lang w:val="es-ES_tradnl" w:eastAsia="en-US"/>
        </w:rPr>
        <w:t xml:space="preserve"> el informe de evaluación; </w:t>
      </w:r>
      <w:r w:rsidRPr="009D198D">
        <w:rPr>
          <w:rFonts w:ascii="Arial" w:eastAsia="Calibri" w:hAnsi="Arial" w:cs="Arial"/>
          <w:b/>
          <w:bCs/>
          <w:sz w:val="21"/>
          <w:szCs w:val="21"/>
          <w:lang w:val="es-ES_tradnl" w:eastAsia="en-US"/>
        </w:rPr>
        <w:t>(g)</w:t>
      </w:r>
      <w:r w:rsidRPr="009D198D">
        <w:rPr>
          <w:rFonts w:ascii="Arial" w:eastAsia="Calibri" w:hAnsi="Arial" w:cs="Arial"/>
          <w:sz w:val="21"/>
          <w:szCs w:val="21"/>
          <w:lang w:val="es-ES_tradnl" w:eastAsia="en-US"/>
        </w:rPr>
        <w:t xml:space="preserve"> el contrato; y </w:t>
      </w:r>
      <w:r w:rsidRPr="009D198D">
        <w:rPr>
          <w:rFonts w:ascii="Arial" w:eastAsia="Calibri" w:hAnsi="Arial" w:cs="Arial"/>
          <w:sz w:val="21"/>
          <w:szCs w:val="21"/>
          <w:u w:val="single"/>
          <w:lang w:val="es-ES_tradnl" w:eastAsia="en-US"/>
        </w:rPr>
        <w:t xml:space="preserve">cualquier otro documento </w:t>
      </w:r>
      <w:r w:rsidRPr="009D198D">
        <w:rPr>
          <w:rFonts w:ascii="Arial" w:eastAsia="Calibri" w:hAnsi="Arial" w:cs="Arial"/>
          <w:b/>
          <w:bCs/>
          <w:sz w:val="21"/>
          <w:szCs w:val="21"/>
          <w:u w:val="single"/>
          <w:lang w:val="es-ES_tradnl" w:eastAsia="en-US"/>
        </w:rPr>
        <w:t>expedido por la Entidad Estatal durante el Proceso de Contratación.</w:t>
      </w:r>
    </w:p>
    <w:p w14:paraId="7EE54973" w14:textId="77777777" w:rsidR="00960F3E" w:rsidRPr="009D198D" w:rsidRDefault="00960F3E" w:rsidP="00960F3E">
      <w:pPr>
        <w:ind w:left="709" w:right="476"/>
        <w:jc w:val="both"/>
        <w:rPr>
          <w:rFonts w:ascii="Arial" w:eastAsia="Calibri" w:hAnsi="Arial" w:cs="Arial"/>
          <w:sz w:val="21"/>
          <w:szCs w:val="21"/>
          <w:lang w:val="es-ES_tradnl" w:eastAsia="en-US"/>
        </w:rPr>
      </w:pPr>
    </w:p>
    <w:p w14:paraId="3D3FB8D0" w14:textId="59712126" w:rsidR="00960F3E" w:rsidRPr="009D198D" w:rsidRDefault="00960F3E" w:rsidP="00960F3E">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A.</w:t>
      </w:r>
      <w:r w:rsidR="004507F0" w:rsidRPr="009D198D">
        <w:rPr>
          <w:rFonts w:ascii="Arial" w:eastAsia="Calibri" w:hAnsi="Arial" w:cs="Arial"/>
          <w:b/>
          <w:bCs/>
          <w:sz w:val="21"/>
          <w:szCs w:val="21"/>
          <w:lang w:val="es-ES_tradnl" w:eastAsia="en-US"/>
        </w:rPr>
        <w:t xml:space="preserve"> ¿</w:t>
      </w:r>
      <w:proofErr w:type="spellStart"/>
      <w:r w:rsidRPr="009D198D">
        <w:rPr>
          <w:rFonts w:ascii="Arial" w:eastAsia="Calibri" w:hAnsi="Arial" w:cs="Arial"/>
          <w:b/>
          <w:bCs/>
          <w:sz w:val="21"/>
          <w:szCs w:val="21"/>
          <w:lang w:val="es-ES_tradnl" w:eastAsia="en-US"/>
        </w:rPr>
        <w:t>eI</w:t>
      </w:r>
      <w:proofErr w:type="spellEnd"/>
      <w:r w:rsidRPr="009D198D">
        <w:rPr>
          <w:rFonts w:ascii="Arial" w:eastAsia="Calibri" w:hAnsi="Arial" w:cs="Arial"/>
          <w:b/>
          <w:bCs/>
          <w:sz w:val="21"/>
          <w:szCs w:val="21"/>
          <w:lang w:val="es-ES_tradnl" w:eastAsia="en-US"/>
        </w:rPr>
        <w:t xml:space="preserve"> termino de tres (3) días para publicación en el </w:t>
      </w:r>
      <w:proofErr w:type="spellStart"/>
      <w:r w:rsidRPr="009D198D">
        <w:rPr>
          <w:rFonts w:ascii="Arial" w:eastAsia="Calibri" w:hAnsi="Arial" w:cs="Arial"/>
          <w:b/>
          <w:bCs/>
          <w:sz w:val="21"/>
          <w:szCs w:val="21"/>
          <w:lang w:val="es-ES_tradnl" w:eastAsia="en-US"/>
        </w:rPr>
        <w:t>Secop</w:t>
      </w:r>
      <w:proofErr w:type="spellEnd"/>
      <w:r w:rsidRPr="009D198D">
        <w:rPr>
          <w:rFonts w:ascii="Arial" w:eastAsia="Calibri" w:hAnsi="Arial" w:cs="Arial"/>
          <w:b/>
          <w:bCs/>
          <w:sz w:val="21"/>
          <w:szCs w:val="21"/>
          <w:lang w:val="es-ES_tradnl" w:eastAsia="en-US"/>
        </w:rPr>
        <w:t>, bajo el principio de legalidad, solo es aplicable a los documentos del proceso contenidos en el Art. 2.2.1.1.1.3.1 del Decreto 1082-2015 y cualquier otro documento expedido por la entidad estatal que, en síntesis, son los actos administrativos del Proceso de Contratación?</w:t>
      </w:r>
    </w:p>
    <w:p w14:paraId="50A1DD1A" w14:textId="77777777" w:rsidR="00960F3E" w:rsidRPr="009D198D" w:rsidRDefault="00960F3E" w:rsidP="00960F3E">
      <w:pPr>
        <w:ind w:left="709" w:right="476"/>
        <w:jc w:val="both"/>
        <w:rPr>
          <w:rFonts w:ascii="Arial" w:eastAsia="Calibri" w:hAnsi="Arial" w:cs="Arial"/>
          <w:sz w:val="21"/>
          <w:szCs w:val="21"/>
          <w:lang w:val="es-ES_tradnl" w:eastAsia="en-US"/>
        </w:rPr>
      </w:pPr>
    </w:p>
    <w:p w14:paraId="6CAC0A9B" w14:textId="48AE37BC" w:rsidR="00960F3E" w:rsidRPr="009D198D" w:rsidRDefault="00960F3E" w:rsidP="00960F3E">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B.</w:t>
      </w:r>
      <w:r w:rsidR="004507F0" w:rsidRPr="009D198D">
        <w:rPr>
          <w:rFonts w:ascii="Arial" w:eastAsia="Calibri" w:hAnsi="Arial" w:cs="Arial"/>
          <w:b/>
          <w:bCs/>
          <w:sz w:val="21"/>
          <w:szCs w:val="21"/>
          <w:lang w:val="es-ES_tradnl" w:eastAsia="en-US"/>
        </w:rPr>
        <w:t xml:space="preserve"> ¿</w:t>
      </w:r>
      <w:r w:rsidRPr="009D198D">
        <w:rPr>
          <w:rFonts w:ascii="Arial" w:eastAsia="Calibri" w:hAnsi="Arial" w:cs="Arial"/>
          <w:b/>
          <w:bCs/>
          <w:sz w:val="21"/>
          <w:szCs w:val="21"/>
          <w:lang w:val="es-ES_tradnl" w:eastAsia="en-US"/>
        </w:rPr>
        <w:t>se debe entender que cualquier acto unilateral de la entidad que en el proceso de contratación sea expedido es susceptible de ser publicado, dentro de los tres (3) días que expresa la norma en el Art. 2.2.1.1.1.7.1. del Decreto 1082-2015?</w:t>
      </w:r>
    </w:p>
    <w:p w14:paraId="1F1FC62F" w14:textId="5E9CFF69" w:rsidR="00960F3E" w:rsidRPr="009D198D" w:rsidRDefault="00960F3E" w:rsidP="00960F3E">
      <w:pPr>
        <w:ind w:left="709" w:right="476"/>
        <w:jc w:val="both"/>
        <w:rPr>
          <w:rFonts w:ascii="Arial" w:eastAsia="Calibri" w:hAnsi="Arial" w:cs="Arial"/>
          <w:sz w:val="21"/>
          <w:szCs w:val="21"/>
          <w:lang w:val="es-ES_tradnl" w:eastAsia="en-US"/>
        </w:rPr>
      </w:pPr>
    </w:p>
    <w:p w14:paraId="65EBB34A" w14:textId="77B3A47E" w:rsidR="004507F0" w:rsidRPr="009D198D" w:rsidRDefault="004507F0" w:rsidP="004507F0">
      <w:pPr>
        <w:ind w:left="709" w:right="476"/>
        <w:jc w:val="both"/>
        <w:rPr>
          <w:rFonts w:ascii="Arial" w:eastAsia="Calibri" w:hAnsi="Arial" w:cs="Arial"/>
          <w:b/>
          <w:bCs/>
          <w:sz w:val="21"/>
          <w:szCs w:val="21"/>
          <w:lang w:val="es-ES" w:eastAsia="en-US"/>
        </w:rPr>
      </w:pPr>
      <w:r w:rsidRPr="009D198D">
        <w:rPr>
          <w:rFonts w:ascii="Arial" w:eastAsia="Calibri" w:hAnsi="Arial" w:cs="Arial"/>
          <w:b/>
          <w:bCs/>
          <w:sz w:val="21"/>
          <w:szCs w:val="21"/>
          <w:lang w:val="es-ES" w:eastAsia="en-US"/>
        </w:rPr>
        <w:t xml:space="preserve">C. </w:t>
      </w:r>
      <w:r w:rsidRPr="009D198D">
        <w:rPr>
          <w:rFonts w:ascii="Arial" w:eastAsia="Calibri" w:hAnsi="Arial" w:cs="Arial"/>
          <w:sz w:val="21"/>
          <w:szCs w:val="21"/>
          <w:lang w:val="es-ES" w:eastAsia="en-US"/>
        </w:rPr>
        <w:t xml:space="preserve">A la </w:t>
      </w:r>
      <w:proofErr w:type="spellStart"/>
      <w:r w:rsidRPr="009D198D">
        <w:rPr>
          <w:rFonts w:ascii="Arial" w:eastAsia="Calibri" w:hAnsi="Arial" w:cs="Arial"/>
          <w:sz w:val="21"/>
          <w:szCs w:val="21"/>
          <w:lang w:val="es-ES" w:eastAsia="en-US"/>
        </w:rPr>
        <w:t>Iuz</w:t>
      </w:r>
      <w:proofErr w:type="spellEnd"/>
      <w:r w:rsidRPr="009D198D">
        <w:rPr>
          <w:rFonts w:ascii="Arial" w:eastAsia="Calibri" w:hAnsi="Arial" w:cs="Arial"/>
          <w:sz w:val="21"/>
          <w:szCs w:val="21"/>
          <w:lang w:val="es-ES" w:eastAsia="en-US"/>
        </w:rPr>
        <w:t xml:space="preserve"> del sistema de compra pública y del ordenamiento jurídico colombiano</w:t>
      </w:r>
      <w:r w:rsidRPr="009D198D">
        <w:rPr>
          <w:rFonts w:ascii="Arial" w:eastAsia="Calibri" w:hAnsi="Arial" w:cs="Arial"/>
          <w:b/>
          <w:bCs/>
          <w:sz w:val="21"/>
          <w:szCs w:val="21"/>
          <w:lang w:val="es-ES" w:eastAsia="en-US"/>
        </w:rPr>
        <w:t xml:space="preserve"> ¿</w:t>
      </w:r>
      <w:proofErr w:type="spellStart"/>
      <w:r w:rsidRPr="009D198D">
        <w:rPr>
          <w:rFonts w:ascii="Arial" w:eastAsia="Calibri" w:hAnsi="Arial" w:cs="Arial"/>
          <w:b/>
          <w:bCs/>
          <w:sz w:val="21"/>
          <w:szCs w:val="21"/>
          <w:lang w:val="es-ES" w:eastAsia="en-US"/>
        </w:rPr>
        <w:t>eI</w:t>
      </w:r>
      <w:proofErr w:type="spellEnd"/>
      <w:r w:rsidRPr="009D198D">
        <w:rPr>
          <w:rFonts w:ascii="Arial" w:eastAsia="Calibri" w:hAnsi="Arial" w:cs="Arial"/>
          <w:b/>
          <w:bCs/>
          <w:sz w:val="21"/>
          <w:szCs w:val="21"/>
          <w:lang w:val="es-ES" w:eastAsia="en-US"/>
        </w:rPr>
        <w:t xml:space="preserve"> acta de inicio es un acto administrativo?</w:t>
      </w:r>
    </w:p>
    <w:p w14:paraId="41BA790C" w14:textId="29C2A431" w:rsidR="004507F0" w:rsidRPr="009D198D" w:rsidRDefault="004507F0" w:rsidP="004507F0">
      <w:pPr>
        <w:ind w:left="709" w:right="476"/>
        <w:jc w:val="both"/>
        <w:rPr>
          <w:rFonts w:ascii="Arial" w:eastAsia="Calibri" w:hAnsi="Arial" w:cs="Arial"/>
          <w:b/>
          <w:bCs/>
          <w:sz w:val="21"/>
          <w:szCs w:val="21"/>
          <w:lang w:val="es-ES" w:eastAsia="en-US"/>
        </w:rPr>
      </w:pPr>
    </w:p>
    <w:p w14:paraId="2B21B5AF" w14:textId="3850A1FE" w:rsidR="004507F0" w:rsidRPr="009D198D" w:rsidRDefault="004507F0" w:rsidP="004507F0">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D. </w:t>
      </w:r>
      <w:r w:rsidRPr="009D198D">
        <w:rPr>
          <w:rFonts w:ascii="Arial" w:eastAsia="Calibri" w:hAnsi="Arial" w:cs="Arial"/>
          <w:sz w:val="21"/>
          <w:szCs w:val="21"/>
          <w:lang w:eastAsia="en-US"/>
        </w:rPr>
        <w:t>A la luz del sistema de compra pública y del ordenamiento jurídico colombiano</w:t>
      </w:r>
      <w:r w:rsidRPr="009D198D">
        <w:rPr>
          <w:rFonts w:ascii="Arial" w:eastAsia="Calibri" w:hAnsi="Arial" w:cs="Arial"/>
          <w:b/>
          <w:bCs/>
          <w:sz w:val="21"/>
          <w:szCs w:val="21"/>
          <w:lang w:eastAsia="en-US"/>
        </w:rPr>
        <w:t xml:space="preserve"> ¿</w:t>
      </w:r>
      <w:proofErr w:type="spellStart"/>
      <w:r w:rsidRPr="009D198D">
        <w:rPr>
          <w:rFonts w:ascii="Arial" w:eastAsia="Calibri" w:hAnsi="Arial" w:cs="Arial"/>
          <w:b/>
          <w:bCs/>
          <w:sz w:val="21"/>
          <w:szCs w:val="21"/>
          <w:lang w:eastAsia="en-US"/>
        </w:rPr>
        <w:t>eI</w:t>
      </w:r>
      <w:proofErr w:type="spellEnd"/>
      <w:r w:rsidRPr="009D198D">
        <w:rPr>
          <w:rFonts w:ascii="Arial" w:eastAsia="Calibri" w:hAnsi="Arial" w:cs="Arial"/>
          <w:b/>
          <w:bCs/>
          <w:sz w:val="21"/>
          <w:szCs w:val="21"/>
          <w:lang w:eastAsia="en-US"/>
        </w:rPr>
        <w:t xml:space="preserve"> acta de liquidación bilateral es un acto administrativo?</w:t>
      </w:r>
    </w:p>
    <w:p w14:paraId="47FF505C" w14:textId="77777777" w:rsidR="004507F0" w:rsidRPr="009D198D" w:rsidRDefault="004507F0" w:rsidP="00960F3E">
      <w:pPr>
        <w:ind w:left="709" w:right="476"/>
        <w:jc w:val="both"/>
        <w:rPr>
          <w:rFonts w:ascii="Arial" w:eastAsia="Calibri" w:hAnsi="Arial" w:cs="Arial"/>
          <w:sz w:val="21"/>
          <w:szCs w:val="21"/>
          <w:lang w:val="es-ES_tradnl" w:eastAsia="en-US"/>
        </w:rPr>
      </w:pPr>
    </w:p>
    <w:p w14:paraId="2102C5E1" w14:textId="0F975DAE" w:rsidR="00960F3E" w:rsidRPr="009D198D" w:rsidRDefault="00960F3E" w:rsidP="00960F3E">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E</w:t>
      </w:r>
      <w:r w:rsidRPr="009D198D">
        <w:rPr>
          <w:rFonts w:ascii="Arial" w:eastAsia="Calibri" w:hAnsi="Arial" w:cs="Arial"/>
          <w:sz w:val="21"/>
          <w:szCs w:val="21"/>
          <w:lang w:val="es-ES_tradnl" w:eastAsia="en-US"/>
        </w:rPr>
        <w:t>.</w:t>
      </w:r>
      <w:r w:rsidR="004507F0" w:rsidRPr="009D198D">
        <w:rPr>
          <w:rFonts w:ascii="Arial" w:eastAsia="Calibri" w:hAnsi="Arial" w:cs="Arial"/>
          <w:sz w:val="21"/>
          <w:szCs w:val="21"/>
          <w:lang w:val="es-ES_tradnl" w:eastAsia="en-US"/>
        </w:rPr>
        <w:t xml:space="preserve"> </w:t>
      </w:r>
      <w:r w:rsidRPr="009D198D">
        <w:rPr>
          <w:rFonts w:ascii="Arial" w:eastAsia="Calibri" w:hAnsi="Arial" w:cs="Arial"/>
          <w:sz w:val="21"/>
          <w:szCs w:val="21"/>
          <w:lang w:val="es-ES_tradnl" w:eastAsia="en-US"/>
        </w:rPr>
        <w:t xml:space="preserve">Bajo el principio de legalidad, los documentos </w:t>
      </w:r>
      <w:r w:rsidRPr="009D198D">
        <w:rPr>
          <w:rFonts w:ascii="Arial" w:eastAsia="Calibri" w:hAnsi="Arial" w:cs="Arial"/>
          <w:b/>
          <w:bCs/>
          <w:sz w:val="21"/>
          <w:szCs w:val="21"/>
          <w:u w:val="single"/>
          <w:lang w:val="es-ES_tradnl" w:eastAsia="en-US"/>
        </w:rPr>
        <w:t>NO expedidos</w:t>
      </w:r>
      <w:r w:rsidRPr="009D198D">
        <w:rPr>
          <w:rFonts w:ascii="Arial" w:eastAsia="Calibri" w:hAnsi="Arial" w:cs="Arial"/>
          <w:sz w:val="21"/>
          <w:szCs w:val="21"/>
          <w:lang w:val="es-ES_tradnl" w:eastAsia="en-US"/>
        </w:rPr>
        <w:t xml:space="preserve"> por la entidad estatal de forma unilateral, o sea aquellos celebrados de forma bilateral y que no están incluidos en el Art. 2.2.1.1.1.3.1 del Decreto 1082-2015, </w:t>
      </w:r>
      <w:r w:rsidR="004507F0" w:rsidRPr="009D198D">
        <w:rPr>
          <w:rFonts w:ascii="Arial" w:eastAsia="Calibri" w:hAnsi="Arial" w:cs="Arial"/>
          <w:sz w:val="21"/>
          <w:szCs w:val="21"/>
          <w:lang w:val="es-ES_tradnl" w:eastAsia="en-US"/>
        </w:rPr>
        <w:t>¿</w:t>
      </w:r>
      <w:proofErr w:type="spellStart"/>
      <w:r w:rsidRPr="009D198D">
        <w:rPr>
          <w:rFonts w:ascii="Arial" w:eastAsia="Calibri" w:hAnsi="Arial" w:cs="Arial"/>
          <w:b/>
          <w:bCs/>
          <w:sz w:val="21"/>
          <w:szCs w:val="21"/>
          <w:lang w:val="es-ES_tradnl" w:eastAsia="en-US"/>
        </w:rPr>
        <w:t>Ies</w:t>
      </w:r>
      <w:proofErr w:type="spellEnd"/>
      <w:r w:rsidRPr="009D198D">
        <w:rPr>
          <w:rFonts w:ascii="Arial" w:eastAsia="Calibri" w:hAnsi="Arial" w:cs="Arial"/>
          <w:b/>
          <w:bCs/>
          <w:sz w:val="21"/>
          <w:szCs w:val="21"/>
          <w:lang w:val="es-ES_tradnl" w:eastAsia="en-US"/>
        </w:rPr>
        <w:t xml:space="preserve"> es aplicable el término imperativo de los tres (3) días, contenido en Art. 2.2.1.1.1.7.1. del Decreto 1082-2015?</w:t>
      </w:r>
    </w:p>
    <w:p w14:paraId="026E0330" w14:textId="77777777" w:rsidR="00960F3E" w:rsidRPr="009D198D" w:rsidRDefault="00960F3E" w:rsidP="00960F3E">
      <w:pPr>
        <w:ind w:left="709" w:right="476"/>
        <w:jc w:val="both"/>
        <w:rPr>
          <w:rFonts w:ascii="Arial" w:eastAsia="Calibri" w:hAnsi="Arial" w:cs="Arial"/>
          <w:sz w:val="21"/>
          <w:szCs w:val="21"/>
          <w:lang w:val="es-ES_tradnl" w:eastAsia="en-US"/>
        </w:rPr>
      </w:pPr>
    </w:p>
    <w:p w14:paraId="517CEFA0" w14:textId="2B026B2B" w:rsidR="00960F3E" w:rsidRPr="009D198D" w:rsidRDefault="00960F3E" w:rsidP="00960F3E">
      <w:pPr>
        <w:ind w:left="709" w:right="476"/>
        <w:jc w:val="both"/>
        <w:rPr>
          <w:rFonts w:ascii="Arial" w:eastAsia="Calibri" w:hAnsi="Arial" w:cs="Arial"/>
          <w:sz w:val="21"/>
          <w:szCs w:val="21"/>
          <w:lang w:val="es-ES_tradnl" w:eastAsia="en-US"/>
        </w:rPr>
      </w:pPr>
      <w:r w:rsidRPr="009D198D">
        <w:rPr>
          <w:rFonts w:ascii="Arial" w:eastAsia="Calibri" w:hAnsi="Arial" w:cs="Arial"/>
          <w:b/>
          <w:bCs/>
          <w:sz w:val="21"/>
          <w:szCs w:val="21"/>
          <w:lang w:val="es-ES_tradnl" w:eastAsia="en-US"/>
        </w:rPr>
        <w:t>F.</w:t>
      </w:r>
      <w:r w:rsidR="004507F0" w:rsidRPr="009D198D">
        <w:rPr>
          <w:rFonts w:ascii="Arial" w:eastAsia="Calibri" w:hAnsi="Arial" w:cs="Arial"/>
          <w:sz w:val="21"/>
          <w:szCs w:val="21"/>
          <w:lang w:val="es-ES_tradnl" w:eastAsia="en-US"/>
        </w:rPr>
        <w:t xml:space="preserve"> </w:t>
      </w:r>
      <w:r w:rsidRPr="009D198D">
        <w:rPr>
          <w:rFonts w:ascii="Arial" w:eastAsia="Calibri" w:hAnsi="Arial" w:cs="Arial"/>
          <w:sz w:val="21"/>
          <w:szCs w:val="21"/>
          <w:lang w:val="es-ES_tradnl" w:eastAsia="en-US"/>
        </w:rPr>
        <w:t xml:space="preserve">Teniendo en cuenta que los documentos originados bajo el acuerdo de voluntades y dado que no derivan de una expedición (propia del acto administrativo, como pronunciar un auto o decreto) sino de una celebración o perfeccionamiento, poseen naturaleza bilateral, un ejemplo son las actas de inicio, que al no estar previstas en la </w:t>
      </w:r>
      <w:proofErr w:type="spellStart"/>
      <w:r w:rsidRPr="009D198D">
        <w:rPr>
          <w:rFonts w:ascii="Arial" w:eastAsia="Calibri" w:hAnsi="Arial" w:cs="Arial"/>
          <w:sz w:val="21"/>
          <w:szCs w:val="21"/>
          <w:lang w:val="es-ES_tradnl" w:eastAsia="en-US"/>
        </w:rPr>
        <w:t>Iey</w:t>
      </w:r>
      <w:proofErr w:type="spellEnd"/>
      <w:r w:rsidRPr="009D198D">
        <w:rPr>
          <w:rFonts w:ascii="Arial" w:eastAsia="Calibri" w:hAnsi="Arial" w:cs="Arial"/>
          <w:sz w:val="21"/>
          <w:szCs w:val="21"/>
          <w:lang w:val="es-ES_tradnl" w:eastAsia="en-US"/>
        </w:rPr>
        <w:t xml:space="preserve">, si pertenecen a la voluntad de las partes para su perfeccionamiento y por ende, al no estar incluidas en el Art. 2.2.1.1.1.3.1 del Decreto 1082-20 15, </w:t>
      </w:r>
      <w:r w:rsidR="004507F0" w:rsidRPr="009D198D">
        <w:rPr>
          <w:rFonts w:ascii="Arial" w:eastAsia="Calibri" w:hAnsi="Arial" w:cs="Arial"/>
          <w:b/>
          <w:bCs/>
          <w:sz w:val="21"/>
          <w:szCs w:val="21"/>
          <w:lang w:val="es-ES_tradnl" w:eastAsia="en-US"/>
        </w:rPr>
        <w:t>¿</w:t>
      </w:r>
      <w:r w:rsidRPr="009D198D">
        <w:rPr>
          <w:rFonts w:ascii="Arial" w:eastAsia="Calibri" w:hAnsi="Arial" w:cs="Arial"/>
          <w:b/>
          <w:bCs/>
          <w:sz w:val="21"/>
          <w:szCs w:val="21"/>
          <w:lang w:val="es-ES_tradnl" w:eastAsia="en-US"/>
        </w:rPr>
        <w:t>no deberían estar sujetos a la aplicación del término taxativo del Art. 2.2.1.1.1.7.1. del Decreto 1082-2015, bajo el principio de legalidad?</w:t>
      </w:r>
    </w:p>
    <w:p w14:paraId="4101A6E4" w14:textId="77777777" w:rsidR="00960F3E" w:rsidRPr="009D198D" w:rsidRDefault="00960F3E" w:rsidP="00960F3E">
      <w:pPr>
        <w:ind w:left="709" w:right="476"/>
        <w:jc w:val="both"/>
        <w:rPr>
          <w:rFonts w:ascii="Arial" w:eastAsia="Calibri" w:hAnsi="Arial" w:cs="Arial"/>
          <w:sz w:val="21"/>
          <w:szCs w:val="21"/>
          <w:lang w:val="es-ES_tradnl" w:eastAsia="en-US"/>
        </w:rPr>
      </w:pPr>
    </w:p>
    <w:p w14:paraId="776C5A88" w14:textId="01F218F7" w:rsidR="00960F3E" w:rsidRPr="009D198D" w:rsidRDefault="00960F3E" w:rsidP="00960F3E">
      <w:pPr>
        <w:ind w:left="709" w:right="476"/>
        <w:jc w:val="both"/>
        <w:rPr>
          <w:rFonts w:ascii="Arial" w:eastAsia="Calibri" w:hAnsi="Arial" w:cs="Arial"/>
          <w:sz w:val="21"/>
          <w:szCs w:val="21"/>
          <w:lang w:val="es-ES_tradnl" w:eastAsia="en-US"/>
        </w:rPr>
      </w:pPr>
      <w:r w:rsidRPr="009D198D">
        <w:rPr>
          <w:rFonts w:ascii="Arial" w:eastAsia="Calibri" w:hAnsi="Arial" w:cs="Arial"/>
          <w:b/>
          <w:bCs/>
          <w:sz w:val="21"/>
          <w:szCs w:val="21"/>
          <w:lang w:val="es-ES_tradnl" w:eastAsia="en-US"/>
        </w:rPr>
        <w:t>G.</w:t>
      </w:r>
      <w:r w:rsidRPr="009D198D">
        <w:rPr>
          <w:rFonts w:ascii="Arial" w:eastAsia="Calibri" w:hAnsi="Arial" w:cs="Arial"/>
          <w:sz w:val="21"/>
          <w:szCs w:val="21"/>
          <w:lang w:val="es-ES_tradnl" w:eastAsia="en-US"/>
        </w:rPr>
        <w:t xml:space="preserve"> Acorde con el Art. 11 literal (g) de la ley 1712-2014, </w:t>
      </w:r>
      <w:r w:rsidR="004507F0" w:rsidRPr="009D198D">
        <w:rPr>
          <w:rFonts w:ascii="Arial" w:eastAsia="Calibri" w:hAnsi="Arial" w:cs="Arial"/>
          <w:b/>
          <w:bCs/>
          <w:sz w:val="21"/>
          <w:szCs w:val="21"/>
          <w:lang w:val="es-ES_tradnl" w:eastAsia="en-US"/>
        </w:rPr>
        <w:t>¿</w:t>
      </w:r>
      <w:r w:rsidRPr="009D198D">
        <w:rPr>
          <w:rFonts w:ascii="Arial" w:eastAsia="Calibri" w:hAnsi="Arial" w:cs="Arial"/>
          <w:b/>
          <w:bCs/>
          <w:sz w:val="21"/>
          <w:szCs w:val="21"/>
          <w:lang w:val="es-ES_tradnl" w:eastAsia="en-US"/>
        </w:rPr>
        <w:t>los documentos del proceso de contratación de naturaleza bilateral deben ser publicados en un término oportuno en garantía del derecho del acceso a la información contenido? De ser así,</w:t>
      </w:r>
      <w:r w:rsidR="00715A9E" w:rsidRPr="009D198D">
        <w:rPr>
          <w:rFonts w:ascii="Arial" w:eastAsia="Calibri" w:hAnsi="Arial" w:cs="Arial"/>
          <w:b/>
          <w:bCs/>
          <w:sz w:val="21"/>
          <w:szCs w:val="21"/>
          <w:lang w:val="es-ES_tradnl" w:eastAsia="en-US"/>
        </w:rPr>
        <w:t xml:space="preserve"> ¿</w:t>
      </w:r>
      <w:r w:rsidRPr="009D198D">
        <w:rPr>
          <w:rFonts w:ascii="Arial" w:eastAsia="Calibri" w:hAnsi="Arial" w:cs="Arial"/>
          <w:b/>
          <w:bCs/>
          <w:sz w:val="21"/>
          <w:szCs w:val="21"/>
          <w:lang w:val="es-ES_tradnl" w:eastAsia="en-US"/>
        </w:rPr>
        <w:t>cuál sería el término oportuno?</w:t>
      </w:r>
      <w:r w:rsidR="00AD1E57" w:rsidRPr="009D198D">
        <w:rPr>
          <w:rFonts w:ascii="Arial" w:eastAsia="Calibri" w:hAnsi="Arial" w:cs="Arial"/>
          <w:b/>
          <w:bCs/>
          <w:sz w:val="21"/>
          <w:szCs w:val="21"/>
          <w:lang w:val="es-ES_tradnl" w:eastAsia="en-US"/>
        </w:rPr>
        <w:t xml:space="preserve"> ¿</w:t>
      </w:r>
      <w:r w:rsidRPr="009D198D">
        <w:rPr>
          <w:rFonts w:ascii="Arial" w:eastAsia="Calibri" w:hAnsi="Arial" w:cs="Arial"/>
          <w:b/>
          <w:bCs/>
          <w:sz w:val="21"/>
          <w:szCs w:val="21"/>
          <w:lang w:val="es-ES_tradnl" w:eastAsia="en-US"/>
        </w:rPr>
        <w:t>dependerá este de las condiciones particulares de cada entidad estatal y su acceso a sistemas tecnológicos y de conectividad a internet, teniendo en cuenta que existen lugares aislados y de difícil acceso a plataformas virtuales en el territorio nacional?</w:t>
      </w:r>
    </w:p>
    <w:p w14:paraId="12DA0E38" w14:textId="3FB476B3" w:rsidR="00960F3E" w:rsidRPr="009D198D" w:rsidRDefault="00960F3E" w:rsidP="00960F3E">
      <w:pPr>
        <w:ind w:left="709" w:right="476"/>
        <w:jc w:val="both"/>
        <w:rPr>
          <w:rFonts w:ascii="Arial" w:eastAsia="Calibri" w:hAnsi="Arial" w:cs="Arial"/>
          <w:sz w:val="21"/>
          <w:szCs w:val="21"/>
          <w:lang w:val="es-ES_tradnl" w:eastAsia="en-US"/>
        </w:rPr>
      </w:pPr>
    </w:p>
    <w:p w14:paraId="45EF1503" w14:textId="39422D3A" w:rsidR="00AD1E57" w:rsidRPr="009D198D" w:rsidRDefault="00AD1E57" w:rsidP="00AD1E57">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H. ¿Cuándo es procedente la aplicación analógica de la Iey153 de 1887, respecto de las normas del sistema de compra pública?</w:t>
      </w:r>
    </w:p>
    <w:p w14:paraId="3ACDDDC4" w14:textId="77777777" w:rsidR="00984375" w:rsidRPr="009D198D" w:rsidRDefault="00984375" w:rsidP="00AD1E57">
      <w:pPr>
        <w:ind w:left="709" w:right="476"/>
        <w:jc w:val="both"/>
        <w:rPr>
          <w:rFonts w:ascii="Arial" w:eastAsia="Calibri" w:hAnsi="Arial" w:cs="Arial"/>
          <w:b/>
          <w:bCs/>
          <w:sz w:val="21"/>
          <w:szCs w:val="21"/>
          <w:lang w:val="es-ES_tradnl" w:eastAsia="en-US"/>
        </w:rPr>
      </w:pPr>
    </w:p>
    <w:p w14:paraId="4597094E" w14:textId="162EE21D" w:rsidR="00AD1E57" w:rsidRPr="009D198D" w:rsidRDefault="00AD1E57" w:rsidP="00AD1E57">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I.</w:t>
      </w:r>
      <w:r w:rsidR="005243A3" w:rsidRPr="009D198D">
        <w:rPr>
          <w:rFonts w:ascii="Arial" w:eastAsia="Calibri" w:hAnsi="Arial" w:cs="Arial"/>
          <w:b/>
          <w:bCs/>
          <w:sz w:val="21"/>
          <w:szCs w:val="21"/>
          <w:lang w:val="es-ES_tradnl" w:eastAsia="en-US"/>
        </w:rPr>
        <w:t xml:space="preserve"> </w:t>
      </w:r>
      <w:r w:rsidRPr="009D198D">
        <w:rPr>
          <w:rFonts w:ascii="Arial" w:eastAsia="Calibri" w:hAnsi="Arial" w:cs="Arial"/>
          <w:sz w:val="21"/>
          <w:szCs w:val="21"/>
          <w:lang w:val="es-ES_tradnl" w:eastAsia="en-US"/>
        </w:rPr>
        <w:t>El Art. 2.2.1.1.1.7.1. del Decreto 1082-2015 es claro e imperativo,</w:t>
      </w:r>
      <w:r w:rsidRPr="009D198D">
        <w:rPr>
          <w:rFonts w:ascii="Arial" w:eastAsia="Calibri" w:hAnsi="Arial" w:cs="Arial"/>
          <w:b/>
          <w:bCs/>
          <w:sz w:val="21"/>
          <w:szCs w:val="21"/>
          <w:lang w:val="es-ES_tradnl" w:eastAsia="en-US"/>
        </w:rPr>
        <w:t xml:space="preserve"> </w:t>
      </w:r>
      <w:r w:rsidRPr="009D198D">
        <w:rPr>
          <w:rFonts w:ascii="Arial" w:eastAsia="Calibri" w:hAnsi="Arial" w:cs="Arial"/>
          <w:sz w:val="21"/>
          <w:szCs w:val="21"/>
          <w:lang w:val="es-ES_tradnl" w:eastAsia="en-US"/>
        </w:rPr>
        <w:t xml:space="preserve">sin embargo, </w:t>
      </w:r>
      <w:r w:rsidR="00F9106E" w:rsidRPr="009D198D">
        <w:rPr>
          <w:rFonts w:ascii="Arial" w:eastAsia="Calibri" w:hAnsi="Arial" w:cs="Arial"/>
          <w:b/>
          <w:bCs/>
          <w:sz w:val="21"/>
          <w:szCs w:val="21"/>
          <w:lang w:val="es-ES_tradnl" w:eastAsia="en-US"/>
        </w:rPr>
        <w:t>¿</w:t>
      </w:r>
      <w:r w:rsidRPr="009D198D">
        <w:rPr>
          <w:rFonts w:ascii="Arial" w:eastAsia="Calibri" w:hAnsi="Arial" w:cs="Arial"/>
          <w:b/>
          <w:bCs/>
          <w:sz w:val="21"/>
          <w:szCs w:val="21"/>
          <w:lang w:val="es-ES_tradnl" w:eastAsia="en-US"/>
        </w:rPr>
        <w:t>habría lugar a una aplicación analógica de la Ley 153 de 1887 de hacer extensivo este término de tres (3) días, a documentos que nacen de una celebración (bilaterales) que no se hallan dentro de los siete (7) documentos del proceso enunciados explícitamente (</w:t>
      </w:r>
      <w:proofErr w:type="spellStart"/>
      <w:r w:rsidRPr="009D198D">
        <w:rPr>
          <w:rFonts w:ascii="Arial" w:eastAsia="Calibri" w:hAnsi="Arial" w:cs="Arial"/>
          <w:b/>
          <w:bCs/>
          <w:sz w:val="21"/>
          <w:szCs w:val="21"/>
          <w:lang w:val="es-ES_tradnl" w:eastAsia="en-US"/>
        </w:rPr>
        <w:t>lit.</w:t>
      </w:r>
      <w:proofErr w:type="spellEnd"/>
      <w:r w:rsidRPr="009D198D">
        <w:rPr>
          <w:rFonts w:ascii="Arial" w:eastAsia="Calibri" w:hAnsi="Arial" w:cs="Arial"/>
          <w:b/>
          <w:bCs/>
          <w:sz w:val="21"/>
          <w:szCs w:val="21"/>
          <w:lang w:val="es-ES_tradnl" w:eastAsia="en-US"/>
        </w:rPr>
        <w:t xml:space="preserve"> a - g) del Art. 2.2.1.1.1.3.1 del Decreto 1082-2015 o a aquellos de la ejecución contractual que se rigen bajo normas diferentes al Art. 2.2.1.1.1.7.1. del Decreto 1082-2015?</w:t>
      </w:r>
    </w:p>
    <w:p w14:paraId="093A8900" w14:textId="77777777" w:rsidR="00AD1E57" w:rsidRPr="009D198D" w:rsidRDefault="00AD1E57" w:rsidP="00960F3E">
      <w:pPr>
        <w:ind w:left="709" w:right="476"/>
        <w:jc w:val="both"/>
        <w:rPr>
          <w:rFonts w:ascii="Arial" w:eastAsia="Calibri" w:hAnsi="Arial" w:cs="Arial"/>
          <w:sz w:val="21"/>
          <w:szCs w:val="21"/>
          <w:lang w:val="es-ES_tradnl" w:eastAsia="en-US"/>
        </w:rPr>
      </w:pPr>
    </w:p>
    <w:p w14:paraId="526022BB" w14:textId="7645F586" w:rsidR="00960F3E" w:rsidRPr="009D198D" w:rsidRDefault="00960F3E" w:rsidP="00960F3E">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 xml:space="preserve">J. </w:t>
      </w:r>
      <w:r w:rsidR="00F9106E" w:rsidRPr="009D198D">
        <w:rPr>
          <w:rFonts w:ascii="Arial" w:eastAsia="Calibri" w:hAnsi="Arial" w:cs="Arial"/>
          <w:b/>
          <w:bCs/>
          <w:sz w:val="21"/>
          <w:szCs w:val="21"/>
          <w:lang w:val="es-ES_tradnl" w:eastAsia="en-US"/>
        </w:rPr>
        <w:t>¿</w:t>
      </w:r>
      <w:r w:rsidRPr="009D198D">
        <w:rPr>
          <w:rFonts w:ascii="Arial" w:eastAsia="Calibri" w:hAnsi="Arial" w:cs="Arial"/>
          <w:b/>
          <w:bCs/>
          <w:sz w:val="21"/>
          <w:szCs w:val="21"/>
          <w:lang w:val="es-ES_tradnl" w:eastAsia="en-US"/>
        </w:rPr>
        <w:t>Cuáles son las diferencias entre un acto administrativo, un acto administrativo contractual y documentos de naturaleza bilateral?</w:t>
      </w:r>
    </w:p>
    <w:p w14:paraId="7E075B90" w14:textId="77777777" w:rsidR="00F9106E" w:rsidRPr="009D198D" w:rsidRDefault="00F9106E" w:rsidP="00F9106E">
      <w:pPr>
        <w:ind w:right="476"/>
        <w:jc w:val="both"/>
        <w:rPr>
          <w:rFonts w:ascii="Arial" w:eastAsia="Calibri" w:hAnsi="Arial" w:cs="Arial"/>
          <w:sz w:val="21"/>
          <w:szCs w:val="21"/>
          <w:lang w:eastAsia="en-US"/>
        </w:rPr>
      </w:pPr>
    </w:p>
    <w:p w14:paraId="66CDEAB3" w14:textId="5E9DFC49" w:rsidR="001A16A5" w:rsidRPr="009D198D" w:rsidRDefault="00F9106E" w:rsidP="00F9106E">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K. Según Ley 80-1993, el acto final del proceso de contratación es la adjudicación o declaratoria de desierto, dentro de la fase precontractual que se rige en su mayoría por actos unilaterales?</w:t>
      </w:r>
    </w:p>
    <w:p w14:paraId="6DE4530F" w14:textId="6B535EC8" w:rsidR="00F9106E" w:rsidRPr="009D198D" w:rsidRDefault="00F9106E" w:rsidP="00F9106E">
      <w:pPr>
        <w:ind w:left="709" w:right="476"/>
        <w:jc w:val="both"/>
        <w:rPr>
          <w:rFonts w:ascii="Arial" w:eastAsia="Calibri" w:hAnsi="Arial" w:cs="Arial"/>
          <w:b/>
          <w:bCs/>
          <w:sz w:val="21"/>
          <w:szCs w:val="21"/>
          <w:lang w:eastAsia="en-US"/>
        </w:rPr>
      </w:pPr>
    </w:p>
    <w:p w14:paraId="78681411" w14:textId="400B4586" w:rsidR="00F9106E" w:rsidRPr="009D198D" w:rsidRDefault="00F9106E" w:rsidP="00F9106E">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L. </w:t>
      </w:r>
      <w:r w:rsidRPr="009D198D">
        <w:rPr>
          <w:rFonts w:ascii="Arial" w:eastAsia="Calibri" w:hAnsi="Arial" w:cs="Arial"/>
          <w:sz w:val="21"/>
          <w:szCs w:val="21"/>
          <w:lang w:eastAsia="en-US"/>
        </w:rPr>
        <w:t>Según el Art. 141 entre otros de Ley 1437-2011 y lo contemplado en la ley 80-1993,</w:t>
      </w:r>
      <w:r w:rsidRPr="009D198D">
        <w:rPr>
          <w:rFonts w:ascii="Arial" w:eastAsia="Calibri" w:hAnsi="Arial" w:cs="Arial"/>
          <w:b/>
          <w:bCs/>
          <w:sz w:val="21"/>
          <w:szCs w:val="21"/>
          <w:lang w:eastAsia="en-US"/>
        </w:rPr>
        <w:t xml:space="preserve"> ¿la etapa de ejecución va desde la celebración del contrato hasta la terminación de este, (fase contractual) regida por actos bilaterales y en donde se encuentran algunos de los actos administrativos contractuales?</w:t>
      </w:r>
    </w:p>
    <w:p w14:paraId="0B76EA9E" w14:textId="6C136711" w:rsidR="00F9106E" w:rsidRPr="009D198D" w:rsidRDefault="00F9106E" w:rsidP="00F9106E">
      <w:pPr>
        <w:ind w:left="709" w:right="476"/>
        <w:jc w:val="both"/>
        <w:rPr>
          <w:rFonts w:ascii="Arial" w:eastAsia="Calibri" w:hAnsi="Arial" w:cs="Arial"/>
          <w:b/>
          <w:bCs/>
          <w:sz w:val="21"/>
          <w:szCs w:val="21"/>
          <w:lang w:eastAsia="en-US"/>
        </w:rPr>
      </w:pPr>
    </w:p>
    <w:p w14:paraId="3F65F5CE" w14:textId="4C0D45BD" w:rsidR="00F9106E" w:rsidRPr="009D198D" w:rsidRDefault="00F9106E" w:rsidP="00F9106E">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M. </w:t>
      </w:r>
      <w:r w:rsidRPr="009D198D">
        <w:rPr>
          <w:rFonts w:ascii="Arial" w:eastAsia="Calibri" w:hAnsi="Arial" w:cs="Arial"/>
          <w:sz w:val="21"/>
          <w:szCs w:val="21"/>
          <w:lang w:eastAsia="en-US"/>
        </w:rPr>
        <w:t>Según el sistema de compra publica,</w:t>
      </w:r>
      <w:r w:rsidRPr="009D198D">
        <w:rPr>
          <w:rFonts w:ascii="Arial" w:eastAsia="Calibri" w:hAnsi="Arial" w:cs="Arial"/>
          <w:b/>
          <w:bCs/>
          <w:sz w:val="21"/>
          <w:szCs w:val="21"/>
          <w:lang w:eastAsia="en-US"/>
        </w:rPr>
        <w:t xml:space="preserve"> ¿se entiende por fase </w:t>
      </w:r>
      <w:proofErr w:type="spellStart"/>
      <w:r w:rsidRPr="009D198D">
        <w:rPr>
          <w:rFonts w:ascii="Arial" w:eastAsia="Calibri" w:hAnsi="Arial" w:cs="Arial"/>
          <w:b/>
          <w:bCs/>
          <w:sz w:val="21"/>
          <w:szCs w:val="21"/>
          <w:lang w:eastAsia="en-US"/>
        </w:rPr>
        <w:t>poscontractual</w:t>
      </w:r>
      <w:proofErr w:type="spellEnd"/>
      <w:r w:rsidRPr="009D198D">
        <w:rPr>
          <w:rFonts w:ascii="Arial" w:eastAsia="Calibri" w:hAnsi="Arial" w:cs="Arial"/>
          <w:b/>
          <w:bCs/>
          <w:sz w:val="21"/>
          <w:szCs w:val="21"/>
          <w:lang w:eastAsia="en-US"/>
        </w:rPr>
        <w:t xml:space="preserve"> aquella regida desde la liquidación en adelante hasta el rompimiento total del vínculo y cierre del expediente?</w:t>
      </w:r>
    </w:p>
    <w:p w14:paraId="343938EE" w14:textId="0D62CDAD" w:rsidR="00F9106E" w:rsidRPr="009D198D" w:rsidRDefault="00F9106E" w:rsidP="00F9106E">
      <w:pPr>
        <w:ind w:left="709" w:right="476"/>
        <w:jc w:val="both"/>
        <w:rPr>
          <w:rFonts w:ascii="Arial" w:eastAsia="Calibri" w:hAnsi="Arial" w:cs="Arial"/>
          <w:b/>
          <w:bCs/>
          <w:sz w:val="21"/>
          <w:szCs w:val="21"/>
          <w:lang w:eastAsia="en-US"/>
        </w:rPr>
      </w:pPr>
    </w:p>
    <w:p w14:paraId="22792C0F" w14:textId="1EE1B18C" w:rsidR="00687374" w:rsidRPr="009D198D" w:rsidRDefault="00687374" w:rsidP="00F9106E">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5. </w:t>
      </w:r>
      <w:r w:rsidRPr="009D198D">
        <w:rPr>
          <w:rFonts w:ascii="Arial" w:eastAsia="Calibri" w:hAnsi="Arial" w:cs="Arial"/>
          <w:sz w:val="21"/>
          <w:szCs w:val="21"/>
          <w:lang w:eastAsia="en-US"/>
        </w:rPr>
        <w:t>Acorde con lo contemplado en el Estatuto Orgánico del presupuesto y demás normas concordantes con el estatuto de contratación estatal:</w:t>
      </w:r>
    </w:p>
    <w:p w14:paraId="4CC71AFA" w14:textId="77777777" w:rsidR="00687374" w:rsidRPr="009D198D" w:rsidRDefault="00687374" w:rsidP="00687374">
      <w:pPr>
        <w:ind w:left="709" w:right="476"/>
        <w:jc w:val="both"/>
        <w:rPr>
          <w:rFonts w:ascii="Arial" w:eastAsia="Calibri" w:hAnsi="Arial" w:cs="Arial"/>
          <w:b/>
          <w:bCs/>
          <w:sz w:val="21"/>
          <w:szCs w:val="21"/>
          <w:lang w:eastAsia="en-US"/>
        </w:rPr>
      </w:pPr>
    </w:p>
    <w:p w14:paraId="36841CC3" w14:textId="390F97AE" w:rsidR="00687374" w:rsidRPr="009D198D" w:rsidRDefault="00687374"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A. ¿Cuáles son los límites y excepciones en la aplicación del principio de anualidad?</w:t>
      </w:r>
    </w:p>
    <w:p w14:paraId="055026B5" w14:textId="77777777" w:rsidR="00687374" w:rsidRPr="009D198D" w:rsidRDefault="00687374" w:rsidP="00687374">
      <w:pPr>
        <w:ind w:left="709" w:right="476"/>
        <w:jc w:val="both"/>
        <w:rPr>
          <w:rFonts w:ascii="Arial" w:eastAsia="Calibri" w:hAnsi="Arial" w:cs="Arial"/>
          <w:b/>
          <w:bCs/>
          <w:sz w:val="21"/>
          <w:szCs w:val="21"/>
          <w:lang w:eastAsia="en-US"/>
        </w:rPr>
      </w:pPr>
    </w:p>
    <w:p w14:paraId="6EE99444" w14:textId="2FDFA46E" w:rsidR="00687374" w:rsidRPr="009D198D" w:rsidRDefault="00687374"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B. ¿Puede una entidad pública celebrar contratos en el mes de diciembre, comprometiendo el recurso económico dentro de la vigencia fiscal actual, pero, extendiendo su ejecución más allá del día 31 de dicho mes? De ser afirmativa la respuesta, </w:t>
      </w:r>
      <w:r w:rsidR="00687888" w:rsidRPr="009D198D">
        <w:rPr>
          <w:rFonts w:ascii="Arial" w:eastAsia="Calibri" w:hAnsi="Arial" w:cs="Arial"/>
          <w:b/>
          <w:bCs/>
          <w:sz w:val="21"/>
          <w:szCs w:val="21"/>
          <w:lang w:eastAsia="en-US"/>
        </w:rPr>
        <w:t>¿</w:t>
      </w:r>
      <w:r w:rsidRPr="009D198D">
        <w:rPr>
          <w:rFonts w:ascii="Arial" w:eastAsia="Calibri" w:hAnsi="Arial" w:cs="Arial"/>
          <w:b/>
          <w:bCs/>
          <w:sz w:val="21"/>
          <w:szCs w:val="21"/>
          <w:lang w:eastAsia="en-US"/>
        </w:rPr>
        <w:t>necesitaría de alguna autorización especial de algún órgano o entidad estatal?</w:t>
      </w:r>
    </w:p>
    <w:p w14:paraId="11E9DC7B" w14:textId="77777777" w:rsidR="00687374" w:rsidRPr="009D198D" w:rsidRDefault="00687374" w:rsidP="00687374">
      <w:pPr>
        <w:ind w:left="709" w:right="476"/>
        <w:jc w:val="both"/>
        <w:rPr>
          <w:rFonts w:ascii="Arial" w:eastAsia="Calibri" w:hAnsi="Arial" w:cs="Arial"/>
          <w:b/>
          <w:bCs/>
          <w:sz w:val="21"/>
          <w:szCs w:val="21"/>
          <w:lang w:eastAsia="en-US"/>
        </w:rPr>
      </w:pPr>
    </w:p>
    <w:p w14:paraId="53BC2430" w14:textId="77777777" w:rsidR="00687374" w:rsidRPr="009D198D" w:rsidRDefault="00687374"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lastRenderedPageBreak/>
        <w:t>C. Acorde con la necesidad de la Entidad Estatal, un contrato de prestación de servicios, cualquiera sea su tipo, puede celebrarse en el mes de diciembre y extenderse su ejecución al año siguiente, con recursos de la vigencia fiscal anterior?</w:t>
      </w:r>
    </w:p>
    <w:p w14:paraId="73C5268B" w14:textId="77777777" w:rsidR="00687374" w:rsidRPr="009D198D" w:rsidRDefault="00687374" w:rsidP="00687374">
      <w:pPr>
        <w:ind w:left="709" w:right="476"/>
        <w:jc w:val="both"/>
        <w:rPr>
          <w:rFonts w:ascii="Arial" w:eastAsia="Calibri" w:hAnsi="Arial" w:cs="Arial"/>
          <w:b/>
          <w:bCs/>
          <w:sz w:val="21"/>
          <w:szCs w:val="21"/>
          <w:lang w:eastAsia="en-US"/>
        </w:rPr>
      </w:pPr>
    </w:p>
    <w:p w14:paraId="6D648BEB" w14:textId="0A384C89" w:rsidR="00687374" w:rsidRPr="009D198D" w:rsidRDefault="00687374"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D. La Entidad Estatal, puede prorrogar un contrato cuya ejecución haya </w:t>
      </w:r>
      <w:r w:rsidR="00F5486B" w:rsidRPr="009D198D">
        <w:rPr>
          <w:rFonts w:ascii="Arial" w:eastAsia="Calibri" w:hAnsi="Arial" w:cs="Arial"/>
          <w:b/>
          <w:bCs/>
          <w:sz w:val="21"/>
          <w:szCs w:val="21"/>
          <w:lang w:eastAsia="en-US"/>
        </w:rPr>
        <w:t xml:space="preserve">(SIC) </w:t>
      </w:r>
      <w:r w:rsidRPr="009D198D">
        <w:rPr>
          <w:rFonts w:ascii="Arial" w:eastAsia="Calibri" w:hAnsi="Arial" w:cs="Arial"/>
          <w:b/>
          <w:bCs/>
          <w:sz w:val="21"/>
          <w:szCs w:val="21"/>
          <w:lang w:eastAsia="en-US"/>
        </w:rPr>
        <w:t>hasta al 31 de diciembre, para continuar en la vigencia anual siguiente</w:t>
      </w:r>
      <w:r w:rsidR="00687888" w:rsidRPr="009D198D">
        <w:rPr>
          <w:rFonts w:ascii="Arial" w:eastAsia="Calibri" w:hAnsi="Arial" w:cs="Arial"/>
          <w:b/>
          <w:bCs/>
          <w:sz w:val="21"/>
          <w:szCs w:val="21"/>
          <w:lang w:eastAsia="en-US"/>
        </w:rPr>
        <w:t>? ¿</w:t>
      </w:r>
      <w:r w:rsidRPr="009D198D">
        <w:rPr>
          <w:rFonts w:ascii="Arial" w:eastAsia="Calibri" w:hAnsi="Arial" w:cs="Arial"/>
          <w:b/>
          <w:bCs/>
          <w:sz w:val="21"/>
          <w:szCs w:val="21"/>
          <w:lang w:eastAsia="en-US"/>
        </w:rPr>
        <w:t>De ser afirmativa la respuesta, necesitaría de alguna autorización especial de algún órgano o entidad estatal?</w:t>
      </w:r>
    </w:p>
    <w:p w14:paraId="4558A617" w14:textId="77777777" w:rsidR="00687374" w:rsidRPr="009D198D" w:rsidRDefault="00687374" w:rsidP="00687374">
      <w:pPr>
        <w:ind w:left="709" w:right="476"/>
        <w:jc w:val="both"/>
        <w:rPr>
          <w:rFonts w:ascii="Arial" w:eastAsia="Calibri" w:hAnsi="Arial" w:cs="Arial"/>
          <w:b/>
          <w:bCs/>
          <w:sz w:val="21"/>
          <w:szCs w:val="21"/>
          <w:lang w:eastAsia="en-US"/>
        </w:rPr>
      </w:pPr>
    </w:p>
    <w:p w14:paraId="74E89399" w14:textId="73EFF2EB" w:rsidR="00687374" w:rsidRPr="009D198D" w:rsidRDefault="00687374"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E. La Entidad Estatal, puede adicionar un contrato en el mes de diciembre de la vigencia fiscal actual, para que sea ejecutado durante ese mes y el mes de enero de la vigencia siguiente?</w:t>
      </w:r>
      <w:r w:rsidR="0021133C" w:rsidRPr="009D198D">
        <w:rPr>
          <w:rFonts w:ascii="Arial" w:eastAsia="Calibri" w:hAnsi="Arial" w:cs="Arial"/>
          <w:b/>
          <w:bCs/>
          <w:sz w:val="21"/>
          <w:szCs w:val="21"/>
          <w:lang w:eastAsia="en-US"/>
        </w:rPr>
        <w:t xml:space="preserve"> ¿</w:t>
      </w:r>
      <w:r w:rsidRPr="009D198D">
        <w:rPr>
          <w:rFonts w:ascii="Arial" w:eastAsia="Calibri" w:hAnsi="Arial" w:cs="Arial"/>
          <w:b/>
          <w:bCs/>
          <w:sz w:val="21"/>
          <w:szCs w:val="21"/>
          <w:lang w:eastAsia="en-US"/>
        </w:rPr>
        <w:t>De ser afirmativa la respuesta, necesitaría de alguna autorización especial de algún órgano o entidad estatal?</w:t>
      </w:r>
    </w:p>
    <w:p w14:paraId="19734D38" w14:textId="77777777" w:rsidR="00687374" w:rsidRPr="009D198D" w:rsidRDefault="00687374" w:rsidP="00687374">
      <w:pPr>
        <w:ind w:left="709" w:right="476"/>
        <w:jc w:val="both"/>
        <w:rPr>
          <w:rFonts w:ascii="Arial" w:eastAsia="Calibri" w:hAnsi="Arial" w:cs="Arial"/>
          <w:b/>
          <w:bCs/>
          <w:sz w:val="21"/>
          <w:szCs w:val="21"/>
          <w:lang w:eastAsia="en-US"/>
        </w:rPr>
      </w:pPr>
    </w:p>
    <w:p w14:paraId="34E61B0B" w14:textId="4C4A1EFB" w:rsidR="00F9106E" w:rsidRPr="009D198D" w:rsidRDefault="00687374"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F.</w:t>
      </w:r>
      <w:r w:rsidR="0021133C" w:rsidRPr="009D198D">
        <w:rPr>
          <w:rFonts w:ascii="Arial" w:eastAsia="Calibri" w:hAnsi="Arial" w:cs="Arial"/>
          <w:b/>
          <w:bCs/>
          <w:sz w:val="21"/>
          <w:szCs w:val="21"/>
          <w:lang w:eastAsia="en-US"/>
        </w:rPr>
        <w:t xml:space="preserve"> ¿</w:t>
      </w:r>
      <w:r w:rsidRPr="009D198D">
        <w:rPr>
          <w:rFonts w:ascii="Arial" w:eastAsia="Calibri" w:hAnsi="Arial" w:cs="Arial"/>
          <w:b/>
          <w:bCs/>
          <w:sz w:val="21"/>
          <w:szCs w:val="21"/>
          <w:lang w:eastAsia="en-US"/>
        </w:rPr>
        <w:t xml:space="preserve">Qué diferencia hay entre reserva presupuestal, reserva presupuestal de negocio jurídico no perfeccionado del inciso 2 del artículo 8 de la </w:t>
      </w:r>
      <w:proofErr w:type="spellStart"/>
      <w:r w:rsidRPr="009D198D">
        <w:rPr>
          <w:rFonts w:ascii="Arial" w:eastAsia="Calibri" w:hAnsi="Arial" w:cs="Arial"/>
          <w:b/>
          <w:bCs/>
          <w:sz w:val="21"/>
          <w:szCs w:val="21"/>
          <w:lang w:eastAsia="en-US"/>
        </w:rPr>
        <w:t>Iey</w:t>
      </w:r>
      <w:proofErr w:type="spellEnd"/>
      <w:r w:rsidRPr="009D198D">
        <w:rPr>
          <w:rFonts w:ascii="Arial" w:eastAsia="Calibri" w:hAnsi="Arial" w:cs="Arial"/>
          <w:b/>
          <w:bCs/>
          <w:sz w:val="21"/>
          <w:szCs w:val="21"/>
          <w:lang w:eastAsia="en-US"/>
        </w:rPr>
        <w:t xml:space="preserve"> 819/2003, reserva de tramite negocial, reserva de apropiación, reserva de caja, pasivos exigibles por vigencias expiradas, y vigencias futuras</w:t>
      </w:r>
      <w:r w:rsidR="0021133C" w:rsidRPr="009D198D">
        <w:rPr>
          <w:rFonts w:ascii="Arial" w:eastAsia="Calibri" w:hAnsi="Arial" w:cs="Arial"/>
          <w:b/>
          <w:bCs/>
          <w:sz w:val="21"/>
          <w:szCs w:val="21"/>
          <w:lang w:eastAsia="en-US"/>
        </w:rPr>
        <w:t>?</w:t>
      </w:r>
    </w:p>
    <w:p w14:paraId="529369F2" w14:textId="7C545A81" w:rsidR="0021133C" w:rsidRPr="009D198D" w:rsidRDefault="0021133C" w:rsidP="00687374">
      <w:pPr>
        <w:ind w:left="709" w:right="476"/>
        <w:jc w:val="both"/>
        <w:rPr>
          <w:rFonts w:ascii="Arial" w:eastAsia="Calibri" w:hAnsi="Arial" w:cs="Arial"/>
          <w:b/>
          <w:bCs/>
          <w:sz w:val="21"/>
          <w:szCs w:val="21"/>
          <w:lang w:eastAsia="en-US"/>
        </w:rPr>
      </w:pPr>
    </w:p>
    <w:p w14:paraId="4B20EECA" w14:textId="2F052C76" w:rsidR="0021133C" w:rsidRPr="009D198D" w:rsidRDefault="0021133C" w:rsidP="00687374">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G. ¿Qué diferencia existe entre fiducia y encargo fiduciario en el ámbito presupuestal y en el ámbito la responsabilidad contractual estatal?</w:t>
      </w:r>
      <w:r w:rsidR="005243A3" w:rsidRPr="009D198D">
        <w:rPr>
          <w:rFonts w:ascii="Arial" w:eastAsia="Arial" w:hAnsi="Arial" w:cs="Arial"/>
          <w:sz w:val="21"/>
          <w:szCs w:val="21"/>
          <w:lang w:val="es-ES"/>
        </w:rPr>
        <w:t>»</w:t>
      </w:r>
    </w:p>
    <w:p w14:paraId="37FA83A6" w14:textId="77777777" w:rsidR="001A16A5" w:rsidRPr="009D198D" w:rsidRDefault="001A16A5" w:rsidP="00942BB9">
      <w:pPr>
        <w:spacing w:line="276" w:lineRule="auto"/>
        <w:ind w:right="476"/>
        <w:jc w:val="both"/>
        <w:rPr>
          <w:rFonts w:ascii="Arial" w:eastAsia="Calibri" w:hAnsi="Arial" w:cs="Arial"/>
          <w:sz w:val="21"/>
          <w:szCs w:val="21"/>
          <w:lang w:eastAsia="en-US"/>
        </w:rPr>
      </w:pPr>
    </w:p>
    <w:p w14:paraId="124D2DCA" w14:textId="77777777" w:rsidR="00DD5B04" w:rsidRPr="009D198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D198D">
        <w:rPr>
          <w:rFonts w:ascii="Arial" w:eastAsia="Calibri" w:hAnsi="Arial" w:cs="Arial"/>
          <w:b/>
          <w:color w:val="000000" w:themeColor="text1"/>
          <w:sz w:val="22"/>
          <w:lang w:val="es-ES_tradnl"/>
        </w:rPr>
        <w:t>Consideraciones</w:t>
      </w:r>
    </w:p>
    <w:p w14:paraId="389E0ABA" w14:textId="77777777" w:rsidR="00B660CB" w:rsidRPr="009D198D" w:rsidRDefault="00B660CB" w:rsidP="00B660CB">
      <w:pPr>
        <w:tabs>
          <w:tab w:val="left" w:pos="0"/>
          <w:tab w:val="left" w:pos="284"/>
        </w:tabs>
        <w:spacing w:line="276" w:lineRule="auto"/>
        <w:jc w:val="both"/>
        <w:rPr>
          <w:rFonts w:ascii="Arial" w:hAnsi="Arial" w:cs="Arial"/>
          <w:color w:val="000000" w:themeColor="text1"/>
          <w:sz w:val="22"/>
          <w:lang w:val="es-ES_tradnl"/>
        </w:rPr>
      </w:pPr>
    </w:p>
    <w:p w14:paraId="259C848B" w14:textId="77777777" w:rsidR="0005357A" w:rsidRPr="009D198D" w:rsidRDefault="0005357A" w:rsidP="0005357A">
      <w:pPr>
        <w:spacing w:line="276" w:lineRule="auto"/>
        <w:jc w:val="both"/>
        <w:rPr>
          <w:rFonts w:ascii="Arial" w:hAnsi="Arial" w:cs="Arial"/>
          <w:bCs/>
          <w:sz w:val="22"/>
        </w:rPr>
      </w:pPr>
      <w:r w:rsidRPr="009D198D">
        <w:rPr>
          <w:rFonts w:ascii="Arial" w:eastAsia="Calibri" w:hAnsi="Arial" w:cs="Arial"/>
          <w:color w:val="000000" w:themeColor="text1"/>
          <w:sz w:val="22"/>
          <w:szCs w:val="22"/>
        </w:rPr>
        <w:t>E</w:t>
      </w:r>
      <w:r w:rsidRPr="009D198D">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09590CE" w14:textId="77777777" w:rsidR="0005357A" w:rsidRPr="009D198D" w:rsidRDefault="0005357A" w:rsidP="0005357A">
      <w:pPr>
        <w:spacing w:before="120" w:line="276" w:lineRule="auto"/>
        <w:ind w:firstLine="708"/>
        <w:jc w:val="both"/>
        <w:rPr>
          <w:rFonts w:ascii="Arial" w:hAnsi="Arial" w:cs="Arial"/>
          <w:sz w:val="22"/>
          <w:lang w:val="es-ES"/>
        </w:rPr>
      </w:pPr>
      <w:r w:rsidRPr="009D198D">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D198D">
        <w:rPr>
          <w:rFonts w:ascii="Arial" w:hAnsi="Arial" w:cs="Arial"/>
          <w:bCs/>
          <w:sz w:val="22"/>
        </w:rPr>
        <w:t xml:space="preserve"> de todos los partícipes de la contratación estatal.</w:t>
      </w:r>
    </w:p>
    <w:p w14:paraId="04E0ED2E" w14:textId="77777777" w:rsidR="0005357A" w:rsidRPr="009D198D" w:rsidRDefault="0005357A" w:rsidP="0005357A">
      <w:pPr>
        <w:spacing w:before="120" w:line="276" w:lineRule="auto"/>
        <w:ind w:firstLine="709"/>
        <w:jc w:val="both"/>
        <w:rPr>
          <w:rFonts w:ascii="Arial" w:hAnsi="Arial" w:cs="Arial"/>
          <w:sz w:val="22"/>
          <w:lang w:val="es-ES"/>
        </w:rPr>
      </w:pPr>
      <w:r w:rsidRPr="009D198D">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D198D">
        <w:rPr>
          <w:rFonts w:ascii="Arial" w:hAnsi="Arial" w:cs="Arial"/>
          <w:sz w:val="22"/>
          <w:vertAlign w:val="superscript"/>
          <w:lang w:val="es-ES"/>
        </w:rPr>
        <w:footnoteReference w:id="2"/>
      </w:r>
      <w:r w:rsidRPr="009D198D">
        <w:rPr>
          <w:rFonts w:ascii="Arial" w:hAnsi="Arial" w:cs="Arial"/>
          <w:sz w:val="22"/>
          <w:lang w:val="es-ES"/>
        </w:rPr>
        <w:t xml:space="preserve">. Esta </w:t>
      </w:r>
      <w:r w:rsidRPr="009D198D">
        <w:rPr>
          <w:rFonts w:ascii="Arial" w:hAnsi="Arial" w:cs="Arial"/>
          <w:sz w:val="22"/>
          <w:lang w:val="es-ES"/>
        </w:rPr>
        <w:lastRenderedPageBreak/>
        <w:t xml:space="preserve">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59D17ABC" w14:textId="101E611D" w:rsidR="005243A3" w:rsidRPr="009D198D" w:rsidRDefault="0005357A" w:rsidP="005B751B">
      <w:pPr>
        <w:spacing w:before="120" w:line="276" w:lineRule="auto"/>
        <w:ind w:right="49" w:firstLine="709"/>
        <w:jc w:val="both"/>
        <w:rPr>
          <w:rFonts w:ascii="Arial" w:eastAsia="Calibri" w:hAnsi="Arial" w:cs="Arial"/>
          <w:b/>
          <w:bCs/>
          <w:sz w:val="22"/>
          <w:szCs w:val="22"/>
          <w:lang w:val="es-MX" w:eastAsia="en-US"/>
        </w:rPr>
      </w:pPr>
      <w:r w:rsidRPr="009D198D">
        <w:rPr>
          <w:rFonts w:ascii="Arial" w:hAnsi="Arial" w:cs="Arial"/>
          <w:sz w:val="22"/>
          <w:lang w:val="es-ES"/>
        </w:rPr>
        <w:t>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w:t>
      </w:r>
      <w:r w:rsidR="005243A3" w:rsidRPr="009D198D">
        <w:rPr>
          <w:rFonts w:ascii="Arial" w:eastAsia="Calibri" w:hAnsi="Arial" w:cs="Arial"/>
          <w:color w:val="000000" w:themeColor="text1"/>
          <w:sz w:val="22"/>
          <w:szCs w:val="22"/>
          <w:lang w:val="es-ES" w:eastAsia="en-US"/>
        </w:rPr>
        <w:t>:</w:t>
      </w:r>
      <w:r w:rsidR="005243A3" w:rsidRPr="009D198D">
        <w:rPr>
          <w:rFonts w:ascii="Arial" w:eastAsia="Calibri" w:hAnsi="Arial" w:cs="Arial"/>
          <w:bCs/>
          <w:sz w:val="22"/>
          <w:szCs w:val="22"/>
          <w:lang w:eastAsia="en-US"/>
        </w:rPr>
        <w:t xml:space="preserve"> i)</w:t>
      </w:r>
      <w:r w:rsidRPr="009D198D">
        <w:rPr>
          <w:rFonts w:ascii="Arial" w:eastAsia="Arial" w:hAnsi="Arial" w:cs="Arial"/>
          <w:b/>
          <w:bCs/>
          <w:sz w:val="22"/>
          <w:lang w:val="es-ES"/>
        </w:rPr>
        <w:t xml:space="preserve"> </w:t>
      </w:r>
      <w:bookmarkStart w:id="5" w:name="_Hlk93242507"/>
      <w:r w:rsidR="00881881" w:rsidRPr="009D198D">
        <w:rPr>
          <w:rFonts w:ascii="Arial" w:eastAsia="Calibri" w:hAnsi="Arial" w:cs="Arial"/>
          <w:color w:val="000000"/>
          <w:sz w:val="22"/>
          <w:szCs w:val="22"/>
          <w:lang w:eastAsia="en-GB"/>
        </w:rPr>
        <w:t xml:space="preserve">publicidad de los documentos del </w:t>
      </w:r>
      <w:bookmarkEnd w:id="5"/>
      <w:r w:rsidR="005C1383" w:rsidRPr="009D198D">
        <w:rPr>
          <w:rFonts w:ascii="Arial" w:eastAsia="Calibri" w:hAnsi="Arial" w:cs="Arial"/>
          <w:color w:val="000000"/>
          <w:sz w:val="22"/>
          <w:szCs w:val="22"/>
          <w:lang w:eastAsia="en-GB"/>
        </w:rPr>
        <w:t>proceso en el Sistema Electrónico de Contratación Pública –SECOP</w:t>
      </w:r>
      <w:r w:rsidRPr="009D198D">
        <w:rPr>
          <w:rFonts w:ascii="Arial" w:eastAsia="Calibri" w:hAnsi="Arial" w:cs="Arial"/>
          <w:sz w:val="22"/>
          <w:szCs w:val="22"/>
          <w:lang w:val="es-ES" w:eastAsia="en-US"/>
        </w:rPr>
        <w:t>,</w:t>
      </w:r>
      <w:r w:rsidR="005243A3" w:rsidRPr="009D198D">
        <w:rPr>
          <w:rFonts w:ascii="Arial" w:eastAsia="Calibri" w:hAnsi="Arial" w:cs="Arial"/>
          <w:b/>
          <w:bCs/>
          <w:sz w:val="22"/>
          <w:szCs w:val="22"/>
          <w:lang w:eastAsia="en-US"/>
        </w:rPr>
        <w:t xml:space="preserve"> </w:t>
      </w:r>
      <w:proofErr w:type="spellStart"/>
      <w:r w:rsidR="005243A3" w:rsidRPr="009D198D">
        <w:rPr>
          <w:rFonts w:ascii="Arial" w:eastAsia="Calibri" w:hAnsi="Arial" w:cs="Arial"/>
          <w:bCs/>
          <w:sz w:val="22"/>
          <w:szCs w:val="22"/>
          <w:lang w:eastAsia="en-US"/>
        </w:rPr>
        <w:t>ii</w:t>
      </w:r>
      <w:proofErr w:type="spellEnd"/>
      <w:r w:rsidR="005243A3" w:rsidRPr="009D198D">
        <w:rPr>
          <w:rFonts w:ascii="Arial" w:eastAsia="Calibri" w:hAnsi="Arial" w:cs="Arial"/>
          <w:bCs/>
          <w:sz w:val="22"/>
          <w:szCs w:val="22"/>
          <w:lang w:eastAsia="en-US"/>
        </w:rPr>
        <w:t>)</w:t>
      </w:r>
      <w:r w:rsidR="005243A3" w:rsidRPr="009D198D">
        <w:rPr>
          <w:rFonts w:ascii="Arial" w:eastAsia="Calibri" w:hAnsi="Arial" w:cs="Arial"/>
          <w:b/>
          <w:bCs/>
          <w:color w:val="000000"/>
          <w:sz w:val="20"/>
          <w:szCs w:val="20"/>
          <w:lang w:val="es-ES" w:eastAsia="en-GB"/>
        </w:rPr>
        <w:t xml:space="preserve"> </w:t>
      </w:r>
      <w:r w:rsidR="005C1383" w:rsidRPr="009D198D">
        <w:rPr>
          <w:rFonts w:ascii="Arial" w:eastAsia="Calibri" w:hAnsi="Arial" w:cs="Arial"/>
          <w:color w:val="000000"/>
          <w:sz w:val="22"/>
          <w:szCs w:val="22"/>
          <w:lang w:val="es-ES" w:eastAsia="en-GB"/>
        </w:rPr>
        <w:t xml:space="preserve">el </w:t>
      </w:r>
      <w:r w:rsidR="005243A3" w:rsidRPr="009D198D">
        <w:rPr>
          <w:rFonts w:ascii="Arial" w:eastAsia="Calibri" w:hAnsi="Arial" w:cs="Arial"/>
          <w:color w:val="000000"/>
          <w:sz w:val="22"/>
          <w:szCs w:val="22"/>
          <w:lang w:val="es-ES" w:eastAsia="en-GB"/>
        </w:rPr>
        <w:t>P</w:t>
      </w:r>
      <w:r w:rsidR="005243A3" w:rsidRPr="009D198D">
        <w:rPr>
          <w:rFonts w:ascii="Arial" w:eastAsia="Calibri" w:hAnsi="Arial" w:cs="Arial"/>
          <w:sz w:val="22"/>
          <w:szCs w:val="22"/>
          <w:lang w:val="es-ES" w:eastAsia="en-US"/>
        </w:rPr>
        <w:t>lan Anual de Adquisiciones</w:t>
      </w:r>
      <w:r w:rsidR="005243A3" w:rsidRPr="009D198D">
        <w:rPr>
          <w:rFonts w:ascii="Arial" w:eastAsia="Calibri" w:hAnsi="Arial" w:cs="Arial"/>
          <w:bCs/>
          <w:sz w:val="22"/>
          <w:szCs w:val="22"/>
          <w:lang w:val="es-MX" w:eastAsia="en-US"/>
        </w:rPr>
        <w:t xml:space="preserve">, </w:t>
      </w:r>
      <w:proofErr w:type="spellStart"/>
      <w:r w:rsidR="005243A3" w:rsidRPr="009D198D">
        <w:rPr>
          <w:rFonts w:ascii="Arial" w:eastAsia="Calibri" w:hAnsi="Arial" w:cs="Arial"/>
          <w:bCs/>
          <w:sz w:val="22"/>
          <w:szCs w:val="22"/>
          <w:lang w:val="es-MX" w:eastAsia="en-US"/>
        </w:rPr>
        <w:t>iii</w:t>
      </w:r>
      <w:proofErr w:type="spellEnd"/>
      <w:r w:rsidR="005243A3" w:rsidRPr="009D198D">
        <w:rPr>
          <w:rFonts w:ascii="Arial" w:eastAsia="Calibri" w:hAnsi="Arial" w:cs="Arial"/>
          <w:bCs/>
          <w:sz w:val="22"/>
          <w:szCs w:val="22"/>
          <w:lang w:val="es-MX" w:eastAsia="en-US"/>
        </w:rPr>
        <w:t xml:space="preserve">) </w:t>
      </w:r>
      <w:r w:rsidR="00780217" w:rsidRPr="009D198D">
        <w:rPr>
          <w:rFonts w:ascii="Arial" w:eastAsia="Calibri" w:hAnsi="Arial" w:cs="Arial"/>
          <w:bCs/>
          <w:sz w:val="22"/>
          <w:szCs w:val="22"/>
          <w:lang w:val="es-MX" w:eastAsia="en-US"/>
        </w:rPr>
        <w:t xml:space="preserve">las </w:t>
      </w:r>
      <w:r w:rsidR="005B751B" w:rsidRPr="009D198D">
        <w:rPr>
          <w:rFonts w:ascii="Arial" w:eastAsia="Calibri" w:hAnsi="Arial" w:cs="Arial"/>
          <w:sz w:val="22"/>
          <w:szCs w:val="22"/>
          <w:lang w:val="es-MX" w:eastAsia="en-US"/>
        </w:rPr>
        <w:t>etapas del proce</w:t>
      </w:r>
      <w:r w:rsidR="0056468C" w:rsidRPr="009D198D">
        <w:rPr>
          <w:rFonts w:ascii="Arial" w:eastAsia="Calibri" w:hAnsi="Arial" w:cs="Arial"/>
          <w:sz w:val="22"/>
          <w:szCs w:val="22"/>
          <w:lang w:val="es-MX" w:eastAsia="en-US"/>
        </w:rPr>
        <w:t>so de contratación</w:t>
      </w:r>
      <w:r w:rsidR="005B751B" w:rsidRPr="009D198D">
        <w:rPr>
          <w:rFonts w:ascii="Arial" w:eastAsia="Calibri" w:hAnsi="Arial" w:cs="Arial"/>
          <w:sz w:val="22"/>
          <w:szCs w:val="22"/>
          <w:lang w:val="es-MX" w:eastAsia="en-US"/>
        </w:rPr>
        <w:t xml:space="preserve"> actuaciones en la audiencia de adjudicación en la licitación pública</w:t>
      </w:r>
      <w:r w:rsidR="005B751B" w:rsidRPr="009D198D">
        <w:rPr>
          <w:rFonts w:ascii="Arial" w:eastAsia="Calibri" w:hAnsi="Arial" w:cs="Arial"/>
          <w:sz w:val="22"/>
          <w:szCs w:val="22"/>
          <w:lang w:eastAsia="en-US"/>
        </w:rPr>
        <w:t xml:space="preserve"> para seleccionar contratistas de obra pública</w:t>
      </w:r>
      <w:r w:rsidRPr="009D198D">
        <w:rPr>
          <w:rFonts w:ascii="Arial" w:eastAsia="Calibri" w:hAnsi="Arial" w:cs="Arial"/>
          <w:sz w:val="22"/>
          <w:szCs w:val="22"/>
          <w:lang w:val="es-MX" w:eastAsia="en-US"/>
        </w:rPr>
        <w:t xml:space="preserve">, </w:t>
      </w:r>
      <w:proofErr w:type="spellStart"/>
      <w:r w:rsidR="005243A3" w:rsidRPr="009D198D">
        <w:rPr>
          <w:rFonts w:ascii="Arial" w:eastAsia="Calibri" w:hAnsi="Arial" w:cs="Arial"/>
          <w:bCs/>
          <w:sz w:val="22"/>
          <w:szCs w:val="22"/>
          <w:lang w:val="es-MX" w:eastAsia="en-US"/>
        </w:rPr>
        <w:t>iv</w:t>
      </w:r>
      <w:proofErr w:type="spellEnd"/>
      <w:r w:rsidR="005243A3" w:rsidRPr="009D198D">
        <w:rPr>
          <w:rFonts w:ascii="Arial" w:eastAsia="Calibri" w:hAnsi="Arial" w:cs="Arial"/>
          <w:bCs/>
          <w:sz w:val="22"/>
          <w:szCs w:val="22"/>
          <w:lang w:val="es-MX" w:eastAsia="en-US"/>
        </w:rPr>
        <w:t xml:space="preserve">) </w:t>
      </w:r>
      <w:r w:rsidR="004D7A4F" w:rsidRPr="009D198D">
        <w:rPr>
          <w:rFonts w:ascii="Arial" w:eastAsia="Calibri" w:hAnsi="Arial" w:cs="Arial"/>
          <w:bCs/>
          <w:sz w:val="22"/>
          <w:szCs w:val="22"/>
          <w:lang w:val="es-MX" w:eastAsia="en-US"/>
        </w:rPr>
        <w:t xml:space="preserve">las </w:t>
      </w:r>
      <w:r w:rsidRPr="009D198D">
        <w:rPr>
          <w:rFonts w:ascii="Arial" w:eastAsia="Calibri" w:hAnsi="Arial" w:cs="Arial"/>
          <w:sz w:val="22"/>
          <w:szCs w:val="22"/>
          <w:lang w:val="es-ES_tradnl" w:eastAsia="en-US"/>
        </w:rPr>
        <w:t xml:space="preserve">convocatorias limitadas a </w:t>
      </w:r>
      <w:proofErr w:type="spellStart"/>
      <w:r w:rsidRPr="009D198D">
        <w:rPr>
          <w:rFonts w:ascii="Arial" w:eastAsia="Calibri" w:hAnsi="Arial" w:cs="Arial"/>
          <w:sz w:val="22"/>
          <w:szCs w:val="22"/>
          <w:lang w:val="es-ES_tradnl" w:eastAsia="en-US"/>
        </w:rPr>
        <w:t>Mipyme</w:t>
      </w:r>
      <w:proofErr w:type="spellEnd"/>
      <w:r w:rsidRPr="009D198D">
        <w:rPr>
          <w:rFonts w:ascii="Arial" w:eastAsia="Calibri" w:hAnsi="Arial" w:cs="Arial"/>
          <w:sz w:val="22"/>
          <w:szCs w:val="22"/>
          <w:lang w:val="es-ES_tradnl" w:eastAsia="en-US"/>
        </w:rPr>
        <w:t xml:space="preserve"> en el artículo 34 de la Ley 2069 de 2020</w:t>
      </w:r>
      <w:bookmarkStart w:id="6" w:name="_Hlk76110351"/>
      <w:r w:rsidRPr="009D198D">
        <w:rPr>
          <w:rFonts w:ascii="Arial" w:eastAsia="Calibri" w:hAnsi="Arial" w:cs="Arial"/>
          <w:sz w:val="22"/>
          <w:szCs w:val="22"/>
          <w:lang w:val="es-ES_tradnl" w:eastAsia="en-US"/>
        </w:rPr>
        <w:t>,</w:t>
      </w:r>
      <w:r w:rsidR="005243A3" w:rsidRPr="009D198D">
        <w:rPr>
          <w:rFonts w:ascii="Arial" w:eastAsia="Calibri" w:hAnsi="Arial" w:cs="Arial"/>
          <w:sz w:val="22"/>
          <w:szCs w:val="22"/>
          <w:lang w:val="es-MX" w:eastAsia="en-US"/>
        </w:rPr>
        <w:t xml:space="preserve"> v) </w:t>
      </w:r>
      <w:bookmarkEnd w:id="6"/>
      <w:r w:rsidR="004D7A4F" w:rsidRPr="009D198D">
        <w:rPr>
          <w:rFonts w:ascii="Arial" w:eastAsia="Calibri" w:hAnsi="Arial" w:cs="Arial"/>
          <w:sz w:val="22"/>
          <w:szCs w:val="22"/>
          <w:lang w:val="es-MX" w:eastAsia="en-US"/>
        </w:rPr>
        <w:t xml:space="preserve">el </w:t>
      </w:r>
      <w:r w:rsidRPr="009D198D">
        <w:rPr>
          <w:rFonts w:ascii="Arial" w:eastAsia="Calibri" w:hAnsi="Arial" w:cs="Arial"/>
          <w:sz w:val="22"/>
          <w:szCs w:val="22"/>
          <w:lang w:val="es-ES_tradnl" w:eastAsia="en-US"/>
        </w:rPr>
        <w:t>principio de anualidad en la contratación estatal: generalidad y excepciones</w:t>
      </w:r>
      <w:r w:rsidR="004D7A4F" w:rsidRPr="009D198D">
        <w:rPr>
          <w:rFonts w:ascii="Arial" w:eastAsia="Calibri" w:hAnsi="Arial" w:cs="Arial"/>
          <w:sz w:val="22"/>
          <w:szCs w:val="22"/>
          <w:lang w:val="es-ES_tradnl" w:eastAsia="en-US"/>
        </w:rPr>
        <w:t>,</w:t>
      </w:r>
      <w:r w:rsidRPr="009D198D">
        <w:rPr>
          <w:rFonts w:ascii="Arial" w:eastAsia="Calibri" w:hAnsi="Arial" w:cs="Arial"/>
          <w:sz w:val="22"/>
          <w:szCs w:val="22"/>
          <w:lang w:val="es-ES_tradnl" w:eastAsia="en-US"/>
        </w:rPr>
        <w:t xml:space="preserve"> y vi)</w:t>
      </w:r>
      <w:r w:rsidRPr="009D198D">
        <w:rPr>
          <w:rFonts w:ascii="Arial" w:eastAsiaTheme="minorHAnsi" w:hAnsi="Arial" w:cs="Arial"/>
          <w:b/>
          <w:sz w:val="20"/>
          <w:szCs w:val="20"/>
          <w:lang w:val="es-ES_tradnl" w:eastAsia="en-US"/>
        </w:rPr>
        <w:t xml:space="preserve"> </w:t>
      </w:r>
      <w:r w:rsidR="00984375" w:rsidRPr="009D198D">
        <w:rPr>
          <w:rFonts w:ascii="Arial" w:eastAsia="Calibri" w:hAnsi="Arial" w:cs="Arial"/>
          <w:bCs/>
          <w:sz w:val="22"/>
          <w:szCs w:val="22"/>
          <w:lang w:val="es-ES_tradnl" w:eastAsia="en-US"/>
        </w:rPr>
        <w:t>c</w:t>
      </w:r>
      <w:r w:rsidRPr="009D198D">
        <w:rPr>
          <w:rFonts w:ascii="Arial" w:eastAsia="Calibri" w:hAnsi="Arial" w:cs="Arial"/>
          <w:bCs/>
          <w:sz w:val="22"/>
          <w:szCs w:val="22"/>
          <w:lang w:val="es-ES_tradnl" w:eastAsia="en-US"/>
        </w:rPr>
        <w:t>ontrato de fiducia mercantil</w:t>
      </w:r>
      <w:r w:rsidR="00984375" w:rsidRPr="009D198D">
        <w:rPr>
          <w:rFonts w:ascii="Arial" w:eastAsia="Calibri" w:hAnsi="Arial" w:cs="Arial"/>
          <w:bCs/>
          <w:sz w:val="22"/>
          <w:szCs w:val="22"/>
          <w:lang w:val="es-ES_tradnl" w:eastAsia="en-US"/>
        </w:rPr>
        <w:t>,</w:t>
      </w:r>
      <w:r w:rsidRPr="009D198D">
        <w:rPr>
          <w:rFonts w:ascii="Arial" w:eastAsia="Calibri" w:hAnsi="Arial" w:cs="Arial"/>
          <w:bCs/>
          <w:sz w:val="22"/>
          <w:szCs w:val="22"/>
          <w:lang w:val="es-ES_tradnl" w:eastAsia="en-US"/>
        </w:rPr>
        <w:t xml:space="preserve"> fiducia p</w:t>
      </w:r>
      <w:r w:rsidR="005B751B" w:rsidRPr="009D198D">
        <w:rPr>
          <w:rFonts w:ascii="Arial" w:eastAsia="Calibri" w:hAnsi="Arial" w:cs="Arial"/>
          <w:bCs/>
          <w:sz w:val="22"/>
          <w:szCs w:val="22"/>
          <w:lang w:val="es-ES_tradnl" w:eastAsia="en-US"/>
        </w:rPr>
        <w:t>ú</w:t>
      </w:r>
      <w:r w:rsidRPr="009D198D">
        <w:rPr>
          <w:rFonts w:ascii="Arial" w:eastAsia="Calibri" w:hAnsi="Arial" w:cs="Arial"/>
          <w:bCs/>
          <w:sz w:val="22"/>
          <w:szCs w:val="22"/>
          <w:lang w:val="es-ES_tradnl" w:eastAsia="en-US"/>
        </w:rPr>
        <w:t>blica y encargo fiduciario.</w:t>
      </w:r>
    </w:p>
    <w:p w14:paraId="544A92C9" w14:textId="249A2116" w:rsidR="00436E10" w:rsidRPr="009D198D" w:rsidRDefault="004A419B" w:rsidP="0005357A">
      <w:pPr>
        <w:widowControl w:val="0"/>
        <w:tabs>
          <w:tab w:val="left" w:pos="728"/>
        </w:tabs>
        <w:autoSpaceDE w:val="0"/>
        <w:autoSpaceDN w:val="0"/>
        <w:spacing w:before="120" w:line="276" w:lineRule="auto"/>
        <w:ind w:firstLine="709"/>
        <w:jc w:val="both"/>
        <w:rPr>
          <w:rFonts w:ascii="Arial" w:eastAsia="Calibri" w:hAnsi="Arial" w:cs="Arial"/>
          <w:sz w:val="22"/>
          <w:lang w:val="es-ES"/>
        </w:rPr>
      </w:pPr>
      <w:r w:rsidRPr="009D198D">
        <w:rPr>
          <w:rFonts w:ascii="Arial" w:hAnsi="Arial" w:cs="Arial"/>
          <w:sz w:val="22"/>
        </w:rPr>
        <w:t xml:space="preserve">La Agencia Nacional de Contratación Pública –Colombia Compra Eficiente–, en ejercicio de la función consultiva, se ha pronunciado en múltiples ocasiones sobre el principio de publicidad y acceso a la información pública en la contratación. La postura de la Agencia al respecto, en lo relacionado con las entidades </w:t>
      </w:r>
      <w:r w:rsidRPr="009D198D">
        <w:rPr>
          <w:rFonts w:ascii="Arial" w:eastAsia="Calibri" w:hAnsi="Arial" w:cs="Arial"/>
          <w:sz w:val="22"/>
          <w:lang w:val="es-ES"/>
        </w:rPr>
        <w:t>regidas por el Estatuto General de Contratación de la Administración Pública</w:t>
      </w:r>
      <w:r w:rsidRPr="009D198D">
        <w:rPr>
          <w:rFonts w:ascii="Arial" w:hAnsi="Arial" w:cs="Arial"/>
          <w:sz w:val="22"/>
        </w:rPr>
        <w:t xml:space="preserve"> fue unificada en el concepto </w:t>
      </w:r>
      <w:bookmarkStart w:id="7" w:name="_Hlk92656681"/>
      <w:r w:rsidRPr="009D198D">
        <w:rPr>
          <w:rFonts w:ascii="Arial" w:hAnsi="Arial" w:cs="Arial"/>
          <w:sz w:val="22"/>
        </w:rPr>
        <w:t>CU-367 del 23 de julio de 2020</w:t>
      </w:r>
      <w:bookmarkEnd w:id="7"/>
      <w:r w:rsidRPr="009D198D">
        <w:rPr>
          <w:rFonts w:ascii="Arial" w:hAnsi="Arial" w:cs="Arial"/>
          <w:sz w:val="22"/>
        </w:rPr>
        <w:t>, reiterado en los conceptos C−433 de 24 de julio de 2020, C−468 del 24 de julio de 2020, C−474 de 24 de julio de 2020, C−488 del 28 de julio de 2020, C−544 del 21 de agosto de 2020, C−575 del 27 de agosto</w:t>
      </w:r>
      <w:r w:rsidR="00B7377E" w:rsidRPr="009D198D">
        <w:rPr>
          <w:rFonts w:ascii="Arial" w:hAnsi="Arial" w:cs="Arial"/>
          <w:sz w:val="22"/>
        </w:rPr>
        <w:t xml:space="preserve"> </w:t>
      </w:r>
      <w:r w:rsidRPr="009D198D">
        <w:rPr>
          <w:rFonts w:ascii="Arial" w:hAnsi="Arial" w:cs="Arial"/>
          <w:sz w:val="22"/>
        </w:rPr>
        <w:t xml:space="preserve">de 2020, C−643 del 26 de octubre de 2020, C−661 del 17 de noviembre de 2020, C-094 del 13 de abril de 2021, C−068 del 22 de abril de 2021, C-185 del 29 de abril de 2021, </w:t>
      </w:r>
      <w:r w:rsidR="00D974D5" w:rsidRPr="009D198D">
        <w:rPr>
          <w:rFonts w:ascii="Arial" w:hAnsi="Arial" w:cs="Arial"/>
          <w:sz w:val="22"/>
        </w:rPr>
        <w:t xml:space="preserve">en </w:t>
      </w:r>
      <w:r w:rsidRPr="009D198D">
        <w:rPr>
          <w:rFonts w:ascii="Arial" w:hAnsi="Arial" w:cs="Arial"/>
          <w:sz w:val="22"/>
        </w:rPr>
        <w:t xml:space="preserve">los que se estudiaron temas como </w:t>
      </w:r>
      <w:r w:rsidRPr="009D198D">
        <w:rPr>
          <w:rFonts w:ascii="Arial" w:eastAsia="Calibri" w:hAnsi="Arial" w:cs="Arial"/>
          <w:sz w:val="22"/>
          <w:lang w:val="es-ES"/>
        </w:rPr>
        <w:t xml:space="preserve">los fundamentos normativos de la publicación de documentación contractual en las plataformas SECOP I y SECOP II, el SECOP I como medio de publicidad de las actuaciones contractuales, la naturaleza transaccional y obligatoriedad de SECOP II y los documentos que deben publicarse en estas plataformas. </w:t>
      </w:r>
    </w:p>
    <w:p w14:paraId="229B68A7" w14:textId="1036D84F" w:rsidR="00BA0062" w:rsidRPr="009D198D" w:rsidRDefault="006C6619" w:rsidP="00BA0062">
      <w:pPr>
        <w:spacing w:before="120" w:line="276" w:lineRule="auto"/>
        <w:ind w:firstLine="709"/>
        <w:jc w:val="both"/>
        <w:rPr>
          <w:rFonts w:ascii="Arial" w:hAnsi="Arial" w:cs="Arial"/>
          <w:sz w:val="22"/>
          <w:lang w:val="es-ES_tradnl"/>
        </w:rPr>
      </w:pPr>
      <w:r w:rsidRPr="009D198D">
        <w:rPr>
          <w:rFonts w:ascii="Arial" w:hAnsi="Arial" w:cs="Arial"/>
          <w:sz w:val="22"/>
          <w:lang w:val="es-ES_tradnl"/>
        </w:rPr>
        <w:t>Además, l</w:t>
      </w:r>
      <w:r w:rsidR="00436E10" w:rsidRPr="009D198D">
        <w:rPr>
          <w:rFonts w:ascii="Arial" w:hAnsi="Arial" w:cs="Arial"/>
          <w:sz w:val="22"/>
          <w:lang w:val="es-ES_tradnl"/>
        </w:rPr>
        <w:t>a Agencia Nacional de Contratación Pública – Colombia Compra Eficiente expidió el Concepto Unificado CU-</w:t>
      </w:r>
      <w:bookmarkStart w:id="8" w:name="_Hlk92656720"/>
      <w:r w:rsidR="00436E10" w:rsidRPr="009D198D">
        <w:rPr>
          <w:rFonts w:ascii="Arial" w:hAnsi="Arial" w:cs="Arial"/>
          <w:sz w:val="22"/>
          <w:lang w:val="es-ES_tradnl"/>
        </w:rPr>
        <w:t>348 del 3 de julio de 2020</w:t>
      </w:r>
      <w:bookmarkEnd w:id="8"/>
      <w:r w:rsidR="00436E10" w:rsidRPr="009D198D">
        <w:rPr>
          <w:rFonts w:ascii="Arial" w:hAnsi="Arial" w:cs="Arial"/>
          <w:sz w:val="22"/>
          <w:lang w:val="es-ES_tradnl"/>
        </w:rPr>
        <w:t xml:space="preserve">, sobre la naturaleza del plan anual de adquisiciones. </w:t>
      </w:r>
      <w:r w:rsidR="00BA0062" w:rsidRPr="009D198D">
        <w:rPr>
          <w:rFonts w:ascii="Arial" w:hAnsi="Arial" w:cs="Arial"/>
          <w:sz w:val="22"/>
          <w:lang w:val="es-ES_tradnl"/>
        </w:rPr>
        <w:t xml:space="preserve">Así mismo, se destacan como precedentes los conceptos con </w:t>
      </w:r>
      <w:r w:rsidR="00BA0062" w:rsidRPr="009D198D">
        <w:rPr>
          <w:rFonts w:ascii="Arial" w:hAnsi="Arial" w:cs="Arial"/>
          <w:sz w:val="22"/>
          <w:lang w:val="es-ES_tradnl"/>
        </w:rPr>
        <w:lastRenderedPageBreak/>
        <w:t>radicado Nos. 4201913000006571 del 8 de noviembre de 2019, reiterado y desarrollado en los conceptos</w:t>
      </w:r>
      <w:r w:rsidR="00BA0062" w:rsidRPr="009D198D">
        <w:rPr>
          <w:rFonts w:ascii="Arial" w:hAnsi="Arial" w:cs="Arial"/>
          <w:sz w:val="22"/>
          <w:szCs w:val="22"/>
          <w:lang w:val="es-ES_tradnl" w:eastAsia="en-US"/>
        </w:rPr>
        <w:t xml:space="preserve"> </w:t>
      </w:r>
      <w:r w:rsidR="00BA0062" w:rsidRPr="009D198D">
        <w:rPr>
          <w:rFonts w:ascii="Arial" w:hAnsi="Arial" w:cs="Arial"/>
          <w:sz w:val="22"/>
          <w:lang w:val="es-ES_tradnl"/>
        </w:rPr>
        <w:t>4201912000007258 del 4 de diciembre de 2019, C-048 del 13 de enero de 2020, C-106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y C-489 de 13 de septiembre de 2021 en los que se analizaron distintas problemáticas relacionadas con el plan anual de adquisiciones.</w:t>
      </w:r>
    </w:p>
    <w:p w14:paraId="6BA738C8" w14:textId="5D421601" w:rsidR="002E2D4B" w:rsidRPr="009D198D" w:rsidRDefault="00C44F01" w:rsidP="00AC6281">
      <w:pPr>
        <w:spacing w:before="120" w:line="276" w:lineRule="auto"/>
        <w:ind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w:t>
      </w:r>
      <w:r w:rsidR="00B7377E" w:rsidRPr="009D198D">
        <w:rPr>
          <w:rFonts w:ascii="Arial" w:eastAsia="Calibri" w:hAnsi="Arial" w:cs="Arial"/>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C-130 del 07 de abril de 2021, C-144 del 07 de abril de 2021, C-141 del 08 de abril de 2021, C-114 del 13 de abril de 2021, C−151 del 12 de abril de 2021,</w:t>
      </w:r>
      <w:r w:rsidR="00B7377E" w:rsidRPr="009D198D">
        <w:rPr>
          <w:rFonts w:ascii="Arial" w:eastAsia="Calibri" w:hAnsi="Arial" w:cs="Arial"/>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C-160 del 20 de abril de 2021,</w:t>
      </w:r>
      <w:r w:rsidR="00B7377E" w:rsidRPr="009D198D">
        <w:rPr>
          <w:rFonts w:ascii="Arial" w:eastAsia="Calibri" w:hAnsi="Arial" w:cs="Arial"/>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C−189 del 26 de abril de 2021, C-206 del 3 de mayo de 2021, C-208 del 10 de mayo de 2021, C-211 del 11 de mayo de 2021, C-234 del 24 de mayo de 2021, C-271 del 9 de junio de 2021, C-306 del 28 de junio de 2021, C-426 del 18 de agosto de 2021 y C-309 del 24 de agosto de 2021.</w:t>
      </w:r>
      <w:r w:rsidR="00AC6281" w:rsidRPr="009D198D">
        <w:rPr>
          <w:rFonts w:ascii="Arial" w:eastAsia="Calibri" w:hAnsi="Arial" w:cs="Arial"/>
          <w:color w:val="000000" w:themeColor="text1"/>
          <w:sz w:val="22"/>
          <w:szCs w:val="22"/>
          <w:lang w:val="es-ES_tradnl"/>
        </w:rPr>
        <w:t xml:space="preserve"> Las consideraciones de estos conceptos se reiteran a continuación.</w:t>
      </w:r>
    </w:p>
    <w:p w14:paraId="6A32B99B" w14:textId="77777777" w:rsidR="00436E10" w:rsidRPr="009D198D" w:rsidRDefault="00436E10" w:rsidP="004A419B">
      <w:pPr>
        <w:widowControl w:val="0"/>
        <w:tabs>
          <w:tab w:val="left" w:pos="728"/>
        </w:tabs>
        <w:autoSpaceDE w:val="0"/>
        <w:autoSpaceDN w:val="0"/>
        <w:spacing w:line="276" w:lineRule="auto"/>
        <w:jc w:val="both"/>
        <w:rPr>
          <w:rFonts w:ascii="Arial" w:eastAsia="Arial" w:hAnsi="Arial" w:cs="Arial"/>
          <w:b/>
          <w:bCs/>
          <w:sz w:val="22"/>
          <w:lang w:val="es-ES"/>
        </w:rPr>
      </w:pPr>
    </w:p>
    <w:p w14:paraId="638AB6A4" w14:textId="6E14E419" w:rsidR="00881881" w:rsidRPr="009D198D" w:rsidRDefault="004A419B" w:rsidP="004A419B">
      <w:pPr>
        <w:widowControl w:val="0"/>
        <w:tabs>
          <w:tab w:val="left" w:pos="728"/>
        </w:tabs>
        <w:autoSpaceDE w:val="0"/>
        <w:autoSpaceDN w:val="0"/>
        <w:spacing w:line="276" w:lineRule="auto"/>
        <w:jc w:val="both"/>
        <w:rPr>
          <w:rFonts w:ascii="Arial" w:eastAsia="Arial" w:hAnsi="Arial" w:cs="Arial"/>
          <w:b/>
          <w:bCs/>
          <w:sz w:val="22"/>
          <w:lang w:val="es-ES"/>
        </w:rPr>
      </w:pPr>
      <w:r w:rsidRPr="009D198D">
        <w:rPr>
          <w:rFonts w:ascii="Arial" w:eastAsia="Arial" w:hAnsi="Arial" w:cs="Arial"/>
          <w:b/>
          <w:bCs/>
          <w:sz w:val="22"/>
          <w:lang w:val="es-ES"/>
        </w:rPr>
        <w:t xml:space="preserve">2.1. </w:t>
      </w:r>
      <w:r w:rsidR="00A510B3" w:rsidRPr="009D198D">
        <w:rPr>
          <w:rFonts w:ascii="Arial" w:eastAsia="Calibri" w:hAnsi="Arial" w:cs="Arial"/>
          <w:b/>
          <w:color w:val="000000" w:themeColor="text1"/>
          <w:sz w:val="22"/>
        </w:rPr>
        <w:t xml:space="preserve">Publicidad de los Documentos del Proceso en el Sistema Electrónico de Contratación Pública –SECOP– </w:t>
      </w:r>
    </w:p>
    <w:p w14:paraId="651840C4" w14:textId="77777777" w:rsidR="00881881" w:rsidRPr="009D198D" w:rsidRDefault="00881881" w:rsidP="004A419B">
      <w:pPr>
        <w:widowControl w:val="0"/>
        <w:tabs>
          <w:tab w:val="left" w:pos="728"/>
        </w:tabs>
        <w:autoSpaceDE w:val="0"/>
        <w:autoSpaceDN w:val="0"/>
        <w:spacing w:line="276" w:lineRule="auto"/>
        <w:jc w:val="both"/>
        <w:rPr>
          <w:rFonts w:ascii="Arial" w:eastAsia="Arial" w:hAnsi="Arial" w:cs="Arial"/>
          <w:b/>
          <w:bCs/>
          <w:sz w:val="22"/>
          <w:lang w:val="es-ES"/>
        </w:rPr>
      </w:pPr>
    </w:p>
    <w:p w14:paraId="5EEF9DFE" w14:textId="1A02D55D" w:rsidR="004A419B" w:rsidRPr="009D198D" w:rsidRDefault="00881881" w:rsidP="004A419B">
      <w:pPr>
        <w:widowControl w:val="0"/>
        <w:tabs>
          <w:tab w:val="left" w:pos="728"/>
        </w:tabs>
        <w:autoSpaceDE w:val="0"/>
        <w:autoSpaceDN w:val="0"/>
        <w:spacing w:line="276" w:lineRule="auto"/>
        <w:jc w:val="both"/>
        <w:rPr>
          <w:rFonts w:ascii="Arial" w:eastAsia="Arial" w:hAnsi="Arial" w:cs="Arial"/>
          <w:b/>
          <w:bCs/>
          <w:sz w:val="22"/>
          <w:lang w:val="es-ES"/>
        </w:rPr>
      </w:pPr>
      <w:r w:rsidRPr="009D198D">
        <w:rPr>
          <w:rFonts w:ascii="Arial" w:eastAsia="Arial" w:hAnsi="Arial" w:cs="Arial"/>
          <w:b/>
          <w:bCs/>
          <w:sz w:val="22"/>
          <w:lang w:val="es-ES"/>
        </w:rPr>
        <w:t xml:space="preserve">2.1.1. </w:t>
      </w:r>
      <w:r w:rsidR="005C1383" w:rsidRPr="009D198D">
        <w:rPr>
          <w:rFonts w:ascii="Arial" w:eastAsia="Arial" w:hAnsi="Arial" w:cs="Arial"/>
          <w:b/>
          <w:bCs/>
          <w:sz w:val="22"/>
          <w:lang w:val="es-ES"/>
        </w:rPr>
        <w:t>Procedimientos contractuales, publicidad y documentos que deben publicar en el SECOP las entidades estatales sometidas al Estatuto General de Contratación de la Administración Pública</w:t>
      </w:r>
    </w:p>
    <w:p w14:paraId="298CF6A3" w14:textId="77777777" w:rsidR="004A419B" w:rsidRPr="009D198D" w:rsidRDefault="004A419B" w:rsidP="004A419B">
      <w:pPr>
        <w:widowControl w:val="0"/>
        <w:tabs>
          <w:tab w:val="left" w:pos="728"/>
        </w:tabs>
        <w:autoSpaceDE w:val="0"/>
        <w:autoSpaceDN w:val="0"/>
        <w:jc w:val="both"/>
        <w:rPr>
          <w:rFonts w:ascii="Arial" w:eastAsia="Arial" w:hAnsi="Arial" w:cs="Arial"/>
          <w:sz w:val="22"/>
          <w:lang w:val="es-ES"/>
        </w:rPr>
      </w:pPr>
    </w:p>
    <w:p w14:paraId="1FDE8B22" w14:textId="6D936865" w:rsidR="004A419B" w:rsidRPr="009D198D" w:rsidRDefault="004A419B" w:rsidP="004A419B">
      <w:pPr>
        <w:widowControl w:val="0"/>
        <w:tabs>
          <w:tab w:val="left" w:pos="728"/>
        </w:tabs>
        <w:autoSpaceDE w:val="0"/>
        <w:autoSpaceDN w:val="0"/>
        <w:spacing w:line="276" w:lineRule="auto"/>
        <w:jc w:val="both"/>
        <w:rPr>
          <w:rFonts w:ascii="Arial" w:eastAsia="Arial" w:hAnsi="Arial" w:cs="Arial"/>
          <w:b/>
          <w:sz w:val="22"/>
          <w:lang w:val="es-ES"/>
        </w:rPr>
      </w:pPr>
      <w:r w:rsidRPr="009D198D">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378C4881" w14:textId="77777777" w:rsidR="004A419B" w:rsidRPr="009D198D" w:rsidRDefault="004A419B" w:rsidP="004A419B">
      <w:pPr>
        <w:widowControl w:val="0"/>
        <w:tabs>
          <w:tab w:val="left" w:pos="728"/>
        </w:tabs>
        <w:autoSpaceDE w:val="0"/>
        <w:autoSpaceDN w:val="0"/>
        <w:spacing w:line="276" w:lineRule="auto"/>
        <w:jc w:val="both"/>
        <w:rPr>
          <w:rFonts w:ascii="Arial" w:eastAsia="Arial" w:hAnsi="Arial" w:cs="Arial"/>
          <w:sz w:val="22"/>
          <w:lang w:val="es-ES"/>
        </w:rPr>
      </w:pPr>
    </w:p>
    <w:p w14:paraId="1BC65CB3" w14:textId="77777777" w:rsidR="004A419B" w:rsidRPr="009D198D" w:rsidRDefault="004A419B" w:rsidP="004A419B">
      <w:pPr>
        <w:widowControl w:val="0"/>
        <w:tabs>
          <w:tab w:val="left" w:pos="728"/>
        </w:tabs>
        <w:autoSpaceDE w:val="0"/>
        <w:autoSpaceDN w:val="0"/>
        <w:ind w:left="709" w:right="709"/>
        <w:jc w:val="both"/>
        <w:rPr>
          <w:rFonts w:ascii="Arial" w:eastAsia="Arial" w:hAnsi="Arial" w:cs="Arial"/>
          <w:sz w:val="21"/>
          <w:szCs w:val="21"/>
          <w:lang w:val="es-ES"/>
        </w:rPr>
      </w:pPr>
      <w:r w:rsidRPr="009D198D">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23DEFEB8" w14:textId="77777777" w:rsidR="004A419B" w:rsidRPr="009D198D" w:rsidRDefault="004A419B" w:rsidP="004A419B">
      <w:pPr>
        <w:widowControl w:val="0"/>
        <w:tabs>
          <w:tab w:val="left" w:pos="728"/>
        </w:tabs>
        <w:autoSpaceDE w:val="0"/>
        <w:autoSpaceDN w:val="0"/>
        <w:ind w:left="709" w:right="709"/>
        <w:jc w:val="both"/>
        <w:rPr>
          <w:rFonts w:ascii="Arial" w:eastAsia="Arial" w:hAnsi="Arial" w:cs="Arial"/>
          <w:sz w:val="21"/>
          <w:szCs w:val="21"/>
          <w:lang w:val="es-ES"/>
        </w:rPr>
      </w:pPr>
    </w:p>
    <w:p w14:paraId="3CDE9B75" w14:textId="77777777" w:rsidR="004A419B" w:rsidRPr="009D198D" w:rsidRDefault="004A419B" w:rsidP="004A419B">
      <w:pPr>
        <w:widowControl w:val="0"/>
        <w:tabs>
          <w:tab w:val="left" w:pos="728"/>
        </w:tabs>
        <w:autoSpaceDE w:val="0"/>
        <w:autoSpaceDN w:val="0"/>
        <w:ind w:left="709" w:right="709"/>
        <w:jc w:val="both"/>
        <w:rPr>
          <w:rFonts w:ascii="Arial" w:eastAsia="Arial" w:hAnsi="Arial" w:cs="Arial"/>
          <w:sz w:val="21"/>
          <w:szCs w:val="21"/>
          <w:lang w:val="es-ES"/>
        </w:rPr>
      </w:pPr>
      <w:r w:rsidRPr="009D198D">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D198D">
        <w:rPr>
          <w:rFonts w:ascii="Arial" w:eastAsia="Arial" w:hAnsi="Arial" w:cs="Arial"/>
          <w:sz w:val="21"/>
          <w:szCs w:val="21"/>
          <w:lang w:val="es-ES"/>
        </w:rPr>
        <w:t>autoridades públicas</w:t>
      </w:r>
      <w:proofErr w:type="gramEnd"/>
      <w:r w:rsidRPr="009D198D">
        <w:rPr>
          <w:rFonts w:ascii="Arial" w:eastAsia="Arial" w:hAnsi="Arial" w:cs="Arial"/>
          <w:sz w:val="21"/>
          <w:szCs w:val="21"/>
          <w:lang w:val="es-ES"/>
        </w:rPr>
        <w:t xml:space="preserve"> y, a través de ese conocimiento, a exigir que ellas se surtan conforme a la ley</w:t>
      </w:r>
      <w:r w:rsidRPr="009D198D">
        <w:rPr>
          <w:rFonts w:ascii="Arial" w:eastAsia="Arial" w:hAnsi="Arial" w:cs="Arial"/>
          <w:sz w:val="21"/>
          <w:szCs w:val="21"/>
          <w:vertAlign w:val="superscript"/>
          <w:lang w:val="es-ES"/>
        </w:rPr>
        <w:footnoteReference w:id="3"/>
      </w:r>
      <w:r w:rsidRPr="009D198D">
        <w:rPr>
          <w:rFonts w:ascii="Arial" w:eastAsia="Arial" w:hAnsi="Arial" w:cs="Arial"/>
          <w:sz w:val="21"/>
          <w:szCs w:val="21"/>
          <w:lang w:val="es-ES"/>
        </w:rPr>
        <w:t>.</w:t>
      </w:r>
    </w:p>
    <w:p w14:paraId="42FE9D56" w14:textId="77777777" w:rsidR="004A419B" w:rsidRPr="009D198D" w:rsidRDefault="004A419B" w:rsidP="004A419B">
      <w:pPr>
        <w:widowControl w:val="0"/>
        <w:tabs>
          <w:tab w:val="left" w:pos="728"/>
        </w:tabs>
        <w:autoSpaceDE w:val="0"/>
        <w:autoSpaceDN w:val="0"/>
        <w:spacing w:line="276" w:lineRule="auto"/>
        <w:jc w:val="both"/>
        <w:rPr>
          <w:rFonts w:ascii="Arial" w:eastAsia="Arial" w:hAnsi="Arial" w:cs="Arial"/>
          <w:sz w:val="22"/>
          <w:lang w:val="es-ES"/>
        </w:rPr>
      </w:pPr>
    </w:p>
    <w:p w14:paraId="3CE6D12C" w14:textId="77777777" w:rsidR="004A419B" w:rsidRPr="009D198D" w:rsidRDefault="004A419B" w:rsidP="004A419B">
      <w:pPr>
        <w:widowControl w:val="0"/>
        <w:tabs>
          <w:tab w:val="left" w:pos="728"/>
        </w:tabs>
        <w:autoSpaceDE w:val="0"/>
        <w:autoSpaceDN w:val="0"/>
        <w:spacing w:after="120" w:line="276" w:lineRule="auto"/>
        <w:jc w:val="both"/>
        <w:rPr>
          <w:rFonts w:ascii="Arial" w:eastAsia="Arial" w:hAnsi="Arial" w:cs="Arial"/>
          <w:sz w:val="22"/>
          <w:lang w:val="es-ES"/>
        </w:rPr>
      </w:pPr>
      <w:r w:rsidRPr="009D198D">
        <w:rPr>
          <w:rFonts w:ascii="Arial" w:eastAsia="Arial" w:hAnsi="Arial" w:cs="Arial"/>
          <w:sz w:val="22"/>
          <w:lang w:val="es-ES"/>
        </w:rPr>
        <w:tab/>
      </w:r>
      <w:bookmarkStart w:id="9" w:name="_Hlk79768604"/>
      <w:r w:rsidRPr="009D198D">
        <w:rPr>
          <w:rFonts w:ascii="Arial" w:eastAsia="Arial" w:hAnsi="Arial" w:cs="Arial"/>
          <w:sz w:val="22"/>
          <w:lang w:val="es-ES"/>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9D198D">
        <w:rPr>
          <w:rFonts w:ascii="Arial" w:eastAsia="Arial" w:hAnsi="Arial" w:cs="Arial"/>
          <w:sz w:val="22"/>
          <w:vertAlign w:val="superscript"/>
          <w:lang w:val="es-ES"/>
        </w:rPr>
        <w:footnoteReference w:id="4"/>
      </w:r>
      <w:r w:rsidRPr="009D198D">
        <w:rPr>
          <w:rFonts w:ascii="Arial" w:eastAsia="Arial" w:hAnsi="Arial" w:cs="Arial"/>
          <w:sz w:val="22"/>
          <w:lang w:val="es-ES"/>
        </w:rPr>
        <w:t xml:space="preserve">. </w:t>
      </w:r>
    </w:p>
    <w:p w14:paraId="7DF35228" w14:textId="77777777" w:rsidR="004A419B" w:rsidRPr="009D198D" w:rsidRDefault="004A419B" w:rsidP="004A419B">
      <w:pPr>
        <w:widowControl w:val="0"/>
        <w:tabs>
          <w:tab w:val="left" w:pos="728"/>
        </w:tabs>
        <w:autoSpaceDE w:val="0"/>
        <w:autoSpaceDN w:val="0"/>
        <w:spacing w:after="120" w:line="276" w:lineRule="auto"/>
        <w:jc w:val="both"/>
        <w:rPr>
          <w:rFonts w:ascii="Arial" w:eastAsia="Arial" w:hAnsi="Arial" w:cs="Arial"/>
          <w:sz w:val="22"/>
          <w:lang w:val="es-ES"/>
        </w:rPr>
      </w:pPr>
      <w:r w:rsidRPr="009D198D">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D198D">
        <w:rPr>
          <w:rFonts w:ascii="Arial" w:eastAsia="Arial" w:hAnsi="Arial" w:cs="Arial"/>
          <w:sz w:val="22"/>
          <w:vertAlign w:val="superscript"/>
          <w:lang w:val="es-ES"/>
        </w:rPr>
        <w:footnoteReference w:id="5"/>
      </w:r>
      <w:r w:rsidRPr="009D198D">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bookmarkEnd w:id="9"/>
    <w:p w14:paraId="7AA3CC2D" w14:textId="720E9066" w:rsidR="004A419B" w:rsidRPr="009D198D" w:rsidRDefault="004A419B" w:rsidP="004A419B">
      <w:pPr>
        <w:widowControl w:val="0"/>
        <w:tabs>
          <w:tab w:val="left" w:pos="728"/>
        </w:tabs>
        <w:autoSpaceDE w:val="0"/>
        <w:autoSpaceDN w:val="0"/>
        <w:spacing w:after="120" w:line="276" w:lineRule="auto"/>
        <w:jc w:val="both"/>
        <w:rPr>
          <w:rFonts w:ascii="Arial" w:eastAsia="Arial" w:hAnsi="Arial" w:cs="Arial"/>
          <w:sz w:val="22"/>
          <w:lang w:val="es-ES"/>
        </w:rPr>
      </w:pPr>
      <w:r w:rsidRPr="009D198D">
        <w:rPr>
          <w:rFonts w:ascii="Arial" w:eastAsia="Arial" w:hAnsi="Arial" w:cs="Arial"/>
          <w:sz w:val="22"/>
          <w:lang w:val="es-ES"/>
        </w:rPr>
        <w:tab/>
        <w:t xml:space="preserve">La ley citada establece, en el literal e) del artículo 9, que los sujetos obligados, que </w:t>
      </w:r>
      <w:r w:rsidRPr="009D198D">
        <w:rPr>
          <w:rFonts w:ascii="Arial" w:eastAsia="Arial" w:hAnsi="Arial" w:cs="Arial"/>
          <w:sz w:val="22"/>
          <w:lang w:val="es-ES"/>
        </w:rPr>
        <w:lastRenderedPageBreak/>
        <w:t>son todas las entidades públicas</w:t>
      </w:r>
      <w:r w:rsidRPr="009D198D">
        <w:rPr>
          <w:rFonts w:ascii="Arial" w:eastAsia="Arial" w:hAnsi="Arial" w:cs="Arial"/>
          <w:sz w:val="22"/>
          <w:vertAlign w:val="superscript"/>
          <w:lang w:val="es-ES"/>
        </w:rPr>
        <w:footnoteReference w:id="6"/>
      </w:r>
      <w:r w:rsidRPr="009D198D">
        <w:rPr>
          <w:rFonts w:ascii="Arial" w:eastAsia="Arial" w:hAnsi="Arial" w:cs="Arial"/>
          <w:sz w:val="22"/>
          <w:lang w:val="es-ES"/>
        </w:rPr>
        <w:t xml:space="preserve">, deben publicar la información relativa a su contratación. Esta obligación fue en principio desarrollada por el Decreto 103 de 2015, </w:t>
      </w:r>
      <w:r w:rsidR="001B6266" w:rsidRPr="009D198D">
        <w:rPr>
          <w:rFonts w:ascii="Arial" w:eastAsia="Arial" w:hAnsi="Arial" w:cs="Arial"/>
          <w:sz w:val="22"/>
          <w:lang w:val="es-ES"/>
        </w:rPr>
        <w:t xml:space="preserve">actualmente </w:t>
      </w:r>
      <w:r w:rsidRPr="009D198D">
        <w:rPr>
          <w:rFonts w:ascii="Arial" w:eastAsia="Arial" w:hAnsi="Arial" w:cs="Arial"/>
          <w:sz w:val="22"/>
          <w:lang w:val="es-ES"/>
        </w:rPr>
        <w:t>compilado en el Decreto Único Reglamentario 1081 de 2015</w:t>
      </w:r>
      <w:r w:rsidRPr="009D198D">
        <w:rPr>
          <w:rFonts w:ascii="Arial" w:eastAsia="Arial" w:hAnsi="Arial" w:cs="Arial"/>
          <w:sz w:val="22"/>
          <w:vertAlign w:val="superscript"/>
          <w:lang w:val="es-ES"/>
        </w:rPr>
        <w:footnoteReference w:id="7"/>
      </w:r>
      <w:r w:rsidRPr="009D198D">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4C8DDB66" w14:textId="07F65ACC" w:rsidR="004A419B" w:rsidRPr="009D198D" w:rsidRDefault="004A419B" w:rsidP="004A419B">
      <w:pPr>
        <w:widowControl w:val="0"/>
        <w:tabs>
          <w:tab w:val="left" w:pos="728"/>
        </w:tabs>
        <w:autoSpaceDE w:val="0"/>
        <w:autoSpaceDN w:val="0"/>
        <w:spacing w:after="120" w:line="276" w:lineRule="auto"/>
        <w:jc w:val="both"/>
        <w:rPr>
          <w:rFonts w:ascii="Arial" w:eastAsia="Arial" w:hAnsi="Arial" w:cs="Arial"/>
          <w:sz w:val="22"/>
          <w:lang w:val="es-ES"/>
        </w:rPr>
      </w:pPr>
      <w:r w:rsidRPr="009D198D">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7926BA6F" w14:textId="1FECC3CB" w:rsidR="004A419B" w:rsidRPr="009D198D" w:rsidRDefault="004A419B" w:rsidP="004A419B">
      <w:pPr>
        <w:widowControl w:val="0"/>
        <w:tabs>
          <w:tab w:val="left" w:pos="728"/>
        </w:tabs>
        <w:autoSpaceDE w:val="0"/>
        <w:autoSpaceDN w:val="0"/>
        <w:spacing w:line="276" w:lineRule="auto"/>
        <w:jc w:val="both"/>
        <w:rPr>
          <w:rFonts w:ascii="Arial" w:eastAsia="Calibri" w:hAnsi="Arial" w:cs="Arial"/>
          <w:sz w:val="22"/>
          <w:lang w:val="es-ES"/>
        </w:rPr>
      </w:pPr>
      <w:r w:rsidRPr="009D198D">
        <w:rPr>
          <w:rFonts w:ascii="Arial" w:eastAsia="Arial" w:hAnsi="Arial" w:cs="Arial"/>
          <w:sz w:val="22"/>
          <w:lang w:val="es-ES"/>
        </w:rPr>
        <w:tab/>
      </w:r>
      <w:r w:rsidRPr="009D198D">
        <w:rPr>
          <w:rFonts w:ascii="Arial" w:eastAsia="Calibri"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9D198D">
        <w:rPr>
          <w:rFonts w:ascii="Arial" w:eastAsia="Calibri" w:hAnsi="Arial" w:cs="Arial"/>
          <w:sz w:val="22"/>
          <w:vertAlign w:val="superscript"/>
          <w:lang w:val="es-ES"/>
        </w:rPr>
        <w:footnoteReference w:id="8"/>
      </w:r>
      <w:r w:rsidRPr="009D198D">
        <w:rPr>
          <w:rFonts w:ascii="Arial" w:eastAsia="Calibri"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5DCB211E" w14:textId="77777777" w:rsidR="004A419B" w:rsidRPr="009D198D" w:rsidRDefault="004A419B" w:rsidP="004A419B">
      <w:pPr>
        <w:ind w:left="709" w:right="709"/>
        <w:jc w:val="both"/>
        <w:rPr>
          <w:rFonts w:ascii="Arial" w:eastAsia="Calibri" w:hAnsi="Arial" w:cs="Arial"/>
          <w:sz w:val="21"/>
          <w:szCs w:val="21"/>
          <w:lang w:val="es-ES"/>
        </w:rPr>
      </w:pPr>
    </w:p>
    <w:p w14:paraId="54C27236" w14:textId="77777777" w:rsidR="004A419B" w:rsidRPr="009D198D" w:rsidRDefault="004A419B" w:rsidP="004A419B">
      <w:pPr>
        <w:ind w:left="709" w:right="709"/>
        <w:jc w:val="both"/>
        <w:rPr>
          <w:rFonts w:ascii="Arial" w:eastAsia="Calibri" w:hAnsi="Arial" w:cs="Arial"/>
          <w:sz w:val="21"/>
          <w:szCs w:val="21"/>
          <w:lang w:val="es-ES"/>
        </w:rPr>
      </w:pPr>
      <w:r w:rsidRPr="009D198D">
        <w:rPr>
          <w:rFonts w:ascii="Arial" w:eastAsia="Calibri" w:hAnsi="Arial" w:cs="Arial"/>
          <w:sz w:val="21"/>
          <w:szCs w:val="21"/>
          <w:lang w:val="es-ES"/>
        </w:rPr>
        <w:lastRenderedPageBreak/>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42A45430" w14:textId="77777777" w:rsidR="004A419B" w:rsidRPr="009D198D" w:rsidRDefault="004A419B" w:rsidP="004A419B">
      <w:pPr>
        <w:ind w:left="709" w:right="709"/>
        <w:jc w:val="both"/>
        <w:rPr>
          <w:rFonts w:ascii="Arial" w:eastAsia="Calibri" w:hAnsi="Arial" w:cs="Arial"/>
          <w:sz w:val="21"/>
          <w:szCs w:val="21"/>
          <w:lang w:val="es-ES"/>
        </w:rPr>
      </w:pPr>
    </w:p>
    <w:p w14:paraId="353E95B9" w14:textId="77777777" w:rsidR="004A419B" w:rsidRPr="009D198D" w:rsidRDefault="004A419B" w:rsidP="004A419B">
      <w:pPr>
        <w:ind w:left="709" w:right="709"/>
        <w:jc w:val="both"/>
        <w:rPr>
          <w:rFonts w:ascii="Arial" w:eastAsia="Calibri" w:hAnsi="Arial" w:cs="Arial"/>
          <w:sz w:val="21"/>
          <w:szCs w:val="21"/>
          <w:lang w:val="es-ES"/>
        </w:rPr>
      </w:pPr>
      <w:r w:rsidRPr="009D198D">
        <w:rPr>
          <w:rFonts w:ascii="Arial" w:eastAsia="Calibri"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9D198D">
        <w:rPr>
          <w:rFonts w:ascii="Arial" w:eastAsia="Calibri" w:hAnsi="Arial" w:cs="Arial"/>
          <w:sz w:val="21"/>
          <w:szCs w:val="21"/>
          <w:lang w:val="es-ES"/>
        </w:rPr>
        <w:t>ibídem</w:t>
      </w:r>
      <w:proofErr w:type="spellEnd"/>
      <w:r w:rsidRPr="009D198D">
        <w:rPr>
          <w:rFonts w:ascii="Arial" w:eastAsia="Calibri" w:hAnsi="Arial" w:cs="Arial"/>
          <w:sz w:val="21"/>
          <w:szCs w:val="21"/>
          <w:lang w:val="es-ES"/>
        </w:rPr>
        <w:t xml:space="preserve"> en armonía con el artículo 273 de la Constitución Política).</w:t>
      </w:r>
    </w:p>
    <w:p w14:paraId="3D029D58" w14:textId="77777777" w:rsidR="004A419B" w:rsidRPr="009D198D" w:rsidRDefault="004A419B" w:rsidP="00C15EF2">
      <w:pPr>
        <w:ind w:left="709" w:right="709"/>
        <w:jc w:val="both"/>
        <w:rPr>
          <w:rFonts w:ascii="Arial" w:eastAsia="Calibri" w:hAnsi="Arial" w:cs="Arial"/>
          <w:sz w:val="21"/>
          <w:szCs w:val="21"/>
          <w:lang w:val="es-ES"/>
        </w:rPr>
      </w:pPr>
    </w:p>
    <w:p w14:paraId="285B0938" w14:textId="77777777" w:rsidR="004A419B" w:rsidRPr="009D198D" w:rsidRDefault="004A419B" w:rsidP="004A419B">
      <w:pPr>
        <w:ind w:left="709" w:right="709"/>
        <w:jc w:val="both"/>
        <w:rPr>
          <w:rFonts w:ascii="Arial" w:eastAsia="Calibri" w:hAnsi="Arial" w:cs="Arial"/>
          <w:sz w:val="21"/>
          <w:szCs w:val="21"/>
          <w:lang w:val="es-ES"/>
        </w:rPr>
      </w:pPr>
      <w:r w:rsidRPr="009D198D">
        <w:rPr>
          <w:rFonts w:ascii="Arial" w:eastAsia="Calibri"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9D198D">
        <w:rPr>
          <w:rFonts w:ascii="Arial" w:eastAsia="Calibri" w:hAnsi="Arial" w:cs="Arial"/>
          <w:sz w:val="21"/>
          <w:szCs w:val="21"/>
          <w:vertAlign w:val="superscript"/>
          <w:lang w:val="es-ES"/>
        </w:rPr>
        <w:footnoteReference w:id="9"/>
      </w:r>
      <w:r w:rsidRPr="009D198D">
        <w:rPr>
          <w:rFonts w:ascii="Arial" w:eastAsia="Calibri" w:hAnsi="Arial" w:cs="Arial"/>
          <w:sz w:val="21"/>
          <w:szCs w:val="21"/>
          <w:lang w:val="es-ES"/>
        </w:rPr>
        <w:t>.</w:t>
      </w:r>
    </w:p>
    <w:p w14:paraId="477D716D" w14:textId="77777777" w:rsidR="004A419B" w:rsidRPr="009D198D" w:rsidRDefault="004A419B" w:rsidP="004A419B">
      <w:pPr>
        <w:ind w:left="709" w:right="709"/>
        <w:jc w:val="both"/>
        <w:rPr>
          <w:rFonts w:ascii="Arial" w:eastAsia="Calibri" w:hAnsi="Arial" w:cs="Arial"/>
          <w:sz w:val="21"/>
          <w:szCs w:val="21"/>
          <w:lang w:val="es-ES"/>
        </w:rPr>
      </w:pPr>
    </w:p>
    <w:p w14:paraId="32753266" w14:textId="77777777" w:rsidR="004A419B" w:rsidRPr="009D198D" w:rsidRDefault="004A419B" w:rsidP="004A419B">
      <w:pPr>
        <w:spacing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De acuerdo con esto, las entidades deben cumplir con el principio de publicidad respecto de su actividad contractual, lo cual permite a los administrados conocer las actuaciones y participar en el control de estas, siendo el SECOP la herramienta que dispuso el Estado para que las entidades cumplan el principio de publicidad. </w:t>
      </w:r>
    </w:p>
    <w:p w14:paraId="551B37B0" w14:textId="2D3DB100" w:rsidR="004A419B" w:rsidRPr="009D198D" w:rsidRDefault="004A419B" w:rsidP="007A12FE">
      <w:pPr>
        <w:spacing w:after="120" w:line="276" w:lineRule="auto"/>
        <w:ind w:firstLine="709"/>
        <w:jc w:val="both"/>
        <w:rPr>
          <w:rFonts w:ascii="Arial" w:hAnsi="Arial" w:cs="Arial"/>
          <w:sz w:val="22"/>
          <w:lang w:val="es-ES"/>
        </w:rPr>
      </w:pPr>
      <w:r w:rsidRPr="009D198D">
        <w:rPr>
          <w:rFonts w:ascii="Arial" w:eastAsia="Calibri" w:hAnsi="Arial" w:cs="Arial"/>
          <w:sz w:val="22"/>
          <w:lang w:val="es-ES"/>
        </w:rPr>
        <w:t>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w:t>
      </w:r>
      <w:r w:rsidR="007A12FE" w:rsidRPr="009D198D">
        <w:rPr>
          <w:rFonts w:ascii="Arial" w:eastAsia="Calibri" w:hAnsi="Arial" w:cs="Arial"/>
          <w:sz w:val="22"/>
          <w:lang w:val="es-ES"/>
        </w:rPr>
        <w:t xml:space="preserve">. </w:t>
      </w:r>
      <w:r w:rsidR="007A12FE" w:rsidRPr="009D198D">
        <w:rPr>
          <w:rFonts w:ascii="Arial" w:hAnsi="Arial" w:cs="Arial"/>
          <w:sz w:val="22"/>
          <w:lang w:val="es-ES"/>
        </w:rPr>
        <w:t>En la disposición mencionada se relacionan los documentos que se deben publicar en el SECOP, como un desarrollo de los principios de transparencia y publicidad, que busca permitir, mediante la publicación, que la ciudadanía pueda conocer la actividad contractual de las entidades. Lo anterior por cuanto tales documentos dan cuenta de las decisiones de la Administración pública en beneficio del interés general y que, por tanto, incumben a la ciudadanía.</w:t>
      </w:r>
      <w:r w:rsidR="00B7377E" w:rsidRPr="009D198D">
        <w:rPr>
          <w:rFonts w:ascii="Arial" w:hAnsi="Arial" w:cs="Arial"/>
          <w:sz w:val="22"/>
          <w:lang w:val="es-ES"/>
        </w:rPr>
        <w:t xml:space="preserve"> </w:t>
      </w:r>
    </w:p>
    <w:p w14:paraId="200B6947" w14:textId="77777777" w:rsidR="007300BA" w:rsidRPr="009D198D" w:rsidRDefault="007A12FE" w:rsidP="007300BA">
      <w:pPr>
        <w:spacing w:line="276" w:lineRule="auto"/>
        <w:ind w:firstLine="709"/>
        <w:jc w:val="both"/>
        <w:rPr>
          <w:rFonts w:ascii="Arial" w:hAnsi="Arial" w:cs="Arial"/>
          <w:sz w:val="22"/>
          <w:lang w:val="es-ES"/>
        </w:rPr>
      </w:pPr>
      <w:r w:rsidRPr="009D198D">
        <w:rPr>
          <w:rFonts w:ascii="Arial" w:hAnsi="Arial" w:cs="Arial"/>
          <w:sz w:val="22"/>
          <w:lang w:val="es-ES"/>
        </w:rPr>
        <w:t xml:space="preserve">Del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w:t>
      </w:r>
      <w:r w:rsidRPr="009D198D">
        <w:rPr>
          <w:rFonts w:ascii="Arial" w:hAnsi="Arial" w:cs="Arial"/>
          <w:sz w:val="22"/>
          <w:lang w:val="es-ES"/>
        </w:rPr>
        <w:lastRenderedPageBreak/>
        <w:t>materializar el derecho a conocer e intervenir en las decisiones de la Administración Pública.</w:t>
      </w:r>
    </w:p>
    <w:p w14:paraId="6AA5D761" w14:textId="25B15B61" w:rsidR="004A419B" w:rsidRPr="009D198D" w:rsidRDefault="004A419B" w:rsidP="00BC6FBB">
      <w:pPr>
        <w:spacing w:before="120" w:line="276" w:lineRule="auto"/>
        <w:ind w:firstLine="709"/>
        <w:jc w:val="both"/>
        <w:rPr>
          <w:rFonts w:ascii="Arial" w:hAnsi="Arial" w:cs="Arial"/>
          <w:sz w:val="22"/>
          <w:lang w:val="es-ES"/>
        </w:rPr>
      </w:pPr>
      <w:r w:rsidRPr="009D198D">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7744886A" w14:textId="77777777" w:rsidR="004A419B" w:rsidRPr="009D198D" w:rsidRDefault="004A419B" w:rsidP="00C15EF2">
      <w:pPr>
        <w:widowControl w:val="0"/>
        <w:autoSpaceDE w:val="0"/>
        <w:autoSpaceDN w:val="0"/>
        <w:spacing w:before="120" w:line="276" w:lineRule="auto"/>
        <w:ind w:firstLine="709"/>
        <w:jc w:val="both"/>
        <w:rPr>
          <w:rFonts w:ascii="Arial" w:eastAsia="Arial" w:hAnsi="Arial" w:cs="Arial"/>
          <w:sz w:val="22"/>
          <w:lang w:val="es-ES"/>
        </w:rPr>
      </w:pPr>
      <w:r w:rsidRPr="009D198D">
        <w:rPr>
          <w:rFonts w:ascii="Arial" w:eastAsia="Arial" w:hAnsi="Arial" w:cs="Arial"/>
          <w:sz w:val="22"/>
          <w:lang w:val="es-ES"/>
        </w:rPr>
        <w:t xml:space="preserve">La expresión </w:t>
      </w:r>
      <w:r w:rsidRPr="009D198D">
        <w:rPr>
          <w:rFonts w:ascii="Arial" w:eastAsia="Arial" w:hAnsi="Arial" w:cs="Arial"/>
          <w:i/>
          <w:iCs/>
          <w:sz w:val="22"/>
          <w:lang w:val="es-ES"/>
        </w:rPr>
        <w:t>Documentos del Proceso</w:t>
      </w:r>
      <w:r w:rsidRPr="009D198D">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w:t>
      </w:r>
      <w:r w:rsidRPr="009D198D">
        <w:rPr>
          <w:rFonts w:ascii="Arial" w:eastAsia="Arial" w:hAnsi="Arial" w:cs="Arial"/>
          <w:i/>
          <w:iCs/>
          <w:sz w:val="22"/>
          <w:lang w:val="es-ES"/>
        </w:rPr>
        <w:t xml:space="preserve"> y cualquier otro documento expedido por la Entidad Estatal durante el Proceso de Contratación</w:t>
      </w:r>
      <w:r w:rsidRPr="009D198D">
        <w:rPr>
          <w:rFonts w:ascii="Arial" w:eastAsia="Arial" w:hAnsi="Arial" w:cs="Arial"/>
          <w:sz w:val="22"/>
          <w:lang w:val="es-ES"/>
        </w:rPr>
        <w:t xml:space="preserve">» (Énfasis fuera de texto). </w:t>
      </w:r>
    </w:p>
    <w:p w14:paraId="1B324518" w14:textId="5841AD2C" w:rsidR="004A419B" w:rsidRPr="009D198D" w:rsidRDefault="004A419B" w:rsidP="00C15EF2">
      <w:pPr>
        <w:widowControl w:val="0"/>
        <w:autoSpaceDE w:val="0"/>
        <w:autoSpaceDN w:val="0"/>
        <w:spacing w:before="120" w:line="276" w:lineRule="auto"/>
        <w:ind w:firstLine="709"/>
        <w:jc w:val="both"/>
        <w:rPr>
          <w:rFonts w:ascii="Arial" w:eastAsia="Arial" w:hAnsi="Arial" w:cs="Arial"/>
          <w:sz w:val="22"/>
          <w:lang w:val="es-ES"/>
        </w:rPr>
      </w:pPr>
      <w:r w:rsidRPr="009D198D">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proofErr w:type="spellStart"/>
      <w:r w:rsidRPr="009D198D">
        <w:rPr>
          <w:rFonts w:ascii="Arial" w:eastAsia="Arial" w:hAnsi="Arial" w:cs="Arial"/>
          <w:sz w:val="22"/>
          <w:lang w:val="es-ES"/>
        </w:rPr>
        <w:t>Ibídem</w:t>
      </w:r>
      <w:proofErr w:type="spellEnd"/>
      <w:r w:rsidRPr="009D198D">
        <w:rPr>
          <w:rFonts w:ascii="Arial" w:eastAsia="Arial" w:hAnsi="Arial" w:cs="Arial"/>
          <w:sz w:val="22"/>
          <w:lang w:val="es-ES"/>
        </w:rPr>
        <w:t xml:space="preserve"> recoge en la noción de </w:t>
      </w:r>
      <w:r w:rsidRPr="009D198D">
        <w:rPr>
          <w:rFonts w:ascii="Arial" w:eastAsia="Arial" w:hAnsi="Arial" w:cs="Arial"/>
          <w:i/>
          <w:iCs/>
          <w:sz w:val="22"/>
          <w:lang w:val="es-ES"/>
        </w:rPr>
        <w:t>Documentos del Proceso</w:t>
      </w:r>
      <w:r w:rsidRPr="009D198D">
        <w:rPr>
          <w:rFonts w:ascii="Arial" w:eastAsia="Arial" w:hAnsi="Arial" w:cs="Arial"/>
          <w:sz w:val="22"/>
          <w:lang w:val="es-ES"/>
        </w:rPr>
        <w:t xml:space="preserve"> «cualquier otro documento expedido por la Entidad Estatal durante el </w:t>
      </w:r>
      <w:r w:rsidRPr="009D198D">
        <w:rPr>
          <w:rFonts w:ascii="Arial" w:eastAsia="Arial" w:hAnsi="Arial" w:cs="Arial"/>
          <w:i/>
          <w:iCs/>
          <w:sz w:val="22"/>
          <w:lang w:val="es-ES"/>
        </w:rPr>
        <w:t>Proceso de Contratación»</w:t>
      </w:r>
      <w:r w:rsidRPr="009D198D">
        <w:rPr>
          <w:rFonts w:ascii="Arial" w:eastAsia="Arial" w:hAnsi="Arial" w:cs="Arial"/>
          <w:sz w:val="22"/>
          <w:lang w:val="es-ES"/>
        </w:rPr>
        <w:t xml:space="preserve">. Este mismo artículo define la expresión </w:t>
      </w:r>
      <w:r w:rsidRPr="009D198D">
        <w:rPr>
          <w:rFonts w:ascii="Arial" w:eastAsia="Arial" w:hAnsi="Arial" w:cs="Arial"/>
          <w:i/>
          <w:iCs/>
          <w:sz w:val="22"/>
          <w:lang w:val="es-ES"/>
        </w:rPr>
        <w:t>Proceso de Contratación</w:t>
      </w:r>
      <w:r w:rsidRPr="009D198D">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00B7377E" w:rsidRPr="009D198D">
        <w:rPr>
          <w:rFonts w:ascii="Arial" w:eastAsia="Arial" w:hAnsi="Arial" w:cs="Arial"/>
          <w:sz w:val="22"/>
          <w:lang w:val="es-ES"/>
        </w:rPr>
        <w:t xml:space="preserve"> </w:t>
      </w:r>
    </w:p>
    <w:p w14:paraId="7291637C" w14:textId="6C4CD1F1" w:rsidR="004A419B" w:rsidRPr="009D198D" w:rsidRDefault="004A419B" w:rsidP="00C15EF2">
      <w:pPr>
        <w:widowControl w:val="0"/>
        <w:autoSpaceDE w:val="0"/>
        <w:autoSpaceDN w:val="0"/>
        <w:spacing w:before="120" w:line="276" w:lineRule="auto"/>
        <w:ind w:firstLine="709"/>
        <w:jc w:val="both"/>
        <w:rPr>
          <w:rFonts w:ascii="Arial" w:eastAsia="Arial" w:hAnsi="Arial" w:cs="Arial"/>
          <w:sz w:val="22"/>
          <w:lang w:val="es-ES"/>
        </w:rPr>
      </w:pPr>
      <w:r w:rsidRPr="009D198D">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9D198D">
        <w:rPr>
          <w:rFonts w:ascii="Arial" w:eastAsia="Arial" w:hAnsi="Arial" w:cs="Arial"/>
          <w:i/>
          <w:iCs/>
          <w:sz w:val="22"/>
          <w:lang w:val="es-ES"/>
        </w:rPr>
        <w:t>Documentos del Proceso</w:t>
      </w:r>
      <w:r w:rsidRPr="009D198D">
        <w:rPr>
          <w:rFonts w:ascii="Arial" w:eastAsia="Arial" w:hAnsi="Arial" w:cs="Arial"/>
          <w:sz w:val="22"/>
          <w:lang w:val="es-ES"/>
        </w:rPr>
        <w:t xml:space="preserve"> los expedidos por un sujeto distinto a la entidad, salvo la oferta, la cual se incluye expresamente en </w:t>
      </w:r>
      <w:r w:rsidR="00E25421" w:rsidRPr="009D198D">
        <w:rPr>
          <w:rFonts w:ascii="Arial" w:eastAsia="Arial" w:hAnsi="Arial" w:cs="Arial"/>
          <w:sz w:val="22"/>
          <w:lang w:val="es-ES"/>
        </w:rPr>
        <w:t xml:space="preserve">los </w:t>
      </w:r>
      <w:r w:rsidRPr="009D198D">
        <w:rPr>
          <w:rFonts w:ascii="Arial" w:eastAsia="Arial" w:hAnsi="Arial" w:cs="Arial"/>
          <w:sz w:val="22"/>
          <w:lang w:val="es-ES"/>
        </w:rPr>
        <w:t>artículo</w:t>
      </w:r>
      <w:r w:rsidR="00E25421" w:rsidRPr="009D198D">
        <w:rPr>
          <w:rFonts w:ascii="Arial" w:eastAsia="Arial" w:hAnsi="Arial" w:cs="Arial"/>
          <w:sz w:val="22"/>
          <w:lang w:val="es-ES"/>
        </w:rPr>
        <w:t>s</w:t>
      </w:r>
      <w:r w:rsidRPr="009D198D">
        <w:rPr>
          <w:rFonts w:ascii="Arial" w:eastAsia="Arial" w:hAnsi="Arial" w:cs="Arial"/>
          <w:sz w:val="22"/>
          <w:lang w:val="es-ES"/>
        </w:rPr>
        <w:t xml:space="preserve"> 2.2.1.1.1.3.1.</w:t>
      </w:r>
      <w:r w:rsidR="00E25421" w:rsidRPr="009D198D">
        <w:rPr>
          <w:rFonts w:ascii="Arial" w:eastAsia="Arial" w:hAnsi="Arial" w:cs="Arial"/>
          <w:sz w:val="22"/>
          <w:lang w:val="es-ES"/>
        </w:rPr>
        <w:t xml:space="preserve"> y </w:t>
      </w:r>
      <w:r w:rsidR="00E25421" w:rsidRPr="009D198D">
        <w:rPr>
          <w:rFonts w:ascii="Arial" w:eastAsia="Arial" w:hAnsi="Arial" w:cs="Arial"/>
          <w:sz w:val="22"/>
          <w:lang w:val="es-ES_tradnl"/>
        </w:rPr>
        <w:t xml:space="preserve">2.2.1.1.1.7.1. </w:t>
      </w:r>
    </w:p>
    <w:p w14:paraId="4EA28DF9" w14:textId="66A6D866" w:rsidR="004A419B" w:rsidRPr="009D198D" w:rsidRDefault="004A419B" w:rsidP="00C15EF2">
      <w:pPr>
        <w:widowControl w:val="0"/>
        <w:autoSpaceDE w:val="0"/>
        <w:autoSpaceDN w:val="0"/>
        <w:spacing w:before="120" w:line="276" w:lineRule="auto"/>
        <w:ind w:firstLine="708"/>
        <w:jc w:val="both"/>
        <w:rPr>
          <w:rFonts w:ascii="Arial" w:eastAsia="Arial" w:hAnsi="Arial" w:cs="Arial"/>
          <w:sz w:val="22"/>
          <w:lang w:val="es-ES"/>
        </w:rPr>
      </w:pPr>
      <w:r w:rsidRPr="009D198D">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9D198D">
        <w:rPr>
          <w:rFonts w:ascii="Arial" w:eastAsia="Arial" w:hAnsi="Arial" w:cs="Arial"/>
          <w:i/>
          <w:iCs/>
          <w:sz w:val="22"/>
          <w:lang w:val="es-ES"/>
        </w:rPr>
        <w:t>Proceso de Contratación</w:t>
      </w:r>
      <w:r w:rsidRPr="009D198D">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9D198D">
        <w:rPr>
          <w:rFonts w:ascii="Arial" w:eastAsia="Arial" w:hAnsi="Arial" w:cs="Arial"/>
          <w:sz w:val="22"/>
          <w:lang w:val="es-ES"/>
        </w:rPr>
        <w:t>postcontractual</w:t>
      </w:r>
      <w:proofErr w:type="spellEnd"/>
      <w:r w:rsidRPr="009D198D">
        <w:rPr>
          <w:rFonts w:ascii="Arial" w:eastAsia="Arial" w:hAnsi="Arial" w:cs="Arial"/>
          <w:sz w:val="22"/>
          <w:lang w:val="es-ES"/>
        </w:rPr>
        <w:t xml:space="preserve"> deberán ser publicados en SECOP dentro de los tres (3) días siguientes a su expedición, para</w:t>
      </w:r>
      <w:r w:rsidR="00B7377E" w:rsidRPr="009D198D">
        <w:rPr>
          <w:rFonts w:ascii="Arial" w:eastAsia="Arial" w:hAnsi="Arial" w:cs="Arial"/>
          <w:sz w:val="22"/>
          <w:lang w:val="es-ES"/>
        </w:rPr>
        <w:t xml:space="preserve"> </w:t>
      </w:r>
      <w:r w:rsidRPr="009D198D">
        <w:rPr>
          <w:rFonts w:ascii="Arial" w:eastAsia="Arial" w:hAnsi="Arial" w:cs="Arial"/>
          <w:sz w:val="22"/>
          <w:lang w:val="es-ES"/>
        </w:rPr>
        <w:t>cumplir el deber de publicidad regulado por el artículo 2.2.1.1.1.7.1. del Decreto 1082 de 2015.</w:t>
      </w:r>
    </w:p>
    <w:p w14:paraId="1E14014C" w14:textId="24A80D80" w:rsidR="004A419B" w:rsidRPr="009D198D" w:rsidRDefault="004A419B" w:rsidP="00C15EF2">
      <w:pPr>
        <w:widowControl w:val="0"/>
        <w:autoSpaceDE w:val="0"/>
        <w:autoSpaceDN w:val="0"/>
        <w:spacing w:before="120" w:line="276" w:lineRule="auto"/>
        <w:ind w:firstLine="708"/>
        <w:jc w:val="both"/>
        <w:rPr>
          <w:rFonts w:ascii="Arial" w:eastAsia="Arial" w:hAnsi="Arial" w:cs="Arial"/>
          <w:sz w:val="22"/>
          <w:lang w:val="es-ES"/>
        </w:rPr>
      </w:pPr>
      <w:bookmarkStart w:id="10" w:name="_Hlk93308743"/>
      <w:r w:rsidRPr="009D198D">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w:t>
      </w:r>
      <w:r w:rsidRPr="009D198D">
        <w:rPr>
          <w:rFonts w:ascii="Arial" w:eastAsia="Arial" w:hAnsi="Arial" w:cs="Arial"/>
          <w:sz w:val="22"/>
          <w:lang w:val="es-ES"/>
        </w:rPr>
        <w:lastRenderedPageBreak/>
        <w:t xml:space="preserve">entidades están obligadas a publicar en el SECOP todos los documentos relacionados con el </w:t>
      </w:r>
      <w:r w:rsidRPr="009D198D">
        <w:rPr>
          <w:rFonts w:ascii="Arial" w:eastAsia="Arial" w:hAnsi="Arial" w:cs="Arial"/>
          <w:i/>
          <w:iCs/>
          <w:sz w:val="22"/>
          <w:lang w:val="es-ES"/>
        </w:rPr>
        <w:t>Proceso de Contratación</w:t>
      </w:r>
      <w:r w:rsidRPr="009D198D">
        <w:rPr>
          <w:rFonts w:ascii="Arial" w:eastAsia="Arial" w:hAnsi="Arial" w:cs="Arial"/>
          <w:sz w:val="22"/>
          <w:lang w:val="es-ES"/>
        </w:rPr>
        <w:t xml:space="preserve"> expedidos durante las etapas precontractual, de ejecución y </w:t>
      </w:r>
      <w:proofErr w:type="spellStart"/>
      <w:r w:rsidRPr="009D198D">
        <w:rPr>
          <w:rFonts w:ascii="Arial" w:eastAsia="Arial" w:hAnsi="Arial" w:cs="Arial"/>
          <w:sz w:val="22"/>
          <w:lang w:val="es-ES"/>
        </w:rPr>
        <w:t>postcontractual</w:t>
      </w:r>
      <w:proofErr w:type="spellEnd"/>
      <w:r w:rsidRPr="009D198D">
        <w:rPr>
          <w:rFonts w:ascii="Arial" w:eastAsia="Arial" w:hAnsi="Arial" w:cs="Arial"/>
          <w:sz w:val="22"/>
          <w:lang w:val="es-ES"/>
        </w:rPr>
        <w:t>, dentro de los tres (3) días hábiles siguientes a su producción</w:t>
      </w:r>
      <w:r w:rsidRPr="009D198D">
        <w:rPr>
          <w:rFonts w:ascii="Arial" w:eastAsia="Arial" w:hAnsi="Arial" w:cs="Arial"/>
          <w:sz w:val="22"/>
          <w:vertAlign w:val="superscript"/>
          <w:lang w:val="es-ES"/>
        </w:rPr>
        <w:footnoteReference w:id="10"/>
      </w:r>
      <w:r w:rsidRPr="009D198D">
        <w:rPr>
          <w:rFonts w:ascii="Arial" w:eastAsia="Arial" w:hAnsi="Arial" w:cs="Arial"/>
          <w:sz w:val="22"/>
          <w:lang w:val="es-ES"/>
        </w:rPr>
        <w:t xml:space="preserve">, deber que aplica </w:t>
      </w:r>
      <w:r w:rsidR="00F13102" w:rsidRPr="009D198D">
        <w:rPr>
          <w:rFonts w:ascii="Arial" w:eastAsia="Arial" w:hAnsi="Arial" w:cs="Arial"/>
          <w:sz w:val="22"/>
          <w:lang w:val="es-ES"/>
        </w:rPr>
        <w:t xml:space="preserve">en </w:t>
      </w:r>
      <w:r w:rsidRPr="009D198D">
        <w:rPr>
          <w:rFonts w:ascii="Arial" w:eastAsia="Arial" w:hAnsi="Arial" w:cs="Arial"/>
          <w:sz w:val="22"/>
          <w:lang w:val="es-ES"/>
        </w:rPr>
        <w:t xml:space="preserve">todas las modalidades de selección y entidades regidas por el Estatuto General de Contratación de la Administración Pública, y del que solo se encuentran excluidas las ofertas </w:t>
      </w:r>
      <w:r w:rsidR="00F13102" w:rsidRPr="009D198D">
        <w:rPr>
          <w:rFonts w:ascii="Arial" w:eastAsia="Arial" w:hAnsi="Arial" w:cs="Arial"/>
          <w:sz w:val="22"/>
          <w:lang w:val="es-ES"/>
        </w:rPr>
        <w:t xml:space="preserve">que no resultaron adjudicatarias </w:t>
      </w:r>
      <w:r w:rsidRPr="009D198D">
        <w:rPr>
          <w:rFonts w:ascii="Arial" w:eastAsia="Arial" w:hAnsi="Arial" w:cs="Arial"/>
          <w:sz w:val="22"/>
          <w:lang w:val="es-ES"/>
        </w:rPr>
        <w:t>y los documentos expedidos en el marco de operaciones de bolsa de productos</w:t>
      </w:r>
      <w:r w:rsidR="00F13102" w:rsidRPr="009D198D">
        <w:rPr>
          <w:rFonts w:ascii="Arial" w:eastAsia="Arial" w:hAnsi="Arial" w:cs="Arial"/>
          <w:sz w:val="22"/>
          <w:lang w:val="es-ES"/>
        </w:rPr>
        <w:t>, de acuerdo con la regulación especial establecida en el Decreto 1082 de 2015.</w:t>
      </w:r>
    </w:p>
    <w:p w14:paraId="008288D8" w14:textId="1FA83F81" w:rsidR="004A419B" w:rsidRPr="009D198D" w:rsidRDefault="004A419B" w:rsidP="004A419B">
      <w:pPr>
        <w:spacing w:before="120"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No obstante, conforme se estableció </w:t>
      </w:r>
      <w:r w:rsidRPr="009D198D">
        <w:rPr>
          <w:rFonts w:ascii="Arial" w:eastAsia="Calibri" w:hAnsi="Arial" w:cs="Arial"/>
          <w:i/>
          <w:iCs/>
          <w:sz w:val="22"/>
          <w:lang w:val="es-ES"/>
        </w:rPr>
        <w:t>supra</w:t>
      </w:r>
      <w:r w:rsidRPr="009D198D">
        <w:rPr>
          <w:rFonts w:ascii="Arial" w:eastAsia="Calibri" w:hAnsi="Arial" w:cs="Arial"/>
          <w:sz w:val="22"/>
          <w:lang w:val="es-ES"/>
        </w:rPr>
        <w:t xml:space="preserv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w:t>
      </w:r>
      <w:r w:rsidRPr="009D198D">
        <w:rPr>
          <w:rFonts w:ascii="Arial" w:eastAsia="Calibri" w:hAnsi="Arial" w:cs="Arial"/>
          <w:sz w:val="22"/>
          <w:szCs w:val="22"/>
          <w:lang w:val="es-ES"/>
        </w:rPr>
        <w:t>adjudicación y ejecución de sus contratos. Esta obligación está reglamentada en el Decreto 1081 de 2015. Este señala, en el artículo 2.1.1.2.1.7, que las entidades deberán publicar en el SECOP la información de su gestión contractual</w:t>
      </w:r>
      <w:r w:rsidR="00E749F9" w:rsidRPr="009D198D">
        <w:rPr>
          <w:rFonts w:ascii="Arial" w:eastAsia="Calibri" w:hAnsi="Arial" w:cs="Arial"/>
          <w:sz w:val="22"/>
          <w:szCs w:val="22"/>
          <w:lang w:val="es-ES"/>
        </w:rPr>
        <w:t>, además estableciendo que: «</w:t>
      </w:r>
      <w:r w:rsidR="00E749F9" w:rsidRPr="009D198D">
        <w:rPr>
          <w:rFonts w:ascii="Arial" w:hAnsi="Arial" w:cs="Arial"/>
          <w:color w:val="000000"/>
          <w:sz w:val="22"/>
          <w:szCs w:val="22"/>
          <w:lang w:eastAsia="es-CO"/>
        </w:rPr>
        <w:t>Los sujetos obligados que contratan con cargo a recursos públicos deben publicar la información de su gestión contractual en el plazo previsto en el artículo 19 del Decreto 1510 de 2013, o el que lo modifique, sustituya o adicione», el cual corresponde actualmente al artículo 2.2.1.1.1.7.1.del Decreto 1082 de 2015</w:t>
      </w:r>
      <w:r w:rsidRPr="009D198D">
        <w:rPr>
          <w:rFonts w:ascii="Arial" w:eastAsia="Calibri" w:hAnsi="Arial" w:cs="Arial"/>
          <w:sz w:val="22"/>
          <w:szCs w:val="22"/>
          <w:vertAlign w:val="superscript"/>
          <w:lang w:val="es-ES"/>
        </w:rPr>
        <w:footnoteReference w:id="11"/>
      </w:r>
      <w:r w:rsidRPr="009D198D">
        <w:rPr>
          <w:rFonts w:ascii="Arial" w:eastAsia="Calibri" w:hAnsi="Arial" w:cs="Arial"/>
          <w:sz w:val="22"/>
          <w:szCs w:val="22"/>
          <w:lang w:val="es-ES"/>
        </w:rPr>
        <w:t>. Por su parte,</w:t>
      </w:r>
      <w:r w:rsidRPr="009D198D">
        <w:rPr>
          <w:rFonts w:ascii="Arial" w:eastAsia="Calibri" w:hAnsi="Arial" w:cs="Arial"/>
          <w:sz w:val="22"/>
          <w:lang w:val="es-ES"/>
        </w:rPr>
        <w:t xml:space="preserve"> el artículo 2.1.1.2.1.9 </w:t>
      </w:r>
      <w:r w:rsidRPr="009D198D">
        <w:rPr>
          <w:rFonts w:ascii="Arial" w:eastAsia="Calibri" w:hAnsi="Arial" w:cs="Arial"/>
          <w:sz w:val="22"/>
          <w:lang w:val="es-ES"/>
        </w:rPr>
        <w:lastRenderedPageBreak/>
        <w:t>expresa que las entidades deberán publicar los procedimientos, lineamientos y políticas en materia de adquisición, que no son otros que los previstos en el manual de contratación, el cual debe publicarse en el sitio web del sujeto obligado</w:t>
      </w:r>
      <w:r w:rsidRPr="009D198D">
        <w:rPr>
          <w:rFonts w:ascii="Arial" w:eastAsia="Calibri" w:hAnsi="Arial" w:cs="Arial"/>
          <w:sz w:val="22"/>
          <w:vertAlign w:val="superscript"/>
          <w:lang w:val="es-ES"/>
        </w:rPr>
        <w:footnoteReference w:id="12"/>
      </w:r>
      <w:r w:rsidRPr="009D198D">
        <w:rPr>
          <w:rFonts w:ascii="Arial" w:eastAsia="Calibri" w:hAnsi="Arial" w:cs="Arial"/>
          <w:sz w:val="22"/>
          <w:lang w:val="es-ES"/>
        </w:rPr>
        <w:t>. El artículo 2.1.1.2.1.10 establece la obligación que tienen las entidades de publicar en el SECOP el Plan Anual de Adquisiciones</w:t>
      </w:r>
      <w:r w:rsidRPr="009D198D">
        <w:rPr>
          <w:rFonts w:ascii="Arial" w:eastAsia="Calibri" w:hAnsi="Arial" w:cs="Arial"/>
          <w:sz w:val="22"/>
          <w:vertAlign w:val="superscript"/>
          <w:lang w:val="es-ES"/>
        </w:rPr>
        <w:footnoteReference w:id="13"/>
      </w:r>
      <w:r w:rsidRPr="009D198D">
        <w:rPr>
          <w:rFonts w:ascii="Arial" w:eastAsia="Calibri" w:hAnsi="Arial" w:cs="Arial"/>
          <w:sz w:val="22"/>
          <w:lang w:val="es-ES"/>
        </w:rPr>
        <w:t xml:space="preserve">. </w:t>
      </w:r>
    </w:p>
    <w:p w14:paraId="2AC87DD8" w14:textId="77777777" w:rsidR="004A419B" w:rsidRPr="009D198D" w:rsidRDefault="004A419B" w:rsidP="004A419B">
      <w:pPr>
        <w:spacing w:before="120"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r w:rsidRPr="009D198D">
        <w:rPr>
          <w:rFonts w:ascii="Arial" w:eastAsia="Calibri" w:hAnsi="Arial" w:cs="Arial"/>
          <w:sz w:val="22"/>
          <w:vertAlign w:val="superscript"/>
          <w:lang w:val="es-ES"/>
        </w:rPr>
        <w:footnoteReference w:id="14"/>
      </w:r>
      <w:r w:rsidRPr="009D198D">
        <w:rPr>
          <w:rFonts w:ascii="Arial" w:eastAsia="Calibri" w:hAnsi="Arial" w:cs="Arial"/>
          <w:sz w:val="22"/>
          <w:lang w:val="es-ES"/>
        </w:rPr>
        <w:t>.</w:t>
      </w:r>
    </w:p>
    <w:p w14:paraId="689083DC" w14:textId="4F06270B" w:rsidR="004A419B" w:rsidRPr="009D198D" w:rsidRDefault="004A419B" w:rsidP="004A419B">
      <w:pPr>
        <w:spacing w:before="120"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9D198D">
        <w:rPr>
          <w:rFonts w:ascii="Arial" w:eastAsia="Arial" w:hAnsi="Arial" w:cs="Arial"/>
          <w:sz w:val="22"/>
          <w:lang w:val="es-ES"/>
        </w:rPr>
        <w:t xml:space="preserve">artículo 2.2.1.1.1.7.1. del Decreto 1082 de 2015, sino también en la Ley 1712 de 2014, y en el Decreto 1081 de </w:t>
      </w:r>
      <w:r w:rsidRPr="009D198D">
        <w:rPr>
          <w:rFonts w:ascii="Arial" w:eastAsia="Arial" w:hAnsi="Arial" w:cs="Arial"/>
          <w:sz w:val="22"/>
          <w:lang w:val="es-ES"/>
        </w:rPr>
        <w:lastRenderedPageBreak/>
        <w:t>2015, normas que no solo refuerzan y complementan al régimen de contratación estatal en cuanto a la publicidad, sino que lo amplía</w:t>
      </w:r>
      <w:r w:rsidR="00913870" w:rsidRPr="009D198D">
        <w:rPr>
          <w:rFonts w:ascii="Arial" w:eastAsia="Arial" w:hAnsi="Arial" w:cs="Arial"/>
          <w:sz w:val="22"/>
          <w:lang w:val="es-ES"/>
        </w:rPr>
        <w:t>n</w:t>
      </w:r>
      <w:r w:rsidRPr="009D198D">
        <w:rPr>
          <w:rFonts w:ascii="Arial" w:eastAsia="Arial" w:hAnsi="Arial" w:cs="Arial"/>
          <w:sz w:val="22"/>
          <w:lang w:val="es-ES"/>
        </w:rPr>
        <w:t xml:space="preserve">, para incluir la publicación de los «procedimientos» y la información relativa a la «gestión contractual», sin el condicionamiento de tratarse exclusivamente de los </w:t>
      </w:r>
      <w:r w:rsidRPr="009D198D">
        <w:rPr>
          <w:rFonts w:ascii="Arial" w:eastAsia="Arial" w:hAnsi="Arial" w:cs="Arial"/>
          <w:i/>
          <w:iCs/>
          <w:sz w:val="22"/>
          <w:lang w:val="es-ES"/>
        </w:rPr>
        <w:t xml:space="preserve">Documentos del Proceso </w:t>
      </w:r>
      <w:r w:rsidRPr="009D198D">
        <w:rPr>
          <w:rFonts w:ascii="Arial" w:eastAsia="Arial" w:hAnsi="Arial" w:cs="Arial"/>
          <w:sz w:val="22"/>
          <w:lang w:val="es-ES"/>
        </w:rPr>
        <w:t>expedidos por la «entidad estatal».</w:t>
      </w:r>
    </w:p>
    <w:p w14:paraId="0B1F83B4" w14:textId="6C611964" w:rsidR="004A419B" w:rsidRPr="009D198D" w:rsidRDefault="004A419B" w:rsidP="004A419B">
      <w:pPr>
        <w:spacing w:before="120"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Las publicaciones que corresponde efectuar a las entidades estatales, como sujetos obligados por la normativa de la transparencia y acceso a la información pública, en particular</w:t>
      </w:r>
      <w:r w:rsidR="00913870" w:rsidRPr="009D198D">
        <w:rPr>
          <w:rFonts w:ascii="Arial" w:eastAsia="Calibri" w:hAnsi="Arial" w:cs="Arial"/>
          <w:sz w:val="22"/>
          <w:lang w:val="es-ES"/>
        </w:rPr>
        <w:t>,</w:t>
      </w:r>
      <w:r w:rsidRPr="009D198D">
        <w:rPr>
          <w:rFonts w:ascii="Arial" w:eastAsia="Calibri" w:hAnsi="Arial" w:cs="Arial"/>
          <w:sz w:val="22"/>
          <w:lang w:val="es-ES"/>
        </w:rPr>
        <w:t xml:space="preserve">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9D198D">
        <w:rPr>
          <w:rFonts w:ascii="Arial" w:eastAsia="Calibri" w:hAnsi="Arial" w:cs="Arial"/>
          <w:i/>
          <w:iCs/>
          <w:sz w:val="22"/>
          <w:lang w:val="es-ES"/>
        </w:rPr>
        <w:t>Documentos del Proceso.</w:t>
      </w:r>
      <w:r w:rsidRPr="009D198D">
        <w:rPr>
          <w:rFonts w:ascii="Arial" w:eastAsia="Calibri" w:hAnsi="Arial" w:cs="Arial"/>
          <w:sz w:val="22"/>
          <w:lang w:val="es-ES"/>
        </w:rPr>
        <w:t xml:space="preserve"> Esto</w:t>
      </w:r>
      <w:r w:rsidRPr="009D198D">
        <w:rPr>
          <w:rFonts w:ascii="Arial" w:eastAsia="Calibri" w:hAnsi="Arial" w:cs="Arial"/>
          <w:i/>
          <w:iCs/>
          <w:sz w:val="22"/>
          <w:lang w:val="es-ES"/>
        </w:rPr>
        <w:t xml:space="preserve"> </w:t>
      </w:r>
      <w:r w:rsidRPr="009D198D">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9D198D">
        <w:rPr>
          <w:rFonts w:ascii="Arial" w:eastAsia="Calibri" w:hAnsi="Arial" w:cs="Arial"/>
          <w:i/>
          <w:iCs/>
          <w:sz w:val="22"/>
          <w:lang w:val="es-ES"/>
        </w:rPr>
        <w:t>Proceso de Contratación,</w:t>
      </w:r>
      <w:r w:rsidRPr="009D198D">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w:t>
      </w:r>
      <w:r w:rsidR="00B7377E" w:rsidRPr="009D198D">
        <w:rPr>
          <w:rFonts w:ascii="Arial" w:eastAsia="Calibri" w:hAnsi="Arial" w:cs="Arial"/>
          <w:sz w:val="22"/>
          <w:lang w:val="es-ES"/>
        </w:rPr>
        <w:t xml:space="preserve"> </w:t>
      </w:r>
    </w:p>
    <w:p w14:paraId="0B062A95" w14:textId="76A22643" w:rsidR="0032201F" w:rsidRPr="009D198D" w:rsidRDefault="004A419B" w:rsidP="0032201F">
      <w:pPr>
        <w:spacing w:before="120" w:line="276" w:lineRule="auto"/>
        <w:ind w:firstLine="709"/>
        <w:jc w:val="both"/>
        <w:rPr>
          <w:rFonts w:ascii="Arial" w:eastAsia="Calibri" w:hAnsi="Arial" w:cs="Arial"/>
          <w:sz w:val="22"/>
          <w:szCs w:val="22"/>
          <w:lang w:val="es-ES"/>
        </w:rPr>
      </w:pPr>
      <w:r w:rsidRPr="009D198D">
        <w:rPr>
          <w:rFonts w:ascii="Arial" w:eastAsia="Calibri" w:hAnsi="Arial" w:cs="Arial"/>
          <w:sz w:val="22"/>
          <w:lang w:val="es-ES"/>
        </w:rPr>
        <w:t xml:space="preserve">Esto quiere decir que las entidades estatales, además de los documentos y actos administrativos </w:t>
      </w:r>
      <w:r w:rsidRPr="009D198D">
        <w:rPr>
          <w:rFonts w:ascii="Arial" w:eastAsia="Calibri" w:hAnsi="Arial" w:cs="Arial"/>
          <w:sz w:val="22"/>
          <w:lang w:val="es-ES"/>
        </w:rPr>
        <w:softHyphen/>
      </w:r>
      <w:r w:rsidRPr="009D198D">
        <w:rPr>
          <w:rFonts w:ascii="Arial" w:eastAsia="Calibri" w:hAnsi="Arial" w:cs="Arial"/>
          <w:sz w:val="22"/>
          <w:lang w:val="es-ES"/>
        </w:rPr>
        <w:softHyphen/>
        <w:t>–de trámite o definitivos– que expiden durante los procedimientos de contratación</w:t>
      </w:r>
      <w:r w:rsidRPr="009D198D">
        <w:rPr>
          <w:rFonts w:ascii="Arial" w:eastAsia="Calibri" w:hAnsi="Arial" w:cs="Arial"/>
          <w:i/>
          <w:iCs/>
          <w:sz w:val="22"/>
          <w:lang w:val="es-ES"/>
        </w:rPr>
        <w:t>,</w:t>
      </w:r>
      <w:r w:rsidRPr="009D198D">
        <w:rPr>
          <w:rFonts w:ascii="Arial" w:eastAsia="Calibri" w:hAnsi="Arial" w:cs="Arial"/>
          <w:sz w:val="22"/>
          <w:lang w:val="es-ES"/>
        </w:rPr>
        <w:t xml:space="preserve"> deben publicar los documentos que los impulsan y materializan, incluso los que no produce </w:t>
      </w:r>
      <w:r w:rsidR="00913870" w:rsidRPr="009D198D">
        <w:rPr>
          <w:rFonts w:ascii="Arial" w:eastAsia="Calibri" w:hAnsi="Arial" w:cs="Arial"/>
          <w:sz w:val="22"/>
          <w:lang w:val="es-ES"/>
        </w:rPr>
        <w:t xml:space="preserve">exclusivamente </w:t>
      </w:r>
      <w:r w:rsidRPr="009D198D">
        <w:rPr>
          <w:rFonts w:ascii="Arial" w:eastAsia="Calibri" w:hAnsi="Arial" w:cs="Arial"/>
          <w:sz w:val="22"/>
          <w:lang w:val="es-ES"/>
        </w:rPr>
        <w:t>la entidad, pero que hacen parte del procedimiento</w:t>
      </w:r>
      <w:r w:rsidR="00DC6DCE" w:rsidRPr="009D198D">
        <w:rPr>
          <w:rFonts w:ascii="Arial" w:eastAsia="Calibri" w:hAnsi="Arial" w:cs="Arial"/>
          <w:sz w:val="22"/>
          <w:lang w:val="es-ES"/>
        </w:rPr>
        <w:t>. Esto es lo que sucede, por ejemplo,</w:t>
      </w:r>
      <w:r w:rsidRPr="009D198D">
        <w:rPr>
          <w:rFonts w:ascii="Arial" w:eastAsia="Calibri" w:hAnsi="Arial" w:cs="Arial"/>
          <w:sz w:val="22"/>
          <w:lang w:val="es-ES"/>
        </w:rPr>
        <w:t xml:space="preserve"> </w:t>
      </w:r>
      <w:r w:rsidR="00DC6DCE" w:rsidRPr="009D198D">
        <w:rPr>
          <w:rFonts w:ascii="Arial" w:eastAsia="Calibri" w:hAnsi="Arial" w:cs="Arial"/>
          <w:sz w:val="22"/>
          <w:lang w:val="es-ES"/>
        </w:rPr>
        <w:t>con</w:t>
      </w:r>
      <w:r w:rsidRPr="009D198D">
        <w:rPr>
          <w:rFonts w:ascii="Arial" w:eastAsia="Calibri" w:hAnsi="Arial" w:cs="Arial"/>
          <w:sz w:val="22"/>
          <w:lang w:val="es-ES"/>
        </w:rPr>
        <w:t xml:space="preserve"> las observaciones formuladas por la ciudadanía al proyecto de pliego de condiciones, por los proponentes al informe de evaluación, aclaraciones a las ofertas realizadas por los oferentes, y cualquier otra actuación que a pesar de no tener origen en la entidad estatal, ni caber en estricto sentido en lo que se entiende con la expresión</w:t>
      </w:r>
      <w:r w:rsidRPr="009D198D">
        <w:rPr>
          <w:rFonts w:ascii="Arial" w:eastAsia="Calibri" w:hAnsi="Arial" w:cs="Arial"/>
          <w:i/>
          <w:iCs/>
          <w:sz w:val="22"/>
          <w:lang w:val="es-ES"/>
        </w:rPr>
        <w:t xml:space="preserve"> Documento del Proceso, </w:t>
      </w:r>
      <w:r w:rsidRPr="009D198D">
        <w:rPr>
          <w:rFonts w:ascii="Arial" w:eastAsia="Calibri" w:hAnsi="Arial" w:cs="Arial"/>
          <w:sz w:val="22"/>
          <w:lang w:val="es-ES"/>
        </w:rPr>
        <w:t xml:space="preserve">hace parte de su desarrollo, y que por disposición de la Ley de transparencia y </w:t>
      </w:r>
      <w:r w:rsidRPr="009D198D">
        <w:rPr>
          <w:rFonts w:ascii="Arial" w:eastAsia="Calibri" w:hAnsi="Arial" w:cs="Arial"/>
          <w:sz w:val="22"/>
          <w:szCs w:val="22"/>
          <w:lang w:val="es-ES"/>
        </w:rPr>
        <w:t>acceso a la información pública, debe publicar la entidad de manera proactiva.</w:t>
      </w:r>
      <w:r w:rsidR="00B7377E" w:rsidRPr="009D198D">
        <w:rPr>
          <w:rFonts w:ascii="Arial" w:eastAsia="Calibri" w:hAnsi="Arial" w:cs="Arial"/>
          <w:sz w:val="22"/>
          <w:szCs w:val="22"/>
          <w:lang w:val="es-ES"/>
        </w:rPr>
        <w:t xml:space="preserve"> </w:t>
      </w:r>
    </w:p>
    <w:p w14:paraId="1635E89C" w14:textId="2A759E65" w:rsidR="004A419B" w:rsidRPr="009D198D" w:rsidRDefault="004A419B" w:rsidP="0032201F">
      <w:pPr>
        <w:spacing w:before="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9D198D">
        <w:rPr>
          <w:rFonts w:ascii="Arial" w:eastAsia="Arial" w:hAnsi="Arial" w:cs="Arial"/>
          <w:sz w:val="22"/>
          <w:lang w:val="es-ES"/>
        </w:rPr>
        <w:t xml:space="preserve">artículo 2.2.1.1.1.7.1. </w:t>
      </w:r>
      <w:r w:rsidR="00913870" w:rsidRPr="009D198D">
        <w:rPr>
          <w:rFonts w:ascii="Arial" w:eastAsia="Arial" w:hAnsi="Arial" w:cs="Arial"/>
          <w:sz w:val="22"/>
          <w:lang w:val="es-ES"/>
        </w:rPr>
        <w:t xml:space="preserve">y 2.2.1.2.1.2.14. </w:t>
      </w:r>
      <w:r w:rsidRPr="009D198D">
        <w:rPr>
          <w:rFonts w:ascii="Arial" w:eastAsia="Arial" w:hAnsi="Arial" w:cs="Arial"/>
          <w:sz w:val="22"/>
          <w:lang w:val="es-ES"/>
        </w:rPr>
        <w:t>del Decreto 1082 de 2015.</w:t>
      </w:r>
    </w:p>
    <w:p w14:paraId="1853016F" w14:textId="55213BC7" w:rsidR="00A510B3" w:rsidRPr="009D198D" w:rsidRDefault="00A510B3" w:rsidP="004A419B">
      <w:pPr>
        <w:spacing w:before="120" w:after="120" w:line="276" w:lineRule="auto"/>
        <w:ind w:firstLine="709"/>
        <w:jc w:val="both"/>
        <w:rPr>
          <w:rStyle w:val="nfasis"/>
          <w:rFonts w:ascii="Arial" w:hAnsi="Arial" w:cs="Arial"/>
          <w:sz w:val="22"/>
          <w:lang w:val="es-ES"/>
        </w:rPr>
      </w:pPr>
      <w:bookmarkStart w:id="11" w:name="_Hlk93310434"/>
      <w:r w:rsidRPr="009D198D">
        <w:rPr>
          <w:rFonts w:ascii="Arial" w:eastAsia="Calibri" w:hAnsi="Arial" w:cs="Arial"/>
          <w:sz w:val="22"/>
          <w:lang w:val="es-ES"/>
        </w:rPr>
        <w:lastRenderedPageBreak/>
        <w:t xml:space="preserve">De conformidad con lo anterior, esta interpretación de las disposiciones analizadas permite incorporar al EGCAP importantes principios desarrollados por la normativa de la transparencia y acceso a la información pública. Entre estos principios se encuentran el de </w:t>
      </w:r>
      <w:r w:rsidRPr="009D198D">
        <w:rPr>
          <w:rStyle w:val="nfasis"/>
          <w:rFonts w:ascii="Arial" w:hAnsi="Arial" w:cs="Arial"/>
          <w:i w:val="0"/>
          <w:iCs w:val="0"/>
          <w:sz w:val="22"/>
          <w:lang w:val="es-ES"/>
        </w:rPr>
        <w:t>máxima publicidad para un titular universal</w:t>
      </w:r>
      <w:r w:rsidRPr="009D198D">
        <w:rPr>
          <w:rStyle w:val="Refdenotaalpie"/>
          <w:rFonts w:ascii="Arial" w:hAnsi="Arial" w:cs="Arial"/>
          <w:sz w:val="22"/>
          <w:lang w:val="es-ES"/>
        </w:rPr>
        <w:footnoteReference w:id="15"/>
      </w:r>
      <w:r w:rsidRPr="009D198D">
        <w:rPr>
          <w:rStyle w:val="nfasis"/>
          <w:rFonts w:ascii="Arial" w:hAnsi="Arial" w:cs="Arial"/>
          <w:i w:val="0"/>
          <w:iCs w:val="0"/>
          <w:sz w:val="22"/>
          <w:lang w:val="es-ES"/>
        </w:rPr>
        <w:t>, transparencia, facilitación y divulgación proactiva de la información</w:t>
      </w:r>
      <w:r w:rsidRPr="009D198D">
        <w:rPr>
          <w:rStyle w:val="Refdenotaalpie"/>
          <w:rFonts w:ascii="Arial" w:hAnsi="Arial" w:cs="Arial"/>
          <w:sz w:val="22"/>
          <w:lang w:val="es-ES"/>
        </w:rPr>
        <w:footnoteReference w:id="16"/>
      </w:r>
      <w:r w:rsidRPr="009D198D">
        <w:rPr>
          <w:rStyle w:val="nfasis"/>
          <w:rFonts w:ascii="Arial" w:hAnsi="Arial" w:cs="Arial"/>
          <w:i w:val="0"/>
          <w:iCs w:val="0"/>
          <w:sz w:val="22"/>
          <w:lang w:val="es-ES"/>
        </w:rPr>
        <w:t>. Lo anterior en la medida en que, al ampliarse la actividad contractual sobre la que recae el deber de publicación, se divulga un mayor volumen de información, que de por sí es pública, mediante un mecanismo como el SECOP. Esta plataforma facilita el acceso a la misma desde cualquier dispositivo con acceso a internet. De este modo, garantiza mayor transparencia, al obligarse a las entidades estatales a publicar sus actuaciones de manera proactiva y rutinaria. Ello permite que la ciudadanía conozca con detalle y actualidad el desarrollo de la gestión contractual de la Administración, fomentándose en la contratación pública estándares altos de transparencia.</w:t>
      </w:r>
      <w:bookmarkEnd w:id="11"/>
      <w:r w:rsidR="00B7377E" w:rsidRPr="009D198D">
        <w:rPr>
          <w:rStyle w:val="nfasis"/>
          <w:rFonts w:ascii="Arial" w:hAnsi="Arial" w:cs="Arial"/>
          <w:sz w:val="22"/>
          <w:lang w:val="es-ES"/>
        </w:rPr>
        <w:t xml:space="preserve"> </w:t>
      </w:r>
    </w:p>
    <w:p w14:paraId="1428AC46" w14:textId="1DA8759D" w:rsidR="004A419B" w:rsidRPr="009D198D" w:rsidRDefault="004A419B" w:rsidP="004A419B">
      <w:pPr>
        <w:spacing w:after="120" w:line="276" w:lineRule="auto"/>
        <w:ind w:firstLine="709"/>
        <w:jc w:val="both"/>
        <w:rPr>
          <w:rFonts w:ascii="Arial" w:eastAsia="Arial" w:hAnsi="Arial" w:cs="Arial"/>
          <w:sz w:val="22"/>
          <w:lang w:val="es-ES"/>
        </w:rPr>
      </w:pPr>
      <w:bookmarkStart w:id="12" w:name="_Hlk93308829"/>
      <w:bookmarkEnd w:id="10"/>
      <w:r w:rsidRPr="009D198D">
        <w:rPr>
          <w:rFonts w:ascii="Arial" w:eastAsia="Calibri" w:hAnsi="Arial" w:cs="Arial"/>
          <w:sz w:val="22"/>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9D198D">
        <w:rPr>
          <w:rFonts w:ascii="Arial" w:eastAsia="Calibri" w:hAnsi="Arial" w:cs="Arial"/>
          <w:i/>
          <w:iCs/>
          <w:sz w:val="22"/>
          <w:lang w:val="es-ES"/>
        </w:rPr>
        <w:t>proceso de contratación</w:t>
      </w:r>
      <w:r w:rsidRPr="009D198D">
        <w:rPr>
          <w:rFonts w:ascii="Arial" w:eastAsia="Calibri" w:hAnsi="Arial" w:cs="Arial"/>
          <w:sz w:val="22"/>
          <w:lang w:val="es-ES"/>
        </w:rPr>
        <w:t xml:space="preserve">: i) el estudio de oportunidad y conveniencia; </w:t>
      </w:r>
      <w:proofErr w:type="spellStart"/>
      <w:r w:rsidRPr="009D198D">
        <w:rPr>
          <w:rFonts w:ascii="Arial" w:eastAsia="Calibri" w:hAnsi="Arial" w:cs="Arial"/>
          <w:sz w:val="22"/>
          <w:lang w:val="es-ES"/>
        </w:rPr>
        <w:t>ii</w:t>
      </w:r>
      <w:proofErr w:type="spellEnd"/>
      <w:r w:rsidRPr="009D198D">
        <w:rPr>
          <w:rFonts w:ascii="Arial" w:eastAsia="Calibri" w:hAnsi="Arial" w:cs="Arial"/>
          <w:sz w:val="22"/>
          <w:lang w:val="es-ES"/>
        </w:rPr>
        <w:t>)</w:t>
      </w:r>
      <w:r w:rsidRPr="009D198D">
        <w:rPr>
          <w:rFonts w:ascii="Arial" w:eastAsia="Calibri" w:hAnsi="Arial" w:cs="Arial"/>
          <w:b/>
          <w:bCs/>
          <w:sz w:val="22"/>
          <w:lang w:val="es-ES"/>
        </w:rPr>
        <w:t xml:space="preserve"> </w:t>
      </w:r>
      <w:r w:rsidRPr="009D198D">
        <w:rPr>
          <w:rFonts w:ascii="Arial" w:eastAsia="Calibri" w:hAnsi="Arial" w:cs="Arial"/>
          <w:sz w:val="22"/>
          <w:lang w:val="es-ES"/>
        </w:rPr>
        <w:t xml:space="preserve">los estudios y documentos previos –técnicos o no–; </w:t>
      </w:r>
      <w:proofErr w:type="spellStart"/>
      <w:r w:rsidRPr="009D198D">
        <w:rPr>
          <w:rFonts w:ascii="Arial" w:eastAsia="Calibri" w:hAnsi="Arial" w:cs="Arial"/>
          <w:sz w:val="22"/>
          <w:lang w:val="es-ES"/>
        </w:rPr>
        <w:t>iii</w:t>
      </w:r>
      <w:proofErr w:type="spellEnd"/>
      <w:r w:rsidRPr="009D198D">
        <w:rPr>
          <w:rFonts w:ascii="Arial" w:eastAsia="Calibri" w:hAnsi="Arial" w:cs="Arial"/>
          <w:sz w:val="22"/>
          <w:lang w:val="es-ES"/>
        </w:rPr>
        <w:t>) el</w:t>
      </w:r>
      <w:r w:rsidR="00B7377E" w:rsidRPr="009D198D">
        <w:rPr>
          <w:rFonts w:ascii="Arial" w:eastAsia="Calibri" w:hAnsi="Arial" w:cs="Arial"/>
          <w:sz w:val="22"/>
          <w:lang w:val="es-ES"/>
        </w:rPr>
        <w:t xml:space="preserve"> </w:t>
      </w:r>
      <w:r w:rsidRPr="009D198D">
        <w:rPr>
          <w:rFonts w:ascii="Arial" w:eastAsia="Calibri" w:hAnsi="Arial" w:cs="Arial"/>
          <w:sz w:val="22"/>
          <w:lang w:val="es-ES"/>
        </w:rPr>
        <w:t xml:space="preserve">aviso de convocatoria; </w:t>
      </w:r>
      <w:proofErr w:type="spellStart"/>
      <w:r w:rsidRPr="009D198D">
        <w:rPr>
          <w:rFonts w:ascii="Arial" w:eastAsia="Calibri" w:hAnsi="Arial" w:cs="Arial"/>
          <w:sz w:val="22"/>
          <w:lang w:val="es-ES"/>
        </w:rPr>
        <w:t>iv</w:t>
      </w:r>
      <w:proofErr w:type="spellEnd"/>
      <w:r w:rsidRPr="009D198D">
        <w:rPr>
          <w:rFonts w:ascii="Arial" w:eastAsia="Calibri" w:hAnsi="Arial" w:cs="Arial"/>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9D198D">
        <w:rPr>
          <w:rFonts w:ascii="Arial" w:eastAsia="Calibri" w:hAnsi="Arial" w:cs="Arial"/>
          <w:sz w:val="22"/>
          <w:lang w:val="es-ES"/>
        </w:rPr>
        <w:t>vii</w:t>
      </w:r>
      <w:proofErr w:type="spellEnd"/>
      <w:r w:rsidRPr="009D198D">
        <w:rPr>
          <w:rFonts w:ascii="Arial" w:eastAsia="Calibri" w:hAnsi="Arial" w:cs="Arial"/>
          <w:sz w:val="22"/>
          <w:lang w:val="es-ES"/>
        </w:rPr>
        <w:t xml:space="preserve">) el acta de cierre del plazo para presentar ofertas; </w:t>
      </w:r>
      <w:proofErr w:type="spellStart"/>
      <w:r w:rsidRPr="009D198D">
        <w:rPr>
          <w:rFonts w:ascii="Arial" w:eastAsia="Calibri" w:hAnsi="Arial" w:cs="Arial"/>
          <w:sz w:val="22"/>
          <w:lang w:val="es-ES"/>
        </w:rPr>
        <w:t>viii</w:t>
      </w:r>
      <w:proofErr w:type="spellEnd"/>
      <w:r w:rsidRPr="009D198D">
        <w:rPr>
          <w:rFonts w:ascii="Arial" w:eastAsia="Calibri" w:hAnsi="Arial" w:cs="Arial"/>
          <w:sz w:val="22"/>
          <w:lang w:val="es-ES"/>
        </w:rPr>
        <w:t xml:space="preserve">) las adendas; </w:t>
      </w:r>
      <w:proofErr w:type="spellStart"/>
      <w:r w:rsidRPr="009D198D">
        <w:rPr>
          <w:rFonts w:ascii="Arial" w:eastAsia="Calibri" w:hAnsi="Arial" w:cs="Arial"/>
          <w:sz w:val="22"/>
          <w:lang w:val="es-ES"/>
        </w:rPr>
        <w:t>ix</w:t>
      </w:r>
      <w:proofErr w:type="spellEnd"/>
      <w:r w:rsidRPr="009D198D">
        <w:rPr>
          <w:rFonts w:ascii="Arial" w:eastAsia="Calibri" w:hAnsi="Arial" w:cs="Arial"/>
          <w:sz w:val="22"/>
          <w:lang w:val="es-ES"/>
        </w:rPr>
        <w:t xml:space="preserve">) en procesos cuya publicación deba realizarse en SECOP I, la oferta del </w:t>
      </w:r>
      <w:r w:rsidRPr="009D198D">
        <w:rPr>
          <w:rFonts w:ascii="Arial" w:eastAsia="Calibri" w:hAnsi="Arial" w:cs="Arial"/>
          <w:sz w:val="22"/>
          <w:lang w:val="es-ES"/>
        </w:rPr>
        <w:lastRenderedPageBreak/>
        <w:t xml:space="preserve">adjudicatario y las aclaraciones que se le realicen; x) el informe de precalificación y las observaciones que se formulen; xi) el informe de evaluación y las observaciones que se formulen; </w:t>
      </w:r>
      <w:proofErr w:type="spellStart"/>
      <w:r w:rsidRPr="009D198D">
        <w:rPr>
          <w:rFonts w:ascii="Arial" w:eastAsia="Calibri" w:hAnsi="Arial" w:cs="Arial"/>
          <w:sz w:val="22"/>
          <w:lang w:val="es-ES"/>
        </w:rPr>
        <w:t>xii</w:t>
      </w:r>
      <w:proofErr w:type="spellEnd"/>
      <w:r w:rsidRPr="009D198D">
        <w:rPr>
          <w:rFonts w:ascii="Arial" w:eastAsia="Calibri" w:hAnsi="Arial" w:cs="Arial"/>
          <w:sz w:val="22"/>
          <w:lang w:val="es-ES"/>
        </w:rPr>
        <w:t xml:space="preserve">) las respuestas a las observaciones; </w:t>
      </w:r>
      <w:proofErr w:type="spellStart"/>
      <w:r w:rsidRPr="009D198D">
        <w:rPr>
          <w:rFonts w:ascii="Arial" w:eastAsia="Calibri" w:hAnsi="Arial" w:cs="Arial"/>
          <w:sz w:val="22"/>
          <w:lang w:val="es-ES"/>
        </w:rPr>
        <w:t>xiii</w:t>
      </w:r>
      <w:proofErr w:type="spellEnd"/>
      <w:r w:rsidRPr="009D198D">
        <w:rPr>
          <w:rFonts w:ascii="Arial" w:eastAsia="Calibri" w:hAnsi="Arial" w:cs="Arial"/>
          <w:sz w:val="22"/>
          <w:lang w:val="es-ES"/>
        </w:rPr>
        <w:t xml:space="preserve">) el contrato y los otrosíes o modificaciones; </w:t>
      </w:r>
      <w:proofErr w:type="spellStart"/>
      <w:r w:rsidRPr="009D198D">
        <w:rPr>
          <w:rFonts w:ascii="Arial" w:eastAsia="Calibri" w:hAnsi="Arial" w:cs="Arial"/>
          <w:sz w:val="22"/>
          <w:lang w:val="es-ES"/>
        </w:rPr>
        <w:t>xiv</w:t>
      </w:r>
      <w:proofErr w:type="spellEnd"/>
      <w:r w:rsidRPr="009D198D">
        <w:rPr>
          <w:rFonts w:ascii="Arial" w:eastAsia="Calibri" w:hAnsi="Arial" w:cs="Arial"/>
          <w:sz w:val="22"/>
          <w:lang w:val="es-ES"/>
        </w:rPr>
        <w:t xml:space="preserve">) el acta de inicio; </w:t>
      </w:r>
      <w:proofErr w:type="spellStart"/>
      <w:r w:rsidRPr="009D198D">
        <w:rPr>
          <w:rFonts w:ascii="Arial" w:eastAsia="Calibri" w:hAnsi="Arial" w:cs="Arial"/>
          <w:sz w:val="22"/>
          <w:lang w:val="es-ES"/>
        </w:rPr>
        <w:t>xv</w:t>
      </w:r>
      <w:proofErr w:type="spellEnd"/>
      <w:r w:rsidRPr="009D198D">
        <w:rPr>
          <w:rFonts w:ascii="Arial" w:eastAsia="Calibri" w:hAnsi="Arial" w:cs="Arial"/>
          <w:sz w:val="22"/>
          <w:lang w:val="es-ES"/>
        </w:rPr>
        <w:t xml:space="preserve">) las garantías; </w:t>
      </w:r>
      <w:proofErr w:type="spellStart"/>
      <w:r w:rsidRPr="009D198D">
        <w:rPr>
          <w:rFonts w:ascii="Arial" w:eastAsia="Calibri" w:hAnsi="Arial" w:cs="Arial"/>
          <w:sz w:val="22"/>
          <w:lang w:val="es-ES"/>
        </w:rPr>
        <w:t>xvi</w:t>
      </w:r>
      <w:proofErr w:type="spellEnd"/>
      <w:r w:rsidRPr="009D198D">
        <w:rPr>
          <w:rFonts w:ascii="Arial" w:eastAsia="Calibri" w:hAnsi="Arial" w:cs="Arial"/>
          <w:sz w:val="22"/>
          <w:lang w:val="es-ES"/>
        </w:rPr>
        <w:t xml:space="preserve">) el acta de liquidación; </w:t>
      </w:r>
      <w:proofErr w:type="spellStart"/>
      <w:r w:rsidRPr="009D198D">
        <w:rPr>
          <w:rFonts w:ascii="Arial" w:eastAsia="Calibri" w:hAnsi="Arial" w:cs="Arial"/>
          <w:sz w:val="22"/>
          <w:lang w:val="es-ES"/>
        </w:rPr>
        <w:t>xvii</w:t>
      </w:r>
      <w:proofErr w:type="spellEnd"/>
      <w:r w:rsidRPr="009D198D">
        <w:rPr>
          <w:rFonts w:ascii="Arial" w:eastAsia="Calibri" w:hAnsi="Arial" w:cs="Arial"/>
          <w:sz w:val="22"/>
          <w:lang w:val="es-ES"/>
        </w:rPr>
        <w:t>) los actos administrativos expedidos con ocasión del procedimiento de selección o la ejecución del contrato, como las resoluciones de apertura, de adjudicación, las que se impongan multas, la cláusula penal o declaren la caducidad del contrato</w:t>
      </w:r>
      <w:r w:rsidR="00B94766" w:rsidRPr="009D198D">
        <w:rPr>
          <w:rFonts w:ascii="Arial" w:eastAsia="Calibri" w:hAnsi="Arial" w:cs="Arial"/>
          <w:sz w:val="22"/>
          <w:lang w:val="es-ES"/>
        </w:rPr>
        <w:t xml:space="preserve"> o la liquidación unilateral</w:t>
      </w:r>
      <w:r w:rsidRPr="009D198D">
        <w:rPr>
          <w:rFonts w:ascii="Arial" w:eastAsia="Calibri" w:hAnsi="Arial" w:cs="Arial"/>
          <w:sz w:val="22"/>
          <w:lang w:val="es-ES"/>
        </w:rPr>
        <w:t xml:space="preserve">; </w:t>
      </w:r>
      <w:proofErr w:type="spellStart"/>
      <w:r w:rsidRPr="009D198D">
        <w:rPr>
          <w:rFonts w:ascii="Arial" w:eastAsia="Calibri" w:hAnsi="Arial" w:cs="Arial"/>
          <w:sz w:val="22"/>
          <w:lang w:val="es-ES"/>
        </w:rPr>
        <w:t>xviii</w:t>
      </w:r>
      <w:proofErr w:type="spellEnd"/>
      <w:r w:rsidRPr="009D198D">
        <w:rPr>
          <w:rFonts w:ascii="Arial" w:eastAsia="Calibri" w:hAnsi="Arial" w:cs="Arial"/>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9D198D">
        <w:rPr>
          <w:rFonts w:ascii="Arial" w:eastAsia="Calibri" w:hAnsi="Arial" w:cs="Arial"/>
          <w:sz w:val="22"/>
          <w:lang w:val="es-ES"/>
        </w:rPr>
        <w:t>ix</w:t>
      </w:r>
      <w:proofErr w:type="spellEnd"/>
      <w:r w:rsidRPr="009D198D">
        <w:rPr>
          <w:rFonts w:ascii="Arial" w:eastAsia="Calibri" w:hAnsi="Arial" w:cs="Arial"/>
          <w:sz w:val="22"/>
          <w:lang w:val="es-ES"/>
        </w:rPr>
        <w:t xml:space="preserve">) las reclamaciones que presenten las partes y las respuestas que se expidan a las mismas; </w:t>
      </w:r>
      <w:proofErr w:type="spellStart"/>
      <w:r w:rsidRPr="009D198D">
        <w:rPr>
          <w:rFonts w:ascii="Arial" w:eastAsia="Calibri" w:hAnsi="Arial" w:cs="Arial"/>
          <w:sz w:val="22"/>
          <w:lang w:val="es-ES"/>
        </w:rPr>
        <w:t>xx</w:t>
      </w:r>
      <w:proofErr w:type="spellEnd"/>
      <w:r w:rsidRPr="009D198D">
        <w:rPr>
          <w:rFonts w:ascii="Arial" w:eastAsia="Calibri" w:hAnsi="Arial" w:cs="Arial"/>
          <w:sz w:val="22"/>
          <w:lang w:val="es-ES"/>
        </w:rPr>
        <w:t xml:space="preserve">) las actas de entrega o recibo, </w:t>
      </w:r>
      <w:proofErr w:type="spellStart"/>
      <w:r w:rsidRPr="009D198D">
        <w:rPr>
          <w:rFonts w:ascii="Arial" w:eastAsia="Calibri" w:hAnsi="Arial" w:cs="Arial"/>
          <w:sz w:val="22"/>
          <w:lang w:val="es-ES"/>
        </w:rPr>
        <w:t>xxi</w:t>
      </w:r>
      <w:proofErr w:type="spellEnd"/>
      <w:r w:rsidRPr="009D198D">
        <w:rPr>
          <w:rFonts w:ascii="Arial" w:eastAsia="Calibri" w:hAnsi="Arial" w:cs="Arial"/>
          <w:sz w:val="22"/>
          <w:lang w:val="es-ES"/>
        </w:rPr>
        <w:t xml:space="preserve">) los informes de supervisión y/o interventoría; </w:t>
      </w:r>
      <w:proofErr w:type="spellStart"/>
      <w:r w:rsidRPr="009D198D">
        <w:rPr>
          <w:rFonts w:ascii="Arial" w:eastAsia="Calibri" w:hAnsi="Arial" w:cs="Arial"/>
          <w:sz w:val="22"/>
          <w:lang w:val="es-ES"/>
        </w:rPr>
        <w:t>xxii</w:t>
      </w:r>
      <w:proofErr w:type="spellEnd"/>
      <w:r w:rsidRPr="009D198D">
        <w:rPr>
          <w:rFonts w:ascii="Arial" w:eastAsia="Calibri" w:hAnsi="Arial" w:cs="Arial"/>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y </w:t>
      </w:r>
      <w:proofErr w:type="spellStart"/>
      <w:r w:rsidRPr="009D198D">
        <w:rPr>
          <w:rFonts w:ascii="Arial" w:eastAsia="Calibri" w:hAnsi="Arial" w:cs="Arial"/>
          <w:sz w:val="22"/>
          <w:lang w:val="es-ES"/>
        </w:rPr>
        <w:t>xxi</w:t>
      </w:r>
      <w:r w:rsidR="00B94766" w:rsidRPr="009D198D">
        <w:rPr>
          <w:rFonts w:ascii="Arial" w:eastAsia="Calibri" w:hAnsi="Arial" w:cs="Arial"/>
          <w:sz w:val="22"/>
          <w:lang w:val="es-ES"/>
        </w:rPr>
        <w:t>ii</w:t>
      </w:r>
      <w:proofErr w:type="spellEnd"/>
      <w:r w:rsidRPr="009D198D">
        <w:rPr>
          <w:rFonts w:ascii="Arial" w:eastAsia="Calibri" w:hAnsi="Arial" w:cs="Arial"/>
          <w:sz w:val="22"/>
          <w:lang w:val="es-ES"/>
        </w:rPr>
        <w:t>) en general</w:t>
      </w:r>
      <w:r w:rsidR="00B94766" w:rsidRPr="009D198D">
        <w:rPr>
          <w:rFonts w:ascii="Arial" w:eastAsia="Calibri" w:hAnsi="Arial" w:cs="Arial"/>
          <w:sz w:val="22"/>
          <w:lang w:val="es-ES"/>
        </w:rPr>
        <w:t>,</w:t>
      </w:r>
      <w:r w:rsidRPr="009D198D">
        <w:rPr>
          <w:rFonts w:ascii="Arial" w:eastAsia="Calibri" w:hAnsi="Arial" w:cs="Arial"/>
          <w:sz w:val="22"/>
          <w:lang w:val="es-ES"/>
        </w:rPr>
        <w:t xml:space="preserve"> cualquier otro documento producido o expedido con ocasión del </w:t>
      </w:r>
      <w:r w:rsidRPr="009D198D">
        <w:rPr>
          <w:rFonts w:ascii="Arial" w:eastAsia="Calibri" w:hAnsi="Arial" w:cs="Arial"/>
          <w:i/>
          <w:iCs/>
          <w:sz w:val="22"/>
          <w:lang w:val="es-ES"/>
        </w:rPr>
        <w:t>Proceso de Contratación</w:t>
      </w:r>
      <w:r w:rsidRPr="009D198D">
        <w:rPr>
          <w:rFonts w:ascii="Arial" w:eastAsia="Calibri" w:hAnsi="Arial" w:cs="Arial"/>
          <w:sz w:val="22"/>
          <w:lang w:val="es-ES"/>
        </w:rPr>
        <w:t xml:space="preserve">, </w:t>
      </w:r>
      <w:r w:rsidR="00E25421" w:rsidRPr="009D198D">
        <w:rPr>
          <w:rFonts w:ascii="Arial" w:eastAsia="Calibri" w:hAnsi="Arial" w:cs="Arial"/>
          <w:sz w:val="22"/>
          <w:lang w:val="es-ES"/>
        </w:rPr>
        <w:t>aunque se trate de actos bilaterales, como el contrato o una modificación del mismo</w:t>
      </w:r>
      <w:r w:rsidRPr="009D198D">
        <w:rPr>
          <w:rFonts w:ascii="Arial" w:eastAsia="Calibri" w:hAnsi="Arial" w:cs="Arial"/>
          <w:sz w:val="22"/>
          <w:lang w:val="es-ES"/>
        </w:rPr>
        <w:t>, con excepción de los que pertenecen a</w:t>
      </w:r>
      <w:r w:rsidRPr="009D198D">
        <w:rPr>
          <w:rFonts w:ascii="Arial" w:eastAsia="Arial" w:hAnsi="Arial" w:cs="Arial"/>
          <w:sz w:val="22"/>
          <w:lang w:val="es-ES"/>
        </w:rPr>
        <w:t xml:space="preserve">l marco de operaciones de bolsa de productos, expresamente excluidos de publicación por el artículo 2.2.1.1.1.7.1. </w:t>
      </w:r>
      <w:r w:rsidR="00B94766" w:rsidRPr="009D198D">
        <w:rPr>
          <w:rFonts w:ascii="Arial" w:eastAsia="Arial" w:hAnsi="Arial" w:cs="Arial"/>
          <w:sz w:val="22"/>
          <w:lang w:val="es-ES"/>
        </w:rPr>
        <w:t xml:space="preserve">y 2.2.1.2.1.2.14. </w:t>
      </w:r>
      <w:r w:rsidRPr="009D198D">
        <w:rPr>
          <w:rFonts w:ascii="Arial" w:eastAsia="Arial" w:hAnsi="Arial" w:cs="Arial"/>
          <w:sz w:val="22"/>
          <w:lang w:val="es-ES"/>
        </w:rPr>
        <w:t xml:space="preserve">del Decreto 1082 de 2015. </w:t>
      </w:r>
    </w:p>
    <w:p w14:paraId="63013620" w14:textId="07BDA1E3" w:rsidR="003058D1" w:rsidRPr="009D198D" w:rsidRDefault="0032201F" w:rsidP="003058D1">
      <w:pPr>
        <w:spacing w:before="120" w:line="276" w:lineRule="auto"/>
        <w:ind w:firstLine="709"/>
        <w:jc w:val="both"/>
        <w:rPr>
          <w:rFonts w:ascii="Arial" w:eastAsia="Calibri" w:hAnsi="Arial" w:cs="Arial"/>
          <w:sz w:val="22"/>
          <w:szCs w:val="22"/>
          <w:lang w:val="es-ES"/>
        </w:rPr>
      </w:pPr>
      <w:r w:rsidRPr="009D198D">
        <w:rPr>
          <w:rFonts w:ascii="Arial" w:eastAsia="Calibri" w:hAnsi="Arial" w:cs="Arial"/>
          <w:sz w:val="22"/>
          <w:lang w:val="es-ES"/>
        </w:rPr>
        <w:t xml:space="preserve">En este </w:t>
      </w:r>
      <w:r w:rsidR="009314FE" w:rsidRPr="009D198D">
        <w:rPr>
          <w:rFonts w:ascii="Arial" w:eastAsia="Calibri" w:hAnsi="Arial" w:cs="Arial"/>
          <w:sz w:val="22"/>
          <w:lang w:val="es-ES"/>
        </w:rPr>
        <w:t>sentido,</w:t>
      </w:r>
      <w:r w:rsidR="00EE27FF" w:rsidRPr="009D198D">
        <w:rPr>
          <w:rFonts w:ascii="Arial" w:eastAsia="Calibri" w:hAnsi="Arial" w:cs="Arial"/>
          <w:sz w:val="22"/>
          <w:lang w:val="es-ES"/>
        </w:rPr>
        <w:t xml:space="preserve"> todos los actos administrativos o documentos que se produzcan con ocasión del proceso contractual deben publicarse dentro de los tres (3) días siguientes a su expedición, con independencia </w:t>
      </w:r>
      <w:r w:rsidR="004551FF" w:rsidRPr="009D198D">
        <w:rPr>
          <w:rFonts w:ascii="Arial" w:eastAsia="Calibri" w:hAnsi="Arial" w:cs="Arial"/>
          <w:sz w:val="22"/>
          <w:lang w:val="es-ES"/>
        </w:rPr>
        <w:t xml:space="preserve">que </w:t>
      </w:r>
      <w:r w:rsidR="00EE27FF" w:rsidRPr="009D198D">
        <w:rPr>
          <w:rFonts w:ascii="Arial" w:eastAsia="Calibri" w:hAnsi="Arial" w:cs="Arial"/>
          <w:sz w:val="22"/>
          <w:lang w:val="es-ES"/>
        </w:rPr>
        <w:t>sean expedidos unilateralmente por la entidad contratante</w:t>
      </w:r>
      <w:r w:rsidR="004551FF" w:rsidRPr="009D198D">
        <w:rPr>
          <w:rFonts w:ascii="Arial" w:eastAsia="Calibri" w:hAnsi="Arial" w:cs="Arial"/>
          <w:sz w:val="22"/>
          <w:lang w:val="es-ES"/>
        </w:rPr>
        <w:t xml:space="preserve"> o que sean documentos suscritos por las partes</w:t>
      </w:r>
      <w:r w:rsidR="00EE27FF" w:rsidRPr="009D198D">
        <w:rPr>
          <w:rFonts w:ascii="Arial" w:eastAsia="Calibri" w:hAnsi="Arial" w:cs="Arial"/>
          <w:sz w:val="22"/>
          <w:lang w:val="es-ES"/>
        </w:rPr>
        <w:t xml:space="preserve">. En este contexto, debe tenerse en cuenta que el acto administrativo </w:t>
      </w:r>
      <w:r w:rsidR="00B94766" w:rsidRPr="009D198D">
        <w:rPr>
          <w:rFonts w:ascii="Arial" w:eastAsia="Calibri" w:hAnsi="Arial" w:cs="Arial"/>
          <w:sz w:val="22"/>
          <w:lang w:val="es-ES"/>
        </w:rPr>
        <w:t xml:space="preserve">ha sido definido como </w:t>
      </w:r>
      <w:r w:rsidR="00EE27FF" w:rsidRPr="009D198D">
        <w:rPr>
          <w:rFonts w:ascii="Arial" w:eastAsia="Calibri" w:hAnsi="Arial" w:cs="Arial"/>
          <w:sz w:val="22"/>
          <w:lang w:val="es-ES"/>
        </w:rPr>
        <w:t>«una manifestación de voluntad, mejor se diría de la intención, ya que ésta supone aquella, en virtud de la cual se dispone, se decide, se resuelve una situación o una cuestión jurídica, para como consecuencia crear, modificar o extinguir una relación de derecho»</w:t>
      </w:r>
      <w:r w:rsidR="00EE27FF" w:rsidRPr="009D198D">
        <w:rPr>
          <w:rStyle w:val="Refdenotaalpie"/>
          <w:rFonts w:ascii="Arial" w:eastAsia="Calibri" w:hAnsi="Arial" w:cs="Arial"/>
          <w:sz w:val="22"/>
          <w:lang w:val="es-ES"/>
        </w:rPr>
        <w:footnoteReference w:id="17"/>
      </w:r>
      <w:r w:rsidR="00EE27FF" w:rsidRPr="009D198D">
        <w:rPr>
          <w:rFonts w:ascii="Arial" w:eastAsia="Calibri" w:hAnsi="Arial" w:cs="Arial"/>
          <w:sz w:val="22"/>
          <w:lang w:val="es-ES"/>
        </w:rPr>
        <w:t>. Por lo tanto, el acto administrativo es una manifestación unilateral de la administración tendiente a producir efectos jurídicos</w:t>
      </w:r>
      <w:r w:rsidR="00EE27FF" w:rsidRPr="009D198D">
        <w:rPr>
          <w:rFonts w:ascii="Arial" w:eastAsia="Arial" w:hAnsi="Arial" w:cs="Arial"/>
          <w:sz w:val="22"/>
          <w:lang w:val="es-ES"/>
        </w:rPr>
        <w:t>.</w:t>
      </w:r>
      <w:r w:rsidR="00EE27FF" w:rsidRPr="009D198D">
        <w:rPr>
          <w:rFonts w:ascii="Arial" w:eastAsia="Calibri" w:hAnsi="Arial" w:cs="Arial"/>
          <w:sz w:val="22"/>
          <w:lang w:val="es-ES"/>
        </w:rPr>
        <w:t xml:space="preserve"> </w:t>
      </w:r>
    </w:p>
    <w:p w14:paraId="084E5DEA" w14:textId="316EDDF9" w:rsidR="003058D1" w:rsidRPr="009D198D" w:rsidRDefault="003058D1" w:rsidP="003058D1">
      <w:pPr>
        <w:spacing w:before="120" w:line="276" w:lineRule="auto"/>
        <w:ind w:firstLine="709"/>
        <w:jc w:val="both"/>
        <w:rPr>
          <w:rFonts w:ascii="Arial" w:eastAsia="Calibri" w:hAnsi="Arial" w:cs="Arial"/>
          <w:sz w:val="22"/>
          <w:szCs w:val="22"/>
          <w:lang w:val="es-ES"/>
        </w:rPr>
      </w:pPr>
      <w:r w:rsidRPr="009D198D">
        <w:rPr>
          <w:rFonts w:ascii="Arial" w:eastAsia="Arial" w:hAnsi="Arial" w:cs="Arial"/>
          <w:sz w:val="22"/>
          <w:lang w:val="es-ES"/>
        </w:rPr>
        <w:t>De este modo, los actos administrativos contractuales son aquellos que expide la administración en desarrollo de la actividad contractual</w:t>
      </w:r>
      <w:r w:rsidR="00F421F4" w:rsidRPr="009D198D">
        <w:rPr>
          <w:rFonts w:ascii="Arial" w:eastAsia="Arial" w:hAnsi="Arial" w:cs="Arial"/>
          <w:sz w:val="22"/>
          <w:lang w:val="es-ES"/>
        </w:rPr>
        <w:t>;</w:t>
      </w:r>
      <w:r w:rsidRPr="009D198D">
        <w:rPr>
          <w:rFonts w:ascii="Arial" w:eastAsia="Arial" w:hAnsi="Arial" w:cs="Arial"/>
          <w:sz w:val="22"/>
          <w:lang w:val="es-ES"/>
        </w:rPr>
        <w:t xml:space="preserve"> y los documentos que se originan durante la ejecución del contrato suscritos por el contratante y contratista no son actos administrativos, </w:t>
      </w:r>
      <w:r w:rsidR="00F421F4" w:rsidRPr="009D198D">
        <w:rPr>
          <w:rFonts w:ascii="Arial" w:eastAsia="Arial" w:hAnsi="Arial" w:cs="Arial"/>
          <w:sz w:val="22"/>
          <w:lang w:val="es-ES"/>
        </w:rPr>
        <w:t xml:space="preserve">pues no son manifestaciones </w:t>
      </w:r>
      <w:r w:rsidR="00F421F4" w:rsidRPr="009D198D">
        <w:rPr>
          <w:rFonts w:ascii="Arial" w:eastAsia="Arial" w:hAnsi="Arial" w:cs="Arial"/>
          <w:i/>
          <w:iCs/>
          <w:sz w:val="22"/>
          <w:lang w:val="es-ES"/>
        </w:rPr>
        <w:t>unilaterales</w:t>
      </w:r>
      <w:r w:rsidR="00F421F4" w:rsidRPr="009D198D">
        <w:rPr>
          <w:rFonts w:ascii="Arial" w:eastAsia="Arial" w:hAnsi="Arial" w:cs="Arial"/>
          <w:sz w:val="22"/>
          <w:lang w:val="es-ES"/>
        </w:rPr>
        <w:t xml:space="preserve"> de voluntad, dado su carácter bilateral</w:t>
      </w:r>
      <w:r w:rsidR="00A57153" w:rsidRPr="009D198D">
        <w:rPr>
          <w:rFonts w:ascii="Arial" w:eastAsia="Arial" w:hAnsi="Arial" w:cs="Arial"/>
          <w:sz w:val="22"/>
          <w:lang w:val="es-ES"/>
        </w:rPr>
        <w:t>,</w:t>
      </w:r>
      <w:r w:rsidR="00F421F4" w:rsidRPr="009D198D">
        <w:rPr>
          <w:rFonts w:ascii="Arial" w:eastAsia="Arial" w:hAnsi="Arial" w:cs="Arial"/>
          <w:sz w:val="22"/>
          <w:lang w:val="es-ES"/>
        </w:rPr>
        <w:t xml:space="preserve"> al ser producidos por las partes, de manera que </w:t>
      </w:r>
      <w:r w:rsidRPr="009D198D">
        <w:rPr>
          <w:rFonts w:ascii="Arial" w:eastAsia="Arial" w:hAnsi="Arial" w:cs="Arial"/>
          <w:sz w:val="22"/>
          <w:lang w:val="es-ES"/>
        </w:rPr>
        <w:t>hacen parte de los documentos del contrato. Sin embargo, para efectos de la publicidad de los documentos en el SECOP esta distinción es indiferente</w:t>
      </w:r>
      <w:r w:rsidR="00A57153" w:rsidRPr="009D198D">
        <w:rPr>
          <w:rFonts w:ascii="Arial" w:eastAsia="Arial" w:hAnsi="Arial" w:cs="Arial"/>
          <w:sz w:val="22"/>
          <w:lang w:val="es-ES"/>
        </w:rPr>
        <w:t>,</w:t>
      </w:r>
      <w:r w:rsidRPr="009D198D">
        <w:rPr>
          <w:rFonts w:ascii="Arial" w:eastAsia="Arial" w:hAnsi="Arial" w:cs="Arial"/>
          <w:sz w:val="22"/>
          <w:lang w:val="es-ES"/>
        </w:rPr>
        <w:t xml:space="preserve"> en la medida que, como se indicó, deben publicarse en el SECOP todos los documentos expedidos por la entidad durante las etapas precontractual, </w:t>
      </w:r>
      <w:r w:rsidRPr="009D198D">
        <w:rPr>
          <w:rFonts w:ascii="Arial" w:eastAsia="Arial" w:hAnsi="Arial" w:cs="Arial"/>
          <w:sz w:val="22"/>
          <w:lang w:val="es-ES"/>
        </w:rPr>
        <w:lastRenderedPageBreak/>
        <w:t xml:space="preserve">de ejecución y </w:t>
      </w:r>
      <w:proofErr w:type="spellStart"/>
      <w:r w:rsidRPr="009D198D">
        <w:rPr>
          <w:rFonts w:ascii="Arial" w:eastAsia="Arial" w:hAnsi="Arial" w:cs="Arial"/>
          <w:sz w:val="22"/>
          <w:lang w:val="es-ES"/>
        </w:rPr>
        <w:t>postcontractual</w:t>
      </w:r>
      <w:proofErr w:type="spellEnd"/>
      <w:r w:rsidRPr="009D198D">
        <w:rPr>
          <w:rFonts w:ascii="Arial" w:eastAsia="Arial" w:hAnsi="Arial" w:cs="Arial"/>
          <w:sz w:val="22"/>
          <w:lang w:val="es-ES"/>
        </w:rPr>
        <w:t xml:space="preserve">, así como cualquier documento producido o expedido con ocasión del Proceso de Contratación, aunque se trate de actos bilaterales, como el contrato o </w:t>
      </w:r>
      <w:r w:rsidR="00A57153" w:rsidRPr="009D198D">
        <w:rPr>
          <w:rFonts w:ascii="Arial" w:eastAsia="Arial" w:hAnsi="Arial" w:cs="Arial"/>
          <w:sz w:val="22"/>
          <w:lang w:val="es-ES"/>
        </w:rPr>
        <w:t>sus modificaciones</w:t>
      </w:r>
      <w:r w:rsidRPr="009D198D">
        <w:rPr>
          <w:rFonts w:ascii="Arial" w:eastAsia="Arial" w:hAnsi="Arial" w:cs="Arial"/>
          <w:sz w:val="22"/>
          <w:lang w:val="es-ES"/>
        </w:rPr>
        <w:t>. Por ello, tanto el acta de inicio</w:t>
      </w:r>
      <w:r w:rsidR="00F421F4" w:rsidRPr="009D198D">
        <w:rPr>
          <w:rFonts w:ascii="Arial" w:eastAsia="Arial" w:hAnsi="Arial" w:cs="Arial"/>
          <w:sz w:val="22"/>
          <w:lang w:val="es-ES"/>
        </w:rPr>
        <w:t xml:space="preserve">, en caso de que las partes acuerden la suscripción de este documento para dar inicio formal a la ejecución del contrato, al igual que </w:t>
      </w:r>
      <w:r w:rsidRPr="009D198D">
        <w:rPr>
          <w:rFonts w:ascii="Arial" w:eastAsia="Arial" w:hAnsi="Arial" w:cs="Arial"/>
          <w:sz w:val="22"/>
          <w:lang w:val="es-ES"/>
        </w:rPr>
        <w:t xml:space="preserve">la liquidación bilateral son documentos del contrato que, aunque no tengan el carácter de acto administrativo en la medida en que no son una manifestación unilateral de la administración, </w:t>
      </w:r>
      <w:r w:rsidR="00A57153" w:rsidRPr="009D198D">
        <w:rPr>
          <w:rFonts w:ascii="Arial" w:eastAsia="Arial" w:hAnsi="Arial" w:cs="Arial"/>
          <w:sz w:val="22"/>
          <w:lang w:val="es-ES"/>
        </w:rPr>
        <w:t xml:space="preserve">sino un acuerdo de voluntades, </w:t>
      </w:r>
      <w:r w:rsidRPr="009D198D">
        <w:rPr>
          <w:rFonts w:ascii="Arial" w:eastAsia="Arial" w:hAnsi="Arial" w:cs="Arial"/>
          <w:sz w:val="22"/>
          <w:lang w:val="es-ES"/>
        </w:rPr>
        <w:t xml:space="preserve">deben ser publicados en el SECOP de acuerdo con el marco normativo expuesto. </w:t>
      </w:r>
    </w:p>
    <w:p w14:paraId="7765A855" w14:textId="7EBE339B" w:rsidR="004A419B" w:rsidRPr="009D198D" w:rsidRDefault="004A419B" w:rsidP="002B29F8">
      <w:pPr>
        <w:spacing w:before="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Sin perjuicio de lo anterior, </w:t>
      </w:r>
      <w:bookmarkStart w:id="13" w:name="_Hlk79767737"/>
      <w:r w:rsidRPr="009D198D">
        <w:rPr>
          <w:rFonts w:ascii="Arial" w:eastAsia="Calibri" w:hAnsi="Arial" w:cs="Arial"/>
          <w:sz w:val="22"/>
          <w:lang w:val="es-ES"/>
        </w:rPr>
        <w:t>no debe perderse de vista que en virtud del principio de transparencia, específicamente por cuenta de lo dispuesto en el numeral 4 del artículo 24 de la Ley 80 de 1993</w:t>
      </w:r>
      <w:r w:rsidRPr="009D198D">
        <w:rPr>
          <w:rFonts w:ascii="Arial" w:eastAsia="Calibri" w:hAnsi="Arial" w:cs="Arial"/>
          <w:sz w:val="22"/>
          <w:vertAlign w:val="superscript"/>
          <w:lang w:val="es-ES"/>
        </w:rPr>
        <w:footnoteReference w:id="18"/>
      </w:r>
      <w:r w:rsidRPr="009D198D">
        <w:rPr>
          <w:rFonts w:ascii="Arial" w:eastAsia="Calibri" w:hAnsi="Arial" w:cs="Arial"/>
          <w:sz w:val="22"/>
          <w:lang w:val="es-ES"/>
        </w:rPr>
        <w:t>, así como por el principio de máxima publicidad establecido en el artículo 2 de la Ley 1712 de 2014</w:t>
      </w:r>
      <w:r w:rsidRPr="009D198D">
        <w:rPr>
          <w:rFonts w:ascii="Arial" w:eastAsia="Calibri" w:hAnsi="Arial" w:cs="Arial"/>
          <w:sz w:val="22"/>
          <w:vertAlign w:val="superscript"/>
          <w:lang w:val="es-ES"/>
        </w:rPr>
        <w:footnoteReference w:id="19"/>
      </w:r>
      <w:r w:rsidRPr="009D198D">
        <w:rPr>
          <w:rFonts w:ascii="Arial" w:eastAsia="Calibri"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 solicitarlas cualquier persona que manifieste interés, dentro de lo que cabe la vigilancia de la contratación pública, cuestión que podría interesar a cualquier ciudadano</w:t>
      </w:r>
      <w:r w:rsidRPr="009D198D">
        <w:rPr>
          <w:rFonts w:ascii="Arial" w:eastAsia="Calibri" w:hAnsi="Arial" w:cs="Arial"/>
          <w:sz w:val="22"/>
          <w:vertAlign w:val="superscript"/>
          <w:lang w:val="es-ES"/>
        </w:rPr>
        <w:footnoteReference w:id="20"/>
      </w:r>
      <w:r w:rsidRPr="009D198D">
        <w:rPr>
          <w:rFonts w:ascii="Arial" w:eastAsia="Calibri" w:hAnsi="Arial" w:cs="Arial"/>
          <w:sz w:val="22"/>
          <w:lang w:val="es-ES"/>
        </w:rPr>
        <w:t xml:space="preserve">. Esta posibilidad solo se encuentra limitada respecto de la documentación que tenga la calidad </w:t>
      </w:r>
      <w:r w:rsidRPr="009D198D">
        <w:rPr>
          <w:rFonts w:ascii="Arial" w:eastAsia="Calibri" w:hAnsi="Arial" w:cs="Arial"/>
          <w:sz w:val="22"/>
          <w:lang w:val="es-ES"/>
        </w:rPr>
        <w:lastRenderedPageBreak/>
        <w:t>de reservada</w:t>
      </w:r>
      <w:r w:rsidRPr="009D198D">
        <w:rPr>
          <w:rFonts w:ascii="Arial" w:eastAsia="Calibri" w:hAnsi="Arial" w:cs="Arial"/>
          <w:sz w:val="22"/>
          <w:vertAlign w:val="superscript"/>
          <w:lang w:val="es-ES"/>
        </w:rPr>
        <w:footnoteReference w:id="21"/>
      </w:r>
      <w:r w:rsidRPr="009D198D">
        <w:rPr>
          <w:rFonts w:ascii="Arial" w:eastAsia="Calibri" w:hAnsi="Arial" w:cs="Arial"/>
          <w:sz w:val="22"/>
          <w:lang w:val="es-ES"/>
        </w:rPr>
        <w:t>, que deberá someterse al tratamiento establecido en el artículo 36 del CPACA, en lo relativo a la formación de cuadernos separados</w:t>
      </w:r>
      <w:r w:rsidRPr="009D198D">
        <w:rPr>
          <w:rFonts w:ascii="Arial" w:eastAsia="Calibri" w:hAnsi="Arial" w:cs="Arial"/>
          <w:sz w:val="22"/>
          <w:vertAlign w:val="superscript"/>
          <w:lang w:val="es-ES"/>
        </w:rPr>
        <w:footnoteReference w:id="22"/>
      </w:r>
      <w:r w:rsidRPr="009D198D">
        <w:rPr>
          <w:rFonts w:ascii="Arial" w:eastAsia="Calibri" w:hAnsi="Arial" w:cs="Arial"/>
          <w:sz w:val="22"/>
          <w:lang w:val="es-ES"/>
        </w:rPr>
        <w:t>.</w:t>
      </w:r>
    </w:p>
    <w:bookmarkEnd w:id="13"/>
    <w:p w14:paraId="11F7B9D8" w14:textId="77777777" w:rsidR="004A419B" w:rsidRPr="009D198D" w:rsidRDefault="004A419B" w:rsidP="004A419B">
      <w:pPr>
        <w:spacing w:line="276" w:lineRule="auto"/>
        <w:contextualSpacing/>
        <w:jc w:val="both"/>
        <w:rPr>
          <w:rFonts w:ascii="Arial" w:eastAsia="Calibri" w:hAnsi="Arial" w:cs="Arial"/>
          <w:b/>
          <w:sz w:val="22"/>
          <w:lang w:val="es-ES"/>
        </w:rPr>
      </w:pPr>
    </w:p>
    <w:bookmarkEnd w:id="12"/>
    <w:p w14:paraId="01583A8F" w14:textId="69B3BD55" w:rsidR="004A419B" w:rsidRPr="009D198D" w:rsidRDefault="004A419B" w:rsidP="004A419B">
      <w:pPr>
        <w:spacing w:line="276" w:lineRule="auto"/>
        <w:jc w:val="both"/>
        <w:rPr>
          <w:rFonts w:ascii="Arial" w:eastAsia="Calibri" w:hAnsi="Arial" w:cs="Arial"/>
          <w:b/>
          <w:sz w:val="22"/>
          <w:lang w:val="es-ES"/>
        </w:rPr>
      </w:pPr>
      <w:r w:rsidRPr="009D198D">
        <w:rPr>
          <w:rFonts w:ascii="Arial" w:eastAsia="Calibri" w:hAnsi="Arial" w:cs="Arial"/>
          <w:b/>
          <w:sz w:val="22"/>
          <w:lang w:val="es-ES"/>
        </w:rPr>
        <w:t>2.</w:t>
      </w:r>
      <w:r w:rsidR="00881881" w:rsidRPr="009D198D">
        <w:rPr>
          <w:rFonts w:ascii="Arial" w:eastAsia="Calibri" w:hAnsi="Arial" w:cs="Arial"/>
          <w:b/>
          <w:sz w:val="22"/>
          <w:lang w:val="es-ES"/>
        </w:rPr>
        <w:t>1.</w:t>
      </w:r>
      <w:r w:rsidR="00A510B3" w:rsidRPr="009D198D">
        <w:rPr>
          <w:rFonts w:ascii="Arial" w:eastAsia="Calibri" w:hAnsi="Arial" w:cs="Arial"/>
          <w:b/>
          <w:sz w:val="22"/>
          <w:lang w:val="es-ES"/>
        </w:rPr>
        <w:t>2</w:t>
      </w:r>
      <w:r w:rsidRPr="009D198D">
        <w:rPr>
          <w:rFonts w:ascii="Arial" w:eastAsia="Calibri" w:hAnsi="Arial" w:cs="Arial"/>
          <w:b/>
          <w:sz w:val="22"/>
          <w:lang w:val="es-ES"/>
        </w:rPr>
        <w:t>. SECOP II como herramienta para la gestión contractual, su despliegue y utilización como plataforma electrónica transaccional</w:t>
      </w:r>
    </w:p>
    <w:p w14:paraId="30CB360C" w14:textId="77777777" w:rsidR="004A419B" w:rsidRPr="009D198D" w:rsidRDefault="004A419B" w:rsidP="004A419B">
      <w:pPr>
        <w:spacing w:line="276" w:lineRule="auto"/>
        <w:jc w:val="both"/>
        <w:rPr>
          <w:rFonts w:ascii="Arial" w:eastAsia="Calibri" w:hAnsi="Arial" w:cs="Arial"/>
          <w:b/>
          <w:sz w:val="22"/>
          <w:lang w:val="es-ES"/>
        </w:rPr>
      </w:pPr>
    </w:p>
    <w:p w14:paraId="7EE549BE" w14:textId="43CE51F6" w:rsidR="004A419B" w:rsidRPr="009D198D" w:rsidRDefault="004A419B" w:rsidP="004A419B">
      <w:pPr>
        <w:spacing w:after="120" w:line="276" w:lineRule="auto"/>
        <w:jc w:val="both"/>
        <w:rPr>
          <w:rFonts w:ascii="Arial" w:eastAsia="Calibri" w:hAnsi="Arial" w:cs="Arial"/>
          <w:sz w:val="22"/>
          <w:lang w:val="es-ES"/>
        </w:rPr>
      </w:pPr>
      <w:r w:rsidRPr="009D198D">
        <w:rPr>
          <w:rFonts w:ascii="Arial" w:eastAsia="Calibri" w:hAnsi="Arial" w:cs="Arial"/>
          <w:sz w:val="22"/>
          <w:lang w:val="es-ES"/>
        </w:rPr>
        <w:t>La Agencia Nacional de Contratación Pública – Colombia Compra Eficiente tiene como función administrar el SECOP</w:t>
      </w:r>
      <w:r w:rsidRPr="009D198D">
        <w:rPr>
          <w:rFonts w:ascii="Arial" w:eastAsia="Calibri" w:hAnsi="Arial" w:cs="Arial"/>
          <w:sz w:val="22"/>
          <w:vertAlign w:val="superscript"/>
          <w:lang w:val="es-ES"/>
        </w:rPr>
        <w:footnoteReference w:id="23"/>
      </w:r>
      <w:r w:rsidRPr="009D198D">
        <w:rPr>
          <w:rFonts w:ascii="Arial" w:eastAsia="Calibri" w:hAnsi="Arial" w:cs="Arial"/>
          <w:sz w:val="22"/>
          <w:lang w:val="es-ES"/>
        </w:rPr>
        <w:t xml:space="preserve">, por lo cual se desarrolló la primera versión de la plataforma </w:t>
      </w:r>
      <w:r w:rsidR="00B7377E" w:rsidRPr="009D198D">
        <w:rPr>
          <w:rFonts w:ascii="Arial" w:eastAsia="Calibri" w:hAnsi="Arial" w:cs="Arial"/>
          <w:sz w:val="22"/>
          <w:lang w:val="es-ES"/>
        </w:rPr>
        <w:t>–</w:t>
      </w:r>
      <w:r w:rsidRPr="009D198D">
        <w:rPr>
          <w:rFonts w:ascii="Arial" w:eastAsia="Calibri" w:hAnsi="Arial" w:cs="Arial"/>
          <w:sz w:val="22"/>
          <w:lang w:val="es-ES"/>
        </w:rPr>
        <w:t>SECOP I ̶</w:t>
      </w:r>
      <w:r w:rsidR="00B7377E" w:rsidRPr="009D198D">
        <w:rPr>
          <w:rFonts w:ascii="Arial" w:eastAsia="Calibri" w:hAnsi="Arial" w:cs="Arial"/>
          <w:sz w:val="22"/>
          <w:lang w:val="es-ES"/>
        </w:rPr>
        <w:t xml:space="preserve"> </w:t>
      </w:r>
      <w:r w:rsidRPr="009D198D">
        <w:rPr>
          <w:rFonts w:ascii="Arial" w:eastAsia="Calibri" w:hAnsi="Arial" w:cs="Arial"/>
          <w:sz w:val="22"/>
          <w:lang w:val="es-ES"/>
        </w:rPr>
        <w:t xml:space="preserve">, que solo funciona como medio de publicidad, es decir, no es transaccional, lo que significa que el procedimiento contractual ocurre fuera de la plataforma y a través de un expediente físico en la entidad, pero las actuaciones y los documentos se convierten en </w:t>
      </w:r>
      <w:r w:rsidRPr="009D198D">
        <w:rPr>
          <w:rFonts w:ascii="Arial" w:eastAsia="Calibri" w:hAnsi="Arial" w:cs="Arial"/>
          <w:sz w:val="22"/>
          <w:lang w:val="es-ES"/>
        </w:rPr>
        <w:lastRenderedPageBreak/>
        <w:t>electrónicos para ser cargados a la plataforma por quien tenga la función dentro de la entidad, de acuerdo con su organización interna.</w:t>
      </w:r>
    </w:p>
    <w:p w14:paraId="3D4AEC22" w14:textId="77777777" w:rsidR="004A419B" w:rsidRPr="009D198D" w:rsidRDefault="004A419B" w:rsidP="004A419B">
      <w:pPr>
        <w:spacing w:before="120"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7E519802" w14:textId="3BD307DD" w:rsidR="004A419B" w:rsidRPr="009D198D" w:rsidRDefault="004A419B" w:rsidP="004A419B">
      <w:pPr>
        <w:spacing w:before="120"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2021, que dispone: «A partir del 1 de enero de 2020, todos los procesos de contratación de las entidades relacionadas en el Anexo 1 de esta circular deberán gestionarse, exclusivamente, en el SECOP ll», la cual se modificó parcialmente, mediante la Circular Externa No. 3 de 2020. Finalmente, esta Agencia expidió la Circular Externa No. 1 de 2021, «[…] </w:t>
      </w:r>
      <w:r w:rsidRPr="009D198D">
        <w:rPr>
          <w:rFonts w:ascii="Arial" w:hAnsi="Arial" w:cs="Arial"/>
          <w:color w:val="212529"/>
          <w:sz w:val="22"/>
          <w:szCs w:val="20"/>
          <w:shd w:val="clear" w:color="auto" w:fill="FFFFFF"/>
        </w:rPr>
        <w:t>con el fin de dar directrices sobre la obligatoriedad del uso del SECOP II en 2021</w:t>
      </w:r>
      <w:r w:rsidRPr="009D198D">
        <w:rPr>
          <w:rFonts w:ascii="Arial" w:eastAsia="Calibri" w:hAnsi="Arial" w:cs="Arial"/>
          <w:sz w:val="22"/>
          <w:lang w:val="es-ES"/>
        </w:rPr>
        <w:t>»</w:t>
      </w:r>
      <w:r w:rsidR="00B7377E" w:rsidRPr="009D198D">
        <w:rPr>
          <w:rFonts w:ascii="Arial" w:eastAsia="Calibri" w:hAnsi="Arial" w:cs="Arial"/>
          <w:sz w:val="22"/>
          <w:lang w:val="es-ES"/>
        </w:rPr>
        <w:t>.</w:t>
      </w:r>
    </w:p>
    <w:p w14:paraId="1B4185C1" w14:textId="77777777" w:rsidR="004A419B" w:rsidRPr="009D198D" w:rsidRDefault="004A419B" w:rsidP="004A419B">
      <w:pPr>
        <w:spacing w:before="120"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Con anterioridad a estas circulares se expidieron la Circular Externa No. 1 de 2013, que regula la publicación en SECOP I de las entidades que contratan con cargo a recursos públicos, y la Circular Externa No. 20 de 2015, que reguló la publicidad de la actividad contractual de las empresas industriales y comerciales del Estado, las sociedades de economía mixta y las empresas de servicios públicos domiciliarios que en su actividad comercial están en situación de competencia.</w:t>
      </w:r>
    </w:p>
    <w:p w14:paraId="3BB50EDC" w14:textId="5156B9F0" w:rsidR="004A419B" w:rsidRPr="009D198D" w:rsidRDefault="004A419B" w:rsidP="004A419B">
      <w:pPr>
        <w:spacing w:before="120"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 Este plazo fue prorrogado por la Agencia Nacional de Contratación Pública – Colombia Compra Eficiente, mediante la Circular Externa No. 2 de 2019. No obstante, mediante el Anexo 1 de la Circular Externa No. 1 de 2021 se modificó la obligatoriedad del uso del SECOP II</w:t>
      </w:r>
      <w:r w:rsidR="00DB5E1D" w:rsidRPr="009D198D">
        <w:rPr>
          <w:rFonts w:ascii="Arial" w:eastAsia="Calibri" w:hAnsi="Arial" w:cs="Arial"/>
          <w:sz w:val="22"/>
          <w:lang w:val="es-ES"/>
        </w:rPr>
        <w:t>.</w:t>
      </w:r>
    </w:p>
    <w:p w14:paraId="2C07EE48" w14:textId="77777777" w:rsidR="004A419B" w:rsidRPr="009D198D" w:rsidRDefault="004A419B" w:rsidP="004A419B">
      <w:pPr>
        <w:spacing w:before="120"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En consecuencia, las alcaldías capitales de departamento, Administración central y los departamentos (Administración central) y demás entidades establecidas en el Anexo 1 gestionarán todos sus procesos de contratación, exclusivamente en el SECOP ll, en 4 etapas en las que se determinan en cada una de ellas las entidades que deberán ingresar con uso obligatorio, a partir del 1º de enero, el 1º de abril, el 1º de julio y el 1º de octubre del 2021.</w:t>
      </w:r>
    </w:p>
    <w:p w14:paraId="474D0A43" w14:textId="2E013E19" w:rsidR="004A419B" w:rsidRPr="009D198D" w:rsidRDefault="004A419B" w:rsidP="004A419B">
      <w:pPr>
        <w:spacing w:before="120"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 xml:space="preserve">Es del caso precisar que la obligación de realizar procesos de contratación a través de la plataforma SECOP II está asociada a la inclusión de las entidades estatales en los anexos de las referidas circulares, por lo que tratándose de entidades respecto de las cuales </w:t>
      </w:r>
      <w:r w:rsidRPr="009D198D">
        <w:rPr>
          <w:rFonts w:ascii="Arial" w:eastAsia="Calibri" w:hAnsi="Arial" w:cs="Arial"/>
          <w:sz w:val="22"/>
          <w:lang w:val="es-ES"/>
        </w:rPr>
        <w:lastRenderedPageBreak/>
        <w:t>la Circular Externa No. 1 de 2021 definió el uso obligatorio de la plataforma, no siendo exceptuadas en circulares subsiguientes, deberán hacer uso de la plataforma. En ese sentido, las entidades estatales incluidas en el Anexo 1 de la Circular Externa No. 1 de 2021, deben cumplir con el deber de evidenciar la actividad contractual con la publicación de los</w:t>
      </w:r>
      <w:r w:rsidRPr="009D198D">
        <w:rPr>
          <w:rFonts w:ascii="Arial" w:eastAsia="Calibri" w:hAnsi="Arial" w:cs="Arial"/>
          <w:i/>
          <w:iCs/>
          <w:sz w:val="22"/>
          <w:lang w:val="es-ES"/>
        </w:rPr>
        <w:t xml:space="preserve"> Documentos del Proceso,</w:t>
      </w:r>
      <w:r w:rsidRPr="009D198D">
        <w:rPr>
          <w:rFonts w:ascii="Arial" w:eastAsia="Calibri" w:hAnsi="Arial" w:cs="Arial"/>
          <w:sz w:val="22"/>
          <w:lang w:val="es-ES"/>
        </w:rPr>
        <w:t xml:space="preserve"> los actos administrativos y demás documentos expedidos con ocasión del</w:t>
      </w:r>
      <w:r w:rsidRPr="009D198D">
        <w:rPr>
          <w:rFonts w:ascii="Arial" w:eastAsia="Calibri" w:hAnsi="Arial" w:cs="Arial"/>
          <w:i/>
          <w:iCs/>
          <w:sz w:val="22"/>
          <w:lang w:val="es-ES"/>
        </w:rPr>
        <w:t xml:space="preserve"> Proceso de Contratación </w:t>
      </w:r>
      <w:r w:rsidRPr="009D198D">
        <w:rPr>
          <w:rFonts w:ascii="Arial" w:eastAsia="Calibri" w:hAnsi="Arial" w:cs="Arial"/>
          <w:sz w:val="22"/>
          <w:lang w:val="es-ES"/>
        </w:rPr>
        <w:t>en el SECOP II.</w:t>
      </w:r>
    </w:p>
    <w:p w14:paraId="718F7877" w14:textId="77777777" w:rsidR="004A419B" w:rsidRPr="009D198D" w:rsidRDefault="004A419B" w:rsidP="004A419B">
      <w:pPr>
        <w:spacing w:line="276" w:lineRule="auto"/>
        <w:ind w:firstLine="708"/>
        <w:jc w:val="both"/>
        <w:rPr>
          <w:rFonts w:ascii="Arial" w:eastAsia="Calibri" w:hAnsi="Arial" w:cs="Arial"/>
          <w:sz w:val="22"/>
          <w:lang w:val="es-ES"/>
        </w:rPr>
      </w:pPr>
      <w:r w:rsidRPr="009D198D">
        <w:rPr>
          <w:rFonts w:ascii="Arial" w:eastAsia="Calibri" w:hAnsi="Arial" w:cs="Arial"/>
          <w:sz w:val="22"/>
          <w:lang w:val="es-ES"/>
        </w:rPr>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280D5C0D" w14:textId="77777777" w:rsidR="004A419B" w:rsidRPr="009D198D" w:rsidRDefault="004A419B" w:rsidP="004A419B">
      <w:pPr>
        <w:spacing w:before="120"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Si bien los documentos</w:t>
      </w:r>
      <w:r w:rsidRPr="009D198D">
        <w:rPr>
          <w:rFonts w:ascii="Arial" w:eastAsia="Calibri" w:hAnsi="Arial" w:cs="Arial"/>
          <w:i/>
          <w:iCs/>
          <w:sz w:val="22"/>
          <w:lang w:val="es-ES"/>
        </w:rPr>
        <w:t xml:space="preserve"> </w:t>
      </w:r>
      <w:r w:rsidRPr="009D198D">
        <w:rPr>
          <w:rFonts w:ascii="Arial" w:eastAsia="Calibri" w:hAnsi="Arial" w:cs="Arial"/>
          <w:sz w:val="22"/>
          <w:lang w:val="es-ES"/>
        </w:rPr>
        <w:t xml:space="preserve">que deben publicarse en el SECOP II, corresponden a los mismos antes identificados que deben publicarse en el SECOP I, esto es, todos los expedidos con ocasión el </w:t>
      </w:r>
      <w:r w:rsidRPr="009D198D">
        <w:rPr>
          <w:rFonts w:ascii="Arial" w:eastAsia="Calibri" w:hAnsi="Arial" w:cs="Arial"/>
          <w:i/>
          <w:iCs/>
          <w:sz w:val="22"/>
          <w:lang w:val="es-ES"/>
        </w:rPr>
        <w:t xml:space="preserve">Proceso de Contratación </w:t>
      </w:r>
      <w:r w:rsidRPr="009D198D">
        <w:rPr>
          <w:rFonts w:ascii="Arial" w:eastAsia="Calibri" w:hAnsi="Arial" w:cs="Arial"/>
          <w:sz w:val="22"/>
          <w:lang w:val="es-ES"/>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551688B9" w14:textId="77777777" w:rsidR="00AA7777" w:rsidRPr="009D198D" w:rsidRDefault="004A419B" w:rsidP="00AA7777">
      <w:pPr>
        <w:spacing w:after="120" w:line="276" w:lineRule="auto"/>
        <w:ind w:firstLine="709"/>
        <w:jc w:val="both"/>
        <w:rPr>
          <w:rFonts w:ascii="Arial" w:eastAsia="Calibri" w:hAnsi="Arial" w:cs="Arial"/>
          <w:sz w:val="22"/>
          <w:lang w:val="es-ES"/>
        </w:rPr>
      </w:pPr>
      <w:bookmarkStart w:id="14" w:name="_Hlk46402307"/>
      <w:r w:rsidRPr="009D198D">
        <w:rPr>
          <w:rFonts w:ascii="Arial" w:eastAsia="Calibri" w:hAnsi="Arial" w:cs="Arial"/>
          <w:sz w:val="22"/>
          <w:lang w:val="es-ES"/>
        </w:rPr>
        <w:t xml:space="preserve">En ese orden, el carácter transaccional de SECOP II, como herramienta que permite no solo publicar sino también gestionar y crear </w:t>
      </w:r>
      <w:r w:rsidRPr="009D198D">
        <w:rPr>
          <w:rFonts w:ascii="Arial" w:eastAsia="Calibri" w:hAnsi="Arial" w:cs="Arial"/>
          <w:i/>
          <w:iCs/>
          <w:sz w:val="22"/>
          <w:lang w:val="es-ES"/>
        </w:rPr>
        <w:t xml:space="preserve">Documentos del Proceso, </w:t>
      </w:r>
      <w:r w:rsidRPr="009D198D">
        <w:rPr>
          <w:rFonts w:ascii="Arial" w:eastAsia="Calibri" w:hAnsi="Arial" w:cs="Arial"/>
          <w:sz w:val="22"/>
          <w:lang w:val="es-ES"/>
        </w:rPr>
        <w:t xml:space="preserve">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w:t>
      </w:r>
    </w:p>
    <w:p w14:paraId="16D1684A" w14:textId="518675C4" w:rsidR="006E2505" w:rsidRPr="009D198D" w:rsidRDefault="00AA7777" w:rsidP="00D70359">
      <w:pPr>
        <w:spacing w:before="120" w:line="276" w:lineRule="auto"/>
        <w:ind w:firstLine="709"/>
        <w:jc w:val="both"/>
        <w:rPr>
          <w:rFonts w:ascii="Arial" w:eastAsia="Calibri" w:hAnsi="Arial" w:cs="Arial"/>
          <w:sz w:val="22"/>
          <w:szCs w:val="22"/>
          <w:lang w:val="es-ES" w:eastAsia="en-US"/>
        </w:rPr>
      </w:pPr>
      <w:r w:rsidRPr="009D198D">
        <w:rPr>
          <w:rFonts w:ascii="Arial" w:eastAsia="Calibri" w:hAnsi="Arial" w:cs="Arial"/>
          <w:sz w:val="22"/>
          <w:lang w:val="es-ES"/>
        </w:rPr>
        <w:t>Sin perjuicio de lo anterior, existen actuaciones que por su naturaleza no son generadas al interior de SECOP II, como por ejemplo los actos administrativos de apertura o el de adjudicación</w:t>
      </w:r>
      <w:r w:rsidR="00916517" w:rsidRPr="009D198D">
        <w:rPr>
          <w:rFonts w:ascii="Arial" w:eastAsia="Calibri" w:hAnsi="Arial" w:cs="Arial"/>
          <w:sz w:val="22"/>
          <w:lang w:val="es-ES"/>
        </w:rPr>
        <w:t>,</w:t>
      </w:r>
      <w:r w:rsidRPr="009D198D">
        <w:rPr>
          <w:rFonts w:ascii="Arial" w:eastAsia="Calibri" w:hAnsi="Arial" w:cs="Arial"/>
          <w:sz w:val="22"/>
          <w:lang w:val="es-ES"/>
        </w:rPr>
        <w:t xml:space="preserve"> así como otras actuaciones que, en primer lugar, se producen por </w:t>
      </w:r>
      <w:r w:rsidRPr="009D198D">
        <w:rPr>
          <w:rFonts w:ascii="Arial" w:eastAsia="Calibri" w:hAnsi="Arial" w:cs="Arial"/>
          <w:sz w:val="22"/>
          <w:lang w:val="es-ES"/>
        </w:rPr>
        <w:lastRenderedPageBreak/>
        <w:t>fuera de la plataforma</w:t>
      </w:r>
      <w:r w:rsidR="00916517" w:rsidRPr="009D198D">
        <w:rPr>
          <w:rFonts w:ascii="Arial" w:eastAsia="Calibri" w:hAnsi="Arial" w:cs="Arial"/>
          <w:sz w:val="22"/>
          <w:lang w:val="es-ES"/>
        </w:rPr>
        <w:t>,</w:t>
      </w:r>
      <w:r w:rsidRPr="009D198D">
        <w:rPr>
          <w:rFonts w:ascii="Arial" w:eastAsia="Calibri" w:hAnsi="Arial" w:cs="Arial"/>
          <w:sz w:val="22"/>
          <w:lang w:val="es-ES"/>
        </w:rPr>
        <w:t xml:space="preserve"> pero que al no estar exceptuadas del deber de publicidad deben ser posteriormente publicadas en SECOP II. Tales actuaciones deberán ser publicadas dentro del </w:t>
      </w:r>
      <w:r w:rsidR="001C1010" w:rsidRPr="009D198D">
        <w:rPr>
          <w:rFonts w:ascii="Arial" w:eastAsia="Calibri" w:hAnsi="Arial" w:cs="Arial"/>
          <w:sz w:val="22"/>
          <w:lang w:val="es-ES"/>
        </w:rPr>
        <w:t>término</w:t>
      </w:r>
      <w:r w:rsidRPr="009D198D">
        <w:rPr>
          <w:rFonts w:ascii="Arial" w:eastAsia="Calibri" w:hAnsi="Arial" w:cs="Arial"/>
          <w:sz w:val="22"/>
          <w:lang w:val="es-ES"/>
        </w:rPr>
        <w:t xml:space="preserve"> de tres (3) días hábiles previsto en el artículo 2.2.1.1.1.7.1 del Decreto 1082 de 2015.</w:t>
      </w:r>
      <w:bookmarkEnd w:id="14"/>
    </w:p>
    <w:p w14:paraId="2069C924" w14:textId="77777777" w:rsidR="009B4490" w:rsidRPr="009D198D" w:rsidRDefault="009B4490" w:rsidP="00D70359">
      <w:pPr>
        <w:spacing w:line="276" w:lineRule="auto"/>
        <w:ind w:firstLine="709"/>
        <w:jc w:val="both"/>
        <w:rPr>
          <w:rFonts w:ascii="Arial" w:eastAsia="Calibri" w:hAnsi="Arial" w:cs="Arial"/>
          <w:sz w:val="22"/>
          <w:szCs w:val="22"/>
          <w:lang w:val="es-ES" w:eastAsia="en-US"/>
        </w:rPr>
      </w:pPr>
    </w:p>
    <w:p w14:paraId="6811B3F7" w14:textId="521B9847" w:rsidR="00881881" w:rsidRPr="009D198D" w:rsidRDefault="008C38D0" w:rsidP="008C38D0">
      <w:pPr>
        <w:rPr>
          <w:rFonts w:ascii="Arial" w:eastAsia="Calibri" w:hAnsi="Arial" w:cs="Arial"/>
          <w:b/>
          <w:color w:val="000000" w:themeColor="text1"/>
          <w:sz w:val="22"/>
          <w:lang w:val="es-ES" w:eastAsia="en-GB"/>
        </w:rPr>
      </w:pPr>
      <w:r w:rsidRPr="009D198D">
        <w:rPr>
          <w:rFonts w:ascii="Arial" w:eastAsia="Calibri" w:hAnsi="Arial" w:cs="Arial"/>
          <w:b/>
          <w:color w:val="000000" w:themeColor="text1"/>
          <w:sz w:val="22"/>
          <w:lang w:val="es-ES" w:eastAsia="en-GB"/>
        </w:rPr>
        <w:t>2.</w:t>
      </w:r>
      <w:r w:rsidR="00881881" w:rsidRPr="009D198D">
        <w:rPr>
          <w:rFonts w:ascii="Arial" w:eastAsia="Calibri" w:hAnsi="Arial" w:cs="Arial"/>
          <w:b/>
          <w:color w:val="000000" w:themeColor="text1"/>
          <w:sz w:val="22"/>
          <w:lang w:val="es-ES" w:eastAsia="en-GB"/>
        </w:rPr>
        <w:t>2 Plan Anual de Adquisiciones</w:t>
      </w:r>
    </w:p>
    <w:p w14:paraId="399B89DF" w14:textId="77777777" w:rsidR="00881881" w:rsidRPr="009D198D" w:rsidRDefault="00881881" w:rsidP="008C38D0">
      <w:pPr>
        <w:rPr>
          <w:rFonts w:ascii="Arial" w:eastAsia="Calibri" w:hAnsi="Arial" w:cs="Arial"/>
          <w:b/>
          <w:color w:val="000000" w:themeColor="text1"/>
          <w:sz w:val="22"/>
          <w:lang w:val="es-ES" w:eastAsia="en-GB"/>
        </w:rPr>
      </w:pPr>
    </w:p>
    <w:p w14:paraId="6232F797" w14:textId="61A4AB5A" w:rsidR="008D3C83" w:rsidRPr="009D198D" w:rsidRDefault="00881881" w:rsidP="008D3C83">
      <w:pPr>
        <w:spacing w:line="276" w:lineRule="auto"/>
        <w:jc w:val="both"/>
        <w:rPr>
          <w:rFonts w:ascii="Arial" w:eastAsia="Calibri" w:hAnsi="Arial" w:cs="Arial"/>
          <w:b/>
          <w:bCs/>
          <w:color w:val="000000" w:themeColor="text1"/>
          <w:sz w:val="22"/>
          <w:szCs w:val="22"/>
          <w:lang w:eastAsia="en-US"/>
        </w:rPr>
      </w:pPr>
      <w:r w:rsidRPr="009D198D">
        <w:rPr>
          <w:rFonts w:ascii="Arial" w:eastAsia="Calibri" w:hAnsi="Arial" w:cs="Arial"/>
          <w:b/>
          <w:color w:val="000000" w:themeColor="text1"/>
          <w:sz w:val="22"/>
          <w:lang w:val="es-ES" w:eastAsia="en-GB"/>
        </w:rPr>
        <w:t>2.2.</w:t>
      </w:r>
      <w:r w:rsidR="008C38D0" w:rsidRPr="009D198D">
        <w:rPr>
          <w:rFonts w:ascii="Arial" w:eastAsia="Calibri" w:hAnsi="Arial" w:cs="Arial"/>
          <w:b/>
          <w:color w:val="000000" w:themeColor="text1"/>
          <w:sz w:val="22"/>
          <w:lang w:val="es-ES" w:eastAsia="en-GB"/>
        </w:rPr>
        <w:t>1.</w:t>
      </w:r>
      <w:r w:rsidR="008D3C83" w:rsidRPr="009D198D">
        <w:rPr>
          <w:rFonts w:ascii="Arial" w:eastAsia="Calibri" w:hAnsi="Arial" w:cs="Arial"/>
          <w:b/>
          <w:bCs/>
          <w:color w:val="000000" w:themeColor="text1"/>
          <w:sz w:val="22"/>
        </w:rPr>
        <w:t xml:space="preserve"> Expedición, publicación y actualización del plan anual de adquisiciones</w:t>
      </w:r>
      <w:r w:rsidR="00B7377E" w:rsidRPr="009D198D">
        <w:rPr>
          <w:rFonts w:ascii="Arial" w:eastAsia="Calibri" w:hAnsi="Arial" w:cs="Arial"/>
          <w:b/>
          <w:bCs/>
          <w:color w:val="000000" w:themeColor="text1"/>
          <w:sz w:val="22"/>
        </w:rPr>
        <w:t xml:space="preserve">  </w:t>
      </w:r>
    </w:p>
    <w:p w14:paraId="585139F7" w14:textId="77777777" w:rsidR="008D3C83" w:rsidRPr="009D198D" w:rsidRDefault="008D3C83" w:rsidP="008D3C83">
      <w:pPr>
        <w:spacing w:line="276" w:lineRule="auto"/>
        <w:jc w:val="both"/>
        <w:rPr>
          <w:rFonts w:ascii="Arial" w:eastAsia="Calibri" w:hAnsi="Arial" w:cs="Arial"/>
          <w:b/>
          <w:bCs/>
          <w:color w:val="000000" w:themeColor="text1"/>
          <w:sz w:val="22"/>
        </w:rPr>
      </w:pPr>
    </w:p>
    <w:p w14:paraId="3F2997F7" w14:textId="6C593940" w:rsidR="008D3C83" w:rsidRPr="009D198D" w:rsidRDefault="008D3C83" w:rsidP="007C6397">
      <w:pPr>
        <w:spacing w:line="276" w:lineRule="auto"/>
        <w:jc w:val="both"/>
        <w:rPr>
          <w:rFonts w:ascii="Arial" w:eastAsia="Calibri" w:hAnsi="Arial" w:cs="Arial"/>
          <w:color w:val="000000" w:themeColor="text1"/>
          <w:sz w:val="22"/>
        </w:rPr>
      </w:pPr>
      <w:r w:rsidRPr="009D198D">
        <w:rPr>
          <w:rFonts w:ascii="Arial" w:eastAsia="Calibri" w:hAnsi="Arial" w:cs="Arial"/>
          <w:color w:val="000000" w:themeColor="text1"/>
          <w:sz w:val="22"/>
        </w:rPr>
        <w:t>Estudiar el régimen de expedición, publicación y actualización del plan anual de adquisiciones supone analizar lo dispuesto en los artículos 2.2.1.1.1.4.1, 2.2.1.1.1.4.3 y 2.2.1.1.1.4.4 del Decreto 1082 de 2015. El primer</w:t>
      </w:r>
      <w:r w:rsidR="007C0297" w:rsidRPr="009D198D">
        <w:rPr>
          <w:rFonts w:ascii="Arial" w:eastAsia="Calibri" w:hAnsi="Arial" w:cs="Arial"/>
          <w:color w:val="000000" w:themeColor="text1"/>
          <w:sz w:val="22"/>
        </w:rPr>
        <w:t>o</w:t>
      </w:r>
      <w:r w:rsidRPr="009D198D">
        <w:rPr>
          <w:rFonts w:ascii="Arial" w:eastAsia="Calibri" w:hAnsi="Arial" w:cs="Arial"/>
          <w:color w:val="000000" w:themeColor="text1"/>
          <w:sz w:val="22"/>
        </w:rPr>
        <w:t xml:space="preserve"> de estos artículos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alude a los siguientes aspectos: i) la necesidad; </w:t>
      </w:r>
      <w:proofErr w:type="spellStart"/>
      <w:r w:rsidRPr="009D198D">
        <w:rPr>
          <w:rFonts w:ascii="Arial" w:eastAsia="Calibri" w:hAnsi="Arial" w:cs="Arial"/>
          <w:color w:val="000000" w:themeColor="text1"/>
          <w:sz w:val="22"/>
        </w:rPr>
        <w:t>ii</w:t>
      </w:r>
      <w:proofErr w:type="spellEnd"/>
      <w:r w:rsidRPr="009D198D">
        <w:rPr>
          <w:rFonts w:ascii="Arial" w:eastAsia="Calibri" w:hAnsi="Arial" w:cs="Arial"/>
          <w:color w:val="000000" w:themeColor="text1"/>
          <w:sz w:val="22"/>
        </w:rPr>
        <w:t xml:space="preserve">) la identificación en el clasificador si la entidad conoce el bien, obra o servicio que satisface la necesidad; </w:t>
      </w:r>
      <w:proofErr w:type="spellStart"/>
      <w:r w:rsidRPr="009D198D">
        <w:rPr>
          <w:rFonts w:ascii="Arial" w:eastAsia="Calibri" w:hAnsi="Arial" w:cs="Arial"/>
          <w:color w:val="000000" w:themeColor="text1"/>
          <w:sz w:val="22"/>
        </w:rPr>
        <w:t>iii</w:t>
      </w:r>
      <w:proofErr w:type="spellEnd"/>
      <w:r w:rsidRPr="009D198D">
        <w:rPr>
          <w:rFonts w:ascii="Arial" w:eastAsia="Calibri" w:hAnsi="Arial" w:cs="Arial"/>
          <w:color w:val="000000" w:themeColor="text1"/>
          <w:sz w:val="22"/>
        </w:rPr>
        <w:t xml:space="preserve">) el valor estimado del contrato; </w:t>
      </w:r>
      <w:proofErr w:type="spellStart"/>
      <w:r w:rsidRPr="009D198D">
        <w:rPr>
          <w:rFonts w:ascii="Arial" w:eastAsia="Calibri" w:hAnsi="Arial" w:cs="Arial"/>
          <w:color w:val="000000" w:themeColor="text1"/>
          <w:sz w:val="22"/>
        </w:rPr>
        <w:t>iv</w:t>
      </w:r>
      <w:proofErr w:type="spellEnd"/>
      <w:r w:rsidRPr="009D198D">
        <w:rPr>
          <w:rFonts w:ascii="Arial" w:eastAsia="Calibri" w:hAnsi="Arial" w:cs="Arial"/>
          <w:color w:val="000000" w:themeColor="text1"/>
          <w:sz w:val="22"/>
        </w:rPr>
        <w:t xml:space="preserve">) el tipo de recursos con cargo a los cuales la entidad pagará el bien, obra o servicio; v) la modalidad de selección del contratista y vi) la fecha aproximada en la cual la entidad iniciará el procedimiento de selección. </w:t>
      </w:r>
    </w:p>
    <w:p w14:paraId="39B7B366"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 xml:space="preserve">Nótese cómo la norma referida establece la obligación de enunciar la información de manera indicativa, mas no impone determinar valores precisos, tiempos, bienes, obras o servicios de manera exacta; todo lo contrario, permite realizar un pronóstico indicativo de las necesidades que va a contratar. Este carácter estimativo del plan anual de adquisiciones fue reconocido por la Agencia Nacional de Contratación Pública </w:t>
      </w:r>
      <w:r w:rsidRPr="009D198D">
        <w:rPr>
          <w:rFonts w:ascii="Arial" w:eastAsia="Calibri" w:hAnsi="Arial" w:cs="Arial"/>
          <w:bCs/>
          <w:color w:val="000000" w:themeColor="text1"/>
          <w:sz w:val="22"/>
        </w:rPr>
        <w:t>―</w:t>
      </w:r>
      <w:r w:rsidRPr="009D198D">
        <w:rPr>
          <w:rFonts w:ascii="Arial" w:eastAsia="Calibri" w:hAnsi="Arial" w:cs="Arial"/>
          <w:b/>
          <w:color w:val="000000" w:themeColor="text1"/>
          <w:sz w:val="22"/>
        </w:rPr>
        <w:t xml:space="preserve"> </w:t>
      </w:r>
      <w:r w:rsidRPr="009D198D">
        <w:rPr>
          <w:rFonts w:ascii="Arial" w:eastAsia="Calibri" w:hAnsi="Arial" w:cs="Arial"/>
          <w:color w:val="000000" w:themeColor="text1"/>
          <w:sz w:val="22"/>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9D198D">
        <w:rPr>
          <w:rStyle w:val="Refdenotaalpie"/>
          <w:rFonts w:ascii="Arial" w:eastAsia="Calibri" w:hAnsi="Arial" w:cs="Arial"/>
          <w:color w:val="000000" w:themeColor="text1"/>
          <w:sz w:val="22"/>
        </w:rPr>
        <w:footnoteReference w:id="24"/>
      </w:r>
      <w:r w:rsidRPr="009D198D">
        <w:rPr>
          <w:rFonts w:ascii="Arial" w:eastAsia="Calibri" w:hAnsi="Arial" w:cs="Arial"/>
          <w:color w:val="000000" w:themeColor="text1"/>
          <w:sz w:val="22"/>
        </w:rPr>
        <w:t xml:space="preserve">. </w:t>
      </w:r>
    </w:p>
    <w:p w14:paraId="576A33A2" w14:textId="2C404830"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 xml:space="preserve">La segunda disposición relevante </w:t>
      </w:r>
      <w:r w:rsidRPr="009D198D">
        <w:rPr>
          <w:rFonts w:ascii="Arial" w:eastAsia="Calibri" w:hAnsi="Arial" w:cs="Arial"/>
          <w:bCs/>
          <w:color w:val="000000" w:themeColor="text1"/>
          <w:sz w:val="22"/>
        </w:rPr>
        <w:t xml:space="preserve">–esto es, el artículo </w:t>
      </w:r>
      <w:r w:rsidRPr="009D198D">
        <w:rPr>
          <w:rFonts w:ascii="Arial" w:eastAsia="Calibri" w:hAnsi="Arial" w:cs="Arial"/>
          <w:color w:val="000000" w:themeColor="text1"/>
          <w:sz w:val="22"/>
        </w:rPr>
        <w:t>2.2.1.1.1.4.3 del Decreto 1082 de 2015</w:t>
      </w:r>
      <w:r w:rsidRPr="009D198D">
        <w:rPr>
          <w:rFonts w:ascii="Arial" w:eastAsia="Calibri" w:hAnsi="Arial" w:cs="Arial"/>
          <w:bCs/>
          <w:color w:val="000000" w:themeColor="text1"/>
          <w:sz w:val="22"/>
        </w:rPr>
        <w:t>–</w:t>
      </w:r>
      <w:r w:rsidRPr="009D198D">
        <w:rPr>
          <w:rFonts w:ascii="Arial" w:eastAsia="Calibri" w:hAnsi="Arial" w:cs="Arial"/>
          <w:b/>
          <w:color w:val="000000" w:themeColor="text1"/>
          <w:sz w:val="22"/>
        </w:rPr>
        <w:t xml:space="preserve"> </w:t>
      </w:r>
      <w:r w:rsidRPr="009D198D">
        <w:rPr>
          <w:rFonts w:ascii="Arial" w:eastAsia="Calibri" w:hAnsi="Arial" w:cs="Arial"/>
          <w:color w:val="000000" w:themeColor="text1"/>
          <w:sz w:val="22"/>
        </w:rPr>
        <w:t xml:space="preserve">establece el deber de las entidades públicas de dar publicidad al Plan Anual de Adquisiciones, en sus páginas web y en el SECOP, con la información mínima señalada en el artículo 2.2.1.1.1.4.1. del Decreto 1082 de 2015. </w:t>
      </w:r>
    </w:p>
    <w:p w14:paraId="204BB70E"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 xml:space="preserve">La norma impone a las entidades el deber de publicar las actualizaciones que realicen al plan anual de adquisiciones. De esta manera, la norma faculta a la </w:t>
      </w:r>
      <w:r w:rsidRPr="009D198D">
        <w:rPr>
          <w:rFonts w:ascii="Arial" w:eastAsia="Calibri" w:hAnsi="Arial" w:cs="Arial"/>
          <w:color w:val="000000" w:themeColor="text1"/>
          <w:sz w:val="22"/>
        </w:rPr>
        <w:lastRenderedPageBreak/>
        <w:t xml:space="preserve">Administración para realizar cambios y modificaciones a este documento, por lo que no es un documento rígido que vincule la contratación; sino que, por el contrario, se trata de un instrumento de planificación que orienta y da un referente a la entidad de las necesidades de bienes, obras y servicio que debe contratar para la respectiva anualidad, que además puede actualizarse. </w:t>
      </w:r>
    </w:p>
    <w:p w14:paraId="13BA4877"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 xml:space="preserve"> La tercera norma mencionada, el artículo 2.2.1.1.1.4.4. del Decreto 1082 de 2015, en el inciso primero,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6C7AAF6E"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39A903A0"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lo que, a su vez, impulsa el deber de planeación de las entidades estatales al enfrentarlas a dicha obligación, pues deberán considerar si su planificación se mantiene y qué modificaciones deben realizar.</w:t>
      </w:r>
    </w:p>
    <w:p w14:paraId="23FCE3EC"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 xml:space="preserve">El inciso 2 del artículo citado estableció cuatro (4) eventos en los que procede la actualización del plan anual de adquisiciones: i) ajustes en los cronogramas de adquisición, valores, modalidad de selección, origen de los recursos; </w:t>
      </w:r>
      <w:proofErr w:type="spellStart"/>
      <w:r w:rsidRPr="009D198D">
        <w:rPr>
          <w:rFonts w:ascii="Arial" w:eastAsia="Calibri" w:hAnsi="Arial" w:cs="Arial"/>
          <w:color w:val="000000" w:themeColor="text1"/>
          <w:sz w:val="22"/>
        </w:rPr>
        <w:t>ii</w:t>
      </w:r>
      <w:proofErr w:type="spellEnd"/>
      <w:r w:rsidRPr="009D198D">
        <w:rPr>
          <w:rFonts w:ascii="Arial" w:eastAsia="Calibri" w:hAnsi="Arial" w:cs="Arial"/>
          <w:color w:val="000000" w:themeColor="text1"/>
          <w:sz w:val="22"/>
        </w:rPr>
        <w:t xml:space="preserve">) para incluir nuevas obras, bienes y/o servicios; </w:t>
      </w:r>
      <w:proofErr w:type="spellStart"/>
      <w:r w:rsidRPr="009D198D">
        <w:rPr>
          <w:rFonts w:ascii="Arial" w:eastAsia="Calibri" w:hAnsi="Arial" w:cs="Arial"/>
          <w:color w:val="000000" w:themeColor="text1"/>
          <w:sz w:val="22"/>
        </w:rPr>
        <w:t>iii</w:t>
      </w:r>
      <w:proofErr w:type="spellEnd"/>
      <w:r w:rsidRPr="009D198D">
        <w:rPr>
          <w:rFonts w:ascii="Arial" w:eastAsia="Calibri" w:hAnsi="Arial" w:cs="Arial"/>
          <w:color w:val="000000" w:themeColor="text1"/>
          <w:sz w:val="22"/>
        </w:rPr>
        <w:t xml:space="preserve">) excluir obras, bienes y/o servicios; y </w:t>
      </w:r>
      <w:proofErr w:type="spellStart"/>
      <w:r w:rsidRPr="009D198D">
        <w:rPr>
          <w:rFonts w:ascii="Arial" w:eastAsia="Calibri" w:hAnsi="Arial" w:cs="Arial"/>
          <w:color w:val="000000" w:themeColor="text1"/>
          <w:sz w:val="22"/>
        </w:rPr>
        <w:t>iv</w:t>
      </w:r>
      <w:proofErr w:type="spellEnd"/>
      <w:r w:rsidRPr="009D198D">
        <w:rPr>
          <w:rFonts w:ascii="Arial" w:eastAsia="Calibri" w:hAnsi="Arial" w:cs="Arial"/>
          <w:color w:val="000000" w:themeColor="text1"/>
          <w:sz w:val="22"/>
        </w:rPr>
        <w:t xml:space="preserve">) modificar el presupuesto anual de adquisiciones. El inciso citado solo estableció los eventos en los que debe actualizarse, sin limitar la modificación a ciertos topes, como, por ejemplo, aumentar o disminuir valores. La norma no enfatizó en este punto, por lo cual, en principio, puede modificarse. </w:t>
      </w:r>
    </w:p>
    <w:p w14:paraId="37C0A38F"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t xml:space="preserve">De acuerdo a lo anterior,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744F8215" w14:textId="77777777" w:rsidR="008D3C83" w:rsidRPr="009D198D" w:rsidRDefault="008D3C83" w:rsidP="007C6397">
      <w:pPr>
        <w:spacing w:before="120" w:line="276" w:lineRule="auto"/>
        <w:ind w:firstLine="709"/>
        <w:jc w:val="both"/>
        <w:rPr>
          <w:rFonts w:ascii="Arial" w:eastAsia="Calibri" w:hAnsi="Arial" w:cs="Arial"/>
          <w:color w:val="000000" w:themeColor="text1"/>
          <w:sz w:val="22"/>
        </w:rPr>
      </w:pPr>
      <w:r w:rsidRPr="009D198D">
        <w:rPr>
          <w:rFonts w:ascii="Arial" w:eastAsia="Calibri" w:hAnsi="Arial" w:cs="Arial"/>
          <w:color w:val="000000" w:themeColor="text1"/>
          <w:sz w:val="22"/>
        </w:rPr>
        <w:lastRenderedPageBreak/>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 con que la entidad identifique la necesidad contractual para que incluirlo en el listado.</w:t>
      </w:r>
    </w:p>
    <w:p w14:paraId="293E575E" w14:textId="77777777" w:rsidR="008D3C83" w:rsidRPr="009D198D" w:rsidRDefault="008D3C83" w:rsidP="008D3C83">
      <w:pPr>
        <w:spacing w:line="276" w:lineRule="auto"/>
        <w:jc w:val="both"/>
        <w:rPr>
          <w:rFonts w:ascii="Arial" w:eastAsia="Calibri" w:hAnsi="Arial" w:cs="Arial"/>
          <w:color w:val="000000" w:themeColor="text1"/>
          <w:sz w:val="22"/>
        </w:rPr>
      </w:pPr>
    </w:p>
    <w:p w14:paraId="561092DD" w14:textId="1C08C106" w:rsidR="00FD51FC" w:rsidRPr="009D198D" w:rsidRDefault="008C38D0" w:rsidP="00FD51FC">
      <w:pPr>
        <w:rPr>
          <w:rFonts w:ascii="Arial" w:eastAsia="Calibri" w:hAnsi="Arial" w:cs="Arial"/>
          <w:b/>
          <w:color w:val="000000" w:themeColor="text1"/>
          <w:sz w:val="22"/>
          <w:lang w:val="es-ES"/>
        </w:rPr>
      </w:pPr>
      <w:r w:rsidRPr="009D198D">
        <w:rPr>
          <w:rFonts w:ascii="Arial" w:eastAsia="Calibri" w:hAnsi="Arial" w:cs="Arial"/>
          <w:b/>
          <w:bCs/>
          <w:sz w:val="22"/>
          <w:lang w:val="es-ES" w:eastAsia="en-GB"/>
        </w:rPr>
        <w:t>2.</w:t>
      </w:r>
      <w:r w:rsidR="00881881" w:rsidRPr="009D198D">
        <w:rPr>
          <w:rFonts w:ascii="Arial" w:eastAsia="Calibri" w:hAnsi="Arial" w:cs="Arial"/>
          <w:b/>
          <w:bCs/>
          <w:sz w:val="22"/>
          <w:lang w:val="es-ES" w:eastAsia="en-GB"/>
        </w:rPr>
        <w:t>2.</w:t>
      </w:r>
      <w:r w:rsidR="006C6619" w:rsidRPr="009D198D">
        <w:rPr>
          <w:rFonts w:ascii="Arial" w:eastAsia="Calibri" w:hAnsi="Arial" w:cs="Arial"/>
          <w:b/>
          <w:bCs/>
          <w:sz w:val="22"/>
          <w:lang w:val="es-ES" w:eastAsia="en-GB"/>
        </w:rPr>
        <w:t>2</w:t>
      </w:r>
      <w:r w:rsidRPr="009D198D">
        <w:rPr>
          <w:rFonts w:ascii="Arial" w:eastAsia="Calibri" w:hAnsi="Arial" w:cs="Arial"/>
          <w:b/>
          <w:bCs/>
          <w:sz w:val="22"/>
          <w:lang w:val="es-ES" w:eastAsia="en-GB"/>
        </w:rPr>
        <w:t xml:space="preserve">. </w:t>
      </w:r>
      <w:r w:rsidR="00D97F15" w:rsidRPr="009D198D">
        <w:rPr>
          <w:rFonts w:ascii="Arial" w:eastAsia="Calibri" w:hAnsi="Arial" w:cs="Arial"/>
          <w:b/>
          <w:color w:val="000000" w:themeColor="text1"/>
          <w:sz w:val="22"/>
          <w:lang w:val="es-ES"/>
        </w:rPr>
        <w:t>D</w:t>
      </w:r>
      <w:r w:rsidR="00FD51FC" w:rsidRPr="009D198D">
        <w:rPr>
          <w:rFonts w:ascii="Arial" w:eastAsia="Calibri" w:hAnsi="Arial" w:cs="Arial"/>
          <w:b/>
          <w:color w:val="000000" w:themeColor="text1"/>
          <w:sz w:val="22"/>
          <w:lang w:val="es-ES"/>
        </w:rPr>
        <w:t>eber de publicar el Plan Anual de Adquisiciones</w:t>
      </w:r>
    </w:p>
    <w:p w14:paraId="54DF00A0" w14:textId="77777777" w:rsidR="00FD51FC" w:rsidRPr="009D198D" w:rsidRDefault="00FD51FC" w:rsidP="00FD51FC">
      <w:pPr>
        <w:rPr>
          <w:rFonts w:ascii="Arial" w:eastAsia="Calibri" w:hAnsi="Arial" w:cs="Arial"/>
          <w:b/>
          <w:color w:val="000000" w:themeColor="text1"/>
          <w:sz w:val="22"/>
          <w:lang w:val="es-ES"/>
        </w:rPr>
      </w:pPr>
    </w:p>
    <w:p w14:paraId="0A27D9E3" w14:textId="11B9C20B" w:rsidR="00FD51FC" w:rsidRPr="009D198D" w:rsidRDefault="00FD51FC" w:rsidP="001D2330">
      <w:pPr>
        <w:tabs>
          <w:tab w:val="left" w:pos="426"/>
          <w:tab w:val="left" w:pos="8505"/>
        </w:tabs>
        <w:spacing w:line="276" w:lineRule="auto"/>
        <w:ind w:right="51"/>
        <w:jc w:val="both"/>
        <w:rPr>
          <w:rFonts w:ascii="Arial" w:eastAsia="Calibri" w:hAnsi="Arial" w:cs="Arial"/>
          <w:sz w:val="22"/>
          <w:lang w:val="es-ES"/>
        </w:rPr>
      </w:pPr>
      <w:r w:rsidRPr="009D198D">
        <w:rPr>
          <w:rFonts w:ascii="Arial" w:eastAsia="Calibri" w:hAnsi="Arial" w:cs="Arial"/>
          <w:sz w:val="22"/>
          <w:lang w:val="es-ES"/>
        </w:rPr>
        <w:t>El artículo 74 de la Ley 1474</w:t>
      </w:r>
      <w:r w:rsidRPr="009D198D">
        <w:rPr>
          <w:rStyle w:val="Refdenotaalpie"/>
          <w:rFonts w:ascii="Arial" w:eastAsia="Calibri" w:hAnsi="Arial" w:cs="Arial"/>
          <w:sz w:val="22"/>
          <w:lang w:val="es-ES"/>
        </w:rPr>
        <w:footnoteReference w:id="25"/>
      </w:r>
      <w:r w:rsidRPr="009D198D">
        <w:rPr>
          <w:rFonts w:ascii="Arial" w:eastAsia="Calibri" w:hAnsi="Arial" w:cs="Arial"/>
          <w:sz w:val="22"/>
          <w:lang w:val="es-ES"/>
        </w:rPr>
        <w:t xml:space="preserve">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r w:rsidRPr="009D198D">
        <w:rPr>
          <w:rStyle w:val="Refdenotaalpie"/>
          <w:rFonts w:ascii="Arial" w:eastAsia="Calibri" w:hAnsi="Arial" w:cs="Arial"/>
          <w:sz w:val="22"/>
          <w:lang w:val="es-ES"/>
        </w:rPr>
        <w:footnoteReference w:id="26"/>
      </w:r>
      <w:r w:rsidRPr="009D198D">
        <w:rPr>
          <w:rFonts w:ascii="Arial" w:eastAsia="Calibri" w:hAnsi="Arial" w:cs="Arial"/>
          <w:sz w:val="22"/>
          <w:lang w:val="es-ES"/>
        </w:rPr>
        <w:t>.</w:t>
      </w:r>
      <w:r w:rsidR="00B7377E" w:rsidRPr="009D198D">
        <w:rPr>
          <w:rFonts w:ascii="Arial" w:eastAsia="Calibri" w:hAnsi="Arial" w:cs="Arial"/>
          <w:sz w:val="22"/>
          <w:lang w:val="es-ES"/>
        </w:rPr>
        <w:t xml:space="preserve"> </w:t>
      </w:r>
    </w:p>
    <w:p w14:paraId="35DE9230" w14:textId="77777777" w:rsidR="00FD51FC" w:rsidRPr="009D198D" w:rsidRDefault="00FD51FC" w:rsidP="001D2330">
      <w:pPr>
        <w:tabs>
          <w:tab w:val="left" w:pos="426"/>
          <w:tab w:val="left" w:pos="8505"/>
        </w:tabs>
        <w:spacing w:before="120" w:line="276" w:lineRule="auto"/>
        <w:ind w:right="51" w:firstLine="709"/>
        <w:jc w:val="both"/>
        <w:rPr>
          <w:rFonts w:ascii="Arial" w:eastAsia="Calibri" w:hAnsi="Arial" w:cs="Arial"/>
          <w:sz w:val="22"/>
          <w:lang w:val="es-ES"/>
        </w:rPr>
      </w:pPr>
      <w:r w:rsidRPr="009D198D">
        <w:rPr>
          <w:rFonts w:ascii="Arial" w:eastAsia="Calibri" w:hAnsi="Arial" w:cs="Arial"/>
          <w:sz w:val="22"/>
          <w:lang w:val="es-ES"/>
        </w:rPr>
        <w:t xml:space="preserve">El fundamento reglamentario de la obligación de publicar el Plan anual de Adquisiciones, de las entidades regidas por el Estatuto General de Contratación de la Administración Pública, </w:t>
      </w:r>
      <w:r w:rsidRPr="009D198D">
        <w:rPr>
          <w:rStyle w:val="Textoennegrita"/>
          <w:rFonts w:ascii="Arial" w:hAnsi="Arial" w:cs="Arial"/>
          <w:b w:val="0"/>
          <w:bCs w:val="0"/>
          <w:color w:val="000000"/>
          <w:sz w:val="22"/>
        </w:rPr>
        <w:t>se encuentra en el artículo 2.2.1.1.1.4.3 del Decreto 1082 de 2015</w:t>
      </w:r>
      <w:r w:rsidRPr="009D198D">
        <w:rPr>
          <w:rStyle w:val="nfasis"/>
          <w:rFonts w:ascii="Arial" w:hAnsi="Arial" w:cs="Arial"/>
          <w:b/>
          <w:bCs/>
          <w:color w:val="000000"/>
          <w:sz w:val="22"/>
        </w:rPr>
        <w:t>,</w:t>
      </w:r>
      <w:r w:rsidRPr="009D198D">
        <w:rPr>
          <w:rStyle w:val="nfasis"/>
          <w:rFonts w:ascii="Arial" w:hAnsi="Arial" w:cs="Arial"/>
          <w:color w:val="000000"/>
          <w:sz w:val="22"/>
        </w:rPr>
        <w:t xml:space="preserve"> </w:t>
      </w:r>
      <w:r w:rsidRPr="009D198D">
        <w:rPr>
          <w:rStyle w:val="nfasis"/>
          <w:rFonts w:ascii="Arial" w:hAnsi="Arial" w:cs="Arial"/>
          <w:i w:val="0"/>
          <w:iCs w:val="0"/>
          <w:color w:val="000000"/>
          <w:sz w:val="22"/>
        </w:rPr>
        <w:t>el cual establece que:</w:t>
      </w:r>
      <w:r w:rsidRPr="009D198D">
        <w:rPr>
          <w:rFonts w:ascii="Arial" w:hAnsi="Arial" w:cs="Arial"/>
          <w:color w:val="000000"/>
          <w:sz w:val="22"/>
        </w:rPr>
        <w:t xml:space="preserve"> «La Entidad Estatal debe publicar su Plan Anual de Adquisiciones y las actualizaciones </w:t>
      </w:r>
      <w:proofErr w:type="gramStart"/>
      <w:r w:rsidRPr="009D198D">
        <w:rPr>
          <w:rFonts w:ascii="Arial" w:hAnsi="Arial" w:cs="Arial"/>
          <w:color w:val="000000"/>
          <w:sz w:val="22"/>
        </w:rPr>
        <w:t>del mismo</w:t>
      </w:r>
      <w:proofErr w:type="gramEnd"/>
      <w:r w:rsidRPr="009D198D">
        <w:rPr>
          <w:rFonts w:ascii="Arial" w:hAnsi="Arial" w:cs="Arial"/>
          <w:color w:val="000000"/>
          <w:sz w:val="22"/>
        </w:rPr>
        <w:t xml:space="preserve"> en su página web y en el SECOP, en la forma que para el efecto disponga Colombia Compra Eficiente». A tales efectos, la Agencia Nacional de Contratación Pública expidió la «</w:t>
      </w:r>
      <w:r w:rsidRPr="009D198D">
        <w:rPr>
          <w:rFonts w:ascii="Arial" w:hAnsi="Arial" w:cs="Arial"/>
          <w:i/>
          <w:iCs/>
          <w:color w:val="000000"/>
          <w:sz w:val="22"/>
        </w:rPr>
        <w:t>Guía para elaborar el Plan Anual de Adquisiciones»,</w:t>
      </w:r>
      <w:r w:rsidRPr="009D198D">
        <w:rPr>
          <w:rFonts w:ascii="Arial" w:hAnsi="Arial" w:cs="Arial"/>
          <w:color w:val="000000"/>
          <w:sz w:val="22"/>
        </w:rPr>
        <w:t xml:space="preserve"> en la que respecto de la publicación del Plan Anual de Adquisiciones se establece que: «</w:t>
      </w:r>
      <w:r w:rsidRPr="009D198D">
        <w:rPr>
          <w:rFonts w:ascii="Arial" w:hAnsi="Arial" w:cs="Arial"/>
          <w:sz w:val="22"/>
        </w:rPr>
        <w:t xml:space="preserve">El Plan </w:t>
      </w:r>
      <w:r w:rsidRPr="009D198D">
        <w:rPr>
          <w:rFonts w:ascii="Arial" w:hAnsi="Arial" w:cs="Arial"/>
          <w:sz w:val="22"/>
        </w:rPr>
        <w:lastRenderedPageBreak/>
        <w:t xml:space="preserve">Anual de Adquisiciones debe publicarse antes del 31 de enero de cada año y actualizarse por lo menos una vez al año». </w:t>
      </w:r>
    </w:p>
    <w:p w14:paraId="369B022C" w14:textId="1B9C8747" w:rsidR="00FD51FC" w:rsidRPr="009D198D" w:rsidRDefault="00FD51FC" w:rsidP="001D2330">
      <w:pPr>
        <w:tabs>
          <w:tab w:val="left" w:pos="426"/>
          <w:tab w:val="left" w:pos="709"/>
        </w:tabs>
        <w:spacing w:before="120" w:line="276" w:lineRule="auto"/>
        <w:ind w:right="51" w:firstLine="709"/>
        <w:jc w:val="both"/>
        <w:rPr>
          <w:rFonts w:ascii="Arial" w:eastAsia="Calibri" w:hAnsi="Arial" w:cs="Arial"/>
          <w:color w:val="000000" w:themeColor="text1"/>
          <w:sz w:val="21"/>
          <w:szCs w:val="21"/>
          <w:lang w:val="es-ES"/>
        </w:rPr>
      </w:pPr>
      <w:r w:rsidRPr="009D198D">
        <w:rPr>
          <w:rFonts w:ascii="Arial" w:eastAsia="Calibri" w:hAnsi="Arial" w:cs="Arial"/>
          <w:sz w:val="22"/>
          <w:lang w:val="es-ES"/>
        </w:rPr>
        <w:t>El régimen de la transparencia y acceso a la información también contiene disposiciones relevantes para el deber de publicidad del Plan Anual de Adquisiciones. Al respecto, la Ley 1712 de 2014, en su artículo 9, literal e), prescribe que todo sujeto obligado deberá publicar, en los sistemas de información del Estado o herramientas que lo sustituyan, su respectivo plan de compras anual</w:t>
      </w:r>
      <w:r w:rsidRPr="009D198D">
        <w:rPr>
          <w:rStyle w:val="Refdenotaalpie"/>
          <w:rFonts w:ascii="Arial" w:eastAsia="Calibri" w:hAnsi="Arial" w:cs="Arial"/>
          <w:sz w:val="22"/>
          <w:lang w:val="es-ES"/>
        </w:rPr>
        <w:footnoteReference w:id="27"/>
      </w:r>
      <w:r w:rsidRPr="009D198D">
        <w:rPr>
          <w:rFonts w:ascii="Arial" w:eastAsia="Calibri" w:hAnsi="Arial" w:cs="Arial"/>
          <w:sz w:val="22"/>
          <w:lang w:val="es-ES"/>
        </w:rPr>
        <w:t>. Para determinar qui</w:t>
      </w:r>
      <w:r w:rsidR="00D97F15" w:rsidRPr="009D198D">
        <w:rPr>
          <w:rFonts w:ascii="Arial" w:eastAsia="Calibri" w:hAnsi="Arial" w:cs="Arial"/>
          <w:sz w:val="22"/>
          <w:lang w:val="es-ES"/>
        </w:rPr>
        <w:t>é</w:t>
      </w:r>
      <w:r w:rsidRPr="009D198D">
        <w:rPr>
          <w:rFonts w:ascii="Arial" w:eastAsia="Calibri" w:hAnsi="Arial" w:cs="Arial"/>
          <w:sz w:val="22"/>
          <w:lang w:val="es-ES"/>
        </w:rPr>
        <w:t xml:space="preserve">nes tienen la calidad de sujetos obligados, y en consecuencia la obligación de publicar el Plan Anual de </w:t>
      </w:r>
      <w:proofErr w:type="gramStart"/>
      <w:r w:rsidRPr="009D198D">
        <w:rPr>
          <w:rFonts w:ascii="Arial" w:eastAsia="Calibri" w:hAnsi="Arial" w:cs="Arial"/>
          <w:sz w:val="22"/>
          <w:lang w:val="es-ES"/>
        </w:rPr>
        <w:t>Adquisiciones,</w:t>
      </w:r>
      <w:proofErr w:type="gramEnd"/>
      <w:r w:rsidRPr="009D198D">
        <w:rPr>
          <w:rFonts w:ascii="Arial" w:eastAsia="Calibri" w:hAnsi="Arial" w:cs="Arial"/>
          <w:sz w:val="22"/>
          <w:lang w:val="es-ES"/>
        </w:rPr>
        <w:t xml:space="preserve"> es necesario remitirse al artículo 5 de la Ley 1712 de 2014</w:t>
      </w:r>
      <w:r w:rsidRPr="009D198D">
        <w:rPr>
          <w:rStyle w:val="Refdenotaalpie"/>
          <w:rFonts w:ascii="Arial" w:eastAsia="Calibri" w:hAnsi="Arial" w:cs="Arial"/>
          <w:sz w:val="22"/>
          <w:lang w:val="es-ES"/>
        </w:rPr>
        <w:footnoteReference w:id="28"/>
      </w:r>
      <w:r w:rsidRPr="009D198D">
        <w:rPr>
          <w:rFonts w:ascii="Arial" w:eastAsia="Calibri" w:hAnsi="Arial" w:cs="Arial"/>
          <w:color w:val="000000" w:themeColor="text1"/>
          <w:sz w:val="21"/>
          <w:szCs w:val="21"/>
          <w:lang w:val="es-ES"/>
        </w:rPr>
        <w:t>.</w:t>
      </w:r>
    </w:p>
    <w:p w14:paraId="73AF1771" w14:textId="6BB6C1E0" w:rsidR="00FD51FC" w:rsidRPr="009D198D" w:rsidRDefault="00FD51FC" w:rsidP="001D2330">
      <w:pPr>
        <w:spacing w:before="120" w:line="276" w:lineRule="auto"/>
        <w:ind w:firstLine="709"/>
        <w:jc w:val="both"/>
        <w:rPr>
          <w:rFonts w:ascii="Arial" w:eastAsia="Calibri" w:hAnsi="Arial" w:cs="Arial"/>
          <w:sz w:val="22"/>
          <w:szCs w:val="22"/>
          <w:lang w:val="es-ES"/>
        </w:rPr>
      </w:pPr>
      <w:r w:rsidRPr="009D198D">
        <w:rPr>
          <w:rFonts w:ascii="Arial" w:eastAsia="Calibri" w:hAnsi="Arial" w:cs="Arial"/>
          <w:sz w:val="22"/>
          <w:lang w:val="es-ES"/>
        </w:rPr>
        <w:t>Dicha norma contiene un listado que abarca determinadas circunstancias en función de las cuales se determina qui</w:t>
      </w:r>
      <w:r w:rsidR="00D97F15" w:rsidRPr="009D198D">
        <w:rPr>
          <w:rFonts w:ascii="Arial" w:eastAsia="Calibri" w:hAnsi="Arial" w:cs="Arial"/>
          <w:sz w:val="22"/>
          <w:lang w:val="es-ES"/>
        </w:rPr>
        <w:t>é</w:t>
      </w:r>
      <w:r w:rsidRPr="009D198D">
        <w:rPr>
          <w:rFonts w:ascii="Arial" w:eastAsia="Calibri" w:hAnsi="Arial" w:cs="Arial"/>
          <w:sz w:val="22"/>
          <w:lang w:val="es-ES"/>
        </w:rPr>
        <w:t>n es un sujeto obligado</w:t>
      </w:r>
      <w:r w:rsidR="00D97F15" w:rsidRPr="009D198D">
        <w:rPr>
          <w:rFonts w:ascii="Arial" w:eastAsia="Calibri" w:hAnsi="Arial" w:cs="Arial"/>
          <w:sz w:val="22"/>
          <w:lang w:val="es-ES"/>
        </w:rPr>
        <w:t>.</w:t>
      </w:r>
      <w:r w:rsidRPr="009D198D">
        <w:rPr>
          <w:rFonts w:ascii="Arial" w:eastAsia="Calibri" w:hAnsi="Arial" w:cs="Arial"/>
          <w:sz w:val="22"/>
          <w:lang w:val="es-ES"/>
        </w:rPr>
        <w:t xml:space="preserve"> </w:t>
      </w:r>
      <w:r w:rsidR="00D97F15" w:rsidRPr="009D198D">
        <w:rPr>
          <w:rFonts w:ascii="Arial" w:eastAsia="Calibri" w:hAnsi="Arial" w:cs="Arial"/>
          <w:sz w:val="22"/>
          <w:lang w:val="es-ES"/>
        </w:rPr>
        <w:t>E</w:t>
      </w:r>
      <w:r w:rsidRPr="009D198D">
        <w:rPr>
          <w:rFonts w:ascii="Arial" w:eastAsia="Calibri" w:hAnsi="Arial" w:cs="Arial"/>
          <w:sz w:val="22"/>
          <w:lang w:val="es-ES"/>
        </w:rPr>
        <w:t xml:space="preserve">stas son predicables de cualquier entidad, órgano, organismo, o persona natural que desempeñe funciones públicas o administre recursos públicos. De hecho, esta Agencia ha aclarado, en relación con el Plan </w:t>
      </w:r>
      <w:r w:rsidRPr="009D198D">
        <w:rPr>
          <w:rFonts w:ascii="Arial" w:eastAsia="Calibri" w:hAnsi="Arial" w:cs="Arial"/>
          <w:sz w:val="22"/>
          <w:lang w:val="es-ES"/>
        </w:rPr>
        <w:lastRenderedPageBreak/>
        <w:t xml:space="preserve">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también se ha aclarado que son sujetos obligados las empresas públicas, las empresas del Estado y las sociedades en las que el Estado tenga participación, sin que importe su monto. Esta obligación de origen legal tiene desarrollo reglamentario en el Decreto 103 de 2015, compilado por el Decreto 1081 de 2015, cuyo artículo 2.1.1.2.1.10 prescribe: </w:t>
      </w:r>
    </w:p>
    <w:p w14:paraId="1F233281" w14:textId="77777777" w:rsidR="00FD51FC" w:rsidRPr="009D198D" w:rsidRDefault="00FD51FC" w:rsidP="00FD51FC">
      <w:pPr>
        <w:ind w:firstLine="709"/>
        <w:rPr>
          <w:rFonts w:ascii="Arial" w:eastAsia="Calibri" w:hAnsi="Arial" w:cs="Arial"/>
          <w:sz w:val="22"/>
          <w:lang w:val="es-ES"/>
        </w:rPr>
      </w:pPr>
    </w:p>
    <w:p w14:paraId="24553A6F" w14:textId="77777777" w:rsidR="00FD51FC" w:rsidRPr="009D198D" w:rsidRDefault="00FD51FC" w:rsidP="00FD51FC">
      <w:pPr>
        <w:tabs>
          <w:tab w:val="left" w:pos="426"/>
        </w:tabs>
        <w:spacing w:after="120"/>
        <w:ind w:left="709" w:right="709"/>
        <w:jc w:val="both"/>
        <w:rPr>
          <w:rFonts w:ascii="Arial" w:eastAsia="Calibri" w:hAnsi="Arial" w:cs="Arial"/>
          <w:color w:val="000000" w:themeColor="text1"/>
          <w:sz w:val="21"/>
          <w:szCs w:val="21"/>
          <w:lang w:val="es-ES"/>
        </w:rPr>
      </w:pPr>
      <w:r w:rsidRPr="009D198D">
        <w:rPr>
          <w:rFonts w:ascii="Arial" w:eastAsia="Calibri" w:hAnsi="Arial" w:cs="Arial"/>
          <w:color w:val="000000" w:themeColor="text1"/>
          <w:sz w:val="21"/>
          <w:szCs w:val="21"/>
          <w:lang w:val="es-ES"/>
        </w:rPr>
        <w:t xml:space="preserve">Artículo 2.1.1.2.1.10. Publicación del Plan Anual de Adquisiciones. Los sujetos obligados que contratan con cargo a recursos públicos deben publicar en su página web y en el </w:t>
      </w:r>
      <w:proofErr w:type="spellStart"/>
      <w:r w:rsidRPr="009D198D">
        <w:rPr>
          <w:rFonts w:ascii="Arial" w:eastAsia="Calibri" w:hAnsi="Arial" w:cs="Arial"/>
          <w:color w:val="000000" w:themeColor="text1"/>
          <w:sz w:val="21"/>
          <w:szCs w:val="21"/>
          <w:lang w:val="es-ES"/>
        </w:rPr>
        <w:t>Secop</w:t>
      </w:r>
      <w:proofErr w:type="spellEnd"/>
      <w:r w:rsidRPr="009D198D">
        <w:rPr>
          <w:rFonts w:ascii="Arial" w:eastAsia="Calibri" w:hAnsi="Arial" w:cs="Arial"/>
          <w:color w:val="000000" w:themeColor="text1"/>
          <w:sz w:val="21"/>
          <w:szCs w:val="21"/>
          <w:lang w:val="es-ES"/>
        </w:rPr>
        <w:t xml:space="preserve"> el Plan Anual de Adquisiciones, de acuerdo con lo previsto en el artículo 74 de la Ley 1474 de 2011, el literal e) del artículo 9° de la Ley 1712 de 2014 y el Decreto 1510 de 2013, o el que lo modifique, sustituya o adicione.</w:t>
      </w:r>
    </w:p>
    <w:p w14:paraId="74AF774F" w14:textId="77777777" w:rsidR="00FD51FC" w:rsidRPr="009D198D" w:rsidRDefault="00FD51FC" w:rsidP="00FD51FC">
      <w:pPr>
        <w:tabs>
          <w:tab w:val="left" w:pos="426"/>
        </w:tabs>
        <w:spacing w:after="120"/>
        <w:ind w:left="709" w:right="709"/>
        <w:jc w:val="both"/>
        <w:rPr>
          <w:rFonts w:ascii="Arial" w:eastAsia="Calibri" w:hAnsi="Arial" w:cs="Arial"/>
          <w:color w:val="000000" w:themeColor="text1"/>
          <w:sz w:val="21"/>
          <w:szCs w:val="21"/>
          <w:lang w:val="es-ES"/>
        </w:rPr>
      </w:pPr>
      <w:r w:rsidRPr="009D198D">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0A80FA61" w14:textId="77777777" w:rsidR="00FD51FC" w:rsidRPr="009D198D" w:rsidRDefault="00FD51FC" w:rsidP="00FD51FC">
      <w:pPr>
        <w:tabs>
          <w:tab w:val="left" w:pos="426"/>
        </w:tabs>
        <w:spacing w:after="120"/>
        <w:ind w:left="709" w:right="709"/>
        <w:jc w:val="both"/>
        <w:rPr>
          <w:rFonts w:ascii="Arial" w:eastAsia="Calibri" w:hAnsi="Arial" w:cs="Arial"/>
          <w:color w:val="000000" w:themeColor="text1"/>
          <w:sz w:val="21"/>
          <w:szCs w:val="21"/>
          <w:lang w:val="es-ES"/>
        </w:rPr>
      </w:pPr>
      <w:r w:rsidRPr="009D198D">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9D198D">
        <w:rPr>
          <w:rFonts w:ascii="Arial" w:eastAsia="Calibri" w:hAnsi="Arial" w:cs="Arial"/>
          <w:color w:val="000000" w:themeColor="text1"/>
          <w:sz w:val="21"/>
          <w:szCs w:val="21"/>
          <w:lang w:val="es-ES"/>
        </w:rPr>
        <w:t>privados,</w:t>
      </w:r>
      <w:proofErr w:type="gramEnd"/>
      <w:r w:rsidRPr="009D198D">
        <w:rPr>
          <w:rFonts w:ascii="Arial" w:eastAsia="Calibri" w:hAnsi="Arial" w:cs="Arial"/>
          <w:color w:val="000000" w:themeColor="text1"/>
          <w:sz w:val="21"/>
          <w:szCs w:val="21"/>
          <w:lang w:val="es-ES"/>
        </w:rPr>
        <w:t xml:space="preserve"> deben publicar en su página web y en el </w:t>
      </w:r>
      <w:proofErr w:type="spellStart"/>
      <w:r w:rsidRPr="009D198D">
        <w:rPr>
          <w:rFonts w:ascii="Arial" w:eastAsia="Calibri" w:hAnsi="Arial" w:cs="Arial"/>
          <w:color w:val="000000" w:themeColor="text1"/>
          <w:sz w:val="21"/>
          <w:szCs w:val="21"/>
          <w:lang w:val="es-ES"/>
        </w:rPr>
        <w:t>Secop</w:t>
      </w:r>
      <w:proofErr w:type="spellEnd"/>
      <w:r w:rsidRPr="009D198D">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11120547" w14:textId="77777777" w:rsidR="00FD51FC" w:rsidRPr="009D198D" w:rsidRDefault="00FD51FC" w:rsidP="00FD51FC">
      <w:pPr>
        <w:tabs>
          <w:tab w:val="left" w:pos="426"/>
        </w:tabs>
        <w:ind w:left="709" w:right="709"/>
        <w:jc w:val="both"/>
        <w:rPr>
          <w:rFonts w:ascii="Arial" w:eastAsia="Calibri" w:hAnsi="Arial" w:cs="Arial"/>
          <w:color w:val="000000" w:themeColor="text1"/>
          <w:sz w:val="21"/>
          <w:szCs w:val="21"/>
          <w:lang w:val="es-ES"/>
        </w:rPr>
      </w:pPr>
      <w:r w:rsidRPr="009D198D">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7B612472" w14:textId="77777777" w:rsidR="00FD51FC" w:rsidRPr="009D198D" w:rsidRDefault="00FD51FC" w:rsidP="00FD51FC">
      <w:pPr>
        <w:tabs>
          <w:tab w:val="left" w:pos="8505"/>
        </w:tabs>
        <w:ind w:rightChars="709" w:right="1702"/>
        <w:rPr>
          <w:rFonts w:ascii="Arial" w:eastAsia="Calibri" w:hAnsi="Arial" w:cs="Arial"/>
          <w:sz w:val="22"/>
          <w:szCs w:val="22"/>
          <w:lang w:val="es-ES"/>
        </w:rPr>
      </w:pPr>
    </w:p>
    <w:p w14:paraId="58C01755" w14:textId="77777777" w:rsidR="00FD51FC" w:rsidRPr="009D198D" w:rsidRDefault="00FD51FC" w:rsidP="00FD51FC">
      <w:pPr>
        <w:spacing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El artículo citado dispone que los sujetos obligados que contraten con cargo a recursos públicos tienen la obligación de publicar el plan anual de adquisiciones en el SECOP.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5C4C03B3" w14:textId="65395E1B" w:rsidR="00FD51FC" w:rsidRPr="009D198D" w:rsidRDefault="00FD51FC" w:rsidP="00FD51FC">
      <w:pPr>
        <w:spacing w:line="276" w:lineRule="auto"/>
        <w:ind w:firstLine="709"/>
        <w:jc w:val="both"/>
        <w:rPr>
          <w:rFonts w:ascii="Arial" w:eastAsia="Calibri" w:hAnsi="Arial" w:cs="Arial"/>
          <w:sz w:val="22"/>
          <w:lang w:val="es-ES"/>
        </w:rPr>
      </w:pPr>
      <w:r w:rsidRPr="009D198D">
        <w:rPr>
          <w:rFonts w:ascii="Arial" w:eastAsia="Calibri" w:hAnsi="Arial" w:cs="Arial"/>
          <w:sz w:val="22"/>
          <w:lang w:val="es-ES"/>
        </w:rPr>
        <w:t>En tales términos, la publicación del Plan Anual de Adquisiciones no solo es una obligación de las entidades regidas por el Estatuto General de Contratación de la Administración Pública, sino también de los obligados en el marco de la Ley 1712 de 2014, que contraten con cargo a recursos públicos. Dichas normas no prevén una consecuencia jurídica directa de la no publicación del plan, ni atribuyen a alguna autoridad en concreto el deber de hacer un seguimiento. No obstante, ello no desvirtúa el carácter de deber legal en el que consiste la obligación de publicar del plan, por lo que su desatención, eventualmente, podría ser considerada como un hecho relevante en el marco del régimen disciplinario y/o de responsabilidad fiscal, acarreando posibles sanciones para el servidor público responsable, que no son objeto de estudio del presente concepto por ser un asunto ajeno a la competencia consultiva de esta Agencia.</w:t>
      </w:r>
    </w:p>
    <w:p w14:paraId="5824C13A" w14:textId="3135741A" w:rsidR="00FD51FC" w:rsidRPr="009D198D" w:rsidRDefault="00FD51FC" w:rsidP="008C38D0">
      <w:pPr>
        <w:spacing w:line="276" w:lineRule="auto"/>
        <w:rPr>
          <w:rFonts w:ascii="Arial" w:eastAsia="Calibri" w:hAnsi="Arial" w:cs="Arial"/>
          <w:b/>
          <w:bCs/>
          <w:sz w:val="22"/>
          <w:lang w:val="es-ES" w:eastAsia="en-GB"/>
        </w:rPr>
      </w:pPr>
    </w:p>
    <w:p w14:paraId="6A9AC2EA" w14:textId="1417CF09" w:rsidR="0032241D" w:rsidRPr="009D198D" w:rsidRDefault="0032241D" w:rsidP="00CE186F">
      <w:pPr>
        <w:jc w:val="both"/>
        <w:rPr>
          <w:rFonts w:ascii="Arial" w:eastAsia="Calibri" w:hAnsi="Arial" w:cs="Arial"/>
          <w:b/>
          <w:bCs/>
          <w:sz w:val="22"/>
          <w:lang w:val="es-ES"/>
        </w:rPr>
      </w:pPr>
      <w:r w:rsidRPr="009D198D">
        <w:rPr>
          <w:rFonts w:ascii="Arial" w:eastAsia="Calibri" w:hAnsi="Arial" w:cs="Arial"/>
          <w:b/>
          <w:bCs/>
          <w:sz w:val="22"/>
          <w:lang w:val="es-ES"/>
        </w:rPr>
        <w:t>2.</w:t>
      </w:r>
      <w:r w:rsidR="006C6619" w:rsidRPr="009D198D">
        <w:rPr>
          <w:rFonts w:ascii="Arial" w:eastAsia="Calibri" w:hAnsi="Arial" w:cs="Arial"/>
          <w:b/>
          <w:bCs/>
          <w:sz w:val="22"/>
          <w:lang w:val="es-ES"/>
        </w:rPr>
        <w:t>2</w:t>
      </w:r>
      <w:r w:rsidRPr="009D198D">
        <w:rPr>
          <w:rFonts w:ascii="Arial" w:eastAsia="Calibri" w:hAnsi="Arial" w:cs="Arial"/>
          <w:b/>
          <w:bCs/>
          <w:sz w:val="22"/>
          <w:lang w:val="es-ES"/>
        </w:rPr>
        <w:t>.</w:t>
      </w:r>
      <w:r w:rsidR="006C6619" w:rsidRPr="009D198D">
        <w:rPr>
          <w:rFonts w:ascii="Arial" w:eastAsia="Calibri" w:hAnsi="Arial" w:cs="Arial"/>
          <w:b/>
          <w:bCs/>
          <w:sz w:val="22"/>
          <w:lang w:val="es-ES"/>
        </w:rPr>
        <w:t>3</w:t>
      </w:r>
      <w:r w:rsidRPr="009D198D">
        <w:rPr>
          <w:rFonts w:ascii="Arial" w:eastAsia="Calibri" w:hAnsi="Arial" w:cs="Arial"/>
          <w:b/>
          <w:bCs/>
          <w:sz w:val="22"/>
          <w:lang w:val="es-ES"/>
        </w:rPr>
        <w:t xml:space="preserve"> Vigencia del plan anual de adquisiciones: publicación como presupuesto de la gestión contractual </w:t>
      </w:r>
    </w:p>
    <w:p w14:paraId="4E3468AB" w14:textId="77777777" w:rsidR="0032241D" w:rsidRPr="009D198D" w:rsidRDefault="0032241D" w:rsidP="0032241D">
      <w:pPr>
        <w:spacing w:line="276" w:lineRule="auto"/>
        <w:rPr>
          <w:rFonts w:ascii="Arial" w:eastAsia="Calibri" w:hAnsi="Arial" w:cs="Arial"/>
          <w:b/>
          <w:bCs/>
          <w:sz w:val="22"/>
          <w:lang w:val="es-ES"/>
        </w:rPr>
      </w:pPr>
    </w:p>
    <w:p w14:paraId="4BA043E8" w14:textId="7161D70B" w:rsidR="0032241D" w:rsidRPr="009D198D" w:rsidRDefault="00CE186F" w:rsidP="0032241D">
      <w:pPr>
        <w:spacing w:after="120" w:line="276" w:lineRule="auto"/>
        <w:jc w:val="both"/>
        <w:rPr>
          <w:rFonts w:ascii="Arial" w:eastAsia="Calibri" w:hAnsi="Arial" w:cs="Arial"/>
          <w:sz w:val="22"/>
          <w:lang w:val="es-ES"/>
        </w:rPr>
      </w:pPr>
      <w:r w:rsidRPr="009D198D">
        <w:rPr>
          <w:rFonts w:ascii="Arial" w:eastAsia="Calibri" w:hAnsi="Arial" w:cs="Arial"/>
          <w:sz w:val="22"/>
          <w:lang w:val="es-ES"/>
        </w:rPr>
        <w:t>Como se ha ind</w:t>
      </w:r>
      <w:r w:rsidR="00ED6B32" w:rsidRPr="009D198D">
        <w:rPr>
          <w:rFonts w:ascii="Arial" w:eastAsia="Calibri" w:hAnsi="Arial" w:cs="Arial"/>
          <w:sz w:val="22"/>
          <w:lang w:val="es-ES"/>
        </w:rPr>
        <w:t>icado</w:t>
      </w:r>
      <w:r w:rsidRPr="009D198D">
        <w:rPr>
          <w:rFonts w:ascii="Arial" w:eastAsia="Calibri" w:hAnsi="Arial" w:cs="Arial"/>
          <w:sz w:val="22"/>
          <w:lang w:val="es-ES"/>
        </w:rPr>
        <w:t>, e</w:t>
      </w:r>
      <w:r w:rsidR="0032241D" w:rsidRPr="009D198D">
        <w:rPr>
          <w:rFonts w:ascii="Arial" w:eastAsia="Calibri" w:hAnsi="Arial" w:cs="Arial"/>
          <w:sz w:val="22"/>
          <w:lang w:val="es-ES"/>
        </w:rPr>
        <w:t xml:space="preserve">l artículo 74 de la Ley 1474 de 2011 señala que las entidades deben publicar el plan de acción «para el año siguiente» a más tardar a 31 de enero de cada año. </w:t>
      </w:r>
      <w:r w:rsidRPr="009D198D">
        <w:rPr>
          <w:rFonts w:ascii="Arial" w:eastAsia="Calibri" w:hAnsi="Arial" w:cs="Arial"/>
          <w:sz w:val="22"/>
          <w:lang w:val="es-ES"/>
        </w:rPr>
        <w:t>E</w:t>
      </w:r>
      <w:r w:rsidR="0032241D" w:rsidRPr="009D198D">
        <w:rPr>
          <w:rFonts w:ascii="Arial" w:eastAsia="Calibri" w:hAnsi="Arial" w:cs="Arial"/>
          <w:sz w:val="22"/>
          <w:lang w:val="es-ES"/>
        </w:rPr>
        <w:t>l concepto de plan de acción incluye el plan general de compras y este, a su vez, equivale al plan anual de adquisiciones. La norma citada establece un plazo máximo para la publicación del plan anual de adquisiciones, pero no un término para su vigencia. La norma señala que se debe publicar el «Plan de Acción para el año siguiente». Sin embargo, esta disposición puede entenderse de dos maneras diferentes.</w:t>
      </w:r>
    </w:p>
    <w:p w14:paraId="5E5A08AD" w14:textId="77777777" w:rsidR="0032241D" w:rsidRPr="009D198D" w:rsidRDefault="0032241D" w:rsidP="0032241D">
      <w:pPr>
        <w:spacing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La primera interpretación posible es que el plan anual de adquisiciones debe incluir las compras desde el día de su publicación y hasta la publicación del siguiente plan. Con ello, si se publica el día 31 de enero, la fecha límite establecida por la Ley, «el año siguiente», iría hasta el 31 de enero del año siguiente. Esta interpretación concuerda con el inciso segundo del artículo 67 del Código Civil según el cual:</w:t>
      </w:r>
      <w:r w:rsidRPr="009D198D">
        <w:rPr>
          <w:rFonts w:ascii="Arial" w:eastAsia="Calibri" w:hAnsi="Arial" w:cs="Arial"/>
          <w:sz w:val="21"/>
          <w:szCs w:val="21"/>
          <w:lang w:val="es-ES"/>
        </w:rPr>
        <w:t xml:space="preserve"> </w:t>
      </w:r>
      <w:r w:rsidRPr="009D198D">
        <w:rPr>
          <w:rFonts w:ascii="Arial" w:eastAsia="Calibri" w:hAnsi="Arial" w:cs="Arial"/>
          <w:sz w:val="22"/>
          <w:szCs w:val="22"/>
          <w:lang w:val="es-ES"/>
        </w:rPr>
        <w:t xml:space="preserve">«El primero y último día de un plazo de meses o años deberán tener un mismo número en los respectivos meses. El plazo de un mes podrá ser, por consiguiente, de 28, 29, 30 o 31 días, y el plazo de un año de 365 o 366 días, según los casos». </w:t>
      </w:r>
      <w:r w:rsidRPr="009D198D">
        <w:rPr>
          <w:rFonts w:ascii="Arial" w:eastAsia="Calibri" w:hAnsi="Arial" w:cs="Arial"/>
          <w:sz w:val="22"/>
          <w:lang w:val="es-ES"/>
        </w:rPr>
        <w:t xml:space="preserve">En esta medida, la vigencia terminaría el 31 de enero del año siguiente. </w:t>
      </w:r>
    </w:p>
    <w:p w14:paraId="3F0BB62E" w14:textId="68331892" w:rsidR="0032241D" w:rsidRPr="009D198D" w:rsidRDefault="0032241D" w:rsidP="0032241D">
      <w:pPr>
        <w:spacing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La segunda interpretación posible es que el plan anual de adquisiciones está vigente desde el día de su publicación y hasta la finalización del año en curso, esto es</w:t>
      </w:r>
      <w:r w:rsidR="00D97F15" w:rsidRPr="009D198D">
        <w:rPr>
          <w:rFonts w:ascii="Arial" w:eastAsia="Calibri" w:hAnsi="Arial" w:cs="Arial"/>
          <w:sz w:val="22"/>
          <w:lang w:val="es-ES"/>
        </w:rPr>
        <w:t>,</w:t>
      </w:r>
      <w:r w:rsidRPr="009D198D">
        <w:rPr>
          <w:rFonts w:ascii="Arial" w:eastAsia="Calibri" w:hAnsi="Arial" w:cs="Arial"/>
          <w:sz w:val="22"/>
          <w:lang w:val="es-ES"/>
        </w:rPr>
        <w:t xml:space="preserve"> hasta el 31 de diciembre. Esta interpretación se soporta en el artículo 2.2.1.1.1.4.1. del Decreto 1082 de 2015 que señala que el plan debe contener los bienes, obras y servicios que las entidades «pretenden adquirir durante el año». En este contexto el vocablo «durante el año» no sería un plazo de un año contado a partir de la publicación, sino un límite para su vigencia: la finalización del año en curso. En ese orden de ideas, si </w:t>
      </w:r>
      <w:r w:rsidR="00D97F15" w:rsidRPr="009D198D">
        <w:rPr>
          <w:rFonts w:ascii="Arial" w:eastAsia="Calibri" w:hAnsi="Arial" w:cs="Arial"/>
          <w:sz w:val="22"/>
          <w:lang w:val="es-ES"/>
        </w:rPr>
        <w:t xml:space="preserve">el plan </w:t>
      </w:r>
      <w:r w:rsidRPr="009D198D">
        <w:rPr>
          <w:rFonts w:ascii="Arial" w:eastAsia="Calibri" w:hAnsi="Arial" w:cs="Arial"/>
          <w:sz w:val="22"/>
          <w:lang w:val="es-ES"/>
        </w:rPr>
        <w:t xml:space="preserve">se publicara en la fecha límite para cumplir la obligación legal, ese documento tendría vigencia desde el 31 de enero al 31 de diciembre del mismo año. </w:t>
      </w:r>
    </w:p>
    <w:p w14:paraId="3F58DAAD" w14:textId="77777777" w:rsidR="0032241D" w:rsidRPr="009D198D" w:rsidRDefault="0032241D" w:rsidP="0032241D">
      <w:pPr>
        <w:spacing w:after="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Para la Subdirección, la segunda interpretación del artículo 74 de la Ley 1474 de 2011 es la que mejor se adecúa al espíritu de las normas y se armoniza con el contenido del plan anual de adquisiciones. En este punto, vale la pena recordar que en el plan se debe indicar «el tipo de recursos con cargo a los cuales la Entidad Estatal pagará» los bienes, obras o servicios a contratar. Habida consideración del principio de anualidad del </w:t>
      </w:r>
      <w:proofErr w:type="gramStart"/>
      <w:r w:rsidRPr="009D198D">
        <w:rPr>
          <w:rFonts w:ascii="Arial" w:eastAsia="Calibri" w:hAnsi="Arial" w:cs="Arial"/>
          <w:sz w:val="22"/>
          <w:lang w:val="es-ES"/>
        </w:rPr>
        <w:t>presupuesto,</w:t>
      </w:r>
      <w:proofErr w:type="gramEnd"/>
      <w:r w:rsidRPr="009D198D">
        <w:rPr>
          <w:rFonts w:ascii="Arial" w:eastAsia="Calibri" w:hAnsi="Arial" w:cs="Arial"/>
          <w:sz w:val="22"/>
          <w:lang w:val="es-ES"/>
        </w:rPr>
        <w:t xml:space="preserve"> resulta más lógico entender que se debe incluir «la lista de bienes, obras y servicios» que se pretenden adquirir hasta el 31 de diciembre. De lo contrario, se exigiría a la entidad incluir en el plan contratos que se harán con cargo a recursos de un presupuesto que aún no existe. Dicho lo anterior, es posible concluir que el plan anual de adquisiciones está vigente desde el día de su publicación y hasta el 31 de diciembre del año </w:t>
      </w:r>
      <w:r w:rsidRPr="009D198D">
        <w:rPr>
          <w:rFonts w:ascii="Arial" w:eastAsia="Calibri" w:hAnsi="Arial" w:cs="Arial"/>
          <w:sz w:val="22"/>
          <w:lang w:val="es-ES"/>
        </w:rPr>
        <w:lastRenderedPageBreak/>
        <w:t xml:space="preserve">correspondiente y, por lo tanto, el plan debe contener la lista de todos los bienes, obras y servicios que se pretenden adquirir durante ese periodo. </w:t>
      </w:r>
    </w:p>
    <w:p w14:paraId="4ECA0221" w14:textId="2D143231" w:rsidR="0032241D" w:rsidRPr="009D198D" w:rsidRDefault="0032241D" w:rsidP="0032241D">
      <w:pPr>
        <w:spacing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Lo anterior no obsta para que la publicación del plan anual de adquisiciones sea obligatoria antes de la celebración de cualquier contrato por parte de las entidades estatales</w:t>
      </w:r>
      <w:bookmarkStart w:id="15" w:name="_Hlk92447889"/>
      <w:r w:rsidRPr="009D198D">
        <w:rPr>
          <w:rFonts w:ascii="Arial" w:eastAsia="Calibri" w:hAnsi="Arial" w:cs="Arial"/>
          <w:sz w:val="22"/>
          <w:lang w:val="es-ES"/>
        </w:rPr>
        <w:t xml:space="preserve">. Conforme al artículo 74 de la Ley 1474 de 2011, las entidades elaboran el plan anual de adquisiciones </w:t>
      </w:r>
      <w:r w:rsidRPr="009D198D">
        <w:rPr>
          <w:rFonts w:ascii="Arial" w:eastAsia="Calibri" w:hAnsi="Arial" w:cs="Arial"/>
          <w:i/>
          <w:iCs/>
          <w:sz w:val="22"/>
          <w:lang w:val="es-ES"/>
        </w:rPr>
        <w:t>para el año siguiente</w:t>
      </w:r>
      <w:r w:rsidRPr="009D198D">
        <w:rPr>
          <w:rFonts w:ascii="Arial" w:eastAsia="Calibri" w:hAnsi="Arial" w:cs="Arial"/>
          <w:sz w:val="22"/>
          <w:lang w:val="es-ES"/>
        </w:rPr>
        <w:t xml:space="preserve">. En esta medida, considerando que el artículo 2.2.1.1.1.4.1 del Decreto 1082 de 2015 dispone que este documento «[…] debe contener la lista de bienes, obras y servicios que pretenden adquirir </w:t>
      </w:r>
      <w:r w:rsidRPr="009D198D">
        <w:rPr>
          <w:rFonts w:ascii="Arial" w:eastAsia="Calibri" w:hAnsi="Arial" w:cs="Arial"/>
          <w:i/>
          <w:iCs/>
          <w:sz w:val="22"/>
          <w:lang w:val="es-ES"/>
        </w:rPr>
        <w:t>durante el año</w:t>
      </w:r>
      <w:r w:rsidRPr="009D198D">
        <w:rPr>
          <w:rFonts w:ascii="Arial" w:eastAsia="Calibri" w:hAnsi="Arial" w:cs="Arial"/>
          <w:sz w:val="22"/>
          <w:lang w:val="es-ES"/>
        </w:rPr>
        <w:t>» (</w:t>
      </w:r>
      <w:r w:rsidR="00FA71FA" w:rsidRPr="009D198D">
        <w:rPr>
          <w:rFonts w:ascii="Arial" w:eastAsia="Calibri" w:hAnsi="Arial" w:cs="Arial"/>
          <w:sz w:val="22"/>
          <w:lang w:val="es-ES"/>
        </w:rPr>
        <w:t>é</w:t>
      </w:r>
      <w:r w:rsidRPr="009D198D">
        <w:rPr>
          <w:rFonts w:ascii="Arial" w:eastAsia="Calibri" w:hAnsi="Arial" w:cs="Arial"/>
          <w:sz w:val="22"/>
          <w:lang w:val="es-ES"/>
        </w:rPr>
        <w:t xml:space="preserve">nfasis fuera de texto), la celebración de contratos supone que estas necesidades deben estar previamente determinadas en el plan anual, el cual deberá publicarse para que la entidad inicie con la gestión contractual durante la vigencia fiscal. De hecho, si se celebran contratos antes de publicar el plan, se llegaría </w:t>
      </w:r>
      <w:r w:rsidR="00522B88" w:rsidRPr="009D198D">
        <w:rPr>
          <w:rFonts w:ascii="Arial" w:eastAsia="Calibri" w:hAnsi="Arial" w:cs="Arial"/>
          <w:sz w:val="22"/>
          <w:lang w:val="es-ES"/>
        </w:rPr>
        <w:t xml:space="preserve">al </w:t>
      </w:r>
      <w:r w:rsidRPr="009D198D">
        <w:rPr>
          <w:rFonts w:ascii="Arial" w:eastAsia="Calibri" w:hAnsi="Arial" w:cs="Arial"/>
          <w:sz w:val="22"/>
          <w:lang w:val="es-ES"/>
        </w:rPr>
        <w:t xml:space="preserve">absurdo de no publicar en él todos los bienes, obras o servicios que se pretenden adquirir durante su vigencia. </w:t>
      </w:r>
    </w:p>
    <w:p w14:paraId="36C07951" w14:textId="3156C987" w:rsidR="0032241D" w:rsidRPr="009D198D" w:rsidRDefault="002F30FD" w:rsidP="0032241D">
      <w:pPr>
        <w:spacing w:after="120" w:line="276" w:lineRule="auto"/>
        <w:ind w:firstLine="708"/>
        <w:jc w:val="both"/>
        <w:rPr>
          <w:rFonts w:ascii="Arial" w:eastAsia="Calibri" w:hAnsi="Arial" w:cs="Arial"/>
          <w:sz w:val="22"/>
          <w:lang w:val="es-ES"/>
        </w:rPr>
      </w:pPr>
      <w:r w:rsidRPr="009D198D">
        <w:rPr>
          <w:rFonts w:ascii="Arial" w:eastAsia="Calibri" w:hAnsi="Arial" w:cs="Arial"/>
          <w:sz w:val="22"/>
          <w:lang w:val="es-ES"/>
        </w:rPr>
        <w:t>Reiterando las consideraciones del Concepto Unificado CU-348 del 3 de julio de 2020 de esta Agencia, l</w:t>
      </w:r>
      <w:r w:rsidR="0032241D" w:rsidRPr="009D198D">
        <w:rPr>
          <w:rFonts w:ascii="Arial" w:eastAsia="Calibri" w:hAnsi="Arial" w:cs="Arial"/>
          <w:sz w:val="22"/>
          <w:lang w:val="es-ES"/>
        </w:rPr>
        <w:t>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término máximo previsto por la ley, los contratos celebrados durante el primer mes de</w:t>
      </w:r>
      <w:r w:rsidR="00FA71FA" w:rsidRPr="009D198D">
        <w:rPr>
          <w:rFonts w:ascii="Arial" w:eastAsia="Calibri" w:hAnsi="Arial" w:cs="Arial"/>
          <w:sz w:val="22"/>
          <w:lang w:val="es-ES"/>
        </w:rPr>
        <w:t>l</w:t>
      </w:r>
      <w:r w:rsidR="0032241D" w:rsidRPr="009D198D">
        <w:rPr>
          <w:rFonts w:ascii="Arial" w:eastAsia="Calibri" w:hAnsi="Arial" w:cs="Arial"/>
          <w:sz w:val="22"/>
          <w:lang w:val="es-ES"/>
        </w:rPr>
        <w:t xml:space="preserve"> año no entrarían en el plan de adquisiciones y no sería posible incluirlos de manera posterior.</w:t>
      </w:r>
      <w:r w:rsidR="00B7377E" w:rsidRPr="009D198D">
        <w:rPr>
          <w:rFonts w:ascii="Arial" w:eastAsia="Calibri" w:hAnsi="Arial" w:cs="Arial"/>
          <w:sz w:val="22"/>
          <w:lang w:val="es-ES"/>
        </w:rPr>
        <w:t xml:space="preserve"> </w:t>
      </w:r>
    </w:p>
    <w:p w14:paraId="21EF0B8C" w14:textId="4F7BBD60" w:rsidR="0032241D" w:rsidRPr="009D198D" w:rsidRDefault="0032241D" w:rsidP="00522B88">
      <w:pPr>
        <w:spacing w:before="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En ese orden de ideas, el plan anual de adquisiciones debe elaborarse y publicarse antes de la celebración de cualquier contrato estatal, pues solo esta interpretación de la norma permite que se materialicen verdaderamente las finalidades de este instrumento de planeación en el ordenamiento colombiano. Las entidades del Estado tienen la posibilidad de publicar el plan anual de adquisiciones hasta el 31 de enero del año en curso. Pese a ello, dicha publicación debe anteceder </w:t>
      </w:r>
      <w:r w:rsidR="00FA71FA" w:rsidRPr="009D198D">
        <w:rPr>
          <w:rFonts w:ascii="Arial" w:eastAsia="Calibri" w:hAnsi="Arial" w:cs="Arial"/>
          <w:sz w:val="22"/>
          <w:lang w:val="es-ES"/>
        </w:rPr>
        <w:t xml:space="preserve">a </w:t>
      </w:r>
      <w:r w:rsidRPr="009D198D">
        <w:rPr>
          <w:rFonts w:ascii="Arial" w:eastAsia="Calibri" w:hAnsi="Arial" w:cs="Arial"/>
          <w:sz w:val="22"/>
          <w:lang w:val="es-ES"/>
        </w:rPr>
        <w:t>la celebración del primer contrato del año.</w:t>
      </w:r>
      <w:bookmarkEnd w:id="15"/>
    </w:p>
    <w:p w14:paraId="3087523F" w14:textId="77777777" w:rsidR="00CD64A0" w:rsidRPr="009D198D" w:rsidRDefault="00CD64A0" w:rsidP="00DE3930">
      <w:pPr>
        <w:spacing w:line="276" w:lineRule="auto"/>
        <w:ind w:firstLine="709"/>
        <w:jc w:val="both"/>
        <w:rPr>
          <w:rFonts w:ascii="Arial" w:eastAsia="Calibri" w:hAnsi="Arial" w:cs="Arial"/>
          <w:sz w:val="22"/>
          <w:lang w:val="es-ES"/>
        </w:rPr>
      </w:pPr>
    </w:p>
    <w:p w14:paraId="7423B0E8" w14:textId="7773909A" w:rsidR="00AE087F" w:rsidRPr="009D198D" w:rsidRDefault="00AE087F" w:rsidP="00DE3930">
      <w:pPr>
        <w:spacing w:line="276" w:lineRule="auto"/>
        <w:jc w:val="both"/>
        <w:rPr>
          <w:rFonts w:ascii="Arial" w:eastAsia="Calibri" w:hAnsi="Arial" w:cs="Arial"/>
          <w:b/>
          <w:bCs/>
          <w:color w:val="000000"/>
          <w:sz w:val="22"/>
          <w:szCs w:val="22"/>
          <w:lang w:val="es-MX" w:eastAsia="en-GB"/>
        </w:rPr>
      </w:pPr>
      <w:r w:rsidRPr="009D198D">
        <w:rPr>
          <w:rFonts w:ascii="Arial" w:eastAsia="Calibri" w:hAnsi="Arial" w:cs="Arial"/>
          <w:b/>
          <w:bCs/>
          <w:sz w:val="22"/>
          <w:szCs w:val="22"/>
          <w:lang w:val="es-ES"/>
        </w:rPr>
        <w:t>2.</w:t>
      </w:r>
      <w:r w:rsidR="002E2D4B" w:rsidRPr="009D198D">
        <w:rPr>
          <w:rFonts w:ascii="Arial" w:eastAsia="Calibri" w:hAnsi="Arial" w:cs="Arial"/>
          <w:b/>
          <w:bCs/>
          <w:sz w:val="22"/>
          <w:szCs w:val="22"/>
          <w:lang w:val="es-ES"/>
        </w:rPr>
        <w:t>3</w:t>
      </w:r>
      <w:r w:rsidRPr="009D198D">
        <w:rPr>
          <w:rFonts w:ascii="Arial" w:eastAsia="Calibri" w:hAnsi="Arial" w:cs="Arial"/>
          <w:b/>
          <w:bCs/>
          <w:sz w:val="22"/>
          <w:szCs w:val="22"/>
          <w:lang w:val="es-ES"/>
        </w:rPr>
        <w:t xml:space="preserve">. </w:t>
      </w:r>
      <w:r w:rsidRPr="009D198D">
        <w:rPr>
          <w:rFonts w:ascii="Arial" w:eastAsia="Calibri" w:hAnsi="Arial" w:cs="Arial"/>
          <w:b/>
          <w:bCs/>
          <w:color w:val="000000"/>
          <w:sz w:val="22"/>
          <w:szCs w:val="22"/>
          <w:lang w:val="es-MX" w:eastAsia="en-GB"/>
        </w:rPr>
        <w:t>Etapas de</w:t>
      </w:r>
      <w:r w:rsidR="006B3430" w:rsidRPr="009D198D">
        <w:rPr>
          <w:rFonts w:ascii="Arial" w:eastAsia="Calibri" w:hAnsi="Arial" w:cs="Arial"/>
          <w:b/>
          <w:bCs/>
          <w:color w:val="000000"/>
          <w:sz w:val="22"/>
          <w:szCs w:val="22"/>
          <w:lang w:val="es-MX" w:eastAsia="en-GB"/>
        </w:rPr>
        <w:t xml:space="preserve">l </w:t>
      </w:r>
      <w:r w:rsidR="0056468C" w:rsidRPr="009D198D">
        <w:rPr>
          <w:rFonts w:ascii="Arial" w:eastAsia="Calibri" w:hAnsi="Arial" w:cs="Arial"/>
          <w:b/>
          <w:bCs/>
          <w:color w:val="000000"/>
          <w:sz w:val="22"/>
          <w:szCs w:val="22"/>
          <w:lang w:val="es-MX" w:eastAsia="en-GB"/>
        </w:rPr>
        <w:t>proceso de contratación</w:t>
      </w:r>
      <w:r w:rsidR="006B3430" w:rsidRPr="009D198D">
        <w:rPr>
          <w:rFonts w:ascii="Arial" w:eastAsia="Calibri" w:hAnsi="Arial" w:cs="Arial"/>
          <w:b/>
          <w:bCs/>
          <w:color w:val="000000"/>
          <w:sz w:val="22"/>
          <w:szCs w:val="22"/>
          <w:lang w:val="es-MX" w:eastAsia="en-GB"/>
        </w:rPr>
        <w:t xml:space="preserve"> y actuaciones en</w:t>
      </w:r>
      <w:r w:rsidR="00987BCA" w:rsidRPr="009D198D">
        <w:rPr>
          <w:rFonts w:ascii="Arial" w:eastAsia="Calibri" w:hAnsi="Arial" w:cs="Arial"/>
          <w:b/>
          <w:bCs/>
          <w:color w:val="000000"/>
          <w:sz w:val="22"/>
          <w:szCs w:val="22"/>
          <w:lang w:val="es-MX" w:eastAsia="en-GB"/>
        </w:rPr>
        <w:t xml:space="preserve"> la audiencia de adjudicación </w:t>
      </w:r>
      <w:bookmarkStart w:id="16" w:name="_Hlk94001307"/>
      <w:r w:rsidR="00B307D5" w:rsidRPr="009D198D">
        <w:rPr>
          <w:rFonts w:ascii="Arial" w:eastAsia="Calibri" w:hAnsi="Arial" w:cs="Arial"/>
          <w:b/>
          <w:bCs/>
          <w:color w:val="000000"/>
          <w:sz w:val="22"/>
          <w:szCs w:val="22"/>
          <w:lang w:val="es-MX" w:eastAsia="en-GB"/>
        </w:rPr>
        <w:t>en la licitación pública</w:t>
      </w:r>
      <w:r w:rsidR="00387CF6" w:rsidRPr="009D198D">
        <w:rPr>
          <w:rFonts w:ascii="Arial" w:hAnsi="Arial" w:cs="Arial"/>
          <w:sz w:val="22"/>
        </w:rPr>
        <w:t xml:space="preserve"> </w:t>
      </w:r>
      <w:r w:rsidR="00387CF6" w:rsidRPr="009D198D">
        <w:rPr>
          <w:rFonts w:ascii="Arial" w:hAnsi="Arial" w:cs="Arial"/>
          <w:b/>
          <w:bCs/>
          <w:sz w:val="22"/>
        </w:rPr>
        <w:t>para seleccionar contratistas de obra pública</w:t>
      </w:r>
      <w:bookmarkEnd w:id="16"/>
    </w:p>
    <w:p w14:paraId="22BCFA90" w14:textId="77777777" w:rsidR="00177E48" w:rsidRPr="009D198D" w:rsidRDefault="00AE087F" w:rsidP="00DE3930">
      <w:pPr>
        <w:spacing w:line="276" w:lineRule="auto"/>
        <w:jc w:val="both"/>
        <w:rPr>
          <w:rFonts w:ascii="Arial" w:eastAsia="Calibri" w:hAnsi="Arial" w:cs="Arial"/>
          <w:b/>
          <w:bCs/>
          <w:color w:val="000000"/>
          <w:lang w:val="es-MX" w:eastAsia="en-GB"/>
        </w:rPr>
      </w:pPr>
      <w:r w:rsidRPr="009D198D">
        <w:rPr>
          <w:rFonts w:ascii="Arial" w:eastAsia="Calibri" w:hAnsi="Arial" w:cs="Arial"/>
          <w:b/>
          <w:bCs/>
          <w:color w:val="000000"/>
          <w:lang w:val="es-MX" w:eastAsia="en-GB"/>
        </w:rPr>
        <w:t xml:space="preserve"> </w:t>
      </w:r>
    </w:p>
    <w:p w14:paraId="4C1D01F9" w14:textId="67158C6F" w:rsidR="00AE087F" w:rsidRPr="009D198D" w:rsidRDefault="00581D5E" w:rsidP="00A32186">
      <w:pPr>
        <w:spacing w:line="276" w:lineRule="auto"/>
        <w:jc w:val="both"/>
        <w:rPr>
          <w:rFonts w:ascii="Arial" w:eastAsia="Calibri" w:hAnsi="Arial" w:cs="Arial"/>
          <w:sz w:val="22"/>
          <w:lang w:val="es-ES"/>
        </w:rPr>
      </w:pPr>
      <w:r w:rsidRPr="009D198D">
        <w:rPr>
          <w:rFonts w:ascii="Arial" w:eastAsia="Calibri" w:hAnsi="Arial" w:cs="Arial"/>
          <w:sz w:val="22"/>
          <w:lang w:val="es-ES"/>
        </w:rPr>
        <w:t xml:space="preserve">De </w:t>
      </w:r>
      <w:r w:rsidR="00543C33" w:rsidRPr="009D198D">
        <w:rPr>
          <w:rFonts w:ascii="Arial" w:eastAsia="Calibri" w:hAnsi="Arial" w:cs="Arial"/>
          <w:sz w:val="22"/>
          <w:lang w:val="es-ES"/>
        </w:rPr>
        <w:t xml:space="preserve">conformidad con el artículo </w:t>
      </w:r>
      <w:r w:rsidR="00543C33" w:rsidRPr="009D198D">
        <w:rPr>
          <w:rFonts w:ascii="Arial" w:eastAsia="Arial" w:hAnsi="Arial" w:cs="Arial"/>
          <w:sz w:val="22"/>
          <w:lang w:val="es-ES"/>
        </w:rPr>
        <w:t xml:space="preserve">el </w:t>
      </w:r>
      <w:r w:rsidR="00543C33" w:rsidRPr="009D198D">
        <w:rPr>
          <w:rFonts w:ascii="Arial" w:eastAsia="Calibri" w:hAnsi="Arial" w:cs="Arial"/>
          <w:sz w:val="22"/>
          <w:szCs w:val="22"/>
          <w:lang w:val="es-ES_tradnl" w:eastAsia="en-US"/>
        </w:rPr>
        <w:t>2.2.1.1.1.3.1</w:t>
      </w:r>
      <w:r w:rsidR="00FA71FA" w:rsidRPr="009D198D">
        <w:rPr>
          <w:rFonts w:ascii="Arial" w:eastAsia="Calibri" w:hAnsi="Arial" w:cs="Arial"/>
          <w:sz w:val="22"/>
          <w:szCs w:val="22"/>
          <w:lang w:val="es-ES_tradnl" w:eastAsia="en-US"/>
        </w:rPr>
        <w:t>. del Decreto 1082 de 2015</w:t>
      </w:r>
      <w:r w:rsidR="00543C33" w:rsidRPr="009D198D">
        <w:rPr>
          <w:rFonts w:ascii="Arial" w:eastAsia="Calibri" w:hAnsi="Arial" w:cs="Arial"/>
          <w:sz w:val="22"/>
          <w:szCs w:val="22"/>
          <w:lang w:val="es-ES_tradnl" w:eastAsia="en-US"/>
        </w:rPr>
        <w:t xml:space="preserve"> el </w:t>
      </w:r>
      <w:r w:rsidR="00543C33" w:rsidRPr="009D198D">
        <w:rPr>
          <w:rFonts w:ascii="Arial" w:eastAsia="Arial" w:hAnsi="Arial" w:cs="Arial"/>
          <w:i/>
          <w:iCs/>
          <w:sz w:val="22"/>
          <w:lang w:val="es-ES"/>
        </w:rPr>
        <w:t>Proceso de Contratación</w:t>
      </w:r>
      <w:r w:rsidR="00543C33" w:rsidRPr="009D198D">
        <w:rPr>
          <w:rFonts w:ascii="Arial" w:eastAsia="Arial" w:hAnsi="Arial" w:cs="Arial"/>
          <w:sz w:val="22"/>
          <w:lang w:val="es-ES"/>
        </w:rPr>
        <w:t xml:space="preserve"> es el </w:t>
      </w:r>
      <w:bookmarkStart w:id="17" w:name="_Hlk94030114"/>
      <w:r w:rsidR="00543C33" w:rsidRPr="009D198D">
        <w:rPr>
          <w:rFonts w:ascii="Arial" w:eastAsia="Arial" w:hAnsi="Arial" w:cs="Arial"/>
          <w:sz w:val="22"/>
          <w:lang w:val="es-ES"/>
        </w:rPr>
        <w:t>«</w:t>
      </w:r>
      <w:bookmarkEnd w:id="17"/>
      <w:r w:rsidR="00543C33" w:rsidRPr="009D198D">
        <w:rPr>
          <w:rFonts w:ascii="Arial" w:eastAsia="Arial" w:hAnsi="Arial" w:cs="Arial"/>
          <w:sz w:val="22"/>
          <w:lang w:val="es-ES"/>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Pr="009D198D">
        <w:rPr>
          <w:rFonts w:ascii="Arial" w:eastAsia="Calibri" w:hAnsi="Arial" w:cs="Arial"/>
          <w:sz w:val="22"/>
          <w:lang w:val="es-ES"/>
        </w:rPr>
        <w:t>»</w:t>
      </w:r>
      <w:r w:rsidR="00543C33" w:rsidRPr="009D198D">
        <w:rPr>
          <w:rFonts w:ascii="Arial" w:eastAsia="Arial" w:hAnsi="Arial" w:cs="Arial"/>
          <w:sz w:val="22"/>
          <w:lang w:val="es-ES"/>
        </w:rPr>
        <w:t>. En este sentido, durante el proceso de contratación se surte</w:t>
      </w:r>
      <w:r w:rsidR="00F46C47" w:rsidRPr="009D198D">
        <w:rPr>
          <w:rFonts w:ascii="Arial" w:eastAsia="Arial" w:hAnsi="Arial" w:cs="Arial"/>
          <w:sz w:val="22"/>
          <w:lang w:val="es-ES"/>
        </w:rPr>
        <w:t>n</w:t>
      </w:r>
      <w:r w:rsidR="00543C33" w:rsidRPr="009D198D">
        <w:rPr>
          <w:rFonts w:ascii="Arial" w:eastAsia="Arial" w:hAnsi="Arial" w:cs="Arial"/>
          <w:sz w:val="22"/>
          <w:lang w:val="es-ES"/>
        </w:rPr>
        <w:t xml:space="preserve"> diferentes etapas que van desde </w:t>
      </w:r>
      <w:r w:rsidR="007240CC" w:rsidRPr="009D198D">
        <w:rPr>
          <w:rFonts w:ascii="Arial" w:eastAsia="Arial" w:hAnsi="Arial" w:cs="Arial"/>
          <w:sz w:val="22"/>
          <w:lang w:val="es-ES"/>
        </w:rPr>
        <w:t xml:space="preserve">la planeación </w:t>
      </w:r>
      <w:r w:rsidR="007240CC" w:rsidRPr="009D198D">
        <w:rPr>
          <w:rFonts w:ascii="Arial" w:eastAsia="Arial" w:hAnsi="Arial" w:cs="Arial"/>
          <w:sz w:val="22"/>
          <w:lang w:val="es-ES"/>
        </w:rPr>
        <w:lastRenderedPageBreak/>
        <w:t>y el</w:t>
      </w:r>
      <w:r w:rsidR="00543C33" w:rsidRPr="009D198D">
        <w:rPr>
          <w:rFonts w:ascii="Arial" w:eastAsia="Arial" w:hAnsi="Arial" w:cs="Arial"/>
          <w:sz w:val="22"/>
          <w:lang w:val="es-ES"/>
        </w:rPr>
        <w:t xml:space="preserve"> </w:t>
      </w:r>
      <w:r w:rsidR="00F46C47" w:rsidRPr="009D198D">
        <w:rPr>
          <w:rFonts w:ascii="Arial" w:eastAsia="Arial" w:hAnsi="Arial" w:cs="Arial"/>
          <w:sz w:val="22"/>
          <w:lang w:val="es-ES"/>
        </w:rPr>
        <w:t>procedimiento de selección, hasta la formación del contrato, su ejecución</w:t>
      </w:r>
      <w:r w:rsidR="00BA75C8" w:rsidRPr="009D198D">
        <w:rPr>
          <w:rFonts w:ascii="Arial" w:eastAsia="Arial" w:hAnsi="Arial" w:cs="Arial"/>
          <w:sz w:val="22"/>
          <w:lang w:val="es-ES"/>
        </w:rPr>
        <w:t>, terminación</w:t>
      </w:r>
      <w:r w:rsidR="00F46C47" w:rsidRPr="009D198D">
        <w:rPr>
          <w:rFonts w:ascii="Arial" w:eastAsia="Arial" w:hAnsi="Arial" w:cs="Arial"/>
          <w:sz w:val="22"/>
          <w:lang w:val="es-ES"/>
        </w:rPr>
        <w:t xml:space="preserve"> </w:t>
      </w:r>
      <w:r w:rsidR="00BA75C8" w:rsidRPr="009D198D">
        <w:rPr>
          <w:rFonts w:ascii="Arial" w:eastAsia="Arial" w:hAnsi="Arial" w:cs="Arial"/>
          <w:sz w:val="22"/>
          <w:lang w:val="es-ES"/>
        </w:rPr>
        <w:t xml:space="preserve">y </w:t>
      </w:r>
      <w:r w:rsidR="00F46C47" w:rsidRPr="009D198D">
        <w:rPr>
          <w:rFonts w:ascii="Arial" w:eastAsia="Arial" w:hAnsi="Arial" w:cs="Arial"/>
          <w:sz w:val="22"/>
          <w:lang w:val="es-ES"/>
        </w:rPr>
        <w:t>liquidación</w:t>
      </w:r>
      <w:r w:rsidR="00BA75C8" w:rsidRPr="009D198D">
        <w:rPr>
          <w:rFonts w:ascii="Arial" w:eastAsia="Arial" w:hAnsi="Arial" w:cs="Arial"/>
          <w:sz w:val="22"/>
          <w:lang w:val="es-ES"/>
        </w:rPr>
        <w:t>.</w:t>
      </w:r>
    </w:p>
    <w:p w14:paraId="24C0EB57" w14:textId="51AE7038" w:rsidR="002E4BDC" w:rsidRPr="009D198D" w:rsidRDefault="00543C33" w:rsidP="003E3C00">
      <w:pPr>
        <w:spacing w:before="120" w:line="276" w:lineRule="auto"/>
        <w:ind w:firstLine="708"/>
        <w:jc w:val="both"/>
        <w:rPr>
          <w:rFonts w:ascii="Arial" w:eastAsia="Calibri" w:hAnsi="Arial" w:cs="Arial"/>
          <w:sz w:val="22"/>
          <w:lang w:val="es-ES"/>
        </w:rPr>
      </w:pPr>
      <w:r w:rsidRPr="009D198D">
        <w:rPr>
          <w:rFonts w:ascii="Arial" w:eastAsia="Calibri" w:hAnsi="Arial" w:cs="Arial"/>
          <w:sz w:val="22"/>
          <w:lang w:val="es-ES"/>
        </w:rPr>
        <w:t>Bajo este contexto, p</w:t>
      </w:r>
      <w:r w:rsidR="006553CA" w:rsidRPr="009D198D">
        <w:rPr>
          <w:rFonts w:ascii="Arial" w:eastAsia="Calibri" w:hAnsi="Arial" w:cs="Arial"/>
          <w:sz w:val="22"/>
          <w:lang w:val="es-ES"/>
        </w:rPr>
        <w:t>ara efectos</w:t>
      </w:r>
      <w:r w:rsidR="00ED6B32" w:rsidRPr="009D198D">
        <w:rPr>
          <w:rFonts w:ascii="Arial" w:eastAsia="Calibri" w:hAnsi="Arial" w:cs="Arial"/>
          <w:sz w:val="22"/>
          <w:lang w:val="es-ES"/>
        </w:rPr>
        <w:t xml:space="preserve"> de </w:t>
      </w:r>
      <w:r w:rsidR="00FA71FA" w:rsidRPr="009D198D">
        <w:rPr>
          <w:rFonts w:ascii="Arial" w:eastAsia="Calibri" w:hAnsi="Arial" w:cs="Arial"/>
          <w:sz w:val="22"/>
          <w:lang w:val="es-ES"/>
        </w:rPr>
        <w:t>responder</w:t>
      </w:r>
      <w:r w:rsidR="00ED6B32" w:rsidRPr="009D198D">
        <w:rPr>
          <w:rFonts w:ascii="Arial" w:eastAsia="Calibri" w:hAnsi="Arial" w:cs="Arial"/>
          <w:sz w:val="22"/>
          <w:lang w:val="es-ES"/>
        </w:rPr>
        <w:t xml:space="preserve"> la consulta planteada</w:t>
      </w:r>
      <w:r w:rsidR="006553CA" w:rsidRPr="009D198D">
        <w:rPr>
          <w:rFonts w:ascii="Arial" w:eastAsia="Calibri" w:hAnsi="Arial" w:cs="Arial"/>
          <w:sz w:val="22"/>
          <w:lang w:val="es-ES"/>
        </w:rPr>
        <w:t xml:space="preserve">, es preciso </w:t>
      </w:r>
      <w:r w:rsidR="003E3C00" w:rsidRPr="009D198D">
        <w:rPr>
          <w:rFonts w:ascii="Arial" w:eastAsia="Calibri" w:hAnsi="Arial" w:cs="Arial"/>
          <w:sz w:val="22"/>
          <w:lang w:val="es-ES"/>
        </w:rPr>
        <w:t>analizar</w:t>
      </w:r>
      <w:r w:rsidR="00FA71FA" w:rsidRPr="009D198D">
        <w:rPr>
          <w:rFonts w:ascii="Arial" w:eastAsia="Calibri" w:hAnsi="Arial" w:cs="Arial"/>
          <w:sz w:val="22"/>
          <w:lang w:val="es-ES"/>
        </w:rPr>
        <w:t>:</w:t>
      </w:r>
      <w:r w:rsidR="009C5720" w:rsidRPr="009D198D">
        <w:rPr>
          <w:rFonts w:ascii="Arial" w:eastAsia="Calibri" w:hAnsi="Arial" w:cs="Arial"/>
          <w:sz w:val="22"/>
          <w:lang w:val="es-ES"/>
        </w:rPr>
        <w:t xml:space="preserve"> i)</w:t>
      </w:r>
      <w:r w:rsidR="006553CA" w:rsidRPr="009D198D">
        <w:rPr>
          <w:rFonts w:ascii="Arial" w:eastAsia="Calibri" w:hAnsi="Arial" w:cs="Arial"/>
          <w:sz w:val="22"/>
          <w:lang w:val="es-ES"/>
        </w:rPr>
        <w:t xml:space="preserve"> las diferentes </w:t>
      </w:r>
      <w:r w:rsidR="004510E5" w:rsidRPr="009D198D">
        <w:rPr>
          <w:rFonts w:ascii="Arial" w:eastAsia="Calibri" w:hAnsi="Arial" w:cs="Arial"/>
          <w:sz w:val="22"/>
          <w:lang w:val="es-ES"/>
        </w:rPr>
        <w:t>fases</w:t>
      </w:r>
      <w:r w:rsidR="006553CA" w:rsidRPr="009D198D">
        <w:rPr>
          <w:rFonts w:ascii="Arial" w:eastAsia="Calibri" w:hAnsi="Arial" w:cs="Arial"/>
          <w:sz w:val="22"/>
          <w:lang w:val="es-ES"/>
        </w:rPr>
        <w:t xml:space="preserve"> </w:t>
      </w:r>
      <w:r w:rsidR="007240CC" w:rsidRPr="009D198D">
        <w:rPr>
          <w:rFonts w:ascii="Arial" w:eastAsia="Calibri" w:hAnsi="Arial" w:cs="Arial"/>
          <w:sz w:val="22"/>
          <w:lang w:val="es-ES"/>
        </w:rPr>
        <w:t xml:space="preserve">de la actividad precontractual </w:t>
      </w:r>
      <w:r w:rsidR="00975689" w:rsidRPr="009D198D">
        <w:rPr>
          <w:rFonts w:ascii="Arial" w:eastAsia="Calibri" w:hAnsi="Arial" w:cs="Arial"/>
          <w:sz w:val="22"/>
          <w:lang w:val="es-ES"/>
        </w:rPr>
        <w:t xml:space="preserve">del </w:t>
      </w:r>
      <w:r w:rsidR="006553CA" w:rsidRPr="009D198D">
        <w:rPr>
          <w:rFonts w:ascii="Arial" w:eastAsia="Calibri" w:hAnsi="Arial" w:cs="Arial"/>
          <w:sz w:val="22"/>
          <w:lang w:val="es-ES"/>
        </w:rPr>
        <w:t>proce</w:t>
      </w:r>
      <w:r w:rsidR="00F46C47" w:rsidRPr="009D198D">
        <w:rPr>
          <w:rFonts w:ascii="Arial" w:eastAsia="Calibri" w:hAnsi="Arial" w:cs="Arial"/>
          <w:sz w:val="22"/>
          <w:lang w:val="es-ES"/>
        </w:rPr>
        <w:t>dimiento de selección</w:t>
      </w:r>
      <w:r w:rsidR="006553CA" w:rsidRPr="009D198D">
        <w:rPr>
          <w:rFonts w:ascii="Arial" w:eastAsia="Calibri" w:hAnsi="Arial" w:cs="Arial"/>
          <w:sz w:val="22"/>
          <w:lang w:val="es-ES"/>
        </w:rPr>
        <w:t xml:space="preserve"> de la </w:t>
      </w:r>
      <w:r w:rsidR="002E4BDC" w:rsidRPr="009D198D">
        <w:rPr>
          <w:rFonts w:ascii="Arial" w:eastAsia="Calibri" w:hAnsi="Arial" w:cs="Arial"/>
          <w:sz w:val="22"/>
          <w:lang w:val="es-ES"/>
        </w:rPr>
        <w:t>licitación</w:t>
      </w:r>
      <w:r w:rsidR="006553CA" w:rsidRPr="009D198D">
        <w:rPr>
          <w:rFonts w:ascii="Arial" w:eastAsia="Calibri" w:hAnsi="Arial" w:cs="Arial"/>
          <w:sz w:val="22"/>
          <w:lang w:val="es-ES"/>
        </w:rPr>
        <w:t xml:space="preserve"> </w:t>
      </w:r>
      <w:r w:rsidR="002E4BDC" w:rsidRPr="009D198D">
        <w:rPr>
          <w:rFonts w:ascii="Arial" w:eastAsia="Calibri" w:hAnsi="Arial" w:cs="Arial"/>
          <w:sz w:val="22"/>
          <w:lang w:val="es-ES"/>
        </w:rPr>
        <w:t>pública</w:t>
      </w:r>
      <w:r w:rsidR="00581D5E" w:rsidRPr="009D198D">
        <w:rPr>
          <w:rFonts w:ascii="Arial" w:eastAsia="Calibri" w:hAnsi="Arial" w:cs="Arial"/>
          <w:sz w:val="22"/>
          <w:lang w:val="es-ES"/>
        </w:rPr>
        <w:t>,</w:t>
      </w:r>
      <w:r w:rsidR="004510E5" w:rsidRPr="009D198D">
        <w:rPr>
          <w:rFonts w:ascii="Arial" w:eastAsia="Calibri" w:hAnsi="Arial" w:cs="Arial"/>
          <w:sz w:val="22"/>
          <w:lang w:val="es-ES"/>
        </w:rPr>
        <w:t xml:space="preserve"> </w:t>
      </w:r>
      <w:r w:rsidR="006553CA" w:rsidRPr="009D198D">
        <w:rPr>
          <w:rFonts w:ascii="Arial" w:eastAsia="Calibri" w:hAnsi="Arial" w:cs="Arial"/>
          <w:sz w:val="22"/>
          <w:lang w:val="es-ES"/>
        </w:rPr>
        <w:t>identificando</w:t>
      </w:r>
      <w:r w:rsidR="00581D5E" w:rsidRPr="009D198D">
        <w:rPr>
          <w:rFonts w:ascii="Arial" w:eastAsia="Calibri" w:hAnsi="Arial" w:cs="Arial"/>
          <w:sz w:val="22"/>
          <w:lang w:val="es-ES"/>
        </w:rPr>
        <w:t>,</w:t>
      </w:r>
      <w:r w:rsidR="002E4BDC" w:rsidRPr="009D198D">
        <w:rPr>
          <w:rFonts w:ascii="Arial" w:eastAsia="Calibri" w:hAnsi="Arial" w:cs="Arial"/>
          <w:sz w:val="22"/>
          <w:lang w:val="es-ES"/>
        </w:rPr>
        <w:t xml:space="preserve"> </w:t>
      </w:r>
      <w:r w:rsidR="00F46C47" w:rsidRPr="009D198D">
        <w:rPr>
          <w:rFonts w:ascii="Arial" w:eastAsia="Calibri" w:hAnsi="Arial" w:cs="Arial"/>
          <w:sz w:val="22"/>
          <w:lang w:val="es-ES"/>
        </w:rPr>
        <w:t>particularmente</w:t>
      </w:r>
      <w:r w:rsidR="00581D5E" w:rsidRPr="009D198D">
        <w:rPr>
          <w:rFonts w:ascii="Arial" w:eastAsia="Calibri" w:hAnsi="Arial" w:cs="Arial"/>
          <w:sz w:val="22"/>
          <w:lang w:val="es-ES"/>
        </w:rPr>
        <w:t>,</w:t>
      </w:r>
      <w:r w:rsidR="00F46C47" w:rsidRPr="009D198D">
        <w:rPr>
          <w:rFonts w:ascii="Arial" w:eastAsia="Calibri" w:hAnsi="Arial" w:cs="Arial"/>
          <w:sz w:val="22"/>
          <w:lang w:val="es-ES"/>
        </w:rPr>
        <w:t xml:space="preserve"> </w:t>
      </w:r>
      <w:r w:rsidR="002E4BDC" w:rsidRPr="009D198D">
        <w:rPr>
          <w:rFonts w:ascii="Arial" w:eastAsia="Calibri" w:hAnsi="Arial" w:cs="Arial"/>
          <w:sz w:val="22"/>
          <w:lang w:val="es-ES"/>
        </w:rPr>
        <w:t xml:space="preserve">las actuaciones que se </w:t>
      </w:r>
      <w:r w:rsidR="003E3C00" w:rsidRPr="009D198D">
        <w:rPr>
          <w:rFonts w:ascii="Arial" w:eastAsia="Calibri" w:hAnsi="Arial" w:cs="Arial"/>
          <w:sz w:val="22"/>
          <w:lang w:val="es-ES"/>
        </w:rPr>
        <w:t>desarrollan en la audiencia efectiva de adjudicación</w:t>
      </w:r>
      <w:r w:rsidR="00F15CEB" w:rsidRPr="009D198D">
        <w:rPr>
          <w:rFonts w:ascii="Arial" w:eastAsia="Calibri" w:hAnsi="Arial" w:cs="Arial"/>
          <w:sz w:val="22"/>
          <w:lang w:val="es-ES"/>
        </w:rPr>
        <w:t xml:space="preserve"> en la licitación pública para seleccionar contratistas de obra pública</w:t>
      </w:r>
      <w:r w:rsidR="00F3705B" w:rsidRPr="009D198D">
        <w:rPr>
          <w:rFonts w:ascii="Arial" w:eastAsia="Calibri" w:hAnsi="Arial" w:cs="Arial"/>
          <w:sz w:val="22"/>
          <w:lang w:val="es-ES"/>
        </w:rPr>
        <w:t xml:space="preserve"> y el acto </w:t>
      </w:r>
      <w:r w:rsidR="007A2272" w:rsidRPr="009D198D">
        <w:rPr>
          <w:rFonts w:ascii="Arial" w:eastAsia="Calibri" w:hAnsi="Arial" w:cs="Arial"/>
          <w:sz w:val="22"/>
          <w:lang w:val="es-ES"/>
        </w:rPr>
        <w:t xml:space="preserve">final </w:t>
      </w:r>
      <w:r w:rsidR="00F3705B" w:rsidRPr="009D198D">
        <w:rPr>
          <w:rFonts w:ascii="Arial" w:eastAsia="Calibri" w:hAnsi="Arial" w:cs="Arial"/>
          <w:sz w:val="22"/>
          <w:lang w:val="es-ES"/>
        </w:rPr>
        <w:t>para esta modalidad de selección</w:t>
      </w:r>
      <w:r w:rsidR="003E3C00" w:rsidRPr="009D198D">
        <w:rPr>
          <w:rFonts w:ascii="Arial" w:eastAsia="Calibri" w:hAnsi="Arial" w:cs="Arial"/>
          <w:sz w:val="22"/>
          <w:lang w:val="es-ES"/>
        </w:rPr>
        <w:t>. Asimismo</w:t>
      </w:r>
      <w:r w:rsidR="00F3705B" w:rsidRPr="009D198D">
        <w:rPr>
          <w:rFonts w:ascii="Arial" w:eastAsia="Calibri" w:hAnsi="Arial" w:cs="Arial"/>
          <w:sz w:val="22"/>
          <w:lang w:val="es-ES"/>
        </w:rPr>
        <w:t>,</w:t>
      </w:r>
      <w:r w:rsidR="003E3C00" w:rsidRPr="009D198D">
        <w:rPr>
          <w:rFonts w:ascii="Arial" w:eastAsia="Calibri" w:hAnsi="Arial" w:cs="Arial"/>
          <w:sz w:val="22"/>
          <w:lang w:val="es-ES"/>
        </w:rPr>
        <w:t xml:space="preserve"> se revisará</w:t>
      </w:r>
      <w:r w:rsidR="009C5720" w:rsidRPr="009D198D">
        <w:rPr>
          <w:rFonts w:ascii="Arial" w:eastAsia="Calibri" w:hAnsi="Arial" w:cs="Arial"/>
          <w:sz w:val="22"/>
          <w:lang w:val="es-ES"/>
        </w:rPr>
        <w:t xml:space="preserve">n </w:t>
      </w:r>
      <w:r w:rsidR="004E1FAA" w:rsidRPr="009D198D">
        <w:rPr>
          <w:rFonts w:ascii="Arial" w:eastAsia="Calibri" w:hAnsi="Arial" w:cs="Arial"/>
          <w:sz w:val="22"/>
          <w:lang w:val="es-ES"/>
        </w:rPr>
        <w:t xml:space="preserve">los aspectos que comprende </w:t>
      </w:r>
      <w:proofErr w:type="spellStart"/>
      <w:r w:rsidR="009C5720" w:rsidRPr="009D198D">
        <w:rPr>
          <w:rFonts w:ascii="Arial" w:eastAsia="Calibri" w:hAnsi="Arial" w:cs="Arial"/>
          <w:sz w:val="22"/>
          <w:lang w:val="es-ES"/>
        </w:rPr>
        <w:t>ii</w:t>
      </w:r>
      <w:proofErr w:type="spellEnd"/>
      <w:r w:rsidR="009C5720" w:rsidRPr="009D198D">
        <w:rPr>
          <w:rFonts w:ascii="Arial" w:eastAsia="Calibri" w:hAnsi="Arial" w:cs="Arial"/>
          <w:sz w:val="22"/>
          <w:lang w:val="es-ES"/>
        </w:rPr>
        <w:t xml:space="preserve">) la </w:t>
      </w:r>
      <w:r w:rsidR="00694C24" w:rsidRPr="009D198D">
        <w:rPr>
          <w:rFonts w:ascii="Arial" w:eastAsia="Calibri" w:hAnsi="Arial" w:cs="Arial"/>
          <w:sz w:val="22"/>
          <w:lang w:val="es-ES"/>
        </w:rPr>
        <w:t xml:space="preserve">etapa </w:t>
      </w:r>
      <w:r w:rsidR="002E4BDC" w:rsidRPr="009D198D">
        <w:rPr>
          <w:rFonts w:ascii="Arial" w:eastAsia="Calibri" w:hAnsi="Arial" w:cs="Arial"/>
          <w:sz w:val="22"/>
          <w:lang w:val="es-ES"/>
        </w:rPr>
        <w:t xml:space="preserve">contractual y </w:t>
      </w:r>
      <w:proofErr w:type="spellStart"/>
      <w:r w:rsidR="009C5720" w:rsidRPr="009D198D">
        <w:rPr>
          <w:rFonts w:ascii="Arial" w:eastAsia="Calibri" w:hAnsi="Arial" w:cs="Arial"/>
          <w:sz w:val="22"/>
          <w:lang w:val="es-ES"/>
        </w:rPr>
        <w:t>iii</w:t>
      </w:r>
      <w:proofErr w:type="spellEnd"/>
      <w:r w:rsidR="009C5720" w:rsidRPr="009D198D">
        <w:rPr>
          <w:rFonts w:ascii="Arial" w:eastAsia="Calibri" w:hAnsi="Arial" w:cs="Arial"/>
          <w:sz w:val="22"/>
          <w:lang w:val="es-ES"/>
        </w:rPr>
        <w:t xml:space="preserve">) </w:t>
      </w:r>
      <w:r w:rsidR="003E3C00" w:rsidRPr="009D198D">
        <w:rPr>
          <w:rFonts w:ascii="Arial" w:eastAsia="Calibri" w:hAnsi="Arial" w:cs="Arial"/>
          <w:sz w:val="22"/>
          <w:lang w:val="es-ES"/>
        </w:rPr>
        <w:t xml:space="preserve">la </w:t>
      </w:r>
      <w:r w:rsidR="00ED6B32" w:rsidRPr="009D198D">
        <w:rPr>
          <w:rFonts w:ascii="Arial" w:eastAsia="Arial" w:hAnsi="Arial" w:cs="Arial"/>
          <w:sz w:val="22"/>
          <w:lang w:val="es-ES"/>
        </w:rPr>
        <w:t>«</w:t>
      </w:r>
      <w:r w:rsidR="009C5720" w:rsidRPr="009D198D">
        <w:rPr>
          <w:rFonts w:ascii="Arial" w:eastAsia="Calibri" w:hAnsi="Arial" w:cs="Arial"/>
          <w:sz w:val="22"/>
          <w:lang w:val="es-ES"/>
        </w:rPr>
        <w:t xml:space="preserve">etapa </w:t>
      </w:r>
      <w:proofErr w:type="spellStart"/>
      <w:r w:rsidR="002E4BDC" w:rsidRPr="009D198D">
        <w:rPr>
          <w:rFonts w:ascii="Arial" w:eastAsia="Calibri" w:hAnsi="Arial" w:cs="Arial"/>
          <w:sz w:val="22"/>
          <w:lang w:val="es-ES"/>
        </w:rPr>
        <w:t>pos</w:t>
      </w:r>
      <w:r w:rsidR="001F6089" w:rsidRPr="009D198D">
        <w:rPr>
          <w:rFonts w:ascii="Arial" w:eastAsia="Calibri" w:hAnsi="Arial" w:cs="Arial"/>
          <w:sz w:val="22"/>
          <w:lang w:val="es-ES"/>
        </w:rPr>
        <w:t>t</w:t>
      </w:r>
      <w:r w:rsidR="002E4BDC" w:rsidRPr="009D198D">
        <w:rPr>
          <w:rFonts w:ascii="Arial" w:eastAsia="Calibri" w:hAnsi="Arial" w:cs="Arial"/>
          <w:sz w:val="22"/>
          <w:lang w:val="es-ES"/>
        </w:rPr>
        <w:t>contractual</w:t>
      </w:r>
      <w:proofErr w:type="spellEnd"/>
      <w:r w:rsidR="00ED6B32" w:rsidRPr="009D198D">
        <w:rPr>
          <w:rFonts w:ascii="Arial" w:eastAsia="Calibri" w:hAnsi="Arial" w:cs="Arial"/>
          <w:sz w:val="22"/>
          <w:lang w:val="es-ES"/>
        </w:rPr>
        <w:t>»</w:t>
      </w:r>
      <w:r w:rsidR="00F3705B" w:rsidRPr="009D198D">
        <w:rPr>
          <w:rFonts w:ascii="Arial" w:eastAsia="Calibri" w:hAnsi="Arial" w:cs="Arial"/>
          <w:sz w:val="22"/>
          <w:lang w:val="es-ES"/>
        </w:rPr>
        <w:t xml:space="preserve">. </w:t>
      </w:r>
    </w:p>
    <w:p w14:paraId="54D55ACA" w14:textId="2CF7C634" w:rsidR="00581D5E" w:rsidRPr="009D198D" w:rsidRDefault="003C4E77" w:rsidP="00335569">
      <w:pPr>
        <w:spacing w:before="120" w:line="276" w:lineRule="auto"/>
        <w:ind w:firstLine="708"/>
        <w:jc w:val="both"/>
        <w:rPr>
          <w:rFonts w:ascii="Arial" w:eastAsia="Calibri" w:hAnsi="Arial" w:cs="Arial"/>
          <w:sz w:val="22"/>
        </w:rPr>
      </w:pPr>
      <w:r w:rsidRPr="009D198D">
        <w:rPr>
          <w:rFonts w:ascii="Arial" w:eastAsia="Calibri" w:hAnsi="Arial" w:cs="Arial"/>
          <w:sz w:val="22"/>
          <w:lang w:val="es-ES"/>
        </w:rPr>
        <w:t xml:space="preserve"> </w:t>
      </w:r>
      <w:r w:rsidR="004E1FAA" w:rsidRPr="009D198D">
        <w:rPr>
          <w:rFonts w:ascii="Arial" w:eastAsia="Calibri" w:hAnsi="Arial" w:cs="Arial"/>
          <w:sz w:val="22"/>
          <w:lang w:val="es-ES"/>
        </w:rPr>
        <w:t xml:space="preserve">i) </w:t>
      </w:r>
      <w:r w:rsidR="009C5720" w:rsidRPr="009D198D">
        <w:rPr>
          <w:rFonts w:ascii="Arial" w:eastAsia="Calibri" w:hAnsi="Arial" w:cs="Arial"/>
          <w:sz w:val="22"/>
          <w:lang w:val="es-ES"/>
        </w:rPr>
        <w:t>La</w:t>
      </w:r>
      <w:r w:rsidR="004E1FAA" w:rsidRPr="009D198D">
        <w:rPr>
          <w:rFonts w:ascii="Arial" w:eastAsia="Calibri" w:hAnsi="Arial" w:cs="Arial"/>
          <w:sz w:val="22"/>
          <w:lang w:val="es-ES"/>
        </w:rPr>
        <w:t xml:space="preserve"> </w:t>
      </w:r>
      <w:r w:rsidR="00DA4716" w:rsidRPr="009D198D">
        <w:rPr>
          <w:rFonts w:ascii="Arial" w:eastAsia="Calibri" w:hAnsi="Arial" w:cs="Arial"/>
          <w:sz w:val="22"/>
          <w:lang w:val="es-ES"/>
        </w:rPr>
        <w:t>actividad</w:t>
      </w:r>
      <w:r w:rsidR="004E1FAA" w:rsidRPr="009D198D">
        <w:rPr>
          <w:rFonts w:ascii="Arial" w:eastAsia="Calibri" w:hAnsi="Arial" w:cs="Arial"/>
          <w:sz w:val="22"/>
          <w:lang w:val="es-ES"/>
        </w:rPr>
        <w:t xml:space="preserve"> precontractual</w:t>
      </w:r>
      <w:r w:rsidR="007A2272" w:rsidRPr="009D198D">
        <w:rPr>
          <w:rFonts w:ascii="Arial" w:eastAsia="Calibri" w:hAnsi="Arial" w:cs="Arial"/>
          <w:sz w:val="22"/>
          <w:lang w:val="es-ES"/>
        </w:rPr>
        <w:t xml:space="preserve"> </w:t>
      </w:r>
      <w:r w:rsidR="00DA4716" w:rsidRPr="009D198D">
        <w:rPr>
          <w:rFonts w:ascii="Arial" w:eastAsia="Calibri" w:hAnsi="Arial" w:cs="Arial"/>
          <w:sz w:val="22"/>
          <w:lang w:val="es-ES"/>
        </w:rPr>
        <w:t>corresponde a la etapa en la cual la entidad</w:t>
      </w:r>
      <w:r w:rsidR="005F3C6E" w:rsidRPr="009D198D">
        <w:rPr>
          <w:rFonts w:ascii="Arial" w:eastAsia="Calibri" w:hAnsi="Arial" w:cs="Arial"/>
          <w:sz w:val="22"/>
          <w:lang w:val="es-ES"/>
        </w:rPr>
        <w:t xml:space="preserve"> realiza la planeación de un proyecto de acuerdo con sus necesidades</w:t>
      </w:r>
      <w:r w:rsidR="00695938" w:rsidRPr="009D198D">
        <w:rPr>
          <w:rFonts w:ascii="Arial" w:eastAsia="Calibri" w:hAnsi="Arial" w:cs="Arial"/>
          <w:sz w:val="22"/>
          <w:lang w:val="es-ES"/>
        </w:rPr>
        <w:t>,</w:t>
      </w:r>
      <w:r w:rsidR="005F3C6E" w:rsidRPr="009D198D">
        <w:rPr>
          <w:rFonts w:ascii="Arial" w:eastAsia="Calibri" w:hAnsi="Arial" w:cs="Arial"/>
          <w:sz w:val="22"/>
          <w:lang w:val="es-ES"/>
        </w:rPr>
        <w:t xml:space="preserve"> analizando, entre otros aspectos, la conveniencia </w:t>
      </w:r>
      <w:r w:rsidR="00695938" w:rsidRPr="009D198D">
        <w:rPr>
          <w:rFonts w:ascii="Arial" w:eastAsia="Calibri" w:hAnsi="Arial" w:cs="Arial"/>
          <w:sz w:val="22"/>
          <w:lang w:val="es-ES"/>
        </w:rPr>
        <w:t xml:space="preserve">y oportunidad </w:t>
      </w:r>
      <w:r w:rsidR="005F3C6E" w:rsidRPr="009D198D">
        <w:rPr>
          <w:rFonts w:ascii="Arial" w:eastAsia="Calibri" w:hAnsi="Arial" w:cs="Arial"/>
          <w:sz w:val="22"/>
          <w:lang w:val="es-ES"/>
        </w:rPr>
        <w:t>del objeto de contratación</w:t>
      </w:r>
      <w:r w:rsidR="00695938" w:rsidRPr="009D198D">
        <w:rPr>
          <w:rFonts w:ascii="Arial" w:eastAsia="Calibri" w:hAnsi="Arial" w:cs="Arial"/>
          <w:sz w:val="22"/>
          <w:lang w:val="es-ES"/>
        </w:rPr>
        <w:t xml:space="preserve"> y desarrolla el procedimiento de selección del oferente de conformidad con la modalidad de selección aplicable</w:t>
      </w:r>
      <w:r w:rsidR="008B0774" w:rsidRPr="009D198D">
        <w:rPr>
          <w:rStyle w:val="Refdenotaalpie"/>
          <w:rFonts w:ascii="Arial" w:eastAsia="Calibri" w:hAnsi="Arial" w:cs="Arial"/>
          <w:sz w:val="22"/>
          <w:lang w:val="es-ES"/>
        </w:rPr>
        <w:footnoteReference w:id="29"/>
      </w:r>
      <w:r w:rsidR="00695938" w:rsidRPr="009D198D">
        <w:rPr>
          <w:rFonts w:ascii="Arial" w:eastAsia="Calibri" w:hAnsi="Arial" w:cs="Arial"/>
          <w:sz w:val="22"/>
          <w:lang w:val="es-ES"/>
        </w:rPr>
        <w:t>.</w:t>
      </w:r>
      <w:r w:rsidR="008B0774" w:rsidRPr="009D198D">
        <w:rPr>
          <w:rFonts w:ascii="Arial" w:eastAsia="Calibri" w:hAnsi="Arial" w:cs="Arial"/>
          <w:sz w:val="22"/>
          <w:lang w:val="es-ES"/>
        </w:rPr>
        <w:t xml:space="preserve"> </w:t>
      </w:r>
      <w:r w:rsidR="00695938" w:rsidRPr="009D198D">
        <w:rPr>
          <w:rFonts w:ascii="Arial" w:eastAsia="Calibri" w:hAnsi="Arial" w:cs="Arial"/>
          <w:sz w:val="22"/>
          <w:lang w:val="es-ES"/>
        </w:rPr>
        <w:t xml:space="preserve">En otros términos, la etapa precontractual es </w:t>
      </w:r>
      <w:r w:rsidR="00581D5E" w:rsidRPr="009D198D">
        <w:rPr>
          <w:rFonts w:ascii="Arial" w:eastAsia="Arial" w:hAnsi="Arial" w:cs="Arial"/>
          <w:sz w:val="22"/>
          <w:lang w:val="es-ES"/>
        </w:rPr>
        <w:t>«</w:t>
      </w:r>
      <w:r w:rsidR="00DC656F" w:rsidRPr="009D198D">
        <w:rPr>
          <w:rFonts w:ascii="Arial" w:eastAsia="Calibri" w:hAnsi="Arial" w:cs="Arial"/>
          <w:sz w:val="22"/>
        </w:rPr>
        <w:t>el fruto del principio de planeación, postulado que hace exigible que las decisiones que se adopten a lo largo del trámite precontractual sean de carácter motivado, con apoyo en los parámetros y directrices fijadas en el pliego de condiciones</w:t>
      </w:r>
      <w:r w:rsidR="00581D5E" w:rsidRPr="009D198D">
        <w:rPr>
          <w:rFonts w:ascii="Arial" w:eastAsia="Calibri" w:hAnsi="Arial" w:cs="Arial"/>
          <w:sz w:val="22"/>
          <w:lang w:val="es-ES"/>
        </w:rPr>
        <w:t>»</w:t>
      </w:r>
      <w:r w:rsidR="00581D5E" w:rsidRPr="009D198D">
        <w:rPr>
          <w:rStyle w:val="Refdenotaalpie"/>
          <w:rFonts w:ascii="Arial" w:eastAsia="Calibri" w:hAnsi="Arial" w:cs="Arial"/>
          <w:sz w:val="22"/>
          <w:lang w:val="es-ES"/>
        </w:rPr>
        <w:footnoteReference w:id="30"/>
      </w:r>
      <w:r w:rsidR="00581D5E" w:rsidRPr="009D198D">
        <w:rPr>
          <w:rFonts w:ascii="Arial" w:eastAsia="Calibri" w:hAnsi="Arial" w:cs="Arial"/>
          <w:sz w:val="22"/>
          <w:lang w:val="es-ES"/>
        </w:rPr>
        <w:t>.</w:t>
      </w:r>
      <w:r w:rsidR="00F15CEB" w:rsidRPr="009D198D">
        <w:rPr>
          <w:rFonts w:ascii="Arial" w:eastAsia="Calibri" w:hAnsi="Arial" w:cs="Arial"/>
          <w:sz w:val="22"/>
          <w:lang w:val="es-ES"/>
        </w:rPr>
        <w:t xml:space="preserve"> De este modo,</w:t>
      </w:r>
      <w:r w:rsidR="00581D5E" w:rsidRPr="009D198D">
        <w:rPr>
          <w:rFonts w:ascii="Arial" w:eastAsia="Calibri" w:hAnsi="Arial" w:cs="Arial"/>
          <w:sz w:val="22"/>
          <w:lang w:val="es-ES"/>
        </w:rPr>
        <w:t xml:space="preserve"> </w:t>
      </w:r>
      <w:r w:rsidR="00F15CEB" w:rsidRPr="009D198D">
        <w:rPr>
          <w:rFonts w:ascii="Arial" w:eastAsia="Calibri" w:hAnsi="Arial" w:cs="Arial"/>
          <w:sz w:val="22"/>
          <w:lang w:val="es-ES"/>
        </w:rPr>
        <w:t>p</w:t>
      </w:r>
      <w:r w:rsidR="00581D5E" w:rsidRPr="009D198D">
        <w:rPr>
          <w:rFonts w:ascii="Arial" w:eastAsia="Calibri" w:hAnsi="Arial" w:cs="Arial"/>
          <w:sz w:val="22"/>
          <w:lang w:val="es-ES"/>
        </w:rPr>
        <w:t>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 2.2.1.1.2.1.1. y siguientes del Decreto 1082 de 2015, que concreta cada modalidad de selección, señalando reglas o pasos a seguir para adjudicar y celebrar el contrato estatal.</w:t>
      </w:r>
    </w:p>
    <w:p w14:paraId="2C24CE3E" w14:textId="57EFF296" w:rsidR="000B4667" w:rsidRPr="009D198D" w:rsidRDefault="00581D5E" w:rsidP="00FD29C8">
      <w:pPr>
        <w:spacing w:before="120" w:line="276" w:lineRule="auto"/>
        <w:ind w:firstLine="708"/>
        <w:jc w:val="both"/>
        <w:rPr>
          <w:rFonts w:ascii="Arial" w:eastAsia="Calibri" w:hAnsi="Arial" w:cs="Arial"/>
          <w:sz w:val="22"/>
          <w:lang w:val="es-ES"/>
        </w:rPr>
      </w:pPr>
      <w:r w:rsidRPr="009D198D">
        <w:rPr>
          <w:rFonts w:ascii="Arial" w:eastAsia="Calibri" w:hAnsi="Arial" w:cs="Arial"/>
          <w:sz w:val="22"/>
          <w:lang w:val="es-ES"/>
        </w:rPr>
        <w:t>El artículo 25 de la Ley 80 de 1993</w:t>
      </w:r>
      <w:r w:rsidRPr="009D198D">
        <w:rPr>
          <w:rFonts w:ascii="Arial" w:eastAsia="Calibri" w:hAnsi="Arial" w:cs="Arial"/>
          <w:sz w:val="22"/>
          <w:vertAlign w:val="superscript"/>
          <w:lang w:val="es-ES"/>
        </w:rPr>
        <w:footnoteReference w:id="31"/>
      </w:r>
      <w:r w:rsidRPr="009D198D">
        <w:rPr>
          <w:rFonts w:ascii="Arial" w:eastAsia="Calibri" w:hAnsi="Arial" w:cs="Arial"/>
          <w:sz w:val="22"/>
          <w:vertAlign w:val="superscript"/>
          <w:lang w:val="es-ES"/>
        </w:rPr>
        <w:t xml:space="preserve"> </w:t>
      </w:r>
      <w:r w:rsidRPr="009D198D">
        <w:rPr>
          <w:rFonts w:ascii="Arial" w:eastAsia="Calibri" w:hAnsi="Arial" w:cs="Arial"/>
          <w:sz w:val="22"/>
          <w:lang w:val="es-ES"/>
        </w:rPr>
        <w:t xml:space="preserve">consagra el principio de economía, en virtud del cual, las normas de selección y el pliego de condiciones deben establecer términos </w:t>
      </w:r>
      <w:r w:rsidRPr="009D198D">
        <w:rPr>
          <w:rFonts w:ascii="Arial" w:eastAsia="Calibri" w:hAnsi="Arial" w:cs="Arial"/>
          <w:sz w:val="22"/>
          <w:lang w:val="es-ES"/>
        </w:rPr>
        <w:lastRenderedPageBreak/>
        <w:t>perentorios y preclusivos para cada una de las etapas de los procesos de selección, a fin de asegurar la selección objetiva del contratista. Puede decirse, entonces, que la adquisición de bienes y servicios por parte del Estado debe gestionarse, por un lado, dentro de las etapas del proceso contractual, lo cual variará dependiendo de la modalidad de selección de contratistas y, en cierta medida, del objeto del contrato a suscribir</w:t>
      </w:r>
      <w:r w:rsidR="00694C24" w:rsidRPr="009D198D">
        <w:rPr>
          <w:rFonts w:ascii="Arial" w:eastAsia="Calibri" w:hAnsi="Arial" w:cs="Arial"/>
          <w:sz w:val="22"/>
          <w:lang w:val="es-ES"/>
        </w:rPr>
        <w:t>;</w:t>
      </w:r>
      <w:r w:rsidRPr="009D198D">
        <w:rPr>
          <w:rFonts w:ascii="Arial" w:eastAsia="Calibri" w:hAnsi="Arial" w:cs="Arial"/>
          <w:sz w:val="22"/>
          <w:lang w:val="es-ES"/>
        </w:rPr>
        <w:t xml:space="preserve"> y, por el otro, dentro de los términos establecidos para cada una de esas etapas, bien por la ley, el reglamento o el definido por la entidad contratante. </w:t>
      </w:r>
    </w:p>
    <w:p w14:paraId="0FE18739" w14:textId="7D348456" w:rsidR="00AE087F" w:rsidRPr="009D198D" w:rsidRDefault="00791623" w:rsidP="00DE3930">
      <w:pPr>
        <w:spacing w:before="120" w:line="276" w:lineRule="auto"/>
        <w:ind w:firstLine="708"/>
        <w:jc w:val="both"/>
        <w:rPr>
          <w:rFonts w:ascii="Arial" w:eastAsia="Calibri" w:hAnsi="Arial" w:cs="Arial"/>
          <w:sz w:val="22"/>
          <w:lang w:val="es-ES"/>
        </w:rPr>
      </w:pPr>
      <w:r w:rsidRPr="009D198D">
        <w:rPr>
          <w:rFonts w:ascii="Arial" w:eastAsia="Calibri" w:hAnsi="Arial" w:cs="Arial"/>
          <w:sz w:val="22"/>
          <w:lang w:val="es-ES"/>
        </w:rPr>
        <w:t>E</w:t>
      </w:r>
      <w:r w:rsidR="00AE087F" w:rsidRPr="009D198D">
        <w:rPr>
          <w:rFonts w:ascii="Arial" w:eastAsia="Calibri" w:hAnsi="Arial" w:cs="Arial"/>
          <w:sz w:val="22"/>
          <w:lang w:val="es-ES"/>
        </w:rPr>
        <w:t>n lo que tiene que ver con la licitación pública, procedimiento que constituye la «regla general»</w:t>
      </w:r>
      <w:r w:rsidR="00694C24" w:rsidRPr="009D198D">
        <w:rPr>
          <w:rFonts w:ascii="Arial" w:eastAsia="Calibri" w:hAnsi="Arial" w:cs="Arial"/>
          <w:sz w:val="22"/>
          <w:lang w:val="es-ES"/>
        </w:rPr>
        <w:t xml:space="preserve"> para la selección de los contratistas del Estado</w:t>
      </w:r>
      <w:r w:rsidR="00AE087F" w:rsidRPr="009D198D">
        <w:rPr>
          <w:rFonts w:ascii="Arial" w:eastAsia="Calibri" w:hAnsi="Arial" w:cs="Arial"/>
          <w:sz w:val="22"/>
          <w:lang w:val="es-ES"/>
        </w:rPr>
        <w:t>,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w:t>
      </w:r>
      <w:r w:rsidR="00465B31" w:rsidRPr="009D198D">
        <w:rPr>
          <w:rFonts w:ascii="Arial" w:eastAsia="Calibri" w:hAnsi="Arial" w:cs="Arial"/>
          <w:sz w:val="22"/>
          <w:lang w:val="es-ES"/>
        </w:rPr>
        <w:t>;</w:t>
      </w:r>
      <w:r w:rsidR="00AE087F" w:rsidRPr="009D198D">
        <w:rPr>
          <w:rFonts w:ascii="Arial" w:eastAsia="Calibri" w:hAnsi="Arial" w:cs="Arial"/>
          <w:sz w:val="22"/>
          <w:lang w:val="es-ES"/>
        </w:rPr>
        <w:t xml:space="preserve"> y del otro, el inicio del proce</w:t>
      </w:r>
      <w:r w:rsidR="00465B31" w:rsidRPr="009D198D">
        <w:rPr>
          <w:rFonts w:ascii="Arial" w:eastAsia="Calibri" w:hAnsi="Arial" w:cs="Arial"/>
          <w:sz w:val="22"/>
          <w:lang w:val="es-ES"/>
        </w:rPr>
        <w:t>dimiento</w:t>
      </w:r>
      <w:r w:rsidR="00AE087F" w:rsidRPr="009D198D">
        <w:rPr>
          <w:rFonts w:ascii="Arial" w:eastAsia="Calibri" w:hAnsi="Arial" w:cs="Arial"/>
          <w:sz w:val="22"/>
          <w:lang w:val="es-ES"/>
        </w:rPr>
        <w:t xml:space="preserve"> de licitación pública propiamente dicho, </w:t>
      </w:r>
      <w:r w:rsidR="00465B31" w:rsidRPr="009D198D">
        <w:rPr>
          <w:rFonts w:ascii="Arial" w:eastAsia="Calibri" w:hAnsi="Arial" w:cs="Arial"/>
          <w:sz w:val="22"/>
          <w:lang w:val="es-ES"/>
        </w:rPr>
        <w:t xml:space="preserve">que inicia </w:t>
      </w:r>
      <w:r w:rsidR="00AE087F" w:rsidRPr="009D198D">
        <w:rPr>
          <w:rFonts w:ascii="Arial" w:eastAsia="Calibri" w:hAnsi="Arial" w:cs="Arial"/>
          <w:sz w:val="22"/>
          <w:lang w:val="es-ES"/>
        </w:rPr>
        <w:t xml:space="preserve">con el acto de apertura. Asimismo, el numeral 2 del artículo 30 de la Ley 80 de 1993 establece la obligación de elaborar un pliego de condiciones, en los términos del numeral 5 del artículo 24 de la misma ley y del artículo 2.2.1.1.2.1.3. del Decreto 1082 de 2015. </w:t>
      </w:r>
    </w:p>
    <w:p w14:paraId="5A0D6069" w14:textId="73982F92" w:rsidR="00AE087F" w:rsidRPr="009D198D" w:rsidRDefault="00AE087F" w:rsidP="00DE3930">
      <w:pPr>
        <w:spacing w:before="120" w:line="276" w:lineRule="auto"/>
        <w:ind w:firstLine="708"/>
        <w:jc w:val="both"/>
        <w:rPr>
          <w:rFonts w:ascii="Arial" w:hAnsi="Arial" w:cs="Arial"/>
          <w:sz w:val="22"/>
        </w:rPr>
      </w:pPr>
      <w:r w:rsidRPr="009D198D">
        <w:rPr>
          <w:rFonts w:ascii="Arial" w:eastAsia="Calibri" w:hAnsi="Arial" w:cs="Arial"/>
          <w:sz w:val="22"/>
          <w:lang w:val="es-ES"/>
        </w:rPr>
        <w:t>Por su parte, el numeral 3 señala que dentro de los 10 o 20 días calendario antes de la apertura de la licitación, la entidad debe publicar hasta 3 avisos para invitar a participar en el proceso de licitación. Los avisos deberán publicarse con intervalos de 2 a</w:t>
      </w:r>
      <w:r w:rsidRPr="009D198D">
        <w:rPr>
          <w:rFonts w:ascii="Arial" w:hAnsi="Arial" w:cs="Arial"/>
          <w:sz w:val="22"/>
        </w:rPr>
        <w:t xml:space="preserve"> 5 días calendario entre cada uno, en la página web de la entidad y en el SECOP; en defecto de los mecanismos anteriores, en los pequeños poblados, esta publicación debe realizarse por bando o en los principales lugares públicos, por un término de 7 días calendario, uno de los cuales será en el «día de mercado» de la respectiva población. Además, se debe publicar otro aviso que contendrá la información señalada en el artículo 2.2.1.1.2.1.2. del Decreto 1082 de 2015</w:t>
      </w:r>
      <w:r w:rsidR="006F5543" w:rsidRPr="009D198D">
        <w:rPr>
          <w:rFonts w:ascii="Arial" w:hAnsi="Arial" w:cs="Arial"/>
          <w:sz w:val="22"/>
        </w:rPr>
        <w:t>, esto es, el «aviso de convocatoria»</w:t>
      </w:r>
      <w:r w:rsidRPr="009D198D">
        <w:rPr>
          <w:rFonts w:ascii="Arial" w:hAnsi="Arial" w:cs="Arial"/>
          <w:sz w:val="22"/>
        </w:rPr>
        <w:t xml:space="preserve">. </w:t>
      </w:r>
    </w:p>
    <w:p w14:paraId="4E3879A8" w14:textId="42439705" w:rsidR="00AE087F" w:rsidRPr="009D198D" w:rsidRDefault="00AE087F" w:rsidP="00DE3930">
      <w:pPr>
        <w:spacing w:before="120" w:line="276" w:lineRule="auto"/>
        <w:ind w:firstLine="709"/>
        <w:jc w:val="both"/>
        <w:rPr>
          <w:rFonts w:ascii="Arial" w:hAnsi="Arial" w:cs="Arial"/>
          <w:sz w:val="22"/>
        </w:rPr>
      </w:pPr>
      <w:r w:rsidRPr="009D198D">
        <w:rPr>
          <w:rFonts w:ascii="Arial" w:hAnsi="Arial" w:cs="Arial"/>
          <w:sz w:val="22"/>
        </w:rPr>
        <w:t xml:space="preserve">De igual manera, debe elaborarse el proyecto de pliego de condiciones con base en el contenido de los documentos y estudios previos que, con anterioridad, estructuró la entidad para justificar la necesidad de la contratación. Los requisitos del pliego se encuentran en el artículo 2.2.1.1.2.1.3. del Decreto 1082 de 2015. Este documento debe publicarse en el SECOP </w:t>
      </w:r>
      <w:proofErr w:type="gramStart"/>
      <w:r w:rsidRPr="009D198D">
        <w:rPr>
          <w:rFonts w:ascii="Arial" w:hAnsi="Arial" w:cs="Arial"/>
          <w:sz w:val="22"/>
        </w:rPr>
        <w:t>conjuntamente con</w:t>
      </w:r>
      <w:proofErr w:type="gramEnd"/>
      <w:r w:rsidRPr="009D198D">
        <w:rPr>
          <w:rFonts w:ascii="Arial" w:hAnsi="Arial" w:cs="Arial"/>
          <w:sz w:val="22"/>
        </w:rPr>
        <w:t xml:space="preserve"> los estudios y documentos previos, por no </w:t>
      </w:r>
      <w:r w:rsidRPr="009D198D">
        <w:rPr>
          <w:rFonts w:ascii="Arial" w:hAnsi="Arial" w:cs="Arial"/>
          <w:sz w:val="22"/>
        </w:rPr>
        <w:lastRenderedPageBreak/>
        <w:t xml:space="preserve">menos de 10 días hábiles anteriores a la apertura del proceso de licitación –artículos 8 de la Ley 1150 de 2007 y 2.2.1.1.2.1.4. del Decreto 1082 de 2015–. </w:t>
      </w:r>
    </w:p>
    <w:p w14:paraId="679FEFE1" w14:textId="71D9375A"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 xml:space="preserve">En armonía con lo anterior, los artículos 2.2.1.1.1.7.1. y 2.2.1.1.2.1.4. del Decreto 1082 de 2015 establecen otra actuación, la de </w:t>
      </w:r>
      <w:r w:rsidR="009B5110" w:rsidRPr="009D198D">
        <w:rPr>
          <w:rFonts w:ascii="Arial" w:hAnsi="Arial" w:cs="Arial"/>
          <w:sz w:val="22"/>
        </w:rPr>
        <w:t xml:space="preserve">las </w:t>
      </w:r>
      <w:r w:rsidRPr="009D198D">
        <w:rPr>
          <w:rFonts w:ascii="Arial" w:hAnsi="Arial" w:cs="Arial"/>
          <w:sz w:val="22"/>
        </w:rPr>
        <w:t>observaciones al proyecto de pliego de condiciones, que consiste en que, dentro del término de publicación del proyecto de pliego</w:t>
      </w:r>
      <w:r w:rsidR="009B5110" w:rsidRPr="009D198D">
        <w:rPr>
          <w:rFonts w:ascii="Arial" w:hAnsi="Arial" w:cs="Arial"/>
          <w:sz w:val="22"/>
        </w:rPr>
        <w:t>,</w:t>
      </w:r>
      <w:r w:rsidRPr="009D198D">
        <w:rPr>
          <w:rFonts w:ascii="Arial" w:hAnsi="Arial" w:cs="Arial"/>
          <w:sz w:val="22"/>
        </w:rPr>
        <w:t xml:space="preserve"> los interesados en la contratación podrán presentar aclaraciones, comentarios u observaciones respecto </w:t>
      </w:r>
      <w:r w:rsidR="009B5110" w:rsidRPr="009D198D">
        <w:rPr>
          <w:rFonts w:ascii="Arial" w:hAnsi="Arial" w:cs="Arial"/>
          <w:sz w:val="22"/>
        </w:rPr>
        <w:t>de su contenido</w:t>
      </w:r>
      <w:r w:rsidRPr="009D198D">
        <w:rPr>
          <w:rFonts w:ascii="Arial" w:hAnsi="Arial" w:cs="Arial"/>
          <w:sz w:val="22"/>
        </w:rPr>
        <w:t xml:space="preserve">. Además, conforme a los </w:t>
      </w:r>
      <w:r w:rsidR="009B5110" w:rsidRPr="009D198D">
        <w:rPr>
          <w:rFonts w:ascii="Arial" w:hAnsi="Arial" w:cs="Arial"/>
          <w:sz w:val="22"/>
        </w:rPr>
        <w:t xml:space="preserve">plazos </w:t>
      </w:r>
      <w:r w:rsidRPr="009D198D">
        <w:rPr>
          <w:rFonts w:ascii="Arial" w:hAnsi="Arial" w:cs="Arial"/>
          <w:sz w:val="22"/>
        </w:rPr>
        <w:t>establecidos en el cronograma del proceso contenido en el «aviso de convocatoria» y en el «proyecto de pliego de condiciones», la entidad debe responder, de forma motivada, cada una de las observaciones y publicarlas en el SECOP. Posteriormente, la entidad ajustará el pliego de condiciones, de ser procedente, tomando en cuenta, en lo pertinente, las aclaraciones que fueron solicitadas por los interesados y las observaciones. Debe tenerse en cuenta que las respuestas a dichas observaciones se integran al pliego de condiciones, en tanto precisan su alcance y constituye</w:t>
      </w:r>
      <w:r w:rsidR="006F5543" w:rsidRPr="009D198D">
        <w:rPr>
          <w:rFonts w:ascii="Arial" w:hAnsi="Arial" w:cs="Arial"/>
          <w:sz w:val="22"/>
        </w:rPr>
        <w:t>n</w:t>
      </w:r>
      <w:r w:rsidRPr="009D198D">
        <w:rPr>
          <w:rFonts w:ascii="Arial" w:hAnsi="Arial" w:cs="Arial"/>
          <w:sz w:val="22"/>
        </w:rPr>
        <w:t xml:space="preserve"> una fuente interpretativa. </w:t>
      </w:r>
    </w:p>
    <w:p w14:paraId="7DC2805F" w14:textId="39E468DE"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 xml:space="preserve">El artículo 30.1 de la Ley 80 establece que el jefe o representante de la entidad ordenará la apertura mediante un acto administrativo, en la forma prevista en el artículo 2.2.1.1.2.1.5. del Decreto 1082 de 2015, y deberá expedirse el pliego de condiciones definitivo. Con este acto de apertura inicia la etapa de licitación propiamente dicha, en la que los interesados podrán presentar ofertas. Esta etapa fue denominada por el legislador como </w:t>
      </w:r>
      <w:r w:rsidRPr="009D198D">
        <w:rPr>
          <w:rFonts w:ascii="Arial" w:hAnsi="Arial" w:cs="Arial"/>
          <w:i/>
          <w:iCs/>
          <w:sz w:val="22"/>
        </w:rPr>
        <w:t>p</w:t>
      </w:r>
      <w:r w:rsidRPr="009D198D">
        <w:rPr>
          <w:rFonts w:ascii="Arial" w:hAnsi="Arial" w:cs="Arial"/>
          <w:i/>
          <w:sz w:val="22"/>
        </w:rPr>
        <w:t xml:space="preserve">lazo de licitación, </w:t>
      </w:r>
      <w:r w:rsidRPr="009D198D">
        <w:rPr>
          <w:rFonts w:ascii="Arial" w:hAnsi="Arial" w:cs="Arial"/>
          <w:sz w:val="22"/>
        </w:rPr>
        <w:t>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w:t>
      </w:r>
      <w:r w:rsidR="00B7377E" w:rsidRPr="009D198D">
        <w:rPr>
          <w:rFonts w:ascii="Arial" w:hAnsi="Arial" w:cs="Arial"/>
          <w:sz w:val="22"/>
        </w:rPr>
        <w:t xml:space="preserve"> </w:t>
      </w:r>
      <w:r w:rsidR="009B5110" w:rsidRPr="009D198D">
        <w:rPr>
          <w:rFonts w:ascii="Arial" w:hAnsi="Arial" w:cs="Arial"/>
          <w:sz w:val="22"/>
        </w:rPr>
        <w:t xml:space="preserve"> </w:t>
      </w:r>
    </w:p>
    <w:p w14:paraId="29C3C376" w14:textId="6D0B6606"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Así las cosas, la entidad pública es quien define el término con que contarán los oferentes para preparar y presentar sus ofertas, que deberá, en todo caso, responder a la naturaleza, objeto y cuantía del contrato</w:t>
      </w:r>
      <w:r w:rsidR="006F5543" w:rsidRPr="009D198D">
        <w:rPr>
          <w:rFonts w:ascii="Arial" w:hAnsi="Arial" w:cs="Arial"/>
          <w:sz w:val="22"/>
        </w:rPr>
        <w:t>, toda vez que el ordenamiento jurídico no establece un término específico</w:t>
      </w:r>
      <w:r w:rsidRPr="009D198D">
        <w:rPr>
          <w:rFonts w:ascii="Arial" w:hAnsi="Arial" w:cs="Arial"/>
          <w:sz w:val="22"/>
        </w:rPr>
        <w:t xml:space="preserve">. Además, los numerales 4 y 5 de la noma facultan a la entidad para prorrogar </w:t>
      </w:r>
      <w:r w:rsidR="00CD266F" w:rsidRPr="009D198D">
        <w:rPr>
          <w:rFonts w:ascii="Arial" w:hAnsi="Arial" w:cs="Arial"/>
          <w:sz w:val="22"/>
        </w:rPr>
        <w:t xml:space="preserve">discrecionalmente </w:t>
      </w:r>
      <w:r w:rsidRPr="009D198D">
        <w:rPr>
          <w:rFonts w:ascii="Arial" w:hAnsi="Arial" w:cs="Arial"/>
          <w:sz w:val="22"/>
        </w:rPr>
        <w:t>este término, pues, de un lado, el numeral 4 permite a la entidad prorrogar este plazo hasta por 6 días hábiles, cuando de la audiencia de que trata este numeral el jefe de la entidad expida las modificaciones a los pliegos</w:t>
      </w:r>
      <w:r w:rsidR="00CD266F" w:rsidRPr="009D198D">
        <w:rPr>
          <w:rFonts w:ascii="Arial" w:hAnsi="Arial" w:cs="Arial"/>
          <w:sz w:val="22"/>
        </w:rPr>
        <w:t>, y considere conveniente ampliar el término</w:t>
      </w:r>
      <w:r w:rsidRPr="009D198D">
        <w:rPr>
          <w:rFonts w:ascii="Arial" w:hAnsi="Arial" w:cs="Arial"/>
          <w:sz w:val="22"/>
        </w:rPr>
        <w:t xml:space="preserve">; y de otro, el numeral 5 prevé que antes de su vencimiento, y cuando la entidad interesada lo estime conveniente, podrá prorrogarlo por un término no superior a la mitad del inicialmente fijado, aunque en todo caso no podrán expedirse </w:t>
      </w:r>
      <w:r w:rsidRPr="009D198D">
        <w:rPr>
          <w:rFonts w:ascii="Arial" w:hAnsi="Arial" w:cs="Arial"/>
          <w:i/>
          <w:sz w:val="22"/>
        </w:rPr>
        <w:t>adenda</w:t>
      </w:r>
      <w:r w:rsidR="00CD266F" w:rsidRPr="009D198D">
        <w:rPr>
          <w:rFonts w:ascii="Arial" w:hAnsi="Arial" w:cs="Arial"/>
          <w:i/>
          <w:sz w:val="22"/>
        </w:rPr>
        <w:t>s</w:t>
      </w:r>
      <w:r w:rsidRPr="009D198D">
        <w:rPr>
          <w:rFonts w:ascii="Arial" w:hAnsi="Arial" w:cs="Arial"/>
          <w:sz w:val="22"/>
        </w:rPr>
        <w:t xml:space="preserve"> dentro de los 3 días anteriores al cierre de la licitación. De todos modos, el término fijado es perentorio y de obligatorio cumplimiento de para los oferentes, como se explicará más adelante.</w:t>
      </w:r>
    </w:p>
    <w:p w14:paraId="562E3E96" w14:textId="4CD0DE70"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 xml:space="preserve">Es pertinente señalar que en esta etapa de presentación de ofertas se surtirán otras actuaciones. </w:t>
      </w:r>
      <w:r w:rsidR="00CD266F" w:rsidRPr="009D198D">
        <w:rPr>
          <w:rFonts w:ascii="Arial" w:hAnsi="Arial" w:cs="Arial"/>
          <w:sz w:val="22"/>
        </w:rPr>
        <w:t>En efecto, e</w:t>
      </w:r>
      <w:r w:rsidRPr="009D198D">
        <w:rPr>
          <w:rFonts w:ascii="Arial" w:hAnsi="Arial" w:cs="Arial"/>
          <w:sz w:val="22"/>
        </w:rPr>
        <w:t xml:space="preserve">l numeral 4 </w:t>
      </w:r>
      <w:r w:rsidR="00CD266F" w:rsidRPr="009D198D">
        <w:rPr>
          <w:rFonts w:ascii="Arial" w:hAnsi="Arial" w:cs="Arial"/>
          <w:sz w:val="22"/>
        </w:rPr>
        <w:t>del artículo 30 de la Ley 80 de 1993</w:t>
      </w:r>
      <w:r w:rsidRPr="009D198D">
        <w:rPr>
          <w:rFonts w:ascii="Arial" w:hAnsi="Arial" w:cs="Arial"/>
          <w:sz w:val="22"/>
        </w:rPr>
        <w:t xml:space="preserve"> establece una de ellas: la audiencia para precisar el alcance de los pliegos de condiciones y de asignación </w:t>
      </w:r>
      <w:r w:rsidRPr="009D198D">
        <w:rPr>
          <w:rFonts w:ascii="Arial" w:hAnsi="Arial" w:cs="Arial"/>
          <w:sz w:val="22"/>
        </w:rPr>
        <w:lastRenderedPageBreak/>
        <w:t>de riesgos. La oportunidad para celebrar esta audiencia es dentro de los 3 días hábiles siguientes al inicio del plazo de licitación.</w:t>
      </w:r>
    </w:p>
    <w:p w14:paraId="4723ED96" w14:textId="03F24CA7"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 xml:space="preserve">Una vez precluida la oportunidad para presentar ofertas, en el plazo que señala el pliego de condiciones </w:t>
      </w:r>
      <w:r w:rsidRPr="009D198D">
        <w:rPr>
          <w:rFonts w:ascii="Arial" w:eastAsia="Calibri" w:hAnsi="Arial" w:cs="Arial"/>
          <w:bCs/>
          <w:sz w:val="22"/>
        </w:rPr>
        <w:t>−</w:t>
      </w:r>
      <w:r w:rsidRPr="009D198D">
        <w:rPr>
          <w:rFonts w:ascii="Arial" w:hAnsi="Arial" w:cs="Arial"/>
          <w:bCs/>
          <w:sz w:val="22"/>
        </w:rPr>
        <w:t>numeral 7</w:t>
      </w:r>
      <w:r w:rsidR="00CD266F" w:rsidRPr="009D198D">
        <w:rPr>
          <w:rFonts w:ascii="Arial" w:hAnsi="Arial" w:cs="Arial"/>
          <w:bCs/>
          <w:sz w:val="22"/>
        </w:rPr>
        <w:t xml:space="preserve"> </w:t>
      </w:r>
      <w:proofErr w:type="spellStart"/>
      <w:r w:rsidR="00CD266F" w:rsidRPr="009D198D">
        <w:rPr>
          <w:rFonts w:ascii="Arial" w:hAnsi="Arial" w:cs="Arial"/>
          <w:bCs/>
          <w:sz w:val="22"/>
        </w:rPr>
        <w:t>ibídem</w:t>
      </w:r>
      <w:proofErr w:type="spellEnd"/>
      <w:r w:rsidRPr="009D198D">
        <w:rPr>
          <w:rFonts w:ascii="Arial" w:eastAsia="Calibri" w:hAnsi="Arial" w:cs="Arial"/>
          <w:bCs/>
          <w:sz w:val="22"/>
        </w:rPr>
        <w:t>−</w:t>
      </w:r>
      <w:r w:rsidRPr="009D198D">
        <w:rPr>
          <w:rFonts w:ascii="Arial" w:hAnsi="Arial" w:cs="Arial"/>
          <w:bCs/>
          <w:sz w:val="22"/>
        </w:rPr>
        <w:t>,</w:t>
      </w:r>
      <w:r w:rsidRPr="009D198D">
        <w:rPr>
          <w:rFonts w:ascii="Arial" w:hAnsi="Arial" w:cs="Arial"/>
          <w:sz w:val="22"/>
        </w:rPr>
        <w:t xml:space="preserve"> el comité evaluador de la entidad realizará «los estudios técnicos, económicos y jurídicos necesarios para la evaluación de las propuestas» y además podrá pedir a los proponentes las aclaraciones y explicaciones que considere pertinentes.</w:t>
      </w:r>
      <w:r w:rsidR="00B7377E" w:rsidRPr="009D198D">
        <w:rPr>
          <w:rFonts w:ascii="Arial" w:hAnsi="Arial" w:cs="Arial"/>
          <w:sz w:val="22"/>
        </w:rPr>
        <w:t xml:space="preserve"> </w:t>
      </w:r>
    </w:p>
    <w:p w14:paraId="485E7F50" w14:textId="77777777"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 xml:space="preserve">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 </w:t>
      </w:r>
    </w:p>
    <w:p w14:paraId="6C470883" w14:textId="77777777" w:rsidR="00AE087F" w:rsidRPr="009D198D" w:rsidRDefault="00AE087F" w:rsidP="00AE087F">
      <w:pPr>
        <w:spacing w:line="276" w:lineRule="auto"/>
        <w:jc w:val="both"/>
        <w:rPr>
          <w:rFonts w:ascii="Arial" w:hAnsi="Arial" w:cs="Arial"/>
          <w:sz w:val="22"/>
        </w:rPr>
      </w:pPr>
      <w:r w:rsidRPr="009D198D">
        <w:rPr>
          <w:rFonts w:ascii="Arial" w:hAnsi="Arial" w:cs="Arial"/>
          <w:sz w:val="22"/>
        </w:rPr>
        <w:t xml:space="preserve"> </w:t>
      </w:r>
      <w:r w:rsidRPr="009D198D">
        <w:rPr>
          <w:rFonts w:ascii="Arial" w:hAnsi="Arial" w:cs="Arial"/>
          <w:sz w:val="22"/>
        </w:rPr>
        <w:tab/>
        <w:t xml:space="preserve">Evaluadas las propuestas, se deben distinguir dos hipótesis: de un lado, las licitaciones públicas </w:t>
      </w:r>
      <w:bookmarkStart w:id="19" w:name="_Hlk93482224"/>
      <w:r w:rsidRPr="009D198D">
        <w:rPr>
          <w:rFonts w:ascii="Arial" w:hAnsi="Arial" w:cs="Arial"/>
          <w:sz w:val="22"/>
        </w:rPr>
        <w:t xml:space="preserve">para seleccionar contratistas de obra pública </w:t>
      </w:r>
      <w:bookmarkEnd w:id="19"/>
      <w:r w:rsidRPr="009D198D">
        <w:rPr>
          <w:rFonts w:ascii="Arial" w:hAnsi="Arial" w:cs="Arial"/>
          <w:sz w:val="22"/>
        </w:rPr>
        <w:t>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9D198D">
        <w:rPr>
          <w:rStyle w:val="Refdenotaalpie"/>
          <w:rFonts w:ascii="Arial" w:hAnsi="Arial" w:cs="Arial"/>
          <w:sz w:val="22"/>
        </w:rPr>
        <w:footnoteReference w:id="32"/>
      </w:r>
      <w:r w:rsidRPr="009D198D">
        <w:rPr>
          <w:rFonts w:ascii="Arial" w:hAnsi="Arial" w:cs="Arial"/>
          <w:sz w:val="22"/>
        </w:rPr>
        <w:t>.</w:t>
      </w:r>
    </w:p>
    <w:p w14:paraId="7C1E6B5E" w14:textId="3E7EB9F8" w:rsidR="00AE087F" w:rsidRPr="009D198D" w:rsidRDefault="00AE087F" w:rsidP="00AE087F">
      <w:pPr>
        <w:spacing w:before="120" w:line="276" w:lineRule="auto"/>
        <w:jc w:val="both"/>
        <w:rPr>
          <w:rFonts w:ascii="Arial" w:hAnsi="Arial" w:cs="Arial"/>
          <w:sz w:val="22"/>
        </w:rPr>
      </w:pPr>
      <w:r w:rsidRPr="009D198D">
        <w:rPr>
          <w:rFonts w:ascii="Arial" w:hAnsi="Arial" w:cs="Arial"/>
          <w:sz w:val="22"/>
        </w:rPr>
        <w:tab/>
        <w:t>En la primera hipótesis, regulada por el parágrafo 3 del artículo 30 de la Ley 80 de 1993, adicionado por el artículo 1 de la Ley 1882 de 2018,</w:t>
      </w:r>
      <w:r w:rsidR="00CD266F" w:rsidRPr="009D198D">
        <w:rPr>
          <w:rFonts w:ascii="Arial" w:hAnsi="Arial" w:cs="Arial"/>
          <w:sz w:val="22"/>
        </w:rPr>
        <w:t xml:space="preserve"> esto es, cuando se trate de licitaciones para seleccionar a contratistas de obra,</w:t>
      </w:r>
      <w:r w:rsidRPr="009D198D">
        <w:rPr>
          <w:rFonts w:ascii="Arial" w:hAnsi="Arial" w:cs="Arial"/>
          <w:sz w:val="22"/>
        </w:rPr>
        <w:t xml:space="preserve"> la entidad deberá publicar el </w:t>
      </w:r>
      <w:r w:rsidRPr="009D198D">
        <w:rPr>
          <w:rFonts w:ascii="Arial" w:hAnsi="Arial" w:cs="Arial"/>
          <w:i/>
          <w:iCs/>
          <w:sz w:val="22"/>
        </w:rPr>
        <w:t>informe de evaluación</w:t>
      </w:r>
      <w:r w:rsidRPr="009D198D">
        <w:rPr>
          <w:rFonts w:ascii="Arial" w:hAnsi="Arial" w:cs="Arial"/>
          <w:sz w:val="22"/>
        </w:rPr>
        <w:t xml:space="preserve">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9D198D">
        <w:rPr>
          <w:rFonts w:ascii="Arial" w:hAnsi="Arial" w:cs="Arial"/>
          <w:i/>
          <w:sz w:val="22"/>
        </w:rPr>
        <w:t>informe final de evaluación</w:t>
      </w:r>
      <w:r w:rsidRPr="009D198D">
        <w:rPr>
          <w:rFonts w:ascii="Arial" w:hAnsi="Arial" w:cs="Arial"/>
          <w:sz w:val="22"/>
        </w:rPr>
        <w:t xml:space="preserve"> de los requisitos habilitantes y los requisitos objeto de puntuación, distintos a la oferta económica.</w:t>
      </w:r>
    </w:p>
    <w:p w14:paraId="3609F700" w14:textId="50258CC5" w:rsidR="00AE087F" w:rsidRPr="009D198D" w:rsidRDefault="00AE087F" w:rsidP="00AE087F">
      <w:pPr>
        <w:spacing w:before="120" w:line="276" w:lineRule="auto"/>
        <w:ind w:firstLine="708"/>
        <w:jc w:val="both"/>
        <w:rPr>
          <w:rFonts w:ascii="Arial" w:hAnsi="Arial" w:cs="Arial"/>
          <w:sz w:val="22"/>
        </w:rPr>
      </w:pPr>
      <w:r w:rsidRPr="009D198D">
        <w:rPr>
          <w:rFonts w:ascii="Arial" w:hAnsi="Arial" w:cs="Arial"/>
          <w:sz w:val="22"/>
        </w:rPr>
        <w:t xml:space="preserve">Es del caso precisar que, en los procesos de licitación pública para seleccionar contratistas de obra, por disposición del artículo 1 de la Ley 1882 de 2018, la oferta estará conformada por dos sobres: en el primero, se deben incluir los documentos relacionados </w:t>
      </w:r>
      <w:r w:rsidRPr="009D198D">
        <w:rPr>
          <w:rFonts w:ascii="Arial" w:hAnsi="Arial" w:cs="Arial"/>
          <w:sz w:val="22"/>
        </w:rPr>
        <w:lastRenderedPageBreak/>
        <w:t>con el cumplimiento de los requisitos habilitantes, así como los relacionados con los requisitos y documentos a los que se les asigne puntaje, diferentes a la oferta económica.</w:t>
      </w:r>
      <w:r w:rsidR="00B7377E" w:rsidRPr="009D198D">
        <w:rPr>
          <w:rFonts w:ascii="Arial" w:hAnsi="Arial" w:cs="Arial"/>
          <w:sz w:val="22"/>
        </w:rPr>
        <w:t xml:space="preserve"> </w:t>
      </w:r>
      <w:r w:rsidRPr="009D198D">
        <w:rPr>
          <w:rFonts w:ascii="Arial" w:hAnsi="Arial" w:cs="Arial"/>
          <w:sz w:val="22"/>
        </w:rPr>
        <w:t>En el segundo, por otro lado, el proponente tendrá que incluir únicamente la propuesta económica, de conformidad con todos los requisitos exigidos en el pliego de condiciones.</w:t>
      </w:r>
    </w:p>
    <w:p w14:paraId="37558C99" w14:textId="5F29A2AA" w:rsidR="00AE087F" w:rsidRPr="009D198D" w:rsidRDefault="00AE087F" w:rsidP="00AE087F">
      <w:pPr>
        <w:spacing w:before="120" w:line="276" w:lineRule="auto"/>
        <w:ind w:firstLine="709"/>
        <w:jc w:val="both"/>
        <w:rPr>
          <w:rFonts w:ascii="Arial" w:hAnsi="Arial" w:cs="Arial"/>
          <w:sz w:val="22"/>
        </w:rPr>
      </w:pPr>
      <w:r w:rsidRPr="009D198D">
        <w:rPr>
          <w:rFonts w:ascii="Arial" w:hAnsi="Arial" w:cs="Arial"/>
          <w:sz w:val="22"/>
        </w:rPr>
        <w:t xml:space="preserve">En cualquiera de las dos hipótesis, vencido el término para presentar observaciones al </w:t>
      </w:r>
      <w:r w:rsidRPr="009D198D">
        <w:rPr>
          <w:rFonts w:ascii="Arial" w:hAnsi="Arial" w:cs="Arial"/>
          <w:i/>
          <w:iCs/>
          <w:sz w:val="22"/>
        </w:rPr>
        <w:t>informe de evaluación</w:t>
      </w:r>
      <w:r w:rsidRPr="009D198D">
        <w:rPr>
          <w:rFonts w:ascii="Arial" w:hAnsi="Arial" w:cs="Arial"/>
          <w:sz w:val="22"/>
        </w:rPr>
        <w:t xml:space="preserve">, empieza a correr el </w:t>
      </w:r>
      <w:r w:rsidRPr="009D198D">
        <w:rPr>
          <w:rFonts w:ascii="Arial" w:hAnsi="Arial" w:cs="Arial"/>
          <w:i/>
          <w:sz w:val="22"/>
        </w:rPr>
        <w:t>plazo para adjudicar el contrato,</w:t>
      </w:r>
      <w:r w:rsidRPr="009D198D">
        <w:rPr>
          <w:rFonts w:ascii="Arial" w:hAnsi="Arial" w:cs="Arial"/>
          <w:b/>
          <w:sz w:val="22"/>
        </w:rPr>
        <w:t xml:space="preserve"> </w:t>
      </w:r>
      <w:r w:rsidRPr="009D198D">
        <w:rPr>
          <w:rFonts w:ascii="Arial" w:hAnsi="Arial" w:cs="Arial"/>
          <w:sz w:val="22"/>
        </w:rPr>
        <w:t xml:space="preserve">que hace referencia a la oportunidad que tiene la entidad para seleccionar o escoger la mejor oferta, cuyo término, según el numeral 7 del artículo 30 de la Ley 80 de 1993, es de libre configuración </w:t>
      </w:r>
      <w:r w:rsidR="00D41146" w:rsidRPr="009D198D">
        <w:rPr>
          <w:rFonts w:ascii="Arial" w:hAnsi="Arial" w:cs="Arial"/>
          <w:sz w:val="22"/>
        </w:rPr>
        <w:t xml:space="preserve">en el </w:t>
      </w:r>
      <w:r w:rsidRPr="009D198D">
        <w:rPr>
          <w:rFonts w:ascii="Arial" w:hAnsi="Arial" w:cs="Arial"/>
          <w:sz w:val="22"/>
        </w:rPr>
        <w:t xml:space="preserve">pliego de condiciones. Durante este lapso se resuelven las observaciones presentadas por los oferentes, es decir, la entidad responderá las observaciones durante esta oportunidad y a más tardar hasta el momento de la adjudicación. </w:t>
      </w:r>
    </w:p>
    <w:p w14:paraId="67FF9C00" w14:textId="77777777"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t xml:space="preserve">El numeral 9 del artículo 30 de la Ley 80 de 1993 permite al jefe de la entidad prorrogar el plazo para efectuar la adjudicación, y para la firma del contrato, pero dentro de una oportunidad específica,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 </w:t>
      </w:r>
    </w:p>
    <w:p w14:paraId="5410A4B5" w14:textId="44BACE0D" w:rsidR="00AE087F" w:rsidRPr="009D198D" w:rsidRDefault="00AE087F" w:rsidP="00BD3BF8">
      <w:pPr>
        <w:spacing w:before="120" w:after="120" w:line="276" w:lineRule="auto"/>
        <w:ind w:firstLine="709"/>
        <w:jc w:val="both"/>
        <w:rPr>
          <w:rFonts w:ascii="Arial" w:hAnsi="Arial" w:cs="Arial"/>
          <w:bCs/>
          <w:sz w:val="22"/>
          <w:lang w:val="es-ES_tradnl"/>
        </w:rPr>
      </w:pPr>
      <w:r w:rsidRPr="009D198D">
        <w:rPr>
          <w:rFonts w:ascii="Arial" w:hAnsi="Arial" w:cs="Arial"/>
          <w:sz w:val="22"/>
        </w:rPr>
        <w:t xml:space="preserve">Dentro del </w:t>
      </w:r>
      <w:r w:rsidRPr="009D198D">
        <w:rPr>
          <w:rFonts w:ascii="Arial" w:hAnsi="Arial" w:cs="Arial"/>
          <w:i/>
          <w:iCs/>
          <w:sz w:val="22"/>
        </w:rPr>
        <w:t>plazo para adjudicar el contrato</w:t>
      </w:r>
      <w:r w:rsidRPr="009D198D">
        <w:rPr>
          <w:rFonts w:ascii="Arial" w:hAnsi="Arial" w:cs="Arial"/>
          <w:sz w:val="22"/>
        </w:rPr>
        <w:t>, debe celebrarse la audiencia de adjudicación, la cual resulta obligatoria en los procesos de licitación pública, por disposición de los artículos 30, numeral 10, de la Ley 80 de 1993 y 9 de la Ley 1150 de 2007, en concordancia con el artículo 273 de la Constitución Política.</w:t>
      </w:r>
      <w:r w:rsidR="00BD3BF8" w:rsidRPr="009D198D">
        <w:rPr>
          <w:rFonts w:ascii="Arial" w:eastAsiaTheme="minorHAnsi" w:hAnsi="Arial" w:cs="Arial"/>
          <w:bCs/>
          <w:color w:val="000000" w:themeColor="text1"/>
          <w:sz w:val="20"/>
          <w:szCs w:val="20"/>
          <w:lang w:val="es-ES_tradnl" w:eastAsia="en-US"/>
        </w:rPr>
        <w:t xml:space="preserve"> </w:t>
      </w:r>
      <w:r w:rsidR="00BD3BF8" w:rsidRPr="009D198D">
        <w:rPr>
          <w:rFonts w:ascii="Arial" w:eastAsiaTheme="minorHAnsi" w:hAnsi="Arial" w:cs="Arial"/>
          <w:bCs/>
          <w:color w:val="000000" w:themeColor="text1"/>
          <w:sz w:val="22"/>
          <w:szCs w:val="22"/>
          <w:lang w:val="es-ES_tradnl" w:eastAsia="en-US"/>
        </w:rPr>
        <w:t xml:space="preserve">Según estas disposiciones, </w:t>
      </w:r>
      <w:r w:rsidR="00BD3BF8" w:rsidRPr="009D198D">
        <w:rPr>
          <w:rFonts w:ascii="Arial" w:hAnsi="Arial" w:cs="Arial"/>
          <w:bCs/>
          <w:sz w:val="22"/>
          <w:szCs w:val="22"/>
          <w:lang w:val="es-ES_tradnl"/>
        </w:rPr>
        <w:t>la adjudicación se hará de forma obligatoria en audiencia pública, mediante resolución motivada, que se entenderá notificada al proponente</w:t>
      </w:r>
      <w:r w:rsidR="00BD3BF8" w:rsidRPr="009D198D">
        <w:rPr>
          <w:rFonts w:ascii="Arial" w:hAnsi="Arial" w:cs="Arial"/>
          <w:bCs/>
          <w:sz w:val="22"/>
          <w:lang w:val="es-ES_tradnl"/>
        </w:rPr>
        <w:t xml:space="preserve"> favorecido en dicha audiencia. En concordancia, el artículo 2.2.1.2.1.1.2. del Decreto 1082 de 2015 establece que en los procesos de licitación son obligatorias las audiencias de asignación de riesgos y de adjudicación</w:t>
      </w:r>
      <w:r w:rsidR="00BD3BF8" w:rsidRPr="009D198D">
        <w:rPr>
          <w:rFonts w:ascii="Arial" w:hAnsi="Arial" w:cs="Arial"/>
          <w:bCs/>
          <w:i/>
          <w:iCs/>
          <w:sz w:val="22"/>
          <w:lang w:val="es-ES_tradnl"/>
        </w:rPr>
        <w:t xml:space="preserve">. </w:t>
      </w:r>
      <w:r w:rsidR="00BD3BF8" w:rsidRPr="009D198D">
        <w:rPr>
          <w:rFonts w:ascii="Arial" w:hAnsi="Arial" w:cs="Arial"/>
          <w:bCs/>
          <w:sz w:val="22"/>
          <w:lang w:val="es-ES_tradnl"/>
        </w:rPr>
        <w:t>En esta última, la entidad estatal, entre otras reglas a aplicar, puede prescindir de la lectura del borrador del acto administrativo de adjudicación siempre que lo haya publicado en el SECOP con antelación.</w:t>
      </w:r>
      <w:bookmarkStart w:id="20" w:name="_Hlk93484416"/>
      <w:r w:rsidR="00BD3BF8" w:rsidRPr="009D198D">
        <w:rPr>
          <w:rFonts w:ascii="Arial" w:hAnsi="Arial" w:cs="Arial"/>
          <w:bCs/>
          <w:sz w:val="22"/>
          <w:lang w:val="es-ES_tradnl"/>
        </w:rPr>
        <w:t xml:space="preserve"> De este modo, la adjudicación del contrato se realiza durante la audiencia pública de adjudicación y </w:t>
      </w:r>
      <w:r w:rsidR="0001581D" w:rsidRPr="009D198D">
        <w:rPr>
          <w:rFonts w:ascii="Arial" w:hAnsi="Arial" w:cs="Arial"/>
          <w:bCs/>
          <w:sz w:val="22"/>
          <w:lang w:val="es-ES_tradnl"/>
        </w:rPr>
        <w:t xml:space="preserve">por regla general </w:t>
      </w:r>
      <w:r w:rsidR="00BD3BF8" w:rsidRPr="009D198D">
        <w:rPr>
          <w:rFonts w:ascii="Arial" w:hAnsi="Arial" w:cs="Arial"/>
          <w:bCs/>
          <w:sz w:val="22"/>
          <w:lang w:val="es-ES_tradnl"/>
        </w:rPr>
        <w:t>en esta se deberá dar lectura del acto de adjudicación.</w:t>
      </w:r>
      <w:bookmarkEnd w:id="20"/>
      <w:r w:rsidRPr="009D198D">
        <w:rPr>
          <w:rFonts w:ascii="Arial" w:hAnsi="Arial" w:cs="Arial"/>
          <w:sz w:val="22"/>
        </w:rPr>
        <w:t xml:space="preserve">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w:t>
      </w:r>
      <w:proofErr w:type="gramStart"/>
      <w:r w:rsidRPr="009D198D">
        <w:rPr>
          <w:rFonts w:ascii="Arial" w:hAnsi="Arial" w:cs="Arial"/>
          <w:sz w:val="22"/>
        </w:rPr>
        <w:t>la misma</w:t>
      </w:r>
      <w:proofErr w:type="gramEnd"/>
      <w:r w:rsidRPr="009D198D">
        <w:rPr>
          <w:rFonts w:ascii="Arial" w:hAnsi="Arial" w:cs="Arial"/>
          <w:sz w:val="22"/>
        </w:rPr>
        <w:t>.</w:t>
      </w:r>
    </w:p>
    <w:p w14:paraId="1D8BA57F" w14:textId="2CD93147" w:rsidR="00AE087F" w:rsidRPr="009D198D" w:rsidRDefault="00AE087F" w:rsidP="00AE087F">
      <w:pPr>
        <w:spacing w:before="120" w:after="120" w:line="276" w:lineRule="auto"/>
        <w:ind w:firstLine="709"/>
        <w:jc w:val="both"/>
        <w:rPr>
          <w:rFonts w:ascii="Arial" w:hAnsi="Arial" w:cs="Arial"/>
          <w:sz w:val="22"/>
        </w:rPr>
      </w:pPr>
      <w:r w:rsidRPr="009D198D">
        <w:rPr>
          <w:rFonts w:ascii="Arial" w:hAnsi="Arial" w:cs="Arial"/>
          <w:sz w:val="22"/>
        </w:rPr>
        <w:lastRenderedPageBreak/>
        <w:t xml:space="preserve">En el caso de las licitaciones públicas para seleccionar contratistas de obra pública, en la </w:t>
      </w:r>
      <w:r w:rsidRPr="009D198D">
        <w:rPr>
          <w:rFonts w:ascii="Arial" w:hAnsi="Arial" w:cs="Arial"/>
          <w:i/>
          <w:iCs/>
          <w:sz w:val="22"/>
        </w:rPr>
        <w:t>audiencia efectiva de adjudicación</w:t>
      </w:r>
      <w:r w:rsidRPr="009D198D">
        <w:rPr>
          <w:rFonts w:ascii="Arial" w:hAnsi="Arial" w:cs="Arial"/>
          <w:sz w:val="22"/>
        </w:rPr>
        <w:t xml:space="preserve">, por disposición del inciso final del parágrafo 3º del artículo 30 de la Ley 80 de 1993, adicionado por el artículo 1 de la Ley 1882 de 2018, se deben llevar a cabo tres actuaciones adicionales a la adjudicación del contrato: </w:t>
      </w:r>
      <w:r w:rsidRPr="009D198D">
        <w:rPr>
          <w:rFonts w:ascii="Arial" w:hAnsi="Arial" w:cs="Arial"/>
          <w:i/>
          <w:iCs/>
          <w:sz w:val="22"/>
        </w:rPr>
        <w:t>primero</w:t>
      </w:r>
      <w:r w:rsidRPr="009D198D">
        <w:rPr>
          <w:rFonts w:ascii="Arial" w:hAnsi="Arial" w:cs="Arial"/>
          <w:sz w:val="22"/>
        </w:rPr>
        <w:t xml:space="preserve">, la entidad debe permitir a los proponentes que realicen observaciones en relación con el </w:t>
      </w:r>
      <w:r w:rsidRPr="009D198D">
        <w:rPr>
          <w:rFonts w:ascii="Arial" w:hAnsi="Arial" w:cs="Arial"/>
          <w:i/>
          <w:iCs/>
          <w:sz w:val="22"/>
        </w:rPr>
        <w:t>informe final de evaluación</w:t>
      </w:r>
      <w:r w:rsidRPr="009D198D">
        <w:rPr>
          <w:rFonts w:ascii="Arial" w:hAnsi="Arial" w:cs="Arial"/>
          <w:sz w:val="22"/>
        </w:rPr>
        <w:t xml:space="preserve">. Resulta del caso precisar que a pesar de que la norma en comento hace referencia al </w:t>
      </w:r>
      <w:r w:rsidRPr="009D198D">
        <w:rPr>
          <w:rFonts w:ascii="Arial" w:hAnsi="Arial" w:cs="Arial"/>
          <w:i/>
          <w:iCs/>
          <w:sz w:val="22"/>
        </w:rPr>
        <w:t>informe de evaluación</w:t>
      </w:r>
      <w:r w:rsidRPr="009D198D">
        <w:rPr>
          <w:rFonts w:ascii="Arial" w:hAnsi="Arial" w:cs="Arial"/>
          <w:sz w:val="22"/>
        </w:rPr>
        <w:t xml:space="preserve">, lo cierto es que lo procedente es entender que está haciendo mención </w:t>
      </w:r>
      <w:proofErr w:type="gramStart"/>
      <w:r w:rsidRPr="009D198D">
        <w:rPr>
          <w:rFonts w:ascii="Arial" w:hAnsi="Arial" w:cs="Arial"/>
          <w:sz w:val="22"/>
        </w:rPr>
        <w:t>al</w:t>
      </w:r>
      <w:proofErr w:type="gramEnd"/>
      <w:r w:rsidRPr="009D198D">
        <w:rPr>
          <w:rFonts w:ascii="Arial" w:hAnsi="Arial" w:cs="Arial"/>
          <w:sz w:val="22"/>
        </w:rPr>
        <w:t xml:space="preserve"> </w:t>
      </w:r>
      <w:r w:rsidRPr="009D198D">
        <w:rPr>
          <w:rFonts w:ascii="Arial" w:hAnsi="Arial" w:cs="Arial"/>
          <w:i/>
          <w:iCs/>
          <w:sz w:val="22"/>
        </w:rPr>
        <w:t xml:space="preserve">informe final de evaluación, </w:t>
      </w:r>
      <w:r w:rsidRPr="009D198D">
        <w:rPr>
          <w:rFonts w:ascii="Arial" w:hAnsi="Arial" w:cs="Arial"/>
          <w:sz w:val="22"/>
        </w:rPr>
        <w:t>es decir, el que resulte luego de presentadas las observaciones por los proponentes y que sean resueltas por la entidad</w:t>
      </w:r>
      <w:r w:rsidR="00D41146" w:rsidRPr="009D198D">
        <w:rPr>
          <w:rFonts w:ascii="Arial" w:hAnsi="Arial" w:cs="Arial"/>
          <w:sz w:val="22"/>
        </w:rPr>
        <w:t>, en caso de que haya sido objeto de modificaciones</w:t>
      </w:r>
      <w:r w:rsidRPr="009D198D">
        <w:rPr>
          <w:rFonts w:ascii="Arial" w:hAnsi="Arial" w:cs="Arial"/>
          <w:sz w:val="22"/>
        </w:rPr>
        <w:t xml:space="preserve">. Tal interpretación encuentra fundamento en tres argumentos: por un lado, en que la misma norma ya contiene un término para presentar observaciones en relación con el </w:t>
      </w:r>
      <w:r w:rsidRPr="009D198D">
        <w:rPr>
          <w:rFonts w:ascii="Arial" w:hAnsi="Arial" w:cs="Arial"/>
          <w:i/>
          <w:iCs/>
          <w:sz w:val="22"/>
        </w:rPr>
        <w:t xml:space="preserve">informe de evaluación </w:t>
      </w:r>
      <w:r w:rsidRPr="009D198D">
        <w:rPr>
          <w:rFonts w:ascii="Arial" w:hAnsi="Arial" w:cs="Arial"/>
          <w:sz w:val="22"/>
        </w:rPr>
        <w:t xml:space="preserve">–inicial–, esto es, dentro de los cinco días siguientes a su publicación en el SECOP; por otro, que aceptar lo contrario implicaría asumir que es posible reabrir el debate en relación con el </w:t>
      </w:r>
      <w:r w:rsidRPr="009D198D">
        <w:rPr>
          <w:rFonts w:ascii="Arial" w:hAnsi="Arial" w:cs="Arial"/>
          <w:i/>
          <w:iCs/>
          <w:sz w:val="22"/>
        </w:rPr>
        <w:t>informe de evaluación</w:t>
      </w:r>
      <w:r w:rsidRPr="009D198D">
        <w:rPr>
          <w:rFonts w:ascii="Arial" w:hAnsi="Arial" w:cs="Arial"/>
          <w:sz w:val="22"/>
        </w:rPr>
        <w:t xml:space="preserve">, pese a que el mismo se cerró al expedir el </w:t>
      </w:r>
      <w:r w:rsidRPr="009D198D">
        <w:rPr>
          <w:rFonts w:ascii="Arial" w:hAnsi="Arial" w:cs="Arial"/>
          <w:i/>
          <w:iCs/>
          <w:sz w:val="22"/>
        </w:rPr>
        <w:t>informe final de evaluación</w:t>
      </w:r>
      <w:r w:rsidRPr="009D198D">
        <w:rPr>
          <w:rFonts w:ascii="Arial" w:hAnsi="Arial" w:cs="Arial"/>
          <w:sz w:val="22"/>
        </w:rPr>
        <w:t xml:space="preserve"> y, por último, que una interpretación literal de la norma implica que no hay una etapa para presentar observaciones en relación con el </w:t>
      </w:r>
      <w:r w:rsidRPr="009D198D">
        <w:rPr>
          <w:rFonts w:ascii="Arial" w:hAnsi="Arial" w:cs="Arial"/>
          <w:i/>
          <w:iCs/>
          <w:sz w:val="22"/>
        </w:rPr>
        <w:t>informe final de evaluación</w:t>
      </w:r>
      <w:r w:rsidRPr="009D198D">
        <w:rPr>
          <w:rFonts w:ascii="Arial" w:hAnsi="Arial" w:cs="Arial"/>
          <w:sz w:val="22"/>
        </w:rPr>
        <w:t>, lo cual, conduce a restringir los derechos de participación que les asiste a todos los proponentes.</w:t>
      </w:r>
    </w:p>
    <w:p w14:paraId="2884E6F6" w14:textId="1A666C8A" w:rsidR="00DE3930" w:rsidRPr="009D198D" w:rsidRDefault="00AE087F" w:rsidP="0001581D">
      <w:pPr>
        <w:spacing w:before="120" w:after="120" w:line="276" w:lineRule="auto"/>
        <w:ind w:firstLine="709"/>
        <w:jc w:val="both"/>
        <w:rPr>
          <w:rFonts w:ascii="Arial" w:hAnsi="Arial" w:cs="Arial"/>
          <w:sz w:val="22"/>
        </w:rPr>
      </w:pPr>
      <w:r w:rsidRPr="009D198D">
        <w:rPr>
          <w:rFonts w:ascii="Arial" w:hAnsi="Arial" w:cs="Arial"/>
          <w:i/>
          <w:iCs/>
          <w:sz w:val="22"/>
        </w:rPr>
        <w:t>Segundo</w:t>
      </w:r>
      <w:r w:rsidRPr="009D198D">
        <w:rPr>
          <w:rFonts w:ascii="Arial" w:hAnsi="Arial" w:cs="Arial"/>
          <w:sz w:val="22"/>
        </w:rPr>
        <w:t xml:space="preserve">, se abre el sobre número dos (2), que contienen la oferta económica, y se evalúan las propuestas mediante el método establecido en el pliego de condiciones y, </w:t>
      </w:r>
      <w:r w:rsidRPr="009D198D">
        <w:rPr>
          <w:rFonts w:ascii="Arial" w:hAnsi="Arial" w:cs="Arial"/>
          <w:i/>
          <w:iCs/>
          <w:sz w:val="22"/>
        </w:rPr>
        <w:t xml:space="preserve">tercero, </w:t>
      </w:r>
      <w:r w:rsidRPr="009D198D">
        <w:rPr>
          <w:rFonts w:ascii="Arial" w:hAnsi="Arial" w:cs="Arial"/>
          <w:sz w:val="22"/>
        </w:rPr>
        <w:t xml:space="preserve">a los proponentes habilitados se les corre traslado de la evaluación de las ofertas económicas, solo para la revisión «del aspecto económico», luego de lo cual la entidad debe </w:t>
      </w:r>
      <w:proofErr w:type="gramStart"/>
      <w:r w:rsidRPr="009D198D">
        <w:rPr>
          <w:rFonts w:ascii="Arial" w:hAnsi="Arial" w:cs="Arial"/>
          <w:sz w:val="22"/>
        </w:rPr>
        <w:t>proceder a establecer</w:t>
      </w:r>
      <w:proofErr w:type="gramEnd"/>
      <w:r w:rsidRPr="009D198D">
        <w:rPr>
          <w:rFonts w:ascii="Arial" w:hAnsi="Arial" w:cs="Arial"/>
          <w:sz w:val="22"/>
        </w:rPr>
        <w:t xml:space="preserve"> el </w:t>
      </w:r>
      <w:r w:rsidRPr="009D198D">
        <w:rPr>
          <w:rFonts w:ascii="Arial" w:hAnsi="Arial" w:cs="Arial"/>
          <w:i/>
          <w:iCs/>
          <w:sz w:val="22"/>
        </w:rPr>
        <w:t>orden de elegibilidad</w:t>
      </w:r>
      <w:r w:rsidRPr="009D198D">
        <w:rPr>
          <w:rFonts w:ascii="Arial" w:hAnsi="Arial" w:cs="Arial"/>
          <w:sz w:val="22"/>
        </w:rPr>
        <w:t xml:space="preserve"> y, finalmente, a adjudicar el contrato estatal. </w:t>
      </w:r>
    </w:p>
    <w:p w14:paraId="70BAA109" w14:textId="75B3698C" w:rsidR="00080BC5" w:rsidRPr="009D198D" w:rsidRDefault="005758CA" w:rsidP="00A36173">
      <w:pPr>
        <w:spacing w:before="120" w:after="120" w:line="276" w:lineRule="auto"/>
        <w:ind w:firstLine="709"/>
        <w:jc w:val="both"/>
        <w:rPr>
          <w:rFonts w:ascii="Arial" w:hAnsi="Arial" w:cs="Arial"/>
          <w:bCs/>
          <w:sz w:val="22"/>
          <w:lang w:val="es-MX"/>
        </w:rPr>
      </w:pPr>
      <w:r w:rsidRPr="009D198D">
        <w:rPr>
          <w:rFonts w:ascii="Arial" w:hAnsi="Arial" w:cs="Arial"/>
          <w:bCs/>
          <w:sz w:val="22"/>
          <w:lang w:val="es-MX"/>
        </w:rPr>
        <w:t xml:space="preserve">Así las cosas, </w:t>
      </w:r>
      <w:r w:rsidR="00BD3BF8" w:rsidRPr="009D198D">
        <w:rPr>
          <w:rFonts w:ascii="Arial" w:hAnsi="Arial" w:cs="Arial"/>
          <w:bCs/>
          <w:sz w:val="22"/>
          <w:lang w:val="es-MX"/>
        </w:rPr>
        <w:t xml:space="preserve">son tres actuaciones </w:t>
      </w:r>
      <w:r w:rsidR="00FF4940" w:rsidRPr="009D198D">
        <w:rPr>
          <w:rFonts w:ascii="Arial" w:hAnsi="Arial" w:cs="Arial"/>
          <w:bCs/>
          <w:sz w:val="22"/>
          <w:lang w:val="es-MX"/>
        </w:rPr>
        <w:t xml:space="preserve">adicionales a la adjudicación </w:t>
      </w:r>
      <w:r w:rsidR="003F22A3" w:rsidRPr="009D198D">
        <w:rPr>
          <w:rFonts w:ascii="Arial" w:hAnsi="Arial" w:cs="Arial"/>
          <w:bCs/>
          <w:sz w:val="22"/>
          <w:lang w:val="es-MX"/>
        </w:rPr>
        <w:t xml:space="preserve">las que </w:t>
      </w:r>
      <w:r w:rsidR="00BD3BF8" w:rsidRPr="009D198D">
        <w:rPr>
          <w:rFonts w:ascii="Arial" w:hAnsi="Arial" w:cs="Arial"/>
          <w:bCs/>
          <w:sz w:val="22"/>
          <w:lang w:val="es-MX"/>
        </w:rPr>
        <w:t xml:space="preserve">se surten en la misma oportunidad y </w:t>
      </w:r>
      <w:r w:rsidR="00F05F22" w:rsidRPr="009D198D">
        <w:rPr>
          <w:rFonts w:ascii="Arial" w:hAnsi="Arial" w:cs="Arial"/>
          <w:bCs/>
          <w:sz w:val="22"/>
          <w:lang w:val="es-MX"/>
        </w:rPr>
        <w:t>etapa</w:t>
      </w:r>
      <w:r w:rsidR="00C23C6D" w:rsidRPr="009D198D">
        <w:rPr>
          <w:rFonts w:ascii="Arial" w:hAnsi="Arial" w:cs="Arial"/>
          <w:bCs/>
          <w:sz w:val="22"/>
          <w:lang w:val="es-MX"/>
        </w:rPr>
        <w:t>, esto es, en la</w:t>
      </w:r>
      <w:r w:rsidR="00C23C6D" w:rsidRPr="009D198D">
        <w:rPr>
          <w:rFonts w:ascii="Arial" w:hAnsi="Arial" w:cs="Arial"/>
          <w:i/>
          <w:iCs/>
          <w:sz w:val="22"/>
        </w:rPr>
        <w:t xml:space="preserve"> audiencia efectiva de adjudicación</w:t>
      </w:r>
      <w:r w:rsidR="00C23C6D" w:rsidRPr="009D198D">
        <w:rPr>
          <w:rFonts w:ascii="Arial" w:hAnsi="Arial" w:cs="Arial"/>
          <w:bCs/>
          <w:sz w:val="22"/>
          <w:lang w:val="es-MX"/>
        </w:rPr>
        <w:t xml:space="preserve">. </w:t>
      </w:r>
      <w:r w:rsidR="00EA651F" w:rsidRPr="009D198D">
        <w:rPr>
          <w:rFonts w:ascii="Arial" w:hAnsi="Arial" w:cs="Arial"/>
          <w:bCs/>
          <w:sz w:val="22"/>
          <w:lang w:val="es-MX"/>
        </w:rPr>
        <w:t>En otr</w:t>
      </w:r>
      <w:r w:rsidR="00C069BC" w:rsidRPr="009D198D">
        <w:rPr>
          <w:rFonts w:ascii="Arial" w:hAnsi="Arial" w:cs="Arial"/>
          <w:bCs/>
          <w:sz w:val="22"/>
          <w:lang w:val="es-MX"/>
        </w:rPr>
        <w:t>os términos</w:t>
      </w:r>
      <w:r w:rsidR="00EA651F" w:rsidRPr="009D198D">
        <w:rPr>
          <w:rFonts w:ascii="Arial" w:hAnsi="Arial" w:cs="Arial"/>
          <w:bCs/>
          <w:sz w:val="22"/>
          <w:lang w:val="es-MX"/>
        </w:rPr>
        <w:t xml:space="preserve">, las observaciones al informe final de evaluación, la apertura del sobre económico </w:t>
      </w:r>
      <w:r w:rsidR="00FF4940" w:rsidRPr="009D198D">
        <w:rPr>
          <w:rFonts w:ascii="Arial" w:hAnsi="Arial" w:cs="Arial"/>
          <w:bCs/>
          <w:sz w:val="22"/>
          <w:lang w:val="es-MX"/>
        </w:rPr>
        <w:t xml:space="preserve">y su traslado </w:t>
      </w:r>
      <w:r w:rsidR="00EA651F" w:rsidRPr="009D198D">
        <w:rPr>
          <w:rFonts w:ascii="Arial" w:hAnsi="Arial" w:cs="Arial"/>
          <w:bCs/>
          <w:sz w:val="22"/>
          <w:lang w:val="es-MX"/>
        </w:rPr>
        <w:t>y la adjudicación del contrato no son etapas independientes de</w:t>
      </w:r>
      <w:r w:rsidR="00E373A8" w:rsidRPr="009D198D">
        <w:rPr>
          <w:rFonts w:ascii="Arial" w:hAnsi="Arial" w:cs="Arial"/>
          <w:bCs/>
          <w:sz w:val="22"/>
          <w:lang w:val="es-MX"/>
        </w:rPr>
        <w:t xml:space="preserve">l proceso de </w:t>
      </w:r>
      <w:r w:rsidR="00080BC5" w:rsidRPr="009D198D">
        <w:rPr>
          <w:rFonts w:ascii="Arial" w:hAnsi="Arial" w:cs="Arial"/>
          <w:bCs/>
          <w:sz w:val="22"/>
          <w:lang w:val="es-MX"/>
        </w:rPr>
        <w:t>contratación,</w:t>
      </w:r>
      <w:r w:rsidR="00E373A8" w:rsidRPr="009D198D">
        <w:rPr>
          <w:rFonts w:ascii="Arial" w:hAnsi="Arial" w:cs="Arial"/>
          <w:bCs/>
          <w:sz w:val="22"/>
          <w:lang w:val="es-MX"/>
        </w:rPr>
        <w:t xml:space="preserve"> </w:t>
      </w:r>
      <w:r w:rsidR="00EA651F" w:rsidRPr="009D198D">
        <w:rPr>
          <w:rFonts w:ascii="Arial" w:hAnsi="Arial" w:cs="Arial"/>
          <w:bCs/>
          <w:sz w:val="22"/>
          <w:lang w:val="es-MX"/>
        </w:rPr>
        <w:t>sino que hacen parte de</w:t>
      </w:r>
      <w:r w:rsidR="00E373A8" w:rsidRPr="009D198D">
        <w:rPr>
          <w:rFonts w:ascii="Arial" w:hAnsi="Arial" w:cs="Arial"/>
          <w:bCs/>
          <w:sz w:val="22"/>
          <w:lang w:val="es-MX"/>
        </w:rPr>
        <w:t xml:space="preserve"> la audiencia efectiva de adjudicación</w:t>
      </w:r>
      <w:r w:rsidR="00EA651F" w:rsidRPr="009D198D">
        <w:rPr>
          <w:rFonts w:ascii="Arial" w:hAnsi="Arial" w:cs="Arial"/>
          <w:bCs/>
          <w:sz w:val="22"/>
          <w:lang w:val="es-MX"/>
        </w:rPr>
        <w:t xml:space="preserve"> y </w:t>
      </w:r>
      <w:r w:rsidR="00C069BC" w:rsidRPr="009D198D">
        <w:rPr>
          <w:rFonts w:ascii="Arial" w:hAnsi="Arial" w:cs="Arial"/>
          <w:bCs/>
          <w:sz w:val="22"/>
          <w:lang w:val="es-MX"/>
        </w:rPr>
        <w:t xml:space="preserve">por ello deben </w:t>
      </w:r>
      <w:r w:rsidRPr="009D198D">
        <w:rPr>
          <w:rFonts w:ascii="Arial" w:hAnsi="Arial" w:cs="Arial"/>
          <w:bCs/>
          <w:sz w:val="22"/>
          <w:lang w:val="es-MX"/>
        </w:rPr>
        <w:t>efectuarse</w:t>
      </w:r>
      <w:r w:rsidR="00EA651F" w:rsidRPr="009D198D">
        <w:rPr>
          <w:rFonts w:ascii="Arial" w:hAnsi="Arial" w:cs="Arial"/>
          <w:bCs/>
          <w:sz w:val="22"/>
          <w:lang w:val="es-MX"/>
        </w:rPr>
        <w:t xml:space="preserve"> durante su celebración</w:t>
      </w:r>
      <w:r w:rsidR="00E373A8" w:rsidRPr="009D198D">
        <w:rPr>
          <w:rFonts w:ascii="Arial" w:hAnsi="Arial" w:cs="Arial"/>
          <w:bCs/>
          <w:sz w:val="22"/>
          <w:lang w:val="es-MX"/>
        </w:rPr>
        <w:t xml:space="preserve"> en el plazo establecido en el cronograma.</w:t>
      </w:r>
      <w:r w:rsidR="00A36173" w:rsidRPr="009D198D">
        <w:rPr>
          <w:rFonts w:ascii="Arial" w:hAnsi="Arial" w:cs="Arial"/>
          <w:bCs/>
          <w:sz w:val="22"/>
          <w:lang w:val="es-MX"/>
        </w:rPr>
        <w:t xml:space="preserve"> </w:t>
      </w:r>
      <w:r w:rsidR="002408A0" w:rsidRPr="009D198D">
        <w:rPr>
          <w:rFonts w:ascii="Arial" w:hAnsi="Arial" w:cs="Arial"/>
          <w:bCs/>
          <w:sz w:val="22"/>
          <w:lang w:val="es-MX"/>
        </w:rPr>
        <w:t>De esta manera,</w:t>
      </w:r>
      <w:r w:rsidR="00A36173" w:rsidRPr="009D198D">
        <w:rPr>
          <w:rFonts w:ascii="Arial" w:hAnsi="Arial" w:cs="Arial"/>
          <w:bCs/>
          <w:sz w:val="22"/>
        </w:rPr>
        <w:t xml:space="preserve"> </w:t>
      </w:r>
      <w:r w:rsidR="002F1355" w:rsidRPr="009D198D">
        <w:rPr>
          <w:rFonts w:ascii="Arial" w:hAnsi="Arial" w:cs="Arial"/>
          <w:bCs/>
          <w:sz w:val="22"/>
        </w:rPr>
        <w:t>debido a que la adjudicación se</w:t>
      </w:r>
      <w:r w:rsidR="00A36173" w:rsidRPr="009D198D">
        <w:rPr>
          <w:rFonts w:ascii="Arial" w:hAnsi="Arial" w:cs="Arial"/>
          <w:bCs/>
          <w:sz w:val="22"/>
        </w:rPr>
        <w:t xml:space="preserve"> </w:t>
      </w:r>
      <w:r w:rsidR="002F1355" w:rsidRPr="009D198D">
        <w:rPr>
          <w:rFonts w:ascii="Arial" w:hAnsi="Arial" w:cs="Arial"/>
          <w:bCs/>
          <w:sz w:val="22"/>
        </w:rPr>
        <w:t>hará de forma obligatoria en audiencia pública</w:t>
      </w:r>
      <w:r w:rsidR="00300847" w:rsidRPr="009D198D">
        <w:rPr>
          <w:rFonts w:ascii="Arial" w:hAnsi="Arial" w:cs="Arial"/>
          <w:bCs/>
          <w:sz w:val="22"/>
        </w:rPr>
        <w:t xml:space="preserve"> </w:t>
      </w:r>
      <w:r w:rsidR="002F1355" w:rsidRPr="009D198D">
        <w:rPr>
          <w:rFonts w:ascii="Arial" w:hAnsi="Arial" w:cs="Arial"/>
          <w:bCs/>
          <w:sz w:val="22"/>
        </w:rPr>
        <w:t xml:space="preserve">mediante resolución motivada, </w:t>
      </w:r>
      <w:r w:rsidR="006639DC" w:rsidRPr="009D198D">
        <w:rPr>
          <w:rFonts w:ascii="Arial" w:hAnsi="Arial" w:cs="Arial"/>
          <w:bCs/>
          <w:sz w:val="22"/>
          <w:lang w:val="es-MX"/>
        </w:rPr>
        <w:t>conforme lo dispone el artículo 9 de la Ley 1150 de 20</w:t>
      </w:r>
      <w:r w:rsidR="009D5A37" w:rsidRPr="009D198D">
        <w:rPr>
          <w:rFonts w:ascii="Arial" w:hAnsi="Arial" w:cs="Arial"/>
          <w:bCs/>
          <w:sz w:val="22"/>
          <w:lang w:val="es-MX"/>
        </w:rPr>
        <w:t>07</w:t>
      </w:r>
      <w:r w:rsidR="002F1355" w:rsidRPr="009D198D">
        <w:rPr>
          <w:rFonts w:ascii="Arial" w:hAnsi="Arial" w:cs="Arial"/>
          <w:bCs/>
          <w:sz w:val="22"/>
          <w:lang w:val="es-MX"/>
        </w:rPr>
        <w:t xml:space="preserve">, será en dicha audiencia en la cual se </w:t>
      </w:r>
      <w:r w:rsidR="00A36173" w:rsidRPr="009D198D">
        <w:rPr>
          <w:rFonts w:ascii="Arial" w:hAnsi="Arial" w:cs="Arial"/>
          <w:bCs/>
          <w:sz w:val="22"/>
          <w:lang w:val="es-MX"/>
        </w:rPr>
        <w:t>de lectura a</w:t>
      </w:r>
      <w:r w:rsidR="00300847" w:rsidRPr="009D198D">
        <w:rPr>
          <w:rFonts w:ascii="Arial" w:hAnsi="Arial" w:cs="Arial"/>
          <w:bCs/>
          <w:sz w:val="22"/>
          <w:lang w:val="es-MX"/>
        </w:rPr>
        <w:t>l acto de</w:t>
      </w:r>
      <w:r w:rsidR="002F1355" w:rsidRPr="009D198D">
        <w:rPr>
          <w:rFonts w:ascii="Arial" w:hAnsi="Arial" w:cs="Arial"/>
          <w:bCs/>
          <w:sz w:val="22"/>
          <w:lang w:val="es-MX"/>
        </w:rPr>
        <w:t xml:space="preserve"> adjudicación </w:t>
      </w:r>
      <w:r w:rsidR="00300847" w:rsidRPr="009D198D">
        <w:rPr>
          <w:rFonts w:ascii="Arial" w:hAnsi="Arial" w:cs="Arial"/>
          <w:bCs/>
          <w:sz w:val="22"/>
          <w:lang w:val="es-MX"/>
        </w:rPr>
        <w:t xml:space="preserve">que </w:t>
      </w:r>
      <w:r w:rsidR="002F1355" w:rsidRPr="009D198D">
        <w:rPr>
          <w:rFonts w:ascii="Arial" w:hAnsi="Arial" w:cs="Arial"/>
          <w:bCs/>
          <w:sz w:val="22"/>
          <w:lang w:val="es-MX"/>
        </w:rPr>
        <w:t>deberá publicarse en el SECOP</w:t>
      </w:r>
      <w:r w:rsidR="00300847" w:rsidRPr="009D198D">
        <w:rPr>
          <w:rFonts w:ascii="Arial" w:hAnsi="Arial" w:cs="Arial"/>
          <w:bCs/>
          <w:sz w:val="22"/>
          <w:lang w:val="es-MX"/>
        </w:rPr>
        <w:t xml:space="preserve"> a más tardar dentro de los tres (3) días siguientes</w:t>
      </w:r>
      <w:r w:rsidRPr="009D198D">
        <w:rPr>
          <w:rFonts w:ascii="Arial" w:hAnsi="Arial" w:cs="Arial"/>
          <w:bCs/>
          <w:sz w:val="22"/>
          <w:lang w:val="es-MX"/>
        </w:rPr>
        <w:t>,</w:t>
      </w:r>
      <w:r w:rsidR="00300847" w:rsidRPr="009D198D">
        <w:rPr>
          <w:rFonts w:ascii="Arial" w:hAnsi="Arial" w:cs="Arial"/>
          <w:bCs/>
          <w:sz w:val="22"/>
          <w:lang w:val="es-MX"/>
        </w:rPr>
        <w:t xml:space="preserve"> de </w:t>
      </w:r>
      <w:r w:rsidRPr="009D198D">
        <w:rPr>
          <w:rFonts w:ascii="Arial" w:hAnsi="Arial" w:cs="Arial"/>
          <w:bCs/>
          <w:sz w:val="22"/>
          <w:lang w:val="es-MX"/>
        </w:rPr>
        <w:t xml:space="preserve">conformidad </w:t>
      </w:r>
      <w:r w:rsidR="00300847" w:rsidRPr="009D198D">
        <w:rPr>
          <w:rFonts w:ascii="Arial" w:hAnsi="Arial" w:cs="Arial"/>
          <w:bCs/>
          <w:sz w:val="22"/>
          <w:lang w:val="es-MX"/>
        </w:rPr>
        <w:t xml:space="preserve">con lo señalado en </w:t>
      </w:r>
      <w:r w:rsidR="002F1355" w:rsidRPr="009D198D">
        <w:rPr>
          <w:rFonts w:ascii="Arial" w:hAnsi="Arial" w:cs="Arial"/>
          <w:bCs/>
          <w:sz w:val="22"/>
          <w:lang w:val="es-MX"/>
        </w:rPr>
        <w:t xml:space="preserve">el artículo </w:t>
      </w:r>
      <w:r w:rsidR="009D5A37" w:rsidRPr="009D198D">
        <w:rPr>
          <w:rFonts w:ascii="Arial" w:eastAsia="Arial" w:hAnsi="Arial" w:cs="Arial"/>
          <w:sz w:val="22"/>
          <w:lang w:val="es-ES"/>
        </w:rPr>
        <w:t>2.2.1.1.1.7.1. del Decreto 1082 de 2015</w:t>
      </w:r>
      <w:r w:rsidR="00300847" w:rsidRPr="009D198D">
        <w:rPr>
          <w:rFonts w:ascii="Arial" w:eastAsia="Arial" w:hAnsi="Arial" w:cs="Arial"/>
          <w:sz w:val="22"/>
          <w:lang w:val="es-ES"/>
        </w:rPr>
        <w:t xml:space="preserve">. </w:t>
      </w:r>
    </w:p>
    <w:p w14:paraId="14CBE99A" w14:textId="696F510E" w:rsidR="00053C3E" w:rsidRPr="009D198D" w:rsidRDefault="007F0280" w:rsidP="001E479A">
      <w:pPr>
        <w:spacing w:after="120" w:line="276" w:lineRule="auto"/>
        <w:ind w:firstLine="708"/>
        <w:jc w:val="both"/>
        <w:rPr>
          <w:rFonts w:ascii="Arial" w:hAnsi="Arial" w:cs="Arial"/>
          <w:bCs/>
          <w:sz w:val="22"/>
          <w:lang w:val="es-ES_tradnl"/>
        </w:rPr>
      </w:pPr>
      <w:r w:rsidRPr="009D198D">
        <w:rPr>
          <w:rFonts w:ascii="Arial" w:hAnsi="Arial" w:cs="Arial"/>
          <w:bCs/>
          <w:sz w:val="22"/>
          <w:lang w:val="es-MX"/>
        </w:rPr>
        <w:t xml:space="preserve">Esta </w:t>
      </w:r>
      <w:r w:rsidR="005758CA" w:rsidRPr="009D198D">
        <w:rPr>
          <w:rFonts w:ascii="Arial" w:hAnsi="Arial" w:cs="Arial"/>
          <w:bCs/>
          <w:sz w:val="22"/>
          <w:lang w:val="es-MX"/>
        </w:rPr>
        <w:t xml:space="preserve">precisión es </w:t>
      </w:r>
      <w:r w:rsidRPr="009D198D">
        <w:rPr>
          <w:rFonts w:ascii="Arial" w:hAnsi="Arial" w:cs="Arial"/>
          <w:bCs/>
          <w:sz w:val="22"/>
          <w:lang w:val="es-MX"/>
        </w:rPr>
        <w:t>importante para efectos de la consulta</w:t>
      </w:r>
      <w:r w:rsidR="00C02B55" w:rsidRPr="009D198D">
        <w:rPr>
          <w:rFonts w:ascii="Arial" w:hAnsi="Arial" w:cs="Arial"/>
          <w:bCs/>
          <w:sz w:val="22"/>
          <w:lang w:val="es-MX"/>
        </w:rPr>
        <w:t>,</w:t>
      </w:r>
      <w:r w:rsidRPr="009D198D">
        <w:rPr>
          <w:rFonts w:ascii="Arial" w:hAnsi="Arial" w:cs="Arial"/>
          <w:bCs/>
          <w:sz w:val="22"/>
          <w:lang w:val="es-MX"/>
        </w:rPr>
        <w:t xml:space="preserve"> pues</w:t>
      </w:r>
      <w:r w:rsidR="005758CA" w:rsidRPr="009D198D">
        <w:rPr>
          <w:rFonts w:ascii="Arial" w:hAnsi="Arial" w:cs="Arial"/>
          <w:bCs/>
          <w:sz w:val="22"/>
          <w:lang w:val="es-MX"/>
        </w:rPr>
        <w:t>to que</w:t>
      </w:r>
      <w:r w:rsidR="00C02B55" w:rsidRPr="009D198D">
        <w:rPr>
          <w:rFonts w:ascii="Arial" w:hAnsi="Arial" w:cs="Arial"/>
          <w:bCs/>
          <w:sz w:val="22"/>
          <w:lang w:val="es-MX"/>
        </w:rPr>
        <w:t xml:space="preserve"> </w:t>
      </w:r>
      <w:r w:rsidR="005758CA" w:rsidRPr="009D198D">
        <w:rPr>
          <w:rFonts w:ascii="Arial" w:hAnsi="Arial" w:cs="Arial"/>
          <w:sz w:val="22"/>
          <w:lang w:val="es-ES_tradnl"/>
        </w:rPr>
        <w:t>el artículo 2.2.1.1.2.2.1</w:t>
      </w:r>
      <w:r w:rsidR="005758CA" w:rsidRPr="009D198D">
        <w:rPr>
          <w:rFonts w:ascii="Arial" w:hAnsi="Arial" w:cs="Arial"/>
          <w:bCs/>
          <w:sz w:val="22"/>
          <w:lang w:val="es-MX"/>
        </w:rPr>
        <w:t xml:space="preserve"> de Decreto 1082 de 2015 dispone que l</w:t>
      </w:r>
      <w:r w:rsidR="005758CA" w:rsidRPr="009D198D">
        <w:rPr>
          <w:rFonts w:ascii="Arial" w:hAnsi="Arial" w:cs="Arial"/>
          <w:bCs/>
          <w:sz w:val="22"/>
          <w:lang w:val="es-ES_tradnl"/>
        </w:rPr>
        <w:t xml:space="preserve">a entidad estatal puede expedir adendas para modificar el cronograma una vez vencido el término para la presentación de </w:t>
      </w:r>
      <w:r w:rsidR="005758CA" w:rsidRPr="009D198D">
        <w:rPr>
          <w:rFonts w:ascii="Arial" w:hAnsi="Arial" w:cs="Arial"/>
          <w:bCs/>
          <w:sz w:val="22"/>
          <w:lang w:val="es-ES_tradnl"/>
        </w:rPr>
        <w:lastRenderedPageBreak/>
        <w:t>las ofertas y antes de la adjudicación del contrato</w:t>
      </w:r>
      <w:r w:rsidR="00F05F22" w:rsidRPr="009D198D">
        <w:rPr>
          <w:rStyle w:val="Refdenotaalpie"/>
          <w:rFonts w:ascii="Arial" w:hAnsi="Arial" w:cs="Arial"/>
          <w:bCs/>
          <w:sz w:val="22"/>
          <w:lang w:val="es-ES_tradnl"/>
        </w:rPr>
        <w:footnoteReference w:id="33"/>
      </w:r>
      <w:r w:rsidR="00C23C6D" w:rsidRPr="009D198D">
        <w:rPr>
          <w:rFonts w:ascii="Arial" w:hAnsi="Arial" w:cs="Arial"/>
          <w:bCs/>
          <w:sz w:val="22"/>
          <w:lang w:val="es-ES_tradnl"/>
        </w:rPr>
        <w:t xml:space="preserve">. </w:t>
      </w:r>
      <w:r w:rsidR="00F05F22" w:rsidRPr="009D198D">
        <w:rPr>
          <w:rFonts w:ascii="Arial" w:eastAsia="Calibri" w:hAnsi="Arial" w:cs="Arial"/>
          <w:sz w:val="22"/>
        </w:rPr>
        <w:t>La interpretación de esta norma supone que pueden dar lugar a la expedición de adendas</w:t>
      </w:r>
      <w:r w:rsidR="001E479A" w:rsidRPr="009D198D">
        <w:rPr>
          <w:rFonts w:ascii="Arial" w:eastAsia="Calibri" w:hAnsi="Arial" w:cs="Arial"/>
          <w:sz w:val="22"/>
        </w:rPr>
        <w:t xml:space="preserve"> a</w:t>
      </w:r>
      <w:r w:rsidR="00F05F22" w:rsidRPr="009D198D">
        <w:rPr>
          <w:rFonts w:ascii="Arial" w:eastAsia="Calibri" w:hAnsi="Arial" w:cs="Arial"/>
          <w:sz w:val="22"/>
        </w:rPr>
        <w:t>l cronograma del proceso de selección</w:t>
      </w:r>
      <w:r w:rsidR="001E479A" w:rsidRPr="009D198D">
        <w:rPr>
          <w:rFonts w:ascii="Arial" w:eastAsia="Calibri" w:hAnsi="Arial" w:cs="Arial"/>
          <w:sz w:val="22"/>
        </w:rPr>
        <w:t xml:space="preserve"> </w:t>
      </w:r>
      <w:r w:rsidR="00F05F22" w:rsidRPr="009D198D">
        <w:rPr>
          <w:rFonts w:ascii="Arial" w:eastAsia="Calibri" w:hAnsi="Arial" w:cs="Arial"/>
          <w:sz w:val="22"/>
        </w:rPr>
        <w:t>una vez vencido el plazo para la recepción de ofertas</w:t>
      </w:r>
      <w:r w:rsidR="00782E41" w:rsidRPr="009D198D">
        <w:rPr>
          <w:rFonts w:ascii="Arial" w:eastAsia="Calibri" w:hAnsi="Arial" w:cs="Arial"/>
          <w:sz w:val="22"/>
        </w:rPr>
        <w:t xml:space="preserve"> y </w:t>
      </w:r>
      <w:r w:rsidR="00F05F22" w:rsidRPr="009D198D">
        <w:rPr>
          <w:rFonts w:ascii="Arial" w:eastAsia="Calibri" w:hAnsi="Arial" w:cs="Arial"/>
          <w:sz w:val="22"/>
        </w:rPr>
        <w:t>antes de la adjudicación del contrato, en las que solo se permite modificar los plazos de las etapas siguientes</w:t>
      </w:r>
      <w:r w:rsidR="00F05F22" w:rsidRPr="009D198D">
        <w:rPr>
          <w:rStyle w:val="Refdenotaalpie"/>
          <w:rFonts w:ascii="Arial" w:eastAsia="Calibri" w:hAnsi="Arial" w:cs="Arial"/>
          <w:sz w:val="22"/>
        </w:rPr>
        <w:footnoteReference w:id="34"/>
      </w:r>
      <w:r w:rsidR="00F05F22" w:rsidRPr="009D198D">
        <w:rPr>
          <w:rFonts w:ascii="Arial" w:eastAsia="Calibri" w:hAnsi="Arial" w:cs="Arial"/>
          <w:sz w:val="22"/>
        </w:rPr>
        <w:t>.</w:t>
      </w:r>
      <w:r w:rsidR="001E479A" w:rsidRPr="009D198D">
        <w:rPr>
          <w:rFonts w:ascii="Arial" w:hAnsi="Arial" w:cs="Arial"/>
          <w:bCs/>
          <w:sz w:val="22"/>
          <w:lang w:val="es-ES_tradnl"/>
        </w:rPr>
        <w:t xml:space="preserve"> </w:t>
      </w:r>
    </w:p>
    <w:p w14:paraId="25E2CC7C" w14:textId="78C7A63E" w:rsidR="00BD3BF8" w:rsidRPr="009D198D" w:rsidRDefault="00C23C6D" w:rsidP="001E479A">
      <w:pPr>
        <w:spacing w:after="120" w:line="276" w:lineRule="auto"/>
        <w:ind w:firstLine="708"/>
        <w:jc w:val="both"/>
        <w:rPr>
          <w:rFonts w:ascii="Arial" w:hAnsi="Arial" w:cs="Arial"/>
          <w:sz w:val="22"/>
          <w:lang w:val="es-ES_tradnl"/>
        </w:rPr>
      </w:pPr>
      <w:r w:rsidRPr="009D198D">
        <w:rPr>
          <w:rFonts w:ascii="Arial" w:hAnsi="Arial" w:cs="Arial"/>
          <w:bCs/>
          <w:sz w:val="22"/>
          <w:lang w:val="es-ES_tradnl"/>
        </w:rPr>
        <w:t>Esto significa que</w:t>
      </w:r>
      <w:r w:rsidR="00C02B55" w:rsidRPr="009D198D">
        <w:rPr>
          <w:rFonts w:ascii="Arial" w:hAnsi="Arial" w:cs="Arial"/>
          <w:bCs/>
          <w:sz w:val="22"/>
          <w:lang w:val="es-ES_tradnl"/>
        </w:rPr>
        <w:t>,</w:t>
      </w:r>
      <w:r w:rsidR="003E563C" w:rsidRPr="009D198D">
        <w:rPr>
          <w:rFonts w:ascii="Arial" w:hAnsi="Arial" w:cs="Arial"/>
          <w:bCs/>
          <w:sz w:val="22"/>
          <w:lang w:val="es-ES_tradnl"/>
        </w:rPr>
        <w:t xml:space="preserve"> en </w:t>
      </w:r>
      <w:r w:rsidR="003E563C" w:rsidRPr="009D198D">
        <w:rPr>
          <w:rFonts w:ascii="Arial" w:hAnsi="Arial" w:cs="Arial"/>
          <w:sz w:val="22"/>
        </w:rPr>
        <w:t>las licitaciones públicas para seleccionar contratistas de obra pública</w:t>
      </w:r>
      <w:r w:rsidR="00C02B55" w:rsidRPr="009D198D">
        <w:rPr>
          <w:rFonts w:ascii="Arial" w:hAnsi="Arial" w:cs="Arial"/>
          <w:sz w:val="22"/>
        </w:rPr>
        <w:t>,</w:t>
      </w:r>
      <w:r w:rsidR="003E563C" w:rsidRPr="009D198D">
        <w:rPr>
          <w:rFonts w:ascii="Arial" w:hAnsi="Arial" w:cs="Arial"/>
          <w:bCs/>
          <w:sz w:val="22"/>
          <w:lang w:val="es-ES_tradnl"/>
        </w:rPr>
        <w:t xml:space="preserve"> </w:t>
      </w:r>
      <w:r w:rsidRPr="009D198D">
        <w:rPr>
          <w:rFonts w:ascii="Arial" w:hAnsi="Arial" w:cs="Arial"/>
          <w:bCs/>
          <w:sz w:val="22"/>
          <w:lang w:val="es-ES_tradnl"/>
        </w:rPr>
        <w:t>la entidad podrá expedir adendas para modificar el cronograma</w:t>
      </w:r>
      <w:r w:rsidR="005758CA" w:rsidRPr="009D198D">
        <w:rPr>
          <w:rFonts w:ascii="Arial" w:hAnsi="Arial" w:cs="Arial"/>
          <w:bCs/>
          <w:sz w:val="22"/>
          <w:lang w:val="es-ES_tradnl"/>
        </w:rPr>
        <w:t xml:space="preserve"> antes d</w:t>
      </w:r>
      <w:r w:rsidR="003E563C" w:rsidRPr="009D198D">
        <w:rPr>
          <w:rFonts w:ascii="Arial" w:hAnsi="Arial" w:cs="Arial"/>
          <w:bCs/>
          <w:sz w:val="22"/>
          <w:lang w:val="es-ES_tradnl"/>
        </w:rPr>
        <w:t>el inicio de la</w:t>
      </w:r>
      <w:r w:rsidR="00053C3E" w:rsidRPr="009D198D">
        <w:rPr>
          <w:rFonts w:ascii="Arial" w:hAnsi="Arial" w:cs="Arial"/>
          <w:bCs/>
          <w:sz w:val="22"/>
          <w:lang w:val="es-ES_tradnl"/>
        </w:rPr>
        <w:t xml:space="preserve"> etapa de la</w:t>
      </w:r>
      <w:r w:rsidR="003E563C" w:rsidRPr="009D198D">
        <w:rPr>
          <w:rFonts w:ascii="Arial" w:hAnsi="Arial" w:cs="Arial"/>
          <w:bCs/>
          <w:sz w:val="22"/>
          <w:lang w:val="es-ES_tradnl"/>
        </w:rPr>
        <w:t xml:space="preserve"> </w:t>
      </w:r>
      <w:r w:rsidR="005758CA" w:rsidRPr="009D198D">
        <w:rPr>
          <w:rFonts w:ascii="Arial" w:hAnsi="Arial" w:cs="Arial"/>
          <w:i/>
          <w:iCs/>
          <w:sz w:val="22"/>
        </w:rPr>
        <w:t>audiencia efectiva de adjudicación</w:t>
      </w:r>
      <w:r w:rsidR="008923C2" w:rsidRPr="009D198D">
        <w:rPr>
          <w:rFonts w:ascii="Arial" w:hAnsi="Arial" w:cs="Arial"/>
          <w:i/>
          <w:iCs/>
          <w:sz w:val="22"/>
        </w:rPr>
        <w:t>,</w:t>
      </w:r>
      <w:r w:rsidR="003E563C" w:rsidRPr="009D198D">
        <w:rPr>
          <w:rFonts w:ascii="Arial" w:hAnsi="Arial" w:cs="Arial"/>
          <w:i/>
          <w:iCs/>
          <w:sz w:val="22"/>
        </w:rPr>
        <w:t xml:space="preserve"> </w:t>
      </w:r>
      <w:r w:rsidR="003E563C" w:rsidRPr="009D198D">
        <w:rPr>
          <w:rFonts w:ascii="Arial" w:hAnsi="Arial" w:cs="Arial"/>
          <w:sz w:val="22"/>
        </w:rPr>
        <w:t>en la cual se adjudica el contrato</w:t>
      </w:r>
      <w:r w:rsidR="00E85EE9" w:rsidRPr="009D198D">
        <w:rPr>
          <w:rFonts w:ascii="Arial" w:hAnsi="Arial" w:cs="Arial"/>
          <w:sz w:val="22"/>
        </w:rPr>
        <w:t>, para modificar los plazos de las siguientes etapas</w:t>
      </w:r>
      <w:r w:rsidR="00FF4940" w:rsidRPr="009D198D">
        <w:rPr>
          <w:rFonts w:ascii="Arial" w:hAnsi="Arial" w:cs="Arial"/>
          <w:bCs/>
          <w:sz w:val="22"/>
          <w:lang w:val="es-ES_tradnl"/>
        </w:rPr>
        <w:t>.</w:t>
      </w:r>
      <w:r w:rsidRPr="009D198D">
        <w:rPr>
          <w:rFonts w:ascii="Arial" w:hAnsi="Arial" w:cs="Arial"/>
          <w:bCs/>
          <w:sz w:val="22"/>
          <w:lang w:val="es-ES_tradnl"/>
        </w:rPr>
        <w:t xml:space="preserve"> </w:t>
      </w:r>
      <w:r w:rsidR="00BD3BF8" w:rsidRPr="009D198D">
        <w:rPr>
          <w:rFonts w:ascii="Arial" w:hAnsi="Arial" w:cs="Arial"/>
          <w:sz w:val="22"/>
          <w:lang w:val="es-ES_tradnl"/>
        </w:rPr>
        <w:t xml:space="preserve">Por consiguiente, a juicio de esta Agencia </w:t>
      </w:r>
      <w:r w:rsidR="00957D25" w:rsidRPr="009D198D">
        <w:rPr>
          <w:rFonts w:ascii="Arial" w:hAnsi="Arial" w:cs="Arial"/>
          <w:sz w:val="22"/>
          <w:lang w:val="es-ES_tradnl"/>
        </w:rPr>
        <w:t xml:space="preserve">no es viable que durante el desarrollo de esta audiencia se realicen </w:t>
      </w:r>
      <w:r w:rsidR="00BD3BF8" w:rsidRPr="009D198D">
        <w:rPr>
          <w:rFonts w:ascii="Arial" w:hAnsi="Arial" w:cs="Arial"/>
          <w:sz w:val="22"/>
          <w:lang w:val="es-ES_tradnl"/>
        </w:rPr>
        <w:t>modificaciones al cronograma en relación con la adjudicación del contrato, pues esta actuación</w:t>
      </w:r>
      <w:r w:rsidR="00C02B55" w:rsidRPr="009D198D">
        <w:rPr>
          <w:rFonts w:ascii="Arial" w:hAnsi="Arial" w:cs="Arial"/>
          <w:sz w:val="22"/>
          <w:lang w:val="es-ES_tradnl"/>
        </w:rPr>
        <w:t xml:space="preserve"> no es</w:t>
      </w:r>
      <w:r w:rsidR="00BD3BF8" w:rsidRPr="009D198D">
        <w:rPr>
          <w:rFonts w:ascii="Arial" w:hAnsi="Arial" w:cs="Arial"/>
          <w:sz w:val="22"/>
          <w:lang w:val="es-ES_tradnl"/>
        </w:rPr>
        <w:t xml:space="preserve"> una oportunidad </w:t>
      </w:r>
      <w:r w:rsidR="00782E41" w:rsidRPr="009D198D">
        <w:rPr>
          <w:rFonts w:ascii="Arial" w:hAnsi="Arial" w:cs="Arial"/>
          <w:sz w:val="22"/>
          <w:lang w:val="es-ES_tradnl"/>
        </w:rPr>
        <w:t xml:space="preserve">independiente </w:t>
      </w:r>
      <w:r w:rsidR="00BD3BF8" w:rsidRPr="009D198D">
        <w:rPr>
          <w:rFonts w:ascii="Arial" w:hAnsi="Arial" w:cs="Arial"/>
          <w:sz w:val="22"/>
          <w:lang w:val="es-ES_tradnl"/>
        </w:rPr>
        <w:t xml:space="preserve">o </w:t>
      </w:r>
      <w:r w:rsidR="00782E41" w:rsidRPr="009D198D">
        <w:rPr>
          <w:rFonts w:ascii="Arial" w:hAnsi="Arial" w:cs="Arial"/>
          <w:sz w:val="22"/>
          <w:lang w:val="es-ES_tradnl"/>
        </w:rPr>
        <w:t xml:space="preserve">una </w:t>
      </w:r>
      <w:r w:rsidR="00053C3E" w:rsidRPr="009D198D">
        <w:rPr>
          <w:rFonts w:ascii="Arial" w:hAnsi="Arial" w:cs="Arial"/>
          <w:sz w:val="22"/>
          <w:lang w:val="es-ES_tradnl"/>
        </w:rPr>
        <w:t xml:space="preserve">etapa </w:t>
      </w:r>
      <w:r w:rsidR="00782E41" w:rsidRPr="009D198D">
        <w:rPr>
          <w:rFonts w:ascii="Arial" w:hAnsi="Arial" w:cs="Arial"/>
          <w:sz w:val="22"/>
          <w:lang w:val="es-ES_tradnl"/>
        </w:rPr>
        <w:t xml:space="preserve">siguiente </w:t>
      </w:r>
      <w:r w:rsidR="00C02B55" w:rsidRPr="009D198D">
        <w:rPr>
          <w:rFonts w:ascii="Arial" w:hAnsi="Arial" w:cs="Arial"/>
          <w:sz w:val="22"/>
          <w:lang w:val="es-ES_tradnl"/>
        </w:rPr>
        <w:t>de</w:t>
      </w:r>
      <w:r w:rsidR="00A36173" w:rsidRPr="009D198D">
        <w:rPr>
          <w:rFonts w:ascii="Arial" w:hAnsi="Arial" w:cs="Arial"/>
          <w:sz w:val="22"/>
          <w:lang w:val="es-ES_tradnl"/>
        </w:rPr>
        <w:t xml:space="preserve"> la </w:t>
      </w:r>
      <w:r w:rsidR="00A36173" w:rsidRPr="009D198D">
        <w:rPr>
          <w:rFonts w:ascii="Arial" w:hAnsi="Arial" w:cs="Arial"/>
          <w:i/>
          <w:iCs/>
          <w:sz w:val="22"/>
        </w:rPr>
        <w:t>audiencia efectiva de adjudicación</w:t>
      </w:r>
      <w:r w:rsidR="00E85EE9" w:rsidRPr="009D198D">
        <w:rPr>
          <w:rFonts w:ascii="Arial" w:hAnsi="Arial" w:cs="Arial"/>
          <w:i/>
          <w:iCs/>
          <w:sz w:val="22"/>
        </w:rPr>
        <w:t xml:space="preserve">, </w:t>
      </w:r>
      <w:r w:rsidR="00E85EE9" w:rsidRPr="009D198D">
        <w:rPr>
          <w:rFonts w:ascii="Arial" w:hAnsi="Arial" w:cs="Arial"/>
          <w:sz w:val="22"/>
        </w:rPr>
        <w:t>sino que hace parte de ella</w:t>
      </w:r>
      <w:r w:rsidR="00A36173" w:rsidRPr="009D198D">
        <w:rPr>
          <w:rFonts w:ascii="Arial" w:hAnsi="Arial" w:cs="Arial"/>
          <w:sz w:val="22"/>
        </w:rPr>
        <w:t>.</w:t>
      </w:r>
      <w:r w:rsidR="00A36173" w:rsidRPr="009D198D">
        <w:rPr>
          <w:rFonts w:ascii="Arial" w:hAnsi="Arial" w:cs="Arial"/>
          <w:i/>
          <w:iCs/>
          <w:sz w:val="22"/>
        </w:rPr>
        <w:t xml:space="preserve"> </w:t>
      </w:r>
      <w:r w:rsidR="00A36173" w:rsidRPr="009D198D">
        <w:rPr>
          <w:rFonts w:ascii="Arial" w:hAnsi="Arial" w:cs="Arial"/>
          <w:sz w:val="22"/>
        </w:rPr>
        <w:t>Por demás, debe precisarse que e</w:t>
      </w:r>
      <w:r w:rsidR="00A36173" w:rsidRPr="009D198D">
        <w:rPr>
          <w:rFonts w:ascii="Arial" w:hAnsi="Arial" w:cs="Arial"/>
          <w:sz w:val="22"/>
          <w:lang w:val="es-ES_tradnl"/>
        </w:rPr>
        <w:t xml:space="preserve">n lo que respecta a la publicación del acto de adjudicación la entidad cuenta con un plazo de 3 días para realizarlo conforme el </w:t>
      </w:r>
      <w:r w:rsidR="00A36173" w:rsidRPr="009D198D">
        <w:rPr>
          <w:rFonts w:ascii="Arial" w:hAnsi="Arial" w:cs="Arial"/>
          <w:bCs/>
          <w:sz w:val="22"/>
          <w:lang w:val="es-MX"/>
        </w:rPr>
        <w:t xml:space="preserve">artículo </w:t>
      </w:r>
      <w:r w:rsidR="00A36173" w:rsidRPr="009D198D">
        <w:rPr>
          <w:rFonts w:ascii="Arial" w:hAnsi="Arial" w:cs="Arial"/>
          <w:sz w:val="22"/>
          <w:lang w:val="es-ES_tradnl"/>
        </w:rPr>
        <w:t>2.2.1.1.1.7.1 del Decreto 1082 de 2015.</w:t>
      </w:r>
    </w:p>
    <w:p w14:paraId="12A66FEB" w14:textId="77F2CB21" w:rsidR="00AC53C0" w:rsidRPr="009D198D" w:rsidRDefault="005F2861" w:rsidP="0080143C">
      <w:pPr>
        <w:spacing w:before="120" w:line="276" w:lineRule="auto"/>
        <w:ind w:firstLine="709"/>
        <w:jc w:val="both"/>
        <w:rPr>
          <w:rFonts w:ascii="Arial" w:hAnsi="Arial" w:cs="Arial"/>
          <w:sz w:val="22"/>
          <w:szCs w:val="22"/>
          <w:lang w:val="es-ES"/>
        </w:rPr>
      </w:pPr>
      <w:r w:rsidRPr="009D198D">
        <w:rPr>
          <w:rFonts w:ascii="Arial" w:hAnsi="Arial" w:cs="Arial"/>
          <w:sz w:val="22"/>
          <w:szCs w:val="22"/>
          <w:lang w:val="es-ES_tradnl"/>
        </w:rPr>
        <w:t>En este punto, es importante señalar que</w:t>
      </w:r>
      <w:r w:rsidR="009F3DBE" w:rsidRPr="009D198D">
        <w:rPr>
          <w:rFonts w:ascii="Arial" w:hAnsi="Arial" w:cs="Arial"/>
          <w:sz w:val="22"/>
          <w:szCs w:val="22"/>
          <w:lang w:val="es-ES_tradnl"/>
        </w:rPr>
        <w:t xml:space="preserve"> según</w:t>
      </w:r>
      <w:r w:rsidRPr="009D198D">
        <w:rPr>
          <w:rFonts w:ascii="Arial" w:hAnsi="Arial" w:cs="Arial"/>
          <w:sz w:val="22"/>
          <w:szCs w:val="22"/>
          <w:lang w:val="es-ES_tradnl"/>
        </w:rPr>
        <w:t xml:space="preserve"> lo dispone el numeral 1 del artículo 2.2.1.2.1.1.2. del Decreto 1082 de 2015, en la audiencia de adjudicación la entidad tiene la potestad de suspender la audiencia cuando considere necesario verificar lo propuesto por alguno de los oferentes.</w:t>
      </w:r>
      <w:r w:rsidR="00AC53C0" w:rsidRPr="009D198D">
        <w:rPr>
          <w:rFonts w:ascii="Arial" w:eastAsia="Arial" w:hAnsi="Arial" w:cs="Arial"/>
          <w:sz w:val="22"/>
          <w:szCs w:val="22"/>
          <w:lang w:val="es-ES"/>
        </w:rPr>
        <w:t xml:space="preserve"> </w:t>
      </w:r>
      <w:r w:rsidR="009F3DBE" w:rsidRPr="009D198D">
        <w:rPr>
          <w:rFonts w:ascii="Arial" w:hAnsi="Arial" w:cs="Arial"/>
          <w:sz w:val="22"/>
          <w:szCs w:val="22"/>
          <w:lang w:val="es-ES"/>
        </w:rPr>
        <w:t xml:space="preserve">Con el fin </w:t>
      </w:r>
      <w:r w:rsidR="003F22A3" w:rsidRPr="009D198D">
        <w:rPr>
          <w:rFonts w:ascii="Arial" w:hAnsi="Arial" w:cs="Arial"/>
          <w:sz w:val="22"/>
          <w:szCs w:val="22"/>
          <w:lang w:val="es-ES"/>
        </w:rPr>
        <w:t xml:space="preserve">de </w:t>
      </w:r>
      <w:r w:rsidR="00AC53C0" w:rsidRPr="009D198D">
        <w:rPr>
          <w:rFonts w:ascii="Arial" w:hAnsi="Arial" w:cs="Arial"/>
          <w:sz w:val="22"/>
          <w:szCs w:val="22"/>
          <w:lang w:val="es-ES"/>
        </w:rPr>
        <w:t xml:space="preserve">entender las reglas de la audiencia de adjudicación del artículo 2.2.1.2.1.1.2. Decreto 1082 de 2015 y las adicionadas por el artículo 1 de la Ley 1882 de 2018, tratándose de licitación pública para celebrar un contrato de obra, </w:t>
      </w:r>
      <w:r w:rsidR="009F3DBE" w:rsidRPr="009D198D">
        <w:rPr>
          <w:rFonts w:ascii="Arial" w:hAnsi="Arial" w:cs="Arial"/>
          <w:sz w:val="22"/>
          <w:szCs w:val="22"/>
        </w:rPr>
        <w:t xml:space="preserve">esta </w:t>
      </w:r>
      <w:r w:rsidR="001E5B91" w:rsidRPr="009D198D">
        <w:rPr>
          <w:rFonts w:ascii="Arial" w:hAnsi="Arial" w:cs="Arial"/>
          <w:sz w:val="22"/>
          <w:szCs w:val="22"/>
        </w:rPr>
        <w:t xml:space="preserve">Agencia </w:t>
      </w:r>
      <w:r w:rsidR="009F3DBE" w:rsidRPr="009D198D">
        <w:rPr>
          <w:rFonts w:ascii="Arial" w:hAnsi="Arial" w:cs="Arial"/>
          <w:sz w:val="22"/>
          <w:szCs w:val="22"/>
        </w:rPr>
        <w:t xml:space="preserve">considera que es factible realizar una interpretación armónica y sistemática de las dos normas </w:t>
      </w:r>
      <w:r w:rsidR="00AC53C0" w:rsidRPr="009D198D">
        <w:rPr>
          <w:rFonts w:ascii="Arial" w:hAnsi="Arial" w:cs="Arial"/>
          <w:sz w:val="22"/>
          <w:szCs w:val="22"/>
          <w:lang w:val="es-ES"/>
        </w:rPr>
        <w:t xml:space="preserve">en el entendido de que la suspensión de la audiencia de adjudicación procede aun a instancias del momento posterior a la apertura del segundo sobre que contiene la oferta económica, cuando dicha suspensión tenga origen en observaciones de los proponentes habilitados que fueron formuladas con ocasión del traslado previsto en la ley </w:t>
      </w:r>
      <w:r w:rsidR="00AC53C0" w:rsidRPr="009D198D">
        <w:rPr>
          <w:rFonts w:ascii="Arial" w:hAnsi="Arial" w:cs="Arial"/>
          <w:sz w:val="22"/>
          <w:szCs w:val="22"/>
          <w:lang w:val="es-ES"/>
        </w:rPr>
        <w:lastRenderedPageBreak/>
        <w:t>para la revisión del aspecto económico de la evaluación, previo a establecer el orden de elegibilidad.</w:t>
      </w:r>
    </w:p>
    <w:p w14:paraId="6D3F4785" w14:textId="79751CA0" w:rsidR="00AC53C0" w:rsidRPr="009D198D" w:rsidRDefault="00AC53C0" w:rsidP="0080143C">
      <w:pPr>
        <w:spacing w:before="120" w:line="276" w:lineRule="auto"/>
        <w:ind w:firstLine="708"/>
        <w:jc w:val="both"/>
        <w:rPr>
          <w:rFonts w:ascii="Arial" w:hAnsi="Arial" w:cs="Arial"/>
          <w:sz w:val="22"/>
          <w:lang w:val="es-ES"/>
        </w:rPr>
      </w:pPr>
      <w:r w:rsidRPr="009D198D">
        <w:rPr>
          <w:rFonts w:ascii="Arial" w:hAnsi="Arial" w:cs="Arial"/>
          <w:sz w:val="22"/>
          <w:szCs w:val="22"/>
          <w:lang w:val="es-ES"/>
        </w:rPr>
        <w:t xml:space="preserve">De igual manera, la suspensión de la audiencia no puede efectuarse </w:t>
      </w:r>
      <w:r w:rsidR="00110626" w:rsidRPr="009D198D">
        <w:rPr>
          <w:rFonts w:ascii="Arial" w:hAnsi="Arial" w:cs="Arial"/>
          <w:sz w:val="22"/>
          <w:szCs w:val="22"/>
          <w:lang w:val="es-ES"/>
        </w:rPr>
        <w:t>para realizar por fuera de ella</w:t>
      </w:r>
      <w:r w:rsidRPr="009D198D">
        <w:rPr>
          <w:rFonts w:ascii="Arial" w:hAnsi="Arial" w:cs="Arial"/>
          <w:sz w:val="22"/>
          <w:szCs w:val="22"/>
          <w:lang w:val="es-ES"/>
        </w:rPr>
        <w:t xml:space="preserve"> </w:t>
      </w:r>
      <w:r w:rsidR="00110626" w:rsidRPr="009D198D">
        <w:rPr>
          <w:rFonts w:ascii="Arial" w:hAnsi="Arial" w:cs="Arial"/>
          <w:sz w:val="22"/>
          <w:szCs w:val="22"/>
          <w:lang w:val="es-ES"/>
        </w:rPr>
        <w:t xml:space="preserve">actuaciones </w:t>
      </w:r>
      <w:r w:rsidRPr="009D198D">
        <w:rPr>
          <w:rFonts w:ascii="Arial" w:hAnsi="Arial" w:cs="Arial"/>
          <w:sz w:val="22"/>
          <w:szCs w:val="22"/>
          <w:lang w:val="es-ES"/>
        </w:rPr>
        <w:t>que la ley prevé que ocurran durante la audiencia, como es el caso de la apertura de segundo sobre que contiene la oferta económica, la evaluación según el método previsto en el pliego de condiciones y la definición del</w:t>
      </w:r>
      <w:r w:rsidRPr="009D198D">
        <w:rPr>
          <w:rFonts w:ascii="Arial" w:hAnsi="Arial" w:cs="Arial"/>
          <w:sz w:val="22"/>
          <w:lang w:val="es-ES"/>
        </w:rPr>
        <w:t xml:space="preserve"> orden de elegibilidad de ofertas para adoptar la decisión de adjudicación de la licitación.</w:t>
      </w:r>
    </w:p>
    <w:p w14:paraId="260D9C73" w14:textId="330B3FA5" w:rsidR="005F2861" w:rsidRPr="009D198D" w:rsidRDefault="00AC53C0" w:rsidP="00782E41">
      <w:pPr>
        <w:spacing w:before="120" w:line="276" w:lineRule="auto"/>
        <w:ind w:firstLine="708"/>
        <w:jc w:val="both"/>
        <w:rPr>
          <w:rFonts w:ascii="Arial" w:hAnsi="Arial" w:cs="Arial"/>
          <w:sz w:val="22"/>
          <w:lang w:val="es-ES"/>
        </w:rPr>
      </w:pPr>
      <w:r w:rsidRPr="009D198D">
        <w:rPr>
          <w:rFonts w:ascii="Arial" w:hAnsi="Arial" w:cs="Arial"/>
          <w:sz w:val="22"/>
          <w:lang w:val="es-ES"/>
        </w:rPr>
        <w:t>Esta interpretación efectuada permite aplicar las reglas dispuestas para la realización de la audiencia de adjudicación de las licitaciones de contratos de obra, tanto en la norma reglamentaria como en la ley, pero teniendo en consideración que las reglas de la Ley 1882 de 2018 son posteriores y de superior jerarquía en nuestro ordenamiento jurídico.</w:t>
      </w:r>
    </w:p>
    <w:p w14:paraId="71A6EA4B" w14:textId="3091FDA2" w:rsidR="00AE087F" w:rsidRPr="009D198D" w:rsidRDefault="008923C2" w:rsidP="00AE087F">
      <w:pPr>
        <w:spacing w:before="120" w:line="276" w:lineRule="auto"/>
        <w:ind w:firstLine="709"/>
        <w:jc w:val="both"/>
        <w:rPr>
          <w:rFonts w:ascii="Arial" w:hAnsi="Arial" w:cs="Arial"/>
          <w:sz w:val="22"/>
        </w:rPr>
      </w:pPr>
      <w:r w:rsidRPr="009D198D">
        <w:rPr>
          <w:rFonts w:ascii="Arial" w:hAnsi="Arial" w:cs="Arial"/>
          <w:sz w:val="22"/>
        </w:rPr>
        <w:t>Finalmente, r</w:t>
      </w:r>
      <w:r w:rsidR="00AE087F" w:rsidRPr="009D198D">
        <w:rPr>
          <w:rFonts w:ascii="Arial" w:hAnsi="Arial" w:cs="Arial"/>
          <w:sz w:val="22"/>
        </w:rPr>
        <w:t xml:space="preserve">esulta del caso precisar que las otras modalidades de selección tienen otras etapas, las cuales se encuentras reguladas en el artículo 2 de la Ley 1150 de 2007, así como también en los artículos 2.2.1.2.1.2.1. a 2.2.1.2.1.2.26. del Decreto 1082 de 2015, en lo que tiene que ver con la </w:t>
      </w:r>
      <w:r w:rsidR="00AE087F" w:rsidRPr="009D198D">
        <w:rPr>
          <w:rFonts w:ascii="Arial" w:hAnsi="Arial" w:cs="Arial"/>
          <w:i/>
          <w:iCs/>
          <w:sz w:val="22"/>
        </w:rPr>
        <w:t>selección abreviada</w:t>
      </w:r>
      <w:r w:rsidR="00AE087F" w:rsidRPr="009D198D">
        <w:rPr>
          <w:rFonts w:ascii="Arial" w:hAnsi="Arial" w:cs="Arial"/>
          <w:sz w:val="22"/>
        </w:rPr>
        <w:t xml:space="preserve">; los artículos 2.2.1.2.1.3.1. a 2.2.1.2.1.3.25. </w:t>
      </w:r>
      <w:r w:rsidR="00AE087F" w:rsidRPr="009D198D">
        <w:rPr>
          <w:rFonts w:ascii="Arial" w:hAnsi="Arial" w:cs="Arial"/>
          <w:i/>
          <w:iCs/>
          <w:sz w:val="22"/>
        </w:rPr>
        <w:t>ibidem</w:t>
      </w:r>
      <w:r w:rsidR="00AE087F" w:rsidRPr="009D198D">
        <w:rPr>
          <w:rFonts w:ascii="Arial" w:hAnsi="Arial" w:cs="Arial"/>
          <w:sz w:val="22"/>
        </w:rPr>
        <w:t xml:space="preserve">, frente al </w:t>
      </w:r>
      <w:r w:rsidR="00AE087F" w:rsidRPr="009D198D">
        <w:rPr>
          <w:rFonts w:ascii="Arial" w:hAnsi="Arial" w:cs="Arial"/>
          <w:i/>
          <w:iCs/>
          <w:sz w:val="22"/>
        </w:rPr>
        <w:t>concurso de méritos</w:t>
      </w:r>
      <w:r w:rsidR="00AE087F" w:rsidRPr="009D198D">
        <w:rPr>
          <w:rFonts w:ascii="Arial" w:hAnsi="Arial" w:cs="Arial"/>
          <w:sz w:val="22"/>
        </w:rPr>
        <w:t xml:space="preserve">; los artículos 2.2.1.2.1.4.1. a 2.2.1.2.1.4.11. </w:t>
      </w:r>
      <w:proofErr w:type="spellStart"/>
      <w:r w:rsidR="00AE087F" w:rsidRPr="009D198D">
        <w:rPr>
          <w:rFonts w:ascii="Arial" w:hAnsi="Arial" w:cs="Arial"/>
          <w:i/>
          <w:iCs/>
          <w:sz w:val="22"/>
        </w:rPr>
        <w:t>ejusdem</w:t>
      </w:r>
      <w:proofErr w:type="spellEnd"/>
      <w:r w:rsidR="00AE087F" w:rsidRPr="009D198D">
        <w:rPr>
          <w:rFonts w:ascii="Arial" w:hAnsi="Arial" w:cs="Arial"/>
          <w:sz w:val="22"/>
        </w:rPr>
        <w:t xml:space="preserve">, en relación con la </w:t>
      </w:r>
      <w:r w:rsidR="00AE087F" w:rsidRPr="009D198D">
        <w:rPr>
          <w:rFonts w:ascii="Arial" w:hAnsi="Arial" w:cs="Arial"/>
          <w:i/>
          <w:iCs/>
          <w:sz w:val="22"/>
        </w:rPr>
        <w:t>contratación directa</w:t>
      </w:r>
      <w:r w:rsidR="00AE087F" w:rsidRPr="009D198D">
        <w:rPr>
          <w:rFonts w:ascii="Arial" w:hAnsi="Arial" w:cs="Arial"/>
          <w:sz w:val="22"/>
        </w:rPr>
        <w:t xml:space="preserve">; y los artículos 2.2.1.2.1.5.1. a 2.2.1.2.1.5.4. del referido decreto, sobre la </w:t>
      </w:r>
      <w:r w:rsidR="00AE087F" w:rsidRPr="009D198D">
        <w:rPr>
          <w:rFonts w:ascii="Arial" w:hAnsi="Arial" w:cs="Arial"/>
          <w:i/>
          <w:iCs/>
          <w:sz w:val="22"/>
        </w:rPr>
        <w:t>mínima cuantía</w:t>
      </w:r>
      <w:r w:rsidR="00AE087F" w:rsidRPr="009D198D">
        <w:rPr>
          <w:rFonts w:ascii="Arial" w:hAnsi="Arial" w:cs="Arial"/>
          <w:sz w:val="22"/>
        </w:rPr>
        <w:t xml:space="preserve">, entre otras normas concordantes y complementarias. </w:t>
      </w:r>
    </w:p>
    <w:p w14:paraId="10D3F2DF" w14:textId="1CD8158C" w:rsidR="00C475BA" w:rsidRPr="009D198D" w:rsidRDefault="007D4B9D" w:rsidP="00957D25">
      <w:pPr>
        <w:pStyle w:val="Prrafodelista"/>
        <w:spacing w:before="120" w:line="276" w:lineRule="auto"/>
        <w:ind w:left="0" w:right="51" w:firstLine="708"/>
        <w:contextualSpacing w:val="0"/>
        <w:jc w:val="both"/>
        <w:rPr>
          <w:rFonts w:ascii="Arial" w:hAnsi="Arial" w:cs="Arial"/>
          <w:sz w:val="22"/>
        </w:rPr>
      </w:pPr>
      <w:r w:rsidRPr="009D198D">
        <w:rPr>
          <w:rFonts w:ascii="Arial" w:hAnsi="Arial" w:cs="Arial"/>
          <w:sz w:val="22"/>
        </w:rPr>
        <w:t xml:space="preserve">En este sentido, el acto final del proceso de </w:t>
      </w:r>
      <w:r w:rsidR="00D7372B" w:rsidRPr="009D198D">
        <w:rPr>
          <w:rFonts w:ascii="Arial" w:hAnsi="Arial" w:cs="Arial"/>
          <w:sz w:val="22"/>
        </w:rPr>
        <w:t>selección</w:t>
      </w:r>
      <w:r w:rsidRPr="009D198D">
        <w:rPr>
          <w:rFonts w:ascii="Arial" w:hAnsi="Arial" w:cs="Arial"/>
          <w:sz w:val="22"/>
        </w:rPr>
        <w:t xml:space="preserve"> dependerá de cada modalidad de selección</w:t>
      </w:r>
      <w:r w:rsidR="00D7372B" w:rsidRPr="009D198D">
        <w:rPr>
          <w:rFonts w:ascii="Arial" w:hAnsi="Arial" w:cs="Arial"/>
          <w:sz w:val="22"/>
        </w:rPr>
        <w:t>, de acuerdo con las normas que l</w:t>
      </w:r>
      <w:r w:rsidR="00110626" w:rsidRPr="009D198D">
        <w:rPr>
          <w:rFonts w:ascii="Arial" w:hAnsi="Arial" w:cs="Arial"/>
          <w:sz w:val="22"/>
        </w:rPr>
        <w:t>o</w:t>
      </w:r>
      <w:r w:rsidR="00D7372B" w:rsidRPr="009D198D">
        <w:rPr>
          <w:rFonts w:ascii="Arial" w:hAnsi="Arial" w:cs="Arial"/>
          <w:sz w:val="22"/>
        </w:rPr>
        <w:t xml:space="preserve"> rige</w:t>
      </w:r>
      <w:r w:rsidR="00110626" w:rsidRPr="009D198D">
        <w:rPr>
          <w:rFonts w:ascii="Arial" w:hAnsi="Arial" w:cs="Arial"/>
          <w:sz w:val="22"/>
        </w:rPr>
        <w:t>n</w:t>
      </w:r>
      <w:r w:rsidRPr="009D198D">
        <w:rPr>
          <w:rFonts w:ascii="Arial" w:hAnsi="Arial" w:cs="Arial"/>
          <w:sz w:val="22"/>
        </w:rPr>
        <w:t xml:space="preserve">. En el caso de la licitación pública, </w:t>
      </w:r>
      <w:r w:rsidR="000D70CC" w:rsidRPr="009D198D">
        <w:rPr>
          <w:rFonts w:ascii="Arial" w:hAnsi="Arial" w:cs="Arial"/>
          <w:sz w:val="22"/>
        </w:rPr>
        <w:t>el acto final corresponde</w:t>
      </w:r>
      <w:r w:rsidRPr="009D198D">
        <w:rPr>
          <w:rFonts w:ascii="Arial" w:hAnsi="Arial" w:cs="Arial"/>
          <w:sz w:val="22"/>
        </w:rPr>
        <w:t xml:space="preserve"> </w:t>
      </w:r>
      <w:r w:rsidR="000D70CC" w:rsidRPr="009D198D">
        <w:rPr>
          <w:rFonts w:ascii="Arial" w:hAnsi="Arial" w:cs="Arial"/>
          <w:sz w:val="22"/>
        </w:rPr>
        <w:t xml:space="preserve">al </w:t>
      </w:r>
      <w:r w:rsidR="00957D25" w:rsidRPr="009D198D">
        <w:rPr>
          <w:rFonts w:ascii="Arial" w:hAnsi="Arial" w:cs="Arial"/>
          <w:sz w:val="22"/>
        </w:rPr>
        <w:t>acto de adjudicación</w:t>
      </w:r>
      <w:r w:rsidR="00E06992" w:rsidRPr="009D198D">
        <w:rPr>
          <w:rFonts w:ascii="Arial" w:hAnsi="Arial" w:cs="Arial"/>
          <w:sz w:val="22"/>
        </w:rPr>
        <w:t>,</w:t>
      </w:r>
      <w:r w:rsidR="000D70CC" w:rsidRPr="009D198D">
        <w:rPr>
          <w:rFonts w:ascii="Arial" w:hAnsi="Arial" w:cs="Arial"/>
          <w:sz w:val="22"/>
        </w:rPr>
        <w:t xml:space="preserve"> que</w:t>
      </w:r>
      <w:r w:rsidR="000D70CC" w:rsidRPr="009D198D">
        <w:rPr>
          <w:rFonts w:ascii="Arial" w:eastAsia="Times New Roman" w:hAnsi="Arial" w:cs="Arial"/>
          <w:sz w:val="19"/>
          <w:szCs w:val="19"/>
          <w:lang w:val="es-CO" w:eastAsia="es-ES_tradnl"/>
        </w:rPr>
        <w:t xml:space="preserve"> </w:t>
      </w:r>
      <w:r w:rsidR="000D70CC" w:rsidRPr="009D198D">
        <w:rPr>
          <w:rFonts w:ascii="Arial" w:hAnsi="Arial" w:cs="Arial"/>
          <w:sz w:val="22"/>
          <w:lang w:val="es-CO"/>
        </w:rPr>
        <w:t xml:space="preserve">es </w:t>
      </w:r>
      <w:r w:rsidR="00E06992" w:rsidRPr="009D198D">
        <w:rPr>
          <w:rFonts w:ascii="Arial" w:hAnsi="Arial" w:cs="Arial"/>
          <w:color w:val="000000" w:themeColor="text1"/>
          <w:sz w:val="22"/>
        </w:rPr>
        <w:t>«</w:t>
      </w:r>
      <w:r w:rsidR="000D70CC" w:rsidRPr="009D198D">
        <w:rPr>
          <w:rFonts w:ascii="Arial" w:hAnsi="Arial" w:cs="Arial"/>
          <w:sz w:val="22"/>
          <w:lang w:val="es-CO"/>
        </w:rPr>
        <w:t>la actuación terminal de la fase del procedimiento de selección, e implica la manifestación definitiva de la voluntad de la Administración de realizar la contratación con uno o varios oferentes determinados»</w:t>
      </w:r>
      <w:r w:rsidR="00B6675D" w:rsidRPr="009D198D">
        <w:rPr>
          <w:rStyle w:val="Refdenotaalpie"/>
          <w:rFonts w:ascii="Arial" w:hAnsi="Arial" w:cs="Arial"/>
          <w:sz w:val="22"/>
        </w:rPr>
        <w:footnoteReference w:id="35"/>
      </w:r>
      <w:r w:rsidR="00DD379A" w:rsidRPr="009D198D">
        <w:rPr>
          <w:rFonts w:ascii="Arial" w:hAnsi="Arial" w:cs="Arial"/>
          <w:sz w:val="22"/>
          <w:lang w:val="es-CO"/>
        </w:rPr>
        <w:t>;</w:t>
      </w:r>
      <w:r w:rsidR="00957D25" w:rsidRPr="009D198D">
        <w:rPr>
          <w:rFonts w:ascii="Arial" w:hAnsi="Arial" w:cs="Arial"/>
          <w:sz w:val="22"/>
        </w:rPr>
        <w:t xml:space="preserve"> o</w:t>
      </w:r>
      <w:r w:rsidRPr="009D198D">
        <w:rPr>
          <w:rFonts w:ascii="Arial" w:hAnsi="Arial" w:cs="Arial"/>
          <w:sz w:val="22"/>
        </w:rPr>
        <w:t xml:space="preserve"> en su defecto, la declaratoria de desierta, en los casos en los cuales se fundamente esta decisión</w:t>
      </w:r>
      <w:r w:rsidR="00E06992" w:rsidRPr="009D198D">
        <w:rPr>
          <w:rStyle w:val="Refdenotaalpie"/>
          <w:rFonts w:ascii="Arial" w:hAnsi="Arial" w:cs="Arial"/>
          <w:sz w:val="22"/>
        </w:rPr>
        <w:footnoteReference w:id="36"/>
      </w:r>
      <w:r w:rsidRPr="009D198D">
        <w:rPr>
          <w:rFonts w:ascii="Arial" w:hAnsi="Arial" w:cs="Arial"/>
          <w:sz w:val="22"/>
        </w:rPr>
        <w:t>.</w:t>
      </w:r>
    </w:p>
    <w:p w14:paraId="71FA9346" w14:textId="3F3E11C3" w:rsidR="00A349C8" w:rsidRPr="009D198D" w:rsidRDefault="00E06992" w:rsidP="00E06992">
      <w:pPr>
        <w:spacing w:before="120" w:line="276" w:lineRule="auto"/>
        <w:ind w:firstLine="708"/>
        <w:jc w:val="both"/>
        <w:rPr>
          <w:rFonts w:ascii="Arial" w:hAnsi="Arial" w:cs="Arial"/>
          <w:bCs/>
          <w:sz w:val="22"/>
          <w:lang w:val="es-ES_tradnl"/>
        </w:rPr>
      </w:pPr>
      <w:proofErr w:type="spellStart"/>
      <w:r w:rsidRPr="009D198D">
        <w:rPr>
          <w:rFonts w:ascii="Arial" w:hAnsi="Arial" w:cs="Arial"/>
          <w:sz w:val="22"/>
        </w:rPr>
        <w:t>ii</w:t>
      </w:r>
      <w:proofErr w:type="spellEnd"/>
      <w:r w:rsidRPr="009D198D">
        <w:rPr>
          <w:rFonts w:ascii="Arial" w:hAnsi="Arial" w:cs="Arial"/>
          <w:sz w:val="22"/>
        </w:rPr>
        <w:t xml:space="preserve">) </w:t>
      </w:r>
      <w:r w:rsidR="003C4E77" w:rsidRPr="009D198D">
        <w:rPr>
          <w:rFonts w:ascii="Arial" w:hAnsi="Arial" w:cs="Arial"/>
          <w:sz w:val="22"/>
        </w:rPr>
        <w:t xml:space="preserve">En lo que respecta a la </w:t>
      </w:r>
      <w:r w:rsidR="003C4E77" w:rsidRPr="009D198D">
        <w:rPr>
          <w:rFonts w:ascii="Arial" w:hAnsi="Arial" w:cs="Arial"/>
          <w:i/>
          <w:iCs/>
          <w:sz w:val="22"/>
        </w:rPr>
        <w:t xml:space="preserve">etapa </w:t>
      </w:r>
      <w:r w:rsidR="00ED667A" w:rsidRPr="009D198D">
        <w:rPr>
          <w:rFonts w:ascii="Arial" w:hAnsi="Arial" w:cs="Arial"/>
          <w:i/>
          <w:iCs/>
          <w:sz w:val="22"/>
        </w:rPr>
        <w:t>contractual</w:t>
      </w:r>
      <w:r w:rsidR="00110626" w:rsidRPr="009D198D">
        <w:rPr>
          <w:rFonts w:ascii="Arial" w:hAnsi="Arial" w:cs="Arial"/>
          <w:sz w:val="22"/>
        </w:rPr>
        <w:t>,</w:t>
      </w:r>
      <w:r w:rsidR="00ED667A" w:rsidRPr="009D198D">
        <w:rPr>
          <w:rFonts w:ascii="Arial" w:hAnsi="Arial" w:cs="Arial"/>
          <w:sz w:val="22"/>
        </w:rPr>
        <w:t xml:space="preserve"> es necesario resaltar </w:t>
      </w:r>
      <w:r w:rsidR="005E112E" w:rsidRPr="009D198D">
        <w:rPr>
          <w:rFonts w:ascii="Arial" w:hAnsi="Arial" w:cs="Arial"/>
          <w:sz w:val="22"/>
        </w:rPr>
        <w:t xml:space="preserve">que esta </w:t>
      </w:r>
      <w:r w:rsidR="00ED667A" w:rsidRPr="009D198D">
        <w:rPr>
          <w:rFonts w:ascii="Arial" w:eastAsiaTheme="minorHAnsi" w:hAnsi="Arial" w:cs="Arial"/>
          <w:sz w:val="22"/>
          <w:szCs w:val="22"/>
          <w:lang w:eastAsia="en-US"/>
        </w:rPr>
        <w:t>se compone de</w:t>
      </w:r>
      <w:r w:rsidR="00ED667A" w:rsidRPr="009D198D">
        <w:rPr>
          <w:rFonts w:ascii="Arial" w:hAnsi="Arial" w:cs="Arial"/>
          <w:sz w:val="22"/>
          <w:szCs w:val="22"/>
        </w:rPr>
        <w:t xml:space="preserve"> </w:t>
      </w:r>
      <w:r w:rsidR="00ED667A" w:rsidRPr="009D198D">
        <w:rPr>
          <w:rFonts w:ascii="Arial" w:hAnsi="Arial" w:cs="Arial"/>
          <w:color w:val="000000" w:themeColor="text1"/>
          <w:sz w:val="22"/>
          <w:szCs w:val="22"/>
        </w:rPr>
        <w:t>«</w:t>
      </w:r>
      <w:r w:rsidR="00ED667A" w:rsidRPr="009D198D">
        <w:rPr>
          <w:rFonts w:ascii="Arial" w:eastAsiaTheme="minorHAnsi" w:hAnsi="Arial" w:cs="Arial"/>
          <w:sz w:val="22"/>
          <w:szCs w:val="22"/>
          <w:lang w:eastAsia="en-US"/>
        </w:rPr>
        <w:t xml:space="preserve">a) legalización y perfeccionamiento del contrato, verificación de los requisitos </w:t>
      </w:r>
      <w:r w:rsidR="00ED667A" w:rsidRPr="009D198D">
        <w:rPr>
          <w:rFonts w:ascii="Arial" w:eastAsiaTheme="minorHAnsi" w:hAnsi="Arial" w:cs="Arial"/>
          <w:sz w:val="22"/>
          <w:szCs w:val="22"/>
          <w:lang w:eastAsia="en-US"/>
        </w:rPr>
        <w:lastRenderedPageBreak/>
        <w:t>de</w:t>
      </w:r>
      <w:r w:rsidR="00ED667A" w:rsidRPr="009D198D">
        <w:rPr>
          <w:rFonts w:ascii="Arial" w:hAnsi="Arial" w:cs="Arial"/>
          <w:sz w:val="22"/>
        </w:rPr>
        <w:t xml:space="preserve"> </w:t>
      </w:r>
      <w:r w:rsidR="00ED667A" w:rsidRPr="009D198D">
        <w:rPr>
          <w:rFonts w:ascii="Arial" w:eastAsiaTheme="minorHAnsi" w:hAnsi="Arial" w:cs="Arial"/>
          <w:sz w:val="22"/>
        </w:rPr>
        <w:t xml:space="preserve">ejecución </w:t>
      </w:r>
      <w:proofErr w:type="gramStart"/>
      <w:r w:rsidR="00ED667A" w:rsidRPr="009D198D">
        <w:rPr>
          <w:rFonts w:ascii="Arial" w:eastAsiaTheme="minorHAnsi" w:hAnsi="Arial" w:cs="Arial"/>
          <w:sz w:val="22"/>
        </w:rPr>
        <w:t>del mismo</w:t>
      </w:r>
      <w:proofErr w:type="gramEnd"/>
      <w:r w:rsidR="00ED667A" w:rsidRPr="009D198D">
        <w:rPr>
          <w:rFonts w:ascii="Arial" w:eastAsiaTheme="minorHAnsi" w:hAnsi="Arial" w:cs="Arial"/>
          <w:sz w:val="22"/>
        </w:rPr>
        <w:t>, b) ejecución propiamente dicha</w:t>
      </w:r>
      <w:r w:rsidR="006A1C53" w:rsidRPr="009D198D">
        <w:rPr>
          <w:rFonts w:ascii="Arial" w:hAnsi="Arial" w:cs="Arial"/>
          <w:sz w:val="22"/>
        </w:rPr>
        <w:t xml:space="preserve"> y c) terminación</w:t>
      </w:r>
      <w:r w:rsidR="00ED667A" w:rsidRPr="009D198D">
        <w:rPr>
          <w:rFonts w:ascii="Arial" w:hAnsi="Arial" w:cs="Arial"/>
          <w:color w:val="000000" w:themeColor="text1"/>
          <w:sz w:val="22"/>
          <w:szCs w:val="22"/>
        </w:rPr>
        <w:t>»</w:t>
      </w:r>
      <w:r w:rsidR="002615BD" w:rsidRPr="009D198D">
        <w:rPr>
          <w:rStyle w:val="Refdenotaalpie"/>
          <w:rFonts w:ascii="Arial" w:hAnsi="Arial" w:cs="Arial"/>
          <w:color w:val="000000" w:themeColor="text1"/>
          <w:sz w:val="19"/>
          <w:szCs w:val="19"/>
        </w:rPr>
        <w:footnoteReference w:id="37"/>
      </w:r>
      <w:r w:rsidR="00ED667A" w:rsidRPr="009D198D">
        <w:rPr>
          <w:rFonts w:ascii="Arial" w:hAnsi="Arial" w:cs="Arial"/>
          <w:sz w:val="22"/>
        </w:rPr>
        <w:t xml:space="preserve">. </w:t>
      </w:r>
      <w:r w:rsidRPr="009D198D">
        <w:rPr>
          <w:rFonts w:ascii="Arial" w:hAnsi="Arial" w:cs="Arial"/>
          <w:sz w:val="22"/>
        </w:rPr>
        <w:t>En efecto, d</w:t>
      </w:r>
      <w:r w:rsidR="00791623" w:rsidRPr="009D198D">
        <w:rPr>
          <w:rFonts w:ascii="Arial" w:hAnsi="Arial" w:cs="Arial"/>
          <w:sz w:val="22"/>
        </w:rPr>
        <w:t xml:space="preserve">e conformidad con el artículo 41 de la Ley 80 de 1993 los contratos se perfeccionan cuando se logre acuerdo sobre el objeto y la contraprestación y éste se eleve a escrito. Para la ejecución se requerirá de la aprobación de la garantía y de la existencia de las disponibilidades presupuestales correspondientes, salvo que se trate de la </w:t>
      </w:r>
      <w:r w:rsidR="00791623" w:rsidRPr="009D198D">
        <w:rPr>
          <w:rFonts w:ascii="Arial" w:hAnsi="Arial" w:cs="Arial"/>
          <w:bCs/>
          <w:sz w:val="22"/>
          <w:lang w:val="es-ES_tradnl"/>
        </w:rPr>
        <w:t xml:space="preserve">contratación con recursos de vigencias fiscales futuras de conformidad con lo previsto en la ley orgánica del presupuesto. </w:t>
      </w:r>
      <w:r w:rsidR="005E112E" w:rsidRPr="009D198D">
        <w:rPr>
          <w:rFonts w:ascii="Arial" w:hAnsi="Arial" w:cs="Arial"/>
          <w:bCs/>
          <w:sz w:val="22"/>
          <w:lang w:val="es-ES_tradnl"/>
        </w:rPr>
        <w:t>Adem</w:t>
      </w:r>
      <w:r w:rsidR="00A32186" w:rsidRPr="009D198D">
        <w:rPr>
          <w:rFonts w:ascii="Arial" w:hAnsi="Arial" w:cs="Arial"/>
          <w:bCs/>
          <w:sz w:val="22"/>
          <w:lang w:val="es-ES_tradnl"/>
        </w:rPr>
        <w:t>á</w:t>
      </w:r>
      <w:r w:rsidR="005E112E" w:rsidRPr="009D198D">
        <w:rPr>
          <w:rFonts w:ascii="Arial" w:hAnsi="Arial" w:cs="Arial"/>
          <w:bCs/>
          <w:sz w:val="22"/>
          <w:lang w:val="es-ES_tradnl"/>
        </w:rPr>
        <w:t>s, e</w:t>
      </w:r>
      <w:r w:rsidR="00791623" w:rsidRPr="009D198D">
        <w:rPr>
          <w:rFonts w:ascii="Arial" w:hAnsi="Arial" w:cs="Arial"/>
          <w:bCs/>
          <w:sz w:val="22"/>
          <w:lang w:val="es-ES_tradnl"/>
        </w:rPr>
        <w:t xml:space="preserve">l proponente y el contratista deberán acreditar que se encuentran al día en el pago de aportes parafiscales relativos al Sistema de Seguridad Social Integral, así como los propios del Sena, ICBF y Cajas de Compensación Familiar, cuando corresponda. En tal sentido, una vez culmine la etapa precontractual y suscrito el contrato en los términos del artículo 41 </w:t>
      </w:r>
      <w:r w:rsidR="00990869" w:rsidRPr="009D198D">
        <w:rPr>
          <w:rFonts w:ascii="Arial" w:hAnsi="Arial" w:cs="Arial"/>
          <w:bCs/>
          <w:sz w:val="22"/>
          <w:lang w:val="es-ES_tradnl"/>
        </w:rPr>
        <w:t xml:space="preserve">mencionado </w:t>
      </w:r>
      <w:r w:rsidR="00791623" w:rsidRPr="009D198D">
        <w:rPr>
          <w:rFonts w:ascii="Arial" w:hAnsi="Arial" w:cs="Arial"/>
          <w:bCs/>
          <w:sz w:val="22"/>
          <w:lang w:val="es-ES_tradnl"/>
        </w:rPr>
        <w:t>inicia la fase contractual</w:t>
      </w:r>
      <w:r w:rsidR="006A1C53" w:rsidRPr="009D198D">
        <w:rPr>
          <w:rFonts w:ascii="Arial" w:hAnsi="Arial" w:cs="Arial"/>
          <w:bCs/>
          <w:sz w:val="22"/>
          <w:lang w:val="es-ES_tradnl"/>
        </w:rPr>
        <w:t xml:space="preserve"> que </w:t>
      </w:r>
      <w:r w:rsidR="00791623" w:rsidRPr="009D198D">
        <w:rPr>
          <w:rFonts w:ascii="Arial" w:hAnsi="Arial" w:cs="Arial"/>
          <w:bCs/>
          <w:sz w:val="22"/>
          <w:lang w:val="es-ES_tradnl"/>
        </w:rPr>
        <w:t xml:space="preserve">se extiende durante todo el plazo de ejecución del contrato y </w:t>
      </w:r>
      <w:r w:rsidR="006D0332" w:rsidRPr="009D198D">
        <w:rPr>
          <w:rFonts w:ascii="Arial" w:hAnsi="Arial" w:cs="Arial"/>
          <w:bCs/>
          <w:sz w:val="22"/>
          <w:lang w:val="es-ES_tradnl"/>
        </w:rPr>
        <w:t xml:space="preserve">finaliza </w:t>
      </w:r>
      <w:r w:rsidR="00791623" w:rsidRPr="009D198D">
        <w:rPr>
          <w:rFonts w:ascii="Arial" w:hAnsi="Arial" w:cs="Arial"/>
          <w:bCs/>
          <w:sz w:val="22"/>
          <w:lang w:val="es-ES_tradnl"/>
        </w:rPr>
        <w:t>con la terminación de</w:t>
      </w:r>
      <w:r w:rsidR="006A1C53" w:rsidRPr="009D198D">
        <w:rPr>
          <w:rFonts w:ascii="Arial" w:hAnsi="Arial" w:cs="Arial"/>
          <w:bCs/>
          <w:sz w:val="22"/>
          <w:lang w:val="es-ES_tradnl"/>
        </w:rPr>
        <w:t xml:space="preserve"> este</w:t>
      </w:r>
      <w:r w:rsidR="00E56A24" w:rsidRPr="009D198D">
        <w:rPr>
          <w:rFonts w:ascii="Arial" w:hAnsi="Arial" w:cs="Arial"/>
          <w:bCs/>
          <w:sz w:val="22"/>
          <w:lang w:val="es-ES_tradnl"/>
        </w:rPr>
        <w:t xml:space="preserve">. </w:t>
      </w:r>
    </w:p>
    <w:p w14:paraId="6093DBAA" w14:textId="36E3FC7E" w:rsidR="00D42D60" w:rsidRPr="009D198D" w:rsidRDefault="00D42D60" w:rsidP="00D42D60">
      <w:pPr>
        <w:spacing w:before="120" w:line="276" w:lineRule="auto"/>
        <w:ind w:firstLine="708"/>
        <w:jc w:val="both"/>
        <w:rPr>
          <w:rFonts w:ascii="Arial" w:eastAsia="Calibri" w:hAnsi="Arial" w:cs="Arial"/>
          <w:sz w:val="22"/>
          <w:lang w:val="es-ES"/>
        </w:rPr>
      </w:pPr>
      <w:r w:rsidRPr="009D198D">
        <w:rPr>
          <w:rFonts w:ascii="Arial" w:eastAsia="Calibri" w:hAnsi="Arial" w:cs="Arial"/>
          <w:sz w:val="22"/>
          <w:lang w:val="es-ES"/>
        </w:rPr>
        <w:t xml:space="preserve">En este contexto, en la etapa contractual se encuentran los documentos de ejecución del contrato como el acta de inicio, los otrosíes, las garantías, actas parciales, los actos administrativos expedidos con ocasión de la ejecución del contrato, como los correspondientes a los procesos por incumplimiento contractual que se lleven a cabo conforme al artículo 86 de la Ley 1474 de 2011, los informes de supervisión y/o interventoría, entre otros. </w:t>
      </w:r>
    </w:p>
    <w:p w14:paraId="03C37E62" w14:textId="635A2F69" w:rsidR="00EF18CC" w:rsidRPr="009D198D" w:rsidRDefault="00EF18CC" w:rsidP="00EF18CC">
      <w:pPr>
        <w:spacing w:before="120" w:line="276" w:lineRule="auto"/>
        <w:ind w:firstLine="708"/>
        <w:jc w:val="both"/>
        <w:rPr>
          <w:rFonts w:ascii="Arial" w:hAnsi="Arial" w:cs="Arial"/>
          <w:bCs/>
          <w:sz w:val="22"/>
        </w:rPr>
      </w:pPr>
      <w:r w:rsidRPr="009D198D">
        <w:rPr>
          <w:rFonts w:ascii="Arial" w:hAnsi="Arial" w:cs="Arial"/>
          <w:bCs/>
          <w:sz w:val="22"/>
        </w:rPr>
        <w:t>De conformidad con el artículo 40 de la Ley 80 de 1993,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En este contexto, las entidades podrán acordar en sus contratos que el plazo de ejecución</w:t>
      </w:r>
      <w:r w:rsidR="00990869" w:rsidRPr="009D198D">
        <w:rPr>
          <w:rFonts w:ascii="Arial" w:hAnsi="Arial" w:cs="Arial"/>
          <w:bCs/>
          <w:sz w:val="22"/>
        </w:rPr>
        <w:t xml:space="preserve"> pactado empiece a correr</w:t>
      </w:r>
      <w:r w:rsidRPr="009D198D">
        <w:rPr>
          <w:rFonts w:ascii="Arial" w:hAnsi="Arial" w:cs="Arial"/>
          <w:bCs/>
          <w:sz w:val="22"/>
        </w:rPr>
        <w:t xml:space="preserve"> previa suscripción de un acta de inicio. Por lo general, </w:t>
      </w:r>
      <w:r w:rsidR="00680411" w:rsidRPr="009D198D">
        <w:rPr>
          <w:rFonts w:ascii="Arial" w:hAnsi="Arial" w:cs="Arial"/>
          <w:bCs/>
          <w:sz w:val="22"/>
        </w:rPr>
        <w:t xml:space="preserve">en la práctica, </w:t>
      </w:r>
      <w:r w:rsidRPr="009D198D">
        <w:rPr>
          <w:rFonts w:ascii="Arial" w:hAnsi="Arial" w:cs="Arial"/>
          <w:bCs/>
          <w:sz w:val="22"/>
        </w:rPr>
        <w:t>este documento es firmado por las partes contratantes, de un lado el contratista y</w:t>
      </w:r>
      <w:r w:rsidR="00680411" w:rsidRPr="009D198D">
        <w:rPr>
          <w:rFonts w:ascii="Arial" w:hAnsi="Arial" w:cs="Arial"/>
          <w:bCs/>
          <w:sz w:val="22"/>
        </w:rPr>
        <w:t>,</w:t>
      </w:r>
      <w:r w:rsidRPr="009D198D">
        <w:rPr>
          <w:rFonts w:ascii="Arial" w:hAnsi="Arial" w:cs="Arial"/>
          <w:bCs/>
          <w:sz w:val="22"/>
        </w:rPr>
        <w:t xml:space="preserve"> del otro, el supervisor y/o interventor en representación de la entidad, según sea el caso. </w:t>
      </w:r>
      <w:r w:rsidR="00990869" w:rsidRPr="009D198D">
        <w:rPr>
          <w:rFonts w:ascii="Arial" w:hAnsi="Arial" w:cs="Arial"/>
          <w:bCs/>
          <w:sz w:val="22"/>
        </w:rPr>
        <w:t>De este modo, aten</w:t>
      </w:r>
      <w:r w:rsidR="00AD07FE" w:rsidRPr="009D198D">
        <w:rPr>
          <w:rFonts w:ascii="Arial" w:hAnsi="Arial" w:cs="Arial"/>
          <w:bCs/>
          <w:sz w:val="22"/>
        </w:rPr>
        <w:t>d</w:t>
      </w:r>
      <w:r w:rsidR="00990869" w:rsidRPr="009D198D">
        <w:rPr>
          <w:rFonts w:ascii="Arial" w:hAnsi="Arial" w:cs="Arial"/>
          <w:bCs/>
          <w:sz w:val="22"/>
        </w:rPr>
        <w:t>iendo la consulta planteada, el acta de inicio</w:t>
      </w:r>
      <w:r w:rsidR="00593B6A" w:rsidRPr="009D198D">
        <w:rPr>
          <w:rFonts w:ascii="Arial" w:hAnsi="Arial" w:cs="Arial"/>
          <w:bCs/>
          <w:sz w:val="22"/>
        </w:rPr>
        <w:t>, tal como se utiliza en la práctica,</w:t>
      </w:r>
      <w:r w:rsidR="00990869" w:rsidRPr="009D198D">
        <w:rPr>
          <w:rFonts w:ascii="Arial" w:hAnsi="Arial" w:cs="Arial"/>
          <w:bCs/>
          <w:sz w:val="22"/>
        </w:rPr>
        <w:t xml:space="preserve"> </w:t>
      </w:r>
      <w:r w:rsidRPr="009D198D">
        <w:rPr>
          <w:rFonts w:ascii="Arial" w:hAnsi="Arial" w:cs="Arial"/>
          <w:bCs/>
          <w:sz w:val="22"/>
        </w:rPr>
        <w:t xml:space="preserve">no se trata de un acto administrativo sino de un documento que se suscribe por las partes durante la fase de ejecución del contrato en atención a las estipulaciones contractuales, para que se dé inicio </w:t>
      </w:r>
      <w:r w:rsidR="00593B6A" w:rsidRPr="009D198D">
        <w:rPr>
          <w:rFonts w:ascii="Arial" w:hAnsi="Arial" w:cs="Arial"/>
          <w:bCs/>
          <w:sz w:val="22"/>
        </w:rPr>
        <w:t>formal a la ejecución del contrato</w:t>
      </w:r>
      <w:r w:rsidRPr="009D198D">
        <w:rPr>
          <w:rFonts w:ascii="Arial" w:hAnsi="Arial" w:cs="Arial"/>
          <w:bCs/>
          <w:sz w:val="22"/>
        </w:rPr>
        <w:t>.</w:t>
      </w:r>
      <w:r w:rsidR="00593B6A" w:rsidRPr="009D198D">
        <w:rPr>
          <w:rFonts w:ascii="Arial" w:hAnsi="Arial" w:cs="Arial"/>
          <w:bCs/>
          <w:sz w:val="22"/>
        </w:rPr>
        <w:t xml:space="preserve"> </w:t>
      </w:r>
      <w:r w:rsidRPr="009D198D">
        <w:rPr>
          <w:rFonts w:ascii="Arial" w:hAnsi="Arial" w:cs="Arial"/>
          <w:bCs/>
          <w:sz w:val="22"/>
        </w:rPr>
        <w:t xml:space="preserve"> </w:t>
      </w:r>
    </w:p>
    <w:p w14:paraId="1DC63FBD" w14:textId="5C958125" w:rsidR="001F6089" w:rsidRPr="009D198D" w:rsidRDefault="00A32186" w:rsidP="00742E4B">
      <w:pPr>
        <w:spacing w:before="120" w:line="276" w:lineRule="auto"/>
        <w:ind w:firstLine="709"/>
        <w:jc w:val="both"/>
        <w:rPr>
          <w:rFonts w:ascii="Arial" w:hAnsi="Arial" w:cs="Arial"/>
          <w:bCs/>
          <w:sz w:val="22"/>
          <w:szCs w:val="22"/>
          <w:lang w:val="es-ES_tradnl"/>
        </w:rPr>
      </w:pPr>
      <w:proofErr w:type="spellStart"/>
      <w:r w:rsidRPr="009D198D">
        <w:rPr>
          <w:rFonts w:ascii="Arial" w:hAnsi="Arial" w:cs="Arial"/>
          <w:bCs/>
          <w:sz w:val="22"/>
          <w:lang w:val="es-ES_tradnl"/>
        </w:rPr>
        <w:t>iii</w:t>
      </w:r>
      <w:proofErr w:type="spellEnd"/>
      <w:r w:rsidRPr="009D198D">
        <w:rPr>
          <w:rFonts w:ascii="Arial" w:hAnsi="Arial" w:cs="Arial"/>
          <w:bCs/>
          <w:sz w:val="22"/>
          <w:lang w:val="es-ES_tradnl"/>
        </w:rPr>
        <w:t xml:space="preserve">) </w:t>
      </w:r>
      <w:bookmarkStart w:id="22" w:name="_Hlk95122681"/>
      <w:r w:rsidR="00791623" w:rsidRPr="009D198D">
        <w:rPr>
          <w:rFonts w:ascii="Arial" w:hAnsi="Arial" w:cs="Arial"/>
          <w:bCs/>
          <w:sz w:val="22"/>
          <w:lang w:val="es-ES_tradnl"/>
        </w:rPr>
        <w:t>Por último</w:t>
      </w:r>
      <w:r w:rsidR="006A1C53" w:rsidRPr="009D198D">
        <w:rPr>
          <w:rFonts w:ascii="Arial" w:hAnsi="Arial" w:cs="Arial"/>
          <w:bCs/>
          <w:sz w:val="22"/>
          <w:lang w:val="es-ES_tradnl"/>
        </w:rPr>
        <w:t>,</w:t>
      </w:r>
      <w:r w:rsidR="00465B8B" w:rsidRPr="009D198D">
        <w:rPr>
          <w:rFonts w:ascii="Arial" w:hAnsi="Arial" w:cs="Arial"/>
          <w:bCs/>
          <w:sz w:val="22"/>
          <w:lang w:val="es-ES_tradnl"/>
        </w:rPr>
        <w:t xml:space="preserve"> en relación </w:t>
      </w:r>
      <w:r w:rsidR="00465B8B" w:rsidRPr="009D198D">
        <w:rPr>
          <w:rFonts w:ascii="Arial" w:hAnsi="Arial" w:cs="Arial"/>
          <w:bCs/>
          <w:sz w:val="22"/>
          <w:szCs w:val="22"/>
          <w:lang w:val="es-ES_tradnl"/>
        </w:rPr>
        <w:t xml:space="preserve">con la «etapa </w:t>
      </w:r>
      <w:proofErr w:type="spellStart"/>
      <w:r w:rsidR="00465B8B" w:rsidRPr="009D198D">
        <w:rPr>
          <w:rFonts w:ascii="Arial" w:hAnsi="Arial" w:cs="Arial"/>
          <w:bCs/>
          <w:sz w:val="22"/>
          <w:szCs w:val="22"/>
          <w:lang w:val="es-ES_tradnl"/>
        </w:rPr>
        <w:t>postcontractual</w:t>
      </w:r>
      <w:proofErr w:type="spellEnd"/>
      <w:r w:rsidR="00465B8B" w:rsidRPr="009D198D">
        <w:rPr>
          <w:rFonts w:ascii="Arial" w:hAnsi="Arial" w:cs="Arial"/>
          <w:bCs/>
          <w:sz w:val="22"/>
          <w:szCs w:val="22"/>
          <w:lang w:val="es-ES_tradnl"/>
        </w:rPr>
        <w:t>»</w:t>
      </w:r>
      <w:r w:rsidR="00593B6A" w:rsidRPr="009D198D">
        <w:rPr>
          <w:rFonts w:ascii="Arial" w:hAnsi="Arial" w:cs="Arial"/>
          <w:bCs/>
          <w:sz w:val="22"/>
          <w:szCs w:val="22"/>
          <w:lang w:val="es-ES_tradnl"/>
        </w:rPr>
        <w:t>,</w:t>
      </w:r>
      <w:r w:rsidR="00465B8B" w:rsidRPr="009D198D">
        <w:rPr>
          <w:rFonts w:ascii="Arial" w:hAnsi="Arial" w:cs="Arial"/>
          <w:bCs/>
          <w:sz w:val="22"/>
          <w:szCs w:val="22"/>
          <w:lang w:val="es-ES_tradnl"/>
        </w:rPr>
        <w:t xml:space="preserve"> es preciso resaltar que esta no se encuentra </w:t>
      </w:r>
      <w:r w:rsidR="00EF0166" w:rsidRPr="009D198D">
        <w:rPr>
          <w:rFonts w:ascii="Arial" w:hAnsi="Arial" w:cs="Arial"/>
          <w:bCs/>
          <w:sz w:val="22"/>
          <w:szCs w:val="22"/>
          <w:lang w:val="es-ES_tradnl"/>
        </w:rPr>
        <w:t>definida</w:t>
      </w:r>
      <w:r w:rsidR="00465B8B" w:rsidRPr="009D198D">
        <w:rPr>
          <w:rFonts w:ascii="Arial" w:hAnsi="Arial" w:cs="Arial"/>
          <w:bCs/>
          <w:sz w:val="22"/>
          <w:szCs w:val="22"/>
          <w:lang w:val="es-ES_tradnl"/>
        </w:rPr>
        <w:t xml:space="preserve"> en </w:t>
      </w:r>
      <w:r w:rsidR="00593B6A" w:rsidRPr="009D198D">
        <w:rPr>
          <w:rFonts w:ascii="Arial" w:hAnsi="Arial" w:cs="Arial"/>
          <w:bCs/>
          <w:sz w:val="22"/>
          <w:szCs w:val="22"/>
          <w:lang w:val="es-ES_tradnl"/>
        </w:rPr>
        <w:t>el EGCAP</w:t>
      </w:r>
      <w:r w:rsidR="00465B8B" w:rsidRPr="009D198D">
        <w:rPr>
          <w:rFonts w:ascii="Arial" w:hAnsi="Arial" w:cs="Arial"/>
          <w:bCs/>
          <w:sz w:val="22"/>
          <w:szCs w:val="22"/>
          <w:lang w:val="es-ES_tradnl"/>
        </w:rPr>
        <w:t xml:space="preserve"> y su desarrollo ha sido eminentemente jurisprudencial y doctrinario. A este respecto, </w:t>
      </w:r>
      <w:r w:rsidR="001F6089" w:rsidRPr="009D198D">
        <w:rPr>
          <w:rFonts w:ascii="Arial" w:hAnsi="Arial" w:cs="Arial"/>
          <w:bCs/>
          <w:sz w:val="22"/>
          <w:szCs w:val="22"/>
          <w:lang w:val="es-ES_tradnl"/>
        </w:rPr>
        <w:t>el Consejo de Estado</w:t>
      </w:r>
      <w:r w:rsidR="00465B8B" w:rsidRPr="009D198D">
        <w:rPr>
          <w:rFonts w:ascii="Arial" w:hAnsi="Arial" w:cs="Arial"/>
          <w:bCs/>
          <w:sz w:val="22"/>
          <w:szCs w:val="22"/>
          <w:lang w:val="es-ES_tradnl"/>
        </w:rPr>
        <w:t xml:space="preserve"> señala que </w:t>
      </w:r>
      <w:r w:rsidR="00E56A24" w:rsidRPr="009D198D">
        <w:rPr>
          <w:rFonts w:ascii="Arial" w:hAnsi="Arial" w:cs="Arial"/>
          <w:bCs/>
          <w:sz w:val="22"/>
          <w:szCs w:val="22"/>
          <w:lang w:val="es-ES_tradnl"/>
        </w:rPr>
        <w:t xml:space="preserve">la etapa </w:t>
      </w:r>
      <w:proofErr w:type="spellStart"/>
      <w:r w:rsidR="00E56A24" w:rsidRPr="009D198D">
        <w:rPr>
          <w:rFonts w:ascii="Arial" w:hAnsi="Arial" w:cs="Arial"/>
          <w:bCs/>
          <w:sz w:val="22"/>
          <w:szCs w:val="22"/>
          <w:lang w:val="es-ES_tradnl"/>
        </w:rPr>
        <w:t>postcontractual</w:t>
      </w:r>
      <w:proofErr w:type="spellEnd"/>
      <w:r w:rsidR="00465B8B" w:rsidRPr="009D198D">
        <w:rPr>
          <w:rFonts w:ascii="Arial" w:hAnsi="Arial" w:cs="Arial"/>
          <w:bCs/>
          <w:sz w:val="22"/>
          <w:szCs w:val="22"/>
          <w:lang w:val="es-ES_tradnl"/>
        </w:rPr>
        <w:t xml:space="preserve"> </w:t>
      </w:r>
      <w:r w:rsidR="005E112E" w:rsidRPr="009D198D">
        <w:rPr>
          <w:rFonts w:ascii="Arial" w:hAnsi="Arial" w:cs="Arial"/>
          <w:bCs/>
          <w:sz w:val="22"/>
          <w:szCs w:val="22"/>
          <w:lang w:val="es-ES_tradnl"/>
        </w:rPr>
        <w:t>«</w:t>
      </w:r>
      <w:r w:rsidR="00E56A24" w:rsidRPr="009D198D">
        <w:rPr>
          <w:rFonts w:ascii="Arial" w:hAnsi="Arial" w:cs="Arial"/>
          <w:bCs/>
          <w:sz w:val="22"/>
          <w:szCs w:val="22"/>
          <w:lang w:val="es-ES_tradnl"/>
        </w:rPr>
        <w:t xml:space="preserve">se compone de la liquidación del contrato y comprende el balance </w:t>
      </w:r>
      <w:r w:rsidR="00E56A24" w:rsidRPr="009D198D">
        <w:rPr>
          <w:rFonts w:ascii="Arial" w:hAnsi="Arial" w:cs="Arial"/>
          <w:bCs/>
          <w:sz w:val="22"/>
          <w:szCs w:val="22"/>
          <w:lang w:val="es-ES_tradnl"/>
        </w:rPr>
        <w:lastRenderedPageBreak/>
        <w:t>financiero y contable del mismo en donde se hace el corte final de cuentas teniendo como punto de partida su objeto, valor y demás condiciones de este</w:t>
      </w:r>
      <w:r w:rsidR="005E112E" w:rsidRPr="009D198D">
        <w:rPr>
          <w:rFonts w:ascii="Arial" w:hAnsi="Arial" w:cs="Arial"/>
          <w:bCs/>
          <w:sz w:val="22"/>
          <w:szCs w:val="22"/>
          <w:lang w:val="es-ES_tradnl"/>
        </w:rPr>
        <w:t>»</w:t>
      </w:r>
      <w:bookmarkEnd w:id="22"/>
      <w:r w:rsidR="005E112E" w:rsidRPr="009D198D">
        <w:rPr>
          <w:rFonts w:ascii="Arial" w:hAnsi="Arial" w:cs="Arial"/>
          <w:bCs/>
          <w:sz w:val="22"/>
          <w:szCs w:val="22"/>
          <w:vertAlign w:val="superscript"/>
          <w:lang w:val="es-ES_tradnl"/>
        </w:rPr>
        <w:footnoteReference w:id="38"/>
      </w:r>
      <w:r w:rsidR="00593B6A" w:rsidRPr="009D198D">
        <w:rPr>
          <w:rFonts w:ascii="Arial" w:hAnsi="Arial" w:cs="Arial"/>
          <w:bCs/>
          <w:sz w:val="22"/>
          <w:szCs w:val="22"/>
          <w:lang w:val="es-ES_tradnl"/>
        </w:rPr>
        <w:t>.</w:t>
      </w:r>
      <w:r w:rsidR="00E56A24" w:rsidRPr="009D198D">
        <w:rPr>
          <w:rFonts w:ascii="Arial" w:hAnsi="Arial" w:cs="Arial"/>
          <w:bCs/>
          <w:sz w:val="22"/>
          <w:szCs w:val="22"/>
          <w:vertAlign w:val="superscript"/>
          <w:lang w:val="es-ES_tradnl"/>
        </w:rPr>
        <w:t xml:space="preserve"> </w:t>
      </w:r>
    </w:p>
    <w:p w14:paraId="669970BB" w14:textId="1F7D7E03" w:rsidR="00742E4B" w:rsidRPr="009D198D" w:rsidRDefault="009F3B17" w:rsidP="00742E4B">
      <w:pPr>
        <w:spacing w:before="120" w:line="276" w:lineRule="auto"/>
        <w:ind w:firstLine="709"/>
        <w:jc w:val="both"/>
        <w:rPr>
          <w:rFonts w:ascii="Arial" w:hAnsi="Arial" w:cs="Arial"/>
          <w:bCs/>
          <w:sz w:val="22"/>
          <w:szCs w:val="22"/>
          <w:lang w:val="es-ES_tradnl" w:bidi="es-ES"/>
        </w:rPr>
      </w:pPr>
      <w:r w:rsidRPr="009D198D">
        <w:rPr>
          <w:rFonts w:ascii="Arial" w:hAnsi="Arial" w:cs="Arial"/>
          <w:bCs/>
          <w:sz w:val="22"/>
          <w:szCs w:val="22"/>
          <w:lang w:val="es-ES_tradnl"/>
        </w:rPr>
        <w:t>E</w:t>
      </w:r>
      <w:r w:rsidR="00742E4B" w:rsidRPr="009D198D">
        <w:rPr>
          <w:rFonts w:ascii="Arial" w:hAnsi="Arial" w:cs="Arial"/>
          <w:bCs/>
          <w:sz w:val="22"/>
          <w:szCs w:val="22"/>
          <w:lang w:val="es-ES_tradnl"/>
        </w:rPr>
        <w:t xml:space="preserve">l artículo 60 de la Ley 80 de 1993 </w:t>
      </w:r>
      <w:r w:rsidR="00742E4B" w:rsidRPr="009D198D">
        <w:rPr>
          <w:rFonts w:ascii="Arial" w:hAnsi="Arial" w:cs="Arial"/>
          <w:bCs/>
          <w:sz w:val="22"/>
          <w:szCs w:val="22"/>
          <w:lang w:val="es-ES_tradnl" w:bidi="es-ES"/>
        </w:rPr>
        <w:t>modificado por los artículos 32 de Ley 1150 de 2007 y 217 del Decreto 019 de 2012, dispone que los contratos de tracto sucesivo, aquellos en los que la ejecución o cumplimiento se prolongue en el tiempo y lo</w:t>
      </w:r>
      <w:r w:rsidR="009221B6" w:rsidRPr="009D198D">
        <w:rPr>
          <w:rFonts w:ascii="Arial" w:hAnsi="Arial" w:cs="Arial"/>
          <w:bCs/>
          <w:sz w:val="22"/>
          <w:szCs w:val="22"/>
          <w:lang w:val="es-ES_tradnl" w:bidi="es-ES"/>
        </w:rPr>
        <w:t xml:space="preserve">s </w:t>
      </w:r>
      <w:r w:rsidR="00742E4B" w:rsidRPr="009D198D">
        <w:rPr>
          <w:rFonts w:ascii="Arial" w:hAnsi="Arial" w:cs="Arial"/>
          <w:bCs/>
          <w:sz w:val="22"/>
          <w:szCs w:val="22"/>
          <w:lang w:val="es-ES_tradnl" w:bidi="es-ES"/>
        </w:rPr>
        <w:t>demás que así lo requieran, deberán liquidarse; mientras que los contratos de prestación de servicios profesionales y de apoyo a la gestión no es obligatorio que se liquiden</w:t>
      </w:r>
      <w:r w:rsidR="00742E4B" w:rsidRPr="009D198D">
        <w:rPr>
          <w:rFonts w:ascii="Arial" w:hAnsi="Arial" w:cs="Arial"/>
          <w:bCs/>
          <w:sz w:val="22"/>
          <w:szCs w:val="22"/>
          <w:vertAlign w:val="superscript"/>
          <w:lang w:val="es-ES_tradnl" w:bidi="es-ES"/>
        </w:rPr>
        <w:footnoteReference w:id="39"/>
      </w:r>
      <w:r w:rsidR="00742E4B" w:rsidRPr="009D198D">
        <w:rPr>
          <w:rFonts w:ascii="Arial" w:hAnsi="Arial" w:cs="Arial"/>
          <w:bCs/>
          <w:sz w:val="22"/>
          <w:szCs w:val="22"/>
          <w:lang w:val="es-ES_tradnl" w:bidi="es-ES"/>
        </w:rPr>
        <w:t>.</w:t>
      </w:r>
    </w:p>
    <w:p w14:paraId="2786A8CD" w14:textId="6E88517D" w:rsidR="00742E4B" w:rsidRPr="009D198D" w:rsidRDefault="00742E4B" w:rsidP="00742E4B">
      <w:pPr>
        <w:spacing w:before="120" w:line="276" w:lineRule="auto"/>
        <w:ind w:firstLine="709"/>
        <w:jc w:val="both"/>
        <w:rPr>
          <w:rFonts w:ascii="Arial" w:hAnsi="Arial" w:cs="Arial"/>
          <w:bCs/>
          <w:sz w:val="22"/>
          <w:szCs w:val="22"/>
          <w:lang w:val="es-ES_tradnl" w:bidi="es-ES"/>
        </w:rPr>
      </w:pPr>
      <w:r w:rsidRPr="009D198D">
        <w:rPr>
          <w:rFonts w:ascii="Arial" w:hAnsi="Arial" w:cs="Arial"/>
          <w:bCs/>
          <w:sz w:val="22"/>
          <w:szCs w:val="22"/>
          <w:lang w:val="es-ES_tradnl" w:bidi="es-ES"/>
        </w:rPr>
        <w:t>La liquidación de los contratos ha sido definida por la jurisprudencia como el balance económico, técnico y jurídico del cumplimiento de las obligaciones contractuales que las partes tienen o tenían a su cargo. En este sentido, «la liquidación final del contrato tiene como objetivo principal, que las partes definan sus cuentas, que definan en qué estado quedan después de cumplida la ejecución de aquel»</w:t>
      </w:r>
      <w:r w:rsidRPr="009D198D">
        <w:rPr>
          <w:rFonts w:ascii="Arial" w:hAnsi="Arial" w:cs="Arial"/>
          <w:bCs/>
          <w:sz w:val="22"/>
          <w:szCs w:val="22"/>
          <w:vertAlign w:val="superscript"/>
          <w:lang w:val="es-ES_tradnl" w:bidi="es-ES"/>
        </w:rPr>
        <w:footnoteReference w:id="40"/>
      </w:r>
      <w:r w:rsidR="009D0BC4" w:rsidRPr="009D198D">
        <w:rPr>
          <w:rFonts w:ascii="Arial" w:hAnsi="Arial" w:cs="Arial"/>
          <w:bCs/>
          <w:sz w:val="22"/>
          <w:szCs w:val="22"/>
          <w:lang w:val="es-ES_tradnl" w:bidi="es-ES"/>
        </w:rPr>
        <w:t>.</w:t>
      </w:r>
    </w:p>
    <w:p w14:paraId="74068567" w14:textId="77777777" w:rsidR="00742E4B" w:rsidRPr="009D198D" w:rsidRDefault="00742E4B" w:rsidP="00742E4B">
      <w:pPr>
        <w:spacing w:before="120" w:line="276" w:lineRule="auto"/>
        <w:ind w:firstLine="709"/>
        <w:jc w:val="both"/>
        <w:rPr>
          <w:rFonts w:ascii="Arial" w:hAnsi="Arial" w:cs="Arial"/>
          <w:bCs/>
          <w:sz w:val="22"/>
          <w:szCs w:val="22"/>
          <w:lang w:val="es-ES_tradnl" w:bidi="es-ES"/>
        </w:rPr>
      </w:pPr>
      <w:r w:rsidRPr="009D198D">
        <w:rPr>
          <w:rFonts w:ascii="Arial" w:hAnsi="Arial" w:cs="Arial"/>
          <w:bCs/>
          <w:sz w:val="22"/>
          <w:szCs w:val="22"/>
          <w:lang w:val="es-ES_tradnl" w:bidi="es-ES"/>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en cuanto a lo segundo dará cuenta del comportamiento financiero del negocio: recursos recibidos, pagos efectuados, estado del crédito o de la deuda de cada parte, entre otros detalles mínimos y necesarios para finiquitar una relación jurídica contractual.</w:t>
      </w:r>
    </w:p>
    <w:p w14:paraId="4B2959E5" w14:textId="7C5D2494" w:rsidR="00DD6DF8" w:rsidRPr="009D198D" w:rsidRDefault="00DD6DF8" w:rsidP="00A32186">
      <w:pPr>
        <w:spacing w:before="120" w:line="276" w:lineRule="auto"/>
        <w:ind w:firstLine="708"/>
        <w:jc w:val="both"/>
        <w:rPr>
          <w:rFonts w:ascii="Arial" w:hAnsi="Arial" w:cs="Arial"/>
          <w:bCs/>
          <w:sz w:val="22"/>
          <w:szCs w:val="22"/>
          <w:lang w:val="es-ES_tradnl"/>
        </w:rPr>
      </w:pPr>
      <w:r w:rsidRPr="009D198D">
        <w:rPr>
          <w:rFonts w:ascii="Arial" w:hAnsi="Arial" w:cs="Arial"/>
          <w:bCs/>
          <w:sz w:val="22"/>
          <w:szCs w:val="22"/>
          <w:lang w:val="es-ES_tradnl"/>
        </w:rPr>
        <w:t xml:space="preserve">En este contexto, la liquidación bilateral es un negocio jurídico, en el que las partes del contrato estatal, en ejercicio de la autonomía de la voluntad, regulan la finalización de su relación y disponen de los intereses que emanan de ella. Asimismo, tiene efectos transaccionales, puesto que las declaraciones y expresiones incorporadas en la correspondiente acta son reconocidas y protegidas por el ordenamiento jurídico, siempre y </w:t>
      </w:r>
      <w:r w:rsidRPr="009D198D">
        <w:rPr>
          <w:rFonts w:ascii="Arial" w:hAnsi="Arial" w:cs="Arial"/>
          <w:bCs/>
          <w:sz w:val="22"/>
          <w:szCs w:val="22"/>
          <w:lang w:val="es-ES_tradnl"/>
        </w:rPr>
        <w:lastRenderedPageBreak/>
        <w:t xml:space="preserve">cuando no sean contrarias a la Constitución Política, la ley, el orden público, la moral y las buenas costumbres, y los principios y finalidades del Estatuto General de la Contratación de la Administración Pública y de la buena administración. En tal sentido, para efectos de la consulta, vale aclarar que la liquidación bilateral no </w:t>
      </w:r>
      <w:r w:rsidRPr="009D198D">
        <w:rPr>
          <w:rFonts w:ascii="Arial" w:eastAsia="Calibri" w:hAnsi="Arial" w:cs="Arial"/>
          <w:sz w:val="22"/>
          <w:szCs w:val="22"/>
          <w:lang w:val="es-ES_tradnl" w:eastAsia="en-US"/>
        </w:rPr>
        <w:t>es un acto administrativo, en la medida en que no es una manifestación unilateral de la administración sino un acuerdo de voluntades de las partes contratantes</w:t>
      </w:r>
      <w:r w:rsidR="00EF18CC" w:rsidRPr="009D198D">
        <w:rPr>
          <w:rFonts w:ascii="Arial" w:eastAsia="Calibri" w:hAnsi="Arial" w:cs="Arial"/>
          <w:sz w:val="22"/>
          <w:szCs w:val="22"/>
          <w:lang w:val="es-ES_tradnl" w:eastAsia="en-US"/>
        </w:rPr>
        <w:t>.</w:t>
      </w:r>
    </w:p>
    <w:p w14:paraId="76CD4955" w14:textId="0D117526" w:rsidR="006D0332" w:rsidRPr="009D198D" w:rsidRDefault="006D0332" w:rsidP="00F946A7">
      <w:pPr>
        <w:spacing w:before="120" w:line="276" w:lineRule="auto"/>
        <w:ind w:firstLine="708"/>
        <w:jc w:val="both"/>
        <w:rPr>
          <w:rFonts w:ascii="Arial" w:hAnsi="Arial" w:cs="Arial"/>
          <w:bCs/>
          <w:sz w:val="22"/>
          <w:lang w:val="es-MX"/>
        </w:rPr>
      </w:pPr>
      <w:r w:rsidRPr="009D198D">
        <w:rPr>
          <w:rFonts w:ascii="Arial" w:hAnsi="Arial" w:cs="Arial"/>
          <w:bCs/>
          <w:sz w:val="22"/>
          <w:lang w:val="es-ES_tradnl"/>
        </w:rPr>
        <w:t xml:space="preserve">Por su parte, </w:t>
      </w:r>
      <w:r w:rsidRPr="009D198D">
        <w:rPr>
          <w:rFonts w:ascii="Arial" w:hAnsi="Arial" w:cs="Arial"/>
          <w:bCs/>
          <w:sz w:val="22"/>
        </w:rPr>
        <w:t xml:space="preserve">de acuerdo con el artículo </w:t>
      </w:r>
      <w:r w:rsidRPr="009D198D">
        <w:rPr>
          <w:rFonts w:ascii="Arial" w:hAnsi="Arial" w:cs="Arial"/>
          <w:bCs/>
          <w:sz w:val="22"/>
          <w:lang w:val="es-MX"/>
        </w:rPr>
        <w:t xml:space="preserve">2.2.1.1.2.4.3 del Decreto 1082 de 2015, el cierre del expediente del proceso de contratación es un acto de trámite </w:t>
      </w:r>
      <w:r w:rsidR="002C2516" w:rsidRPr="009D198D">
        <w:rPr>
          <w:rFonts w:ascii="Arial" w:hAnsi="Arial" w:cs="Arial"/>
          <w:bCs/>
          <w:sz w:val="22"/>
          <w:lang w:val="es-MX"/>
        </w:rPr>
        <w:t xml:space="preserve">propio </w:t>
      </w:r>
      <w:proofErr w:type="gramStart"/>
      <w:r w:rsidR="002C2516" w:rsidRPr="009D198D">
        <w:rPr>
          <w:rFonts w:ascii="Arial" w:hAnsi="Arial" w:cs="Arial"/>
          <w:bCs/>
          <w:sz w:val="22"/>
          <w:lang w:val="es-MX"/>
        </w:rPr>
        <w:t xml:space="preserve">de </w:t>
      </w:r>
      <w:r w:rsidRPr="009D198D">
        <w:rPr>
          <w:rFonts w:ascii="Arial" w:hAnsi="Arial" w:cs="Arial"/>
          <w:bCs/>
          <w:sz w:val="22"/>
          <w:lang w:val="es-MX"/>
        </w:rPr>
        <w:t xml:space="preserve"> los</w:t>
      </w:r>
      <w:proofErr w:type="gramEnd"/>
      <w:r w:rsidRPr="009D198D">
        <w:rPr>
          <w:rFonts w:ascii="Arial" w:hAnsi="Arial" w:cs="Arial"/>
          <w:bCs/>
          <w:sz w:val="22"/>
          <w:lang w:val="es-MX"/>
        </w:rPr>
        <w:t xml:space="preserve"> contratos estatales en los que se hayan pactado garantías de calidad, estabilidad o mantenimiento, o cuando la entidad establezca condiciones de disposición final o recuperación ambiental de las obras o bienes contratados. Una vez cumplidas tales condiciones se deberá realizar el acto de trámite correspondiente, dejando constancia del cierre del expediente contractual. Cabe resaltar que, el deber </w:t>
      </w:r>
      <w:r w:rsidR="00936D53" w:rsidRPr="009D198D">
        <w:rPr>
          <w:rFonts w:ascii="Arial" w:hAnsi="Arial" w:cs="Arial"/>
          <w:bCs/>
          <w:sz w:val="22"/>
          <w:lang w:val="es-MX"/>
        </w:rPr>
        <w:t xml:space="preserve">de </w:t>
      </w:r>
      <w:r w:rsidRPr="009D198D">
        <w:rPr>
          <w:rFonts w:ascii="Arial" w:hAnsi="Arial" w:cs="Arial"/>
          <w:bCs/>
          <w:sz w:val="22"/>
          <w:lang w:val="es-MX"/>
        </w:rPr>
        <w:t xml:space="preserve">cerrar el expediente cuando vencen las </w:t>
      </w:r>
      <w:proofErr w:type="gramStart"/>
      <w:r w:rsidRPr="009D198D">
        <w:rPr>
          <w:rFonts w:ascii="Arial" w:hAnsi="Arial" w:cs="Arial"/>
          <w:bCs/>
          <w:sz w:val="22"/>
          <w:lang w:val="es-MX"/>
        </w:rPr>
        <w:t>garantías,</w:t>
      </w:r>
      <w:proofErr w:type="gramEnd"/>
      <w:r w:rsidRPr="009D198D">
        <w:rPr>
          <w:rFonts w:ascii="Arial" w:hAnsi="Arial" w:cs="Arial"/>
          <w:bCs/>
          <w:sz w:val="22"/>
          <w:lang w:val="es-MX"/>
        </w:rPr>
        <w:t xml:space="preserve"> procede únicamente cuando se vencen las garantías aludidas por el artículo 2.2.1.1.2.4.3 del Decreto 1082 de 2015, esto es, las de calidad, estabilidad y mantenimiento. Sin embargo, si una vez vencidas estas siguen vigentes otras garantías como, por ejemplo, la de pago de salarios y prestaciones sociales, nada obsta para que la entidad proceda a realizar el cierre dejando constancia de este hecho, como una buena práctica contractual.</w:t>
      </w:r>
      <w:r w:rsidR="00DD6C14" w:rsidRPr="009D198D">
        <w:rPr>
          <w:rFonts w:ascii="Arial" w:hAnsi="Arial" w:cs="Arial"/>
          <w:bCs/>
          <w:sz w:val="22"/>
          <w:lang w:val="es-MX"/>
        </w:rPr>
        <w:t xml:space="preserve"> De este modo, el cierre del expediente no es obligatorio en todos los contratos estatales, por lo que </w:t>
      </w:r>
      <w:r w:rsidR="00901515" w:rsidRPr="009D198D">
        <w:rPr>
          <w:rFonts w:ascii="Arial" w:hAnsi="Arial" w:cs="Arial"/>
          <w:bCs/>
          <w:sz w:val="22"/>
          <w:lang w:val="es-MX"/>
        </w:rPr>
        <w:t xml:space="preserve">no </w:t>
      </w:r>
      <w:r w:rsidR="00203163" w:rsidRPr="009D198D">
        <w:rPr>
          <w:rFonts w:ascii="Arial" w:hAnsi="Arial" w:cs="Arial"/>
          <w:bCs/>
          <w:sz w:val="22"/>
          <w:lang w:val="es-MX"/>
        </w:rPr>
        <w:t xml:space="preserve">puede considerarse como </w:t>
      </w:r>
      <w:r w:rsidR="00901515" w:rsidRPr="009D198D">
        <w:rPr>
          <w:rFonts w:ascii="Arial" w:hAnsi="Arial" w:cs="Arial"/>
          <w:bCs/>
          <w:sz w:val="22"/>
          <w:lang w:val="es-MX"/>
        </w:rPr>
        <w:t>un</w:t>
      </w:r>
      <w:r w:rsidR="00241E2F" w:rsidRPr="009D198D">
        <w:rPr>
          <w:rFonts w:ascii="Arial" w:hAnsi="Arial" w:cs="Arial"/>
          <w:bCs/>
          <w:sz w:val="22"/>
          <w:lang w:val="es-MX"/>
        </w:rPr>
        <w:t xml:space="preserve"> acto</w:t>
      </w:r>
      <w:r w:rsidR="00901515" w:rsidRPr="009D198D">
        <w:rPr>
          <w:rFonts w:ascii="Arial" w:hAnsi="Arial" w:cs="Arial"/>
          <w:bCs/>
          <w:sz w:val="22"/>
          <w:lang w:val="es-MX"/>
        </w:rPr>
        <w:t xml:space="preserve"> </w:t>
      </w:r>
      <w:r w:rsidR="00DD379A" w:rsidRPr="009D198D">
        <w:rPr>
          <w:rFonts w:ascii="Arial" w:hAnsi="Arial" w:cs="Arial"/>
          <w:bCs/>
          <w:sz w:val="22"/>
          <w:lang w:val="es-MX"/>
        </w:rPr>
        <w:t>generalizad</w:t>
      </w:r>
      <w:r w:rsidR="00241E2F" w:rsidRPr="009D198D">
        <w:rPr>
          <w:rFonts w:ascii="Arial" w:hAnsi="Arial" w:cs="Arial"/>
          <w:bCs/>
          <w:sz w:val="22"/>
          <w:lang w:val="es-MX"/>
        </w:rPr>
        <w:t>o</w:t>
      </w:r>
      <w:r w:rsidR="00DD379A" w:rsidRPr="009D198D">
        <w:rPr>
          <w:rFonts w:ascii="Arial" w:hAnsi="Arial" w:cs="Arial"/>
          <w:bCs/>
          <w:sz w:val="22"/>
          <w:lang w:val="es-MX"/>
        </w:rPr>
        <w:t xml:space="preserve"> </w:t>
      </w:r>
      <w:r w:rsidR="00241E2F" w:rsidRPr="009D198D">
        <w:rPr>
          <w:rFonts w:ascii="Arial" w:hAnsi="Arial" w:cs="Arial"/>
          <w:bCs/>
          <w:sz w:val="22"/>
          <w:lang w:val="es-MX"/>
        </w:rPr>
        <w:t xml:space="preserve">que finalice </w:t>
      </w:r>
      <w:r w:rsidR="00F946A7" w:rsidRPr="009D198D">
        <w:rPr>
          <w:rFonts w:ascii="Arial" w:hAnsi="Arial" w:cs="Arial"/>
          <w:bCs/>
          <w:sz w:val="22"/>
          <w:lang w:val="es-MX"/>
        </w:rPr>
        <w:t xml:space="preserve">el </w:t>
      </w:r>
      <w:r w:rsidR="00241E2F" w:rsidRPr="009D198D">
        <w:rPr>
          <w:rFonts w:ascii="Arial" w:hAnsi="Arial" w:cs="Arial"/>
          <w:bCs/>
          <w:sz w:val="22"/>
          <w:lang w:val="es-MX"/>
        </w:rPr>
        <w:t>proceso de contratación.</w:t>
      </w:r>
    </w:p>
    <w:p w14:paraId="5935A26E" w14:textId="77777777" w:rsidR="006D0332" w:rsidRPr="009D198D" w:rsidRDefault="006D0332" w:rsidP="00984375">
      <w:pPr>
        <w:spacing w:line="276" w:lineRule="auto"/>
        <w:ind w:firstLine="709"/>
        <w:jc w:val="both"/>
        <w:rPr>
          <w:rFonts w:ascii="Arial" w:hAnsi="Arial" w:cs="Arial"/>
          <w:bCs/>
          <w:sz w:val="22"/>
          <w:lang w:val="es-MX"/>
        </w:rPr>
      </w:pPr>
    </w:p>
    <w:p w14:paraId="2132E34F" w14:textId="28EB3F45" w:rsidR="00881881" w:rsidRPr="009D198D" w:rsidRDefault="00C475BA" w:rsidP="006D0332">
      <w:pPr>
        <w:spacing w:line="276" w:lineRule="auto"/>
        <w:jc w:val="both"/>
        <w:rPr>
          <w:rFonts w:ascii="Arial" w:eastAsia="Calibri" w:hAnsi="Arial" w:cs="Arial"/>
          <w:b/>
          <w:bCs/>
          <w:sz w:val="22"/>
          <w:szCs w:val="22"/>
          <w:lang w:val="es-ES_tradnl"/>
        </w:rPr>
      </w:pPr>
      <w:r w:rsidRPr="009D198D">
        <w:rPr>
          <w:rFonts w:ascii="Arial" w:eastAsia="Calibri" w:hAnsi="Arial" w:cs="Arial"/>
          <w:b/>
          <w:bCs/>
          <w:sz w:val="22"/>
          <w:szCs w:val="22"/>
          <w:lang w:val="es-ES_tradnl"/>
        </w:rPr>
        <w:t>2.</w:t>
      </w:r>
      <w:r w:rsidR="002E2D4B" w:rsidRPr="009D198D">
        <w:rPr>
          <w:rFonts w:ascii="Arial" w:eastAsia="Calibri" w:hAnsi="Arial" w:cs="Arial"/>
          <w:b/>
          <w:bCs/>
          <w:sz w:val="22"/>
          <w:szCs w:val="22"/>
          <w:lang w:val="es-ES_tradnl"/>
        </w:rPr>
        <w:t>4</w:t>
      </w:r>
      <w:r w:rsidR="00881881" w:rsidRPr="009D198D">
        <w:rPr>
          <w:rFonts w:ascii="Arial" w:eastAsia="Calibri" w:hAnsi="Arial" w:cs="Arial"/>
          <w:b/>
          <w:bCs/>
          <w:sz w:val="22"/>
          <w:szCs w:val="22"/>
          <w:lang w:val="es-ES_tradnl"/>
        </w:rPr>
        <w:t xml:space="preserve">. </w:t>
      </w:r>
      <w:r w:rsidR="002E2D4B" w:rsidRPr="009D198D">
        <w:rPr>
          <w:rFonts w:ascii="Arial" w:eastAsia="Calibri" w:hAnsi="Arial" w:cs="Arial"/>
          <w:b/>
          <w:bCs/>
          <w:sz w:val="22"/>
          <w:szCs w:val="22"/>
          <w:lang w:val="es-ES_tradnl"/>
        </w:rPr>
        <w:t xml:space="preserve">Convocatorias limitadas a </w:t>
      </w:r>
      <w:proofErr w:type="spellStart"/>
      <w:r w:rsidR="002E2D4B" w:rsidRPr="009D198D">
        <w:rPr>
          <w:rFonts w:ascii="Arial" w:eastAsia="Calibri" w:hAnsi="Arial" w:cs="Arial"/>
          <w:b/>
          <w:bCs/>
          <w:sz w:val="22"/>
          <w:szCs w:val="22"/>
          <w:lang w:val="es-ES_tradnl"/>
        </w:rPr>
        <w:t>Mipyme</w:t>
      </w:r>
      <w:proofErr w:type="spellEnd"/>
      <w:r w:rsidR="002E2D4B" w:rsidRPr="009D198D">
        <w:rPr>
          <w:rFonts w:ascii="Arial" w:eastAsia="Calibri" w:hAnsi="Arial" w:cs="Arial"/>
          <w:b/>
          <w:bCs/>
          <w:sz w:val="22"/>
          <w:szCs w:val="22"/>
          <w:lang w:val="es-ES_tradnl"/>
        </w:rPr>
        <w:t xml:space="preserve"> en el artículo 34 de la Ley 2069 de 2020</w:t>
      </w:r>
    </w:p>
    <w:p w14:paraId="18132C5E" w14:textId="77777777" w:rsidR="00881881" w:rsidRPr="009D198D" w:rsidRDefault="00881881" w:rsidP="00C475BA">
      <w:pPr>
        <w:spacing w:line="276" w:lineRule="auto"/>
        <w:jc w:val="both"/>
        <w:rPr>
          <w:rFonts w:ascii="Arial" w:eastAsia="Calibri" w:hAnsi="Arial" w:cs="Arial"/>
          <w:b/>
          <w:bCs/>
          <w:sz w:val="22"/>
          <w:szCs w:val="22"/>
          <w:lang w:val="es-ES_tradnl"/>
        </w:rPr>
      </w:pPr>
    </w:p>
    <w:p w14:paraId="2E190C03" w14:textId="2F5BA657" w:rsidR="00C475BA" w:rsidRPr="009D198D" w:rsidRDefault="002E2D4B" w:rsidP="00C475BA">
      <w:pPr>
        <w:spacing w:line="276" w:lineRule="auto"/>
        <w:jc w:val="both"/>
        <w:rPr>
          <w:rFonts w:ascii="Arial" w:eastAsia="Calibri" w:hAnsi="Arial" w:cs="Arial"/>
          <w:b/>
          <w:bCs/>
          <w:sz w:val="22"/>
          <w:szCs w:val="22"/>
          <w:lang w:val="es-ES_tradnl"/>
        </w:rPr>
      </w:pPr>
      <w:r w:rsidRPr="009D198D">
        <w:rPr>
          <w:rFonts w:ascii="Arial" w:eastAsia="Calibri" w:hAnsi="Arial" w:cs="Arial"/>
          <w:b/>
          <w:bCs/>
          <w:sz w:val="22"/>
          <w:szCs w:val="22"/>
          <w:lang w:val="es-ES_tradnl"/>
        </w:rPr>
        <w:t>2.4.1</w:t>
      </w:r>
      <w:r w:rsidR="00C475BA" w:rsidRPr="009D198D">
        <w:rPr>
          <w:rFonts w:ascii="Arial" w:eastAsia="Calibri" w:hAnsi="Arial" w:cs="Arial"/>
          <w:b/>
          <w:bCs/>
          <w:sz w:val="22"/>
          <w:szCs w:val="22"/>
          <w:lang w:val="es-ES_tradnl"/>
        </w:rPr>
        <w:t xml:space="preserve"> Vigencia y ámbito de aplicación de la Ley 2069 de 2020</w:t>
      </w:r>
    </w:p>
    <w:p w14:paraId="11EE8F02" w14:textId="77777777" w:rsidR="00C475BA" w:rsidRPr="009D198D" w:rsidRDefault="00C475BA" w:rsidP="00C475BA">
      <w:pPr>
        <w:spacing w:line="276" w:lineRule="auto"/>
        <w:jc w:val="both"/>
        <w:rPr>
          <w:rFonts w:ascii="Arial" w:eastAsia="Calibri" w:hAnsi="Arial" w:cs="Arial"/>
          <w:sz w:val="22"/>
          <w:szCs w:val="22"/>
          <w:lang w:val="es-ES_tradnl"/>
        </w:rPr>
      </w:pPr>
    </w:p>
    <w:p w14:paraId="07F0F0E2" w14:textId="4BEC2FAF" w:rsidR="00C475BA" w:rsidRPr="009D198D" w:rsidRDefault="00C475BA" w:rsidP="00C475BA">
      <w:pPr>
        <w:spacing w:line="276" w:lineRule="auto"/>
        <w:jc w:val="both"/>
        <w:rPr>
          <w:rFonts w:ascii="Arial" w:eastAsia="Calibri" w:hAnsi="Arial" w:cs="Arial"/>
          <w:sz w:val="22"/>
          <w:szCs w:val="22"/>
          <w:lang w:val="es-ES_tradnl"/>
        </w:rPr>
      </w:pPr>
      <w:r w:rsidRPr="009D198D">
        <w:rPr>
          <w:rFonts w:ascii="Arial" w:eastAsia="Calibri" w:hAnsi="Arial" w:cs="Arial"/>
          <w:sz w:val="22"/>
          <w:szCs w:val="22"/>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D17BB3" w:rsidRPr="009D198D">
        <w:rPr>
          <w:rFonts w:ascii="Arial" w:eastAsia="Calibri" w:hAnsi="Arial" w:cs="Arial"/>
          <w:sz w:val="22"/>
          <w:szCs w:val="22"/>
          <w:lang w:val="es-ES_tradnl"/>
        </w:rPr>
        <w:t xml:space="preserve">, </w:t>
      </w:r>
      <w:r w:rsidR="00D17BB3" w:rsidRPr="009D198D">
        <w:rPr>
          <w:rFonts w:ascii="Arial" w:eastAsia="Calibri" w:hAnsi="Arial" w:cs="Arial"/>
          <w:color w:val="000000" w:themeColor="text1"/>
          <w:sz w:val="22"/>
          <w:szCs w:val="22"/>
          <w:lang w:val="es-ES_tradnl"/>
        </w:rPr>
        <w:t>tal como aconteció con el Decreto 1860 de 2021, al cual se hará referencia más adelante</w:t>
      </w:r>
      <w:r w:rsidRPr="009D198D">
        <w:rPr>
          <w:rFonts w:ascii="Arial" w:eastAsia="Calibri" w:hAnsi="Arial" w:cs="Arial"/>
          <w:sz w:val="22"/>
          <w:szCs w:val="22"/>
          <w:lang w:val="es-ES_tradnl"/>
        </w:rPr>
        <w:t>.</w:t>
      </w:r>
    </w:p>
    <w:p w14:paraId="4155C792"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9D198D">
        <w:rPr>
          <w:rFonts w:ascii="Arial" w:eastAsia="Calibri" w:hAnsi="Arial" w:cs="Arial"/>
          <w:sz w:val="22"/>
          <w:szCs w:val="22"/>
          <w:lang w:val="es-ES_tradnl"/>
        </w:rPr>
        <w:t>Mipyme</w:t>
      </w:r>
      <w:proofErr w:type="spellEnd"/>
      <w:r w:rsidRPr="009D198D">
        <w:rPr>
          <w:rFonts w:ascii="Arial" w:eastAsia="Calibri" w:hAnsi="Arial" w:cs="Arial"/>
          <w:sz w:val="22"/>
          <w:szCs w:val="22"/>
          <w:lang w:val="es-ES_tradnl"/>
        </w:rPr>
        <w:t xml:space="preserve">–, mediante la </w:t>
      </w:r>
      <w:r w:rsidRPr="009D198D">
        <w:rPr>
          <w:rFonts w:ascii="Arial" w:eastAsia="Calibri" w:hAnsi="Arial" w:cs="Arial"/>
          <w:sz w:val="22"/>
          <w:szCs w:val="22"/>
          <w:lang w:val="es-ES_tradnl"/>
        </w:rPr>
        <w:lastRenderedPageBreak/>
        <w:t>racionalización y simplificación de los trámites y tarifas</w:t>
      </w:r>
      <w:r w:rsidRPr="009D198D">
        <w:rPr>
          <w:rStyle w:val="Refdenotaalpie"/>
          <w:rFonts w:ascii="Arial" w:eastAsia="Calibri" w:hAnsi="Arial" w:cs="Arial"/>
          <w:sz w:val="22"/>
          <w:szCs w:val="22"/>
          <w:lang w:val="es-ES_tradnl"/>
        </w:rPr>
        <w:footnoteReference w:id="41"/>
      </w:r>
      <w:r w:rsidRPr="009D198D">
        <w:rPr>
          <w:rFonts w:ascii="Arial" w:eastAsia="Calibri" w:hAnsi="Arial" w:cs="Arial"/>
          <w:sz w:val="22"/>
          <w:szCs w:val="22"/>
          <w:lang w:val="es-ES_tradnl"/>
        </w:rPr>
        <w:t>, así como incentivos a favor de aquellas dentro del sistema de compras y contratación pública</w:t>
      </w:r>
      <w:r w:rsidRPr="009D198D">
        <w:rPr>
          <w:rStyle w:val="Refdenotaalpie"/>
          <w:rFonts w:ascii="Arial" w:eastAsia="Calibri" w:hAnsi="Arial" w:cs="Arial"/>
          <w:sz w:val="22"/>
          <w:szCs w:val="22"/>
          <w:lang w:val="es-ES_tradnl"/>
        </w:rPr>
        <w:footnoteReference w:id="42"/>
      </w:r>
      <w:r w:rsidRPr="009D198D">
        <w:rPr>
          <w:rFonts w:ascii="Arial" w:eastAsia="Calibri" w:hAnsi="Arial" w:cs="Arial"/>
          <w:sz w:val="22"/>
          <w:szCs w:val="22"/>
          <w:lang w:val="es-ES_tradnl"/>
        </w:rPr>
        <w:t>. De igual forma, se consagran mecanismos de acceso al financiamiento</w:t>
      </w:r>
      <w:r w:rsidRPr="009D198D">
        <w:rPr>
          <w:rStyle w:val="Refdenotaalpie"/>
          <w:rFonts w:ascii="Arial" w:eastAsia="Calibri" w:hAnsi="Arial" w:cs="Arial"/>
          <w:sz w:val="22"/>
          <w:szCs w:val="22"/>
          <w:lang w:val="es-ES_tradnl"/>
        </w:rPr>
        <w:footnoteReference w:id="43"/>
      </w:r>
      <w:r w:rsidRPr="009D198D">
        <w:rPr>
          <w:rFonts w:ascii="Arial" w:eastAsia="Calibri" w:hAnsi="Arial" w:cs="Arial"/>
          <w:sz w:val="22"/>
          <w:szCs w:val="22"/>
          <w:lang w:val="es-ES_tradnl"/>
        </w:rPr>
        <w:t>, se unifican las fuentes de emprendimiento y de desarrollo empresarial, para fortalecer y promover los distintos sectores de la economía</w:t>
      </w:r>
      <w:r w:rsidRPr="009D198D">
        <w:rPr>
          <w:rStyle w:val="Refdenotaalpie"/>
          <w:rFonts w:ascii="Arial" w:eastAsia="Calibri" w:hAnsi="Arial" w:cs="Arial"/>
          <w:sz w:val="22"/>
          <w:szCs w:val="22"/>
          <w:lang w:val="es-ES_tradnl"/>
        </w:rPr>
        <w:footnoteReference w:id="44"/>
      </w:r>
      <w:r w:rsidRPr="009D198D">
        <w:rPr>
          <w:rFonts w:ascii="Arial" w:eastAsia="Calibri" w:hAnsi="Arial" w:cs="Arial"/>
          <w:sz w:val="22"/>
          <w:szCs w:val="22"/>
          <w:lang w:val="es-ES_tradnl"/>
        </w:rPr>
        <w:t xml:space="preserve"> y se prevén medidas de educación para el emprendimiento y la innovación</w:t>
      </w:r>
      <w:r w:rsidRPr="009D198D">
        <w:rPr>
          <w:rStyle w:val="Refdenotaalpie"/>
          <w:rFonts w:ascii="Arial" w:eastAsia="Calibri" w:hAnsi="Arial" w:cs="Arial"/>
          <w:sz w:val="22"/>
          <w:szCs w:val="22"/>
          <w:lang w:val="es-ES_tradnl"/>
        </w:rPr>
        <w:footnoteReference w:id="45"/>
      </w:r>
      <w:r w:rsidRPr="009D198D">
        <w:rPr>
          <w:rFonts w:ascii="Arial" w:eastAsia="Calibri" w:hAnsi="Arial" w:cs="Arial"/>
          <w:sz w:val="22"/>
          <w:szCs w:val="22"/>
          <w:lang w:val="es-ES_tradnl"/>
        </w:rPr>
        <w:t>.</w:t>
      </w:r>
    </w:p>
    <w:p w14:paraId="12D61218" w14:textId="28A4508F"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D198D">
        <w:rPr>
          <w:rFonts w:ascii="Arial" w:eastAsia="Calibri" w:hAnsi="Arial" w:cs="Arial"/>
          <w:sz w:val="22"/>
          <w:szCs w:val="22"/>
          <w:lang w:val="es-ES_tradnl"/>
        </w:rPr>
        <w:t>Mipyme</w:t>
      </w:r>
      <w:proofErr w:type="spellEnd"/>
      <w:r w:rsidRPr="009D198D">
        <w:rPr>
          <w:rFonts w:ascii="Arial" w:eastAsia="Calibri" w:hAnsi="Arial" w:cs="Arial"/>
          <w:sz w:val="22"/>
          <w:szCs w:val="22"/>
          <w:lang w:val="es-ES_tradnl"/>
        </w:rPr>
        <w:t xml:space="preserve"> en el procedimiento de mínima cuantía, </w:t>
      </w:r>
      <w:proofErr w:type="spellStart"/>
      <w:r w:rsidRPr="009D198D">
        <w:rPr>
          <w:rFonts w:ascii="Arial" w:eastAsia="Calibri" w:hAnsi="Arial" w:cs="Arial"/>
          <w:sz w:val="22"/>
          <w:szCs w:val="22"/>
          <w:lang w:val="es-ES_tradnl"/>
        </w:rPr>
        <w:t>ii</w:t>
      </w:r>
      <w:proofErr w:type="spellEnd"/>
      <w:r w:rsidRPr="009D198D">
        <w:rPr>
          <w:rFonts w:ascii="Arial" w:eastAsia="Calibri" w:hAnsi="Arial" w:cs="Arial"/>
          <w:sz w:val="22"/>
          <w:szCs w:val="22"/>
          <w:lang w:val="es-ES_tradnl"/>
        </w:rPr>
        <w:t xml:space="preserve">) criterios diferenciales para </w:t>
      </w:r>
      <w:proofErr w:type="spellStart"/>
      <w:r w:rsidRPr="009D198D">
        <w:rPr>
          <w:rFonts w:ascii="Arial" w:eastAsia="Calibri" w:hAnsi="Arial" w:cs="Arial"/>
          <w:sz w:val="22"/>
          <w:szCs w:val="22"/>
          <w:lang w:val="es-ES_tradnl"/>
        </w:rPr>
        <w:t>Mipyme</w:t>
      </w:r>
      <w:proofErr w:type="spellEnd"/>
      <w:r w:rsidRPr="009D198D">
        <w:rPr>
          <w:rFonts w:ascii="Arial" w:eastAsia="Calibri" w:hAnsi="Arial" w:cs="Arial"/>
          <w:sz w:val="22"/>
          <w:szCs w:val="22"/>
          <w:lang w:val="es-ES_tradnl"/>
        </w:rPr>
        <w:t xml:space="preserve"> en el sistema de compras públicas, </w:t>
      </w:r>
      <w:proofErr w:type="spellStart"/>
      <w:r w:rsidRPr="009D198D">
        <w:rPr>
          <w:rFonts w:ascii="Arial" w:eastAsia="Calibri" w:hAnsi="Arial" w:cs="Arial"/>
          <w:sz w:val="22"/>
          <w:szCs w:val="22"/>
          <w:lang w:val="es-ES_tradnl"/>
        </w:rPr>
        <w:t>iii</w:t>
      </w:r>
      <w:proofErr w:type="spellEnd"/>
      <w:r w:rsidRPr="009D198D">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9D198D">
        <w:rPr>
          <w:rFonts w:ascii="Arial" w:eastAsia="Calibri" w:hAnsi="Arial" w:cs="Arial"/>
          <w:sz w:val="22"/>
          <w:szCs w:val="22"/>
          <w:lang w:val="es-ES_tradnl"/>
        </w:rPr>
        <w:t>iv</w:t>
      </w:r>
      <w:proofErr w:type="spellEnd"/>
      <w:r w:rsidRPr="009D198D">
        <w:rPr>
          <w:rFonts w:ascii="Arial" w:eastAsia="Calibri" w:hAnsi="Arial" w:cs="Arial"/>
          <w:sz w:val="22"/>
          <w:szCs w:val="22"/>
          <w:lang w:val="es-ES_tradnl"/>
        </w:rPr>
        <w:t xml:space="preserve">) promoción del acceso de las </w:t>
      </w:r>
      <w:proofErr w:type="spellStart"/>
      <w:r w:rsidRPr="009D198D">
        <w:rPr>
          <w:rFonts w:ascii="Arial" w:eastAsia="Calibri" w:hAnsi="Arial" w:cs="Arial"/>
          <w:sz w:val="22"/>
          <w:szCs w:val="22"/>
          <w:lang w:val="es-ES_tradnl"/>
        </w:rPr>
        <w:t>Mipyme</w:t>
      </w:r>
      <w:proofErr w:type="spellEnd"/>
      <w:r w:rsidRPr="009D198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w:t>
      </w:r>
      <w:r w:rsidR="00AC6281" w:rsidRPr="009D198D">
        <w:rPr>
          <w:rFonts w:ascii="Arial" w:eastAsia="Calibri" w:hAnsi="Arial" w:cs="Arial"/>
          <w:sz w:val="22"/>
          <w:szCs w:val="22"/>
          <w:lang w:val="es-ES_tradnl"/>
        </w:rPr>
        <w:t>el</w:t>
      </w:r>
      <w:r w:rsidRPr="009D198D">
        <w:rPr>
          <w:rFonts w:ascii="Arial" w:eastAsia="Calibri" w:hAnsi="Arial" w:cs="Arial"/>
          <w:sz w:val="22"/>
          <w:szCs w:val="22"/>
          <w:lang w:val="es-ES_tradnl"/>
        </w:rPr>
        <w:t xml:space="preserve"> artículo 34, a </w:t>
      </w:r>
      <w:proofErr w:type="gramStart"/>
      <w:r w:rsidRPr="009D198D">
        <w:rPr>
          <w:rFonts w:ascii="Arial" w:eastAsia="Calibri" w:hAnsi="Arial" w:cs="Arial"/>
          <w:sz w:val="22"/>
          <w:szCs w:val="22"/>
          <w:lang w:val="es-ES_tradnl"/>
        </w:rPr>
        <w:t>continuación</w:t>
      </w:r>
      <w:proofErr w:type="gramEnd"/>
      <w:r w:rsidRPr="009D198D">
        <w:rPr>
          <w:rFonts w:ascii="Arial" w:eastAsia="Calibri" w:hAnsi="Arial" w:cs="Arial"/>
          <w:sz w:val="22"/>
          <w:szCs w:val="22"/>
          <w:lang w:val="es-ES_tradnl"/>
        </w:rPr>
        <w:t xml:space="preserve"> se estudiará el contenido y alcance de esta norma.</w:t>
      </w:r>
      <w:r w:rsidR="00B7377E" w:rsidRPr="009D198D">
        <w:rPr>
          <w:rFonts w:ascii="Arial" w:eastAsia="Calibri" w:hAnsi="Arial" w:cs="Arial"/>
          <w:sz w:val="22"/>
          <w:szCs w:val="22"/>
          <w:lang w:val="es-ES_tradnl"/>
        </w:rPr>
        <w:t xml:space="preserve"> </w:t>
      </w:r>
    </w:p>
    <w:p w14:paraId="3980E555" w14:textId="77777777" w:rsidR="00C475BA" w:rsidRPr="009D198D" w:rsidRDefault="00C475BA" w:rsidP="00C475BA">
      <w:pPr>
        <w:spacing w:line="276" w:lineRule="auto"/>
        <w:jc w:val="both"/>
        <w:rPr>
          <w:rFonts w:ascii="Arial" w:eastAsia="Calibri" w:hAnsi="Arial" w:cs="Arial"/>
          <w:sz w:val="22"/>
          <w:szCs w:val="22"/>
          <w:lang w:val="es-ES_tradnl"/>
        </w:rPr>
      </w:pPr>
    </w:p>
    <w:p w14:paraId="66FD320B" w14:textId="789A69BE" w:rsidR="00C475BA" w:rsidRPr="009D198D" w:rsidRDefault="00C475BA" w:rsidP="00C475BA">
      <w:pPr>
        <w:spacing w:line="276" w:lineRule="auto"/>
        <w:jc w:val="both"/>
        <w:rPr>
          <w:rFonts w:ascii="Arial" w:eastAsia="Calibri" w:hAnsi="Arial" w:cs="Arial"/>
          <w:b/>
          <w:bCs/>
          <w:sz w:val="22"/>
          <w:szCs w:val="22"/>
          <w:lang w:val="es-ES_tradnl"/>
        </w:rPr>
      </w:pPr>
      <w:r w:rsidRPr="009D198D">
        <w:rPr>
          <w:rFonts w:ascii="Arial" w:eastAsia="Calibri" w:hAnsi="Arial" w:cs="Arial"/>
          <w:b/>
          <w:bCs/>
          <w:sz w:val="22"/>
          <w:szCs w:val="22"/>
          <w:lang w:val="es-ES_tradnl"/>
        </w:rPr>
        <w:t>2.</w:t>
      </w:r>
      <w:r w:rsidR="002E2D4B" w:rsidRPr="009D198D">
        <w:rPr>
          <w:rFonts w:ascii="Arial" w:eastAsia="Calibri" w:hAnsi="Arial" w:cs="Arial"/>
          <w:b/>
          <w:bCs/>
          <w:sz w:val="22"/>
          <w:szCs w:val="22"/>
          <w:lang w:val="es-ES_tradnl"/>
        </w:rPr>
        <w:t>4</w:t>
      </w:r>
      <w:r w:rsidRPr="009D198D">
        <w:rPr>
          <w:rFonts w:ascii="Arial" w:eastAsia="Calibri" w:hAnsi="Arial" w:cs="Arial"/>
          <w:b/>
          <w:bCs/>
          <w:sz w:val="22"/>
          <w:szCs w:val="22"/>
          <w:lang w:val="es-ES_tradnl"/>
        </w:rPr>
        <w:t>.</w:t>
      </w:r>
      <w:r w:rsidR="002E2D4B" w:rsidRPr="009D198D">
        <w:rPr>
          <w:rFonts w:ascii="Arial" w:eastAsia="Calibri" w:hAnsi="Arial" w:cs="Arial"/>
          <w:b/>
          <w:bCs/>
          <w:sz w:val="22"/>
          <w:szCs w:val="22"/>
          <w:lang w:val="es-ES_tradnl"/>
        </w:rPr>
        <w:t>2</w:t>
      </w:r>
      <w:r w:rsidRPr="009D198D">
        <w:rPr>
          <w:rFonts w:ascii="Arial" w:eastAsia="Calibri" w:hAnsi="Arial" w:cs="Arial"/>
          <w:b/>
          <w:bCs/>
          <w:sz w:val="22"/>
          <w:szCs w:val="22"/>
          <w:lang w:val="es-ES_tradnl"/>
        </w:rPr>
        <w:t xml:space="preserve"> </w:t>
      </w:r>
      <w:r w:rsidR="00AC6281" w:rsidRPr="009D198D">
        <w:rPr>
          <w:rFonts w:ascii="Arial" w:eastAsia="Calibri" w:hAnsi="Arial" w:cs="Arial"/>
          <w:b/>
          <w:bCs/>
          <w:sz w:val="22"/>
          <w:szCs w:val="22"/>
          <w:lang w:val="es-ES_tradnl"/>
        </w:rPr>
        <w:t>Nueva r</w:t>
      </w:r>
      <w:r w:rsidRPr="009D198D">
        <w:rPr>
          <w:rFonts w:ascii="Arial" w:eastAsia="Calibri" w:hAnsi="Arial" w:cs="Arial"/>
          <w:b/>
          <w:bCs/>
          <w:sz w:val="22"/>
          <w:szCs w:val="22"/>
          <w:lang w:val="es-ES_tradnl"/>
        </w:rPr>
        <w:t>egulación de la promoción del desarrollo en la contratación estatal en el artículo 34 de la Ley 2069 de 2020</w:t>
      </w:r>
      <w:r w:rsidR="0047260E" w:rsidRPr="009D198D">
        <w:rPr>
          <w:rFonts w:ascii="Arial" w:eastAsia="Calibri" w:hAnsi="Arial" w:cs="Arial"/>
          <w:b/>
          <w:bCs/>
          <w:sz w:val="22"/>
          <w:szCs w:val="22"/>
          <w:lang w:val="es-ES_tradnl"/>
        </w:rPr>
        <w:t xml:space="preserve">. </w:t>
      </w:r>
      <w:r w:rsidR="0047260E" w:rsidRPr="009D198D">
        <w:rPr>
          <w:rFonts w:ascii="Arial" w:eastAsia="Calibri" w:hAnsi="Arial" w:cs="Arial"/>
          <w:b/>
          <w:bCs/>
          <w:color w:val="000000" w:themeColor="text1"/>
          <w:sz w:val="22"/>
          <w:szCs w:val="22"/>
          <w:lang w:val="es-ES_tradnl"/>
        </w:rPr>
        <w:t xml:space="preserve">Regulación de las convocatorias limitadas a </w:t>
      </w:r>
      <w:proofErr w:type="spellStart"/>
      <w:r w:rsidR="0047260E" w:rsidRPr="009D198D">
        <w:rPr>
          <w:rFonts w:ascii="Arial" w:eastAsia="Calibri" w:hAnsi="Arial" w:cs="Arial"/>
          <w:b/>
          <w:bCs/>
          <w:color w:val="000000" w:themeColor="text1"/>
          <w:sz w:val="22"/>
          <w:szCs w:val="22"/>
          <w:lang w:val="es-ES_tradnl"/>
        </w:rPr>
        <w:t>Mipyme</w:t>
      </w:r>
      <w:proofErr w:type="spellEnd"/>
      <w:r w:rsidR="0047260E" w:rsidRPr="009D198D">
        <w:rPr>
          <w:rFonts w:ascii="Arial" w:eastAsia="Calibri" w:hAnsi="Arial" w:cs="Arial"/>
          <w:b/>
          <w:bCs/>
          <w:color w:val="000000" w:themeColor="text1"/>
          <w:sz w:val="22"/>
          <w:szCs w:val="22"/>
          <w:lang w:val="es-ES_tradnl"/>
        </w:rPr>
        <w:t>: eficacia y alcance de la potestad reglamentaria</w:t>
      </w:r>
    </w:p>
    <w:p w14:paraId="56D7A69E" w14:textId="77777777" w:rsidR="0047260E" w:rsidRPr="009D198D" w:rsidRDefault="0047260E" w:rsidP="00C475BA">
      <w:pPr>
        <w:spacing w:line="276" w:lineRule="auto"/>
        <w:jc w:val="both"/>
        <w:rPr>
          <w:rFonts w:ascii="Arial" w:eastAsia="Calibri" w:hAnsi="Arial" w:cs="Arial"/>
          <w:b/>
          <w:bCs/>
          <w:sz w:val="22"/>
          <w:szCs w:val="22"/>
          <w:lang w:val="es-ES_tradnl"/>
        </w:rPr>
      </w:pPr>
    </w:p>
    <w:p w14:paraId="1A75C38A" w14:textId="77777777" w:rsidR="00C475BA" w:rsidRPr="009D198D" w:rsidRDefault="00C475BA" w:rsidP="00C475BA">
      <w:pPr>
        <w:spacing w:line="276" w:lineRule="auto"/>
        <w:jc w:val="both"/>
        <w:rPr>
          <w:rFonts w:ascii="Arial" w:eastAsia="Calibri" w:hAnsi="Arial" w:cs="Arial"/>
          <w:sz w:val="22"/>
          <w:szCs w:val="22"/>
          <w:lang w:val="es-ES_tradnl"/>
        </w:rPr>
      </w:pPr>
      <w:r w:rsidRPr="009D198D">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9D198D">
        <w:rPr>
          <w:rStyle w:val="Refdenotaalpie"/>
          <w:rFonts w:ascii="Arial" w:eastAsia="Calibri" w:hAnsi="Arial" w:cs="Arial"/>
          <w:sz w:val="22"/>
          <w:szCs w:val="22"/>
          <w:lang w:val="es-ES_tradnl"/>
        </w:rPr>
        <w:footnoteReference w:id="46"/>
      </w:r>
      <w:r w:rsidRPr="009D198D">
        <w:rPr>
          <w:rFonts w:ascii="Arial" w:eastAsia="Calibri" w:hAnsi="Arial" w:cs="Arial"/>
          <w:sz w:val="22"/>
          <w:szCs w:val="22"/>
          <w:lang w:val="es-ES_tradnl"/>
        </w:rPr>
        <w:t>, regulación que se resume en los siguientes aspectos:</w:t>
      </w:r>
    </w:p>
    <w:p w14:paraId="32DB3C0E" w14:textId="1AC4A2C8"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lastRenderedPageBreak/>
        <w:t xml:space="preserve">i) Encomienda, </w:t>
      </w:r>
      <w:r w:rsidR="00D17BB3" w:rsidRPr="009D198D">
        <w:rPr>
          <w:rFonts w:ascii="Arial" w:eastAsia="Calibri" w:hAnsi="Arial" w:cs="Arial"/>
          <w:sz w:val="22"/>
          <w:szCs w:val="22"/>
          <w:lang w:val="es-ES_tradnl"/>
        </w:rPr>
        <w:t>al gobierno nacional</w:t>
      </w:r>
      <w:r w:rsidRPr="009D198D">
        <w:rPr>
          <w:rFonts w:ascii="Arial" w:eastAsia="Calibri" w:hAnsi="Arial" w:cs="Arial"/>
          <w:sz w:val="22"/>
          <w:szCs w:val="22"/>
          <w:lang w:val="es-ES_tradnl"/>
        </w:rPr>
        <w:t xml:space="preserve"> </w:t>
      </w:r>
      <w:r w:rsidR="00D17BB3" w:rsidRPr="009D198D">
        <w:rPr>
          <w:rFonts w:ascii="Arial" w:eastAsia="Calibri" w:hAnsi="Arial" w:cs="Arial"/>
          <w:sz w:val="22"/>
          <w:szCs w:val="22"/>
          <w:lang w:val="es-ES_tradnl"/>
        </w:rPr>
        <w:t xml:space="preserve">el deber de </w:t>
      </w:r>
      <w:r w:rsidRPr="009D198D">
        <w:rPr>
          <w:rFonts w:ascii="Arial" w:eastAsia="Calibri" w:hAnsi="Arial" w:cs="Arial"/>
          <w:sz w:val="22"/>
          <w:szCs w:val="22"/>
          <w:lang w:val="es-ES_tradnl"/>
        </w:rPr>
        <w:t xml:space="preserve">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9D198D">
        <w:rPr>
          <w:rFonts w:ascii="Arial" w:eastAsia="Calibri" w:hAnsi="Arial" w:cs="Arial"/>
          <w:sz w:val="22"/>
          <w:szCs w:val="22"/>
          <w:lang w:val="es-ES_tradnl"/>
        </w:rPr>
        <w:t>Mipyme</w:t>
      </w:r>
      <w:proofErr w:type="spellEnd"/>
      <w:r w:rsidRPr="009D198D">
        <w:rPr>
          <w:rFonts w:ascii="Arial" w:eastAsia="Calibri" w:hAnsi="Arial" w:cs="Arial"/>
          <w:sz w:val="22"/>
          <w:szCs w:val="22"/>
          <w:lang w:val="es-ES_tradnl"/>
        </w:rPr>
        <w:t xml:space="preserve"> en los procesos de contratación. Además, agrega que estas convocatorias se pueden realizar también en el ámbito municipal o departamental en el que se ejecute el contrato. </w:t>
      </w:r>
    </w:p>
    <w:p w14:paraId="1F9BC466"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proofErr w:type="spellStart"/>
      <w:r w:rsidRPr="009D198D">
        <w:rPr>
          <w:rFonts w:ascii="Arial" w:eastAsia="Calibri" w:hAnsi="Arial" w:cs="Arial"/>
          <w:sz w:val="22"/>
          <w:szCs w:val="22"/>
          <w:lang w:val="es-ES_tradnl"/>
        </w:rPr>
        <w:t>ii</w:t>
      </w:r>
      <w:proofErr w:type="spellEnd"/>
      <w:r w:rsidRPr="009D198D">
        <w:rPr>
          <w:rFonts w:ascii="Arial" w:eastAsia="Calibri" w:hAnsi="Arial" w:cs="Arial"/>
          <w:sz w:val="22"/>
          <w:szCs w:val="22"/>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Pr="009D198D">
        <w:rPr>
          <w:rFonts w:ascii="Arial" w:eastAsia="Calibri" w:hAnsi="Arial" w:cs="Arial"/>
          <w:sz w:val="22"/>
          <w:szCs w:val="22"/>
          <w:lang w:val="es-ES_tradnl"/>
        </w:rPr>
        <w:t>Mipyme</w:t>
      </w:r>
      <w:proofErr w:type="spellEnd"/>
      <w:r w:rsidRPr="009D198D">
        <w:rPr>
          <w:rFonts w:ascii="Arial" w:eastAsia="Calibri" w:hAnsi="Arial" w:cs="Arial"/>
          <w:sz w:val="22"/>
          <w:szCs w:val="22"/>
          <w:lang w:val="es-ES_tradnl"/>
        </w:rPr>
        <w:t xml:space="preserve"> hayan manifestado su interés.</w:t>
      </w:r>
    </w:p>
    <w:p w14:paraId="35CA3254"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proofErr w:type="spellStart"/>
      <w:r w:rsidRPr="009D198D">
        <w:rPr>
          <w:rFonts w:ascii="Arial" w:eastAsia="Calibri" w:hAnsi="Arial" w:cs="Arial"/>
          <w:sz w:val="22"/>
          <w:szCs w:val="22"/>
          <w:lang w:val="es-ES_tradnl"/>
        </w:rPr>
        <w:t>iii</w:t>
      </w:r>
      <w:proofErr w:type="spellEnd"/>
      <w:r w:rsidRPr="009D198D">
        <w:rPr>
          <w:rFonts w:ascii="Arial" w:eastAsia="Calibri" w:hAnsi="Arial" w:cs="Arial"/>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8F99FFA"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proofErr w:type="spellStart"/>
      <w:r w:rsidRPr="009D198D">
        <w:rPr>
          <w:rFonts w:ascii="Arial" w:eastAsia="Calibri" w:hAnsi="Arial" w:cs="Arial"/>
          <w:sz w:val="22"/>
          <w:szCs w:val="22"/>
          <w:lang w:val="es-ES_tradnl"/>
        </w:rPr>
        <w:t>iv</w:t>
      </w:r>
      <w:proofErr w:type="spellEnd"/>
      <w:r w:rsidRPr="009D198D">
        <w:rPr>
          <w:rFonts w:ascii="Arial" w:eastAsia="Calibri" w:hAnsi="Arial" w:cs="Arial"/>
          <w:sz w:val="22"/>
          <w:szCs w:val="22"/>
          <w:lang w:val="es-ES_tradnl"/>
        </w:rPr>
        <w:t xml:space="preserve">) Establece que, en el reglamento, el gobierno nacional podría establecer condiciones preferenciales para los bienes y servicios producidos por las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sin perjuicio de los compromisos internacionales vigentes.</w:t>
      </w:r>
    </w:p>
    <w:p w14:paraId="0B7AFD09" w14:textId="04A5962C"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v)</w:t>
      </w:r>
      <w:r w:rsidR="00B7377E" w:rsidRPr="009D198D">
        <w:rPr>
          <w:rFonts w:ascii="Arial" w:eastAsia="Calibri" w:hAnsi="Arial" w:cs="Arial"/>
          <w:sz w:val="22"/>
          <w:szCs w:val="22"/>
          <w:lang w:val="es-ES_tradnl"/>
        </w:rPr>
        <w:t xml:space="preserve"> </w:t>
      </w:r>
      <w:r w:rsidRPr="009D198D">
        <w:rPr>
          <w:rFonts w:ascii="Arial" w:eastAsia="Calibri" w:hAnsi="Arial" w:cs="Arial"/>
          <w:sz w:val="22"/>
          <w:szCs w:val="22"/>
          <w:lang w:val="es-ES_tradnl"/>
        </w:rPr>
        <w:t xml:space="preserve">Aclara que tanto las convocatorias limitadas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como las condiciones preferenciales a favor de los bienes y servicios producidos por estas, no es óbice para que deban cumplir las exigencias técnicas y económicas del proceso de selección.</w:t>
      </w:r>
    </w:p>
    <w:p w14:paraId="0849F320" w14:textId="0718C19A"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lastRenderedPageBreak/>
        <w:t xml:space="preserve">vi) Señala que el reglamento que expida el gobierno nacional, además de las convocatorias limitadas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deberá contener disposiciones </w:t>
      </w:r>
      <w:r w:rsidR="006C1695" w:rsidRPr="009D198D">
        <w:rPr>
          <w:rFonts w:ascii="Arial" w:eastAsia="Calibri" w:hAnsi="Arial" w:cs="Arial"/>
          <w:color w:val="000000" w:themeColor="text1"/>
          <w:sz w:val="22"/>
          <w:szCs w:val="22"/>
          <w:lang w:val="es-ES_tradnl"/>
        </w:rPr>
        <w:t xml:space="preserve">que fomenten en la ejecución de los contratos estatales la provisión de bienes y servicios por parte de </w:t>
      </w:r>
      <w:r w:rsidRPr="009D198D">
        <w:rPr>
          <w:rFonts w:ascii="Arial" w:eastAsia="Calibri" w:hAnsi="Arial" w:cs="Arial"/>
          <w:sz w:val="22"/>
          <w:szCs w:val="22"/>
          <w:lang w:val="es-ES_tradnl"/>
        </w:rPr>
        <w:t>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1800D696"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proofErr w:type="spellStart"/>
      <w:r w:rsidRPr="009D198D">
        <w:rPr>
          <w:rFonts w:ascii="Arial" w:eastAsia="Calibri" w:hAnsi="Arial" w:cs="Arial"/>
          <w:sz w:val="22"/>
          <w:szCs w:val="22"/>
          <w:lang w:val="es-ES_tradnl"/>
        </w:rPr>
        <w:t>vii</w:t>
      </w:r>
      <w:proofErr w:type="spellEnd"/>
      <w:r w:rsidRPr="009D198D">
        <w:rPr>
          <w:rFonts w:ascii="Arial" w:eastAsia="Calibri" w:hAnsi="Arial" w:cs="Arial"/>
          <w:sz w:val="22"/>
          <w:szCs w:val="22"/>
          <w:lang w:val="es-ES_tradnl"/>
        </w:rPr>
        <w:t xml:space="preserve">) Precisa que la posibilidad de participar en convocatorias limitadas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733508AA"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proofErr w:type="spellStart"/>
      <w:r w:rsidRPr="009D198D">
        <w:rPr>
          <w:rFonts w:ascii="Arial" w:eastAsia="Calibri" w:hAnsi="Arial" w:cs="Arial"/>
          <w:sz w:val="22"/>
          <w:szCs w:val="22"/>
          <w:lang w:val="es-ES_tradnl"/>
        </w:rPr>
        <w:t>viii</w:t>
      </w:r>
      <w:proofErr w:type="spellEnd"/>
      <w:r w:rsidRPr="009D198D">
        <w:rPr>
          <w:rFonts w:ascii="Arial" w:eastAsia="Calibri" w:hAnsi="Arial" w:cs="Arial"/>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549A493C"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3DF856CB" w14:textId="77777777" w:rsidR="00C475BA" w:rsidRPr="009D198D" w:rsidRDefault="00C475BA" w:rsidP="00C475BA">
      <w:pPr>
        <w:spacing w:line="276" w:lineRule="auto"/>
        <w:ind w:left="709" w:right="709"/>
        <w:jc w:val="both"/>
        <w:rPr>
          <w:rFonts w:ascii="Arial" w:eastAsia="Calibri" w:hAnsi="Arial" w:cs="Arial"/>
          <w:sz w:val="21"/>
          <w:szCs w:val="21"/>
          <w:lang w:val="es-ES_tradnl"/>
        </w:rPr>
      </w:pPr>
    </w:p>
    <w:p w14:paraId="7B2674F9" w14:textId="77777777" w:rsidR="00C475BA" w:rsidRPr="009D198D" w:rsidRDefault="00C475BA" w:rsidP="00C475BA">
      <w:pPr>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9D198D">
        <w:rPr>
          <w:rStyle w:val="Refdenotaalpie"/>
          <w:rFonts w:ascii="Arial" w:eastAsia="Calibri" w:hAnsi="Arial" w:cs="Arial"/>
          <w:sz w:val="21"/>
          <w:szCs w:val="21"/>
          <w:lang w:val="es-ES_tradnl"/>
        </w:rPr>
        <w:footnoteReference w:id="47"/>
      </w:r>
      <w:r w:rsidRPr="009D198D">
        <w:rPr>
          <w:rFonts w:ascii="Arial" w:eastAsia="Calibri" w:hAnsi="Arial" w:cs="Arial"/>
          <w:sz w:val="21"/>
          <w:szCs w:val="21"/>
          <w:lang w:val="es-ES_tradnl"/>
        </w:rPr>
        <w:t>.</w:t>
      </w:r>
    </w:p>
    <w:p w14:paraId="0D625C63" w14:textId="77777777" w:rsidR="00C475BA" w:rsidRPr="009D198D" w:rsidRDefault="00C475BA" w:rsidP="00C475BA">
      <w:pPr>
        <w:spacing w:line="276" w:lineRule="auto"/>
        <w:ind w:firstLine="709"/>
        <w:jc w:val="both"/>
        <w:rPr>
          <w:rFonts w:ascii="Arial" w:eastAsia="Calibri" w:hAnsi="Arial" w:cs="Arial"/>
          <w:sz w:val="22"/>
          <w:szCs w:val="22"/>
          <w:lang w:val="es-ES_tradnl"/>
        </w:rPr>
      </w:pPr>
    </w:p>
    <w:p w14:paraId="117EF30C" w14:textId="3932DAE9" w:rsidR="00C475BA" w:rsidRPr="009D198D" w:rsidRDefault="00C475BA" w:rsidP="00C475BA">
      <w:pPr>
        <w:spacing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La subrogación es, entonces, una forma de derogación de </w:t>
      </w:r>
      <w:r w:rsidR="009E694C" w:rsidRPr="009D198D">
        <w:rPr>
          <w:rFonts w:ascii="Arial" w:eastAsia="Calibri" w:hAnsi="Arial" w:cs="Arial"/>
          <w:sz w:val="22"/>
          <w:szCs w:val="22"/>
          <w:lang w:val="es-ES_tradnl"/>
        </w:rPr>
        <w:t>las normas jurídicas</w:t>
      </w:r>
      <w:r w:rsidRPr="009D198D">
        <w:rPr>
          <w:rFonts w:ascii="Arial" w:eastAsia="Calibri" w:hAnsi="Arial" w:cs="Arial"/>
          <w:sz w:val="22"/>
          <w:szCs w:val="22"/>
          <w:lang w:val="es-ES_tradnl"/>
        </w:rPr>
        <w:t>,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E3EC5DC"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lastRenderedPageBreak/>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59397318"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Por ello,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0C014852" w14:textId="77777777" w:rsidR="00C475BA" w:rsidRPr="009D198D" w:rsidRDefault="00C475BA" w:rsidP="00C475BA">
      <w:pPr>
        <w:ind w:left="709" w:right="709"/>
        <w:jc w:val="both"/>
        <w:rPr>
          <w:rFonts w:ascii="Arial" w:eastAsia="Calibri" w:hAnsi="Arial" w:cs="Arial"/>
          <w:sz w:val="21"/>
          <w:szCs w:val="21"/>
          <w:lang w:val="es-ES_tradnl"/>
        </w:rPr>
      </w:pPr>
    </w:p>
    <w:p w14:paraId="28403B25" w14:textId="77777777" w:rsidR="00C475BA" w:rsidRPr="009D198D" w:rsidRDefault="00C475BA" w:rsidP="00C475BA">
      <w:pPr>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Adiciónese un parágrafo al artículo 12 de la Ley 1150 de 2007:</w:t>
      </w:r>
    </w:p>
    <w:p w14:paraId="4329CD9D" w14:textId="77777777" w:rsidR="00C475BA" w:rsidRPr="009D198D" w:rsidRDefault="00C475BA" w:rsidP="00C475BA">
      <w:pPr>
        <w:ind w:right="709"/>
        <w:jc w:val="both"/>
        <w:rPr>
          <w:rFonts w:ascii="Arial" w:eastAsia="Calibri" w:hAnsi="Arial" w:cs="Arial"/>
          <w:sz w:val="21"/>
          <w:szCs w:val="21"/>
          <w:lang w:val="es-ES_tradnl"/>
        </w:rPr>
      </w:pPr>
    </w:p>
    <w:p w14:paraId="35C1CB57" w14:textId="77777777" w:rsidR="00C475BA" w:rsidRPr="009D198D" w:rsidRDefault="00C475BA" w:rsidP="00C475BA">
      <w:pPr>
        <w:spacing w:after="120"/>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66A29122" w14:textId="77777777" w:rsidR="00C475BA" w:rsidRPr="009D198D" w:rsidRDefault="00C475BA" w:rsidP="00C475BA">
      <w:pPr>
        <w:spacing w:after="120"/>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9D198D">
        <w:rPr>
          <w:rFonts w:ascii="Arial" w:eastAsia="Calibri" w:hAnsi="Arial" w:cs="Arial"/>
          <w:sz w:val="21"/>
          <w:szCs w:val="21"/>
          <w:lang w:val="es-ES_tradnl"/>
        </w:rPr>
        <w:t>la misma</w:t>
      </w:r>
      <w:proofErr w:type="gramEnd"/>
      <w:r w:rsidRPr="009D198D">
        <w:rPr>
          <w:rFonts w:ascii="Arial" w:eastAsia="Calibri" w:hAnsi="Arial" w:cs="Arial"/>
          <w:sz w:val="21"/>
          <w:szCs w:val="21"/>
          <w:lang w:val="es-ES_tradnl"/>
        </w:rPr>
        <w:t>.</w:t>
      </w:r>
    </w:p>
    <w:p w14:paraId="05A6BEF7" w14:textId="77777777" w:rsidR="00C475BA" w:rsidRPr="009D198D" w:rsidRDefault="00C475BA" w:rsidP="00C475BA">
      <w:pPr>
        <w:spacing w:after="120"/>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68F8B5A3" w14:textId="77777777" w:rsidR="00C475BA" w:rsidRPr="009D198D" w:rsidRDefault="00C475BA" w:rsidP="00C475BA">
      <w:pPr>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285D18FD" w14:textId="77777777" w:rsidR="00C475BA" w:rsidRPr="009D198D" w:rsidRDefault="00C475BA" w:rsidP="00C475BA">
      <w:pPr>
        <w:spacing w:line="276" w:lineRule="auto"/>
        <w:ind w:firstLine="709"/>
        <w:jc w:val="both"/>
        <w:rPr>
          <w:rFonts w:ascii="Arial" w:eastAsia="Calibri" w:hAnsi="Arial" w:cs="Arial"/>
          <w:sz w:val="22"/>
          <w:szCs w:val="22"/>
          <w:lang w:val="es-ES_tradnl"/>
        </w:rPr>
      </w:pPr>
    </w:p>
    <w:p w14:paraId="16947588" w14:textId="77777777" w:rsidR="00C475BA" w:rsidRPr="009D198D" w:rsidRDefault="00C475BA" w:rsidP="00C475BA">
      <w:pPr>
        <w:spacing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El anterior texto, que según se indicó fue agregado al artículo 12 de la Ley 1150 de 2007 como parágrafo 4, también se ve afectado por el efecto de la subrogación producida por el artículo 34 de la Ley 2069 de 2020, porque en este artículo no dispone que se mantiene vigente el parágrafo citado. En otras palabras, si el artículo 3 de la Ley 2040 de 2020 había adicionado un parágrafo 4 al artículo 12 de la Ley 1150 de 2007 y posteriormente el artículo 34 de la Ley 2069 de 2020 modificó integralmente el referido </w:t>
      </w:r>
      <w:r w:rsidRPr="009D198D">
        <w:rPr>
          <w:rFonts w:ascii="Arial" w:eastAsia="Calibri" w:hAnsi="Arial" w:cs="Arial"/>
          <w:sz w:val="22"/>
          <w:szCs w:val="22"/>
          <w:lang w:val="es-ES_tradnl"/>
        </w:rPr>
        <w:lastRenderedPageBreak/>
        <w:t>artículo 12, sustituyéndolo por un texto nuevo, se concluye que el parágrafo 4 quedó derogado. Por lo tanto, no puede aplicarse en la actualidad y mucho menos puede entenderse como obligatorio en los procesos de selección, pues no está vigente.</w:t>
      </w:r>
    </w:p>
    <w:p w14:paraId="586DB128" w14:textId="080EF0D2"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Aunque el argumento anterior es suficiente, una razón adicional para concluir que el artículo 34 de la Ley 2069 de 2020 dejó sin vigencia el parágrafo 4 del artículo 12 de la Ley 1150 de 2007 –</w:t>
      </w:r>
      <w:proofErr w:type="gramStart"/>
      <w:r w:rsidRPr="009D198D">
        <w:rPr>
          <w:rFonts w:ascii="Arial" w:eastAsia="Calibri" w:hAnsi="Arial" w:cs="Arial"/>
          <w:sz w:val="22"/>
          <w:szCs w:val="22"/>
          <w:lang w:val="es-ES_tradnl"/>
        </w:rPr>
        <w:t>y</w:t>
      </w:r>
      <w:proofErr w:type="gramEnd"/>
      <w:r w:rsidRPr="009D198D">
        <w:rPr>
          <w:rFonts w:ascii="Arial" w:eastAsia="Calibri" w:hAnsi="Arial" w:cs="Arial"/>
          <w:sz w:val="22"/>
          <w:szCs w:val="22"/>
          <w:lang w:val="es-ES_tradnl"/>
        </w:rPr>
        <w:t xml:space="preserve">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r w:rsidR="009E694C" w:rsidRPr="009D198D">
        <w:rPr>
          <w:rFonts w:ascii="Arial" w:eastAsia="Calibri" w:hAnsi="Arial" w:cs="Arial"/>
          <w:sz w:val="22"/>
          <w:szCs w:val="22"/>
          <w:lang w:val="es-ES_tradnl"/>
        </w:rPr>
        <w:t>,</w:t>
      </w:r>
      <w:r w:rsidR="009E694C" w:rsidRPr="009D198D">
        <w:rPr>
          <w:rFonts w:ascii="Arial" w:eastAsia="Calibri" w:hAnsi="Arial" w:cs="Arial"/>
          <w:color w:val="000000" w:themeColor="text1"/>
          <w:sz w:val="22"/>
          <w:szCs w:val="22"/>
          <w:lang w:val="es-ES_tradnl"/>
        </w:rPr>
        <w:t xml:space="preserve"> como aconteció con el Decreto 1860 de 2021.</w:t>
      </w:r>
    </w:p>
    <w:p w14:paraId="1E117E6F" w14:textId="2EDC8937" w:rsidR="00424E83" w:rsidRPr="009D198D" w:rsidRDefault="00424E83"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color w:val="000000" w:themeColor="text1"/>
          <w:sz w:val="22"/>
          <w:szCs w:val="22"/>
          <w:lang w:val="es-ES_tradnl"/>
        </w:rPr>
        <w:t>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w:t>
      </w:r>
      <w:r w:rsidR="00B7377E" w:rsidRPr="009D198D">
        <w:rPr>
          <w:rFonts w:ascii="Arial" w:eastAsia="Calibri" w:hAnsi="Arial" w:cs="Arial"/>
          <w:color w:val="000000" w:themeColor="text1"/>
          <w:sz w:val="22"/>
          <w:szCs w:val="22"/>
          <w:lang w:val="es-ES_tradnl"/>
        </w:rPr>
        <w:t xml:space="preserve"> </w:t>
      </w:r>
    </w:p>
    <w:p w14:paraId="3543A586" w14:textId="7EC13432"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del Decreto 1082 de 2015, que, hasta la expedición de la Ley 2069 de 2020, regulaba las convocatorias limitadas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7F31C2D2"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w:t>
      </w:r>
      <w:r w:rsidRPr="009D198D">
        <w:rPr>
          <w:rFonts w:ascii="Arial" w:eastAsia="Calibri" w:hAnsi="Arial" w:cs="Arial"/>
          <w:sz w:val="22"/>
          <w:szCs w:val="22"/>
          <w:lang w:val="es-ES_tradnl"/>
        </w:rPr>
        <w:lastRenderedPageBreak/>
        <w:t>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330BEB86"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Concretamente, no incluye todos los requisitos que, hasta la entrada en vigor de la Ley 2069 de 2020, establecía el artículo 2.2.1.2.4.2.2 del Decreto 1082 de 2015. Esta norma indicaba en su primer inciso que la entidad estatal solo podía limitar la convocatoria a las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6B57499F"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0EB03FB7"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A lo anterior debe agregarse que mientras la nueva disposición legal indica que la convocatoria limitada a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xml:space="preserve"> debe hacerse cuando por lo menos </w:t>
      </w:r>
      <w:r w:rsidRPr="009D198D">
        <w:rPr>
          <w:rFonts w:ascii="Arial" w:eastAsia="Calibri" w:hAnsi="Arial" w:cs="Arial"/>
          <w:i/>
          <w:iCs/>
          <w:sz w:val="22"/>
          <w:szCs w:val="22"/>
          <w:lang w:val="es-ES_tradnl"/>
        </w:rPr>
        <w:t>dos (2)</w:t>
      </w:r>
      <w:r w:rsidRPr="009D198D">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9D198D">
        <w:rPr>
          <w:rFonts w:ascii="Arial" w:eastAsia="Calibri" w:hAnsi="Arial" w:cs="Arial"/>
          <w:i/>
          <w:iCs/>
          <w:sz w:val="22"/>
          <w:szCs w:val="22"/>
          <w:lang w:val="es-ES_tradnl"/>
        </w:rPr>
        <w:t>tres (3)</w:t>
      </w:r>
      <w:r w:rsidRPr="009D198D">
        <w:rPr>
          <w:rFonts w:ascii="Arial" w:eastAsia="Calibri" w:hAnsi="Arial" w:cs="Arial"/>
          <w:sz w:val="22"/>
          <w:szCs w:val="22"/>
          <w:lang w:val="es-ES_tradnl"/>
        </w:rPr>
        <w:t xml:space="preserve"> </w:t>
      </w:r>
      <w:proofErr w:type="spellStart"/>
      <w:r w:rsidRPr="009D198D">
        <w:rPr>
          <w:rFonts w:ascii="Arial" w:eastAsia="Calibri" w:hAnsi="Arial" w:cs="Arial"/>
          <w:sz w:val="22"/>
          <w:szCs w:val="22"/>
          <w:lang w:val="es-ES_tradnl"/>
        </w:rPr>
        <w:t>Mipymes</w:t>
      </w:r>
      <w:proofErr w:type="spellEnd"/>
      <w:r w:rsidRPr="009D198D">
        <w:rPr>
          <w:rFonts w:ascii="Arial" w:eastAsia="Calibri" w:hAnsi="Arial" w:cs="Arial"/>
          <w:sz w:val="22"/>
          <w:szCs w:val="22"/>
          <w:lang w:val="es-ES_tradnl"/>
        </w:rPr>
        <w:t>, a más tardar un día hábil antes de la apertura del proceso de selección.</w:t>
      </w:r>
    </w:p>
    <w:p w14:paraId="1A891923" w14:textId="77777777" w:rsidR="00C475BA" w:rsidRPr="009D198D" w:rsidRDefault="00C475BA" w:rsidP="00C475BA">
      <w:pPr>
        <w:spacing w:before="120" w:line="276" w:lineRule="auto"/>
        <w:ind w:firstLine="709"/>
        <w:jc w:val="both"/>
        <w:rPr>
          <w:rFonts w:ascii="Arial" w:eastAsia="Calibri" w:hAnsi="Arial" w:cs="Arial"/>
          <w:sz w:val="22"/>
          <w:szCs w:val="22"/>
          <w:lang w:val="es-ES_tradnl"/>
        </w:rPr>
      </w:pPr>
      <w:r w:rsidRPr="009D198D">
        <w:rPr>
          <w:rFonts w:ascii="Arial" w:eastAsia="Calibri" w:hAnsi="Arial" w:cs="Arial"/>
          <w:sz w:val="22"/>
          <w:szCs w:val="22"/>
          <w:lang w:val="es-ES_tradnl"/>
        </w:rPr>
        <w:t xml:space="preserve">Las diferencias evidenciadas son suficientes para mostrar que, </w:t>
      </w:r>
      <w:bookmarkStart w:id="23" w:name="_Hlk81295413"/>
      <w:r w:rsidRPr="009D198D">
        <w:rPr>
          <w:rFonts w:ascii="Arial" w:eastAsia="Calibri" w:hAnsi="Arial" w:cs="Arial"/>
          <w:sz w:val="22"/>
          <w:szCs w:val="22"/>
          <w:lang w:val="es-ES_tradnl"/>
        </w:rPr>
        <w:t xml:space="preserve">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9D198D">
        <w:rPr>
          <w:rFonts w:ascii="Arial" w:eastAsia="Calibri" w:hAnsi="Arial" w:cs="Arial"/>
          <w:sz w:val="22"/>
          <w:szCs w:val="22"/>
          <w:lang w:val="es-ES_tradnl"/>
        </w:rPr>
        <w:t>esta</w:t>
      </w:r>
      <w:proofErr w:type="spellEnd"/>
      <w:r w:rsidRPr="009D198D">
        <w:rPr>
          <w:rFonts w:ascii="Arial" w:eastAsia="Calibri" w:hAnsi="Arial" w:cs="Arial"/>
          <w:sz w:val="22"/>
          <w:szCs w:val="22"/>
          <w:lang w:val="es-ES_tradnl"/>
        </w:rPr>
        <w:t xml:space="preserve"> «deroga […] todas las disposiciones que le sean contrarias». Entonces, además del decaimiento del artículo 2.2.1.2.4.2.2. del Decreto 1082 de 2015, debe entenderse que esta norma está derogada.</w:t>
      </w:r>
      <w:bookmarkEnd w:id="23"/>
    </w:p>
    <w:p w14:paraId="78992F9D" w14:textId="06B505CA" w:rsidR="00FC238F" w:rsidRPr="009D198D" w:rsidRDefault="00F5650C" w:rsidP="00B079B1">
      <w:pPr>
        <w:shd w:val="clear" w:color="auto" w:fill="FFFFFF"/>
        <w:spacing w:before="120" w:line="276" w:lineRule="auto"/>
        <w:ind w:right="51" w:firstLine="709"/>
        <w:jc w:val="both"/>
        <w:rPr>
          <w:rFonts w:ascii="Arial" w:eastAsia="Calibri" w:hAnsi="Arial" w:cs="Arial"/>
          <w:sz w:val="22"/>
          <w:szCs w:val="22"/>
          <w:lang w:val="es-ES_tradnl"/>
        </w:rPr>
      </w:pPr>
      <w:r w:rsidRPr="009D198D">
        <w:rPr>
          <w:rFonts w:ascii="Arial" w:eastAsia="Calibri" w:hAnsi="Arial" w:cs="Arial"/>
          <w:color w:val="000000" w:themeColor="text1"/>
          <w:sz w:val="22"/>
          <w:szCs w:val="22"/>
          <w:lang w:val="es-ES_tradnl"/>
        </w:rPr>
        <w:t xml:space="preserve">Por último, no es válido aducir que los apartados normativos del artículo 2.2.1.2.4.2.2. </w:t>
      </w:r>
      <w:r w:rsidR="009E694C" w:rsidRPr="009D198D">
        <w:rPr>
          <w:rFonts w:ascii="Arial" w:eastAsia="Calibri" w:hAnsi="Arial" w:cs="Arial"/>
          <w:color w:val="000000" w:themeColor="text1"/>
          <w:sz w:val="22"/>
          <w:szCs w:val="22"/>
          <w:lang w:val="es-ES_tradnl"/>
        </w:rPr>
        <w:t xml:space="preserve">original </w:t>
      </w:r>
      <w:r w:rsidRPr="009D198D">
        <w:rPr>
          <w:rFonts w:ascii="Arial" w:eastAsia="Calibri" w:hAnsi="Arial" w:cs="Arial"/>
          <w:color w:val="000000" w:themeColor="text1"/>
          <w:sz w:val="22"/>
          <w:szCs w:val="22"/>
          <w:lang w:val="es-ES_tradnl"/>
        </w:rPr>
        <w:t xml:space="preserve">del Decreto 1082 de 2015 </w:t>
      </w:r>
      <w:r w:rsidR="009E694C" w:rsidRPr="009D198D">
        <w:rPr>
          <w:rFonts w:ascii="Arial" w:eastAsia="Calibri" w:hAnsi="Arial" w:cs="Arial"/>
          <w:color w:val="000000" w:themeColor="text1"/>
          <w:sz w:val="22"/>
          <w:szCs w:val="22"/>
          <w:lang w:val="es-ES_tradnl"/>
        </w:rPr>
        <w:t xml:space="preserve">–antes de la modificación realizada por el </w:t>
      </w:r>
      <w:r w:rsidR="009E694C" w:rsidRPr="009D198D">
        <w:rPr>
          <w:rFonts w:ascii="Arial" w:eastAsia="Calibri" w:hAnsi="Arial" w:cs="Arial"/>
          <w:color w:val="000000" w:themeColor="text1"/>
          <w:sz w:val="22"/>
          <w:szCs w:val="22"/>
          <w:lang w:val="es-ES_tradnl"/>
        </w:rPr>
        <w:lastRenderedPageBreak/>
        <w:t xml:space="preserve">Decreto 1860 de 2021– </w:t>
      </w:r>
      <w:r w:rsidRPr="009D198D">
        <w:rPr>
          <w:rFonts w:ascii="Arial" w:eastAsia="Calibri" w:hAnsi="Arial" w:cs="Arial"/>
          <w:color w:val="000000" w:themeColor="text1"/>
          <w:sz w:val="22"/>
          <w:szCs w:val="22"/>
          <w:lang w:val="es-ES_tradnl"/>
        </w:rPr>
        <w:t xml:space="preserve">que, en su texto, no sean contrarios a la nueva regulación contenida en el artículo 34 de la Ley 2069 de 2020 pueden seguirse aplicando. Esta afirmación no es admisible, porque el artículo 34, </w:t>
      </w:r>
      <w:r w:rsidR="00FC238F" w:rsidRPr="009D198D">
        <w:rPr>
          <w:rFonts w:ascii="Arial" w:eastAsia="Calibri" w:hAnsi="Arial" w:cs="Arial"/>
          <w:color w:val="000000" w:themeColor="text1"/>
          <w:sz w:val="22"/>
          <w:szCs w:val="22"/>
          <w:lang w:val="es-ES_tradnl"/>
        </w:rPr>
        <w:t xml:space="preserve">reiteradamente, señala que el gobierno nacional debe definir las condiciones para la aplicación de las reglas expedidas, que permitan llevar a cabo las convocatorias limitadas a </w:t>
      </w:r>
      <w:proofErr w:type="spellStart"/>
      <w:r w:rsidR="00B10E6C" w:rsidRPr="009D198D">
        <w:rPr>
          <w:rFonts w:ascii="Arial" w:eastAsia="Calibri" w:hAnsi="Arial" w:cs="Arial"/>
          <w:color w:val="000000" w:themeColor="text1"/>
          <w:sz w:val="22"/>
          <w:szCs w:val="22"/>
          <w:lang w:val="es-ES_tradnl"/>
        </w:rPr>
        <w:t>M</w:t>
      </w:r>
      <w:r w:rsidR="00FC238F" w:rsidRPr="009D198D">
        <w:rPr>
          <w:rFonts w:ascii="Arial" w:eastAsia="Calibri" w:hAnsi="Arial" w:cs="Arial"/>
          <w:color w:val="000000" w:themeColor="text1"/>
          <w:sz w:val="22"/>
          <w:szCs w:val="22"/>
          <w:lang w:val="es-ES_tradnl"/>
        </w:rPr>
        <w:t>ipymes</w:t>
      </w:r>
      <w:proofErr w:type="spellEnd"/>
      <w:r w:rsidR="00FC238F" w:rsidRPr="009D198D">
        <w:rPr>
          <w:rFonts w:ascii="Arial" w:eastAsia="Calibri" w:hAnsi="Arial" w:cs="Arial"/>
          <w:color w:val="000000" w:themeColor="text1"/>
          <w:sz w:val="22"/>
          <w:szCs w:val="22"/>
          <w:lang w:val="es-ES_tradnl"/>
        </w:rPr>
        <w:t xml:space="preserve">, lo cual demuestra la voluntad legislativa de establecer la necesidad de una nueva reglamentación de la materia. En tal sentido, las entidades estatales, los patrimonios autónomos constituidos por estas y los particulares que ejecuten recursos públicos, no pueden adoptar convocatorias limitadas a </w:t>
      </w:r>
      <w:proofErr w:type="spellStart"/>
      <w:r w:rsidR="00B10E6C" w:rsidRPr="009D198D">
        <w:rPr>
          <w:rFonts w:ascii="Arial" w:eastAsia="Calibri" w:hAnsi="Arial" w:cs="Arial"/>
          <w:color w:val="000000" w:themeColor="text1"/>
          <w:sz w:val="22"/>
          <w:szCs w:val="22"/>
          <w:lang w:val="es-ES_tradnl"/>
        </w:rPr>
        <w:t>M</w:t>
      </w:r>
      <w:r w:rsidR="00FC238F" w:rsidRPr="009D198D">
        <w:rPr>
          <w:rFonts w:ascii="Arial" w:eastAsia="Calibri" w:hAnsi="Arial" w:cs="Arial"/>
          <w:color w:val="000000" w:themeColor="text1"/>
          <w:sz w:val="22"/>
          <w:szCs w:val="22"/>
          <w:lang w:val="es-ES_tradnl"/>
        </w:rPr>
        <w:t>ipymes</w:t>
      </w:r>
      <w:proofErr w:type="spellEnd"/>
      <w:r w:rsidR="00FC238F" w:rsidRPr="009D198D">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00B7377E" w:rsidRPr="009D198D">
        <w:rPr>
          <w:rFonts w:ascii="Arial" w:eastAsia="Calibri" w:hAnsi="Arial" w:cs="Arial"/>
          <w:color w:val="000000" w:themeColor="text1"/>
          <w:sz w:val="22"/>
          <w:szCs w:val="22"/>
          <w:lang w:val="es-ES_tradnl"/>
        </w:rPr>
        <w:t xml:space="preserve">  </w:t>
      </w:r>
    </w:p>
    <w:p w14:paraId="0E80CB48" w14:textId="50FD1AFE" w:rsidR="00FC238F" w:rsidRPr="009D198D" w:rsidRDefault="00FC238F" w:rsidP="005941C1">
      <w:pPr>
        <w:spacing w:before="120" w:line="276" w:lineRule="auto"/>
        <w:ind w:firstLine="709"/>
        <w:jc w:val="both"/>
        <w:rPr>
          <w:rFonts w:ascii="Arial" w:hAnsi="Arial" w:cs="Arial"/>
          <w:color w:val="000000" w:themeColor="text1"/>
          <w:sz w:val="22"/>
          <w:szCs w:val="22"/>
        </w:rPr>
      </w:pPr>
      <w:r w:rsidRPr="009D198D">
        <w:rPr>
          <w:rFonts w:ascii="Arial" w:hAnsi="Arial" w:cs="Arial"/>
          <w:color w:val="000000" w:themeColor="text1"/>
          <w:sz w:val="22"/>
          <w:szCs w:val="22"/>
          <w:lang w:val="es-ES_tradnl"/>
        </w:rPr>
        <w:t xml:space="preserve">A este respecto, es necesario precisar que en desarrollo de la Ley 2069 de 2020 el gobierno nacional expidió el Decreto </w:t>
      </w:r>
      <w:r w:rsidRPr="009D198D">
        <w:rPr>
          <w:rFonts w:ascii="Arial" w:hAnsi="Arial" w:cs="Arial"/>
          <w:color w:val="000000" w:themeColor="text1"/>
          <w:sz w:val="22"/>
          <w:szCs w:val="22"/>
          <w:lang w:val="es-MX"/>
        </w:rPr>
        <w:t>1860 del 24 de diciembre de 2021</w:t>
      </w:r>
      <w:r w:rsidRPr="009D198D">
        <w:rPr>
          <w:rFonts w:ascii="Arial" w:hAnsi="Arial" w:cs="Arial"/>
          <w:color w:val="000000" w:themeColor="text1"/>
          <w:sz w:val="22"/>
          <w:szCs w:val="22"/>
          <w:lang w:val="es-ES_tradnl"/>
        </w:rPr>
        <w:t xml:space="preserve"> mediante el cual se reglamentan los artículos 30,</w:t>
      </w:r>
      <w:r w:rsidRPr="009D198D">
        <w:rPr>
          <w:rFonts w:ascii="Arial" w:hAnsi="Arial" w:cs="Arial"/>
          <w:color w:val="000000" w:themeColor="text1"/>
          <w:sz w:val="19"/>
          <w:szCs w:val="19"/>
          <w:lang w:val="es-MX"/>
        </w:rPr>
        <w:t xml:space="preserve"> </w:t>
      </w:r>
      <w:r w:rsidRPr="009D198D">
        <w:rPr>
          <w:rFonts w:ascii="Arial" w:hAnsi="Arial" w:cs="Arial"/>
          <w:color w:val="000000" w:themeColor="text1"/>
          <w:sz w:val="22"/>
          <w:szCs w:val="22"/>
          <w:lang w:val="es-MX"/>
        </w:rPr>
        <w:t>31, 32, 34 y 35 de la Ley 2069 de 2020, en lo relativo al sistema de compras públicas. Concretamente, frente a l</w:t>
      </w:r>
      <w:r w:rsidR="00DE339D" w:rsidRPr="009D198D">
        <w:rPr>
          <w:rFonts w:ascii="Arial" w:hAnsi="Arial" w:cs="Arial"/>
          <w:color w:val="000000" w:themeColor="text1"/>
          <w:sz w:val="22"/>
          <w:szCs w:val="22"/>
          <w:lang w:val="es-MX"/>
        </w:rPr>
        <w:t xml:space="preserve">as convocatorias limitadas a </w:t>
      </w:r>
      <w:proofErr w:type="spellStart"/>
      <w:r w:rsidR="005941C1" w:rsidRPr="009D198D">
        <w:rPr>
          <w:rFonts w:ascii="Arial" w:hAnsi="Arial" w:cs="Arial"/>
          <w:color w:val="000000" w:themeColor="text1"/>
          <w:sz w:val="22"/>
          <w:szCs w:val="22"/>
          <w:lang w:val="es-MX"/>
        </w:rPr>
        <w:t>M</w:t>
      </w:r>
      <w:r w:rsidR="00DE339D" w:rsidRPr="009D198D">
        <w:rPr>
          <w:rFonts w:ascii="Arial" w:hAnsi="Arial" w:cs="Arial"/>
          <w:color w:val="000000" w:themeColor="text1"/>
          <w:sz w:val="22"/>
          <w:szCs w:val="22"/>
          <w:lang w:val="es-MX"/>
        </w:rPr>
        <w:t>ipymes</w:t>
      </w:r>
      <w:proofErr w:type="spellEnd"/>
      <w:r w:rsidRPr="009D198D">
        <w:rPr>
          <w:rFonts w:ascii="Arial" w:hAnsi="Arial" w:cs="Arial"/>
          <w:color w:val="000000" w:themeColor="text1"/>
          <w:sz w:val="22"/>
          <w:szCs w:val="22"/>
          <w:lang w:val="es-MX"/>
        </w:rPr>
        <w:t xml:space="preserve"> </w:t>
      </w:r>
      <w:r w:rsidR="006228A6" w:rsidRPr="009D198D">
        <w:rPr>
          <w:rFonts w:ascii="Arial" w:hAnsi="Arial" w:cs="Arial"/>
          <w:color w:val="000000" w:themeColor="text1"/>
          <w:sz w:val="22"/>
          <w:szCs w:val="22"/>
          <w:lang w:val="es-MX"/>
        </w:rPr>
        <w:t>d</w:t>
      </w:r>
      <w:r w:rsidRPr="009D198D">
        <w:rPr>
          <w:rFonts w:ascii="Arial" w:hAnsi="Arial" w:cs="Arial"/>
          <w:color w:val="000000" w:themeColor="text1"/>
          <w:sz w:val="22"/>
          <w:szCs w:val="22"/>
          <w:lang w:val="es-MX"/>
        </w:rPr>
        <w:t>el artículo 3</w:t>
      </w:r>
      <w:r w:rsidR="001620E1" w:rsidRPr="009D198D">
        <w:rPr>
          <w:rFonts w:ascii="Arial" w:hAnsi="Arial" w:cs="Arial"/>
          <w:color w:val="000000" w:themeColor="text1"/>
          <w:sz w:val="22"/>
          <w:szCs w:val="22"/>
          <w:lang w:val="es-MX"/>
        </w:rPr>
        <w:t>4</w:t>
      </w:r>
      <w:r w:rsidRPr="009D198D">
        <w:rPr>
          <w:rFonts w:ascii="Arial" w:hAnsi="Arial" w:cs="Arial"/>
          <w:color w:val="000000" w:themeColor="text1"/>
          <w:sz w:val="22"/>
          <w:szCs w:val="22"/>
          <w:lang w:val="es-MX"/>
        </w:rPr>
        <w:t xml:space="preserve">, el Decreto </w:t>
      </w:r>
      <w:r w:rsidR="005941C1" w:rsidRPr="009D198D">
        <w:rPr>
          <w:rFonts w:ascii="Arial" w:hAnsi="Arial" w:cs="Arial"/>
          <w:color w:val="000000" w:themeColor="text1"/>
          <w:sz w:val="22"/>
          <w:szCs w:val="22"/>
        </w:rPr>
        <w:t xml:space="preserve">definió las condiciones y los montos para la adopción de convocatorias limitadas a </w:t>
      </w:r>
      <w:proofErr w:type="spellStart"/>
      <w:r w:rsidR="005941C1" w:rsidRPr="009D198D">
        <w:rPr>
          <w:rFonts w:ascii="Arial" w:hAnsi="Arial" w:cs="Arial"/>
          <w:color w:val="000000" w:themeColor="text1"/>
          <w:sz w:val="22"/>
          <w:szCs w:val="22"/>
        </w:rPr>
        <w:t>Mipyme</w:t>
      </w:r>
      <w:proofErr w:type="spellEnd"/>
      <w:r w:rsidR="005941C1" w:rsidRPr="009D198D">
        <w:rPr>
          <w:rFonts w:ascii="Arial" w:hAnsi="Arial" w:cs="Arial"/>
          <w:color w:val="000000" w:themeColor="text1"/>
          <w:sz w:val="22"/>
          <w:szCs w:val="22"/>
        </w:rPr>
        <w:t>, las limitaciones territoriales y la acreditación de los requisitos para participar en convocatorias limitadas</w:t>
      </w:r>
      <w:r w:rsidRPr="009D198D">
        <w:rPr>
          <w:rFonts w:ascii="Arial" w:hAnsi="Arial" w:cs="Arial"/>
          <w:color w:val="000000" w:themeColor="text1"/>
          <w:sz w:val="22"/>
          <w:szCs w:val="22"/>
        </w:rPr>
        <w:t>.</w:t>
      </w:r>
      <w:r w:rsidRPr="009D198D">
        <w:rPr>
          <w:rFonts w:ascii="Arial" w:hAnsi="Arial" w:cs="Arial"/>
          <w:color w:val="000000" w:themeColor="text1"/>
          <w:sz w:val="22"/>
          <w:szCs w:val="22"/>
          <w:lang w:val="es-MX"/>
        </w:rPr>
        <w:t xml:space="preserve"> </w:t>
      </w:r>
      <w:r w:rsidRPr="009D198D">
        <w:rPr>
          <w:rFonts w:ascii="Arial" w:eastAsia="Calibri" w:hAnsi="Arial" w:cs="Arial"/>
          <w:color w:val="000000" w:themeColor="text1"/>
          <w:sz w:val="22"/>
          <w:szCs w:val="22"/>
          <w:lang w:val="es-ES_tradnl"/>
        </w:rPr>
        <w:t xml:space="preserve">Por ello, mediante el artículo </w:t>
      </w:r>
      <w:r w:rsidR="005941C1" w:rsidRPr="009D198D">
        <w:rPr>
          <w:rFonts w:ascii="Arial" w:eastAsia="Calibri" w:hAnsi="Arial" w:cs="Arial"/>
          <w:color w:val="000000" w:themeColor="text1"/>
          <w:sz w:val="22"/>
          <w:szCs w:val="22"/>
          <w:lang w:val="es-ES_tradnl"/>
        </w:rPr>
        <w:t>5</w:t>
      </w:r>
      <w:r w:rsidRPr="009D198D">
        <w:rPr>
          <w:rFonts w:ascii="Arial" w:eastAsia="Calibri" w:hAnsi="Arial" w:cs="Arial"/>
          <w:color w:val="000000" w:themeColor="text1"/>
          <w:sz w:val="22"/>
          <w:szCs w:val="22"/>
          <w:lang w:val="es-ES_tradnl"/>
        </w:rPr>
        <w:t xml:space="preserve"> </w:t>
      </w:r>
      <w:r w:rsidR="005941C1" w:rsidRPr="009D198D">
        <w:rPr>
          <w:rFonts w:ascii="Arial" w:eastAsia="Calibri" w:hAnsi="Arial" w:cs="Arial"/>
          <w:color w:val="000000" w:themeColor="text1"/>
          <w:sz w:val="22"/>
          <w:szCs w:val="22"/>
          <w:lang w:val="es-ES_tradnl"/>
        </w:rPr>
        <w:t>se modificaron los artículos 2.2.1.2.4.2.2., 2.2.1.2.4.2.3. y 2.2.1.2.4.2.4. de la Subsección 2 de la Sección 4 del Capítulo 2 del Título 1 de la Parte 2 del Libro 2 del Decreto 1082 de 2015.</w:t>
      </w:r>
    </w:p>
    <w:p w14:paraId="163625C2" w14:textId="2A8CDBDF" w:rsidR="00FC238F" w:rsidRPr="009D198D" w:rsidRDefault="00FC238F" w:rsidP="00FC238F">
      <w:pPr>
        <w:spacing w:before="120" w:line="276" w:lineRule="auto"/>
        <w:ind w:firstLine="709"/>
        <w:jc w:val="both"/>
        <w:rPr>
          <w:rFonts w:ascii="Arial" w:eastAsia="Arial" w:hAnsi="Arial" w:cs="Arial"/>
          <w:bCs/>
          <w:sz w:val="22"/>
          <w:szCs w:val="22"/>
          <w:lang w:val="es-ES_tradnl" w:eastAsia="es-ES" w:bidi="es-ES"/>
        </w:rPr>
      </w:pPr>
      <w:r w:rsidRPr="009D198D">
        <w:rPr>
          <w:rFonts w:ascii="Arial" w:hAnsi="Arial" w:cs="Arial"/>
          <w:color w:val="000000" w:themeColor="text1"/>
          <w:sz w:val="22"/>
          <w:szCs w:val="22"/>
          <w:lang w:val="es-ES_tradnl"/>
        </w:rPr>
        <w:t xml:space="preserve">Conforme el artículo 8 del Decreto 1860 de 2021, </w:t>
      </w:r>
      <w:r w:rsidRPr="009D198D">
        <w:rPr>
          <w:rFonts w:ascii="Arial" w:hAnsi="Arial" w:cs="Arial"/>
          <w:color w:val="000000" w:themeColor="text1"/>
          <w:sz w:val="22"/>
          <w:szCs w:val="22"/>
        </w:rPr>
        <w:t>las disposiciones contenidas en dicho decreto se aplicarán a los procedimientos de selección cuya invitación, aviso de convocatoria o documento equivalente se publique a los tres (3) meses contados a partir de su expedición. Por tanto, la</w:t>
      </w:r>
      <w:r w:rsidR="00C54F51" w:rsidRPr="009D198D">
        <w:rPr>
          <w:rFonts w:ascii="Arial" w:hAnsi="Arial" w:cs="Arial"/>
          <w:color w:val="000000" w:themeColor="text1"/>
          <w:sz w:val="22"/>
          <w:szCs w:val="22"/>
        </w:rPr>
        <w:t>s</w:t>
      </w:r>
      <w:r w:rsidRPr="009D198D">
        <w:rPr>
          <w:rFonts w:ascii="Arial" w:hAnsi="Arial" w:cs="Arial"/>
          <w:color w:val="000000" w:themeColor="text1"/>
          <w:sz w:val="22"/>
          <w:szCs w:val="22"/>
        </w:rPr>
        <w:t xml:space="preserve"> </w:t>
      </w:r>
      <w:r w:rsidR="00C54F51" w:rsidRPr="009D198D">
        <w:rPr>
          <w:rFonts w:ascii="Arial" w:hAnsi="Arial" w:cs="Arial"/>
          <w:color w:val="000000" w:themeColor="text1"/>
          <w:sz w:val="22"/>
          <w:szCs w:val="22"/>
        </w:rPr>
        <w:t xml:space="preserve">convocatorias limitadas a </w:t>
      </w:r>
      <w:proofErr w:type="spellStart"/>
      <w:r w:rsidR="00C54F51" w:rsidRPr="009D198D">
        <w:rPr>
          <w:rFonts w:ascii="Arial" w:hAnsi="Arial" w:cs="Arial"/>
          <w:color w:val="000000" w:themeColor="text1"/>
          <w:sz w:val="22"/>
          <w:szCs w:val="22"/>
        </w:rPr>
        <w:t>Mipyme</w:t>
      </w:r>
      <w:proofErr w:type="spellEnd"/>
      <w:r w:rsidR="00C54F51" w:rsidRPr="009D198D">
        <w:rPr>
          <w:rFonts w:ascii="Arial" w:hAnsi="Arial" w:cs="Arial"/>
          <w:color w:val="000000" w:themeColor="text1"/>
          <w:sz w:val="22"/>
          <w:szCs w:val="22"/>
        </w:rPr>
        <w:t xml:space="preserve"> </w:t>
      </w:r>
      <w:r w:rsidRPr="009D198D">
        <w:rPr>
          <w:rFonts w:ascii="Arial" w:hAnsi="Arial" w:cs="Arial"/>
          <w:color w:val="000000" w:themeColor="text1"/>
          <w:sz w:val="22"/>
          <w:szCs w:val="22"/>
        </w:rPr>
        <w:t xml:space="preserve">establecida en este </w:t>
      </w:r>
      <w:r w:rsidR="00C54F51" w:rsidRPr="009D198D">
        <w:rPr>
          <w:rFonts w:ascii="Arial" w:hAnsi="Arial" w:cs="Arial"/>
          <w:color w:val="000000" w:themeColor="text1"/>
          <w:sz w:val="22"/>
          <w:szCs w:val="22"/>
        </w:rPr>
        <w:t>D</w:t>
      </w:r>
      <w:r w:rsidRPr="009D198D">
        <w:rPr>
          <w:rFonts w:ascii="Arial" w:hAnsi="Arial" w:cs="Arial"/>
          <w:color w:val="000000" w:themeColor="text1"/>
          <w:sz w:val="22"/>
          <w:szCs w:val="22"/>
        </w:rPr>
        <w:t>ecreto deberá ser aplicada a los procedimientos de selección cuya invitación, aviso de convocatoria o documento equivalente se publique con posterioridad al 24 de marzo de 2022</w:t>
      </w:r>
      <w:r w:rsidR="00F5650C" w:rsidRPr="009D198D">
        <w:rPr>
          <w:rFonts w:ascii="Arial" w:hAnsi="Arial" w:cs="Arial"/>
          <w:color w:val="000000" w:themeColor="text1"/>
          <w:sz w:val="22"/>
          <w:szCs w:val="22"/>
        </w:rPr>
        <w:t>.</w:t>
      </w:r>
    </w:p>
    <w:p w14:paraId="1E8EA1C2" w14:textId="5C56A356" w:rsidR="00C54F51" w:rsidRPr="009D198D" w:rsidRDefault="00C54F51" w:rsidP="00C54F51">
      <w:pPr>
        <w:spacing w:before="120" w:line="276" w:lineRule="auto"/>
        <w:ind w:firstLine="709"/>
        <w:jc w:val="both"/>
        <w:rPr>
          <w:rFonts w:ascii="Arial" w:eastAsia="Arial" w:hAnsi="Arial" w:cs="Arial"/>
          <w:bCs/>
          <w:sz w:val="22"/>
          <w:szCs w:val="22"/>
          <w:lang w:val="es-ES_tradnl" w:eastAsia="es-ES" w:bidi="es-ES"/>
        </w:rPr>
      </w:pPr>
      <w:r w:rsidRPr="009D198D">
        <w:rPr>
          <w:rFonts w:ascii="Arial" w:eastAsia="Arial" w:hAnsi="Arial" w:cs="Arial"/>
          <w:bCs/>
          <w:sz w:val="22"/>
          <w:szCs w:val="22"/>
          <w:lang w:val="es-ES_tradnl" w:eastAsia="es-ES" w:bidi="es-ES"/>
        </w:rPr>
        <w:t xml:space="preserve">Así las cosas, actualmente las entidades estatales, los patrimonios autónomos constituidos por estas y los particulares que ejecuten recursos públicos, no pueden adoptar convocatorias limitadas a </w:t>
      </w:r>
      <w:proofErr w:type="spellStart"/>
      <w:r w:rsidRPr="009D198D">
        <w:rPr>
          <w:rFonts w:ascii="Arial" w:eastAsia="Arial" w:hAnsi="Arial" w:cs="Arial"/>
          <w:bCs/>
          <w:sz w:val="22"/>
          <w:szCs w:val="22"/>
          <w:lang w:val="es-ES_tradnl" w:eastAsia="es-ES" w:bidi="es-ES"/>
        </w:rPr>
        <w:t>Mipymes</w:t>
      </w:r>
      <w:proofErr w:type="spellEnd"/>
      <w:r w:rsidRPr="009D198D">
        <w:rPr>
          <w:rFonts w:ascii="Arial" w:eastAsia="Arial" w:hAnsi="Arial" w:cs="Arial"/>
          <w:bCs/>
          <w:sz w:val="22"/>
          <w:szCs w:val="22"/>
          <w:lang w:val="es-ES_tradnl" w:eastAsia="es-ES" w:bidi="es-ES"/>
        </w:rPr>
        <w:t xml:space="preserve"> puesto que el artículo</w:t>
      </w:r>
      <w:r w:rsidR="00F5650C" w:rsidRPr="009D198D">
        <w:rPr>
          <w:rFonts w:ascii="Arial" w:eastAsia="Arial" w:hAnsi="Arial" w:cs="Arial"/>
          <w:bCs/>
          <w:sz w:val="22"/>
          <w:szCs w:val="22"/>
          <w:lang w:val="es-ES_tradnl" w:eastAsia="es-ES" w:bidi="es-ES"/>
        </w:rPr>
        <w:t xml:space="preserve"> 5 de la Ley 1860 de 2021 que modificó el artículo</w:t>
      </w:r>
      <w:r w:rsidRPr="009D198D">
        <w:rPr>
          <w:rFonts w:ascii="Arial" w:eastAsia="Arial" w:hAnsi="Arial" w:cs="Arial"/>
          <w:bCs/>
          <w:sz w:val="22"/>
          <w:szCs w:val="22"/>
          <w:lang w:val="es-ES_tradnl" w:eastAsia="es-ES" w:bidi="es-ES"/>
        </w:rPr>
        <w:t xml:space="preserve"> 2.2.1.2.4.2.2 del Decreto 1082 de 2015 </w:t>
      </w:r>
      <w:proofErr w:type="gramStart"/>
      <w:r w:rsidR="00F5650C" w:rsidRPr="009D198D">
        <w:rPr>
          <w:rFonts w:ascii="Arial" w:eastAsia="Arial" w:hAnsi="Arial" w:cs="Arial"/>
          <w:bCs/>
          <w:sz w:val="22"/>
          <w:szCs w:val="22"/>
          <w:lang w:val="es-ES_tradnl" w:eastAsia="es-ES" w:bidi="es-ES"/>
        </w:rPr>
        <w:t>entrará en vigencia</w:t>
      </w:r>
      <w:proofErr w:type="gramEnd"/>
      <w:r w:rsidR="00F5650C" w:rsidRPr="009D198D">
        <w:rPr>
          <w:rFonts w:ascii="Arial" w:eastAsia="Arial" w:hAnsi="Arial" w:cs="Arial"/>
          <w:bCs/>
          <w:sz w:val="22"/>
          <w:szCs w:val="22"/>
          <w:lang w:val="es-ES_tradnl" w:eastAsia="es-ES" w:bidi="es-ES"/>
        </w:rPr>
        <w:t xml:space="preserve"> para</w:t>
      </w:r>
      <w:r w:rsidR="00F5650C" w:rsidRPr="009D198D">
        <w:rPr>
          <w:rFonts w:ascii="Arial" w:hAnsi="Arial" w:cs="Arial"/>
          <w:color w:val="000000" w:themeColor="text1"/>
          <w:sz w:val="22"/>
          <w:szCs w:val="22"/>
        </w:rPr>
        <w:t xml:space="preserve"> los procedimientos de selección cuya invitación, aviso de convocatoria o documento equivalente se publique</w:t>
      </w:r>
      <w:r w:rsidR="00F5650C" w:rsidRPr="009D198D">
        <w:rPr>
          <w:rFonts w:ascii="Arial" w:eastAsia="Arial" w:hAnsi="Arial" w:cs="Arial"/>
          <w:bCs/>
          <w:sz w:val="22"/>
          <w:szCs w:val="22"/>
          <w:lang w:val="es-ES_tradnl" w:eastAsia="es-ES" w:bidi="es-ES"/>
        </w:rPr>
        <w:t xml:space="preserve"> </w:t>
      </w:r>
      <w:r w:rsidRPr="009D198D">
        <w:rPr>
          <w:rFonts w:ascii="Arial" w:eastAsia="Arial" w:hAnsi="Arial" w:cs="Arial"/>
          <w:bCs/>
          <w:sz w:val="22"/>
          <w:szCs w:val="22"/>
          <w:lang w:val="es-ES_tradnl" w:eastAsia="es-ES" w:bidi="es-ES"/>
        </w:rPr>
        <w:t>a partir del 24 de marzo de 2022.</w:t>
      </w:r>
      <w:r w:rsidR="00117E65" w:rsidRPr="009D198D">
        <w:rPr>
          <w:rFonts w:ascii="Arial" w:eastAsia="Arial" w:hAnsi="Arial" w:cs="Arial"/>
          <w:bCs/>
          <w:sz w:val="22"/>
          <w:szCs w:val="22"/>
          <w:lang w:val="es-ES_tradnl" w:eastAsia="es-ES" w:bidi="es-ES"/>
        </w:rPr>
        <w:t xml:space="preserve"> Para estos nuevos procesos</w:t>
      </w:r>
      <w:r w:rsidR="0064018D" w:rsidRPr="009D198D">
        <w:rPr>
          <w:rFonts w:ascii="Arial" w:eastAsia="Arial" w:hAnsi="Arial" w:cs="Arial"/>
          <w:bCs/>
          <w:sz w:val="22"/>
          <w:szCs w:val="22"/>
          <w:lang w:val="es-ES_tradnl" w:eastAsia="es-ES" w:bidi="es-ES"/>
        </w:rPr>
        <w:t xml:space="preserve"> que se inicien en el futuro</w:t>
      </w:r>
      <w:r w:rsidR="00117E65" w:rsidRPr="009D198D">
        <w:rPr>
          <w:rFonts w:ascii="Arial" w:eastAsia="Arial" w:hAnsi="Arial" w:cs="Arial"/>
          <w:bCs/>
          <w:sz w:val="22"/>
          <w:szCs w:val="22"/>
          <w:lang w:val="es-ES_tradnl" w:eastAsia="es-ES" w:bidi="es-ES"/>
        </w:rPr>
        <w:t>, la limitación de las convocatorias se realizará en los términos establecidos en el artículo 34 de la Ley 2069 de 2020 y el Decreto 1860 del 24 de diciembre de 2021, que modificó el Decreto 1082 de 2015.</w:t>
      </w:r>
      <w:r w:rsidRPr="009D198D">
        <w:rPr>
          <w:rFonts w:ascii="Arial" w:eastAsia="Arial" w:hAnsi="Arial" w:cs="Arial"/>
          <w:bCs/>
          <w:sz w:val="22"/>
          <w:szCs w:val="22"/>
          <w:lang w:val="es-ES_tradnl" w:eastAsia="es-ES" w:bidi="es-ES"/>
        </w:rPr>
        <w:t xml:space="preserve"> </w:t>
      </w:r>
    </w:p>
    <w:p w14:paraId="2552E673" w14:textId="6FA778AB" w:rsidR="00A357D5" w:rsidRPr="009D198D" w:rsidRDefault="00B7377E" w:rsidP="00C54F51">
      <w:pPr>
        <w:spacing w:line="276" w:lineRule="auto"/>
        <w:ind w:firstLine="709"/>
        <w:jc w:val="both"/>
        <w:rPr>
          <w:rFonts w:ascii="Arial" w:eastAsia="Arial" w:hAnsi="Arial" w:cs="Arial"/>
          <w:bCs/>
          <w:sz w:val="22"/>
          <w:szCs w:val="22"/>
          <w:lang w:val="es-ES_tradnl" w:eastAsia="es-ES" w:bidi="es-ES"/>
        </w:rPr>
      </w:pPr>
      <w:r w:rsidRPr="009D198D">
        <w:rPr>
          <w:rFonts w:ascii="Arial" w:eastAsia="Calibri" w:hAnsi="Arial" w:cs="Arial"/>
          <w:sz w:val="22"/>
          <w:szCs w:val="22"/>
          <w:lang w:val="es-ES_tradnl"/>
        </w:rPr>
        <w:t xml:space="preserve"> </w:t>
      </w:r>
    </w:p>
    <w:p w14:paraId="73470F51" w14:textId="7CC420CC" w:rsidR="002E2D4B" w:rsidRPr="009D198D" w:rsidRDefault="00A357D5" w:rsidP="00FC238F">
      <w:pPr>
        <w:spacing w:line="276" w:lineRule="auto"/>
        <w:ind w:right="51"/>
        <w:jc w:val="both"/>
        <w:rPr>
          <w:rFonts w:ascii="Arial" w:hAnsi="Arial" w:cs="Arial"/>
          <w:b/>
          <w:bCs/>
          <w:sz w:val="22"/>
        </w:rPr>
      </w:pPr>
      <w:r w:rsidRPr="009D198D">
        <w:rPr>
          <w:rFonts w:ascii="Arial" w:hAnsi="Arial" w:cs="Arial"/>
          <w:b/>
          <w:bCs/>
          <w:sz w:val="22"/>
        </w:rPr>
        <w:t>2.</w:t>
      </w:r>
      <w:r w:rsidR="002E2D4B" w:rsidRPr="009D198D">
        <w:rPr>
          <w:rFonts w:ascii="Arial" w:hAnsi="Arial" w:cs="Arial"/>
          <w:b/>
          <w:bCs/>
          <w:sz w:val="22"/>
        </w:rPr>
        <w:t>5</w:t>
      </w:r>
      <w:r w:rsidRPr="009D198D">
        <w:rPr>
          <w:rFonts w:ascii="Arial" w:hAnsi="Arial" w:cs="Arial"/>
          <w:b/>
          <w:bCs/>
          <w:sz w:val="22"/>
        </w:rPr>
        <w:t>. Principio de anualidad en la contratación estatal: generalidad y excepciones</w:t>
      </w:r>
    </w:p>
    <w:p w14:paraId="12F3DE0A" w14:textId="77777777" w:rsidR="002E2D4B" w:rsidRPr="009D198D" w:rsidRDefault="002E2D4B" w:rsidP="00FC238F">
      <w:pPr>
        <w:spacing w:line="276" w:lineRule="auto"/>
        <w:ind w:right="51"/>
        <w:jc w:val="both"/>
        <w:rPr>
          <w:rFonts w:ascii="Arial" w:hAnsi="Arial" w:cs="Arial"/>
          <w:b/>
          <w:bCs/>
          <w:sz w:val="22"/>
        </w:rPr>
      </w:pPr>
    </w:p>
    <w:p w14:paraId="01AF2D64" w14:textId="5230B1F0" w:rsidR="000673C4" w:rsidRPr="009D198D" w:rsidRDefault="00A357D5" w:rsidP="002060A6">
      <w:pPr>
        <w:shd w:val="clear" w:color="auto" w:fill="FFFFFF"/>
        <w:spacing w:line="276" w:lineRule="auto"/>
        <w:ind w:right="51"/>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lastRenderedPageBreak/>
        <w:t>Las entidades estatales deben sujetarse a los principios que rigen el sistema presupuestal, entre los cuales se encuentra el de anualidad del gasto público.</w:t>
      </w:r>
      <w:r w:rsidR="000673C4" w:rsidRPr="009D198D">
        <w:rPr>
          <w:rFonts w:ascii="Arial" w:eastAsia="Calibri" w:hAnsi="Arial" w:cs="Arial"/>
          <w:color w:val="000000" w:themeColor="text1"/>
          <w:sz w:val="22"/>
          <w:szCs w:val="22"/>
          <w:lang w:val="es-ES_tradnl"/>
        </w:rPr>
        <w:t xml:space="preserve"> Este principio encuentra fundamento constitucional </w:t>
      </w:r>
      <w:bookmarkStart w:id="24" w:name="_Hlk65717879"/>
      <w:r w:rsidR="00AF76C8" w:rsidRPr="009D198D">
        <w:rPr>
          <w:rFonts w:ascii="Arial" w:eastAsia="Calibri" w:hAnsi="Arial" w:cs="Arial"/>
          <w:color w:val="000000" w:themeColor="text1"/>
          <w:sz w:val="22"/>
          <w:szCs w:val="22"/>
          <w:lang w:val="es-ES_tradnl"/>
        </w:rPr>
        <w:t xml:space="preserve">en </w:t>
      </w:r>
      <w:r w:rsidR="000673C4" w:rsidRPr="009D198D">
        <w:rPr>
          <w:rFonts w:ascii="Arial" w:eastAsia="Calibri" w:hAnsi="Arial" w:cs="Arial"/>
          <w:bCs/>
          <w:color w:val="000000" w:themeColor="text1"/>
          <w:sz w:val="22"/>
          <w:szCs w:val="22"/>
          <w:lang w:val="es-ES_tradnl"/>
        </w:rPr>
        <w:t xml:space="preserve">el artículo 346 superior que contiene el régimen general del presupuesto </w:t>
      </w:r>
      <w:r w:rsidR="002C467F" w:rsidRPr="009D198D">
        <w:rPr>
          <w:rFonts w:ascii="Arial" w:eastAsia="Calibri" w:hAnsi="Arial" w:cs="Arial"/>
          <w:bCs/>
          <w:color w:val="000000" w:themeColor="text1"/>
          <w:sz w:val="22"/>
          <w:szCs w:val="22"/>
          <w:lang w:val="es-ES_tradnl"/>
        </w:rPr>
        <w:t xml:space="preserve">de </w:t>
      </w:r>
      <w:r w:rsidR="000673C4" w:rsidRPr="009D198D">
        <w:rPr>
          <w:rFonts w:ascii="Arial" w:eastAsia="Calibri" w:hAnsi="Arial" w:cs="Arial"/>
          <w:bCs/>
          <w:color w:val="000000" w:themeColor="text1"/>
          <w:sz w:val="22"/>
          <w:szCs w:val="22"/>
          <w:lang w:val="es-ES_tradnl"/>
        </w:rPr>
        <w:t>rentas y la ley de apropiaciones</w:t>
      </w:r>
      <w:r w:rsidR="000673C4" w:rsidRPr="009D198D">
        <w:rPr>
          <w:rFonts w:ascii="Arial" w:eastAsia="Calibri" w:hAnsi="Arial" w:cs="Arial"/>
          <w:bCs/>
          <w:color w:val="000000" w:themeColor="text1"/>
          <w:sz w:val="22"/>
          <w:szCs w:val="22"/>
          <w:vertAlign w:val="superscript"/>
          <w:lang w:val="es-ES_tradnl"/>
        </w:rPr>
        <w:footnoteReference w:id="48"/>
      </w:r>
      <w:r w:rsidR="000673C4" w:rsidRPr="009D198D">
        <w:rPr>
          <w:rFonts w:ascii="Arial" w:eastAsia="Calibri" w:hAnsi="Arial" w:cs="Arial"/>
          <w:bCs/>
          <w:color w:val="000000" w:themeColor="text1"/>
          <w:sz w:val="22"/>
          <w:szCs w:val="22"/>
          <w:lang w:val="es-ES_tradnl"/>
        </w:rPr>
        <w:t>, que deberá presentarse al Congreso dentro de los primeros diez días de cada legislatura, elaborarse y aprobarse dentro de un marco de sostenibilidad fiscal y corresponder al Plan Nacional de Desarrollo</w:t>
      </w:r>
      <w:r w:rsidR="000673C4" w:rsidRPr="009D198D">
        <w:rPr>
          <w:rFonts w:ascii="Arial" w:eastAsia="Calibri" w:hAnsi="Arial" w:cs="Arial"/>
          <w:bCs/>
          <w:color w:val="000000" w:themeColor="text1"/>
          <w:sz w:val="22"/>
          <w:szCs w:val="22"/>
          <w:vertAlign w:val="superscript"/>
          <w:lang w:val="es-ES_tradnl"/>
        </w:rPr>
        <w:footnoteReference w:id="49"/>
      </w:r>
      <w:r w:rsidR="000673C4" w:rsidRPr="009D198D">
        <w:rPr>
          <w:rFonts w:ascii="Arial" w:eastAsia="Calibri" w:hAnsi="Arial" w:cs="Arial"/>
          <w:bCs/>
          <w:color w:val="000000" w:themeColor="text1"/>
          <w:sz w:val="22"/>
          <w:szCs w:val="22"/>
          <w:lang w:val="es-ES_tradnl"/>
        </w:rPr>
        <w:t>. De conformidad con la misma norma constitucional, el presupuesto tiene vigencia anual y, por tanto, tienen como finalidad fijar los gastos y las rentas nacionales del Estado para la respectiva vigencia fiscal anual</w:t>
      </w:r>
      <w:bookmarkEnd w:id="24"/>
      <w:r w:rsidR="000673C4" w:rsidRPr="009D198D">
        <w:rPr>
          <w:rFonts w:ascii="Arial" w:eastAsia="Calibri" w:hAnsi="Arial" w:cs="Arial"/>
          <w:bCs/>
          <w:color w:val="000000" w:themeColor="text1"/>
          <w:sz w:val="22"/>
          <w:szCs w:val="22"/>
          <w:lang w:val="es-ES_tradnl"/>
        </w:rPr>
        <w:t>.</w:t>
      </w:r>
      <w:r w:rsidRPr="009D198D">
        <w:rPr>
          <w:rFonts w:ascii="Arial" w:eastAsia="Calibri" w:hAnsi="Arial" w:cs="Arial"/>
          <w:color w:val="000000" w:themeColor="text1"/>
          <w:sz w:val="22"/>
          <w:szCs w:val="22"/>
          <w:lang w:val="es-ES_tradnl"/>
        </w:rPr>
        <w:t xml:space="preserve"> </w:t>
      </w:r>
    </w:p>
    <w:p w14:paraId="7B103C91" w14:textId="77777777" w:rsidR="00975B40" w:rsidRPr="009D198D" w:rsidRDefault="00AF76C8" w:rsidP="00DA006F">
      <w:pPr>
        <w:shd w:val="clear" w:color="auto" w:fill="FFFFFF"/>
        <w:spacing w:before="120" w:line="276" w:lineRule="auto"/>
        <w:ind w:right="51" w:firstLine="709"/>
        <w:jc w:val="both"/>
        <w:rPr>
          <w:rFonts w:ascii="Arial" w:eastAsia="Calibri" w:hAnsi="Arial" w:cs="Arial"/>
          <w:sz w:val="22"/>
          <w:szCs w:val="22"/>
          <w:lang w:val="es-ES_tradnl"/>
        </w:rPr>
      </w:pPr>
      <w:r w:rsidRPr="009D198D">
        <w:rPr>
          <w:rFonts w:ascii="Arial" w:eastAsia="Calibri" w:hAnsi="Arial" w:cs="Arial"/>
          <w:color w:val="000000" w:themeColor="text1"/>
          <w:sz w:val="22"/>
          <w:szCs w:val="22"/>
          <w:lang w:val="es-ES_tradnl"/>
        </w:rPr>
        <w:t xml:space="preserve">En armonía con lo anterior, el </w:t>
      </w:r>
      <w:r w:rsidR="00A357D5" w:rsidRPr="009D198D">
        <w:rPr>
          <w:rFonts w:ascii="Arial" w:eastAsia="Calibri" w:hAnsi="Arial" w:cs="Arial"/>
          <w:color w:val="000000" w:themeColor="text1"/>
          <w:sz w:val="22"/>
          <w:szCs w:val="22"/>
          <w:lang w:val="es-ES_tradnl"/>
        </w:rPr>
        <w:t xml:space="preserve">Estatuto Orgánico del Presupuesto </w:t>
      </w:r>
      <w:r w:rsidRPr="009D198D">
        <w:rPr>
          <w:rFonts w:ascii="Arial" w:eastAsia="Calibri" w:hAnsi="Arial" w:cs="Arial"/>
          <w:color w:val="000000" w:themeColor="text1"/>
          <w:sz w:val="22"/>
          <w:szCs w:val="22"/>
          <w:lang w:val="es-ES_tradnl"/>
        </w:rPr>
        <w:t xml:space="preserve">consagra este principio en el artículo 14 </w:t>
      </w:r>
      <w:r w:rsidR="009C7E8D" w:rsidRPr="009D198D">
        <w:rPr>
          <w:rFonts w:ascii="Arial" w:eastAsia="Calibri" w:hAnsi="Arial" w:cs="Arial"/>
          <w:color w:val="000000" w:themeColor="text1"/>
          <w:sz w:val="22"/>
          <w:szCs w:val="22"/>
          <w:lang w:val="es-ES_tradnl"/>
        </w:rPr>
        <w:t xml:space="preserve">consistente </w:t>
      </w:r>
      <w:r w:rsidR="00A357D5" w:rsidRPr="009D198D">
        <w:rPr>
          <w:rFonts w:ascii="Arial" w:eastAsia="Calibri" w:hAnsi="Arial" w:cs="Arial"/>
          <w:color w:val="000000" w:themeColor="text1"/>
          <w:sz w:val="22"/>
          <w:szCs w:val="22"/>
          <w:lang w:val="es-ES_tradnl"/>
        </w:rPr>
        <w:t>en que</w:t>
      </w:r>
      <w:r w:rsidR="00471F12" w:rsidRPr="009D198D">
        <w:rPr>
          <w:rFonts w:ascii="Arial" w:eastAsia="Calibri" w:hAnsi="Arial" w:cs="Arial"/>
          <w:color w:val="000000" w:themeColor="text1"/>
          <w:sz w:val="22"/>
          <w:szCs w:val="22"/>
          <w:lang w:val="es-ES_tradnl"/>
        </w:rPr>
        <w:t xml:space="preserve"> </w:t>
      </w:r>
      <w:r w:rsidR="00471F12" w:rsidRPr="009D198D">
        <w:rPr>
          <w:rFonts w:ascii="Arial" w:eastAsia="Calibri" w:hAnsi="Arial" w:cs="Arial"/>
          <w:sz w:val="22"/>
          <w:szCs w:val="22"/>
          <w:lang w:val="es-ES_tradnl"/>
        </w:rPr>
        <w:t>«</w:t>
      </w:r>
      <w:r w:rsidR="00A357D5" w:rsidRPr="009D198D">
        <w:rPr>
          <w:rFonts w:ascii="Arial" w:eastAsia="Calibri" w:hAnsi="Arial" w:cs="Arial"/>
          <w:color w:val="000000" w:themeColor="text1"/>
          <w:sz w:val="22"/>
          <w:szCs w:val="22"/>
          <w:lang w:val="es-ES_tradnl"/>
        </w:rPr>
        <w:t>Después del 31 de diciembre no podrán asumirse compromisos con cargo a las apropiaciones del año fiscal que se cierra en esa fecha y los saldos de apropiación no afectados por compromisos caducarán sin excepción</w:t>
      </w:r>
      <w:r w:rsidR="00471F12" w:rsidRPr="009D198D">
        <w:rPr>
          <w:rFonts w:ascii="Arial" w:eastAsia="Calibri" w:hAnsi="Arial" w:cs="Arial"/>
          <w:sz w:val="22"/>
          <w:szCs w:val="22"/>
          <w:lang w:val="es-ES_tradnl"/>
        </w:rPr>
        <w:t>»</w:t>
      </w:r>
      <w:r w:rsidR="002060A6" w:rsidRPr="009D198D">
        <w:rPr>
          <w:rFonts w:ascii="Arial" w:eastAsia="Calibri" w:hAnsi="Arial" w:cs="Arial"/>
          <w:color w:val="000000" w:themeColor="text1"/>
          <w:sz w:val="22"/>
          <w:szCs w:val="22"/>
          <w:lang w:val="es-ES_tradnl"/>
        </w:rPr>
        <w:t xml:space="preserve">. </w:t>
      </w:r>
      <w:r w:rsidR="00A357D5" w:rsidRPr="009D198D">
        <w:rPr>
          <w:rFonts w:ascii="Arial" w:eastAsia="Calibri" w:hAnsi="Arial" w:cs="Arial"/>
          <w:color w:val="000000" w:themeColor="text1"/>
          <w:sz w:val="22"/>
          <w:szCs w:val="22"/>
          <w:lang w:val="es-ES_tradnl"/>
        </w:rPr>
        <w:t>Es decir, los gastos previstos en el presupuesto anual se deben ejecutar dentro de una vigencia fiscal</w:t>
      </w:r>
      <w:r w:rsidR="00471F12" w:rsidRPr="009D198D">
        <w:rPr>
          <w:rFonts w:ascii="Arial" w:eastAsia="Calibri" w:hAnsi="Arial" w:cs="Arial"/>
          <w:color w:val="000000" w:themeColor="text1"/>
          <w:sz w:val="22"/>
          <w:szCs w:val="22"/>
          <w:lang w:val="es-ES_tradnl"/>
        </w:rPr>
        <w:t xml:space="preserve"> comprendida entre el 1 de enero y el 31 de diciembre</w:t>
      </w:r>
      <w:r w:rsidR="0028189C" w:rsidRPr="009D198D">
        <w:rPr>
          <w:rStyle w:val="Refdenotaalpie"/>
          <w:rFonts w:ascii="Arial" w:eastAsia="Calibri" w:hAnsi="Arial" w:cs="Arial"/>
          <w:color w:val="000000" w:themeColor="text1"/>
          <w:sz w:val="22"/>
          <w:szCs w:val="22"/>
          <w:lang w:val="es-ES_tradnl"/>
        </w:rPr>
        <w:footnoteReference w:id="50"/>
      </w:r>
      <w:r w:rsidR="00A357D5" w:rsidRPr="009D198D">
        <w:rPr>
          <w:rFonts w:ascii="Arial" w:eastAsia="Calibri" w:hAnsi="Arial" w:cs="Arial"/>
          <w:color w:val="000000" w:themeColor="text1"/>
          <w:sz w:val="22"/>
          <w:szCs w:val="22"/>
          <w:lang w:val="es-ES_tradnl"/>
        </w:rPr>
        <w:t>.</w:t>
      </w:r>
      <w:r w:rsidRPr="009D198D">
        <w:rPr>
          <w:rFonts w:ascii="Arial" w:eastAsia="Calibri" w:hAnsi="Arial" w:cs="Arial"/>
          <w:color w:val="000000" w:themeColor="text1"/>
          <w:sz w:val="22"/>
          <w:szCs w:val="22"/>
        </w:rPr>
        <w:t xml:space="preserve"> En el </w:t>
      </w:r>
      <w:r w:rsidRPr="009D198D">
        <w:rPr>
          <w:rFonts w:ascii="Arial" w:eastAsia="Calibri" w:hAnsi="Arial" w:cs="Arial"/>
          <w:color w:val="000000" w:themeColor="text1"/>
          <w:sz w:val="22"/>
          <w:szCs w:val="22"/>
        </w:rPr>
        <w:lastRenderedPageBreak/>
        <w:t xml:space="preserve">mismo sentido, </w:t>
      </w:r>
      <w:r w:rsidR="00A357D5" w:rsidRPr="009D198D">
        <w:rPr>
          <w:rFonts w:ascii="Arial" w:eastAsia="Calibri" w:hAnsi="Arial" w:cs="Arial"/>
          <w:color w:val="000000" w:themeColor="text1"/>
          <w:sz w:val="22"/>
          <w:szCs w:val="22"/>
          <w:lang w:val="es-ES_tradnl"/>
        </w:rPr>
        <w:t>el artículo 8</w:t>
      </w:r>
      <w:r w:rsidR="00DE198D" w:rsidRPr="009D198D">
        <w:rPr>
          <w:rFonts w:ascii="Arial" w:eastAsia="Calibri" w:hAnsi="Arial" w:cs="Arial"/>
          <w:color w:val="000000" w:themeColor="text1"/>
          <w:sz w:val="22"/>
          <w:szCs w:val="22"/>
          <w:lang w:val="es-ES_tradnl"/>
        </w:rPr>
        <w:t>9</w:t>
      </w:r>
      <w:r w:rsidR="00A357D5" w:rsidRPr="009D198D">
        <w:rPr>
          <w:rFonts w:ascii="Arial" w:eastAsia="Calibri" w:hAnsi="Arial" w:cs="Arial"/>
          <w:color w:val="000000" w:themeColor="text1"/>
          <w:sz w:val="22"/>
          <w:szCs w:val="22"/>
          <w:lang w:val="es-ES_tradnl"/>
        </w:rPr>
        <w:t xml:space="preserve"> </w:t>
      </w:r>
      <w:r w:rsidR="00A357D5" w:rsidRPr="009D198D">
        <w:rPr>
          <w:rFonts w:ascii="Arial" w:eastAsia="Calibri" w:hAnsi="Arial" w:cs="Arial"/>
          <w:i/>
          <w:iCs/>
          <w:color w:val="000000" w:themeColor="text1"/>
          <w:sz w:val="22"/>
          <w:szCs w:val="22"/>
          <w:lang w:val="es-ES_tradnl"/>
        </w:rPr>
        <w:t>ibidem</w:t>
      </w:r>
      <w:r w:rsidR="00A357D5" w:rsidRPr="009D198D">
        <w:rPr>
          <w:rFonts w:ascii="Arial" w:eastAsia="Calibri" w:hAnsi="Arial" w:cs="Arial"/>
          <w:color w:val="000000" w:themeColor="text1"/>
          <w:sz w:val="22"/>
          <w:szCs w:val="22"/>
          <w:lang w:val="es-ES_tradnl"/>
        </w:rPr>
        <w:t xml:space="preserve"> </w:t>
      </w:r>
      <w:r w:rsidR="00562536" w:rsidRPr="009D198D">
        <w:rPr>
          <w:rFonts w:ascii="Arial" w:eastAsia="Calibri" w:hAnsi="Arial" w:cs="Arial"/>
          <w:color w:val="000000" w:themeColor="text1"/>
          <w:sz w:val="22"/>
          <w:szCs w:val="22"/>
          <w:lang w:val="es-ES_tradnl"/>
        </w:rPr>
        <w:t xml:space="preserve">consolida al principio de anualidad como regla general </w:t>
      </w:r>
      <w:r w:rsidR="00351981" w:rsidRPr="009D198D">
        <w:rPr>
          <w:rFonts w:ascii="Arial" w:eastAsia="Calibri" w:hAnsi="Arial" w:cs="Arial"/>
          <w:color w:val="000000" w:themeColor="text1"/>
          <w:sz w:val="22"/>
          <w:szCs w:val="22"/>
          <w:lang w:val="es-ES_tradnl"/>
        </w:rPr>
        <w:t xml:space="preserve">en la ejecución del gasto al establecer que </w:t>
      </w:r>
      <w:r w:rsidR="00562536" w:rsidRPr="009D198D">
        <w:rPr>
          <w:rFonts w:ascii="Arial" w:eastAsia="Calibri" w:hAnsi="Arial" w:cs="Arial"/>
          <w:sz w:val="22"/>
          <w:szCs w:val="22"/>
          <w:lang w:val="es-ES_tradnl"/>
        </w:rPr>
        <w:t>«</w:t>
      </w:r>
      <w:r w:rsidR="00A357D5" w:rsidRPr="009D198D">
        <w:rPr>
          <w:rFonts w:ascii="Arial" w:eastAsia="Calibri" w:hAnsi="Arial" w:cs="Arial"/>
          <w:color w:val="000000" w:themeColor="text1"/>
          <w:sz w:val="22"/>
          <w:szCs w:val="22"/>
          <w:lang w:val="es-ES_tradnl"/>
        </w:rPr>
        <w:t xml:space="preserve">las apropiaciones presupuestales </w:t>
      </w:r>
      <w:r w:rsidR="00562536" w:rsidRPr="009D198D">
        <w:rPr>
          <w:rFonts w:ascii="Arial" w:eastAsia="Calibri" w:hAnsi="Arial" w:cs="Arial"/>
          <w:color w:val="000000" w:themeColor="text1"/>
          <w:sz w:val="22"/>
          <w:szCs w:val="22"/>
          <w:lang w:val="es-ES_tradnl"/>
        </w:rPr>
        <w:t xml:space="preserve">incluidas en el Presupuesto General de la Nación </w:t>
      </w:r>
      <w:r w:rsidR="00A357D5" w:rsidRPr="009D198D">
        <w:rPr>
          <w:rFonts w:ascii="Arial" w:eastAsia="Calibri" w:hAnsi="Arial" w:cs="Arial"/>
          <w:color w:val="000000" w:themeColor="text1"/>
          <w:sz w:val="22"/>
          <w:szCs w:val="22"/>
          <w:lang w:val="es-ES_tradnl"/>
        </w:rPr>
        <w:t>son autorizaciones máximas de gasto que el Congreso aprueba para ser ejecutadas o comprometidas durante la vigencia fiscal respectiva, por lo que después del 31 de diciembre de cada año estas autorizaciones expiran y, en consecuencia, no podrán comprometerse, adicionarse</w:t>
      </w:r>
      <w:r w:rsidR="00562536" w:rsidRPr="009D198D">
        <w:rPr>
          <w:rFonts w:ascii="Arial" w:eastAsia="Calibri" w:hAnsi="Arial" w:cs="Arial"/>
          <w:color w:val="000000" w:themeColor="text1"/>
          <w:sz w:val="22"/>
          <w:szCs w:val="22"/>
          <w:lang w:val="es-ES_tradnl"/>
        </w:rPr>
        <w:t xml:space="preserve">, </w:t>
      </w:r>
      <w:r w:rsidR="00A357D5" w:rsidRPr="009D198D">
        <w:rPr>
          <w:rFonts w:ascii="Arial" w:eastAsia="Calibri" w:hAnsi="Arial" w:cs="Arial"/>
          <w:color w:val="000000" w:themeColor="text1"/>
          <w:sz w:val="22"/>
          <w:szCs w:val="22"/>
          <w:lang w:val="es-ES_tradnl"/>
        </w:rPr>
        <w:t>transferirse</w:t>
      </w:r>
      <w:r w:rsidR="00562536" w:rsidRPr="009D198D">
        <w:rPr>
          <w:rFonts w:ascii="Arial" w:eastAsia="Calibri" w:hAnsi="Arial" w:cs="Arial"/>
          <w:color w:val="000000" w:themeColor="text1"/>
          <w:sz w:val="22"/>
          <w:szCs w:val="22"/>
          <w:lang w:val="es-ES_tradnl"/>
        </w:rPr>
        <w:t xml:space="preserve">, ni </w:t>
      </w:r>
      <w:proofErr w:type="spellStart"/>
      <w:r w:rsidR="00562536" w:rsidRPr="009D198D">
        <w:rPr>
          <w:rFonts w:ascii="Arial" w:eastAsia="Calibri" w:hAnsi="Arial" w:cs="Arial"/>
          <w:color w:val="000000" w:themeColor="text1"/>
          <w:sz w:val="22"/>
          <w:szCs w:val="22"/>
          <w:lang w:val="es-ES_tradnl"/>
        </w:rPr>
        <w:t>contracreditarse</w:t>
      </w:r>
      <w:proofErr w:type="spellEnd"/>
      <w:r w:rsidR="00562536" w:rsidRPr="009D198D">
        <w:rPr>
          <w:rFonts w:ascii="Arial" w:eastAsia="Calibri" w:hAnsi="Arial" w:cs="Arial"/>
          <w:sz w:val="22"/>
          <w:szCs w:val="22"/>
          <w:lang w:val="es-ES_tradnl"/>
        </w:rPr>
        <w:t>»</w:t>
      </w:r>
      <w:r w:rsidR="004C6324" w:rsidRPr="009D198D">
        <w:rPr>
          <w:rFonts w:ascii="Arial" w:eastAsia="Calibri" w:hAnsi="Arial" w:cs="Arial"/>
          <w:sz w:val="22"/>
          <w:szCs w:val="22"/>
          <w:lang w:val="es-ES_tradnl"/>
        </w:rPr>
        <w:t>.</w:t>
      </w:r>
      <w:r w:rsidR="004401F9" w:rsidRPr="009D198D">
        <w:rPr>
          <w:rFonts w:ascii="Arial" w:eastAsia="Calibri" w:hAnsi="Arial" w:cs="Arial"/>
          <w:sz w:val="22"/>
          <w:szCs w:val="22"/>
          <w:lang w:val="es-ES_tradnl"/>
        </w:rPr>
        <w:t xml:space="preserve"> </w:t>
      </w:r>
    </w:p>
    <w:p w14:paraId="5D3F2C6F" w14:textId="21C4196D" w:rsidR="004C6324" w:rsidRPr="009D198D" w:rsidRDefault="008C3515" w:rsidP="00D6549E">
      <w:pPr>
        <w:shd w:val="clear" w:color="auto" w:fill="FFFFFF"/>
        <w:spacing w:before="120" w:line="276" w:lineRule="auto"/>
        <w:ind w:right="51" w:firstLine="993"/>
        <w:jc w:val="both"/>
        <w:rPr>
          <w:rFonts w:ascii="Arial" w:eastAsia="Calibri" w:hAnsi="Arial" w:cs="Arial"/>
          <w:sz w:val="22"/>
          <w:szCs w:val="22"/>
          <w:lang w:val="es-ES_tradnl"/>
        </w:rPr>
      </w:pPr>
      <w:r w:rsidRPr="009D198D">
        <w:rPr>
          <w:rFonts w:ascii="Arial" w:eastAsia="Calibri" w:hAnsi="Arial" w:cs="Arial"/>
          <w:sz w:val="22"/>
          <w:szCs w:val="22"/>
          <w:lang w:val="es-ES_tradnl"/>
        </w:rPr>
        <w:t>A su turno,</w:t>
      </w:r>
      <w:r w:rsidR="004401F9" w:rsidRPr="009D198D">
        <w:rPr>
          <w:rFonts w:ascii="Arial" w:eastAsia="Calibri" w:hAnsi="Arial" w:cs="Arial"/>
          <w:sz w:val="22"/>
          <w:szCs w:val="22"/>
          <w:lang w:val="es-ES_tradnl"/>
        </w:rPr>
        <w:t xml:space="preserve"> el artículo 8 de la Ley 819 de 2003 </w:t>
      </w:r>
      <w:r w:rsidR="009C4ABE" w:rsidRPr="009D198D">
        <w:rPr>
          <w:rFonts w:ascii="Arial" w:eastAsia="Calibri" w:hAnsi="Arial" w:cs="Arial"/>
          <w:sz w:val="22"/>
          <w:szCs w:val="22"/>
          <w:lang w:val="es-ES_tradnl"/>
        </w:rPr>
        <w:t>consagra el principio de anualidad al disponer que «l</w:t>
      </w:r>
      <w:r w:rsidR="009C4ABE" w:rsidRPr="009D198D">
        <w:rPr>
          <w:rFonts w:ascii="Arial" w:eastAsia="Calibri" w:hAnsi="Arial" w:cs="Arial"/>
          <w:sz w:val="22"/>
          <w:szCs w:val="22"/>
        </w:rPr>
        <w:t>a preparación y elaboración del Presupuesto General de la Nación y el de las entidades territoriales, deberá sujetarse a los correspondientes Marcos Fiscales de Mediano Plazo de manera que las apropiaciones presupuestales aprobadas por el Congreso de la República, las Asambleas y los Concejos, puedan ejecutarse en su totalidad durante la vigencia fiscal correspondiente</w:t>
      </w:r>
      <w:r w:rsidR="009C4ABE" w:rsidRPr="009D198D">
        <w:rPr>
          <w:rFonts w:ascii="Arial" w:eastAsia="Calibri" w:hAnsi="Arial" w:cs="Arial"/>
          <w:sz w:val="22"/>
          <w:szCs w:val="22"/>
          <w:lang w:val="es-ES_tradnl"/>
        </w:rPr>
        <w:t>»</w:t>
      </w:r>
      <w:r w:rsidR="009C4ABE" w:rsidRPr="009D198D">
        <w:rPr>
          <w:rFonts w:ascii="Arial" w:eastAsia="Calibri" w:hAnsi="Arial" w:cs="Arial"/>
          <w:sz w:val="22"/>
          <w:szCs w:val="22"/>
        </w:rPr>
        <w:t>.</w:t>
      </w:r>
    </w:p>
    <w:p w14:paraId="32A36223" w14:textId="15EBABAF" w:rsidR="00A357D5" w:rsidRPr="009D198D" w:rsidRDefault="009C4ABE" w:rsidP="00CC061B">
      <w:pPr>
        <w:shd w:val="clear" w:color="auto" w:fill="FFFFFF"/>
        <w:spacing w:before="120" w:line="276" w:lineRule="auto"/>
        <w:ind w:right="51"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En este contexto, l</w:t>
      </w:r>
      <w:r w:rsidR="00A357D5" w:rsidRPr="009D198D">
        <w:rPr>
          <w:rFonts w:ascii="Arial" w:eastAsia="Calibri" w:hAnsi="Arial" w:cs="Arial"/>
          <w:color w:val="000000" w:themeColor="text1"/>
          <w:sz w:val="22"/>
          <w:szCs w:val="22"/>
          <w:lang w:val="es-ES_tradnl"/>
        </w:rPr>
        <w:t xml:space="preserve">a anualidad del gasto es uno de los principios </w:t>
      </w:r>
      <w:r w:rsidR="009C7E8D" w:rsidRPr="009D198D">
        <w:rPr>
          <w:rFonts w:ascii="Arial" w:eastAsia="Calibri" w:hAnsi="Arial" w:cs="Arial"/>
          <w:color w:val="000000" w:themeColor="text1"/>
          <w:sz w:val="22"/>
          <w:szCs w:val="22"/>
          <w:lang w:val="es-ES_tradnl"/>
        </w:rPr>
        <w:t xml:space="preserve">rectores </w:t>
      </w:r>
      <w:r w:rsidR="00A357D5" w:rsidRPr="009D198D">
        <w:rPr>
          <w:rFonts w:ascii="Arial" w:eastAsia="Calibri" w:hAnsi="Arial" w:cs="Arial"/>
          <w:color w:val="000000" w:themeColor="text1"/>
          <w:sz w:val="22"/>
          <w:szCs w:val="22"/>
          <w:lang w:val="es-ES_tradnl"/>
        </w:rPr>
        <w:t xml:space="preserve">de la actividad contractual pública, </w:t>
      </w:r>
      <w:r w:rsidR="00472695" w:rsidRPr="009D198D">
        <w:rPr>
          <w:rFonts w:ascii="Arial" w:eastAsia="Calibri" w:hAnsi="Arial" w:cs="Arial"/>
          <w:color w:val="000000" w:themeColor="text1"/>
          <w:sz w:val="22"/>
          <w:szCs w:val="22"/>
          <w:lang w:val="es-ES_tradnl"/>
        </w:rPr>
        <w:t xml:space="preserve">conforme al cual </w:t>
      </w:r>
      <w:r w:rsidR="00A357D5" w:rsidRPr="009D198D">
        <w:rPr>
          <w:rFonts w:ascii="Arial" w:eastAsia="Calibri" w:hAnsi="Arial" w:cs="Arial"/>
          <w:color w:val="000000" w:themeColor="text1"/>
          <w:sz w:val="22"/>
          <w:szCs w:val="22"/>
          <w:lang w:val="es-ES_tradnl"/>
        </w:rPr>
        <w:t xml:space="preserve">las entidades deben planear sus </w:t>
      </w:r>
      <w:r w:rsidR="009C7E8D" w:rsidRPr="009D198D">
        <w:rPr>
          <w:rFonts w:ascii="Arial" w:eastAsia="Calibri" w:hAnsi="Arial" w:cs="Arial"/>
          <w:color w:val="000000" w:themeColor="text1"/>
          <w:sz w:val="22"/>
          <w:szCs w:val="22"/>
          <w:lang w:val="es-ES_tradnl"/>
        </w:rPr>
        <w:t>contrataciones</w:t>
      </w:r>
      <w:r w:rsidR="00A357D5" w:rsidRPr="009D198D">
        <w:rPr>
          <w:rFonts w:ascii="Arial" w:eastAsia="Calibri" w:hAnsi="Arial" w:cs="Arial"/>
          <w:color w:val="000000" w:themeColor="text1"/>
          <w:sz w:val="22"/>
          <w:szCs w:val="22"/>
          <w:lang w:val="es-ES_tradnl"/>
        </w:rPr>
        <w:t xml:space="preserve"> de manera que sus compromisos contractuales sean atendidos durante la respectiva vigencia fiscal</w:t>
      </w:r>
      <w:r w:rsidR="00472695" w:rsidRPr="009D198D">
        <w:rPr>
          <w:rFonts w:ascii="Arial" w:eastAsia="Calibri" w:hAnsi="Arial" w:cs="Arial"/>
          <w:color w:val="000000" w:themeColor="text1"/>
          <w:sz w:val="22"/>
          <w:szCs w:val="22"/>
          <w:lang w:val="es-ES_tradnl"/>
        </w:rPr>
        <w:t xml:space="preserve"> comprendida entre el 1 de enero y el 31 de diciembre</w:t>
      </w:r>
      <w:r w:rsidR="00A357D5" w:rsidRPr="009D198D">
        <w:rPr>
          <w:rFonts w:ascii="Arial" w:eastAsia="Calibri" w:hAnsi="Arial" w:cs="Arial"/>
          <w:color w:val="000000" w:themeColor="text1"/>
          <w:sz w:val="22"/>
          <w:szCs w:val="22"/>
          <w:lang w:val="es-ES_tradnl"/>
        </w:rPr>
        <w:t xml:space="preserve">. </w:t>
      </w:r>
      <w:r w:rsidR="00472695" w:rsidRPr="009D198D">
        <w:rPr>
          <w:rFonts w:ascii="Arial" w:eastAsia="Calibri" w:hAnsi="Arial" w:cs="Arial"/>
          <w:color w:val="000000" w:themeColor="text1"/>
          <w:sz w:val="22"/>
          <w:szCs w:val="22"/>
          <w:lang w:val="es-ES_tradnl"/>
        </w:rPr>
        <w:t>En este sentido, la regla general es que</w:t>
      </w:r>
      <w:r w:rsidR="00A357D5" w:rsidRPr="009D198D">
        <w:rPr>
          <w:rFonts w:ascii="Arial" w:eastAsia="Calibri" w:hAnsi="Arial" w:cs="Arial"/>
          <w:color w:val="000000" w:themeColor="text1"/>
          <w:sz w:val="22"/>
          <w:szCs w:val="22"/>
          <w:lang w:val="es-ES_tradnl"/>
        </w:rPr>
        <w:t xml:space="preserve"> las entidades </w:t>
      </w:r>
      <w:r w:rsidR="009C7E8D" w:rsidRPr="009D198D">
        <w:rPr>
          <w:rFonts w:ascii="Arial" w:eastAsia="Calibri" w:hAnsi="Arial" w:cs="Arial"/>
          <w:color w:val="000000" w:themeColor="text1"/>
          <w:sz w:val="22"/>
          <w:szCs w:val="22"/>
          <w:lang w:val="es-ES_tradnl"/>
        </w:rPr>
        <w:t xml:space="preserve">estatales </w:t>
      </w:r>
      <w:r w:rsidR="00A357D5" w:rsidRPr="009D198D">
        <w:rPr>
          <w:rFonts w:ascii="Arial" w:eastAsia="Calibri" w:hAnsi="Arial" w:cs="Arial"/>
          <w:color w:val="000000" w:themeColor="text1"/>
          <w:sz w:val="22"/>
          <w:szCs w:val="22"/>
          <w:lang w:val="es-ES_tradnl"/>
        </w:rPr>
        <w:t>solo pueden adquirir compromisos presupuestales que no excedan en su ejecución la vigencia</w:t>
      </w:r>
      <w:r w:rsidRPr="009D198D">
        <w:rPr>
          <w:rFonts w:ascii="Arial" w:eastAsia="Calibri" w:hAnsi="Arial" w:cs="Arial"/>
          <w:color w:val="000000" w:themeColor="text1"/>
          <w:sz w:val="22"/>
          <w:szCs w:val="22"/>
          <w:lang w:val="es-ES_tradnl"/>
        </w:rPr>
        <w:t xml:space="preserve"> fiscal</w:t>
      </w:r>
      <w:r w:rsidR="00A357D5" w:rsidRPr="009D198D">
        <w:rPr>
          <w:rFonts w:ascii="Arial" w:eastAsia="Calibri" w:hAnsi="Arial" w:cs="Arial"/>
          <w:color w:val="000000" w:themeColor="text1"/>
          <w:sz w:val="22"/>
          <w:szCs w:val="22"/>
          <w:lang w:val="es-ES_tradnl"/>
        </w:rPr>
        <w:t xml:space="preserve"> en la que se suscribe el respectivo contrato.</w:t>
      </w:r>
    </w:p>
    <w:p w14:paraId="481E784C" w14:textId="734AAB14" w:rsidR="009C4ABE" w:rsidRPr="009D198D" w:rsidRDefault="00A357D5" w:rsidP="009C4ABE">
      <w:pPr>
        <w:shd w:val="clear" w:color="auto" w:fill="FFFFFF"/>
        <w:spacing w:before="120" w:line="276" w:lineRule="auto"/>
        <w:ind w:right="51" w:firstLine="709"/>
        <w:jc w:val="both"/>
        <w:rPr>
          <w:rFonts w:ascii="Arial" w:eastAsia="Calibri" w:hAnsi="Arial" w:cs="Arial"/>
          <w:color w:val="000000" w:themeColor="text1"/>
          <w:sz w:val="22"/>
          <w:szCs w:val="22"/>
        </w:rPr>
      </w:pPr>
      <w:r w:rsidRPr="009D198D">
        <w:rPr>
          <w:rFonts w:ascii="Arial" w:eastAsia="Calibri" w:hAnsi="Arial" w:cs="Arial"/>
          <w:color w:val="000000" w:themeColor="text1"/>
          <w:sz w:val="22"/>
          <w:szCs w:val="22"/>
          <w:lang w:val="es-ES_tradnl"/>
        </w:rPr>
        <w:t>No obstante,</w:t>
      </w:r>
      <w:r w:rsidR="009948A8" w:rsidRPr="009D198D">
        <w:rPr>
          <w:rFonts w:ascii="Arial" w:eastAsia="Calibri" w:hAnsi="Arial" w:cs="Arial"/>
          <w:color w:val="000000" w:themeColor="text1"/>
          <w:sz w:val="22"/>
          <w:szCs w:val="22"/>
          <w:lang w:val="es-ES_tradnl"/>
        </w:rPr>
        <w:t xml:space="preserve"> conforme lo ha señalado el Consejo de Estado,</w:t>
      </w:r>
      <w:r w:rsidRPr="009D198D">
        <w:rPr>
          <w:rFonts w:ascii="Arial" w:eastAsia="Calibri" w:hAnsi="Arial" w:cs="Arial"/>
          <w:color w:val="000000" w:themeColor="text1"/>
          <w:sz w:val="22"/>
          <w:szCs w:val="22"/>
          <w:lang w:val="es-ES_tradnl"/>
        </w:rPr>
        <w:t xml:space="preserve"> </w:t>
      </w:r>
      <w:r w:rsidR="009C4ABE" w:rsidRPr="009D198D">
        <w:rPr>
          <w:rFonts w:ascii="Arial" w:eastAsia="Calibri" w:hAnsi="Arial" w:cs="Arial"/>
          <w:color w:val="000000" w:themeColor="text1"/>
          <w:sz w:val="22"/>
          <w:szCs w:val="22"/>
          <w:lang w:val="es-ES_tradnl"/>
        </w:rPr>
        <w:t xml:space="preserve">el principio de anualidad no es absoluto </w:t>
      </w:r>
      <w:r w:rsidR="009C4ABE" w:rsidRPr="009D198D">
        <w:rPr>
          <w:rFonts w:ascii="Arial" w:eastAsia="Calibri" w:hAnsi="Arial" w:cs="Arial"/>
          <w:color w:val="000000" w:themeColor="text1"/>
          <w:sz w:val="22"/>
          <w:szCs w:val="22"/>
        </w:rPr>
        <w:t xml:space="preserve">en </w:t>
      </w:r>
      <w:r w:rsidR="009948A8" w:rsidRPr="009D198D">
        <w:rPr>
          <w:rFonts w:ascii="Arial" w:eastAsia="Calibri" w:hAnsi="Arial" w:cs="Arial"/>
          <w:sz w:val="22"/>
          <w:szCs w:val="22"/>
          <w:lang w:val="es-ES_tradnl"/>
        </w:rPr>
        <w:t>«</w:t>
      </w:r>
      <w:r w:rsidR="009C4ABE" w:rsidRPr="009D198D">
        <w:rPr>
          <w:rFonts w:ascii="Arial" w:eastAsia="Calibri" w:hAnsi="Arial" w:cs="Arial"/>
          <w:color w:val="000000" w:themeColor="text1"/>
          <w:sz w:val="22"/>
          <w:szCs w:val="22"/>
        </w:rPr>
        <w:t>la medida en que la actividad presupuestal está íntimamente ligada con el principio de planeación, la cual normalmente es efectuada para periodos que superan el año calendario. Esta realidad impone la configuración de mecanismos presupuestales que permitan compatibilizar tales principio</w:t>
      </w:r>
      <w:r w:rsidR="009948A8" w:rsidRPr="009D198D">
        <w:rPr>
          <w:rFonts w:ascii="Arial" w:eastAsia="Calibri" w:hAnsi="Arial" w:cs="Arial"/>
          <w:color w:val="000000" w:themeColor="text1"/>
          <w:sz w:val="22"/>
          <w:szCs w:val="22"/>
        </w:rPr>
        <w:t>s</w:t>
      </w:r>
      <w:r w:rsidR="009948A8" w:rsidRPr="009D198D">
        <w:rPr>
          <w:rFonts w:ascii="Arial" w:eastAsia="Calibri" w:hAnsi="Arial" w:cs="Arial"/>
          <w:sz w:val="22"/>
          <w:szCs w:val="22"/>
          <w:lang w:val="es-ES_tradnl"/>
        </w:rPr>
        <w:t>»</w:t>
      </w:r>
      <w:r w:rsidR="00D75B2C" w:rsidRPr="009D198D">
        <w:rPr>
          <w:rStyle w:val="Refdenotaalpie"/>
          <w:rFonts w:ascii="Arial" w:eastAsia="Calibri" w:hAnsi="Arial" w:cs="Arial"/>
          <w:sz w:val="22"/>
          <w:szCs w:val="22"/>
          <w:lang w:val="es-ES_tradnl"/>
        </w:rPr>
        <w:footnoteReference w:id="51"/>
      </w:r>
      <w:r w:rsidR="009948A8" w:rsidRPr="009D198D">
        <w:rPr>
          <w:rFonts w:ascii="Arial" w:eastAsia="Calibri" w:hAnsi="Arial" w:cs="Arial"/>
          <w:sz w:val="22"/>
          <w:szCs w:val="22"/>
          <w:lang w:val="es-ES_tradnl"/>
        </w:rPr>
        <w:t>.</w:t>
      </w:r>
      <w:r w:rsidR="009C4ABE" w:rsidRPr="009D198D">
        <w:rPr>
          <w:rFonts w:ascii="Arial" w:eastAsia="Calibri" w:hAnsi="Arial" w:cs="Arial"/>
          <w:color w:val="000000" w:themeColor="text1"/>
          <w:sz w:val="22"/>
          <w:szCs w:val="22"/>
        </w:rPr>
        <w:t xml:space="preserve"> </w:t>
      </w:r>
    </w:p>
    <w:p w14:paraId="6603D7EF" w14:textId="76869DA4" w:rsidR="00EA05C5" w:rsidRPr="009D198D" w:rsidRDefault="00D75B2C" w:rsidP="00EA05C5">
      <w:pPr>
        <w:shd w:val="clear" w:color="auto" w:fill="FFFFFF"/>
        <w:spacing w:before="120" w:line="276" w:lineRule="auto"/>
        <w:ind w:right="51" w:firstLine="709"/>
        <w:jc w:val="both"/>
        <w:rPr>
          <w:rFonts w:ascii="Arial" w:eastAsia="Calibri" w:hAnsi="Arial" w:cs="Arial"/>
          <w:color w:val="000000" w:themeColor="text1"/>
          <w:sz w:val="22"/>
          <w:szCs w:val="22"/>
        </w:rPr>
      </w:pPr>
      <w:r w:rsidRPr="009D198D">
        <w:rPr>
          <w:rFonts w:ascii="Arial" w:eastAsia="Calibri" w:hAnsi="Arial" w:cs="Arial"/>
          <w:color w:val="000000" w:themeColor="text1"/>
          <w:sz w:val="22"/>
          <w:szCs w:val="22"/>
          <w:lang w:val="es-ES_tradnl"/>
        </w:rPr>
        <w:t>Dentro</w:t>
      </w:r>
      <w:r w:rsidR="00F738ED" w:rsidRPr="009D198D">
        <w:rPr>
          <w:rFonts w:ascii="Arial" w:eastAsia="Calibri" w:hAnsi="Arial" w:cs="Arial"/>
          <w:color w:val="000000" w:themeColor="text1"/>
          <w:sz w:val="22"/>
          <w:szCs w:val="22"/>
          <w:lang w:val="es-ES_tradnl"/>
        </w:rPr>
        <w:t xml:space="preserve"> de</w:t>
      </w:r>
      <w:r w:rsidRPr="009D198D">
        <w:rPr>
          <w:rFonts w:ascii="Arial" w:eastAsia="Calibri" w:hAnsi="Arial" w:cs="Arial"/>
          <w:color w:val="000000" w:themeColor="text1"/>
          <w:sz w:val="22"/>
          <w:szCs w:val="22"/>
          <w:lang w:val="es-ES_tradnl"/>
        </w:rPr>
        <w:t xml:space="preserve"> los mecanismos presupuestales que constituyen excepciones al principio de anualidad se identifican</w:t>
      </w:r>
      <w:r w:rsidR="003147D2" w:rsidRPr="009D198D">
        <w:rPr>
          <w:rFonts w:ascii="Arial" w:eastAsia="Calibri" w:hAnsi="Arial" w:cs="Arial"/>
          <w:color w:val="000000" w:themeColor="text1"/>
          <w:sz w:val="22"/>
          <w:szCs w:val="22"/>
          <w:lang w:val="es-ES_tradnl"/>
        </w:rPr>
        <w:t>:</w:t>
      </w:r>
      <w:r w:rsidRPr="009D198D">
        <w:rPr>
          <w:rFonts w:ascii="Arial" w:eastAsia="Calibri" w:hAnsi="Arial" w:cs="Arial"/>
          <w:color w:val="000000" w:themeColor="text1"/>
          <w:sz w:val="22"/>
          <w:szCs w:val="22"/>
          <w:lang w:val="es-ES_tradnl"/>
        </w:rPr>
        <w:t xml:space="preserve"> </w:t>
      </w:r>
      <w:r w:rsidR="00A357D5" w:rsidRPr="009D198D">
        <w:rPr>
          <w:rFonts w:ascii="Arial" w:eastAsia="Calibri" w:hAnsi="Arial" w:cs="Arial"/>
          <w:color w:val="000000" w:themeColor="text1"/>
          <w:sz w:val="22"/>
          <w:szCs w:val="22"/>
          <w:lang w:val="es-ES_tradnl"/>
        </w:rPr>
        <w:t xml:space="preserve">i) las vigencias futuras, </w:t>
      </w:r>
      <w:proofErr w:type="spellStart"/>
      <w:r w:rsidR="00A357D5" w:rsidRPr="009D198D">
        <w:rPr>
          <w:rFonts w:ascii="Arial" w:eastAsia="Calibri" w:hAnsi="Arial" w:cs="Arial"/>
          <w:color w:val="000000" w:themeColor="text1"/>
          <w:sz w:val="22"/>
          <w:szCs w:val="22"/>
          <w:lang w:val="es-ES_tradnl"/>
        </w:rPr>
        <w:t>ii</w:t>
      </w:r>
      <w:proofErr w:type="spellEnd"/>
      <w:r w:rsidR="00A357D5" w:rsidRPr="009D198D">
        <w:rPr>
          <w:rFonts w:ascii="Arial" w:eastAsia="Calibri" w:hAnsi="Arial" w:cs="Arial"/>
          <w:color w:val="000000" w:themeColor="text1"/>
          <w:sz w:val="22"/>
          <w:szCs w:val="22"/>
          <w:lang w:val="es-ES_tradnl"/>
        </w:rPr>
        <w:t xml:space="preserve">) las cuentas por pagar y </w:t>
      </w:r>
      <w:proofErr w:type="spellStart"/>
      <w:r w:rsidR="00A357D5" w:rsidRPr="009D198D">
        <w:rPr>
          <w:rFonts w:ascii="Arial" w:eastAsia="Calibri" w:hAnsi="Arial" w:cs="Arial"/>
          <w:color w:val="000000" w:themeColor="text1"/>
          <w:sz w:val="22"/>
          <w:szCs w:val="22"/>
          <w:lang w:val="es-ES_tradnl"/>
        </w:rPr>
        <w:t>iii</w:t>
      </w:r>
      <w:proofErr w:type="spellEnd"/>
      <w:r w:rsidR="00A357D5" w:rsidRPr="009D198D">
        <w:rPr>
          <w:rFonts w:ascii="Arial" w:eastAsia="Calibri" w:hAnsi="Arial" w:cs="Arial"/>
          <w:color w:val="000000" w:themeColor="text1"/>
          <w:sz w:val="22"/>
          <w:szCs w:val="22"/>
          <w:lang w:val="es-ES_tradnl"/>
        </w:rPr>
        <w:t xml:space="preserve">) las reservas presupuestales. Las </w:t>
      </w:r>
      <w:r w:rsidR="00A357D5" w:rsidRPr="009D198D">
        <w:rPr>
          <w:rFonts w:ascii="Arial" w:eastAsia="Calibri" w:hAnsi="Arial" w:cs="Arial"/>
          <w:i/>
          <w:iCs/>
          <w:color w:val="000000" w:themeColor="text1"/>
          <w:sz w:val="22"/>
          <w:szCs w:val="22"/>
          <w:lang w:val="es-ES_tradnl"/>
        </w:rPr>
        <w:t>primeras</w:t>
      </w:r>
      <w:r w:rsidR="00C86EF8" w:rsidRPr="009D198D">
        <w:rPr>
          <w:rFonts w:ascii="Arial" w:eastAsia="Calibri" w:hAnsi="Arial" w:cs="Arial"/>
          <w:color w:val="000000" w:themeColor="text1"/>
          <w:sz w:val="22"/>
          <w:szCs w:val="22"/>
          <w:lang w:val="es-ES_tradnl"/>
        </w:rPr>
        <w:t>, de conformidad con el artículo 23 del Estatuto Orgánico del Presupuesto</w:t>
      </w:r>
      <w:r w:rsidR="00C86EF8" w:rsidRPr="009D198D">
        <w:rPr>
          <w:rStyle w:val="Refdenotaalpie"/>
          <w:rFonts w:ascii="Arial" w:eastAsia="Calibri" w:hAnsi="Arial" w:cs="Arial"/>
          <w:color w:val="000000" w:themeColor="text1"/>
          <w:sz w:val="22"/>
          <w:szCs w:val="22"/>
          <w:lang w:val="es-ES_tradnl"/>
        </w:rPr>
        <w:footnoteReference w:id="52"/>
      </w:r>
      <w:r w:rsidR="00C86EF8" w:rsidRPr="009D198D">
        <w:rPr>
          <w:rFonts w:ascii="Arial" w:eastAsia="Calibri" w:hAnsi="Arial" w:cs="Arial"/>
          <w:i/>
          <w:iCs/>
          <w:color w:val="000000" w:themeColor="text1"/>
          <w:sz w:val="22"/>
          <w:szCs w:val="22"/>
          <w:lang w:val="es-ES_tradnl"/>
        </w:rPr>
        <w:t xml:space="preserve">, </w:t>
      </w:r>
      <w:r w:rsidR="00C86EF8" w:rsidRPr="009D198D">
        <w:rPr>
          <w:rFonts w:ascii="Arial" w:eastAsia="Calibri" w:hAnsi="Arial" w:cs="Arial"/>
          <w:color w:val="000000" w:themeColor="text1"/>
          <w:sz w:val="22"/>
          <w:szCs w:val="22"/>
          <w:lang w:val="es-ES_tradnl"/>
        </w:rPr>
        <w:t>se</w:t>
      </w:r>
      <w:r w:rsidR="00C86EF8" w:rsidRPr="009D198D">
        <w:rPr>
          <w:rFonts w:ascii="Arial" w:eastAsia="Calibri" w:hAnsi="Arial" w:cs="Arial"/>
          <w:i/>
          <w:iCs/>
          <w:color w:val="000000" w:themeColor="text1"/>
          <w:sz w:val="22"/>
          <w:szCs w:val="22"/>
          <w:lang w:val="es-ES_tradnl"/>
        </w:rPr>
        <w:t xml:space="preserve"> </w:t>
      </w:r>
      <w:r w:rsidR="00A357D5" w:rsidRPr="009D198D">
        <w:rPr>
          <w:rFonts w:ascii="Arial" w:eastAsia="Calibri" w:hAnsi="Arial" w:cs="Arial"/>
          <w:color w:val="000000" w:themeColor="text1"/>
          <w:sz w:val="22"/>
          <w:szCs w:val="22"/>
          <w:lang w:val="es-ES_tradnl"/>
        </w:rPr>
        <w:t xml:space="preserve">refieren a la autorización que deben solicitar las entidades </w:t>
      </w:r>
      <w:r w:rsidR="00A357D5" w:rsidRPr="009D198D">
        <w:rPr>
          <w:rFonts w:ascii="Arial" w:eastAsia="Calibri" w:hAnsi="Arial" w:cs="Arial"/>
          <w:color w:val="000000" w:themeColor="text1"/>
          <w:sz w:val="22"/>
          <w:szCs w:val="22"/>
          <w:lang w:val="es-ES_tradnl"/>
        </w:rPr>
        <w:lastRenderedPageBreak/>
        <w:t>para asumir obligaciones que afectarán los presupuestos siguientes a los de la vigencia fiscal en la que inició la ejecución, es decir, correspondientes a las obligaciones cuya ejecución inició con presupuesto de una vigencia fiscal, pero que deberá continuarse con presupuestos de las siguientes vigencias</w:t>
      </w:r>
      <w:r w:rsidR="00EA05C5" w:rsidRPr="009D198D">
        <w:rPr>
          <w:rFonts w:ascii="Arial" w:eastAsia="Calibri" w:hAnsi="Arial" w:cs="Arial"/>
          <w:color w:val="000000" w:themeColor="text1"/>
          <w:sz w:val="22"/>
          <w:szCs w:val="22"/>
          <w:lang w:val="es-ES_tradnl"/>
        </w:rPr>
        <w:t>.</w:t>
      </w:r>
      <w:r w:rsidR="00847ACF" w:rsidRPr="009D198D">
        <w:rPr>
          <w:rFonts w:ascii="Arial" w:eastAsia="Calibri" w:hAnsi="Arial" w:cs="Arial"/>
          <w:color w:val="000000" w:themeColor="text1"/>
          <w:sz w:val="22"/>
          <w:szCs w:val="22"/>
          <w:lang w:val="es-ES_tradnl"/>
        </w:rPr>
        <w:t xml:space="preserve"> Sobre esta figura el Consejo de Estado precisó que </w:t>
      </w:r>
      <w:r w:rsidR="00847ACF" w:rsidRPr="009D198D">
        <w:rPr>
          <w:rFonts w:ascii="Arial" w:eastAsia="Calibri" w:hAnsi="Arial" w:cs="Arial"/>
          <w:sz w:val="22"/>
          <w:szCs w:val="22"/>
          <w:lang w:val="es-ES_tradnl"/>
        </w:rPr>
        <w:t>«</w:t>
      </w:r>
      <w:r w:rsidR="00EA05C5" w:rsidRPr="009D198D">
        <w:rPr>
          <w:rFonts w:ascii="Arial" w:eastAsia="Calibri" w:hAnsi="Arial" w:cs="Arial"/>
          <w:color w:val="000000" w:themeColor="text1"/>
          <w:sz w:val="22"/>
          <w:szCs w:val="22"/>
        </w:rPr>
        <w:t>son un instrumento de planificación presupuestal y financiero que permite autorizar la asunción de obligaciones que afecten los presupuestos de vigencias posteriores, y tienen como fin garantizar la existencia de apropiaciones suficientes en los años siguientes para asumir compromisos y obligaciones con cargo a ellas, así como también disponer de los recursos financieros, y de esa manera garantizar el avance y conclusión de proyectos plurianuales</w:t>
      </w:r>
      <w:r w:rsidR="00847ACF" w:rsidRPr="009D198D">
        <w:rPr>
          <w:rFonts w:ascii="Arial" w:eastAsia="Calibri" w:hAnsi="Arial" w:cs="Arial"/>
          <w:sz w:val="22"/>
          <w:szCs w:val="22"/>
          <w:lang w:val="es-ES_tradnl"/>
        </w:rPr>
        <w:t>»</w:t>
      </w:r>
      <w:r w:rsidR="00340AAD" w:rsidRPr="009D198D">
        <w:rPr>
          <w:rStyle w:val="Refdenotaalpie"/>
          <w:rFonts w:ascii="Arial" w:eastAsia="Calibri" w:hAnsi="Arial" w:cs="Arial"/>
          <w:sz w:val="22"/>
          <w:szCs w:val="22"/>
          <w:lang w:val="es-ES_tradnl"/>
        </w:rPr>
        <w:footnoteReference w:id="53"/>
      </w:r>
      <w:r w:rsidR="00847ACF" w:rsidRPr="009D198D">
        <w:rPr>
          <w:rFonts w:ascii="Arial" w:eastAsia="Calibri" w:hAnsi="Arial" w:cs="Arial"/>
          <w:sz w:val="22"/>
          <w:szCs w:val="22"/>
          <w:lang w:val="es-ES_tradnl"/>
        </w:rPr>
        <w:t>.</w:t>
      </w:r>
      <w:r w:rsidR="00C86EF8" w:rsidRPr="009D198D">
        <w:rPr>
          <w:rFonts w:ascii="Arial" w:eastAsia="Calibri" w:hAnsi="Arial" w:cs="Arial"/>
          <w:sz w:val="22"/>
          <w:szCs w:val="22"/>
          <w:lang w:val="es-ES_tradnl"/>
        </w:rPr>
        <w:t xml:space="preserve"> </w:t>
      </w:r>
    </w:p>
    <w:p w14:paraId="63DB5C8E" w14:textId="40E9ED24" w:rsidR="008C3515" w:rsidRPr="009D198D" w:rsidRDefault="00EA05C5" w:rsidP="008C3515">
      <w:pPr>
        <w:shd w:val="clear" w:color="auto" w:fill="FFFFFF"/>
        <w:spacing w:before="120" w:line="276" w:lineRule="auto"/>
        <w:ind w:right="51"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L</w:t>
      </w:r>
      <w:r w:rsidR="00A357D5" w:rsidRPr="009D198D">
        <w:rPr>
          <w:rFonts w:ascii="Arial" w:eastAsia="Calibri" w:hAnsi="Arial" w:cs="Arial"/>
          <w:color w:val="000000" w:themeColor="text1"/>
          <w:sz w:val="22"/>
          <w:szCs w:val="22"/>
          <w:lang w:val="es-ES_tradnl"/>
        </w:rPr>
        <w:t xml:space="preserve">as </w:t>
      </w:r>
      <w:r w:rsidR="00A357D5" w:rsidRPr="009D198D">
        <w:rPr>
          <w:rFonts w:ascii="Arial" w:eastAsia="Calibri" w:hAnsi="Arial" w:cs="Arial"/>
          <w:i/>
          <w:iCs/>
          <w:color w:val="000000" w:themeColor="text1"/>
          <w:sz w:val="22"/>
          <w:szCs w:val="22"/>
          <w:lang w:val="es-ES_tradnl"/>
        </w:rPr>
        <w:t>segundas</w:t>
      </w:r>
      <w:r w:rsidR="00847ACF" w:rsidRPr="009D198D">
        <w:rPr>
          <w:rFonts w:ascii="Arial" w:eastAsia="Calibri" w:hAnsi="Arial" w:cs="Arial"/>
          <w:i/>
          <w:iCs/>
          <w:color w:val="000000" w:themeColor="text1"/>
          <w:sz w:val="22"/>
          <w:szCs w:val="22"/>
          <w:lang w:val="es-ES_tradnl"/>
        </w:rPr>
        <w:t>,</w:t>
      </w:r>
      <w:r w:rsidR="00847ACF" w:rsidRPr="009D198D">
        <w:rPr>
          <w:rFonts w:ascii="Arial" w:eastAsia="Calibri" w:hAnsi="Arial" w:cs="Arial"/>
          <w:color w:val="000000" w:themeColor="text1"/>
          <w:sz w:val="22"/>
          <w:szCs w:val="22"/>
          <w:lang w:val="es-ES_tradnl"/>
        </w:rPr>
        <w:t xml:space="preserve"> esto es, las </w:t>
      </w:r>
      <w:r w:rsidR="00C86EF8" w:rsidRPr="009D198D">
        <w:rPr>
          <w:rFonts w:ascii="Arial" w:eastAsia="Calibri" w:hAnsi="Arial" w:cs="Arial"/>
          <w:i/>
          <w:iCs/>
          <w:color w:val="000000" w:themeColor="text1"/>
          <w:sz w:val="22"/>
          <w:szCs w:val="22"/>
          <w:lang w:val="es-ES_tradnl"/>
        </w:rPr>
        <w:t xml:space="preserve">cuentas por pagar </w:t>
      </w:r>
      <w:r w:rsidR="00A357D5" w:rsidRPr="009D198D">
        <w:rPr>
          <w:rFonts w:ascii="Arial" w:eastAsia="Calibri" w:hAnsi="Arial" w:cs="Arial"/>
          <w:color w:val="000000" w:themeColor="text1"/>
          <w:sz w:val="22"/>
          <w:szCs w:val="22"/>
          <w:lang w:val="es-ES_tradnl"/>
        </w:rPr>
        <w:t>consisten en obligaciones cumplidas en la vigencia actual,</w:t>
      </w:r>
      <w:r w:rsidR="00DA006F" w:rsidRPr="009D198D">
        <w:rPr>
          <w:rFonts w:ascii="Arial" w:eastAsia="Calibri" w:hAnsi="Arial" w:cs="Arial"/>
          <w:color w:val="000000" w:themeColor="text1"/>
          <w:sz w:val="19"/>
          <w:szCs w:val="19"/>
        </w:rPr>
        <w:t xml:space="preserve"> </w:t>
      </w:r>
      <w:r w:rsidR="00DA006F" w:rsidRPr="009D198D">
        <w:rPr>
          <w:rFonts w:ascii="Arial" w:eastAsia="Calibri" w:hAnsi="Arial" w:cs="Arial"/>
          <w:color w:val="000000" w:themeColor="text1"/>
          <w:sz w:val="22"/>
          <w:szCs w:val="22"/>
        </w:rPr>
        <w:t>correspondientes a los anticipos pactados en los contratos y a la entrega de bienes y servicios,</w:t>
      </w:r>
      <w:r w:rsidR="00A357D5" w:rsidRPr="009D198D">
        <w:rPr>
          <w:rFonts w:ascii="Arial" w:eastAsia="Calibri" w:hAnsi="Arial" w:cs="Arial"/>
          <w:color w:val="000000" w:themeColor="text1"/>
          <w:sz w:val="22"/>
          <w:szCs w:val="22"/>
          <w:lang w:val="es-ES_tradnl"/>
        </w:rPr>
        <w:t xml:space="preserve"> de las cuales solo se encuentra pendiente el pago de acuerdo con los compromisos presupuestales adquiridos por la entidad</w:t>
      </w:r>
      <w:r w:rsidR="004E058F" w:rsidRPr="009D198D">
        <w:rPr>
          <w:rStyle w:val="Refdenotaalpie"/>
          <w:rFonts w:ascii="Arial" w:eastAsia="Calibri" w:hAnsi="Arial" w:cs="Arial"/>
          <w:color w:val="000000" w:themeColor="text1"/>
          <w:sz w:val="22"/>
          <w:szCs w:val="22"/>
          <w:lang w:val="es-ES_tradnl"/>
        </w:rPr>
        <w:footnoteReference w:id="54"/>
      </w:r>
      <w:r w:rsidRPr="009D198D">
        <w:rPr>
          <w:rFonts w:ascii="Arial" w:eastAsia="Calibri" w:hAnsi="Arial" w:cs="Arial"/>
          <w:color w:val="000000" w:themeColor="text1"/>
          <w:sz w:val="22"/>
          <w:szCs w:val="22"/>
          <w:lang w:val="es-ES_tradnl"/>
        </w:rPr>
        <w:t>.</w:t>
      </w:r>
      <w:r w:rsidR="00820291" w:rsidRPr="009D198D">
        <w:rPr>
          <w:rFonts w:ascii="Arial" w:eastAsia="Calibri" w:hAnsi="Arial" w:cs="Arial"/>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Y</w:t>
      </w:r>
      <w:r w:rsidR="00A357D5" w:rsidRPr="009D198D">
        <w:rPr>
          <w:rFonts w:ascii="Arial" w:eastAsia="Calibri" w:hAnsi="Arial" w:cs="Arial"/>
          <w:color w:val="000000" w:themeColor="text1"/>
          <w:sz w:val="22"/>
          <w:szCs w:val="22"/>
          <w:lang w:val="es-ES_tradnl"/>
        </w:rPr>
        <w:t xml:space="preserve"> las </w:t>
      </w:r>
      <w:r w:rsidR="00A357D5" w:rsidRPr="009D198D">
        <w:rPr>
          <w:rFonts w:ascii="Arial" w:eastAsia="Calibri" w:hAnsi="Arial" w:cs="Arial"/>
          <w:i/>
          <w:iCs/>
          <w:color w:val="000000" w:themeColor="text1"/>
          <w:sz w:val="22"/>
          <w:szCs w:val="22"/>
          <w:lang w:val="es-ES_tradnl"/>
        </w:rPr>
        <w:t>terceras</w:t>
      </w:r>
      <w:r w:rsidR="004E058F" w:rsidRPr="009D198D">
        <w:rPr>
          <w:rFonts w:ascii="Arial" w:eastAsia="Calibri" w:hAnsi="Arial" w:cs="Arial"/>
          <w:i/>
          <w:iCs/>
          <w:color w:val="000000" w:themeColor="text1"/>
          <w:sz w:val="22"/>
          <w:szCs w:val="22"/>
          <w:lang w:val="es-ES_tradnl"/>
        </w:rPr>
        <w:t>,</w:t>
      </w:r>
      <w:r w:rsidR="00847ACF" w:rsidRPr="009D198D">
        <w:rPr>
          <w:rFonts w:ascii="Arial" w:eastAsia="Calibri" w:hAnsi="Arial" w:cs="Arial"/>
          <w:i/>
          <w:iCs/>
          <w:color w:val="000000" w:themeColor="text1"/>
          <w:sz w:val="22"/>
          <w:szCs w:val="22"/>
          <w:lang w:val="es-ES_tradnl"/>
        </w:rPr>
        <w:t xml:space="preserve"> </w:t>
      </w:r>
      <w:r w:rsidR="00847ACF" w:rsidRPr="009D198D">
        <w:rPr>
          <w:rFonts w:ascii="Arial" w:eastAsia="Calibri" w:hAnsi="Arial" w:cs="Arial"/>
          <w:color w:val="000000" w:themeColor="text1"/>
          <w:sz w:val="22"/>
          <w:szCs w:val="22"/>
          <w:lang w:val="es-ES_tradnl"/>
        </w:rPr>
        <w:t>l</w:t>
      </w:r>
      <w:r w:rsidR="00A357D5" w:rsidRPr="009D198D">
        <w:rPr>
          <w:rFonts w:ascii="Arial" w:eastAsia="Calibri" w:hAnsi="Arial" w:cs="Arial"/>
          <w:color w:val="000000" w:themeColor="text1"/>
          <w:sz w:val="22"/>
          <w:szCs w:val="22"/>
          <w:lang w:val="es-ES_tradnl"/>
        </w:rPr>
        <w:t xml:space="preserve">as </w:t>
      </w:r>
      <w:r w:rsidR="00A357D5" w:rsidRPr="009D198D">
        <w:rPr>
          <w:rFonts w:ascii="Arial" w:eastAsia="Calibri" w:hAnsi="Arial" w:cs="Arial"/>
          <w:i/>
          <w:iCs/>
          <w:color w:val="000000" w:themeColor="text1"/>
          <w:sz w:val="22"/>
          <w:szCs w:val="22"/>
          <w:lang w:val="es-ES_tradnl"/>
        </w:rPr>
        <w:t>reservas presupuestales</w:t>
      </w:r>
      <w:bookmarkStart w:id="27" w:name="_Hlk93517351"/>
      <w:r w:rsidR="004E058F" w:rsidRPr="009D198D">
        <w:rPr>
          <w:rFonts w:ascii="Arial" w:eastAsia="Calibri" w:hAnsi="Arial" w:cs="Arial"/>
          <w:color w:val="000000" w:themeColor="text1"/>
          <w:sz w:val="22"/>
          <w:szCs w:val="22"/>
          <w:lang w:val="es-ES_tradnl"/>
        </w:rPr>
        <w:t xml:space="preserve"> </w:t>
      </w:r>
      <w:r w:rsidR="004E058F" w:rsidRPr="009D198D">
        <w:rPr>
          <w:rFonts w:ascii="Arial" w:eastAsia="Calibri" w:hAnsi="Arial" w:cs="Arial"/>
          <w:color w:val="000000" w:themeColor="text1"/>
          <w:sz w:val="22"/>
          <w:szCs w:val="22"/>
          <w:lang w:val="es-ES"/>
        </w:rPr>
        <w:t xml:space="preserve">suponen que </w:t>
      </w:r>
      <w:r w:rsidR="00303234" w:rsidRPr="009D198D">
        <w:rPr>
          <w:rFonts w:ascii="Arial" w:eastAsia="Calibri" w:hAnsi="Arial" w:cs="Arial"/>
          <w:color w:val="000000" w:themeColor="text1"/>
          <w:sz w:val="22"/>
          <w:szCs w:val="22"/>
          <w:lang w:val="es-ES"/>
        </w:rPr>
        <w:t>«Al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 origen»</w:t>
      </w:r>
      <w:r w:rsidR="004E058F" w:rsidRPr="009D198D">
        <w:rPr>
          <w:rStyle w:val="Refdenotaalpie"/>
          <w:rFonts w:ascii="Arial" w:eastAsia="Calibri" w:hAnsi="Arial" w:cs="Arial"/>
          <w:color w:val="000000" w:themeColor="text1"/>
          <w:sz w:val="22"/>
          <w:szCs w:val="22"/>
          <w:lang w:val="es-ES"/>
        </w:rPr>
        <w:footnoteReference w:id="55"/>
      </w:r>
      <w:r w:rsidR="00303234" w:rsidRPr="009D198D">
        <w:rPr>
          <w:rFonts w:ascii="Arial" w:eastAsia="Calibri" w:hAnsi="Arial" w:cs="Arial"/>
          <w:color w:val="000000" w:themeColor="text1"/>
          <w:sz w:val="22"/>
          <w:szCs w:val="22"/>
          <w:lang w:val="es-ES"/>
        </w:rPr>
        <w:t xml:space="preserve">. </w:t>
      </w:r>
      <w:bookmarkEnd w:id="27"/>
      <w:r w:rsidR="00A357D5" w:rsidRPr="009D198D">
        <w:rPr>
          <w:rFonts w:ascii="Arial" w:eastAsia="Calibri" w:hAnsi="Arial" w:cs="Arial"/>
          <w:color w:val="000000" w:themeColor="text1"/>
          <w:sz w:val="22"/>
          <w:szCs w:val="22"/>
          <w:lang w:val="es-ES_tradnl"/>
        </w:rPr>
        <w:t>En virtud de lo anterior, las entidades estatales pueden solicitar reservas presupuestales cuando habiendo adquirido compromisos en una vigencia fiscal, a 31 de diciembre no se han cumplido en su totalidad, y, por tanto, debe continuarse con la respectiva ejecución en la siguiente vigencia. Las reservas presupuestales</w:t>
      </w:r>
      <w:r w:rsidR="00F75DD4" w:rsidRPr="009D198D">
        <w:rPr>
          <w:rFonts w:ascii="Arial" w:eastAsia="Calibri" w:hAnsi="Arial" w:cs="Arial"/>
          <w:color w:val="000000" w:themeColor="text1"/>
          <w:sz w:val="22"/>
          <w:szCs w:val="22"/>
          <w:lang w:val="es-ES_tradnl"/>
        </w:rPr>
        <w:t xml:space="preserve"> </w:t>
      </w:r>
      <w:r w:rsidR="00A357D5" w:rsidRPr="009D198D">
        <w:rPr>
          <w:rFonts w:ascii="Arial" w:eastAsia="Calibri" w:hAnsi="Arial" w:cs="Arial"/>
          <w:color w:val="000000" w:themeColor="text1"/>
          <w:sz w:val="22"/>
          <w:szCs w:val="22"/>
          <w:lang w:val="es-ES_tradnl"/>
        </w:rPr>
        <w:t>deben constituirse a más tardar el 20 de enero de cada año en los términos indicados por el Decreto 1068 de 2015</w:t>
      </w:r>
      <w:r w:rsidR="00F75DD4" w:rsidRPr="009D198D">
        <w:rPr>
          <w:rStyle w:val="Refdenotaalpie"/>
          <w:rFonts w:ascii="Arial" w:eastAsia="Calibri" w:hAnsi="Arial" w:cs="Arial"/>
          <w:color w:val="000000" w:themeColor="text1"/>
          <w:sz w:val="22"/>
          <w:szCs w:val="22"/>
          <w:lang w:val="es-ES_tradnl"/>
        </w:rPr>
        <w:footnoteReference w:id="56"/>
      </w:r>
      <w:r w:rsidR="00C51F26" w:rsidRPr="009D198D">
        <w:rPr>
          <w:rFonts w:ascii="Arial" w:eastAsia="Calibri" w:hAnsi="Arial" w:cs="Arial"/>
          <w:color w:val="000000" w:themeColor="text1"/>
          <w:sz w:val="22"/>
          <w:szCs w:val="22"/>
          <w:lang w:val="es-ES_tradnl"/>
        </w:rPr>
        <w:t>.</w:t>
      </w:r>
      <w:r w:rsidR="008C3515" w:rsidRPr="009D198D">
        <w:rPr>
          <w:rFonts w:ascii="Arial" w:eastAsia="Calibri" w:hAnsi="Arial" w:cs="Arial"/>
          <w:color w:val="000000" w:themeColor="text1"/>
          <w:sz w:val="22"/>
          <w:szCs w:val="22"/>
          <w:lang w:val="es-ES_tradnl"/>
        </w:rPr>
        <w:t xml:space="preserve"> Sobre estas dos figuras presupuestales la Corte Constitucional ha señalado los siguiente:</w:t>
      </w:r>
      <w:r w:rsidR="00495552" w:rsidRPr="009D198D">
        <w:rPr>
          <w:rFonts w:ascii="Arial" w:eastAsia="Calibri" w:hAnsi="Arial" w:cs="Arial"/>
          <w:color w:val="000000" w:themeColor="text1"/>
          <w:sz w:val="22"/>
          <w:szCs w:val="22"/>
          <w:lang w:val="es-ES_tradnl"/>
        </w:rPr>
        <w:t xml:space="preserve"> </w:t>
      </w:r>
    </w:p>
    <w:p w14:paraId="3EA10362" w14:textId="77777777" w:rsidR="008C3515" w:rsidRPr="009D198D" w:rsidRDefault="008C3515" w:rsidP="008C3515">
      <w:pPr>
        <w:shd w:val="clear" w:color="auto" w:fill="FFFFFF"/>
        <w:spacing w:line="276" w:lineRule="auto"/>
        <w:ind w:right="51" w:firstLine="709"/>
        <w:jc w:val="both"/>
        <w:rPr>
          <w:rFonts w:ascii="Arial" w:eastAsia="Calibri" w:hAnsi="Arial" w:cs="Arial"/>
          <w:color w:val="000000" w:themeColor="text1"/>
          <w:sz w:val="22"/>
          <w:szCs w:val="22"/>
          <w:lang w:val="es-ES_tradnl"/>
        </w:rPr>
      </w:pPr>
    </w:p>
    <w:p w14:paraId="3B5BB50F" w14:textId="1014B65B" w:rsidR="008C3515" w:rsidRPr="009D198D" w:rsidRDefault="008C3515" w:rsidP="008C3515">
      <w:pPr>
        <w:ind w:left="709" w:right="709"/>
        <w:jc w:val="both"/>
        <w:rPr>
          <w:rFonts w:ascii="Arial" w:eastAsia="Calibri" w:hAnsi="Arial" w:cs="Arial"/>
          <w:sz w:val="21"/>
          <w:szCs w:val="21"/>
          <w:lang w:val="es-ES_tradnl"/>
        </w:rPr>
      </w:pPr>
      <w:r w:rsidRPr="009D198D">
        <w:rPr>
          <w:rFonts w:ascii="Arial" w:eastAsia="Calibri" w:hAnsi="Arial" w:cs="Arial"/>
          <w:b/>
          <w:bCs/>
          <w:sz w:val="21"/>
          <w:szCs w:val="21"/>
          <w:lang w:val="es-ES_tradnl"/>
        </w:rPr>
        <w:t>Las reservas de</w:t>
      </w:r>
      <w:r w:rsidRPr="009D198D">
        <w:rPr>
          <w:rFonts w:ascii="Arial" w:eastAsia="Calibri" w:hAnsi="Arial" w:cs="Arial"/>
          <w:sz w:val="21"/>
          <w:szCs w:val="21"/>
          <w:lang w:val="es-ES_tradnl"/>
        </w:rPr>
        <w:t xml:space="preserve"> </w:t>
      </w:r>
      <w:r w:rsidRPr="009D198D">
        <w:rPr>
          <w:rFonts w:ascii="Arial" w:eastAsia="Calibri" w:hAnsi="Arial" w:cs="Arial"/>
          <w:b/>
          <w:bCs/>
          <w:sz w:val="21"/>
          <w:szCs w:val="21"/>
          <w:lang w:val="es-ES_tradnl"/>
        </w:rPr>
        <w:t>apropiación</w:t>
      </w:r>
      <w:r w:rsidRPr="009D198D">
        <w:rPr>
          <w:rFonts w:ascii="Arial" w:eastAsia="Calibri" w:hAnsi="Arial" w:cs="Arial"/>
          <w:sz w:val="21"/>
          <w:szCs w:val="21"/>
          <w:lang w:val="es-ES_tradnl"/>
        </w:rPr>
        <w:t xml:space="preserve"> corresponden a compromisos y obligaciones contraídos antes del 31 de diciembre con cargo a apropiaciones de la vigencia, por los organismos y entidades que forman parte del Presupuesto General de la Nación, y cuyo pago está pendiente a esa fecha. </w:t>
      </w:r>
    </w:p>
    <w:p w14:paraId="05A46F12" w14:textId="77777777" w:rsidR="008C3515" w:rsidRPr="009D198D" w:rsidRDefault="008C3515" w:rsidP="008C3515">
      <w:pPr>
        <w:ind w:left="709" w:right="709"/>
        <w:jc w:val="both"/>
        <w:rPr>
          <w:rFonts w:ascii="Arial" w:eastAsia="Calibri" w:hAnsi="Arial" w:cs="Arial"/>
          <w:sz w:val="21"/>
          <w:szCs w:val="21"/>
          <w:lang w:val="es-ES_tradnl"/>
        </w:rPr>
      </w:pPr>
    </w:p>
    <w:p w14:paraId="2EED5C1F" w14:textId="431785AB" w:rsidR="008C3515" w:rsidRPr="009D198D" w:rsidRDefault="008C3515" w:rsidP="008C3515">
      <w:pPr>
        <w:ind w:left="709" w:right="709"/>
        <w:jc w:val="both"/>
        <w:rPr>
          <w:rFonts w:ascii="Arial" w:eastAsia="Calibri" w:hAnsi="Arial" w:cs="Arial"/>
          <w:sz w:val="21"/>
          <w:szCs w:val="21"/>
          <w:lang w:val="es-ES_tradnl"/>
        </w:rPr>
      </w:pPr>
      <w:r w:rsidRPr="009D198D">
        <w:rPr>
          <w:rFonts w:ascii="Arial" w:eastAsia="Calibri" w:hAnsi="Arial" w:cs="Arial"/>
          <w:b/>
          <w:bCs/>
          <w:sz w:val="21"/>
          <w:szCs w:val="21"/>
          <w:lang w:val="es-ES_tradnl"/>
        </w:rPr>
        <w:t>Las reservas de caja</w:t>
      </w:r>
      <w:r w:rsidRPr="009D198D">
        <w:rPr>
          <w:rFonts w:ascii="Arial" w:eastAsia="Calibri" w:hAnsi="Arial" w:cs="Arial"/>
          <w:sz w:val="21"/>
          <w:szCs w:val="21"/>
          <w:lang w:val="es-ES_tradnl"/>
        </w:rPr>
        <w:t> corresponden exclusivamente a las obligaciones de los distintos organismos y entidades que forman parte del Presupuesto General de la Nación, exigibles a 31 de diciembre, y suponen dos requisitos: que la causa del gasto se haya realizado, es decir, que el servicio se haya prestado, que el bien o la obra se haya recibido, etc.; y que la obligación respectiva esté incluida en el Acuerdo Mensual de Gastos.</w:t>
      </w:r>
      <w:r w:rsidR="00B7377E" w:rsidRPr="009D198D">
        <w:rPr>
          <w:rFonts w:ascii="Arial" w:eastAsia="Calibri" w:hAnsi="Arial" w:cs="Arial"/>
          <w:sz w:val="21"/>
          <w:szCs w:val="21"/>
          <w:lang w:val="es-ES_tradnl"/>
        </w:rPr>
        <w:t xml:space="preserve"> </w:t>
      </w:r>
      <w:r w:rsidRPr="009D198D">
        <w:rPr>
          <w:rFonts w:ascii="Arial" w:eastAsia="Calibri" w:hAnsi="Arial" w:cs="Arial"/>
          <w:sz w:val="21"/>
          <w:szCs w:val="21"/>
          <w:lang w:val="es-ES_tradnl"/>
        </w:rPr>
        <w:t>En síntesis: la reserva de caja corresponde a una cuenta por pagar</w:t>
      </w:r>
      <w:r w:rsidRPr="009D198D">
        <w:rPr>
          <w:rStyle w:val="Refdenotaalpie"/>
          <w:rFonts w:ascii="Arial" w:eastAsia="Calibri" w:hAnsi="Arial" w:cs="Arial"/>
          <w:sz w:val="21"/>
          <w:szCs w:val="21"/>
          <w:lang w:val="es-ES_tradnl"/>
        </w:rPr>
        <w:footnoteReference w:id="57"/>
      </w:r>
      <w:r w:rsidRPr="009D198D">
        <w:rPr>
          <w:rFonts w:ascii="Arial" w:eastAsia="Calibri" w:hAnsi="Arial" w:cs="Arial"/>
          <w:sz w:val="21"/>
          <w:szCs w:val="21"/>
          <w:lang w:val="es-ES_tradnl"/>
        </w:rPr>
        <w:t>.</w:t>
      </w:r>
    </w:p>
    <w:p w14:paraId="5396188F" w14:textId="77777777" w:rsidR="008C3515" w:rsidRPr="009D198D" w:rsidRDefault="008C3515" w:rsidP="008C3515">
      <w:pPr>
        <w:ind w:left="709" w:right="709"/>
        <w:jc w:val="both"/>
        <w:rPr>
          <w:rFonts w:ascii="Arial" w:eastAsia="Calibri" w:hAnsi="Arial" w:cs="Arial"/>
          <w:sz w:val="21"/>
          <w:szCs w:val="21"/>
          <w:lang w:val="es-ES_tradnl"/>
        </w:rPr>
      </w:pPr>
    </w:p>
    <w:p w14:paraId="3864AF80" w14:textId="6E96752F" w:rsidR="00A30144" w:rsidRPr="009D198D" w:rsidRDefault="00A357D5" w:rsidP="005306CE">
      <w:pPr>
        <w:shd w:val="clear" w:color="auto" w:fill="FFFFFF"/>
        <w:spacing w:line="276" w:lineRule="auto"/>
        <w:ind w:right="51" w:firstLine="709"/>
        <w:jc w:val="both"/>
        <w:rPr>
          <w:rFonts w:ascii="Arial" w:eastAsia="Calibri" w:hAnsi="Arial" w:cs="Arial"/>
          <w:color w:val="000000" w:themeColor="text1"/>
          <w:sz w:val="22"/>
          <w:szCs w:val="22"/>
        </w:rPr>
      </w:pPr>
      <w:r w:rsidRPr="009D198D">
        <w:rPr>
          <w:rFonts w:ascii="Arial" w:eastAsia="Calibri" w:hAnsi="Arial" w:cs="Arial"/>
          <w:color w:val="000000" w:themeColor="text1"/>
          <w:sz w:val="22"/>
          <w:szCs w:val="22"/>
          <w:lang w:val="es-ES_tradnl"/>
        </w:rPr>
        <w:t xml:space="preserve">Sin embargo, es necesario tener en cuenta que las entidades no pueden solicitar reservas presupuestales en cualquier situación, ya que al ser un mecanismo excepcional </w:t>
      </w:r>
      <w:r w:rsidR="00E039BB" w:rsidRPr="009D198D">
        <w:rPr>
          <w:rFonts w:ascii="Arial" w:eastAsia="Calibri" w:hAnsi="Arial" w:cs="Arial"/>
          <w:color w:val="000000" w:themeColor="text1"/>
          <w:sz w:val="22"/>
          <w:szCs w:val="22"/>
          <w:lang w:val="es-ES_tradnl"/>
        </w:rPr>
        <w:t xml:space="preserve">su uso se encuentra restringido por lo que </w:t>
      </w:r>
      <w:r w:rsidRPr="009D198D">
        <w:rPr>
          <w:rFonts w:ascii="Arial" w:eastAsia="Calibri" w:hAnsi="Arial" w:cs="Arial"/>
          <w:color w:val="000000" w:themeColor="text1"/>
          <w:sz w:val="22"/>
          <w:szCs w:val="22"/>
          <w:lang w:val="es-ES_tradnl"/>
        </w:rPr>
        <w:t>deberá</w:t>
      </w:r>
      <w:r w:rsidR="00E039BB" w:rsidRPr="009D198D">
        <w:rPr>
          <w:rFonts w:ascii="Arial" w:eastAsia="Calibri" w:hAnsi="Arial" w:cs="Arial"/>
          <w:color w:val="000000" w:themeColor="text1"/>
          <w:sz w:val="22"/>
          <w:szCs w:val="22"/>
          <w:lang w:val="es-ES_tradnl"/>
        </w:rPr>
        <w:t>n</w:t>
      </w:r>
      <w:r w:rsidRPr="009D198D">
        <w:rPr>
          <w:rFonts w:ascii="Arial" w:eastAsia="Calibri" w:hAnsi="Arial" w:cs="Arial"/>
          <w:color w:val="000000" w:themeColor="text1"/>
          <w:sz w:val="22"/>
          <w:szCs w:val="22"/>
          <w:lang w:val="es-ES_tradnl"/>
        </w:rPr>
        <w:t xml:space="preserve"> estar debidamente justificada</w:t>
      </w:r>
      <w:r w:rsidR="007809ED" w:rsidRPr="009D198D">
        <w:rPr>
          <w:rFonts w:ascii="Arial" w:eastAsia="Calibri" w:hAnsi="Arial" w:cs="Arial"/>
          <w:color w:val="000000" w:themeColor="text1"/>
          <w:sz w:val="22"/>
          <w:szCs w:val="22"/>
          <w:lang w:val="es-ES_tradnl"/>
        </w:rPr>
        <w:t xml:space="preserve">s. Esto significa que su constitución </w:t>
      </w:r>
      <w:r w:rsidRPr="009D198D">
        <w:rPr>
          <w:rFonts w:ascii="Arial" w:eastAsia="Calibri" w:hAnsi="Arial" w:cs="Arial"/>
          <w:color w:val="000000" w:themeColor="text1"/>
          <w:sz w:val="22"/>
          <w:szCs w:val="22"/>
          <w:lang w:val="es-ES_tradnl"/>
        </w:rPr>
        <w:t xml:space="preserve">no </w:t>
      </w:r>
      <w:r w:rsidR="007809ED" w:rsidRPr="009D198D">
        <w:rPr>
          <w:rFonts w:ascii="Arial" w:eastAsia="Calibri" w:hAnsi="Arial" w:cs="Arial"/>
          <w:color w:val="000000" w:themeColor="text1"/>
          <w:sz w:val="22"/>
          <w:szCs w:val="22"/>
          <w:lang w:val="es-ES_tradnl"/>
        </w:rPr>
        <w:t xml:space="preserve">puede obedecer a </w:t>
      </w:r>
      <w:r w:rsidRPr="009D198D">
        <w:rPr>
          <w:rFonts w:ascii="Arial" w:eastAsia="Calibri" w:hAnsi="Arial" w:cs="Arial"/>
          <w:color w:val="000000" w:themeColor="text1"/>
          <w:sz w:val="22"/>
          <w:szCs w:val="22"/>
          <w:lang w:val="es-ES_tradnl"/>
        </w:rPr>
        <w:t>una indebida planeación contractual, pues como se anotó</w:t>
      </w:r>
      <w:r w:rsidR="004E058F" w:rsidRPr="009D198D">
        <w:rPr>
          <w:rFonts w:ascii="Arial" w:eastAsia="Calibri" w:hAnsi="Arial" w:cs="Arial"/>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tanto el régimen presupuestal como el contractual público se desarrolla sobre la base del principio de planeación</w:t>
      </w:r>
      <w:r w:rsidR="007809ED" w:rsidRPr="009D198D">
        <w:rPr>
          <w:rFonts w:ascii="Arial" w:eastAsia="Calibri" w:hAnsi="Arial" w:cs="Arial"/>
          <w:color w:val="000000" w:themeColor="text1"/>
          <w:sz w:val="22"/>
          <w:szCs w:val="22"/>
          <w:lang w:val="es-ES_tradnl"/>
        </w:rPr>
        <w:t xml:space="preserve">. </w:t>
      </w:r>
      <w:r w:rsidR="00B840C8" w:rsidRPr="009D198D">
        <w:rPr>
          <w:rFonts w:ascii="Arial" w:eastAsia="Calibri" w:hAnsi="Arial" w:cs="Arial"/>
          <w:color w:val="000000" w:themeColor="text1"/>
          <w:sz w:val="22"/>
          <w:szCs w:val="22"/>
          <w:lang w:val="es-ES_tradnl"/>
        </w:rPr>
        <w:t xml:space="preserve">En este sentido, las </w:t>
      </w:r>
      <w:r w:rsidR="00F51B56" w:rsidRPr="009D198D">
        <w:rPr>
          <w:rFonts w:ascii="Arial" w:eastAsia="Calibri" w:hAnsi="Arial" w:cs="Arial"/>
          <w:color w:val="000000" w:themeColor="text1"/>
          <w:sz w:val="22"/>
          <w:szCs w:val="22"/>
          <w:lang w:val="es-ES_tradnl"/>
        </w:rPr>
        <w:t>reservas</w:t>
      </w:r>
      <w:r w:rsidR="00B840C8" w:rsidRPr="009D198D">
        <w:rPr>
          <w:rFonts w:ascii="Arial" w:eastAsia="Calibri" w:hAnsi="Arial" w:cs="Arial"/>
          <w:color w:val="000000" w:themeColor="text1"/>
          <w:sz w:val="22"/>
          <w:szCs w:val="22"/>
          <w:lang w:val="es-ES_tradnl"/>
        </w:rPr>
        <w:t xml:space="preserve"> presupuestales no pueden ser empleadas como u</w:t>
      </w:r>
      <w:r w:rsidR="00F51B56" w:rsidRPr="009D198D">
        <w:rPr>
          <w:rFonts w:ascii="Arial" w:eastAsia="Calibri" w:hAnsi="Arial" w:cs="Arial"/>
          <w:color w:val="000000" w:themeColor="text1"/>
          <w:sz w:val="22"/>
          <w:szCs w:val="22"/>
          <w:lang w:val="es-ES_tradnl"/>
        </w:rPr>
        <w:t xml:space="preserve">na herramienta </w:t>
      </w:r>
      <w:r w:rsidR="00B840C8" w:rsidRPr="009D198D">
        <w:rPr>
          <w:rFonts w:ascii="Arial" w:eastAsia="Calibri" w:hAnsi="Arial" w:cs="Arial"/>
          <w:color w:val="000000" w:themeColor="text1"/>
          <w:sz w:val="22"/>
          <w:szCs w:val="22"/>
          <w:lang w:val="es-ES_tradnl"/>
        </w:rPr>
        <w:t>ordinari</w:t>
      </w:r>
      <w:r w:rsidR="00F51B56" w:rsidRPr="009D198D">
        <w:rPr>
          <w:rFonts w:ascii="Arial" w:eastAsia="Calibri" w:hAnsi="Arial" w:cs="Arial"/>
          <w:color w:val="000000" w:themeColor="text1"/>
          <w:sz w:val="22"/>
          <w:szCs w:val="22"/>
          <w:lang w:val="es-ES_tradnl"/>
        </w:rPr>
        <w:t>a</w:t>
      </w:r>
      <w:r w:rsidR="00B840C8" w:rsidRPr="009D198D">
        <w:rPr>
          <w:rFonts w:ascii="Arial" w:eastAsia="Calibri" w:hAnsi="Arial" w:cs="Arial"/>
          <w:color w:val="000000" w:themeColor="text1"/>
          <w:sz w:val="22"/>
          <w:szCs w:val="22"/>
          <w:lang w:val="es-ES_tradnl"/>
        </w:rPr>
        <w:t xml:space="preserve"> de ejecución presupuestal puesto que </w:t>
      </w:r>
      <w:r w:rsidR="00F51B56" w:rsidRPr="009D198D">
        <w:rPr>
          <w:rFonts w:ascii="Arial" w:eastAsia="Calibri" w:hAnsi="Arial" w:cs="Arial"/>
          <w:color w:val="000000" w:themeColor="text1"/>
          <w:sz w:val="22"/>
          <w:szCs w:val="22"/>
          <w:lang w:val="es-ES_tradnl"/>
        </w:rPr>
        <w:t xml:space="preserve">están concebidas como </w:t>
      </w:r>
      <w:r w:rsidR="00F51B56" w:rsidRPr="009D198D">
        <w:rPr>
          <w:rFonts w:ascii="Arial" w:eastAsia="Calibri" w:hAnsi="Arial" w:cs="Arial"/>
          <w:color w:val="000000" w:themeColor="text1"/>
          <w:sz w:val="22"/>
          <w:szCs w:val="22"/>
          <w:lang w:val="es-ES"/>
        </w:rPr>
        <w:t>«</w:t>
      </w:r>
      <w:r w:rsidR="00F51B56" w:rsidRPr="009D198D">
        <w:rPr>
          <w:rFonts w:ascii="Arial" w:eastAsia="Calibri" w:hAnsi="Arial" w:cs="Arial"/>
          <w:color w:val="000000" w:themeColor="text1"/>
          <w:sz w:val="22"/>
          <w:szCs w:val="22"/>
        </w:rPr>
        <w:t xml:space="preserve">un </w:t>
      </w:r>
      <w:r w:rsidR="00B840C8" w:rsidRPr="009D198D">
        <w:rPr>
          <w:rFonts w:ascii="Arial" w:eastAsia="Calibri" w:hAnsi="Arial" w:cs="Arial"/>
          <w:color w:val="000000" w:themeColor="text1"/>
          <w:sz w:val="22"/>
          <w:szCs w:val="22"/>
        </w:rPr>
        <w:t>instrumento de uso esporádico y justificado únicamente en situaciones atípicas que impiden</w:t>
      </w:r>
      <w:r w:rsidR="00F51B56" w:rsidRPr="009D198D">
        <w:rPr>
          <w:rFonts w:ascii="Arial" w:eastAsia="Calibri" w:hAnsi="Arial" w:cs="Arial"/>
          <w:color w:val="000000" w:themeColor="text1"/>
          <w:sz w:val="22"/>
          <w:szCs w:val="22"/>
        </w:rPr>
        <w:t xml:space="preserve"> </w:t>
      </w:r>
      <w:r w:rsidR="00B840C8" w:rsidRPr="009D198D">
        <w:rPr>
          <w:rFonts w:ascii="Arial" w:eastAsia="Calibri" w:hAnsi="Arial" w:cs="Arial"/>
          <w:color w:val="000000" w:themeColor="text1"/>
          <w:sz w:val="22"/>
          <w:szCs w:val="22"/>
        </w:rPr>
        <w:t>la ejecución de los compromisos en las fechas inicialmente previstas para ello, dentro de la</w:t>
      </w:r>
      <w:r w:rsidR="00F51B56" w:rsidRPr="009D198D">
        <w:rPr>
          <w:rFonts w:ascii="Arial" w:eastAsia="Calibri" w:hAnsi="Arial" w:cs="Arial"/>
          <w:color w:val="000000" w:themeColor="text1"/>
          <w:sz w:val="22"/>
          <w:szCs w:val="22"/>
        </w:rPr>
        <w:t xml:space="preserve"> </w:t>
      </w:r>
      <w:r w:rsidR="00B840C8" w:rsidRPr="009D198D">
        <w:rPr>
          <w:rFonts w:ascii="Arial" w:eastAsia="Calibri" w:hAnsi="Arial" w:cs="Arial"/>
          <w:color w:val="000000" w:themeColor="text1"/>
          <w:sz w:val="22"/>
          <w:szCs w:val="22"/>
        </w:rPr>
        <w:t>misma vigencia a aquella en que el compromiso se celebró</w:t>
      </w:r>
      <w:r w:rsidR="00F51B56" w:rsidRPr="009D198D">
        <w:rPr>
          <w:rFonts w:ascii="Arial" w:eastAsia="Calibri" w:hAnsi="Arial" w:cs="Arial"/>
          <w:color w:val="000000" w:themeColor="text1"/>
          <w:sz w:val="22"/>
          <w:szCs w:val="22"/>
          <w:lang w:val="es-ES"/>
        </w:rPr>
        <w:t>»</w:t>
      </w:r>
      <w:r w:rsidR="00F51B56" w:rsidRPr="009D198D">
        <w:rPr>
          <w:rStyle w:val="Refdenotaalpie"/>
          <w:rFonts w:ascii="Arial" w:eastAsia="Calibri" w:hAnsi="Arial" w:cs="Arial"/>
          <w:color w:val="000000" w:themeColor="text1"/>
          <w:sz w:val="22"/>
          <w:szCs w:val="22"/>
          <w:lang w:val="es-ES"/>
        </w:rPr>
        <w:footnoteReference w:id="58"/>
      </w:r>
      <w:r w:rsidR="00B840C8" w:rsidRPr="009D198D">
        <w:rPr>
          <w:rFonts w:ascii="Arial" w:eastAsia="Calibri" w:hAnsi="Arial" w:cs="Arial"/>
          <w:color w:val="000000" w:themeColor="text1"/>
          <w:sz w:val="22"/>
          <w:szCs w:val="22"/>
        </w:rPr>
        <w:t>.</w:t>
      </w:r>
    </w:p>
    <w:p w14:paraId="180B1BC3" w14:textId="082E4453" w:rsidR="00F36063" w:rsidRPr="009D198D" w:rsidRDefault="00F36063" w:rsidP="00A379AE">
      <w:pPr>
        <w:shd w:val="clear" w:color="auto" w:fill="FFFFFF"/>
        <w:spacing w:before="120" w:line="276" w:lineRule="auto"/>
        <w:ind w:right="51" w:firstLine="709"/>
        <w:jc w:val="both"/>
        <w:rPr>
          <w:rFonts w:ascii="Arial" w:eastAsia="Calibri" w:hAnsi="Arial" w:cs="Arial"/>
          <w:color w:val="000000" w:themeColor="text1"/>
          <w:sz w:val="22"/>
          <w:szCs w:val="22"/>
          <w:lang w:val="es-ES"/>
        </w:rPr>
      </w:pPr>
      <w:r w:rsidRPr="009D198D">
        <w:rPr>
          <w:rFonts w:ascii="Arial" w:eastAsia="Calibri" w:hAnsi="Arial" w:cs="Arial"/>
          <w:color w:val="000000" w:themeColor="text1"/>
          <w:sz w:val="22"/>
          <w:szCs w:val="22"/>
        </w:rPr>
        <w:t>Respecto</w:t>
      </w:r>
      <w:r w:rsidR="00E039BB" w:rsidRPr="009D198D">
        <w:rPr>
          <w:rFonts w:ascii="Arial" w:eastAsia="Calibri" w:hAnsi="Arial" w:cs="Arial"/>
          <w:color w:val="000000" w:themeColor="text1"/>
          <w:sz w:val="22"/>
          <w:szCs w:val="22"/>
        </w:rPr>
        <w:t xml:space="preserve"> de</w:t>
      </w:r>
      <w:r w:rsidRPr="009D198D">
        <w:rPr>
          <w:rFonts w:ascii="Arial" w:eastAsia="Calibri" w:hAnsi="Arial" w:cs="Arial"/>
          <w:color w:val="000000" w:themeColor="text1"/>
          <w:sz w:val="22"/>
          <w:szCs w:val="22"/>
        </w:rPr>
        <w:t xml:space="preserve"> la distinción entre las reservas presupuestales y las vigencias futuras debe señalarse que contrario a estas últimas, </w:t>
      </w:r>
      <w:r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rPr>
        <w:t xml:space="preserve">la reserva presupuestal supone la existencia de un compromiso presupuestal legalmente adquirido, en otras palabras, de la existencia de un acto o contrato expedido y perfeccionado por las </w:t>
      </w:r>
      <w:proofErr w:type="gramStart"/>
      <w:r w:rsidRPr="009D198D">
        <w:rPr>
          <w:rFonts w:ascii="Arial" w:eastAsia="Calibri" w:hAnsi="Arial" w:cs="Arial"/>
          <w:color w:val="000000" w:themeColor="text1"/>
          <w:sz w:val="22"/>
          <w:szCs w:val="22"/>
        </w:rPr>
        <w:t>autoridades públicas</w:t>
      </w:r>
      <w:proofErr w:type="gramEnd"/>
      <w:r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rPr>
        <w:t>.</w:t>
      </w:r>
      <w:r w:rsidR="00966FDA" w:rsidRPr="009D198D">
        <w:rPr>
          <w:rFonts w:ascii="Arial" w:eastAsia="Calibri" w:hAnsi="Arial" w:cs="Arial"/>
          <w:color w:val="000000" w:themeColor="text1"/>
          <w:sz w:val="22"/>
          <w:szCs w:val="22"/>
        </w:rPr>
        <w:t xml:space="preserve"> </w:t>
      </w:r>
      <w:r w:rsidR="00A0608B" w:rsidRPr="009D198D">
        <w:rPr>
          <w:rFonts w:ascii="Arial" w:eastAsia="Calibri" w:hAnsi="Arial" w:cs="Arial"/>
          <w:color w:val="000000" w:themeColor="text1"/>
          <w:sz w:val="22"/>
          <w:szCs w:val="22"/>
        </w:rPr>
        <w:t xml:space="preserve">En </w:t>
      </w:r>
      <w:r w:rsidR="00532170" w:rsidRPr="009D198D">
        <w:rPr>
          <w:rFonts w:ascii="Arial" w:eastAsia="Calibri" w:hAnsi="Arial" w:cs="Arial"/>
          <w:color w:val="000000" w:themeColor="text1"/>
          <w:sz w:val="22"/>
          <w:szCs w:val="22"/>
        </w:rPr>
        <w:t xml:space="preserve">cambio, </w:t>
      </w:r>
      <w:r w:rsidR="00A379AE" w:rsidRPr="009D198D">
        <w:rPr>
          <w:rFonts w:ascii="Arial" w:eastAsia="Calibri" w:hAnsi="Arial" w:cs="Arial"/>
          <w:color w:val="000000" w:themeColor="text1"/>
          <w:sz w:val="22"/>
          <w:szCs w:val="22"/>
        </w:rPr>
        <w:t xml:space="preserve">en </w:t>
      </w:r>
      <w:r w:rsidR="00A0608B" w:rsidRPr="009D198D">
        <w:rPr>
          <w:rFonts w:ascii="Arial" w:eastAsia="Calibri" w:hAnsi="Arial" w:cs="Arial"/>
          <w:color w:val="000000" w:themeColor="text1"/>
          <w:sz w:val="22"/>
          <w:szCs w:val="22"/>
        </w:rPr>
        <w:t xml:space="preserve">las </w:t>
      </w:r>
      <w:r w:rsidR="00966FDA" w:rsidRPr="009D198D">
        <w:rPr>
          <w:rFonts w:ascii="Arial" w:eastAsia="Calibri" w:hAnsi="Arial" w:cs="Arial"/>
          <w:color w:val="000000" w:themeColor="text1"/>
          <w:sz w:val="22"/>
          <w:szCs w:val="22"/>
        </w:rPr>
        <w:t>vigencias futuras</w:t>
      </w:r>
      <w:r w:rsidR="00A0608B" w:rsidRPr="009D198D">
        <w:rPr>
          <w:rFonts w:ascii="Arial" w:eastAsia="Calibri" w:hAnsi="Arial" w:cs="Arial"/>
          <w:color w:val="000000" w:themeColor="text1"/>
          <w:sz w:val="22"/>
          <w:szCs w:val="22"/>
        </w:rPr>
        <w:t xml:space="preserve"> se </w:t>
      </w:r>
      <w:r w:rsidR="00532170" w:rsidRPr="009D198D">
        <w:rPr>
          <w:rFonts w:ascii="Arial" w:eastAsia="Calibri" w:hAnsi="Arial" w:cs="Arial"/>
          <w:color w:val="000000" w:themeColor="text1"/>
          <w:sz w:val="22"/>
          <w:szCs w:val="22"/>
        </w:rPr>
        <w:t xml:space="preserve">realiza </w:t>
      </w:r>
      <w:r w:rsidR="00A0608B" w:rsidRPr="009D198D">
        <w:rPr>
          <w:rFonts w:ascii="Arial" w:eastAsia="Calibri" w:hAnsi="Arial" w:cs="Arial"/>
          <w:color w:val="000000" w:themeColor="text1"/>
          <w:sz w:val="22"/>
          <w:szCs w:val="22"/>
        </w:rPr>
        <w:t>una</w:t>
      </w:r>
      <w:r w:rsidR="00A379AE" w:rsidRPr="009D198D">
        <w:rPr>
          <w:rFonts w:ascii="Arial" w:eastAsia="Calibri" w:hAnsi="Arial" w:cs="Arial"/>
          <w:color w:val="000000" w:themeColor="text1"/>
          <w:sz w:val="22"/>
          <w:szCs w:val="22"/>
        </w:rPr>
        <w:t xml:space="preserve"> </w:t>
      </w:r>
      <w:r w:rsidR="00A0608B" w:rsidRPr="009D198D">
        <w:rPr>
          <w:rFonts w:ascii="Arial" w:eastAsia="Calibri" w:hAnsi="Arial" w:cs="Arial"/>
          <w:color w:val="000000" w:themeColor="text1"/>
          <w:sz w:val="22"/>
          <w:szCs w:val="22"/>
        </w:rPr>
        <w:t xml:space="preserve">autorización </w:t>
      </w:r>
      <w:r w:rsidR="00A379AE" w:rsidRPr="009D198D">
        <w:rPr>
          <w:rFonts w:ascii="Arial" w:eastAsia="Calibri" w:hAnsi="Arial" w:cs="Arial"/>
          <w:color w:val="000000" w:themeColor="text1"/>
          <w:sz w:val="22"/>
          <w:szCs w:val="22"/>
        </w:rPr>
        <w:t xml:space="preserve">que </w:t>
      </w:r>
      <w:r w:rsidR="00A0608B" w:rsidRPr="009D198D">
        <w:rPr>
          <w:rFonts w:ascii="Arial" w:eastAsia="Calibri" w:hAnsi="Arial" w:cs="Arial"/>
          <w:color w:val="000000" w:themeColor="text1"/>
          <w:sz w:val="22"/>
          <w:szCs w:val="22"/>
        </w:rPr>
        <w:t xml:space="preserve">afecta presupuestos futuros </w:t>
      </w:r>
      <w:r w:rsidR="00A379AE" w:rsidRPr="009D198D">
        <w:rPr>
          <w:rFonts w:ascii="Arial" w:eastAsia="Calibri" w:hAnsi="Arial" w:cs="Arial"/>
          <w:color w:val="000000" w:themeColor="text1"/>
          <w:sz w:val="22"/>
          <w:szCs w:val="22"/>
        </w:rPr>
        <w:t xml:space="preserve">que </w:t>
      </w:r>
      <w:r w:rsidR="00A379AE" w:rsidRPr="009D198D">
        <w:rPr>
          <w:rFonts w:ascii="Arial" w:eastAsia="Calibri" w:hAnsi="Arial" w:cs="Arial"/>
          <w:color w:val="000000" w:themeColor="text1"/>
          <w:sz w:val="22"/>
          <w:szCs w:val="22"/>
          <w:lang w:val="es-ES"/>
        </w:rPr>
        <w:t>«</w:t>
      </w:r>
      <w:r w:rsidR="00A0608B" w:rsidRPr="009D198D">
        <w:rPr>
          <w:rFonts w:ascii="Arial" w:eastAsia="Calibri" w:hAnsi="Arial" w:cs="Arial"/>
          <w:color w:val="000000" w:themeColor="text1"/>
          <w:sz w:val="22"/>
          <w:szCs w:val="22"/>
        </w:rPr>
        <w:t>se formaliza antes de que se aprueben las vigencias en las que se van a ejecutar y la vida jurídica de tales autorizaciones se prolonga a lo largo de varias vigencias</w:t>
      </w:r>
      <w:r w:rsidR="00A379AE" w:rsidRPr="009D198D">
        <w:rPr>
          <w:rFonts w:ascii="Arial" w:eastAsia="Calibri" w:hAnsi="Arial" w:cs="Arial"/>
          <w:color w:val="000000" w:themeColor="text1"/>
          <w:sz w:val="22"/>
          <w:szCs w:val="22"/>
          <w:lang w:val="es-ES"/>
        </w:rPr>
        <w:t>»</w:t>
      </w:r>
      <w:r w:rsidR="00A379AE" w:rsidRPr="009D198D">
        <w:rPr>
          <w:rStyle w:val="Refdenotaalpie"/>
          <w:rFonts w:ascii="Arial" w:eastAsia="Calibri" w:hAnsi="Arial" w:cs="Arial"/>
          <w:color w:val="000000" w:themeColor="text1"/>
          <w:sz w:val="22"/>
          <w:szCs w:val="22"/>
          <w:lang w:val="es-ES"/>
        </w:rPr>
        <w:footnoteReference w:id="59"/>
      </w:r>
      <w:r w:rsidR="00A0608B" w:rsidRPr="009D198D">
        <w:rPr>
          <w:rFonts w:ascii="Arial" w:eastAsia="Calibri" w:hAnsi="Arial" w:cs="Arial"/>
          <w:color w:val="000000" w:themeColor="text1"/>
          <w:sz w:val="22"/>
          <w:szCs w:val="22"/>
        </w:rPr>
        <w:t>.</w:t>
      </w:r>
      <w:r w:rsidR="00A379AE" w:rsidRPr="009D198D">
        <w:rPr>
          <w:rFonts w:ascii="Arial" w:eastAsia="Calibri" w:hAnsi="Arial" w:cs="Arial"/>
          <w:color w:val="000000" w:themeColor="text1"/>
          <w:sz w:val="22"/>
          <w:szCs w:val="22"/>
        </w:rPr>
        <w:t xml:space="preserve"> </w:t>
      </w:r>
    </w:p>
    <w:p w14:paraId="35C86C88" w14:textId="7DDF6392" w:rsidR="00A30144" w:rsidRPr="009D198D" w:rsidRDefault="00F36063" w:rsidP="00CC061B">
      <w:pPr>
        <w:shd w:val="clear" w:color="auto" w:fill="FFFFFF"/>
        <w:spacing w:before="120" w:line="276" w:lineRule="auto"/>
        <w:ind w:right="51"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lastRenderedPageBreak/>
        <w:t xml:space="preserve">Ahora bien, en relación con </w:t>
      </w:r>
      <w:r w:rsidR="00BC4120" w:rsidRPr="009D198D">
        <w:rPr>
          <w:rFonts w:ascii="Arial" w:eastAsia="Calibri" w:hAnsi="Arial" w:cs="Arial"/>
          <w:color w:val="000000" w:themeColor="text1"/>
          <w:sz w:val="22"/>
          <w:szCs w:val="22"/>
          <w:lang w:val="es-ES_tradnl"/>
        </w:rPr>
        <w:t xml:space="preserve">los </w:t>
      </w:r>
      <w:r w:rsidR="00A973E0" w:rsidRPr="009D198D">
        <w:rPr>
          <w:rFonts w:ascii="Arial" w:eastAsia="Calibri" w:hAnsi="Arial" w:cs="Arial"/>
          <w:color w:val="000000" w:themeColor="text1"/>
          <w:sz w:val="22"/>
          <w:szCs w:val="22"/>
          <w:lang w:val="es-ES"/>
        </w:rPr>
        <w:t>«</w:t>
      </w:r>
      <w:r w:rsidR="00BC4120" w:rsidRPr="009D198D">
        <w:rPr>
          <w:rFonts w:ascii="Arial" w:eastAsia="Calibri" w:hAnsi="Arial" w:cs="Arial"/>
          <w:color w:val="000000" w:themeColor="text1"/>
          <w:sz w:val="22"/>
          <w:szCs w:val="22"/>
          <w:lang w:val="es-ES_tradnl"/>
        </w:rPr>
        <w:t>pagos de pasivos exigibles – vigencias expiradas</w:t>
      </w:r>
      <w:r w:rsidR="00A973E0"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lang w:val="es-ES_tradnl"/>
        </w:rPr>
        <w:t>, del cual se hace alusión en la consulta,</w:t>
      </w:r>
      <w:r w:rsidR="00BC4120" w:rsidRPr="009D198D">
        <w:rPr>
          <w:rFonts w:ascii="Arial" w:eastAsia="Calibri" w:hAnsi="Arial" w:cs="Arial"/>
          <w:color w:val="000000" w:themeColor="text1"/>
          <w:sz w:val="22"/>
          <w:szCs w:val="22"/>
          <w:lang w:val="es-ES_tradnl"/>
        </w:rPr>
        <w:t xml:space="preserve"> es preciso señalar que </w:t>
      </w:r>
      <w:r w:rsidR="00A30144" w:rsidRPr="009D198D">
        <w:rPr>
          <w:rFonts w:ascii="Arial" w:eastAsia="Calibri" w:hAnsi="Arial" w:cs="Arial"/>
          <w:color w:val="000000" w:themeColor="text1"/>
          <w:sz w:val="22"/>
          <w:szCs w:val="22"/>
          <w:lang w:val="es-ES_tradnl"/>
        </w:rPr>
        <w:t xml:space="preserve">el artículo 49 de la Ley 2159 de 2021 </w:t>
      </w:r>
      <w:r w:rsidR="005306CE" w:rsidRPr="009D198D">
        <w:rPr>
          <w:rFonts w:ascii="Arial" w:eastAsia="Calibri" w:hAnsi="Arial" w:cs="Arial"/>
          <w:color w:val="000000" w:themeColor="text1"/>
          <w:sz w:val="22"/>
          <w:szCs w:val="22"/>
          <w:lang w:val="es-ES"/>
        </w:rPr>
        <w:t>«</w:t>
      </w:r>
      <w:r w:rsidR="00A973E0" w:rsidRPr="009D198D">
        <w:rPr>
          <w:rFonts w:ascii="Arial" w:eastAsia="Calibri" w:hAnsi="Arial" w:cs="Arial"/>
          <w:color w:val="000000" w:themeColor="text1"/>
          <w:sz w:val="22"/>
          <w:szCs w:val="22"/>
          <w:lang w:val="es-ES"/>
        </w:rPr>
        <w:t xml:space="preserve">Por </w:t>
      </w:r>
      <w:r w:rsidR="00A30144" w:rsidRPr="009D198D">
        <w:rPr>
          <w:rFonts w:ascii="Arial" w:eastAsia="Calibri" w:hAnsi="Arial" w:cs="Arial"/>
          <w:color w:val="000000" w:themeColor="text1"/>
          <w:sz w:val="22"/>
          <w:szCs w:val="22"/>
          <w:lang w:val="es-ES_tradnl"/>
        </w:rPr>
        <w:t>la cual se decreta el presupuesto de rentas y recursos de capital y ley de apropiaciones para la vigencia fiscal del 1</w:t>
      </w:r>
      <w:r w:rsidR="00BC4120" w:rsidRPr="009D198D">
        <w:rPr>
          <w:rFonts w:ascii="Arial" w:eastAsia="Calibri" w:hAnsi="Arial" w:cs="Arial"/>
          <w:color w:val="000000" w:themeColor="text1"/>
          <w:sz w:val="22"/>
          <w:szCs w:val="22"/>
          <w:lang w:val="es-ES_tradnl"/>
        </w:rPr>
        <w:t>°</w:t>
      </w:r>
      <w:r w:rsidR="00A30144" w:rsidRPr="009D198D">
        <w:rPr>
          <w:rFonts w:ascii="Arial" w:eastAsia="Calibri" w:hAnsi="Arial" w:cs="Arial"/>
          <w:color w:val="000000" w:themeColor="text1"/>
          <w:sz w:val="22"/>
          <w:szCs w:val="22"/>
          <w:lang w:val="es-ES_tradnl"/>
        </w:rPr>
        <w:t xml:space="preserve"> de enero al 31 de diciembre de 2022</w:t>
      </w:r>
      <w:r w:rsidR="005306CE" w:rsidRPr="009D198D">
        <w:rPr>
          <w:rFonts w:ascii="Arial" w:eastAsia="Calibri" w:hAnsi="Arial" w:cs="Arial"/>
          <w:color w:val="000000" w:themeColor="text1"/>
          <w:sz w:val="22"/>
          <w:szCs w:val="22"/>
          <w:lang w:val="es-ES"/>
        </w:rPr>
        <w:t>»</w:t>
      </w:r>
      <w:r w:rsidR="00A30144" w:rsidRPr="009D198D">
        <w:rPr>
          <w:rFonts w:ascii="Arial" w:eastAsia="Calibri" w:hAnsi="Arial" w:cs="Arial"/>
          <w:color w:val="000000" w:themeColor="text1"/>
          <w:sz w:val="22"/>
          <w:szCs w:val="22"/>
          <w:lang w:val="es-ES_tradnl"/>
        </w:rPr>
        <w:t xml:space="preserve"> </w:t>
      </w:r>
      <w:r w:rsidR="00855724" w:rsidRPr="009D198D">
        <w:rPr>
          <w:rFonts w:ascii="Arial" w:eastAsia="Calibri" w:hAnsi="Arial" w:cs="Arial"/>
          <w:color w:val="000000" w:themeColor="text1"/>
          <w:sz w:val="22"/>
          <w:szCs w:val="22"/>
          <w:lang w:val="es-ES_tradnl"/>
        </w:rPr>
        <w:t xml:space="preserve">hace mención </w:t>
      </w:r>
      <w:proofErr w:type="gramStart"/>
      <w:r w:rsidR="00A973E0" w:rsidRPr="009D198D">
        <w:rPr>
          <w:rFonts w:ascii="Arial" w:eastAsia="Calibri" w:hAnsi="Arial" w:cs="Arial"/>
          <w:color w:val="000000" w:themeColor="text1"/>
          <w:sz w:val="22"/>
          <w:szCs w:val="22"/>
          <w:lang w:val="es-ES_tradnl"/>
        </w:rPr>
        <w:t>a</w:t>
      </w:r>
      <w:proofErr w:type="gramEnd"/>
      <w:r w:rsidR="00855724" w:rsidRPr="009D198D">
        <w:rPr>
          <w:rFonts w:ascii="Arial" w:eastAsia="Calibri" w:hAnsi="Arial" w:cs="Arial"/>
          <w:color w:val="000000" w:themeColor="text1"/>
          <w:sz w:val="22"/>
          <w:szCs w:val="22"/>
          <w:lang w:val="es-ES_tradnl"/>
        </w:rPr>
        <w:t xml:space="preserve"> </w:t>
      </w:r>
      <w:r w:rsidR="00BC4120" w:rsidRPr="009D198D">
        <w:rPr>
          <w:rFonts w:ascii="Arial" w:eastAsia="Calibri" w:hAnsi="Arial" w:cs="Arial"/>
          <w:color w:val="000000" w:themeColor="text1"/>
          <w:sz w:val="22"/>
          <w:szCs w:val="22"/>
          <w:lang w:val="es-ES_tradnl"/>
        </w:rPr>
        <w:t xml:space="preserve">esta </w:t>
      </w:r>
      <w:r w:rsidR="00A30144" w:rsidRPr="009D198D">
        <w:rPr>
          <w:rFonts w:ascii="Arial" w:eastAsia="Calibri" w:hAnsi="Arial" w:cs="Arial"/>
          <w:color w:val="000000" w:themeColor="text1"/>
          <w:sz w:val="22"/>
          <w:szCs w:val="22"/>
          <w:lang w:val="es-ES_tradnl"/>
        </w:rPr>
        <w:t xml:space="preserve">figura </w:t>
      </w:r>
      <w:r w:rsidR="00BC4120" w:rsidRPr="009D198D">
        <w:rPr>
          <w:rFonts w:ascii="Arial" w:eastAsia="Calibri" w:hAnsi="Arial" w:cs="Arial"/>
          <w:color w:val="000000" w:themeColor="text1"/>
          <w:sz w:val="22"/>
          <w:szCs w:val="22"/>
          <w:lang w:val="es-ES_tradnl"/>
        </w:rPr>
        <w:t>de la siguiente manera</w:t>
      </w:r>
      <w:r w:rsidR="00A30144" w:rsidRPr="009D198D">
        <w:rPr>
          <w:rFonts w:ascii="Arial" w:eastAsia="Calibri" w:hAnsi="Arial" w:cs="Arial"/>
          <w:color w:val="000000" w:themeColor="text1"/>
          <w:sz w:val="22"/>
          <w:szCs w:val="22"/>
          <w:lang w:val="es-ES_tradnl"/>
        </w:rPr>
        <w:t xml:space="preserve">: </w:t>
      </w:r>
    </w:p>
    <w:p w14:paraId="50A555E4" w14:textId="77777777" w:rsidR="00CC061B" w:rsidRPr="009D198D" w:rsidRDefault="00CC061B" w:rsidP="00CC061B">
      <w:pPr>
        <w:shd w:val="clear" w:color="auto" w:fill="FFFFFF"/>
        <w:spacing w:line="276" w:lineRule="auto"/>
        <w:ind w:right="51" w:firstLine="709"/>
        <w:jc w:val="both"/>
        <w:rPr>
          <w:rFonts w:ascii="Arial" w:eastAsia="Calibri" w:hAnsi="Arial" w:cs="Arial"/>
          <w:color w:val="000000" w:themeColor="text1"/>
          <w:sz w:val="22"/>
          <w:szCs w:val="22"/>
          <w:lang w:val="es-ES_tradnl"/>
        </w:rPr>
      </w:pPr>
    </w:p>
    <w:p w14:paraId="28E715E0" w14:textId="2DE0A2B6" w:rsidR="00A30144" w:rsidRPr="009D198D" w:rsidRDefault="00A30144" w:rsidP="00CC061B">
      <w:pPr>
        <w:ind w:left="709" w:right="709"/>
        <w:jc w:val="both"/>
        <w:rPr>
          <w:rFonts w:ascii="Arial" w:eastAsia="Calibri" w:hAnsi="Arial" w:cs="Arial"/>
          <w:i/>
          <w:iCs/>
          <w:sz w:val="21"/>
          <w:szCs w:val="21"/>
          <w:lang w:val="es-ES_tradnl"/>
        </w:rPr>
      </w:pPr>
      <w:r w:rsidRPr="009D198D">
        <w:rPr>
          <w:rFonts w:ascii="Arial" w:eastAsia="Calibri" w:hAnsi="Arial" w:cs="Arial"/>
          <w:sz w:val="21"/>
          <w:szCs w:val="21"/>
          <w:lang w:val="es-ES_tradnl"/>
        </w:rPr>
        <w:t xml:space="preserve">Sin perjuicio de la responsabilidad fiscal y disciplinaria a que haya lugar, cuando en vigencias anteriores no se haya realizado el pago de obligaciones adquiridas con las formalidades previstas en el Estatuto Orgánico del Presupuesto y demás normas que regulan la materia, y sobre los mismos no se haya constituido la reserva presupuestal o la cuenta por pagar correspondiente, se podrá hacer el pago bajo el concepto de </w:t>
      </w:r>
      <w:r w:rsidRPr="009D198D">
        <w:rPr>
          <w:rFonts w:ascii="Arial" w:eastAsia="Calibri" w:hAnsi="Arial" w:cs="Arial"/>
          <w:i/>
          <w:iCs/>
          <w:sz w:val="21"/>
          <w:szCs w:val="21"/>
          <w:lang w:val="es-ES_tradnl"/>
        </w:rPr>
        <w:t xml:space="preserve">"Pago de Pasivos Exigibles - Vigencias Expiradas". </w:t>
      </w:r>
    </w:p>
    <w:p w14:paraId="1DCEDC70" w14:textId="77777777" w:rsidR="00CC061B" w:rsidRPr="009D198D" w:rsidRDefault="00CC061B" w:rsidP="00CC061B">
      <w:pPr>
        <w:ind w:left="709" w:right="709"/>
        <w:jc w:val="both"/>
        <w:rPr>
          <w:rFonts w:ascii="Arial" w:eastAsia="Calibri" w:hAnsi="Arial" w:cs="Arial"/>
          <w:i/>
          <w:iCs/>
          <w:sz w:val="21"/>
          <w:szCs w:val="21"/>
          <w:lang w:val="es-ES_tradnl"/>
        </w:rPr>
      </w:pPr>
    </w:p>
    <w:p w14:paraId="3D12E1B6" w14:textId="23EB70A2" w:rsidR="00A30144" w:rsidRPr="009D198D" w:rsidRDefault="00A30144" w:rsidP="00CC061B">
      <w:pPr>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 xml:space="preserve">También procederá la operación prevista en el inciso anterior, cuando el pago no se hubiere realizado pese a haberse constituido oportunamente la reserva presupuestal o la cuenta por pagar en los términos del artículo 89 del Estatuto Orgánico del Presupuesto. </w:t>
      </w:r>
    </w:p>
    <w:p w14:paraId="1A4CB652" w14:textId="77777777" w:rsidR="00CC061B" w:rsidRPr="009D198D" w:rsidRDefault="00CC061B" w:rsidP="00CC061B">
      <w:pPr>
        <w:ind w:left="709" w:right="709"/>
        <w:jc w:val="both"/>
        <w:rPr>
          <w:rFonts w:ascii="Arial" w:eastAsia="Calibri" w:hAnsi="Arial" w:cs="Arial"/>
          <w:sz w:val="21"/>
          <w:szCs w:val="21"/>
          <w:lang w:val="es-ES_tradnl"/>
        </w:rPr>
      </w:pPr>
    </w:p>
    <w:p w14:paraId="2FAD7BEB" w14:textId="0BFB1580" w:rsidR="00A30144" w:rsidRPr="009D198D" w:rsidRDefault="00A30144" w:rsidP="00CC061B">
      <w:pPr>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 xml:space="preserve">El mecanismo previsto en el primer inciso de este artículo también procederá cuando se trate del cumplimiento de una obligación originada en la ley, exigible en vigencias anteriores, aun sin que medie certificado de </w:t>
      </w:r>
      <w:proofErr w:type="gramStart"/>
      <w:r w:rsidRPr="009D198D">
        <w:rPr>
          <w:rFonts w:ascii="Arial" w:eastAsia="Calibri" w:hAnsi="Arial" w:cs="Arial"/>
          <w:sz w:val="21"/>
          <w:szCs w:val="21"/>
          <w:lang w:val="es-ES_tradnl"/>
        </w:rPr>
        <w:t>disponibilidad presupuestal ni registro presupuestal</w:t>
      </w:r>
      <w:proofErr w:type="gramEnd"/>
      <w:r w:rsidRPr="009D198D">
        <w:rPr>
          <w:rFonts w:ascii="Arial" w:eastAsia="Calibri" w:hAnsi="Arial" w:cs="Arial"/>
          <w:sz w:val="21"/>
          <w:szCs w:val="21"/>
          <w:lang w:val="es-ES_tradnl"/>
        </w:rPr>
        <w:t xml:space="preserve">. </w:t>
      </w:r>
    </w:p>
    <w:p w14:paraId="3A747B55" w14:textId="77777777" w:rsidR="00CC061B" w:rsidRPr="009D198D" w:rsidRDefault="00CC061B" w:rsidP="00CC061B">
      <w:pPr>
        <w:ind w:left="709" w:right="709"/>
        <w:jc w:val="both"/>
        <w:rPr>
          <w:rFonts w:ascii="Arial" w:eastAsia="Calibri" w:hAnsi="Arial" w:cs="Arial"/>
          <w:sz w:val="21"/>
          <w:szCs w:val="21"/>
          <w:lang w:val="es-ES_tradnl"/>
        </w:rPr>
      </w:pPr>
    </w:p>
    <w:p w14:paraId="661B6907" w14:textId="4713F017" w:rsidR="00A30144" w:rsidRPr="009D198D" w:rsidRDefault="00A30144" w:rsidP="00CC061B">
      <w:pPr>
        <w:ind w:left="709" w:right="709"/>
        <w:jc w:val="both"/>
        <w:rPr>
          <w:rFonts w:ascii="Arial" w:eastAsia="Calibri" w:hAnsi="Arial" w:cs="Arial"/>
          <w:sz w:val="21"/>
          <w:szCs w:val="21"/>
          <w:lang w:val="es-ES_tradnl"/>
        </w:rPr>
      </w:pPr>
      <w:r w:rsidRPr="009D198D">
        <w:rPr>
          <w:rFonts w:ascii="Arial" w:eastAsia="Calibri" w:hAnsi="Arial" w:cs="Arial"/>
          <w:sz w:val="21"/>
          <w:szCs w:val="21"/>
          <w:lang w:val="es-ES_tradnl"/>
        </w:rPr>
        <w:t xml:space="preserve">Cuando se cumpla alguna de las anteriores condiciones, se podrá atender el gasto de "Pago Pasivos Exigibles - Vigencias Expiradas", a través del rubro presupuestal correspondiente de acuerdo con el detalle del anexo del decreto de liquidación. Al momento de hacerse el registro presupuestal deberá dejarse consignada la expresión "Pago Pasivos Exigibles - Vigencias Expiradas". Copia del acto administrativo que ordena su pago deberá ser remitido a la Contrataría General de la República. […] </w:t>
      </w:r>
      <w:r w:rsidR="00E85D9E" w:rsidRPr="009D198D">
        <w:rPr>
          <w:rFonts w:ascii="Arial" w:eastAsia="Calibri" w:hAnsi="Arial" w:cs="Arial"/>
          <w:sz w:val="21"/>
          <w:szCs w:val="21"/>
          <w:lang w:val="es-ES_tradnl"/>
        </w:rPr>
        <w:t xml:space="preserve">(Cursiva </w:t>
      </w:r>
      <w:r w:rsidR="005306CE" w:rsidRPr="009D198D">
        <w:rPr>
          <w:rFonts w:ascii="Arial" w:eastAsia="Calibri" w:hAnsi="Arial" w:cs="Arial"/>
          <w:sz w:val="21"/>
          <w:szCs w:val="21"/>
          <w:lang w:val="es-ES_tradnl"/>
        </w:rPr>
        <w:t>fuera de texto</w:t>
      </w:r>
      <w:r w:rsidR="00E85D9E" w:rsidRPr="009D198D">
        <w:rPr>
          <w:rFonts w:ascii="Arial" w:eastAsia="Calibri" w:hAnsi="Arial" w:cs="Arial"/>
          <w:sz w:val="21"/>
          <w:szCs w:val="21"/>
          <w:lang w:val="es-ES_tradnl"/>
        </w:rPr>
        <w:t>).</w:t>
      </w:r>
    </w:p>
    <w:p w14:paraId="5C6D25CD" w14:textId="77777777" w:rsidR="00CC061B" w:rsidRPr="009D198D" w:rsidRDefault="00CC061B" w:rsidP="00CC061B">
      <w:pPr>
        <w:ind w:left="709" w:right="709"/>
        <w:jc w:val="both"/>
        <w:rPr>
          <w:rFonts w:ascii="Arial" w:eastAsia="Calibri" w:hAnsi="Arial" w:cs="Arial"/>
          <w:sz w:val="21"/>
          <w:szCs w:val="21"/>
          <w:lang w:val="es-ES_tradnl"/>
        </w:rPr>
      </w:pPr>
    </w:p>
    <w:p w14:paraId="42C8CD0F" w14:textId="725E98FD" w:rsidR="00A30144" w:rsidRPr="009D198D" w:rsidRDefault="00A30144" w:rsidP="00CC061B">
      <w:pPr>
        <w:shd w:val="clear" w:color="auto" w:fill="FFFFFF"/>
        <w:spacing w:before="120" w:line="276" w:lineRule="auto"/>
        <w:ind w:right="51"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 xml:space="preserve">En este sentido, el pago de </w:t>
      </w:r>
      <w:r w:rsidR="005306CE"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lang w:val="es-ES_tradnl"/>
        </w:rPr>
        <w:t>pasivos – vigencias expiradas</w:t>
      </w:r>
      <w:r w:rsidR="005306CE"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lang w:val="es-ES_tradnl"/>
        </w:rPr>
        <w:t xml:space="preserve"> </w:t>
      </w:r>
      <w:r w:rsidR="00A973E0" w:rsidRPr="009D198D">
        <w:rPr>
          <w:rFonts w:ascii="Arial" w:eastAsia="Calibri" w:hAnsi="Arial" w:cs="Arial"/>
          <w:color w:val="000000" w:themeColor="text1"/>
          <w:sz w:val="22"/>
          <w:szCs w:val="22"/>
          <w:lang w:val="es-ES_tradnl"/>
        </w:rPr>
        <w:t>procederán</w:t>
      </w:r>
      <w:r w:rsidRPr="009D198D">
        <w:rPr>
          <w:rFonts w:ascii="Arial" w:eastAsia="Calibri" w:hAnsi="Arial" w:cs="Arial"/>
          <w:color w:val="000000" w:themeColor="text1"/>
          <w:sz w:val="22"/>
          <w:szCs w:val="22"/>
          <w:lang w:val="es-ES_tradnl"/>
        </w:rPr>
        <w:t xml:space="preserve"> cuando se cumplan los parámetros antes expuestos para las entidades que se rigen por dicha Ley. En los demás casos, se deberán atender las normas presupuestales particulares que lo regulen, aten</w:t>
      </w:r>
      <w:r w:rsidR="00253BA2" w:rsidRPr="009D198D">
        <w:rPr>
          <w:rFonts w:ascii="Arial" w:eastAsia="Calibri" w:hAnsi="Arial" w:cs="Arial"/>
          <w:color w:val="000000" w:themeColor="text1"/>
          <w:sz w:val="22"/>
          <w:szCs w:val="22"/>
          <w:lang w:val="es-ES_tradnl"/>
        </w:rPr>
        <w:t>d</w:t>
      </w:r>
      <w:r w:rsidRPr="009D198D">
        <w:rPr>
          <w:rFonts w:ascii="Arial" w:eastAsia="Calibri" w:hAnsi="Arial" w:cs="Arial"/>
          <w:color w:val="000000" w:themeColor="text1"/>
          <w:sz w:val="22"/>
          <w:szCs w:val="22"/>
          <w:lang w:val="es-ES_tradnl"/>
        </w:rPr>
        <w:t>iendo a la naturaleza de la entidad pública.</w:t>
      </w:r>
      <w:r w:rsidR="00B7377E" w:rsidRPr="009D198D">
        <w:rPr>
          <w:rFonts w:ascii="Arial" w:eastAsia="Calibri" w:hAnsi="Arial" w:cs="Arial"/>
          <w:color w:val="000000" w:themeColor="text1"/>
          <w:sz w:val="22"/>
          <w:szCs w:val="22"/>
          <w:lang w:val="es-ES_tradnl"/>
        </w:rPr>
        <w:t xml:space="preserve"> </w:t>
      </w:r>
    </w:p>
    <w:p w14:paraId="7CC033CC" w14:textId="14DB72BB" w:rsidR="009C4978" w:rsidRPr="009D198D" w:rsidRDefault="005306CE" w:rsidP="007E6BA1">
      <w:pPr>
        <w:shd w:val="clear" w:color="auto" w:fill="FFFFFF"/>
        <w:spacing w:before="120" w:line="276" w:lineRule="auto"/>
        <w:ind w:right="51"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 xml:space="preserve">Por su parte, </w:t>
      </w:r>
      <w:r w:rsidR="00A30144" w:rsidRPr="009D198D">
        <w:rPr>
          <w:rFonts w:ascii="Arial" w:eastAsia="Calibri" w:hAnsi="Arial" w:cs="Arial"/>
          <w:color w:val="000000" w:themeColor="text1"/>
          <w:sz w:val="22"/>
          <w:szCs w:val="22"/>
          <w:lang w:val="es-ES_tradnl"/>
        </w:rPr>
        <w:t>con base en el artículo 8 de la Ley 819 de 2003 se permite que en los eventos en que se encuentre en trámite una licitación, concurso de méritos o cualquier otro proceso de selección del contratista con todos los requerimientos legales, incluida la disponibilidad presupuestal, y su perfeccionamiento se efectúe en la vigencia fiscal siguiente, se atenderá con el presupuesto de esta última vigencia, previo el cumplimiento de los ajustes presupuestales correspondientes.</w:t>
      </w:r>
      <w:r w:rsidR="00BC4120" w:rsidRPr="009D198D">
        <w:rPr>
          <w:rFonts w:ascii="Arial" w:eastAsia="Calibri" w:hAnsi="Arial" w:cs="Arial"/>
          <w:color w:val="000000" w:themeColor="text1"/>
          <w:sz w:val="22"/>
          <w:szCs w:val="22"/>
          <w:lang w:val="es-ES_tradnl"/>
        </w:rPr>
        <w:t xml:space="preserve"> De este modo</w:t>
      </w:r>
      <w:r w:rsidR="00A30144" w:rsidRPr="009D198D">
        <w:rPr>
          <w:rFonts w:ascii="Arial" w:eastAsia="Calibri" w:hAnsi="Arial" w:cs="Arial"/>
          <w:color w:val="000000" w:themeColor="text1"/>
          <w:sz w:val="22"/>
          <w:szCs w:val="22"/>
          <w:lang w:val="es-ES_tradnl"/>
        </w:rPr>
        <w:t xml:space="preserve">, según este artículo las entidades deberán realizar los ajustes presupuestales respectivos en los casos en que el contrato, producto de un proceso de contratación realizado en la vigencia anterior, se </w:t>
      </w:r>
      <w:r w:rsidR="00A30144" w:rsidRPr="009D198D">
        <w:rPr>
          <w:rFonts w:ascii="Arial" w:eastAsia="Calibri" w:hAnsi="Arial" w:cs="Arial"/>
          <w:color w:val="000000" w:themeColor="text1"/>
          <w:sz w:val="22"/>
          <w:szCs w:val="22"/>
          <w:lang w:val="es-ES_tradnl"/>
        </w:rPr>
        <w:lastRenderedPageBreak/>
        <w:t xml:space="preserve">perfeccione en la vigencia siguiente. En </w:t>
      </w:r>
      <w:r w:rsidR="00A973E0" w:rsidRPr="009D198D">
        <w:rPr>
          <w:rFonts w:ascii="Arial" w:eastAsia="Calibri" w:hAnsi="Arial" w:cs="Arial"/>
          <w:color w:val="000000" w:themeColor="text1"/>
          <w:sz w:val="22"/>
          <w:szCs w:val="22"/>
          <w:lang w:val="es-ES_tradnl"/>
        </w:rPr>
        <w:t>estos</w:t>
      </w:r>
      <w:r w:rsidR="00A30144" w:rsidRPr="009D198D">
        <w:rPr>
          <w:rFonts w:ascii="Arial" w:eastAsia="Calibri" w:hAnsi="Arial" w:cs="Arial"/>
          <w:color w:val="000000" w:themeColor="text1"/>
          <w:sz w:val="22"/>
          <w:szCs w:val="22"/>
          <w:lang w:val="es-ES_tradnl"/>
        </w:rPr>
        <w:t xml:space="preserve"> casos, deberán atender a las normas presupuestales correspondientes.</w:t>
      </w:r>
    </w:p>
    <w:p w14:paraId="5495A180" w14:textId="77777777" w:rsidR="009C4978" w:rsidRPr="009D198D" w:rsidRDefault="009C4978" w:rsidP="00DD0DBD">
      <w:pPr>
        <w:tabs>
          <w:tab w:val="left" w:pos="0"/>
        </w:tabs>
        <w:spacing w:line="276" w:lineRule="auto"/>
        <w:jc w:val="both"/>
        <w:rPr>
          <w:rFonts w:ascii="Arial" w:eastAsia="Calibri" w:hAnsi="Arial" w:cs="Arial"/>
          <w:b/>
          <w:color w:val="000000" w:themeColor="text1"/>
          <w:sz w:val="22"/>
          <w:szCs w:val="22"/>
          <w:lang w:val="es-ES_tradnl" w:eastAsia="en-US"/>
        </w:rPr>
      </w:pPr>
    </w:p>
    <w:p w14:paraId="6BEEB3BC" w14:textId="7001055D" w:rsidR="00DD0DBD" w:rsidRPr="009D198D" w:rsidRDefault="00DD0DBD" w:rsidP="00DD0DBD">
      <w:pPr>
        <w:tabs>
          <w:tab w:val="left" w:pos="0"/>
        </w:tabs>
        <w:spacing w:line="276" w:lineRule="auto"/>
        <w:jc w:val="both"/>
        <w:rPr>
          <w:rFonts w:ascii="Arial" w:eastAsia="Calibri" w:hAnsi="Arial" w:cs="Arial"/>
          <w:b/>
          <w:color w:val="000000" w:themeColor="text1"/>
          <w:sz w:val="22"/>
          <w:szCs w:val="22"/>
          <w:lang w:val="es-ES_tradnl" w:eastAsia="en-US"/>
        </w:rPr>
      </w:pPr>
      <w:r w:rsidRPr="009D198D">
        <w:rPr>
          <w:rFonts w:ascii="Arial" w:eastAsia="Calibri" w:hAnsi="Arial" w:cs="Arial"/>
          <w:b/>
          <w:color w:val="000000" w:themeColor="text1"/>
          <w:sz w:val="22"/>
          <w:szCs w:val="22"/>
          <w:lang w:val="es-ES_tradnl" w:eastAsia="en-US"/>
        </w:rPr>
        <w:t>2.</w:t>
      </w:r>
      <w:r w:rsidR="002E2D4B" w:rsidRPr="009D198D">
        <w:rPr>
          <w:rFonts w:ascii="Arial" w:eastAsia="Calibri" w:hAnsi="Arial" w:cs="Arial"/>
          <w:b/>
          <w:color w:val="000000" w:themeColor="text1"/>
          <w:sz w:val="22"/>
          <w:szCs w:val="22"/>
          <w:lang w:val="es-ES_tradnl" w:eastAsia="en-US"/>
        </w:rPr>
        <w:t>6</w:t>
      </w:r>
      <w:r w:rsidRPr="009D198D">
        <w:rPr>
          <w:rFonts w:ascii="Arial" w:eastAsia="Calibri" w:hAnsi="Arial" w:cs="Arial"/>
          <w:b/>
          <w:color w:val="000000" w:themeColor="text1"/>
          <w:sz w:val="22"/>
          <w:szCs w:val="22"/>
          <w:lang w:val="es-ES_tradnl" w:eastAsia="en-US"/>
        </w:rPr>
        <w:t xml:space="preserve">. </w:t>
      </w:r>
      <w:r w:rsidR="007E6BA1" w:rsidRPr="009D198D">
        <w:rPr>
          <w:rFonts w:ascii="Arial" w:eastAsia="Calibri" w:hAnsi="Arial" w:cs="Arial"/>
          <w:b/>
          <w:sz w:val="22"/>
          <w:szCs w:val="22"/>
          <w:lang w:val="es-ES_tradnl" w:eastAsia="en-US"/>
        </w:rPr>
        <w:t>Contrato de fiducia mercantil, fiducia pública y encargo fiduciario</w:t>
      </w:r>
    </w:p>
    <w:p w14:paraId="3F722AE2" w14:textId="77777777" w:rsidR="00DD0DBD" w:rsidRPr="009D198D" w:rsidRDefault="00DD0DBD" w:rsidP="00DD0DBD">
      <w:pPr>
        <w:tabs>
          <w:tab w:val="left" w:pos="0"/>
        </w:tabs>
        <w:spacing w:line="276" w:lineRule="auto"/>
        <w:jc w:val="both"/>
        <w:rPr>
          <w:rFonts w:ascii="Arial" w:eastAsia="Calibri" w:hAnsi="Arial" w:cs="Arial"/>
          <w:b/>
          <w:color w:val="000000" w:themeColor="text1"/>
          <w:sz w:val="22"/>
          <w:szCs w:val="22"/>
          <w:lang w:val="es-ES_tradnl" w:eastAsia="en-US"/>
        </w:rPr>
      </w:pPr>
    </w:p>
    <w:p w14:paraId="78B9E372" w14:textId="4A864921" w:rsidR="007E6BA1" w:rsidRPr="009D198D" w:rsidRDefault="007E6BA1" w:rsidP="00DD0DBD">
      <w:pPr>
        <w:spacing w:line="276" w:lineRule="auto"/>
        <w:jc w:val="both"/>
        <w:rPr>
          <w:rFonts w:ascii="Arial" w:eastAsiaTheme="minorEastAsia" w:hAnsi="Arial" w:cs="Arial"/>
          <w:sz w:val="22"/>
          <w:szCs w:val="22"/>
          <w:lang w:val="es-ES_tradnl" w:eastAsia="es-CO"/>
        </w:rPr>
      </w:pPr>
      <w:r w:rsidRPr="009D198D">
        <w:rPr>
          <w:rFonts w:ascii="Arial" w:eastAsia="Calibri" w:hAnsi="Arial" w:cs="Arial"/>
          <w:color w:val="000000" w:themeColor="text1"/>
          <w:sz w:val="22"/>
          <w:szCs w:val="22"/>
          <w:lang w:val="es-ES_tradnl"/>
        </w:rPr>
        <w:t>En la consulta se indaga sobre la diferencia entre la fiducia y el encargo fiduciario en el ámbito presupuestal y en el ámbito de responsabilidad contractual. Al respecto, debe precisarse que, como</w:t>
      </w:r>
      <w:r w:rsidRPr="009D198D">
        <w:rPr>
          <w:rFonts w:ascii="Arial" w:eastAsia="Calibri" w:hAnsi="Arial" w:cs="Arial"/>
          <w:color w:val="000000" w:themeColor="text1"/>
          <w:sz w:val="22"/>
          <w:szCs w:val="22"/>
        </w:rPr>
        <w:t xml:space="preserve"> se manifestó en la parte inicial de este concepto,</w:t>
      </w:r>
      <w:r w:rsidRPr="009D198D">
        <w:rPr>
          <w:rFonts w:ascii="Arial" w:hAnsi="Arial" w:cs="Arial"/>
          <w:sz w:val="22"/>
          <w:lang w:val="es-ES"/>
        </w:rPr>
        <w:t xml:space="preserve"> esta entidad solo tiene competencia para responder solicitudes sobre la aplicación de normas de carácter general en materia de compras y contratación pública</w:t>
      </w:r>
      <w:r w:rsidRPr="009D198D">
        <w:rPr>
          <w:rFonts w:ascii="Arial" w:eastAsia="Calibri" w:hAnsi="Arial" w:cs="Arial"/>
          <w:color w:val="000000" w:themeColor="text1"/>
          <w:sz w:val="22"/>
          <w:szCs w:val="22"/>
        </w:rPr>
        <w:t>. En consecuencia, en aras de satisfacer en la mayor medida de lo posible el derecho fundamental de petición y de esclarecer las palpables inquietudes del peticionario</w:t>
      </w:r>
      <w:r w:rsidR="00F7389A" w:rsidRPr="009D198D">
        <w:rPr>
          <w:rFonts w:ascii="Arial" w:eastAsia="Calibri" w:hAnsi="Arial" w:cs="Arial"/>
          <w:color w:val="000000" w:themeColor="text1"/>
          <w:sz w:val="22"/>
          <w:szCs w:val="22"/>
        </w:rPr>
        <w:t>,</w:t>
      </w:r>
      <w:r w:rsidRPr="009D198D">
        <w:rPr>
          <w:rFonts w:ascii="Arial" w:eastAsia="Calibri" w:hAnsi="Arial" w:cs="Arial"/>
          <w:color w:val="000000" w:themeColor="text1"/>
          <w:sz w:val="22"/>
          <w:szCs w:val="22"/>
        </w:rPr>
        <w:t xml:space="preserve"> se decantará esta pregunta en el preciso ámbito de las normas en </w:t>
      </w:r>
      <w:r w:rsidRPr="009D198D">
        <w:rPr>
          <w:rFonts w:ascii="Arial" w:hAnsi="Arial" w:cs="Arial"/>
          <w:sz w:val="22"/>
          <w:lang w:val="es-ES"/>
        </w:rPr>
        <w:t>materia de compras y contratación pública</w:t>
      </w:r>
      <w:r w:rsidR="00E220FF" w:rsidRPr="009D198D">
        <w:rPr>
          <w:rFonts w:ascii="Arial" w:eastAsia="Calibri" w:hAnsi="Arial" w:cs="Arial"/>
          <w:color w:val="000000" w:themeColor="text1"/>
          <w:sz w:val="22"/>
          <w:szCs w:val="22"/>
        </w:rPr>
        <w:t>, en la cual resulta pertinente revisar la diferencia entre el contrato de fiducia mercantil</w:t>
      </w:r>
      <w:r w:rsidR="00A85474" w:rsidRPr="009D198D">
        <w:rPr>
          <w:rFonts w:ascii="Arial" w:eastAsia="Calibri" w:hAnsi="Arial" w:cs="Arial"/>
          <w:color w:val="000000" w:themeColor="text1"/>
          <w:sz w:val="22"/>
          <w:szCs w:val="22"/>
        </w:rPr>
        <w:t>,</w:t>
      </w:r>
      <w:r w:rsidR="00CB24C0" w:rsidRPr="009D198D">
        <w:rPr>
          <w:rFonts w:ascii="Arial" w:eastAsia="Calibri" w:hAnsi="Arial" w:cs="Arial"/>
          <w:color w:val="000000" w:themeColor="text1"/>
          <w:sz w:val="22"/>
          <w:szCs w:val="22"/>
        </w:rPr>
        <w:t xml:space="preserve"> </w:t>
      </w:r>
      <w:r w:rsidR="00A85474" w:rsidRPr="009D198D">
        <w:rPr>
          <w:rFonts w:ascii="Arial" w:eastAsia="Calibri" w:hAnsi="Arial" w:cs="Arial"/>
          <w:color w:val="000000" w:themeColor="text1"/>
          <w:sz w:val="22"/>
          <w:szCs w:val="22"/>
        </w:rPr>
        <w:t xml:space="preserve">la </w:t>
      </w:r>
      <w:r w:rsidR="00E220FF" w:rsidRPr="009D198D">
        <w:rPr>
          <w:rFonts w:ascii="Arial" w:eastAsia="Calibri" w:hAnsi="Arial" w:cs="Arial"/>
          <w:color w:val="000000" w:themeColor="text1"/>
          <w:sz w:val="22"/>
          <w:szCs w:val="22"/>
        </w:rPr>
        <w:t>fiducia pública y</w:t>
      </w:r>
      <w:r w:rsidR="00A85474" w:rsidRPr="009D198D">
        <w:rPr>
          <w:rFonts w:ascii="Arial" w:eastAsia="Calibri" w:hAnsi="Arial" w:cs="Arial"/>
          <w:color w:val="000000" w:themeColor="text1"/>
          <w:sz w:val="22"/>
          <w:szCs w:val="22"/>
        </w:rPr>
        <w:t xml:space="preserve"> el</w:t>
      </w:r>
      <w:r w:rsidR="00E220FF" w:rsidRPr="009D198D">
        <w:rPr>
          <w:rFonts w:ascii="Arial" w:eastAsia="Calibri" w:hAnsi="Arial" w:cs="Arial"/>
          <w:color w:val="000000" w:themeColor="text1"/>
          <w:sz w:val="22"/>
          <w:szCs w:val="22"/>
        </w:rPr>
        <w:t xml:space="preserve"> en</w:t>
      </w:r>
      <w:r w:rsidR="00CB24C0" w:rsidRPr="009D198D">
        <w:rPr>
          <w:rFonts w:ascii="Arial" w:eastAsia="Calibri" w:hAnsi="Arial" w:cs="Arial"/>
          <w:color w:val="000000" w:themeColor="text1"/>
          <w:sz w:val="22"/>
          <w:szCs w:val="22"/>
        </w:rPr>
        <w:t xml:space="preserve">cargo fiduciario. </w:t>
      </w:r>
    </w:p>
    <w:p w14:paraId="19E3F60C" w14:textId="7BFA92FF" w:rsidR="00DD0DBD" w:rsidRPr="009D198D" w:rsidRDefault="00DD0DBD" w:rsidP="007E6BA1">
      <w:pPr>
        <w:spacing w:before="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Esta Subdirección, en Concepto </w:t>
      </w:r>
      <w:r w:rsidR="00262952" w:rsidRPr="009D198D">
        <w:rPr>
          <w:rFonts w:ascii="Arial" w:eastAsiaTheme="minorEastAsia" w:hAnsi="Arial" w:cs="Arial"/>
          <w:sz w:val="22"/>
          <w:szCs w:val="22"/>
          <w:lang w:val="es-ES_tradnl" w:eastAsia="es-CO"/>
        </w:rPr>
        <w:t>C-637 del 28 de octubre de 2020</w:t>
      </w:r>
      <w:r w:rsidRPr="009D198D">
        <w:rPr>
          <w:rFonts w:ascii="Arial" w:eastAsiaTheme="minorEastAsia" w:hAnsi="Arial" w:cs="Arial"/>
          <w:sz w:val="22"/>
          <w:szCs w:val="22"/>
          <w:lang w:val="es-ES_tradnl" w:eastAsia="es-CO"/>
        </w:rPr>
        <w:t xml:space="preserve">, indicó que el Código de Comercio define el contrato de </w:t>
      </w:r>
      <w:r w:rsidRPr="009D198D">
        <w:rPr>
          <w:rFonts w:ascii="Arial" w:eastAsiaTheme="minorEastAsia" w:hAnsi="Arial" w:cs="Arial"/>
          <w:i/>
          <w:iCs/>
          <w:sz w:val="22"/>
          <w:szCs w:val="22"/>
          <w:lang w:val="es-ES_tradnl" w:eastAsia="es-CO"/>
        </w:rPr>
        <w:t>fiducia mercantil</w:t>
      </w:r>
      <w:r w:rsidRPr="009D198D">
        <w:rPr>
          <w:rFonts w:ascii="Arial" w:eastAsiaTheme="minorEastAsia" w:hAnsi="Arial" w:cs="Arial"/>
          <w:sz w:val="22"/>
          <w:szCs w:val="22"/>
          <w:lang w:val="es-ES_tradnl" w:eastAsia="es-CO"/>
        </w:rPr>
        <w:t xml:space="preserve"> en su artículo 1226, estableciendo como elementos característicos del negocio jurídico: i) la existencia de al menos dos sujetos: fiduciante y fiduciario y </w:t>
      </w:r>
      <w:proofErr w:type="spellStart"/>
      <w:r w:rsidRPr="009D198D">
        <w:rPr>
          <w:rFonts w:ascii="Arial" w:eastAsiaTheme="minorEastAsia" w:hAnsi="Arial" w:cs="Arial"/>
          <w:sz w:val="22"/>
          <w:szCs w:val="22"/>
          <w:lang w:val="es-ES_tradnl" w:eastAsia="es-CO"/>
        </w:rPr>
        <w:t>ii</w:t>
      </w:r>
      <w:proofErr w:type="spellEnd"/>
      <w:r w:rsidRPr="009D198D">
        <w:rPr>
          <w:rFonts w:ascii="Arial" w:eastAsiaTheme="minorEastAsia" w:hAnsi="Arial" w:cs="Arial"/>
          <w:sz w:val="22"/>
          <w:szCs w:val="22"/>
          <w:lang w:val="es-ES_tradnl" w:eastAsia="es-CO"/>
        </w:rPr>
        <w:t>) la transferencia de los bienes fideicomitidos, con el siguiente tenor:</w:t>
      </w:r>
    </w:p>
    <w:p w14:paraId="5962EAF2" w14:textId="77777777" w:rsidR="00DD0DBD" w:rsidRPr="009D198D" w:rsidRDefault="00DD0DBD" w:rsidP="00DD0DBD">
      <w:pPr>
        <w:ind w:left="1008" w:right="956"/>
        <w:jc w:val="both"/>
        <w:rPr>
          <w:rFonts w:ascii="Arial" w:eastAsiaTheme="minorHAnsi" w:hAnsi="Arial" w:cs="Arial"/>
          <w:sz w:val="21"/>
          <w:szCs w:val="22"/>
          <w:lang w:val="es-ES_tradnl" w:eastAsia="en-US"/>
        </w:rPr>
      </w:pPr>
    </w:p>
    <w:p w14:paraId="42DC35C8" w14:textId="77777777" w:rsidR="00DD0DBD" w:rsidRPr="009D198D" w:rsidRDefault="00DD0DBD" w:rsidP="00DD0DBD">
      <w:pPr>
        <w:ind w:left="709" w:right="709"/>
        <w:jc w:val="both"/>
        <w:rPr>
          <w:rFonts w:ascii="Arial" w:eastAsiaTheme="minorHAnsi" w:hAnsi="Arial" w:cs="Arial"/>
          <w:sz w:val="21"/>
          <w:szCs w:val="22"/>
          <w:lang w:val="es-ES_tradnl" w:eastAsia="en-US"/>
        </w:rPr>
      </w:pPr>
      <w:r w:rsidRPr="009D198D">
        <w:rPr>
          <w:rFonts w:ascii="Arial" w:eastAsiaTheme="minorHAnsi" w:hAnsi="Arial" w:cs="Arial"/>
          <w:sz w:val="21"/>
          <w:szCs w:val="22"/>
          <w:lang w:val="es-ES_tradnl" w:eastAsia="en-US"/>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9D198D">
        <w:rPr>
          <w:rFonts w:ascii="Arial" w:eastAsiaTheme="minorHAnsi" w:hAnsi="Arial" w:cs="Arial"/>
          <w:spacing w:val="-5"/>
          <w:sz w:val="21"/>
          <w:szCs w:val="22"/>
          <w:lang w:val="es-ES_tradnl" w:eastAsia="en-US"/>
        </w:rPr>
        <w:t xml:space="preserve"> </w:t>
      </w:r>
      <w:r w:rsidRPr="009D198D">
        <w:rPr>
          <w:rFonts w:ascii="Arial" w:eastAsiaTheme="minorHAnsi" w:hAnsi="Arial" w:cs="Arial"/>
          <w:sz w:val="21"/>
          <w:szCs w:val="22"/>
          <w:lang w:val="es-ES_tradnl" w:eastAsia="en-US"/>
        </w:rPr>
        <w:t>fideicomisario.</w:t>
      </w:r>
    </w:p>
    <w:p w14:paraId="15081AC4" w14:textId="77777777" w:rsidR="00DD0DBD" w:rsidRPr="009D198D" w:rsidRDefault="00DD0DBD" w:rsidP="00DD0DBD">
      <w:pPr>
        <w:ind w:left="709" w:right="709"/>
        <w:jc w:val="both"/>
        <w:rPr>
          <w:rFonts w:ascii="Arial" w:eastAsiaTheme="minorHAnsi" w:hAnsi="Arial" w:cs="Arial"/>
          <w:sz w:val="21"/>
          <w:szCs w:val="22"/>
          <w:lang w:val="es-ES_tradnl" w:eastAsia="en-US"/>
        </w:rPr>
      </w:pPr>
    </w:p>
    <w:p w14:paraId="72F79443" w14:textId="77777777" w:rsidR="00DD0DBD" w:rsidRPr="009D198D" w:rsidRDefault="00DD0DBD" w:rsidP="00DD0DBD">
      <w:pPr>
        <w:ind w:left="709" w:right="709"/>
        <w:jc w:val="both"/>
        <w:rPr>
          <w:rFonts w:ascii="Arial" w:eastAsiaTheme="minorHAnsi" w:hAnsi="Arial" w:cs="Arial"/>
          <w:sz w:val="21"/>
          <w:szCs w:val="22"/>
          <w:lang w:val="es-ES_tradnl" w:eastAsia="en-US"/>
        </w:rPr>
      </w:pPr>
      <w:r w:rsidRPr="009D198D">
        <w:rPr>
          <w:rFonts w:ascii="Arial" w:eastAsiaTheme="minorHAnsi" w:hAnsi="Arial" w:cs="Arial"/>
          <w:sz w:val="21"/>
          <w:szCs w:val="22"/>
          <w:lang w:val="es-ES_tradnl" w:eastAsia="en-US"/>
        </w:rPr>
        <w:t>Una persona puede ser al mismo tiempo fiduciante y beneficiario.</w:t>
      </w:r>
    </w:p>
    <w:p w14:paraId="1EFFBDFC" w14:textId="77777777" w:rsidR="00DD0DBD" w:rsidRPr="009D198D" w:rsidRDefault="00DD0DBD" w:rsidP="00DD0DBD">
      <w:pPr>
        <w:ind w:left="709" w:right="709"/>
        <w:jc w:val="both"/>
        <w:rPr>
          <w:rFonts w:ascii="Arial" w:eastAsiaTheme="minorHAnsi" w:hAnsi="Arial" w:cs="Arial"/>
          <w:sz w:val="21"/>
          <w:szCs w:val="22"/>
          <w:lang w:val="es-ES_tradnl" w:eastAsia="en-US"/>
        </w:rPr>
      </w:pPr>
    </w:p>
    <w:p w14:paraId="542838E6" w14:textId="77777777" w:rsidR="00DD0DBD" w:rsidRPr="009D198D" w:rsidRDefault="00DD0DBD" w:rsidP="00DD0DBD">
      <w:pPr>
        <w:ind w:left="709" w:right="709"/>
        <w:jc w:val="both"/>
        <w:rPr>
          <w:rFonts w:ascii="Arial" w:eastAsiaTheme="minorHAnsi" w:hAnsi="Arial" w:cs="Arial"/>
          <w:sz w:val="21"/>
          <w:szCs w:val="22"/>
          <w:lang w:val="es-ES_tradnl" w:eastAsia="en-US"/>
        </w:rPr>
      </w:pPr>
      <w:r w:rsidRPr="009D198D">
        <w:rPr>
          <w:rFonts w:ascii="Arial" w:eastAsiaTheme="minorHAnsi" w:hAnsi="Arial" w:cs="Arial"/>
          <w:sz w:val="21"/>
          <w:szCs w:val="22"/>
          <w:lang w:val="es-ES_tradnl" w:eastAsia="en-US"/>
        </w:rPr>
        <w:t>Solo los establecimientos de crédito y las sociedades fiduciarias, especialmente autorizados por la Superintendencia Bancaria, podrán tener la calidad de fiduciarios.</w:t>
      </w:r>
    </w:p>
    <w:p w14:paraId="261BACEB" w14:textId="77777777" w:rsidR="00DD0DBD" w:rsidRPr="009D198D" w:rsidRDefault="00DD0DBD" w:rsidP="00DD0DBD">
      <w:pPr>
        <w:spacing w:before="2"/>
        <w:ind w:left="709" w:right="709"/>
        <w:jc w:val="both"/>
        <w:rPr>
          <w:rFonts w:ascii="Arial" w:eastAsiaTheme="minorEastAsia" w:hAnsi="Arial" w:cs="Arial"/>
          <w:sz w:val="21"/>
          <w:szCs w:val="22"/>
          <w:lang w:val="es-ES_tradnl" w:eastAsia="es-CO"/>
        </w:rPr>
      </w:pPr>
    </w:p>
    <w:p w14:paraId="3366F33C" w14:textId="61D103C8" w:rsidR="00E220FF" w:rsidRPr="009D198D" w:rsidRDefault="0075755A" w:rsidP="00EB199D">
      <w:pPr>
        <w:spacing w:before="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Por su parte, el numeral 5º del artículo 32 de la Ley 80 de 1993</w:t>
      </w:r>
      <w:r w:rsidR="00E220FF" w:rsidRPr="009D198D">
        <w:rPr>
          <w:rFonts w:ascii="Arial" w:eastAsiaTheme="minorEastAsia" w:hAnsi="Arial" w:cs="Arial"/>
          <w:sz w:val="22"/>
          <w:szCs w:val="22"/>
          <w:lang w:val="es-ES_tradnl" w:eastAsia="es-CO"/>
        </w:rPr>
        <w:t xml:space="preserve">, contempla </w:t>
      </w:r>
      <w:r w:rsidR="00D339E6" w:rsidRPr="009D198D">
        <w:rPr>
          <w:rFonts w:ascii="Arial" w:eastAsiaTheme="minorEastAsia" w:hAnsi="Arial" w:cs="Arial"/>
          <w:sz w:val="22"/>
          <w:szCs w:val="22"/>
          <w:lang w:val="es-ES_tradnl" w:eastAsia="es-CO"/>
        </w:rPr>
        <w:t>el contrato</w:t>
      </w:r>
      <w:r w:rsidR="00E220FF" w:rsidRPr="009D198D">
        <w:rPr>
          <w:rFonts w:ascii="Arial" w:eastAsiaTheme="minorEastAsia" w:hAnsi="Arial" w:cs="Arial"/>
          <w:sz w:val="22"/>
          <w:szCs w:val="22"/>
          <w:lang w:val="es-ES_tradnl" w:eastAsia="es-CO"/>
        </w:rPr>
        <w:t xml:space="preserve"> de </w:t>
      </w:r>
      <w:r w:rsidR="00E220FF" w:rsidRPr="009D198D">
        <w:rPr>
          <w:rFonts w:ascii="Arial" w:eastAsiaTheme="minorEastAsia" w:hAnsi="Arial" w:cs="Arial"/>
          <w:i/>
          <w:iCs/>
          <w:sz w:val="22"/>
          <w:szCs w:val="22"/>
          <w:lang w:val="es-ES_tradnl" w:eastAsia="es-CO"/>
        </w:rPr>
        <w:t>encargo fiduciario</w:t>
      </w:r>
      <w:r w:rsidR="00E220FF" w:rsidRPr="009D198D">
        <w:rPr>
          <w:rFonts w:ascii="Arial" w:eastAsiaTheme="minorEastAsia" w:hAnsi="Arial" w:cs="Arial"/>
          <w:sz w:val="22"/>
          <w:szCs w:val="22"/>
          <w:lang w:val="es-ES_tradnl" w:eastAsia="es-CO"/>
        </w:rPr>
        <w:t xml:space="preserve"> y </w:t>
      </w:r>
      <w:r w:rsidR="00E220FF" w:rsidRPr="009D198D">
        <w:rPr>
          <w:rFonts w:ascii="Arial" w:eastAsiaTheme="minorEastAsia" w:hAnsi="Arial" w:cs="Arial"/>
          <w:i/>
          <w:iCs/>
          <w:sz w:val="22"/>
          <w:szCs w:val="22"/>
          <w:lang w:val="es-ES_tradnl" w:eastAsia="es-CO"/>
        </w:rPr>
        <w:t>fiducia p</w:t>
      </w:r>
      <w:r w:rsidR="00E85D9E" w:rsidRPr="009D198D">
        <w:rPr>
          <w:rFonts w:ascii="Arial" w:eastAsiaTheme="minorEastAsia" w:hAnsi="Arial" w:cs="Arial"/>
          <w:i/>
          <w:iCs/>
          <w:sz w:val="22"/>
          <w:szCs w:val="22"/>
          <w:lang w:val="es-ES_tradnl" w:eastAsia="es-CO"/>
        </w:rPr>
        <w:t>ú</w:t>
      </w:r>
      <w:r w:rsidR="00E220FF" w:rsidRPr="009D198D">
        <w:rPr>
          <w:rFonts w:ascii="Arial" w:eastAsiaTheme="minorEastAsia" w:hAnsi="Arial" w:cs="Arial"/>
          <w:i/>
          <w:iCs/>
          <w:sz w:val="22"/>
          <w:szCs w:val="22"/>
          <w:lang w:val="es-ES_tradnl" w:eastAsia="es-CO"/>
        </w:rPr>
        <w:t>blica</w:t>
      </w:r>
      <w:r w:rsidR="00E85D9E" w:rsidRPr="009D198D">
        <w:rPr>
          <w:rFonts w:ascii="Arial" w:eastAsiaTheme="minorEastAsia" w:hAnsi="Arial" w:cs="Arial"/>
          <w:sz w:val="22"/>
          <w:szCs w:val="22"/>
          <w:lang w:val="es-ES_tradnl" w:eastAsia="es-CO"/>
        </w:rPr>
        <w:t>,</w:t>
      </w:r>
      <w:r w:rsidR="00E220FF" w:rsidRPr="009D198D">
        <w:rPr>
          <w:rFonts w:ascii="Arial" w:eastAsiaTheme="minorEastAsia" w:hAnsi="Arial" w:cs="Arial"/>
          <w:sz w:val="22"/>
          <w:szCs w:val="22"/>
          <w:lang w:val="es-ES_tradnl" w:eastAsia="es-CO"/>
        </w:rPr>
        <w:t xml:space="preserve"> así: </w:t>
      </w:r>
    </w:p>
    <w:p w14:paraId="5884964E" w14:textId="77777777" w:rsidR="00E220FF" w:rsidRPr="009D198D" w:rsidRDefault="00E220FF" w:rsidP="00E220FF">
      <w:pPr>
        <w:spacing w:line="276" w:lineRule="auto"/>
        <w:ind w:firstLine="709"/>
        <w:rPr>
          <w:rFonts w:ascii="Arial" w:eastAsiaTheme="minorEastAsia" w:hAnsi="Arial" w:cs="Arial"/>
          <w:sz w:val="22"/>
          <w:szCs w:val="22"/>
        </w:rPr>
      </w:pPr>
    </w:p>
    <w:p w14:paraId="0BBDF68A" w14:textId="108B8C42"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Los encargos fiduciarios que celebren las entidades estatales con las sociedades fiduciarias autorizadas por la Superintendencia </w:t>
      </w:r>
      <w:proofErr w:type="gramStart"/>
      <w:r w:rsidRPr="009D198D">
        <w:rPr>
          <w:rFonts w:ascii="Arial" w:eastAsiaTheme="minorHAnsi" w:hAnsi="Arial" w:cs="Arial"/>
          <w:sz w:val="21"/>
          <w:szCs w:val="21"/>
          <w:lang w:val="es-ES_tradnl" w:eastAsia="en-US"/>
        </w:rPr>
        <w:t>Bancaria,</w:t>
      </w:r>
      <w:proofErr w:type="gramEnd"/>
      <w:r w:rsidRPr="009D198D">
        <w:rPr>
          <w:rFonts w:ascii="Arial" w:eastAsiaTheme="minorHAnsi" w:hAnsi="Arial" w:cs="Arial"/>
          <w:sz w:val="21"/>
          <w:szCs w:val="21"/>
          <w:lang w:val="es-ES_tradnl" w:eastAsia="en-US"/>
        </w:rPr>
        <w:t xml:space="preserve"> tendrán por objeto la administración o el manejo de los recursos vinculados a los contratos que tales entidades celebren. Lo anterior sin perjuicio de lo previsto en el numeral 20 del artículo </w:t>
      </w:r>
      <w:hyperlink r:id="rId12" w:anchor="25" w:history="1">
        <w:r w:rsidRPr="009D198D">
          <w:rPr>
            <w:rFonts w:ascii="Arial" w:eastAsiaTheme="minorHAnsi" w:hAnsi="Arial" w:cs="Arial"/>
            <w:sz w:val="21"/>
            <w:szCs w:val="21"/>
            <w:lang w:val="es-ES_tradnl" w:eastAsia="en-US"/>
          </w:rPr>
          <w:t>25</w:t>
        </w:r>
      </w:hyperlink>
      <w:r w:rsidRPr="009D198D">
        <w:rPr>
          <w:rFonts w:ascii="Arial" w:eastAsiaTheme="minorHAnsi" w:hAnsi="Arial" w:cs="Arial"/>
          <w:sz w:val="21"/>
          <w:szCs w:val="21"/>
          <w:lang w:val="es-ES_tradnl" w:eastAsia="en-US"/>
        </w:rPr>
        <w:t> de esta ley.</w:t>
      </w:r>
    </w:p>
    <w:p w14:paraId="54906D02"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11A7D544" w14:textId="7B1CE76E"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lastRenderedPageBreak/>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1EE766CA" w14:textId="77777777" w:rsidR="00CB24C0" w:rsidRPr="009D198D" w:rsidRDefault="00CB24C0" w:rsidP="00E220FF">
      <w:pPr>
        <w:ind w:left="709" w:right="709"/>
        <w:jc w:val="both"/>
        <w:rPr>
          <w:rFonts w:ascii="Arial" w:eastAsiaTheme="minorHAnsi" w:hAnsi="Arial" w:cs="Arial"/>
          <w:sz w:val="21"/>
          <w:szCs w:val="21"/>
          <w:lang w:val="es-ES_tradnl" w:eastAsia="en-US"/>
        </w:rPr>
      </w:pPr>
    </w:p>
    <w:p w14:paraId="6EAD4FF7" w14:textId="43B2C5EF"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Los encargos fiduciarios y los contratos de fiducia mercantil que a la fecha de promulgación de esta ley hayan sido suscritos por las entidades estatales, continuarán vigentes en los términos convenidos con las sociedades fiduciarias.</w:t>
      </w:r>
    </w:p>
    <w:p w14:paraId="3C60445B"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09E1B4C3" w14:textId="172DE2AC"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La selección de las sociedades fiduciarias a </w:t>
      </w:r>
      <w:proofErr w:type="gramStart"/>
      <w:r w:rsidRPr="009D198D">
        <w:rPr>
          <w:rFonts w:ascii="Arial" w:eastAsiaTheme="minorHAnsi" w:hAnsi="Arial" w:cs="Arial"/>
          <w:sz w:val="21"/>
          <w:szCs w:val="21"/>
          <w:lang w:val="es-ES_tradnl" w:eastAsia="en-US"/>
        </w:rPr>
        <w:t>contratar,</w:t>
      </w:r>
      <w:proofErr w:type="gramEnd"/>
      <w:r w:rsidRPr="009D198D">
        <w:rPr>
          <w:rFonts w:ascii="Arial" w:eastAsiaTheme="minorHAnsi" w:hAnsi="Arial" w:cs="Arial"/>
          <w:sz w:val="21"/>
          <w:szCs w:val="21"/>
          <w:lang w:val="es-ES_tradnl" w:eastAsia="en-US"/>
        </w:rPr>
        <w:t xml:space="preserve"> sea pública o privada, se hará con rigurosa observancia del procedimiento de licitación o concurso previsto en esta ley. No obstante, los excedentes de tesorería de las entidades </w:t>
      </w:r>
      <w:proofErr w:type="gramStart"/>
      <w:r w:rsidRPr="009D198D">
        <w:rPr>
          <w:rFonts w:ascii="Arial" w:eastAsiaTheme="minorHAnsi" w:hAnsi="Arial" w:cs="Arial"/>
          <w:sz w:val="21"/>
          <w:szCs w:val="21"/>
          <w:lang w:val="es-ES_tradnl" w:eastAsia="en-US"/>
        </w:rPr>
        <w:t>estatales,</w:t>
      </w:r>
      <w:proofErr w:type="gramEnd"/>
      <w:r w:rsidRPr="009D198D">
        <w:rPr>
          <w:rFonts w:ascii="Arial" w:eastAsiaTheme="minorHAnsi" w:hAnsi="Arial" w:cs="Arial"/>
          <w:sz w:val="21"/>
          <w:szCs w:val="21"/>
          <w:lang w:val="es-ES_tradnl" w:eastAsia="en-US"/>
        </w:rPr>
        <w:t xml:space="preserve"> se podrán invertir directamente en fondos comunes ordinarios administrados por sociedades fiduciarias, sin necesidad de acudir a un proceso de licitación pública.</w:t>
      </w:r>
    </w:p>
    <w:p w14:paraId="565D8D71"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04CAD98E" w14:textId="5E08014A"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74265A88"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7508CA70" w14:textId="7E6C0DC3"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1258E382"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6D4B312E" w14:textId="771CBAD4"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La fiducia que se autoriza para el sector público en esta </w:t>
      </w:r>
      <w:proofErr w:type="gramStart"/>
      <w:r w:rsidRPr="009D198D">
        <w:rPr>
          <w:rFonts w:ascii="Arial" w:eastAsiaTheme="minorHAnsi" w:hAnsi="Arial" w:cs="Arial"/>
          <w:sz w:val="21"/>
          <w:szCs w:val="21"/>
          <w:lang w:val="es-ES_tradnl" w:eastAsia="en-US"/>
        </w:rPr>
        <w:t>ley,</w:t>
      </w:r>
      <w:proofErr w:type="gramEnd"/>
      <w:r w:rsidRPr="009D198D">
        <w:rPr>
          <w:rFonts w:ascii="Arial" w:eastAsiaTheme="minorHAnsi" w:hAnsi="Arial" w:cs="Arial"/>
          <w:sz w:val="21"/>
          <w:szCs w:val="21"/>
          <w:lang w:val="es-ES_tradnl" w:eastAsia="en-US"/>
        </w:rPr>
        <w:t xml:space="preserve"> nunca implicará transferencia de dominio sobre bienes o recursos estatales, ni constituirá patrimonio autónomo del propio de la respectiva entidad oficial, sin perjuicio de las responsabilidades propias del ordenador del gasto.</w:t>
      </w:r>
    </w:p>
    <w:p w14:paraId="24385798"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65D053CC" w14:textId="2085305F" w:rsidR="00E220FF" w:rsidRPr="009D198D" w:rsidRDefault="00E220FF" w:rsidP="00E220FF">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A la fiducia pública le serán aplicables las normas del Código de Comercio sobre fiducia mercantil, en cuanto sean compatibles con lo dispuesto en esta ley.</w:t>
      </w:r>
    </w:p>
    <w:p w14:paraId="309D714C" w14:textId="77777777" w:rsidR="00E220FF" w:rsidRPr="009D198D" w:rsidRDefault="00E220FF" w:rsidP="00E220FF">
      <w:pPr>
        <w:ind w:left="709" w:right="709"/>
        <w:jc w:val="both"/>
        <w:rPr>
          <w:rFonts w:ascii="Arial" w:eastAsiaTheme="minorHAnsi" w:hAnsi="Arial" w:cs="Arial"/>
          <w:sz w:val="21"/>
          <w:szCs w:val="21"/>
          <w:lang w:val="es-ES_tradnl" w:eastAsia="en-US"/>
        </w:rPr>
      </w:pPr>
    </w:p>
    <w:p w14:paraId="042B9FB1" w14:textId="77777777" w:rsidR="00E220FF" w:rsidRPr="009D198D" w:rsidRDefault="00E220FF" w:rsidP="00E220FF">
      <w:pPr>
        <w:ind w:left="709" w:right="709"/>
        <w:jc w:val="both"/>
        <w:rPr>
          <w:rFonts w:ascii="Arial" w:eastAsiaTheme="minorHAnsi" w:hAnsi="Arial" w:cs="Arial"/>
          <w:sz w:val="21"/>
          <w:szCs w:val="21"/>
          <w:lang w:val="es-ES_tradnl" w:eastAsia="en-US"/>
        </w:rPr>
      </w:pPr>
      <w:proofErr w:type="gramStart"/>
      <w:r w:rsidRPr="009D198D">
        <w:rPr>
          <w:rFonts w:ascii="Arial" w:eastAsiaTheme="minorHAnsi" w:hAnsi="Arial" w:cs="Arial"/>
          <w:sz w:val="21"/>
          <w:szCs w:val="21"/>
          <w:lang w:val="es-ES_tradnl" w:eastAsia="en-US"/>
        </w:rPr>
        <w:t>So pena de nulidad no podrán</w:t>
      </w:r>
      <w:proofErr w:type="gramEnd"/>
      <w:r w:rsidRPr="009D198D">
        <w:rPr>
          <w:rFonts w:ascii="Arial" w:eastAsiaTheme="minorHAnsi" w:hAnsi="Arial" w:cs="Arial"/>
          <w:sz w:val="21"/>
          <w:szCs w:val="21"/>
          <w:lang w:val="es-ES_tradnl" w:eastAsia="en-US"/>
        </w:rPr>
        <w:t xml:space="preserve"> celebrarse contratos de fiducia o subcontratos en contravención del artículo </w:t>
      </w:r>
      <w:hyperlink r:id="rId13" w:anchor="355" w:history="1">
        <w:r w:rsidRPr="009D198D">
          <w:rPr>
            <w:rFonts w:ascii="Arial" w:eastAsiaTheme="minorHAnsi" w:hAnsi="Arial" w:cs="Arial"/>
            <w:sz w:val="21"/>
            <w:szCs w:val="21"/>
            <w:lang w:val="es-ES_tradnl" w:eastAsia="en-US"/>
          </w:rPr>
          <w:t>355</w:t>
        </w:r>
      </w:hyperlink>
      <w:r w:rsidRPr="009D198D">
        <w:rPr>
          <w:rFonts w:ascii="Arial" w:eastAsiaTheme="minorHAnsi" w:hAnsi="Arial" w:cs="Arial"/>
          <w:sz w:val="21"/>
          <w:szCs w:val="21"/>
          <w:lang w:val="es-ES_tradnl" w:eastAsia="en-US"/>
        </w:rPr>
        <w:t> de la Constitución Política. Si tal evento se diese, la entidad fideicomitente deberá repetir contra la persona, natural o jurídica, adjudicataria del respectivo contrato.</w:t>
      </w:r>
    </w:p>
    <w:p w14:paraId="418F4043" w14:textId="29E8ED08" w:rsidR="00E220FF" w:rsidRPr="009D198D" w:rsidRDefault="00E220FF" w:rsidP="00E220FF">
      <w:pPr>
        <w:ind w:firstLine="709"/>
        <w:jc w:val="both"/>
        <w:rPr>
          <w:rFonts w:ascii="Arial" w:eastAsiaTheme="minorEastAsia" w:hAnsi="Arial" w:cs="Arial"/>
          <w:sz w:val="21"/>
          <w:szCs w:val="21"/>
          <w:lang w:val="es-ES_tradnl" w:eastAsia="es-CO"/>
        </w:rPr>
      </w:pPr>
      <w:r w:rsidRPr="009D198D">
        <w:rPr>
          <w:rFonts w:ascii="Arial" w:eastAsiaTheme="minorEastAsia" w:hAnsi="Arial" w:cs="Arial"/>
          <w:sz w:val="21"/>
          <w:szCs w:val="21"/>
          <w:lang w:val="es-ES_tradnl" w:eastAsia="es-CO"/>
        </w:rPr>
        <w:t>[…]</w:t>
      </w:r>
    </w:p>
    <w:p w14:paraId="71EA7E75" w14:textId="77777777" w:rsidR="0075755A" w:rsidRPr="009D198D" w:rsidRDefault="0075755A" w:rsidP="003C02AE">
      <w:pPr>
        <w:spacing w:line="276" w:lineRule="auto"/>
        <w:ind w:firstLine="709"/>
        <w:jc w:val="both"/>
        <w:rPr>
          <w:rFonts w:ascii="Arial" w:eastAsiaTheme="minorEastAsia" w:hAnsi="Arial" w:cs="Arial"/>
          <w:sz w:val="22"/>
          <w:szCs w:val="22"/>
          <w:lang w:val="es-ES_tradnl" w:eastAsia="es-CO"/>
        </w:rPr>
      </w:pPr>
    </w:p>
    <w:p w14:paraId="611E2FDB" w14:textId="2A8AFCE7" w:rsidR="00902F95" w:rsidRPr="009D198D" w:rsidRDefault="00DD0DBD" w:rsidP="00340AA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lastRenderedPageBreak/>
        <w:t xml:space="preserve">Dadas estas características particulares, el contrato de </w:t>
      </w:r>
      <w:r w:rsidRPr="009D198D">
        <w:rPr>
          <w:rFonts w:ascii="Arial" w:eastAsiaTheme="minorEastAsia" w:hAnsi="Arial" w:cs="Arial"/>
          <w:i/>
          <w:iCs/>
          <w:sz w:val="22"/>
          <w:szCs w:val="22"/>
          <w:lang w:val="es-ES_tradnl" w:eastAsia="es-CO"/>
        </w:rPr>
        <w:t>fiducia mercantil</w:t>
      </w:r>
      <w:r w:rsidRPr="009D198D">
        <w:rPr>
          <w:rFonts w:ascii="Arial" w:eastAsiaTheme="minorEastAsia" w:hAnsi="Arial" w:cs="Arial"/>
          <w:sz w:val="22"/>
          <w:szCs w:val="22"/>
          <w:lang w:val="es-ES_tradnl" w:eastAsia="es-CO"/>
        </w:rPr>
        <w:t xml:space="preserve"> es diferente del contrato de </w:t>
      </w:r>
      <w:r w:rsidRPr="009D198D">
        <w:rPr>
          <w:rFonts w:ascii="Arial" w:eastAsiaTheme="minorEastAsia" w:hAnsi="Arial" w:cs="Arial"/>
          <w:i/>
          <w:iCs/>
          <w:sz w:val="22"/>
          <w:szCs w:val="22"/>
          <w:lang w:val="es-ES_tradnl" w:eastAsia="es-CO"/>
        </w:rPr>
        <w:t>fiducia pública</w:t>
      </w:r>
      <w:r w:rsidRPr="009D198D">
        <w:rPr>
          <w:rFonts w:ascii="Arial" w:eastAsiaTheme="minorEastAsia" w:hAnsi="Arial" w:cs="Arial"/>
          <w:sz w:val="22"/>
          <w:szCs w:val="22"/>
          <w:lang w:val="es-ES_tradnl" w:eastAsia="es-CO"/>
        </w:rPr>
        <w:t>, regulado en el numeral 5º del artículo 32 de la Ley 80 de 1993, pues este</w:t>
      </w:r>
      <w:r w:rsidRPr="009D198D">
        <w:rPr>
          <w:rFonts w:ascii="Arial" w:eastAsiaTheme="minorEastAsia" w:hAnsi="Arial" w:cs="Arial"/>
          <w:spacing w:val="52"/>
          <w:sz w:val="22"/>
          <w:szCs w:val="22"/>
          <w:lang w:val="es-ES_tradnl" w:eastAsia="es-CO"/>
        </w:rPr>
        <w:t xml:space="preserve"> </w:t>
      </w:r>
      <w:r w:rsidRPr="009D198D">
        <w:rPr>
          <w:rFonts w:ascii="Arial" w:eastAsiaTheme="minorEastAsia" w:hAnsi="Arial" w:cs="Arial"/>
          <w:sz w:val="22"/>
          <w:szCs w:val="22"/>
          <w:lang w:val="es-ES_tradnl" w:eastAsia="es-CO"/>
        </w:rPr>
        <w:t>último «nunca implicará transferencia de dominio sobre bienes o recursos estatales, ni constituirá patrimonio autónomo del propio de la respectiva entidad oficial». Así lo consideró la Corte Constitucional, en la sentencia C-086 de 1995</w:t>
      </w:r>
      <w:r w:rsidR="000A413B" w:rsidRPr="009D198D">
        <w:rPr>
          <w:rFonts w:ascii="Arial" w:eastAsiaTheme="minorEastAsia" w:hAnsi="Arial" w:cs="Arial"/>
          <w:sz w:val="22"/>
          <w:szCs w:val="22"/>
          <w:lang w:val="es-ES_tradnl" w:eastAsia="es-CO"/>
        </w:rPr>
        <w:t>,</w:t>
      </w:r>
      <w:r w:rsidRPr="009D198D">
        <w:rPr>
          <w:rFonts w:ascii="Arial" w:eastAsiaTheme="minorEastAsia" w:hAnsi="Arial" w:cs="Arial"/>
          <w:sz w:val="22"/>
          <w:szCs w:val="22"/>
          <w:lang w:val="es-ES_tradnl" w:eastAsia="es-CO"/>
        </w:rPr>
        <w:t xml:space="preserve"> al señalar que la Ley 80 de 1993 creó un contrato nuevo y autónomo al del Código de</w:t>
      </w:r>
      <w:r w:rsidRPr="009D198D">
        <w:rPr>
          <w:rFonts w:ascii="Arial" w:eastAsiaTheme="minorEastAsia" w:hAnsi="Arial" w:cs="Arial"/>
          <w:spacing w:val="-27"/>
          <w:sz w:val="22"/>
          <w:szCs w:val="22"/>
          <w:lang w:val="es-ES_tradnl" w:eastAsia="es-CO"/>
        </w:rPr>
        <w:t xml:space="preserve"> </w:t>
      </w:r>
      <w:r w:rsidRPr="009D198D">
        <w:rPr>
          <w:rFonts w:ascii="Arial" w:eastAsiaTheme="minorEastAsia" w:hAnsi="Arial" w:cs="Arial"/>
          <w:sz w:val="22"/>
          <w:szCs w:val="22"/>
          <w:lang w:val="es-ES_tradnl" w:eastAsia="es-CO"/>
        </w:rPr>
        <w:t>Comercio</w:t>
      </w:r>
      <w:r w:rsidRPr="009D198D">
        <w:rPr>
          <w:rFonts w:ascii="Arial" w:eastAsiaTheme="minorEastAsia" w:hAnsi="Arial" w:cs="Arial"/>
          <w:sz w:val="22"/>
          <w:szCs w:val="22"/>
          <w:vertAlign w:val="superscript"/>
          <w:lang w:val="es-ES_tradnl" w:eastAsia="es-CO"/>
        </w:rPr>
        <w:footnoteReference w:id="60"/>
      </w:r>
      <w:r w:rsidRPr="009D198D">
        <w:rPr>
          <w:rFonts w:ascii="Arial" w:eastAsiaTheme="minorEastAsia" w:hAnsi="Arial" w:cs="Arial"/>
          <w:sz w:val="22"/>
          <w:szCs w:val="22"/>
          <w:lang w:val="es-ES_tradnl" w:eastAsia="es-CO"/>
        </w:rPr>
        <w:t>.</w:t>
      </w:r>
      <w:r w:rsidR="006F1B5B" w:rsidRPr="009D198D">
        <w:rPr>
          <w:rFonts w:ascii="Arial" w:eastAsiaTheme="minorEastAsia" w:hAnsi="Arial" w:cs="Arial"/>
          <w:sz w:val="22"/>
          <w:szCs w:val="22"/>
          <w:lang w:val="es-ES_tradnl" w:eastAsia="es-CO"/>
        </w:rPr>
        <w:t xml:space="preserve"> </w:t>
      </w:r>
    </w:p>
    <w:p w14:paraId="6A4EC2C3" w14:textId="3114FD50" w:rsidR="00902F95" w:rsidRPr="009D198D" w:rsidRDefault="006F1B5B" w:rsidP="00CC5C25">
      <w:pPr>
        <w:spacing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Al respecto, es necesario subrayar que debido </w:t>
      </w:r>
      <w:r w:rsidR="00743DCE" w:rsidRPr="009D198D">
        <w:rPr>
          <w:rFonts w:ascii="Arial" w:eastAsiaTheme="minorEastAsia" w:hAnsi="Arial" w:cs="Arial"/>
          <w:sz w:val="22"/>
          <w:szCs w:val="22"/>
          <w:lang w:val="es-ES_tradnl" w:eastAsia="es-CO"/>
        </w:rPr>
        <w:t xml:space="preserve">al </w:t>
      </w:r>
      <w:r w:rsidR="00743DCE" w:rsidRPr="009D198D">
        <w:rPr>
          <w:rFonts w:ascii="Arial" w:eastAsiaTheme="minorEastAsia" w:hAnsi="Arial" w:cs="Arial"/>
          <w:bCs/>
          <w:sz w:val="22"/>
          <w:szCs w:val="22"/>
          <w:lang w:val="es-ES_tradnl" w:eastAsia="es-CO"/>
        </w:rPr>
        <w:t>no traspaso de la propiedad, ni la constitución de un patrimonio autónomo que caracteriza a</w:t>
      </w:r>
      <w:r w:rsidR="0066370D" w:rsidRPr="009D198D">
        <w:rPr>
          <w:rFonts w:ascii="Arial" w:eastAsiaTheme="minorEastAsia" w:hAnsi="Arial" w:cs="Arial"/>
          <w:bCs/>
          <w:sz w:val="22"/>
          <w:szCs w:val="22"/>
          <w:lang w:val="es-ES_tradnl" w:eastAsia="es-CO"/>
        </w:rPr>
        <w:t xml:space="preserve"> este</w:t>
      </w:r>
      <w:r w:rsidR="00743DCE" w:rsidRPr="009D198D">
        <w:rPr>
          <w:rFonts w:ascii="Arial" w:eastAsiaTheme="minorEastAsia" w:hAnsi="Arial" w:cs="Arial"/>
          <w:bCs/>
          <w:sz w:val="22"/>
          <w:szCs w:val="22"/>
          <w:lang w:val="es-ES_tradnl" w:eastAsia="es-CO"/>
        </w:rPr>
        <w:t xml:space="preserve"> contrato, la Corte Constitucional señala que </w:t>
      </w:r>
      <w:r w:rsidR="00743DCE" w:rsidRPr="009D198D">
        <w:rPr>
          <w:rFonts w:ascii="Arial" w:eastAsiaTheme="minorEastAsia" w:hAnsi="Arial" w:cs="Arial"/>
          <w:sz w:val="22"/>
          <w:szCs w:val="22"/>
          <w:lang w:val="es-ES_tradnl" w:eastAsia="es-CO"/>
        </w:rPr>
        <w:t xml:space="preserve">es </w:t>
      </w:r>
      <w:r w:rsidRPr="009D198D">
        <w:rPr>
          <w:rFonts w:ascii="Arial" w:eastAsiaTheme="minorEastAsia" w:hAnsi="Arial" w:cs="Arial"/>
          <w:bCs/>
          <w:sz w:val="22"/>
          <w:szCs w:val="22"/>
          <w:lang w:val="es-ES_tradnl" w:eastAsia="es-CO"/>
        </w:rPr>
        <w:t>más parecido a un encargo fiduciario que a una fiducia</w:t>
      </w:r>
      <w:r w:rsidR="0066370D" w:rsidRPr="009D198D">
        <w:rPr>
          <w:rFonts w:ascii="Arial" w:eastAsiaTheme="minorEastAsia" w:hAnsi="Arial" w:cs="Arial"/>
          <w:sz w:val="22"/>
          <w:szCs w:val="22"/>
          <w:lang w:val="es-ES_tradnl" w:eastAsia="es-CO"/>
        </w:rPr>
        <w:t xml:space="preserve">. </w:t>
      </w:r>
      <w:r w:rsidR="00C16F01" w:rsidRPr="009D198D">
        <w:rPr>
          <w:rFonts w:ascii="Arial" w:eastAsiaTheme="minorEastAsia" w:hAnsi="Arial" w:cs="Arial"/>
          <w:sz w:val="22"/>
          <w:szCs w:val="22"/>
          <w:lang w:val="es-ES_tradnl" w:eastAsia="es-CO"/>
        </w:rPr>
        <w:t xml:space="preserve">No obstante, </w:t>
      </w:r>
      <w:r w:rsidR="000A413B" w:rsidRPr="009D198D">
        <w:rPr>
          <w:rFonts w:ascii="Arial" w:eastAsiaTheme="minorEastAsia" w:hAnsi="Arial" w:cs="Arial"/>
          <w:sz w:val="22"/>
          <w:szCs w:val="22"/>
          <w:lang w:val="es-ES_tradnl" w:eastAsia="es-CO"/>
        </w:rPr>
        <w:t xml:space="preserve">según el Consejo de Estado </w:t>
      </w:r>
      <w:r w:rsidR="00CC5C25" w:rsidRPr="009D198D">
        <w:rPr>
          <w:rFonts w:ascii="Arial" w:eastAsiaTheme="minorEastAsia" w:hAnsi="Arial" w:cs="Arial"/>
          <w:sz w:val="22"/>
          <w:szCs w:val="22"/>
          <w:lang w:val="es-ES_tradnl" w:eastAsia="es-CO"/>
        </w:rPr>
        <w:t>estas dos figuras se distinguen pues</w:t>
      </w:r>
      <w:r w:rsidR="00255556" w:rsidRPr="009D198D">
        <w:rPr>
          <w:rFonts w:ascii="Arial" w:eastAsiaTheme="minorEastAsia" w:hAnsi="Arial" w:cs="Arial"/>
          <w:sz w:val="22"/>
          <w:szCs w:val="22"/>
          <w:lang w:val="es-ES_tradnl" w:eastAsia="es-CO"/>
        </w:rPr>
        <w:t xml:space="preserve">, además que la fiducia </w:t>
      </w:r>
      <w:r w:rsidR="00EB199D" w:rsidRPr="009D198D">
        <w:rPr>
          <w:rFonts w:ascii="Arial" w:eastAsiaTheme="minorEastAsia" w:hAnsi="Arial" w:cs="Arial"/>
          <w:sz w:val="22"/>
          <w:szCs w:val="22"/>
          <w:lang w:val="es-ES_tradnl" w:eastAsia="es-CO"/>
        </w:rPr>
        <w:t xml:space="preserve">es </w:t>
      </w:r>
      <w:r w:rsidR="00255556" w:rsidRPr="009D198D">
        <w:rPr>
          <w:rFonts w:ascii="Arial" w:eastAsiaTheme="minorEastAsia" w:hAnsi="Arial" w:cs="Arial"/>
          <w:sz w:val="22"/>
          <w:szCs w:val="22"/>
          <w:lang w:val="es-ES_tradnl" w:eastAsia="es-CO"/>
        </w:rPr>
        <w:t xml:space="preserve">un contrato nuevo y autónomo, </w:t>
      </w:r>
      <w:r w:rsidR="00C16F01" w:rsidRPr="009D198D">
        <w:rPr>
          <w:rFonts w:ascii="Arial" w:eastAsiaTheme="minorEastAsia" w:hAnsi="Arial" w:cs="Arial"/>
          <w:sz w:val="22"/>
          <w:szCs w:val="22"/>
          <w:lang w:val="es-ES_tradnl" w:eastAsia="es-CO"/>
        </w:rPr>
        <w:t>el inciso primero del numeral 5 del artículo 3</w:t>
      </w:r>
      <w:r w:rsidR="000A413B" w:rsidRPr="009D198D">
        <w:rPr>
          <w:rFonts w:ascii="Arial" w:eastAsiaTheme="minorEastAsia" w:hAnsi="Arial" w:cs="Arial"/>
          <w:sz w:val="22"/>
          <w:szCs w:val="22"/>
          <w:lang w:val="es-ES_tradnl" w:eastAsia="es-CO"/>
        </w:rPr>
        <w:t>2</w:t>
      </w:r>
      <w:r w:rsidR="00C16F01" w:rsidRPr="009D198D">
        <w:rPr>
          <w:rFonts w:ascii="Arial" w:eastAsiaTheme="minorEastAsia" w:hAnsi="Arial" w:cs="Arial"/>
          <w:sz w:val="22"/>
          <w:szCs w:val="22"/>
          <w:lang w:val="es-ES_tradnl" w:eastAsia="es-CO"/>
        </w:rPr>
        <w:t xml:space="preserve"> de la Ley 80 de 1993 limita el objeto del encargo fiduciario a la administración o el manejo de los recursos vinculados a los contratos que tales entidades celebren, sin perjuicio de lo previsto en el numeral 20 del artículo </w:t>
      </w:r>
      <w:hyperlink r:id="rId14" w:anchor="25" w:history="1">
        <w:r w:rsidR="00C16F01" w:rsidRPr="009D198D">
          <w:rPr>
            <w:rStyle w:val="Hipervnculo"/>
            <w:rFonts w:ascii="Arial" w:eastAsiaTheme="minorEastAsia" w:hAnsi="Arial" w:cs="Arial"/>
            <w:color w:val="auto"/>
            <w:sz w:val="22"/>
            <w:szCs w:val="22"/>
            <w:u w:val="none"/>
            <w:lang w:val="es-ES_tradnl" w:eastAsia="es-CO"/>
          </w:rPr>
          <w:t>25</w:t>
        </w:r>
      </w:hyperlink>
      <w:r w:rsidR="00C16F01" w:rsidRPr="009D198D">
        <w:rPr>
          <w:rFonts w:ascii="Arial" w:eastAsiaTheme="minorEastAsia" w:hAnsi="Arial" w:cs="Arial"/>
          <w:sz w:val="22"/>
          <w:szCs w:val="22"/>
          <w:lang w:val="es-ES_tradnl" w:eastAsia="es-CO"/>
        </w:rPr>
        <w:t> de esta ley.</w:t>
      </w:r>
      <w:r w:rsidR="00EB199D" w:rsidRPr="009D198D">
        <w:rPr>
          <w:rFonts w:ascii="Arial" w:eastAsiaTheme="minorEastAsia" w:hAnsi="Arial" w:cs="Arial"/>
          <w:sz w:val="22"/>
          <w:szCs w:val="22"/>
          <w:lang w:val="es-ES_tradnl" w:eastAsia="es-CO"/>
        </w:rPr>
        <w:t xml:space="preserve"> Así lo consideró el </w:t>
      </w:r>
      <w:r w:rsidR="00324DDC" w:rsidRPr="009D198D">
        <w:rPr>
          <w:rFonts w:ascii="Arial" w:eastAsiaTheme="minorEastAsia" w:hAnsi="Arial" w:cs="Arial"/>
          <w:sz w:val="22"/>
          <w:szCs w:val="22"/>
          <w:lang w:val="es-ES_tradnl" w:eastAsia="es-CO"/>
        </w:rPr>
        <w:t xml:space="preserve">Consejo de Estado señaló </w:t>
      </w:r>
      <w:r w:rsidR="00EB199D" w:rsidRPr="009D198D">
        <w:rPr>
          <w:rFonts w:ascii="Arial" w:eastAsiaTheme="minorEastAsia" w:hAnsi="Arial" w:cs="Arial"/>
          <w:sz w:val="22"/>
          <w:szCs w:val="22"/>
          <w:lang w:val="es-ES_tradnl" w:eastAsia="es-CO"/>
        </w:rPr>
        <w:t xml:space="preserve">al señalar lo </w:t>
      </w:r>
      <w:r w:rsidR="00902F95" w:rsidRPr="009D198D">
        <w:rPr>
          <w:rFonts w:ascii="Arial" w:eastAsiaTheme="minorEastAsia" w:hAnsi="Arial" w:cs="Arial"/>
          <w:sz w:val="22"/>
          <w:szCs w:val="22"/>
          <w:lang w:val="es-ES_tradnl" w:eastAsia="es-CO"/>
        </w:rPr>
        <w:t xml:space="preserve">siguiente: </w:t>
      </w:r>
    </w:p>
    <w:p w14:paraId="411B84D5" w14:textId="77777777" w:rsidR="00255556" w:rsidRPr="009D198D" w:rsidRDefault="00255556" w:rsidP="00255556">
      <w:pPr>
        <w:spacing w:line="276" w:lineRule="auto"/>
        <w:ind w:firstLine="709"/>
        <w:jc w:val="both"/>
        <w:rPr>
          <w:rFonts w:ascii="Arial" w:eastAsiaTheme="minorEastAsia" w:hAnsi="Arial" w:cs="Arial"/>
          <w:sz w:val="22"/>
          <w:szCs w:val="22"/>
          <w:lang w:val="es-ES_tradnl" w:eastAsia="es-CO"/>
        </w:rPr>
      </w:pPr>
    </w:p>
    <w:p w14:paraId="5866965A" w14:textId="77777777" w:rsidR="00CC5C25" w:rsidRPr="009D198D" w:rsidRDefault="00902F95" w:rsidP="00902F95">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U</w:t>
      </w:r>
      <w:r w:rsidR="00324DDC" w:rsidRPr="009D198D">
        <w:rPr>
          <w:rFonts w:ascii="Arial" w:eastAsiaTheme="minorHAnsi" w:hAnsi="Arial" w:cs="Arial"/>
          <w:sz w:val="21"/>
          <w:szCs w:val="21"/>
          <w:lang w:val="es-ES_tradnl" w:eastAsia="en-US"/>
        </w:rPr>
        <w:t>na interpretación armónica de las normas de la ley 80 sobre el tema, conduce a establecer dos modalidades de negocio fiduciario que pueden contratar las entidades estatales, a saber:</w:t>
      </w:r>
      <w:r w:rsidRPr="009D198D">
        <w:rPr>
          <w:rFonts w:ascii="Arial" w:eastAsiaTheme="minorHAnsi" w:hAnsi="Arial" w:cs="Arial"/>
          <w:sz w:val="21"/>
          <w:szCs w:val="21"/>
          <w:lang w:val="es-ES_tradnl" w:eastAsia="en-US"/>
        </w:rPr>
        <w:t xml:space="preserve"> </w:t>
      </w:r>
      <w:r w:rsidR="00324DDC" w:rsidRPr="009D198D">
        <w:rPr>
          <w:rFonts w:ascii="Arial" w:eastAsiaTheme="minorHAnsi" w:hAnsi="Arial" w:cs="Arial"/>
          <w:sz w:val="21"/>
          <w:szCs w:val="21"/>
          <w:lang w:val="es-ES_tradnl" w:eastAsia="en-US"/>
        </w:rPr>
        <w:t xml:space="preserve">Los </w:t>
      </w:r>
      <w:r w:rsidR="00324DDC" w:rsidRPr="009D198D">
        <w:rPr>
          <w:rFonts w:ascii="Arial" w:eastAsiaTheme="minorHAnsi" w:hAnsi="Arial" w:cs="Arial"/>
          <w:i/>
          <w:iCs/>
          <w:sz w:val="21"/>
          <w:szCs w:val="21"/>
          <w:lang w:val="es-ES_tradnl" w:eastAsia="en-US"/>
        </w:rPr>
        <w:t>encargos fiduciarios</w:t>
      </w:r>
      <w:r w:rsidR="00324DDC" w:rsidRPr="009D198D">
        <w:rPr>
          <w:rFonts w:ascii="Arial" w:eastAsiaTheme="minorHAnsi" w:hAnsi="Arial" w:cs="Arial"/>
          <w:sz w:val="21"/>
          <w:szCs w:val="21"/>
          <w:lang w:val="es-ES_tradnl" w:eastAsia="en-US"/>
        </w:rPr>
        <w:t xml:space="preserve">, figura en la cual no hay transferencia de la propiedad de los bienes fideicomitidos. La ley 80 de 1993 la autoriza solamente para administrar o manejar los recursos vinculados a contratos que las entidades estatales celebren (art. 32-5º inc. 3º), lo cual se encuentra en consonancia con la disposición según la cual los pagos correspondientes a los contratos celebrados por las entidades para la prestación de los servicios de salud, se pueden hacer mediante encargos fiduciarios (art. 24-1º letra l ) y con aquella que establece que los fondos destinados a la cancelación de obligaciones derivadas de contratos estatales pueden ser entregados en administración fiduciaria (art. 25-20). </w:t>
      </w:r>
    </w:p>
    <w:p w14:paraId="6BA0BEDD" w14:textId="77777777" w:rsidR="00CC5C25" w:rsidRPr="009D198D" w:rsidRDefault="00CC5C25" w:rsidP="00902F95">
      <w:pPr>
        <w:ind w:left="709" w:right="709"/>
        <w:jc w:val="both"/>
        <w:rPr>
          <w:rFonts w:ascii="Arial" w:eastAsiaTheme="minorHAnsi" w:hAnsi="Arial" w:cs="Arial"/>
          <w:sz w:val="21"/>
          <w:szCs w:val="21"/>
          <w:lang w:val="es-ES_tradnl" w:eastAsia="en-US"/>
        </w:rPr>
      </w:pPr>
    </w:p>
    <w:p w14:paraId="0AE947C2" w14:textId="7018EB3F" w:rsidR="00324DDC" w:rsidRPr="009D198D" w:rsidRDefault="00324DDC" w:rsidP="00902F95">
      <w:pPr>
        <w:ind w:left="709" w:right="709"/>
        <w:jc w:val="both"/>
        <w:rPr>
          <w:rFonts w:ascii="Arial" w:eastAsiaTheme="minorHAnsi" w:hAnsi="Arial" w:cs="Arial"/>
          <w:sz w:val="21"/>
          <w:szCs w:val="21"/>
          <w:lang w:val="es-ES_tradnl" w:eastAsia="en-US"/>
        </w:rPr>
      </w:pPr>
      <w:r w:rsidRPr="009D198D">
        <w:rPr>
          <w:rFonts w:ascii="Arial" w:eastAsiaTheme="minorHAnsi" w:hAnsi="Arial" w:cs="Arial"/>
          <w:sz w:val="21"/>
          <w:szCs w:val="21"/>
          <w:lang w:val="es-ES_tradnl" w:eastAsia="en-US"/>
        </w:rPr>
        <w:t xml:space="preserve">La </w:t>
      </w:r>
      <w:r w:rsidRPr="009D198D">
        <w:rPr>
          <w:rFonts w:ascii="Arial" w:eastAsiaTheme="minorHAnsi" w:hAnsi="Arial" w:cs="Arial"/>
          <w:i/>
          <w:iCs/>
          <w:sz w:val="21"/>
          <w:szCs w:val="21"/>
          <w:lang w:val="es-ES_tradnl" w:eastAsia="en-US"/>
        </w:rPr>
        <w:t>fiducia pública</w:t>
      </w:r>
      <w:r w:rsidRPr="009D198D">
        <w:rPr>
          <w:rFonts w:ascii="Arial" w:eastAsiaTheme="minorHAnsi" w:hAnsi="Arial" w:cs="Arial"/>
          <w:sz w:val="21"/>
          <w:szCs w:val="21"/>
          <w:lang w:val="es-ES_tradnl" w:eastAsia="en-US"/>
        </w:rPr>
        <w:t>, la cual constituye una nueva figura jurídica, creada por la ley 80 de 1993, y que si bien porta el nombre de fiducia se diferencia en varios elementos esenciales de la tradicional fiducia mercantil</w:t>
      </w:r>
      <w:r w:rsidR="00255556" w:rsidRPr="009D198D">
        <w:rPr>
          <w:rStyle w:val="Refdenotaalpie"/>
          <w:rFonts w:ascii="Arial" w:eastAsiaTheme="minorHAnsi" w:hAnsi="Arial" w:cs="Arial"/>
          <w:sz w:val="21"/>
          <w:szCs w:val="21"/>
          <w:lang w:val="es-ES_tradnl" w:eastAsia="en-US"/>
        </w:rPr>
        <w:footnoteReference w:id="61"/>
      </w:r>
      <w:r w:rsidRPr="009D198D">
        <w:rPr>
          <w:rFonts w:ascii="Arial" w:eastAsiaTheme="minorHAnsi" w:hAnsi="Arial" w:cs="Arial"/>
          <w:sz w:val="21"/>
          <w:szCs w:val="21"/>
          <w:lang w:val="es-ES_tradnl" w:eastAsia="en-US"/>
        </w:rPr>
        <w:t>.</w:t>
      </w:r>
      <w:r w:rsidR="000A413B" w:rsidRPr="009D198D">
        <w:rPr>
          <w:rFonts w:ascii="Arial" w:eastAsiaTheme="minorHAnsi" w:hAnsi="Arial" w:cs="Arial"/>
          <w:sz w:val="21"/>
          <w:szCs w:val="21"/>
          <w:lang w:val="es-ES_tradnl" w:eastAsia="en-US"/>
        </w:rPr>
        <w:t xml:space="preserve"> (Cursiva fuera del original)</w:t>
      </w:r>
    </w:p>
    <w:p w14:paraId="34C3B655" w14:textId="77777777" w:rsidR="00902F95" w:rsidRPr="009D198D" w:rsidRDefault="00902F95" w:rsidP="00902F95">
      <w:pPr>
        <w:ind w:left="709" w:right="709"/>
        <w:jc w:val="both"/>
        <w:rPr>
          <w:rFonts w:ascii="Arial" w:eastAsiaTheme="minorHAnsi" w:hAnsi="Arial" w:cs="Arial"/>
          <w:sz w:val="21"/>
          <w:szCs w:val="21"/>
          <w:lang w:val="es-ES_tradnl" w:eastAsia="en-US"/>
        </w:rPr>
      </w:pPr>
    </w:p>
    <w:p w14:paraId="5769BBBD" w14:textId="62D113AC" w:rsidR="00CC5C25" w:rsidRPr="009D198D" w:rsidRDefault="00902F95"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De esta manera, </w:t>
      </w:r>
      <w:r w:rsidR="00DD0DBD" w:rsidRPr="009D198D">
        <w:rPr>
          <w:rFonts w:ascii="Arial" w:eastAsiaTheme="minorEastAsia" w:hAnsi="Arial" w:cs="Arial"/>
          <w:sz w:val="22"/>
          <w:szCs w:val="22"/>
          <w:lang w:val="es-ES_tradnl" w:eastAsia="es-CO"/>
        </w:rPr>
        <w:t>las entidades estatales pueden suscribir</w:t>
      </w:r>
      <w:r w:rsidR="00CC5C25" w:rsidRPr="009D198D">
        <w:rPr>
          <w:rFonts w:ascii="Arial" w:eastAsiaTheme="minorEastAsia" w:hAnsi="Arial" w:cs="Arial"/>
          <w:sz w:val="22"/>
          <w:szCs w:val="22"/>
          <w:lang w:val="es-ES_tradnl" w:eastAsia="es-CO"/>
        </w:rPr>
        <w:t xml:space="preserve"> tanto </w:t>
      </w:r>
      <w:r w:rsidR="000A413B" w:rsidRPr="009D198D">
        <w:rPr>
          <w:rFonts w:ascii="Arial" w:eastAsiaTheme="minorEastAsia" w:hAnsi="Arial" w:cs="Arial"/>
          <w:sz w:val="22"/>
          <w:szCs w:val="22"/>
          <w:lang w:val="es-ES_tradnl" w:eastAsia="es-CO"/>
        </w:rPr>
        <w:t xml:space="preserve">contratos de </w:t>
      </w:r>
      <w:r w:rsidR="00CC5C25" w:rsidRPr="009D198D">
        <w:rPr>
          <w:rFonts w:ascii="Arial" w:eastAsiaTheme="minorEastAsia" w:hAnsi="Arial" w:cs="Arial"/>
          <w:sz w:val="22"/>
          <w:szCs w:val="22"/>
          <w:lang w:val="es-ES_tradnl" w:eastAsia="es-CO"/>
        </w:rPr>
        <w:t>fiducia p</w:t>
      </w:r>
      <w:r w:rsidR="000A413B" w:rsidRPr="009D198D">
        <w:rPr>
          <w:rFonts w:ascii="Arial" w:eastAsiaTheme="minorEastAsia" w:hAnsi="Arial" w:cs="Arial"/>
          <w:sz w:val="22"/>
          <w:szCs w:val="22"/>
          <w:lang w:val="es-ES_tradnl" w:eastAsia="es-CO"/>
        </w:rPr>
        <w:t>ú</w:t>
      </w:r>
      <w:r w:rsidR="00CC5C25" w:rsidRPr="009D198D">
        <w:rPr>
          <w:rFonts w:ascii="Arial" w:eastAsiaTheme="minorEastAsia" w:hAnsi="Arial" w:cs="Arial"/>
          <w:sz w:val="22"/>
          <w:szCs w:val="22"/>
          <w:lang w:val="es-ES_tradnl" w:eastAsia="es-CO"/>
        </w:rPr>
        <w:t xml:space="preserve">blica como encargos fiduciarios, teniendo en cuenta que estos últimos se limitan </w:t>
      </w:r>
      <w:r w:rsidR="000A413B" w:rsidRPr="009D198D">
        <w:rPr>
          <w:rFonts w:ascii="Arial" w:eastAsiaTheme="minorEastAsia" w:hAnsi="Arial" w:cs="Arial"/>
          <w:sz w:val="22"/>
          <w:szCs w:val="22"/>
          <w:lang w:val="es-ES_tradnl" w:eastAsia="es-CO"/>
        </w:rPr>
        <w:t xml:space="preserve">a </w:t>
      </w:r>
      <w:r w:rsidR="00913D50" w:rsidRPr="009D198D">
        <w:rPr>
          <w:rFonts w:ascii="Arial" w:eastAsiaTheme="minorHAnsi" w:hAnsi="Arial" w:cs="Arial"/>
          <w:sz w:val="22"/>
          <w:szCs w:val="22"/>
          <w:lang w:val="es-ES_tradnl" w:eastAsia="en-US"/>
        </w:rPr>
        <w:t>la administración o el manejo de los recursos vinculados a los contratos que tales entidades celebren</w:t>
      </w:r>
      <w:r w:rsidR="00CC5C25" w:rsidRPr="009D198D">
        <w:rPr>
          <w:rFonts w:ascii="Arial" w:eastAsiaTheme="minorEastAsia" w:hAnsi="Arial" w:cs="Arial"/>
          <w:sz w:val="22"/>
          <w:szCs w:val="22"/>
          <w:lang w:val="es-ES_tradnl" w:eastAsia="es-CO"/>
        </w:rPr>
        <w:t>, así como</w:t>
      </w:r>
      <w:r w:rsidR="00305E1F" w:rsidRPr="009D198D">
        <w:rPr>
          <w:rFonts w:ascii="Arial" w:eastAsiaTheme="minorEastAsia" w:hAnsi="Arial" w:cs="Arial"/>
          <w:sz w:val="22"/>
          <w:szCs w:val="22"/>
          <w:lang w:val="es-ES_tradnl" w:eastAsia="es-CO"/>
        </w:rPr>
        <w:t xml:space="preserve"> a</w:t>
      </w:r>
      <w:r w:rsidR="00CC5C25" w:rsidRPr="009D198D">
        <w:rPr>
          <w:rFonts w:ascii="Arial" w:eastAsiaTheme="minorEastAsia" w:hAnsi="Arial" w:cs="Arial"/>
          <w:sz w:val="22"/>
          <w:szCs w:val="22"/>
          <w:lang w:val="es-ES_tradnl" w:eastAsia="es-CO"/>
        </w:rPr>
        <w:t xml:space="preserve"> los pagos correspondientes a los contratos celebrados por las entidades para la prestación de los servicios de salud</w:t>
      </w:r>
      <w:r w:rsidR="00305E1F" w:rsidRPr="009D198D">
        <w:rPr>
          <w:rFonts w:ascii="Arial" w:eastAsiaTheme="minorEastAsia" w:hAnsi="Arial" w:cs="Arial"/>
          <w:sz w:val="22"/>
          <w:szCs w:val="22"/>
          <w:lang w:val="es-ES_tradnl" w:eastAsia="es-CO"/>
        </w:rPr>
        <w:t xml:space="preserve"> y para </w:t>
      </w:r>
      <w:r w:rsidR="00CC5C25" w:rsidRPr="009D198D">
        <w:rPr>
          <w:rFonts w:ascii="Arial" w:eastAsiaTheme="minorEastAsia" w:hAnsi="Arial" w:cs="Arial"/>
          <w:sz w:val="22"/>
          <w:szCs w:val="22"/>
          <w:lang w:val="es-ES_tradnl" w:eastAsia="es-CO"/>
        </w:rPr>
        <w:t>los fondos destinados a la cancelación de obligaciones derivadas de contratos estatales</w:t>
      </w:r>
      <w:r w:rsidR="008B3BC9" w:rsidRPr="009D198D">
        <w:rPr>
          <w:rFonts w:ascii="Arial" w:eastAsiaTheme="minorEastAsia" w:hAnsi="Arial" w:cs="Arial"/>
          <w:sz w:val="22"/>
          <w:szCs w:val="22"/>
          <w:lang w:val="es-ES_tradnl" w:eastAsia="es-CO"/>
        </w:rPr>
        <w:t>, los cuales</w:t>
      </w:r>
      <w:r w:rsidR="00CC5C25" w:rsidRPr="009D198D">
        <w:rPr>
          <w:rFonts w:ascii="Arial" w:eastAsiaTheme="minorEastAsia" w:hAnsi="Arial" w:cs="Arial"/>
          <w:sz w:val="22"/>
          <w:szCs w:val="22"/>
          <w:lang w:val="es-ES_tradnl" w:eastAsia="es-CO"/>
        </w:rPr>
        <w:t xml:space="preserve"> pueden ser entregados en administración fiduciaria</w:t>
      </w:r>
      <w:r w:rsidR="00305E1F" w:rsidRPr="009D198D">
        <w:rPr>
          <w:rFonts w:ascii="Arial" w:eastAsiaTheme="minorEastAsia" w:hAnsi="Arial" w:cs="Arial"/>
          <w:sz w:val="22"/>
          <w:szCs w:val="22"/>
          <w:lang w:val="es-ES_tradnl" w:eastAsia="es-CO"/>
        </w:rPr>
        <w:t xml:space="preserve">. </w:t>
      </w:r>
    </w:p>
    <w:p w14:paraId="47E48F09" w14:textId="2EA32082" w:rsidR="00DD0DBD" w:rsidRPr="009D198D" w:rsidRDefault="00CC5C25"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Ahora bien, </w:t>
      </w:r>
      <w:r w:rsidR="00A54FA7" w:rsidRPr="009D198D">
        <w:rPr>
          <w:rFonts w:ascii="Arial" w:eastAsiaTheme="minorEastAsia" w:hAnsi="Arial" w:cs="Arial"/>
          <w:sz w:val="22"/>
          <w:szCs w:val="22"/>
          <w:lang w:val="es-ES_tradnl" w:eastAsia="es-CO"/>
        </w:rPr>
        <w:t xml:space="preserve">de la jurisprudencia constitucional anteriormente señalada se entiende que las entidades estatales pueden suscribir contratos de fiducia mercantil. Sin embargo, </w:t>
      </w:r>
      <w:r w:rsidR="00324DDC" w:rsidRPr="009D198D">
        <w:rPr>
          <w:rFonts w:ascii="Arial" w:eastAsiaTheme="minorEastAsia" w:hAnsi="Arial" w:cs="Arial"/>
          <w:sz w:val="22"/>
          <w:szCs w:val="22"/>
          <w:lang w:val="es-ES_tradnl" w:eastAsia="es-CO"/>
        </w:rPr>
        <w:t>el Consejo de Estado</w:t>
      </w:r>
      <w:r w:rsidR="00DD0DBD" w:rsidRPr="009D198D">
        <w:rPr>
          <w:rFonts w:ascii="Arial" w:eastAsiaTheme="minorEastAsia" w:hAnsi="Arial" w:cs="Arial"/>
          <w:sz w:val="22"/>
          <w:szCs w:val="22"/>
          <w:lang w:val="es-ES_tradnl" w:eastAsia="es-CO"/>
        </w:rPr>
        <w:t xml:space="preserve">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w:t>
      </w:r>
      <w:r w:rsidR="00D4338F" w:rsidRPr="009D198D">
        <w:rPr>
          <w:rStyle w:val="Refdenotaalpie"/>
          <w:rFonts w:ascii="Arial" w:eastAsiaTheme="minorEastAsia" w:hAnsi="Arial" w:cs="Arial"/>
          <w:sz w:val="22"/>
          <w:szCs w:val="22"/>
          <w:lang w:val="es-ES_tradnl" w:eastAsia="es-CO"/>
        </w:rPr>
        <w:footnoteReference w:id="62"/>
      </w:r>
      <w:r w:rsidR="00CB24C0" w:rsidRPr="009D198D">
        <w:rPr>
          <w:rFonts w:ascii="Arial" w:eastAsiaTheme="minorEastAsia" w:hAnsi="Arial" w:cs="Arial"/>
          <w:sz w:val="22"/>
          <w:szCs w:val="22"/>
          <w:lang w:val="es-ES_tradnl" w:eastAsia="es-CO"/>
        </w:rPr>
        <w:t>.</w:t>
      </w:r>
    </w:p>
    <w:p w14:paraId="26502C1B" w14:textId="77777777" w:rsidR="00DD0DBD" w:rsidRPr="009D198D" w:rsidRDefault="00DD0DBD"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w:t>
      </w:r>
      <w:r w:rsidRPr="009D198D">
        <w:rPr>
          <w:rFonts w:ascii="Arial" w:eastAsiaTheme="minorEastAsia" w:hAnsi="Arial" w:cs="Arial"/>
          <w:spacing w:val="-7"/>
          <w:sz w:val="22"/>
          <w:szCs w:val="22"/>
          <w:lang w:val="es-ES_tradnl" w:eastAsia="es-CO"/>
        </w:rPr>
        <w:t xml:space="preserve"> </w:t>
      </w:r>
      <w:r w:rsidRPr="009D198D">
        <w:rPr>
          <w:rFonts w:ascii="Arial" w:eastAsiaTheme="minorEastAsia" w:hAnsi="Arial" w:cs="Arial"/>
          <w:sz w:val="22"/>
          <w:szCs w:val="22"/>
          <w:lang w:val="es-ES_tradnl" w:eastAsia="es-CO"/>
        </w:rPr>
        <w:t>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p>
    <w:p w14:paraId="7470EA71" w14:textId="77777777" w:rsidR="00DD0DBD" w:rsidRPr="009D198D" w:rsidRDefault="00DD0DBD"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Por ello, debe destacarse que en caso de que no exista norma que autorice la fiducia mercantil, se está ante un negocio fiduciario que debe respetar lo establecido por el numeral 5 del artículo 32 de la Ley 80 de 1993, que entre sus reglas dispone: «La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y </w:t>
      </w:r>
      <w:r w:rsidRPr="009D198D">
        <w:rPr>
          <w:rFonts w:ascii="Arial" w:eastAsiaTheme="minorEastAsia" w:hAnsi="Arial" w:cs="Arial"/>
          <w:sz w:val="22"/>
          <w:szCs w:val="22"/>
          <w:lang w:val="es-ES_tradnl" w:eastAsia="es-CO"/>
        </w:rPr>
        <w:lastRenderedPageBreak/>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42CF1F55" w14:textId="001F1DA4" w:rsidR="00DD0DBD" w:rsidRPr="009D198D" w:rsidRDefault="00C879E4"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D</w:t>
      </w:r>
      <w:r w:rsidR="00DD0DBD" w:rsidRPr="009D198D">
        <w:rPr>
          <w:rFonts w:ascii="Arial" w:eastAsiaTheme="minorEastAsia" w:hAnsi="Arial" w:cs="Arial"/>
          <w:sz w:val="22"/>
          <w:szCs w:val="22"/>
          <w:lang w:val="es-ES_tradnl" w:eastAsia="es-CO"/>
        </w:rPr>
        <w:t>ebe señalarse que la contratación derivada de negocios fiduciarios se rige por el Estatuto General de la Contratación de la Administración Pública, como lo establece el artículo 32: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razón por la cual la contratación derivada del contrato fiduciario se regirá por la Ley 80 de</w:t>
      </w:r>
      <w:r w:rsidR="00DD0DBD" w:rsidRPr="009D198D">
        <w:rPr>
          <w:rFonts w:ascii="Arial" w:eastAsiaTheme="minorEastAsia" w:hAnsi="Arial" w:cs="Arial"/>
          <w:spacing w:val="-13"/>
          <w:sz w:val="22"/>
          <w:szCs w:val="22"/>
          <w:lang w:val="es-ES_tradnl" w:eastAsia="es-CO"/>
        </w:rPr>
        <w:t xml:space="preserve"> </w:t>
      </w:r>
      <w:r w:rsidR="00DD0DBD" w:rsidRPr="009D198D">
        <w:rPr>
          <w:rFonts w:ascii="Arial" w:eastAsiaTheme="minorEastAsia" w:hAnsi="Arial" w:cs="Arial"/>
          <w:sz w:val="22"/>
          <w:szCs w:val="22"/>
          <w:lang w:val="es-ES_tradnl" w:eastAsia="es-CO"/>
        </w:rPr>
        <w:t>1993, salvo que alguna ley especial permita que el patrimonio autónomo actúe de forma diferente.</w:t>
      </w:r>
    </w:p>
    <w:p w14:paraId="1EF1DD8B" w14:textId="6BD048DA" w:rsidR="00DD0DBD" w:rsidRPr="009D198D" w:rsidRDefault="000221A1"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De conformidad con lo expuesto, s</w:t>
      </w:r>
      <w:r w:rsidR="00DD0DBD" w:rsidRPr="009D198D">
        <w:rPr>
          <w:rFonts w:ascii="Arial" w:eastAsiaTheme="minorEastAsia" w:hAnsi="Arial" w:cs="Arial"/>
          <w:sz w:val="22"/>
          <w:szCs w:val="22"/>
          <w:lang w:val="es-ES_tradnl" w:eastAsia="es-CO"/>
        </w:rPr>
        <w:t xml:space="preserve">e entiende que las entidades estatales pueden entregar el manejo de recursos con el fin de hacer pagos o desembolsos derivados de un contrato estatal, ya sea por fiducia pública o encargo fiduciario. Sin embargo, el inciso 7, del numeral 5, del </w:t>
      </w:r>
      <w:r w:rsidR="0075755A" w:rsidRPr="009D198D">
        <w:rPr>
          <w:rFonts w:ascii="Arial" w:eastAsiaTheme="minorEastAsia" w:hAnsi="Arial" w:cs="Arial"/>
          <w:sz w:val="22"/>
          <w:szCs w:val="22"/>
          <w:lang w:val="es-ES_tradnl" w:eastAsia="es-CO"/>
        </w:rPr>
        <w:t>artículo</w:t>
      </w:r>
      <w:r w:rsidR="00DD0DBD" w:rsidRPr="009D198D">
        <w:rPr>
          <w:rFonts w:ascii="Arial" w:eastAsiaTheme="minorEastAsia" w:hAnsi="Arial" w:cs="Arial"/>
          <w:sz w:val="22"/>
          <w:szCs w:val="22"/>
          <w:lang w:val="es-ES_tradnl" w:eastAsia="es-CO"/>
        </w:rPr>
        <w:t xml:space="preserve"> 32 de la Ley 80 de 1993, prohíbe que se constituya patrimonio autónomo en virtud de estos negocios fiduciarios. En estos casos, la entidad estatal mantiene la propiedad de los recursos y por ello conserva el control sobre ellos. Solo en supuestos excepcionales, en los que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que motivaron la contratación. En consecuencia, la entidad estatal debe conservar el control de los recursos entregados al patrimonio autónomo.</w:t>
      </w:r>
    </w:p>
    <w:p w14:paraId="3FCCD2EC" w14:textId="2A3361A4" w:rsidR="00DD0DBD" w:rsidRPr="009D198D" w:rsidRDefault="00DD0DBD" w:rsidP="00DD0DBD">
      <w:pPr>
        <w:spacing w:after="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El concepto de la Contraloría General de la República, con radicado 2006EE62754 del 6 de diciembre de 2006, reiterado en concepto OJ-CGR 084 de 2017</w:t>
      </w:r>
      <w:r w:rsidRPr="009D198D">
        <w:rPr>
          <w:rFonts w:ascii="Arial" w:eastAsiaTheme="minorEastAsia" w:hAnsi="Arial" w:cs="Arial"/>
          <w:sz w:val="22"/>
          <w:szCs w:val="22"/>
          <w:vertAlign w:val="superscript"/>
          <w:lang w:val="es-ES_tradnl" w:eastAsia="es-CO"/>
        </w:rPr>
        <w:footnoteReference w:id="63"/>
      </w:r>
      <w:r w:rsidRPr="009D198D">
        <w:rPr>
          <w:rFonts w:ascii="Arial" w:eastAsiaTheme="minorEastAsia" w:hAnsi="Arial" w:cs="Arial"/>
          <w:sz w:val="22"/>
          <w:szCs w:val="22"/>
          <w:lang w:val="es-ES_tradnl" w:eastAsia="es-CO"/>
        </w:rPr>
        <w:t xml:space="preserve">, </w:t>
      </w:r>
      <w:r w:rsidR="008B3BC9" w:rsidRPr="009D198D">
        <w:rPr>
          <w:rFonts w:ascii="Arial" w:eastAsiaTheme="minorEastAsia" w:hAnsi="Arial" w:cs="Arial"/>
          <w:sz w:val="22"/>
          <w:szCs w:val="22"/>
          <w:lang w:val="es-ES_tradnl" w:eastAsia="es-CO"/>
        </w:rPr>
        <w:t xml:space="preserve">dicha entidad consideró </w:t>
      </w:r>
      <w:r w:rsidRPr="009D198D">
        <w:rPr>
          <w:rFonts w:ascii="Arial" w:eastAsiaTheme="minorEastAsia" w:hAnsi="Arial" w:cs="Arial"/>
          <w:sz w:val="22"/>
          <w:szCs w:val="22"/>
          <w:lang w:val="es-ES_tradnl" w:eastAsia="es-CO"/>
        </w:rPr>
        <w:t xml:space="preserve">que la transferencia de recursos no implica dominio pleno de ellos por parte del </w:t>
      </w:r>
      <w:r w:rsidRPr="009D198D">
        <w:rPr>
          <w:rFonts w:ascii="Arial" w:eastAsiaTheme="minorEastAsia" w:hAnsi="Arial" w:cs="Arial"/>
          <w:sz w:val="22"/>
          <w:szCs w:val="22"/>
          <w:lang w:val="es-ES_tradnl" w:eastAsia="es-CO"/>
        </w:rPr>
        <w:lastRenderedPageBreak/>
        <w:t>fiduciario</w:t>
      </w:r>
      <w:r w:rsidRPr="009D198D">
        <w:rPr>
          <w:rFonts w:ascii="Arial" w:eastAsiaTheme="minorEastAsia" w:hAnsi="Arial" w:cs="Arial"/>
          <w:sz w:val="22"/>
          <w:szCs w:val="22"/>
          <w:vertAlign w:val="superscript"/>
          <w:lang w:val="es-ES_tradnl" w:eastAsia="es-CO"/>
        </w:rPr>
        <w:footnoteReference w:id="64"/>
      </w:r>
      <w:r w:rsidRPr="009D198D">
        <w:rPr>
          <w:rFonts w:ascii="Arial" w:eastAsiaTheme="minorEastAsia" w:hAnsi="Arial" w:cs="Arial"/>
          <w:sz w:val="22"/>
          <w:szCs w:val="22"/>
          <w:lang w:val="es-ES_tradnl" w:eastAsia="es-CO"/>
        </w:rPr>
        <w:t>, sino que tiene un carácter instrumental. Por ello el administrador del patrimonio autónomo no tiene facultad de disponer libremente de los recursos públicos</w:t>
      </w:r>
      <w:r w:rsidRPr="009D198D">
        <w:rPr>
          <w:rFonts w:ascii="Arial" w:eastAsiaTheme="minorEastAsia" w:hAnsi="Arial" w:cs="Arial"/>
          <w:sz w:val="22"/>
          <w:szCs w:val="22"/>
          <w:vertAlign w:val="superscript"/>
          <w:lang w:val="es-ES_tradnl" w:eastAsia="es-CO"/>
        </w:rPr>
        <w:footnoteReference w:id="65"/>
      </w:r>
      <w:r w:rsidRPr="009D198D">
        <w:rPr>
          <w:rFonts w:ascii="Arial" w:eastAsiaTheme="minorEastAsia" w:hAnsi="Arial" w:cs="Arial"/>
          <w:sz w:val="22"/>
          <w:szCs w:val="22"/>
          <w:lang w:val="es-ES_tradnl" w:eastAsia="es-CO"/>
        </w:rPr>
        <w:t>.</w:t>
      </w:r>
    </w:p>
    <w:p w14:paraId="2031911A" w14:textId="25A52046" w:rsidR="00EB199D" w:rsidRPr="009D198D" w:rsidRDefault="00A85474" w:rsidP="00EB199D">
      <w:pPr>
        <w:spacing w:before="120" w:line="276" w:lineRule="auto"/>
        <w:ind w:firstLine="709"/>
        <w:jc w:val="both"/>
        <w:textAlignment w:val="baseline"/>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En síntesis, el contrato de fiducia mercantil es diferente del contrato de fiducia pública, regulado en el numeral 5º del artículo 32 de la Ley 80 de 1993, pues este</w:t>
      </w:r>
      <w:r w:rsidRPr="009D198D">
        <w:rPr>
          <w:rFonts w:ascii="Arial" w:eastAsiaTheme="minorEastAsia" w:hAnsi="Arial" w:cs="Arial"/>
          <w:spacing w:val="52"/>
          <w:sz w:val="22"/>
          <w:szCs w:val="22"/>
          <w:lang w:val="es-ES_tradnl" w:eastAsia="es-CO"/>
        </w:rPr>
        <w:t xml:space="preserve"> </w:t>
      </w:r>
      <w:r w:rsidRPr="009D198D">
        <w:rPr>
          <w:rFonts w:ascii="Arial" w:eastAsiaTheme="minorEastAsia" w:hAnsi="Arial" w:cs="Arial"/>
          <w:sz w:val="22"/>
          <w:szCs w:val="22"/>
          <w:lang w:val="es-ES_tradnl" w:eastAsia="es-CO"/>
        </w:rPr>
        <w:t xml:space="preserve">último nunca implicará transferencia de dominio sobre bienes o recursos estatales, ni constituirá patrimonio autónomo del propio de la respectiva entidad </w:t>
      </w:r>
      <w:r w:rsidR="00952C79" w:rsidRPr="009D198D">
        <w:rPr>
          <w:rFonts w:ascii="Arial" w:eastAsiaTheme="minorEastAsia" w:hAnsi="Arial" w:cs="Arial"/>
          <w:sz w:val="22"/>
          <w:szCs w:val="22"/>
          <w:lang w:val="es-ES_tradnl" w:eastAsia="es-CO"/>
        </w:rPr>
        <w:t>estatal</w:t>
      </w:r>
      <w:r w:rsidRPr="009D198D">
        <w:rPr>
          <w:rFonts w:ascii="Arial" w:eastAsiaTheme="minorEastAsia" w:hAnsi="Arial" w:cs="Arial"/>
          <w:sz w:val="22"/>
          <w:szCs w:val="22"/>
          <w:lang w:val="es-ES_tradnl" w:eastAsia="es-CO"/>
        </w:rPr>
        <w:t xml:space="preserve">. </w:t>
      </w:r>
      <w:r w:rsidR="00EB199D" w:rsidRPr="009D198D">
        <w:rPr>
          <w:rFonts w:ascii="Arial" w:eastAsiaTheme="minorEastAsia" w:hAnsi="Arial" w:cs="Arial"/>
          <w:sz w:val="22"/>
          <w:szCs w:val="22"/>
          <w:lang w:val="es-ES_tradnl" w:eastAsia="es-CO"/>
        </w:rPr>
        <w:t xml:space="preserve">En este contexto, la constitución de patrimonios autónomos por parte de entidades estatales solamente </w:t>
      </w:r>
      <w:r w:rsidR="00952C79" w:rsidRPr="009D198D">
        <w:rPr>
          <w:rFonts w:ascii="Arial" w:eastAsiaTheme="minorEastAsia" w:hAnsi="Arial" w:cs="Arial"/>
          <w:sz w:val="22"/>
          <w:szCs w:val="22"/>
          <w:lang w:val="es-ES_tradnl" w:eastAsia="es-CO"/>
        </w:rPr>
        <w:t xml:space="preserve">puede </w:t>
      </w:r>
      <w:r w:rsidR="00EB199D" w:rsidRPr="009D198D">
        <w:rPr>
          <w:rFonts w:ascii="Arial" w:eastAsiaTheme="minorEastAsia" w:hAnsi="Arial" w:cs="Arial"/>
          <w:sz w:val="22"/>
          <w:szCs w:val="22"/>
          <w:lang w:val="es-ES_tradnl" w:eastAsia="es-CO"/>
        </w:rPr>
        <w:t>darse en virtud de una autorización legal. Respecto de la fiducia pública y el encargo fiduciario, el Consejo de Estado ha precisado que el primero constituye un contrato nuevo y autónomo y el segundo se autoriza solamente para administrar o manejar los recursos vinculados a contratos que las entidades estatales celebren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w:t>
      </w:r>
      <w:r w:rsidR="00340AAD" w:rsidRPr="009D198D">
        <w:rPr>
          <w:rStyle w:val="Refdenotaalpie"/>
          <w:rFonts w:ascii="Arial" w:eastAsiaTheme="minorEastAsia" w:hAnsi="Arial" w:cs="Arial"/>
          <w:sz w:val="22"/>
          <w:szCs w:val="22"/>
          <w:lang w:val="es-ES_tradnl" w:eastAsia="es-CO"/>
        </w:rPr>
        <w:footnoteReference w:id="66"/>
      </w:r>
      <w:r w:rsidR="00EB199D" w:rsidRPr="009D198D">
        <w:rPr>
          <w:rFonts w:ascii="Arial" w:eastAsiaTheme="minorEastAsia" w:hAnsi="Arial" w:cs="Arial"/>
          <w:sz w:val="22"/>
          <w:szCs w:val="22"/>
          <w:lang w:val="es-ES_tradnl" w:eastAsia="es-CO"/>
        </w:rPr>
        <w:t>.</w:t>
      </w:r>
    </w:p>
    <w:p w14:paraId="765C1B79" w14:textId="77777777" w:rsidR="00D339E6" w:rsidRPr="009D198D" w:rsidRDefault="00D339E6" w:rsidP="00654E7E">
      <w:pPr>
        <w:spacing w:line="276" w:lineRule="auto"/>
        <w:jc w:val="both"/>
        <w:rPr>
          <w:rFonts w:ascii="Arial" w:eastAsiaTheme="minorEastAsia" w:hAnsi="Arial" w:cs="Arial"/>
          <w:sz w:val="22"/>
          <w:szCs w:val="22"/>
          <w:lang w:val="es-ES_tradnl" w:eastAsia="es-CO"/>
        </w:rPr>
      </w:pPr>
    </w:p>
    <w:p w14:paraId="37CA9805" w14:textId="50A3F164" w:rsidR="00DD5B04" w:rsidRPr="009D198D" w:rsidRDefault="004177A6" w:rsidP="00510DE9">
      <w:pPr>
        <w:tabs>
          <w:tab w:val="left" w:pos="0"/>
        </w:tabs>
        <w:jc w:val="both"/>
        <w:rPr>
          <w:rFonts w:ascii="Arial" w:eastAsia="Calibri" w:hAnsi="Arial" w:cs="Arial"/>
          <w:b/>
          <w:color w:val="000000" w:themeColor="text1"/>
          <w:sz w:val="22"/>
          <w:lang w:val="es-ES_tradnl"/>
        </w:rPr>
      </w:pPr>
      <w:r w:rsidRPr="009D198D">
        <w:rPr>
          <w:rFonts w:ascii="Arial" w:eastAsia="Calibri" w:hAnsi="Arial" w:cs="Arial"/>
          <w:b/>
          <w:color w:val="000000" w:themeColor="text1"/>
          <w:sz w:val="22"/>
          <w:lang w:val="es-ES_tradnl"/>
        </w:rPr>
        <w:t>3</w:t>
      </w:r>
      <w:r w:rsidR="00B011A9" w:rsidRPr="009D198D">
        <w:rPr>
          <w:rFonts w:ascii="Arial" w:eastAsia="Calibri" w:hAnsi="Arial" w:cs="Arial"/>
          <w:b/>
          <w:color w:val="000000" w:themeColor="text1"/>
          <w:sz w:val="22"/>
          <w:lang w:val="es-ES_tradnl"/>
        </w:rPr>
        <w:t xml:space="preserve">. </w:t>
      </w:r>
      <w:r w:rsidR="00DD5B04" w:rsidRPr="009D198D">
        <w:rPr>
          <w:rFonts w:ascii="Arial" w:eastAsia="Calibri" w:hAnsi="Arial" w:cs="Arial"/>
          <w:b/>
          <w:color w:val="000000" w:themeColor="text1"/>
          <w:sz w:val="22"/>
          <w:lang w:val="es-ES_tradnl"/>
        </w:rPr>
        <w:t>Respuesta</w:t>
      </w:r>
    </w:p>
    <w:p w14:paraId="35A9A445" w14:textId="65036220" w:rsidR="002C3209" w:rsidRPr="009D198D" w:rsidRDefault="002C3209" w:rsidP="005621E0">
      <w:pPr>
        <w:tabs>
          <w:tab w:val="left" w:pos="0"/>
        </w:tabs>
        <w:spacing w:line="276" w:lineRule="auto"/>
        <w:jc w:val="both"/>
        <w:rPr>
          <w:rFonts w:ascii="Arial" w:eastAsia="Calibri" w:hAnsi="Arial" w:cs="Arial"/>
          <w:b/>
          <w:color w:val="000000" w:themeColor="text1"/>
          <w:sz w:val="22"/>
          <w:lang w:val="es-ES_tradnl"/>
        </w:rPr>
      </w:pPr>
    </w:p>
    <w:p w14:paraId="53F7EA53" w14:textId="03A146C8" w:rsidR="0065590E" w:rsidRPr="009D198D" w:rsidRDefault="0065590E" w:rsidP="0065590E">
      <w:pPr>
        <w:ind w:left="709" w:right="474"/>
        <w:jc w:val="both"/>
        <w:rPr>
          <w:rFonts w:ascii="Arial" w:eastAsia="Calibri" w:hAnsi="Arial" w:cs="Arial"/>
          <w:b/>
          <w:bCs/>
          <w:sz w:val="21"/>
          <w:szCs w:val="21"/>
          <w:u w:val="single"/>
          <w:lang w:eastAsia="en-US"/>
        </w:rPr>
      </w:pPr>
      <w:r w:rsidRPr="009D198D">
        <w:rPr>
          <w:rFonts w:ascii="Arial" w:eastAsia="Calibri" w:hAnsi="Arial" w:cs="Arial"/>
          <w:color w:val="000000" w:themeColor="text1"/>
          <w:sz w:val="21"/>
          <w:szCs w:val="21"/>
        </w:rPr>
        <w:t xml:space="preserve">«1.De acuerdo con el Art. 2.2.1.1.2.2.1 del decreto 1082/2015 en concordancia con el Art. 30 numeral 5 de la ley 80/1993, la entidad estatal puede expedir adendas para modificar el cronograma una vez vencido el término para la presentación de ofertas (esto es el momento del cierre) </w:t>
      </w:r>
      <w:r w:rsidRPr="009D198D">
        <w:rPr>
          <w:rFonts w:ascii="Arial" w:eastAsia="Calibri" w:hAnsi="Arial" w:cs="Arial"/>
          <w:b/>
          <w:bCs/>
          <w:color w:val="000000" w:themeColor="text1"/>
          <w:sz w:val="21"/>
          <w:szCs w:val="21"/>
        </w:rPr>
        <w:t xml:space="preserve">y antes de la adjudicación del contrato </w:t>
      </w:r>
      <w:r w:rsidRPr="009D198D">
        <w:rPr>
          <w:rFonts w:ascii="Arial" w:eastAsia="Calibri" w:hAnsi="Arial" w:cs="Arial"/>
          <w:color w:val="000000" w:themeColor="text1"/>
          <w:sz w:val="21"/>
          <w:szCs w:val="21"/>
        </w:rPr>
        <w:t xml:space="preserve">(esto es el acto administrativo unilateral expedido por el ordenador del gasto, </w:t>
      </w:r>
      <w:r w:rsidRPr="009D198D">
        <w:rPr>
          <w:rFonts w:ascii="Arial" w:eastAsia="Calibri" w:hAnsi="Arial" w:cs="Arial"/>
          <w:color w:val="000000" w:themeColor="text1"/>
          <w:sz w:val="21"/>
          <w:szCs w:val="21"/>
        </w:rPr>
        <w:lastRenderedPageBreak/>
        <w:t xml:space="preserve">mediante el cual selecciona al mejor oferente según criterios establecidos en el pliego de condiciones definitivo, según Art. 9 Ley 1150/2007). Por tanto: </w:t>
      </w:r>
      <w:r w:rsidRPr="009D198D">
        <w:rPr>
          <w:rFonts w:ascii="Arial" w:eastAsia="Calibri" w:hAnsi="Arial" w:cs="Arial"/>
          <w:b/>
          <w:bCs/>
          <w:color w:val="000000" w:themeColor="text1"/>
          <w:sz w:val="21"/>
          <w:szCs w:val="21"/>
        </w:rPr>
        <w:t>A. ¿La Entidad Pública, dentro de la Audiencia de Apertura de Sobre Económico y Adjudicación, puede expedir y publicar Adenda, para efectos de modificar, corregir o aclarar en el cronograma del proceso, la fecha definitiva para la expedición o publicación del acto administrativo de adjudicación o declaratoria de desierto del proceso contractual? De ser afirmativa la respuesta, dicha Adenda ¿gozaría de plena eficacia jurídica por ser emitida oportunamente, es decir, antes de la adjudicación del contrato?</w:t>
      </w:r>
      <w:bookmarkStart w:id="29" w:name="_Hlk93516939"/>
      <w:r w:rsidRPr="009D198D">
        <w:rPr>
          <w:rFonts w:ascii="Arial" w:eastAsiaTheme="minorEastAsia" w:hAnsi="Arial" w:cs="Arial"/>
          <w:sz w:val="22"/>
          <w:szCs w:val="22"/>
          <w:lang w:val="es-ES_tradnl" w:eastAsia="es-CO"/>
        </w:rPr>
        <w:t>»</w:t>
      </w:r>
      <w:bookmarkEnd w:id="29"/>
    </w:p>
    <w:p w14:paraId="41926A92" w14:textId="77777777" w:rsidR="0065590E" w:rsidRPr="009D198D" w:rsidRDefault="0065590E" w:rsidP="001E5B91">
      <w:pPr>
        <w:spacing w:line="276" w:lineRule="auto"/>
        <w:ind w:firstLine="709"/>
        <w:jc w:val="both"/>
        <w:rPr>
          <w:rFonts w:ascii="Arial" w:eastAsiaTheme="minorEastAsia" w:hAnsi="Arial" w:cs="Arial"/>
          <w:sz w:val="22"/>
          <w:szCs w:val="22"/>
          <w:lang w:val="es-ES_tradnl" w:eastAsia="es-CO"/>
        </w:rPr>
      </w:pPr>
    </w:p>
    <w:p w14:paraId="7775025D" w14:textId="08EE2938" w:rsidR="00000D3E" w:rsidRPr="009D198D" w:rsidRDefault="0065590E" w:rsidP="001E5B91">
      <w:pPr>
        <w:spacing w:line="276" w:lineRule="auto"/>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En el caso de las licitaciones públicas para seleccionar contratistas de obra pública, en la audiencia efectiva de adjudicación, por disposición del inciso final del parágrafo 3º del artículo 30 de la Ley 80 de 1993, adicionado por el artículo 1 de la Ley 1882 de 2018, se deben llevar a cabo tres actuaciones adicionales a la adjudicación del contrato: </w:t>
      </w:r>
      <w:r w:rsidRPr="009D198D">
        <w:rPr>
          <w:rFonts w:ascii="Arial" w:eastAsiaTheme="minorEastAsia" w:hAnsi="Arial" w:cs="Arial"/>
          <w:i/>
          <w:iCs/>
          <w:sz w:val="22"/>
          <w:szCs w:val="22"/>
          <w:lang w:val="es-ES_tradnl" w:eastAsia="es-CO"/>
        </w:rPr>
        <w:t>primero</w:t>
      </w:r>
      <w:r w:rsidRPr="009D198D">
        <w:rPr>
          <w:rFonts w:ascii="Arial" w:eastAsiaTheme="minorEastAsia" w:hAnsi="Arial" w:cs="Arial"/>
          <w:sz w:val="22"/>
          <w:szCs w:val="22"/>
          <w:lang w:val="es-ES_tradnl" w:eastAsia="es-CO"/>
        </w:rPr>
        <w:t xml:space="preserve">, la entidad debe permitir a los proponentes que realicen observaciones en relación con el informe final de evaluación. </w:t>
      </w:r>
      <w:r w:rsidRPr="009D198D">
        <w:rPr>
          <w:rFonts w:ascii="Arial" w:eastAsiaTheme="minorEastAsia" w:hAnsi="Arial" w:cs="Arial"/>
          <w:i/>
          <w:iCs/>
          <w:sz w:val="22"/>
          <w:szCs w:val="22"/>
          <w:lang w:val="es-ES_tradnl" w:eastAsia="es-CO"/>
        </w:rPr>
        <w:t>Segundo</w:t>
      </w:r>
      <w:r w:rsidRPr="009D198D">
        <w:rPr>
          <w:rFonts w:ascii="Arial" w:eastAsiaTheme="minorEastAsia" w:hAnsi="Arial" w:cs="Arial"/>
          <w:sz w:val="22"/>
          <w:szCs w:val="22"/>
          <w:lang w:val="es-ES_tradnl" w:eastAsia="es-CO"/>
        </w:rPr>
        <w:t>, se abre el sobre número dos (2), que contienen la oferta económica y se evalúan las propuestas mediante el método establecido en el pliego de condiciones</w:t>
      </w:r>
      <w:r w:rsidR="00952C79" w:rsidRPr="009D198D">
        <w:rPr>
          <w:rFonts w:ascii="Arial" w:eastAsiaTheme="minorEastAsia" w:hAnsi="Arial" w:cs="Arial"/>
          <w:sz w:val="22"/>
          <w:szCs w:val="22"/>
          <w:lang w:val="es-ES_tradnl" w:eastAsia="es-CO"/>
        </w:rPr>
        <w:t>.</w:t>
      </w:r>
      <w:r w:rsidRPr="009D198D">
        <w:rPr>
          <w:rFonts w:ascii="Arial" w:eastAsiaTheme="minorEastAsia" w:hAnsi="Arial" w:cs="Arial"/>
          <w:sz w:val="22"/>
          <w:szCs w:val="22"/>
          <w:lang w:val="es-ES_tradnl" w:eastAsia="es-CO"/>
        </w:rPr>
        <w:t xml:space="preserve"> </w:t>
      </w:r>
      <w:r w:rsidR="00952C79" w:rsidRPr="009D198D">
        <w:rPr>
          <w:rFonts w:ascii="Arial" w:eastAsiaTheme="minorEastAsia" w:hAnsi="Arial" w:cs="Arial"/>
          <w:sz w:val="22"/>
          <w:szCs w:val="22"/>
          <w:lang w:val="es-ES_tradnl" w:eastAsia="es-CO"/>
        </w:rPr>
        <w:t>Y</w:t>
      </w:r>
      <w:r w:rsidRPr="009D198D">
        <w:rPr>
          <w:rFonts w:ascii="Arial" w:eastAsiaTheme="minorEastAsia" w:hAnsi="Arial" w:cs="Arial"/>
          <w:sz w:val="22"/>
          <w:szCs w:val="22"/>
          <w:lang w:val="es-ES_tradnl" w:eastAsia="es-CO"/>
        </w:rPr>
        <w:t>,</w:t>
      </w:r>
      <w:r w:rsidRPr="009D198D">
        <w:rPr>
          <w:rFonts w:ascii="Arial" w:eastAsiaTheme="minorEastAsia" w:hAnsi="Arial" w:cs="Arial"/>
          <w:i/>
          <w:iCs/>
          <w:sz w:val="22"/>
          <w:szCs w:val="22"/>
          <w:lang w:val="es-ES_tradnl" w:eastAsia="es-CO"/>
        </w:rPr>
        <w:t xml:space="preserve"> tercero</w:t>
      </w:r>
      <w:r w:rsidRPr="009D198D">
        <w:rPr>
          <w:rFonts w:ascii="Arial" w:eastAsiaTheme="minorEastAsia" w:hAnsi="Arial" w:cs="Arial"/>
          <w:sz w:val="22"/>
          <w:szCs w:val="22"/>
          <w:lang w:val="es-ES_tradnl" w:eastAsia="es-CO"/>
        </w:rPr>
        <w:t xml:space="preserve">, a los proponentes habilitados se les corre traslado de la evaluación de las ofertas económicas, solo para la revisión «del aspecto económico», luego de lo cual la entidad debe </w:t>
      </w:r>
      <w:proofErr w:type="gramStart"/>
      <w:r w:rsidRPr="009D198D">
        <w:rPr>
          <w:rFonts w:ascii="Arial" w:eastAsiaTheme="minorEastAsia" w:hAnsi="Arial" w:cs="Arial"/>
          <w:sz w:val="22"/>
          <w:szCs w:val="22"/>
          <w:lang w:val="es-ES_tradnl" w:eastAsia="es-CO"/>
        </w:rPr>
        <w:t>proceder a establecer</w:t>
      </w:r>
      <w:proofErr w:type="gramEnd"/>
      <w:r w:rsidRPr="009D198D">
        <w:rPr>
          <w:rFonts w:ascii="Arial" w:eastAsiaTheme="minorEastAsia" w:hAnsi="Arial" w:cs="Arial"/>
          <w:sz w:val="22"/>
          <w:szCs w:val="22"/>
          <w:lang w:val="es-ES_tradnl" w:eastAsia="es-CO"/>
        </w:rPr>
        <w:t xml:space="preserve"> el orden de elegibilidad y, finalmente, a adjudicar el contrato estatal. </w:t>
      </w:r>
      <w:r w:rsidR="00BA7D65" w:rsidRPr="009D198D">
        <w:rPr>
          <w:rFonts w:ascii="Arial" w:hAnsi="Arial" w:cs="Arial"/>
          <w:bCs/>
          <w:sz w:val="22"/>
          <w:lang w:val="es-MX"/>
        </w:rPr>
        <w:t>Así las cosas, aunque son tres actuaciones adicionales a la adjudicación</w:t>
      </w:r>
      <w:r w:rsidR="0027013F" w:rsidRPr="009D198D">
        <w:rPr>
          <w:rFonts w:ascii="Arial" w:hAnsi="Arial" w:cs="Arial"/>
          <w:bCs/>
          <w:sz w:val="22"/>
          <w:lang w:val="es-MX"/>
        </w:rPr>
        <w:t xml:space="preserve">, </w:t>
      </w:r>
      <w:r w:rsidR="00BA7D65" w:rsidRPr="009D198D">
        <w:rPr>
          <w:rFonts w:ascii="Arial" w:hAnsi="Arial" w:cs="Arial"/>
          <w:bCs/>
          <w:sz w:val="22"/>
          <w:lang w:val="es-MX"/>
        </w:rPr>
        <w:t>se surten en la misma oportunidad y etapa, esto es, en la</w:t>
      </w:r>
      <w:r w:rsidR="00BA7D65" w:rsidRPr="009D198D">
        <w:rPr>
          <w:rFonts w:ascii="Arial" w:hAnsi="Arial" w:cs="Arial"/>
          <w:i/>
          <w:iCs/>
          <w:sz w:val="22"/>
        </w:rPr>
        <w:t xml:space="preserve"> audiencia efectiva de adjudicación</w:t>
      </w:r>
      <w:r w:rsidR="00BA7D65" w:rsidRPr="009D198D">
        <w:rPr>
          <w:rFonts w:ascii="Arial" w:hAnsi="Arial" w:cs="Arial"/>
          <w:bCs/>
          <w:sz w:val="22"/>
          <w:lang w:val="es-MX"/>
        </w:rPr>
        <w:t xml:space="preserve">. </w:t>
      </w:r>
    </w:p>
    <w:p w14:paraId="2CCD1E9A" w14:textId="5645D4FC" w:rsidR="001E5B91" w:rsidRPr="009D198D" w:rsidRDefault="00000D3E" w:rsidP="001E5B91">
      <w:pPr>
        <w:spacing w:before="120" w:line="276" w:lineRule="auto"/>
        <w:ind w:firstLine="708"/>
        <w:jc w:val="both"/>
        <w:rPr>
          <w:rFonts w:ascii="Arial" w:hAnsi="Arial" w:cs="Arial"/>
          <w:bCs/>
          <w:sz w:val="22"/>
          <w:lang w:val="es-ES_tradnl"/>
        </w:rPr>
      </w:pPr>
      <w:r w:rsidRPr="009D198D">
        <w:rPr>
          <w:rFonts w:ascii="Arial" w:hAnsi="Arial" w:cs="Arial"/>
          <w:sz w:val="22"/>
          <w:lang w:val="es-ES_tradnl"/>
        </w:rPr>
        <w:t>En este contexto, teniendo en cuenta que e</w:t>
      </w:r>
      <w:r w:rsidR="00BA7D65" w:rsidRPr="009D198D">
        <w:rPr>
          <w:rFonts w:ascii="Arial" w:hAnsi="Arial" w:cs="Arial"/>
          <w:sz w:val="22"/>
          <w:lang w:val="es-ES_tradnl"/>
        </w:rPr>
        <w:t>l artículo 2.2.1.1.2.2.1</w:t>
      </w:r>
      <w:r w:rsidR="00BA7D65" w:rsidRPr="009D198D">
        <w:rPr>
          <w:rFonts w:ascii="Arial" w:hAnsi="Arial" w:cs="Arial"/>
          <w:bCs/>
          <w:sz w:val="22"/>
          <w:lang w:val="es-MX"/>
        </w:rPr>
        <w:t xml:space="preserve"> de Decreto 1082 de 2015 dispone que l</w:t>
      </w:r>
      <w:r w:rsidR="00BA7D65" w:rsidRPr="009D198D">
        <w:rPr>
          <w:rFonts w:ascii="Arial" w:hAnsi="Arial" w:cs="Arial"/>
          <w:bCs/>
          <w:sz w:val="22"/>
          <w:lang w:val="es-ES_tradnl"/>
        </w:rPr>
        <w:t>a entidad estatal puede expedir adendas para modificar el cronograma una vez vencido el término para la presentación de las ofertas y antes de la adjudicación del contrato</w:t>
      </w:r>
      <w:r w:rsidR="005621E0" w:rsidRPr="009D198D">
        <w:rPr>
          <w:rFonts w:ascii="Arial" w:hAnsi="Arial" w:cs="Arial"/>
          <w:bCs/>
          <w:sz w:val="22"/>
          <w:lang w:val="es-ES_tradnl"/>
        </w:rPr>
        <w:t xml:space="preserve">, </w:t>
      </w:r>
      <w:r w:rsidR="005621E0" w:rsidRPr="009D198D">
        <w:rPr>
          <w:rFonts w:ascii="Arial" w:hAnsi="Arial" w:cs="Arial"/>
          <w:sz w:val="22"/>
        </w:rPr>
        <w:t>e</w:t>
      </w:r>
      <w:r w:rsidRPr="009D198D">
        <w:rPr>
          <w:rFonts w:ascii="Arial" w:hAnsi="Arial" w:cs="Arial"/>
          <w:sz w:val="22"/>
        </w:rPr>
        <w:t>n l</w:t>
      </w:r>
      <w:r w:rsidR="00BA7D65" w:rsidRPr="009D198D">
        <w:rPr>
          <w:rFonts w:ascii="Arial" w:hAnsi="Arial" w:cs="Arial"/>
          <w:sz w:val="22"/>
        </w:rPr>
        <w:t>as licitaciones públicas para seleccionar contratistas de obra pública,</w:t>
      </w:r>
      <w:r w:rsidR="00BA7D65" w:rsidRPr="009D198D">
        <w:rPr>
          <w:rFonts w:ascii="Arial" w:hAnsi="Arial" w:cs="Arial"/>
          <w:bCs/>
          <w:sz w:val="22"/>
          <w:lang w:val="es-ES_tradnl"/>
        </w:rPr>
        <w:t xml:space="preserve"> la entidad podrá expedir adendas para modificar el cronograma antes del inicio de la etapa de la </w:t>
      </w:r>
      <w:r w:rsidR="00BA7D65" w:rsidRPr="009D198D">
        <w:rPr>
          <w:rFonts w:ascii="Arial" w:hAnsi="Arial" w:cs="Arial"/>
          <w:i/>
          <w:iCs/>
          <w:sz w:val="22"/>
        </w:rPr>
        <w:t>audiencia efectiva de adjudicación</w:t>
      </w:r>
      <w:r w:rsidR="008923C2" w:rsidRPr="009D198D">
        <w:rPr>
          <w:rFonts w:ascii="Arial" w:hAnsi="Arial" w:cs="Arial"/>
          <w:i/>
          <w:iCs/>
          <w:sz w:val="22"/>
        </w:rPr>
        <w:t>,</w:t>
      </w:r>
      <w:r w:rsidR="00BA7D65" w:rsidRPr="009D198D">
        <w:rPr>
          <w:rFonts w:ascii="Arial" w:hAnsi="Arial" w:cs="Arial"/>
          <w:i/>
          <w:iCs/>
          <w:sz w:val="22"/>
        </w:rPr>
        <w:t xml:space="preserve"> </w:t>
      </w:r>
      <w:r w:rsidR="00BA7D65" w:rsidRPr="009D198D">
        <w:rPr>
          <w:rFonts w:ascii="Arial" w:hAnsi="Arial" w:cs="Arial"/>
          <w:sz w:val="22"/>
        </w:rPr>
        <w:t>en la cual</w:t>
      </w:r>
      <w:r w:rsidR="00DA006F" w:rsidRPr="009D198D">
        <w:rPr>
          <w:rFonts w:ascii="Arial" w:hAnsi="Arial" w:cs="Arial"/>
          <w:sz w:val="22"/>
        </w:rPr>
        <w:t xml:space="preserve"> </w:t>
      </w:r>
      <w:r w:rsidR="00BA7D65" w:rsidRPr="009D198D">
        <w:rPr>
          <w:rFonts w:ascii="Arial" w:hAnsi="Arial" w:cs="Arial"/>
          <w:sz w:val="22"/>
        </w:rPr>
        <w:t>se adjudica el contrato</w:t>
      </w:r>
      <w:r w:rsidR="008923C2" w:rsidRPr="009D198D">
        <w:rPr>
          <w:rFonts w:ascii="Arial" w:hAnsi="Arial" w:cs="Arial"/>
          <w:sz w:val="22"/>
        </w:rPr>
        <w:t>, para modificar los plazos de las siguientes etapas</w:t>
      </w:r>
      <w:r w:rsidR="00BA7D65" w:rsidRPr="009D198D">
        <w:rPr>
          <w:rFonts w:ascii="Arial" w:hAnsi="Arial" w:cs="Arial"/>
          <w:bCs/>
          <w:sz w:val="22"/>
          <w:lang w:val="es-ES_tradnl"/>
        </w:rPr>
        <w:t xml:space="preserve">. </w:t>
      </w:r>
      <w:r w:rsidR="001E5B91" w:rsidRPr="009D198D">
        <w:rPr>
          <w:rFonts w:ascii="Arial" w:hAnsi="Arial" w:cs="Arial"/>
          <w:sz w:val="22"/>
          <w:lang w:val="es-ES_tradnl"/>
        </w:rPr>
        <w:t xml:space="preserve">Por consiguiente, a juicio de esta Agencia no es viable que durante el desarrollo de esta audiencia se realicen modificaciones al cronograma en relación con la adjudicación del contrato, pues esta actuación no es una oportunidad independiente o una etapa siguiente de la </w:t>
      </w:r>
      <w:r w:rsidR="001E5B91" w:rsidRPr="009D198D">
        <w:rPr>
          <w:rFonts w:ascii="Arial" w:hAnsi="Arial" w:cs="Arial"/>
          <w:i/>
          <w:iCs/>
          <w:sz w:val="22"/>
        </w:rPr>
        <w:t xml:space="preserve">audiencia efectiva de </w:t>
      </w:r>
      <w:proofErr w:type="gramStart"/>
      <w:r w:rsidR="001E5B91" w:rsidRPr="009D198D">
        <w:rPr>
          <w:rFonts w:ascii="Arial" w:hAnsi="Arial" w:cs="Arial"/>
          <w:i/>
          <w:iCs/>
          <w:sz w:val="22"/>
        </w:rPr>
        <w:t>adjudicación</w:t>
      </w:r>
      <w:proofErr w:type="gramEnd"/>
      <w:r w:rsidR="00E85EE9" w:rsidRPr="009D198D">
        <w:rPr>
          <w:rFonts w:ascii="Arial" w:hAnsi="Arial" w:cs="Arial"/>
          <w:sz w:val="22"/>
        </w:rPr>
        <w:t xml:space="preserve"> sino que hace parte de ella</w:t>
      </w:r>
      <w:r w:rsidR="001E5B91" w:rsidRPr="009D198D">
        <w:rPr>
          <w:rFonts w:ascii="Arial" w:hAnsi="Arial" w:cs="Arial"/>
          <w:i/>
          <w:iCs/>
          <w:sz w:val="22"/>
        </w:rPr>
        <w:t xml:space="preserve">. </w:t>
      </w:r>
      <w:r w:rsidR="001E5B91" w:rsidRPr="009D198D">
        <w:rPr>
          <w:rFonts w:ascii="Arial" w:hAnsi="Arial" w:cs="Arial"/>
          <w:sz w:val="22"/>
        </w:rPr>
        <w:t>Por demás, debe precisarse que e</w:t>
      </w:r>
      <w:r w:rsidR="001E5B91" w:rsidRPr="009D198D">
        <w:rPr>
          <w:rFonts w:ascii="Arial" w:hAnsi="Arial" w:cs="Arial"/>
          <w:sz w:val="22"/>
          <w:lang w:val="es-ES_tradnl"/>
        </w:rPr>
        <w:t xml:space="preserve">n lo que respecta a la publicación del acto de adjudicación la entidad cuenta con un plazo de 3 días para realizarlo conforme el </w:t>
      </w:r>
      <w:r w:rsidR="001E5B91" w:rsidRPr="009D198D">
        <w:rPr>
          <w:rFonts w:ascii="Arial" w:hAnsi="Arial" w:cs="Arial"/>
          <w:bCs/>
          <w:sz w:val="22"/>
          <w:lang w:val="es-MX"/>
        </w:rPr>
        <w:t xml:space="preserve">artículo </w:t>
      </w:r>
      <w:r w:rsidR="001E5B91" w:rsidRPr="009D198D">
        <w:rPr>
          <w:rFonts w:ascii="Arial" w:hAnsi="Arial" w:cs="Arial"/>
          <w:sz w:val="22"/>
          <w:lang w:val="es-ES_tradnl"/>
        </w:rPr>
        <w:t>2.2.1.1.1.7.1 del Decreto 1082 de 2015.</w:t>
      </w:r>
    </w:p>
    <w:p w14:paraId="541BD761" w14:textId="701CC166" w:rsidR="001E5B91" w:rsidRPr="009D198D" w:rsidRDefault="001E5B91" w:rsidP="001E5B91">
      <w:pPr>
        <w:spacing w:before="120" w:line="276" w:lineRule="auto"/>
        <w:ind w:firstLine="709"/>
        <w:jc w:val="both"/>
        <w:rPr>
          <w:rFonts w:ascii="Arial" w:hAnsi="Arial" w:cs="Arial"/>
          <w:sz w:val="22"/>
          <w:szCs w:val="22"/>
          <w:lang w:val="es-ES"/>
        </w:rPr>
      </w:pPr>
      <w:r w:rsidRPr="009D198D">
        <w:rPr>
          <w:rFonts w:ascii="Arial" w:hAnsi="Arial" w:cs="Arial"/>
          <w:sz w:val="22"/>
          <w:szCs w:val="22"/>
          <w:lang w:val="es-ES_tradnl"/>
        </w:rPr>
        <w:t>Finalmente, es importante señalar que según lo dispone el numeral 1 del artículo 2.2.1.2.1.1.2. del Decreto 1082 de 2015, en la audiencia de adjudicación la entidad tiene la potestad de suspender la audiencia cuando considere necesario verificar lo propuesto por alguno de los oferentes.</w:t>
      </w:r>
      <w:r w:rsidRPr="009D198D">
        <w:rPr>
          <w:rFonts w:ascii="Arial" w:eastAsia="Arial" w:hAnsi="Arial" w:cs="Arial"/>
          <w:sz w:val="22"/>
          <w:szCs w:val="22"/>
          <w:lang w:val="es-ES"/>
        </w:rPr>
        <w:t xml:space="preserve"> </w:t>
      </w:r>
      <w:r w:rsidRPr="009D198D">
        <w:rPr>
          <w:rFonts w:ascii="Arial" w:hAnsi="Arial" w:cs="Arial"/>
          <w:sz w:val="22"/>
          <w:szCs w:val="22"/>
          <w:lang w:val="es-ES"/>
        </w:rPr>
        <w:t xml:space="preserve">Con el fin entender las reglas de la audiencia de adjudicación del artículo 2.2.1.2.1.1.2. Decreto 1082 de 2015 y las adicionadas por el artículo 1 de la Ley 1882 de 2018, tratándose de licitación pública para celebrar un contrato de obra, </w:t>
      </w:r>
      <w:r w:rsidRPr="009D198D">
        <w:rPr>
          <w:rFonts w:ascii="Arial" w:hAnsi="Arial" w:cs="Arial"/>
          <w:sz w:val="22"/>
          <w:szCs w:val="22"/>
        </w:rPr>
        <w:t xml:space="preserve">esta </w:t>
      </w:r>
      <w:r w:rsidRPr="009D198D">
        <w:rPr>
          <w:rFonts w:ascii="Arial" w:hAnsi="Arial" w:cs="Arial"/>
          <w:sz w:val="22"/>
          <w:szCs w:val="22"/>
        </w:rPr>
        <w:lastRenderedPageBreak/>
        <w:t xml:space="preserve">Agencia considera que es factible realizar una interpretación armónica y sistemática de las dos normas </w:t>
      </w:r>
      <w:r w:rsidRPr="009D198D">
        <w:rPr>
          <w:rFonts w:ascii="Arial" w:hAnsi="Arial" w:cs="Arial"/>
          <w:sz w:val="22"/>
          <w:szCs w:val="22"/>
          <w:lang w:val="es-ES"/>
        </w:rPr>
        <w:t>en el entendido de que la suspensión de la audiencia de adjudicación procede aun a instancias del momento posterior a la apertura del segundo sobre que contiene la oferta económica, cuando dicha suspensión tenga origen en observaciones de los proponentes habilitados que fueron formuladas con ocasión del traslado previsto en la ley para la revisión del aspecto económico de la evaluación, previo a establecer el orden de elegibilidad.</w:t>
      </w:r>
    </w:p>
    <w:p w14:paraId="604F4029" w14:textId="77777777" w:rsidR="00A85474" w:rsidRPr="009D198D" w:rsidRDefault="00A85474" w:rsidP="00A85474">
      <w:pPr>
        <w:spacing w:line="276" w:lineRule="auto"/>
        <w:ind w:firstLine="709"/>
        <w:jc w:val="both"/>
        <w:rPr>
          <w:rFonts w:ascii="Arial" w:hAnsi="Arial" w:cs="Arial"/>
          <w:bCs/>
          <w:sz w:val="22"/>
          <w:lang w:val="es-ES_tradnl"/>
        </w:rPr>
      </w:pPr>
    </w:p>
    <w:p w14:paraId="596B6B6D" w14:textId="44ABB98A" w:rsidR="002C3209" w:rsidRPr="009D198D" w:rsidRDefault="00920A7B" w:rsidP="002C3209">
      <w:pPr>
        <w:ind w:left="709" w:right="476"/>
        <w:jc w:val="both"/>
        <w:rPr>
          <w:rFonts w:ascii="Arial" w:eastAsia="Calibri" w:hAnsi="Arial" w:cs="Arial"/>
          <w:b/>
          <w:sz w:val="21"/>
          <w:szCs w:val="21"/>
          <w:lang w:eastAsia="en-US"/>
        </w:rPr>
      </w:pPr>
      <w:r w:rsidRPr="009D198D">
        <w:rPr>
          <w:rFonts w:ascii="Arial" w:eastAsia="Calibri" w:hAnsi="Arial" w:cs="Arial"/>
          <w:color w:val="000000" w:themeColor="text1"/>
          <w:sz w:val="21"/>
          <w:szCs w:val="21"/>
        </w:rPr>
        <w:t>«</w:t>
      </w:r>
      <w:r w:rsidR="002C3209" w:rsidRPr="009D198D">
        <w:rPr>
          <w:rFonts w:ascii="Arial" w:eastAsia="Calibri" w:hAnsi="Arial" w:cs="Arial"/>
          <w:bCs/>
          <w:sz w:val="21"/>
          <w:szCs w:val="21"/>
          <w:lang w:eastAsia="en-US"/>
        </w:rPr>
        <w:t>2.</w:t>
      </w:r>
      <w:r w:rsidR="002C3209" w:rsidRPr="009D198D">
        <w:rPr>
          <w:rFonts w:ascii="Arial" w:eastAsia="Calibri" w:hAnsi="Arial" w:cs="Arial"/>
          <w:b/>
          <w:sz w:val="21"/>
          <w:szCs w:val="21"/>
          <w:lang w:eastAsia="en-US"/>
        </w:rPr>
        <w:t xml:space="preserve"> </w:t>
      </w:r>
      <w:r w:rsidR="002C3209" w:rsidRPr="009D198D">
        <w:rPr>
          <w:rFonts w:ascii="Arial" w:eastAsia="Calibri" w:hAnsi="Arial" w:cs="Arial"/>
          <w:bCs/>
          <w:sz w:val="21"/>
          <w:szCs w:val="21"/>
          <w:lang w:eastAsia="en-US"/>
        </w:rPr>
        <w:t xml:space="preserve">Teniendo en cuenta que el Art. de la </w:t>
      </w:r>
      <w:proofErr w:type="spellStart"/>
      <w:r w:rsidR="002C3209" w:rsidRPr="009D198D">
        <w:rPr>
          <w:rFonts w:ascii="Arial" w:eastAsia="Calibri" w:hAnsi="Arial" w:cs="Arial"/>
          <w:bCs/>
          <w:sz w:val="21"/>
          <w:szCs w:val="21"/>
          <w:lang w:eastAsia="en-US"/>
        </w:rPr>
        <w:t>Iey</w:t>
      </w:r>
      <w:proofErr w:type="spellEnd"/>
      <w:r w:rsidR="002C3209" w:rsidRPr="009D198D">
        <w:rPr>
          <w:rFonts w:ascii="Arial" w:eastAsia="Calibri" w:hAnsi="Arial" w:cs="Arial"/>
          <w:bCs/>
          <w:sz w:val="21"/>
          <w:szCs w:val="21"/>
          <w:lang w:eastAsia="en-US"/>
        </w:rPr>
        <w:t xml:space="preserve"> 1474 de 2011 establece al plan anual de adquisiciones (PAA) como parte del plan de acción, por lo tanto, la entidad estatal puede elaborarlo, aprobarlo y aplicar lo planeado, independiente del plazo que posee para publicar en el SECOP, que vence el 31 de enero,</w:t>
      </w:r>
      <w:r w:rsidR="002C3209" w:rsidRPr="009D198D">
        <w:rPr>
          <w:rFonts w:ascii="Arial" w:eastAsia="Calibri" w:hAnsi="Arial" w:cs="Arial"/>
          <w:b/>
          <w:sz w:val="21"/>
          <w:szCs w:val="21"/>
          <w:lang w:eastAsia="en-US"/>
        </w:rPr>
        <w:t xml:space="preserve"> A. ¿una Entidad Estatal celebrar contratos en el mes de enero sin haber publicado en el SECOP el PAA? B. ¿es viable jurídicamente para la Entidad estatal, realizar estudios previos, celebrar y ejecutar contratos durante el mes de enero con anterioridad al vencimiento del plazo para la publicación del Plan Anual de Adquisiciones en el SECOP? C. ¿La publicación del Plan Anual de Adquisiciones (PAA) en el SECOP, es requisito para su existencia o eficacia, o solo es requerido para su oponibilidad? D. ¿</w:t>
      </w:r>
      <w:proofErr w:type="spellStart"/>
      <w:r w:rsidR="002C3209" w:rsidRPr="009D198D">
        <w:rPr>
          <w:rFonts w:ascii="Arial" w:eastAsia="Calibri" w:hAnsi="Arial" w:cs="Arial"/>
          <w:b/>
          <w:sz w:val="21"/>
          <w:szCs w:val="21"/>
          <w:lang w:eastAsia="en-US"/>
        </w:rPr>
        <w:t>CuáI</w:t>
      </w:r>
      <w:proofErr w:type="spellEnd"/>
      <w:r w:rsidR="002C3209" w:rsidRPr="009D198D">
        <w:rPr>
          <w:rFonts w:ascii="Arial" w:eastAsia="Calibri" w:hAnsi="Arial" w:cs="Arial"/>
          <w:b/>
          <w:sz w:val="21"/>
          <w:szCs w:val="21"/>
          <w:lang w:eastAsia="en-US"/>
        </w:rPr>
        <w:t xml:space="preserve"> es la consecuencia de celebrar contratos sin publicar el Plan Anual de Adquisiciones (PAA) en el SECOP a más tardar el 31 de enero? E. </w:t>
      </w:r>
      <w:r w:rsidR="000708F1" w:rsidRPr="009D198D">
        <w:rPr>
          <w:rFonts w:ascii="Arial" w:eastAsia="Calibri" w:hAnsi="Arial" w:cs="Arial"/>
          <w:b/>
          <w:sz w:val="21"/>
          <w:szCs w:val="21"/>
          <w:lang w:eastAsia="en-US"/>
        </w:rPr>
        <w:t>¿</w:t>
      </w:r>
      <w:r w:rsidR="002C3209" w:rsidRPr="009D198D">
        <w:rPr>
          <w:rFonts w:ascii="Arial" w:eastAsia="Calibri" w:hAnsi="Arial" w:cs="Arial"/>
          <w:b/>
          <w:sz w:val="21"/>
          <w:szCs w:val="21"/>
          <w:lang w:eastAsia="en-US"/>
        </w:rPr>
        <w:t>Qué alternativa poseen las entidades que no poseen conectividad de internet, para publicar su Plan Anual de Adquisiciones (PAA) antes del 31 de enero? F. ¿Es posible publicar el Plan Anual de Adquisiciones (PAA) con posterioridad al 31 de enero, cuando exista justa causa para no haberlo efectuado dentro del término?</w:t>
      </w:r>
      <w:r w:rsidRPr="009D198D">
        <w:rPr>
          <w:rFonts w:ascii="Arial" w:eastAsiaTheme="minorEastAsia" w:hAnsi="Arial" w:cs="Arial"/>
          <w:sz w:val="22"/>
          <w:szCs w:val="22"/>
          <w:lang w:val="es-ES_tradnl" w:eastAsia="es-CO"/>
        </w:rPr>
        <w:t>»</w:t>
      </w:r>
    </w:p>
    <w:p w14:paraId="22478039" w14:textId="77777777" w:rsidR="009B4490" w:rsidRPr="009D198D" w:rsidRDefault="009B4490" w:rsidP="001E5B91">
      <w:pPr>
        <w:spacing w:line="276" w:lineRule="auto"/>
        <w:jc w:val="both"/>
        <w:rPr>
          <w:rFonts w:ascii="Arial" w:eastAsia="Calibri" w:hAnsi="Arial" w:cs="Arial"/>
          <w:sz w:val="22"/>
          <w:lang w:val="es-ES"/>
        </w:rPr>
      </w:pPr>
    </w:p>
    <w:p w14:paraId="56D53741" w14:textId="45C499A7" w:rsidR="0032241D" w:rsidRPr="009D198D" w:rsidRDefault="0032241D" w:rsidP="001E5B91">
      <w:pPr>
        <w:spacing w:line="276" w:lineRule="auto"/>
        <w:jc w:val="both"/>
        <w:rPr>
          <w:rFonts w:ascii="Arial" w:eastAsia="Calibri" w:hAnsi="Arial" w:cs="Arial"/>
          <w:sz w:val="22"/>
          <w:lang w:val="es-ES"/>
        </w:rPr>
      </w:pPr>
      <w:r w:rsidRPr="009D198D">
        <w:rPr>
          <w:rFonts w:ascii="Arial" w:eastAsia="Calibri" w:hAnsi="Arial" w:cs="Arial"/>
          <w:sz w:val="22"/>
          <w:lang w:val="es-ES"/>
        </w:rPr>
        <w:t xml:space="preserve">Conforme al artículo 74 de la Ley 1474 de 2011, las entidades elaboran el plan anual de adquisiciones </w:t>
      </w:r>
      <w:r w:rsidRPr="009D198D">
        <w:rPr>
          <w:rFonts w:ascii="Arial" w:eastAsia="Calibri" w:hAnsi="Arial" w:cs="Arial"/>
          <w:i/>
          <w:iCs/>
          <w:sz w:val="22"/>
          <w:lang w:val="es-ES"/>
        </w:rPr>
        <w:t>para el año siguiente</w:t>
      </w:r>
      <w:r w:rsidRPr="009D198D">
        <w:rPr>
          <w:rFonts w:ascii="Arial" w:eastAsia="Calibri" w:hAnsi="Arial" w:cs="Arial"/>
          <w:sz w:val="22"/>
          <w:lang w:val="es-ES"/>
        </w:rPr>
        <w:t xml:space="preserve">. En esta medida, considerando que el artículo 2.2.1.1.1.4.1 del Decreto 1082 de 2015 dispone que este documento «[…] debe contener la lista de bienes, obras y servicios que pretenden adquirir </w:t>
      </w:r>
      <w:r w:rsidRPr="009D198D">
        <w:rPr>
          <w:rFonts w:ascii="Arial" w:eastAsia="Calibri" w:hAnsi="Arial" w:cs="Arial"/>
          <w:i/>
          <w:iCs/>
          <w:sz w:val="22"/>
          <w:lang w:val="es-ES"/>
        </w:rPr>
        <w:t>durante el año</w:t>
      </w:r>
      <w:r w:rsidRPr="009D198D">
        <w:rPr>
          <w:rFonts w:ascii="Arial" w:eastAsia="Calibri" w:hAnsi="Arial" w:cs="Arial"/>
          <w:sz w:val="22"/>
          <w:lang w:val="es-ES"/>
        </w:rPr>
        <w:t xml:space="preserve">» (Énfasis fuera de texto), la celebración de contratos supone que estas necesidades deben estar previamente determinadas en el plan anual, el cual deberá publicarse para que la entidad inicie con la gestión contractual durante la vigencia fiscal. </w:t>
      </w:r>
    </w:p>
    <w:p w14:paraId="4CB58DE2" w14:textId="5819E12C" w:rsidR="0032241D" w:rsidRPr="009D198D" w:rsidRDefault="002F30FD" w:rsidP="002F30FD">
      <w:pPr>
        <w:spacing w:before="120" w:line="276" w:lineRule="auto"/>
        <w:ind w:firstLine="708"/>
        <w:jc w:val="both"/>
        <w:rPr>
          <w:rFonts w:ascii="Arial" w:eastAsia="Calibri" w:hAnsi="Arial" w:cs="Arial"/>
          <w:sz w:val="22"/>
          <w:lang w:val="es-ES"/>
        </w:rPr>
      </w:pPr>
      <w:bookmarkStart w:id="30" w:name="_Hlk44583551"/>
      <w:r w:rsidRPr="009D198D">
        <w:rPr>
          <w:rFonts w:ascii="Arial" w:eastAsia="Calibri" w:hAnsi="Arial" w:cs="Arial"/>
          <w:sz w:val="22"/>
          <w:lang w:val="es-ES"/>
        </w:rPr>
        <w:t>Reiterando las consideraciones del Concepto Unificado CU-348 del 30 de julio de 2020 de esta Agencia, l</w:t>
      </w:r>
      <w:r w:rsidR="0032241D" w:rsidRPr="009D198D">
        <w:rPr>
          <w:rFonts w:ascii="Arial" w:eastAsia="Calibri" w:hAnsi="Arial" w:cs="Arial"/>
          <w:sz w:val="22"/>
          <w:lang w:val="es-ES"/>
        </w:rPr>
        <w:t xml:space="preserve">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término máximo previsto por la ley, los contratos celebrados durante el primer mes de año no entrarían en el plan de adquisiciones y no sería posible incluirlos de manera </w:t>
      </w:r>
      <w:r w:rsidR="0032241D" w:rsidRPr="009D198D">
        <w:rPr>
          <w:rFonts w:ascii="Arial" w:eastAsia="Calibri" w:hAnsi="Arial" w:cs="Arial"/>
          <w:sz w:val="22"/>
          <w:lang w:val="es-ES"/>
        </w:rPr>
        <w:lastRenderedPageBreak/>
        <w:t>posterior</w:t>
      </w:r>
      <w:bookmarkEnd w:id="30"/>
      <w:r w:rsidR="0032241D" w:rsidRPr="009D198D">
        <w:rPr>
          <w:rFonts w:ascii="Arial" w:eastAsia="Calibri" w:hAnsi="Arial" w:cs="Arial"/>
          <w:sz w:val="22"/>
          <w:lang w:val="es-ES"/>
        </w:rPr>
        <w:t xml:space="preserve">. </w:t>
      </w:r>
      <w:bookmarkStart w:id="31" w:name="_Hlk92448059"/>
      <w:r w:rsidR="0032241D" w:rsidRPr="009D198D">
        <w:rPr>
          <w:rFonts w:ascii="Arial" w:eastAsia="Calibri" w:hAnsi="Arial" w:cs="Arial"/>
          <w:sz w:val="22"/>
          <w:lang w:val="es-ES"/>
        </w:rPr>
        <w:t>Esto significa que la celebración de contratos sin la publicación previa del plan anual de adquisiciones que incluya estas necesidades implica el desconocimiento de las normas mencionadas</w:t>
      </w:r>
      <w:bookmarkEnd w:id="31"/>
      <w:r w:rsidR="00D23C95" w:rsidRPr="009D198D">
        <w:rPr>
          <w:rFonts w:ascii="Arial" w:eastAsia="Calibri" w:hAnsi="Arial" w:cs="Arial"/>
          <w:sz w:val="22"/>
          <w:lang w:val="es-ES"/>
        </w:rPr>
        <w:t xml:space="preserve"> en el párrafo precedente. </w:t>
      </w:r>
    </w:p>
    <w:p w14:paraId="3F5CE393" w14:textId="7E094B59" w:rsidR="002C3209" w:rsidRPr="009D198D" w:rsidRDefault="002C3209" w:rsidP="002F30FD">
      <w:pPr>
        <w:spacing w:before="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En ese orden de ideas, el plan anual de adquisiciones debe elaborarse y publicarse antes de la celebración de cualquier contrato estatal, pues solo esta interpretación de la norma permite que se materialicen verdaderamente las finalidades de este instrumento de planeación en el ordenamiento colombiano</w:t>
      </w:r>
      <w:r w:rsidR="00D23C95" w:rsidRPr="009D198D">
        <w:rPr>
          <w:rFonts w:ascii="Arial" w:eastAsiaTheme="minorEastAsia" w:hAnsi="Arial" w:cs="Arial"/>
          <w:sz w:val="22"/>
          <w:szCs w:val="22"/>
          <w:lang w:val="es-ES_tradnl" w:eastAsia="es-CO"/>
        </w:rPr>
        <w:t xml:space="preserve">, </w:t>
      </w:r>
      <w:r w:rsidR="006A1021" w:rsidRPr="009D198D">
        <w:rPr>
          <w:rFonts w:ascii="Arial" w:eastAsia="Calibri" w:hAnsi="Arial" w:cs="Arial"/>
          <w:sz w:val="22"/>
          <w:lang w:val="es-ES"/>
        </w:rPr>
        <w:t>permitiendo a los potenciales oferentes conocer las contrataciones que se realizarán</w:t>
      </w:r>
      <w:r w:rsidRPr="009D198D">
        <w:rPr>
          <w:rFonts w:ascii="Arial" w:eastAsiaTheme="minorEastAsia" w:hAnsi="Arial" w:cs="Arial"/>
          <w:sz w:val="22"/>
          <w:szCs w:val="22"/>
          <w:lang w:val="es-ES_tradnl" w:eastAsia="es-CO"/>
        </w:rPr>
        <w:t>. Las entidades del Estado tienen la posibilidad de publicar el plan anual de adquisiciones hasta el 31 de enero del año en curso. Pese a ello, dicha publicación debe anteceder la celebración del primer contrato del año. En este sentido, tanto la elaboración como la publicación del plan anual de adquisiciones son obligaciones legales que deben cumplir las entidades estatales en los términos señalados</w:t>
      </w:r>
      <w:r w:rsidR="009E574D" w:rsidRPr="009D198D">
        <w:rPr>
          <w:rFonts w:ascii="Arial" w:eastAsiaTheme="minorEastAsia" w:hAnsi="Arial" w:cs="Arial"/>
          <w:sz w:val="22"/>
          <w:szCs w:val="22"/>
          <w:lang w:val="es-ES_tradnl" w:eastAsia="es-CO"/>
        </w:rPr>
        <w:t xml:space="preserve"> y </w:t>
      </w:r>
      <w:r w:rsidR="000708F1" w:rsidRPr="009D198D">
        <w:rPr>
          <w:rFonts w:ascii="Arial" w:eastAsiaTheme="minorEastAsia" w:hAnsi="Arial" w:cs="Arial"/>
          <w:sz w:val="22"/>
          <w:szCs w:val="22"/>
          <w:lang w:val="es-ES_tradnl" w:eastAsia="es-CO"/>
        </w:rPr>
        <w:t>la norma no contempla excepciones para dicho plazo.</w:t>
      </w:r>
    </w:p>
    <w:p w14:paraId="17422428" w14:textId="7AE727CB" w:rsidR="00173BA0" w:rsidRPr="009D198D" w:rsidRDefault="002C3209" w:rsidP="002F30FD">
      <w:pPr>
        <w:spacing w:before="120" w:line="276" w:lineRule="auto"/>
        <w:ind w:firstLine="709"/>
        <w:jc w:val="both"/>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 xml:space="preserve">En consecuencia, </w:t>
      </w:r>
      <w:r w:rsidR="008F088A" w:rsidRPr="009D198D">
        <w:rPr>
          <w:rFonts w:ascii="Arial" w:eastAsia="Calibri" w:hAnsi="Arial" w:cs="Arial"/>
          <w:color w:val="000000" w:themeColor="text1"/>
          <w:sz w:val="22"/>
        </w:rPr>
        <w:t xml:space="preserve">el incumplimiento de este deber legal podría acarrear para el servidor público responsable de tal publicación las sanciones en sede disciplinaria o de responsabilidad fiscal, cuando las autoridades competentes en dichas materias consideren que hay lugar a ello. </w:t>
      </w:r>
      <w:r w:rsidRPr="009D198D">
        <w:rPr>
          <w:rFonts w:ascii="Arial" w:eastAsiaTheme="minorEastAsia" w:hAnsi="Arial" w:cs="Arial"/>
          <w:sz w:val="22"/>
          <w:szCs w:val="22"/>
          <w:lang w:val="es-ES_tradnl" w:eastAsia="es-CO"/>
        </w:rPr>
        <w:t xml:space="preserve">En todo caso, atendiendo a las circunstancias concretas, será la entidad la responsable de tomar las medidas necesarias y asumir acciones o consecuencias que correspondan </w:t>
      </w:r>
      <w:r w:rsidR="008F088A" w:rsidRPr="009D198D">
        <w:rPr>
          <w:rFonts w:ascii="Arial" w:eastAsiaTheme="minorEastAsia" w:hAnsi="Arial" w:cs="Arial"/>
          <w:sz w:val="22"/>
          <w:szCs w:val="22"/>
          <w:lang w:val="es-ES_tradnl" w:eastAsia="es-CO"/>
        </w:rPr>
        <w:t xml:space="preserve">y </w:t>
      </w:r>
      <w:r w:rsidRPr="009D198D">
        <w:rPr>
          <w:rFonts w:ascii="Arial" w:eastAsiaTheme="minorEastAsia" w:hAnsi="Arial" w:cs="Arial"/>
          <w:sz w:val="22"/>
          <w:szCs w:val="22"/>
          <w:lang w:val="es-ES_tradnl" w:eastAsia="es-CO"/>
        </w:rPr>
        <w:t>realizar las justificaciones respectivas a las autoridades competentes</w:t>
      </w:r>
      <w:r w:rsidR="008F088A" w:rsidRPr="009D198D">
        <w:rPr>
          <w:rFonts w:ascii="Arial" w:eastAsiaTheme="minorEastAsia" w:hAnsi="Arial" w:cs="Arial"/>
          <w:sz w:val="22"/>
          <w:szCs w:val="22"/>
          <w:lang w:val="es-ES_tradnl" w:eastAsia="es-CO"/>
        </w:rPr>
        <w:t xml:space="preserve">. </w:t>
      </w:r>
    </w:p>
    <w:p w14:paraId="10EEA3C4" w14:textId="77777777" w:rsidR="00CD64A0" w:rsidRPr="009D198D" w:rsidRDefault="00CD64A0" w:rsidP="00CD64A0">
      <w:pPr>
        <w:spacing w:line="276" w:lineRule="auto"/>
        <w:ind w:firstLine="709"/>
        <w:jc w:val="both"/>
        <w:rPr>
          <w:rFonts w:ascii="Arial" w:eastAsiaTheme="minorEastAsia" w:hAnsi="Arial" w:cs="Arial"/>
          <w:sz w:val="22"/>
          <w:szCs w:val="22"/>
          <w:lang w:val="es-ES_tradnl" w:eastAsia="es-CO"/>
        </w:rPr>
      </w:pPr>
    </w:p>
    <w:p w14:paraId="6B5AEE1C" w14:textId="1417D40F" w:rsidR="00CD64A0" w:rsidRPr="009D198D" w:rsidRDefault="00920A7B" w:rsidP="00CD64A0">
      <w:pPr>
        <w:ind w:left="709" w:right="476"/>
        <w:jc w:val="both"/>
        <w:rPr>
          <w:rFonts w:ascii="Arial" w:eastAsia="Calibri" w:hAnsi="Arial" w:cs="Arial"/>
          <w:b/>
          <w:bCs/>
          <w:sz w:val="21"/>
          <w:szCs w:val="21"/>
          <w:lang w:val="es-ES_tradnl" w:eastAsia="en-US"/>
        </w:rPr>
      </w:pPr>
      <w:r w:rsidRPr="009D198D">
        <w:rPr>
          <w:rFonts w:ascii="Arial" w:eastAsia="Calibri" w:hAnsi="Arial" w:cs="Arial"/>
          <w:color w:val="000000" w:themeColor="text1"/>
          <w:sz w:val="21"/>
          <w:szCs w:val="21"/>
        </w:rPr>
        <w:t>«</w:t>
      </w:r>
      <w:r w:rsidR="00CD64A0" w:rsidRPr="009D198D">
        <w:rPr>
          <w:rFonts w:ascii="Arial" w:eastAsia="Calibri" w:hAnsi="Arial" w:cs="Arial"/>
          <w:sz w:val="21"/>
          <w:szCs w:val="21"/>
          <w:lang w:val="es-ES_tradnl" w:eastAsia="en-US"/>
        </w:rPr>
        <w:t>3</w:t>
      </w:r>
      <w:r w:rsidR="00CD64A0" w:rsidRPr="009D198D">
        <w:rPr>
          <w:rFonts w:ascii="Arial" w:eastAsia="Calibri" w:hAnsi="Arial" w:cs="Arial"/>
          <w:b/>
          <w:bCs/>
          <w:sz w:val="21"/>
          <w:szCs w:val="21"/>
          <w:lang w:val="es-ES_tradnl" w:eastAsia="en-US"/>
        </w:rPr>
        <w:t xml:space="preserve">. </w:t>
      </w:r>
      <w:r w:rsidR="00CD64A0" w:rsidRPr="009D198D">
        <w:rPr>
          <w:rFonts w:ascii="Arial" w:eastAsia="Calibri" w:hAnsi="Arial" w:cs="Arial"/>
          <w:sz w:val="21"/>
          <w:szCs w:val="21"/>
          <w:lang w:val="es-ES_tradnl" w:eastAsia="en-US"/>
        </w:rPr>
        <w:t xml:space="preserve">Acorde con la normativa del sistema del Sistema de Compra Publica y en especial lo contemplado en el Art. 34 la </w:t>
      </w:r>
      <w:proofErr w:type="spellStart"/>
      <w:r w:rsidR="00CD64A0" w:rsidRPr="009D198D">
        <w:rPr>
          <w:rFonts w:ascii="Arial" w:eastAsia="Calibri" w:hAnsi="Arial" w:cs="Arial"/>
          <w:sz w:val="21"/>
          <w:szCs w:val="21"/>
          <w:lang w:val="es-ES_tradnl" w:eastAsia="en-US"/>
        </w:rPr>
        <w:t>Iey</w:t>
      </w:r>
      <w:proofErr w:type="spellEnd"/>
      <w:r w:rsidR="00CD64A0" w:rsidRPr="009D198D">
        <w:rPr>
          <w:rFonts w:ascii="Arial" w:eastAsia="Calibri" w:hAnsi="Arial" w:cs="Arial"/>
          <w:sz w:val="21"/>
          <w:szCs w:val="21"/>
          <w:lang w:val="es-ES_tradnl" w:eastAsia="en-US"/>
        </w:rPr>
        <w:t xml:space="preserve"> 2069 de 2020 que modifica el Art. 12 de la </w:t>
      </w:r>
      <w:proofErr w:type="spellStart"/>
      <w:r w:rsidR="00CD64A0" w:rsidRPr="009D198D">
        <w:rPr>
          <w:rFonts w:ascii="Arial" w:eastAsia="Calibri" w:hAnsi="Arial" w:cs="Arial"/>
          <w:sz w:val="21"/>
          <w:szCs w:val="21"/>
          <w:lang w:val="es-ES_tradnl" w:eastAsia="en-US"/>
        </w:rPr>
        <w:t>Iey</w:t>
      </w:r>
      <w:proofErr w:type="spellEnd"/>
      <w:r w:rsidR="00CD64A0" w:rsidRPr="009D198D">
        <w:rPr>
          <w:rFonts w:ascii="Arial" w:eastAsia="Calibri" w:hAnsi="Arial" w:cs="Arial"/>
          <w:sz w:val="21"/>
          <w:szCs w:val="21"/>
          <w:lang w:val="es-ES_tradnl" w:eastAsia="en-US"/>
        </w:rPr>
        <w:t xml:space="preserve"> 1150 de 2007, de cara a lo expresado en el Art. 2.2.1.2.4.2.2 del Decreto 1082 de 2015</w:t>
      </w:r>
      <w:r w:rsidR="00CD64A0" w:rsidRPr="009D198D">
        <w:rPr>
          <w:rFonts w:ascii="Arial" w:eastAsia="Calibri" w:hAnsi="Arial" w:cs="Arial"/>
          <w:b/>
          <w:bCs/>
          <w:sz w:val="21"/>
          <w:szCs w:val="21"/>
          <w:lang w:val="es-ES_tradnl" w:eastAsia="en-US"/>
        </w:rPr>
        <w:t xml:space="preserve"> A. ¿En la actualidad, es posible limitar a MIPYMES los procesos de selección susceptibles de ello? B. Existe actualmente una derogatoria tacita del Art. 2?2.1.2.4.2.2 del Decreto 1082 de 2015 respecto a lo contemplado en el Art. 34 la </w:t>
      </w:r>
      <w:proofErr w:type="spellStart"/>
      <w:r w:rsidR="00CD64A0" w:rsidRPr="009D198D">
        <w:rPr>
          <w:rFonts w:ascii="Arial" w:eastAsia="Calibri" w:hAnsi="Arial" w:cs="Arial"/>
          <w:b/>
          <w:bCs/>
          <w:sz w:val="21"/>
          <w:szCs w:val="21"/>
          <w:lang w:val="es-ES_tradnl" w:eastAsia="en-US"/>
        </w:rPr>
        <w:t>Iey</w:t>
      </w:r>
      <w:proofErr w:type="spellEnd"/>
      <w:r w:rsidR="00CD64A0" w:rsidRPr="009D198D">
        <w:rPr>
          <w:rFonts w:ascii="Arial" w:eastAsia="Calibri" w:hAnsi="Arial" w:cs="Arial"/>
          <w:b/>
          <w:bCs/>
          <w:sz w:val="21"/>
          <w:szCs w:val="21"/>
          <w:lang w:val="es-ES_tradnl" w:eastAsia="en-US"/>
        </w:rPr>
        <w:t xml:space="preserve"> 2069 de 2020 que modifica el Art. 12 de la </w:t>
      </w:r>
      <w:proofErr w:type="spellStart"/>
      <w:r w:rsidR="00CD64A0" w:rsidRPr="009D198D">
        <w:rPr>
          <w:rFonts w:ascii="Arial" w:eastAsia="Calibri" w:hAnsi="Arial" w:cs="Arial"/>
          <w:b/>
          <w:bCs/>
          <w:sz w:val="21"/>
          <w:szCs w:val="21"/>
          <w:lang w:val="es-ES_tradnl" w:eastAsia="en-US"/>
        </w:rPr>
        <w:t>Iey</w:t>
      </w:r>
      <w:proofErr w:type="spellEnd"/>
      <w:r w:rsidR="00CD64A0" w:rsidRPr="009D198D">
        <w:rPr>
          <w:rFonts w:ascii="Arial" w:eastAsia="Calibri" w:hAnsi="Arial" w:cs="Arial"/>
          <w:b/>
          <w:bCs/>
          <w:sz w:val="21"/>
          <w:szCs w:val="21"/>
          <w:lang w:val="es-ES_tradnl" w:eastAsia="en-US"/>
        </w:rPr>
        <w:t xml:space="preserve"> 1150 de 2007?</w:t>
      </w:r>
      <w:r w:rsidRPr="009D198D">
        <w:rPr>
          <w:rFonts w:ascii="Arial" w:eastAsiaTheme="minorEastAsia" w:hAnsi="Arial" w:cs="Arial"/>
          <w:sz w:val="22"/>
          <w:szCs w:val="22"/>
          <w:lang w:val="es-ES_tradnl" w:eastAsia="es-CO"/>
        </w:rPr>
        <w:t>»</w:t>
      </w:r>
    </w:p>
    <w:p w14:paraId="5C398EA6" w14:textId="27225444" w:rsidR="00CD64A0" w:rsidRPr="009D198D" w:rsidRDefault="00CD64A0" w:rsidP="00CD64A0">
      <w:pPr>
        <w:ind w:right="476"/>
        <w:jc w:val="both"/>
        <w:rPr>
          <w:rFonts w:ascii="Arial" w:eastAsia="Calibri" w:hAnsi="Arial" w:cs="Arial"/>
          <w:b/>
          <w:bCs/>
          <w:sz w:val="21"/>
          <w:szCs w:val="21"/>
          <w:lang w:val="es-ES_tradnl" w:eastAsia="en-US"/>
        </w:rPr>
      </w:pPr>
    </w:p>
    <w:p w14:paraId="38CC8803" w14:textId="18C77A92" w:rsidR="00424E83" w:rsidRPr="009D198D" w:rsidRDefault="00424E83" w:rsidP="005A3580">
      <w:pPr>
        <w:spacing w:line="276" w:lineRule="auto"/>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 xml:space="preserve">De las consideraciones efectuadas en este concepto, puede concluirse que, además de la pérdida de fuerza ejecutoria del artículo 2.2.1.2.4.2.2 </w:t>
      </w:r>
      <w:r w:rsidR="0052623E" w:rsidRPr="009D198D">
        <w:rPr>
          <w:rFonts w:ascii="Arial" w:eastAsia="Calibri" w:hAnsi="Arial" w:cs="Arial"/>
          <w:color w:val="000000" w:themeColor="text1"/>
          <w:sz w:val="22"/>
          <w:szCs w:val="22"/>
          <w:lang w:val="es-ES_tradnl"/>
        </w:rPr>
        <w:t xml:space="preserve">original </w:t>
      </w:r>
      <w:r w:rsidRPr="009D198D">
        <w:rPr>
          <w:rFonts w:ascii="Arial" w:eastAsia="Calibri" w:hAnsi="Arial" w:cs="Arial"/>
          <w:color w:val="000000" w:themeColor="text1"/>
          <w:sz w:val="22"/>
          <w:szCs w:val="22"/>
          <w:lang w:val="es-ES_tradnl"/>
        </w:rPr>
        <w:t xml:space="preserve">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9D198D">
        <w:rPr>
          <w:rFonts w:ascii="Arial" w:eastAsia="Calibri" w:hAnsi="Arial" w:cs="Arial"/>
          <w:color w:val="000000" w:themeColor="text1"/>
          <w:sz w:val="22"/>
          <w:szCs w:val="22"/>
          <w:lang w:val="es-ES_tradnl"/>
        </w:rPr>
        <w:t>esta</w:t>
      </w:r>
      <w:proofErr w:type="spellEnd"/>
      <w:r w:rsidRPr="009D198D">
        <w:rPr>
          <w:rFonts w:ascii="Arial" w:eastAsia="Calibri" w:hAnsi="Arial" w:cs="Arial"/>
          <w:color w:val="000000" w:themeColor="text1"/>
          <w:sz w:val="22"/>
          <w:szCs w:val="22"/>
          <w:lang w:val="es-ES_tradnl"/>
        </w:rPr>
        <w:t xml:space="preserve"> «deroga […] todas las disposiciones que le sean contrarias». Por ello, puede afirmarse que, además del decaimiento del artículo 2.2.1.2.4.2.2. del Decreto 1082 de 2015, debe entenderse derogado. </w:t>
      </w:r>
    </w:p>
    <w:p w14:paraId="1355D900" w14:textId="548CF712" w:rsidR="001770FF" w:rsidRPr="009D198D" w:rsidRDefault="00F14654" w:rsidP="00D6589A">
      <w:pPr>
        <w:spacing w:before="120" w:line="276" w:lineRule="auto"/>
        <w:ind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 xml:space="preserve">Además, </w:t>
      </w:r>
      <w:r w:rsidR="001770FF" w:rsidRPr="009D198D">
        <w:rPr>
          <w:rFonts w:ascii="Arial" w:eastAsia="Calibri" w:hAnsi="Arial" w:cs="Arial"/>
          <w:color w:val="000000" w:themeColor="text1"/>
          <w:sz w:val="22"/>
          <w:szCs w:val="22"/>
          <w:lang w:val="es-ES_tradnl"/>
        </w:rPr>
        <w:t xml:space="preserve">no es válido aducir que los apartados normativos del artículo 2.2.1.2.4.2.2. </w:t>
      </w:r>
      <w:r w:rsidR="0052623E" w:rsidRPr="009D198D">
        <w:rPr>
          <w:rFonts w:ascii="Arial" w:eastAsia="Calibri" w:hAnsi="Arial" w:cs="Arial"/>
          <w:color w:val="000000" w:themeColor="text1"/>
          <w:sz w:val="22"/>
          <w:szCs w:val="22"/>
          <w:lang w:val="es-ES_tradnl"/>
        </w:rPr>
        <w:t xml:space="preserve">original </w:t>
      </w:r>
      <w:r w:rsidR="001770FF" w:rsidRPr="009D198D">
        <w:rPr>
          <w:rFonts w:ascii="Arial" w:eastAsia="Calibri" w:hAnsi="Arial" w:cs="Arial"/>
          <w:color w:val="000000" w:themeColor="text1"/>
          <w:sz w:val="22"/>
          <w:szCs w:val="22"/>
          <w:lang w:val="es-ES_tradnl"/>
        </w:rPr>
        <w:t xml:space="preserve">del Decreto 1082 de 2015 que, en su texto, no sean contrarios a la nueva regulación </w:t>
      </w:r>
      <w:r w:rsidR="001770FF" w:rsidRPr="009D198D">
        <w:rPr>
          <w:rFonts w:ascii="Arial" w:eastAsia="Calibri" w:hAnsi="Arial" w:cs="Arial"/>
          <w:color w:val="000000" w:themeColor="text1"/>
          <w:sz w:val="22"/>
          <w:szCs w:val="22"/>
          <w:lang w:val="es-ES_tradnl"/>
        </w:rPr>
        <w:lastRenderedPageBreak/>
        <w:t xml:space="preserve">contenida en el artículo 34 de la Ley 2069 de 2020 pueden seguirse aplicando. Esta afirmación no es admisible, porque el artículo 34, reiteradamente, señala que el gobierno nacional debe definir las condiciones para la aplicación de las reglas expedidas, que permitan llevar a cabo las convocatorias limitadas a </w:t>
      </w:r>
      <w:proofErr w:type="spellStart"/>
      <w:r w:rsidR="001770FF" w:rsidRPr="009D198D">
        <w:rPr>
          <w:rFonts w:ascii="Arial" w:eastAsia="Calibri" w:hAnsi="Arial" w:cs="Arial"/>
          <w:color w:val="000000" w:themeColor="text1"/>
          <w:sz w:val="22"/>
          <w:szCs w:val="22"/>
          <w:lang w:val="es-ES_tradnl"/>
        </w:rPr>
        <w:t>Mipymes</w:t>
      </w:r>
      <w:proofErr w:type="spellEnd"/>
      <w:r w:rsidR="001770FF" w:rsidRPr="009D198D">
        <w:rPr>
          <w:rFonts w:ascii="Arial" w:eastAsia="Calibri" w:hAnsi="Arial" w:cs="Arial"/>
          <w:color w:val="000000" w:themeColor="text1"/>
          <w:sz w:val="22"/>
          <w:szCs w:val="22"/>
          <w:lang w:val="es-ES_tradnl"/>
        </w:rPr>
        <w:t xml:space="preserve">, lo cual demuestra la voluntad legislativa de establecer la necesidad de una nueva reglamentación de la materia. En tal sentido, las entidades estatales, los patrimonios autónomos constituidos por estas y los particulares que ejecuten recursos públicos, </w:t>
      </w:r>
      <w:r w:rsidR="0052623E" w:rsidRPr="009D198D">
        <w:rPr>
          <w:rFonts w:ascii="Arial" w:eastAsia="Calibri" w:hAnsi="Arial" w:cs="Arial"/>
          <w:color w:val="000000" w:themeColor="text1"/>
          <w:sz w:val="22"/>
          <w:szCs w:val="22"/>
          <w:lang w:val="es-ES_tradnl"/>
        </w:rPr>
        <w:t xml:space="preserve">actualmente </w:t>
      </w:r>
      <w:r w:rsidR="00D6589A" w:rsidRPr="009D198D">
        <w:rPr>
          <w:rFonts w:ascii="Arial" w:eastAsia="Calibri" w:hAnsi="Arial" w:cs="Arial"/>
          <w:color w:val="000000" w:themeColor="text1"/>
          <w:sz w:val="22"/>
          <w:szCs w:val="22"/>
          <w:lang w:val="es-ES_tradnl"/>
        </w:rPr>
        <w:t>no</w:t>
      </w:r>
      <w:r w:rsidR="001770FF" w:rsidRPr="009D198D">
        <w:rPr>
          <w:rFonts w:ascii="Arial" w:eastAsia="Calibri" w:hAnsi="Arial" w:cs="Arial"/>
          <w:color w:val="000000" w:themeColor="text1"/>
          <w:sz w:val="22"/>
          <w:szCs w:val="22"/>
          <w:lang w:val="es-ES_tradnl"/>
        </w:rPr>
        <w:t xml:space="preserve"> pueden adoptar convocatorias limitadas a </w:t>
      </w:r>
      <w:proofErr w:type="spellStart"/>
      <w:r w:rsidR="001770FF" w:rsidRPr="009D198D">
        <w:rPr>
          <w:rFonts w:ascii="Arial" w:eastAsia="Calibri" w:hAnsi="Arial" w:cs="Arial"/>
          <w:color w:val="000000" w:themeColor="text1"/>
          <w:sz w:val="22"/>
          <w:szCs w:val="22"/>
          <w:lang w:val="es-ES_tradnl"/>
        </w:rPr>
        <w:t>Mipymes</w:t>
      </w:r>
      <w:proofErr w:type="spellEnd"/>
      <w:r w:rsidR="001770FF" w:rsidRPr="009D198D">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00B7377E" w:rsidRPr="009D198D">
        <w:rPr>
          <w:rFonts w:ascii="Arial" w:eastAsia="Calibri" w:hAnsi="Arial" w:cs="Arial"/>
          <w:color w:val="000000" w:themeColor="text1"/>
          <w:sz w:val="22"/>
          <w:szCs w:val="22"/>
          <w:lang w:val="es-ES_tradnl"/>
        </w:rPr>
        <w:t xml:space="preserve">  </w:t>
      </w:r>
    </w:p>
    <w:p w14:paraId="672E27ED" w14:textId="7F32C7A5" w:rsidR="00EE3740" w:rsidRPr="009D198D" w:rsidRDefault="001770FF" w:rsidP="00EE3740">
      <w:pPr>
        <w:spacing w:before="120" w:line="276" w:lineRule="auto"/>
        <w:ind w:firstLine="709"/>
        <w:jc w:val="both"/>
        <w:rPr>
          <w:rFonts w:ascii="Arial" w:eastAsia="Arial" w:hAnsi="Arial" w:cs="Arial"/>
          <w:bCs/>
          <w:sz w:val="22"/>
          <w:szCs w:val="22"/>
          <w:lang w:val="es-ES_tradnl" w:eastAsia="es-ES" w:bidi="es-ES"/>
        </w:rPr>
      </w:pPr>
      <w:r w:rsidRPr="009D198D">
        <w:rPr>
          <w:rFonts w:ascii="Arial" w:hAnsi="Arial" w:cs="Arial"/>
          <w:color w:val="000000" w:themeColor="text1"/>
          <w:sz w:val="22"/>
          <w:szCs w:val="22"/>
          <w:lang w:val="es-ES_tradnl"/>
        </w:rPr>
        <w:t xml:space="preserve">A este respecto, es necesario precisar que en desarrollo de la Ley 2069 de 2020 </w:t>
      </w:r>
      <w:r w:rsidR="0061389C" w:rsidRPr="009D198D">
        <w:rPr>
          <w:rFonts w:ascii="Arial" w:hAnsi="Arial" w:cs="Arial"/>
          <w:color w:val="000000" w:themeColor="text1"/>
          <w:sz w:val="22"/>
          <w:szCs w:val="22"/>
          <w:lang w:val="es-ES_tradnl"/>
        </w:rPr>
        <w:t xml:space="preserve">se </w:t>
      </w:r>
      <w:r w:rsidRPr="009D198D">
        <w:rPr>
          <w:rFonts w:ascii="Arial" w:hAnsi="Arial" w:cs="Arial"/>
          <w:color w:val="000000" w:themeColor="text1"/>
          <w:sz w:val="22"/>
          <w:szCs w:val="22"/>
          <w:lang w:val="es-ES_tradnl"/>
        </w:rPr>
        <w:t xml:space="preserve">expidió el Decreto </w:t>
      </w:r>
      <w:r w:rsidRPr="009D198D">
        <w:rPr>
          <w:rFonts w:ascii="Arial" w:hAnsi="Arial" w:cs="Arial"/>
          <w:color w:val="000000" w:themeColor="text1"/>
          <w:sz w:val="22"/>
          <w:szCs w:val="22"/>
          <w:lang w:val="es-MX"/>
        </w:rPr>
        <w:t>1860 del 24 de diciembre de 2021</w:t>
      </w:r>
      <w:r w:rsidRPr="009D198D">
        <w:rPr>
          <w:rFonts w:ascii="Arial" w:hAnsi="Arial" w:cs="Arial"/>
          <w:color w:val="000000" w:themeColor="text1"/>
          <w:sz w:val="22"/>
          <w:szCs w:val="22"/>
          <w:lang w:val="es-ES_tradnl"/>
        </w:rPr>
        <w:t xml:space="preserve"> mediante el cual se reglamentan los artículos 30,</w:t>
      </w:r>
      <w:r w:rsidRPr="009D198D">
        <w:rPr>
          <w:rFonts w:ascii="Arial" w:hAnsi="Arial" w:cs="Arial"/>
          <w:color w:val="000000" w:themeColor="text1"/>
          <w:sz w:val="19"/>
          <w:szCs w:val="19"/>
          <w:lang w:val="es-MX"/>
        </w:rPr>
        <w:t xml:space="preserve"> </w:t>
      </w:r>
      <w:r w:rsidRPr="009D198D">
        <w:rPr>
          <w:rFonts w:ascii="Arial" w:hAnsi="Arial" w:cs="Arial"/>
          <w:color w:val="000000" w:themeColor="text1"/>
          <w:sz w:val="22"/>
          <w:szCs w:val="22"/>
          <w:lang w:val="es-MX"/>
        </w:rPr>
        <w:t>31, 32, 34 y 35 de la Ley 2069 de 2020, en lo relativo al sistema de compras públicas</w:t>
      </w:r>
      <w:r w:rsidR="00D6589A" w:rsidRPr="009D198D">
        <w:rPr>
          <w:rFonts w:ascii="Arial" w:hAnsi="Arial" w:cs="Arial"/>
          <w:color w:val="000000" w:themeColor="text1"/>
          <w:sz w:val="22"/>
          <w:szCs w:val="22"/>
          <w:lang w:val="es-MX"/>
        </w:rPr>
        <w:t>, cuyo artículo 5</w:t>
      </w:r>
      <w:r w:rsidR="002C6C6E" w:rsidRPr="009D198D">
        <w:rPr>
          <w:rFonts w:ascii="Arial" w:eastAsia="Calibri" w:hAnsi="Arial" w:cs="Arial"/>
          <w:color w:val="000000" w:themeColor="text1"/>
          <w:sz w:val="22"/>
          <w:szCs w:val="22"/>
          <w:lang w:val="es-ES_tradnl"/>
        </w:rPr>
        <w:t xml:space="preserve"> modificó los artículos 2.2.1.2.4.2.2., 2.2.1.2.4.2.3. y 2.2.1.2.4.2.4. del Decreto 1082 de 2015 </w:t>
      </w:r>
      <w:r w:rsidR="002C6C6E" w:rsidRPr="009D198D">
        <w:rPr>
          <w:rFonts w:ascii="Arial" w:hAnsi="Arial" w:cs="Arial"/>
          <w:color w:val="000000" w:themeColor="text1"/>
          <w:sz w:val="22"/>
          <w:szCs w:val="22"/>
          <w:lang w:val="es-MX"/>
        </w:rPr>
        <w:t xml:space="preserve">determinó </w:t>
      </w:r>
      <w:r w:rsidR="002C6C6E" w:rsidRPr="009D198D">
        <w:rPr>
          <w:rFonts w:ascii="Arial" w:hAnsi="Arial" w:cs="Arial"/>
          <w:color w:val="000000" w:themeColor="text1"/>
          <w:sz w:val="22"/>
          <w:szCs w:val="22"/>
        </w:rPr>
        <w:t xml:space="preserve">las condiciones y los montos para la adopción de convocatorias limitadas a </w:t>
      </w:r>
      <w:proofErr w:type="spellStart"/>
      <w:r w:rsidR="002C6C6E" w:rsidRPr="009D198D">
        <w:rPr>
          <w:rFonts w:ascii="Arial" w:hAnsi="Arial" w:cs="Arial"/>
          <w:color w:val="000000" w:themeColor="text1"/>
          <w:sz w:val="22"/>
          <w:szCs w:val="22"/>
        </w:rPr>
        <w:t>Mipyme</w:t>
      </w:r>
      <w:proofErr w:type="spellEnd"/>
      <w:r w:rsidR="002C6C6E" w:rsidRPr="009D198D">
        <w:rPr>
          <w:rFonts w:ascii="Arial" w:hAnsi="Arial" w:cs="Arial"/>
          <w:color w:val="000000" w:themeColor="text1"/>
          <w:sz w:val="22"/>
          <w:szCs w:val="22"/>
        </w:rPr>
        <w:t xml:space="preserve">, las limitaciones territoriales y la acreditación de los requisitos para participar en convocatorias limitadas. Sin embargo, conforme al artículo 8 las disposiciones contenidas en dicho decreto se aplicarán a los procedimientos de selección cuya invitación, aviso de convocatoria o documento equivalente se publique a los tres (3) meses contados a partir de su expedición. Por tanto, las convocatorias limitadas a </w:t>
      </w:r>
      <w:proofErr w:type="spellStart"/>
      <w:r w:rsidR="002C6C6E" w:rsidRPr="009D198D">
        <w:rPr>
          <w:rFonts w:ascii="Arial" w:hAnsi="Arial" w:cs="Arial"/>
          <w:color w:val="000000" w:themeColor="text1"/>
          <w:sz w:val="22"/>
          <w:szCs w:val="22"/>
        </w:rPr>
        <w:t>Mipyme</w:t>
      </w:r>
      <w:proofErr w:type="spellEnd"/>
      <w:r w:rsidR="002C6C6E" w:rsidRPr="009D198D">
        <w:rPr>
          <w:rFonts w:ascii="Arial" w:hAnsi="Arial" w:cs="Arial"/>
          <w:color w:val="000000" w:themeColor="text1"/>
          <w:sz w:val="22"/>
          <w:szCs w:val="22"/>
        </w:rPr>
        <w:t xml:space="preserve"> establecida en este Decreto deberá ser aplicada a los procedimientos de selección cuya invitación, aviso de convocatoria o documento equivalente se publique con posterioridad al 24 de marzo de 2022.</w:t>
      </w:r>
    </w:p>
    <w:p w14:paraId="333F02A9" w14:textId="5A21FF73" w:rsidR="001770FF" w:rsidRPr="009D198D" w:rsidRDefault="001770FF" w:rsidP="0061389C">
      <w:pPr>
        <w:spacing w:before="120" w:line="276" w:lineRule="auto"/>
        <w:ind w:firstLine="709"/>
        <w:jc w:val="both"/>
        <w:rPr>
          <w:rFonts w:ascii="Arial" w:eastAsia="Arial" w:hAnsi="Arial" w:cs="Arial"/>
          <w:bCs/>
          <w:sz w:val="22"/>
          <w:szCs w:val="22"/>
          <w:lang w:val="es-ES_tradnl" w:eastAsia="es-ES" w:bidi="es-ES"/>
        </w:rPr>
      </w:pPr>
      <w:r w:rsidRPr="009D198D">
        <w:rPr>
          <w:rFonts w:ascii="Arial" w:eastAsia="Arial" w:hAnsi="Arial" w:cs="Arial"/>
          <w:bCs/>
          <w:sz w:val="22"/>
          <w:szCs w:val="22"/>
          <w:lang w:val="es-ES_tradnl" w:eastAsia="es-ES" w:bidi="es-ES"/>
        </w:rPr>
        <w:t xml:space="preserve">Así las cosas, actualmente las entidades estatales, los patrimonios autónomos constituidos por estas y los particulares que ejecuten recursos públicos, no pueden adoptar convocatorias limitadas a </w:t>
      </w:r>
      <w:proofErr w:type="spellStart"/>
      <w:r w:rsidRPr="009D198D">
        <w:rPr>
          <w:rFonts w:ascii="Arial" w:eastAsia="Arial" w:hAnsi="Arial" w:cs="Arial"/>
          <w:bCs/>
          <w:sz w:val="22"/>
          <w:szCs w:val="22"/>
          <w:lang w:val="es-ES_tradnl" w:eastAsia="es-ES" w:bidi="es-ES"/>
        </w:rPr>
        <w:t>Mipymes</w:t>
      </w:r>
      <w:proofErr w:type="spellEnd"/>
      <w:r w:rsidR="0052623E" w:rsidRPr="009D198D">
        <w:rPr>
          <w:rFonts w:ascii="Arial" w:eastAsia="Arial" w:hAnsi="Arial" w:cs="Arial"/>
          <w:bCs/>
          <w:sz w:val="22"/>
          <w:szCs w:val="22"/>
          <w:lang w:val="es-ES_tradnl" w:eastAsia="es-ES" w:bidi="es-ES"/>
        </w:rPr>
        <w:t>,</w:t>
      </w:r>
      <w:r w:rsidRPr="009D198D">
        <w:rPr>
          <w:rFonts w:ascii="Arial" w:eastAsia="Arial" w:hAnsi="Arial" w:cs="Arial"/>
          <w:bCs/>
          <w:sz w:val="22"/>
          <w:szCs w:val="22"/>
          <w:lang w:val="es-ES_tradnl" w:eastAsia="es-ES" w:bidi="es-ES"/>
        </w:rPr>
        <w:t xml:space="preserve"> puesto que el artículo 5 de</w:t>
      </w:r>
      <w:r w:rsidR="0052623E" w:rsidRPr="009D198D">
        <w:rPr>
          <w:rFonts w:ascii="Arial" w:eastAsia="Arial" w:hAnsi="Arial" w:cs="Arial"/>
          <w:bCs/>
          <w:sz w:val="22"/>
          <w:szCs w:val="22"/>
          <w:lang w:val="es-ES_tradnl" w:eastAsia="es-ES" w:bidi="es-ES"/>
        </w:rPr>
        <w:t xml:space="preserve">l Decreto </w:t>
      </w:r>
      <w:r w:rsidRPr="009D198D">
        <w:rPr>
          <w:rFonts w:ascii="Arial" w:eastAsia="Arial" w:hAnsi="Arial" w:cs="Arial"/>
          <w:bCs/>
          <w:sz w:val="22"/>
          <w:szCs w:val="22"/>
          <w:lang w:val="es-ES_tradnl" w:eastAsia="es-ES" w:bidi="es-ES"/>
        </w:rPr>
        <w:t>1860 de 2021</w:t>
      </w:r>
      <w:r w:rsidR="0052623E" w:rsidRPr="009D198D">
        <w:rPr>
          <w:rFonts w:ascii="Arial" w:eastAsia="Arial" w:hAnsi="Arial" w:cs="Arial"/>
          <w:bCs/>
          <w:sz w:val="22"/>
          <w:szCs w:val="22"/>
          <w:lang w:val="es-ES_tradnl" w:eastAsia="es-ES" w:bidi="es-ES"/>
        </w:rPr>
        <w:t>,</w:t>
      </w:r>
      <w:r w:rsidRPr="009D198D">
        <w:rPr>
          <w:rFonts w:ascii="Arial" w:eastAsia="Arial" w:hAnsi="Arial" w:cs="Arial"/>
          <w:bCs/>
          <w:sz w:val="22"/>
          <w:szCs w:val="22"/>
          <w:lang w:val="es-ES_tradnl" w:eastAsia="es-ES" w:bidi="es-ES"/>
        </w:rPr>
        <w:t xml:space="preserve"> que modificó el artículo 2.2.1.2.4.2.2 del Decreto 1082 de 2015</w:t>
      </w:r>
      <w:r w:rsidR="0052623E" w:rsidRPr="009D198D">
        <w:rPr>
          <w:rFonts w:ascii="Arial" w:eastAsia="Arial" w:hAnsi="Arial" w:cs="Arial"/>
          <w:bCs/>
          <w:sz w:val="22"/>
          <w:szCs w:val="22"/>
          <w:lang w:val="es-ES_tradnl" w:eastAsia="es-ES" w:bidi="es-ES"/>
        </w:rPr>
        <w:t>,</w:t>
      </w:r>
      <w:r w:rsidRPr="009D198D">
        <w:rPr>
          <w:rFonts w:ascii="Arial" w:eastAsia="Arial" w:hAnsi="Arial" w:cs="Arial"/>
          <w:bCs/>
          <w:sz w:val="22"/>
          <w:szCs w:val="22"/>
          <w:lang w:val="es-ES_tradnl" w:eastAsia="es-ES" w:bidi="es-ES"/>
        </w:rPr>
        <w:t xml:space="preserve"> </w:t>
      </w:r>
      <w:proofErr w:type="gramStart"/>
      <w:r w:rsidRPr="009D198D">
        <w:rPr>
          <w:rFonts w:ascii="Arial" w:eastAsia="Arial" w:hAnsi="Arial" w:cs="Arial"/>
          <w:bCs/>
          <w:sz w:val="22"/>
          <w:szCs w:val="22"/>
          <w:lang w:val="es-ES_tradnl" w:eastAsia="es-ES" w:bidi="es-ES"/>
        </w:rPr>
        <w:t>entrará en vigencia</w:t>
      </w:r>
      <w:proofErr w:type="gramEnd"/>
      <w:r w:rsidRPr="009D198D">
        <w:rPr>
          <w:rFonts w:ascii="Arial" w:eastAsia="Arial" w:hAnsi="Arial" w:cs="Arial"/>
          <w:bCs/>
          <w:sz w:val="22"/>
          <w:szCs w:val="22"/>
          <w:lang w:val="es-ES_tradnl" w:eastAsia="es-ES" w:bidi="es-ES"/>
        </w:rPr>
        <w:t xml:space="preserve"> para</w:t>
      </w:r>
      <w:r w:rsidRPr="009D198D">
        <w:rPr>
          <w:rFonts w:ascii="Arial" w:hAnsi="Arial" w:cs="Arial"/>
          <w:color w:val="000000" w:themeColor="text1"/>
          <w:sz w:val="22"/>
          <w:szCs w:val="22"/>
        </w:rPr>
        <w:t xml:space="preserve"> los procedimientos de selección cuya invitación, aviso de convocatoria o documento equivalente se publique</w:t>
      </w:r>
      <w:r w:rsidRPr="009D198D">
        <w:rPr>
          <w:rFonts w:ascii="Arial" w:eastAsia="Arial" w:hAnsi="Arial" w:cs="Arial"/>
          <w:bCs/>
          <w:sz w:val="22"/>
          <w:szCs w:val="22"/>
          <w:lang w:val="es-ES_tradnl" w:eastAsia="es-ES" w:bidi="es-ES"/>
        </w:rPr>
        <w:t xml:space="preserve"> a partir del 24 de marzo de 2022. </w:t>
      </w:r>
    </w:p>
    <w:p w14:paraId="4296D4C6" w14:textId="77777777" w:rsidR="00B32D0F" w:rsidRPr="009D198D" w:rsidRDefault="00B32D0F" w:rsidP="002B4DBC">
      <w:pPr>
        <w:ind w:right="476"/>
        <w:jc w:val="both"/>
        <w:rPr>
          <w:rFonts w:ascii="Arial" w:eastAsia="Calibri" w:hAnsi="Arial" w:cs="Arial"/>
          <w:b/>
          <w:sz w:val="21"/>
          <w:szCs w:val="21"/>
          <w:lang w:eastAsia="en-US"/>
        </w:rPr>
      </w:pPr>
    </w:p>
    <w:p w14:paraId="2F6D942F" w14:textId="6CBC4B8D" w:rsidR="00B32D0F" w:rsidRPr="009D198D" w:rsidRDefault="00920A7B" w:rsidP="00B32D0F">
      <w:pPr>
        <w:ind w:left="709" w:right="476"/>
        <w:jc w:val="both"/>
        <w:rPr>
          <w:rFonts w:ascii="Arial" w:eastAsia="Calibri" w:hAnsi="Arial" w:cs="Arial"/>
          <w:sz w:val="21"/>
          <w:szCs w:val="21"/>
          <w:lang w:val="es-ES_tradnl" w:eastAsia="en-US"/>
        </w:rPr>
      </w:pPr>
      <w:r w:rsidRPr="009D198D">
        <w:rPr>
          <w:rFonts w:ascii="Arial" w:eastAsia="Calibri" w:hAnsi="Arial" w:cs="Arial"/>
          <w:color w:val="000000" w:themeColor="text1"/>
          <w:sz w:val="21"/>
          <w:szCs w:val="21"/>
        </w:rPr>
        <w:t>«</w:t>
      </w:r>
      <w:r w:rsidR="00B32D0F" w:rsidRPr="009D198D">
        <w:rPr>
          <w:rFonts w:ascii="Arial" w:eastAsia="Calibri" w:hAnsi="Arial" w:cs="Arial"/>
          <w:sz w:val="21"/>
          <w:szCs w:val="21"/>
          <w:lang w:val="es-ES_tradnl" w:eastAsia="en-US"/>
        </w:rPr>
        <w:t xml:space="preserve">4. El Art. 2.2.1.1.1.7.1. del Decreto 1082-20 15 que establece: “La Entidad Estatal está obligada a publicar en el SECOP los </w:t>
      </w:r>
      <w:r w:rsidR="00B32D0F" w:rsidRPr="009D198D">
        <w:rPr>
          <w:rFonts w:ascii="Arial" w:eastAsia="Calibri" w:hAnsi="Arial" w:cs="Arial"/>
          <w:b/>
          <w:bCs/>
          <w:sz w:val="21"/>
          <w:szCs w:val="21"/>
          <w:u w:val="single"/>
          <w:lang w:val="es-ES_tradnl" w:eastAsia="en-US"/>
        </w:rPr>
        <w:t>Documentos del Proceso</w:t>
      </w:r>
      <w:r w:rsidR="00B32D0F" w:rsidRPr="009D198D">
        <w:rPr>
          <w:rFonts w:ascii="Arial" w:eastAsia="Calibri" w:hAnsi="Arial" w:cs="Arial"/>
          <w:sz w:val="21"/>
          <w:szCs w:val="21"/>
          <w:lang w:val="es-ES_tradnl" w:eastAsia="en-US"/>
        </w:rPr>
        <w:t xml:space="preserve"> y </w:t>
      </w:r>
      <w:r w:rsidR="00B32D0F" w:rsidRPr="009D198D">
        <w:rPr>
          <w:rFonts w:ascii="Arial" w:eastAsia="Calibri" w:hAnsi="Arial" w:cs="Arial"/>
          <w:b/>
          <w:bCs/>
          <w:sz w:val="21"/>
          <w:szCs w:val="21"/>
          <w:u w:val="single"/>
          <w:lang w:val="es-ES_tradnl" w:eastAsia="en-US"/>
        </w:rPr>
        <w:t>los actos administrativos del Proceso de Contratación</w:t>
      </w:r>
      <w:r w:rsidR="00B32D0F" w:rsidRPr="009D198D">
        <w:rPr>
          <w:rFonts w:ascii="Arial" w:eastAsia="Calibri" w:hAnsi="Arial" w:cs="Arial"/>
          <w:sz w:val="21"/>
          <w:szCs w:val="21"/>
          <w:lang w:val="es-ES_tradnl" w:eastAsia="en-US"/>
        </w:rPr>
        <w:t xml:space="preserve">, </w:t>
      </w:r>
      <w:r w:rsidR="00B32D0F" w:rsidRPr="009D198D">
        <w:rPr>
          <w:rFonts w:ascii="Arial" w:eastAsia="Calibri" w:hAnsi="Arial" w:cs="Arial"/>
          <w:sz w:val="21"/>
          <w:szCs w:val="21"/>
          <w:u w:val="single"/>
          <w:lang w:val="es-ES_tradnl" w:eastAsia="en-US"/>
        </w:rPr>
        <w:t>dentro de los tres (3) días siguientes a</w:t>
      </w:r>
      <w:r w:rsidR="00B32D0F" w:rsidRPr="009D198D">
        <w:rPr>
          <w:rFonts w:ascii="Arial" w:eastAsia="Calibri" w:hAnsi="Arial" w:cs="Arial"/>
          <w:sz w:val="21"/>
          <w:szCs w:val="21"/>
          <w:lang w:val="es-ES_tradnl" w:eastAsia="en-US"/>
        </w:rPr>
        <w:t xml:space="preserve"> </w:t>
      </w:r>
      <w:r w:rsidR="00B32D0F" w:rsidRPr="009D198D">
        <w:rPr>
          <w:rFonts w:ascii="Arial" w:eastAsia="Calibri" w:hAnsi="Arial" w:cs="Arial"/>
          <w:b/>
          <w:bCs/>
          <w:sz w:val="21"/>
          <w:szCs w:val="21"/>
          <w:u w:val="single"/>
          <w:lang w:val="es-ES_tradnl" w:eastAsia="en-US"/>
        </w:rPr>
        <w:t>su expedición</w:t>
      </w:r>
      <w:r w:rsidR="00B32D0F" w:rsidRPr="009D198D">
        <w:rPr>
          <w:rFonts w:ascii="Arial" w:eastAsia="Calibri" w:hAnsi="Arial" w:cs="Arial"/>
          <w:sz w:val="21"/>
          <w:szCs w:val="21"/>
          <w:lang w:val="es-ES_tradnl" w:eastAsia="en-US"/>
        </w:rPr>
        <w:t>. La oferta que debe ser publicada es la del adjudicatario del Proceso de Contratación. Los documentos de las operaciones que se realicen en bolsa de productos no tienen que ser publicados en el SECOP”.</w:t>
      </w:r>
    </w:p>
    <w:p w14:paraId="19DAAA44" w14:textId="77777777" w:rsidR="00B32D0F" w:rsidRPr="009D198D" w:rsidRDefault="00B32D0F" w:rsidP="00B32D0F">
      <w:pPr>
        <w:ind w:left="709" w:right="476"/>
        <w:jc w:val="both"/>
        <w:rPr>
          <w:rFonts w:ascii="Arial" w:eastAsia="Calibri" w:hAnsi="Arial" w:cs="Arial"/>
          <w:sz w:val="21"/>
          <w:szCs w:val="21"/>
          <w:lang w:val="es-ES_tradnl" w:eastAsia="en-US"/>
        </w:rPr>
      </w:pPr>
    </w:p>
    <w:p w14:paraId="74C2A859" w14:textId="52644E6D" w:rsidR="00B32D0F" w:rsidRPr="009D198D" w:rsidRDefault="00B32D0F" w:rsidP="00B32D0F">
      <w:pPr>
        <w:ind w:left="709" w:right="476"/>
        <w:jc w:val="both"/>
        <w:rPr>
          <w:rFonts w:ascii="Arial" w:eastAsia="Calibri" w:hAnsi="Arial" w:cs="Arial"/>
          <w:sz w:val="21"/>
          <w:szCs w:val="21"/>
          <w:u w:val="single"/>
          <w:lang w:val="es-ES_tradnl" w:eastAsia="en-US"/>
        </w:rPr>
      </w:pPr>
      <w:r w:rsidRPr="009D198D">
        <w:rPr>
          <w:rFonts w:ascii="Arial" w:eastAsia="Calibri" w:hAnsi="Arial" w:cs="Arial"/>
          <w:sz w:val="21"/>
          <w:szCs w:val="21"/>
          <w:lang w:val="es-ES_tradnl" w:eastAsia="en-US"/>
        </w:rPr>
        <w:t xml:space="preserve">De acuerdo con las definiciones del Art. 2.2.1.1.1.1 del Decreto 1082-2015 los </w:t>
      </w:r>
      <w:r w:rsidRPr="009D198D">
        <w:rPr>
          <w:rFonts w:ascii="Arial" w:eastAsia="Calibri" w:hAnsi="Arial" w:cs="Arial"/>
          <w:b/>
          <w:bCs/>
          <w:sz w:val="21"/>
          <w:szCs w:val="21"/>
          <w:u w:val="single"/>
          <w:lang w:val="es-ES_tradnl" w:eastAsia="en-US"/>
        </w:rPr>
        <w:t>documentos del proceso</w:t>
      </w:r>
      <w:r w:rsidRPr="009D198D">
        <w:rPr>
          <w:rFonts w:ascii="Arial" w:eastAsia="Calibri" w:hAnsi="Arial" w:cs="Arial"/>
          <w:sz w:val="21"/>
          <w:szCs w:val="21"/>
          <w:lang w:val="es-ES_tradnl" w:eastAsia="en-US"/>
        </w:rPr>
        <w:t xml:space="preserve"> que la entidad debe publicar son taxativos, tal como se proceden a enunciar: </w:t>
      </w:r>
      <w:r w:rsidRPr="009D198D">
        <w:rPr>
          <w:rFonts w:ascii="Arial" w:eastAsia="Calibri" w:hAnsi="Arial" w:cs="Arial"/>
          <w:b/>
          <w:bCs/>
          <w:sz w:val="21"/>
          <w:szCs w:val="21"/>
          <w:lang w:val="es-ES_tradnl" w:eastAsia="en-US"/>
        </w:rPr>
        <w:t>(a)</w:t>
      </w:r>
      <w:r w:rsidRPr="009D198D">
        <w:rPr>
          <w:rFonts w:ascii="Arial" w:eastAsia="Calibri" w:hAnsi="Arial" w:cs="Arial"/>
          <w:sz w:val="21"/>
          <w:szCs w:val="21"/>
          <w:lang w:val="es-ES_tradnl" w:eastAsia="en-US"/>
        </w:rPr>
        <w:t xml:space="preserve"> los estudios y documentos previos; </w:t>
      </w:r>
      <w:r w:rsidRPr="009D198D">
        <w:rPr>
          <w:rFonts w:ascii="Arial" w:eastAsia="Calibri" w:hAnsi="Arial" w:cs="Arial"/>
          <w:b/>
          <w:bCs/>
          <w:sz w:val="21"/>
          <w:szCs w:val="21"/>
          <w:lang w:val="es-ES_tradnl" w:eastAsia="en-US"/>
        </w:rPr>
        <w:t>(b)</w:t>
      </w:r>
      <w:r w:rsidRPr="009D198D">
        <w:rPr>
          <w:rFonts w:ascii="Arial" w:eastAsia="Calibri" w:hAnsi="Arial" w:cs="Arial"/>
          <w:sz w:val="21"/>
          <w:szCs w:val="21"/>
          <w:lang w:val="es-ES_tradnl" w:eastAsia="en-US"/>
        </w:rPr>
        <w:t xml:space="preserve"> el aviso de convocatoria; </w:t>
      </w:r>
      <w:r w:rsidRPr="009D198D">
        <w:rPr>
          <w:rFonts w:ascii="Arial" w:eastAsia="Calibri" w:hAnsi="Arial" w:cs="Arial"/>
          <w:b/>
          <w:bCs/>
          <w:sz w:val="21"/>
          <w:szCs w:val="21"/>
          <w:lang w:val="es-ES_tradnl" w:eastAsia="en-US"/>
        </w:rPr>
        <w:t>(c)</w:t>
      </w:r>
      <w:r w:rsidRPr="009D198D">
        <w:rPr>
          <w:rFonts w:ascii="Arial" w:eastAsia="Calibri" w:hAnsi="Arial" w:cs="Arial"/>
          <w:sz w:val="21"/>
          <w:szCs w:val="21"/>
          <w:lang w:val="es-ES_tradnl" w:eastAsia="en-US"/>
        </w:rPr>
        <w:t xml:space="preserve"> los pliegos de condiciones o la invitación</w:t>
      </w:r>
      <w:r w:rsidRPr="009D198D">
        <w:rPr>
          <w:rFonts w:ascii="Arial" w:eastAsia="Calibri" w:hAnsi="Arial" w:cs="Arial"/>
          <w:b/>
          <w:bCs/>
          <w:sz w:val="21"/>
          <w:szCs w:val="21"/>
          <w:lang w:val="es-ES_tradnl" w:eastAsia="en-US"/>
        </w:rPr>
        <w:t>; (d)</w:t>
      </w:r>
      <w:r w:rsidRPr="009D198D">
        <w:rPr>
          <w:rFonts w:ascii="Arial" w:eastAsia="Calibri" w:hAnsi="Arial" w:cs="Arial"/>
          <w:sz w:val="21"/>
          <w:szCs w:val="21"/>
          <w:lang w:val="es-ES_tradnl" w:eastAsia="en-US"/>
        </w:rPr>
        <w:t xml:space="preserve"> las Adendas; </w:t>
      </w:r>
      <w:r w:rsidRPr="009D198D">
        <w:rPr>
          <w:rFonts w:ascii="Arial" w:eastAsia="Calibri" w:hAnsi="Arial" w:cs="Arial"/>
          <w:b/>
          <w:bCs/>
          <w:sz w:val="21"/>
          <w:szCs w:val="21"/>
          <w:lang w:val="es-ES_tradnl" w:eastAsia="en-US"/>
        </w:rPr>
        <w:t xml:space="preserve">(e) </w:t>
      </w:r>
      <w:r w:rsidRPr="009D198D">
        <w:rPr>
          <w:rFonts w:ascii="Arial" w:eastAsia="Calibri" w:hAnsi="Arial" w:cs="Arial"/>
          <w:sz w:val="21"/>
          <w:szCs w:val="21"/>
          <w:lang w:val="es-ES_tradnl" w:eastAsia="en-US"/>
        </w:rPr>
        <w:t xml:space="preserve">la </w:t>
      </w:r>
      <w:r w:rsidRPr="009D198D">
        <w:rPr>
          <w:rFonts w:ascii="Arial" w:eastAsia="Calibri" w:hAnsi="Arial" w:cs="Arial"/>
          <w:sz w:val="21"/>
          <w:szCs w:val="21"/>
          <w:lang w:val="es-ES_tradnl" w:eastAsia="en-US"/>
        </w:rPr>
        <w:lastRenderedPageBreak/>
        <w:t xml:space="preserve">oferta; </w:t>
      </w:r>
      <w:r w:rsidRPr="009D198D">
        <w:rPr>
          <w:rFonts w:ascii="Arial" w:eastAsia="Calibri" w:hAnsi="Arial" w:cs="Arial"/>
          <w:b/>
          <w:bCs/>
          <w:sz w:val="21"/>
          <w:szCs w:val="21"/>
          <w:lang w:val="es-ES_tradnl" w:eastAsia="en-US"/>
        </w:rPr>
        <w:t>(f)</w:t>
      </w:r>
      <w:r w:rsidRPr="009D198D">
        <w:rPr>
          <w:rFonts w:ascii="Arial" w:eastAsia="Calibri" w:hAnsi="Arial" w:cs="Arial"/>
          <w:sz w:val="21"/>
          <w:szCs w:val="21"/>
          <w:lang w:val="es-ES_tradnl" w:eastAsia="en-US"/>
        </w:rPr>
        <w:t xml:space="preserve"> el informe de evaluación; </w:t>
      </w:r>
      <w:r w:rsidRPr="009D198D">
        <w:rPr>
          <w:rFonts w:ascii="Arial" w:eastAsia="Calibri" w:hAnsi="Arial" w:cs="Arial"/>
          <w:b/>
          <w:bCs/>
          <w:sz w:val="21"/>
          <w:szCs w:val="21"/>
          <w:lang w:val="es-ES_tradnl" w:eastAsia="en-US"/>
        </w:rPr>
        <w:t>(g)</w:t>
      </w:r>
      <w:r w:rsidRPr="009D198D">
        <w:rPr>
          <w:rFonts w:ascii="Arial" w:eastAsia="Calibri" w:hAnsi="Arial" w:cs="Arial"/>
          <w:sz w:val="21"/>
          <w:szCs w:val="21"/>
          <w:lang w:val="es-ES_tradnl" w:eastAsia="en-US"/>
        </w:rPr>
        <w:t xml:space="preserve"> el contrato; y </w:t>
      </w:r>
      <w:r w:rsidRPr="009D198D">
        <w:rPr>
          <w:rFonts w:ascii="Arial" w:eastAsia="Calibri" w:hAnsi="Arial" w:cs="Arial"/>
          <w:sz w:val="21"/>
          <w:szCs w:val="21"/>
          <w:u w:val="single"/>
          <w:lang w:val="es-ES_tradnl" w:eastAsia="en-US"/>
        </w:rPr>
        <w:t xml:space="preserve">cualquier otro documento </w:t>
      </w:r>
      <w:r w:rsidRPr="009D198D">
        <w:rPr>
          <w:rFonts w:ascii="Arial" w:eastAsia="Calibri" w:hAnsi="Arial" w:cs="Arial"/>
          <w:b/>
          <w:bCs/>
          <w:sz w:val="21"/>
          <w:szCs w:val="21"/>
          <w:u w:val="single"/>
          <w:lang w:val="es-ES_tradnl" w:eastAsia="en-US"/>
        </w:rPr>
        <w:t>expedido por la Entidad Estatal durante el Proceso de Contratación.</w:t>
      </w:r>
    </w:p>
    <w:p w14:paraId="6AC160A1" w14:textId="77777777" w:rsidR="00B32D0F" w:rsidRPr="009D198D" w:rsidRDefault="00B32D0F" w:rsidP="00B32D0F">
      <w:pPr>
        <w:ind w:left="709" w:right="476"/>
        <w:jc w:val="both"/>
        <w:rPr>
          <w:rFonts w:ascii="Arial" w:eastAsia="Calibri" w:hAnsi="Arial" w:cs="Arial"/>
          <w:sz w:val="21"/>
          <w:szCs w:val="21"/>
          <w:lang w:val="es-ES_tradnl" w:eastAsia="en-US"/>
        </w:rPr>
      </w:pPr>
    </w:p>
    <w:p w14:paraId="17A4FBE6" w14:textId="77777777" w:rsidR="00B32D0F" w:rsidRPr="009D198D" w:rsidRDefault="00B32D0F" w:rsidP="00B32D0F">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A. ¿</w:t>
      </w:r>
      <w:proofErr w:type="spellStart"/>
      <w:r w:rsidRPr="009D198D">
        <w:rPr>
          <w:rFonts w:ascii="Arial" w:eastAsia="Calibri" w:hAnsi="Arial" w:cs="Arial"/>
          <w:b/>
          <w:bCs/>
          <w:sz w:val="21"/>
          <w:szCs w:val="21"/>
          <w:lang w:val="es-ES_tradnl" w:eastAsia="en-US"/>
        </w:rPr>
        <w:t>eI</w:t>
      </w:r>
      <w:proofErr w:type="spellEnd"/>
      <w:r w:rsidRPr="009D198D">
        <w:rPr>
          <w:rFonts w:ascii="Arial" w:eastAsia="Calibri" w:hAnsi="Arial" w:cs="Arial"/>
          <w:b/>
          <w:bCs/>
          <w:sz w:val="21"/>
          <w:szCs w:val="21"/>
          <w:lang w:val="es-ES_tradnl" w:eastAsia="en-US"/>
        </w:rPr>
        <w:t xml:space="preserve"> termino de tres (3) días para publicación en el </w:t>
      </w:r>
      <w:proofErr w:type="spellStart"/>
      <w:r w:rsidRPr="009D198D">
        <w:rPr>
          <w:rFonts w:ascii="Arial" w:eastAsia="Calibri" w:hAnsi="Arial" w:cs="Arial"/>
          <w:b/>
          <w:bCs/>
          <w:sz w:val="21"/>
          <w:szCs w:val="21"/>
          <w:lang w:val="es-ES_tradnl" w:eastAsia="en-US"/>
        </w:rPr>
        <w:t>Secop</w:t>
      </w:r>
      <w:proofErr w:type="spellEnd"/>
      <w:r w:rsidRPr="009D198D">
        <w:rPr>
          <w:rFonts w:ascii="Arial" w:eastAsia="Calibri" w:hAnsi="Arial" w:cs="Arial"/>
          <w:b/>
          <w:bCs/>
          <w:sz w:val="21"/>
          <w:szCs w:val="21"/>
          <w:lang w:val="es-ES_tradnl" w:eastAsia="en-US"/>
        </w:rPr>
        <w:t>, bajo el principio de legalidad, solo es aplicable a los documentos del proceso contenidos en el Art. 2.2.1.1.1.3.1 del Decreto 1082-2015 y cualquier otro documento expedido por la entidad estatal que, en síntesis, son los actos administrativos del Proceso de Contratación?</w:t>
      </w:r>
    </w:p>
    <w:p w14:paraId="2F606040" w14:textId="77777777" w:rsidR="00B32D0F" w:rsidRPr="009D198D" w:rsidRDefault="00B32D0F" w:rsidP="00B32D0F">
      <w:pPr>
        <w:ind w:left="709" w:right="476"/>
        <w:jc w:val="both"/>
        <w:rPr>
          <w:rFonts w:ascii="Arial" w:eastAsia="Calibri" w:hAnsi="Arial" w:cs="Arial"/>
          <w:sz w:val="21"/>
          <w:szCs w:val="21"/>
          <w:lang w:val="es-ES_tradnl" w:eastAsia="en-US"/>
        </w:rPr>
      </w:pPr>
    </w:p>
    <w:p w14:paraId="1F594BD9" w14:textId="77777777" w:rsidR="00B32D0F" w:rsidRPr="009D198D" w:rsidRDefault="00B32D0F" w:rsidP="00B32D0F">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B. ¿se debe entender que cualquier acto unilateral de la entidad que en el proceso de contratación sea expedido es susceptible de ser publicado, dentro de los tres (3) días que expresa la norma en el Art. 2.2.1.1.1.7.1. del Decreto 1082-2015?</w:t>
      </w:r>
    </w:p>
    <w:p w14:paraId="23449FD9" w14:textId="77777777" w:rsidR="00B32D0F" w:rsidRPr="009D198D" w:rsidRDefault="00B32D0F" w:rsidP="004921E1">
      <w:pPr>
        <w:ind w:right="476"/>
        <w:jc w:val="both"/>
        <w:rPr>
          <w:rFonts w:ascii="Arial" w:eastAsia="Calibri" w:hAnsi="Arial" w:cs="Arial"/>
          <w:sz w:val="21"/>
          <w:szCs w:val="21"/>
          <w:lang w:val="es-ES_tradnl" w:eastAsia="en-US"/>
        </w:rPr>
      </w:pPr>
    </w:p>
    <w:p w14:paraId="1AB518AF" w14:textId="77777777" w:rsidR="00B32D0F" w:rsidRPr="009D198D" w:rsidRDefault="00B32D0F" w:rsidP="00B32D0F">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E</w:t>
      </w:r>
      <w:r w:rsidRPr="009D198D">
        <w:rPr>
          <w:rFonts w:ascii="Arial" w:eastAsia="Calibri" w:hAnsi="Arial" w:cs="Arial"/>
          <w:sz w:val="21"/>
          <w:szCs w:val="21"/>
          <w:lang w:val="es-ES_tradnl" w:eastAsia="en-US"/>
        </w:rPr>
        <w:t xml:space="preserve">. Bajo el principio de legalidad, los documentos </w:t>
      </w:r>
      <w:r w:rsidRPr="009D198D">
        <w:rPr>
          <w:rFonts w:ascii="Arial" w:eastAsia="Calibri" w:hAnsi="Arial" w:cs="Arial"/>
          <w:b/>
          <w:bCs/>
          <w:sz w:val="21"/>
          <w:szCs w:val="21"/>
          <w:u w:val="single"/>
          <w:lang w:val="es-ES_tradnl" w:eastAsia="en-US"/>
        </w:rPr>
        <w:t>NO expedidos</w:t>
      </w:r>
      <w:r w:rsidRPr="009D198D">
        <w:rPr>
          <w:rFonts w:ascii="Arial" w:eastAsia="Calibri" w:hAnsi="Arial" w:cs="Arial"/>
          <w:sz w:val="21"/>
          <w:szCs w:val="21"/>
          <w:lang w:val="es-ES_tradnl" w:eastAsia="en-US"/>
        </w:rPr>
        <w:t xml:space="preserve"> por la entidad estatal de forma unilateral, o sea aquellos celebrados de forma bilateral y que no están incluidos en el Art. 2.2.1.1.1.3.1 del Decreto 1082-2015, ¿</w:t>
      </w:r>
      <w:proofErr w:type="spellStart"/>
      <w:r w:rsidRPr="009D198D">
        <w:rPr>
          <w:rFonts w:ascii="Arial" w:eastAsia="Calibri" w:hAnsi="Arial" w:cs="Arial"/>
          <w:b/>
          <w:bCs/>
          <w:sz w:val="21"/>
          <w:szCs w:val="21"/>
          <w:lang w:val="es-ES_tradnl" w:eastAsia="en-US"/>
        </w:rPr>
        <w:t>Ies</w:t>
      </w:r>
      <w:proofErr w:type="spellEnd"/>
      <w:r w:rsidRPr="009D198D">
        <w:rPr>
          <w:rFonts w:ascii="Arial" w:eastAsia="Calibri" w:hAnsi="Arial" w:cs="Arial"/>
          <w:b/>
          <w:bCs/>
          <w:sz w:val="21"/>
          <w:szCs w:val="21"/>
          <w:lang w:val="es-ES_tradnl" w:eastAsia="en-US"/>
        </w:rPr>
        <w:t xml:space="preserve"> es aplicable el término imperativo de los tres (3) días, contenido en Art. 2.2.1.1.1.7.1. del Decreto 1082-2015?</w:t>
      </w:r>
    </w:p>
    <w:p w14:paraId="3080A4AD" w14:textId="77777777" w:rsidR="00B32D0F" w:rsidRPr="009D198D" w:rsidRDefault="00B32D0F" w:rsidP="00B32D0F">
      <w:pPr>
        <w:ind w:left="709" w:right="476"/>
        <w:jc w:val="both"/>
        <w:rPr>
          <w:rFonts w:ascii="Arial" w:eastAsia="Calibri" w:hAnsi="Arial" w:cs="Arial"/>
          <w:sz w:val="21"/>
          <w:szCs w:val="21"/>
          <w:lang w:val="es-ES_tradnl" w:eastAsia="en-US"/>
        </w:rPr>
      </w:pPr>
    </w:p>
    <w:p w14:paraId="523A560A" w14:textId="77777777" w:rsidR="00B32D0F" w:rsidRPr="009D198D" w:rsidRDefault="00B32D0F" w:rsidP="00B32D0F">
      <w:pPr>
        <w:ind w:left="709" w:right="476"/>
        <w:jc w:val="both"/>
        <w:rPr>
          <w:rFonts w:ascii="Arial" w:eastAsia="Calibri" w:hAnsi="Arial" w:cs="Arial"/>
          <w:sz w:val="21"/>
          <w:szCs w:val="21"/>
          <w:lang w:val="es-ES_tradnl" w:eastAsia="en-US"/>
        </w:rPr>
      </w:pPr>
      <w:r w:rsidRPr="009D198D">
        <w:rPr>
          <w:rFonts w:ascii="Arial" w:eastAsia="Calibri" w:hAnsi="Arial" w:cs="Arial"/>
          <w:b/>
          <w:bCs/>
          <w:sz w:val="21"/>
          <w:szCs w:val="21"/>
          <w:lang w:val="es-ES_tradnl" w:eastAsia="en-US"/>
        </w:rPr>
        <w:t>F.</w:t>
      </w:r>
      <w:r w:rsidRPr="009D198D">
        <w:rPr>
          <w:rFonts w:ascii="Arial" w:eastAsia="Calibri" w:hAnsi="Arial" w:cs="Arial"/>
          <w:sz w:val="21"/>
          <w:szCs w:val="21"/>
          <w:lang w:val="es-ES_tradnl" w:eastAsia="en-US"/>
        </w:rPr>
        <w:t xml:space="preserve"> Teniendo en cuenta que los documentos originados bajo el acuerdo de voluntades y dado que no derivan de una expedición (propia del acto administrativo, como pronunciar un auto o decreto) sino de una celebración o perfeccionamiento, poseen naturaleza bilateral, un ejemplo son las actas de inicio, que al no estar previstas en la </w:t>
      </w:r>
      <w:proofErr w:type="spellStart"/>
      <w:r w:rsidRPr="009D198D">
        <w:rPr>
          <w:rFonts w:ascii="Arial" w:eastAsia="Calibri" w:hAnsi="Arial" w:cs="Arial"/>
          <w:sz w:val="21"/>
          <w:szCs w:val="21"/>
          <w:lang w:val="es-ES_tradnl" w:eastAsia="en-US"/>
        </w:rPr>
        <w:t>Iey</w:t>
      </w:r>
      <w:proofErr w:type="spellEnd"/>
      <w:r w:rsidRPr="009D198D">
        <w:rPr>
          <w:rFonts w:ascii="Arial" w:eastAsia="Calibri" w:hAnsi="Arial" w:cs="Arial"/>
          <w:sz w:val="21"/>
          <w:szCs w:val="21"/>
          <w:lang w:val="es-ES_tradnl" w:eastAsia="en-US"/>
        </w:rPr>
        <w:t xml:space="preserve">, si pertenecen a la voluntad de las partes para su perfeccionamiento y por ende, al no estar incluidas en el Art. 2.2.1.1.1.3.1 del Decreto 1082-20 15, </w:t>
      </w:r>
      <w:r w:rsidRPr="009D198D">
        <w:rPr>
          <w:rFonts w:ascii="Arial" w:eastAsia="Calibri" w:hAnsi="Arial" w:cs="Arial"/>
          <w:b/>
          <w:bCs/>
          <w:sz w:val="21"/>
          <w:szCs w:val="21"/>
          <w:lang w:val="es-ES_tradnl" w:eastAsia="en-US"/>
        </w:rPr>
        <w:t>¿no deberían estar sujetos a la aplicación del término taxativo del Art. 2.2.1.1.1.7.1. del Decreto 1082-2015, bajo el principio de legalidad?</w:t>
      </w:r>
    </w:p>
    <w:p w14:paraId="2303ABA1" w14:textId="77777777" w:rsidR="00B32D0F" w:rsidRPr="009D198D" w:rsidRDefault="00B32D0F" w:rsidP="00B32D0F">
      <w:pPr>
        <w:ind w:left="709" w:right="476"/>
        <w:jc w:val="both"/>
        <w:rPr>
          <w:rFonts w:ascii="Arial" w:eastAsia="Calibri" w:hAnsi="Arial" w:cs="Arial"/>
          <w:sz w:val="21"/>
          <w:szCs w:val="21"/>
          <w:lang w:val="es-ES_tradnl" w:eastAsia="en-US"/>
        </w:rPr>
      </w:pPr>
    </w:p>
    <w:p w14:paraId="5EDC0BD7" w14:textId="77777777" w:rsidR="00B32D0F" w:rsidRPr="009D198D" w:rsidRDefault="00B32D0F" w:rsidP="00B32D0F">
      <w:pPr>
        <w:ind w:left="709" w:right="476"/>
        <w:jc w:val="both"/>
        <w:rPr>
          <w:rFonts w:ascii="Arial" w:eastAsia="Calibri" w:hAnsi="Arial" w:cs="Arial"/>
          <w:sz w:val="21"/>
          <w:szCs w:val="21"/>
          <w:lang w:val="es-ES_tradnl" w:eastAsia="en-US"/>
        </w:rPr>
      </w:pPr>
      <w:r w:rsidRPr="009D198D">
        <w:rPr>
          <w:rFonts w:ascii="Arial" w:eastAsia="Calibri" w:hAnsi="Arial" w:cs="Arial"/>
          <w:b/>
          <w:bCs/>
          <w:sz w:val="21"/>
          <w:szCs w:val="21"/>
          <w:lang w:val="es-ES_tradnl" w:eastAsia="en-US"/>
        </w:rPr>
        <w:t>G.</w:t>
      </w:r>
      <w:r w:rsidRPr="009D198D">
        <w:rPr>
          <w:rFonts w:ascii="Arial" w:eastAsia="Calibri" w:hAnsi="Arial" w:cs="Arial"/>
          <w:sz w:val="21"/>
          <w:szCs w:val="21"/>
          <w:lang w:val="es-ES_tradnl" w:eastAsia="en-US"/>
        </w:rPr>
        <w:t xml:space="preserve"> Acorde con el Art. 11 literal (g) de la ley 1712-2014, </w:t>
      </w:r>
      <w:r w:rsidRPr="009D198D">
        <w:rPr>
          <w:rFonts w:ascii="Arial" w:eastAsia="Calibri" w:hAnsi="Arial" w:cs="Arial"/>
          <w:b/>
          <w:bCs/>
          <w:sz w:val="21"/>
          <w:szCs w:val="21"/>
          <w:lang w:val="es-ES_tradnl" w:eastAsia="en-US"/>
        </w:rPr>
        <w:t>¿los documentos del proceso de contratación de naturaleza bilateral deben ser publicados en un término oportuno en garantía del derecho del acceso a la información contenido? De ser así, ¿cuál sería el término oportuno? ¿dependerá este de las condiciones particulares de cada entidad estatal y su acceso a sistemas tecnológicos y de conectividad a internet, teniendo en cuenta que existen lugares aislados y de difícil acceso a plataformas virtuales en el territorio nacional?</w:t>
      </w:r>
    </w:p>
    <w:p w14:paraId="2D5E4442" w14:textId="77777777" w:rsidR="000E4C62" w:rsidRPr="009D198D" w:rsidRDefault="000E4C62" w:rsidP="003F53CA">
      <w:pPr>
        <w:ind w:right="476"/>
        <w:jc w:val="both"/>
        <w:rPr>
          <w:rFonts w:ascii="Arial" w:eastAsia="Calibri" w:hAnsi="Arial" w:cs="Arial"/>
          <w:sz w:val="21"/>
          <w:szCs w:val="21"/>
          <w:lang w:val="es-ES_tradnl" w:eastAsia="en-US"/>
        </w:rPr>
      </w:pPr>
    </w:p>
    <w:p w14:paraId="43A30D25" w14:textId="161CFE6E" w:rsidR="00B32D0F" w:rsidRPr="009D198D" w:rsidRDefault="00B32D0F" w:rsidP="00B32D0F">
      <w:pPr>
        <w:ind w:left="709" w:right="476"/>
        <w:jc w:val="both"/>
        <w:rPr>
          <w:rFonts w:ascii="Arial" w:eastAsia="Calibri" w:hAnsi="Arial" w:cs="Arial"/>
          <w:b/>
          <w:bCs/>
          <w:sz w:val="21"/>
          <w:szCs w:val="21"/>
          <w:lang w:val="es-ES_tradnl" w:eastAsia="en-US"/>
        </w:rPr>
      </w:pPr>
      <w:r w:rsidRPr="009D198D">
        <w:rPr>
          <w:rFonts w:ascii="Arial" w:eastAsia="Calibri" w:hAnsi="Arial" w:cs="Arial"/>
          <w:b/>
          <w:bCs/>
          <w:sz w:val="21"/>
          <w:szCs w:val="21"/>
          <w:lang w:val="es-ES_tradnl" w:eastAsia="en-US"/>
        </w:rPr>
        <w:t>J. ¿Cuáles son las diferencias entre un acto administrativo, un acto administrativo contractual y documentos de naturaleza bilateral?</w:t>
      </w:r>
      <w:r w:rsidR="00920A7B" w:rsidRPr="009D198D">
        <w:rPr>
          <w:rFonts w:ascii="Arial" w:eastAsiaTheme="minorEastAsia" w:hAnsi="Arial" w:cs="Arial"/>
          <w:sz w:val="22"/>
          <w:szCs w:val="22"/>
          <w:lang w:val="es-ES_tradnl" w:eastAsia="es-CO"/>
        </w:rPr>
        <w:t>»</w:t>
      </w:r>
    </w:p>
    <w:p w14:paraId="151C5C93" w14:textId="77777777" w:rsidR="0045544F" w:rsidRPr="009D198D" w:rsidRDefault="0045544F" w:rsidP="002E2D4B">
      <w:pPr>
        <w:ind w:left="709" w:right="476"/>
        <w:jc w:val="both"/>
        <w:rPr>
          <w:rFonts w:ascii="Arial" w:hAnsi="Arial" w:cs="Arial"/>
          <w:color w:val="000000" w:themeColor="text1"/>
          <w:sz w:val="21"/>
          <w:szCs w:val="21"/>
          <w:lang w:val="es-ES_tradnl"/>
        </w:rPr>
      </w:pPr>
    </w:p>
    <w:p w14:paraId="72748EAD" w14:textId="4CD99EF1" w:rsidR="00FB0B8B" w:rsidRPr="009D198D" w:rsidRDefault="0045544F" w:rsidP="009D198D">
      <w:pPr>
        <w:tabs>
          <w:tab w:val="left" w:pos="0"/>
        </w:tabs>
        <w:spacing w:before="120" w:line="276" w:lineRule="auto"/>
        <w:jc w:val="both"/>
        <w:rPr>
          <w:rFonts w:ascii="Arial" w:eastAsia="Calibri" w:hAnsi="Arial" w:cs="Arial"/>
          <w:sz w:val="22"/>
          <w:lang w:val="es-ES"/>
        </w:rPr>
      </w:pPr>
      <w:r w:rsidRPr="009D198D">
        <w:rPr>
          <w:rFonts w:ascii="Arial" w:eastAsiaTheme="minorHAnsi" w:hAnsi="Arial" w:cs="Arial"/>
          <w:color w:val="000000"/>
          <w:sz w:val="22"/>
          <w:szCs w:val="22"/>
          <w:shd w:val="clear" w:color="auto" w:fill="FFFFFF"/>
          <w:lang w:eastAsia="en-US"/>
        </w:rPr>
        <w:t>Las anteriores preguntas, por su unidad temática, se responden en conjunto.</w:t>
      </w:r>
      <w:r w:rsidR="00FB0B8B" w:rsidRPr="009D198D">
        <w:rPr>
          <w:rFonts w:ascii="Arial" w:eastAsia="Arial" w:hAnsi="Arial" w:cs="Arial"/>
          <w:sz w:val="22"/>
          <w:lang w:val="es-ES"/>
        </w:rPr>
        <w:t xml:space="preserve"> </w:t>
      </w:r>
      <w:r w:rsidR="00900C44" w:rsidRPr="009D198D">
        <w:rPr>
          <w:rFonts w:ascii="Arial" w:eastAsia="Calibri" w:hAnsi="Arial" w:cs="Arial"/>
          <w:sz w:val="22"/>
          <w:lang w:val="es-ES"/>
        </w:rPr>
        <w:t xml:space="preserve">El </w:t>
      </w:r>
      <w:r w:rsidR="008F69FA" w:rsidRPr="009D198D">
        <w:rPr>
          <w:rFonts w:ascii="Arial" w:eastAsia="Calibri" w:hAnsi="Arial" w:cs="Arial"/>
          <w:sz w:val="22"/>
          <w:lang w:val="es-ES"/>
        </w:rPr>
        <w:t xml:space="preserve">deber de publicar la actividad contractual de las entidades estatales no solo está regulado en el artículo 3 de la Ley 1150 de 2007 y en el </w:t>
      </w:r>
      <w:r w:rsidR="008F69FA" w:rsidRPr="009D198D">
        <w:rPr>
          <w:rFonts w:ascii="Arial" w:eastAsia="Arial" w:hAnsi="Arial" w:cs="Arial"/>
          <w:sz w:val="22"/>
          <w:lang w:val="es-ES"/>
        </w:rPr>
        <w:t>artículo 2.2.1.1.1.7.1. del Decreto 1082 de 2015, sino también en la Ley 1712 de 2014, y en el Decreto 1081 de 2015, normas que no solo refuerzan y complementan al régimen de contratación estatal en cuanto a la publicidad, sino que lo amplía</w:t>
      </w:r>
      <w:r w:rsidR="00416FE9" w:rsidRPr="009D198D">
        <w:rPr>
          <w:rFonts w:ascii="Arial" w:eastAsia="Arial" w:hAnsi="Arial" w:cs="Arial"/>
          <w:sz w:val="22"/>
          <w:lang w:val="es-ES"/>
        </w:rPr>
        <w:t>n</w:t>
      </w:r>
      <w:r w:rsidR="008F69FA" w:rsidRPr="009D198D">
        <w:rPr>
          <w:rFonts w:ascii="Arial" w:eastAsia="Arial" w:hAnsi="Arial" w:cs="Arial"/>
          <w:sz w:val="22"/>
          <w:lang w:val="es-ES"/>
        </w:rPr>
        <w:t xml:space="preserve">, para incluir la publicación de los «procedimientos» y la información relativa </w:t>
      </w:r>
      <w:r w:rsidR="008F69FA" w:rsidRPr="009D198D">
        <w:rPr>
          <w:rFonts w:ascii="Arial" w:eastAsia="Arial" w:hAnsi="Arial" w:cs="Arial"/>
          <w:sz w:val="22"/>
          <w:lang w:val="es-ES"/>
        </w:rPr>
        <w:lastRenderedPageBreak/>
        <w:t xml:space="preserve">a la «gestión contractual», sin el condicionamiento de tratarse exclusivamente de los </w:t>
      </w:r>
      <w:r w:rsidR="008F69FA" w:rsidRPr="009D198D">
        <w:rPr>
          <w:rFonts w:ascii="Arial" w:eastAsia="Arial" w:hAnsi="Arial" w:cs="Arial"/>
          <w:i/>
          <w:iCs/>
          <w:sz w:val="22"/>
          <w:lang w:val="es-ES"/>
        </w:rPr>
        <w:t xml:space="preserve">Documentos del Proceso </w:t>
      </w:r>
      <w:r w:rsidR="008F69FA" w:rsidRPr="009D198D">
        <w:rPr>
          <w:rFonts w:ascii="Arial" w:eastAsia="Arial" w:hAnsi="Arial" w:cs="Arial"/>
          <w:sz w:val="22"/>
          <w:lang w:val="es-ES"/>
        </w:rPr>
        <w:t>expedidos</w:t>
      </w:r>
      <w:r w:rsidR="00416FE9" w:rsidRPr="009D198D">
        <w:rPr>
          <w:rFonts w:ascii="Arial" w:eastAsia="Arial" w:hAnsi="Arial" w:cs="Arial"/>
          <w:sz w:val="22"/>
          <w:lang w:val="es-ES"/>
        </w:rPr>
        <w:t xml:space="preserve"> exclusivamente</w:t>
      </w:r>
      <w:r w:rsidR="008F69FA" w:rsidRPr="009D198D">
        <w:rPr>
          <w:rFonts w:ascii="Arial" w:eastAsia="Arial" w:hAnsi="Arial" w:cs="Arial"/>
          <w:sz w:val="22"/>
          <w:lang w:val="es-ES"/>
        </w:rPr>
        <w:t xml:space="preserve"> por la «entidad estatal»</w:t>
      </w:r>
      <w:r w:rsidR="00416FE9" w:rsidRPr="009D198D">
        <w:rPr>
          <w:rFonts w:ascii="Arial" w:eastAsia="Arial" w:hAnsi="Arial" w:cs="Arial"/>
          <w:sz w:val="22"/>
          <w:lang w:val="es-ES"/>
        </w:rPr>
        <w:t>.</w:t>
      </w:r>
    </w:p>
    <w:p w14:paraId="009CD8B3" w14:textId="53B3701F" w:rsidR="002F6012" w:rsidRPr="009D198D" w:rsidRDefault="00F312FC" w:rsidP="002F6012">
      <w:pPr>
        <w:spacing w:before="120" w:line="276" w:lineRule="auto"/>
        <w:ind w:firstLine="709"/>
        <w:jc w:val="both"/>
        <w:rPr>
          <w:rFonts w:ascii="Arial" w:eastAsia="Calibri" w:hAnsi="Arial" w:cs="Arial"/>
          <w:sz w:val="22"/>
          <w:szCs w:val="22"/>
          <w:lang w:val="es-ES"/>
        </w:rPr>
      </w:pPr>
      <w:r w:rsidRPr="009D198D">
        <w:rPr>
          <w:rFonts w:ascii="Arial" w:eastAsia="Calibri" w:hAnsi="Arial" w:cs="Arial"/>
          <w:sz w:val="22"/>
          <w:lang w:val="es-ES"/>
        </w:rPr>
        <w:t xml:space="preserve">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9D198D">
        <w:rPr>
          <w:rFonts w:ascii="Arial" w:eastAsia="Calibri" w:hAnsi="Arial" w:cs="Arial"/>
          <w:i/>
          <w:iCs/>
          <w:sz w:val="22"/>
          <w:lang w:val="es-ES"/>
        </w:rPr>
        <w:t>Proceso de Contratación,</w:t>
      </w:r>
      <w:r w:rsidRPr="009D198D">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r w:rsidR="002F6012" w:rsidRPr="009D198D">
        <w:rPr>
          <w:rFonts w:ascii="Arial" w:eastAsia="Calibri" w:hAnsi="Arial" w:cs="Arial"/>
          <w:sz w:val="22"/>
          <w:lang w:val="es-ES"/>
        </w:rPr>
        <w:t xml:space="preserve">Esto quiere decir que las entidades estatales, además de los documentos y actos administrativos </w:t>
      </w:r>
      <w:r w:rsidR="002F6012" w:rsidRPr="009D198D">
        <w:rPr>
          <w:rFonts w:ascii="Arial" w:eastAsia="Calibri" w:hAnsi="Arial" w:cs="Arial"/>
          <w:sz w:val="22"/>
          <w:lang w:val="es-ES"/>
        </w:rPr>
        <w:softHyphen/>
      </w:r>
      <w:r w:rsidR="002F6012" w:rsidRPr="009D198D">
        <w:rPr>
          <w:rFonts w:ascii="Arial" w:eastAsia="Calibri" w:hAnsi="Arial" w:cs="Arial"/>
          <w:sz w:val="22"/>
          <w:lang w:val="es-ES"/>
        </w:rPr>
        <w:softHyphen/>
        <w:t>–de trámite o definitivos– que expiden durante los procedimientos de contratación</w:t>
      </w:r>
      <w:r w:rsidR="002F6012" w:rsidRPr="009D198D">
        <w:rPr>
          <w:rFonts w:ascii="Arial" w:eastAsia="Calibri" w:hAnsi="Arial" w:cs="Arial"/>
          <w:i/>
          <w:iCs/>
          <w:sz w:val="22"/>
          <w:lang w:val="es-ES"/>
        </w:rPr>
        <w:t>,</w:t>
      </w:r>
      <w:r w:rsidR="002F6012" w:rsidRPr="009D198D">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002F6012" w:rsidRPr="009D198D">
        <w:rPr>
          <w:rFonts w:ascii="Arial" w:eastAsia="Calibri" w:hAnsi="Arial" w:cs="Arial"/>
          <w:i/>
          <w:iCs/>
          <w:sz w:val="22"/>
          <w:lang w:val="es-ES"/>
        </w:rPr>
        <w:t xml:space="preserve"> Documento del Proceso, </w:t>
      </w:r>
      <w:r w:rsidR="002F6012" w:rsidRPr="009D198D">
        <w:rPr>
          <w:rFonts w:ascii="Arial" w:eastAsia="Calibri" w:hAnsi="Arial" w:cs="Arial"/>
          <w:sz w:val="22"/>
          <w:lang w:val="es-ES"/>
        </w:rPr>
        <w:t xml:space="preserve">hace parte de su desarrollo, y que por disposición de la Ley de transparencia y </w:t>
      </w:r>
      <w:r w:rsidR="002F6012" w:rsidRPr="009D198D">
        <w:rPr>
          <w:rFonts w:ascii="Arial" w:eastAsia="Calibri" w:hAnsi="Arial" w:cs="Arial"/>
          <w:sz w:val="22"/>
          <w:szCs w:val="22"/>
          <w:lang w:val="es-ES"/>
        </w:rPr>
        <w:t>acceso a la información pública, debe publicar la entidad de manera proactiva.</w:t>
      </w:r>
      <w:r w:rsidR="00B7377E" w:rsidRPr="009D198D">
        <w:rPr>
          <w:rFonts w:ascii="Arial" w:eastAsia="Calibri" w:hAnsi="Arial" w:cs="Arial"/>
          <w:sz w:val="22"/>
          <w:szCs w:val="22"/>
          <w:lang w:val="es-ES"/>
        </w:rPr>
        <w:t xml:space="preserve"> </w:t>
      </w:r>
    </w:p>
    <w:p w14:paraId="4BA5310F" w14:textId="78DB6972" w:rsidR="008F69FA" w:rsidRPr="009D198D" w:rsidRDefault="008044A1" w:rsidP="008F69FA">
      <w:pPr>
        <w:spacing w:before="120" w:line="276" w:lineRule="auto"/>
        <w:ind w:firstLine="709"/>
        <w:jc w:val="both"/>
        <w:rPr>
          <w:rFonts w:ascii="Arial" w:eastAsia="Calibri" w:hAnsi="Arial" w:cs="Arial"/>
          <w:sz w:val="22"/>
          <w:lang w:val="es-ES"/>
        </w:rPr>
      </w:pPr>
      <w:r w:rsidRPr="009D198D">
        <w:rPr>
          <w:rFonts w:ascii="Arial" w:eastAsia="Calibri" w:hAnsi="Arial" w:cs="Arial"/>
          <w:sz w:val="22"/>
          <w:lang w:val="es-ES"/>
        </w:rPr>
        <w:t xml:space="preserve">De esta manera, </w:t>
      </w:r>
      <w:r w:rsidR="008F69FA" w:rsidRPr="009D198D">
        <w:rPr>
          <w:rFonts w:ascii="Arial" w:eastAsia="Calibri" w:hAnsi="Arial" w:cs="Arial"/>
          <w:sz w:val="22"/>
          <w:lang w:val="es-ES"/>
        </w:rPr>
        <w:t>las disposiciones del EGCAP y la normativa de la transparencia y el acceso a la información pública,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w:t>
      </w:r>
      <w:r w:rsidR="00EE6348" w:rsidRPr="009D198D">
        <w:rPr>
          <w:rFonts w:ascii="Arial" w:eastAsia="Calibri" w:hAnsi="Arial" w:cs="Arial"/>
          <w:sz w:val="22"/>
          <w:lang w:val="es-ES"/>
        </w:rPr>
        <w:t xml:space="preserve"> de los tres (3) días </w:t>
      </w:r>
      <w:r w:rsidR="00EE6348" w:rsidRPr="009D198D">
        <w:rPr>
          <w:rFonts w:ascii="Arial" w:eastAsia="Arial" w:hAnsi="Arial" w:cs="Arial"/>
          <w:sz w:val="22"/>
          <w:lang w:val="es-ES"/>
        </w:rPr>
        <w:t>siguientes a su expedición</w:t>
      </w:r>
      <w:r w:rsidR="00EE6348" w:rsidRPr="009D198D">
        <w:rPr>
          <w:rFonts w:ascii="Arial" w:eastAsia="Calibri" w:hAnsi="Arial" w:cs="Arial"/>
          <w:sz w:val="22"/>
          <w:lang w:val="es-ES"/>
        </w:rPr>
        <w:t xml:space="preserve"> </w:t>
      </w:r>
      <w:r w:rsidR="008F69FA" w:rsidRPr="009D198D">
        <w:rPr>
          <w:rFonts w:ascii="Arial" w:eastAsia="Calibri" w:hAnsi="Arial" w:cs="Arial"/>
          <w:sz w:val="22"/>
          <w:lang w:val="es-ES"/>
        </w:rPr>
        <w:t xml:space="preserve">y la excepción de publicación de los documentos de las operaciones que se celebren en bolsa de productos, conforme al </w:t>
      </w:r>
      <w:r w:rsidR="008F69FA" w:rsidRPr="009D198D">
        <w:rPr>
          <w:rFonts w:ascii="Arial" w:eastAsia="Arial" w:hAnsi="Arial" w:cs="Arial"/>
          <w:sz w:val="22"/>
          <w:lang w:val="es-ES"/>
        </w:rPr>
        <w:t xml:space="preserve">artículo 2.2.1.1.1.7.1. </w:t>
      </w:r>
      <w:r w:rsidR="00416FE9" w:rsidRPr="009D198D">
        <w:rPr>
          <w:rFonts w:ascii="Arial" w:eastAsia="Arial" w:hAnsi="Arial" w:cs="Arial"/>
          <w:sz w:val="22"/>
          <w:lang w:val="es-ES"/>
        </w:rPr>
        <w:t xml:space="preserve">y 2.2.1.2.1.2.14. </w:t>
      </w:r>
      <w:r w:rsidR="008F69FA" w:rsidRPr="009D198D">
        <w:rPr>
          <w:rFonts w:ascii="Arial" w:eastAsia="Arial" w:hAnsi="Arial" w:cs="Arial"/>
          <w:sz w:val="22"/>
          <w:lang w:val="es-ES"/>
        </w:rPr>
        <w:t>del Decreto 1082 de 2015.</w:t>
      </w:r>
    </w:p>
    <w:p w14:paraId="279BAAC5" w14:textId="77777777" w:rsidR="00D72E59" w:rsidRPr="009D198D" w:rsidRDefault="004551FF" w:rsidP="00EE6348">
      <w:pPr>
        <w:spacing w:before="120" w:line="276" w:lineRule="auto"/>
        <w:ind w:firstLine="709"/>
        <w:jc w:val="both"/>
        <w:rPr>
          <w:rFonts w:ascii="Arial" w:eastAsia="Arial" w:hAnsi="Arial" w:cs="Arial"/>
          <w:sz w:val="22"/>
          <w:lang w:val="es-ES"/>
        </w:rPr>
      </w:pPr>
      <w:r w:rsidRPr="009D198D">
        <w:rPr>
          <w:rFonts w:ascii="Arial" w:eastAsia="Calibri" w:hAnsi="Arial" w:cs="Arial"/>
          <w:sz w:val="22"/>
          <w:lang w:val="es-ES"/>
        </w:rPr>
        <w:t>Así las cosas, todos los actos administrativos o documentos que se produzcan con ocasión del proceso contractual deben publicarse dentro de los tres (3) días siguientes a su expedición, con independencia que sean expedidos unilateralmente por la entidad contratante o que sean documentos suscritos por las partes</w:t>
      </w:r>
      <w:r w:rsidR="008F69FA" w:rsidRPr="009D198D">
        <w:rPr>
          <w:rFonts w:ascii="Arial" w:eastAsia="Calibri" w:hAnsi="Arial" w:cs="Arial"/>
          <w:sz w:val="22"/>
          <w:lang w:val="es-ES"/>
        </w:rPr>
        <w:t xml:space="preserve">. </w:t>
      </w:r>
      <w:r w:rsidR="00FB0B8B" w:rsidRPr="009D198D">
        <w:rPr>
          <w:rFonts w:ascii="Arial" w:eastAsia="Calibri" w:hAnsi="Arial" w:cs="Arial"/>
          <w:sz w:val="22"/>
          <w:lang w:val="es-ES"/>
        </w:rPr>
        <w:t>En este contexto,</w:t>
      </w:r>
      <w:r w:rsidR="00FC211F" w:rsidRPr="009D198D">
        <w:rPr>
          <w:rFonts w:ascii="Arial" w:eastAsia="Calibri" w:hAnsi="Arial" w:cs="Arial"/>
          <w:sz w:val="22"/>
          <w:lang w:val="es-ES"/>
        </w:rPr>
        <w:t xml:space="preserve"> debe tenerse en cuenta que</w:t>
      </w:r>
      <w:r w:rsidR="008F69FA" w:rsidRPr="009D198D">
        <w:rPr>
          <w:rFonts w:ascii="Arial" w:eastAsia="Calibri" w:hAnsi="Arial" w:cs="Arial"/>
          <w:sz w:val="22"/>
          <w:lang w:val="es-ES"/>
        </w:rPr>
        <w:t xml:space="preserve"> el acto administrativo es una manifestación unilateral de la administración tendiente a producir efectos jurídicos</w:t>
      </w:r>
      <w:r w:rsidR="008F69FA" w:rsidRPr="009D198D">
        <w:rPr>
          <w:rFonts w:ascii="Arial" w:eastAsia="Arial" w:hAnsi="Arial" w:cs="Arial"/>
          <w:sz w:val="22"/>
          <w:lang w:val="es-ES"/>
        </w:rPr>
        <w:t xml:space="preserve">. </w:t>
      </w:r>
    </w:p>
    <w:p w14:paraId="001B1136" w14:textId="610C3430" w:rsidR="00B32D0F" w:rsidRPr="009D198D" w:rsidRDefault="008F69FA" w:rsidP="00EE6348">
      <w:pPr>
        <w:spacing w:before="120" w:line="276" w:lineRule="auto"/>
        <w:ind w:firstLine="709"/>
        <w:jc w:val="both"/>
        <w:rPr>
          <w:rFonts w:ascii="Arial" w:eastAsia="Calibri" w:hAnsi="Arial" w:cs="Arial"/>
          <w:sz w:val="22"/>
          <w:szCs w:val="22"/>
          <w:lang w:val="es-ES"/>
        </w:rPr>
      </w:pPr>
      <w:r w:rsidRPr="009D198D">
        <w:rPr>
          <w:rFonts w:ascii="Arial" w:eastAsia="Arial" w:hAnsi="Arial" w:cs="Arial"/>
          <w:sz w:val="22"/>
          <w:lang w:val="es-ES"/>
        </w:rPr>
        <w:t xml:space="preserve">De este modo, </w:t>
      </w:r>
      <w:bookmarkStart w:id="32" w:name="_Hlk94028417"/>
      <w:r w:rsidRPr="009D198D">
        <w:rPr>
          <w:rFonts w:ascii="Arial" w:eastAsia="Arial" w:hAnsi="Arial" w:cs="Arial"/>
          <w:sz w:val="22"/>
          <w:lang w:val="es-ES"/>
        </w:rPr>
        <w:t>los actos administrativos contractuales son aquellos que e</w:t>
      </w:r>
      <w:r w:rsidR="00D72E59" w:rsidRPr="009D198D">
        <w:rPr>
          <w:rFonts w:ascii="Arial" w:eastAsia="Arial" w:hAnsi="Arial" w:cs="Arial"/>
          <w:sz w:val="22"/>
          <w:lang w:val="es-ES"/>
        </w:rPr>
        <w:t>xpide</w:t>
      </w:r>
      <w:r w:rsidRPr="009D198D">
        <w:rPr>
          <w:rFonts w:ascii="Arial" w:eastAsia="Arial" w:hAnsi="Arial" w:cs="Arial"/>
          <w:sz w:val="22"/>
          <w:lang w:val="es-ES"/>
        </w:rPr>
        <w:t xml:space="preserve"> la administración</w:t>
      </w:r>
      <w:r w:rsidR="00D72E59" w:rsidRPr="009D198D">
        <w:rPr>
          <w:rFonts w:ascii="Arial" w:eastAsia="Arial" w:hAnsi="Arial" w:cs="Arial"/>
          <w:sz w:val="22"/>
          <w:lang w:val="es-ES"/>
        </w:rPr>
        <w:t xml:space="preserve"> en desarrollo de la </w:t>
      </w:r>
      <w:r w:rsidRPr="009D198D">
        <w:rPr>
          <w:rFonts w:ascii="Arial" w:eastAsia="Arial" w:hAnsi="Arial" w:cs="Arial"/>
          <w:sz w:val="22"/>
          <w:lang w:val="es-ES"/>
        </w:rPr>
        <w:t>actividad contractual</w:t>
      </w:r>
      <w:r w:rsidR="00A57153" w:rsidRPr="009D198D">
        <w:rPr>
          <w:rFonts w:ascii="Arial" w:eastAsia="Arial" w:hAnsi="Arial" w:cs="Arial"/>
          <w:sz w:val="22"/>
          <w:lang w:val="es-ES"/>
        </w:rPr>
        <w:t>;</w:t>
      </w:r>
      <w:r w:rsidRPr="009D198D">
        <w:rPr>
          <w:rFonts w:ascii="Arial" w:eastAsia="Arial" w:hAnsi="Arial" w:cs="Arial"/>
          <w:sz w:val="22"/>
          <w:lang w:val="es-ES"/>
        </w:rPr>
        <w:t xml:space="preserve"> y los documentos que se originan durante la ejecución del contrato suscritos por el contratante y contratista no son actos administrativos, </w:t>
      </w:r>
      <w:r w:rsidR="00A57153" w:rsidRPr="009D198D">
        <w:rPr>
          <w:rFonts w:ascii="Arial" w:eastAsia="Arial" w:hAnsi="Arial" w:cs="Arial"/>
          <w:sz w:val="22"/>
          <w:lang w:val="es-ES"/>
        </w:rPr>
        <w:t>pues no son manifestaciones unilaterales de voluntad, dado su carácter bilateral, al ser producidos por las partes, de manera</w:t>
      </w:r>
      <w:r w:rsidRPr="009D198D">
        <w:rPr>
          <w:rFonts w:ascii="Arial" w:eastAsia="Arial" w:hAnsi="Arial" w:cs="Arial"/>
          <w:sz w:val="22"/>
          <w:lang w:val="es-ES"/>
        </w:rPr>
        <w:t xml:space="preserve"> que hacen parte de </w:t>
      </w:r>
      <w:r w:rsidR="00B718BB" w:rsidRPr="009D198D">
        <w:rPr>
          <w:rFonts w:ascii="Arial" w:eastAsia="Arial" w:hAnsi="Arial" w:cs="Arial"/>
          <w:sz w:val="22"/>
          <w:lang w:val="es-ES"/>
        </w:rPr>
        <w:t xml:space="preserve">los </w:t>
      </w:r>
      <w:r w:rsidRPr="009D198D">
        <w:rPr>
          <w:rFonts w:ascii="Arial" w:eastAsia="Arial" w:hAnsi="Arial" w:cs="Arial"/>
          <w:sz w:val="22"/>
          <w:lang w:val="es-ES"/>
        </w:rPr>
        <w:t xml:space="preserve">documentos </w:t>
      </w:r>
      <w:r w:rsidRPr="009D198D">
        <w:rPr>
          <w:rFonts w:ascii="Arial" w:eastAsia="Arial" w:hAnsi="Arial" w:cs="Arial"/>
          <w:sz w:val="22"/>
          <w:lang w:val="es-ES"/>
        </w:rPr>
        <w:lastRenderedPageBreak/>
        <w:t>del contrato. Sin embargo, para efectos de la publicidad de los documentos en el SECOP esta distinción es indiferente</w:t>
      </w:r>
      <w:r w:rsidR="00A57153" w:rsidRPr="009D198D">
        <w:rPr>
          <w:rFonts w:ascii="Arial" w:eastAsia="Arial" w:hAnsi="Arial" w:cs="Arial"/>
          <w:sz w:val="22"/>
          <w:lang w:val="es-ES"/>
        </w:rPr>
        <w:t>,</w:t>
      </w:r>
      <w:r w:rsidRPr="009D198D">
        <w:rPr>
          <w:rFonts w:ascii="Arial" w:eastAsia="Arial" w:hAnsi="Arial" w:cs="Arial"/>
          <w:sz w:val="22"/>
          <w:lang w:val="es-ES"/>
        </w:rPr>
        <w:t xml:space="preserve"> en la medida que, como se indicó, deben publicarse en el SECOP todos los documentos expedidos por la entidad durante las etapas precontractual, de ejecución y </w:t>
      </w:r>
      <w:proofErr w:type="spellStart"/>
      <w:r w:rsidRPr="009D198D">
        <w:rPr>
          <w:rFonts w:ascii="Arial" w:eastAsia="Arial" w:hAnsi="Arial" w:cs="Arial"/>
          <w:sz w:val="22"/>
          <w:lang w:val="es-ES"/>
        </w:rPr>
        <w:t>postcontractual</w:t>
      </w:r>
      <w:proofErr w:type="spellEnd"/>
      <w:r w:rsidRPr="009D198D">
        <w:rPr>
          <w:rFonts w:ascii="Arial" w:eastAsia="Arial" w:hAnsi="Arial" w:cs="Arial"/>
          <w:sz w:val="22"/>
          <w:lang w:val="es-ES"/>
        </w:rPr>
        <w:t xml:space="preserve">, así como cualquier documento producido o expedido con ocasión del Proceso de Contratación, </w:t>
      </w:r>
      <w:r w:rsidR="00E25421" w:rsidRPr="009D198D">
        <w:rPr>
          <w:rFonts w:ascii="Arial" w:eastAsia="Arial" w:hAnsi="Arial" w:cs="Arial"/>
          <w:sz w:val="22"/>
          <w:lang w:val="es-ES"/>
        </w:rPr>
        <w:t xml:space="preserve">aunque se trate de actos bilaterales, como el contrato o </w:t>
      </w:r>
      <w:r w:rsidR="00A57153" w:rsidRPr="009D198D">
        <w:rPr>
          <w:rFonts w:ascii="Arial" w:eastAsia="Arial" w:hAnsi="Arial" w:cs="Arial"/>
          <w:sz w:val="22"/>
          <w:lang w:val="es-ES"/>
        </w:rPr>
        <w:t>sus modificaciones</w:t>
      </w:r>
      <w:r w:rsidRPr="009D198D">
        <w:rPr>
          <w:rFonts w:ascii="Arial" w:eastAsia="Arial" w:hAnsi="Arial" w:cs="Arial"/>
          <w:sz w:val="22"/>
          <w:lang w:val="es-ES"/>
        </w:rPr>
        <w:t>. Por ello, tanto el acta de inicio</w:t>
      </w:r>
      <w:r w:rsidR="00A57153" w:rsidRPr="009D198D">
        <w:rPr>
          <w:rFonts w:ascii="Arial" w:eastAsia="Arial" w:hAnsi="Arial" w:cs="Arial"/>
          <w:sz w:val="22"/>
          <w:lang w:val="es-ES"/>
        </w:rPr>
        <w:t>, en caso de que las partes acuerden la suscripción de este documento para dar inicio formal a la ejecución del contrato, al igual que</w:t>
      </w:r>
      <w:r w:rsidRPr="009D198D">
        <w:rPr>
          <w:rFonts w:ascii="Arial" w:eastAsia="Arial" w:hAnsi="Arial" w:cs="Arial"/>
          <w:sz w:val="22"/>
          <w:lang w:val="es-ES"/>
        </w:rPr>
        <w:t xml:space="preserve"> la liquidación bilateral son documentos del contrato que, aunque no tengan el carácter de acto administrativo en la medida en que no son una manifestación unilateral de la administración, </w:t>
      </w:r>
      <w:r w:rsidR="00A57153" w:rsidRPr="009D198D">
        <w:rPr>
          <w:rFonts w:ascii="Arial" w:eastAsia="Arial" w:hAnsi="Arial" w:cs="Arial"/>
          <w:sz w:val="22"/>
          <w:lang w:val="es-ES"/>
        </w:rPr>
        <w:t xml:space="preserve">sino un acuerdo de voluntades, </w:t>
      </w:r>
      <w:r w:rsidRPr="009D198D">
        <w:rPr>
          <w:rFonts w:ascii="Arial" w:eastAsia="Arial" w:hAnsi="Arial" w:cs="Arial"/>
          <w:sz w:val="22"/>
          <w:lang w:val="es-ES"/>
        </w:rPr>
        <w:t xml:space="preserve">deben ser publicados en el SECOP de acuerdo con el marco normativo expuesto. </w:t>
      </w:r>
    </w:p>
    <w:bookmarkEnd w:id="32"/>
    <w:p w14:paraId="2A79D992" w14:textId="2BAAEBEA" w:rsidR="004921E1" w:rsidRPr="009D198D" w:rsidRDefault="006E2CA7" w:rsidP="004921E1">
      <w:pPr>
        <w:spacing w:before="120" w:line="276" w:lineRule="auto"/>
        <w:ind w:firstLine="709"/>
        <w:jc w:val="both"/>
        <w:rPr>
          <w:rFonts w:ascii="Arial" w:eastAsia="Calibri" w:hAnsi="Arial" w:cs="Arial"/>
          <w:sz w:val="22"/>
          <w:lang w:val="es-ES"/>
        </w:rPr>
      </w:pPr>
      <w:r w:rsidRPr="009D198D">
        <w:rPr>
          <w:rFonts w:ascii="Arial" w:hAnsi="Arial" w:cs="Arial"/>
          <w:sz w:val="22"/>
          <w:lang w:val="es-ES"/>
        </w:rPr>
        <w:t>Por último</w:t>
      </w:r>
      <w:r w:rsidR="00EE6348" w:rsidRPr="009D198D">
        <w:rPr>
          <w:rFonts w:ascii="Arial" w:hAnsi="Arial" w:cs="Arial"/>
          <w:sz w:val="22"/>
          <w:lang w:val="es-ES"/>
        </w:rPr>
        <w:t>, debe tenerse en cuenta que</w:t>
      </w:r>
      <w:r w:rsidR="00FC211F" w:rsidRPr="009D198D">
        <w:rPr>
          <w:rFonts w:ascii="Arial" w:eastAsia="Calibri" w:hAnsi="Arial" w:cs="Arial"/>
          <w:sz w:val="22"/>
          <w:lang w:val="es-ES"/>
        </w:rPr>
        <w:t xml:space="preserve"> el término de tres (3) días para publicar, en la práctica, no opera en</w:t>
      </w:r>
      <w:r w:rsidR="003B10E2" w:rsidRPr="009D198D">
        <w:rPr>
          <w:rFonts w:ascii="Arial" w:eastAsia="Calibri" w:hAnsi="Arial" w:cs="Arial"/>
          <w:sz w:val="22"/>
          <w:lang w:val="es-ES"/>
        </w:rPr>
        <w:t xml:space="preserve"> todas</w:t>
      </w:r>
      <w:r w:rsidR="00FC211F" w:rsidRPr="009D198D">
        <w:rPr>
          <w:rFonts w:ascii="Arial" w:eastAsia="Calibri" w:hAnsi="Arial" w:cs="Arial"/>
          <w:sz w:val="22"/>
          <w:lang w:val="es-ES"/>
        </w:rPr>
        <w:t xml:space="preserve"> las actuaciones generadas de manera electrónica dentro de los procedimientos gestionados a través de</w:t>
      </w:r>
      <w:r w:rsidR="00A57153" w:rsidRPr="009D198D">
        <w:rPr>
          <w:rFonts w:ascii="Arial" w:eastAsia="Calibri" w:hAnsi="Arial" w:cs="Arial"/>
          <w:sz w:val="22"/>
          <w:lang w:val="es-ES"/>
        </w:rPr>
        <w:t>l</w:t>
      </w:r>
      <w:r w:rsidR="00FC211F" w:rsidRPr="009D198D">
        <w:rPr>
          <w:rFonts w:ascii="Arial" w:eastAsia="Calibri" w:hAnsi="Arial" w:cs="Arial"/>
          <w:sz w:val="22"/>
          <w:lang w:val="es-ES"/>
        </w:rPr>
        <w:t xml:space="preserve"> SECOP II, comoquiera que </w:t>
      </w:r>
      <w:r w:rsidR="00A57153" w:rsidRPr="009D198D">
        <w:rPr>
          <w:rFonts w:ascii="Arial" w:eastAsia="Calibri" w:hAnsi="Arial" w:cs="Arial"/>
          <w:sz w:val="22"/>
          <w:lang w:val="es-ES"/>
        </w:rPr>
        <w:t xml:space="preserve">algunos </w:t>
      </w:r>
      <w:r w:rsidR="00FC211F" w:rsidRPr="009D198D">
        <w:rPr>
          <w:rFonts w:ascii="Arial" w:eastAsia="Calibri" w:hAnsi="Arial" w:cs="Arial"/>
          <w:sz w:val="22"/>
          <w:lang w:val="es-ES"/>
        </w:rPr>
        <w:t>documentos son creados o expedidos mediante la propia plataforma, razón por la que una vez estos se aprueban quedan inmediatamente publicados, sin que transcurra el referido término.</w:t>
      </w:r>
    </w:p>
    <w:p w14:paraId="44048A0E" w14:textId="77777777" w:rsidR="004921E1" w:rsidRPr="009D198D" w:rsidRDefault="004921E1" w:rsidP="004921E1">
      <w:pPr>
        <w:spacing w:line="276" w:lineRule="auto"/>
        <w:ind w:firstLine="709"/>
        <w:jc w:val="both"/>
        <w:rPr>
          <w:rFonts w:ascii="Arial" w:eastAsia="Calibri" w:hAnsi="Arial" w:cs="Arial"/>
          <w:sz w:val="22"/>
          <w:lang w:val="es-ES"/>
        </w:rPr>
      </w:pPr>
    </w:p>
    <w:p w14:paraId="78E4BBCA" w14:textId="1F9C75BB" w:rsidR="004921E1" w:rsidRPr="009D198D" w:rsidRDefault="004921E1" w:rsidP="004921E1">
      <w:pPr>
        <w:ind w:left="709" w:right="476"/>
        <w:jc w:val="both"/>
        <w:rPr>
          <w:rFonts w:ascii="Arial" w:eastAsia="Calibri" w:hAnsi="Arial" w:cs="Arial"/>
          <w:b/>
          <w:bCs/>
          <w:sz w:val="21"/>
          <w:szCs w:val="21"/>
          <w:lang w:val="es-ES" w:eastAsia="en-US"/>
        </w:rPr>
      </w:pPr>
      <w:r w:rsidRPr="009D198D">
        <w:rPr>
          <w:rFonts w:ascii="Arial" w:eastAsia="Calibri" w:hAnsi="Arial" w:cs="Arial"/>
          <w:b/>
          <w:bCs/>
          <w:sz w:val="21"/>
          <w:szCs w:val="21"/>
          <w:lang w:val="es-ES" w:eastAsia="en-US"/>
        </w:rPr>
        <w:t xml:space="preserve">C. </w:t>
      </w:r>
      <w:r w:rsidRPr="009D198D">
        <w:rPr>
          <w:rFonts w:ascii="Arial" w:eastAsia="Calibri" w:hAnsi="Arial" w:cs="Arial"/>
          <w:sz w:val="21"/>
          <w:szCs w:val="21"/>
          <w:lang w:val="es-ES" w:eastAsia="en-US"/>
        </w:rPr>
        <w:t xml:space="preserve">A la </w:t>
      </w:r>
      <w:proofErr w:type="spellStart"/>
      <w:r w:rsidRPr="009D198D">
        <w:rPr>
          <w:rFonts w:ascii="Arial" w:eastAsia="Calibri" w:hAnsi="Arial" w:cs="Arial"/>
          <w:sz w:val="21"/>
          <w:szCs w:val="21"/>
          <w:lang w:val="es-ES" w:eastAsia="en-US"/>
        </w:rPr>
        <w:t>Iuz</w:t>
      </w:r>
      <w:proofErr w:type="spellEnd"/>
      <w:r w:rsidRPr="009D198D">
        <w:rPr>
          <w:rFonts w:ascii="Arial" w:eastAsia="Calibri" w:hAnsi="Arial" w:cs="Arial"/>
          <w:sz w:val="21"/>
          <w:szCs w:val="21"/>
          <w:lang w:val="es-ES" w:eastAsia="en-US"/>
        </w:rPr>
        <w:t xml:space="preserve"> del sistema de compra pública y del ordenamiento jurídico colombiano</w:t>
      </w:r>
      <w:r w:rsidRPr="009D198D">
        <w:rPr>
          <w:rFonts w:ascii="Arial" w:eastAsia="Calibri" w:hAnsi="Arial" w:cs="Arial"/>
          <w:b/>
          <w:bCs/>
          <w:sz w:val="21"/>
          <w:szCs w:val="21"/>
          <w:lang w:val="es-ES" w:eastAsia="en-US"/>
        </w:rPr>
        <w:t xml:space="preserve"> ¿</w:t>
      </w:r>
      <w:proofErr w:type="spellStart"/>
      <w:r w:rsidRPr="009D198D">
        <w:rPr>
          <w:rFonts w:ascii="Arial" w:eastAsia="Calibri" w:hAnsi="Arial" w:cs="Arial"/>
          <w:b/>
          <w:bCs/>
          <w:sz w:val="21"/>
          <w:szCs w:val="21"/>
          <w:lang w:val="es-ES" w:eastAsia="en-US"/>
        </w:rPr>
        <w:t>eI</w:t>
      </w:r>
      <w:proofErr w:type="spellEnd"/>
      <w:r w:rsidRPr="009D198D">
        <w:rPr>
          <w:rFonts w:ascii="Arial" w:eastAsia="Calibri" w:hAnsi="Arial" w:cs="Arial"/>
          <w:b/>
          <w:bCs/>
          <w:sz w:val="21"/>
          <w:szCs w:val="21"/>
          <w:lang w:val="es-ES" w:eastAsia="en-US"/>
        </w:rPr>
        <w:t xml:space="preserve"> acta de inicio es un acto administrativo?</w:t>
      </w:r>
    </w:p>
    <w:p w14:paraId="1BF02FD0" w14:textId="77777777" w:rsidR="00450C32" w:rsidRPr="009D198D" w:rsidRDefault="00450C32" w:rsidP="00450C32">
      <w:pPr>
        <w:spacing w:line="276" w:lineRule="auto"/>
        <w:jc w:val="both"/>
        <w:rPr>
          <w:rFonts w:ascii="Arial" w:hAnsi="Arial" w:cs="Arial"/>
          <w:bCs/>
          <w:sz w:val="22"/>
        </w:rPr>
      </w:pPr>
    </w:p>
    <w:p w14:paraId="1450371A" w14:textId="682F3833" w:rsidR="00450C32" w:rsidRPr="009D198D" w:rsidRDefault="00450C32" w:rsidP="00450C32">
      <w:pPr>
        <w:spacing w:line="276" w:lineRule="auto"/>
        <w:jc w:val="both"/>
        <w:rPr>
          <w:rFonts w:ascii="Arial" w:hAnsi="Arial" w:cs="Arial"/>
          <w:bCs/>
          <w:sz w:val="22"/>
        </w:rPr>
      </w:pPr>
      <w:r w:rsidRPr="009D198D">
        <w:rPr>
          <w:rFonts w:ascii="Arial" w:hAnsi="Arial" w:cs="Arial"/>
          <w:bCs/>
          <w:sz w:val="22"/>
        </w:rPr>
        <w:t xml:space="preserve">De conformidad con el artículo 40 de la Ley 80 de 1993,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En este contexto, las entidades podrán acordar en sus contratos que el plazo de ejecución pactado empiece a correr previa suscripción de un acta de inicio. Por lo general, </w:t>
      </w:r>
      <w:r w:rsidR="00680411" w:rsidRPr="009D198D">
        <w:rPr>
          <w:rFonts w:ascii="Arial" w:hAnsi="Arial" w:cs="Arial"/>
          <w:bCs/>
          <w:sz w:val="22"/>
        </w:rPr>
        <w:t xml:space="preserve">en la práctica, </w:t>
      </w:r>
      <w:r w:rsidRPr="009D198D">
        <w:rPr>
          <w:rFonts w:ascii="Arial" w:hAnsi="Arial" w:cs="Arial"/>
          <w:bCs/>
          <w:sz w:val="22"/>
        </w:rPr>
        <w:t>este documento es firmado por las partes contratantes, de un lado el contratista y</w:t>
      </w:r>
      <w:r w:rsidR="00680411" w:rsidRPr="009D198D">
        <w:rPr>
          <w:rFonts w:ascii="Arial" w:hAnsi="Arial" w:cs="Arial"/>
          <w:bCs/>
          <w:sz w:val="22"/>
        </w:rPr>
        <w:t>,</w:t>
      </w:r>
      <w:r w:rsidRPr="009D198D">
        <w:rPr>
          <w:rFonts w:ascii="Arial" w:hAnsi="Arial" w:cs="Arial"/>
          <w:bCs/>
          <w:sz w:val="22"/>
        </w:rPr>
        <w:t xml:space="preserve"> del otro, el supervisor y/o interventor </w:t>
      </w:r>
      <w:r w:rsidR="00680411" w:rsidRPr="009D198D">
        <w:rPr>
          <w:rFonts w:ascii="Arial" w:hAnsi="Arial" w:cs="Arial"/>
          <w:bCs/>
          <w:sz w:val="22"/>
        </w:rPr>
        <w:t>por parte de</w:t>
      </w:r>
      <w:r w:rsidRPr="009D198D">
        <w:rPr>
          <w:rFonts w:ascii="Arial" w:hAnsi="Arial" w:cs="Arial"/>
          <w:bCs/>
          <w:sz w:val="22"/>
        </w:rPr>
        <w:t xml:space="preserve"> la entidad, según sea el caso. De este modo, aten</w:t>
      </w:r>
      <w:r w:rsidR="00E76F6E" w:rsidRPr="009D198D">
        <w:rPr>
          <w:rFonts w:ascii="Arial" w:hAnsi="Arial" w:cs="Arial"/>
          <w:bCs/>
          <w:sz w:val="22"/>
        </w:rPr>
        <w:t>d</w:t>
      </w:r>
      <w:r w:rsidRPr="009D198D">
        <w:rPr>
          <w:rFonts w:ascii="Arial" w:hAnsi="Arial" w:cs="Arial"/>
          <w:bCs/>
          <w:sz w:val="22"/>
        </w:rPr>
        <w:t>iendo la consulta planteada, el acta de inicio no se trata de un acto administrativo sino de un documento que suscribe</w:t>
      </w:r>
      <w:r w:rsidR="003227ED" w:rsidRPr="009D198D">
        <w:rPr>
          <w:rFonts w:ascii="Arial" w:hAnsi="Arial" w:cs="Arial"/>
          <w:bCs/>
          <w:sz w:val="22"/>
        </w:rPr>
        <w:t xml:space="preserve">n </w:t>
      </w:r>
      <w:r w:rsidRPr="009D198D">
        <w:rPr>
          <w:rFonts w:ascii="Arial" w:hAnsi="Arial" w:cs="Arial"/>
          <w:bCs/>
          <w:sz w:val="22"/>
        </w:rPr>
        <w:t>las partes durante la fase de ejecución del contrato</w:t>
      </w:r>
      <w:r w:rsidR="00680411" w:rsidRPr="009D198D">
        <w:rPr>
          <w:rFonts w:ascii="Arial" w:hAnsi="Arial" w:cs="Arial"/>
          <w:bCs/>
          <w:sz w:val="22"/>
        </w:rPr>
        <w:t>,</w:t>
      </w:r>
      <w:r w:rsidRPr="009D198D">
        <w:rPr>
          <w:rFonts w:ascii="Arial" w:hAnsi="Arial" w:cs="Arial"/>
          <w:bCs/>
          <w:sz w:val="22"/>
        </w:rPr>
        <w:t xml:space="preserve"> en atención a las estipulaciones contractuales, para que se dé inicio </w:t>
      </w:r>
      <w:r w:rsidR="00680411" w:rsidRPr="009D198D">
        <w:rPr>
          <w:rFonts w:ascii="Arial" w:hAnsi="Arial" w:cs="Arial"/>
          <w:bCs/>
          <w:sz w:val="22"/>
        </w:rPr>
        <w:t>formal a la ejecución del contrato</w:t>
      </w:r>
      <w:r w:rsidRPr="009D198D">
        <w:rPr>
          <w:rFonts w:ascii="Arial" w:hAnsi="Arial" w:cs="Arial"/>
          <w:bCs/>
          <w:sz w:val="22"/>
        </w:rPr>
        <w:t xml:space="preserve">. </w:t>
      </w:r>
    </w:p>
    <w:p w14:paraId="7A0537E1" w14:textId="77777777" w:rsidR="004921E1" w:rsidRPr="009D198D" w:rsidRDefault="004921E1" w:rsidP="004921E1">
      <w:pPr>
        <w:ind w:right="476"/>
        <w:jc w:val="both"/>
        <w:rPr>
          <w:rFonts w:ascii="Arial" w:eastAsia="Calibri" w:hAnsi="Arial" w:cs="Arial"/>
          <w:b/>
          <w:bCs/>
          <w:sz w:val="21"/>
          <w:szCs w:val="21"/>
          <w:lang w:val="es-ES" w:eastAsia="en-US"/>
        </w:rPr>
      </w:pPr>
    </w:p>
    <w:p w14:paraId="353DAA8D" w14:textId="77777777" w:rsidR="004921E1" w:rsidRPr="009D198D" w:rsidRDefault="004921E1" w:rsidP="004921E1">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D. </w:t>
      </w:r>
      <w:r w:rsidRPr="009D198D">
        <w:rPr>
          <w:rFonts w:ascii="Arial" w:eastAsia="Calibri" w:hAnsi="Arial" w:cs="Arial"/>
          <w:sz w:val="21"/>
          <w:szCs w:val="21"/>
          <w:lang w:eastAsia="en-US"/>
        </w:rPr>
        <w:t>A la luz del sistema de compra pública y del ordenamiento jurídico colombiano</w:t>
      </w:r>
      <w:r w:rsidRPr="009D198D">
        <w:rPr>
          <w:rFonts w:ascii="Arial" w:eastAsia="Calibri" w:hAnsi="Arial" w:cs="Arial"/>
          <w:b/>
          <w:bCs/>
          <w:sz w:val="21"/>
          <w:szCs w:val="21"/>
          <w:lang w:eastAsia="en-US"/>
        </w:rPr>
        <w:t xml:space="preserve"> ¿</w:t>
      </w:r>
      <w:proofErr w:type="spellStart"/>
      <w:r w:rsidRPr="009D198D">
        <w:rPr>
          <w:rFonts w:ascii="Arial" w:eastAsia="Calibri" w:hAnsi="Arial" w:cs="Arial"/>
          <w:b/>
          <w:bCs/>
          <w:sz w:val="21"/>
          <w:szCs w:val="21"/>
          <w:lang w:eastAsia="en-US"/>
        </w:rPr>
        <w:t>eI</w:t>
      </w:r>
      <w:proofErr w:type="spellEnd"/>
      <w:r w:rsidRPr="009D198D">
        <w:rPr>
          <w:rFonts w:ascii="Arial" w:eastAsia="Calibri" w:hAnsi="Arial" w:cs="Arial"/>
          <w:b/>
          <w:bCs/>
          <w:sz w:val="21"/>
          <w:szCs w:val="21"/>
          <w:lang w:eastAsia="en-US"/>
        </w:rPr>
        <w:t xml:space="preserve"> acta de liquidación bilateral es un acto administrativo?</w:t>
      </w:r>
    </w:p>
    <w:p w14:paraId="43AA7F41" w14:textId="77777777" w:rsidR="00450C32" w:rsidRPr="009D198D" w:rsidRDefault="00450C32" w:rsidP="00450C32">
      <w:pPr>
        <w:spacing w:line="276" w:lineRule="auto"/>
        <w:jc w:val="both"/>
        <w:rPr>
          <w:rFonts w:ascii="Arial" w:eastAsia="Calibri" w:hAnsi="Arial" w:cs="Arial"/>
          <w:bCs/>
          <w:sz w:val="22"/>
          <w:lang w:val="es-ES_tradnl"/>
        </w:rPr>
      </w:pPr>
    </w:p>
    <w:p w14:paraId="652FE157" w14:textId="617F4022" w:rsidR="004921E1" w:rsidRPr="009D198D" w:rsidRDefault="00450C32" w:rsidP="00450C32">
      <w:pPr>
        <w:spacing w:line="276" w:lineRule="auto"/>
        <w:jc w:val="both"/>
        <w:rPr>
          <w:rFonts w:ascii="Arial" w:eastAsia="Calibri" w:hAnsi="Arial" w:cs="Arial"/>
          <w:bCs/>
          <w:sz w:val="22"/>
          <w:lang w:val="es-ES_tradnl"/>
        </w:rPr>
      </w:pPr>
      <w:r w:rsidRPr="009D198D">
        <w:rPr>
          <w:rFonts w:ascii="Arial" w:eastAsia="Calibri" w:hAnsi="Arial" w:cs="Arial"/>
          <w:bCs/>
          <w:sz w:val="22"/>
          <w:lang w:val="es-ES_tradnl"/>
        </w:rPr>
        <w:t xml:space="preserve">La liquidación bilateral es un negocio jurídico, en el que las partes del contrato estatal, en ejercicio de la autonomía de la voluntad, regulan la finalización de su relación y disponen de los intereses que emanan de ella. Asimismo, tiene efectos transaccionales, puesto que las declaraciones y expresiones incorporadas en la correspondiente acta son reconocidas </w:t>
      </w:r>
      <w:r w:rsidRPr="009D198D">
        <w:rPr>
          <w:rFonts w:ascii="Arial" w:eastAsia="Calibri" w:hAnsi="Arial" w:cs="Arial"/>
          <w:bCs/>
          <w:sz w:val="22"/>
          <w:lang w:val="es-ES_tradnl"/>
        </w:rPr>
        <w:lastRenderedPageBreak/>
        <w:t xml:space="preserve">y protegidas por el ordenamiento jurídico, siempre y cuando no sean contrarias a la Constitución Política, la ley, el orden público, la moral y las buenas costumbres, y los principios y finalidades del Estatuto General de la Contratación de la Administración Pública y de la buena administración. En tal sentido, para efectos de la consulta, vale aclarar que la liquidación bilateral no </w:t>
      </w:r>
      <w:r w:rsidRPr="009D198D">
        <w:rPr>
          <w:rFonts w:ascii="Arial" w:eastAsia="Calibri" w:hAnsi="Arial" w:cs="Arial"/>
          <w:sz w:val="22"/>
          <w:lang w:val="es-ES_tradnl"/>
        </w:rPr>
        <w:t>es un acto administrativo, en la medida en que no es una manifestación unilateral de la administración</w:t>
      </w:r>
      <w:r w:rsidR="00680411" w:rsidRPr="009D198D">
        <w:rPr>
          <w:rFonts w:ascii="Arial" w:eastAsia="Calibri" w:hAnsi="Arial" w:cs="Arial"/>
          <w:sz w:val="22"/>
          <w:lang w:val="es-ES_tradnl"/>
        </w:rPr>
        <w:t>,</w:t>
      </w:r>
      <w:r w:rsidRPr="009D198D">
        <w:rPr>
          <w:rFonts w:ascii="Arial" w:eastAsia="Calibri" w:hAnsi="Arial" w:cs="Arial"/>
          <w:sz w:val="22"/>
          <w:lang w:val="es-ES_tradnl"/>
        </w:rPr>
        <w:t xml:space="preserve"> sino un acuerdo de voluntades de las partes contratantes.</w:t>
      </w:r>
    </w:p>
    <w:p w14:paraId="411432DF" w14:textId="77777777" w:rsidR="009F7933" w:rsidRPr="009D198D" w:rsidRDefault="009F7933" w:rsidP="009F7933">
      <w:pPr>
        <w:spacing w:line="276" w:lineRule="auto"/>
        <w:ind w:firstLine="709"/>
        <w:jc w:val="both"/>
        <w:rPr>
          <w:rFonts w:ascii="Arial" w:eastAsia="Calibri" w:hAnsi="Arial" w:cs="Arial"/>
          <w:sz w:val="22"/>
          <w:lang w:val="es-ES"/>
        </w:rPr>
      </w:pPr>
    </w:p>
    <w:p w14:paraId="5859E7F1" w14:textId="30DEFEA1" w:rsidR="00EA6DEA" w:rsidRPr="009D198D" w:rsidRDefault="00EE6348" w:rsidP="00EA6DEA">
      <w:pPr>
        <w:ind w:left="709" w:right="476"/>
        <w:jc w:val="both"/>
        <w:rPr>
          <w:rFonts w:ascii="Arial" w:eastAsia="Calibri" w:hAnsi="Arial" w:cs="Arial"/>
          <w:b/>
          <w:bCs/>
          <w:sz w:val="21"/>
          <w:szCs w:val="21"/>
          <w:lang w:val="es-ES_tradnl" w:eastAsia="en-US"/>
        </w:rPr>
      </w:pPr>
      <w:r w:rsidRPr="009D198D">
        <w:rPr>
          <w:rFonts w:ascii="Arial" w:eastAsia="Calibri" w:hAnsi="Arial" w:cs="Arial"/>
          <w:sz w:val="21"/>
          <w:szCs w:val="21"/>
          <w:lang w:val="es-ES_tradnl" w:eastAsia="en-US"/>
        </w:rPr>
        <w:t xml:space="preserve"> </w:t>
      </w:r>
      <w:r w:rsidR="00920A7B" w:rsidRPr="009D198D">
        <w:rPr>
          <w:rFonts w:ascii="Arial" w:eastAsia="Calibri" w:hAnsi="Arial" w:cs="Arial"/>
          <w:color w:val="000000" w:themeColor="text1"/>
          <w:sz w:val="21"/>
          <w:szCs w:val="21"/>
        </w:rPr>
        <w:t>«</w:t>
      </w:r>
      <w:r w:rsidR="00EA6DEA" w:rsidRPr="009D198D">
        <w:rPr>
          <w:rFonts w:ascii="Arial" w:eastAsia="Calibri" w:hAnsi="Arial" w:cs="Arial"/>
          <w:b/>
          <w:bCs/>
          <w:sz w:val="21"/>
          <w:szCs w:val="21"/>
          <w:lang w:val="es-ES_tradnl" w:eastAsia="en-US"/>
        </w:rPr>
        <w:t>H. ¿Cuándo es procedente la aplicación analógica de la Iey153 de 1887, respecto de las normas del sistema de compra pública?</w:t>
      </w:r>
      <w:r w:rsidR="00920A7B" w:rsidRPr="009D198D">
        <w:rPr>
          <w:rFonts w:ascii="Arial" w:eastAsiaTheme="minorEastAsia" w:hAnsi="Arial" w:cs="Arial"/>
          <w:sz w:val="22"/>
          <w:szCs w:val="22"/>
          <w:lang w:val="es-ES_tradnl" w:eastAsia="es-CO"/>
        </w:rPr>
        <w:t>»</w:t>
      </w:r>
    </w:p>
    <w:p w14:paraId="57310B07" w14:textId="77777777" w:rsidR="00EA6DEA" w:rsidRPr="009D198D" w:rsidRDefault="00EA6DEA" w:rsidP="00EA6DEA">
      <w:pPr>
        <w:ind w:left="709" w:right="476"/>
        <w:jc w:val="both"/>
        <w:rPr>
          <w:rFonts w:ascii="Arial" w:eastAsia="Calibri" w:hAnsi="Arial" w:cs="Arial"/>
          <w:sz w:val="21"/>
          <w:szCs w:val="21"/>
          <w:lang w:val="es-ES_tradnl" w:eastAsia="en-US"/>
        </w:rPr>
      </w:pPr>
    </w:p>
    <w:p w14:paraId="38350B25" w14:textId="1C8A5C68" w:rsidR="00EA6DEA" w:rsidRPr="009D198D" w:rsidRDefault="00EA6DEA" w:rsidP="009D198D">
      <w:pPr>
        <w:spacing w:line="276" w:lineRule="auto"/>
        <w:jc w:val="both"/>
        <w:rPr>
          <w:rFonts w:ascii="Arial" w:hAnsi="Arial" w:cs="Arial"/>
          <w:sz w:val="22"/>
          <w:lang w:val="es-ES"/>
        </w:rPr>
      </w:pPr>
      <w:r w:rsidRPr="009D198D">
        <w:rPr>
          <w:rFonts w:ascii="Arial" w:hAnsi="Arial" w:cs="Arial"/>
          <w:sz w:val="22"/>
          <w:lang w:val="es-ES"/>
        </w:rPr>
        <w:t>La parte primera de Ley 153 de 1887 establece reglas generales sobre validez y aplicación de las leyes que resultan aplicables a todas las leyes independientemente de la materia que regulen. Por lo tanto, respecto de las normas de contratación pública resultará aplicable la Ley 153 de 1887 atendiendo al asunto en concreto y de acuerdo con las circunstancias particulares de cada caso</w:t>
      </w:r>
      <w:r w:rsidR="00E25421" w:rsidRPr="009D198D">
        <w:rPr>
          <w:rFonts w:ascii="Arial" w:hAnsi="Arial" w:cs="Arial"/>
          <w:sz w:val="22"/>
          <w:lang w:val="es-ES"/>
        </w:rPr>
        <w:t>.</w:t>
      </w:r>
    </w:p>
    <w:p w14:paraId="0307B9CB" w14:textId="5A6F5ED3" w:rsidR="00E25421" w:rsidRPr="009D198D" w:rsidRDefault="00E25421" w:rsidP="00EA6DEA">
      <w:pPr>
        <w:spacing w:line="276" w:lineRule="auto"/>
        <w:ind w:right="476"/>
        <w:jc w:val="both"/>
        <w:rPr>
          <w:rFonts w:ascii="Arial" w:hAnsi="Arial" w:cs="Arial"/>
          <w:sz w:val="22"/>
          <w:lang w:val="es-ES"/>
        </w:rPr>
      </w:pPr>
    </w:p>
    <w:p w14:paraId="6DAE81E9" w14:textId="77777777" w:rsidR="003F53CA" w:rsidRPr="009D198D" w:rsidRDefault="003F53CA" w:rsidP="003F53CA">
      <w:pPr>
        <w:ind w:left="709" w:right="476"/>
        <w:jc w:val="both"/>
        <w:rPr>
          <w:rFonts w:ascii="Arial" w:eastAsia="Calibri" w:hAnsi="Arial" w:cs="Arial"/>
          <w:sz w:val="21"/>
          <w:szCs w:val="21"/>
          <w:lang w:val="es-ES_tradnl" w:eastAsia="en-US"/>
        </w:rPr>
      </w:pPr>
      <w:r w:rsidRPr="009D198D">
        <w:rPr>
          <w:rFonts w:ascii="Arial" w:eastAsia="Calibri" w:hAnsi="Arial" w:cs="Arial"/>
          <w:b/>
          <w:bCs/>
          <w:sz w:val="21"/>
          <w:szCs w:val="21"/>
          <w:lang w:val="es-ES_tradnl" w:eastAsia="en-US"/>
        </w:rPr>
        <w:t>I.</w:t>
      </w:r>
      <w:r w:rsidRPr="009D198D">
        <w:rPr>
          <w:rFonts w:ascii="Arial" w:eastAsia="Calibri" w:hAnsi="Arial" w:cs="Arial"/>
          <w:sz w:val="21"/>
          <w:szCs w:val="21"/>
          <w:lang w:val="es-ES_tradnl" w:eastAsia="en-US"/>
        </w:rPr>
        <w:t xml:space="preserve"> El Art. 2.2.1.1.1.7.1. del Decreto 1082-2015 es claro e imperativo, sin embargo, </w:t>
      </w:r>
      <w:r w:rsidRPr="009D198D">
        <w:rPr>
          <w:rFonts w:ascii="Arial" w:eastAsia="Calibri" w:hAnsi="Arial" w:cs="Arial"/>
          <w:b/>
          <w:bCs/>
          <w:sz w:val="21"/>
          <w:szCs w:val="21"/>
          <w:lang w:val="es-ES_tradnl" w:eastAsia="en-US"/>
        </w:rPr>
        <w:t>¿habría lugar a una aplicación analógica de la Ley 153 de 1887 de hacer extensivo este término de tres (3) días, a documentos que nacen de una celebración (bilaterales) que no se hallan dentro de los siete (7) documentos del proceso enunciados explícitamente (</w:t>
      </w:r>
      <w:proofErr w:type="spellStart"/>
      <w:r w:rsidRPr="009D198D">
        <w:rPr>
          <w:rFonts w:ascii="Arial" w:eastAsia="Calibri" w:hAnsi="Arial" w:cs="Arial"/>
          <w:b/>
          <w:bCs/>
          <w:sz w:val="21"/>
          <w:szCs w:val="21"/>
          <w:lang w:val="es-ES_tradnl" w:eastAsia="en-US"/>
        </w:rPr>
        <w:t>lit.</w:t>
      </w:r>
      <w:proofErr w:type="spellEnd"/>
      <w:r w:rsidRPr="009D198D">
        <w:rPr>
          <w:rFonts w:ascii="Arial" w:eastAsia="Calibri" w:hAnsi="Arial" w:cs="Arial"/>
          <w:b/>
          <w:bCs/>
          <w:sz w:val="21"/>
          <w:szCs w:val="21"/>
          <w:lang w:val="es-ES_tradnl" w:eastAsia="en-US"/>
        </w:rPr>
        <w:t xml:space="preserve"> a - g) del Art. 2.2.1.1.1.3.1 del Decreto 1082-2015 o a aquellos de la ejecución contractual que se rigen bajo normas diferentes al Art. 2.2.1.1.1.7.1. del Decreto 1082-2015?</w:t>
      </w:r>
    </w:p>
    <w:p w14:paraId="01EFB4EB" w14:textId="77777777" w:rsidR="00450C32" w:rsidRPr="009D198D" w:rsidRDefault="00450C32" w:rsidP="0022289E">
      <w:pPr>
        <w:tabs>
          <w:tab w:val="left" w:pos="426"/>
        </w:tabs>
        <w:spacing w:line="276" w:lineRule="auto"/>
        <w:jc w:val="both"/>
        <w:rPr>
          <w:rFonts w:ascii="Arial" w:eastAsia="Calibri" w:hAnsi="Arial" w:cs="Arial"/>
          <w:sz w:val="22"/>
          <w:lang w:val="es-ES"/>
        </w:rPr>
      </w:pPr>
    </w:p>
    <w:p w14:paraId="3638A823" w14:textId="768BD829" w:rsidR="003F53CA" w:rsidRPr="009D198D" w:rsidRDefault="003F53CA" w:rsidP="0022289E">
      <w:pPr>
        <w:tabs>
          <w:tab w:val="left" w:pos="426"/>
        </w:tabs>
        <w:spacing w:line="276" w:lineRule="auto"/>
        <w:jc w:val="both"/>
        <w:rPr>
          <w:rFonts w:ascii="Arial" w:eastAsia="Calibri" w:hAnsi="Arial" w:cs="Arial"/>
          <w:sz w:val="22"/>
          <w:lang w:val="es-ES"/>
        </w:rPr>
      </w:pPr>
      <w:r w:rsidRPr="009D198D">
        <w:rPr>
          <w:rFonts w:ascii="Arial" w:eastAsia="Calibri" w:hAnsi="Arial" w:cs="Arial"/>
          <w:sz w:val="22"/>
          <w:lang w:val="es-ES"/>
        </w:rPr>
        <w:t xml:space="preserve">Como se </w:t>
      </w:r>
      <w:r w:rsidR="0022289E" w:rsidRPr="009D198D">
        <w:rPr>
          <w:rFonts w:ascii="Arial" w:eastAsia="Calibri" w:hAnsi="Arial" w:cs="Arial"/>
          <w:sz w:val="22"/>
          <w:lang w:val="es-ES"/>
        </w:rPr>
        <w:t>expuso</w:t>
      </w:r>
      <w:r w:rsidR="00450C32" w:rsidRPr="009D198D">
        <w:rPr>
          <w:rFonts w:ascii="Arial" w:eastAsia="Calibri" w:hAnsi="Arial" w:cs="Arial"/>
          <w:sz w:val="22"/>
          <w:lang w:val="es-ES"/>
        </w:rPr>
        <w:t xml:space="preserve"> las consideraciones de este concepto</w:t>
      </w:r>
      <w:r w:rsidRPr="009D198D">
        <w:rPr>
          <w:rFonts w:ascii="Arial" w:eastAsia="Calibri" w:hAnsi="Arial" w:cs="Arial"/>
          <w:sz w:val="22"/>
          <w:lang w:val="es-ES"/>
        </w:rPr>
        <w:t xml:space="preserve">, el artículo 2.2.1.1.1.7.1. del Decreto 1082 de 2015 contiene un listado enunciativo y no taxativo, porque además de los documentos enlistados, el artículo 2.2.1.1.1.3.1 </w:t>
      </w:r>
      <w:proofErr w:type="spellStart"/>
      <w:r w:rsidRPr="009D198D">
        <w:rPr>
          <w:rFonts w:ascii="Arial" w:eastAsia="Calibri" w:hAnsi="Arial" w:cs="Arial"/>
          <w:sz w:val="22"/>
          <w:lang w:val="es-ES"/>
        </w:rPr>
        <w:t>Ibídem</w:t>
      </w:r>
      <w:proofErr w:type="spellEnd"/>
      <w:r w:rsidRPr="009D198D">
        <w:rPr>
          <w:rFonts w:ascii="Arial" w:eastAsia="Calibri" w:hAnsi="Arial" w:cs="Arial"/>
          <w:sz w:val="22"/>
          <w:lang w:val="es-ES"/>
        </w:rPr>
        <w:t xml:space="preserve"> recoge en la noción de Documentos del Proceso «cualquier otro documento expedido por la Entidad Estatal durante el Proceso de Contratación». En este sentido, para identificar los documentos que deben publicarse, es necesario realizar una interpretación sistemática de las disposiciones del Decreto 1082 del 2015</w:t>
      </w:r>
      <w:r w:rsidR="005A6431" w:rsidRPr="009D198D">
        <w:rPr>
          <w:rFonts w:ascii="Arial" w:eastAsia="Calibri" w:hAnsi="Arial" w:cs="Arial"/>
          <w:sz w:val="22"/>
          <w:lang w:val="es-ES"/>
        </w:rPr>
        <w:t xml:space="preserve">, </w:t>
      </w:r>
      <w:r w:rsidR="005A6431" w:rsidRPr="009D198D">
        <w:rPr>
          <w:rFonts w:ascii="Arial" w:eastAsia="Arial" w:hAnsi="Arial" w:cs="Arial"/>
          <w:sz w:val="22"/>
          <w:lang w:val="es-ES"/>
        </w:rPr>
        <w:t>Ley 1712 de 2014 y el Decreto 1081 de 2015</w:t>
      </w:r>
      <w:r w:rsidRPr="009D198D">
        <w:rPr>
          <w:rFonts w:ascii="Arial" w:eastAsia="Calibri" w:hAnsi="Arial" w:cs="Arial"/>
          <w:sz w:val="22"/>
          <w:lang w:val="es-ES"/>
        </w:rPr>
        <w:t>.</w:t>
      </w:r>
      <w:r w:rsidR="00450C32" w:rsidRPr="009D198D">
        <w:rPr>
          <w:rFonts w:ascii="Arial" w:eastAsia="Calibri" w:hAnsi="Arial" w:cs="Arial"/>
          <w:sz w:val="22"/>
          <w:lang w:val="es-ES"/>
        </w:rPr>
        <w:t xml:space="preserve"> De esta manera</w:t>
      </w:r>
      <w:r w:rsidRPr="009D198D">
        <w:rPr>
          <w:rFonts w:ascii="Arial" w:eastAsia="Calibri" w:hAnsi="Arial" w:cs="Arial"/>
          <w:sz w:val="22"/>
          <w:lang w:val="es-ES"/>
        </w:rPr>
        <w:t xml:space="preserve">, la interpretación sistemática de </w:t>
      </w:r>
      <w:r w:rsidR="005A6431" w:rsidRPr="009D198D">
        <w:rPr>
          <w:rFonts w:ascii="Arial" w:eastAsia="Calibri" w:hAnsi="Arial" w:cs="Arial"/>
          <w:sz w:val="22"/>
          <w:lang w:val="es-ES"/>
        </w:rPr>
        <w:t>estas normas</w:t>
      </w:r>
      <w:r w:rsidR="00E749F9" w:rsidRPr="009D198D">
        <w:rPr>
          <w:rFonts w:ascii="Arial" w:eastAsia="Calibri" w:hAnsi="Arial" w:cs="Arial"/>
          <w:sz w:val="22"/>
          <w:lang w:val="es-ES"/>
        </w:rPr>
        <w:t>,</w:t>
      </w:r>
      <w:r w:rsidR="005A6431" w:rsidRPr="009D198D">
        <w:rPr>
          <w:rFonts w:ascii="Arial" w:eastAsia="Calibri" w:hAnsi="Arial" w:cs="Arial"/>
          <w:sz w:val="22"/>
          <w:lang w:val="es-ES"/>
        </w:rPr>
        <w:t xml:space="preserve"> </w:t>
      </w:r>
      <w:r w:rsidRPr="009D198D">
        <w:rPr>
          <w:rFonts w:ascii="Arial" w:eastAsia="Calibri" w:hAnsi="Arial" w:cs="Arial"/>
          <w:sz w:val="22"/>
          <w:lang w:val="es-ES"/>
        </w:rPr>
        <w:t>de acuerdo con el principio de publicidad, indica que las entidades estatales tienen la obligación de publicar todos los documentos que expidan con ocasión del Proceso de Contratación</w:t>
      </w:r>
      <w:r w:rsidR="005A6431" w:rsidRPr="009D198D">
        <w:rPr>
          <w:rFonts w:ascii="Arial" w:eastAsia="Calibri" w:hAnsi="Arial" w:cs="Arial"/>
          <w:sz w:val="22"/>
          <w:lang w:val="es-ES"/>
        </w:rPr>
        <w:t xml:space="preserve"> y la información relativa a la gestión contractual</w:t>
      </w:r>
      <w:r w:rsidRPr="009D198D">
        <w:rPr>
          <w:rFonts w:ascii="Arial" w:eastAsia="Calibri" w:hAnsi="Arial" w:cs="Arial"/>
          <w:sz w:val="22"/>
          <w:lang w:val="es-ES"/>
        </w:rPr>
        <w:t xml:space="preserve">. Así,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9D198D">
        <w:rPr>
          <w:rFonts w:ascii="Arial" w:eastAsia="Calibri" w:hAnsi="Arial" w:cs="Arial"/>
          <w:sz w:val="22"/>
          <w:lang w:val="es-ES"/>
        </w:rPr>
        <w:t>postcontractual</w:t>
      </w:r>
      <w:proofErr w:type="spellEnd"/>
      <w:r w:rsidR="005A6431" w:rsidRPr="009D198D">
        <w:rPr>
          <w:rFonts w:ascii="Arial" w:eastAsia="Calibri" w:hAnsi="Arial" w:cs="Arial"/>
          <w:sz w:val="22"/>
          <w:lang w:val="es-ES"/>
        </w:rPr>
        <w:t>,</w:t>
      </w:r>
      <w:r w:rsidRPr="009D198D">
        <w:rPr>
          <w:rFonts w:ascii="Arial" w:eastAsia="Calibri" w:hAnsi="Arial" w:cs="Arial"/>
          <w:sz w:val="22"/>
          <w:lang w:val="es-ES"/>
        </w:rPr>
        <w:t xml:space="preserve"> </w:t>
      </w:r>
      <w:r w:rsidR="00F77999" w:rsidRPr="009D198D">
        <w:rPr>
          <w:rFonts w:ascii="Arial" w:eastAsia="Calibri" w:hAnsi="Arial" w:cs="Arial"/>
          <w:sz w:val="22"/>
          <w:lang w:val="es-ES"/>
        </w:rPr>
        <w:t>aunque se trate de actos bilaterales, como el contrato o una modificación del mismo</w:t>
      </w:r>
      <w:r w:rsidR="0022289E" w:rsidRPr="009D198D">
        <w:rPr>
          <w:rFonts w:ascii="Arial" w:eastAsia="Calibri" w:hAnsi="Arial" w:cs="Arial"/>
          <w:sz w:val="22"/>
          <w:lang w:val="es-ES"/>
        </w:rPr>
        <w:t>,</w:t>
      </w:r>
      <w:r w:rsidR="00F77999" w:rsidRPr="009D198D">
        <w:rPr>
          <w:rFonts w:ascii="Arial" w:eastAsia="Calibri" w:hAnsi="Arial" w:cs="Arial"/>
          <w:sz w:val="22"/>
          <w:lang w:val="es-ES"/>
        </w:rPr>
        <w:t xml:space="preserve"> </w:t>
      </w:r>
      <w:r w:rsidRPr="009D198D">
        <w:rPr>
          <w:rFonts w:ascii="Arial" w:eastAsia="Calibri" w:hAnsi="Arial" w:cs="Arial"/>
          <w:sz w:val="22"/>
          <w:lang w:val="es-ES"/>
        </w:rPr>
        <w:t>deberán ser publicados en SECOP dentro de los tres (3) días siguientes a su expedición, para</w:t>
      </w:r>
      <w:r w:rsidR="00B7377E" w:rsidRPr="009D198D">
        <w:rPr>
          <w:rFonts w:ascii="Arial" w:eastAsia="Calibri" w:hAnsi="Arial" w:cs="Arial"/>
          <w:sz w:val="22"/>
          <w:lang w:val="es-ES"/>
        </w:rPr>
        <w:t xml:space="preserve"> </w:t>
      </w:r>
      <w:r w:rsidRPr="009D198D">
        <w:rPr>
          <w:rFonts w:ascii="Arial" w:eastAsia="Calibri" w:hAnsi="Arial" w:cs="Arial"/>
          <w:sz w:val="22"/>
          <w:lang w:val="es-ES"/>
        </w:rPr>
        <w:t>cumplir el deber de publicidad regulado por el artículo 2.2.1.1.1.7.1. del Decreto 1082 de 2015.</w:t>
      </w:r>
    </w:p>
    <w:p w14:paraId="743E7042" w14:textId="5B966B5C" w:rsidR="00EA6DEA" w:rsidRPr="009D198D" w:rsidRDefault="00EA6DEA" w:rsidP="0022289E">
      <w:pPr>
        <w:ind w:right="476"/>
        <w:jc w:val="both"/>
        <w:rPr>
          <w:rFonts w:ascii="Arial" w:eastAsia="Calibri" w:hAnsi="Arial" w:cs="Arial"/>
          <w:sz w:val="21"/>
          <w:szCs w:val="21"/>
          <w:lang w:val="es-ES_tradnl" w:eastAsia="en-US"/>
        </w:rPr>
      </w:pPr>
    </w:p>
    <w:p w14:paraId="626CA50E" w14:textId="191E9D5C" w:rsidR="00BB6A2F" w:rsidRPr="009D198D" w:rsidRDefault="00920A7B" w:rsidP="00BB6A2F">
      <w:pPr>
        <w:ind w:left="709" w:right="476"/>
        <w:jc w:val="both"/>
        <w:rPr>
          <w:rFonts w:ascii="Arial" w:eastAsia="Calibri" w:hAnsi="Arial" w:cs="Arial"/>
          <w:b/>
          <w:bCs/>
          <w:sz w:val="21"/>
          <w:szCs w:val="21"/>
          <w:lang w:eastAsia="en-US"/>
        </w:rPr>
      </w:pPr>
      <w:r w:rsidRPr="009D198D">
        <w:rPr>
          <w:rFonts w:ascii="Arial" w:eastAsia="Calibri" w:hAnsi="Arial" w:cs="Arial"/>
          <w:color w:val="000000" w:themeColor="text1"/>
          <w:sz w:val="21"/>
          <w:szCs w:val="21"/>
        </w:rPr>
        <w:t>«</w:t>
      </w:r>
      <w:r w:rsidR="00F067A2" w:rsidRPr="009D198D">
        <w:rPr>
          <w:rFonts w:ascii="Arial" w:eastAsia="Calibri" w:hAnsi="Arial" w:cs="Arial"/>
          <w:b/>
          <w:bCs/>
          <w:sz w:val="21"/>
          <w:szCs w:val="21"/>
          <w:lang w:eastAsia="en-US"/>
        </w:rPr>
        <w:t>K. Según Ley 80-1993, el acto final del proceso de contratación es la adjudicación o declaratoria de desierto, dentro de la fase precontractual que se rige en su mayoría por actos unilaterales?</w:t>
      </w:r>
      <w:r w:rsidRPr="009D198D">
        <w:rPr>
          <w:rFonts w:ascii="Arial" w:eastAsiaTheme="minorEastAsia" w:hAnsi="Arial" w:cs="Arial"/>
          <w:sz w:val="22"/>
          <w:szCs w:val="22"/>
          <w:lang w:val="es-ES_tradnl" w:eastAsia="es-CO"/>
        </w:rPr>
        <w:t>»</w:t>
      </w:r>
    </w:p>
    <w:p w14:paraId="2BD508C1" w14:textId="2C3B2B5C" w:rsidR="0027013F" w:rsidRPr="009D198D" w:rsidRDefault="0027013F" w:rsidP="00BB6A2F">
      <w:pPr>
        <w:ind w:right="476"/>
        <w:jc w:val="both"/>
        <w:rPr>
          <w:rFonts w:ascii="Arial" w:eastAsia="Calibri" w:hAnsi="Arial" w:cs="Arial"/>
          <w:sz w:val="22"/>
          <w:lang w:val="es-ES"/>
        </w:rPr>
      </w:pPr>
    </w:p>
    <w:p w14:paraId="0AA6D4E0" w14:textId="6DF0A2B7" w:rsidR="00D7372B" w:rsidRPr="009D198D" w:rsidRDefault="00D7372B" w:rsidP="00D7372B">
      <w:pPr>
        <w:pStyle w:val="Prrafodelista"/>
        <w:spacing w:line="276" w:lineRule="auto"/>
        <w:ind w:left="0" w:right="51"/>
        <w:contextualSpacing w:val="0"/>
        <w:jc w:val="both"/>
        <w:rPr>
          <w:rFonts w:ascii="Arial" w:hAnsi="Arial" w:cs="Arial"/>
          <w:sz w:val="22"/>
        </w:rPr>
      </w:pPr>
      <w:r w:rsidRPr="009D198D">
        <w:rPr>
          <w:rFonts w:ascii="Arial" w:hAnsi="Arial" w:cs="Arial"/>
          <w:sz w:val="22"/>
        </w:rPr>
        <w:t>El acto final del procedimiento de selección dependerá de cada modalidad de selección</w:t>
      </w:r>
      <w:r w:rsidR="00EF0166" w:rsidRPr="009D198D">
        <w:rPr>
          <w:rFonts w:ascii="Arial" w:hAnsi="Arial" w:cs="Arial"/>
          <w:sz w:val="22"/>
        </w:rPr>
        <w:t>,</w:t>
      </w:r>
      <w:r w:rsidRPr="009D198D">
        <w:rPr>
          <w:rFonts w:ascii="Arial" w:hAnsi="Arial" w:cs="Arial"/>
          <w:sz w:val="22"/>
        </w:rPr>
        <w:t xml:space="preserve"> de acuerdo con las normas que </w:t>
      </w:r>
      <w:r w:rsidR="00EF0166" w:rsidRPr="009D198D">
        <w:rPr>
          <w:rFonts w:ascii="Arial" w:hAnsi="Arial" w:cs="Arial"/>
          <w:sz w:val="22"/>
        </w:rPr>
        <w:t xml:space="preserve">los </w:t>
      </w:r>
      <w:r w:rsidRPr="009D198D">
        <w:rPr>
          <w:rFonts w:ascii="Arial" w:hAnsi="Arial" w:cs="Arial"/>
          <w:sz w:val="22"/>
        </w:rPr>
        <w:t>rigen. En el caso de la licitación pública, el acto final corresponde al acto de adjudicación, que</w:t>
      </w:r>
      <w:r w:rsidRPr="009D198D">
        <w:rPr>
          <w:rFonts w:ascii="Arial" w:eastAsia="Times New Roman" w:hAnsi="Arial" w:cs="Arial"/>
          <w:sz w:val="19"/>
          <w:szCs w:val="19"/>
          <w:lang w:val="es-CO" w:eastAsia="es-ES_tradnl"/>
        </w:rPr>
        <w:t xml:space="preserve"> </w:t>
      </w:r>
      <w:r w:rsidRPr="009D198D">
        <w:rPr>
          <w:rFonts w:ascii="Arial" w:hAnsi="Arial" w:cs="Arial"/>
          <w:sz w:val="22"/>
          <w:lang w:val="es-CO"/>
        </w:rPr>
        <w:t xml:space="preserve">es </w:t>
      </w:r>
      <w:r w:rsidRPr="009D198D">
        <w:rPr>
          <w:rFonts w:ascii="Arial" w:hAnsi="Arial" w:cs="Arial"/>
          <w:color w:val="000000" w:themeColor="text1"/>
          <w:sz w:val="22"/>
        </w:rPr>
        <w:t>«</w:t>
      </w:r>
      <w:r w:rsidRPr="009D198D">
        <w:rPr>
          <w:rFonts w:ascii="Arial" w:hAnsi="Arial" w:cs="Arial"/>
          <w:sz w:val="22"/>
          <w:lang w:val="es-CO"/>
        </w:rPr>
        <w:t>la actuación terminal de la fase del procedimiento de selección, e implica la manifestación definitiva de la voluntad de la Administración de realizar la contratación con uno o varios oferentes determinados»</w:t>
      </w:r>
      <w:r w:rsidR="00EF0166" w:rsidRPr="009D198D">
        <w:rPr>
          <w:rStyle w:val="Refdenotaalpie"/>
          <w:rFonts w:ascii="Arial" w:hAnsi="Arial" w:cs="Arial"/>
          <w:sz w:val="22"/>
        </w:rPr>
        <w:footnoteReference w:id="67"/>
      </w:r>
      <w:r w:rsidRPr="009D198D">
        <w:rPr>
          <w:rFonts w:ascii="Arial" w:hAnsi="Arial" w:cs="Arial"/>
          <w:sz w:val="22"/>
          <w:lang w:val="es-CO"/>
        </w:rPr>
        <w:t>;</w:t>
      </w:r>
      <w:r w:rsidRPr="009D198D">
        <w:rPr>
          <w:rFonts w:ascii="Arial" w:hAnsi="Arial" w:cs="Arial"/>
          <w:sz w:val="22"/>
        </w:rPr>
        <w:t xml:space="preserve"> o en su defecto, la declaratoria de desierta, en los casos en los cuales se fundamente esta decisión.</w:t>
      </w:r>
    </w:p>
    <w:p w14:paraId="2200D7DC" w14:textId="77777777" w:rsidR="0027013F" w:rsidRPr="009D198D" w:rsidRDefault="0027013F" w:rsidP="00D7372B">
      <w:pPr>
        <w:spacing w:line="276" w:lineRule="auto"/>
        <w:ind w:right="476"/>
        <w:jc w:val="both"/>
        <w:rPr>
          <w:rFonts w:ascii="Arial" w:eastAsia="Calibri" w:hAnsi="Arial" w:cs="Arial"/>
          <w:b/>
          <w:bCs/>
          <w:sz w:val="21"/>
          <w:szCs w:val="21"/>
          <w:lang w:eastAsia="en-US"/>
        </w:rPr>
      </w:pPr>
    </w:p>
    <w:p w14:paraId="30FE21CF" w14:textId="56071644" w:rsidR="00F067A2" w:rsidRPr="009D198D" w:rsidRDefault="00920A7B" w:rsidP="00F067A2">
      <w:pPr>
        <w:ind w:left="709" w:right="476"/>
        <w:jc w:val="both"/>
        <w:rPr>
          <w:rFonts w:ascii="Arial" w:eastAsia="Calibri" w:hAnsi="Arial" w:cs="Arial"/>
          <w:b/>
          <w:bCs/>
          <w:sz w:val="21"/>
          <w:szCs w:val="21"/>
          <w:lang w:eastAsia="en-US"/>
        </w:rPr>
      </w:pPr>
      <w:r w:rsidRPr="009D198D">
        <w:rPr>
          <w:rFonts w:ascii="Arial" w:eastAsia="Calibri" w:hAnsi="Arial" w:cs="Arial"/>
          <w:color w:val="000000" w:themeColor="text1"/>
          <w:sz w:val="21"/>
          <w:szCs w:val="21"/>
        </w:rPr>
        <w:t>«</w:t>
      </w:r>
      <w:r w:rsidR="00F067A2" w:rsidRPr="009D198D">
        <w:rPr>
          <w:rFonts w:ascii="Arial" w:eastAsia="Calibri" w:hAnsi="Arial" w:cs="Arial"/>
          <w:b/>
          <w:bCs/>
          <w:sz w:val="21"/>
          <w:szCs w:val="21"/>
          <w:lang w:eastAsia="en-US"/>
        </w:rPr>
        <w:t xml:space="preserve">L. </w:t>
      </w:r>
      <w:r w:rsidR="00F067A2" w:rsidRPr="009D198D">
        <w:rPr>
          <w:rFonts w:ascii="Arial" w:eastAsia="Calibri" w:hAnsi="Arial" w:cs="Arial"/>
          <w:sz w:val="21"/>
          <w:szCs w:val="21"/>
          <w:lang w:eastAsia="en-US"/>
        </w:rPr>
        <w:t>Según el Art. 141 entre otros de Ley 1437-2011 y lo contemplado en la ley 80-1993,</w:t>
      </w:r>
      <w:r w:rsidR="00F067A2" w:rsidRPr="009D198D">
        <w:rPr>
          <w:rFonts w:ascii="Arial" w:eastAsia="Calibri" w:hAnsi="Arial" w:cs="Arial"/>
          <w:b/>
          <w:bCs/>
          <w:sz w:val="21"/>
          <w:szCs w:val="21"/>
          <w:lang w:eastAsia="en-US"/>
        </w:rPr>
        <w:t xml:space="preserve"> ¿la etapa de ejecución va desde la celebración del contrato hasta la terminación de este, (fase contractual) regida por actos bilaterales y en donde se encuentran algunos de los actos administrativos contractuales?</w:t>
      </w:r>
      <w:r w:rsidRPr="009D198D">
        <w:rPr>
          <w:rFonts w:ascii="Arial" w:eastAsiaTheme="minorEastAsia" w:hAnsi="Arial" w:cs="Arial"/>
          <w:sz w:val="22"/>
          <w:szCs w:val="22"/>
          <w:lang w:val="es-ES_tradnl" w:eastAsia="es-CO"/>
        </w:rPr>
        <w:t>»</w:t>
      </w:r>
    </w:p>
    <w:p w14:paraId="3210A7AD" w14:textId="43FD5E0E" w:rsidR="00BB6A2F" w:rsidRPr="009D198D" w:rsidRDefault="00BB6A2F" w:rsidP="00BB6A2F">
      <w:pPr>
        <w:ind w:right="476"/>
        <w:jc w:val="both"/>
        <w:rPr>
          <w:rFonts w:ascii="Arial" w:eastAsia="Calibri" w:hAnsi="Arial" w:cs="Arial"/>
          <w:b/>
          <w:bCs/>
          <w:sz w:val="21"/>
          <w:szCs w:val="21"/>
          <w:lang w:eastAsia="en-US"/>
        </w:rPr>
      </w:pPr>
    </w:p>
    <w:p w14:paraId="2F634E1D" w14:textId="439F3034" w:rsidR="00C351FC" w:rsidRPr="009D198D" w:rsidRDefault="009F3B17" w:rsidP="00C351FC">
      <w:pPr>
        <w:spacing w:after="120" w:line="276" w:lineRule="auto"/>
        <w:jc w:val="both"/>
        <w:rPr>
          <w:rFonts w:ascii="Arial" w:hAnsi="Arial" w:cs="Arial"/>
          <w:sz w:val="22"/>
          <w:lang w:val="es-ES"/>
        </w:rPr>
      </w:pPr>
      <w:r w:rsidRPr="009D198D">
        <w:rPr>
          <w:rFonts w:ascii="Arial" w:hAnsi="Arial" w:cs="Arial"/>
          <w:sz w:val="22"/>
        </w:rPr>
        <w:t>De conformidad con las nomas de la Ley 80 de 1993 y lo señalado por la jurisprudencia</w:t>
      </w:r>
      <w:r w:rsidR="0096471A" w:rsidRPr="009D198D">
        <w:rPr>
          <w:rFonts w:ascii="Arial" w:hAnsi="Arial" w:cs="Arial"/>
          <w:sz w:val="22"/>
        </w:rPr>
        <w:t xml:space="preserve"> del Consejo de Estado</w:t>
      </w:r>
      <w:r w:rsidRPr="009D198D">
        <w:rPr>
          <w:rFonts w:ascii="Arial" w:hAnsi="Arial" w:cs="Arial"/>
          <w:sz w:val="22"/>
        </w:rPr>
        <w:t>,</w:t>
      </w:r>
      <w:r w:rsidR="00C351FC" w:rsidRPr="009D198D">
        <w:rPr>
          <w:rFonts w:ascii="Arial" w:hAnsi="Arial" w:cs="Arial"/>
          <w:sz w:val="22"/>
        </w:rPr>
        <w:t xml:space="preserve"> la etapa contractual </w:t>
      </w:r>
      <w:r w:rsidR="00C351FC" w:rsidRPr="009D198D">
        <w:rPr>
          <w:rFonts w:ascii="Arial" w:eastAsiaTheme="minorHAnsi" w:hAnsi="Arial" w:cs="Arial"/>
          <w:sz w:val="22"/>
          <w:szCs w:val="22"/>
          <w:lang w:eastAsia="en-US"/>
        </w:rPr>
        <w:t>se compone de</w:t>
      </w:r>
      <w:r w:rsidR="00C351FC" w:rsidRPr="009D198D">
        <w:rPr>
          <w:rFonts w:ascii="Arial" w:hAnsi="Arial" w:cs="Arial"/>
          <w:sz w:val="22"/>
          <w:szCs w:val="22"/>
        </w:rPr>
        <w:t xml:space="preserve"> </w:t>
      </w:r>
      <w:r w:rsidR="00C351FC" w:rsidRPr="009D198D">
        <w:rPr>
          <w:rFonts w:ascii="Arial" w:hAnsi="Arial" w:cs="Arial"/>
          <w:color w:val="000000" w:themeColor="text1"/>
          <w:sz w:val="22"/>
          <w:szCs w:val="22"/>
        </w:rPr>
        <w:t>«</w:t>
      </w:r>
      <w:r w:rsidR="00C351FC" w:rsidRPr="009D198D">
        <w:rPr>
          <w:rFonts w:ascii="Arial" w:eastAsiaTheme="minorHAnsi" w:hAnsi="Arial" w:cs="Arial"/>
          <w:sz w:val="22"/>
          <w:szCs w:val="22"/>
          <w:lang w:eastAsia="en-US"/>
        </w:rPr>
        <w:t>a) legalización y perfeccionamiento del contrato, verificación de los requisitos de</w:t>
      </w:r>
      <w:r w:rsidR="00C351FC" w:rsidRPr="009D198D">
        <w:rPr>
          <w:rFonts w:ascii="Arial" w:hAnsi="Arial" w:cs="Arial"/>
          <w:sz w:val="22"/>
        </w:rPr>
        <w:t xml:space="preserve"> </w:t>
      </w:r>
      <w:r w:rsidR="00C351FC" w:rsidRPr="009D198D">
        <w:rPr>
          <w:rFonts w:ascii="Arial" w:eastAsiaTheme="minorHAnsi" w:hAnsi="Arial" w:cs="Arial"/>
          <w:sz w:val="22"/>
        </w:rPr>
        <w:t xml:space="preserve">ejecución </w:t>
      </w:r>
      <w:proofErr w:type="gramStart"/>
      <w:r w:rsidR="00C351FC" w:rsidRPr="009D198D">
        <w:rPr>
          <w:rFonts w:ascii="Arial" w:eastAsiaTheme="minorHAnsi" w:hAnsi="Arial" w:cs="Arial"/>
          <w:sz w:val="22"/>
        </w:rPr>
        <w:t>del mismo</w:t>
      </w:r>
      <w:proofErr w:type="gramEnd"/>
      <w:r w:rsidR="00C351FC" w:rsidRPr="009D198D">
        <w:rPr>
          <w:rFonts w:ascii="Arial" w:eastAsiaTheme="minorHAnsi" w:hAnsi="Arial" w:cs="Arial"/>
          <w:sz w:val="22"/>
        </w:rPr>
        <w:t>, b) ejecución propiamente dicha</w:t>
      </w:r>
      <w:r w:rsidR="00C351FC" w:rsidRPr="009D198D">
        <w:rPr>
          <w:rFonts w:ascii="Arial" w:hAnsi="Arial" w:cs="Arial"/>
          <w:sz w:val="22"/>
        </w:rPr>
        <w:t xml:space="preserve"> y c) terminación</w:t>
      </w:r>
      <w:r w:rsidR="00C351FC" w:rsidRPr="009D198D">
        <w:rPr>
          <w:rFonts w:ascii="Arial" w:hAnsi="Arial" w:cs="Arial"/>
          <w:color w:val="000000" w:themeColor="text1"/>
          <w:sz w:val="22"/>
          <w:szCs w:val="22"/>
        </w:rPr>
        <w:t>»</w:t>
      </w:r>
      <w:r w:rsidR="00C351FC" w:rsidRPr="009D198D">
        <w:rPr>
          <w:rFonts w:ascii="Arial" w:hAnsi="Arial" w:cs="Arial"/>
          <w:sz w:val="22"/>
        </w:rPr>
        <w:t xml:space="preserve">. </w:t>
      </w:r>
      <w:r w:rsidR="008D5E27" w:rsidRPr="009D198D">
        <w:rPr>
          <w:rFonts w:ascii="Arial" w:hAnsi="Arial" w:cs="Arial"/>
          <w:sz w:val="22"/>
          <w:lang w:val="es-ES"/>
        </w:rPr>
        <w:t xml:space="preserve">En este contexto, en la etapa contractual se encuentran los documentos de ejecución del contrato como el acta de inicio, los otrosíes, las garantías, actas parciales, los actos administrativos expedidos con ocasión de la ejecución del contrato, como los correspondientes a los procesos por incumplimiento contractual que se lleven a cabo conforme al artículo 86 de la Ley 1474 de 2011, los informes de supervisión y/o interventoría, entre otros. </w:t>
      </w:r>
    </w:p>
    <w:p w14:paraId="6A0E207E" w14:textId="7BC1C92B" w:rsidR="00BB6A2F" w:rsidRPr="009D198D" w:rsidRDefault="008D5E27" w:rsidP="008D5E27">
      <w:pPr>
        <w:tabs>
          <w:tab w:val="left" w:pos="960"/>
        </w:tabs>
        <w:ind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ab/>
      </w:r>
    </w:p>
    <w:p w14:paraId="2D8810A6" w14:textId="03C3F970" w:rsidR="00F067A2" w:rsidRPr="009D198D" w:rsidRDefault="00920A7B" w:rsidP="00F067A2">
      <w:pPr>
        <w:ind w:left="709" w:right="476"/>
        <w:jc w:val="both"/>
        <w:rPr>
          <w:rFonts w:ascii="Arial" w:eastAsia="Calibri" w:hAnsi="Arial" w:cs="Arial"/>
          <w:b/>
          <w:bCs/>
          <w:sz w:val="21"/>
          <w:szCs w:val="21"/>
          <w:lang w:eastAsia="en-US"/>
        </w:rPr>
      </w:pPr>
      <w:r w:rsidRPr="009D198D">
        <w:rPr>
          <w:rFonts w:ascii="Arial" w:eastAsia="Calibri" w:hAnsi="Arial" w:cs="Arial"/>
          <w:color w:val="000000" w:themeColor="text1"/>
          <w:sz w:val="21"/>
          <w:szCs w:val="21"/>
        </w:rPr>
        <w:t>«</w:t>
      </w:r>
      <w:r w:rsidR="00F067A2" w:rsidRPr="009D198D">
        <w:rPr>
          <w:rFonts w:ascii="Arial" w:eastAsia="Calibri" w:hAnsi="Arial" w:cs="Arial"/>
          <w:b/>
          <w:bCs/>
          <w:sz w:val="21"/>
          <w:szCs w:val="21"/>
          <w:lang w:eastAsia="en-US"/>
        </w:rPr>
        <w:t xml:space="preserve">M. </w:t>
      </w:r>
      <w:r w:rsidR="00F067A2" w:rsidRPr="009D198D">
        <w:rPr>
          <w:rFonts w:ascii="Arial" w:eastAsia="Calibri" w:hAnsi="Arial" w:cs="Arial"/>
          <w:sz w:val="21"/>
          <w:szCs w:val="21"/>
          <w:lang w:eastAsia="en-US"/>
        </w:rPr>
        <w:t>Según el sistema de compra publica,</w:t>
      </w:r>
      <w:r w:rsidR="00F067A2" w:rsidRPr="009D198D">
        <w:rPr>
          <w:rFonts w:ascii="Arial" w:eastAsia="Calibri" w:hAnsi="Arial" w:cs="Arial"/>
          <w:b/>
          <w:bCs/>
          <w:sz w:val="21"/>
          <w:szCs w:val="21"/>
          <w:lang w:eastAsia="en-US"/>
        </w:rPr>
        <w:t xml:space="preserve"> ¿se entiende por fase </w:t>
      </w:r>
      <w:proofErr w:type="spellStart"/>
      <w:r w:rsidR="00F067A2" w:rsidRPr="009D198D">
        <w:rPr>
          <w:rFonts w:ascii="Arial" w:eastAsia="Calibri" w:hAnsi="Arial" w:cs="Arial"/>
          <w:b/>
          <w:bCs/>
          <w:sz w:val="21"/>
          <w:szCs w:val="21"/>
          <w:lang w:eastAsia="en-US"/>
        </w:rPr>
        <w:t>poscontractual</w:t>
      </w:r>
      <w:proofErr w:type="spellEnd"/>
      <w:r w:rsidR="00F067A2" w:rsidRPr="009D198D">
        <w:rPr>
          <w:rFonts w:ascii="Arial" w:eastAsia="Calibri" w:hAnsi="Arial" w:cs="Arial"/>
          <w:b/>
          <w:bCs/>
          <w:sz w:val="21"/>
          <w:szCs w:val="21"/>
          <w:lang w:eastAsia="en-US"/>
        </w:rPr>
        <w:t xml:space="preserve"> aquella regida desde la liquidación en adelante hasta el rompimiento total del vínculo y cierre del expediente?</w:t>
      </w:r>
      <w:r w:rsidRPr="009D198D">
        <w:rPr>
          <w:rFonts w:ascii="Arial" w:eastAsiaTheme="minorEastAsia" w:hAnsi="Arial" w:cs="Arial"/>
          <w:sz w:val="22"/>
          <w:szCs w:val="22"/>
          <w:lang w:val="es-ES_tradnl" w:eastAsia="es-CO"/>
        </w:rPr>
        <w:t>»</w:t>
      </w:r>
    </w:p>
    <w:p w14:paraId="57F37C22" w14:textId="77777777" w:rsidR="00F067A2" w:rsidRPr="009D198D" w:rsidRDefault="00F067A2" w:rsidP="00F067A2">
      <w:pPr>
        <w:ind w:left="709" w:right="476"/>
        <w:jc w:val="both"/>
        <w:rPr>
          <w:rFonts w:ascii="Arial" w:eastAsia="Calibri" w:hAnsi="Arial" w:cs="Arial"/>
          <w:b/>
          <w:bCs/>
          <w:sz w:val="21"/>
          <w:szCs w:val="21"/>
          <w:lang w:eastAsia="en-US"/>
        </w:rPr>
      </w:pPr>
    </w:p>
    <w:p w14:paraId="6BA9F7A1" w14:textId="722207F2" w:rsidR="00C351FC" w:rsidRPr="009D198D" w:rsidRDefault="003227ED" w:rsidP="00C351FC">
      <w:pPr>
        <w:spacing w:after="120" w:line="276" w:lineRule="auto"/>
        <w:jc w:val="both"/>
        <w:rPr>
          <w:rFonts w:ascii="Arial" w:hAnsi="Arial" w:cs="Arial"/>
          <w:bCs/>
          <w:sz w:val="22"/>
          <w:szCs w:val="22"/>
          <w:lang w:val="es-ES_tradnl"/>
        </w:rPr>
      </w:pPr>
      <w:r w:rsidRPr="009D198D">
        <w:rPr>
          <w:rFonts w:ascii="Arial" w:hAnsi="Arial" w:cs="Arial"/>
          <w:bCs/>
          <w:sz w:val="22"/>
          <w:lang w:val="es-ES_tradnl"/>
        </w:rPr>
        <w:t xml:space="preserve">En relación </w:t>
      </w:r>
      <w:r w:rsidRPr="009D198D">
        <w:rPr>
          <w:rFonts w:ascii="Arial" w:hAnsi="Arial" w:cs="Arial"/>
          <w:bCs/>
          <w:sz w:val="22"/>
          <w:szCs w:val="22"/>
          <w:lang w:val="es-ES_tradnl"/>
        </w:rPr>
        <w:t xml:space="preserve">con la «etapa </w:t>
      </w:r>
      <w:proofErr w:type="spellStart"/>
      <w:r w:rsidRPr="009D198D">
        <w:rPr>
          <w:rFonts w:ascii="Arial" w:hAnsi="Arial" w:cs="Arial"/>
          <w:bCs/>
          <w:sz w:val="22"/>
          <w:szCs w:val="22"/>
          <w:lang w:val="es-ES_tradnl"/>
        </w:rPr>
        <w:t>postcontractual</w:t>
      </w:r>
      <w:proofErr w:type="spellEnd"/>
      <w:r w:rsidRPr="009D198D">
        <w:rPr>
          <w:rFonts w:ascii="Arial" w:hAnsi="Arial" w:cs="Arial"/>
          <w:bCs/>
          <w:sz w:val="22"/>
          <w:szCs w:val="22"/>
          <w:lang w:val="es-ES_tradnl"/>
        </w:rPr>
        <w:t>»</w:t>
      </w:r>
      <w:r w:rsidR="00EF0166" w:rsidRPr="009D198D">
        <w:rPr>
          <w:rFonts w:ascii="Arial" w:hAnsi="Arial" w:cs="Arial"/>
          <w:bCs/>
          <w:sz w:val="22"/>
          <w:szCs w:val="22"/>
          <w:lang w:val="es-ES_tradnl"/>
        </w:rPr>
        <w:t>,</w:t>
      </w:r>
      <w:r w:rsidRPr="009D198D">
        <w:rPr>
          <w:rFonts w:ascii="Arial" w:hAnsi="Arial" w:cs="Arial"/>
          <w:bCs/>
          <w:sz w:val="22"/>
          <w:szCs w:val="22"/>
          <w:lang w:val="es-ES_tradnl"/>
        </w:rPr>
        <w:t xml:space="preserve"> es preciso resaltar que esta no se encuentra </w:t>
      </w:r>
      <w:r w:rsidR="00EF0166" w:rsidRPr="009D198D">
        <w:rPr>
          <w:rFonts w:ascii="Arial" w:hAnsi="Arial" w:cs="Arial"/>
          <w:bCs/>
          <w:sz w:val="22"/>
          <w:szCs w:val="22"/>
          <w:lang w:val="es-ES_tradnl"/>
        </w:rPr>
        <w:t>definida</w:t>
      </w:r>
      <w:r w:rsidRPr="009D198D">
        <w:rPr>
          <w:rFonts w:ascii="Arial" w:hAnsi="Arial" w:cs="Arial"/>
          <w:bCs/>
          <w:sz w:val="22"/>
          <w:szCs w:val="22"/>
          <w:lang w:val="es-ES_tradnl"/>
        </w:rPr>
        <w:t xml:space="preserve"> en </w:t>
      </w:r>
      <w:r w:rsidR="00EF0166" w:rsidRPr="009D198D">
        <w:rPr>
          <w:rFonts w:ascii="Arial" w:hAnsi="Arial" w:cs="Arial"/>
          <w:bCs/>
          <w:sz w:val="22"/>
          <w:szCs w:val="22"/>
          <w:lang w:val="es-ES_tradnl"/>
        </w:rPr>
        <w:t>el EGCAP</w:t>
      </w:r>
      <w:r w:rsidRPr="009D198D">
        <w:rPr>
          <w:rFonts w:ascii="Arial" w:hAnsi="Arial" w:cs="Arial"/>
          <w:bCs/>
          <w:sz w:val="22"/>
          <w:szCs w:val="22"/>
          <w:lang w:val="es-ES_tradnl"/>
        </w:rPr>
        <w:t xml:space="preserve"> y su desarrollo ha sido eminentemente jurisprudencial y doctrinario. A este respecto, el Consejo de Estado señala que la etapa </w:t>
      </w:r>
      <w:proofErr w:type="spellStart"/>
      <w:r w:rsidRPr="009D198D">
        <w:rPr>
          <w:rFonts w:ascii="Arial" w:hAnsi="Arial" w:cs="Arial"/>
          <w:bCs/>
          <w:sz w:val="22"/>
          <w:szCs w:val="22"/>
          <w:lang w:val="es-ES_tradnl"/>
        </w:rPr>
        <w:t>postcontractual</w:t>
      </w:r>
      <w:proofErr w:type="spellEnd"/>
      <w:r w:rsidRPr="009D198D">
        <w:rPr>
          <w:rFonts w:ascii="Arial" w:hAnsi="Arial" w:cs="Arial"/>
          <w:bCs/>
          <w:sz w:val="22"/>
          <w:szCs w:val="22"/>
          <w:lang w:val="es-ES_tradnl"/>
        </w:rPr>
        <w:t xml:space="preserve"> «se compone de la liquidación del contrato y comprende el balance financiero y contable del mismo en donde se hace el corte final de cuentas teniendo como punto de partida su objeto, valor y demás condiciones de este»</w:t>
      </w:r>
      <w:r w:rsidR="009F3B17" w:rsidRPr="009D198D">
        <w:rPr>
          <w:rFonts w:ascii="Arial" w:hAnsi="Arial" w:cs="Arial"/>
          <w:bCs/>
          <w:sz w:val="22"/>
          <w:szCs w:val="22"/>
          <w:lang w:val="es-ES_tradnl"/>
        </w:rPr>
        <w:t>.</w:t>
      </w:r>
      <w:r w:rsidR="009F3B17" w:rsidRPr="009D198D">
        <w:rPr>
          <w:rFonts w:ascii="Arial" w:hAnsi="Arial" w:cs="Arial"/>
          <w:bCs/>
          <w:sz w:val="22"/>
          <w:szCs w:val="22"/>
          <w:lang w:val="es-ES_tradnl" w:bidi="es-ES"/>
        </w:rPr>
        <w:t xml:space="preserve"> </w:t>
      </w:r>
      <w:r w:rsidR="009F3B17" w:rsidRPr="009D198D">
        <w:rPr>
          <w:rFonts w:ascii="Arial" w:hAnsi="Arial" w:cs="Arial"/>
          <w:bCs/>
          <w:sz w:val="22"/>
          <w:szCs w:val="22"/>
          <w:lang w:val="es-ES_tradnl"/>
        </w:rPr>
        <w:t xml:space="preserve">En estos términos, liquidar supone un ajuste expreso y claro sobre las cuentas y el estado de cumplimiento de un contrato, de tal manera que conste el </w:t>
      </w:r>
      <w:r w:rsidR="009F3B17" w:rsidRPr="009D198D">
        <w:rPr>
          <w:rFonts w:ascii="Arial" w:hAnsi="Arial" w:cs="Arial"/>
          <w:bCs/>
          <w:sz w:val="22"/>
          <w:szCs w:val="22"/>
          <w:lang w:val="es-ES_tradnl"/>
        </w:rPr>
        <w:lastRenderedPageBreak/>
        <w:t>balance tanto técnico como económico de las obligaciones que estuvieron a cargo de las partes. En cuanto a lo primero, la liquidación debe incluir un análisis detallado de las condiciones de calidad y oportunidad en la entrega de los bienes, obras o servicios, y en cuanto a lo segundo dará cuenta del comportamiento financiero del negocio: recursos recibidos, pagos efectuados, estado del crédito o de la deuda de cada parte, entre otros detalles mínimos y necesarios para finiquitar una relación jurídica contractual.</w:t>
      </w:r>
    </w:p>
    <w:p w14:paraId="6B7281D7" w14:textId="57159DCB" w:rsidR="00EE6348" w:rsidRPr="009D198D" w:rsidRDefault="00C351FC" w:rsidP="00EE3577">
      <w:pPr>
        <w:spacing w:after="120" w:line="276" w:lineRule="auto"/>
        <w:ind w:firstLine="708"/>
        <w:jc w:val="both"/>
        <w:rPr>
          <w:rFonts w:ascii="Arial" w:hAnsi="Arial" w:cs="Arial"/>
          <w:bCs/>
          <w:sz w:val="22"/>
          <w:lang w:val="es-MX"/>
        </w:rPr>
      </w:pPr>
      <w:r w:rsidRPr="009D198D">
        <w:rPr>
          <w:rFonts w:ascii="Arial" w:hAnsi="Arial" w:cs="Arial"/>
          <w:bCs/>
          <w:sz w:val="22"/>
          <w:lang w:val="es-ES_tradnl"/>
        </w:rPr>
        <w:t xml:space="preserve">Por su parte, </w:t>
      </w:r>
      <w:r w:rsidRPr="009D198D">
        <w:rPr>
          <w:rFonts w:ascii="Arial" w:hAnsi="Arial" w:cs="Arial"/>
          <w:bCs/>
          <w:sz w:val="22"/>
        </w:rPr>
        <w:t xml:space="preserve">de acuerdo con el artículo </w:t>
      </w:r>
      <w:r w:rsidRPr="009D198D">
        <w:rPr>
          <w:rFonts w:ascii="Arial" w:hAnsi="Arial" w:cs="Arial"/>
          <w:bCs/>
          <w:sz w:val="22"/>
          <w:lang w:val="es-MX"/>
        </w:rPr>
        <w:t>2.2.1.1.2.4.3</w:t>
      </w:r>
      <w:r w:rsidR="002C2516" w:rsidRPr="009D198D">
        <w:rPr>
          <w:rFonts w:ascii="Arial" w:hAnsi="Arial" w:cs="Arial"/>
          <w:bCs/>
          <w:sz w:val="22"/>
          <w:lang w:val="es-MX"/>
        </w:rPr>
        <w:t>.</w:t>
      </w:r>
      <w:r w:rsidRPr="009D198D">
        <w:rPr>
          <w:rFonts w:ascii="Arial" w:hAnsi="Arial" w:cs="Arial"/>
          <w:bCs/>
          <w:sz w:val="22"/>
          <w:lang w:val="es-MX"/>
        </w:rPr>
        <w:t xml:space="preserve"> del Decreto 1082 de 2015, el cierre del expediente del proceso de contratación es un acto de trámite </w:t>
      </w:r>
      <w:r w:rsidR="002C2516" w:rsidRPr="009D198D">
        <w:rPr>
          <w:rFonts w:ascii="Arial" w:hAnsi="Arial" w:cs="Arial"/>
          <w:bCs/>
          <w:sz w:val="22"/>
          <w:lang w:val="es-MX"/>
        </w:rPr>
        <w:t>propio de</w:t>
      </w:r>
      <w:r w:rsidRPr="009D198D">
        <w:rPr>
          <w:rFonts w:ascii="Arial" w:hAnsi="Arial" w:cs="Arial"/>
          <w:bCs/>
          <w:sz w:val="22"/>
          <w:lang w:val="es-MX"/>
        </w:rPr>
        <w:t xml:space="preserve"> los contratos estatales en los que se hayan pactado garantías de calidad, estabilidad o mantenimiento, o cuando la entidad establezca condiciones de disposición final o recuperación ambiental de las obras o bienes contratados. </w:t>
      </w:r>
      <w:r w:rsidR="0096471A" w:rsidRPr="009D198D">
        <w:rPr>
          <w:rFonts w:ascii="Arial" w:hAnsi="Arial" w:cs="Arial"/>
          <w:bCs/>
          <w:sz w:val="22"/>
          <w:lang w:val="es-MX"/>
        </w:rPr>
        <w:t>De este modo, el cierre del expediente no es obligatorio en todos los contratos estatales, por lo que no puede considerarse como un acto generalizado que finalice el proceso de contratación.</w:t>
      </w:r>
    </w:p>
    <w:p w14:paraId="3DCDC2AB" w14:textId="610A3D60" w:rsidR="00982A05" w:rsidRPr="009D198D" w:rsidRDefault="00920A7B" w:rsidP="00982A05">
      <w:pPr>
        <w:ind w:left="709" w:right="476"/>
        <w:jc w:val="both"/>
        <w:rPr>
          <w:rFonts w:ascii="Arial" w:eastAsia="Calibri" w:hAnsi="Arial" w:cs="Arial"/>
          <w:b/>
          <w:bCs/>
          <w:sz w:val="21"/>
          <w:szCs w:val="21"/>
          <w:lang w:eastAsia="en-US"/>
        </w:rPr>
      </w:pPr>
      <w:r w:rsidRPr="009D198D">
        <w:rPr>
          <w:rFonts w:ascii="Arial" w:eastAsia="Calibri" w:hAnsi="Arial" w:cs="Arial"/>
          <w:color w:val="000000" w:themeColor="text1"/>
          <w:sz w:val="21"/>
          <w:szCs w:val="21"/>
        </w:rPr>
        <w:t>«</w:t>
      </w:r>
      <w:r w:rsidR="00982A05" w:rsidRPr="009D198D">
        <w:rPr>
          <w:rFonts w:ascii="Arial" w:eastAsia="Calibri" w:hAnsi="Arial" w:cs="Arial"/>
          <w:b/>
          <w:bCs/>
          <w:sz w:val="21"/>
          <w:szCs w:val="21"/>
          <w:lang w:eastAsia="en-US"/>
        </w:rPr>
        <w:t xml:space="preserve">5. </w:t>
      </w:r>
      <w:r w:rsidR="00982A05" w:rsidRPr="009D198D">
        <w:rPr>
          <w:rFonts w:ascii="Arial" w:eastAsia="Calibri" w:hAnsi="Arial" w:cs="Arial"/>
          <w:sz w:val="21"/>
          <w:szCs w:val="21"/>
          <w:lang w:eastAsia="en-US"/>
        </w:rPr>
        <w:t>Acorde con lo contemplado en el Estatuto Orgánico del presupuesto y demás normas concordantes con el estatuto de contratación estatal:</w:t>
      </w:r>
    </w:p>
    <w:p w14:paraId="19B1F11E" w14:textId="77777777" w:rsidR="00982A05" w:rsidRPr="009D198D" w:rsidRDefault="00982A05" w:rsidP="00982A05">
      <w:pPr>
        <w:ind w:left="709" w:right="476"/>
        <w:jc w:val="both"/>
        <w:rPr>
          <w:rFonts w:ascii="Arial" w:eastAsia="Calibri" w:hAnsi="Arial" w:cs="Arial"/>
          <w:b/>
          <w:bCs/>
          <w:sz w:val="21"/>
          <w:szCs w:val="21"/>
          <w:lang w:eastAsia="en-US"/>
        </w:rPr>
      </w:pPr>
    </w:p>
    <w:p w14:paraId="5A7BBAF4" w14:textId="77777777" w:rsidR="00982A05" w:rsidRPr="009D198D" w:rsidRDefault="00982A05" w:rsidP="00982A05">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A. ¿Cuáles son los límites y excepciones en la aplicación del principio de anualidad?</w:t>
      </w:r>
    </w:p>
    <w:p w14:paraId="57BFFF2D" w14:textId="77777777" w:rsidR="00982A05" w:rsidRPr="009D198D" w:rsidRDefault="00982A05" w:rsidP="00982A05">
      <w:pPr>
        <w:ind w:left="709" w:right="476"/>
        <w:jc w:val="both"/>
        <w:rPr>
          <w:rFonts w:ascii="Arial" w:eastAsia="Calibri" w:hAnsi="Arial" w:cs="Arial"/>
          <w:b/>
          <w:bCs/>
          <w:sz w:val="21"/>
          <w:szCs w:val="21"/>
          <w:lang w:eastAsia="en-US"/>
        </w:rPr>
      </w:pPr>
    </w:p>
    <w:p w14:paraId="7BAD47B2" w14:textId="77777777" w:rsidR="00982A05" w:rsidRPr="009D198D" w:rsidRDefault="00982A05" w:rsidP="00982A05">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B. ¿Puede una entidad pública celebrar contratos en el mes de diciembre, comprometiendo el recurso económico dentro de la vigencia fiscal actual, pero, extendiendo su ejecución más allá del día 31 de dicho mes? De ser afirmativa la respuesta, ¿necesitaría de alguna autorización especial de algún órgano o entidad estatal?</w:t>
      </w:r>
    </w:p>
    <w:p w14:paraId="41A47C83" w14:textId="77777777" w:rsidR="00982A05" w:rsidRPr="009D198D" w:rsidRDefault="00982A05" w:rsidP="00982A05">
      <w:pPr>
        <w:ind w:left="709" w:right="476"/>
        <w:jc w:val="both"/>
        <w:rPr>
          <w:rFonts w:ascii="Arial" w:eastAsia="Calibri" w:hAnsi="Arial" w:cs="Arial"/>
          <w:b/>
          <w:bCs/>
          <w:sz w:val="21"/>
          <w:szCs w:val="21"/>
          <w:lang w:eastAsia="en-US"/>
        </w:rPr>
      </w:pPr>
    </w:p>
    <w:p w14:paraId="5E498960" w14:textId="77777777" w:rsidR="00982A05" w:rsidRPr="009D198D" w:rsidRDefault="00982A05" w:rsidP="00982A05">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C. Acorde con la necesidad de la Entidad Estatal, un contrato de prestación de servicios, cualquiera sea su tipo, puede celebrarse en el mes de diciembre y extenderse su ejecución al año siguiente, con recursos de la vigencia fiscal anterior?</w:t>
      </w:r>
    </w:p>
    <w:p w14:paraId="46281545" w14:textId="77777777" w:rsidR="00982A05" w:rsidRPr="009D198D" w:rsidRDefault="00982A05" w:rsidP="00982A05">
      <w:pPr>
        <w:ind w:left="709" w:right="476"/>
        <w:jc w:val="both"/>
        <w:rPr>
          <w:rFonts w:ascii="Arial" w:eastAsia="Calibri" w:hAnsi="Arial" w:cs="Arial"/>
          <w:b/>
          <w:bCs/>
          <w:sz w:val="21"/>
          <w:szCs w:val="21"/>
          <w:lang w:eastAsia="en-US"/>
        </w:rPr>
      </w:pPr>
    </w:p>
    <w:p w14:paraId="0AC4D967" w14:textId="19DE26D8" w:rsidR="00982A05" w:rsidRPr="009D198D" w:rsidRDefault="00982A05" w:rsidP="00982A05">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D. La Entidad Estatal, puede prorrogar un contrato cuya ejecución haya </w:t>
      </w:r>
      <w:r w:rsidR="00F46BDE" w:rsidRPr="009D198D">
        <w:rPr>
          <w:rFonts w:ascii="Arial" w:eastAsia="Calibri" w:hAnsi="Arial" w:cs="Arial"/>
          <w:b/>
          <w:bCs/>
          <w:sz w:val="21"/>
          <w:szCs w:val="21"/>
          <w:lang w:eastAsia="en-US"/>
        </w:rPr>
        <w:t xml:space="preserve">(SIC) </w:t>
      </w:r>
      <w:r w:rsidRPr="009D198D">
        <w:rPr>
          <w:rFonts w:ascii="Arial" w:eastAsia="Calibri" w:hAnsi="Arial" w:cs="Arial"/>
          <w:b/>
          <w:bCs/>
          <w:sz w:val="21"/>
          <w:szCs w:val="21"/>
          <w:lang w:eastAsia="en-US"/>
        </w:rPr>
        <w:t>hasta al 31 de diciembre, para continuar en la vigencia anual siguiente? ¿De ser afirmativa la respuesta, necesitaría de alguna autorización especial de algún órgano o entidad estatal?</w:t>
      </w:r>
    </w:p>
    <w:p w14:paraId="3CD4F605" w14:textId="77777777" w:rsidR="00982A05" w:rsidRPr="009D198D" w:rsidRDefault="00982A05" w:rsidP="00982A05">
      <w:pPr>
        <w:ind w:left="709" w:right="476"/>
        <w:jc w:val="both"/>
        <w:rPr>
          <w:rFonts w:ascii="Arial" w:eastAsia="Calibri" w:hAnsi="Arial" w:cs="Arial"/>
          <w:b/>
          <w:bCs/>
          <w:sz w:val="21"/>
          <w:szCs w:val="21"/>
          <w:lang w:eastAsia="en-US"/>
        </w:rPr>
      </w:pPr>
    </w:p>
    <w:p w14:paraId="50EF0118" w14:textId="77777777" w:rsidR="00982A05" w:rsidRPr="009D198D" w:rsidRDefault="00982A05" w:rsidP="00982A05">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E. La Entidad Estatal, puede adicionar un contrato en el mes de diciembre de la vigencia fiscal actual, para que sea ejecutado durante ese mes y el mes de enero de la vigencia siguiente? ¿De ser afirmativa la respuesta, necesitaría de alguna autorización especial de algún órgano o entidad estatal?</w:t>
      </w:r>
    </w:p>
    <w:p w14:paraId="7C09E968" w14:textId="77777777" w:rsidR="00982A05" w:rsidRPr="009D198D" w:rsidRDefault="00982A05" w:rsidP="00982A05">
      <w:pPr>
        <w:ind w:left="709" w:right="476"/>
        <w:jc w:val="both"/>
        <w:rPr>
          <w:rFonts w:ascii="Arial" w:eastAsia="Calibri" w:hAnsi="Arial" w:cs="Arial"/>
          <w:b/>
          <w:bCs/>
          <w:sz w:val="21"/>
          <w:szCs w:val="21"/>
          <w:lang w:eastAsia="en-US"/>
        </w:rPr>
      </w:pPr>
    </w:p>
    <w:p w14:paraId="234C2601" w14:textId="6AC83387" w:rsidR="00982A05" w:rsidRPr="009D198D" w:rsidRDefault="00982A05" w:rsidP="00982A05">
      <w:pPr>
        <w:ind w:left="709" w:right="476"/>
        <w:jc w:val="both"/>
        <w:rPr>
          <w:rFonts w:ascii="Arial" w:eastAsia="Calibri" w:hAnsi="Arial" w:cs="Arial"/>
          <w:b/>
          <w:bCs/>
          <w:sz w:val="21"/>
          <w:szCs w:val="21"/>
          <w:lang w:eastAsia="en-US"/>
        </w:rPr>
      </w:pPr>
      <w:r w:rsidRPr="009D198D">
        <w:rPr>
          <w:rFonts w:ascii="Arial" w:eastAsia="Calibri" w:hAnsi="Arial" w:cs="Arial"/>
          <w:b/>
          <w:bCs/>
          <w:sz w:val="21"/>
          <w:szCs w:val="21"/>
          <w:lang w:eastAsia="en-US"/>
        </w:rPr>
        <w:t xml:space="preserve">F. ¿Qué diferencia hay entre reserva presupuestal, reserva presupuestal de negocio jurídico no perfeccionado del inciso 2 del artículo 8 de la </w:t>
      </w:r>
      <w:proofErr w:type="spellStart"/>
      <w:r w:rsidRPr="009D198D">
        <w:rPr>
          <w:rFonts w:ascii="Arial" w:eastAsia="Calibri" w:hAnsi="Arial" w:cs="Arial"/>
          <w:b/>
          <w:bCs/>
          <w:sz w:val="21"/>
          <w:szCs w:val="21"/>
          <w:lang w:eastAsia="en-US"/>
        </w:rPr>
        <w:t>Iey</w:t>
      </w:r>
      <w:proofErr w:type="spellEnd"/>
      <w:r w:rsidRPr="009D198D">
        <w:rPr>
          <w:rFonts w:ascii="Arial" w:eastAsia="Calibri" w:hAnsi="Arial" w:cs="Arial"/>
          <w:b/>
          <w:bCs/>
          <w:sz w:val="21"/>
          <w:szCs w:val="21"/>
          <w:lang w:eastAsia="en-US"/>
        </w:rPr>
        <w:t xml:space="preserve"> 819/2003, reserva de tramite negocial, reserva de apropiación, reserva de caja, pasivos exigibles por vigencias expiradas, y vigencias futuras?</w:t>
      </w:r>
      <w:r w:rsidR="00920A7B" w:rsidRPr="009D198D">
        <w:rPr>
          <w:rFonts w:ascii="Arial" w:eastAsiaTheme="minorEastAsia" w:hAnsi="Arial" w:cs="Arial"/>
          <w:sz w:val="22"/>
          <w:szCs w:val="22"/>
          <w:lang w:val="es-ES_tradnl" w:eastAsia="es-CO"/>
        </w:rPr>
        <w:t>»</w:t>
      </w:r>
    </w:p>
    <w:p w14:paraId="5E2C9B51" w14:textId="015465EB" w:rsidR="00982A05" w:rsidRPr="009D198D" w:rsidRDefault="00982A05" w:rsidP="00982A05">
      <w:pPr>
        <w:ind w:right="476"/>
        <w:jc w:val="both"/>
        <w:rPr>
          <w:rFonts w:ascii="Arial" w:eastAsia="Calibri" w:hAnsi="Arial" w:cs="Arial"/>
          <w:color w:val="000000" w:themeColor="text1"/>
          <w:sz w:val="22"/>
          <w:szCs w:val="22"/>
          <w:lang w:val="es-ES_tradnl"/>
        </w:rPr>
      </w:pPr>
    </w:p>
    <w:p w14:paraId="046CD75F" w14:textId="24A6DA5F" w:rsidR="00975B40" w:rsidRPr="009D198D" w:rsidRDefault="00975B40" w:rsidP="00975B40">
      <w:pPr>
        <w:spacing w:before="120" w:line="276" w:lineRule="auto"/>
        <w:ind w:right="51"/>
        <w:jc w:val="both"/>
        <w:rPr>
          <w:rFonts w:ascii="Arial" w:eastAsiaTheme="minorHAnsi" w:hAnsi="Arial" w:cs="Arial"/>
          <w:color w:val="000000"/>
          <w:sz w:val="22"/>
          <w:szCs w:val="22"/>
          <w:shd w:val="clear" w:color="auto" w:fill="FFFFFF"/>
          <w:lang w:val="es-ES_tradnl" w:eastAsia="en-US"/>
        </w:rPr>
      </w:pPr>
      <w:r w:rsidRPr="009D198D">
        <w:rPr>
          <w:rFonts w:ascii="Arial" w:eastAsiaTheme="minorHAnsi" w:hAnsi="Arial" w:cs="Arial"/>
          <w:color w:val="000000"/>
          <w:sz w:val="22"/>
          <w:szCs w:val="22"/>
          <w:shd w:val="clear" w:color="auto" w:fill="FFFFFF"/>
          <w:lang w:eastAsia="en-US"/>
        </w:rPr>
        <w:lastRenderedPageBreak/>
        <w:t>Las anteriores preguntas, por su unidad temática, se responden en conjunto</w:t>
      </w:r>
      <w:r w:rsidR="002C2516" w:rsidRPr="009D198D">
        <w:rPr>
          <w:rFonts w:ascii="Arial" w:eastAsiaTheme="minorHAnsi" w:hAnsi="Arial" w:cs="Arial"/>
          <w:color w:val="000000"/>
          <w:sz w:val="22"/>
          <w:szCs w:val="22"/>
          <w:shd w:val="clear" w:color="auto" w:fill="FFFFFF"/>
          <w:lang w:eastAsia="en-US"/>
        </w:rPr>
        <w:t>, dentro del ámbito de competencias de la Agencia</w:t>
      </w:r>
      <w:r w:rsidRPr="009D198D">
        <w:rPr>
          <w:rFonts w:ascii="Arial" w:eastAsiaTheme="minorHAnsi" w:hAnsi="Arial" w:cs="Arial"/>
          <w:color w:val="000000"/>
          <w:sz w:val="22"/>
          <w:szCs w:val="22"/>
          <w:shd w:val="clear" w:color="auto" w:fill="FFFFFF"/>
          <w:lang w:eastAsia="en-US"/>
        </w:rPr>
        <w:t xml:space="preserve">. </w:t>
      </w:r>
      <w:r w:rsidR="00833F63" w:rsidRPr="009D198D">
        <w:rPr>
          <w:rFonts w:ascii="Arial" w:eastAsiaTheme="minorHAnsi" w:hAnsi="Arial" w:cs="Arial"/>
          <w:color w:val="000000"/>
          <w:sz w:val="22"/>
          <w:szCs w:val="22"/>
          <w:shd w:val="clear" w:color="auto" w:fill="FFFFFF"/>
          <w:lang w:val="es-ES_tradnl" w:eastAsia="en-US"/>
        </w:rPr>
        <w:t>L</w:t>
      </w:r>
      <w:r w:rsidRPr="009D198D">
        <w:rPr>
          <w:rFonts w:ascii="Arial" w:eastAsiaTheme="minorHAnsi" w:hAnsi="Arial" w:cs="Arial"/>
          <w:color w:val="000000"/>
          <w:sz w:val="22"/>
          <w:szCs w:val="22"/>
          <w:shd w:val="clear" w:color="auto" w:fill="FFFFFF"/>
          <w:lang w:val="es-ES_tradnl" w:eastAsia="en-US"/>
        </w:rPr>
        <w:t>a anualidad del gasto es uno de los principios rectores de la actividad contractual pública, conforme al cual las entidades deben planear sus contrataciones de manera que sus compromisos contractuales sean atendidos durante la respectiva vigencia fiscal comprendida entre el 1 de enero y el 31 de diciembre. En este sentido, la regla general es que las entidades estatales solo pueden adquirir compromisos presupuestales que no excedan en su ejecución la vigencia fiscal en la que se suscribe el respectivo contrato.</w:t>
      </w:r>
    </w:p>
    <w:p w14:paraId="4185F0D4" w14:textId="6184196D" w:rsidR="007C12BB" w:rsidRPr="009D198D" w:rsidRDefault="00975B40" w:rsidP="007C12BB">
      <w:pPr>
        <w:spacing w:before="120" w:line="276" w:lineRule="auto"/>
        <w:ind w:right="51" w:firstLine="709"/>
        <w:jc w:val="both"/>
        <w:rPr>
          <w:rFonts w:ascii="Arial" w:eastAsia="Calibri" w:hAnsi="Arial" w:cs="Arial"/>
          <w:color w:val="000000" w:themeColor="text1"/>
          <w:sz w:val="22"/>
          <w:szCs w:val="22"/>
          <w:lang w:val="es-ES"/>
        </w:rPr>
      </w:pPr>
      <w:r w:rsidRPr="009D198D">
        <w:rPr>
          <w:rFonts w:ascii="Arial" w:eastAsia="Calibri" w:hAnsi="Arial" w:cs="Arial"/>
          <w:color w:val="000000" w:themeColor="text1"/>
          <w:sz w:val="22"/>
          <w:szCs w:val="22"/>
          <w:lang w:val="es-ES_tradnl"/>
        </w:rPr>
        <w:t xml:space="preserve">Dentro los mecanismos presupuestales que constituyen excepciones al principio de anualidad se identifican i) las vigencias futuras, </w:t>
      </w:r>
      <w:proofErr w:type="spellStart"/>
      <w:r w:rsidRPr="009D198D">
        <w:rPr>
          <w:rFonts w:ascii="Arial" w:eastAsia="Calibri" w:hAnsi="Arial" w:cs="Arial"/>
          <w:color w:val="000000" w:themeColor="text1"/>
          <w:sz w:val="22"/>
          <w:szCs w:val="22"/>
          <w:lang w:val="es-ES_tradnl"/>
        </w:rPr>
        <w:t>ii</w:t>
      </w:r>
      <w:proofErr w:type="spellEnd"/>
      <w:r w:rsidRPr="009D198D">
        <w:rPr>
          <w:rFonts w:ascii="Arial" w:eastAsia="Calibri" w:hAnsi="Arial" w:cs="Arial"/>
          <w:color w:val="000000" w:themeColor="text1"/>
          <w:sz w:val="22"/>
          <w:szCs w:val="22"/>
          <w:lang w:val="es-ES_tradnl"/>
        </w:rPr>
        <w:t xml:space="preserve">) las cuentas por pagar y </w:t>
      </w:r>
      <w:proofErr w:type="spellStart"/>
      <w:r w:rsidRPr="009D198D">
        <w:rPr>
          <w:rFonts w:ascii="Arial" w:eastAsia="Calibri" w:hAnsi="Arial" w:cs="Arial"/>
          <w:color w:val="000000" w:themeColor="text1"/>
          <w:sz w:val="22"/>
          <w:szCs w:val="22"/>
          <w:lang w:val="es-ES_tradnl"/>
        </w:rPr>
        <w:t>iii</w:t>
      </w:r>
      <w:proofErr w:type="spellEnd"/>
      <w:r w:rsidRPr="009D198D">
        <w:rPr>
          <w:rFonts w:ascii="Arial" w:eastAsia="Calibri" w:hAnsi="Arial" w:cs="Arial"/>
          <w:color w:val="000000" w:themeColor="text1"/>
          <w:sz w:val="22"/>
          <w:szCs w:val="22"/>
          <w:lang w:val="es-ES_tradnl"/>
        </w:rPr>
        <w:t xml:space="preserve">) las reservas presupuestales. Las </w:t>
      </w:r>
      <w:r w:rsidRPr="009D198D">
        <w:rPr>
          <w:rFonts w:ascii="Arial" w:eastAsia="Calibri" w:hAnsi="Arial" w:cs="Arial"/>
          <w:i/>
          <w:iCs/>
          <w:color w:val="000000" w:themeColor="text1"/>
          <w:sz w:val="22"/>
          <w:szCs w:val="22"/>
          <w:lang w:val="es-ES_tradnl"/>
        </w:rPr>
        <w:t>primeras</w:t>
      </w:r>
      <w:r w:rsidRPr="009D198D">
        <w:rPr>
          <w:rFonts w:ascii="Arial" w:eastAsia="Calibri" w:hAnsi="Arial" w:cs="Arial"/>
          <w:color w:val="000000" w:themeColor="text1"/>
          <w:sz w:val="22"/>
          <w:szCs w:val="22"/>
          <w:lang w:val="es-ES_tradnl"/>
        </w:rPr>
        <w:t>, de conformidad con el artículo 23 del Estatuto Orgánico del Presupuesto</w:t>
      </w:r>
      <w:r w:rsidRPr="009D198D">
        <w:rPr>
          <w:rFonts w:ascii="Arial" w:eastAsia="Calibri" w:hAnsi="Arial" w:cs="Arial"/>
          <w:i/>
          <w:iCs/>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se</w:t>
      </w:r>
      <w:r w:rsidRPr="009D198D">
        <w:rPr>
          <w:rFonts w:ascii="Arial" w:eastAsia="Calibri" w:hAnsi="Arial" w:cs="Arial"/>
          <w:i/>
          <w:iCs/>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 xml:space="preserve">refieren a la autorización que deben solicitar las entidades para asumir obligaciones que afectarán los presupuestos siguientes a los de la vigencia fiscal en la que inició la ejecución. Las </w:t>
      </w:r>
      <w:r w:rsidRPr="009D198D">
        <w:rPr>
          <w:rFonts w:ascii="Arial" w:eastAsia="Calibri" w:hAnsi="Arial" w:cs="Arial"/>
          <w:i/>
          <w:iCs/>
          <w:color w:val="000000" w:themeColor="text1"/>
          <w:sz w:val="22"/>
          <w:szCs w:val="22"/>
          <w:lang w:val="es-ES_tradnl"/>
        </w:rPr>
        <w:t>segundas,</w:t>
      </w:r>
      <w:r w:rsidRPr="009D198D">
        <w:rPr>
          <w:rFonts w:ascii="Arial" w:eastAsia="Calibri" w:hAnsi="Arial" w:cs="Arial"/>
          <w:color w:val="000000" w:themeColor="text1"/>
          <w:sz w:val="22"/>
          <w:szCs w:val="22"/>
          <w:lang w:val="es-ES_tradnl"/>
        </w:rPr>
        <w:t xml:space="preserve"> esto es, las cuentas por pagar consisten en obligaciones cumplidas en la vigencia actual,</w:t>
      </w:r>
      <w:r w:rsidR="00833F63" w:rsidRPr="009D198D">
        <w:rPr>
          <w:rFonts w:ascii="Arial" w:eastAsia="Calibri" w:hAnsi="Arial" w:cs="Arial"/>
          <w:color w:val="000000" w:themeColor="text1"/>
          <w:sz w:val="22"/>
          <w:szCs w:val="22"/>
        </w:rPr>
        <w:t xml:space="preserve"> correspondientes a los anticipos pactados en los contratos y a la entrega de bienes y servicios,</w:t>
      </w:r>
      <w:r w:rsidR="00833F63" w:rsidRPr="009D198D">
        <w:rPr>
          <w:rFonts w:ascii="Arial" w:eastAsia="Calibri" w:hAnsi="Arial" w:cs="Arial"/>
          <w:color w:val="000000" w:themeColor="text1"/>
          <w:sz w:val="22"/>
          <w:szCs w:val="22"/>
          <w:lang w:val="es-ES_tradnl"/>
        </w:rPr>
        <w:t xml:space="preserve"> de las cuales solo se encuentra pendiente el pago de acuerdo con los compromisos presupuestales adquiridos por la entidad</w:t>
      </w:r>
      <w:r w:rsidRPr="009D198D">
        <w:rPr>
          <w:rFonts w:ascii="Arial" w:eastAsia="Calibri" w:hAnsi="Arial" w:cs="Arial"/>
          <w:color w:val="000000" w:themeColor="text1"/>
          <w:sz w:val="22"/>
          <w:szCs w:val="22"/>
          <w:lang w:val="es-ES_tradnl"/>
        </w:rPr>
        <w:t xml:space="preserve">. Y las </w:t>
      </w:r>
      <w:r w:rsidRPr="009D198D">
        <w:rPr>
          <w:rFonts w:ascii="Arial" w:eastAsia="Calibri" w:hAnsi="Arial" w:cs="Arial"/>
          <w:i/>
          <w:iCs/>
          <w:color w:val="000000" w:themeColor="text1"/>
          <w:sz w:val="22"/>
          <w:szCs w:val="22"/>
          <w:lang w:val="es-ES_tradnl"/>
        </w:rPr>
        <w:t xml:space="preserve">terceras, </w:t>
      </w:r>
      <w:r w:rsidRPr="009D198D">
        <w:rPr>
          <w:rFonts w:ascii="Arial" w:eastAsia="Calibri" w:hAnsi="Arial" w:cs="Arial"/>
          <w:color w:val="000000" w:themeColor="text1"/>
          <w:sz w:val="22"/>
          <w:szCs w:val="22"/>
          <w:lang w:val="es-ES_tradnl"/>
        </w:rPr>
        <w:t xml:space="preserve">las reservas presupuestales </w:t>
      </w:r>
      <w:r w:rsidRPr="009D198D">
        <w:rPr>
          <w:rFonts w:ascii="Arial" w:eastAsia="Calibri" w:hAnsi="Arial" w:cs="Arial"/>
          <w:color w:val="000000" w:themeColor="text1"/>
          <w:sz w:val="22"/>
          <w:szCs w:val="22"/>
          <w:lang w:val="es-ES"/>
        </w:rPr>
        <w:t>suponen que «Al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 origen»</w:t>
      </w:r>
      <w:r w:rsidR="009D198D" w:rsidRPr="009D198D">
        <w:rPr>
          <w:rStyle w:val="Refdenotaalpie"/>
          <w:rFonts w:ascii="Arial" w:eastAsia="Calibri" w:hAnsi="Arial" w:cs="Arial"/>
          <w:color w:val="000000" w:themeColor="text1"/>
          <w:sz w:val="22"/>
          <w:szCs w:val="22"/>
          <w:lang w:val="es-ES"/>
        </w:rPr>
        <w:footnoteReference w:id="68"/>
      </w:r>
      <w:r w:rsidRPr="009D198D">
        <w:rPr>
          <w:rFonts w:ascii="Arial" w:eastAsia="Calibri" w:hAnsi="Arial" w:cs="Arial"/>
          <w:color w:val="000000" w:themeColor="text1"/>
          <w:sz w:val="22"/>
          <w:szCs w:val="22"/>
          <w:lang w:val="es-ES"/>
        </w:rPr>
        <w:t xml:space="preserve">. </w:t>
      </w:r>
    </w:p>
    <w:p w14:paraId="41D08229" w14:textId="1509A4E1" w:rsidR="00975B40" w:rsidRPr="009D198D" w:rsidRDefault="007C12BB" w:rsidP="007C12BB">
      <w:pPr>
        <w:spacing w:before="120" w:line="276" w:lineRule="auto"/>
        <w:ind w:right="51" w:firstLine="709"/>
        <w:jc w:val="both"/>
        <w:rPr>
          <w:rFonts w:ascii="Arial" w:eastAsia="Calibri" w:hAnsi="Arial" w:cs="Arial"/>
          <w:color w:val="000000" w:themeColor="text1"/>
          <w:sz w:val="22"/>
          <w:szCs w:val="22"/>
          <w:lang w:val="es-ES"/>
        </w:rPr>
      </w:pPr>
      <w:r w:rsidRPr="009D198D">
        <w:rPr>
          <w:rFonts w:ascii="Arial" w:eastAsia="Calibri" w:hAnsi="Arial" w:cs="Arial"/>
          <w:color w:val="000000" w:themeColor="text1"/>
          <w:sz w:val="22"/>
          <w:szCs w:val="22"/>
          <w:lang w:val="es-ES_tradnl"/>
        </w:rPr>
        <w:t xml:space="preserve">El pago de </w:t>
      </w:r>
      <w:r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lang w:val="es-ES_tradnl"/>
        </w:rPr>
        <w:t>pasivos – vigencias expiradas</w:t>
      </w:r>
      <w:r w:rsidRPr="009D198D">
        <w:rPr>
          <w:rFonts w:ascii="Arial" w:eastAsia="Calibri" w:hAnsi="Arial" w:cs="Arial"/>
          <w:color w:val="000000" w:themeColor="text1"/>
          <w:sz w:val="22"/>
          <w:szCs w:val="22"/>
          <w:lang w:val="es-ES"/>
        </w:rPr>
        <w:t>»</w:t>
      </w:r>
      <w:r w:rsidRPr="009D198D">
        <w:rPr>
          <w:rFonts w:ascii="Arial" w:eastAsia="Calibri" w:hAnsi="Arial" w:cs="Arial"/>
          <w:color w:val="000000" w:themeColor="text1"/>
          <w:sz w:val="22"/>
          <w:szCs w:val="22"/>
          <w:lang w:val="es-ES_tradnl"/>
        </w:rPr>
        <w:t xml:space="preserve"> procederán cuando se cumplan los parámetros expuestos en el artículo 49 de la Ley 2159 de 2021 </w:t>
      </w:r>
      <w:r w:rsidRPr="009D198D">
        <w:rPr>
          <w:rFonts w:ascii="Arial" w:eastAsia="Calibri" w:hAnsi="Arial" w:cs="Arial"/>
          <w:color w:val="000000" w:themeColor="text1"/>
          <w:sz w:val="22"/>
          <w:szCs w:val="22"/>
          <w:lang w:val="es-ES"/>
        </w:rPr>
        <w:t xml:space="preserve">«Por </w:t>
      </w:r>
      <w:r w:rsidRPr="009D198D">
        <w:rPr>
          <w:rFonts w:ascii="Arial" w:eastAsia="Calibri" w:hAnsi="Arial" w:cs="Arial"/>
          <w:color w:val="000000" w:themeColor="text1"/>
          <w:sz w:val="22"/>
          <w:szCs w:val="22"/>
          <w:lang w:val="es-ES_tradnl"/>
        </w:rPr>
        <w:t>la cual se decreta el presupuesto de rentas y recursos de capital y ley de apropiaciones para la vigencia fiscal del 1° de enero al 31 de diciembre de 2022</w:t>
      </w:r>
      <w:r w:rsidRPr="009D198D">
        <w:rPr>
          <w:rFonts w:ascii="Arial" w:eastAsia="Calibri" w:hAnsi="Arial" w:cs="Arial"/>
          <w:color w:val="000000" w:themeColor="text1"/>
          <w:sz w:val="22"/>
          <w:szCs w:val="22"/>
          <w:lang w:val="es-ES"/>
        </w:rPr>
        <w:t xml:space="preserve">». </w:t>
      </w:r>
      <w:r w:rsidRPr="009D198D">
        <w:rPr>
          <w:rFonts w:ascii="Arial" w:eastAsia="Calibri" w:hAnsi="Arial" w:cs="Arial"/>
          <w:color w:val="000000" w:themeColor="text1"/>
          <w:sz w:val="22"/>
          <w:szCs w:val="22"/>
          <w:lang w:val="es-ES_tradnl"/>
        </w:rPr>
        <w:t>Por su parte, con base en el artículo 8 de la Ley 819 de 2003 las entidades deberán realizar los ajustes presupuestales respectivos en los casos en que el contrato, producto de un proceso de contratación realizado en la vigencia anterior, se perfeccione en la vigencia siguiente. En estos casos, deberán atender a las normas presupuestales correspondientes.</w:t>
      </w:r>
    </w:p>
    <w:p w14:paraId="3C44482C" w14:textId="2909ECEB" w:rsidR="002060A6" w:rsidRPr="009D198D" w:rsidRDefault="002060A6" w:rsidP="002060A6">
      <w:pPr>
        <w:spacing w:before="120" w:line="276" w:lineRule="auto"/>
        <w:ind w:right="51" w:firstLine="709"/>
        <w:jc w:val="both"/>
        <w:rPr>
          <w:rFonts w:ascii="Arial" w:eastAsia="Calibri" w:hAnsi="Arial" w:cs="Arial"/>
          <w:color w:val="000000" w:themeColor="text1"/>
          <w:sz w:val="22"/>
          <w:szCs w:val="22"/>
          <w:lang w:val="es-ES_tradnl"/>
        </w:rPr>
      </w:pPr>
      <w:r w:rsidRPr="009D198D">
        <w:rPr>
          <w:rFonts w:ascii="Arial" w:eastAsia="Calibri" w:hAnsi="Arial" w:cs="Arial"/>
          <w:color w:val="000000" w:themeColor="text1"/>
          <w:sz w:val="22"/>
          <w:szCs w:val="22"/>
          <w:lang w:val="es-ES_tradnl"/>
        </w:rPr>
        <w:t>Finalmente, es preciso reiterar que de conformidad con los artículos 3 numeral 5, y 11 numeral 8 del Decreto 4170 de 2011, a la Agencia, y en particular a esta Subdirección, se le atribuyó la competencia de «absolver consultas sobre la aplicación de normas de carácter general». En tal sentido, atendiendo al principio de legalidad, la competencia debe ejercerse con estricta sujeción a la norma que la atribuye, por lo que no le compete a esta entidad asesorar a las entidades o contratistas sobre la forma en que deben celebrar y ejecutar sus contratos</w:t>
      </w:r>
      <w:r w:rsidR="002E60FC" w:rsidRPr="009D198D">
        <w:rPr>
          <w:rFonts w:ascii="Arial" w:eastAsia="Calibri" w:hAnsi="Arial" w:cs="Arial"/>
          <w:color w:val="000000" w:themeColor="text1"/>
          <w:sz w:val="22"/>
          <w:szCs w:val="22"/>
          <w:lang w:val="es-ES_tradnl"/>
        </w:rPr>
        <w:t xml:space="preserve"> ni </w:t>
      </w:r>
      <w:r w:rsidRPr="009D198D">
        <w:rPr>
          <w:rFonts w:ascii="Arial" w:eastAsia="Calibri" w:hAnsi="Arial" w:cs="Arial"/>
          <w:color w:val="000000" w:themeColor="text1"/>
          <w:sz w:val="22"/>
          <w:szCs w:val="22"/>
          <w:lang w:val="es-ES_tradnl"/>
        </w:rPr>
        <w:t>pronunciarse sobre casos particulares o realizar asesorías enfocadas a resolver situaciones particulares.</w:t>
      </w:r>
      <w:r w:rsidR="0002425A" w:rsidRPr="009D198D">
        <w:rPr>
          <w:rFonts w:ascii="Arial" w:eastAsia="Calibri" w:hAnsi="Arial" w:cs="Arial"/>
          <w:color w:val="000000" w:themeColor="text1"/>
          <w:sz w:val="22"/>
          <w:szCs w:val="22"/>
          <w:lang w:val="es-ES_tradnl"/>
        </w:rPr>
        <w:t xml:space="preserve"> De este modo</w:t>
      </w:r>
      <w:r w:rsidRPr="009D198D">
        <w:rPr>
          <w:rFonts w:ascii="Arial" w:eastAsia="Calibri" w:hAnsi="Arial" w:cs="Arial"/>
          <w:color w:val="000000" w:themeColor="text1"/>
          <w:sz w:val="22"/>
          <w:szCs w:val="22"/>
          <w:lang w:val="es-ES_tradnl"/>
        </w:rPr>
        <w:t xml:space="preserve">, corresponde a cada entidad </w:t>
      </w:r>
      <w:r w:rsidRPr="009D198D">
        <w:rPr>
          <w:rFonts w:ascii="Arial" w:eastAsia="Calibri" w:hAnsi="Arial" w:cs="Arial"/>
          <w:color w:val="000000" w:themeColor="text1"/>
          <w:sz w:val="22"/>
          <w:szCs w:val="22"/>
          <w:lang w:val="es-ES_tradnl"/>
        </w:rPr>
        <w:lastRenderedPageBreak/>
        <w:t>en el marco de sus competencias, determinar en cada caso</w:t>
      </w:r>
      <w:r w:rsidR="009A4DB4" w:rsidRPr="009D198D">
        <w:rPr>
          <w:rFonts w:ascii="Arial" w:eastAsia="Calibri" w:hAnsi="Arial" w:cs="Arial"/>
          <w:color w:val="000000" w:themeColor="text1"/>
          <w:sz w:val="22"/>
          <w:szCs w:val="22"/>
          <w:lang w:val="es-ES_tradnl"/>
        </w:rPr>
        <w:t xml:space="preserve"> en concreto</w:t>
      </w:r>
      <w:r w:rsidRPr="009D198D">
        <w:rPr>
          <w:rFonts w:ascii="Arial" w:eastAsia="Calibri" w:hAnsi="Arial" w:cs="Arial"/>
          <w:color w:val="000000" w:themeColor="text1"/>
          <w:sz w:val="22"/>
          <w:szCs w:val="22"/>
          <w:lang w:val="es-ES_tradnl"/>
        </w:rPr>
        <w:t xml:space="preserve"> la procedencia de alguna de las excepciones al principio de anualidad y las autoridades que lo autoriza</w:t>
      </w:r>
      <w:r w:rsidR="009A4DB4" w:rsidRPr="009D198D">
        <w:rPr>
          <w:rFonts w:ascii="Arial" w:eastAsia="Calibri" w:hAnsi="Arial" w:cs="Arial"/>
          <w:color w:val="000000" w:themeColor="text1"/>
          <w:sz w:val="22"/>
          <w:szCs w:val="22"/>
          <w:lang w:val="es-ES_tradnl"/>
        </w:rPr>
        <w:t xml:space="preserve"> </w:t>
      </w:r>
      <w:r w:rsidRPr="009D198D">
        <w:rPr>
          <w:rFonts w:ascii="Arial" w:eastAsia="Calibri" w:hAnsi="Arial" w:cs="Arial"/>
          <w:color w:val="000000" w:themeColor="text1"/>
          <w:sz w:val="22"/>
          <w:szCs w:val="22"/>
          <w:lang w:val="es-ES_tradnl"/>
        </w:rPr>
        <w:t>con sujeción estricta a las normas presupuestales que rigen la materia</w:t>
      </w:r>
      <w:r w:rsidR="00492682" w:rsidRPr="009D198D">
        <w:rPr>
          <w:rFonts w:ascii="Arial" w:eastAsia="Calibri" w:hAnsi="Arial" w:cs="Arial"/>
          <w:color w:val="000000" w:themeColor="text1"/>
          <w:sz w:val="22"/>
          <w:szCs w:val="22"/>
          <w:lang w:val="es-ES_tradnl"/>
        </w:rPr>
        <w:t>, las cuales se explicaron en las consideraciones de este concepto.</w:t>
      </w:r>
    </w:p>
    <w:p w14:paraId="2CD1A284" w14:textId="77777777" w:rsidR="00982A05" w:rsidRPr="009D198D" w:rsidRDefault="00982A05" w:rsidP="00982A05">
      <w:pPr>
        <w:ind w:left="709" w:right="476"/>
        <w:jc w:val="both"/>
        <w:rPr>
          <w:rFonts w:ascii="Arial" w:eastAsia="Calibri" w:hAnsi="Arial" w:cs="Arial"/>
          <w:b/>
          <w:bCs/>
          <w:sz w:val="21"/>
          <w:szCs w:val="21"/>
          <w:lang w:eastAsia="en-US"/>
        </w:rPr>
      </w:pPr>
    </w:p>
    <w:p w14:paraId="253DF738" w14:textId="550E2A9F" w:rsidR="00982A05" w:rsidRPr="009D198D" w:rsidRDefault="00920A7B" w:rsidP="00982A05">
      <w:pPr>
        <w:ind w:left="709" w:right="476"/>
        <w:jc w:val="both"/>
        <w:rPr>
          <w:rFonts w:ascii="Arial" w:eastAsia="Calibri" w:hAnsi="Arial" w:cs="Arial"/>
          <w:b/>
          <w:bCs/>
          <w:sz w:val="21"/>
          <w:szCs w:val="21"/>
          <w:lang w:eastAsia="en-US"/>
        </w:rPr>
      </w:pPr>
      <w:r w:rsidRPr="009D198D">
        <w:rPr>
          <w:rFonts w:ascii="Arial" w:eastAsia="Calibri" w:hAnsi="Arial" w:cs="Arial"/>
          <w:color w:val="000000" w:themeColor="text1"/>
          <w:sz w:val="21"/>
          <w:szCs w:val="21"/>
        </w:rPr>
        <w:t>«</w:t>
      </w:r>
      <w:r w:rsidR="00982A05" w:rsidRPr="009D198D">
        <w:rPr>
          <w:rFonts w:ascii="Arial" w:eastAsia="Calibri" w:hAnsi="Arial" w:cs="Arial"/>
          <w:b/>
          <w:bCs/>
          <w:sz w:val="21"/>
          <w:szCs w:val="21"/>
          <w:lang w:eastAsia="en-US"/>
        </w:rPr>
        <w:t>G. ¿Qué diferencia existe entre fiducia y encargo fiduciario en el ámbito presupuestal y en el ámbito la responsabilidad contractual estatal?</w:t>
      </w:r>
      <w:r w:rsidR="00982A05" w:rsidRPr="009D198D">
        <w:rPr>
          <w:rFonts w:ascii="Arial" w:eastAsia="Arial" w:hAnsi="Arial" w:cs="Arial"/>
          <w:sz w:val="21"/>
          <w:szCs w:val="21"/>
          <w:lang w:val="es-ES"/>
        </w:rPr>
        <w:t>»</w:t>
      </w:r>
    </w:p>
    <w:p w14:paraId="15CF9D8D" w14:textId="77777777" w:rsidR="00665413" w:rsidRPr="009D198D" w:rsidRDefault="00665413" w:rsidP="00344A64">
      <w:pPr>
        <w:spacing w:line="276" w:lineRule="auto"/>
        <w:jc w:val="both"/>
        <w:textAlignment w:val="baseline"/>
        <w:rPr>
          <w:rFonts w:ascii="Arial" w:eastAsiaTheme="minorEastAsia" w:hAnsi="Arial" w:cs="Arial"/>
          <w:sz w:val="22"/>
          <w:szCs w:val="22"/>
          <w:lang w:val="es-ES_tradnl" w:eastAsia="es-CO"/>
        </w:rPr>
      </w:pPr>
    </w:p>
    <w:p w14:paraId="094A45DF" w14:textId="7CD61B16" w:rsidR="00665413" w:rsidRPr="009D198D" w:rsidRDefault="00665413" w:rsidP="00344A64">
      <w:pPr>
        <w:spacing w:line="276" w:lineRule="auto"/>
        <w:jc w:val="both"/>
        <w:textAlignment w:val="baseline"/>
        <w:rPr>
          <w:rFonts w:ascii="Arial" w:eastAsiaTheme="minorEastAsia" w:hAnsi="Arial" w:cs="Arial"/>
          <w:sz w:val="22"/>
          <w:szCs w:val="22"/>
          <w:lang w:val="es-ES_tradnl" w:eastAsia="es-CO"/>
        </w:rPr>
      </w:pPr>
      <w:r w:rsidRPr="009D198D">
        <w:rPr>
          <w:rFonts w:ascii="Arial" w:eastAsia="Calibri" w:hAnsi="Arial" w:cs="Arial"/>
          <w:color w:val="000000" w:themeColor="text1"/>
          <w:sz w:val="22"/>
          <w:szCs w:val="22"/>
          <w:lang w:val="es-ES_tradnl"/>
        </w:rPr>
        <w:t>Como</w:t>
      </w:r>
      <w:r w:rsidRPr="009D198D">
        <w:rPr>
          <w:rFonts w:ascii="Arial" w:eastAsia="Calibri" w:hAnsi="Arial" w:cs="Arial"/>
          <w:color w:val="000000" w:themeColor="text1"/>
          <w:sz w:val="22"/>
          <w:szCs w:val="22"/>
        </w:rPr>
        <w:t xml:space="preserve"> se manifestó en la parte inicial de este concepto,</w:t>
      </w:r>
      <w:r w:rsidRPr="009D198D">
        <w:rPr>
          <w:rFonts w:ascii="Arial" w:hAnsi="Arial" w:cs="Arial"/>
          <w:sz w:val="22"/>
          <w:lang w:val="es-ES"/>
        </w:rPr>
        <w:t xml:space="preserve"> esta entidad solo tiene competencia para responder solicitudes sobre la aplicación de normas de carácter general en materia de compras y contratación pública</w:t>
      </w:r>
      <w:r w:rsidRPr="009D198D">
        <w:rPr>
          <w:rFonts w:ascii="Arial" w:eastAsia="Calibri" w:hAnsi="Arial" w:cs="Arial"/>
          <w:color w:val="000000" w:themeColor="text1"/>
          <w:sz w:val="22"/>
          <w:szCs w:val="22"/>
        </w:rPr>
        <w:t>. En consecuencia, en aras de satisfacer en la mayor medida de lo posible el derecho fundamental de petición y de esclarecer las palpables inquietudes del peticionario</w:t>
      </w:r>
      <w:r w:rsidR="00F7389A" w:rsidRPr="009D198D">
        <w:rPr>
          <w:rFonts w:ascii="Arial" w:eastAsia="Calibri" w:hAnsi="Arial" w:cs="Arial"/>
          <w:color w:val="000000" w:themeColor="text1"/>
          <w:sz w:val="22"/>
          <w:szCs w:val="22"/>
        </w:rPr>
        <w:t>,</w:t>
      </w:r>
      <w:r w:rsidRPr="009D198D">
        <w:rPr>
          <w:rFonts w:ascii="Arial" w:eastAsia="Calibri" w:hAnsi="Arial" w:cs="Arial"/>
          <w:color w:val="000000" w:themeColor="text1"/>
          <w:sz w:val="22"/>
          <w:szCs w:val="22"/>
        </w:rPr>
        <w:t xml:space="preserve"> se decantará esta pregunta en el preciso ámbito de las normas en </w:t>
      </w:r>
      <w:r w:rsidRPr="009D198D">
        <w:rPr>
          <w:rFonts w:ascii="Arial" w:hAnsi="Arial" w:cs="Arial"/>
          <w:sz w:val="22"/>
          <w:lang w:val="es-ES"/>
        </w:rPr>
        <w:t>materia de compras y contratación pública</w:t>
      </w:r>
      <w:r w:rsidRPr="009D198D">
        <w:rPr>
          <w:rFonts w:ascii="Arial" w:eastAsia="Calibri" w:hAnsi="Arial" w:cs="Arial"/>
          <w:color w:val="000000" w:themeColor="text1"/>
          <w:sz w:val="22"/>
          <w:szCs w:val="22"/>
        </w:rPr>
        <w:t>, en la cual resulta pertinente revisar la diferencia entre el contrato de fiducia mercantil, la fiducia pública y el encargo fiduciario.</w:t>
      </w:r>
    </w:p>
    <w:p w14:paraId="0CA29A9F" w14:textId="3A238FD0" w:rsidR="00336C13" w:rsidRPr="009D198D" w:rsidRDefault="00665413" w:rsidP="00A66440">
      <w:pPr>
        <w:spacing w:before="120" w:line="276" w:lineRule="auto"/>
        <w:ind w:firstLine="709"/>
        <w:jc w:val="both"/>
        <w:textAlignment w:val="baseline"/>
        <w:rPr>
          <w:rFonts w:ascii="Arial" w:eastAsiaTheme="minorEastAsia" w:hAnsi="Arial" w:cs="Arial"/>
          <w:sz w:val="22"/>
          <w:szCs w:val="22"/>
          <w:lang w:val="es-ES_tradnl" w:eastAsia="es-CO"/>
        </w:rPr>
      </w:pPr>
      <w:r w:rsidRPr="009D198D">
        <w:rPr>
          <w:rFonts w:ascii="Arial" w:eastAsiaTheme="minorEastAsia" w:hAnsi="Arial" w:cs="Arial"/>
          <w:sz w:val="22"/>
          <w:szCs w:val="22"/>
          <w:lang w:val="es-ES_tradnl" w:eastAsia="es-CO"/>
        </w:rPr>
        <w:t>El contrato de fiducia mercantil es diferente del contrato de fiducia pública, regulado en el numeral 5º del artículo 32 de la Ley 80 de 1993, pues este</w:t>
      </w:r>
      <w:r w:rsidRPr="009D198D">
        <w:rPr>
          <w:rFonts w:ascii="Arial" w:eastAsiaTheme="minorEastAsia" w:hAnsi="Arial" w:cs="Arial"/>
          <w:spacing w:val="52"/>
          <w:sz w:val="22"/>
          <w:szCs w:val="22"/>
          <w:lang w:val="es-ES_tradnl" w:eastAsia="es-CO"/>
        </w:rPr>
        <w:t xml:space="preserve"> </w:t>
      </w:r>
      <w:r w:rsidRPr="009D198D">
        <w:rPr>
          <w:rFonts w:ascii="Arial" w:eastAsiaTheme="minorEastAsia" w:hAnsi="Arial" w:cs="Arial"/>
          <w:sz w:val="22"/>
          <w:szCs w:val="22"/>
          <w:lang w:val="es-ES_tradnl" w:eastAsia="es-CO"/>
        </w:rPr>
        <w:t xml:space="preserve">último nunca implicará transferencia de dominio sobre bienes o recursos estatales, ni constituirá patrimonio autónomo del propio de la respectiva entidad oficial. </w:t>
      </w:r>
      <w:r w:rsidR="00F46BDE" w:rsidRPr="009D198D">
        <w:rPr>
          <w:rFonts w:ascii="Arial" w:eastAsiaTheme="minorEastAsia" w:hAnsi="Arial" w:cs="Arial"/>
          <w:sz w:val="22"/>
          <w:szCs w:val="22"/>
          <w:lang w:val="es-ES_tradnl" w:eastAsia="es-CO"/>
        </w:rPr>
        <w:t xml:space="preserve">En este contexto, la constitución de patrimonios autónomos por parte de entidades estatales solamente </w:t>
      </w:r>
      <w:r w:rsidR="00F7389A" w:rsidRPr="009D198D">
        <w:rPr>
          <w:rFonts w:ascii="Arial" w:eastAsiaTheme="minorEastAsia" w:hAnsi="Arial" w:cs="Arial"/>
          <w:sz w:val="22"/>
          <w:szCs w:val="22"/>
          <w:lang w:val="es-ES_tradnl" w:eastAsia="es-CO"/>
        </w:rPr>
        <w:t xml:space="preserve">puede </w:t>
      </w:r>
      <w:r w:rsidR="00F46BDE" w:rsidRPr="009D198D">
        <w:rPr>
          <w:rFonts w:ascii="Arial" w:eastAsiaTheme="minorEastAsia" w:hAnsi="Arial" w:cs="Arial"/>
          <w:sz w:val="22"/>
          <w:szCs w:val="22"/>
          <w:lang w:val="es-ES_tradnl" w:eastAsia="es-CO"/>
        </w:rPr>
        <w:t>darse en virtud de una autorización legal</w:t>
      </w:r>
      <w:r w:rsidR="00F7389A" w:rsidRPr="009D198D">
        <w:rPr>
          <w:rFonts w:ascii="Arial" w:eastAsiaTheme="minorEastAsia" w:hAnsi="Arial" w:cs="Arial"/>
          <w:sz w:val="22"/>
          <w:szCs w:val="22"/>
          <w:lang w:val="es-ES_tradnl" w:eastAsia="es-CO"/>
        </w:rPr>
        <w:t>, como se explicó, con apoyo en el Consejo de Estado</w:t>
      </w:r>
      <w:r w:rsidR="00F46BDE" w:rsidRPr="009D198D">
        <w:rPr>
          <w:rFonts w:ascii="Arial" w:eastAsiaTheme="minorEastAsia" w:hAnsi="Arial" w:cs="Arial"/>
          <w:sz w:val="22"/>
          <w:szCs w:val="22"/>
          <w:lang w:val="es-ES_tradnl" w:eastAsia="es-CO"/>
        </w:rPr>
        <w:t xml:space="preserve">. </w:t>
      </w:r>
      <w:r w:rsidRPr="009D198D">
        <w:rPr>
          <w:rFonts w:ascii="Arial" w:eastAsiaTheme="minorEastAsia" w:hAnsi="Arial" w:cs="Arial"/>
          <w:sz w:val="22"/>
          <w:szCs w:val="22"/>
          <w:lang w:val="es-ES_tradnl" w:eastAsia="es-CO"/>
        </w:rPr>
        <w:t>Respecto de la fiducia pública y el encargo fiduciario, el Consejo de Estado ha precisado que</w:t>
      </w:r>
      <w:r w:rsidR="005727C2" w:rsidRPr="009D198D">
        <w:rPr>
          <w:rFonts w:ascii="Arial" w:eastAsiaTheme="minorEastAsia" w:hAnsi="Arial" w:cs="Arial"/>
          <w:sz w:val="22"/>
          <w:szCs w:val="22"/>
          <w:lang w:val="es-ES_tradnl" w:eastAsia="es-CO"/>
        </w:rPr>
        <w:t xml:space="preserve"> el primero constituye un contrato nuevo y autónomo y el segundo se </w:t>
      </w:r>
      <w:r w:rsidRPr="009D198D">
        <w:rPr>
          <w:rFonts w:ascii="Arial" w:eastAsiaTheme="minorEastAsia" w:hAnsi="Arial" w:cs="Arial"/>
          <w:sz w:val="22"/>
          <w:szCs w:val="22"/>
          <w:lang w:val="es-ES_tradnl" w:eastAsia="es-CO"/>
        </w:rPr>
        <w:t>autoriza solamente para administrar o manejar los recursos vinculados a contratos que las entidades estatales celebren</w:t>
      </w:r>
      <w:r w:rsidR="00857181" w:rsidRPr="009D198D">
        <w:rPr>
          <w:rFonts w:ascii="Arial" w:eastAsiaTheme="minorEastAsia" w:hAnsi="Arial" w:cs="Arial"/>
          <w:sz w:val="22"/>
          <w:szCs w:val="22"/>
          <w:lang w:val="es-ES_tradnl" w:eastAsia="es-CO"/>
        </w:rPr>
        <w:t>,</w:t>
      </w:r>
      <w:r w:rsidRPr="009D198D">
        <w:rPr>
          <w:rFonts w:ascii="Arial" w:eastAsiaTheme="minorEastAsia" w:hAnsi="Arial" w:cs="Arial"/>
          <w:sz w:val="22"/>
          <w:szCs w:val="22"/>
          <w:lang w:val="es-ES_tradnl" w:eastAsia="es-CO"/>
        </w:rPr>
        <w:t xml:space="preserve">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w:t>
      </w:r>
      <w:r w:rsidR="00857181" w:rsidRPr="009D198D">
        <w:rPr>
          <w:rFonts w:ascii="Arial" w:eastAsiaTheme="minorEastAsia" w:hAnsi="Arial" w:cs="Arial"/>
          <w:sz w:val="22"/>
          <w:szCs w:val="22"/>
          <w:lang w:val="es-ES_tradnl" w:eastAsia="es-CO"/>
        </w:rPr>
        <w:t>, como se explicó en el numeral 2.6 de este concepto.</w:t>
      </w:r>
    </w:p>
    <w:p w14:paraId="43FAE5B7" w14:textId="77777777" w:rsidR="00336C13" w:rsidRPr="009D198D" w:rsidRDefault="00336C13" w:rsidP="00344A64">
      <w:pPr>
        <w:spacing w:line="276" w:lineRule="auto"/>
        <w:jc w:val="both"/>
        <w:textAlignment w:val="baseline"/>
        <w:rPr>
          <w:rFonts w:ascii="Arial" w:hAnsi="Arial" w:cs="Arial"/>
          <w:sz w:val="22"/>
          <w:szCs w:val="22"/>
          <w:lang w:eastAsia="es-ES"/>
        </w:rPr>
      </w:pPr>
    </w:p>
    <w:p w14:paraId="056816F7" w14:textId="1E63A245" w:rsidR="00D40F8B" w:rsidRPr="009D198D" w:rsidRDefault="00DD5B04" w:rsidP="00863413">
      <w:pPr>
        <w:spacing w:line="276" w:lineRule="auto"/>
        <w:jc w:val="both"/>
        <w:rPr>
          <w:rFonts w:ascii="Arial" w:hAnsi="Arial" w:cs="Arial"/>
          <w:color w:val="000000" w:themeColor="text1"/>
          <w:sz w:val="22"/>
          <w:lang w:val="es-ES_tradnl"/>
        </w:rPr>
      </w:pPr>
      <w:r w:rsidRPr="009D198D">
        <w:rPr>
          <w:rFonts w:ascii="Arial" w:hAnsi="Arial" w:cs="Arial"/>
          <w:color w:val="000000" w:themeColor="text1"/>
          <w:sz w:val="22"/>
          <w:szCs w:val="22"/>
          <w:lang w:val="es-ES_tradnl"/>
        </w:rPr>
        <w:t>Este concepto tiene el alcance previsto en el artículo 28 del</w:t>
      </w:r>
      <w:r w:rsidRPr="009D198D">
        <w:rPr>
          <w:rFonts w:ascii="Arial" w:hAnsi="Arial" w:cs="Arial"/>
          <w:color w:val="000000" w:themeColor="text1"/>
          <w:sz w:val="22"/>
          <w:lang w:val="es-ES_tradnl"/>
        </w:rPr>
        <w:t xml:space="preserve"> Código de Procedimiento Administrativo y de</w:t>
      </w:r>
      <w:r w:rsidR="00D40F8B" w:rsidRPr="009D198D">
        <w:rPr>
          <w:rFonts w:ascii="Arial" w:hAnsi="Arial" w:cs="Arial"/>
          <w:color w:val="000000" w:themeColor="text1"/>
          <w:sz w:val="22"/>
          <w:lang w:val="es-ES_tradnl"/>
        </w:rPr>
        <w:t xml:space="preserve"> lo Contencioso Administrativo.</w:t>
      </w:r>
    </w:p>
    <w:p w14:paraId="6F54E9C9" w14:textId="77777777" w:rsidR="00003233" w:rsidRPr="009D198D"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9D198D"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D198D">
        <w:rPr>
          <w:rFonts w:ascii="Arial" w:hAnsi="Arial" w:cs="Arial"/>
          <w:color w:val="000000" w:themeColor="text1"/>
          <w:sz w:val="22"/>
          <w:szCs w:val="22"/>
          <w:lang w:val="es-ES_tradnl"/>
        </w:rPr>
        <w:t>Atentamente,</w:t>
      </w:r>
    </w:p>
    <w:p w14:paraId="1ED13883" w14:textId="0A5EF98C" w:rsidR="00003233" w:rsidRPr="009D198D" w:rsidRDefault="006627C4"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78982C79" wp14:editId="00EF1C24">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25D6AE67" w14:textId="77777777" w:rsidR="003B5586" w:rsidRPr="009D198D" w:rsidRDefault="003B5586"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9D198D" w14:paraId="0C7DC5F7" w14:textId="77777777" w:rsidTr="003B5586">
        <w:trPr>
          <w:trHeight w:val="124"/>
        </w:trPr>
        <w:tc>
          <w:tcPr>
            <w:tcW w:w="828" w:type="dxa"/>
            <w:vAlign w:val="center"/>
            <w:hideMark/>
          </w:tcPr>
          <w:p w14:paraId="5BDB1AC9" w14:textId="77777777" w:rsidR="00DD5B04" w:rsidRPr="009D198D" w:rsidRDefault="00DD5B04"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7F9F79B1" w14:textId="6E181913" w:rsidR="00DD5B04" w:rsidRPr="009D198D" w:rsidRDefault="00F412DF"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Tatiana Baquero Iguarán</w:t>
            </w:r>
          </w:p>
          <w:p w14:paraId="240C71FD" w14:textId="31312C95" w:rsidR="00DD5B04" w:rsidRPr="009D198D" w:rsidRDefault="00DD5B04"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Contratista</w:t>
            </w:r>
            <w:r w:rsidR="00FF0050" w:rsidRPr="009D198D">
              <w:rPr>
                <w:rFonts w:ascii="Arial" w:hAnsi="Arial" w:cs="Arial"/>
                <w:color w:val="000000" w:themeColor="text1"/>
                <w:sz w:val="16"/>
                <w:szCs w:val="16"/>
                <w:lang w:val="es-ES_tradnl" w:eastAsia="es-ES"/>
              </w:rPr>
              <w:t xml:space="preserve"> de la </w:t>
            </w:r>
            <w:r w:rsidRPr="009D198D">
              <w:rPr>
                <w:rFonts w:ascii="Arial" w:hAnsi="Arial" w:cs="Arial"/>
                <w:color w:val="000000" w:themeColor="text1"/>
                <w:sz w:val="16"/>
                <w:szCs w:val="16"/>
                <w:lang w:val="es-ES_tradnl" w:eastAsia="es-ES"/>
              </w:rPr>
              <w:t>Subdirección de Gestión Contractual</w:t>
            </w:r>
          </w:p>
        </w:tc>
      </w:tr>
      <w:tr w:rsidR="00DD5B04" w:rsidRPr="009D198D" w14:paraId="2F8FD650" w14:textId="77777777" w:rsidTr="003B5586">
        <w:trPr>
          <w:trHeight w:val="256"/>
        </w:trPr>
        <w:tc>
          <w:tcPr>
            <w:tcW w:w="828" w:type="dxa"/>
            <w:vAlign w:val="center"/>
            <w:hideMark/>
          </w:tcPr>
          <w:p w14:paraId="50203A0B" w14:textId="77777777" w:rsidR="00DD5B04" w:rsidRPr="009D198D" w:rsidRDefault="00DD5B04"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9D198D" w:rsidRDefault="00B17563" w:rsidP="00F412DF">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Sebastián Ramírez Grisales</w:t>
            </w:r>
          </w:p>
          <w:p w14:paraId="130B3228" w14:textId="629BF28B" w:rsidR="0070439B" w:rsidRPr="009D198D" w:rsidRDefault="00F412DF" w:rsidP="00F412DF">
            <w:pPr>
              <w:jc w:val="both"/>
              <w:rPr>
                <w:rFonts w:ascii="Arial" w:hAnsi="Arial" w:cs="Arial"/>
                <w:color w:val="000000" w:themeColor="text1"/>
                <w:sz w:val="16"/>
                <w:szCs w:val="16"/>
                <w:lang w:val="es-ES" w:eastAsia="es-ES"/>
              </w:rPr>
            </w:pPr>
            <w:r w:rsidRPr="009D198D">
              <w:rPr>
                <w:rFonts w:ascii="Arial" w:hAnsi="Arial" w:cs="Arial"/>
                <w:color w:val="000000"/>
                <w:sz w:val="16"/>
                <w:szCs w:val="16"/>
                <w:shd w:val="clear" w:color="auto" w:fill="FFFFFF"/>
              </w:rPr>
              <w:t>Gestor T1-15 de la </w:t>
            </w:r>
            <w:r w:rsidRPr="009D198D">
              <w:rPr>
                <w:rFonts w:ascii="Arial" w:hAnsi="Arial" w:cs="Arial"/>
                <w:color w:val="000000" w:themeColor="text1"/>
                <w:sz w:val="16"/>
                <w:szCs w:val="16"/>
                <w:lang w:val="es-ES" w:eastAsia="es-ES"/>
              </w:rPr>
              <w:t>Subdirección de Gestión Contractual</w:t>
            </w:r>
          </w:p>
        </w:tc>
      </w:tr>
      <w:tr w:rsidR="00DD5B04" w:rsidRPr="00D40F8B" w14:paraId="0FCBCA4A" w14:textId="77777777" w:rsidTr="003B5586">
        <w:trPr>
          <w:trHeight w:val="233"/>
        </w:trPr>
        <w:tc>
          <w:tcPr>
            <w:tcW w:w="828" w:type="dxa"/>
            <w:vAlign w:val="center"/>
            <w:hideMark/>
          </w:tcPr>
          <w:p w14:paraId="3C1D943A" w14:textId="77777777" w:rsidR="00DD5B04" w:rsidRPr="009D198D" w:rsidRDefault="00DD5B04"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9D198D" w:rsidRDefault="00C05A61"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 xml:space="preserve">Jorge </w:t>
            </w:r>
            <w:r w:rsidR="00647A36" w:rsidRPr="009D198D">
              <w:rPr>
                <w:rFonts w:ascii="Arial" w:hAnsi="Arial" w:cs="Arial"/>
                <w:color w:val="000000" w:themeColor="text1"/>
                <w:sz w:val="16"/>
                <w:szCs w:val="16"/>
                <w:lang w:val="es-ES_tradnl" w:eastAsia="es-ES"/>
              </w:rPr>
              <w:t xml:space="preserve">Augusto </w:t>
            </w:r>
            <w:r w:rsidRPr="009D198D">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9D198D">
              <w:rPr>
                <w:rFonts w:ascii="Arial" w:hAnsi="Arial" w:cs="Arial"/>
                <w:color w:val="000000" w:themeColor="text1"/>
                <w:sz w:val="16"/>
                <w:szCs w:val="16"/>
                <w:lang w:val="es-ES_tradnl" w:eastAsia="es-ES"/>
              </w:rPr>
              <w:t>Subdirector de Gestión Contractual</w:t>
            </w:r>
            <w:r w:rsidR="00973AA2" w:rsidRPr="009D198D">
              <w:rPr>
                <w:rFonts w:ascii="Arial" w:hAnsi="Arial" w:cs="Arial"/>
                <w:color w:val="000000" w:themeColor="text1"/>
                <w:sz w:val="16"/>
                <w:szCs w:val="16"/>
                <w:lang w:val="es-ES_tradnl" w:eastAsia="es-ES"/>
              </w:rPr>
              <w:t xml:space="preserve"> </w:t>
            </w:r>
            <w:r w:rsidR="00973AA2" w:rsidRPr="009D198D">
              <w:rPr>
                <w:rFonts w:ascii="Arial" w:hAnsi="Arial" w:cs="Arial"/>
                <w:color w:val="000000" w:themeColor="text1"/>
                <w:sz w:val="16"/>
                <w:szCs w:val="16"/>
                <w:lang w:eastAsia="es-ES"/>
              </w:rPr>
              <w:t>ANCP – CCE</w:t>
            </w:r>
          </w:p>
        </w:tc>
      </w:tr>
    </w:tbl>
    <w:p w14:paraId="407E8F17" w14:textId="665EABC5" w:rsidR="00DD118B" w:rsidRDefault="00DD118B" w:rsidP="00215B8E">
      <w:pPr>
        <w:jc w:val="both"/>
        <w:rPr>
          <w:rFonts w:ascii="Arial" w:hAnsi="Arial" w:cs="Arial"/>
          <w:lang w:val="es-ES_tradnl"/>
        </w:rPr>
      </w:pPr>
    </w:p>
    <w:p w14:paraId="58F082E6" w14:textId="1DDAA5B2" w:rsidR="00DE3930" w:rsidRDefault="00DE3930" w:rsidP="00215B8E">
      <w:pPr>
        <w:jc w:val="both"/>
        <w:rPr>
          <w:rFonts w:ascii="Arial" w:hAnsi="Arial" w:cs="Arial"/>
          <w:lang w:val="es-ES_tradnl"/>
        </w:rPr>
      </w:pPr>
    </w:p>
    <w:bookmarkEnd w:id="2"/>
    <w:p w14:paraId="681365F8" w14:textId="3BD10BA4" w:rsidR="00DE3930" w:rsidRPr="00E23980" w:rsidRDefault="00DE3930" w:rsidP="00215B8E">
      <w:pPr>
        <w:jc w:val="both"/>
        <w:rPr>
          <w:rFonts w:ascii="Arial" w:hAnsi="Arial" w:cs="Arial"/>
          <w:lang w:val="es-ES_tradnl"/>
        </w:rPr>
      </w:pPr>
    </w:p>
    <w:sectPr w:rsidR="00DE3930" w:rsidRPr="00E23980"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C5FA" w14:textId="77777777" w:rsidR="00F66ADC" w:rsidRDefault="00F66ADC">
      <w:r>
        <w:separator/>
      </w:r>
    </w:p>
  </w:endnote>
  <w:endnote w:type="continuationSeparator" w:id="0">
    <w:p w14:paraId="636D1933" w14:textId="77777777" w:rsidR="00F66ADC" w:rsidRDefault="00F66ADC">
      <w:r>
        <w:continuationSeparator/>
      </w:r>
    </w:p>
  </w:endnote>
  <w:endnote w:type="continuationNotice" w:id="1">
    <w:p w14:paraId="42B9C827" w14:textId="77777777" w:rsidR="00F66ADC" w:rsidRDefault="00F66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BFDB" w14:textId="77777777" w:rsidR="00F66ADC" w:rsidRDefault="00F66ADC">
      <w:r>
        <w:separator/>
      </w:r>
    </w:p>
  </w:footnote>
  <w:footnote w:type="continuationSeparator" w:id="0">
    <w:p w14:paraId="2827A5DD" w14:textId="77777777" w:rsidR="00F66ADC" w:rsidRDefault="00F66ADC">
      <w:r>
        <w:continuationSeparator/>
      </w:r>
    </w:p>
  </w:footnote>
  <w:footnote w:type="continuationNotice" w:id="1">
    <w:p w14:paraId="3458445E" w14:textId="77777777" w:rsidR="00F66ADC" w:rsidRDefault="00F66ADC"/>
  </w:footnote>
  <w:footnote w:id="2">
    <w:p w14:paraId="110D5355" w14:textId="77777777" w:rsidR="0005357A" w:rsidRPr="009D198D" w:rsidRDefault="0005357A" w:rsidP="009D198D">
      <w:pPr>
        <w:pStyle w:val="Textonotapie"/>
        <w:ind w:firstLine="708"/>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D198D">
        <w:rPr>
          <w:rFonts w:ascii="Arial" w:hAnsi="Arial" w:cs="Arial"/>
          <w:i/>
          <w:iCs/>
          <w:sz w:val="19"/>
          <w:szCs w:val="19"/>
        </w:rPr>
        <w:t xml:space="preserve">ibidem </w:t>
      </w:r>
      <w:r w:rsidRPr="009D198D">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7A15BC6"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Corte Constitucional. Sentencia C- 341 del 4 de junio de 2014. M. P. Mauricio González Cuervo.</w:t>
      </w:r>
    </w:p>
    <w:p w14:paraId="344A9FA2" w14:textId="77777777" w:rsidR="004A419B" w:rsidRPr="009D198D" w:rsidRDefault="004A419B" w:rsidP="009D198D">
      <w:pPr>
        <w:pStyle w:val="Textonotapie"/>
        <w:ind w:right="49" w:firstLine="709"/>
        <w:jc w:val="both"/>
        <w:rPr>
          <w:rFonts w:ascii="Arial" w:hAnsi="Arial" w:cs="Arial"/>
          <w:color w:val="000000"/>
          <w:sz w:val="19"/>
          <w:szCs w:val="19"/>
        </w:rPr>
      </w:pPr>
    </w:p>
  </w:footnote>
  <w:footnote w:id="4">
    <w:p w14:paraId="2DDAE87D"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215C6B2"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 Lo anterior, sin perjuicio de las publicaciones previstas en el numeral 3 del artículo 30 de la Ley 80 de 1993.</w:t>
      </w:r>
    </w:p>
    <w:p w14:paraId="587478D9"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 xml:space="preserve">»Con el fin de materializar los objetivos a que se refiere el inciso anterior, el Gobierno Nacional desarrollará el Sistema Electrónico para la Contratación Pública, Secop, el cual: </w:t>
      </w:r>
    </w:p>
    <w:p w14:paraId="074D030A"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w:t>
      </w:r>
    </w:p>
    <w:p w14:paraId="307A40D2"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5D1575E1" w14:textId="77777777" w:rsidR="004A419B" w:rsidRPr="009D198D" w:rsidRDefault="004A419B" w:rsidP="009D198D">
      <w:pPr>
        <w:pStyle w:val="Textonotapie"/>
        <w:ind w:right="49"/>
        <w:jc w:val="both"/>
        <w:rPr>
          <w:rFonts w:ascii="Arial" w:hAnsi="Arial" w:cs="Arial"/>
          <w:color w:val="000000"/>
          <w:sz w:val="19"/>
          <w:szCs w:val="19"/>
        </w:rPr>
      </w:pPr>
    </w:p>
  </w:footnote>
  <w:footnote w:id="5">
    <w:p w14:paraId="1B581E6B"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E93B502" w14:textId="77777777" w:rsidR="004A419B" w:rsidRPr="009D198D" w:rsidRDefault="004A419B" w:rsidP="009D198D">
      <w:pPr>
        <w:pStyle w:val="Textonotapie"/>
        <w:ind w:right="49" w:firstLine="709"/>
        <w:jc w:val="both"/>
        <w:rPr>
          <w:rFonts w:ascii="Arial" w:hAnsi="Arial" w:cs="Arial"/>
          <w:color w:val="000000"/>
          <w:sz w:val="19"/>
          <w:szCs w:val="19"/>
        </w:rPr>
      </w:pPr>
    </w:p>
  </w:footnote>
  <w:footnote w:id="6">
    <w:p w14:paraId="2393C1CE"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Ley 1712 de 2014: «Artículo 5. Ámbito de aplicación. Las disposiciones de esta ley serán aplicables a las siguientes personas en calidad de sujetos obligados: </w:t>
      </w:r>
    </w:p>
    <w:p w14:paraId="767EB886"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7679F1D3" w14:textId="77777777" w:rsidR="004A419B" w:rsidRPr="009D198D" w:rsidRDefault="004A419B" w:rsidP="009D198D">
      <w:pPr>
        <w:pStyle w:val="Textonotapie"/>
        <w:ind w:right="49" w:firstLine="709"/>
        <w:jc w:val="both"/>
        <w:rPr>
          <w:rFonts w:ascii="Arial" w:hAnsi="Arial" w:cs="Arial"/>
          <w:color w:val="000000"/>
          <w:sz w:val="19"/>
          <w:szCs w:val="19"/>
        </w:rPr>
      </w:pPr>
    </w:p>
  </w:footnote>
  <w:footnote w:id="7">
    <w:p w14:paraId="3F3F2350"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vertAlign w:val="superscript"/>
          <w:lang w:val="es-ES" w:eastAsia="es-ES"/>
        </w:rPr>
        <w:footnoteRef/>
      </w:r>
      <w:r w:rsidRPr="009D198D">
        <w:rPr>
          <w:rFonts w:ascii="Arial" w:hAnsi="Arial" w:cs="Arial"/>
          <w:color w:val="000000"/>
          <w:sz w:val="19"/>
          <w:szCs w:val="19"/>
          <w:vertAlign w:val="superscript"/>
          <w:lang w:val="es-ES" w:eastAsia="es-ES"/>
        </w:rPr>
        <w:t xml:space="preserve"> </w:t>
      </w:r>
      <w:r w:rsidRPr="009D198D">
        <w:rPr>
          <w:rFonts w:ascii="Arial" w:hAnsi="Arial" w:cs="Arial"/>
          <w:color w:val="000000"/>
          <w:sz w:val="19"/>
          <w:szCs w:val="19"/>
          <w:lang w:val="es-ES" w:eastAsia="es-ES"/>
        </w:rPr>
        <w:t>«</w:t>
      </w:r>
      <w:r w:rsidRPr="009D198D">
        <w:rPr>
          <w:rFonts w:ascii="Arial" w:hAnsi="Arial"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43A910C" w14:textId="77777777" w:rsidR="004A419B" w:rsidRPr="009D198D" w:rsidRDefault="004A419B" w:rsidP="009D198D">
      <w:pPr>
        <w:pStyle w:val="Textonotapie"/>
        <w:ind w:right="49" w:firstLine="709"/>
        <w:jc w:val="both"/>
        <w:rPr>
          <w:rFonts w:ascii="Arial" w:hAnsi="Arial" w:cs="Arial"/>
          <w:color w:val="000000"/>
          <w:sz w:val="19"/>
          <w:szCs w:val="19"/>
          <w:lang w:val="es-ES" w:eastAsia="es-ES"/>
        </w:rPr>
      </w:pPr>
      <w:r w:rsidRPr="009D198D">
        <w:rPr>
          <w:rFonts w:ascii="Arial" w:hAnsi="Arial" w:cs="Arial"/>
          <w:color w:val="000000"/>
          <w:sz w:val="19"/>
          <w:szCs w:val="19"/>
        </w:rPr>
        <w:t>[…].</w:t>
      </w:r>
    </w:p>
    <w:p w14:paraId="05DB6329" w14:textId="77777777" w:rsidR="004A419B" w:rsidRPr="009D198D" w:rsidRDefault="004A419B" w:rsidP="009D198D">
      <w:pPr>
        <w:pStyle w:val="Textonotapie"/>
        <w:ind w:right="49" w:firstLine="709"/>
        <w:jc w:val="both"/>
        <w:rPr>
          <w:rFonts w:ascii="Arial" w:hAnsi="Arial" w:cs="Arial"/>
          <w:color w:val="000000"/>
          <w:sz w:val="19"/>
          <w:szCs w:val="19"/>
          <w:lang w:val="es-ES" w:eastAsia="es-ES"/>
        </w:rPr>
      </w:pPr>
      <w:r w:rsidRPr="009D198D">
        <w:rPr>
          <w:rFonts w:ascii="Arial" w:hAnsi="Arial" w:cs="Arial"/>
          <w:color w:val="000000"/>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C77E1A7" w14:textId="77777777" w:rsidR="004A419B" w:rsidRPr="009D198D" w:rsidRDefault="004A419B" w:rsidP="009D198D">
      <w:pPr>
        <w:pStyle w:val="Textonotapie"/>
        <w:ind w:right="49" w:firstLine="709"/>
        <w:jc w:val="both"/>
        <w:rPr>
          <w:rFonts w:ascii="Arial" w:hAnsi="Arial" w:cs="Arial"/>
          <w:color w:val="000000"/>
          <w:sz w:val="19"/>
          <w:szCs w:val="19"/>
          <w:lang w:val="es-ES" w:eastAsia="es-ES"/>
        </w:rPr>
      </w:pPr>
    </w:p>
  </w:footnote>
  <w:footnote w:id="8">
    <w:p w14:paraId="728FF1EE" w14:textId="77777777" w:rsidR="004A419B" w:rsidRPr="009D198D" w:rsidRDefault="004A419B" w:rsidP="009D198D">
      <w:pPr>
        <w:pStyle w:val="Textonotapie"/>
        <w:ind w:right="49" w:firstLine="708"/>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7411A4C" w14:textId="77777777" w:rsidR="004A419B" w:rsidRPr="009D198D" w:rsidRDefault="004A419B" w:rsidP="009D198D">
      <w:pPr>
        <w:pStyle w:val="Textonotapie"/>
        <w:ind w:right="49" w:firstLine="708"/>
        <w:jc w:val="both"/>
        <w:rPr>
          <w:rFonts w:ascii="Arial" w:hAnsi="Arial" w:cs="Arial"/>
          <w:color w:val="000000"/>
          <w:sz w:val="19"/>
          <w:szCs w:val="19"/>
        </w:rPr>
      </w:pPr>
      <w:r w:rsidRPr="009D198D">
        <w:rPr>
          <w:rFonts w:ascii="Arial" w:hAnsi="Arial" w:cs="Arial"/>
          <w:color w:val="000000"/>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379A9021" w14:textId="77777777" w:rsidR="004A419B" w:rsidRPr="009D198D" w:rsidRDefault="004A419B" w:rsidP="009D198D">
      <w:pPr>
        <w:pStyle w:val="Textonotapie"/>
        <w:ind w:right="49"/>
        <w:jc w:val="both"/>
        <w:rPr>
          <w:rFonts w:ascii="Arial" w:hAnsi="Arial" w:cs="Arial"/>
          <w:color w:val="000000"/>
          <w:sz w:val="19"/>
          <w:szCs w:val="19"/>
          <w:lang w:val="es-ES"/>
        </w:rPr>
      </w:pPr>
    </w:p>
  </w:footnote>
  <w:footnote w:id="9">
    <w:p w14:paraId="3F981682" w14:textId="77777777" w:rsidR="004A419B" w:rsidRPr="009D198D" w:rsidRDefault="004A419B" w:rsidP="009D198D">
      <w:pPr>
        <w:pStyle w:val="Textonotapie"/>
        <w:ind w:right="49" w:firstLine="708"/>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Consejo de Estado. Sección Tercera. Sentencia del 14 de diciembre de 2007. Exp. 24.715. C.P. Ruth Stella Correa Palacio.</w:t>
      </w:r>
    </w:p>
    <w:p w14:paraId="48A44EDF" w14:textId="77777777" w:rsidR="004A419B" w:rsidRPr="009D198D" w:rsidRDefault="004A419B" w:rsidP="009D198D">
      <w:pPr>
        <w:pStyle w:val="Textonotapie"/>
        <w:ind w:right="49" w:firstLine="708"/>
        <w:jc w:val="both"/>
        <w:rPr>
          <w:rFonts w:ascii="Arial" w:hAnsi="Arial" w:cs="Arial"/>
          <w:color w:val="000000"/>
          <w:sz w:val="19"/>
          <w:szCs w:val="19"/>
          <w:lang w:val="es-ES"/>
        </w:rPr>
      </w:pPr>
      <w:r w:rsidRPr="009D198D">
        <w:rPr>
          <w:rFonts w:ascii="Arial" w:hAnsi="Arial" w:cs="Arial"/>
          <w:color w:val="000000"/>
          <w:sz w:val="19"/>
          <w:szCs w:val="19"/>
        </w:rPr>
        <w:t xml:space="preserve"> </w:t>
      </w:r>
    </w:p>
  </w:footnote>
  <w:footnote w:id="10">
    <w:p w14:paraId="43615B36" w14:textId="77777777" w:rsidR="004A419B" w:rsidRPr="009D198D" w:rsidRDefault="004A419B"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08F508B4" w14:textId="77777777" w:rsidR="004A419B" w:rsidRPr="009D198D" w:rsidRDefault="004A419B" w:rsidP="009D198D">
      <w:pPr>
        <w:pStyle w:val="Textonotapie"/>
        <w:ind w:firstLine="708"/>
        <w:jc w:val="both"/>
        <w:rPr>
          <w:rFonts w:ascii="Arial" w:hAnsi="Arial" w:cs="Arial"/>
          <w:sz w:val="19"/>
          <w:szCs w:val="19"/>
        </w:rPr>
      </w:pPr>
    </w:p>
  </w:footnote>
  <w:footnote w:id="11">
    <w:p w14:paraId="3B5B8BF3" w14:textId="6F92ABC9" w:rsidR="004A419B" w:rsidRPr="009D198D" w:rsidRDefault="004A419B" w:rsidP="009D198D">
      <w:pPr>
        <w:pStyle w:val="NormalWeb"/>
        <w:spacing w:before="0" w:beforeAutospacing="0" w:after="0" w:afterAutospacing="0"/>
        <w:ind w:firstLine="708"/>
        <w:jc w:val="both"/>
        <w:rPr>
          <w:rFonts w:ascii="Arial" w:hAnsi="Arial" w:cs="Arial"/>
          <w:color w:val="000000"/>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Decreto 1081 de 2015</w:t>
      </w:r>
      <w:r w:rsidR="00913870" w:rsidRPr="009D198D">
        <w:rPr>
          <w:rFonts w:ascii="Arial" w:hAnsi="Arial" w:cs="Arial"/>
          <w:sz w:val="19"/>
          <w:szCs w:val="19"/>
        </w:rPr>
        <w:t>:</w:t>
      </w:r>
      <w:r w:rsidRPr="009D198D">
        <w:rPr>
          <w:rFonts w:ascii="Arial" w:hAnsi="Arial" w:cs="Arial"/>
          <w:sz w:val="19"/>
          <w:szCs w:val="19"/>
        </w:rPr>
        <w:t xml:space="preserve"> «</w:t>
      </w:r>
      <w:r w:rsidRPr="009D198D">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214C9B6" w14:textId="652AFBF8" w:rsidR="004A419B" w:rsidRPr="009D198D" w:rsidRDefault="00B7377E" w:rsidP="009D198D">
      <w:pPr>
        <w:jc w:val="both"/>
        <w:rPr>
          <w:rFonts w:ascii="Arial" w:hAnsi="Arial" w:cs="Arial"/>
          <w:color w:val="000000"/>
          <w:sz w:val="19"/>
          <w:szCs w:val="19"/>
          <w:lang w:eastAsia="es-CO"/>
        </w:rPr>
      </w:pPr>
      <w:r w:rsidRPr="009D198D">
        <w:rPr>
          <w:rFonts w:ascii="Arial" w:hAnsi="Arial" w:cs="Arial"/>
          <w:color w:val="000000"/>
          <w:sz w:val="19"/>
          <w:szCs w:val="19"/>
          <w:lang w:eastAsia="es-CO"/>
        </w:rPr>
        <w:t xml:space="preserve"> </w:t>
      </w:r>
      <w:r w:rsidR="004A419B" w:rsidRPr="009D198D">
        <w:rPr>
          <w:rFonts w:ascii="Arial"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328B1C31" w14:textId="0792D54D" w:rsidR="004A419B" w:rsidRPr="009D198D" w:rsidRDefault="00B7377E" w:rsidP="009D198D">
      <w:pPr>
        <w:jc w:val="both"/>
        <w:rPr>
          <w:rFonts w:ascii="Arial" w:eastAsia="Calibri" w:hAnsi="Arial" w:cs="Arial"/>
          <w:sz w:val="19"/>
          <w:szCs w:val="19"/>
        </w:rPr>
      </w:pPr>
      <w:r w:rsidRPr="009D198D">
        <w:rPr>
          <w:rFonts w:ascii="Arial" w:hAnsi="Arial" w:cs="Arial"/>
          <w:color w:val="000000"/>
          <w:sz w:val="19"/>
          <w:szCs w:val="19"/>
          <w:lang w:eastAsia="es-CO"/>
        </w:rPr>
        <w:t xml:space="preserve"> </w:t>
      </w:r>
      <w:r w:rsidR="004A419B" w:rsidRPr="009D198D">
        <w:rPr>
          <w:rFonts w:ascii="Arial"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004A419B" w:rsidRPr="009D198D">
        <w:rPr>
          <w:rFonts w:ascii="Arial" w:hAnsi="Arial" w:cs="Arial"/>
          <w:sz w:val="19"/>
          <w:szCs w:val="19"/>
        </w:rPr>
        <w:t>».</w:t>
      </w:r>
    </w:p>
    <w:p w14:paraId="1DC54BCF" w14:textId="77777777" w:rsidR="004A419B" w:rsidRPr="009D198D" w:rsidRDefault="004A419B" w:rsidP="009D198D">
      <w:pPr>
        <w:jc w:val="both"/>
        <w:rPr>
          <w:rFonts w:ascii="Arial" w:hAnsi="Arial" w:cs="Arial"/>
          <w:color w:val="000000"/>
          <w:sz w:val="19"/>
          <w:szCs w:val="19"/>
          <w:lang w:eastAsia="es-CO"/>
        </w:rPr>
      </w:pPr>
    </w:p>
  </w:footnote>
  <w:footnote w:id="12">
    <w:p w14:paraId="34FA0D08" w14:textId="77777777" w:rsidR="004A419B" w:rsidRPr="009D198D" w:rsidRDefault="004A419B" w:rsidP="009D198D">
      <w:pPr>
        <w:pStyle w:val="Textonotapie"/>
        <w:ind w:right="49" w:firstLine="709"/>
        <w:jc w:val="both"/>
        <w:rPr>
          <w:rFonts w:ascii="Arial" w:eastAsia="Calibri"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77D2B4A9" w14:textId="77777777" w:rsidR="004A419B" w:rsidRPr="009D198D" w:rsidRDefault="004A419B" w:rsidP="009D198D">
      <w:pPr>
        <w:pStyle w:val="Textonotapie"/>
        <w:ind w:right="49" w:firstLine="709"/>
        <w:jc w:val="both"/>
        <w:rPr>
          <w:rFonts w:ascii="Arial" w:hAnsi="Arial" w:cs="Arial"/>
          <w:color w:val="000000"/>
          <w:sz w:val="19"/>
          <w:szCs w:val="19"/>
        </w:rPr>
      </w:pPr>
    </w:p>
  </w:footnote>
  <w:footnote w:id="13">
    <w:p w14:paraId="69699F8B"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141A83EC"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 xml:space="preserve">»Los sujetos obligados que no contratan con cargo a recursos públicos no están obligados a publicar su Plan Anual de Adquisiciones. </w:t>
      </w:r>
    </w:p>
    <w:p w14:paraId="5843A1D7"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35A49C48"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Fonts w:ascii="Arial" w:hAnsi="Arial" w:cs="Arial"/>
          <w:color w:val="000000"/>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070C5492" w14:textId="77777777" w:rsidR="004A419B" w:rsidRPr="009D198D" w:rsidRDefault="004A419B" w:rsidP="009D198D">
      <w:pPr>
        <w:pStyle w:val="Textonotapie"/>
        <w:ind w:right="49" w:firstLine="709"/>
        <w:jc w:val="both"/>
        <w:rPr>
          <w:rFonts w:ascii="Arial" w:hAnsi="Arial" w:cs="Arial"/>
          <w:color w:val="000000"/>
          <w:sz w:val="19"/>
          <w:szCs w:val="19"/>
        </w:rPr>
      </w:pPr>
    </w:p>
  </w:footnote>
  <w:footnote w:id="14">
    <w:p w14:paraId="7F15136B" w14:textId="77777777" w:rsidR="004A419B" w:rsidRPr="009D198D" w:rsidRDefault="004A419B" w:rsidP="009D198D">
      <w:pPr>
        <w:pStyle w:val="Textonotapie"/>
        <w:ind w:right="49" w:firstLine="709"/>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6696DA6B" w14:textId="77777777" w:rsidR="004A419B" w:rsidRPr="009D198D" w:rsidRDefault="004A419B" w:rsidP="009D198D">
      <w:pPr>
        <w:pStyle w:val="Textonotapie"/>
        <w:ind w:right="49" w:firstLine="709"/>
        <w:jc w:val="both"/>
        <w:rPr>
          <w:rFonts w:ascii="Arial" w:hAnsi="Arial" w:cs="Arial"/>
          <w:color w:val="000000"/>
          <w:sz w:val="19"/>
          <w:szCs w:val="19"/>
        </w:rPr>
      </w:pPr>
    </w:p>
  </w:footnote>
  <w:footnote w:id="15">
    <w:p w14:paraId="7E5A869E" w14:textId="270D9010" w:rsidR="00A510B3" w:rsidRPr="009D198D" w:rsidRDefault="00A510B3" w:rsidP="009D198D">
      <w:pPr>
        <w:pStyle w:val="Textonotapie"/>
        <w:ind w:firstLine="708"/>
        <w:jc w:val="both"/>
        <w:rPr>
          <w:rFonts w:ascii="Arial" w:hAnsi="Arial" w:cs="Arial"/>
          <w:sz w:val="19"/>
          <w:szCs w:val="19"/>
          <w:lang w:val="es-CO"/>
        </w:rPr>
      </w:pPr>
      <w:r w:rsidRPr="009D198D">
        <w:rPr>
          <w:rStyle w:val="Refdenotaalpie"/>
          <w:rFonts w:ascii="Arial" w:hAnsi="Arial" w:cs="Arial"/>
          <w:sz w:val="19"/>
          <w:szCs w:val="19"/>
        </w:rPr>
        <w:footnoteRef/>
      </w:r>
      <w:r w:rsidR="00B7377E" w:rsidRPr="009D198D">
        <w:rPr>
          <w:rFonts w:ascii="Arial" w:hAnsi="Arial" w:cs="Arial"/>
          <w:sz w:val="19"/>
          <w:szCs w:val="19"/>
        </w:rPr>
        <w:t xml:space="preserve"> </w:t>
      </w:r>
      <w:r w:rsidRPr="009D198D">
        <w:rPr>
          <w:rFonts w:ascii="Arial" w:hAnsi="Arial" w:cs="Arial"/>
          <w:sz w:val="19"/>
          <w:szCs w:val="19"/>
        </w:rPr>
        <w:t>Ley 1712 de 2014 «Artículo 2°.</w:t>
      </w:r>
      <w:r w:rsidR="00C142F2" w:rsidRPr="009D198D">
        <w:rPr>
          <w:rFonts w:ascii="Arial" w:hAnsi="Arial" w:cs="Arial"/>
          <w:sz w:val="19"/>
          <w:szCs w:val="19"/>
        </w:rPr>
        <w:t xml:space="preserve"> </w:t>
      </w:r>
      <w:r w:rsidRPr="009D198D">
        <w:rPr>
          <w:rFonts w:ascii="Arial" w:hAnsi="Arial" w:cs="Arial"/>
          <w:sz w:val="19"/>
          <w:szCs w:val="19"/>
        </w:rPr>
        <w:t>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6">
    <w:p w14:paraId="71EB5BD3" w14:textId="77777777" w:rsidR="00A510B3" w:rsidRPr="009D198D" w:rsidRDefault="00A510B3" w:rsidP="009D198D">
      <w:pPr>
        <w:pStyle w:val="Textonotapie"/>
        <w:jc w:val="both"/>
        <w:rPr>
          <w:rFonts w:ascii="Arial" w:hAnsi="Arial" w:cs="Arial"/>
          <w:sz w:val="19"/>
          <w:szCs w:val="19"/>
        </w:rPr>
      </w:pPr>
    </w:p>
    <w:p w14:paraId="6D2E9460" w14:textId="4F7E7129" w:rsidR="00A510B3" w:rsidRPr="009D198D" w:rsidRDefault="00A510B3" w:rsidP="009D198D">
      <w:pPr>
        <w:pStyle w:val="NormalWeb"/>
        <w:spacing w:before="0" w:beforeAutospacing="0" w:after="0" w:afterAutospacing="0"/>
        <w:ind w:firstLine="708"/>
        <w:jc w:val="both"/>
        <w:rPr>
          <w:rFonts w:ascii="Arial" w:hAnsi="Arial" w:cs="Arial"/>
          <w:color w:val="000000"/>
          <w:sz w:val="19"/>
          <w:szCs w:val="19"/>
        </w:rPr>
      </w:pPr>
      <w:r w:rsidRPr="009D198D">
        <w:rPr>
          <w:rStyle w:val="Refdenotaalpie"/>
          <w:rFonts w:ascii="Arial" w:hAnsi="Arial" w:cs="Arial"/>
          <w:sz w:val="19"/>
          <w:szCs w:val="19"/>
        </w:rPr>
        <w:footnoteRef/>
      </w:r>
      <w:r w:rsidR="00B7377E" w:rsidRPr="009D198D">
        <w:rPr>
          <w:rFonts w:ascii="Arial" w:hAnsi="Arial" w:cs="Arial"/>
          <w:sz w:val="19"/>
          <w:szCs w:val="19"/>
        </w:rPr>
        <w:t xml:space="preserve"> </w:t>
      </w:r>
      <w:r w:rsidRPr="009D198D">
        <w:rPr>
          <w:rFonts w:ascii="Arial" w:hAnsi="Arial" w:cs="Arial"/>
          <w:sz w:val="19"/>
          <w:szCs w:val="19"/>
        </w:rPr>
        <w:t>Ley 1712 de 2014 «</w:t>
      </w:r>
      <w:r w:rsidRPr="009D198D">
        <w:rPr>
          <w:rFonts w:ascii="Arial" w:hAnsi="Arial" w:cs="Arial"/>
          <w:color w:val="000000"/>
          <w:sz w:val="19"/>
          <w:szCs w:val="19"/>
        </w:rPr>
        <w:t>Artículo 3°.</w:t>
      </w:r>
      <w:r w:rsidR="00C142F2" w:rsidRPr="009D198D">
        <w:rPr>
          <w:rFonts w:ascii="Arial" w:hAnsi="Arial" w:cs="Arial"/>
          <w:color w:val="000000"/>
          <w:sz w:val="19"/>
          <w:szCs w:val="19"/>
        </w:rPr>
        <w:t xml:space="preserve"> </w:t>
      </w:r>
      <w:r w:rsidRPr="009D198D">
        <w:rPr>
          <w:rFonts w:ascii="Arial" w:hAnsi="Arial" w:cs="Arial"/>
          <w:color w:val="000000"/>
          <w:sz w:val="19"/>
          <w:szCs w:val="19"/>
        </w:rPr>
        <w:t>Otros principios de la transparencia y acceso a la información pública. En la interpretación del derecho de acceso a la información se deberá adoptar un criterio de razonabilidad y proporcionalidad, así como aplicar los siguientes principios: </w:t>
      </w:r>
    </w:p>
    <w:p w14:paraId="2EFF2847" w14:textId="77777777" w:rsidR="00A510B3" w:rsidRPr="009D198D" w:rsidRDefault="00A510B3" w:rsidP="009D198D">
      <w:pPr>
        <w:jc w:val="both"/>
        <w:rPr>
          <w:rFonts w:ascii="Arial" w:hAnsi="Arial" w:cs="Arial"/>
          <w:color w:val="000000"/>
          <w:sz w:val="19"/>
          <w:szCs w:val="19"/>
          <w:lang w:eastAsia="es-CO"/>
        </w:rPr>
      </w:pPr>
      <w:r w:rsidRPr="009D198D">
        <w:rPr>
          <w:rFonts w:ascii="Arial" w:hAnsi="Arial" w:cs="Arial"/>
          <w:color w:val="000000"/>
          <w:sz w:val="19"/>
          <w:szCs w:val="19"/>
          <w:lang w:eastAsia="es-CO"/>
        </w:rPr>
        <w:t> </w:t>
      </w:r>
      <w:r w:rsidRPr="009D198D">
        <w:rPr>
          <w:rFonts w:ascii="Arial" w:hAnsi="Arial" w:cs="Arial"/>
          <w:color w:val="000000"/>
          <w:sz w:val="19"/>
          <w:szCs w:val="19"/>
          <w:lang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0DB8F9F2" w14:textId="40C804EA" w:rsidR="00A510B3" w:rsidRPr="009D198D" w:rsidRDefault="00B7377E" w:rsidP="009D198D">
      <w:pPr>
        <w:jc w:val="both"/>
        <w:rPr>
          <w:rFonts w:ascii="Arial" w:hAnsi="Arial" w:cs="Arial"/>
          <w:color w:val="000000"/>
          <w:sz w:val="19"/>
          <w:szCs w:val="19"/>
          <w:lang w:eastAsia="es-CO"/>
        </w:rPr>
      </w:pPr>
      <w:r w:rsidRPr="009D198D">
        <w:rPr>
          <w:rFonts w:ascii="Arial" w:hAnsi="Arial" w:cs="Arial"/>
          <w:color w:val="000000"/>
          <w:sz w:val="19"/>
          <w:szCs w:val="19"/>
          <w:lang w:eastAsia="es-CO"/>
        </w:rPr>
        <w:t xml:space="preserve"> </w:t>
      </w:r>
      <w:r w:rsidR="00A510B3" w:rsidRPr="009D198D">
        <w:rPr>
          <w:rFonts w:ascii="Arial" w:hAnsi="Arial" w:cs="Arial"/>
          <w:color w:val="000000"/>
          <w:sz w:val="19"/>
          <w:szCs w:val="19"/>
          <w:lang w:eastAsia="es-CO"/>
        </w:rPr>
        <w:tab/>
        <w:t>[…] </w:t>
      </w:r>
    </w:p>
    <w:p w14:paraId="0C597DB4" w14:textId="547168BD" w:rsidR="00A510B3" w:rsidRPr="009D198D" w:rsidRDefault="00B7377E" w:rsidP="009D198D">
      <w:pPr>
        <w:jc w:val="both"/>
        <w:rPr>
          <w:rFonts w:ascii="Arial" w:hAnsi="Arial" w:cs="Arial"/>
          <w:color w:val="000000"/>
          <w:sz w:val="19"/>
          <w:szCs w:val="19"/>
          <w:lang w:eastAsia="es-CO"/>
        </w:rPr>
      </w:pPr>
      <w:r w:rsidRPr="009D198D">
        <w:rPr>
          <w:rFonts w:ascii="Arial" w:hAnsi="Arial" w:cs="Arial"/>
          <w:color w:val="000000"/>
          <w:sz w:val="19"/>
          <w:szCs w:val="19"/>
          <w:lang w:eastAsia="es-CO"/>
        </w:rPr>
        <w:t xml:space="preserve"> </w:t>
      </w:r>
      <w:r w:rsidR="00A510B3" w:rsidRPr="009D198D">
        <w:rPr>
          <w:rFonts w:ascii="Arial"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60380C20" w14:textId="1DCBEB6F" w:rsidR="00A510B3" w:rsidRPr="009D198D" w:rsidRDefault="00B7377E" w:rsidP="009D198D">
      <w:pPr>
        <w:jc w:val="both"/>
        <w:rPr>
          <w:rFonts w:ascii="Arial" w:hAnsi="Arial" w:cs="Arial"/>
          <w:color w:val="000000"/>
          <w:sz w:val="19"/>
          <w:szCs w:val="19"/>
          <w:lang w:eastAsia="es-CO"/>
        </w:rPr>
      </w:pPr>
      <w:r w:rsidRPr="009D198D">
        <w:rPr>
          <w:rFonts w:ascii="Arial" w:hAnsi="Arial" w:cs="Arial"/>
          <w:color w:val="000000"/>
          <w:sz w:val="19"/>
          <w:szCs w:val="19"/>
          <w:lang w:eastAsia="es-CO"/>
        </w:rPr>
        <w:t xml:space="preserve"> </w:t>
      </w:r>
      <w:r w:rsidR="00A510B3" w:rsidRPr="009D198D">
        <w:rPr>
          <w:rFonts w:ascii="Arial" w:hAnsi="Arial" w:cs="Arial"/>
          <w:color w:val="000000"/>
          <w:sz w:val="19"/>
          <w:szCs w:val="19"/>
          <w:lang w:eastAsia="es-CO"/>
        </w:rPr>
        <w:tab/>
        <w:t>[…]</w:t>
      </w:r>
    </w:p>
    <w:p w14:paraId="61360822" w14:textId="3313D3D2" w:rsidR="00A510B3" w:rsidRPr="009D198D" w:rsidRDefault="00B7377E" w:rsidP="009D198D">
      <w:pPr>
        <w:jc w:val="both"/>
        <w:rPr>
          <w:rFonts w:ascii="Arial" w:hAnsi="Arial" w:cs="Arial"/>
          <w:sz w:val="19"/>
          <w:szCs w:val="19"/>
        </w:rPr>
      </w:pPr>
      <w:r w:rsidRPr="009D198D">
        <w:rPr>
          <w:rFonts w:ascii="Arial" w:hAnsi="Arial" w:cs="Arial"/>
          <w:color w:val="000000"/>
          <w:sz w:val="19"/>
          <w:szCs w:val="19"/>
          <w:lang w:eastAsia="es-CO"/>
        </w:rPr>
        <w:t xml:space="preserve"> </w:t>
      </w:r>
      <w:r w:rsidR="00A510B3" w:rsidRPr="009D198D">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footnote>
  <w:footnote w:id="17">
    <w:p w14:paraId="3EDD8BD9" w14:textId="77777777" w:rsidR="00EE27FF" w:rsidRPr="009D198D" w:rsidRDefault="00EE27FF" w:rsidP="009D198D">
      <w:pPr>
        <w:pStyle w:val="Textonotapie"/>
        <w:ind w:firstLine="709"/>
        <w:jc w:val="both"/>
        <w:rPr>
          <w:rFonts w:ascii="Arial" w:hAnsi="Arial" w:cs="Arial"/>
          <w:sz w:val="19"/>
          <w:szCs w:val="19"/>
          <w:lang w:val="es-CO"/>
        </w:rPr>
      </w:pPr>
      <w:r w:rsidRPr="009D198D">
        <w:rPr>
          <w:rStyle w:val="Refdenotaalpie"/>
          <w:rFonts w:ascii="Arial" w:hAnsi="Arial" w:cs="Arial"/>
          <w:sz w:val="19"/>
          <w:szCs w:val="19"/>
        </w:rPr>
        <w:footnoteRef/>
      </w:r>
      <w:r w:rsidRPr="009D198D">
        <w:rPr>
          <w:rFonts w:ascii="Arial" w:hAnsi="Arial" w:cs="Arial"/>
          <w:sz w:val="19"/>
          <w:szCs w:val="19"/>
        </w:rPr>
        <w:t xml:space="preserve"> El Consejo de Estado, Sección Cuarta. Sentencia del 22 de enero de 1987. C.P: Hernán Guillermo Aldana Duque</w:t>
      </w:r>
    </w:p>
  </w:footnote>
  <w:footnote w:id="18">
    <w:p w14:paraId="451F1219" w14:textId="77777777" w:rsidR="004A419B" w:rsidRPr="009D198D" w:rsidRDefault="004A419B"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Ley 80 de 1993 «Artículo 24. Del principio de transparencia. En virtud de este principio: </w:t>
      </w:r>
    </w:p>
    <w:p w14:paraId="54061582" w14:textId="77777777"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w:t>
      </w:r>
    </w:p>
    <w:p w14:paraId="0874008F" w14:textId="77777777" w:rsidR="004A419B" w:rsidRPr="009D198D" w:rsidRDefault="004A419B" w:rsidP="009D198D">
      <w:pPr>
        <w:pStyle w:val="Textonotapie"/>
        <w:ind w:firstLine="708"/>
        <w:jc w:val="both"/>
        <w:rPr>
          <w:rFonts w:ascii="Arial" w:hAnsi="Arial" w:cs="Arial"/>
          <w:sz w:val="19"/>
          <w:szCs w:val="19"/>
          <w:lang w:val="es-CO"/>
        </w:rPr>
      </w:pPr>
      <w:r w:rsidRPr="009D198D">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654629BD" w14:textId="77777777" w:rsidR="004A419B" w:rsidRPr="009D198D" w:rsidRDefault="004A419B" w:rsidP="009D198D">
      <w:pPr>
        <w:pStyle w:val="Textonotapie"/>
        <w:ind w:firstLine="708"/>
        <w:jc w:val="both"/>
        <w:rPr>
          <w:rFonts w:ascii="Arial" w:hAnsi="Arial" w:cs="Arial"/>
          <w:sz w:val="19"/>
          <w:szCs w:val="19"/>
          <w:lang w:val="es-CO"/>
        </w:rPr>
      </w:pPr>
      <w:r w:rsidRPr="009D198D">
        <w:rPr>
          <w:rFonts w:ascii="Arial" w:hAnsi="Arial" w:cs="Arial"/>
          <w:sz w:val="19"/>
          <w:szCs w:val="19"/>
        </w:rPr>
        <w:t xml:space="preserve"> </w:t>
      </w:r>
    </w:p>
  </w:footnote>
  <w:footnote w:id="19">
    <w:p w14:paraId="4FBC35EA" w14:textId="719B33BE" w:rsidR="004A419B" w:rsidRPr="009D198D" w:rsidRDefault="004A419B"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00B7377E" w:rsidRPr="009D198D">
        <w:rPr>
          <w:rFonts w:ascii="Arial" w:hAnsi="Arial" w:cs="Arial"/>
          <w:sz w:val="19"/>
          <w:szCs w:val="19"/>
        </w:rPr>
        <w:t xml:space="preserve"> </w:t>
      </w:r>
      <w:r w:rsidRPr="009D198D">
        <w:rPr>
          <w:rFonts w:ascii="Arial" w:hAnsi="Arial" w:cs="Arial"/>
          <w:sz w:val="19"/>
          <w:szCs w:val="19"/>
        </w:rPr>
        <w:t>Ley 1712 de 2014«Artículo 2°.</w:t>
      </w:r>
      <w:r w:rsidR="00C142F2" w:rsidRPr="009D198D">
        <w:rPr>
          <w:rFonts w:ascii="Arial" w:hAnsi="Arial" w:cs="Arial"/>
          <w:sz w:val="19"/>
          <w:szCs w:val="19"/>
        </w:rPr>
        <w:t xml:space="preserve"> </w:t>
      </w:r>
      <w:r w:rsidRPr="009D198D">
        <w:rPr>
          <w:rFonts w:ascii="Arial" w:hAnsi="Arial" w:cs="Arial"/>
          <w:sz w:val="19"/>
          <w:szCs w:val="19"/>
        </w:rPr>
        <w:t>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026D2E53" w14:textId="77777777" w:rsidR="004A419B" w:rsidRPr="009D198D" w:rsidRDefault="004A419B" w:rsidP="009D198D">
      <w:pPr>
        <w:pStyle w:val="Textonotapie"/>
        <w:jc w:val="both"/>
        <w:rPr>
          <w:rFonts w:ascii="Arial" w:hAnsi="Arial" w:cs="Arial"/>
          <w:sz w:val="19"/>
          <w:szCs w:val="19"/>
          <w:lang w:val="es-CO"/>
        </w:rPr>
      </w:pPr>
    </w:p>
  </w:footnote>
  <w:footnote w:id="20">
    <w:p w14:paraId="3196D13D" w14:textId="4DBA4945" w:rsidR="004A419B" w:rsidRPr="009D198D" w:rsidRDefault="004A419B"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MATALLANA CAMACHO Ernesto. Manual de Contratación de la Administración Pública. Reforma a la Ley 80 de 1993. Universidad Externado de Colombia, Cuarta edición, 2015, pp</w:t>
      </w:r>
      <w:r w:rsidR="00C142F2" w:rsidRPr="009D198D">
        <w:rPr>
          <w:rFonts w:ascii="Arial" w:hAnsi="Arial" w:cs="Arial"/>
          <w:sz w:val="19"/>
          <w:szCs w:val="19"/>
        </w:rPr>
        <w:t>.</w:t>
      </w:r>
      <w:r w:rsidRPr="009D198D">
        <w:rPr>
          <w:rFonts w:ascii="Arial" w:hAnsi="Arial" w:cs="Arial"/>
          <w:sz w:val="19"/>
          <w:szCs w:val="19"/>
        </w:rPr>
        <w:t xml:space="preserve"> 139.</w:t>
      </w:r>
    </w:p>
    <w:p w14:paraId="01E5D5A7" w14:textId="6A1CFCC7" w:rsidR="004A419B" w:rsidRPr="009D198D" w:rsidRDefault="00B7377E" w:rsidP="009D198D">
      <w:pPr>
        <w:pStyle w:val="Textonotapie"/>
        <w:ind w:firstLine="708"/>
        <w:jc w:val="both"/>
        <w:rPr>
          <w:rFonts w:ascii="Arial" w:hAnsi="Arial" w:cs="Arial"/>
          <w:sz w:val="19"/>
          <w:szCs w:val="19"/>
          <w:lang w:val="es-CO"/>
        </w:rPr>
      </w:pPr>
      <w:r w:rsidRPr="009D198D">
        <w:rPr>
          <w:rFonts w:ascii="Arial" w:hAnsi="Arial" w:cs="Arial"/>
          <w:sz w:val="19"/>
          <w:szCs w:val="19"/>
        </w:rPr>
        <w:t xml:space="preserve"> </w:t>
      </w:r>
    </w:p>
  </w:footnote>
  <w:footnote w:id="21">
    <w:p w14:paraId="69420C88" w14:textId="1AB1F89B" w:rsidR="004A419B" w:rsidRPr="009D198D" w:rsidRDefault="004A419B"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Ley 1437 de 2011 «Artículo 24.</w:t>
      </w:r>
      <w:r w:rsidR="00AC6281" w:rsidRPr="009D198D">
        <w:rPr>
          <w:rFonts w:ascii="Arial" w:hAnsi="Arial" w:cs="Arial"/>
          <w:sz w:val="19"/>
          <w:szCs w:val="19"/>
        </w:rPr>
        <w:t xml:space="preserve"> </w:t>
      </w:r>
      <w:r w:rsidRPr="009D198D">
        <w:rPr>
          <w:rFonts w:ascii="Arial" w:hAnsi="Arial" w:cs="Arial"/>
          <w:sz w:val="19"/>
          <w:szCs w:val="19"/>
        </w:rPr>
        <w:t>Informaciones y documentos reservados.</w:t>
      </w:r>
      <w:r w:rsidR="00AC6281" w:rsidRPr="009D198D">
        <w:rPr>
          <w:rFonts w:ascii="Arial" w:hAnsi="Arial" w:cs="Arial"/>
          <w:sz w:val="19"/>
          <w:szCs w:val="19"/>
        </w:rPr>
        <w:t xml:space="preserve"> </w:t>
      </w:r>
      <w:r w:rsidRPr="009D198D">
        <w:rPr>
          <w:rFonts w:ascii="Arial" w:hAnsi="Arial" w:cs="Arial"/>
          <w:sz w:val="19"/>
          <w:szCs w:val="19"/>
        </w:rPr>
        <w:t>Solo tendrán carácter reservado las informaciones y documentos expresamente sometidos a reserva por la Constitución Política o la ley, y en especial:</w:t>
      </w:r>
      <w:r w:rsidR="00B7377E" w:rsidRPr="009D198D">
        <w:rPr>
          <w:rFonts w:ascii="Arial" w:hAnsi="Arial" w:cs="Arial"/>
          <w:sz w:val="19"/>
          <w:szCs w:val="19"/>
        </w:rPr>
        <w:t xml:space="preserve"> </w:t>
      </w:r>
    </w:p>
    <w:p w14:paraId="25E7A556" w14:textId="389B1991"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»1. Los relacionados con la defensa o seguridad nacionales.</w:t>
      </w:r>
      <w:r w:rsidR="00B7377E" w:rsidRPr="009D198D">
        <w:rPr>
          <w:rFonts w:ascii="Arial" w:hAnsi="Arial" w:cs="Arial"/>
          <w:sz w:val="19"/>
          <w:szCs w:val="19"/>
        </w:rPr>
        <w:t xml:space="preserve"> </w:t>
      </w:r>
    </w:p>
    <w:p w14:paraId="42BE9C40" w14:textId="31309F8D"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»2. Las instrucciones en materia diplomática o sobre negociaciones reservadas.</w:t>
      </w:r>
      <w:r w:rsidR="00B7377E" w:rsidRPr="009D198D">
        <w:rPr>
          <w:rFonts w:ascii="Arial" w:hAnsi="Arial" w:cs="Arial"/>
          <w:sz w:val="19"/>
          <w:szCs w:val="19"/>
        </w:rPr>
        <w:t xml:space="preserve"> </w:t>
      </w:r>
    </w:p>
    <w:p w14:paraId="257D0C15" w14:textId="3165AFD4"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r w:rsidR="00B7377E" w:rsidRPr="009D198D">
        <w:rPr>
          <w:rFonts w:ascii="Arial" w:hAnsi="Arial" w:cs="Arial"/>
          <w:sz w:val="19"/>
          <w:szCs w:val="19"/>
        </w:rPr>
        <w:t xml:space="preserve"> </w:t>
      </w:r>
    </w:p>
    <w:p w14:paraId="49454A62" w14:textId="2517160F"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r w:rsidR="00B7377E" w:rsidRPr="009D198D">
        <w:rPr>
          <w:rFonts w:ascii="Arial" w:hAnsi="Arial" w:cs="Arial"/>
          <w:sz w:val="19"/>
          <w:szCs w:val="19"/>
        </w:rPr>
        <w:t xml:space="preserve"> </w:t>
      </w:r>
    </w:p>
    <w:p w14:paraId="024379C2" w14:textId="01B60037"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»5. Los datos referentes a la información financiera y comercial, en los términos de la Ley Estatutaria 1266 de 2008.</w:t>
      </w:r>
      <w:r w:rsidR="00B7377E" w:rsidRPr="009D198D">
        <w:rPr>
          <w:rFonts w:ascii="Arial" w:hAnsi="Arial" w:cs="Arial"/>
          <w:sz w:val="19"/>
          <w:szCs w:val="19"/>
        </w:rPr>
        <w:t xml:space="preserve"> </w:t>
      </w:r>
    </w:p>
    <w:p w14:paraId="71A2A705" w14:textId="3E32EB63"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»6. Los protegidos por el secreto comercial o industrial, así como los planes estratégicos de las empresas públicas de servicios públicos.</w:t>
      </w:r>
      <w:r w:rsidR="00B7377E" w:rsidRPr="009D198D">
        <w:rPr>
          <w:rFonts w:ascii="Arial" w:hAnsi="Arial" w:cs="Arial"/>
          <w:sz w:val="19"/>
          <w:szCs w:val="19"/>
        </w:rPr>
        <w:t xml:space="preserve"> </w:t>
      </w:r>
    </w:p>
    <w:p w14:paraId="07EE56B8" w14:textId="427D11A7"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»7. Los amparados por el secreto profesional.</w:t>
      </w:r>
      <w:r w:rsidR="00B7377E" w:rsidRPr="009D198D">
        <w:rPr>
          <w:rFonts w:ascii="Arial" w:hAnsi="Arial" w:cs="Arial"/>
          <w:sz w:val="19"/>
          <w:szCs w:val="19"/>
        </w:rPr>
        <w:t xml:space="preserve"> </w:t>
      </w:r>
    </w:p>
    <w:p w14:paraId="5D818A9D" w14:textId="531B1898"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»8. Los datos genéticos humanos.</w:t>
      </w:r>
      <w:r w:rsidR="00B7377E" w:rsidRPr="009D198D">
        <w:rPr>
          <w:rFonts w:ascii="Arial" w:hAnsi="Arial" w:cs="Arial"/>
          <w:sz w:val="19"/>
          <w:szCs w:val="19"/>
        </w:rPr>
        <w:t xml:space="preserve"> </w:t>
      </w:r>
    </w:p>
    <w:p w14:paraId="4DAF8499" w14:textId="518B72C2" w:rsidR="004A419B" w:rsidRPr="009D198D" w:rsidRDefault="004A419B" w:rsidP="009D198D">
      <w:pPr>
        <w:pStyle w:val="Textonotapie"/>
        <w:ind w:firstLine="708"/>
        <w:jc w:val="both"/>
        <w:rPr>
          <w:rFonts w:ascii="Arial" w:hAnsi="Arial" w:cs="Arial"/>
          <w:sz w:val="19"/>
          <w:szCs w:val="19"/>
        </w:rPr>
      </w:pPr>
      <w:r w:rsidRPr="009D198D">
        <w:rPr>
          <w:rFonts w:ascii="Arial" w:hAnsi="Arial" w:cs="Arial"/>
          <w:sz w:val="19"/>
          <w:szCs w:val="19"/>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sidR="00B7377E" w:rsidRPr="009D198D">
        <w:rPr>
          <w:rFonts w:ascii="Arial" w:hAnsi="Arial" w:cs="Arial"/>
          <w:sz w:val="19"/>
          <w:szCs w:val="19"/>
        </w:rPr>
        <w:t xml:space="preserve"> </w:t>
      </w:r>
    </w:p>
    <w:p w14:paraId="617EBA12" w14:textId="77777777" w:rsidR="004A419B" w:rsidRPr="009D198D" w:rsidRDefault="004A419B" w:rsidP="009D198D">
      <w:pPr>
        <w:pStyle w:val="Textonotapie"/>
        <w:ind w:firstLine="708"/>
        <w:jc w:val="both"/>
        <w:rPr>
          <w:rFonts w:ascii="Arial" w:hAnsi="Arial" w:cs="Arial"/>
          <w:sz w:val="19"/>
          <w:szCs w:val="19"/>
        </w:rPr>
      </w:pPr>
    </w:p>
  </w:footnote>
  <w:footnote w:id="22">
    <w:p w14:paraId="55B5323C" w14:textId="77777777" w:rsidR="004A419B" w:rsidRPr="009D198D" w:rsidRDefault="004A419B"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354FEA4" w14:textId="77777777" w:rsidR="004A419B" w:rsidRPr="009D198D" w:rsidRDefault="004A419B" w:rsidP="009D198D">
      <w:pPr>
        <w:pStyle w:val="Textonotapie"/>
        <w:ind w:firstLine="708"/>
        <w:jc w:val="both"/>
        <w:rPr>
          <w:rFonts w:ascii="Arial" w:hAnsi="Arial" w:cs="Arial"/>
          <w:sz w:val="19"/>
          <w:szCs w:val="19"/>
        </w:rPr>
      </w:pPr>
    </w:p>
  </w:footnote>
  <w:footnote w:id="23">
    <w:p w14:paraId="7389D19D" w14:textId="77777777" w:rsidR="004A419B" w:rsidRPr="009D198D" w:rsidRDefault="004A419B" w:rsidP="009D198D">
      <w:pPr>
        <w:pStyle w:val="Textonotapie"/>
        <w:ind w:firstLine="708"/>
        <w:jc w:val="both"/>
        <w:rPr>
          <w:rFonts w:ascii="Arial" w:hAnsi="Arial" w:cs="Arial"/>
          <w:color w:val="000000"/>
          <w:sz w:val="19"/>
          <w:szCs w:val="19"/>
        </w:rPr>
      </w:pPr>
      <w:r w:rsidRPr="009D198D">
        <w:rPr>
          <w:rStyle w:val="Refdenotaalpie"/>
          <w:rFonts w:ascii="Arial" w:hAnsi="Arial" w:cs="Arial"/>
          <w:color w:val="000000"/>
          <w:sz w:val="19"/>
          <w:szCs w:val="19"/>
        </w:rPr>
        <w:footnoteRef/>
      </w:r>
      <w:r w:rsidRPr="009D198D">
        <w:rPr>
          <w:rFonts w:ascii="Arial" w:hAnsi="Arial" w:cs="Arial"/>
          <w:color w:val="000000"/>
          <w:sz w:val="19"/>
          <w:szCs w:val="19"/>
        </w:rPr>
        <w:t xml:space="preserve"> Decreto 4170 de 2011: «Artículo 3. Funciones: La Agencia Nacional de Contratación Pública –Colombia Compra Eficiente– ejercerá las siguientes funciones: [...]</w:t>
      </w:r>
    </w:p>
    <w:p w14:paraId="093B71EB" w14:textId="4A61ED0A" w:rsidR="004A419B" w:rsidRPr="009D198D" w:rsidRDefault="004A419B" w:rsidP="009D198D">
      <w:pPr>
        <w:pStyle w:val="Textonotapie"/>
        <w:ind w:firstLine="708"/>
        <w:jc w:val="both"/>
        <w:rPr>
          <w:rFonts w:ascii="Arial" w:hAnsi="Arial" w:cs="Arial"/>
          <w:color w:val="000000"/>
          <w:sz w:val="19"/>
          <w:szCs w:val="19"/>
        </w:rPr>
      </w:pPr>
      <w:r w:rsidRPr="009D198D">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r w:rsidR="00C142F2" w:rsidRPr="009D198D">
        <w:rPr>
          <w:rFonts w:ascii="Arial" w:hAnsi="Arial" w:cs="Arial"/>
          <w:color w:val="000000"/>
          <w:sz w:val="19"/>
          <w:szCs w:val="19"/>
        </w:rPr>
        <w:t xml:space="preserve"> </w:t>
      </w:r>
      <w:r w:rsidRPr="009D198D">
        <w:rPr>
          <w:rFonts w:ascii="Arial" w:hAnsi="Arial" w:cs="Arial"/>
          <w:color w:val="000000"/>
          <w:sz w:val="19"/>
          <w:szCs w:val="19"/>
        </w:rPr>
        <w:t>[...]».</w:t>
      </w:r>
    </w:p>
  </w:footnote>
  <w:footnote w:id="24">
    <w:p w14:paraId="69B8E061" w14:textId="77777777" w:rsidR="008D3C83" w:rsidRPr="009D198D" w:rsidRDefault="008D3C83" w:rsidP="009D198D">
      <w:pPr>
        <w:pStyle w:val="Textonotapie"/>
        <w:ind w:firstLine="708"/>
        <w:jc w:val="both"/>
        <w:rPr>
          <w:rFonts w:ascii="Arial" w:hAnsi="Arial" w:cs="Arial"/>
          <w:sz w:val="19"/>
          <w:szCs w:val="19"/>
          <w:lang w:val="es-CO"/>
        </w:rPr>
      </w:pPr>
      <w:r w:rsidRPr="009D198D">
        <w:rPr>
          <w:rStyle w:val="Refdenotaalpie"/>
          <w:rFonts w:ascii="Arial" w:hAnsi="Arial" w:cs="Arial"/>
          <w:sz w:val="19"/>
          <w:szCs w:val="19"/>
        </w:rPr>
        <w:footnoteRef/>
      </w:r>
      <w:r w:rsidRPr="009D198D">
        <w:rPr>
          <w:rFonts w:ascii="Arial" w:eastAsia="Calibri" w:hAnsi="Arial" w:cs="Arial"/>
          <w:sz w:val="19"/>
          <w:szCs w:val="19"/>
        </w:rPr>
        <w:t xml:space="preserve"> Agencia Nacional de Contratación Pública </w:t>
      </w:r>
      <w:r w:rsidRPr="009D198D">
        <w:rPr>
          <w:rFonts w:ascii="Arial" w:eastAsia="Calibri" w:hAnsi="Arial" w:cs="Arial"/>
          <w:b/>
          <w:sz w:val="19"/>
          <w:szCs w:val="19"/>
        </w:rPr>
        <w:t>―</w:t>
      </w:r>
      <w:r w:rsidRPr="009D198D">
        <w:rPr>
          <w:rFonts w:ascii="Arial" w:eastAsia="Calibri" w:hAnsi="Arial" w:cs="Arial"/>
          <w:sz w:val="19"/>
          <w:szCs w:val="19"/>
        </w:rPr>
        <w:t>Colombia Compra Eficiente</w:t>
      </w:r>
      <w:r w:rsidRPr="009D198D">
        <w:rPr>
          <w:rFonts w:ascii="Arial" w:hAnsi="Arial" w:cs="Arial"/>
          <w:sz w:val="19"/>
          <w:szCs w:val="19"/>
          <w:lang w:val="es-CO"/>
        </w:rPr>
        <w:t xml:space="preserve"> Guía para elaborar el plan anual de adquisiciones. Página 3. </w:t>
      </w:r>
    </w:p>
  </w:footnote>
  <w:footnote w:id="25">
    <w:p w14:paraId="6AB3E4EE" w14:textId="77777777" w:rsidR="00FD51FC" w:rsidRPr="009D198D" w:rsidRDefault="00FD51FC" w:rsidP="009D198D">
      <w:pPr>
        <w:pStyle w:val="Textonotapie"/>
        <w:ind w:firstLine="708"/>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El artículo 74 de la Ley 1474 prescribe: «</w:t>
      </w:r>
      <w:r w:rsidRPr="009D198D">
        <w:rPr>
          <w:rFonts w:ascii="Arial" w:hAnsi="Arial" w:cs="Arial"/>
          <w:sz w:val="19"/>
          <w:szCs w:val="19"/>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2627659" w14:textId="77777777" w:rsidR="00FD51FC" w:rsidRPr="009D198D" w:rsidRDefault="00FD51FC" w:rsidP="009D198D">
      <w:pPr>
        <w:pStyle w:val="Textonotapie"/>
        <w:ind w:firstLine="708"/>
        <w:jc w:val="both"/>
        <w:rPr>
          <w:rFonts w:ascii="Arial" w:hAnsi="Arial" w:cs="Arial"/>
          <w:sz w:val="19"/>
          <w:szCs w:val="19"/>
          <w:lang w:val="es-ES"/>
        </w:rPr>
      </w:pPr>
      <w:r w:rsidRPr="009D198D">
        <w:rPr>
          <w:rFonts w:ascii="Arial" w:hAnsi="Arial" w:cs="Arial"/>
          <w:sz w:val="19"/>
          <w:szCs w:val="19"/>
          <w:lang w:val="es-ES"/>
        </w:rPr>
        <w:t>» A partir del año siguiente, el Plan de Acción deberá estar acompañado del informe de gestión del año inmediatamente anterior.</w:t>
      </w:r>
    </w:p>
    <w:p w14:paraId="6662FFC8" w14:textId="77777777" w:rsidR="00FD51FC" w:rsidRPr="009D198D" w:rsidRDefault="00FD51FC" w:rsidP="009D198D">
      <w:pPr>
        <w:pStyle w:val="Textonotapie"/>
        <w:ind w:firstLine="708"/>
        <w:jc w:val="both"/>
        <w:rPr>
          <w:rFonts w:ascii="Arial" w:hAnsi="Arial" w:cs="Arial"/>
          <w:sz w:val="19"/>
          <w:szCs w:val="19"/>
          <w:lang w:val="es-ES"/>
        </w:rPr>
      </w:pPr>
      <w:r w:rsidRPr="009D198D">
        <w:rPr>
          <w:rFonts w:ascii="Arial" w:hAnsi="Arial" w:cs="Arial"/>
          <w:sz w:val="19"/>
          <w:szCs w:val="19"/>
          <w:lang w:val="es-ES"/>
        </w:rPr>
        <w:t>» Igualmente publicarán por dicho medio su presupuesto debidamente desagregado, así como las modificaciones a este o a su desagregación.</w:t>
      </w:r>
      <w:r w:rsidRPr="009D198D">
        <w:rPr>
          <w:rFonts w:ascii="Arial" w:hAnsi="Arial" w:cs="Arial"/>
          <w:sz w:val="19"/>
          <w:szCs w:val="19"/>
          <w:lang w:val="es-ES"/>
        </w:rPr>
        <w:tab/>
      </w:r>
    </w:p>
    <w:p w14:paraId="7EFB987C" w14:textId="77777777" w:rsidR="00FD51FC" w:rsidRPr="009D198D" w:rsidRDefault="00FD51FC" w:rsidP="009D198D">
      <w:pPr>
        <w:pStyle w:val="Textonotapie"/>
        <w:ind w:firstLine="708"/>
        <w:jc w:val="both"/>
        <w:rPr>
          <w:rFonts w:ascii="Arial" w:hAnsi="Arial" w:cs="Arial"/>
          <w:sz w:val="19"/>
          <w:szCs w:val="19"/>
          <w:lang w:val="es-ES"/>
        </w:rPr>
      </w:pPr>
      <w:r w:rsidRPr="009D198D">
        <w:rPr>
          <w:rFonts w:ascii="Arial" w:hAnsi="Arial" w:cs="Arial"/>
          <w:sz w:val="19"/>
          <w:szCs w:val="19"/>
          <w:lang w:val="es-ES"/>
        </w:rPr>
        <w:t>» Parágrafo. Las empresas industriales y comerciales del Estado y las Sociedades de Economía Mixta estarán exentas de publicar la información relacionada con sus proyectos de inversión».</w:t>
      </w:r>
    </w:p>
    <w:p w14:paraId="1515BE6B" w14:textId="77777777" w:rsidR="00FD51FC" w:rsidRPr="009D198D" w:rsidRDefault="00FD51FC" w:rsidP="009D198D">
      <w:pPr>
        <w:pStyle w:val="Textonotapie"/>
        <w:ind w:firstLine="708"/>
        <w:jc w:val="both"/>
        <w:rPr>
          <w:rFonts w:ascii="Arial" w:hAnsi="Arial" w:cs="Arial"/>
          <w:sz w:val="19"/>
          <w:szCs w:val="19"/>
          <w:lang w:val="es-ES"/>
        </w:rPr>
      </w:pPr>
      <w:r w:rsidRPr="009D198D">
        <w:rPr>
          <w:rFonts w:ascii="Arial" w:hAnsi="Arial" w:cs="Arial"/>
          <w:sz w:val="19"/>
          <w:szCs w:val="19"/>
          <w:lang w:val="es-ES"/>
        </w:rPr>
        <w:t xml:space="preserve"> </w:t>
      </w:r>
    </w:p>
  </w:footnote>
  <w:footnote w:id="26">
    <w:p w14:paraId="7E36BB9A" w14:textId="77777777" w:rsidR="00FD51FC" w:rsidRPr="009D198D" w:rsidRDefault="00FD51FC" w:rsidP="009D198D">
      <w:pPr>
        <w:pStyle w:val="Textonotapie"/>
        <w:ind w:firstLine="709"/>
        <w:jc w:val="both"/>
        <w:rPr>
          <w:rFonts w:ascii="Arial" w:hAnsi="Arial" w:cs="Arial"/>
          <w:color w:val="000000" w:themeColor="text1"/>
          <w:sz w:val="19"/>
          <w:szCs w:val="19"/>
          <w:shd w:val="clear" w:color="auto" w:fill="FFFFFF"/>
        </w:rPr>
      </w:pPr>
      <w:r w:rsidRPr="009D198D">
        <w:rPr>
          <w:rStyle w:val="Refdenotaalpie"/>
          <w:rFonts w:ascii="Arial" w:hAnsi="Arial" w:cs="Arial"/>
          <w:color w:val="000000" w:themeColor="text1"/>
          <w:sz w:val="19"/>
          <w:szCs w:val="19"/>
        </w:rPr>
        <w:footnoteRef/>
      </w:r>
      <w:r w:rsidRPr="009D198D">
        <w:rPr>
          <w:rFonts w:ascii="Arial" w:hAnsi="Arial" w:cs="Arial"/>
          <w:color w:val="000000" w:themeColor="text1"/>
          <w:sz w:val="19"/>
          <w:szCs w:val="19"/>
        </w:rPr>
        <w:t xml:space="preserve"> «</w:t>
      </w:r>
      <w:r w:rsidRPr="009D198D">
        <w:rPr>
          <w:rStyle w:val="Textoennegrita"/>
          <w:rFonts w:ascii="Arial" w:hAnsi="Arial" w:cs="Arial"/>
          <w:b w:val="0"/>
          <w:bCs w:val="0"/>
          <w:color w:val="000000" w:themeColor="text1"/>
          <w:sz w:val="19"/>
          <w:szCs w:val="19"/>
          <w:shd w:val="clear" w:color="auto" w:fill="FFFFFF"/>
        </w:rPr>
        <w:t>Artículo 2.2.1.1.1.3.1.</w:t>
      </w:r>
      <w:r w:rsidRPr="009D198D">
        <w:rPr>
          <w:rStyle w:val="Textoennegrita"/>
          <w:rFonts w:ascii="Arial" w:hAnsi="Arial" w:cs="Arial"/>
          <w:color w:val="000000" w:themeColor="text1"/>
          <w:sz w:val="19"/>
          <w:szCs w:val="19"/>
          <w:shd w:val="clear" w:color="auto" w:fill="FFFFFF"/>
        </w:rPr>
        <w:t> </w:t>
      </w:r>
      <w:r w:rsidRPr="009D198D">
        <w:rPr>
          <w:rStyle w:val="nfasis"/>
          <w:rFonts w:ascii="Arial" w:hAnsi="Arial" w:cs="Arial"/>
          <w:color w:val="000000" w:themeColor="text1"/>
          <w:sz w:val="19"/>
          <w:szCs w:val="19"/>
          <w:shd w:val="clear" w:color="auto" w:fill="FFFFFF"/>
        </w:rPr>
        <w:t>Definiciones. </w:t>
      </w:r>
      <w:r w:rsidRPr="009D198D">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4C7EDA5" w14:textId="77777777" w:rsidR="00FD51FC" w:rsidRPr="009D198D" w:rsidRDefault="00FD51FC" w:rsidP="009D198D">
      <w:pPr>
        <w:pStyle w:val="Textonotapie"/>
        <w:ind w:firstLine="709"/>
        <w:jc w:val="both"/>
        <w:rPr>
          <w:rFonts w:ascii="Arial" w:hAnsi="Arial" w:cs="Arial"/>
          <w:color w:val="000000" w:themeColor="text1"/>
          <w:sz w:val="19"/>
          <w:szCs w:val="19"/>
          <w:shd w:val="clear" w:color="auto" w:fill="FFFFFF"/>
        </w:rPr>
      </w:pPr>
      <w:r w:rsidRPr="009D198D">
        <w:rPr>
          <w:rFonts w:ascii="Arial" w:hAnsi="Arial" w:cs="Arial"/>
          <w:color w:val="000000" w:themeColor="text1"/>
          <w:sz w:val="19"/>
          <w:szCs w:val="19"/>
          <w:shd w:val="clear" w:color="auto" w:fill="FFFFFF"/>
        </w:rPr>
        <w:t>[…]</w:t>
      </w:r>
    </w:p>
    <w:p w14:paraId="54F49F98" w14:textId="77777777" w:rsidR="00FD51FC" w:rsidRPr="009D198D" w:rsidRDefault="00FD51FC" w:rsidP="009D198D">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9D198D">
        <w:rPr>
          <w:rStyle w:val="nfasis"/>
          <w:rFonts w:ascii="Arial" w:hAnsi="Arial" w:cs="Arial"/>
          <w:color w:val="000000" w:themeColor="text1"/>
          <w:sz w:val="19"/>
          <w:szCs w:val="19"/>
        </w:rPr>
        <w:t>»Plan Anual de Adquisiciones: </w:t>
      </w:r>
      <w:r w:rsidRPr="009D198D">
        <w:rPr>
          <w:rFonts w:ascii="Arial" w:hAnsi="Arial" w:cs="Arial"/>
          <w:color w:val="000000" w:themeColor="text1"/>
          <w:sz w:val="19"/>
          <w:szCs w:val="19"/>
        </w:rPr>
        <w:t>Plan general de compras al que se refiere el </w:t>
      </w:r>
      <w:hyperlink r:id="rId1" w:history="1">
        <w:r w:rsidRPr="009D198D">
          <w:rPr>
            <w:rStyle w:val="Hipervnculo"/>
            <w:rFonts w:ascii="Arial" w:hAnsi="Arial" w:cs="Arial"/>
            <w:color w:val="000000" w:themeColor="text1"/>
            <w:sz w:val="19"/>
            <w:szCs w:val="19"/>
          </w:rPr>
          <w:t>artículo 74 de la Ley 1474 de 2011</w:t>
        </w:r>
      </w:hyperlink>
      <w:r w:rsidRPr="009D198D">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27">
    <w:p w14:paraId="479B5D17" w14:textId="77777777" w:rsidR="00FD51FC" w:rsidRPr="009D198D" w:rsidRDefault="00FD51FC" w:rsidP="009D198D">
      <w:pPr>
        <w:pStyle w:val="NormalWeb"/>
        <w:shd w:val="clear" w:color="auto" w:fill="FFFFFF"/>
        <w:spacing w:before="0" w:beforeAutospacing="0" w:after="0" w:afterAutospacing="0"/>
        <w:ind w:firstLine="709"/>
        <w:jc w:val="both"/>
        <w:rPr>
          <w:rStyle w:val="nfasis"/>
          <w:i w:val="0"/>
          <w:iCs w:val="0"/>
          <w:sz w:val="19"/>
          <w:szCs w:val="19"/>
        </w:rPr>
      </w:pPr>
      <w:r w:rsidRPr="009D198D">
        <w:rPr>
          <w:rStyle w:val="Refdenotaalpie"/>
          <w:rFonts w:ascii="Arial" w:hAnsi="Arial" w:cs="Arial"/>
          <w:color w:val="000000" w:themeColor="text1"/>
          <w:sz w:val="19"/>
          <w:szCs w:val="19"/>
        </w:rPr>
        <w:footnoteRef/>
      </w:r>
      <w:r w:rsidRPr="009D198D">
        <w:rPr>
          <w:rFonts w:ascii="Arial" w:hAnsi="Arial" w:cs="Arial"/>
          <w:color w:val="000000" w:themeColor="text1"/>
          <w:sz w:val="19"/>
          <w:szCs w:val="19"/>
        </w:rPr>
        <w:t xml:space="preserve"> </w:t>
      </w:r>
      <w:r w:rsidRPr="009D198D">
        <w:rPr>
          <w:rFonts w:ascii="Arial" w:hAnsi="Arial" w:cs="Arial"/>
          <w:b/>
          <w:color w:val="000000" w:themeColor="text1"/>
          <w:sz w:val="19"/>
          <w:szCs w:val="19"/>
        </w:rPr>
        <w:t>«</w:t>
      </w:r>
      <w:r w:rsidRPr="009D198D">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2E4F1126" w14:textId="77777777" w:rsidR="00FD51FC" w:rsidRPr="009D198D" w:rsidRDefault="00FD51FC" w:rsidP="009D198D">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9D198D">
        <w:rPr>
          <w:rStyle w:val="nfasis"/>
          <w:rFonts w:ascii="Arial" w:hAnsi="Arial" w:cs="Arial"/>
          <w:color w:val="000000" w:themeColor="text1"/>
          <w:sz w:val="19"/>
          <w:szCs w:val="19"/>
        </w:rPr>
        <w:t>[…]</w:t>
      </w:r>
    </w:p>
    <w:p w14:paraId="2A51B7D2" w14:textId="77777777" w:rsidR="00FD51FC" w:rsidRPr="009D198D" w:rsidRDefault="00FD51FC" w:rsidP="009D198D">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9D198D">
        <w:rPr>
          <w:rStyle w:val="nfasis"/>
          <w:rFonts w:ascii="Arial" w:hAnsi="Arial" w:cs="Arial"/>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9D198D">
        <w:rPr>
          <w:rFonts w:ascii="Arial" w:hAnsi="Arial" w:cs="Arial"/>
          <w:color w:val="000000" w:themeColor="text1"/>
          <w:sz w:val="19"/>
          <w:szCs w:val="19"/>
        </w:rPr>
        <w:t>»</w:t>
      </w:r>
      <w:r w:rsidRPr="009D198D">
        <w:rPr>
          <w:rStyle w:val="nfasis"/>
          <w:rFonts w:ascii="Arial" w:hAnsi="Arial" w:cs="Arial"/>
          <w:color w:val="000000" w:themeColor="text1"/>
          <w:sz w:val="19"/>
          <w:szCs w:val="19"/>
        </w:rPr>
        <w:t>.</w:t>
      </w:r>
    </w:p>
  </w:footnote>
  <w:footnote w:id="28">
    <w:p w14:paraId="1C05C50A" w14:textId="77777777" w:rsidR="00FD51FC" w:rsidRPr="009D198D" w:rsidRDefault="00FD51FC" w:rsidP="009D198D">
      <w:pPr>
        <w:pStyle w:val="Textonotapie"/>
        <w:jc w:val="both"/>
        <w:rPr>
          <w:sz w:val="19"/>
          <w:szCs w:val="19"/>
        </w:rPr>
      </w:pPr>
    </w:p>
    <w:p w14:paraId="2464CAA1" w14:textId="77777777" w:rsidR="00FD51FC" w:rsidRPr="009D198D" w:rsidRDefault="00FD51FC"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Ley 1712 de 2014: «Artículo 5. Las disposiciones de esta ley serán aplicables a las siguientes personas en calidad de sujetos obligados:</w:t>
      </w:r>
    </w:p>
    <w:p w14:paraId="49BE4C98"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48D2F59"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»b) Los órganos, organismos y entidades estatales independientes o autónomos y de control.</w:t>
      </w:r>
    </w:p>
    <w:p w14:paraId="575E31C9"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»c) Las personas naturales y jurídicas, públicas o privadas, que presten función pública, que presten servicios públicos respecto de la información directamente relacionada con la prestación del servicio público.</w:t>
      </w:r>
    </w:p>
    <w:p w14:paraId="53A8DEA9"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»d) Cualquier persona natural, jurídica o dependencia de persona jurídica que desempeñe función pública o de autoridad pública, respecto de la información directamente relacionada con el desempeño de su función</w:t>
      </w:r>
    </w:p>
    <w:p w14:paraId="1072CFCA" w14:textId="2629887D"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»e)</w:t>
      </w:r>
      <w:r w:rsidR="00B7377E" w:rsidRPr="009D198D">
        <w:rPr>
          <w:rFonts w:ascii="Arial" w:hAnsi="Arial" w:cs="Arial"/>
          <w:sz w:val="19"/>
          <w:szCs w:val="19"/>
        </w:rPr>
        <w:t xml:space="preserve"> </w:t>
      </w:r>
      <w:r w:rsidRPr="009D198D">
        <w:rPr>
          <w:rFonts w:ascii="Arial" w:hAnsi="Arial" w:cs="Arial"/>
          <w:sz w:val="19"/>
          <w:szCs w:val="19"/>
        </w:rPr>
        <w:t>Las empresas públicas creadas por ley, las empresas del Estado y sociedades en que este tenga participación.</w:t>
      </w:r>
    </w:p>
    <w:p w14:paraId="1F9A3C6C"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»f) Los partidos o movimientos políticos y los grupos significativos de ciudadanos.</w:t>
      </w:r>
    </w:p>
    <w:p w14:paraId="7B0CAC02"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»g) Las entidades que administren instituciones parafiscales, fondos o recursos de naturaleza u origen público.</w:t>
      </w:r>
    </w:p>
    <w:p w14:paraId="302FD272" w14:textId="77777777"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5FA8B5C8" w14:textId="7C90FF34" w:rsidR="00FD51FC" w:rsidRPr="009D198D" w:rsidRDefault="00FD51FC" w:rsidP="009D198D">
      <w:pPr>
        <w:pStyle w:val="Textonotapie"/>
        <w:ind w:firstLine="708"/>
        <w:jc w:val="both"/>
        <w:rPr>
          <w:rFonts w:ascii="Arial" w:hAnsi="Arial" w:cs="Arial"/>
          <w:sz w:val="19"/>
          <w:szCs w:val="19"/>
        </w:rPr>
      </w:pPr>
      <w:r w:rsidRPr="009D198D">
        <w:rPr>
          <w:rFonts w:ascii="Arial" w:hAnsi="Arial" w:cs="Arial"/>
          <w:sz w:val="19"/>
          <w:szCs w:val="19"/>
        </w:rPr>
        <w:t>»Parágrafo 1o. No serán sujetos obligados aquellas personas naturales o jurídicas de carácter privado que sean usuarios de información pública».</w:t>
      </w:r>
    </w:p>
  </w:footnote>
  <w:footnote w:id="29">
    <w:p w14:paraId="3FC3515F" w14:textId="41A6B0E8" w:rsidR="008B0774" w:rsidRPr="009D198D" w:rsidRDefault="008B0774" w:rsidP="009D198D">
      <w:pPr>
        <w:pStyle w:val="Textonotapie"/>
        <w:ind w:firstLine="709"/>
        <w:jc w:val="both"/>
        <w:rPr>
          <w:rFonts w:ascii="Arial" w:hAnsi="Arial" w:cs="Arial"/>
          <w:sz w:val="19"/>
          <w:szCs w:val="19"/>
        </w:rPr>
      </w:pPr>
      <w:r w:rsidRPr="009D198D">
        <w:rPr>
          <w:rStyle w:val="Refdenotaalpie"/>
          <w:sz w:val="19"/>
          <w:szCs w:val="19"/>
        </w:rPr>
        <w:footnoteRef/>
      </w:r>
      <w:r w:rsidRPr="009D198D">
        <w:rPr>
          <w:rFonts w:ascii="Arial" w:hAnsi="Arial" w:cs="Arial"/>
          <w:sz w:val="19"/>
          <w:szCs w:val="19"/>
        </w:rPr>
        <w:t xml:space="preserve"> De conformidad con el Consejo de Estado esta etapa se divide en las siguientes sub-etapas: a) fase interna, mejor conocida como de planeación, que comprende, la denominada maduración del proyecto de contratación a través de varios elementos que dependen de la modalidad proceso de selección. Ellos son, los estudios y documentos previos, las autorizaciones, los permisos, licencias, los planes de adquisición, certificado de disponibilidades presupuestales y la elaboración del proyecto de pliego de condiciones; y b) fase externa o pública, la cual tiene por objeto la selección del oferente, una vez adelantadas las siguientes: i) el aviso de convocatoria, ii) el acto administrativo de apertura o acto administrativo de justificación de la contratación directa35, iii) el pliego de condiciones; y c) la adjudicación. Consejo de Estado. Sección Segunda. Sentencia del 21 de agosto de 2020. Radicación Nro. (1564-12). C.P: Sandra Lisset Ibarra Vélez</w:t>
      </w:r>
    </w:p>
    <w:p w14:paraId="32DD923E" w14:textId="77777777" w:rsidR="008B0774" w:rsidRPr="009D198D" w:rsidRDefault="008B0774" w:rsidP="009D198D">
      <w:pPr>
        <w:pStyle w:val="Textonotapie"/>
        <w:ind w:firstLine="709"/>
        <w:jc w:val="both"/>
        <w:rPr>
          <w:sz w:val="19"/>
          <w:szCs w:val="19"/>
          <w:lang w:val="es-CO"/>
        </w:rPr>
      </w:pPr>
    </w:p>
  </w:footnote>
  <w:footnote w:id="30">
    <w:p w14:paraId="0728DEEE" w14:textId="00FA752D" w:rsidR="00581D5E" w:rsidRPr="009D198D" w:rsidRDefault="00581D5E" w:rsidP="009D198D">
      <w:pPr>
        <w:pStyle w:val="Textonotapie"/>
        <w:ind w:firstLine="709"/>
        <w:jc w:val="both"/>
        <w:rPr>
          <w:rFonts w:ascii="Arial" w:hAnsi="Arial" w:cs="Arial"/>
          <w:sz w:val="19"/>
          <w:szCs w:val="19"/>
        </w:rPr>
      </w:pPr>
      <w:r w:rsidRPr="009D198D">
        <w:rPr>
          <w:rStyle w:val="Refdenotaalpie"/>
          <w:sz w:val="19"/>
          <w:szCs w:val="19"/>
        </w:rPr>
        <w:footnoteRef/>
      </w:r>
      <w:r w:rsidRPr="009D198D">
        <w:rPr>
          <w:sz w:val="19"/>
          <w:szCs w:val="19"/>
        </w:rPr>
        <w:t xml:space="preserve"> </w:t>
      </w:r>
      <w:r w:rsidRPr="009D198D">
        <w:rPr>
          <w:rFonts w:ascii="Arial" w:hAnsi="Arial" w:cs="Arial"/>
          <w:sz w:val="19"/>
          <w:szCs w:val="19"/>
        </w:rPr>
        <w:t>Consejo de Estado. Sección Tercera. Sentencia de 24 de julio de 2013. Radicación Nro. 05001-23-31-000-1998-00833-01(25642). C.P: Enrique Gil Botero.</w:t>
      </w:r>
    </w:p>
    <w:p w14:paraId="594B7F1F" w14:textId="121A2B86" w:rsidR="00581D5E" w:rsidRPr="009D198D" w:rsidRDefault="00581D5E" w:rsidP="009D198D">
      <w:pPr>
        <w:pStyle w:val="Textonotapie"/>
        <w:ind w:firstLine="709"/>
        <w:jc w:val="both"/>
        <w:rPr>
          <w:sz w:val="19"/>
          <w:szCs w:val="19"/>
          <w:lang w:val="es-CO"/>
        </w:rPr>
      </w:pPr>
    </w:p>
  </w:footnote>
  <w:footnote w:id="31">
    <w:p w14:paraId="2069345C" w14:textId="77777777" w:rsidR="00581D5E" w:rsidRPr="009D198D" w:rsidRDefault="00581D5E" w:rsidP="009D198D">
      <w:pPr>
        <w:pStyle w:val="NormalWeb"/>
        <w:spacing w:before="0" w:beforeAutospacing="0" w:after="0" w:afterAutospacing="0"/>
        <w:ind w:firstLine="709"/>
        <w:jc w:val="both"/>
        <w:rPr>
          <w:rFonts w:ascii="Arial" w:hAnsi="Arial" w:cs="Arial"/>
          <w:color w:val="000000" w:themeColor="text1"/>
          <w:sz w:val="19"/>
          <w:szCs w:val="19"/>
        </w:rPr>
      </w:pPr>
      <w:r w:rsidRPr="009D198D">
        <w:rPr>
          <w:rStyle w:val="Refdenotaalpie"/>
          <w:rFonts w:ascii="Arial" w:hAnsi="Arial" w:cs="Arial"/>
          <w:color w:val="000000" w:themeColor="text1"/>
          <w:sz w:val="19"/>
          <w:szCs w:val="19"/>
        </w:rPr>
        <w:footnoteRef/>
      </w:r>
      <w:bookmarkStart w:id="18" w:name="25"/>
      <w:r w:rsidRPr="009D198D">
        <w:rPr>
          <w:rFonts w:ascii="Arial" w:hAnsi="Arial" w:cs="Arial"/>
          <w:color w:val="000000" w:themeColor="text1"/>
          <w:sz w:val="19"/>
          <w:szCs w:val="19"/>
        </w:rPr>
        <w:t xml:space="preserve"> «Artículo 25. Del principio de economía</w:t>
      </w:r>
      <w:bookmarkEnd w:id="18"/>
      <w:r w:rsidRPr="009D198D">
        <w:rPr>
          <w:rFonts w:ascii="Arial" w:hAnsi="Arial" w:cs="Arial"/>
          <w:color w:val="000000" w:themeColor="text1"/>
          <w:sz w:val="19"/>
          <w:szCs w:val="19"/>
        </w:rPr>
        <w:t>. En virtud de este principio:</w:t>
      </w:r>
    </w:p>
    <w:p w14:paraId="7F0A73B3" w14:textId="77777777" w:rsidR="00581D5E" w:rsidRPr="009D198D" w:rsidRDefault="00581D5E" w:rsidP="009D198D">
      <w:pPr>
        <w:pStyle w:val="NormalWeb"/>
        <w:spacing w:before="0" w:beforeAutospacing="0" w:after="0" w:afterAutospacing="0"/>
        <w:ind w:firstLine="709"/>
        <w:jc w:val="both"/>
        <w:rPr>
          <w:rFonts w:ascii="Arial" w:hAnsi="Arial" w:cs="Arial"/>
          <w:color w:val="000000" w:themeColor="text1"/>
          <w:sz w:val="19"/>
          <w:szCs w:val="19"/>
        </w:rPr>
      </w:pPr>
      <w:r w:rsidRPr="009D198D">
        <w:rPr>
          <w:rFonts w:ascii="Arial" w:hAnsi="Arial" w:cs="Arial"/>
          <w:color w:val="000000" w:themeColor="text1"/>
          <w:sz w:val="19"/>
          <w:szCs w:val="19"/>
        </w:rPr>
        <w:t>[…]</w:t>
      </w:r>
    </w:p>
    <w:p w14:paraId="4F05A8C4" w14:textId="77777777" w:rsidR="00581D5E" w:rsidRPr="009D198D" w:rsidRDefault="00581D5E" w:rsidP="009D198D">
      <w:pPr>
        <w:pStyle w:val="NormalWeb"/>
        <w:spacing w:before="0" w:beforeAutospacing="0" w:after="0" w:afterAutospacing="0"/>
        <w:ind w:firstLine="709"/>
        <w:jc w:val="both"/>
        <w:rPr>
          <w:rFonts w:ascii="Arial" w:hAnsi="Arial" w:cs="Arial"/>
          <w:color w:val="000000" w:themeColor="text1"/>
          <w:sz w:val="19"/>
          <w:szCs w:val="19"/>
        </w:rPr>
      </w:pPr>
      <w:r w:rsidRPr="009D198D">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32">
    <w:p w14:paraId="2A2AB52E" w14:textId="77777777" w:rsidR="00AE087F" w:rsidRPr="009D198D" w:rsidRDefault="00AE087F" w:rsidP="009D198D">
      <w:pPr>
        <w:pStyle w:val="Textonotapie"/>
        <w:tabs>
          <w:tab w:val="left" w:pos="1830"/>
        </w:tabs>
        <w:ind w:left="709"/>
        <w:jc w:val="both"/>
        <w:rPr>
          <w:rFonts w:ascii="Arial" w:hAnsi="Arial" w:cs="Arial"/>
          <w:color w:val="000000" w:themeColor="text1"/>
          <w:sz w:val="19"/>
          <w:szCs w:val="19"/>
          <w:lang w:val="es-CO"/>
        </w:rPr>
      </w:pPr>
      <w:r w:rsidRPr="009D198D">
        <w:rPr>
          <w:rStyle w:val="Refdenotaalpie"/>
          <w:rFonts w:ascii="Arial" w:hAnsi="Arial" w:cs="Arial"/>
          <w:color w:val="000000" w:themeColor="text1"/>
          <w:sz w:val="19"/>
          <w:szCs w:val="19"/>
        </w:rPr>
        <w:footnoteRef/>
      </w:r>
      <w:r w:rsidRPr="009D198D">
        <w:rPr>
          <w:rFonts w:ascii="Arial" w:hAnsi="Arial" w:cs="Arial"/>
          <w:color w:val="000000" w:themeColor="text1"/>
          <w:sz w:val="19"/>
          <w:szCs w:val="19"/>
        </w:rPr>
        <w:t xml:space="preserve"> </w:t>
      </w:r>
      <w:r w:rsidRPr="009D198D">
        <w:rPr>
          <w:rFonts w:ascii="Arial" w:hAnsi="Arial" w:cs="Arial"/>
          <w:color w:val="000000" w:themeColor="text1"/>
          <w:sz w:val="19"/>
          <w:szCs w:val="19"/>
          <w:lang w:val="es-CO"/>
        </w:rPr>
        <w:t>DÁVILA VINUEZA, Luis Guillermo. Régimen Jurídico de la Contratación Estatal. Bogotá: Ed.</w:t>
      </w:r>
    </w:p>
    <w:p w14:paraId="0BA2CD4E" w14:textId="34A65B32" w:rsidR="00AE087F" w:rsidRPr="009D198D" w:rsidRDefault="00AE087F" w:rsidP="009D198D">
      <w:pPr>
        <w:pStyle w:val="Textonotapie"/>
        <w:tabs>
          <w:tab w:val="left" w:pos="1830"/>
        </w:tabs>
        <w:jc w:val="both"/>
        <w:rPr>
          <w:rFonts w:ascii="Arial" w:hAnsi="Arial" w:cs="Arial"/>
          <w:color w:val="000000" w:themeColor="text1"/>
          <w:sz w:val="19"/>
          <w:szCs w:val="19"/>
          <w:lang w:val="es-CO"/>
        </w:rPr>
      </w:pPr>
      <w:r w:rsidRPr="009D198D">
        <w:rPr>
          <w:rFonts w:ascii="Arial" w:hAnsi="Arial" w:cs="Arial"/>
          <w:color w:val="000000" w:themeColor="text1"/>
          <w:sz w:val="19"/>
          <w:szCs w:val="19"/>
          <w:lang w:val="es-CO"/>
        </w:rPr>
        <w:t xml:space="preserve">Legis, 2016. P. 440. </w:t>
      </w:r>
    </w:p>
  </w:footnote>
  <w:footnote w:id="33">
    <w:p w14:paraId="32C8A57B" w14:textId="692249A8" w:rsidR="00F05F22" w:rsidRPr="009D198D" w:rsidRDefault="00F05F22" w:rsidP="009D198D">
      <w:pPr>
        <w:pStyle w:val="Textonotapie"/>
        <w:ind w:firstLine="709"/>
        <w:jc w:val="both"/>
        <w:rPr>
          <w:rFonts w:ascii="Arial" w:hAnsi="Arial" w:cs="Arial"/>
          <w:sz w:val="19"/>
          <w:szCs w:val="19"/>
          <w:lang w:bidi="es-ES"/>
        </w:rPr>
      </w:pPr>
      <w:r w:rsidRPr="009D198D">
        <w:rPr>
          <w:rStyle w:val="Refdenotaalpie"/>
          <w:rFonts w:ascii="Arial" w:hAnsi="Arial" w:cs="Arial"/>
          <w:sz w:val="19"/>
          <w:szCs w:val="19"/>
        </w:rPr>
        <w:footnoteRef/>
      </w:r>
      <w:r w:rsidRPr="009D198D">
        <w:rPr>
          <w:rFonts w:ascii="Arial" w:hAnsi="Arial" w:cs="Arial"/>
          <w:sz w:val="19"/>
          <w:szCs w:val="19"/>
        </w:rPr>
        <w:t xml:space="preserve"> El </w:t>
      </w:r>
      <w:r w:rsidRPr="009D198D">
        <w:rPr>
          <w:rFonts w:ascii="Arial" w:hAnsi="Arial" w:cs="Arial"/>
          <w:sz w:val="19"/>
          <w:szCs w:val="19"/>
          <w:lang w:bidi="es-ES"/>
        </w:rPr>
        <w:t xml:space="preserve">artículo 2.2.1.1.2.2.1. del Decreto 1082 de 2015, dispone lo siguiente: </w:t>
      </w:r>
      <w:r w:rsidRPr="009D198D">
        <w:rPr>
          <w:rFonts w:ascii="Arial" w:hAnsi="Arial" w:cs="Arial"/>
          <w:color w:val="000000" w:themeColor="text1"/>
          <w:sz w:val="19"/>
          <w:szCs w:val="19"/>
        </w:rPr>
        <w:t>«</w:t>
      </w:r>
      <w:r w:rsidRPr="009D198D">
        <w:rPr>
          <w:rFonts w:ascii="Arial" w:hAnsi="Arial" w:cs="Arial"/>
          <w:sz w:val="19"/>
          <w:szCs w:val="19"/>
          <w:lang w:val="es-ES"/>
        </w:rPr>
        <w:t>La Entidad Estatal puede modificar los pliegos de condiciones a través de Adendas expedidas antes del vencimiento del plazo para presentar ofertas. </w:t>
      </w:r>
    </w:p>
    <w:p w14:paraId="32C8868C" w14:textId="62999B30" w:rsidR="00F05F22" w:rsidRPr="009D198D" w:rsidRDefault="00F05F22" w:rsidP="009D198D">
      <w:pPr>
        <w:pStyle w:val="Textonotapie"/>
        <w:ind w:firstLine="709"/>
        <w:jc w:val="both"/>
        <w:rPr>
          <w:rFonts w:ascii="Arial" w:hAnsi="Arial" w:cs="Arial"/>
          <w:sz w:val="19"/>
          <w:szCs w:val="19"/>
          <w:lang w:val="es-ES"/>
        </w:rPr>
      </w:pPr>
      <w:r w:rsidRPr="009D198D">
        <w:rPr>
          <w:rFonts w:ascii="Arial" w:hAnsi="Arial" w:cs="Arial"/>
          <w:sz w:val="19"/>
          <w:szCs w:val="19"/>
        </w:rPr>
        <w:t>»</w:t>
      </w:r>
      <w:r w:rsidRPr="009D198D">
        <w:rPr>
          <w:rFonts w:ascii="Arial" w:hAnsi="Arial" w:cs="Arial"/>
          <w:sz w:val="19"/>
          <w:szCs w:val="19"/>
          <w:lang w:val="es-ES"/>
        </w:rPr>
        <w:t>La Entidad Estatal puede expedir Adendas para modificar el Cronograma una vez vencido el término para la presentación de las ofertas y antes de la adjudicación del contrato. </w:t>
      </w:r>
    </w:p>
    <w:p w14:paraId="51DE7D9A" w14:textId="3A18C064" w:rsidR="00F05F22" w:rsidRPr="009D198D" w:rsidRDefault="00F05F22" w:rsidP="009D198D">
      <w:pPr>
        <w:pStyle w:val="Textonotapie"/>
        <w:ind w:firstLine="709"/>
        <w:jc w:val="both"/>
        <w:rPr>
          <w:rFonts w:ascii="Arial" w:hAnsi="Arial" w:cs="Arial"/>
          <w:sz w:val="19"/>
          <w:szCs w:val="19"/>
          <w:lang w:val="es-ES"/>
        </w:rPr>
      </w:pPr>
      <w:r w:rsidRPr="009D198D">
        <w:rPr>
          <w:rFonts w:ascii="Arial" w:hAnsi="Arial" w:cs="Arial"/>
          <w:sz w:val="19"/>
          <w:szCs w:val="19"/>
        </w:rPr>
        <w:t>»</w:t>
      </w:r>
      <w:r w:rsidRPr="009D198D">
        <w:rPr>
          <w:rFonts w:ascii="Arial" w:hAnsi="Arial" w:cs="Arial"/>
          <w:sz w:val="19"/>
          <w:szCs w:val="19"/>
          <w:lang w:val="es-ES"/>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Pr="009D198D">
        <w:rPr>
          <w:rFonts w:ascii="Arial" w:hAnsi="Arial" w:cs="Arial"/>
          <w:sz w:val="19"/>
          <w:szCs w:val="19"/>
        </w:rPr>
        <w:t>»</w:t>
      </w:r>
      <w:r w:rsidRPr="009D198D">
        <w:rPr>
          <w:rFonts w:ascii="Arial" w:hAnsi="Arial" w:cs="Arial"/>
          <w:sz w:val="19"/>
          <w:szCs w:val="19"/>
          <w:lang w:val="es-ES"/>
        </w:rPr>
        <w:t>. </w:t>
      </w:r>
    </w:p>
    <w:p w14:paraId="5E914350" w14:textId="189B8FB3" w:rsidR="00F05F22" w:rsidRPr="009D198D" w:rsidRDefault="00F05F22" w:rsidP="009D198D">
      <w:pPr>
        <w:pStyle w:val="Textonotapie"/>
        <w:jc w:val="both"/>
        <w:rPr>
          <w:rFonts w:ascii="Arial" w:hAnsi="Arial" w:cs="Arial"/>
          <w:sz w:val="19"/>
          <w:szCs w:val="19"/>
          <w:lang w:val="es-ES"/>
        </w:rPr>
      </w:pPr>
    </w:p>
  </w:footnote>
  <w:footnote w:id="34">
    <w:p w14:paraId="4F9AA874" w14:textId="6DBE59C3" w:rsidR="00F05F22" w:rsidRPr="009D198D" w:rsidRDefault="00F05F22" w:rsidP="009D198D">
      <w:pPr>
        <w:pStyle w:val="Textonotapie"/>
        <w:ind w:firstLine="708"/>
        <w:jc w:val="both"/>
        <w:rPr>
          <w:rFonts w:ascii="Arial" w:hAnsi="Arial" w:cs="Arial"/>
          <w:color w:val="000000" w:themeColor="text1"/>
          <w:sz w:val="19"/>
          <w:szCs w:val="19"/>
          <w:lang w:val="es-ES"/>
        </w:rPr>
      </w:pPr>
      <w:r w:rsidRPr="009D198D">
        <w:rPr>
          <w:rStyle w:val="Refdenotaalpie"/>
          <w:rFonts w:ascii="Arial" w:hAnsi="Arial" w:cs="Arial"/>
          <w:color w:val="000000" w:themeColor="text1"/>
          <w:sz w:val="19"/>
          <w:szCs w:val="19"/>
        </w:rPr>
        <w:footnoteRef/>
      </w:r>
      <w:r w:rsidRPr="009D198D">
        <w:rPr>
          <w:rFonts w:ascii="Arial" w:hAnsi="Arial" w:cs="Arial"/>
          <w:color w:val="000000" w:themeColor="text1"/>
          <w:sz w:val="19"/>
          <w:szCs w:val="19"/>
        </w:rPr>
        <w:t xml:space="preserve"> 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w:t>
      </w:r>
      <w:bookmarkStart w:id="21" w:name="_Hlk93509980"/>
      <w:r w:rsidRPr="009D198D">
        <w:rPr>
          <w:rFonts w:ascii="Arial" w:hAnsi="Arial" w:cs="Arial"/>
          <w:color w:val="000000" w:themeColor="text1"/>
          <w:sz w:val="19"/>
          <w:szCs w:val="19"/>
        </w:rPr>
        <w:t>»</w:t>
      </w:r>
      <w:bookmarkEnd w:id="21"/>
      <w:r w:rsidRPr="009D198D">
        <w:rPr>
          <w:rFonts w:ascii="Arial" w:hAnsi="Arial" w:cs="Arial"/>
          <w:color w:val="000000" w:themeColor="text1"/>
          <w:sz w:val="19"/>
          <w:szCs w:val="19"/>
        </w:rPr>
        <w:t xml:space="preserve"> (Cfr. PALACIO HINCAPÉ, Juan Ángel. La contratación de las entidades estatales. Séptima Edición. Medellín: Librería Jurídica Sánchez, 2014. p. 266).</w:t>
      </w:r>
      <w:r w:rsidR="00B7377E" w:rsidRPr="009D198D">
        <w:rPr>
          <w:rFonts w:ascii="Arial" w:hAnsi="Arial" w:cs="Arial"/>
          <w:color w:val="000000" w:themeColor="text1"/>
          <w:sz w:val="19"/>
          <w:szCs w:val="19"/>
        </w:rPr>
        <w:t xml:space="preserve"> </w:t>
      </w:r>
    </w:p>
  </w:footnote>
  <w:footnote w:id="35">
    <w:p w14:paraId="41974E56" w14:textId="6BBBECFE" w:rsidR="00B6675D" w:rsidRPr="009D198D" w:rsidRDefault="00B6675D" w:rsidP="009D198D">
      <w:pPr>
        <w:pStyle w:val="Textonotapie"/>
        <w:ind w:firstLine="709"/>
        <w:jc w:val="both"/>
        <w:rPr>
          <w:rFonts w:ascii="Arial" w:hAnsi="Arial" w:cs="Arial"/>
          <w:color w:val="000000" w:themeColor="text1"/>
          <w:sz w:val="19"/>
          <w:szCs w:val="19"/>
        </w:rPr>
      </w:pPr>
      <w:r w:rsidRPr="009D198D">
        <w:rPr>
          <w:rStyle w:val="Refdenotaalpie"/>
          <w:sz w:val="19"/>
          <w:szCs w:val="19"/>
        </w:rPr>
        <w:footnoteRef/>
      </w:r>
      <w:r w:rsidRPr="009D198D">
        <w:rPr>
          <w:sz w:val="19"/>
          <w:szCs w:val="19"/>
        </w:rPr>
        <w:t xml:space="preserve"> </w:t>
      </w:r>
      <w:r w:rsidRPr="009D198D">
        <w:rPr>
          <w:rFonts w:ascii="Arial" w:hAnsi="Arial" w:cs="Arial"/>
          <w:color w:val="000000" w:themeColor="text1"/>
          <w:sz w:val="19"/>
          <w:szCs w:val="19"/>
        </w:rPr>
        <w:t>EXP</w:t>
      </w:r>
      <w:r w:rsidR="00AE0D82" w:rsidRPr="009D198D">
        <w:rPr>
          <w:rFonts w:ascii="Arial" w:hAnsi="Arial" w:cs="Arial"/>
          <w:color w:val="000000" w:themeColor="text1"/>
          <w:sz w:val="19"/>
          <w:szCs w:val="19"/>
        </w:rPr>
        <w:t>Ó</w:t>
      </w:r>
      <w:r w:rsidRPr="009D198D">
        <w:rPr>
          <w:rFonts w:ascii="Arial" w:hAnsi="Arial" w:cs="Arial"/>
          <w:color w:val="000000" w:themeColor="text1"/>
          <w:sz w:val="19"/>
          <w:szCs w:val="19"/>
        </w:rPr>
        <w:t>SITO V</w:t>
      </w:r>
      <w:r w:rsidR="00AE0D82" w:rsidRPr="009D198D">
        <w:rPr>
          <w:rFonts w:ascii="Arial" w:hAnsi="Arial" w:cs="Arial"/>
          <w:color w:val="000000" w:themeColor="text1"/>
          <w:sz w:val="19"/>
          <w:szCs w:val="19"/>
        </w:rPr>
        <w:t>É</w:t>
      </w:r>
      <w:r w:rsidRPr="009D198D">
        <w:rPr>
          <w:rFonts w:ascii="Arial" w:hAnsi="Arial" w:cs="Arial"/>
          <w:color w:val="000000" w:themeColor="text1"/>
          <w:sz w:val="19"/>
          <w:szCs w:val="19"/>
        </w:rPr>
        <w:t xml:space="preserve">LEZ, </w:t>
      </w:r>
      <w:r w:rsidR="00AE0D82" w:rsidRPr="009D198D">
        <w:rPr>
          <w:rFonts w:ascii="Arial" w:hAnsi="Arial" w:cs="Arial"/>
          <w:color w:val="000000" w:themeColor="text1"/>
          <w:sz w:val="19"/>
          <w:szCs w:val="19"/>
        </w:rPr>
        <w:t>Juan Carlos</w:t>
      </w:r>
      <w:r w:rsidRPr="009D198D">
        <w:rPr>
          <w:rFonts w:ascii="Arial" w:hAnsi="Arial" w:cs="Arial"/>
          <w:color w:val="000000" w:themeColor="text1"/>
          <w:sz w:val="19"/>
          <w:szCs w:val="19"/>
        </w:rPr>
        <w:t xml:space="preserve">. </w:t>
      </w:r>
      <w:r w:rsidR="00AE0D82" w:rsidRPr="009D198D">
        <w:rPr>
          <w:rFonts w:ascii="Arial" w:hAnsi="Arial" w:cs="Arial"/>
          <w:color w:val="000000" w:themeColor="text1"/>
          <w:sz w:val="19"/>
          <w:szCs w:val="19"/>
        </w:rPr>
        <w:t>Forma y contenido del contrato estatal</w:t>
      </w:r>
      <w:r w:rsidRPr="009D198D">
        <w:rPr>
          <w:rFonts w:ascii="Arial" w:hAnsi="Arial" w:cs="Arial"/>
          <w:color w:val="000000" w:themeColor="text1"/>
          <w:sz w:val="19"/>
          <w:szCs w:val="19"/>
        </w:rPr>
        <w:t>.</w:t>
      </w:r>
      <w:r w:rsidR="00AE0D82" w:rsidRPr="009D198D">
        <w:rPr>
          <w:rFonts w:ascii="Arial" w:hAnsi="Arial" w:cs="Arial"/>
          <w:color w:val="000000" w:themeColor="text1"/>
          <w:sz w:val="19"/>
          <w:szCs w:val="19"/>
        </w:rPr>
        <w:t xml:space="preserve"> Primera Edición</w:t>
      </w:r>
      <w:r w:rsidRPr="009D198D">
        <w:rPr>
          <w:rFonts w:ascii="Arial" w:hAnsi="Arial" w:cs="Arial"/>
          <w:color w:val="000000" w:themeColor="text1"/>
          <w:sz w:val="19"/>
          <w:szCs w:val="19"/>
        </w:rPr>
        <w:t>.</w:t>
      </w:r>
      <w:r w:rsidR="00AE0D82" w:rsidRPr="009D198D">
        <w:rPr>
          <w:rFonts w:ascii="Arial" w:hAnsi="Arial" w:cs="Arial"/>
          <w:color w:val="000000" w:themeColor="text1"/>
          <w:sz w:val="19"/>
          <w:szCs w:val="19"/>
        </w:rPr>
        <w:t xml:space="preserve"> Universidad Externado de Colombia</w:t>
      </w:r>
      <w:r w:rsidRPr="009D198D">
        <w:rPr>
          <w:rFonts w:ascii="Arial" w:hAnsi="Arial" w:cs="Arial"/>
          <w:color w:val="000000" w:themeColor="text1"/>
          <w:sz w:val="19"/>
          <w:szCs w:val="19"/>
        </w:rPr>
        <w:t>, 201</w:t>
      </w:r>
      <w:r w:rsidR="00AE0D82" w:rsidRPr="009D198D">
        <w:rPr>
          <w:rFonts w:ascii="Arial" w:hAnsi="Arial" w:cs="Arial"/>
          <w:color w:val="000000" w:themeColor="text1"/>
          <w:sz w:val="19"/>
          <w:szCs w:val="19"/>
        </w:rPr>
        <w:t>3</w:t>
      </w:r>
      <w:r w:rsidRPr="009D198D">
        <w:rPr>
          <w:rFonts w:ascii="Arial" w:hAnsi="Arial" w:cs="Arial"/>
          <w:color w:val="000000" w:themeColor="text1"/>
          <w:sz w:val="19"/>
          <w:szCs w:val="19"/>
        </w:rPr>
        <w:t xml:space="preserve">. p. </w:t>
      </w:r>
      <w:r w:rsidR="00AE0D82" w:rsidRPr="009D198D">
        <w:rPr>
          <w:rFonts w:ascii="Arial" w:hAnsi="Arial" w:cs="Arial"/>
          <w:color w:val="000000" w:themeColor="text1"/>
          <w:sz w:val="19"/>
          <w:szCs w:val="19"/>
        </w:rPr>
        <w:t>62</w:t>
      </w:r>
      <w:r w:rsidR="000D70CC" w:rsidRPr="009D198D">
        <w:rPr>
          <w:rFonts w:ascii="Arial" w:hAnsi="Arial" w:cs="Arial"/>
          <w:color w:val="000000" w:themeColor="text1"/>
          <w:sz w:val="19"/>
          <w:szCs w:val="19"/>
        </w:rPr>
        <w:t>.</w:t>
      </w:r>
      <w:r w:rsidRPr="009D198D">
        <w:rPr>
          <w:rFonts w:ascii="Arial" w:hAnsi="Arial" w:cs="Arial"/>
          <w:color w:val="000000" w:themeColor="text1"/>
          <w:sz w:val="19"/>
          <w:szCs w:val="19"/>
        </w:rPr>
        <w:t xml:space="preserve"> </w:t>
      </w:r>
    </w:p>
    <w:p w14:paraId="237FAE82" w14:textId="77777777" w:rsidR="008923C2" w:rsidRPr="009D198D" w:rsidRDefault="008923C2" w:rsidP="009D198D">
      <w:pPr>
        <w:pStyle w:val="Textonotapie"/>
        <w:ind w:firstLine="709"/>
        <w:jc w:val="both"/>
        <w:rPr>
          <w:sz w:val="19"/>
          <w:szCs w:val="19"/>
          <w:lang w:val="es-CO"/>
        </w:rPr>
      </w:pPr>
    </w:p>
  </w:footnote>
  <w:footnote w:id="36">
    <w:p w14:paraId="39F3151D" w14:textId="745669CB" w:rsidR="00E06992" w:rsidRPr="009D198D" w:rsidRDefault="00E06992" w:rsidP="009D198D">
      <w:pPr>
        <w:pStyle w:val="Textonotapie"/>
        <w:ind w:firstLine="709"/>
        <w:jc w:val="both"/>
        <w:rPr>
          <w:rFonts w:ascii="Arial" w:hAnsi="Arial" w:cs="Arial"/>
          <w:sz w:val="19"/>
          <w:szCs w:val="19"/>
          <w:lang w:val="es-CO"/>
        </w:rPr>
      </w:pPr>
      <w:r w:rsidRPr="009D198D">
        <w:rPr>
          <w:rStyle w:val="Refdenotaalpie"/>
          <w:sz w:val="19"/>
          <w:szCs w:val="19"/>
        </w:rPr>
        <w:footnoteRef/>
      </w:r>
      <w:r w:rsidRPr="009D198D">
        <w:rPr>
          <w:rFonts w:ascii="Arial" w:hAnsi="Arial" w:cs="Arial"/>
          <w:sz w:val="19"/>
          <w:szCs w:val="19"/>
        </w:rPr>
        <w:t xml:space="preserve"> El numeral 18 del artículo 25 de Ley 80 de 1993 dispone que </w:t>
      </w:r>
      <w:r w:rsidRPr="009D198D">
        <w:rPr>
          <w:rFonts w:ascii="Arial" w:hAnsi="Arial" w:cs="Arial"/>
          <w:color w:val="000000" w:themeColor="text1"/>
          <w:sz w:val="19"/>
          <w:szCs w:val="19"/>
        </w:rPr>
        <w:t>«</w:t>
      </w:r>
      <w:r w:rsidRPr="009D198D">
        <w:rPr>
          <w:rFonts w:ascii="Arial" w:hAnsi="Arial" w:cs="Arial"/>
          <w:sz w:val="19"/>
          <w:szCs w:val="19"/>
          <w:lang w:val="es-CO"/>
        </w:rPr>
        <w:t>La declaratoria de desierta de la licitación únicamente procederá por motivos o causas que impidan la escogencia objetiva y se declarará en acto administrativo en el que se señalarán en forma expresa y detallada las razones que han conducido a esa decisión».</w:t>
      </w:r>
    </w:p>
    <w:p w14:paraId="32259645" w14:textId="77777777" w:rsidR="008923C2" w:rsidRPr="009D198D" w:rsidRDefault="008923C2" w:rsidP="009D198D">
      <w:pPr>
        <w:pStyle w:val="Textonotapie"/>
        <w:ind w:firstLine="709"/>
        <w:jc w:val="both"/>
        <w:rPr>
          <w:sz w:val="19"/>
          <w:szCs w:val="19"/>
          <w:lang w:val="es-CO"/>
        </w:rPr>
      </w:pPr>
    </w:p>
  </w:footnote>
  <w:footnote w:id="37">
    <w:p w14:paraId="1E5CB20E" w14:textId="4D26FA86" w:rsidR="002615BD" w:rsidRPr="009D198D" w:rsidRDefault="002615BD" w:rsidP="009D198D">
      <w:pPr>
        <w:pStyle w:val="Textonotapie"/>
        <w:ind w:firstLine="709"/>
        <w:jc w:val="both"/>
        <w:rPr>
          <w:rFonts w:ascii="Arial" w:hAnsi="Arial" w:cs="Arial"/>
          <w:sz w:val="19"/>
          <w:szCs w:val="19"/>
          <w:lang w:val="es-CO"/>
        </w:rPr>
      </w:pPr>
      <w:r w:rsidRPr="009D198D">
        <w:rPr>
          <w:rStyle w:val="Refdenotaalpie"/>
          <w:sz w:val="19"/>
          <w:szCs w:val="19"/>
        </w:rPr>
        <w:footnoteRef/>
      </w:r>
      <w:r w:rsidRPr="009D198D">
        <w:rPr>
          <w:sz w:val="19"/>
          <w:szCs w:val="19"/>
        </w:rPr>
        <w:t xml:space="preserve"> </w:t>
      </w:r>
      <w:r w:rsidRPr="009D198D">
        <w:rPr>
          <w:rFonts w:ascii="Arial" w:hAnsi="Arial" w:cs="Arial"/>
          <w:sz w:val="19"/>
          <w:szCs w:val="19"/>
          <w:lang w:val="es-CO"/>
        </w:rPr>
        <w:t>Consejo de Estado</w:t>
      </w:r>
      <w:r w:rsidR="00E06992" w:rsidRPr="009D198D">
        <w:rPr>
          <w:rFonts w:ascii="Arial" w:hAnsi="Arial" w:cs="Arial"/>
          <w:sz w:val="19"/>
          <w:szCs w:val="19"/>
          <w:lang w:val="es-CO"/>
        </w:rPr>
        <w:t>.</w:t>
      </w:r>
      <w:r w:rsidR="008923C2" w:rsidRPr="009D198D">
        <w:rPr>
          <w:rFonts w:ascii="Arial" w:hAnsi="Arial" w:cs="Arial"/>
          <w:sz w:val="19"/>
          <w:szCs w:val="19"/>
          <w:lang w:val="es-CO"/>
        </w:rPr>
        <w:t xml:space="preserve"> </w:t>
      </w:r>
      <w:r w:rsidRPr="009D198D">
        <w:rPr>
          <w:rFonts w:ascii="Arial" w:hAnsi="Arial" w:cs="Arial"/>
          <w:sz w:val="19"/>
          <w:szCs w:val="19"/>
          <w:lang w:val="es-CO"/>
        </w:rPr>
        <w:t>Sección Segunda</w:t>
      </w:r>
      <w:r w:rsidR="00E56A24" w:rsidRPr="009D198D">
        <w:rPr>
          <w:rFonts w:ascii="Arial" w:hAnsi="Arial" w:cs="Arial"/>
          <w:sz w:val="19"/>
          <w:szCs w:val="19"/>
          <w:lang w:val="es-CO"/>
        </w:rPr>
        <w:t>. Sentencia del 21 de agosto de 2020. Radicación Nro. (1564-12). C.P:</w:t>
      </w:r>
      <w:r w:rsidR="00E56A24" w:rsidRPr="009D198D">
        <w:rPr>
          <w:rFonts w:ascii="Arial" w:hAnsi="Arial" w:cs="Arial"/>
          <w:sz w:val="19"/>
          <w:szCs w:val="19"/>
        </w:rPr>
        <w:t xml:space="preserve"> </w:t>
      </w:r>
      <w:r w:rsidR="00E56A24" w:rsidRPr="009D198D">
        <w:rPr>
          <w:rFonts w:ascii="Arial" w:hAnsi="Arial" w:cs="Arial"/>
          <w:sz w:val="19"/>
          <w:szCs w:val="19"/>
          <w:lang w:val="es-CO"/>
        </w:rPr>
        <w:t>Sandra Lisset Ibarra Vélez</w:t>
      </w:r>
    </w:p>
    <w:p w14:paraId="20BF3589" w14:textId="77777777" w:rsidR="005E112E" w:rsidRPr="009D198D" w:rsidRDefault="005E112E" w:rsidP="009D198D">
      <w:pPr>
        <w:pStyle w:val="Textonotapie"/>
        <w:ind w:firstLine="709"/>
        <w:jc w:val="both"/>
        <w:rPr>
          <w:sz w:val="19"/>
          <w:szCs w:val="19"/>
          <w:lang w:val="es-CO"/>
        </w:rPr>
      </w:pPr>
    </w:p>
  </w:footnote>
  <w:footnote w:id="38">
    <w:p w14:paraId="6B7163AB" w14:textId="30722557" w:rsidR="005E112E" w:rsidRPr="009D198D" w:rsidRDefault="005E112E" w:rsidP="009D198D">
      <w:pPr>
        <w:pStyle w:val="Textonotapie"/>
        <w:ind w:firstLine="709"/>
        <w:jc w:val="both"/>
        <w:rPr>
          <w:sz w:val="19"/>
          <w:szCs w:val="19"/>
          <w:lang w:val="es-CO"/>
        </w:rPr>
      </w:pPr>
      <w:r w:rsidRPr="009D198D">
        <w:rPr>
          <w:rStyle w:val="Refdenotaalpie"/>
          <w:sz w:val="19"/>
          <w:szCs w:val="19"/>
        </w:rPr>
        <w:footnoteRef/>
      </w:r>
      <w:r w:rsidRPr="009D198D">
        <w:rPr>
          <w:sz w:val="19"/>
          <w:szCs w:val="19"/>
        </w:rPr>
        <w:t xml:space="preserve"> </w:t>
      </w:r>
      <w:r w:rsidRPr="009D198D">
        <w:rPr>
          <w:rFonts w:ascii="Arial" w:hAnsi="Arial" w:cs="Arial"/>
          <w:sz w:val="19"/>
          <w:szCs w:val="19"/>
          <w:lang w:val="es-CO"/>
        </w:rPr>
        <w:t xml:space="preserve">Ibidem </w:t>
      </w:r>
    </w:p>
  </w:footnote>
  <w:footnote w:id="39">
    <w:p w14:paraId="51E35E44" w14:textId="77777777" w:rsidR="00742E4B" w:rsidRPr="009D198D" w:rsidRDefault="00742E4B" w:rsidP="009D198D">
      <w:pPr>
        <w:ind w:right="102" w:firstLine="709"/>
        <w:jc w:val="both"/>
        <w:rPr>
          <w:rFonts w:ascii="Arial" w:hAnsi="Arial" w:cs="Arial"/>
          <w:sz w:val="19"/>
          <w:szCs w:val="19"/>
        </w:rPr>
      </w:pPr>
    </w:p>
    <w:p w14:paraId="1AA43677" w14:textId="23D898A6" w:rsidR="00742E4B" w:rsidRPr="009D198D" w:rsidRDefault="00742E4B" w:rsidP="009D198D">
      <w:pPr>
        <w:ind w:right="102" w:firstLine="709"/>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Ley 80 de 1993: </w:t>
      </w:r>
      <w:r w:rsidR="00593B6A" w:rsidRPr="009D198D">
        <w:rPr>
          <w:rFonts w:ascii="Arial" w:hAnsi="Arial" w:cs="Arial"/>
          <w:sz w:val="19"/>
          <w:szCs w:val="19"/>
        </w:rPr>
        <w:t>«</w:t>
      </w:r>
      <w:r w:rsidRPr="009D198D">
        <w:rPr>
          <w:rFonts w:ascii="Arial" w:hAnsi="Arial" w:cs="Arial"/>
          <w:sz w:val="19"/>
          <w:szCs w:val="19"/>
        </w:rPr>
        <w:t>Artículo 60. Los contratos de tracto sucesivo, aquellos cuya ejecución o cumplimiento se prolongue en el tiempo y los demás que lo requieran, serán objeto de liquidación.</w:t>
      </w:r>
    </w:p>
    <w:p w14:paraId="28CA2BF4" w14:textId="4764E9FA" w:rsidR="00742E4B" w:rsidRPr="009D198D" w:rsidRDefault="00593B6A" w:rsidP="009D198D">
      <w:pPr>
        <w:ind w:left="300" w:firstLine="709"/>
        <w:jc w:val="both"/>
        <w:rPr>
          <w:rFonts w:ascii="Arial" w:hAnsi="Arial" w:cs="Arial"/>
          <w:sz w:val="19"/>
          <w:szCs w:val="19"/>
        </w:rPr>
      </w:pPr>
      <w:r w:rsidRPr="009D198D">
        <w:rPr>
          <w:rFonts w:ascii="Arial" w:hAnsi="Arial" w:cs="Arial"/>
          <w:sz w:val="19"/>
          <w:szCs w:val="19"/>
        </w:rPr>
        <w:t>»</w:t>
      </w:r>
      <w:r w:rsidR="00742E4B" w:rsidRPr="009D198D">
        <w:rPr>
          <w:rFonts w:ascii="Arial" w:hAnsi="Arial" w:cs="Arial"/>
          <w:sz w:val="19"/>
          <w:szCs w:val="19"/>
        </w:rPr>
        <w:t>También en esta etapa las partes acordarán los ajustes, revisiones y reconocimientos a que haya lugar.</w:t>
      </w:r>
    </w:p>
    <w:p w14:paraId="6F04F65F" w14:textId="0570F537" w:rsidR="00742E4B" w:rsidRPr="009D198D" w:rsidRDefault="00593B6A" w:rsidP="009D198D">
      <w:pPr>
        <w:ind w:left="300" w:right="109" w:firstLine="709"/>
        <w:jc w:val="both"/>
        <w:rPr>
          <w:rFonts w:ascii="Arial" w:hAnsi="Arial" w:cs="Arial"/>
          <w:sz w:val="19"/>
          <w:szCs w:val="19"/>
        </w:rPr>
      </w:pPr>
      <w:r w:rsidRPr="009D198D">
        <w:rPr>
          <w:rFonts w:ascii="Arial" w:hAnsi="Arial" w:cs="Arial"/>
          <w:sz w:val="19"/>
          <w:szCs w:val="19"/>
        </w:rPr>
        <w:t>»</w:t>
      </w:r>
      <w:r w:rsidR="00742E4B" w:rsidRPr="009D198D">
        <w:rPr>
          <w:rFonts w:ascii="Arial" w:hAnsi="Arial" w:cs="Arial"/>
          <w:sz w:val="19"/>
          <w:szCs w:val="19"/>
        </w:rPr>
        <w:t>En el acta de liquidación constarán los acuerdos, conciliaciones y transacciones a que llegaren las partes para poner fin a las divergencias presentadas y poder declararse a paz y salvo.</w:t>
      </w:r>
    </w:p>
    <w:p w14:paraId="2C6C8656" w14:textId="597BE6D7" w:rsidR="00742E4B" w:rsidRPr="009D198D" w:rsidRDefault="00593B6A" w:rsidP="009D198D">
      <w:pPr>
        <w:ind w:left="300" w:right="109" w:firstLine="709"/>
        <w:jc w:val="both"/>
        <w:rPr>
          <w:rFonts w:ascii="Arial" w:hAnsi="Arial" w:cs="Arial"/>
          <w:sz w:val="19"/>
          <w:szCs w:val="19"/>
        </w:rPr>
      </w:pPr>
      <w:r w:rsidRPr="009D198D">
        <w:rPr>
          <w:rFonts w:ascii="Arial" w:hAnsi="Arial" w:cs="Arial"/>
          <w:sz w:val="19"/>
          <w:szCs w:val="19"/>
        </w:rPr>
        <w:t>»</w:t>
      </w:r>
      <w:r w:rsidR="00742E4B" w:rsidRPr="009D198D">
        <w:rPr>
          <w:rFonts w:ascii="Arial" w:hAnsi="Arial" w:cs="Arial"/>
          <w:sz w:val="19"/>
          <w:szCs w:val="19"/>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00742E4B" w:rsidRPr="009D198D">
        <w:rPr>
          <w:rFonts w:ascii="Arial" w:hAnsi="Arial" w:cs="Arial"/>
          <w:spacing w:val="-17"/>
          <w:sz w:val="19"/>
          <w:szCs w:val="19"/>
        </w:rPr>
        <w:t xml:space="preserve"> </w:t>
      </w:r>
      <w:r w:rsidR="00742E4B" w:rsidRPr="009D198D">
        <w:rPr>
          <w:rFonts w:ascii="Arial" w:hAnsi="Arial" w:cs="Arial"/>
          <w:sz w:val="19"/>
          <w:szCs w:val="19"/>
        </w:rPr>
        <w:t>contrato.</w:t>
      </w:r>
    </w:p>
    <w:p w14:paraId="5A6A5367" w14:textId="03CF2EB0" w:rsidR="00742E4B" w:rsidRPr="009D198D" w:rsidRDefault="00593B6A" w:rsidP="009D198D">
      <w:pPr>
        <w:ind w:left="300" w:right="100" w:firstLine="709"/>
        <w:jc w:val="both"/>
        <w:rPr>
          <w:rFonts w:ascii="Arial" w:hAnsi="Arial" w:cs="Arial"/>
          <w:sz w:val="19"/>
          <w:szCs w:val="19"/>
        </w:rPr>
      </w:pPr>
      <w:r w:rsidRPr="009D198D">
        <w:rPr>
          <w:rFonts w:ascii="Arial" w:hAnsi="Arial" w:cs="Arial"/>
          <w:sz w:val="19"/>
          <w:szCs w:val="19"/>
        </w:rPr>
        <w:t>»</w:t>
      </w:r>
      <w:r w:rsidR="00742E4B" w:rsidRPr="009D198D">
        <w:rPr>
          <w:rFonts w:ascii="Arial" w:hAnsi="Arial" w:cs="Arial"/>
          <w:sz w:val="19"/>
          <w:szCs w:val="19"/>
        </w:rPr>
        <w:t>La liquidación a que se refiere el presente artículo no será obligatoria en los contratos de prestación de servicios profesionales y de apoyo a la gestión</w:t>
      </w:r>
      <w:r w:rsidRPr="009D198D">
        <w:rPr>
          <w:rFonts w:ascii="Arial" w:hAnsi="Arial" w:cs="Arial"/>
          <w:sz w:val="19"/>
          <w:szCs w:val="19"/>
        </w:rPr>
        <w:t>»</w:t>
      </w:r>
      <w:r w:rsidR="00742E4B" w:rsidRPr="009D198D">
        <w:rPr>
          <w:rFonts w:ascii="Arial" w:hAnsi="Arial" w:cs="Arial"/>
          <w:sz w:val="19"/>
          <w:szCs w:val="19"/>
        </w:rPr>
        <w:t>.</w:t>
      </w:r>
    </w:p>
    <w:p w14:paraId="3C0E7F2B" w14:textId="77777777" w:rsidR="00742E4B" w:rsidRPr="009D198D" w:rsidRDefault="00742E4B" w:rsidP="009D198D">
      <w:pPr>
        <w:pStyle w:val="Textonotapie"/>
        <w:ind w:firstLine="709"/>
        <w:jc w:val="both"/>
        <w:rPr>
          <w:rFonts w:ascii="Arial" w:hAnsi="Arial" w:cs="Arial"/>
          <w:sz w:val="19"/>
          <w:szCs w:val="19"/>
        </w:rPr>
      </w:pPr>
    </w:p>
  </w:footnote>
  <w:footnote w:id="40">
    <w:p w14:paraId="13316BEA" w14:textId="77777777" w:rsidR="00742E4B" w:rsidRPr="009D198D" w:rsidRDefault="00742E4B" w:rsidP="009D198D">
      <w:pPr>
        <w:pStyle w:val="Textonotapie"/>
        <w:ind w:firstLine="709"/>
        <w:jc w:val="both"/>
        <w:rPr>
          <w:rFonts w:ascii="Arial" w:hAnsi="Arial" w:cs="Arial"/>
          <w:sz w:val="19"/>
          <w:szCs w:val="19"/>
          <w:lang w:val="es-CO"/>
        </w:rPr>
      </w:pPr>
      <w:r w:rsidRPr="009D198D">
        <w:rPr>
          <w:rStyle w:val="Refdenotaalpie"/>
          <w:rFonts w:ascii="Arial" w:hAnsi="Arial" w:cs="Arial"/>
          <w:sz w:val="19"/>
          <w:szCs w:val="19"/>
        </w:rPr>
        <w:footnoteRef/>
      </w:r>
      <w:r w:rsidRPr="009D198D">
        <w:rPr>
          <w:rFonts w:ascii="Arial" w:hAnsi="Arial" w:cs="Arial"/>
          <w:sz w:val="19"/>
          <w:szCs w:val="19"/>
        </w:rPr>
        <w:t xml:space="preserve"> Así lo ha señalado el Consejo de Estado, Sección Tercera, Subsección C, Sentencia de 20 de octubre de 2014, radicado No. 05001- 23-31-000-1998-00038-01 (27.777), C.P. Enrique Gil Botero.</w:t>
      </w:r>
    </w:p>
  </w:footnote>
  <w:footnote w:id="41">
    <w:p w14:paraId="46A75820" w14:textId="77777777" w:rsidR="00C475BA" w:rsidRPr="009D198D" w:rsidRDefault="00C475BA" w:rsidP="009D198D">
      <w:pPr>
        <w:pStyle w:val="Textonotapie"/>
        <w:ind w:firstLine="709"/>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Artículos 2 al 29.</w:t>
      </w:r>
    </w:p>
    <w:p w14:paraId="1CECA842" w14:textId="77777777" w:rsidR="00C475BA" w:rsidRPr="009D198D" w:rsidRDefault="00C475BA" w:rsidP="009D198D">
      <w:pPr>
        <w:pStyle w:val="Textonotapie"/>
        <w:ind w:firstLine="709"/>
        <w:jc w:val="both"/>
        <w:rPr>
          <w:rFonts w:ascii="Arial" w:hAnsi="Arial" w:cs="Arial"/>
          <w:sz w:val="19"/>
          <w:szCs w:val="19"/>
          <w:lang w:val="es-ES"/>
        </w:rPr>
      </w:pPr>
    </w:p>
  </w:footnote>
  <w:footnote w:id="42">
    <w:p w14:paraId="3DFF9D48" w14:textId="77777777" w:rsidR="00C475BA" w:rsidRPr="009D198D" w:rsidRDefault="00C475BA" w:rsidP="009D198D">
      <w:pPr>
        <w:pStyle w:val="Textonotapie"/>
        <w:ind w:firstLine="709"/>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Artículos 30 al 36.</w:t>
      </w:r>
    </w:p>
    <w:p w14:paraId="12419A91" w14:textId="77777777" w:rsidR="00C475BA" w:rsidRPr="009D198D" w:rsidRDefault="00C475BA" w:rsidP="009D198D">
      <w:pPr>
        <w:pStyle w:val="Textonotapie"/>
        <w:ind w:firstLine="709"/>
        <w:jc w:val="both"/>
        <w:rPr>
          <w:rFonts w:ascii="Arial" w:hAnsi="Arial" w:cs="Arial"/>
          <w:sz w:val="19"/>
          <w:szCs w:val="19"/>
          <w:lang w:val="es-ES"/>
        </w:rPr>
      </w:pPr>
    </w:p>
  </w:footnote>
  <w:footnote w:id="43">
    <w:p w14:paraId="79D3641F" w14:textId="77777777" w:rsidR="00C475BA" w:rsidRPr="009D198D" w:rsidRDefault="00C475BA" w:rsidP="009D198D">
      <w:pPr>
        <w:pStyle w:val="Textonotapie"/>
        <w:ind w:firstLine="709"/>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Artículos 37 al 45.</w:t>
      </w:r>
    </w:p>
    <w:p w14:paraId="3DB4E2FC" w14:textId="77777777" w:rsidR="00C475BA" w:rsidRPr="009D198D" w:rsidRDefault="00C475BA" w:rsidP="009D198D">
      <w:pPr>
        <w:pStyle w:val="Textonotapie"/>
        <w:ind w:firstLine="709"/>
        <w:jc w:val="both"/>
        <w:rPr>
          <w:rFonts w:ascii="Arial" w:hAnsi="Arial" w:cs="Arial"/>
          <w:sz w:val="19"/>
          <w:szCs w:val="19"/>
          <w:lang w:val="es-ES"/>
        </w:rPr>
      </w:pPr>
    </w:p>
  </w:footnote>
  <w:footnote w:id="44">
    <w:p w14:paraId="5F74C2C6" w14:textId="77777777" w:rsidR="00C475BA" w:rsidRPr="009D198D" w:rsidRDefault="00C475BA" w:rsidP="009D198D">
      <w:pPr>
        <w:pStyle w:val="Textonotapie"/>
        <w:ind w:firstLine="709"/>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Artículos 46 al 73.</w:t>
      </w:r>
    </w:p>
    <w:p w14:paraId="1D610EFB" w14:textId="77777777" w:rsidR="00C475BA" w:rsidRPr="009D198D" w:rsidRDefault="00C475BA" w:rsidP="009D198D">
      <w:pPr>
        <w:pStyle w:val="Textonotapie"/>
        <w:ind w:firstLine="709"/>
        <w:jc w:val="both"/>
        <w:rPr>
          <w:rFonts w:ascii="Arial" w:hAnsi="Arial" w:cs="Arial"/>
          <w:sz w:val="19"/>
          <w:szCs w:val="19"/>
          <w:lang w:val="es-ES"/>
        </w:rPr>
      </w:pPr>
    </w:p>
  </w:footnote>
  <w:footnote w:id="45">
    <w:p w14:paraId="2F887FFD" w14:textId="77777777" w:rsidR="00C475BA" w:rsidRPr="009D198D" w:rsidRDefault="00C475BA" w:rsidP="009D198D">
      <w:pPr>
        <w:pStyle w:val="Textonotapie"/>
        <w:ind w:firstLine="709"/>
        <w:jc w:val="both"/>
        <w:rPr>
          <w:rFonts w:ascii="Arial" w:hAnsi="Arial" w:cs="Arial"/>
          <w:sz w:val="19"/>
          <w:szCs w:val="19"/>
          <w:lang w:val="es-ES"/>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Artículos 74 al 83.</w:t>
      </w:r>
    </w:p>
    <w:p w14:paraId="22A2C75B" w14:textId="77777777" w:rsidR="00C475BA" w:rsidRPr="009D198D" w:rsidRDefault="00C475BA" w:rsidP="009D198D">
      <w:pPr>
        <w:pStyle w:val="Textonotapie"/>
        <w:ind w:firstLine="709"/>
        <w:jc w:val="both"/>
        <w:rPr>
          <w:rFonts w:ascii="Arial" w:hAnsi="Arial" w:cs="Arial"/>
          <w:sz w:val="19"/>
          <w:szCs w:val="19"/>
          <w:lang w:val="es-ES"/>
        </w:rPr>
      </w:pPr>
    </w:p>
  </w:footnote>
  <w:footnote w:id="46">
    <w:p w14:paraId="59C6BB9C" w14:textId="77777777" w:rsidR="00C475BA" w:rsidRPr="009D198D" w:rsidRDefault="00C475BA" w:rsidP="009D198D">
      <w:pPr>
        <w:ind w:firstLine="709"/>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En efecto, el artículo 34 de la Ley 2069 de 2020 establece: «</w:t>
      </w:r>
      <w:r w:rsidRPr="009D198D">
        <w:rPr>
          <w:rFonts w:ascii="Arial" w:hAnsi="Arial" w:cs="Arial"/>
          <w:sz w:val="19"/>
          <w:szCs w:val="19"/>
        </w:rPr>
        <w:t xml:space="preserve">Modifíquese el artículo 12 de la Ley 1150 de 2007, el cual quedará así: </w:t>
      </w:r>
    </w:p>
    <w:p w14:paraId="38182970" w14:textId="77777777"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rPr>
        <w:t>»</w:t>
      </w:r>
      <w:r w:rsidRPr="009D198D">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11FA7865" w14:textId="77777777"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50E971D7" w14:textId="77777777"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26C112F5" w14:textId="77777777"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8011047" w14:textId="77777777"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3BDA5460" w14:textId="77777777"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A2B553A" w14:textId="75EC6F56" w:rsidR="00C475BA" w:rsidRPr="009D198D" w:rsidRDefault="00C475BA" w:rsidP="009D198D">
      <w:pPr>
        <w:ind w:firstLine="709"/>
        <w:jc w:val="both"/>
        <w:rPr>
          <w:rFonts w:ascii="Arial" w:eastAsia="Calibri" w:hAnsi="Arial" w:cs="Arial"/>
          <w:color w:val="000000" w:themeColor="text1"/>
          <w:sz w:val="19"/>
          <w:szCs w:val="19"/>
          <w:lang w:val="es-ES_tradnl"/>
        </w:rPr>
      </w:pPr>
      <w:r w:rsidRPr="009D198D">
        <w:rPr>
          <w:rFonts w:ascii="Arial" w:eastAsia="Calibri" w:hAnsi="Arial" w:cs="Arial"/>
          <w:color w:val="000000" w:themeColor="text1"/>
          <w:sz w:val="19"/>
          <w:szCs w:val="19"/>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r w:rsidR="009E694C" w:rsidRPr="009D198D">
        <w:rPr>
          <w:rFonts w:ascii="Arial" w:eastAsia="Calibri" w:hAnsi="Arial" w:cs="Arial"/>
          <w:color w:val="000000" w:themeColor="text1"/>
          <w:sz w:val="19"/>
          <w:szCs w:val="19"/>
          <w:lang w:val="es-ES_tradnl"/>
        </w:rPr>
        <w:t>.</w:t>
      </w:r>
      <w:r w:rsidR="00B7377E" w:rsidRPr="009D198D">
        <w:rPr>
          <w:rFonts w:ascii="Arial" w:eastAsia="Calibri" w:hAnsi="Arial" w:cs="Arial"/>
          <w:color w:val="000000" w:themeColor="text1"/>
          <w:sz w:val="19"/>
          <w:szCs w:val="19"/>
          <w:lang w:val="es-ES_tradnl"/>
        </w:rPr>
        <w:t xml:space="preserve"> </w:t>
      </w:r>
    </w:p>
  </w:footnote>
  <w:footnote w:id="47">
    <w:p w14:paraId="4B718203" w14:textId="77777777" w:rsidR="00C475BA" w:rsidRPr="009D198D" w:rsidRDefault="00C475BA" w:rsidP="009D198D">
      <w:pPr>
        <w:ind w:firstLine="709"/>
        <w:jc w:val="both"/>
        <w:rPr>
          <w:rFonts w:ascii="Arial" w:eastAsiaTheme="minorHAnsi" w:hAnsi="Arial" w:cs="Arial"/>
          <w:sz w:val="19"/>
          <w:szCs w:val="19"/>
          <w:lang w:val="es-ES" w:eastAsia="en-US"/>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ES"/>
        </w:rPr>
        <w:t xml:space="preserve">Corte Constitucional. Sentencia C-502 de 2012. Magistrada Ponente: </w:t>
      </w:r>
      <w:r w:rsidRPr="009D198D">
        <w:rPr>
          <w:rFonts w:ascii="Arial" w:eastAsiaTheme="minorHAnsi" w:hAnsi="Arial" w:cs="Arial"/>
          <w:sz w:val="19"/>
          <w:szCs w:val="19"/>
          <w:lang w:val="es-ES" w:eastAsia="en-US"/>
        </w:rPr>
        <w:t>Adriana María Guillén Arango.</w:t>
      </w:r>
    </w:p>
    <w:p w14:paraId="5C95952A" w14:textId="77777777" w:rsidR="00C475BA" w:rsidRPr="009D198D" w:rsidRDefault="00C475BA" w:rsidP="009D198D">
      <w:pPr>
        <w:pStyle w:val="Textonotapie"/>
        <w:ind w:firstLine="709"/>
        <w:jc w:val="both"/>
        <w:rPr>
          <w:rFonts w:ascii="Arial" w:hAnsi="Arial" w:cs="Arial"/>
          <w:sz w:val="19"/>
          <w:szCs w:val="19"/>
          <w:lang w:val="es-ES"/>
        </w:rPr>
      </w:pPr>
      <w:r w:rsidRPr="009D198D">
        <w:rPr>
          <w:rFonts w:ascii="Arial" w:hAnsi="Arial" w:cs="Arial"/>
          <w:sz w:val="19"/>
          <w:szCs w:val="19"/>
          <w:lang w:val="es-ES"/>
        </w:rPr>
        <w:t xml:space="preserve"> </w:t>
      </w:r>
    </w:p>
  </w:footnote>
  <w:footnote w:id="48">
    <w:p w14:paraId="45A5AC75" w14:textId="77777777" w:rsidR="000673C4" w:rsidRPr="009D198D" w:rsidRDefault="000673C4"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«El instrumento principal de la actividad financiera del gobierno es el presupuesto público, el cual es también la carta de orientación para la ejecución de las finanzas estatales, instrumento de planificación y cumplimiento de planes y programas que refleja la actividad gubernamental y el cumplimiento de la Constitución Política en los ámbitos políticos, económicos, jurídicos y sociales. […] El presupuesto enmarca toda la práctica de política fiscal del Estado. Por medio de éste se llevan a cabo la búsqueda y el cumplimiento de principios y finalidades de la actuación administrativa, y que (sic) en últimas, orienta la satisfacción de necesidades de los individuos que lo conforman y se garantizan los recursos necesarios para el normal funcionamiento del aparato estatal.» PEÑA GONZÁLEZ, Edilberto. Principios e instituciones presupuestales en Colombia, en: Estudios Socio-Jurídicos, Bogotá (Colombia), 9 (1), enero-junio de 2007, p. 248 y 250.</w:t>
      </w:r>
    </w:p>
    <w:p w14:paraId="7FD5D32D" w14:textId="77777777" w:rsidR="000673C4" w:rsidRPr="009D198D" w:rsidRDefault="000673C4" w:rsidP="009D198D">
      <w:pPr>
        <w:pStyle w:val="Textonotapie"/>
        <w:ind w:firstLine="708"/>
        <w:jc w:val="both"/>
        <w:rPr>
          <w:rFonts w:ascii="Arial" w:hAnsi="Arial" w:cs="Arial"/>
          <w:sz w:val="19"/>
          <w:szCs w:val="19"/>
        </w:rPr>
      </w:pPr>
    </w:p>
  </w:footnote>
  <w:footnote w:id="49">
    <w:p w14:paraId="49135AE9" w14:textId="65A84C99" w:rsidR="000673C4" w:rsidRPr="009D198D" w:rsidRDefault="000673C4" w:rsidP="009D198D">
      <w:pPr>
        <w:pStyle w:val="Textonotapie"/>
        <w:ind w:firstLine="708"/>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De conformidad con lo dispuesto en el artículo 10 del Decreto 111 de 1996 «La Ley Anual sobre el Presupuesto General de la Nación es el instrumento para el cumplimiento de los planes y programas de desarrollo económico y social.»</w:t>
      </w:r>
      <w:r w:rsidR="00B7377E" w:rsidRPr="009D198D">
        <w:rPr>
          <w:rFonts w:ascii="Arial" w:hAnsi="Arial" w:cs="Arial"/>
          <w:sz w:val="19"/>
          <w:szCs w:val="19"/>
        </w:rPr>
        <w:t xml:space="preserve"> </w:t>
      </w:r>
    </w:p>
    <w:p w14:paraId="06937656" w14:textId="77777777" w:rsidR="000673C4" w:rsidRPr="009D198D" w:rsidRDefault="000673C4" w:rsidP="009D198D">
      <w:pPr>
        <w:pStyle w:val="Textonotapie"/>
        <w:ind w:firstLine="708"/>
        <w:jc w:val="both"/>
        <w:rPr>
          <w:rFonts w:ascii="Arial" w:hAnsi="Arial" w:cs="Arial"/>
          <w:sz w:val="19"/>
          <w:szCs w:val="19"/>
        </w:rPr>
      </w:pPr>
      <w:r w:rsidRPr="009D198D">
        <w:rPr>
          <w:rFonts w:ascii="Arial" w:hAnsi="Arial" w:cs="Arial"/>
          <w:sz w:val="19"/>
          <w:szCs w:val="19"/>
        </w:rPr>
        <w:t>A su turno, el artículo 11 del mismo Decreto indica que «El Presupuesto General de la Nación se compone de las siguientes partes:</w:t>
      </w:r>
    </w:p>
    <w:p w14:paraId="622F84FA" w14:textId="77777777" w:rsidR="000673C4" w:rsidRPr="009D198D" w:rsidRDefault="000673C4" w:rsidP="009D198D">
      <w:pPr>
        <w:pStyle w:val="Textonotapie"/>
        <w:ind w:firstLine="708"/>
        <w:jc w:val="both"/>
        <w:rPr>
          <w:rFonts w:ascii="Arial" w:hAnsi="Arial" w:cs="Arial"/>
          <w:sz w:val="19"/>
          <w:szCs w:val="19"/>
        </w:rPr>
      </w:pPr>
      <w:r w:rsidRPr="009D198D">
        <w:rPr>
          <w:rFonts w:ascii="Arial" w:hAnsi="Arial" w:cs="Arial"/>
          <w:sz w:val="19"/>
          <w:szCs w:val="19"/>
        </w:rPr>
        <w:t>a) El Presupuesto de Rentas contendrá la estimación de los ingresos corrientes de la Nación; de las contribuciones para fiscales cuando sean administradas por un órgano que haga parte del Presupuesto, de los fondos especiales, de los recursos de capital y de los ingresos de los establecimientos públicos del orden nacional;</w:t>
      </w:r>
    </w:p>
    <w:p w14:paraId="540D4C73" w14:textId="77777777" w:rsidR="000673C4" w:rsidRPr="009D198D" w:rsidRDefault="000673C4" w:rsidP="009D198D">
      <w:pPr>
        <w:pStyle w:val="Textonotapie"/>
        <w:ind w:firstLine="708"/>
        <w:jc w:val="both"/>
        <w:rPr>
          <w:rFonts w:ascii="Arial" w:hAnsi="Arial" w:cs="Arial"/>
          <w:sz w:val="19"/>
          <w:szCs w:val="19"/>
        </w:rPr>
      </w:pPr>
      <w:r w:rsidRPr="009D198D">
        <w:rPr>
          <w:rFonts w:ascii="Arial" w:hAnsi="Arial" w:cs="Arial"/>
          <w:sz w:val="19"/>
          <w:szCs w:val="19"/>
        </w:rPr>
        <w:t>b) El Presupuesto de Gastos o Ley de Apropiaciones. Incluirá las apropiaciones para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distinguiendo entre gastos de funcionamiento, servicio de la deuda pública y gastos de inversión, clasificados y detallados en la forma que indiquen los reglamentos;</w:t>
      </w:r>
    </w:p>
    <w:p w14:paraId="1D3ACB9E" w14:textId="77777777" w:rsidR="000673C4" w:rsidRPr="009D198D" w:rsidRDefault="000673C4" w:rsidP="009D198D">
      <w:pPr>
        <w:pStyle w:val="Textonotapie"/>
        <w:ind w:firstLine="708"/>
        <w:jc w:val="both"/>
        <w:rPr>
          <w:rFonts w:ascii="Arial" w:hAnsi="Arial" w:cs="Arial"/>
          <w:sz w:val="19"/>
          <w:szCs w:val="19"/>
          <w:lang w:val="es-CO"/>
        </w:rPr>
      </w:pPr>
      <w:r w:rsidRPr="009D198D">
        <w:rPr>
          <w:rFonts w:ascii="Arial" w:hAnsi="Arial" w:cs="Arial"/>
          <w:sz w:val="19"/>
          <w:szCs w:val="19"/>
        </w:rPr>
        <w:t xml:space="preserve"> c) Disposiciones generales. Corresponde a las normas tendientes a asegurar la correcta ejecución del Presupuesto General de la Nación, las cuales regirán únicamente para el año fiscal para el cual se expidan.»</w:t>
      </w:r>
    </w:p>
  </w:footnote>
  <w:footnote w:id="50">
    <w:p w14:paraId="558E6FA1" w14:textId="6EDE5D03" w:rsidR="0028189C" w:rsidRPr="009D198D" w:rsidRDefault="0028189C" w:rsidP="009D198D">
      <w:pPr>
        <w:pStyle w:val="Textonotapie"/>
        <w:ind w:firstLine="709"/>
        <w:jc w:val="both"/>
        <w:rPr>
          <w:sz w:val="19"/>
          <w:szCs w:val="19"/>
          <w:lang w:val="es-CO"/>
        </w:rPr>
      </w:pPr>
      <w:r w:rsidRPr="009D198D">
        <w:rPr>
          <w:rStyle w:val="Refdenotaalpie"/>
          <w:rFonts w:ascii="Arial" w:hAnsi="Arial" w:cs="Arial"/>
          <w:sz w:val="19"/>
          <w:szCs w:val="19"/>
        </w:rPr>
        <w:footnoteRef/>
      </w:r>
      <w:r w:rsidRPr="009D198D">
        <w:rPr>
          <w:rFonts w:ascii="Arial" w:hAnsi="Arial" w:cs="Arial"/>
          <w:sz w:val="19"/>
          <w:szCs w:val="19"/>
        </w:rPr>
        <w:t xml:space="preserve"> Decreto 1068 de 2015 «</w:t>
      </w:r>
      <w:r w:rsidRPr="009D198D">
        <w:rPr>
          <w:rFonts w:ascii="Arial" w:hAnsi="Arial" w:cs="Arial"/>
          <w:sz w:val="19"/>
          <w:szCs w:val="19"/>
          <w:lang w:val="es-CO"/>
        </w:rPr>
        <w:t>Artículo </w:t>
      </w:r>
      <w:bookmarkStart w:id="25" w:name="2.8.3.4"/>
      <w:bookmarkEnd w:id="25"/>
      <w:r w:rsidRPr="009D198D">
        <w:rPr>
          <w:rFonts w:ascii="Arial" w:hAnsi="Arial" w:cs="Arial"/>
          <w:sz w:val="19"/>
          <w:szCs w:val="19"/>
          <w:lang w:val="es-CO"/>
        </w:rPr>
        <w:t>2.8.3.4. </w:t>
      </w:r>
      <w:r w:rsidRPr="009D198D">
        <w:rPr>
          <w:rFonts w:ascii="Arial" w:hAnsi="Arial" w:cs="Arial"/>
          <w:i/>
          <w:iCs/>
          <w:sz w:val="19"/>
          <w:szCs w:val="19"/>
          <w:lang w:val="es-CO"/>
        </w:rPr>
        <w:t>Anualidad.</w:t>
      </w:r>
      <w:r w:rsidRPr="009D198D">
        <w:rPr>
          <w:rFonts w:ascii="Arial" w:hAnsi="Arial" w:cs="Arial"/>
          <w:sz w:val="19"/>
          <w:szCs w:val="19"/>
          <w:lang w:val="es-CO"/>
        </w:rPr>
        <w:t>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caducarán sin excepción</w:t>
      </w:r>
      <w:r w:rsidRPr="009D198D">
        <w:rPr>
          <w:rFonts w:ascii="Arial" w:hAnsi="Arial" w:cs="Arial"/>
          <w:sz w:val="19"/>
          <w:szCs w:val="19"/>
        </w:rPr>
        <w:t>»</w:t>
      </w:r>
      <w:r w:rsidRPr="009D198D">
        <w:rPr>
          <w:rFonts w:ascii="Arial" w:hAnsi="Arial" w:cs="Arial"/>
          <w:sz w:val="19"/>
          <w:szCs w:val="19"/>
          <w:lang w:val="es-CO"/>
        </w:rPr>
        <w:t>.</w:t>
      </w:r>
    </w:p>
  </w:footnote>
  <w:footnote w:id="51">
    <w:p w14:paraId="0D26065C" w14:textId="411D5F7A" w:rsidR="00472695" w:rsidRPr="009D198D" w:rsidRDefault="00D75B2C" w:rsidP="009D198D">
      <w:pPr>
        <w:pStyle w:val="Textonotapie"/>
        <w:ind w:right="49" w:firstLine="708"/>
        <w:jc w:val="both"/>
        <w:rPr>
          <w:rFonts w:ascii="Arial" w:hAnsi="Arial" w:cs="Arial"/>
          <w:color w:val="000000"/>
          <w:sz w:val="19"/>
          <w:szCs w:val="19"/>
        </w:rPr>
      </w:pPr>
      <w:r w:rsidRPr="009D198D">
        <w:rPr>
          <w:rStyle w:val="Refdenotaalpie"/>
          <w:sz w:val="19"/>
          <w:szCs w:val="19"/>
        </w:rPr>
        <w:footnoteRef/>
      </w:r>
      <w:r w:rsidRPr="009D198D">
        <w:rPr>
          <w:sz w:val="19"/>
          <w:szCs w:val="19"/>
        </w:rPr>
        <w:t xml:space="preserve"> </w:t>
      </w:r>
      <w:r w:rsidR="00472695" w:rsidRPr="009D198D">
        <w:rPr>
          <w:rFonts w:ascii="Arial" w:hAnsi="Arial" w:cs="Arial"/>
          <w:color w:val="000000"/>
          <w:sz w:val="19"/>
          <w:szCs w:val="19"/>
        </w:rPr>
        <w:t>Consejo de Estado. Sección Tercera. Sentencia del 1 de febrero de 2018. Radicado Nro.</w:t>
      </w:r>
      <w:r w:rsidR="00472695" w:rsidRPr="009D198D">
        <w:rPr>
          <w:rFonts w:ascii="Arial" w:hAnsi="Arial" w:cs="Arial"/>
          <w:color w:val="000000"/>
          <w:sz w:val="19"/>
          <w:szCs w:val="19"/>
          <w:lang w:val="es-CO"/>
        </w:rPr>
        <w:t xml:space="preserve"> 08001-2331-000-2010-00987-01</w:t>
      </w:r>
      <w:r w:rsidR="00472695" w:rsidRPr="009D198D">
        <w:rPr>
          <w:rFonts w:ascii="Arial" w:hAnsi="Arial" w:cs="Arial"/>
          <w:color w:val="000000"/>
          <w:sz w:val="19"/>
          <w:szCs w:val="19"/>
        </w:rPr>
        <w:t xml:space="preserve">. C.P. </w:t>
      </w:r>
      <w:r w:rsidR="00472695" w:rsidRPr="009D198D">
        <w:rPr>
          <w:rFonts w:ascii="Arial" w:hAnsi="Arial" w:cs="Arial"/>
          <w:color w:val="000000"/>
          <w:sz w:val="19"/>
          <w:szCs w:val="19"/>
          <w:lang w:val="es-CO"/>
        </w:rPr>
        <w:t>Oswaldo Giraldo López</w:t>
      </w:r>
    </w:p>
    <w:p w14:paraId="129203F2" w14:textId="06CEAA3A" w:rsidR="00D75B2C" w:rsidRPr="009D198D" w:rsidRDefault="00D75B2C" w:rsidP="009D198D">
      <w:pPr>
        <w:pStyle w:val="Textonotapie"/>
        <w:jc w:val="both"/>
        <w:rPr>
          <w:sz w:val="19"/>
          <w:szCs w:val="19"/>
          <w:lang w:val="es-CO"/>
        </w:rPr>
      </w:pPr>
    </w:p>
  </w:footnote>
  <w:footnote w:id="52">
    <w:p w14:paraId="31132B36" w14:textId="53F5DDED" w:rsidR="00C86EF8" w:rsidRPr="009D198D" w:rsidRDefault="00C86EF8" w:rsidP="009D198D">
      <w:pPr>
        <w:pStyle w:val="Textonotapie"/>
        <w:ind w:firstLine="709"/>
        <w:jc w:val="both"/>
        <w:rPr>
          <w:rFonts w:ascii="Arial" w:hAnsi="Arial" w:cs="Arial"/>
          <w:sz w:val="19"/>
          <w:szCs w:val="19"/>
          <w:lang w:val="es-CO"/>
        </w:rPr>
      </w:pPr>
      <w:r w:rsidRPr="009D198D">
        <w:rPr>
          <w:rStyle w:val="Refdenotaalpie"/>
          <w:rFonts w:ascii="Arial" w:hAnsi="Arial" w:cs="Arial"/>
          <w:sz w:val="19"/>
          <w:szCs w:val="19"/>
        </w:rPr>
        <w:footnoteRef/>
      </w:r>
      <w:r w:rsidRPr="009D198D">
        <w:rPr>
          <w:rFonts w:ascii="Arial" w:hAnsi="Arial" w:cs="Arial"/>
          <w:sz w:val="19"/>
          <w:szCs w:val="19"/>
        </w:rPr>
        <w:t xml:space="preserve"> </w:t>
      </w:r>
      <w:bookmarkStart w:id="26" w:name="23"/>
      <w:r w:rsidRPr="009D198D">
        <w:rPr>
          <w:rFonts w:ascii="Arial" w:eastAsia="Calibri" w:hAnsi="Arial" w:cs="Arial"/>
          <w:sz w:val="19"/>
          <w:szCs w:val="19"/>
          <w:lang w:val="es-ES_tradnl"/>
        </w:rPr>
        <w:t>«</w:t>
      </w:r>
      <w:r w:rsidRPr="009D198D">
        <w:rPr>
          <w:rFonts w:ascii="Arial" w:hAnsi="Arial" w:cs="Arial"/>
          <w:sz w:val="19"/>
          <w:szCs w:val="19"/>
          <w:lang w:val="es-CO"/>
        </w:rPr>
        <w:t>Artículo 23.</w:t>
      </w:r>
      <w:bookmarkEnd w:id="26"/>
      <w:r w:rsidRPr="009D198D">
        <w:rPr>
          <w:rFonts w:ascii="Arial" w:hAnsi="Arial" w:cs="Arial"/>
          <w:sz w:val="19"/>
          <w:szCs w:val="19"/>
          <w:lang w:val="es-CO"/>
        </w:rPr>
        <w:t xml:space="preserve"> El Confis podrá autorizar la asunción de obligaciones que afecten presupuestos de vigencias futuras cuando su ejecución se inicie con presupuesto de la vigencia en curso y el objeto del compromiso se lleve a cabo en cada una de ellas siempre y cuando se cumpla que:</w:t>
      </w:r>
    </w:p>
    <w:p w14:paraId="476D76FB" w14:textId="0E47C819" w:rsidR="00C86EF8" w:rsidRPr="009D198D" w:rsidRDefault="00C86EF8" w:rsidP="009D198D">
      <w:pPr>
        <w:pStyle w:val="Textonotapie"/>
        <w:ind w:firstLine="567"/>
        <w:jc w:val="both"/>
        <w:rPr>
          <w:rFonts w:ascii="Arial" w:hAnsi="Arial" w:cs="Arial"/>
          <w:sz w:val="19"/>
          <w:szCs w:val="19"/>
          <w:lang w:val="es-CO"/>
        </w:rPr>
      </w:pPr>
      <w:r w:rsidRPr="009D198D">
        <w:rPr>
          <w:rFonts w:ascii="Arial" w:eastAsia="Calibri" w:hAnsi="Arial" w:cs="Arial"/>
          <w:sz w:val="19"/>
          <w:szCs w:val="19"/>
          <w:lang w:val="es-ES_tradnl"/>
        </w:rPr>
        <w:t>»</w:t>
      </w:r>
      <w:r w:rsidRPr="009D198D">
        <w:rPr>
          <w:rFonts w:ascii="Arial" w:hAnsi="Arial" w:cs="Arial"/>
          <w:sz w:val="19"/>
          <w:szCs w:val="19"/>
          <w:lang w:val="es-CO"/>
        </w:rPr>
        <w:t>a) El monto máximo de vigencias futuras, el plazo y las condiciones de las mismas consulte las metas plurianuales del Marco Fiscal de Mediano Plazo de que trata el artículo </w:t>
      </w:r>
      <w:hyperlink r:id="rId2" w:anchor="1" w:history="1">
        <w:r w:rsidRPr="009D198D">
          <w:rPr>
            <w:rStyle w:val="Hipervnculo"/>
            <w:rFonts w:ascii="Arial" w:hAnsi="Arial" w:cs="Arial"/>
            <w:sz w:val="19"/>
            <w:szCs w:val="19"/>
            <w:lang w:val="es-CO"/>
          </w:rPr>
          <w:t>1</w:t>
        </w:r>
      </w:hyperlink>
      <w:r w:rsidRPr="009D198D">
        <w:rPr>
          <w:rFonts w:ascii="Arial" w:hAnsi="Arial" w:cs="Arial"/>
          <w:sz w:val="19"/>
          <w:szCs w:val="19"/>
          <w:lang w:val="es-CO"/>
        </w:rPr>
        <w:t>o de esta ley;</w:t>
      </w:r>
    </w:p>
    <w:p w14:paraId="4D7A5625" w14:textId="65E7F250" w:rsidR="00C86EF8" w:rsidRPr="009D198D" w:rsidRDefault="00C86EF8" w:rsidP="009D198D">
      <w:pPr>
        <w:pStyle w:val="Textonotapie"/>
        <w:ind w:firstLine="567"/>
        <w:jc w:val="both"/>
        <w:rPr>
          <w:rFonts w:ascii="Arial" w:hAnsi="Arial" w:cs="Arial"/>
          <w:sz w:val="19"/>
          <w:szCs w:val="19"/>
          <w:lang w:val="es-CO"/>
        </w:rPr>
      </w:pPr>
      <w:r w:rsidRPr="009D198D">
        <w:rPr>
          <w:rFonts w:ascii="Arial" w:eastAsia="Calibri" w:hAnsi="Arial" w:cs="Arial"/>
          <w:sz w:val="19"/>
          <w:szCs w:val="19"/>
          <w:lang w:val="es-ES_tradnl"/>
        </w:rPr>
        <w:t>»</w:t>
      </w:r>
      <w:r w:rsidRPr="009D198D">
        <w:rPr>
          <w:rFonts w:ascii="Arial" w:hAnsi="Arial" w:cs="Arial"/>
          <w:sz w:val="19"/>
          <w:szCs w:val="19"/>
          <w:lang w:val="es-CO"/>
        </w:rPr>
        <w:t>b) Como mínimo, de las vigencias futuras que se soliciten se deberá contar con apropiación del quince por ciento (15%) en la vigencia fiscal en la que estas sean autorizadas;</w:t>
      </w:r>
    </w:p>
    <w:p w14:paraId="6947B6E9" w14:textId="2DBDD02C" w:rsidR="00C86EF8" w:rsidRPr="009D198D" w:rsidRDefault="00C86EF8" w:rsidP="009D198D">
      <w:pPr>
        <w:pStyle w:val="Textonotapie"/>
        <w:ind w:firstLine="709"/>
        <w:jc w:val="both"/>
        <w:rPr>
          <w:rFonts w:ascii="Arial" w:hAnsi="Arial" w:cs="Arial"/>
          <w:sz w:val="19"/>
          <w:szCs w:val="19"/>
          <w:lang w:val="es-CO"/>
        </w:rPr>
      </w:pPr>
      <w:r w:rsidRPr="009D198D">
        <w:rPr>
          <w:rFonts w:ascii="Arial" w:eastAsia="Calibri" w:hAnsi="Arial" w:cs="Arial"/>
          <w:sz w:val="19"/>
          <w:szCs w:val="19"/>
          <w:lang w:val="es-ES_tradnl"/>
        </w:rPr>
        <w:t>»</w:t>
      </w:r>
      <w:r w:rsidRPr="009D198D">
        <w:rPr>
          <w:rFonts w:ascii="Arial" w:hAnsi="Arial" w:cs="Arial"/>
          <w:sz w:val="19"/>
          <w:szCs w:val="19"/>
          <w:lang w:val="es-CO"/>
        </w:rPr>
        <w:t>c) Cuando se trate de proyectos de inversión nacional deberá obtenerse el concepto previo y favorable del Departamento Nacional de Planeación y del Ministerio del ramo.</w:t>
      </w:r>
    </w:p>
    <w:p w14:paraId="7F40F0F1" w14:textId="77777777" w:rsidR="00C86EF8" w:rsidRPr="009D198D" w:rsidRDefault="00C86EF8" w:rsidP="009D198D">
      <w:pPr>
        <w:pStyle w:val="Textonotapie"/>
        <w:jc w:val="both"/>
        <w:rPr>
          <w:rFonts w:ascii="Arial" w:hAnsi="Arial" w:cs="Arial"/>
          <w:sz w:val="19"/>
          <w:szCs w:val="19"/>
          <w:lang w:val="es-CO"/>
        </w:rPr>
      </w:pPr>
      <w:r w:rsidRPr="009D198D">
        <w:rPr>
          <w:rFonts w:ascii="Arial" w:hAnsi="Arial" w:cs="Arial"/>
          <w:sz w:val="19"/>
          <w:szCs w:val="19"/>
          <w:lang w:val="es-CO"/>
        </w:rPr>
        <w:t>La autorización por parte del Confis para comprometer presupuesto con cargo a vigencias futuras no podrá superar el respectivo período de gobierno. Se exceptúan los proyectos de gastos de inversión en aquellos casos en que el Conpes previamente los declare de importancia estratégica.</w:t>
      </w:r>
    </w:p>
    <w:p w14:paraId="796847C1" w14:textId="77777777" w:rsidR="00C86EF8" w:rsidRPr="009D198D" w:rsidRDefault="00C86EF8" w:rsidP="009D198D">
      <w:pPr>
        <w:pStyle w:val="Textonotapie"/>
        <w:jc w:val="both"/>
        <w:rPr>
          <w:rFonts w:ascii="Arial" w:hAnsi="Arial" w:cs="Arial"/>
          <w:sz w:val="19"/>
          <w:szCs w:val="19"/>
          <w:lang w:val="es-CO"/>
        </w:rPr>
      </w:pPr>
      <w:r w:rsidRPr="009D198D">
        <w:rPr>
          <w:rFonts w:ascii="Arial" w:hAnsi="Arial" w:cs="Arial"/>
          <w:sz w:val="19"/>
          <w:szCs w:val="19"/>
          <w:lang w:val="es-CO"/>
        </w:rPr>
        <w:t>Esta disposición también se aplicará a las entidades de que trata el artículo 9o de la presente ley. El Gobierno reglamentará la materia.</w:t>
      </w:r>
    </w:p>
    <w:p w14:paraId="77112D63" w14:textId="41A9E4DD" w:rsidR="00C86EF8" w:rsidRPr="009D198D" w:rsidRDefault="00C86EF8" w:rsidP="009D198D">
      <w:pPr>
        <w:pStyle w:val="Textonotapie"/>
        <w:ind w:firstLine="709"/>
        <w:jc w:val="both"/>
        <w:rPr>
          <w:rFonts w:ascii="Arial" w:hAnsi="Arial" w:cs="Arial"/>
          <w:sz w:val="19"/>
          <w:szCs w:val="19"/>
          <w:lang w:val="es-CO"/>
        </w:rPr>
      </w:pPr>
      <w:r w:rsidRPr="009D198D">
        <w:rPr>
          <w:rFonts w:ascii="Arial" w:eastAsia="Calibri" w:hAnsi="Arial" w:cs="Arial"/>
          <w:sz w:val="19"/>
          <w:szCs w:val="19"/>
          <w:lang w:val="es-ES_tradnl"/>
        </w:rPr>
        <w:t>»</w:t>
      </w:r>
      <w:r w:rsidRPr="009D198D">
        <w:rPr>
          <w:rFonts w:ascii="Arial" w:hAnsi="Arial" w:cs="Arial"/>
          <w:sz w:val="19"/>
          <w:szCs w:val="19"/>
          <w:lang w:val="es-CO"/>
        </w:rPr>
        <w:t>El Ministerio de Hacienda y Crédito Público, Dirección General del Presupuesto Público Nacional, incluirá en los proyectos de presupuesto las asignaciones necesarias para darle cumplimiento a lo dispuesto en este artículo. […]</w:t>
      </w:r>
      <w:r w:rsidRPr="009D198D">
        <w:rPr>
          <w:rFonts w:ascii="Arial" w:eastAsia="Calibri" w:hAnsi="Arial" w:cs="Arial"/>
          <w:sz w:val="19"/>
          <w:szCs w:val="19"/>
          <w:lang w:val="es-ES_tradnl"/>
        </w:rPr>
        <w:t>»</w:t>
      </w:r>
    </w:p>
  </w:footnote>
  <w:footnote w:id="53">
    <w:p w14:paraId="255AA22D" w14:textId="7A5C4644" w:rsidR="00340AAD" w:rsidRPr="009D198D" w:rsidRDefault="00340AAD" w:rsidP="009D198D">
      <w:pPr>
        <w:pStyle w:val="Textonotapie"/>
        <w:ind w:firstLine="567"/>
        <w:jc w:val="both"/>
        <w:rPr>
          <w:rFonts w:ascii="Arial" w:hAnsi="Arial" w:cs="Arial"/>
          <w:sz w:val="19"/>
          <w:szCs w:val="19"/>
          <w:lang w:val="es-CO"/>
        </w:rPr>
      </w:pPr>
      <w:r w:rsidRPr="009D198D">
        <w:rPr>
          <w:rStyle w:val="Refdenotaalpie"/>
          <w:rFonts w:ascii="Arial" w:hAnsi="Arial" w:cs="Arial"/>
          <w:sz w:val="19"/>
          <w:szCs w:val="19"/>
        </w:rPr>
        <w:footnoteRef/>
      </w:r>
      <w:r w:rsidRPr="009D198D">
        <w:rPr>
          <w:rFonts w:ascii="Arial" w:hAnsi="Arial" w:cs="Arial"/>
          <w:sz w:val="19"/>
          <w:szCs w:val="19"/>
        </w:rPr>
        <w:t xml:space="preserve"> Consejo de Estado. Sección Tercera. Sentencia del 1 de febrero de 2018. Radicado Nro. 08001-2331-000-2010-00987-01. C.P. Oswaldo Giraldo López</w:t>
      </w:r>
    </w:p>
  </w:footnote>
  <w:footnote w:id="54">
    <w:p w14:paraId="7741F9C7" w14:textId="15F4E03D" w:rsidR="004E058F" w:rsidRPr="009D198D" w:rsidRDefault="004E058F" w:rsidP="009D198D">
      <w:pPr>
        <w:pStyle w:val="Textonotapie"/>
        <w:ind w:firstLine="709"/>
        <w:jc w:val="both"/>
        <w:rPr>
          <w:sz w:val="19"/>
          <w:szCs w:val="19"/>
          <w:lang w:val="es-CO"/>
        </w:rPr>
      </w:pPr>
      <w:r w:rsidRPr="009D198D">
        <w:rPr>
          <w:rStyle w:val="Refdenotaalpie"/>
          <w:sz w:val="19"/>
          <w:szCs w:val="19"/>
        </w:rPr>
        <w:footnoteRef/>
      </w:r>
      <w:r w:rsidRPr="009D198D">
        <w:rPr>
          <w:sz w:val="19"/>
          <w:szCs w:val="19"/>
        </w:rPr>
        <w:t xml:space="preserve"> </w:t>
      </w:r>
      <w:r w:rsidRPr="009D198D">
        <w:rPr>
          <w:rFonts w:ascii="Arial" w:hAnsi="Arial" w:cs="Arial"/>
          <w:sz w:val="19"/>
          <w:szCs w:val="19"/>
        </w:rPr>
        <w:t xml:space="preserve">Conforme al Artículo 89 del </w:t>
      </w:r>
      <w:r w:rsidRPr="009D198D">
        <w:rPr>
          <w:rFonts w:ascii="Arial" w:eastAsia="Calibri" w:hAnsi="Arial" w:cs="Arial"/>
          <w:color w:val="000000" w:themeColor="text1"/>
          <w:sz w:val="19"/>
          <w:szCs w:val="19"/>
          <w:lang w:val="es-ES"/>
        </w:rPr>
        <w:t>Estatuto Orgánico del Presupuesto</w:t>
      </w:r>
      <w:r w:rsidRPr="009D198D">
        <w:rPr>
          <w:rFonts w:ascii="Arial" w:eastAsia="Times New Roman" w:hAnsi="Arial" w:cs="Arial"/>
          <w:color w:val="4B4949"/>
          <w:sz w:val="19"/>
          <w:szCs w:val="19"/>
          <w:lang w:val="es-CO" w:eastAsia="es-ES_tradnl"/>
        </w:rPr>
        <w:t xml:space="preserve"> </w:t>
      </w:r>
      <w:r w:rsidRPr="009D198D">
        <w:rPr>
          <w:rFonts w:ascii="Arial" w:eastAsia="Calibri" w:hAnsi="Arial" w:cs="Arial"/>
          <w:sz w:val="19"/>
          <w:szCs w:val="19"/>
          <w:lang w:val="es-ES_tradnl"/>
        </w:rPr>
        <w:t xml:space="preserve">«[…] </w:t>
      </w:r>
      <w:r w:rsidRPr="009D198D">
        <w:rPr>
          <w:rFonts w:ascii="Arial" w:eastAsia="Times New Roman" w:hAnsi="Arial" w:cs="Arial"/>
          <w:color w:val="4B4949"/>
          <w:sz w:val="19"/>
          <w:szCs w:val="19"/>
          <w:lang w:val="es-CO" w:eastAsia="es-ES_tradnl"/>
        </w:rPr>
        <w:t>c</w:t>
      </w:r>
      <w:r w:rsidRPr="009D198D">
        <w:rPr>
          <w:rFonts w:ascii="Arial" w:eastAsia="Calibri" w:hAnsi="Arial" w:cs="Arial"/>
          <w:color w:val="000000" w:themeColor="text1"/>
          <w:sz w:val="19"/>
          <w:szCs w:val="19"/>
          <w:lang w:val="es-CO"/>
        </w:rPr>
        <w:t>ada órgano constituirá al 31 de diciembre del año cuentas por pagar con las obligaciones correspondientes a los anticipos pactados en los contratos y a la entrega de bienes y servicios</w:t>
      </w:r>
      <w:r w:rsidRPr="009D198D">
        <w:rPr>
          <w:rFonts w:ascii="Arial" w:eastAsia="Calibri" w:hAnsi="Arial" w:cs="Arial"/>
          <w:sz w:val="19"/>
          <w:szCs w:val="19"/>
          <w:lang w:val="es-ES_tradnl"/>
        </w:rPr>
        <w:t>»</w:t>
      </w:r>
      <w:r w:rsidRPr="009D198D">
        <w:rPr>
          <w:rFonts w:ascii="Arial" w:eastAsia="Calibri" w:hAnsi="Arial" w:cs="Arial"/>
          <w:color w:val="000000" w:themeColor="text1"/>
          <w:sz w:val="19"/>
          <w:szCs w:val="19"/>
          <w:lang w:val="es-CO"/>
        </w:rPr>
        <w:t>.</w:t>
      </w:r>
    </w:p>
  </w:footnote>
  <w:footnote w:id="55">
    <w:p w14:paraId="73A151DF" w14:textId="51238DBD" w:rsidR="004E058F" w:rsidRPr="009D198D" w:rsidRDefault="004E058F" w:rsidP="009D198D">
      <w:pPr>
        <w:pStyle w:val="Textonotapie"/>
        <w:ind w:firstLine="709"/>
        <w:jc w:val="both"/>
        <w:rPr>
          <w:rFonts w:ascii="Arial" w:hAnsi="Arial" w:cs="Arial"/>
          <w:sz w:val="19"/>
          <w:szCs w:val="19"/>
          <w:lang w:val="es-CO"/>
        </w:rPr>
      </w:pPr>
      <w:r w:rsidRPr="009D198D">
        <w:rPr>
          <w:rStyle w:val="Refdenotaalpie"/>
          <w:sz w:val="19"/>
          <w:szCs w:val="19"/>
        </w:rPr>
        <w:footnoteRef/>
      </w:r>
      <w:r w:rsidRPr="009D198D">
        <w:rPr>
          <w:sz w:val="19"/>
          <w:szCs w:val="19"/>
        </w:rPr>
        <w:t xml:space="preserve"> </w:t>
      </w:r>
      <w:r w:rsidRPr="009D198D">
        <w:rPr>
          <w:rFonts w:ascii="Arial" w:eastAsia="Calibri" w:hAnsi="Arial" w:cs="Arial"/>
          <w:color w:val="000000" w:themeColor="text1"/>
          <w:sz w:val="19"/>
          <w:szCs w:val="19"/>
          <w:lang w:val="es-ES"/>
        </w:rPr>
        <w:t>Artículo 89 del Estatuto Orgánico del Presupuesto</w:t>
      </w:r>
    </w:p>
  </w:footnote>
  <w:footnote w:id="56">
    <w:p w14:paraId="72CE1E8D" w14:textId="1FB588D7" w:rsidR="00F75DD4" w:rsidRPr="009D198D" w:rsidRDefault="00F75DD4" w:rsidP="009D198D">
      <w:pPr>
        <w:pStyle w:val="Textonotapie"/>
        <w:ind w:firstLine="709"/>
        <w:jc w:val="both"/>
        <w:rPr>
          <w:sz w:val="19"/>
          <w:szCs w:val="19"/>
          <w:lang w:val="es-CO"/>
        </w:rPr>
      </w:pPr>
      <w:r w:rsidRPr="009D198D">
        <w:rPr>
          <w:rStyle w:val="Refdenotaalpie"/>
          <w:sz w:val="19"/>
          <w:szCs w:val="19"/>
        </w:rPr>
        <w:footnoteRef/>
      </w:r>
      <w:r w:rsidRPr="009D198D">
        <w:rPr>
          <w:sz w:val="19"/>
          <w:szCs w:val="19"/>
        </w:rPr>
        <w:t xml:space="preserve"> </w:t>
      </w:r>
      <w:r w:rsidR="002D1F9B" w:rsidRPr="009D198D">
        <w:rPr>
          <w:rFonts w:ascii="Arial" w:eastAsia="Calibri" w:hAnsi="Arial" w:cs="Arial"/>
          <w:sz w:val="19"/>
          <w:szCs w:val="19"/>
          <w:lang w:val="es-ES_tradnl"/>
        </w:rPr>
        <w:t>«</w:t>
      </w:r>
      <w:r w:rsidR="002D1F9B" w:rsidRPr="009D198D">
        <w:rPr>
          <w:rFonts w:ascii="Arial" w:hAnsi="Arial" w:cs="Arial"/>
          <w:sz w:val="19"/>
          <w:szCs w:val="19"/>
          <w:lang w:val="es-CO"/>
        </w:rPr>
        <w:t>Artículo </w:t>
      </w:r>
      <w:bookmarkStart w:id="28" w:name="2.8.1.7.3.2"/>
      <w:bookmarkEnd w:id="28"/>
      <w:r w:rsidRPr="009D198D">
        <w:rPr>
          <w:rFonts w:ascii="Arial" w:hAnsi="Arial" w:cs="Arial"/>
          <w:sz w:val="19"/>
          <w:szCs w:val="19"/>
          <w:lang w:val="es-CO"/>
        </w:rPr>
        <w:t>2.8.1.7.3.2. </w:t>
      </w:r>
      <w:r w:rsidRPr="009D198D">
        <w:rPr>
          <w:rFonts w:ascii="Arial" w:hAnsi="Arial" w:cs="Arial"/>
          <w:i/>
          <w:iCs/>
          <w:sz w:val="19"/>
          <w:szCs w:val="19"/>
          <w:lang w:val="es-CO"/>
        </w:rPr>
        <w:t>Constitución de reservas presupuestales y cuentas por pagar. </w:t>
      </w:r>
      <w:r w:rsidRPr="009D198D">
        <w:rPr>
          <w:rFonts w:ascii="Arial" w:hAnsi="Arial" w:cs="Arial"/>
          <w:sz w:val="19"/>
          <w:szCs w:val="19"/>
          <w:lang w:val="es-CO"/>
        </w:rPr>
        <w:t>A más tardar el 20 de enero de cada año, los órganos que conforman el Presupuesto General de la Nación constituirán las reservas presupuestales y cuentas por pagar de la respectiva sección presupuestal correspondientes a la vigencia fiscal anterior, de conformidad con los saldos registrados a 31 de diciembre a través del Sistema Integrado de Información Financiera SIIF Nación. En dicho plazo, solo se podrán efectuar los ajustes a que haya lugar para la constitución de las reserves presupuestales y de las cuentas por pagar, sin que en ningún caso se puedan registrar nuevos compromisos ni obligaciones</w:t>
      </w:r>
      <w:r w:rsidR="002D1F9B" w:rsidRPr="009D198D">
        <w:rPr>
          <w:rFonts w:ascii="Arial" w:eastAsia="Calibri" w:hAnsi="Arial" w:cs="Arial"/>
          <w:sz w:val="19"/>
          <w:szCs w:val="19"/>
          <w:lang w:val="es-ES_tradnl"/>
        </w:rPr>
        <w:t>»</w:t>
      </w:r>
      <w:r w:rsidRPr="009D198D">
        <w:rPr>
          <w:rFonts w:ascii="Arial" w:hAnsi="Arial" w:cs="Arial"/>
          <w:sz w:val="19"/>
          <w:szCs w:val="19"/>
          <w:lang w:val="es-CO"/>
        </w:rPr>
        <w:t>.</w:t>
      </w:r>
    </w:p>
  </w:footnote>
  <w:footnote w:id="57">
    <w:p w14:paraId="5B1FFF6C" w14:textId="3A866D26" w:rsidR="008C3515" w:rsidRPr="009D198D" w:rsidRDefault="008C3515" w:rsidP="009D198D">
      <w:pPr>
        <w:pStyle w:val="Textonotapie"/>
        <w:ind w:firstLine="709"/>
        <w:jc w:val="both"/>
        <w:rPr>
          <w:rFonts w:ascii="Arial" w:hAnsi="Arial" w:cs="Arial"/>
          <w:sz w:val="19"/>
          <w:szCs w:val="19"/>
          <w:lang w:val="es-CO"/>
        </w:rPr>
      </w:pPr>
      <w:r w:rsidRPr="009D198D">
        <w:rPr>
          <w:rStyle w:val="Refdenotaalpie"/>
          <w:sz w:val="19"/>
          <w:szCs w:val="19"/>
        </w:rPr>
        <w:footnoteRef/>
      </w:r>
      <w:r w:rsidRPr="009D198D">
        <w:rPr>
          <w:sz w:val="19"/>
          <w:szCs w:val="19"/>
        </w:rPr>
        <w:t xml:space="preserve"> </w:t>
      </w:r>
      <w:r w:rsidRPr="009D198D">
        <w:rPr>
          <w:rFonts w:ascii="Arial" w:hAnsi="Arial" w:cs="Arial"/>
          <w:sz w:val="19"/>
          <w:szCs w:val="19"/>
          <w:lang w:val="es-CO"/>
        </w:rPr>
        <w:t>Corte Constitucional. Sentencia C- 502 de 1993. MP. Jorge Arango Mejía</w:t>
      </w:r>
    </w:p>
    <w:p w14:paraId="10347BAD" w14:textId="77777777" w:rsidR="00F51B56" w:rsidRPr="009D198D" w:rsidRDefault="00F51B56" w:rsidP="009D198D">
      <w:pPr>
        <w:pStyle w:val="Textonotapie"/>
        <w:ind w:firstLine="709"/>
        <w:jc w:val="both"/>
        <w:rPr>
          <w:sz w:val="19"/>
          <w:szCs w:val="19"/>
          <w:lang w:val="es-CO"/>
        </w:rPr>
      </w:pPr>
    </w:p>
  </w:footnote>
  <w:footnote w:id="58">
    <w:p w14:paraId="22BFF662" w14:textId="4031D798" w:rsidR="00F51B56" w:rsidRPr="009D198D" w:rsidRDefault="00F51B56" w:rsidP="009D198D">
      <w:pPr>
        <w:pStyle w:val="Textonotapie"/>
        <w:ind w:firstLine="709"/>
        <w:jc w:val="both"/>
        <w:rPr>
          <w:rFonts w:ascii="Arial" w:hAnsi="Arial" w:cs="Arial"/>
          <w:sz w:val="19"/>
          <w:szCs w:val="19"/>
          <w:lang w:val="es-CO"/>
        </w:rPr>
      </w:pPr>
      <w:r w:rsidRPr="009D198D">
        <w:rPr>
          <w:rStyle w:val="Refdenotaalpie"/>
          <w:rFonts w:ascii="Arial" w:hAnsi="Arial" w:cs="Arial"/>
          <w:sz w:val="19"/>
          <w:szCs w:val="19"/>
        </w:rPr>
        <w:footnoteRef/>
      </w:r>
      <w:r w:rsidRPr="009D198D">
        <w:rPr>
          <w:rFonts w:ascii="Arial" w:hAnsi="Arial" w:cs="Arial"/>
          <w:sz w:val="19"/>
          <w:szCs w:val="19"/>
        </w:rPr>
        <w:t xml:space="preserve"> </w:t>
      </w:r>
      <w:r w:rsidRPr="009D198D">
        <w:rPr>
          <w:rFonts w:ascii="Arial" w:hAnsi="Arial" w:cs="Arial"/>
          <w:sz w:val="19"/>
          <w:szCs w:val="19"/>
          <w:lang w:val="es-CO"/>
        </w:rPr>
        <w:t xml:space="preserve">Contraloría General de la República. Circular Externa 43 de 2008 </w:t>
      </w:r>
    </w:p>
    <w:p w14:paraId="5328C439" w14:textId="77777777" w:rsidR="005306CE" w:rsidRPr="009D198D" w:rsidRDefault="005306CE" w:rsidP="009D198D">
      <w:pPr>
        <w:pStyle w:val="Textonotapie"/>
        <w:ind w:firstLine="709"/>
        <w:jc w:val="both"/>
        <w:rPr>
          <w:rFonts w:ascii="Arial" w:hAnsi="Arial" w:cs="Arial"/>
          <w:sz w:val="19"/>
          <w:szCs w:val="19"/>
          <w:lang w:val="es-CO"/>
        </w:rPr>
      </w:pPr>
    </w:p>
  </w:footnote>
  <w:footnote w:id="59">
    <w:p w14:paraId="5F5E9917" w14:textId="77777777" w:rsidR="00CA716F" w:rsidRPr="009D198D" w:rsidRDefault="00A379AE" w:rsidP="009D198D">
      <w:pPr>
        <w:pStyle w:val="Textonotapie"/>
        <w:ind w:right="49" w:firstLine="708"/>
        <w:jc w:val="both"/>
        <w:rPr>
          <w:rFonts w:ascii="Arial" w:hAnsi="Arial" w:cs="Arial"/>
          <w:color w:val="000000"/>
          <w:sz w:val="19"/>
          <w:szCs w:val="19"/>
        </w:rPr>
      </w:pPr>
      <w:r w:rsidRPr="009D198D">
        <w:rPr>
          <w:rStyle w:val="Refdenotaalpie"/>
          <w:sz w:val="19"/>
          <w:szCs w:val="19"/>
        </w:rPr>
        <w:footnoteRef/>
      </w:r>
      <w:r w:rsidRPr="009D198D">
        <w:rPr>
          <w:sz w:val="19"/>
          <w:szCs w:val="19"/>
        </w:rPr>
        <w:t xml:space="preserve"> </w:t>
      </w:r>
      <w:r w:rsidR="00CA716F" w:rsidRPr="009D198D">
        <w:rPr>
          <w:rFonts w:ascii="Arial" w:hAnsi="Arial" w:cs="Arial"/>
          <w:color w:val="000000"/>
          <w:sz w:val="19"/>
          <w:szCs w:val="19"/>
        </w:rPr>
        <w:t>Consejo de Estado. Sección Tercera. Sentencia del 1 de febrero de 2018. Radicado Nro.</w:t>
      </w:r>
      <w:r w:rsidR="00CA716F" w:rsidRPr="009D198D">
        <w:rPr>
          <w:rFonts w:ascii="Arial" w:hAnsi="Arial" w:cs="Arial"/>
          <w:color w:val="000000"/>
          <w:sz w:val="19"/>
          <w:szCs w:val="19"/>
          <w:lang w:val="es-CO"/>
        </w:rPr>
        <w:t xml:space="preserve"> 08001-2331-000-2010-00987-01</w:t>
      </w:r>
      <w:r w:rsidR="00CA716F" w:rsidRPr="009D198D">
        <w:rPr>
          <w:rFonts w:ascii="Arial" w:hAnsi="Arial" w:cs="Arial"/>
          <w:color w:val="000000"/>
          <w:sz w:val="19"/>
          <w:szCs w:val="19"/>
        </w:rPr>
        <w:t xml:space="preserve">. C.P. </w:t>
      </w:r>
      <w:r w:rsidR="00CA716F" w:rsidRPr="009D198D">
        <w:rPr>
          <w:rFonts w:ascii="Arial" w:hAnsi="Arial" w:cs="Arial"/>
          <w:color w:val="000000"/>
          <w:sz w:val="19"/>
          <w:szCs w:val="19"/>
          <w:lang w:val="es-CO"/>
        </w:rPr>
        <w:t>Oswaldo Giraldo López</w:t>
      </w:r>
    </w:p>
    <w:p w14:paraId="1D6F7F74" w14:textId="4B23FE57" w:rsidR="00A379AE" w:rsidRPr="009D198D" w:rsidRDefault="00A379AE" w:rsidP="009D198D">
      <w:pPr>
        <w:pStyle w:val="Textonotapie"/>
        <w:jc w:val="both"/>
        <w:rPr>
          <w:sz w:val="19"/>
          <w:szCs w:val="19"/>
          <w:lang w:val="es-CO"/>
        </w:rPr>
      </w:pPr>
    </w:p>
  </w:footnote>
  <w:footnote w:id="60">
    <w:p w14:paraId="74111317" w14:textId="70A6D9C4" w:rsidR="00DD0DBD" w:rsidRPr="009D198D" w:rsidRDefault="00DD0DBD" w:rsidP="009D198D">
      <w:pPr>
        <w:pStyle w:val="Textoindependiente"/>
        <w:spacing w:after="0" w:line="240" w:lineRule="auto"/>
        <w:ind w:firstLine="709"/>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Así lo expresó el alto tribunal: «Para la Corte, las anteriores condiciones del referido contrato, y teniendo de presente la enunciación de los contratos estatales a que se refiere el artículo</w:t>
      </w:r>
      <w:r w:rsidRPr="009D198D">
        <w:rPr>
          <w:rFonts w:ascii="Arial" w:hAnsi="Arial" w:cs="Arial"/>
          <w:spacing w:val="14"/>
          <w:sz w:val="19"/>
          <w:szCs w:val="19"/>
        </w:rPr>
        <w:t xml:space="preserve"> </w:t>
      </w:r>
      <w:r w:rsidRPr="009D198D">
        <w:rPr>
          <w:rFonts w:ascii="Arial" w:hAnsi="Arial" w:cs="Arial"/>
          <w:sz w:val="19"/>
          <w:szCs w:val="19"/>
        </w:rPr>
        <w:t>32</w:t>
      </w:r>
      <w:r w:rsidRPr="009D198D">
        <w:rPr>
          <w:rFonts w:ascii="Arial" w:hAnsi="Arial" w:cs="Arial"/>
          <w:spacing w:val="15"/>
          <w:sz w:val="19"/>
          <w:szCs w:val="19"/>
        </w:rPr>
        <w:t xml:space="preserve"> </w:t>
      </w:r>
      <w:r w:rsidRPr="009D198D">
        <w:rPr>
          <w:rFonts w:ascii="Arial" w:hAnsi="Arial" w:cs="Arial"/>
          <w:sz w:val="19"/>
          <w:szCs w:val="19"/>
        </w:rPr>
        <w:t>de</w:t>
      </w:r>
      <w:r w:rsidRPr="009D198D">
        <w:rPr>
          <w:rFonts w:ascii="Arial" w:hAnsi="Arial" w:cs="Arial"/>
          <w:spacing w:val="12"/>
          <w:sz w:val="19"/>
          <w:szCs w:val="19"/>
        </w:rPr>
        <w:t xml:space="preserve"> </w:t>
      </w:r>
      <w:r w:rsidRPr="009D198D">
        <w:rPr>
          <w:rFonts w:ascii="Arial" w:hAnsi="Arial" w:cs="Arial"/>
          <w:sz w:val="19"/>
          <w:szCs w:val="19"/>
        </w:rPr>
        <w:t>la</w:t>
      </w:r>
      <w:r w:rsidRPr="009D198D">
        <w:rPr>
          <w:rFonts w:ascii="Arial" w:hAnsi="Arial" w:cs="Arial"/>
          <w:spacing w:val="15"/>
          <w:sz w:val="19"/>
          <w:szCs w:val="19"/>
        </w:rPr>
        <w:t xml:space="preserve"> </w:t>
      </w:r>
      <w:r w:rsidRPr="009D198D">
        <w:rPr>
          <w:rFonts w:ascii="Arial" w:hAnsi="Arial" w:cs="Arial"/>
          <w:sz w:val="19"/>
          <w:szCs w:val="19"/>
        </w:rPr>
        <w:t>citada</w:t>
      </w:r>
      <w:r w:rsidRPr="009D198D">
        <w:rPr>
          <w:rFonts w:ascii="Arial" w:hAnsi="Arial" w:cs="Arial"/>
          <w:spacing w:val="16"/>
          <w:sz w:val="19"/>
          <w:szCs w:val="19"/>
        </w:rPr>
        <w:t xml:space="preserve"> </w:t>
      </w:r>
      <w:r w:rsidRPr="009D198D">
        <w:rPr>
          <w:rFonts w:ascii="Arial" w:hAnsi="Arial" w:cs="Arial"/>
          <w:sz w:val="19"/>
          <w:szCs w:val="19"/>
        </w:rPr>
        <w:t>ley</w:t>
      </w:r>
      <w:r w:rsidRPr="009D198D">
        <w:rPr>
          <w:rFonts w:ascii="Arial" w:hAnsi="Arial" w:cs="Arial"/>
          <w:spacing w:val="15"/>
          <w:sz w:val="19"/>
          <w:szCs w:val="19"/>
        </w:rPr>
        <w:t xml:space="preserve"> </w:t>
      </w:r>
      <w:r w:rsidRPr="009D198D">
        <w:rPr>
          <w:rFonts w:ascii="Arial" w:hAnsi="Arial" w:cs="Arial"/>
          <w:sz w:val="19"/>
          <w:szCs w:val="19"/>
        </w:rPr>
        <w:t>-donde</w:t>
      </w:r>
      <w:r w:rsidRPr="009D198D">
        <w:rPr>
          <w:rFonts w:ascii="Arial" w:hAnsi="Arial" w:cs="Arial"/>
          <w:spacing w:val="15"/>
          <w:sz w:val="19"/>
          <w:szCs w:val="19"/>
        </w:rPr>
        <w:t xml:space="preserve"> </w:t>
      </w:r>
      <w:r w:rsidRPr="009D198D">
        <w:rPr>
          <w:rFonts w:ascii="Arial" w:hAnsi="Arial" w:cs="Arial"/>
          <w:sz w:val="19"/>
          <w:szCs w:val="19"/>
        </w:rPr>
        <w:t>se</w:t>
      </w:r>
      <w:r w:rsidRPr="009D198D">
        <w:rPr>
          <w:rFonts w:ascii="Arial" w:hAnsi="Arial" w:cs="Arial"/>
          <w:spacing w:val="14"/>
          <w:sz w:val="19"/>
          <w:szCs w:val="19"/>
        </w:rPr>
        <w:t xml:space="preserve"> </w:t>
      </w:r>
      <w:r w:rsidRPr="009D198D">
        <w:rPr>
          <w:rFonts w:ascii="Arial" w:hAnsi="Arial" w:cs="Arial"/>
          <w:sz w:val="19"/>
          <w:szCs w:val="19"/>
        </w:rPr>
        <w:t>incluyen</w:t>
      </w:r>
      <w:r w:rsidRPr="009D198D">
        <w:rPr>
          <w:rFonts w:ascii="Arial" w:hAnsi="Arial" w:cs="Arial"/>
          <w:spacing w:val="13"/>
          <w:sz w:val="19"/>
          <w:szCs w:val="19"/>
        </w:rPr>
        <w:t xml:space="preserve"> </w:t>
      </w:r>
      <w:r w:rsidRPr="009D198D">
        <w:rPr>
          <w:rFonts w:ascii="Arial" w:hAnsi="Arial" w:cs="Arial"/>
          <w:sz w:val="19"/>
          <w:szCs w:val="19"/>
        </w:rPr>
        <w:t>los</w:t>
      </w:r>
      <w:r w:rsidRPr="009D198D">
        <w:rPr>
          <w:rFonts w:ascii="Arial" w:hAnsi="Arial" w:cs="Arial"/>
          <w:spacing w:val="13"/>
          <w:sz w:val="19"/>
          <w:szCs w:val="19"/>
        </w:rPr>
        <w:t xml:space="preserve"> </w:t>
      </w:r>
      <w:r w:rsidRPr="009D198D">
        <w:rPr>
          <w:rFonts w:ascii="Arial" w:hAnsi="Arial" w:cs="Arial"/>
          <w:sz w:val="19"/>
          <w:szCs w:val="19"/>
        </w:rPr>
        <w:t>previstos</w:t>
      </w:r>
      <w:r w:rsidRPr="009D198D">
        <w:rPr>
          <w:rFonts w:ascii="Arial" w:hAnsi="Arial" w:cs="Arial"/>
          <w:spacing w:val="14"/>
          <w:sz w:val="19"/>
          <w:szCs w:val="19"/>
        </w:rPr>
        <w:t xml:space="preserve"> </w:t>
      </w:r>
      <w:r w:rsidRPr="009D198D">
        <w:rPr>
          <w:rFonts w:ascii="Arial" w:hAnsi="Arial" w:cs="Arial"/>
          <w:sz w:val="19"/>
          <w:szCs w:val="19"/>
        </w:rPr>
        <w:t>en</w:t>
      </w:r>
      <w:r w:rsidRPr="009D198D">
        <w:rPr>
          <w:rFonts w:ascii="Arial" w:hAnsi="Arial" w:cs="Arial"/>
          <w:spacing w:val="15"/>
          <w:sz w:val="19"/>
          <w:szCs w:val="19"/>
        </w:rPr>
        <w:t xml:space="preserve"> </w:t>
      </w:r>
      <w:r w:rsidRPr="009D198D">
        <w:rPr>
          <w:rFonts w:ascii="Arial" w:hAnsi="Arial" w:cs="Arial"/>
          <w:sz w:val="19"/>
          <w:szCs w:val="19"/>
        </w:rPr>
        <w:t>el</w:t>
      </w:r>
      <w:r w:rsidRPr="009D198D">
        <w:rPr>
          <w:rFonts w:ascii="Arial" w:hAnsi="Arial" w:cs="Arial"/>
          <w:spacing w:val="16"/>
          <w:sz w:val="19"/>
          <w:szCs w:val="19"/>
        </w:rPr>
        <w:t xml:space="preserve"> </w:t>
      </w:r>
      <w:r w:rsidRPr="009D198D">
        <w:rPr>
          <w:rFonts w:ascii="Arial" w:hAnsi="Arial" w:cs="Arial"/>
          <w:sz w:val="19"/>
          <w:szCs w:val="19"/>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9D198D">
        <w:rPr>
          <w:rFonts w:ascii="Arial" w:hAnsi="Arial" w:cs="Arial"/>
          <w:spacing w:val="-19"/>
          <w:sz w:val="19"/>
          <w:szCs w:val="19"/>
        </w:rPr>
        <w:t xml:space="preserve"> </w:t>
      </w:r>
      <w:r w:rsidRPr="009D198D">
        <w:rPr>
          <w:rFonts w:ascii="Arial" w:hAnsi="Arial" w:cs="Arial"/>
          <w:sz w:val="19"/>
          <w:szCs w:val="19"/>
        </w:rPr>
        <w:t>1993».</w:t>
      </w:r>
      <w:r w:rsidR="000A413B" w:rsidRPr="009D198D">
        <w:rPr>
          <w:rFonts w:ascii="Arial" w:hAnsi="Arial" w:cs="Arial"/>
          <w:sz w:val="19"/>
          <w:szCs w:val="19"/>
        </w:rPr>
        <w:t xml:space="preserve"> (</w:t>
      </w:r>
      <w:r w:rsidR="000A413B" w:rsidRPr="009D198D">
        <w:rPr>
          <w:rFonts w:ascii="Arial" w:hAnsi="Arial" w:cs="Arial"/>
          <w:sz w:val="19"/>
          <w:szCs w:val="19"/>
          <w:lang w:val="es-ES_tradnl"/>
        </w:rPr>
        <w:t>Corte Constitucional, Sentencia C-086 de 1995 M.P. Vladimiro Naranjo Mesa).</w:t>
      </w:r>
    </w:p>
    <w:p w14:paraId="4E164494" w14:textId="77777777" w:rsidR="00DD0DBD" w:rsidRPr="009D198D" w:rsidRDefault="00DD0DBD" w:rsidP="009D198D">
      <w:pPr>
        <w:pStyle w:val="Textonotapie"/>
        <w:ind w:firstLine="709"/>
        <w:jc w:val="both"/>
        <w:rPr>
          <w:rFonts w:ascii="Arial" w:hAnsi="Arial" w:cs="Arial"/>
          <w:sz w:val="19"/>
          <w:szCs w:val="19"/>
          <w:lang w:val="es-CO"/>
        </w:rPr>
      </w:pPr>
    </w:p>
  </w:footnote>
  <w:footnote w:id="61">
    <w:p w14:paraId="576F421D" w14:textId="593C2BC5" w:rsidR="00255556" w:rsidRPr="009D198D" w:rsidRDefault="00255556" w:rsidP="009D198D">
      <w:pPr>
        <w:pStyle w:val="Textonotapie"/>
        <w:ind w:firstLine="851"/>
        <w:jc w:val="both"/>
        <w:rPr>
          <w:rFonts w:ascii="Arial" w:eastAsiaTheme="minorEastAsia" w:hAnsi="Arial" w:cs="Arial"/>
          <w:sz w:val="19"/>
          <w:szCs w:val="19"/>
          <w:lang w:val="es-ES_tradnl" w:eastAsia="es-CO"/>
        </w:rPr>
      </w:pPr>
      <w:r w:rsidRPr="009D198D">
        <w:rPr>
          <w:rStyle w:val="Refdenotaalpie"/>
          <w:sz w:val="19"/>
          <w:szCs w:val="19"/>
        </w:rPr>
        <w:footnoteRef/>
      </w:r>
      <w:r w:rsidRPr="009D198D">
        <w:rPr>
          <w:sz w:val="19"/>
          <w:szCs w:val="19"/>
        </w:rPr>
        <w:t xml:space="preserve"> </w:t>
      </w:r>
      <w:r w:rsidRPr="009D198D">
        <w:rPr>
          <w:rFonts w:ascii="Arial" w:hAnsi="Arial" w:cs="Arial"/>
          <w:sz w:val="19"/>
          <w:szCs w:val="19"/>
        </w:rPr>
        <w:t xml:space="preserve">Consejo de Estado. </w:t>
      </w:r>
      <w:r w:rsidRPr="009D198D">
        <w:rPr>
          <w:rFonts w:ascii="Arial" w:eastAsiaTheme="minorEastAsia" w:hAnsi="Arial" w:cs="Arial"/>
          <w:sz w:val="19"/>
          <w:szCs w:val="19"/>
          <w:lang w:val="es-ES_tradnl" w:eastAsia="es-CO"/>
        </w:rPr>
        <w:t>Sala de Consulta y Servicio Civil. Concepto del 4 de marzo de 1998. Radicado Nro. 1.074. CP.: Cesar Hoyos Salazar.</w:t>
      </w:r>
    </w:p>
    <w:p w14:paraId="7468097E" w14:textId="77777777" w:rsidR="00255556" w:rsidRPr="009D198D" w:rsidRDefault="00255556" w:rsidP="009D198D">
      <w:pPr>
        <w:pStyle w:val="Textonotapie"/>
        <w:ind w:firstLine="851"/>
        <w:jc w:val="both"/>
        <w:rPr>
          <w:sz w:val="19"/>
          <w:szCs w:val="19"/>
          <w:lang w:val="es-CO"/>
        </w:rPr>
      </w:pPr>
    </w:p>
  </w:footnote>
  <w:footnote w:id="62">
    <w:p w14:paraId="6C0645CE" w14:textId="77777777" w:rsidR="00D4338F" w:rsidRPr="009D198D" w:rsidRDefault="00D4338F" w:rsidP="009D198D">
      <w:pPr>
        <w:pStyle w:val="Textonotapie"/>
        <w:ind w:firstLine="709"/>
        <w:jc w:val="both"/>
        <w:rPr>
          <w:sz w:val="19"/>
          <w:szCs w:val="19"/>
          <w:lang w:val="es-CO"/>
        </w:rPr>
      </w:pPr>
      <w:r w:rsidRPr="009D198D">
        <w:rPr>
          <w:rStyle w:val="Refdenotaalpie"/>
          <w:sz w:val="19"/>
          <w:szCs w:val="19"/>
        </w:rPr>
        <w:footnoteRef/>
      </w:r>
      <w:r w:rsidRPr="009D198D">
        <w:rPr>
          <w:rFonts w:ascii="Arial" w:hAnsi="Arial" w:cs="Arial"/>
          <w:sz w:val="19"/>
          <w:szCs w:val="19"/>
        </w:rPr>
        <w:t xml:space="preserve"> </w:t>
      </w:r>
      <w:r w:rsidRPr="009D198D">
        <w:rPr>
          <w:rFonts w:ascii="Arial" w:eastAsiaTheme="minorEastAsia" w:hAnsi="Arial" w:cs="Arial"/>
          <w:sz w:val="19"/>
          <w:szCs w:val="19"/>
          <w:lang w:val="es-ES_tradnl" w:eastAsia="es-CO"/>
        </w:rPr>
        <w:t xml:space="preserve">Ibidem </w:t>
      </w:r>
    </w:p>
  </w:footnote>
  <w:footnote w:id="63">
    <w:p w14:paraId="634431F2" w14:textId="54F5CB3D" w:rsidR="00DD0DBD" w:rsidRPr="009D198D" w:rsidRDefault="00B7377E" w:rsidP="009D198D">
      <w:pPr>
        <w:pStyle w:val="Textonotapie"/>
        <w:ind w:firstLine="709"/>
        <w:jc w:val="both"/>
        <w:rPr>
          <w:rFonts w:ascii="Arial" w:hAnsi="Arial" w:cs="Arial"/>
          <w:color w:val="000000" w:themeColor="text1"/>
          <w:sz w:val="19"/>
          <w:szCs w:val="19"/>
          <w:u w:val="single" w:color="404040"/>
        </w:rPr>
      </w:pPr>
      <w:r w:rsidRPr="009D198D">
        <w:rPr>
          <w:rFonts w:ascii="Arial" w:hAnsi="Arial" w:cs="Arial"/>
          <w:color w:val="000000" w:themeColor="text1"/>
          <w:sz w:val="19"/>
          <w:szCs w:val="19"/>
        </w:rPr>
        <w:t xml:space="preserve">  </w:t>
      </w:r>
      <w:r w:rsidR="00DD0DBD" w:rsidRPr="009D198D">
        <w:rPr>
          <w:rStyle w:val="Refdenotaalpie"/>
          <w:rFonts w:ascii="Arial" w:hAnsi="Arial" w:cs="Arial"/>
          <w:color w:val="000000" w:themeColor="text1"/>
          <w:sz w:val="19"/>
          <w:szCs w:val="19"/>
        </w:rPr>
        <w:footnoteRef/>
      </w:r>
      <w:r w:rsidR="00DD0DBD" w:rsidRPr="009D198D">
        <w:rPr>
          <w:rFonts w:ascii="Arial" w:hAnsi="Arial" w:cs="Arial"/>
          <w:color w:val="000000" w:themeColor="text1"/>
          <w:sz w:val="19"/>
          <w:szCs w:val="19"/>
        </w:rPr>
        <w:t xml:space="preserve"> En sitio web: </w:t>
      </w:r>
      <w:hyperlink r:id="rId3" w:history="1">
        <w:r w:rsidR="00DD0DBD" w:rsidRPr="009D198D">
          <w:rPr>
            <w:rStyle w:val="Hipervnculo"/>
            <w:rFonts w:ascii="Arial" w:hAnsi="Arial" w:cs="Arial"/>
            <w:color w:val="000000" w:themeColor="text1"/>
            <w:sz w:val="19"/>
            <w:szCs w:val="19"/>
          </w:rPr>
          <w:t>https://relatoria.blob.core.windows.net/$web/files/conceptos-juridicos/CGR-OJ-0084-2017.PDF</w:t>
        </w:r>
      </w:hyperlink>
    </w:p>
    <w:p w14:paraId="4A3CED60" w14:textId="77777777" w:rsidR="00DD0DBD" w:rsidRPr="009D198D" w:rsidRDefault="00DD0DBD" w:rsidP="009D198D">
      <w:pPr>
        <w:pStyle w:val="Textonotapie"/>
        <w:ind w:firstLine="709"/>
        <w:jc w:val="both"/>
        <w:rPr>
          <w:rFonts w:ascii="Arial" w:hAnsi="Arial" w:cs="Arial"/>
          <w:color w:val="000000" w:themeColor="text1"/>
          <w:sz w:val="19"/>
          <w:szCs w:val="19"/>
          <w:lang w:val="es-CO"/>
        </w:rPr>
      </w:pPr>
    </w:p>
  </w:footnote>
  <w:footnote w:id="64">
    <w:p w14:paraId="1E6B5B43" w14:textId="3493B868" w:rsidR="00DD0DBD" w:rsidRPr="009D198D" w:rsidRDefault="00B7377E" w:rsidP="009D198D">
      <w:pPr>
        <w:ind w:firstLine="709"/>
        <w:jc w:val="both"/>
        <w:rPr>
          <w:rFonts w:ascii="Arial" w:hAnsi="Arial" w:cs="Arial"/>
          <w:sz w:val="19"/>
          <w:szCs w:val="19"/>
        </w:rPr>
      </w:pPr>
      <w:r w:rsidRPr="009D198D">
        <w:rPr>
          <w:rFonts w:ascii="Arial" w:hAnsi="Arial" w:cs="Arial"/>
          <w:color w:val="000000" w:themeColor="text1"/>
          <w:sz w:val="19"/>
          <w:szCs w:val="19"/>
        </w:rPr>
        <w:t xml:space="preserve">  </w:t>
      </w:r>
      <w:r w:rsidR="00DD0DBD" w:rsidRPr="009D198D">
        <w:rPr>
          <w:rStyle w:val="Refdenotaalpie"/>
          <w:rFonts w:ascii="Arial" w:hAnsi="Arial" w:cs="Arial"/>
          <w:color w:val="000000" w:themeColor="text1"/>
          <w:sz w:val="19"/>
          <w:szCs w:val="19"/>
        </w:rPr>
        <w:footnoteRef/>
      </w:r>
      <w:r w:rsidR="00DD0DBD" w:rsidRPr="009D198D">
        <w:rPr>
          <w:rFonts w:ascii="Arial" w:hAnsi="Arial" w:cs="Arial"/>
          <w:color w:val="000000" w:themeColor="text1"/>
          <w:sz w:val="19"/>
          <w:szCs w:val="19"/>
        </w:rPr>
        <w:t xml:space="preserve"> «[…] el artículo 669 del Código Civil instaura que el dominio o propiedad es un derecho real sobre una cosa corporal, para gozar y disponer de ella contra derecho ajeno. Transferir la propiedad de los recursos del Estado sin que </w:t>
      </w:r>
      <w:r w:rsidR="00DD0DBD" w:rsidRPr="009D198D">
        <w:rPr>
          <w:rFonts w:ascii="Arial" w:hAnsi="Arial" w:cs="Arial"/>
          <w:sz w:val="19"/>
          <w:szCs w:val="19"/>
        </w:rPr>
        <w:t>medie la finalidad prescrita por la Constitución para los mismos, indudablemente atenta contra derechos colectivos. Por ello, entre otras cosas, en el contrato de fiducia sobre recursos del Estado no se puede transferir el dominio pleno sobre ese bien que son los recursos públicos. Tampoco será aceptable en el ordenamiento jurídico colombiano que se mantenga izado un acuerdo que pretenda burlar la vigilancia o control</w:t>
      </w:r>
      <w:r w:rsidR="00DD0DBD" w:rsidRPr="009D198D">
        <w:rPr>
          <w:rFonts w:ascii="Arial" w:hAnsi="Arial" w:cs="Arial"/>
          <w:spacing w:val="41"/>
          <w:sz w:val="19"/>
          <w:szCs w:val="19"/>
        </w:rPr>
        <w:t xml:space="preserve"> </w:t>
      </w:r>
      <w:r w:rsidR="00DD0DBD" w:rsidRPr="009D198D">
        <w:rPr>
          <w:rFonts w:ascii="Arial" w:hAnsi="Arial" w:cs="Arial"/>
          <w:sz w:val="19"/>
          <w:szCs w:val="19"/>
        </w:rPr>
        <w:t>sobre</w:t>
      </w:r>
      <w:r w:rsidR="00DD0DBD" w:rsidRPr="009D198D">
        <w:rPr>
          <w:rFonts w:ascii="Arial" w:hAnsi="Arial" w:cs="Arial"/>
          <w:spacing w:val="41"/>
          <w:sz w:val="19"/>
          <w:szCs w:val="19"/>
        </w:rPr>
        <w:t xml:space="preserve"> </w:t>
      </w:r>
      <w:r w:rsidR="00DD0DBD" w:rsidRPr="009D198D">
        <w:rPr>
          <w:rFonts w:ascii="Arial" w:hAnsi="Arial" w:cs="Arial"/>
          <w:sz w:val="19"/>
          <w:szCs w:val="19"/>
        </w:rPr>
        <w:t>recursos</w:t>
      </w:r>
      <w:r w:rsidR="00DD0DBD" w:rsidRPr="009D198D">
        <w:rPr>
          <w:rFonts w:ascii="Arial" w:hAnsi="Arial" w:cs="Arial"/>
          <w:spacing w:val="42"/>
          <w:sz w:val="19"/>
          <w:szCs w:val="19"/>
        </w:rPr>
        <w:t xml:space="preserve"> </w:t>
      </w:r>
      <w:r w:rsidR="00DD0DBD" w:rsidRPr="009D198D">
        <w:rPr>
          <w:rFonts w:ascii="Arial" w:hAnsi="Arial" w:cs="Arial"/>
          <w:sz w:val="19"/>
          <w:szCs w:val="19"/>
        </w:rPr>
        <w:t>del</w:t>
      </w:r>
      <w:r w:rsidR="00DD0DBD" w:rsidRPr="009D198D">
        <w:rPr>
          <w:rFonts w:ascii="Arial" w:hAnsi="Arial" w:cs="Arial"/>
          <w:spacing w:val="41"/>
          <w:sz w:val="19"/>
          <w:szCs w:val="19"/>
        </w:rPr>
        <w:t xml:space="preserve"> </w:t>
      </w:r>
      <w:r w:rsidR="00DD0DBD" w:rsidRPr="009D198D">
        <w:rPr>
          <w:rFonts w:ascii="Arial" w:hAnsi="Arial" w:cs="Arial"/>
          <w:sz w:val="19"/>
          <w:szCs w:val="19"/>
        </w:rPr>
        <w:t>Estado;</w:t>
      </w:r>
      <w:r w:rsidR="00DD0DBD" w:rsidRPr="009D198D">
        <w:rPr>
          <w:rFonts w:ascii="Arial" w:hAnsi="Arial" w:cs="Arial"/>
          <w:spacing w:val="41"/>
          <w:sz w:val="19"/>
          <w:szCs w:val="19"/>
        </w:rPr>
        <w:t xml:space="preserve"> </w:t>
      </w:r>
      <w:r w:rsidR="00DD0DBD" w:rsidRPr="009D198D">
        <w:rPr>
          <w:rFonts w:ascii="Arial" w:hAnsi="Arial" w:cs="Arial"/>
          <w:sz w:val="19"/>
          <w:szCs w:val="19"/>
        </w:rPr>
        <w:t>la</w:t>
      </w:r>
      <w:r w:rsidR="00DD0DBD" w:rsidRPr="009D198D">
        <w:rPr>
          <w:rFonts w:ascii="Arial" w:hAnsi="Arial" w:cs="Arial"/>
          <w:spacing w:val="42"/>
          <w:sz w:val="19"/>
          <w:szCs w:val="19"/>
        </w:rPr>
        <w:t xml:space="preserve"> </w:t>
      </w:r>
      <w:r w:rsidR="00DD0DBD" w:rsidRPr="009D198D">
        <w:rPr>
          <w:rFonts w:ascii="Arial" w:hAnsi="Arial" w:cs="Arial"/>
          <w:sz w:val="19"/>
          <w:szCs w:val="19"/>
        </w:rPr>
        <w:t>simple</w:t>
      </w:r>
      <w:r w:rsidR="00DD0DBD" w:rsidRPr="009D198D">
        <w:rPr>
          <w:rFonts w:ascii="Arial" w:hAnsi="Arial" w:cs="Arial"/>
          <w:spacing w:val="41"/>
          <w:sz w:val="19"/>
          <w:szCs w:val="19"/>
        </w:rPr>
        <w:t xml:space="preserve"> </w:t>
      </w:r>
      <w:r w:rsidR="00DD0DBD" w:rsidRPr="009D198D">
        <w:rPr>
          <w:rFonts w:ascii="Arial" w:hAnsi="Arial" w:cs="Arial"/>
          <w:sz w:val="19"/>
          <w:szCs w:val="19"/>
        </w:rPr>
        <w:t>formalidad</w:t>
      </w:r>
      <w:r w:rsidR="00DD0DBD" w:rsidRPr="009D198D">
        <w:rPr>
          <w:rFonts w:ascii="Arial" w:hAnsi="Arial" w:cs="Arial"/>
          <w:spacing w:val="42"/>
          <w:sz w:val="19"/>
          <w:szCs w:val="19"/>
        </w:rPr>
        <w:t xml:space="preserve"> </w:t>
      </w:r>
      <w:r w:rsidR="00DD0DBD" w:rsidRPr="009D198D">
        <w:rPr>
          <w:rFonts w:ascii="Arial" w:hAnsi="Arial" w:cs="Arial"/>
          <w:sz w:val="19"/>
          <w:szCs w:val="19"/>
        </w:rPr>
        <w:t>sede</w:t>
      </w:r>
      <w:r w:rsidR="00DD0DBD" w:rsidRPr="009D198D">
        <w:rPr>
          <w:rFonts w:ascii="Arial" w:hAnsi="Arial" w:cs="Arial"/>
          <w:spacing w:val="41"/>
          <w:sz w:val="19"/>
          <w:szCs w:val="19"/>
        </w:rPr>
        <w:t xml:space="preserve"> </w:t>
      </w:r>
      <w:r w:rsidR="00DD0DBD" w:rsidRPr="009D198D">
        <w:rPr>
          <w:rFonts w:ascii="Arial" w:hAnsi="Arial" w:cs="Arial"/>
          <w:sz w:val="19"/>
          <w:szCs w:val="19"/>
        </w:rPr>
        <w:t>necesariamente</w:t>
      </w:r>
      <w:r w:rsidR="00DD0DBD" w:rsidRPr="009D198D">
        <w:rPr>
          <w:rFonts w:ascii="Arial" w:hAnsi="Arial" w:cs="Arial"/>
          <w:spacing w:val="41"/>
          <w:sz w:val="19"/>
          <w:szCs w:val="19"/>
        </w:rPr>
        <w:t xml:space="preserve"> </w:t>
      </w:r>
      <w:r w:rsidR="00DD0DBD" w:rsidRPr="009D198D">
        <w:rPr>
          <w:rFonts w:ascii="Arial" w:hAnsi="Arial" w:cs="Arial"/>
          <w:sz w:val="19"/>
          <w:szCs w:val="19"/>
        </w:rPr>
        <w:t>ante</w:t>
      </w:r>
      <w:r w:rsidR="00DD0DBD" w:rsidRPr="009D198D">
        <w:rPr>
          <w:rFonts w:ascii="Arial" w:hAnsi="Arial" w:cs="Arial"/>
          <w:spacing w:val="42"/>
          <w:sz w:val="19"/>
          <w:szCs w:val="19"/>
        </w:rPr>
        <w:t xml:space="preserve"> </w:t>
      </w:r>
      <w:r w:rsidR="00DD0DBD" w:rsidRPr="009D198D">
        <w:rPr>
          <w:rFonts w:ascii="Arial" w:hAnsi="Arial" w:cs="Arial"/>
          <w:sz w:val="19"/>
          <w:szCs w:val="19"/>
        </w:rPr>
        <w:t>la</w:t>
      </w:r>
      <w:r w:rsidR="00DD0DBD" w:rsidRPr="009D198D">
        <w:rPr>
          <w:rFonts w:ascii="Arial" w:hAnsi="Arial" w:cs="Arial"/>
          <w:spacing w:val="44"/>
          <w:sz w:val="19"/>
          <w:szCs w:val="19"/>
        </w:rPr>
        <w:t xml:space="preserve"> </w:t>
      </w:r>
      <w:r w:rsidR="00DD0DBD" w:rsidRPr="009D198D">
        <w:rPr>
          <w:rFonts w:ascii="Arial" w:hAnsi="Arial" w:cs="Arial"/>
          <w:sz w:val="19"/>
          <w:szCs w:val="19"/>
        </w:rPr>
        <w:t>materialidad</w:t>
      </w:r>
      <w:r w:rsidR="00DD0DBD" w:rsidRPr="009D198D">
        <w:rPr>
          <w:rFonts w:ascii="Arial" w:hAnsi="Arial" w:cs="Arial"/>
          <w:spacing w:val="42"/>
          <w:sz w:val="19"/>
          <w:szCs w:val="19"/>
        </w:rPr>
        <w:t xml:space="preserve"> </w:t>
      </w:r>
      <w:r w:rsidR="00DD0DBD" w:rsidRPr="009D198D">
        <w:rPr>
          <w:rFonts w:ascii="Arial" w:hAnsi="Arial" w:cs="Arial"/>
          <w:sz w:val="19"/>
          <w:szCs w:val="19"/>
        </w:rPr>
        <w:t>de</w:t>
      </w:r>
      <w:r w:rsidR="00DD0DBD" w:rsidRPr="009D198D">
        <w:rPr>
          <w:rFonts w:ascii="Arial" w:hAnsi="Arial" w:cs="Arial"/>
          <w:spacing w:val="41"/>
          <w:sz w:val="19"/>
          <w:szCs w:val="19"/>
        </w:rPr>
        <w:t xml:space="preserve"> </w:t>
      </w:r>
      <w:r w:rsidR="00DD0DBD" w:rsidRPr="009D198D">
        <w:rPr>
          <w:rFonts w:ascii="Arial" w:hAnsi="Arial" w:cs="Arial"/>
          <w:sz w:val="19"/>
          <w:szCs w:val="19"/>
        </w:rPr>
        <w:t>los hechos, en este orden ha señalado la Honorable Corte Constitucional, que donde quiera que hayan recursos públicos debe estar siempre presente la vigilancia y el control fiscal».</w:t>
      </w:r>
    </w:p>
    <w:p w14:paraId="1798D596" w14:textId="77777777" w:rsidR="00DD0DBD" w:rsidRPr="009D198D" w:rsidRDefault="00DD0DBD" w:rsidP="009D198D">
      <w:pPr>
        <w:pStyle w:val="Textonotapie"/>
        <w:ind w:firstLine="709"/>
        <w:jc w:val="both"/>
        <w:rPr>
          <w:rFonts w:ascii="Arial" w:hAnsi="Arial" w:cs="Arial"/>
          <w:sz w:val="19"/>
          <w:szCs w:val="19"/>
          <w:lang w:val="es-CO"/>
        </w:rPr>
      </w:pPr>
    </w:p>
  </w:footnote>
  <w:footnote w:id="65">
    <w:p w14:paraId="5D469077" w14:textId="77777777" w:rsidR="00DD0DBD" w:rsidRPr="009D198D" w:rsidRDefault="00DD0DBD" w:rsidP="009D198D">
      <w:pPr>
        <w:ind w:firstLine="709"/>
        <w:jc w:val="both"/>
        <w:rPr>
          <w:rFonts w:ascii="Arial" w:hAnsi="Arial" w:cs="Arial"/>
          <w:sz w:val="19"/>
          <w:szCs w:val="19"/>
        </w:rPr>
      </w:pPr>
      <w:r w:rsidRPr="009D198D">
        <w:rPr>
          <w:rStyle w:val="Refdenotaalpie"/>
          <w:rFonts w:ascii="Arial" w:hAnsi="Arial" w:cs="Arial"/>
          <w:sz w:val="19"/>
          <w:szCs w:val="19"/>
        </w:rPr>
        <w:footnoteRef/>
      </w:r>
      <w:r w:rsidRPr="009D198D">
        <w:rPr>
          <w:rFonts w:ascii="Arial" w:hAnsi="Arial" w:cs="Arial"/>
          <w:sz w:val="19"/>
          <w:szCs w:val="19"/>
        </w:rPr>
        <w:t xml:space="preserve"> «El Estado transfiere para su administración unos recursos públicos, pero es diáfano que la administración es diferente al dominio. El titular del derecho de dominio sobre los recursos sigue siendo el Estado, sin que por el hecho de realizar un contrato de fiducia, que es esencialmente instrumental, pierda tal calidad. El artículo 1244 del Código de Comercio es ilustrativo para esclarecer este punto: “Será ineficaz toda estipulación que disponga que el fiduciario adquirirá definitivamente, por causa del negocio fiduciario, el dominio de los bienes fideicomitidos”.</w:t>
      </w:r>
    </w:p>
    <w:p w14:paraId="77210F2D" w14:textId="77777777" w:rsidR="00DD0DBD" w:rsidRPr="009D198D" w:rsidRDefault="00DD0DBD" w:rsidP="009D198D">
      <w:pPr>
        <w:pStyle w:val="Textonotapie"/>
        <w:ind w:firstLine="709"/>
        <w:jc w:val="both"/>
        <w:rPr>
          <w:rFonts w:ascii="Arial" w:hAnsi="Arial" w:cs="Arial"/>
          <w:sz w:val="19"/>
          <w:szCs w:val="19"/>
        </w:rPr>
      </w:pPr>
      <w:r w:rsidRPr="009D198D">
        <w:rPr>
          <w:rFonts w:ascii="Arial" w:hAnsi="Arial" w:cs="Arial"/>
          <w:sz w:val="19"/>
          <w:szCs w:val="19"/>
        </w:rPr>
        <w:t>»La razón de ser de la fiducia mercantil en este caso, es acudir a un administrador de los recursos públicos, no transferir sobre los mismos el derecho de propiedad o dominio».</w:t>
      </w:r>
    </w:p>
    <w:p w14:paraId="4A502B68" w14:textId="77777777" w:rsidR="00DD0DBD" w:rsidRPr="009D198D" w:rsidRDefault="00DD0DBD" w:rsidP="009D198D">
      <w:pPr>
        <w:pStyle w:val="Textonotapie"/>
        <w:ind w:firstLine="709"/>
        <w:jc w:val="both"/>
        <w:rPr>
          <w:rFonts w:ascii="Arial" w:hAnsi="Arial" w:cs="Arial"/>
          <w:sz w:val="19"/>
          <w:szCs w:val="19"/>
          <w:lang w:val="es-ES"/>
        </w:rPr>
      </w:pPr>
    </w:p>
  </w:footnote>
  <w:footnote w:id="66">
    <w:p w14:paraId="4AD3DD7C" w14:textId="178A497E" w:rsidR="00340AAD" w:rsidRPr="009D198D" w:rsidRDefault="00340AAD" w:rsidP="009D198D">
      <w:pPr>
        <w:pStyle w:val="Textonotapie"/>
        <w:ind w:firstLine="709"/>
        <w:jc w:val="both"/>
        <w:rPr>
          <w:sz w:val="19"/>
          <w:szCs w:val="19"/>
          <w:lang w:val="es-CO"/>
        </w:rPr>
      </w:pPr>
      <w:r w:rsidRPr="009D198D">
        <w:rPr>
          <w:rStyle w:val="Refdenotaalpie"/>
          <w:sz w:val="19"/>
          <w:szCs w:val="19"/>
        </w:rPr>
        <w:footnoteRef/>
      </w:r>
      <w:r w:rsidRPr="009D198D">
        <w:rPr>
          <w:sz w:val="19"/>
          <w:szCs w:val="19"/>
        </w:rPr>
        <w:t xml:space="preserve"> </w:t>
      </w:r>
      <w:r w:rsidRPr="009D198D">
        <w:rPr>
          <w:rFonts w:ascii="Arial" w:hAnsi="Arial" w:cs="Arial"/>
          <w:sz w:val="19"/>
          <w:szCs w:val="19"/>
        </w:rPr>
        <w:t xml:space="preserve">Consejo de Estado. </w:t>
      </w:r>
      <w:r w:rsidRPr="009D198D">
        <w:rPr>
          <w:rFonts w:ascii="Arial" w:eastAsiaTheme="minorEastAsia" w:hAnsi="Arial" w:cs="Arial"/>
          <w:sz w:val="19"/>
          <w:szCs w:val="19"/>
          <w:lang w:val="es-ES_tradnl" w:eastAsia="es-CO"/>
        </w:rPr>
        <w:t>Sala de Consulta y Servicio Civil. Concepto del 4 de marzo de 1998. Radicado Nro. 1.074. CP.: Cesar Hoyos Salazar.</w:t>
      </w:r>
    </w:p>
  </w:footnote>
  <w:footnote w:id="67">
    <w:p w14:paraId="054238C9" w14:textId="77777777" w:rsidR="00EF0166" w:rsidRPr="009D198D" w:rsidRDefault="00EF0166" w:rsidP="009D198D">
      <w:pPr>
        <w:pStyle w:val="Textonotapie"/>
        <w:ind w:firstLine="709"/>
        <w:jc w:val="both"/>
        <w:rPr>
          <w:rFonts w:ascii="Arial" w:hAnsi="Arial" w:cs="Arial"/>
          <w:color w:val="000000" w:themeColor="text1"/>
          <w:sz w:val="19"/>
          <w:szCs w:val="19"/>
        </w:rPr>
      </w:pPr>
      <w:r w:rsidRPr="009D198D">
        <w:rPr>
          <w:rStyle w:val="Refdenotaalpie"/>
          <w:sz w:val="19"/>
          <w:szCs w:val="19"/>
        </w:rPr>
        <w:footnoteRef/>
      </w:r>
      <w:r w:rsidRPr="009D198D">
        <w:rPr>
          <w:sz w:val="19"/>
          <w:szCs w:val="19"/>
        </w:rPr>
        <w:t xml:space="preserve"> </w:t>
      </w:r>
      <w:r w:rsidRPr="009D198D">
        <w:rPr>
          <w:rFonts w:ascii="Arial" w:hAnsi="Arial" w:cs="Arial"/>
          <w:color w:val="000000" w:themeColor="text1"/>
          <w:sz w:val="19"/>
          <w:szCs w:val="19"/>
        </w:rPr>
        <w:t xml:space="preserve">EXPÓSITO VÉLEZ, Juan Carlos. Forma y contenido del contrato estatal. Primera Edición. Universidad Externado de Colombia, 2013. p. 62. </w:t>
      </w:r>
    </w:p>
    <w:p w14:paraId="58891750" w14:textId="77777777" w:rsidR="00EF0166" w:rsidRPr="009D198D" w:rsidRDefault="00EF0166" w:rsidP="009D198D">
      <w:pPr>
        <w:pStyle w:val="Textonotapie"/>
        <w:ind w:firstLine="709"/>
        <w:jc w:val="both"/>
        <w:rPr>
          <w:sz w:val="19"/>
          <w:szCs w:val="19"/>
          <w:lang w:val="es-CO"/>
        </w:rPr>
      </w:pPr>
    </w:p>
  </w:footnote>
  <w:footnote w:id="68">
    <w:p w14:paraId="23D04A48" w14:textId="25680587" w:rsidR="009D198D" w:rsidRPr="009D198D" w:rsidRDefault="009D198D" w:rsidP="009D198D">
      <w:pPr>
        <w:pStyle w:val="Textonotapie"/>
        <w:ind w:firstLine="709"/>
        <w:jc w:val="both"/>
        <w:rPr>
          <w:sz w:val="19"/>
          <w:szCs w:val="19"/>
          <w:lang w:val="es-CO"/>
        </w:rPr>
      </w:pPr>
      <w:r w:rsidRPr="009D198D">
        <w:rPr>
          <w:rStyle w:val="Refdenotaalpie"/>
          <w:sz w:val="19"/>
          <w:szCs w:val="19"/>
        </w:rPr>
        <w:footnoteRef/>
      </w:r>
      <w:r w:rsidRPr="009D198D">
        <w:rPr>
          <w:sz w:val="19"/>
          <w:szCs w:val="19"/>
        </w:rPr>
        <w:t xml:space="preserve"> </w:t>
      </w:r>
      <w:r w:rsidRPr="009D198D">
        <w:rPr>
          <w:rFonts w:ascii="Arial" w:eastAsia="Calibri" w:hAnsi="Arial" w:cs="Arial"/>
          <w:color w:val="000000" w:themeColor="text1"/>
          <w:sz w:val="19"/>
          <w:szCs w:val="19"/>
          <w:lang w:val="es-ES"/>
        </w:rPr>
        <w:t>Artículo 89 del Estatuto Orgánico del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83639996">
    <w:abstractNumId w:val="15"/>
  </w:num>
  <w:num w:numId="2" w16cid:durableId="1667636991">
    <w:abstractNumId w:val="13"/>
  </w:num>
  <w:num w:numId="3" w16cid:durableId="1598904256">
    <w:abstractNumId w:val="23"/>
  </w:num>
  <w:num w:numId="4" w16cid:durableId="944767362">
    <w:abstractNumId w:val="28"/>
  </w:num>
  <w:num w:numId="5" w16cid:durableId="1867981635">
    <w:abstractNumId w:val="32"/>
  </w:num>
  <w:num w:numId="6" w16cid:durableId="94720262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630038">
    <w:abstractNumId w:val="29"/>
  </w:num>
  <w:num w:numId="8" w16cid:durableId="1166937661">
    <w:abstractNumId w:val="3"/>
  </w:num>
  <w:num w:numId="9" w16cid:durableId="1109395774">
    <w:abstractNumId w:val="8"/>
  </w:num>
  <w:num w:numId="10" w16cid:durableId="18941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239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0222440">
    <w:abstractNumId w:val="14"/>
  </w:num>
  <w:num w:numId="13" w16cid:durableId="362170222">
    <w:abstractNumId w:val="21"/>
  </w:num>
  <w:num w:numId="14" w16cid:durableId="1232883312">
    <w:abstractNumId w:val="11"/>
  </w:num>
  <w:num w:numId="15" w16cid:durableId="14105406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02431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7321406">
    <w:abstractNumId w:val="34"/>
  </w:num>
  <w:num w:numId="18" w16cid:durableId="1230458307">
    <w:abstractNumId w:val="24"/>
  </w:num>
  <w:num w:numId="19" w16cid:durableId="703823186">
    <w:abstractNumId w:val="7"/>
  </w:num>
  <w:num w:numId="20" w16cid:durableId="512383870">
    <w:abstractNumId w:val="35"/>
  </w:num>
  <w:num w:numId="21" w16cid:durableId="1739086169">
    <w:abstractNumId w:val="26"/>
  </w:num>
  <w:num w:numId="22" w16cid:durableId="118115829">
    <w:abstractNumId w:val="10"/>
  </w:num>
  <w:num w:numId="23" w16cid:durableId="344748516">
    <w:abstractNumId w:val="9"/>
  </w:num>
  <w:num w:numId="24" w16cid:durableId="1663316183">
    <w:abstractNumId w:val="30"/>
  </w:num>
  <w:num w:numId="25" w16cid:durableId="2056540494">
    <w:abstractNumId w:val="17"/>
  </w:num>
  <w:num w:numId="26" w16cid:durableId="1132871439">
    <w:abstractNumId w:val="33"/>
  </w:num>
  <w:num w:numId="27" w16cid:durableId="2007903283">
    <w:abstractNumId w:val="37"/>
  </w:num>
  <w:num w:numId="28" w16cid:durableId="1592422294">
    <w:abstractNumId w:val="22"/>
  </w:num>
  <w:num w:numId="29" w16cid:durableId="1048869862">
    <w:abstractNumId w:val="2"/>
  </w:num>
  <w:num w:numId="30" w16cid:durableId="1232423932">
    <w:abstractNumId w:val="25"/>
  </w:num>
  <w:num w:numId="31" w16cid:durableId="887688312">
    <w:abstractNumId w:val="18"/>
  </w:num>
  <w:num w:numId="32" w16cid:durableId="1557205534">
    <w:abstractNumId w:val="27"/>
  </w:num>
  <w:num w:numId="33" w16cid:durableId="674306033">
    <w:abstractNumId w:val="36"/>
  </w:num>
  <w:num w:numId="34" w16cid:durableId="2102218437">
    <w:abstractNumId w:val="16"/>
  </w:num>
  <w:num w:numId="35" w16cid:durableId="565650015">
    <w:abstractNumId w:val="1"/>
  </w:num>
  <w:num w:numId="36" w16cid:durableId="208452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1886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775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5113765">
    <w:abstractNumId w:val="5"/>
  </w:num>
  <w:num w:numId="40" w16cid:durableId="2025015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0D3E"/>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FBE"/>
    <w:rsid w:val="00007011"/>
    <w:rsid w:val="000075EA"/>
    <w:rsid w:val="00007750"/>
    <w:rsid w:val="000077FD"/>
    <w:rsid w:val="00007E37"/>
    <w:rsid w:val="00010408"/>
    <w:rsid w:val="00010C40"/>
    <w:rsid w:val="000112B4"/>
    <w:rsid w:val="00011781"/>
    <w:rsid w:val="00011DCC"/>
    <w:rsid w:val="00012532"/>
    <w:rsid w:val="00012B9E"/>
    <w:rsid w:val="00012FBA"/>
    <w:rsid w:val="00013C6B"/>
    <w:rsid w:val="0001406B"/>
    <w:rsid w:val="000143F8"/>
    <w:rsid w:val="00014624"/>
    <w:rsid w:val="000147ED"/>
    <w:rsid w:val="0001581D"/>
    <w:rsid w:val="00015B44"/>
    <w:rsid w:val="00016081"/>
    <w:rsid w:val="000165AC"/>
    <w:rsid w:val="00016651"/>
    <w:rsid w:val="00016881"/>
    <w:rsid w:val="000171A2"/>
    <w:rsid w:val="00017B65"/>
    <w:rsid w:val="00020158"/>
    <w:rsid w:val="000207E0"/>
    <w:rsid w:val="00020F8F"/>
    <w:rsid w:val="00021A95"/>
    <w:rsid w:val="00021C0A"/>
    <w:rsid w:val="000221A1"/>
    <w:rsid w:val="0002256F"/>
    <w:rsid w:val="00023DAE"/>
    <w:rsid w:val="00023FA5"/>
    <w:rsid w:val="0002425A"/>
    <w:rsid w:val="00024592"/>
    <w:rsid w:val="00024896"/>
    <w:rsid w:val="000258A6"/>
    <w:rsid w:val="000258AE"/>
    <w:rsid w:val="00025CE7"/>
    <w:rsid w:val="00026092"/>
    <w:rsid w:val="000263F0"/>
    <w:rsid w:val="00026407"/>
    <w:rsid w:val="000264F6"/>
    <w:rsid w:val="00026608"/>
    <w:rsid w:val="0002738B"/>
    <w:rsid w:val="00027545"/>
    <w:rsid w:val="00027787"/>
    <w:rsid w:val="000278D2"/>
    <w:rsid w:val="000278DF"/>
    <w:rsid w:val="00030003"/>
    <w:rsid w:val="00030792"/>
    <w:rsid w:val="00031136"/>
    <w:rsid w:val="00031384"/>
    <w:rsid w:val="000315E1"/>
    <w:rsid w:val="0003236E"/>
    <w:rsid w:val="00032BD8"/>
    <w:rsid w:val="000331FB"/>
    <w:rsid w:val="00033295"/>
    <w:rsid w:val="0003339A"/>
    <w:rsid w:val="00034134"/>
    <w:rsid w:val="000341F2"/>
    <w:rsid w:val="00034651"/>
    <w:rsid w:val="000351F2"/>
    <w:rsid w:val="00035224"/>
    <w:rsid w:val="00036E03"/>
    <w:rsid w:val="00037632"/>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02E"/>
    <w:rsid w:val="0005357A"/>
    <w:rsid w:val="000536E3"/>
    <w:rsid w:val="00053C3E"/>
    <w:rsid w:val="00054252"/>
    <w:rsid w:val="0005474D"/>
    <w:rsid w:val="00055B47"/>
    <w:rsid w:val="00055CB9"/>
    <w:rsid w:val="00056F66"/>
    <w:rsid w:val="0005702F"/>
    <w:rsid w:val="000575F4"/>
    <w:rsid w:val="00057661"/>
    <w:rsid w:val="0005779C"/>
    <w:rsid w:val="00061D06"/>
    <w:rsid w:val="000621CB"/>
    <w:rsid w:val="0006294B"/>
    <w:rsid w:val="00062CDD"/>
    <w:rsid w:val="00063FA5"/>
    <w:rsid w:val="000640AF"/>
    <w:rsid w:val="00064940"/>
    <w:rsid w:val="00064CAE"/>
    <w:rsid w:val="00064DB7"/>
    <w:rsid w:val="00064FA7"/>
    <w:rsid w:val="00065195"/>
    <w:rsid w:val="00065A8B"/>
    <w:rsid w:val="000673C4"/>
    <w:rsid w:val="000708F1"/>
    <w:rsid w:val="00070AF1"/>
    <w:rsid w:val="0007147D"/>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0BAC"/>
    <w:rsid w:val="00080BC5"/>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8FC"/>
    <w:rsid w:val="00086B2A"/>
    <w:rsid w:val="00086ED2"/>
    <w:rsid w:val="000875FD"/>
    <w:rsid w:val="00087A95"/>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3B"/>
    <w:rsid w:val="000A41BA"/>
    <w:rsid w:val="000A446A"/>
    <w:rsid w:val="000A5AAF"/>
    <w:rsid w:val="000A5F97"/>
    <w:rsid w:val="000A648E"/>
    <w:rsid w:val="000A6CC4"/>
    <w:rsid w:val="000A73BB"/>
    <w:rsid w:val="000A7EF4"/>
    <w:rsid w:val="000B0A15"/>
    <w:rsid w:val="000B0DF3"/>
    <w:rsid w:val="000B103F"/>
    <w:rsid w:val="000B1437"/>
    <w:rsid w:val="000B1470"/>
    <w:rsid w:val="000B2B86"/>
    <w:rsid w:val="000B3051"/>
    <w:rsid w:val="000B419B"/>
    <w:rsid w:val="000B4667"/>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44E"/>
    <w:rsid w:val="000D2563"/>
    <w:rsid w:val="000D25BF"/>
    <w:rsid w:val="000D3FDC"/>
    <w:rsid w:val="000D4E38"/>
    <w:rsid w:val="000D50DB"/>
    <w:rsid w:val="000D5ABA"/>
    <w:rsid w:val="000D6288"/>
    <w:rsid w:val="000D6CAF"/>
    <w:rsid w:val="000D70CC"/>
    <w:rsid w:val="000D7541"/>
    <w:rsid w:val="000D75E1"/>
    <w:rsid w:val="000D776B"/>
    <w:rsid w:val="000E0CEB"/>
    <w:rsid w:val="000E1ECB"/>
    <w:rsid w:val="000E22CF"/>
    <w:rsid w:val="000E278B"/>
    <w:rsid w:val="000E2977"/>
    <w:rsid w:val="000E2B36"/>
    <w:rsid w:val="000E30AC"/>
    <w:rsid w:val="000E3B46"/>
    <w:rsid w:val="000E3E11"/>
    <w:rsid w:val="000E4596"/>
    <w:rsid w:val="000E4C62"/>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5429"/>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16E"/>
    <w:rsid w:val="00106259"/>
    <w:rsid w:val="001068EB"/>
    <w:rsid w:val="00107899"/>
    <w:rsid w:val="001078CE"/>
    <w:rsid w:val="00110626"/>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535"/>
    <w:rsid w:val="00117C82"/>
    <w:rsid w:val="00117E65"/>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20E1"/>
    <w:rsid w:val="00163CD0"/>
    <w:rsid w:val="00163D7A"/>
    <w:rsid w:val="00164281"/>
    <w:rsid w:val="00164832"/>
    <w:rsid w:val="00164AF1"/>
    <w:rsid w:val="001654DF"/>
    <w:rsid w:val="00165D91"/>
    <w:rsid w:val="00165ED5"/>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3BA0"/>
    <w:rsid w:val="001742BF"/>
    <w:rsid w:val="001749DF"/>
    <w:rsid w:val="00175E49"/>
    <w:rsid w:val="00176470"/>
    <w:rsid w:val="0017659F"/>
    <w:rsid w:val="00177076"/>
    <w:rsid w:val="001770FF"/>
    <w:rsid w:val="00177E48"/>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D40"/>
    <w:rsid w:val="001A3011"/>
    <w:rsid w:val="001A325B"/>
    <w:rsid w:val="001A4A08"/>
    <w:rsid w:val="001A4B72"/>
    <w:rsid w:val="001A4DAF"/>
    <w:rsid w:val="001A54FD"/>
    <w:rsid w:val="001A59FB"/>
    <w:rsid w:val="001A66DF"/>
    <w:rsid w:val="001A67D0"/>
    <w:rsid w:val="001A6BF1"/>
    <w:rsid w:val="001A6C2B"/>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266"/>
    <w:rsid w:val="001B6973"/>
    <w:rsid w:val="001C07C6"/>
    <w:rsid w:val="001C08B2"/>
    <w:rsid w:val="001C1010"/>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330"/>
    <w:rsid w:val="001D2970"/>
    <w:rsid w:val="001D2D72"/>
    <w:rsid w:val="001D30F3"/>
    <w:rsid w:val="001D31A0"/>
    <w:rsid w:val="001D338E"/>
    <w:rsid w:val="001D3415"/>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587"/>
    <w:rsid w:val="001E479A"/>
    <w:rsid w:val="001E56FF"/>
    <w:rsid w:val="001E5A69"/>
    <w:rsid w:val="001E5B84"/>
    <w:rsid w:val="001E5B91"/>
    <w:rsid w:val="001E5D6A"/>
    <w:rsid w:val="001E6C25"/>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089"/>
    <w:rsid w:val="001F657F"/>
    <w:rsid w:val="001F6FB6"/>
    <w:rsid w:val="001F7978"/>
    <w:rsid w:val="001F7A0E"/>
    <w:rsid w:val="0020022E"/>
    <w:rsid w:val="0020054E"/>
    <w:rsid w:val="00200B51"/>
    <w:rsid w:val="00201F1E"/>
    <w:rsid w:val="0020299B"/>
    <w:rsid w:val="00202E44"/>
    <w:rsid w:val="00203163"/>
    <w:rsid w:val="002037AA"/>
    <w:rsid w:val="00203FE3"/>
    <w:rsid w:val="002042D8"/>
    <w:rsid w:val="00204515"/>
    <w:rsid w:val="00204BF5"/>
    <w:rsid w:val="00204D82"/>
    <w:rsid w:val="00204D91"/>
    <w:rsid w:val="00204E6B"/>
    <w:rsid w:val="002058D4"/>
    <w:rsid w:val="00205BAA"/>
    <w:rsid w:val="002060A6"/>
    <w:rsid w:val="0020632A"/>
    <w:rsid w:val="0020697F"/>
    <w:rsid w:val="002110EB"/>
    <w:rsid w:val="00211338"/>
    <w:rsid w:val="0021133C"/>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31D"/>
    <w:rsid w:val="0021746F"/>
    <w:rsid w:val="002176B6"/>
    <w:rsid w:val="0021792D"/>
    <w:rsid w:val="00217DB8"/>
    <w:rsid w:val="0022032A"/>
    <w:rsid w:val="002203C1"/>
    <w:rsid w:val="002221CE"/>
    <w:rsid w:val="0022289E"/>
    <w:rsid w:val="00222BE8"/>
    <w:rsid w:val="00223102"/>
    <w:rsid w:val="002232CB"/>
    <w:rsid w:val="00224022"/>
    <w:rsid w:val="00226055"/>
    <w:rsid w:val="0022613F"/>
    <w:rsid w:val="00226236"/>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45A"/>
    <w:rsid w:val="002345B6"/>
    <w:rsid w:val="00234B84"/>
    <w:rsid w:val="00236016"/>
    <w:rsid w:val="00236E24"/>
    <w:rsid w:val="00237065"/>
    <w:rsid w:val="00237589"/>
    <w:rsid w:val="0023758D"/>
    <w:rsid w:val="002375A7"/>
    <w:rsid w:val="0024019A"/>
    <w:rsid w:val="002408A0"/>
    <w:rsid w:val="002411DE"/>
    <w:rsid w:val="0024131D"/>
    <w:rsid w:val="002413B5"/>
    <w:rsid w:val="002415B8"/>
    <w:rsid w:val="00241618"/>
    <w:rsid w:val="00241E2F"/>
    <w:rsid w:val="00242D62"/>
    <w:rsid w:val="0024313A"/>
    <w:rsid w:val="002431D7"/>
    <w:rsid w:val="00243257"/>
    <w:rsid w:val="00243434"/>
    <w:rsid w:val="00244058"/>
    <w:rsid w:val="00244E90"/>
    <w:rsid w:val="00244F9A"/>
    <w:rsid w:val="00245718"/>
    <w:rsid w:val="00245E07"/>
    <w:rsid w:val="00246CD4"/>
    <w:rsid w:val="0024729C"/>
    <w:rsid w:val="00247712"/>
    <w:rsid w:val="00247780"/>
    <w:rsid w:val="00250EC6"/>
    <w:rsid w:val="00251866"/>
    <w:rsid w:val="00251A9F"/>
    <w:rsid w:val="00252492"/>
    <w:rsid w:val="00252B35"/>
    <w:rsid w:val="0025316D"/>
    <w:rsid w:val="002532F4"/>
    <w:rsid w:val="00253A02"/>
    <w:rsid w:val="00253B81"/>
    <w:rsid w:val="00253BA2"/>
    <w:rsid w:val="0025431A"/>
    <w:rsid w:val="002554DE"/>
    <w:rsid w:val="00255556"/>
    <w:rsid w:val="00255E11"/>
    <w:rsid w:val="00256835"/>
    <w:rsid w:val="002569F0"/>
    <w:rsid w:val="00256ECF"/>
    <w:rsid w:val="00257730"/>
    <w:rsid w:val="00257999"/>
    <w:rsid w:val="002604AA"/>
    <w:rsid w:val="0026129B"/>
    <w:rsid w:val="00261560"/>
    <w:rsid w:val="002615BD"/>
    <w:rsid w:val="00261715"/>
    <w:rsid w:val="00261CF9"/>
    <w:rsid w:val="00261EC0"/>
    <w:rsid w:val="0026231B"/>
    <w:rsid w:val="00262422"/>
    <w:rsid w:val="00262952"/>
    <w:rsid w:val="00263101"/>
    <w:rsid w:val="00263201"/>
    <w:rsid w:val="00263A37"/>
    <w:rsid w:val="002653A6"/>
    <w:rsid w:val="0026608D"/>
    <w:rsid w:val="002661F1"/>
    <w:rsid w:val="002663BA"/>
    <w:rsid w:val="002664B7"/>
    <w:rsid w:val="00266CB5"/>
    <w:rsid w:val="0027013F"/>
    <w:rsid w:val="002701F1"/>
    <w:rsid w:val="002711A4"/>
    <w:rsid w:val="00271201"/>
    <w:rsid w:val="00271F13"/>
    <w:rsid w:val="002721E2"/>
    <w:rsid w:val="00274787"/>
    <w:rsid w:val="00274DB5"/>
    <w:rsid w:val="00275BB1"/>
    <w:rsid w:val="00275FBF"/>
    <w:rsid w:val="00276373"/>
    <w:rsid w:val="00277933"/>
    <w:rsid w:val="00277F13"/>
    <w:rsid w:val="00277F8D"/>
    <w:rsid w:val="00277FA7"/>
    <w:rsid w:val="00280F3D"/>
    <w:rsid w:val="0028106A"/>
    <w:rsid w:val="0028189C"/>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53"/>
    <w:rsid w:val="00292E64"/>
    <w:rsid w:val="002932BA"/>
    <w:rsid w:val="00293669"/>
    <w:rsid w:val="00294368"/>
    <w:rsid w:val="00294B78"/>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419"/>
    <w:rsid w:val="002B27C8"/>
    <w:rsid w:val="002B29F8"/>
    <w:rsid w:val="002B2A7F"/>
    <w:rsid w:val="002B330B"/>
    <w:rsid w:val="002B39BE"/>
    <w:rsid w:val="002B438C"/>
    <w:rsid w:val="002B48DB"/>
    <w:rsid w:val="002B4B34"/>
    <w:rsid w:val="002B4DBC"/>
    <w:rsid w:val="002B508E"/>
    <w:rsid w:val="002B541A"/>
    <w:rsid w:val="002B6407"/>
    <w:rsid w:val="002B6416"/>
    <w:rsid w:val="002B6459"/>
    <w:rsid w:val="002B64D2"/>
    <w:rsid w:val="002B73B0"/>
    <w:rsid w:val="002C0763"/>
    <w:rsid w:val="002C1143"/>
    <w:rsid w:val="002C24B4"/>
    <w:rsid w:val="002C2516"/>
    <w:rsid w:val="002C2B3A"/>
    <w:rsid w:val="002C2B87"/>
    <w:rsid w:val="002C3209"/>
    <w:rsid w:val="002C3CF4"/>
    <w:rsid w:val="002C40BA"/>
    <w:rsid w:val="002C441A"/>
    <w:rsid w:val="002C467F"/>
    <w:rsid w:val="002C4A73"/>
    <w:rsid w:val="002C4B84"/>
    <w:rsid w:val="002C4C0C"/>
    <w:rsid w:val="002C5016"/>
    <w:rsid w:val="002C5C2F"/>
    <w:rsid w:val="002C5D0F"/>
    <w:rsid w:val="002C5E87"/>
    <w:rsid w:val="002C60B9"/>
    <w:rsid w:val="002C6C6E"/>
    <w:rsid w:val="002C6F77"/>
    <w:rsid w:val="002C704D"/>
    <w:rsid w:val="002C711C"/>
    <w:rsid w:val="002D0845"/>
    <w:rsid w:val="002D0933"/>
    <w:rsid w:val="002D19BB"/>
    <w:rsid w:val="002D1A9B"/>
    <w:rsid w:val="002D1F9B"/>
    <w:rsid w:val="002D22C5"/>
    <w:rsid w:val="002D301F"/>
    <w:rsid w:val="002D302A"/>
    <w:rsid w:val="002D36C6"/>
    <w:rsid w:val="002D37C1"/>
    <w:rsid w:val="002D3F8D"/>
    <w:rsid w:val="002D444B"/>
    <w:rsid w:val="002D4A45"/>
    <w:rsid w:val="002D4A73"/>
    <w:rsid w:val="002D4AB1"/>
    <w:rsid w:val="002D4B42"/>
    <w:rsid w:val="002D4DBA"/>
    <w:rsid w:val="002D4F5F"/>
    <w:rsid w:val="002D5A1B"/>
    <w:rsid w:val="002D5DB0"/>
    <w:rsid w:val="002D65BC"/>
    <w:rsid w:val="002D6D7E"/>
    <w:rsid w:val="002D7D83"/>
    <w:rsid w:val="002D7EDD"/>
    <w:rsid w:val="002E055C"/>
    <w:rsid w:val="002E1050"/>
    <w:rsid w:val="002E18E5"/>
    <w:rsid w:val="002E1953"/>
    <w:rsid w:val="002E29A0"/>
    <w:rsid w:val="002E2D4B"/>
    <w:rsid w:val="002E2D7D"/>
    <w:rsid w:val="002E3AB5"/>
    <w:rsid w:val="002E3D76"/>
    <w:rsid w:val="002E40A1"/>
    <w:rsid w:val="002E48EC"/>
    <w:rsid w:val="002E4B44"/>
    <w:rsid w:val="002E4BDC"/>
    <w:rsid w:val="002E4ECB"/>
    <w:rsid w:val="002E4F23"/>
    <w:rsid w:val="002E5B53"/>
    <w:rsid w:val="002E60FC"/>
    <w:rsid w:val="002E7847"/>
    <w:rsid w:val="002E7FCF"/>
    <w:rsid w:val="002F0073"/>
    <w:rsid w:val="002F0544"/>
    <w:rsid w:val="002F0618"/>
    <w:rsid w:val="002F1355"/>
    <w:rsid w:val="002F170E"/>
    <w:rsid w:val="002F1D41"/>
    <w:rsid w:val="002F240B"/>
    <w:rsid w:val="002F2F50"/>
    <w:rsid w:val="002F30FD"/>
    <w:rsid w:val="002F3601"/>
    <w:rsid w:val="002F4113"/>
    <w:rsid w:val="002F45F6"/>
    <w:rsid w:val="002F6012"/>
    <w:rsid w:val="002F692F"/>
    <w:rsid w:val="002F69BE"/>
    <w:rsid w:val="002F7A10"/>
    <w:rsid w:val="002F7B66"/>
    <w:rsid w:val="00300847"/>
    <w:rsid w:val="00300CB4"/>
    <w:rsid w:val="00300E24"/>
    <w:rsid w:val="0030101C"/>
    <w:rsid w:val="00303234"/>
    <w:rsid w:val="003033BA"/>
    <w:rsid w:val="003043A3"/>
    <w:rsid w:val="00304BD4"/>
    <w:rsid w:val="0030500A"/>
    <w:rsid w:val="0030517B"/>
    <w:rsid w:val="003052EB"/>
    <w:rsid w:val="003058D1"/>
    <w:rsid w:val="00305E1F"/>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47D2"/>
    <w:rsid w:val="00315457"/>
    <w:rsid w:val="003161A4"/>
    <w:rsid w:val="00316955"/>
    <w:rsid w:val="0031720A"/>
    <w:rsid w:val="003173CF"/>
    <w:rsid w:val="0031749B"/>
    <w:rsid w:val="003174E5"/>
    <w:rsid w:val="00317C9D"/>
    <w:rsid w:val="00317CD2"/>
    <w:rsid w:val="00317D99"/>
    <w:rsid w:val="0032078D"/>
    <w:rsid w:val="00320A6E"/>
    <w:rsid w:val="00320F34"/>
    <w:rsid w:val="0032137B"/>
    <w:rsid w:val="003214F7"/>
    <w:rsid w:val="00321BD6"/>
    <w:rsid w:val="00321FA3"/>
    <w:rsid w:val="0032201F"/>
    <w:rsid w:val="0032241D"/>
    <w:rsid w:val="003227D3"/>
    <w:rsid w:val="003227ED"/>
    <w:rsid w:val="00322937"/>
    <w:rsid w:val="00322A46"/>
    <w:rsid w:val="00322A84"/>
    <w:rsid w:val="00323148"/>
    <w:rsid w:val="003231D0"/>
    <w:rsid w:val="00323881"/>
    <w:rsid w:val="00323B73"/>
    <w:rsid w:val="00324DDC"/>
    <w:rsid w:val="00325D98"/>
    <w:rsid w:val="0032682A"/>
    <w:rsid w:val="00327A5C"/>
    <w:rsid w:val="0033092C"/>
    <w:rsid w:val="0033122A"/>
    <w:rsid w:val="003315AC"/>
    <w:rsid w:val="00331932"/>
    <w:rsid w:val="00333A88"/>
    <w:rsid w:val="00333FFB"/>
    <w:rsid w:val="00334104"/>
    <w:rsid w:val="00335569"/>
    <w:rsid w:val="00335B15"/>
    <w:rsid w:val="00335B21"/>
    <w:rsid w:val="00335D3F"/>
    <w:rsid w:val="00336104"/>
    <w:rsid w:val="00336654"/>
    <w:rsid w:val="00336729"/>
    <w:rsid w:val="00336AB1"/>
    <w:rsid w:val="00336C13"/>
    <w:rsid w:val="0033726D"/>
    <w:rsid w:val="00337362"/>
    <w:rsid w:val="00337CA8"/>
    <w:rsid w:val="00340A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981"/>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142"/>
    <w:rsid w:val="00375C7C"/>
    <w:rsid w:val="003762F6"/>
    <w:rsid w:val="00377027"/>
    <w:rsid w:val="00377135"/>
    <w:rsid w:val="00380272"/>
    <w:rsid w:val="00380576"/>
    <w:rsid w:val="003805DB"/>
    <w:rsid w:val="003813F4"/>
    <w:rsid w:val="0038152A"/>
    <w:rsid w:val="00382AEF"/>
    <w:rsid w:val="00382BAD"/>
    <w:rsid w:val="00383A8D"/>
    <w:rsid w:val="00383BD9"/>
    <w:rsid w:val="00384DF1"/>
    <w:rsid w:val="00384FF3"/>
    <w:rsid w:val="00385C0D"/>
    <w:rsid w:val="00386456"/>
    <w:rsid w:val="003865A9"/>
    <w:rsid w:val="00387642"/>
    <w:rsid w:val="00387CF6"/>
    <w:rsid w:val="00390BD6"/>
    <w:rsid w:val="00390F32"/>
    <w:rsid w:val="0039135E"/>
    <w:rsid w:val="0039200F"/>
    <w:rsid w:val="0039319C"/>
    <w:rsid w:val="003931A0"/>
    <w:rsid w:val="00393A6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7ED"/>
    <w:rsid w:val="003A3851"/>
    <w:rsid w:val="003A39DD"/>
    <w:rsid w:val="003A4A8E"/>
    <w:rsid w:val="003A563C"/>
    <w:rsid w:val="003A581E"/>
    <w:rsid w:val="003A6160"/>
    <w:rsid w:val="003A65A5"/>
    <w:rsid w:val="003A72F5"/>
    <w:rsid w:val="003A78E5"/>
    <w:rsid w:val="003B0341"/>
    <w:rsid w:val="003B10E2"/>
    <w:rsid w:val="003B120F"/>
    <w:rsid w:val="003B1E57"/>
    <w:rsid w:val="003B2885"/>
    <w:rsid w:val="003B2EF3"/>
    <w:rsid w:val="003B3676"/>
    <w:rsid w:val="003B4B1C"/>
    <w:rsid w:val="003B4CB2"/>
    <w:rsid w:val="003B534F"/>
    <w:rsid w:val="003B5391"/>
    <w:rsid w:val="003B5586"/>
    <w:rsid w:val="003B5952"/>
    <w:rsid w:val="003B65D7"/>
    <w:rsid w:val="003B65E0"/>
    <w:rsid w:val="003B6BD4"/>
    <w:rsid w:val="003B6F4D"/>
    <w:rsid w:val="003B6FE7"/>
    <w:rsid w:val="003C0271"/>
    <w:rsid w:val="003C02AE"/>
    <w:rsid w:val="003C0791"/>
    <w:rsid w:val="003C0D1F"/>
    <w:rsid w:val="003C116A"/>
    <w:rsid w:val="003C1AF4"/>
    <w:rsid w:val="003C1B63"/>
    <w:rsid w:val="003C1CB8"/>
    <w:rsid w:val="003C2550"/>
    <w:rsid w:val="003C287F"/>
    <w:rsid w:val="003C3081"/>
    <w:rsid w:val="003C3339"/>
    <w:rsid w:val="003C375A"/>
    <w:rsid w:val="003C43F6"/>
    <w:rsid w:val="003C4D9F"/>
    <w:rsid w:val="003C4E77"/>
    <w:rsid w:val="003C5C83"/>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3C00"/>
    <w:rsid w:val="003E4A70"/>
    <w:rsid w:val="003E4C48"/>
    <w:rsid w:val="003E4CD9"/>
    <w:rsid w:val="003E54B3"/>
    <w:rsid w:val="003E563C"/>
    <w:rsid w:val="003E56AB"/>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22A3"/>
    <w:rsid w:val="003F300D"/>
    <w:rsid w:val="003F319B"/>
    <w:rsid w:val="003F391F"/>
    <w:rsid w:val="003F4599"/>
    <w:rsid w:val="003F45E1"/>
    <w:rsid w:val="003F4F6C"/>
    <w:rsid w:val="003F516A"/>
    <w:rsid w:val="003F52D4"/>
    <w:rsid w:val="003F53CA"/>
    <w:rsid w:val="003F559E"/>
    <w:rsid w:val="003F5DB7"/>
    <w:rsid w:val="003F6181"/>
    <w:rsid w:val="003F7343"/>
    <w:rsid w:val="00400002"/>
    <w:rsid w:val="00400054"/>
    <w:rsid w:val="0040047E"/>
    <w:rsid w:val="004006E8"/>
    <w:rsid w:val="004012EE"/>
    <w:rsid w:val="004016A3"/>
    <w:rsid w:val="00401B31"/>
    <w:rsid w:val="0040202B"/>
    <w:rsid w:val="00402DE1"/>
    <w:rsid w:val="00402EEB"/>
    <w:rsid w:val="004037C2"/>
    <w:rsid w:val="00403D55"/>
    <w:rsid w:val="00404041"/>
    <w:rsid w:val="00404B43"/>
    <w:rsid w:val="00404C61"/>
    <w:rsid w:val="00405328"/>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6FE9"/>
    <w:rsid w:val="00417089"/>
    <w:rsid w:val="004170D7"/>
    <w:rsid w:val="004177A6"/>
    <w:rsid w:val="00417EFD"/>
    <w:rsid w:val="004200EE"/>
    <w:rsid w:val="004209D2"/>
    <w:rsid w:val="00420D6E"/>
    <w:rsid w:val="00421BD2"/>
    <w:rsid w:val="00421E00"/>
    <w:rsid w:val="00421FCB"/>
    <w:rsid w:val="00421FF6"/>
    <w:rsid w:val="004222E3"/>
    <w:rsid w:val="00422DCA"/>
    <w:rsid w:val="00422FDC"/>
    <w:rsid w:val="0042391F"/>
    <w:rsid w:val="00423F9F"/>
    <w:rsid w:val="00424E83"/>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10"/>
    <w:rsid w:val="00436E45"/>
    <w:rsid w:val="00436F40"/>
    <w:rsid w:val="004370FA"/>
    <w:rsid w:val="00437266"/>
    <w:rsid w:val="00440096"/>
    <w:rsid w:val="004401F9"/>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15A"/>
    <w:rsid w:val="0044581A"/>
    <w:rsid w:val="00445AC2"/>
    <w:rsid w:val="00446037"/>
    <w:rsid w:val="0044642F"/>
    <w:rsid w:val="00446DFF"/>
    <w:rsid w:val="0044772C"/>
    <w:rsid w:val="004507F0"/>
    <w:rsid w:val="00450846"/>
    <w:rsid w:val="00450C32"/>
    <w:rsid w:val="004510E5"/>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1FF"/>
    <w:rsid w:val="00455354"/>
    <w:rsid w:val="0045544F"/>
    <w:rsid w:val="0045558D"/>
    <w:rsid w:val="00455DEE"/>
    <w:rsid w:val="00456970"/>
    <w:rsid w:val="00456BB1"/>
    <w:rsid w:val="00456DDB"/>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5B31"/>
    <w:rsid w:val="00465B8B"/>
    <w:rsid w:val="00466616"/>
    <w:rsid w:val="00466A0C"/>
    <w:rsid w:val="00467455"/>
    <w:rsid w:val="00470A6A"/>
    <w:rsid w:val="00470D92"/>
    <w:rsid w:val="004712D1"/>
    <w:rsid w:val="00471C46"/>
    <w:rsid w:val="00471DF7"/>
    <w:rsid w:val="00471F12"/>
    <w:rsid w:val="00471F6B"/>
    <w:rsid w:val="0047260E"/>
    <w:rsid w:val="00472695"/>
    <w:rsid w:val="0047295C"/>
    <w:rsid w:val="00472D8E"/>
    <w:rsid w:val="004734CF"/>
    <w:rsid w:val="00474787"/>
    <w:rsid w:val="00474889"/>
    <w:rsid w:val="00475C5A"/>
    <w:rsid w:val="00475C9C"/>
    <w:rsid w:val="0047676B"/>
    <w:rsid w:val="0047773C"/>
    <w:rsid w:val="00477C5F"/>
    <w:rsid w:val="00480050"/>
    <w:rsid w:val="004808DE"/>
    <w:rsid w:val="00481AC4"/>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1E1"/>
    <w:rsid w:val="0049241A"/>
    <w:rsid w:val="00492682"/>
    <w:rsid w:val="00492C1F"/>
    <w:rsid w:val="00492E4C"/>
    <w:rsid w:val="00493B2C"/>
    <w:rsid w:val="00493E04"/>
    <w:rsid w:val="004940E3"/>
    <w:rsid w:val="0049530F"/>
    <w:rsid w:val="00495552"/>
    <w:rsid w:val="00496664"/>
    <w:rsid w:val="00496786"/>
    <w:rsid w:val="0049695B"/>
    <w:rsid w:val="00496D8F"/>
    <w:rsid w:val="00497463"/>
    <w:rsid w:val="004978C4"/>
    <w:rsid w:val="00497B15"/>
    <w:rsid w:val="004A054C"/>
    <w:rsid w:val="004A08D1"/>
    <w:rsid w:val="004A16C1"/>
    <w:rsid w:val="004A1CE2"/>
    <w:rsid w:val="004A2069"/>
    <w:rsid w:val="004A2800"/>
    <w:rsid w:val="004A34D2"/>
    <w:rsid w:val="004A419B"/>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41"/>
    <w:rsid w:val="004C22F7"/>
    <w:rsid w:val="004C2B27"/>
    <w:rsid w:val="004C3929"/>
    <w:rsid w:val="004C4DCB"/>
    <w:rsid w:val="004C5212"/>
    <w:rsid w:val="004C5B3B"/>
    <w:rsid w:val="004C5EF0"/>
    <w:rsid w:val="004C6324"/>
    <w:rsid w:val="004C7226"/>
    <w:rsid w:val="004C74C9"/>
    <w:rsid w:val="004C7D70"/>
    <w:rsid w:val="004D02F9"/>
    <w:rsid w:val="004D03FE"/>
    <w:rsid w:val="004D0446"/>
    <w:rsid w:val="004D055E"/>
    <w:rsid w:val="004D0A4F"/>
    <w:rsid w:val="004D0F95"/>
    <w:rsid w:val="004D106A"/>
    <w:rsid w:val="004D31EE"/>
    <w:rsid w:val="004D36AF"/>
    <w:rsid w:val="004D3BD1"/>
    <w:rsid w:val="004D3C05"/>
    <w:rsid w:val="004D41A2"/>
    <w:rsid w:val="004D4BA1"/>
    <w:rsid w:val="004D5451"/>
    <w:rsid w:val="004D584D"/>
    <w:rsid w:val="004D6826"/>
    <w:rsid w:val="004D7A4F"/>
    <w:rsid w:val="004E023F"/>
    <w:rsid w:val="004E058F"/>
    <w:rsid w:val="004E0742"/>
    <w:rsid w:val="004E0C64"/>
    <w:rsid w:val="004E0F6B"/>
    <w:rsid w:val="004E1545"/>
    <w:rsid w:val="004E1F1C"/>
    <w:rsid w:val="004E1FAA"/>
    <w:rsid w:val="004E2A35"/>
    <w:rsid w:val="004E38A2"/>
    <w:rsid w:val="004E40CE"/>
    <w:rsid w:val="004E4465"/>
    <w:rsid w:val="004E518D"/>
    <w:rsid w:val="004E5736"/>
    <w:rsid w:val="004E5B36"/>
    <w:rsid w:val="004E6045"/>
    <w:rsid w:val="004E6B91"/>
    <w:rsid w:val="004E6F43"/>
    <w:rsid w:val="004E7200"/>
    <w:rsid w:val="004E7815"/>
    <w:rsid w:val="004E7EAA"/>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5DCB"/>
    <w:rsid w:val="005073BF"/>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274"/>
    <w:rsid w:val="00520899"/>
    <w:rsid w:val="00520922"/>
    <w:rsid w:val="005209FC"/>
    <w:rsid w:val="00520E50"/>
    <w:rsid w:val="005224E5"/>
    <w:rsid w:val="005226BE"/>
    <w:rsid w:val="00522B88"/>
    <w:rsid w:val="00523903"/>
    <w:rsid w:val="005239B6"/>
    <w:rsid w:val="00523C45"/>
    <w:rsid w:val="00524165"/>
    <w:rsid w:val="005242BA"/>
    <w:rsid w:val="005243A3"/>
    <w:rsid w:val="005246E7"/>
    <w:rsid w:val="00524FD2"/>
    <w:rsid w:val="00525621"/>
    <w:rsid w:val="0052623E"/>
    <w:rsid w:val="00526431"/>
    <w:rsid w:val="005265D8"/>
    <w:rsid w:val="005279FC"/>
    <w:rsid w:val="00527C6B"/>
    <w:rsid w:val="00527E57"/>
    <w:rsid w:val="00530405"/>
    <w:rsid w:val="00530522"/>
    <w:rsid w:val="005305E5"/>
    <w:rsid w:val="005306CE"/>
    <w:rsid w:val="00530F38"/>
    <w:rsid w:val="00531F26"/>
    <w:rsid w:val="00532170"/>
    <w:rsid w:val="0053277C"/>
    <w:rsid w:val="005327C0"/>
    <w:rsid w:val="00533101"/>
    <w:rsid w:val="00533CA9"/>
    <w:rsid w:val="00533DA7"/>
    <w:rsid w:val="005344EF"/>
    <w:rsid w:val="005346AD"/>
    <w:rsid w:val="00534EFB"/>
    <w:rsid w:val="00534F60"/>
    <w:rsid w:val="00535083"/>
    <w:rsid w:val="005357F1"/>
    <w:rsid w:val="00536053"/>
    <w:rsid w:val="005369E6"/>
    <w:rsid w:val="00536C90"/>
    <w:rsid w:val="00536E62"/>
    <w:rsid w:val="005371AC"/>
    <w:rsid w:val="00537672"/>
    <w:rsid w:val="0053772F"/>
    <w:rsid w:val="00537B77"/>
    <w:rsid w:val="00540C4C"/>
    <w:rsid w:val="00541571"/>
    <w:rsid w:val="0054275A"/>
    <w:rsid w:val="005428B8"/>
    <w:rsid w:val="00542BD7"/>
    <w:rsid w:val="00542E67"/>
    <w:rsid w:val="00543084"/>
    <w:rsid w:val="00543C33"/>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6058C"/>
    <w:rsid w:val="00560C87"/>
    <w:rsid w:val="00560EF9"/>
    <w:rsid w:val="00560F51"/>
    <w:rsid w:val="00561249"/>
    <w:rsid w:val="0056182B"/>
    <w:rsid w:val="00561AF3"/>
    <w:rsid w:val="00561E0B"/>
    <w:rsid w:val="00562141"/>
    <w:rsid w:val="005621E0"/>
    <w:rsid w:val="00562536"/>
    <w:rsid w:val="00562D86"/>
    <w:rsid w:val="005642EC"/>
    <w:rsid w:val="0056468C"/>
    <w:rsid w:val="00564704"/>
    <w:rsid w:val="00564712"/>
    <w:rsid w:val="005657A8"/>
    <w:rsid w:val="00565952"/>
    <w:rsid w:val="00566866"/>
    <w:rsid w:val="005670A5"/>
    <w:rsid w:val="00567106"/>
    <w:rsid w:val="00567723"/>
    <w:rsid w:val="00567AB8"/>
    <w:rsid w:val="005707F7"/>
    <w:rsid w:val="00570A26"/>
    <w:rsid w:val="0057221F"/>
    <w:rsid w:val="00572539"/>
    <w:rsid w:val="005727C2"/>
    <w:rsid w:val="0057293F"/>
    <w:rsid w:val="00573137"/>
    <w:rsid w:val="0057337D"/>
    <w:rsid w:val="00573504"/>
    <w:rsid w:val="00574708"/>
    <w:rsid w:val="00574932"/>
    <w:rsid w:val="00574D81"/>
    <w:rsid w:val="005756AA"/>
    <w:rsid w:val="005758CA"/>
    <w:rsid w:val="00576233"/>
    <w:rsid w:val="0057696F"/>
    <w:rsid w:val="005774FE"/>
    <w:rsid w:val="0058040C"/>
    <w:rsid w:val="00580D6D"/>
    <w:rsid w:val="00580FB3"/>
    <w:rsid w:val="005813DE"/>
    <w:rsid w:val="00581796"/>
    <w:rsid w:val="00581B45"/>
    <w:rsid w:val="00581D5E"/>
    <w:rsid w:val="00582480"/>
    <w:rsid w:val="0058290E"/>
    <w:rsid w:val="00582CAB"/>
    <w:rsid w:val="0058375E"/>
    <w:rsid w:val="00584233"/>
    <w:rsid w:val="005842D0"/>
    <w:rsid w:val="005855AE"/>
    <w:rsid w:val="00585829"/>
    <w:rsid w:val="00585C75"/>
    <w:rsid w:val="00585CA8"/>
    <w:rsid w:val="00586412"/>
    <w:rsid w:val="005864B9"/>
    <w:rsid w:val="005866C4"/>
    <w:rsid w:val="00586BDB"/>
    <w:rsid w:val="00590A6C"/>
    <w:rsid w:val="00590F1A"/>
    <w:rsid w:val="00591C03"/>
    <w:rsid w:val="00591E2A"/>
    <w:rsid w:val="005923C4"/>
    <w:rsid w:val="005927E5"/>
    <w:rsid w:val="00593B6A"/>
    <w:rsid w:val="00593F75"/>
    <w:rsid w:val="005940A0"/>
    <w:rsid w:val="005941C1"/>
    <w:rsid w:val="0059429A"/>
    <w:rsid w:val="0059546C"/>
    <w:rsid w:val="00595FDD"/>
    <w:rsid w:val="00596AF7"/>
    <w:rsid w:val="00596CCE"/>
    <w:rsid w:val="00597E38"/>
    <w:rsid w:val="005A1100"/>
    <w:rsid w:val="005A1976"/>
    <w:rsid w:val="005A2120"/>
    <w:rsid w:val="005A2501"/>
    <w:rsid w:val="005A2C80"/>
    <w:rsid w:val="005A3066"/>
    <w:rsid w:val="005A3457"/>
    <w:rsid w:val="005A3580"/>
    <w:rsid w:val="005A3B35"/>
    <w:rsid w:val="005A3C4B"/>
    <w:rsid w:val="005A3E5A"/>
    <w:rsid w:val="005A43F3"/>
    <w:rsid w:val="005A496F"/>
    <w:rsid w:val="005A4A56"/>
    <w:rsid w:val="005A5A3D"/>
    <w:rsid w:val="005A6035"/>
    <w:rsid w:val="005A6431"/>
    <w:rsid w:val="005A6B75"/>
    <w:rsid w:val="005A6E00"/>
    <w:rsid w:val="005A718A"/>
    <w:rsid w:val="005A7A6B"/>
    <w:rsid w:val="005B09BE"/>
    <w:rsid w:val="005B12B2"/>
    <w:rsid w:val="005B143B"/>
    <w:rsid w:val="005B1E45"/>
    <w:rsid w:val="005B21C4"/>
    <w:rsid w:val="005B2A28"/>
    <w:rsid w:val="005B3621"/>
    <w:rsid w:val="005B4948"/>
    <w:rsid w:val="005B501D"/>
    <w:rsid w:val="005B54CC"/>
    <w:rsid w:val="005B74AD"/>
    <w:rsid w:val="005B751B"/>
    <w:rsid w:val="005B7E96"/>
    <w:rsid w:val="005C0429"/>
    <w:rsid w:val="005C084F"/>
    <w:rsid w:val="005C0EE9"/>
    <w:rsid w:val="005C1383"/>
    <w:rsid w:val="005C1716"/>
    <w:rsid w:val="005C1954"/>
    <w:rsid w:val="005C1C0B"/>
    <w:rsid w:val="005C1D53"/>
    <w:rsid w:val="005C2011"/>
    <w:rsid w:val="005C36CF"/>
    <w:rsid w:val="005C3EA3"/>
    <w:rsid w:val="005C4910"/>
    <w:rsid w:val="005C5011"/>
    <w:rsid w:val="005C529E"/>
    <w:rsid w:val="005C57BA"/>
    <w:rsid w:val="005C5C52"/>
    <w:rsid w:val="005C5D3D"/>
    <w:rsid w:val="005C5F05"/>
    <w:rsid w:val="005C7F3E"/>
    <w:rsid w:val="005D0E1C"/>
    <w:rsid w:val="005D1051"/>
    <w:rsid w:val="005D2044"/>
    <w:rsid w:val="005D24C7"/>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12E"/>
    <w:rsid w:val="005E1595"/>
    <w:rsid w:val="005E1F1D"/>
    <w:rsid w:val="005E273D"/>
    <w:rsid w:val="005E2C4E"/>
    <w:rsid w:val="005E30D3"/>
    <w:rsid w:val="005E3278"/>
    <w:rsid w:val="005E363B"/>
    <w:rsid w:val="005E3B0D"/>
    <w:rsid w:val="005E3FB1"/>
    <w:rsid w:val="005E6EA5"/>
    <w:rsid w:val="005E756C"/>
    <w:rsid w:val="005F041F"/>
    <w:rsid w:val="005F0AF6"/>
    <w:rsid w:val="005F0F06"/>
    <w:rsid w:val="005F1216"/>
    <w:rsid w:val="005F1819"/>
    <w:rsid w:val="005F1D7D"/>
    <w:rsid w:val="005F1D89"/>
    <w:rsid w:val="005F207F"/>
    <w:rsid w:val="005F2861"/>
    <w:rsid w:val="005F305B"/>
    <w:rsid w:val="005F333D"/>
    <w:rsid w:val="005F3361"/>
    <w:rsid w:val="005F3B47"/>
    <w:rsid w:val="005F3C6E"/>
    <w:rsid w:val="005F4481"/>
    <w:rsid w:val="005F49AF"/>
    <w:rsid w:val="005F4A58"/>
    <w:rsid w:val="005F54DF"/>
    <w:rsid w:val="005F57F3"/>
    <w:rsid w:val="005F5888"/>
    <w:rsid w:val="005F5984"/>
    <w:rsid w:val="005F6CE2"/>
    <w:rsid w:val="005F72E9"/>
    <w:rsid w:val="005F730E"/>
    <w:rsid w:val="005F780B"/>
    <w:rsid w:val="005F792C"/>
    <w:rsid w:val="005F7B4F"/>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89C"/>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D0C"/>
    <w:rsid w:val="00622470"/>
    <w:rsid w:val="00622725"/>
    <w:rsid w:val="006228A6"/>
    <w:rsid w:val="006231AA"/>
    <w:rsid w:val="00623482"/>
    <w:rsid w:val="00623AC2"/>
    <w:rsid w:val="00623FF7"/>
    <w:rsid w:val="00625A26"/>
    <w:rsid w:val="00625F38"/>
    <w:rsid w:val="006266D7"/>
    <w:rsid w:val="00626D42"/>
    <w:rsid w:val="00626EE3"/>
    <w:rsid w:val="006274AD"/>
    <w:rsid w:val="00627532"/>
    <w:rsid w:val="00627E42"/>
    <w:rsid w:val="006302AA"/>
    <w:rsid w:val="006305C1"/>
    <w:rsid w:val="006310C3"/>
    <w:rsid w:val="0063161E"/>
    <w:rsid w:val="0063167C"/>
    <w:rsid w:val="00631A31"/>
    <w:rsid w:val="00631BB5"/>
    <w:rsid w:val="00631DD0"/>
    <w:rsid w:val="00631E3C"/>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18D"/>
    <w:rsid w:val="00640659"/>
    <w:rsid w:val="00641078"/>
    <w:rsid w:val="00641242"/>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129"/>
    <w:rsid w:val="00654A38"/>
    <w:rsid w:val="00654B4B"/>
    <w:rsid w:val="00654E7E"/>
    <w:rsid w:val="00655301"/>
    <w:rsid w:val="00655371"/>
    <w:rsid w:val="006553CA"/>
    <w:rsid w:val="00655876"/>
    <w:rsid w:val="0065590E"/>
    <w:rsid w:val="00655FB1"/>
    <w:rsid w:val="00656C4B"/>
    <w:rsid w:val="006573EA"/>
    <w:rsid w:val="00660267"/>
    <w:rsid w:val="00661029"/>
    <w:rsid w:val="00661042"/>
    <w:rsid w:val="0066135A"/>
    <w:rsid w:val="00661639"/>
    <w:rsid w:val="00662201"/>
    <w:rsid w:val="0066272D"/>
    <w:rsid w:val="006627C4"/>
    <w:rsid w:val="00662E58"/>
    <w:rsid w:val="00662F39"/>
    <w:rsid w:val="006635A0"/>
    <w:rsid w:val="0066370D"/>
    <w:rsid w:val="006639DC"/>
    <w:rsid w:val="00664351"/>
    <w:rsid w:val="00665413"/>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2E80"/>
    <w:rsid w:val="006739E4"/>
    <w:rsid w:val="00673ECF"/>
    <w:rsid w:val="0067408E"/>
    <w:rsid w:val="0067419A"/>
    <w:rsid w:val="0067426B"/>
    <w:rsid w:val="00674A1B"/>
    <w:rsid w:val="006754F8"/>
    <w:rsid w:val="00676127"/>
    <w:rsid w:val="00676AED"/>
    <w:rsid w:val="00677981"/>
    <w:rsid w:val="00677F26"/>
    <w:rsid w:val="006802A7"/>
    <w:rsid w:val="00680411"/>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374"/>
    <w:rsid w:val="00687504"/>
    <w:rsid w:val="00687888"/>
    <w:rsid w:val="00687A14"/>
    <w:rsid w:val="00687A8C"/>
    <w:rsid w:val="006906FA"/>
    <w:rsid w:val="00690839"/>
    <w:rsid w:val="006908DB"/>
    <w:rsid w:val="00690DE9"/>
    <w:rsid w:val="00691DE9"/>
    <w:rsid w:val="00691EAA"/>
    <w:rsid w:val="00692245"/>
    <w:rsid w:val="00692FFA"/>
    <w:rsid w:val="00693772"/>
    <w:rsid w:val="00694160"/>
    <w:rsid w:val="00694C24"/>
    <w:rsid w:val="00695938"/>
    <w:rsid w:val="006959A5"/>
    <w:rsid w:val="00695C0C"/>
    <w:rsid w:val="00695C9B"/>
    <w:rsid w:val="00695EBF"/>
    <w:rsid w:val="00696A05"/>
    <w:rsid w:val="00696AD0"/>
    <w:rsid w:val="00697665"/>
    <w:rsid w:val="00697C9A"/>
    <w:rsid w:val="00697E68"/>
    <w:rsid w:val="006A0274"/>
    <w:rsid w:val="006A1021"/>
    <w:rsid w:val="006A1C53"/>
    <w:rsid w:val="006A2A43"/>
    <w:rsid w:val="006A2BF1"/>
    <w:rsid w:val="006A2F9A"/>
    <w:rsid w:val="006A34E4"/>
    <w:rsid w:val="006A3A5A"/>
    <w:rsid w:val="006A44CF"/>
    <w:rsid w:val="006A457D"/>
    <w:rsid w:val="006A544E"/>
    <w:rsid w:val="006A55EE"/>
    <w:rsid w:val="006A575B"/>
    <w:rsid w:val="006A59DE"/>
    <w:rsid w:val="006A619C"/>
    <w:rsid w:val="006A6655"/>
    <w:rsid w:val="006A6B0B"/>
    <w:rsid w:val="006A6BF9"/>
    <w:rsid w:val="006A7CB5"/>
    <w:rsid w:val="006A7FD0"/>
    <w:rsid w:val="006B025C"/>
    <w:rsid w:val="006B0ECC"/>
    <w:rsid w:val="006B2534"/>
    <w:rsid w:val="006B2CB2"/>
    <w:rsid w:val="006B2CD2"/>
    <w:rsid w:val="006B3430"/>
    <w:rsid w:val="006B347D"/>
    <w:rsid w:val="006B3E19"/>
    <w:rsid w:val="006B4488"/>
    <w:rsid w:val="006B5EAE"/>
    <w:rsid w:val="006B671C"/>
    <w:rsid w:val="006B67AC"/>
    <w:rsid w:val="006B6A25"/>
    <w:rsid w:val="006B786A"/>
    <w:rsid w:val="006B78B9"/>
    <w:rsid w:val="006B7BA0"/>
    <w:rsid w:val="006B7E4E"/>
    <w:rsid w:val="006C003A"/>
    <w:rsid w:val="006C1695"/>
    <w:rsid w:val="006C2454"/>
    <w:rsid w:val="006C2551"/>
    <w:rsid w:val="006C37CA"/>
    <w:rsid w:val="006C40B7"/>
    <w:rsid w:val="006C40D2"/>
    <w:rsid w:val="006C5B15"/>
    <w:rsid w:val="006C5D32"/>
    <w:rsid w:val="006C5DCB"/>
    <w:rsid w:val="006C6619"/>
    <w:rsid w:val="006C70C4"/>
    <w:rsid w:val="006C775C"/>
    <w:rsid w:val="006C789C"/>
    <w:rsid w:val="006D0332"/>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2505"/>
    <w:rsid w:val="006E2CA7"/>
    <w:rsid w:val="006E3452"/>
    <w:rsid w:val="006E39D1"/>
    <w:rsid w:val="006E437F"/>
    <w:rsid w:val="006E4D5B"/>
    <w:rsid w:val="006E602F"/>
    <w:rsid w:val="006E6720"/>
    <w:rsid w:val="006E68FA"/>
    <w:rsid w:val="006E7275"/>
    <w:rsid w:val="006E77B8"/>
    <w:rsid w:val="006E7A27"/>
    <w:rsid w:val="006F15CC"/>
    <w:rsid w:val="006F1B5B"/>
    <w:rsid w:val="006F3589"/>
    <w:rsid w:val="006F3B9F"/>
    <w:rsid w:val="006F3BDD"/>
    <w:rsid w:val="006F3E7B"/>
    <w:rsid w:val="006F4147"/>
    <w:rsid w:val="006F4315"/>
    <w:rsid w:val="006F4478"/>
    <w:rsid w:val="006F458D"/>
    <w:rsid w:val="006F4A6D"/>
    <w:rsid w:val="006F4CB0"/>
    <w:rsid w:val="006F4F78"/>
    <w:rsid w:val="006F547E"/>
    <w:rsid w:val="006F5543"/>
    <w:rsid w:val="006F5656"/>
    <w:rsid w:val="006F5CA8"/>
    <w:rsid w:val="006F5CCF"/>
    <w:rsid w:val="006F688D"/>
    <w:rsid w:val="006F772B"/>
    <w:rsid w:val="006F78DC"/>
    <w:rsid w:val="007004C0"/>
    <w:rsid w:val="00700D5F"/>
    <w:rsid w:val="007012DC"/>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A9E"/>
    <w:rsid w:val="00715BBF"/>
    <w:rsid w:val="00715C29"/>
    <w:rsid w:val="00715CBD"/>
    <w:rsid w:val="00715E86"/>
    <w:rsid w:val="00715EAA"/>
    <w:rsid w:val="00716CAD"/>
    <w:rsid w:val="00716F18"/>
    <w:rsid w:val="00717363"/>
    <w:rsid w:val="00717786"/>
    <w:rsid w:val="00717ACB"/>
    <w:rsid w:val="00721BFF"/>
    <w:rsid w:val="007223E8"/>
    <w:rsid w:val="00722458"/>
    <w:rsid w:val="00722FD8"/>
    <w:rsid w:val="007236C4"/>
    <w:rsid w:val="00723B59"/>
    <w:rsid w:val="0072403C"/>
    <w:rsid w:val="007240CC"/>
    <w:rsid w:val="00724635"/>
    <w:rsid w:val="0072554B"/>
    <w:rsid w:val="00725AFD"/>
    <w:rsid w:val="00726002"/>
    <w:rsid w:val="00726603"/>
    <w:rsid w:val="00727DDC"/>
    <w:rsid w:val="007300BA"/>
    <w:rsid w:val="007304C9"/>
    <w:rsid w:val="00730CD6"/>
    <w:rsid w:val="00730F74"/>
    <w:rsid w:val="0073114B"/>
    <w:rsid w:val="00734414"/>
    <w:rsid w:val="00734952"/>
    <w:rsid w:val="00734990"/>
    <w:rsid w:val="00734FF5"/>
    <w:rsid w:val="00735B78"/>
    <w:rsid w:val="00735DA7"/>
    <w:rsid w:val="007368B4"/>
    <w:rsid w:val="00736B74"/>
    <w:rsid w:val="007378E0"/>
    <w:rsid w:val="00737C5C"/>
    <w:rsid w:val="00740529"/>
    <w:rsid w:val="00740A6C"/>
    <w:rsid w:val="00741358"/>
    <w:rsid w:val="00741626"/>
    <w:rsid w:val="00742332"/>
    <w:rsid w:val="00742886"/>
    <w:rsid w:val="00742DD2"/>
    <w:rsid w:val="00742E4B"/>
    <w:rsid w:val="007437C6"/>
    <w:rsid w:val="007439EE"/>
    <w:rsid w:val="00743DCE"/>
    <w:rsid w:val="007441A2"/>
    <w:rsid w:val="00744DB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4D7"/>
    <w:rsid w:val="00753BAC"/>
    <w:rsid w:val="007540A5"/>
    <w:rsid w:val="00754A0B"/>
    <w:rsid w:val="007552DB"/>
    <w:rsid w:val="00755B08"/>
    <w:rsid w:val="00755DD0"/>
    <w:rsid w:val="0075647A"/>
    <w:rsid w:val="007566BE"/>
    <w:rsid w:val="00756A2F"/>
    <w:rsid w:val="007573E1"/>
    <w:rsid w:val="0075749E"/>
    <w:rsid w:val="0075755A"/>
    <w:rsid w:val="007577DA"/>
    <w:rsid w:val="00757B2D"/>
    <w:rsid w:val="00757BAD"/>
    <w:rsid w:val="00757D62"/>
    <w:rsid w:val="00760844"/>
    <w:rsid w:val="00760867"/>
    <w:rsid w:val="00760CF8"/>
    <w:rsid w:val="00760EB6"/>
    <w:rsid w:val="007616DB"/>
    <w:rsid w:val="0076228A"/>
    <w:rsid w:val="00762440"/>
    <w:rsid w:val="007629B7"/>
    <w:rsid w:val="00762E60"/>
    <w:rsid w:val="00762F5D"/>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AEB"/>
    <w:rsid w:val="00777FF4"/>
    <w:rsid w:val="00780217"/>
    <w:rsid w:val="00780251"/>
    <w:rsid w:val="007804FE"/>
    <w:rsid w:val="007809ED"/>
    <w:rsid w:val="00780F32"/>
    <w:rsid w:val="0078122E"/>
    <w:rsid w:val="00781939"/>
    <w:rsid w:val="00781D29"/>
    <w:rsid w:val="007825EF"/>
    <w:rsid w:val="007827B0"/>
    <w:rsid w:val="0078286B"/>
    <w:rsid w:val="00782D2C"/>
    <w:rsid w:val="00782E41"/>
    <w:rsid w:val="00782FC2"/>
    <w:rsid w:val="00784FC4"/>
    <w:rsid w:val="00785BBB"/>
    <w:rsid w:val="00786FAD"/>
    <w:rsid w:val="007873C9"/>
    <w:rsid w:val="00787D90"/>
    <w:rsid w:val="00787F5E"/>
    <w:rsid w:val="00790164"/>
    <w:rsid w:val="007906E2"/>
    <w:rsid w:val="00790A24"/>
    <w:rsid w:val="00790A37"/>
    <w:rsid w:val="00790A60"/>
    <w:rsid w:val="0079146D"/>
    <w:rsid w:val="00791623"/>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2FE"/>
    <w:rsid w:val="007A1948"/>
    <w:rsid w:val="007A1C21"/>
    <w:rsid w:val="007A2272"/>
    <w:rsid w:val="007A2341"/>
    <w:rsid w:val="007A329A"/>
    <w:rsid w:val="007A38A1"/>
    <w:rsid w:val="007A3967"/>
    <w:rsid w:val="007A3BBE"/>
    <w:rsid w:val="007A4766"/>
    <w:rsid w:val="007A5816"/>
    <w:rsid w:val="007A5947"/>
    <w:rsid w:val="007A771C"/>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297"/>
    <w:rsid w:val="007C081B"/>
    <w:rsid w:val="007C097D"/>
    <w:rsid w:val="007C12BB"/>
    <w:rsid w:val="007C13FA"/>
    <w:rsid w:val="007C1672"/>
    <w:rsid w:val="007C312A"/>
    <w:rsid w:val="007C3570"/>
    <w:rsid w:val="007C3F3B"/>
    <w:rsid w:val="007C4241"/>
    <w:rsid w:val="007C55FF"/>
    <w:rsid w:val="007C6339"/>
    <w:rsid w:val="007C6397"/>
    <w:rsid w:val="007C7C43"/>
    <w:rsid w:val="007C7F0D"/>
    <w:rsid w:val="007D1134"/>
    <w:rsid w:val="007D20CF"/>
    <w:rsid w:val="007D23F7"/>
    <w:rsid w:val="007D2566"/>
    <w:rsid w:val="007D2C18"/>
    <w:rsid w:val="007D2D74"/>
    <w:rsid w:val="007D3395"/>
    <w:rsid w:val="007D34FB"/>
    <w:rsid w:val="007D3693"/>
    <w:rsid w:val="007D379C"/>
    <w:rsid w:val="007D3C6D"/>
    <w:rsid w:val="007D409B"/>
    <w:rsid w:val="007D481A"/>
    <w:rsid w:val="007D4B9D"/>
    <w:rsid w:val="007D55AC"/>
    <w:rsid w:val="007D5648"/>
    <w:rsid w:val="007D58C5"/>
    <w:rsid w:val="007D5DE8"/>
    <w:rsid w:val="007D7503"/>
    <w:rsid w:val="007D7CFC"/>
    <w:rsid w:val="007D7FFC"/>
    <w:rsid w:val="007E0812"/>
    <w:rsid w:val="007E16A4"/>
    <w:rsid w:val="007E18DF"/>
    <w:rsid w:val="007E1C35"/>
    <w:rsid w:val="007E2A04"/>
    <w:rsid w:val="007E2C36"/>
    <w:rsid w:val="007E350D"/>
    <w:rsid w:val="007E3ADB"/>
    <w:rsid w:val="007E5659"/>
    <w:rsid w:val="007E5C4A"/>
    <w:rsid w:val="007E635C"/>
    <w:rsid w:val="007E64D4"/>
    <w:rsid w:val="007E66E9"/>
    <w:rsid w:val="007E66FF"/>
    <w:rsid w:val="007E69F2"/>
    <w:rsid w:val="007E6BA1"/>
    <w:rsid w:val="007E7432"/>
    <w:rsid w:val="007E74BF"/>
    <w:rsid w:val="007F0280"/>
    <w:rsid w:val="007F14D3"/>
    <w:rsid w:val="007F1C42"/>
    <w:rsid w:val="007F1D9D"/>
    <w:rsid w:val="007F1E28"/>
    <w:rsid w:val="007F1F63"/>
    <w:rsid w:val="007F21D8"/>
    <w:rsid w:val="007F22A0"/>
    <w:rsid w:val="007F2F90"/>
    <w:rsid w:val="007F3320"/>
    <w:rsid w:val="007F392A"/>
    <w:rsid w:val="007F3A85"/>
    <w:rsid w:val="007F3AC1"/>
    <w:rsid w:val="007F48FA"/>
    <w:rsid w:val="007F4976"/>
    <w:rsid w:val="007F5237"/>
    <w:rsid w:val="007F5A56"/>
    <w:rsid w:val="007F616E"/>
    <w:rsid w:val="007F665F"/>
    <w:rsid w:val="007F6B46"/>
    <w:rsid w:val="007F72CB"/>
    <w:rsid w:val="007F736A"/>
    <w:rsid w:val="007F7635"/>
    <w:rsid w:val="007F785F"/>
    <w:rsid w:val="007F7AF6"/>
    <w:rsid w:val="007F7E36"/>
    <w:rsid w:val="00800681"/>
    <w:rsid w:val="00800E6D"/>
    <w:rsid w:val="0080143C"/>
    <w:rsid w:val="008014D9"/>
    <w:rsid w:val="0080150F"/>
    <w:rsid w:val="0080153A"/>
    <w:rsid w:val="00801A2A"/>
    <w:rsid w:val="00802041"/>
    <w:rsid w:val="008022C9"/>
    <w:rsid w:val="00802C0C"/>
    <w:rsid w:val="00802F9E"/>
    <w:rsid w:val="00803700"/>
    <w:rsid w:val="00803AB5"/>
    <w:rsid w:val="00803D9D"/>
    <w:rsid w:val="008044A1"/>
    <w:rsid w:val="008059C6"/>
    <w:rsid w:val="00805AD7"/>
    <w:rsid w:val="00805BD6"/>
    <w:rsid w:val="00805DE3"/>
    <w:rsid w:val="00806E32"/>
    <w:rsid w:val="00807666"/>
    <w:rsid w:val="00807C35"/>
    <w:rsid w:val="00807F69"/>
    <w:rsid w:val="008100EC"/>
    <w:rsid w:val="008100F7"/>
    <w:rsid w:val="00810206"/>
    <w:rsid w:val="00811898"/>
    <w:rsid w:val="00811C0F"/>
    <w:rsid w:val="008124D8"/>
    <w:rsid w:val="00813A7B"/>
    <w:rsid w:val="00813F04"/>
    <w:rsid w:val="00814B72"/>
    <w:rsid w:val="00815DA5"/>
    <w:rsid w:val="00816221"/>
    <w:rsid w:val="0081766B"/>
    <w:rsid w:val="00820291"/>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57B"/>
    <w:rsid w:val="00825B43"/>
    <w:rsid w:val="00827203"/>
    <w:rsid w:val="0082767A"/>
    <w:rsid w:val="00827CC0"/>
    <w:rsid w:val="00831026"/>
    <w:rsid w:val="0083119B"/>
    <w:rsid w:val="00831BAE"/>
    <w:rsid w:val="00832216"/>
    <w:rsid w:val="00832CD0"/>
    <w:rsid w:val="00833430"/>
    <w:rsid w:val="00833F63"/>
    <w:rsid w:val="00834128"/>
    <w:rsid w:val="0083417F"/>
    <w:rsid w:val="00835143"/>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66A0"/>
    <w:rsid w:val="00846D1D"/>
    <w:rsid w:val="00847535"/>
    <w:rsid w:val="00847ACF"/>
    <w:rsid w:val="00847B6D"/>
    <w:rsid w:val="00847FFA"/>
    <w:rsid w:val="0085059A"/>
    <w:rsid w:val="0085092D"/>
    <w:rsid w:val="00850D82"/>
    <w:rsid w:val="00850F79"/>
    <w:rsid w:val="0085100B"/>
    <w:rsid w:val="0085304C"/>
    <w:rsid w:val="008548CA"/>
    <w:rsid w:val="00855724"/>
    <w:rsid w:val="008562E4"/>
    <w:rsid w:val="00856C06"/>
    <w:rsid w:val="00857181"/>
    <w:rsid w:val="0085790B"/>
    <w:rsid w:val="00857C95"/>
    <w:rsid w:val="00857E78"/>
    <w:rsid w:val="00860AEF"/>
    <w:rsid w:val="0086122C"/>
    <w:rsid w:val="00861310"/>
    <w:rsid w:val="00861B7B"/>
    <w:rsid w:val="00861F0F"/>
    <w:rsid w:val="00861F53"/>
    <w:rsid w:val="0086289E"/>
    <w:rsid w:val="00863413"/>
    <w:rsid w:val="0086394E"/>
    <w:rsid w:val="008639B6"/>
    <w:rsid w:val="00863F8A"/>
    <w:rsid w:val="00863FE3"/>
    <w:rsid w:val="00864241"/>
    <w:rsid w:val="0086468A"/>
    <w:rsid w:val="00864B4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158"/>
    <w:rsid w:val="00876215"/>
    <w:rsid w:val="0087646C"/>
    <w:rsid w:val="008765B1"/>
    <w:rsid w:val="00876815"/>
    <w:rsid w:val="00877932"/>
    <w:rsid w:val="008808C7"/>
    <w:rsid w:val="00880DB3"/>
    <w:rsid w:val="0088106B"/>
    <w:rsid w:val="0088107D"/>
    <w:rsid w:val="008812E2"/>
    <w:rsid w:val="0088168A"/>
    <w:rsid w:val="00881881"/>
    <w:rsid w:val="00881E64"/>
    <w:rsid w:val="0088230E"/>
    <w:rsid w:val="00882E39"/>
    <w:rsid w:val="008850E3"/>
    <w:rsid w:val="008850EB"/>
    <w:rsid w:val="00886DF2"/>
    <w:rsid w:val="00886FB9"/>
    <w:rsid w:val="00887080"/>
    <w:rsid w:val="00887BC5"/>
    <w:rsid w:val="00887C79"/>
    <w:rsid w:val="008907CC"/>
    <w:rsid w:val="00890CF1"/>
    <w:rsid w:val="0089107B"/>
    <w:rsid w:val="008913CC"/>
    <w:rsid w:val="00891411"/>
    <w:rsid w:val="008914AE"/>
    <w:rsid w:val="00891838"/>
    <w:rsid w:val="008919CF"/>
    <w:rsid w:val="00891F84"/>
    <w:rsid w:val="0089211C"/>
    <w:rsid w:val="008923C2"/>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8E6"/>
    <w:rsid w:val="008A3F9D"/>
    <w:rsid w:val="008A5474"/>
    <w:rsid w:val="008A590B"/>
    <w:rsid w:val="008A5C9A"/>
    <w:rsid w:val="008A6A55"/>
    <w:rsid w:val="008A6DF0"/>
    <w:rsid w:val="008A6F6E"/>
    <w:rsid w:val="008A7888"/>
    <w:rsid w:val="008A796E"/>
    <w:rsid w:val="008B0774"/>
    <w:rsid w:val="008B0862"/>
    <w:rsid w:val="008B088C"/>
    <w:rsid w:val="008B1BF5"/>
    <w:rsid w:val="008B2268"/>
    <w:rsid w:val="008B263F"/>
    <w:rsid w:val="008B3BC9"/>
    <w:rsid w:val="008B3EBB"/>
    <w:rsid w:val="008B47A6"/>
    <w:rsid w:val="008B672C"/>
    <w:rsid w:val="008C036D"/>
    <w:rsid w:val="008C0743"/>
    <w:rsid w:val="008C0B4C"/>
    <w:rsid w:val="008C11F0"/>
    <w:rsid w:val="008C1DBA"/>
    <w:rsid w:val="008C24E7"/>
    <w:rsid w:val="008C2500"/>
    <w:rsid w:val="008C2CAC"/>
    <w:rsid w:val="008C3515"/>
    <w:rsid w:val="008C38D0"/>
    <w:rsid w:val="008C3E2A"/>
    <w:rsid w:val="008C42F5"/>
    <w:rsid w:val="008C45BD"/>
    <w:rsid w:val="008C4B19"/>
    <w:rsid w:val="008C568F"/>
    <w:rsid w:val="008C62D4"/>
    <w:rsid w:val="008C6B89"/>
    <w:rsid w:val="008C6C6A"/>
    <w:rsid w:val="008D077E"/>
    <w:rsid w:val="008D080D"/>
    <w:rsid w:val="008D18AA"/>
    <w:rsid w:val="008D1A16"/>
    <w:rsid w:val="008D1A2A"/>
    <w:rsid w:val="008D1F1B"/>
    <w:rsid w:val="008D29B1"/>
    <w:rsid w:val="008D35D9"/>
    <w:rsid w:val="008D3B85"/>
    <w:rsid w:val="008D3C83"/>
    <w:rsid w:val="008D4527"/>
    <w:rsid w:val="008D462D"/>
    <w:rsid w:val="008D4869"/>
    <w:rsid w:val="008D51F2"/>
    <w:rsid w:val="008D5E27"/>
    <w:rsid w:val="008D66CA"/>
    <w:rsid w:val="008D69B1"/>
    <w:rsid w:val="008D6AF1"/>
    <w:rsid w:val="008D70AD"/>
    <w:rsid w:val="008D7150"/>
    <w:rsid w:val="008D7338"/>
    <w:rsid w:val="008E0012"/>
    <w:rsid w:val="008E0DF7"/>
    <w:rsid w:val="008E0FAD"/>
    <w:rsid w:val="008E1347"/>
    <w:rsid w:val="008E16E0"/>
    <w:rsid w:val="008E1C15"/>
    <w:rsid w:val="008E1C9A"/>
    <w:rsid w:val="008E28BD"/>
    <w:rsid w:val="008E30E8"/>
    <w:rsid w:val="008E38B4"/>
    <w:rsid w:val="008E3BA4"/>
    <w:rsid w:val="008E3E84"/>
    <w:rsid w:val="008E41C4"/>
    <w:rsid w:val="008E4456"/>
    <w:rsid w:val="008E44AB"/>
    <w:rsid w:val="008E5179"/>
    <w:rsid w:val="008E6598"/>
    <w:rsid w:val="008E6A17"/>
    <w:rsid w:val="008E7214"/>
    <w:rsid w:val="008E7348"/>
    <w:rsid w:val="008E7884"/>
    <w:rsid w:val="008E7D6E"/>
    <w:rsid w:val="008F088A"/>
    <w:rsid w:val="008F1056"/>
    <w:rsid w:val="008F2E8D"/>
    <w:rsid w:val="008F387B"/>
    <w:rsid w:val="008F3DD9"/>
    <w:rsid w:val="008F4814"/>
    <w:rsid w:val="008F4DA6"/>
    <w:rsid w:val="008F538E"/>
    <w:rsid w:val="008F5A20"/>
    <w:rsid w:val="008F5ABA"/>
    <w:rsid w:val="008F5D21"/>
    <w:rsid w:val="008F69FA"/>
    <w:rsid w:val="008F6CF9"/>
    <w:rsid w:val="008F7905"/>
    <w:rsid w:val="008F7989"/>
    <w:rsid w:val="00900C44"/>
    <w:rsid w:val="00901515"/>
    <w:rsid w:val="009026AF"/>
    <w:rsid w:val="009028E8"/>
    <w:rsid w:val="00902E5C"/>
    <w:rsid w:val="00902F95"/>
    <w:rsid w:val="0090350D"/>
    <w:rsid w:val="009039EB"/>
    <w:rsid w:val="00903CD2"/>
    <w:rsid w:val="009046E5"/>
    <w:rsid w:val="009047C5"/>
    <w:rsid w:val="00906C7F"/>
    <w:rsid w:val="00910683"/>
    <w:rsid w:val="00910E00"/>
    <w:rsid w:val="009116CE"/>
    <w:rsid w:val="00911714"/>
    <w:rsid w:val="0091194A"/>
    <w:rsid w:val="00911A5B"/>
    <w:rsid w:val="009136D4"/>
    <w:rsid w:val="00913870"/>
    <w:rsid w:val="00913D50"/>
    <w:rsid w:val="00914B9A"/>
    <w:rsid w:val="00914C3F"/>
    <w:rsid w:val="00914F33"/>
    <w:rsid w:val="009153F6"/>
    <w:rsid w:val="00915FCE"/>
    <w:rsid w:val="00916517"/>
    <w:rsid w:val="00916AFE"/>
    <w:rsid w:val="00916FC8"/>
    <w:rsid w:val="009170D3"/>
    <w:rsid w:val="0091759C"/>
    <w:rsid w:val="00917910"/>
    <w:rsid w:val="00920026"/>
    <w:rsid w:val="009203E2"/>
    <w:rsid w:val="00920A7B"/>
    <w:rsid w:val="00921304"/>
    <w:rsid w:val="00921805"/>
    <w:rsid w:val="00921BA7"/>
    <w:rsid w:val="009221B6"/>
    <w:rsid w:val="00923396"/>
    <w:rsid w:val="00923F56"/>
    <w:rsid w:val="009246C4"/>
    <w:rsid w:val="00925743"/>
    <w:rsid w:val="0092579F"/>
    <w:rsid w:val="00927E8D"/>
    <w:rsid w:val="00927F23"/>
    <w:rsid w:val="00930698"/>
    <w:rsid w:val="009307CD"/>
    <w:rsid w:val="00930E7C"/>
    <w:rsid w:val="00931451"/>
    <w:rsid w:val="009314FA"/>
    <w:rsid w:val="009314FE"/>
    <w:rsid w:val="0093194F"/>
    <w:rsid w:val="00931BF3"/>
    <w:rsid w:val="00931C55"/>
    <w:rsid w:val="00933333"/>
    <w:rsid w:val="0093349A"/>
    <w:rsid w:val="009337B2"/>
    <w:rsid w:val="0093393E"/>
    <w:rsid w:val="00933AF1"/>
    <w:rsid w:val="00933FCB"/>
    <w:rsid w:val="00934E69"/>
    <w:rsid w:val="009367D5"/>
    <w:rsid w:val="00936D53"/>
    <w:rsid w:val="00937401"/>
    <w:rsid w:val="00937561"/>
    <w:rsid w:val="009376FB"/>
    <w:rsid w:val="00937D6B"/>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2C79"/>
    <w:rsid w:val="00953018"/>
    <w:rsid w:val="009533E2"/>
    <w:rsid w:val="00953554"/>
    <w:rsid w:val="0095385A"/>
    <w:rsid w:val="00953928"/>
    <w:rsid w:val="00955906"/>
    <w:rsid w:val="00955978"/>
    <w:rsid w:val="00957010"/>
    <w:rsid w:val="0095780A"/>
    <w:rsid w:val="009579E4"/>
    <w:rsid w:val="00957AA4"/>
    <w:rsid w:val="00957ACB"/>
    <w:rsid w:val="00957D25"/>
    <w:rsid w:val="00957E21"/>
    <w:rsid w:val="00957F27"/>
    <w:rsid w:val="009609F0"/>
    <w:rsid w:val="00960BDB"/>
    <w:rsid w:val="00960F3E"/>
    <w:rsid w:val="0096147D"/>
    <w:rsid w:val="00961E5F"/>
    <w:rsid w:val="009625C6"/>
    <w:rsid w:val="009629B5"/>
    <w:rsid w:val="00962A50"/>
    <w:rsid w:val="00962F47"/>
    <w:rsid w:val="009631BD"/>
    <w:rsid w:val="00963536"/>
    <w:rsid w:val="00963955"/>
    <w:rsid w:val="00964138"/>
    <w:rsid w:val="009645D2"/>
    <w:rsid w:val="0096471A"/>
    <w:rsid w:val="00964B3F"/>
    <w:rsid w:val="00964C98"/>
    <w:rsid w:val="00964E0A"/>
    <w:rsid w:val="00966214"/>
    <w:rsid w:val="00966878"/>
    <w:rsid w:val="00966FDA"/>
    <w:rsid w:val="00971441"/>
    <w:rsid w:val="009715D4"/>
    <w:rsid w:val="00972470"/>
    <w:rsid w:val="009739A9"/>
    <w:rsid w:val="00973AA2"/>
    <w:rsid w:val="0097494E"/>
    <w:rsid w:val="00974B58"/>
    <w:rsid w:val="00975689"/>
    <w:rsid w:val="00975B40"/>
    <w:rsid w:val="009761ED"/>
    <w:rsid w:val="009801E7"/>
    <w:rsid w:val="0098022F"/>
    <w:rsid w:val="009808B5"/>
    <w:rsid w:val="009810DE"/>
    <w:rsid w:val="009816A2"/>
    <w:rsid w:val="009822D7"/>
    <w:rsid w:val="009827E6"/>
    <w:rsid w:val="00982A05"/>
    <w:rsid w:val="00982E70"/>
    <w:rsid w:val="00982F84"/>
    <w:rsid w:val="0098427D"/>
    <w:rsid w:val="00984375"/>
    <w:rsid w:val="00984567"/>
    <w:rsid w:val="00984E1A"/>
    <w:rsid w:val="00985102"/>
    <w:rsid w:val="009865D5"/>
    <w:rsid w:val="009876F2"/>
    <w:rsid w:val="00987A68"/>
    <w:rsid w:val="00987BCA"/>
    <w:rsid w:val="00987C77"/>
    <w:rsid w:val="00990345"/>
    <w:rsid w:val="00990701"/>
    <w:rsid w:val="00990869"/>
    <w:rsid w:val="0099090B"/>
    <w:rsid w:val="0099119C"/>
    <w:rsid w:val="0099137A"/>
    <w:rsid w:val="00991805"/>
    <w:rsid w:val="009918DE"/>
    <w:rsid w:val="0099211C"/>
    <w:rsid w:val="00993B78"/>
    <w:rsid w:val="00994092"/>
    <w:rsid w:val="0099483A"/>
    <w:rsid w:val="009948A8"/>
    <w:rsid w:val="00995119"/>
    <w:rsid w:val="009953AD"/>
    <w:rsid w:val="009955BC"/>
    <w:rsid w:val="0099583D"/>
    <w:rsid w:val="00996523"/>
    <w:rsid w:val="00996992"/>
    <w:rsid w:val="00996E1E"/>
    <w:rsid w:val="00997392"/>
    <w:rsid w:val="0099747C"/>
    <w:rsid w:val="0099771C"/>
    <w:rsid w:val="009A01E4"/>
    <w:rsid w:val="009A0917"/>
    <w:rsid w:val="009A0A33"/>
    <w:rsid w:val="009A1351"/>
    <w:rsid w:val="009A1477"/>
    <w:rsid w:val="009A2435"/>
    <w:rsid w:val="009A35DC"/>
    <w:rsid w:val="009A38AB"/>
    <w:rsid w:val="009A3CFB"/>
    <w:rsid w:val="009A3D47"/>
    <w:rsid w:val="009A4D63"/>
    <w:rsid w:val="009A4DB4"/>
    <w:rsid w:val="009A52E4"/>
    <w:rsid w:val="009A5356"/>
    <w:rsid w:val="009A5468"/>
    <w:rsid w:val="009A59FD"/>
    <w:rsid w:val="009A5D99"/>
    <w:rsid w:val="009A608C"/>
    <w:rsid w:val="009A63B7"/>
    <w:rsid w:val="009A6CA7"/>
    <w:rsid w:val="009A6FDF"/>
    <w:rsid w:val="009A76D6"/>
    <w:rsid w:val="009B199E"/>
    <w:rsid w:val="009B2E29"/>
    <w:rsid w:val="009B3163"/>
    <w:rsid w:val="009B39C2"/>
    <w:rsid w:val="009B422F"/>
    <w:rsid w:val="009B4490"/>
    <w:rsid w:val="009B46BC"/>
    <w:rsid w:val="009B4D1A"/>
    <w:rsid w:val="009B5110"/>
    <w:rsid w:val="009B558B"/>
    <w:rsid w:val="009B6801"/>
    <w:rsid w:val="009B68DD"/>
    <w:rsid w:val="009B6D21"/>
    <w:rsid w:val="009B7779"/>
    <w:rsid w:val="009B78ED"/>
    <w:rsid w:val="009C181C"/>
    <w:rsid w:val="009C1C7F"/>
    <w:rsid w:val="009C28A2"/>
    <w:rsid w:val="009C2B9B"/>
    <w:rsid w:val="009C2C86"/>
    <w:rsid w:val="009C3239"/>
    <w:rsid w:val="009C3828"/>
    <w:rsid w:val="009C3D2C"/>
    <w:rsid w:val="009C4978"/>
    <w:rsid w:val="009C4987"/>
    <w:rsid w:val="009C4ABE"/>
    <w:rsid w:val="009C523F"/>
    <w:rsid w:val="009C5720"/>
    <w:rsid w:val="009C59BF"/>
    <w:rsid w:val="009C5E4F"/>
    <w:rsid w:val="009C5F64"/>
    <w:rsid w:val="009C5F82"/>
    <w:rsid w:val="009C70F8"/>
    <w:rsid w:val="009C756F"/>
    <w:rsid w:val="009C78A3"/>
    <w:rsid w:val="009C7E8D"/>
    <w:rsid w:val="009D0156"/>
    <w:rsid w:val="009D05DA"/>
    <w:rsid w:val="009D0BC4"/>
    <w:rsid w:val="009D11F6"/>
    <w:rsid w:val="009D13B9"/>
    <w:rsid w:val="009D198D"/>
    <w:rsid w:val="009D1A14"/>
    <w:rsid w:val="009D1E2A"/>
    <w:rsid w:val="009D1FA0"/>
    <w:rsid w:val="009D2BDF"/>
    <w:rsid w:val="009D3736"/>
    <w:rsid w:val="009D40B8"/>
    <w:rsid w:val="009D4529"/>
    <w:rsid w:val="009D4B03"/>
    <w:rsid w:val="009D5608"/>
    <w:rsid w:val="009D5A37"/>
    <w:rsid w:val="009D604F"/>
    <w:rsid w:val="009D61BB"/>
    <w:rsid w:val="009D6397"/>
    <w:rsid w:val="009D6410"/>
    <w:rsid w:val="009D65FF"/>
    <w:rsid w:val="009D66B2"/>
    <w:rsid w:val="009D68BB"/>
    <w:rsid w:val="009D6E3A"/>
    <w:rsid w:val="009D70C2"/>
    <w:rsid w:val="009D7278"/>
    <w:rsid w:val="009D773A"/>
    <w:rsid w:val="009D7ADB"/>
    <w:rsid w:val="009D7B33"/>
    <w:rsid w:val="009D7C08"/>
    <w:rsid w:val="009E0703"/>
    <w:rsid w:val="009E0954"/>
    <w:rsid w:val="009E16DA"/>
    <w:rsid w:val="009E1CD4"/>
    <w:rsid w:val="009E20DC"/>
    <w:rsid w:val="009E2391"/>
    <w:rsid w:val="009E476A"/>
    <w:rsid w:val="009E4E05"/>
    <w:rsid w:val="009E56FF"/>
    <w:rsid w:val="009E574D"/>
    <w:rsid w:val="009E5CB1"/>
    <w:rsid w:val="009E5E56"/>
    <w:rsid w:val="009E61EA"/>
    <w:rsid w:val="009E694C"/>
    <w:rsid w:val="009E6990"/>
    <w:rsid w:val="009E6FCA"/>
    <w:rsid w:val="009E6FEE"/>
    <w:rsid w:val="009F060F"/>
    <w:rsid w:val="009F0781"/>
    <w:rsid w:val="009F0850"/>
    <w:rsid w:val="009F11B2"/>
    <w:rsid w:val="009F1BDF"/>
    <w:rsid w:val="009F1EAE"/>
    <w:rsid w:val="009F369D"/>
    <w:rsid w:val="009F36FE"/>
    <w:rsid w:val="009F3ADB"/>
    <w:rsid w:val="009F3B17"/>
    <w:rsid w:val="009F3DBE"/>
    <w:rsid w:val="009F4386"/>
    <w:rsid w:val="009F46A9"/>
    <w:rsid w:val="009F4F25"/>
    <w:rsid w:val="009F59C2"/>
    <w:rsid w:val="009F7263"/>
    <w:rsid w:val="009F76EA"/>
    <w:rsid w:val="009F78EB"/>
    <w:rsid w:val="009F7933"/>
    <w:rsid w:val="009F7F32"/>
    <w:rsid w:val="009F7FE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08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500F"/>
    <w:rsid w:val="00A15621"/>
    <w:rsid w:val="00A15670"/>
    <w:rsid w:val="00A157A0"/>
    <w:rsid w:val="00A1585B"/>
    <w:rsid w:val="00A15B4E"/>
    <w:rsid w:val="00A15C19"/>
    <w:rsid w:val="00A165CD"/>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144"/>
    <w:rsid w:val="00A30368"/>
    <w:rsid w:val="00A3043A"/>
    <w:rsid w:val="00A30E02"/>
    <w:rsid w:val="00A30F6A"/>
    <w:rsid w:val="00A31BA2"/>
    <w:rsid w:val="00A31C3E"/>
    <w:rsid w:val="00A32186"/>
    <w:rsid w:val="00A34538"/>
    <w:rsid w:val="00A34677"/>
    <w:rsid w:val="00A349C8"/>
    <w:rsid w:val="00A34BA0"/>
    <w:rsid w:val="00A3540F"/>
    <w:rsid w:val="00A35630"/>
    <w:rsid w:val="00A357D5"/>
    <w:rsid w:val="00A35914"/>
    <w:rsid w:val="00A36173"/>
    <w:rsid w:val="00A36189"/>
    <w:rsid w:val="00A3622F"/>
    <w:rsid w:val="00A379AE"/>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B29"/>
    <w:rsid w:val="00A46EE4"/>
    <w:rsid w:val="00A500B1"/>
    <w:rsid w:val="00A510B3"/>
    <w:rsid w:val="00A52D3F"/>
    <w:rsid w:val="00A52EE5"/>
    <w:rsid w:val="00A53037"/>
    <w:rsid w:val="00A532B9"/>
    <w:rsid w:val="00A5351D"/>
    <w:rsid w:val="00A53D84"/>
    <w:rsid w:val="00A53E79"/>
    <w:rsid w:val="00A54031"/>
    <w:rsid w:val="00A5426D"/>
    <w:rsid w:val="00A54FA7"/>
    <w:rsid w:val="00A54FC2"/>
    <w:rsid w:val="00A55122"/>
    <w:rsid w:val="00A55534"/>
    <w:rsid w:val="00A5696C"/>
    <w:rsid w:val="00A56DE7"/>
    <w:rsid w:val="00A57153"/>
    <w:rsid w:val="00A57EB2"/>
    <w:rsid w:val="00A6009E"/>
    <w:rsid w:val="00A60762"/>
    <w:rsid w:val="00A60B1F"/>
    <w:rsid w:val="00A61C60"/>
    <w:rsid w:val="00A62589"/>
    <w:rsid w:val="00A62C3A"/>
    <w:rsid w:val="00A63812"/>
    <w:rsid w:val="00A63DF7"/>
    <w:rsid w:val="00A64505"/>
    <w:rsid w:val="00A66440"/>
    <w:rsid w:val="00A668BA"/>
    <w:rsid w:val="00A66FA7"/>
    <w:rsid w:val="00A677F6"/>
    <w:rsid w:val="00A67E16"/>
    <w:rsid w:val="00A703CC"/>
    <w:rsid w:val="00A70C5C"/>
    <w:rsid w:val="00A71EA7"/>
    <w:rsid w:val="00A7253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5B5"/>
    <w:rsid w:val="00A8487F"/>
    <w:rsid w:val="00A848FC"/>
    <w:rsid w:val="00A849A3"/>
    <w:rsid w:val="00A84A0E"/>
    <w:rsid w:val="00A851FD"/>
    <w:rsid w:val="00A85474"/>
    <w:rsid w:val="00A85888"/>
    <w:rsid w:val="00A86461"/>
    <w:rsid w:val="00A86E0B"/>
    <w:rsid w:val="00A90F12"/>
    <w:rsid w:val="00A9110D"/>
    <w:rsid w:val="00A93101"/>
    <w:rsid w:val="00A94293"/>
    <w:rsid w:val="00A94760"/>
    <w:rsid w:val="00A9496E"/>
    <w:rsid w:val="00A949F0"/>
    <w:rsid w:val="00A94BDE"/>
    <w:rsid w:val="00A94FCA"/>
    <w:rsid w:val="00A95E4C"/>
    <w:rsid w:val="00A964A2"/>
    <w:rsid w:val="00A96C60"/>
    <w:rsid w:val="00A973E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777"/>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7C3"/>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3C0"/>
    <w:rsid w:val="00AC56F2"/>
    <w:rsid w:val="00AC5B83"/>
    <w:rsid w:val="00AC5D30"/>
    <w:rsid w:val="00AC6281"/>
    <w:rsid w:val="00AC6886"/>
    <w:rsid w:val="00AC71C3"/>
    <w:rsid w:val="00AD07FE"/>
    <w:rsid w:val="00AD0DA5"/>
    <w:rsid w:val="00AD1499"/>
    <w:rsid w:val="00AD19F3"/>
    <w:rsid w:val="00AD1E57"/>
    <w:rsid w:val="00AD1EFA"/>
    <w:rsid w:val="00AD2072"/>
    <w:rsid w:val="00AD2808"/>
    <w:rsid w:val="00AD2DBD"/>
    <w:rsid w:val="00AD2FBF"/>
    <w:rsid w:val="00AD455D"/>
    <w:rsid w:val="00AD463C"/>
    <w:rsid w:val="00AD46A2"/>
    <w:rsid w:val="00AD47E8"/>
    <w:rsid w:val="00AD4F60"/>
    <w:rsid w:val="00AD5044"/>
    <w:rsid w:val="00AD5114"/>
    <w:rsid w:val="00AD6236"/>
    <w:rsid w:val="00AD6B83"/>
    <w:rsid w:val="00AD7619"/>
    <w:rsid w:val="00AD7770"/>
    <w:rsid w:val="00AE0588"/>
    <w:rsid w:val="00AE087F"/>
    <w:rsid w:val="00AE0D82"/>
    <w:rsid w:val="00AE1772"/>
    <w:rsid w:val="00AE1990"/>
    <w:rsid w:val="00AE2523"/>
    <w:rsid w:val="00AE25E8"/>
    <w:rsid w:val="00AE2AD4"/>
    <w:rsid w:val="00AE2CA7"/>
    <w:rsid w:val="00AE2F1D"/>
    <w:rsid w:val="00AE4B2B"/>
    <w:rsid w:val="00AE586F"/>
    <w:rsid w:val="00AE6582"/>
    <w:rsid w:val="00AE6DC5"/>
    <w:rsid w:val="00AE7686"/>
    <w:rsid w:val="00AE799A"/>
    <w:rsid w:val="00AF00B6"/>
    <w:rsid w:val="00AF0E81"/>
    <w:rsid w:val="00AF117A"/>
    <w:rsid w:val="00AF186E"/>
    <w:rsid w:val="00AF19DF"/>
    <w:rsid w:val="00AF1F4F"/>
    <w:rsid w:val="00AF26CF"/>
    <w:rsid w:val="00AF2D89"/>
    <w:rsid w:val="00AF4E92"/>
    <w:rsid w:val="00AF554B"/>
    <w:rsid w:val="00AF5C9B"/>
    <w:rsid w:val="00AF5D53"/>
    <w:rsid w:val="00AF5E2D"/>
    <w:rsid w:val="00AF644B"/>
    <w:rsid w:val="00AF6CA6"/>
    <w:rsid w:val="00AF6EB6"/>
    <w:rsid w:val="00AF76C8"/>
    <w:rsid w:val="00AF7796"/>
    <w:rsid w:val="00B011A9"/>
    <w:rsid w:val="00B024ED"/>
    <w:rsid w:val="00B02EB3"/>
    <w:rsid w:val="00B02FCB"/>
    <w:rsid w:val="00B033F8"/>
    <w:rsid w:val="00B03C1E"/>
    <w:rsid w:val="00B04400"/>
    <w:rsid w:val="00B04835"/>
    <w:rsid w:val="00B05A55"/>
    <w:rsid w:val="00B05DE1"/>
    <w:rsid w:val="00B06595"/>
    <w:rsid w:val="00B079B1"/>
    <w:rsid w:val="00B10109"/>
    <w:rsid w:val="00B1085E"/>
    <w:rsid w:val="00B10995"/>
    <w:rsid w:val="00B10E6C"/>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4A5"/>
    <w:rsid w:val="00B17563"/>
    <w:rsid w:val="00B1771D"/>
    <w:rsid w:val="00B1792E"/>
    <w:rsid w:val="00B17B91"/>
    <w:rsid w:val="00B20209"/>
    <w:rsid w:val="00B203AF"/>
    <w:rsid w:val="00B203C9"/>
    <w:rsid w:val="00B2088D"/>
    <w:rsid w:val="00B208FF"/>
    <w:rsid w:val="00B215EA"/>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7D5"/>
    <w:rsid w:val="00B30E11"/>
    <w:rsid w:val="00B30EEB"/>
    <w:rsid w:val="00B30FD0"/>
    <w:rsid w:val="00B31423"/>
    <w:rsid w:val="00B31710"/>
    <w:rsid w:val="00B323E0"/>
    <w:rsid w:val="00B32D0F"/>
    <w:rsid w:val="00B32DC0"/>
    <w:rsid w:val="00B3346C"/>
    <w:rsid w:val="00B335E4"/>
    <w:rsid w:val="00B33C23"/>
    <w:rsid w:val="00B34176"/>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349"/>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675D"/>
    <w:rsid w:val="00B67630"/>
    <w:rsid w:val="00B67FBF"/>
    <w:rsid w:val="00B7024E"/>
    <w:rsid w:val="00B70BFC"/>
    <w:rsid w:val="00B718BB"/>
    <w:rsid w:val="00B71F5F"/>
    <w:rsid w:val="00B71FA7"/>
    <w:rsid w:val="00B72110"/>
    <w:rsid w:val="00B72B91"/>
    <w:rsid w:val="00B73019"/>
    <w:rsid w:val="00B7315F"/>
    <w:rsid w:val="00B7323A"/>
    <w:rsid w:val="00B73356"/>
    <w:rsid w:val="00B7353B"/>
    <w:rsid w:val="00B7358A"/>
    <w:rsid w:val="00B7377E"/>
    <w:rsid w:val="00B737FB"/>
    <w:rsid w:val="00B73EDA"/>
    <w:rsid w:val="00B7423D"/>
    <w:rsid w:val="00B742E8"/>
    <w:rsid w:val="00B74605"/>
    <w:rsid w:val="00B74D05"/>
    <w:rsid w:val="00B777FA"/>
    <w:rsid w:val="00B77850"/>
    <w:rsid w:val="00B7796B"/>
    <w:rsid w:val="00B80C72"/>
    <w:rsid w:val="00B81964"/>
    <w:rsid w:val="00B81E6F"/>
    <w:rsid w:val="00B82123"/>
    <w:rsid w:val="00B8225B"/>
    <w:rsid w:val="00B82BB5"/>
    <w:rsid w:val="00B83182"/>
    <w:rsid w:val="00B840C8"/>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783"/>
    <w:rsid w:val="00B92B69"/>
    <w:rsid w:val="00B92CC6"/>
    <w:rsid w:val="00B935C9"/>
    <w:rsid w:val="00B93E3D"/>
    <w:rsid w:val="00B94033"/>
    <w:rsid w:val="00B94766"/>
    <w:rsid w:val="00B95018"/>
    <w:rsid w:val="00B95464"/>
    <w:rsid w:val="00B95C30"/>
    <w:rsid w:val="00B95CB7"/>
    <w:rsid w:val="00B95E3D"/>
    <w:rsid w:val="00B9691F"/>
    <w:rsid w:val="00B969E0"/>
    <w:rsid w:val="00B96EEC"/>
    <w:rsid w:val="00B97392"/>
    <w:rsid w:val="00B97691"/>
    <w:rsid w:val="00B976C7"/>
    <w:rsid w:val="00BA0062"/>
    <w:rsid w:val="00BA0C54"/>
    <w:rsid w:val="00BA1382"/>
    <w:rsid w:val="00BA20D8"/>
    <w:rsid w:val="00BA22FC"/>
    <w:rsid w:val="00BA2F30"/>
    <w:rsid w:val="00BA4771"/>
    <w:rsid w:val="00BA4DBB"/>
    <w:rsid w:val="00BA5027"/>
    <w:rsid w:val="00BA665B"/>
    <w:rsid w:val="00BA7370"/>
    <w:rsid w:val="00BA75C8"/>
    <w:rsid w:val="00BA778B"/>
    <w:rsid w:val="00BA7D65"/>
    <w:rsid w:val="00BB0888"/>
    <w:rsid w:val="00BB0DF1"/>
    <w:rsid w:val="00BB0E9B"/>
    <w:rsid w:val="00BB10EB"/>
    <w:rsid w:val="00BB139D"/>
    <w:rsid w:val="00BB2729"/>
    <w:rsid w:val="00BB2841"/>
    <w:rsid w:val="00BB300F"/>
    <w:rsid w:val="00BB32C9"/>
    <w:rsid w:val="00BB35C5"/>
    <w:rsid w:val="00BB43A7"/>
    <w:rsid w:val="00BB4C8E"/>
    <w:rsid w:val="00BB4D80"/>
    <w:rsid w:val="00BB57ED"/>
    <w:rsid w:val="00BB65C3"/>
    <w:rsid w:val="00BB662E"/>
    <w:rsid w:val="00BB67A9"/>
    <w:rsid w:val="00BB6A2F"/>
    <w:rsid w:val="00BB6C01"/>
    <w:rsid w:val="00BB75CB"/>
    <w:rsid w:val="00BB7942"/>
    <w:rsid w:val="00BB7CD1"/>
    <w:rsid w:val="00BC0F33"/>
    <w:rsid w:val="00BC14A7"/>
    <w:rsid w:val="00BC1611"/>
    <w:rsid w:val="00BC17CC"/>
    <w:rsid w:val="00BC229E"/>
    <w:rsid w:val="00BC2898"/>
    <w:rsid w:val="00BC2928"/>
    <w:rsid w:val="00BC2AA9"/>
    <w:rsid w:val="00BC2BB1"/>
    <w:rsid w:val="00BC34A3"/>
    <w:rsid w:val="00BC3FF9"/>
    <w:rsid w:val="00BC4120"/>
    <w:rsid w:val="00BC4834"/>
    <w:rsid w:val="00BC4A97"/>
    <w:rsid w:val="00BC5A25"/>
    <w:rsid w:val="00BC5FDD"/>
    <w:rsid w:val="00BC6448"/>
    <w:rsid w:val="00BC68B4"/>
    <w:rsid w:val="00BC6C2D"/>
    <w:rsid w:val="00BC6FBB"/>
    <w:rsid w:val="00BC7B9A"/>
    <w:rsid w:val="00BD0140"/>
    <w:rsid w:val="00BD02CC"/>
    <w:rsid w:val="00BD1675"/>
    <w:rsid w:val="00BD2063"/>
    <w:rsid w:val="00BD23F8"/>
    <w:rsid w:val="00BD33D9"/>
    <w:rsid w:val="00BD38C5"/>
    <w:rsid w:val="00BD3BF8"/>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874"/>
    <w:rsid w:val="00C02B55"/>
    <w:rsid w:val="00C02F35"/>
    <w:rsid w:val="00C03305"/>
    <w:rsid w:val="00C03515"/>
    <w:rsid w:val="00C03738"/>
    <w:rsid w:val="00C037A6"/>
    <w:rsid w:val="00C043F5"/>
    <w:rsid w:val="00C044E3"/>
    <w:rsid w:val="00C047A8"/>
    <w:rsid w:val="00C04BDB"/>
    <w:rsid w:val="00C052C6"/>
    <w:rsid w:val="00C059D4"/>
    <w:rsid w:val="00C05A61"/>
    <w:rsid w:val="00C069BC"/>
    <w:rsid w:val="00C06CCF"/>
    <w:rsid w:val="00C108B8"/>
    <w:rsid w:val="00C11503"/>
    <w:rsid w:val="00C1159D"/>
    <w:rsid w:val="00C11683"/>
    <w:rsid w:val="00C11798"/>
    <w:rsid w:val="00C118DB"/>
    <w:rsid w:val="00C1233E"/>
    <w:rsid w:val="00C125C1"/>
    <w:rsid w:val="00C12F05"/>
    <w:rsid w:val="00C12FB3"/>
    <w:rsid w:val="00C138BC"/>
    <w:rsid w:val="00C13D85"/>
    <w:rsid w:val="00C142F2"/>
    <w:rsid w:val="00C14639"/>
    <w:rsid w:val="00C14E82"/>
    <w:rsid w:val="00C14FF6"/>
    <w:rsid w:val="00C15A85"/>
    <w:rsid w:val="00C15EF2"/>
    <w:rsid w:val="00C1641B"/>
    <w:rsid w:val="00C165FC"/>
    <w:rsid w:val="00C16F01"/>
    <w:rsid w:val="00C176D5"/>
    <w:rsid w:val="00C17A7D"/>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3C6D"/>
    <w:rsid w:val="00C23D0D"/>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322E"/>
    <w:rsid w:val="00C337F5"/>
    <w:rsid w:val="00C33B90"/>
    <w:rsid w:val="00C34B5F"/>
    <w:rsid w:val="00C351FC"/>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4F01"/>
    <w:rsid w:val="00C4539B"/>
    <w:rsid w:val="00C45466"/>
    <w:rsid w:val="00C455C1"/>
    <w:rsid w:val="00C4581D"/>
    <w:rsid w:val="00C47472"/>
    <w:rsid w:val="00C47576"/>
    <w:rsid w:val="00C475BA"/>
    <w:rsid w:val="00C47EA5"/>
    <w:rsid w:val="00C500F0"/>
    <w:rsid w:val="00C502BB"/>
    <w:rsid w:val="00C504A7"/>
    <w:rsid w:val="00C506C9"/>
    <w:rsid w:val="00C50A16"/>
    <w:rsid w:val="00C5122B"/>
    <w:rsid w:val="00C51C9A"/>
    <w:rsid w:val="00C51F26"/>
    <w:rsid w:val="00C52428"/>
    <w:rsid w:val="00C52C68"/>
    <w:rsid w:val="00C52D98"/>
    <w:rsid w:val="00C5325C"/>
    <w:rsid w:val="00C53D24"/>
    <w:rsid w:val="00C54640"/>
    <w:rsid w:val="00C547A6"/>
    <w:rsid w:val="00C54A3A"/>
    <w:rsid w:val="00C54F51"/>
    <w:rsid w:val="00C5503F"/>
    <w:rsid w:val="00C55C32"/>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25C8"/>
    <w:rsid w:val="00C733BA"/>
    <w:rsid w:val="00C755EF"/>
    <w:rsid w:val="00C760DC"/>
    <w:rsid w:val="00C76AE8"/>
    <w:rsid w:val="00C8082B"/>
    <w:rsid w:val="00C81A88"/>
    <w:rsid w:val="00C81AEC"/>
    <w:rsid w:val="00C81D46"/>
    <w:rsid w:val="00C820AD"/>
    <w:rsid w:val="00C82298"/>
    <w:rsid w:val="00C831D4"/>
    <w:rsid w:val="00C833B4"/>
    <w:rsid w:val="00C833EB"/>
    <w:rsid w:val="00C83449"/>
    <w:rsid w:val="00C84284"/>
    <w:rsid w:val="00C84E33"/>
    <w:rsid w:val="00C85FFC"/>
    <w:rsid w:val="00C86123"/>
    <w:rsid w:val="00C861FC"/>
    <w:rsid w:val="00C86C87"/>
    <w:rsid w:val="00C86EF8"/>
    <w:rsid w:val="00C8705B"/>
    <w:rsid w:val="00C87090"/>
    <w:rsid w:val="00C879E4"/>
    <w:rsid w:val="00C9005E"/>
    <w:rsid w:val="00C90111"/>
    <w:rsid w:val="00C9030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F8"/>
    <w:rsid w:val="00CA1691"/>
    <w:rsid w:val="00CA2206"/>
    <w:rsid w:val="00CA2E65"/>
    <w:rsid w:val="00CA2EA1"/>
    <w:rsid w:val="00CA3665"/>
    <w:rsid w:val="00CA41E7"/>
    <w:rsid w:val="00CA4B2B"/>
    <w:rsid w:val="00CA5520"/>
    <w:rsid w:val="00CA5812"/>
    <w:rsid w:val="00CA5BD4"/>
    <w:rsid w:val="00CA5C14"/>
    <w:rsid w:val="00CA716F"/>
    <w:rsid w:val="00CA76FC"/>
    <w:rsid w:val="00CA7DB5"/>
    <w:rsid w:val="00CA7E7B"/>
    <w:rsid w:val="00CB0236"/>
    <w:rsid w:val="00CB19E3"/>
    <w:rsid w:val="00CB24C0"/>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61B"/>
    <w:rsid w:val="00CC0AF3"/>
    <w:rsid w:val="00CC0BC6"/>
    <w:rsid w:val="00CC0E68"/>
    <w:rsid w:val="00CC0E8B"/>
    <w:rsid w:val="00CC21AC"/>
    <w:rsid w:val="00CC2514"/>
    <w:rsid w:val="00CC2756"/>
    <w:rsid w:val="00CC2F69"/>
    <w:rsid w:val="00CC315F"/>
    <w:rsid w:val="00CC3D38"/>
    <w:rsid w:val="00CC404B"/>
    <w:rsid w:val="00CC40C3"/>
    <w:rsid w:val="00CC4762"/>
    <w:rsid w:val="00CC4E5D"/>
    <w:rsid w:val="00CC50A8"/>
    <w:rsid w:val="00CC50AE"/>
    <w:rsid w:val="00CC518A"/>
    <w:rsid w:val="00CC5C25"/>
    <w:rsid w:val="00CC61B7"/>
    <w:rsid w:val="00CC61CA"/>
    <w:rsid w:val="00CC6668"/>
    <w:rsid w:val="00CC69EC"/>
    <w:rsid w:val="00CC71D3"/>
    <w:rsid w:val="00CC743D"/>
    <w:rsid w:val="00CC7E86"/>
    <w:rsid w:val="00CD050A"/>
    <w:rsid w:val="00CD1675"/>
    <w:rsid w:val="00CD205D"/>
    <w:rsid w:val="00CD266F"/>
    <w:rsid w:val="00CD2A22"/>
    <w:rsid w:val="00CD2B50"/>
    <w:rsid w:val="00CD2BAF"/>
    <w:rsid w:val="00CD4506"/>
    <w:rsid w:val="00CD4C90"/>
    <w:rsid w:val="00CD520B"/>
    <w:rsid w:val="00CD592E"/>
    <w:rsid w:val="00CD5982"/>
    <w:rsid w:val="00CD5A1A"/>
    <w:rsid w:val="00CD64A0"/>
    <w:rsid w:val="00CD77E1"/>
    <w:rsid w:val="00CD7EFA"/>
    <w:rsid w:val="00CE020E"/>
    <w:rsid w:val="00CE0566"/>
    <w:rsid w:val="00CE1642"/>
    <w:rsid w:val="00CE186F"/>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0CEA"/>
    <w:rsid w:val="00CF108D"/>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C7E"/>
    <w:rsid w:val="00D04FFB"/>
    <w:rsid w:val="00D05153"/>
    <w:rsid w:val="00D058E9"/>
    <w:rsid w:val="00D0612A"/>
    <w:rsid w:val="00D0618F"/>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17BB3"/>
    <w:rsid w:val="00D200DC"/>
    <w:rsid w:val="00D205AF"/>
    <w:rsid w:val="00D2104A"/>
    <w:rsid w:val="00D213F1"/>
    <w:rsid w:val="00D21BB5"/>
    <w:rsid w:val="00D21FFC"/>
    <w:rsid w:val="00D223A3"/>
    <w:rsid w:val="00D223B6"/>
    <w:rsid w:val="00D223E8"/>
    <w:rsid w:val="00D22DC8"/>
    <w:rsid w:val="00D23C95"/>
    <w:rsid w:val="00D243D3"/>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39E6"/>
    <w:rsid w:val="00D33A73"/>
    <w:rsid w:val="00D34B25"/>
    <w:rsid w:val="00D34F4E"/>
    <w:rsid w:val="00D357F3"/>
    <w:rsid w:val="00D35C0E"/>
    <w:rsid w:val="00D373A8"/>
    <w:rsid w:val="00D375FF"/>
    <w:rsid w:val="00D379A5"/>
    <w:rsid w:val="00D401BE"/>
    <w:rsid w:val="00D4043A"/>
    <w:rsid w:val="00D40A8E"/>
    <w:rsid w:val="00D40DB0"/>
    <w:rsid w:val="00D40E39"/>
    <w:rsid w:val="00D40F8B"/>
    <w:rsid w:val="00D4106A"/>
    <w:rsid w:val="00D41146"/>
    <w:rsid w:val="00D41858"/>
    <w:rsid w:val="00D422DB"/>
    <w:rsid w:val="00D42A83"/>
    <w:rsid w:val="00D42AC2"/>
    <w:rsid w:val="00D42D60"/>
    <w:rsid w:val="00D4338F"/>
    <w:rsid w:val="00D44087"/>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2B"/>
    <w:rsid w:val="00D61F81"/>
    <w:rsid w:val="00D623A9"/>
    <w:rsid w:val="00D62BE6"/>
    <w:rsid w:val="00D633AC"/>
    <w:rsid w:val="00D63766"/>
    <w:rsid w:val="00D63912"/>
    <w:rsid w:val="00D63923"/>
    <w:rsid w:val="00D6417A"/>
    <w:rsid w:val="00D6451B"/>
    <w:rsid w:val="00D64B57"/>
    <w:rsid w:val="00D6549E"/>
    <w:rsid w:val="00D6589A"/>
    <w:rsid w:val="00D65DEA"/>
    <w:rsid w:val="00D65DFE"/>
    <w:rsid w:val="00D67BC7"/>
    <w:rsid w:val="00D701F1"/>
    <w:rsid w:val="00D70359"/>
    <w:rsid w:val="00D705D3"/>
    <w:rsid w:val="00D70E00"/>
    <w:rsid w:val="00D715AC"/>
    <w:rsid w:val="00D71851"/>
    <w:rsid w:val="00D718CF"/>
    <w:rsid w:val="00D728F5"/>
    <w:rsid w:val="00D72E59"/>
    <w:rsid w:val="00D72E9D"/>
    <w:rsid w:val="00D73249"/>
    <w:rsid w:val="00D73419"/>
    <w:rsid w:val="00D7372B"/>
    <w:rsid w:val="00D73A3C"/>
    <w:rsid w:val="00D73CA9"/>
    <w:rsid w:val="00D7481A"/>
    <w:rsid w:val="00D751B7"/>
    <w:rsid w:val="00D7524B"/>
    <w:rsid w:val="00D75396"/>
    <w:rsid w:val="00D759C0"/>
    <w:rsid w:val="00D75B2C"/>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223C"/>
    <w:rsid w:val="00D82B57"/>
    <w:rsid w:val="00D82CE5"/>
    <w:rsid w:val="00D8342C"/>
    <w:rsid w:val="00D8507B"/>
    <w:rsid w:val="00D85494"/>
    <w:rsid w:val="00D8582C"/>
    <w:rsid w:val="00D85D61"/>
    <w:rsid w:val="00D8616D"/>
    <w:rsid w:val="00D86C62"/>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67CB"/>
    <w:rsid w:val="00D96EE0"/>
    <w:rsid w:val="00D974D5"/>
    <w:rsid w:val="00D97BD1"/>
    <w:rsid w:val="00D97F15"/>
    <w:rsid w:val="00DA006F"/>
    <w:rsid w:val="00DA06B8"/>
    <w:rsid w:val="00DA286D"/>
    <w:rsid w:val="00DA2969"/>
    <w:rsid w:val="00DA29B7"/>
    <w:rsid w:val="00DA4716"/>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3840"/>
    <w:rsid w:val="00DB4292"/>
    <w:rsid w:val="00DB5196"/>
    <w:rsid w:val="00DB5C03"/>
    <w:rsid w:val="00DB5E1D"/>
    <w:rsid w:val="00DB68BB"/>
    <w:rsid w:val="00DB6E46"/>
    <w:rsid w:val="00DB7117"/>
    <w:rsid w:val="00DB75D9"/>
    <w:rsid w:val="00DB7736"/>
    <w:rsid w:val="00DB7760"/>
    <w:rsid w:val="00DB7DD4"/>
    <w:rsid w:val="00DB7E44"/>
    <w:rsid w:val="00DC00B4"/>
    <w:rsid w:val="00DC037A"/>
    <w:rsid w:val="00DC0954"/>
    <w:rsid w:val="00DC15BA"/>
    <w:rsid w:val="00DC18CD"/>
    <w:rsid w:val="00DC1A68"/>
    <w:rsid w:val="00DC30B8"/>
    <w:rsid w:val="00DC32C6"/>
    <w:rsid w:val="00DC3720"/>
    <w:rsid w:val="00DC478F"/>
    <w:rsid w:val="00DC52AB"/>
    <w:rsid w:val="00DC62E5"/>
    <w:rsid w:val="00DC656F"/>
    <w:rsid w:val="00DC67EB"/>
    <w:rsid w:val="00DC6AB9"/>
    <w:rsid w:val="00DC6DCE"/>
    <w:rsid w:val="00DC6F33"/>
    <w:rsid w:val="00DC7349"/>
    <w:rsid w:val="00DD0ACC"/>
    <w:rsid w:val="00DD0DBD"/>
    <w:rsid w:val="00DD118B"/>
    <w:rsid w:val="00DD14D8"/>
    <w:rsid w:val="00DD1599"/>
    <w:rsid w:val="00DD177F"/>
    <w:rsid w:val="00DD1B03"/>
    <w:rsid w:val="00DD2A62"/>
    <w:rsid w:val="00DD2F2F"/>
    <w:rsid w:val="00DD2F7A"/>
    <w:rsid w:val="00DD379A"/>
    <w:rsid w:val="00DD3885"/>
    <w:rsid w:val="00DD5056"/>
    <w:rsid w:val="00DD5808"/>
    <w:rsid w:val="00DD5946"/>
    <w:rsid w:val="00DD5B04"/>
    <w:rsid w:val="00DD5DAE"/>
    <w:rsid w:val="00DD5EC6"/>
    <w:rsid w:val="00DD605F"/>
    <w:rsid w:val="00DD6657"/>
    <w:rsid w:val="00DD6BE7"/>
    <w:rsid w:val="00DD6C14"/>
    <w:rsid w:val="00DD6D71"/>
    <w:rsid w:val="00DD6DF8"/>
    <w:rsid w:val="00DD72A0"/>
    <w:rsid w:val="00DD735D"/>
    <w:rsid w:val="00DE0159"/>
    <w:rsid w:val="00DE064A"/>
    <w:rsid w:val="00DE082D"/>
    <w:rsid w:val="00DE1410"/>
    <w:rsid w:val="00DE198D"/>
    <w:rsid w:val="00DE3119"/>
    <w:rsid w:val="00DE339D"/>
    <w:rsid w:val="00DE3930"/>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756"/>
    <w:rsid w:val="00DF49FF"/>
    <w:rsid w:val="00DF4FFB"/>
    <w:rsid w:val="00DF5236"/>
    <w:rsid w:val="00DF651F"/>
    <w:rsid w:val="00DF6E10"/>
    <w:rsid w:val="00DF6F43"/>
    <w:rsid w:val="00DF752F"/>
    <w:rsid w:val="00DF76A2"/>
    <w:rsid w:val="00DF7B33"/>
    <w:rsid w:val="00E00B7A"/>
    <w:rsid w:val="00E02186"/>
    <w:rsid w:val="00E0264A"/>
    <w:rsid w:val="00E026BB"/>
    <w:rsid w:val="00E027C5"/>
    <w:rsid w:val="00E03124"/>
    <w:rsid w:val="00E031EB"/>
    <w:rsid w:val="00E03951"/>
    <w:rsid w:val="00E039BB"/>
    <w:rsid w:val="00E03DB8"/>
    <w:rsid w:val="00E05E70"/>
    <w:rsid w:val="00E064BC"/>
    <w:rsid w:val="00E06992"/>
    <w:rsid w:val="00E07225"/>
    <w:rsid w:val="00E07AA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0FF"/>
    <w:rsid w:val="00E226F9"/>
    <w:rsid w:val="00E23137"/>
    <w:rsid w:val="00E2324A"/>
    <w:rsid w:val="00E23980"/>
    <w:rsid w:val="00E241E9"/>
    <w:rsid w:val="00E2520A"/>
    <w:rsid w:val="00E25421"/>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3A8"/>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6A24"/>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24E7"/>
    <w:rsid w:val="00E72B41"/>
    <w:rsid w:val="00E7301D"/>
    <w:rsid w:val="00E7347B"/>
    <w:rsid w:val="00E73D03"/>
    <w:rsid w:val="00E7471C"/>
    <w:rsid w:val="00E7498A"/>
    <w:rsid w:val="00E749F9"/>
    <w:rsid w:val="00E7514E"/>
    <w:rsid w:val="00E75B34"/>
    <w:rsid w:val="00E76F6E"/>
    <w:rsid w:val="00E77AF5"/>
    <w:rsid w:val="00E77D3B"/>
    <w:rsid w:val="00E8029A"/>
    <w:rsid w:val="00E81653"/>
    <w:rsid w:val="00E823F9"/>
    <w:rsid w:val="00E82C1F"/>
    <w:rsid w:val="00E8359F"/>
    <w:rsid w:val="00E83671"/>
    <w:rsid w:val="00E8414B"/>
    <w:rsid w:val="00E84A71"/>
    <w:rsid w:val="00E8544B"/>
    <w:rsid w:val="00E85D9E"/>
    <w:rsid w:val="00E85EE9"/>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4994"/>
    <w:rsid w:val="00E95434"/>
    <w:rsid w:val="00E96467"/>
    <w:rsid w:val="00E966DA"/>
    <w:rsid w:val="00E96948"/>
    <w:rsid w:val="00E9737B"/>
    <w:rsid w:val="00E97A3F"/>
    <w:rsid w:val="00E97F0A"/>
    <w:rsid w:val="00EA0100"/>
    <w:rsid w:val="00EA010D"/>
    <w:rsid w:val="00EA04DC"/>
    <w:rsid w:val="00EA05C5"/>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51F"/>
    <w:rsid w:val="00EA6750"/>
    <w:rsid w:val="00EA6DEA"/>
    <w:rsid w:val="00EB0095"/>
    <w:rsid w:val="00EB0A89"/>
    <w:rsid w:val="00EB1573"/>
    <w:rsid w:val="00EB1650"/>
    <w:rsid w:val="00EB1910"/>
    <w:rsid w:val="00EB199D"/>
    <w:rsid w:val="00EB1D24"/>
    <w:rsid w:val="00EB1E66"/>
    <w:rsid w:val="00EB2E97"/>
    <w:rsid w:val="00EB3416"/>
    <w:rsid w:val="00EB46A6"/>
    <w:rsid w:val="00EB485D"/>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67A"/>
    <w:rsid w:val="00ED69BA"/>
    <w:rsid w:val="00ED6B32"/>
    <w:rsid w:val="00ED6D15"/>
    <w:rsid w:val="00ED72E9"/>
    <w:rsid w:val="00ED732E"/>
    <w:rsid w:val="00ED77F0"/>
    <w:rsid w:val="00ED7FBC"/>
    <w:rsid w:val="00EE0253"/>
    <w:rsid w:val="00EE0297"/>
    <w:rsid w:val="00EE0789"/>
    <w:rsid w:val="00EE0B63"/>
    <w:rsid w:val="00EE1258"/>
    <w:rsid w:val="00EE13DA"/>
    <w:rsid w:val="00EE15E2"/>
    <w:rsid w:val="00EE162F"/>
    <w:rsid w:val="00EE1668"/>
    <w:rsid w:val="00EE27FF"/>
    <w:rsid w:val="00EE3577"/>
    <w:rsid w:val="00EE366D"/>
    <w:rsid w:val="00EE3740"/>
    <w:rsid w:val="00EE5350"/>
    <w:rsid w:val="00EE5454"/>
    <w:rsid w:val="00EE58B8"/>
    <w:rsid w:val="00EE59B5"/>
    <w:rsid w:val="00EE5CF6"/>
    <w:rsid w:val="00EE5D1D"/>
    <w:rsid w:val="00EE5FB7"/>
    <w:rsid w:val="00EE6348"/>
    <w:rsid w:val="00EE6A1A"/>
    <w:rsid w:val="00EE7B54"/>
    <w:rsid w:val="00EE7C88"/>
    <w:rsid w:val="00EE7C8B"/>
    <w:rsid w:val="00EF0166"/>
    <w:rsid w:val="00EF0209"/>
    <w:rsid w:val="00EF0EA4"/>
    <w:rsid w:val="00EF18CC"/>
    <w:rsid w:val="00EF1E97"/>
    <w:rsid w:val="00EF2436"/>
    <w:rsid w:val="00EF2547"/>
    <w:rsid w:val="00EF2B2B"/>
    <w:rsid w:val="00EF2E1C"/>
    <w:rsid w:val="00EF2FD6"/>
    <w:rsid w:val="00EF326A"/>
    <w:rsid w:val="00EF34FE"/>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44"/>
    <w:rsid w:val="00F02BFD"/>
    <w:rsid w:val="00F02D25"/>
    <w:rsid w:val="00F0435D"/>
    <w:rsid w:val="00F04580"/>
    <w:rsid w:val="00F04ECA"/>
    <w:rsid w:val="00F05DC2"/>
    <w:rsid w:val="00F05F22"/>
    <w:rsid w:val="00F067A2"/>
    <w:rsid w:val="00F06E19"/>
    <w:rsid w:val="00F06F84"/>
    <w:rsid w:val="00F076E7"/>
    <w:rsid w:val="00F07AA1"/>
    <w:rsid w:val="00F105AE"/>
    <w:rsid w:val="00F10618"/>
    <w:rsid w:val="00F1108B"/>
    <w:rsid w:val="00F11768"/>
    <w:rsid w:val="00F11951"/>
    <w:rsid w:val="00F11BA8"/>
    <w:rsid w:val="00F12262"/>
    <w:rsid w:val="00F12AF8"/>
    <w:rsid w:val="00F12C52"/>
    <w:rsid w:val="00F13102"/>
    <w:rsid w:val="00F14654"/>
    <w:rsid w:val="00F148B7"/>
    <w:rsid w:val="00F14EA9"/>
    <w:rsid w:val="00F15505"/>
    <w:rsid w:val="00F15BFF"/>
    <w:rsid w:val="00F15CEB"/>
    <w:rsid w:val="00F17105"/>
    <w:rsid w:val="00F20A0B"/>
    <w:rsid w:val="00F213A0"/>
    <w:rsid w:val="00F217AB"/>
    <w:rsid w:val="00F21A51"/>
    <w:rsid w:val="00F21D54"/>
    <w:rsid w:val="00F21D6D"/>
    <w:rsid w:val="00F21EF4"/>
    <w:rsid w:val="00F223F4"/>
    <w:rsid w:val="00F23113"/>
    <w:rsid w:val="00F23255"/>
    <w:rsid w:val="00F23393"/>
    <w:rsid w:val="00F23759"/>
    <w:rsid w:val="00F23CB5"/>
    <w:rsid w:val="00F24644"/>
    <w:rsid w:val="00F250F6"/>
    <w:rsid w:val="00F256FD"/>
    <w:rsid w:val="00F259F1"/>
    <w:rsid w:val="00F26F33"/>
    <w:rsid w:val="00F27E74"/>
    <w:rsid w:val="00F300A8"/>
    <w:rsid w:val="00F30265"/>
    <w:rsid w:val="00F30400"/>
    <w:rsid w:val="00F304E0"/>
    <w:rsid w:val="00F3079E"/>
    <w:rsid w:val="00F312FC"/>
    <w:rsid w:val="00F31AC4"/>
    <w:rsid w:val="00F326BD"/>
    <w:rsid w:val="00F32C50"/>
    <w:rsid w:val="00F32EBA"/>
    <w:rsid w:val="00F32EE9"/>
    <w:rsid w:val="00F33980"/>
    <w:rsid w:val="00F3399B"/>
    <w:rsid w:val="00F33C1A"/>
    <w:rsid w:val="00F3461B"/>
    <w:rsid w:val="00F346ED"/>
    <w:rsid w:val="00F34945"/>
    <w:rsid w:val="00F34E1E"/>
    <w:rsid w:val="00F3570C"/>
    <w:rsid w:val="00F36063"/>
    <w:rsid w:val="00F368FF"/>
    <w:rsid w:val="00F3705B"/>
    <w:rsid w:val="00F37068"/>
    <w:rsid w:val="00F37F3F"/>
    <w:rsid w:val="00F407DF"/>
    <w:rsid w:val="00F40992"/>
    <w:rsid w:val="00F40AEC"/>
    <w:rsid w:val="00F40EA1"/>
    <w:rsid w:val="00F412DF"/>
    <w:rsid w:val="00F41596"/>
    <w:rsid w:val="00F41883"/>
    <w:rsid w:val="00F41D8B"/>
    <w:rsid w:val="00F42121"/>
    <w:rsid w:val="00F421F4"/>
    <w:rsid w:val="00F424B3"/>
    <w:rsid w:val="00F428B1"/>
    <w:rsid w:val="00F428B4"/>
    <w:rsid w:val="00F4345D"/>
    <w:rsid w:val="00F4387B"/>
    <w:rsid w:val="00F449DA"/>
    <w:rsid w:val="00F4518D"/>
    <w:rsid w:val="00F45B91"/>
    <w:rsid w:val="00F46639"/>
    <w:rsid w:val="00F46692"/>
    <w:rsid w:val="00F46BD5"/>
    <w:rsid w:val="00F46BDE"/>
    <w:rsid w:val="00F46C47"/>
    <w:rsid w:val="00F47AAA"/>
    <w:rsid w:val="00F50183"/>
    <w:rsid w:val="00F50D92"/>
    <w:rsid w:val="00F51765"/>
    <w:rsid w:val="00F51A51"/>
    <w:rsid w:val="00F51B56"/>
    <w:rsid w:val="00F51CB4"/>
    <w:rsid w:val="00F52324"/>
    <w:rsid w:val="00F52950"/>
    <w:rsid w:val="00F52C9D"/>
    <w:rsid w:val="00F52E39"/>
    <w:rsid w:val="00F533F1"/>
    <w:rsid w:val="00F5486B"/>
    <w:rsid w:val="00F55679"/>
    <w:rsid w:val="00F561E3"/>
    <w:rsid w:val="00F5650C"/>
    <w:rsid w:val="00F565E6"/>
    <w:rsid w:val="00F56AFA"/>
    <w:rsid w:val="00F5719B"/>
    <w:rsid w:val="00F575E2"/>
    <w:rsid w:val="00F579FF"/>
    <w:rsid w:val="00F600E0"/>
    <w:rsid w:val="00F600FD"/>
    <w:rsid w:val="00F605EC"/>
    <w:rsid w:val="00F60F60"/>
    <w:rsid w:val="00F612CE"/>
    <w:rsid w:val="00F624A7"/>
    <w:rsid w:val="00F62595"/>
    <w:rsid w:val="00F62AB6"/>
    <w:rsid w:val="00F63984"/>
    <w:rsid w:val="00F643C7"/>
    <w:rsid w:val="00F65A3C"/>
    <w:rsid w:val="00F66135"/>
    <w:rsid w:val="00F66282"/>
    <w:rsid w:val="00F66ADC"/>
    <w:rsid w:val="00F67D8B"/>
    <w:rsid w:val="00F70961"/>
    <w:rsid w:val="00F70A8F"/>
    <w:rsid w:val="00F71397"/>
    <w:rsid w:val="00F71D13"/>
    <w:rsid w:val="00F72389"/>
    <w:rsid w:val="00F72516"/>
    <w:rsid w:val="00F72FB4"/>
    <w:rsid w:val="00F735E5"/>
    <w:rsid w:val="00F7389A"/>
    <w:rsid w:val="00F738ED"/>
    <w:rsid w:val="00F73DD9"/>
    <w:rsid w:val="00F73E80"/>
    <w:rsid w:val="00F7469C"/>
    <w:rsid w:val="00F747E9"/>
    <w:rsid w:val="00F7492E"/>
    <w:rsid w:val="00F74945"/>
    <w:rsid w:val="00F749A3"/>
    <w:rsid w:val="00F74A04"/>
    <w:rsid w:val="00F74AE8"/>
    <w:rsid w:val="00F74F57"/>
    <w:rsid w:val="00F75DD4"/>
    <w:rsid w:val="00F76C11"/>
    <w:rsid w:val="00F77021"/>
    <w:rsid w:val="00F77999"/>
    <w:rsid w:val="00F77E61"/>
    <w:rsid w:val="00F814B2"/>
    <w:rsid w:val="00F815AC"/>
    <w:rsid w:val="00F81677"/>
    <w:rsid w:val="00F83200"/>
    <w:rsid w:val="00F83621"/>
    <w:rsid w:val="00F83B33"/>
    <w:rsid w:val="00F83CAE"/>
    <w:rsid w:val="00F840BF"/>
    <w:rsid w:val="00F8415D"/>
    <w:rsid w:val="00F8427A"/>
    <w:rsid w:val="00F843DF"/>
    <w:rsid w:val="00F84659"/>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06E"/>
    <w:rsid w:val="00F9167D"/>
    <w:rsid w:val="00F91CB2"/>
    <w:rsid w:val="00F9289C"/>
    <w:rsid w:val="00F93DBC"/>
    <w:rsid w:val="00F93E41"/>
    <w:rsid w:val="00F94644"/>
    <w:rsid w:val="00F946A7"/>
    <w:rsid w:val="00F95075"/>
    <w:rsid w:val="00F9537B"/>
    <w:rsid w:val="00F95567"/>
    <w:rsid w:val="00F963FC"/>
    <w:rsid w:val="00F96D27"/>
    <w:rsid w:val="00FA015F"/>
    <w:rsid w:val="00FA0687"/>
    <w:rsid w:val="00FA0FAC"/>
    <w:rsid w:val="00FA1DA2"/>
    <w:rsid w:val="00FA3414"/>
    <w:rsid w:val="00FA347A"/>
    <w:rsid w:val="00FA39D7"/>
    <w:rsid w:val="00FA3CDE"/>
    <w:rsid w:val="00FA4691"/>
    <w:rsid w:val="00FA49B7"/>
    <w:rsid w:val="00FA5043"/>
    <w:rsid w:val="00FA6D90"/>
    <w:rsid w:val="00FA6F8B"/>
    <w:rsid w:val="00FA71FA"/>
    <w:rsid w:val="00FA7A30"/>
    <w:rsid w:val="00FB033F"/>
    <w:rsid w:val="00FB0B8B"/>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11F"/>
    <w:rsid w:val="00FC238F"/>
    <w:rsid w:val="00FC29DD"/>
    <w:rsid w:val="00FC2AC4"/>
    <w:rsid w:val="00FC2F73"/>
    <w:rsid w:val="00FC3A9B"/>
    <w:rsid w:val="00FC3AE1"/>
    <w:rsid w:val="00FC3DFC"/>
    <w:rsid w:val="00FC3EF4"/>
    <w:rsid w:val="00FC431B"/>
    <w:rsid w:val="00FC434C"/>
    <w:rsid w:val="00FC4FDF"/>
    <w:rsid w:val="00FC5CF4"/>
    <w:rsid w:val="00FC5E68"/>
    <w:rsid w:val="00FC6A39"/>
    <w:rsid w:val="00FC6E50"/>
    <w:rsid w:val="00FC79AB"/>
    <w:rsid w:val="00FC7BE7"/>
    <w:rsid w:val="00FC7DAC"/>
    <w:rsid w:val="00FD0129"/>
    <w:rsid w:val="00FD04AE"/>
    <w:rsid w:val="00FD1890"/>
    <w:rsid w:val="00FD1994"/>
    <w:rsid w:val="00FD29C8"/>
    <w:rsid w:val="00FD2AC8"/>
    <w:rsid w:val="00FD2CA6"/>
    <w:rsid w:val="00FD3508"/>
    <w:rsid w:val="00FD393C"/>
    <w:rsid w:val="00FD43BB"/>
    <w:rsid w:val="00FD4AF3"/>
    <w:rsid w:val="00FD51FC"/>
    <w:rsid w:val="00FD556A"/>
    <w:rsid w:val="00FD798D"/>
    <w:rsid w:val="00FD7FB9"/>
    <w:rsid w:val="00FE10F6"/>
    <w:rsid w:val="00FE141E"/>
    <w:rsid w:val="00FE144E"/>
    <w:rsid w:val="00FE1768"/>
    <w:rsid w:val="00FE24F4"/>
    <w:rsid w:val="00FE2560"/>
    <w:rsid w:val="00FE35D0"/>
    <w:rsid w:val="00FE39DD"/>
    <w:rsid w:val="00FE41AC"/>
    <w:rsid w:val="00FE42ED"/>
    <w:rsid w:val="00FE4C6D"/>
    <w:rsid w:val="00FE55A7"/>
    <w:rsid w:val="00FE55E6"/>
    <w:rsid w:val="00FE56D5"/>
    <w:rsid w:val="00FE5C5A"/>
    <w:rsid w:val="00FE6432"/>
    <w:rsid w:val="00FE71BC"/>
    <w:rsid w:val="00FE72A0"/>
    <w:rsid w:val="00FF0050"/>
    <w:rsid w:val="00FF045F"/>
    <w:rsid w:val="00FF0712"/>
    <w:rsid w:val="00FF13D4"/>
    <w:rsid w:val="00FF2053"/>
    <w:rsid w:val="00FF209A"/>
    <w:rsid w:val="00FF2C63"/>
    <w:rsid w:val="00FF3B37"/>
    <w:rsid w:val="00FF3D6F"/>
    <w:rsid w:val="00FF3E19"/>
    <w:rsid w:val="00FF3FE5"/>
    <w:rsid w:val="00FF402D"/>
    <w:rsid w:val="00FF4940"/>
    <w:rsid w:val="00FF4BD8"/>
    <w:rsid w:val="00FF4D11"/>
    <w:rsid w:val="00FF5214"/>
    <w:rsid w:val="00FF596E"/>
    <w:rsid w:val="00FF5B59"/>
    <w:rsid w:val="00FF5BFD"/>
    <w:rsid w:val="00FF5C01"/>
    <w:rsid w:val="00FF5F9D"/>
    <w:rsid w:val="00FF6095"/>
    <w:rsid w:val="00FF62FE"/>
    <w:rsid w:val="00FF6553"/>
    <w:rsid w:val="00FF7134"/>
    <w:rsid w:val="00FF7A39"/>
    <w:rsid w:val="0418961F"/>
    <w:rsid w:val="15DD4D77"/>
    <w:rsid w:val="32702FE3"/>
    <w:rsid w:val="4493D1F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5C6584A-78C8-4AB1-8A4D-D46C43AA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C8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771590">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2770525">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2016679">
      <w:bodyDiv w:val="1"/>
      <w:marLeft w:val="0"/>
      <w:marRight w:val="0"/>
      <w:marTop w:val="0"/>
      <w:marBottom w:val="0"/>
      <w:divBdr>
        <w:top w:val="none" w:sz="0" w:space="0" w:color="auto"/>
        <w:left w:val="none" w:sz="0" w:space="0" w:color="auto"/>
        <w:bottom w:val="none" w:sz="0" w:space="0" w:color="auto"/>
        <w:right w:val="none" w:sz="0" w:space="0" w:color="auto"/>
      </w:divBdr>
    </w:div>
    <w:div w:id="14466123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6240746">
      <w:bodyDiv w:val="1"/>
      <w:marLeft w:val="0"/>
      <w:marRight w:val="0"/>
      <w:marTop w:val="0"/>
      <w:marBottom w:val="0"/>
      <w:divBdr>
        <w:top w:val="none" w:sz="0" w:space="0" w:color="auto"/>
        <w:left w:val="none" w:sz="0" w:space="0" w:color="auto"/>
        <w:bottom w:val="none" w:sz="0" w:space="0" w:color="auto"/>
        <w:right w:val="none" w:sz="0" w:space="0" w:color="auto"/>
      </w:divBdr>
    </w:div>
    <w:div w:id="177085549">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9775263">
      <w:bodyDiv w:val="1"/>
      <w:marLeft w:val="0"/>
      <w:marRight w:val="0"/>
      <w:marTop w:val="0"/>
      <w:marBottom w:val="0"/>
      <w:divBdr>
        <w:top w:val="none" w:sz="0" w:space="0" w:color="auto"/>
        <w:left w:val="none" w:sz="0" w:space="0" w:color="auto"/>
        <w:bottom w:val="none" w:sz="0" w:space="0" w:color="auto"/>
        <w:right w:val="none" w:sz="0" w:space="0" w:color="auto"/>
      </w:divBdr>
    </w:div>
    <w:div w:id="25371161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3436276">
      <w:bodyDiv w:val="1"/>
      <w:marLeft w:val="0"/>
      <w:marRight w:val="0"/>
      <w:marTop w:val="0"/>
      <w:marBottom w:val="0"/>
      <w:divBdr>
        <w:top w:val="none" w:sz="0" w:space="0" w:color="auto"/>
        <w:left w:val="none" w:sz="0" w:space="0" w:color="auto"/>
        <w:bottom w:val="none" w:sz="0" w:space="0" w:color="auto"/>
        <w:right w:val="none" w:sz="0" w:space="0" w:color="auto"/>
      </w:divBdr>
    </w:div>
    <w:div w:id="30455620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280622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835583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967177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0823395">
      <w:bodyDiv w:val="1"/>
      <w:marLeft w:val="0"/>
      <w:marRight w:val="0"/>
      <w:marTop w:val="0"/>
      <w:marBottom w:val="0"/>
      <w:divBdr>
        <w:top w:val="none" w:sz="0" w:space="0" w:color="auto"/>
        <w:left w:val="none" w:sz="0" w:space="0" w:color="auto"/>
        <w:bottom w:val="none" w:sz="0" w:space="0" w:color="auto"/>
        <w:right w:val="none" w:sz="0" w:space="0" w:color="auto"/>
      </w:divBdr>
    </w:div>
    <w:div w:id="522596875">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317803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1499731">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722060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410728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02190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122751">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228349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469554">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5348">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86074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424828">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538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468825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801260">
      <w:bodyDiv w:val="1"/>
      <w:marLeft w:val="0"/>
      <w:marRight w:val="0"/>
      <w:marTop w:val="0"/>
      <w:marBottom w:val="0"/>
      <w:divBdr>
        <w:top w:val="none" w:sz="0" w:space="0" w:color="auto"/>
        <w:left w:val="none" w:sz="0" w:space="0" w:color="auto"/>
        <w:bottom w:val="none" w:sz="0" w:space="0" w:color="auto"/>
        <w:right w:val="none" w:sz="0" w:space="0" w:color="auto"/>
      </w:divBdr>
    </w:div>
    <w:div w:id="1493646611">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4807682">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609124">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803183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78990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4573996">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7451745">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7692381">
      <w:bodyDiv w:val="1"/>
      <w:marLeft w:val="0"/>
      <w:marRight w:val="0"/>
      <w:marTop w:val="0"/>
      <w:marBottom w:val="0"/>
      <w:divBdr>
        <w:top w:val="none" w:sz="0" w:space="0" w:color="auto"/>
        <w:left w:val="none" w:sz="0" w:space="0" w:color="auto"/>
        <w:bottom w:val="none" w:sz="0" w:space="0" w:color="auto"/>
        <w:right w:val="none" w:sz="0" w:space="0" w:color="auto"/>
      </w:divBdr>
    </w:div>
    <w:div w:id="1886797034">
      <w:bodyDiv w:val="1"/>
      <w:marLeft w:val="0"/>
      <w:marRight w:val="0"/>
      <w:marTop w:val="0"/>
      <w:marBottom w:val="0"/>
      <w:divBdr>
        <w:top w:val="none" w:sz="0" w:space="0" w:color="auto"/>
        <w:left w:val="none" w:sz="0" w:space="0" w:color="auto"/>
        <w:bottom w:val="none" w:sz="0" w:space="0" w:color="auto"/>
        <w:right w:val="none" w:sz="0" w:space="0" w:color="auto"/>
      </w:divBdr>
    </w:div>
    <w:div w:id="190128501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080_199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elatoria.blob.core.windows.net/$web/files/conceptos-juridicos/CGR-OJ-0084-2017.PDF" TargetMode="External"/><Relationship Id="rId2" Type="http://schemas.openxmlformats.org/officeDocument/2006/relationships/hyperlink" Target="http://www.secretariasenado.gov.co/senado/basedoc/ley_0179_1994.html" TargetMode="External"/><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CBB185F1-92D8-4A7E-AEFF-75DC6C00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76</Pages>
  <Words>30935</Words>
  <Characters>170146</Characters>
  <Application>Microsoft Office Word</Application>
  <DocSecurity>0</DocSecurity>
  <Lines>1417</Lines>
  <Paragraphs>401</Paragraphs>
  <ScaleCrop>false</ScaleCrop>
  <Company/>
  <LinksUpToDate>false</LinksUpToDate>
  <CharactersWithSpaces>200680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5</cp:revision>
  <cp:lastPrinted>2020-01-30T15:05:00Z</cp:lastPrinted>
  <dcterms:created xsi:type="dcterms:W3CDTF">2022-02-07T16:10:00Z</dcterms:created>
  <dcterms:modified xsi:type="dcterms:W3CDTF">2022-04-22T20:02:00Z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