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4CDB" w14:textId="77777777" w:rsidR="00B56368" w:rsidRDefault="00B56368" w:rsidP="00B56368">
      <w:pPr>
        <w:spacing w:line="276" w:lineRule="auto"/>
        <w:jc w:val="right"/>
        <w:rPr>
          <w:rFonts w:ascii="Arial" w:eastAsia="Calibri" w:hAnsi="Arial" w:cs="Arial"/>
          <w:sz w:val="20"/>
          <w:szCs w:val="20"/>
          <w:lang w:val="es-CO"/>
        </w:rPr>
      </w:pPr>
      <w:bookmarkStart w:id="0" w:name="_Hlk29890381"/>
      <w:bookmarkEnd w:id="0"/>
      <w:r w:rsidRPr="00BB0056">
        <w:rPr>
          <w:rFonts w:ascii="Arial" w:eastAsia="Times New Roman" w:hAnsi="Arial" w:cs="Arial"/>
          <w:b/>
          <w:bCs/>
          <w:sz w:val="16"/>
          <w:szCs w:val="16"/>
          <w:lang w:val="es-CO" w:eastAsia="es-ES"/>
        </w:rPr>
        <w:t>CCE-DES-FM-17</w:t>
      </w:r>
    </w:p>
    <w:p w14:paraId="370025D5" w14:textId="77777777" w:rsidR="00B56368" w:rsidRDefault="00B56368" w:rsidP="00B56368">
      <w:pPr>
        <w:spacing w:line="276" w:lineRule="auto"/>
        <w:rPr>
          <w:rFonts w:ascii="Arial" w:eastAsia="Calibri" w:hAnsi="Arial" w:cs="Arial"/>
          <w:sz w:val="20"/>
          <w:szCs w:val="20"/>
          <w:lang w:val="es-CO"/>
        </w:rPr>
      </w:pPr>
    </w:p>
    <w:p w14:paraId="1BB81FAB" w14:textId="77777777" w:rsidR="00B56368" w:rsidRDefault="00B56368" w:rsidP="00B56368">
      <w:pPr>
        <w:jc w:val="both"/>
        <w:rPr>
          <w:rFonts w:ascii="Arial" w:eastAsia="Calibri" w:hAnsi="Arial" w:cs="Arial"/>
          <w:sz w:val="20"/>
          <w:szCs w:val="20"/>
          <w:lang w:val="es-CO"/>
        </w:rPr>
      </w:pPr>
    </w:p>
    <w:p w14:paraId="01A39AF2" w14:textId="77777777" w:rsidR="00B56368" w:rsidRDefault="00B56368" w:rsidP="00B56368">
      <w:pPr>
        <w:jc w:val="both"/>
        <w:rPr>
          <w:rFonts w:ascii="Arial" w:eastAsia="Calibri" w:hAnsi="Arial" w:cs="Arial"/>
          <w:b/>
          <w:sz w:val="22"/>
          <w:lang w:val="es-CO"/>
        </w:rPr>
      </w:pPr>
      <w:bookmarkStart w:id="1" w:name="_Hlk94088449"/>
      <w:r>
        <w:rPr>
          <w:rFonts w:ascii="Arial" w:eastAsia="Calibri" w:hAnsi="Arial" w:cs="Arial"/>
          <w:b/>
          <w:sz w:val="22"/>
          <w:lang w:val="es-CO"/>
        </w:rPr>
        <w:t>DOCUMENTOS TIPO – Fundamento normativo – Generalidades</w:t>
      </w:r>
      <w:bookmarkEnd w:id="1"/>
    </w:p>
    <w:p w14:paraId="7C7BF5C0" w14:textId="77777777" w:rsidR="00B56368" w:rsidRDefault="00B56368" w:rsidP="00B56368">
      <w:pPr>
        <w:jc w:val="both"/>
        <w:rPr>
          <w:rFonts w:ascii="Arial" w:eastAsia="Calibri" w:hAnsi="Arial" w:cs="Arial"/>
          <w:b/>
          <w:sz w:val="22"/>
          <w:lang w:val="es-CO"/>
        </w:rPr>
      </w:pPr>
    </w:p>
    <w:p w14:paraId="3A8FBDAA" w14:textId="77777777" w:rsidR="00B56368" w:rsidRDefault="00B56368" w:rsidP="00B56368">
      <w:pPr>
        <w:shd w:val="clear" w:color="auto" w:fill="FFFFFF"/>
        <w:jc w:val="both"/>
        <w:rPr>
          <w:rFonts w:ascii="Arial" w:hAnsi="Arial" w:cs="Arial"/>
          <w:color w:val="0D0D0D"/>
          <w:sz w:val="20"/>
          <w:szCs w:val="20"/>
          <w:bdr w:val="none" w:sz="0" w:space="0" w:color="auto" w:frame="1"/>
          <w:lang w:eastAsia="es-CO"/>
        </w:rPr>
      </w:pPr>
      <w:r w:rsidRPr="004C393C">
        <w:rPr>
          <w:rFonts w:ascii="Arial" w:hAnsi="Arial" w:cs="Arial"/>
          <w:color w:val="0D0D0D"/>
          <w:sz w:val="20"/>
          <w:szCs w:val="20"/>
          <w:bdr w:val="none" w:sz="0" w:space="0" w:color="auto" w:frame="1"/>
          <w:lang w:eastAsia="es-CO"/>
        </w:rPr>
        <w:t>Los pliegos tipo surgen en el 2007 cuando el legislador facultó al Gobierno Nacional para adoptarlos en la compra o suministro de bienes de características técnicas uniformes</w:t>
      </w:r>
      <w:r>
        <w:rPr>
          <w:rFonts w:ascii="Arial" w:hAnsi="Arial" w:cs="Arial"/>
          <w:color w:val="0D0D0D"/>
          <w:sz w:val="20"/>
          <w:szCs w:val="20"/>
          <w:bdr w:val="none" w:sz="0" w:space="0" w:color="auto" w:frame="1"/>
          <w:lang w:eastAsia="es-CO"/>
        </w:rPr>
        <w:t xml:space="preserve">. </w:t>
      </w:r>
      <w:r w:rsidRPr="004C393C">
        <w:rPr>
          <w:rFonts w:ascii="Arial" w:hAnsi="Arial" w:cs="Arial"/>
          <w:color w:val="0D0D0D"/>
          <w:sz w:val="20"/>
          <w:szCs w:val="20"/>
          <w:bdr w:val="none" w:sz="0" w:space="0" w:color="auto" w:frame="1"/>
          <w:lang w:eastAsia="es-CO"/>
        </w:rPr>
        <w:t>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Pr>
          <w:rFonts w:ascii="Arial" w:hAnsi="Arial" w:cs="Arial"/>
          <w:color w:val="0D0D0D"/>
          <w:sz w:val="20"/>
          <w:szCs w:val="20"/>
          <w:bdr w:val="none" w:sz="0" w:space="0" w:color="auto" w:frame="1"/>
          <w:lang w:eastAsia="es-CO"/>
        </w:rPr>
        <w:t>.</w:t>
      </w:r>
    </w:p>
    <w:p w14:paraId="376BEBF7" w14:textId="77777777" w:rsidR="00B56368" w:rsidRPr="00FF7DD9" w:rsidRDefault="00B56368" w:rsidP="00B56368">
      <w:pPr>
        <w:shd w:val="clear" w:color="auto" w:fill="FFFFFF"/>
        <w:jc w:val="both"/>
        <w:rPr>
          <w:rFonts w:ascii="Arial" w:hAnsi="Arial" w:cs="Arial"/>
          <w:color w:val="0D0D0D"/>
          <w:sz w:val="20"/>
          <w:szCs w:val="20"/>
          <w:bdr w:val="none" w:sz="0" w:space="0" w:color="auto" w:frame="1"/>
          <w:lang w:eastAsia="es-CO"/>
        </w:rPr>
      </w:pPr>
    </w:p>
    <w:p w14:paraId="424827F7" w14:textId="77777777" w:rsidR="00B56368" w:rsidRDefault="00B56368" w:rsidP="00B56368">
      <w:pPr>
        <w:shd w:val="clear" w:color="auto" w:fill="FFFFFF"/>
        <w:jc w:val="both"/>
        <w:rPr>
          <w:rFonts w:ascii="Arial" w:hAnsi="Arial" w:cs="Arial"/>
          <w:color w:val="0D0D0D"/>
          <w:sz w:val="20"/>
          <w:szCs w:val="20"/>
          <w:bdr w:val="none" w:sz="0" w:space="0" w:color="auto" w:frame="1"/>
          <w:lang w:eastAsia="es-CO"/>
        </w:rPr>
      </w:pPr>
      <w:r w:rsidRPr="004C393C">
        <w:rPr>
          <w:rFonts w:ascii="Arial" w:hAnsi="Arial" w:cs="Arial"/>
          <w:color w:val="0D0D0D"/>
          <w:sz w:val="20"/>
          <w:szCs w:val="20"/>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 Sin embargo, en el texto aprobado, los pliegos tipo se limitaron a la adquisición o suministro de bienes de características técnicas uniformes</w:t>
      </w:r>
      <w:r>
        <w:rPr>
          <w:rFonts w:ascii="Arial" w:hAnsi="Arial" w:cs="Arial"/>
          <w:color w:val="0D0D0D"/>
          <w:sz w:val="20"/>
          <w:szCs w:val="20"/>
          <w:bdr w:val="none" w:sz="0" w:space="0" w:color="auto" w:frame="1"/>
          <w:lang w:eastAsia="es-CO"/>
        </w:rPr>
        <w:t>.</w:t>
      </w:r>
    </w:p>
    <w:p w14:paraId="65320246" w14:textId="77777777" w:rsidR="00B56368" w:rsidRDefault="00B56368" w:rsidP="00B56368">
      <w:pPr>
        <w:jc w:val="both"/>
        <w:rPr>
          <w:rFonts w:ascii="Arial" w:hAnsi="Arial" w:cs="Arial"/>
          <w:color w:val="0D0D0D"/>
          <w:sz w:val="20"/>
          <w:szCs w:val="20"/>
          <w:bdr w:val="none" w:sz="0" w:space="0" w:color="auto" w:frame="1"/>
          <w:lang w:eastAsia="es-CO"/>
        </w:rPr>
      </w:pPr>
    </w:p>
    <w:p w14:paraId="4A8E2593" w14:textId="77777777" w:rsidR="00B56368" w:rsidRPr="00C65F11" w:rsidRDefault="00B56368" w:rsidP="00B56368">
      <w:pPr>
        <w:jc w:val="both"/>
        <w:rPr>
          <w:rFonts w:ascii="Arial" w:hAnsi="Arial" w:cs="Arial"/>
          <w:b/>
          <w:color w:val="0D0D0D"/>
          <w:sz w:val="22"/>
          <w:bdr w:val="none" w:sz="0" w:space="0" w:color="auto" w:frame="1"/>
          <w:lang w:eastAsia="es-CO"/>
        </w:rPr>
      </w:pPr>
      <w:bookmarkStart w:id="2" w:name="_Hlk94088479"/>
      <w:r w:rsidRPr="00ED33F0">
        <w:rPr>
          <w:rFonts w:ascii="Arial" w:hAnsi="Arial" w:cs="Arial"/>
          <w:b/>
          <w:color w:val="0D0D0D"/>
          <w:sz w:val="22"/>
          <w:bdr w:val="none" w:sz="0" w:space="0" w:color="auto" w:frame="1"/>
          <w:lang w:eastAsia="es-CO"/>
        </w:rPr>
        <w:t>DOCUMENTO</w:t>
      </w:r>
      <w:r>
        <w:rPr>
          <w:rFonts w:ascii="Arial" w:hAnsi="Arial" w:cs="Arial"/>
          <w:b/>
          <w:color w:val="0D0D0D"/>
          <w:sz w:val="22"/>
          <w:bdr w:val="none" w:sz="0" w:space="0" w:color="auto" w:frame="1"/>
          <w:lang w:eastAsia="es-CO"/>
        </w:rPr>
        <w:t>S</w:t>
      </w:r>
      <w:r w:rsidRPr="00ED33F0">
        <w:rPr>
          <w:rFonts w:ascii="Arial" w:hAnsi="Arial" w:cs="Arial"/>
          <w:b/>
          <w:color w:val="0D0D0D"/>
          <w:sz w:val="22"/>
          <w:bdr w:val="none" w:sz="0" w:space="0" w:color="auto" w:frame="1"/>
          <w:lang w:eastAsia="es-CO"/>
        </w:rPr>
        <w:t xml:space="preserve"> TIPO – </w:t>
      </w:r>
      <w:r>
        <w:rPr>
          <w:rFonts w:ascii="Arial" w:hAnsi="Arial" w:cs="Arial"/>
          <w:b/>
          <w:color w:val="0D0D0D"/>
          <w:sz w:val="22"/>
          <w:bdr w:val="none" w:sz="0" w:space="0" w:color="auto" w:frame="1"/>
          <w:lang w:eastAsia="es-CO"/>
        </w:rPr>
        <w:t>O</w:t>
      </w:r>
      <w:r w:rsidRPr="00ED33F0">
        <w:rPr>
          <w:rFonts w:ascii="Arial" w:hAnsi="Arial" w:cs="Arial"/>
          <w:b/>
          <w:color w:val="0D0D0D"/>
          <w:sz w:val="22"/>
          <w:bdr w:val="none" w:sz="0" w:space="0" w:color="auto" w:frame="1"/>
          <w:lang w:eastAsia="es-CO"/>
        </w:rPr>
        <w:t>bligatoriedad de los documentos o pliegos tipo – Ley 2022 de 2020</w:t>
      </w:r>
      <w:r w:rsidRPr="00C65F11">
        <w:rPr>
          <w:rFonts w:ascii="Arial" w:hAnsi="Arial" w:cs="Arial"/>
          <w:b/>
          <w:color w:val="0D0D0D"/>
          <w:sz w:val="22"/>
          <w:bdr w:val="none" w:sz="0" w:space="0" w:color="auto" w:frame="1"/>
          <w:lang w:eastAsia="es-CO"/>
        </w:rPr>
        <w:t xml:space="preserve"> </w:t>
      </w:r>
    </w:p>
    <w:bookmarkEnd w:id="2"/>
    <w:p w14:paraId="4A4452B1" w14:textId="77777777" w:rsidR="00B56368" w:rsidRDefault="00B56368" w:rsidP="00B56368">
      <w:pPr>
        <w:jc w:val="both"/>
        <w:rPr>
          <w:rFonts w:ascii="Arial" w:hAnsi="Arial" w:cs="Arial"/>
          <w:color w:val="0D0D0D"/>
          <w:sz w:val="20"/>
          <w:szCs w:val="20"/>
          <w:bdr w:val="none" w:sz="0" w:space="0" w:color="auto" w:frame="1"/>
          <w:lang w:eastAsia="es-CO"/>
        </w:rPr>
      </w:pPr>
    </w:p>
    <w:p w14:paraId="3A25256C" w14:textId="77777777" w:rsidR="00B56368" w:rsidRDefault="00B56368" w:rsidP="00B56368">
      <w:pPr>
        <w:shd w:val="clear" w:color="auto" w:fill="FFFFFF"/>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 xml:space="preserve">[…] </w:t>
      </w:r>
      <w:r w:rsidRPr="004C393C">
        <w:rPr>
          <w:rFonts w:ascii="Arial" w:hAnsi="Arial" w:cs="Arial"/>
          <w:color w:val="0D0D0D"/>
          <w:sz w:val="20"/>
          <w:szCs w:val="20"/>
          <w:bdr w:val="none" w:sz="0" w:space="0" w:color="auto" w:frame="1"/>
          <w:lang w:eastAsia="es-CO"/>
        </w:rPr>
        <w:t xml:space="preserve">el 22 de julio de 2020, el Gobierno Nacional sancionó la Ley 2022, que rige a partir de su publicación y cuyo artículo 1 modifica el artículo 4 de la Ley 1882 de 2018 en relación con los siguientes aspectos: i) el sujeto encargado de la adopción de los documentos tipo, pues antes se señalaba al Gobierno Nacional y ahora la entidad encargada directamente por la Ley es la Agencia Nacional de Contratación Pública – Colombia Compra Eficiente– o quien haga sus veces; </w:t>
      </w:r>
      <w:proofErr w:type="spellStart"/>
      <w:r w:rsidRPr="004C393C">
        <w:rPr>
          <w:rFonts w:ascii="Arial" w:hAnsi="Arial" w:cs="Arial"/>
          <w:color w:val="0D0D0D"/>
          <w:sz w:val="20"/>
          <w:szCs w:val="20"/>
          <w:bdr w:val="none" w:sz="0" w:space="0" w:color="auto" w:frame="1"/>
          <w:lang w:eastAsia="es-CO"/>
        </w:rPr>
        <w:t>ii</w:t>
      </w:r>
      <w:proofErr w:type="spellEnd"/>
      <w:r w:rsidRPr="004C393C">
        <w:rPr>
          <w:rFonts w:ascii="Arial" w:hAnsi="Arial" w:cs="Arial"/>
          <w:color w:val="0D0D0D"/>
          <w:sz w:val="20"/>
          <w:szCs w:val="20"/>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4C393C">
        <w:rPr>
          <w:rFonts w:ascii="Arial" w:hAnsi="Arial" w:cs="Arial"/>
          <w:color w:val="0D0D0D"/>
          <w:sz w:val="20"/>
          <w:szCs w:val="20"/>
          <w:bdr w:val="none" w:sz="0" w:space="0" w:color="auto" w:frame="1"/>
          <w:lang w:eastAsia="es-CO"/>
        </w:rPr>
        <w:t>iii</w:t>
      </w:r>
      <w:proofErr w:type="spellEnd"/>
      <w:r w:rsidRPr="004C393C">
        <w:rPr>
          <w:rFonts w:ascii="Arial" w:hAnsi="Arial" w:cs="Arial"/>
          <w:color w:val="0D0D0D"/>
          <w:sz w:val="20"/>
          <w:szCs w:val="20"/>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4C393C">
        <w:rPr>
          <w:rFonts w:ascii="Arial" w:hAnsi="Arial" w:cs="Arial"/>
          <w:color w:val="0D0D0D"/>
          <w:sz w:val="20"/>
          <w:szCs w:val="20"/>
          <w:bdr w:val="none" w:sz="0" w:space="0" w:color="auto" w:frame="1"/>
          <w:lang w:eastAsia="es-CO"/>
        </w:rPr>
        <w:t>iv</w:t>
      </w:r>
      <w:proofErr w:type="spellEnd"/>
      <w:r w:rsidRPr="004C393C">
        <w:rPr>
          <w:rFonts w:ascii="Arial" w:hAnsi="Arial" w:cs="Arial"/>
          <w:color w:val="0D0D0D"/>
          <w:sz w:val="20"/>
          <w:szCs w:val="20"/>
          <w:bdr w:val="none" w:sz="0" w:space="0" w:color="auto" w:frame="1"/>
          <w:lang w:eastAsia="es-CO"/>
        </w:rPr>
        <w:t xml:space="preserve">)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3E1960E6" w14:textId="77777777" w:rsidR="00B56368" w:rsidRPr="00C46025" w:rsidRDefault="00B56368" w:rsidP="00B56368">
      <w:pPr>
        <w:shd w:val="clear" w:color="auto" w:fill="FFFFFF"/>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 xml:space="preserve">  </w:t>
      </w:r>
    </w:p>
    <w:p w14:paraId="6EA72806" w14:textId="77777777" w:rsidR="00B56368" w:rsidRPr="00E96EC1" w:rsidRDefault="00B56368" w:rsidP="00B56368">
      <w:pPr>
        <w:jc w:val="both"/>
        <w:rPr>
          <w:rFonts w:ascii="Arial" w:eastAsia="Calibri" w:hAnsi="Arial" w:cs="Arial"/>
          <w:b/>
          <w:sz w:val="22"/>
          <w:lang w:val="es-CO"/>
        </w:rPr>
      </w:pPr>
      <w:r w:rsidRPr="00E96EC1">
        <w:rPr>
          <w:rFonts w:ascii="Arial" w:eastAsia="Calibri" w:hAnsi="Arial" w:cs="Arial"/>
          <w:b/>
          <w:sz w:val="22"/>
          <w:lang w:val="es-CO"/>
        </w:rPr>
        <w:t>DOCUMENTO</w:t>
      </w:r>
      <w:r>
        <w:rPr>
          <w:rFonts w:ascii="Arial" w:eastAsia="Calibri" w:hAnsi="Arial" w:cs="Arial"/>
          <w:b/>
          <w:sz w:val="22"/>
          <w:lang w:val="es-CO"/>
        </w:rPr>
        <w:t>S</w:t>
      </w:r>
      <w:r w:rsidRPr="00E96EC1">
        <w:rPr>
          <w:rFonts w:ascii="Arial" w:eastAsia="Calibri" w:hAnsi="Arial" w:cs="Arial"/>
          <w:b/>
          <w:sz w:val="22"/>
          <w:lang w:val="es-CO"/>
        </w:rPr>
        <w:t xml:space="preserve"> TIPO DE INFRAESTRUCTURA DE TRANSPORTE</w:t>
      </w:r>
      <w:r>
        <w:rPr>
          <w:rFonts w:ascii="Arial" w:eastAsia="Calibri" w:hAnsi="Arial" w:cs="Arial"/>
          <w:b/>
          <w:sz w:val="22"/>
          <w:lang w:val="es-CO"/>
        </w:rPr>
        <w:t xml:space="preserve"> –</w:t>
      </w:r>
      <w:r w:rsidRPr="00E96EC1">
        <w:rPr>
          <w:rFonts w:ascii="Arial" w:eastAsia="Calibri" w:hAnsi="Arial" w:cs="Arial"/>
          <w:b/>
          <w:sz w:val="22"/>
          <w:lang w:val="es-CO"/>
        </w:rPr>
        <w:t xml:space="preserve"> </w:t>
      </w:r>
      <w:r>
        <w:rPr>
          <w:rFonts w:ascii="Arial" w:eastAsia="Calibri" w:hAnsi="Arial" w:cs="Arial"/>
          <w:b/>
          <w:sz w:val="22"/>
          <w:lang w:val="es-CO"/>
        </w:rPr>
        <w:t>Numeral 4.1.4. – Método de ponderación de la propuesta económica por lotes – Orden ascendente</w:t>
      </w:r>
    </w:p>
    <w:p w14:paraId="1DB77188" w14:textId="77777777" w:rsidR="00B56368" w:rsidRDefault="00B56368" w:rsidP="00B56368">
      <w:pPr>
        <w:rPr>
          <w:rFonts w:ascii="Arial" w:eastAsia="Calibri" w:hAnsi="Arial" w:cs="Arial"/>
          <w:sz w:val="20"/>
          <w:szCs w:val="20"/>
          <w:lang w:val="es-CO"/>
        </w:rPr>
      </w:pPr>
    </w:p>
    <w:p w14:paraId="218B31EB" w14:textId="77777777" w:rsidR="00B56368" w:rsidRDefault="00B56368" w:rsidP="00B56368">
      <w:pPr>
        <w:pStyle w:val="InviasNormal"/>
        <w:spacing w:before="0" w:after="0"/>
        <w:outlineLvl w:val="2"/>
        <w:rPr>
          <w:rFonts w:ascii="Arial" w:eastAsia="Calibri" w:hAnsi="Arial" w:cs="Arial"/>
          <w:color w:val="auto"/>
          <w:sz w:val="20"/>
          <w:szCs w:val="20"/>
          <w:lang w:val="es-CO"/>
        </w:rPr>
      </w:pPr>
      <w:r w:rsidRPr="004C393C">
        <w:rPr>
          <w:rFonts w:ascii="Arial" w:eastAsia="Calibri" w:hAnsi="Arial" w:cs="Arial"/>
          <w:color w:val="auto"/>
          <w:sz w:val="20"/>
          <w:szCs w:val="20"/>
          <w:lang w:val="es-CO"/>
        </w:rPr>
        <w:t xml:space="preserve">Los «Documentos Tipo – Versión 3» de licitación de infraestructura de transporte establecen, en el numeral 4.1.4. «determinación del método para la ponderación de la propuesta económica», establece cuatro (4) alternativas para escoger el método de ponderación de las propuestas económicas, a saber: i) mediana con valor absoluto; </w:t>
      </w:r>
      <w:proofErr w:type="spellStart"/>
      <w:r w:rsidRPr="004C393C">
        <w:rPr>
          <w:rFonts w:ascii="Arial" w:eastAsia="Calibri" w:hAnsi="Arial" w:cs="Arial"/>
          <w:color w:val="auto"/>
          <w:sz w:val="20"/>
          <w:szCs w:val="20"/>
          <w:lang w:val="es-CO"/>
        </w:rPr>
        <w:t>ii</w:t>
      </w:r>
      <w:proofErr w:type="spellEnd"/>
      <w:r w:rsidRPr="004C393C">
        <w:rPr>
          <w:rFonts w:ascii="Arial" w:eastAsia="Calibri" w:hAnsi="Arial" w:cs="Arial"/>
          <w:color w:val="auto"/>
          <w:sz w:val="20"/>
          <w:szCs w:val="20"/>
          <w:lang w:val="es-CO"/>
        </w:rPr>
        <w:t xml:space="preserve">) media geométrica; </w:t>
      </w:r>
      <w:proofErr w:type="spellStart"/>
      <w:r w:rsidRPr="004C393C">
        <w:rPr>
          <w:rFonts w:ascii="Arial" w:eastAsia="Calibri" w:hAnsi="Arial" w:cs="Arial"/>
          <w:color w:val="auto"/>
          <w:sz w:val="20"/>
          <w:szCs w:val="20"/>
          <w:lang w:val="es-CO"/>
        </w:rPr>
        <w:t>iii</w:t>
      </w:r>
      <w:proofErr w:type="spellEnd"/>
      <w:r w:rsidRPr="004C393C">
        <w:rPr>
          <w:rFonts w:ascii="Arial" w:eastAsia="Calibri" w:hAnsi="Arial" w:cs="Arial"/>
          <w:color w:val="auto"/>
          <w:sz w:val="20"/>
          <w:szCs w:val="20"/>
          <w:lang w:val="es-CO"/>
        </w:rPr>
        <w:t xml:space="preserve">) media aritmética baja y </w:t>
      </w:r>
      <w:proofErr w:type="spellStart"/>
      <w:r w:rsidRPr="004C393C">
        <w:rPr>
          <w:rFonts w:ascii="Arial" w:eastAsia="Calibri" w:hAnsi="Arial" w:cs="Arial"/>
          <w:color w:val="auto"/>
          <w:sz w:val="20"/>
          <w:szCs w:val="20"/>
          <w:lang w:val="es-CO"/>
        </w:rPr>
        <w:t>iv</w:t>
      </w:r>
      <w:proofErr w:type="spellEnd"/>
      <w:r w:rsidRPr="004C393C">
        <w:rPr>
          <w:rFonts w:ascii="Arial" w:eastAsia="Calibri" w:hAnsi="Arial" w:cs="Arial"/>
          <w:color w:val="auto"/>
          <w:sz w:val="20"/>
          <w:szCs w:val="20"/>
          <w:lang w:val="es-CO"/>
        </w:rPr>
        <w:t>) menor valor. A partir de estas alternativas, la entidad, para establecer el método de ponderación, tomará los centavos de la Tasa de Cambio Representativa del Mercado (TRM), certificada por la Superintendencia Financiera de Colombia.</w:t>
      </w:r>
    </w:p>
    <w:p w14:paraId="7406D118" w14:textId="77777777" w:rsidR="00B56368" w:rsidRDefault="00B56368" w:rsidP="00B56368">
      <w:pPr>
        <w:pStyle w:val="InviasNormal"/>
        <w:spacing w:before="0" w:after="0"/>
        <w:outlineLvl w:val="2"/>
        <w:rPr>
          <w:rFonts w:ascii="Arial" w:eastAsia="Calibri" w:hAnsi="Arial" w:cs="Arial"/>
          <w:color w:val="auto"/>
          <w:sz w:val="20"/>
          <w:szCs w:val="20"/>
          <w:lang w:val="es-CO"/>
        </w:rPr>
      </w:pPr>
    </w:p>
    <w:p w14:paraId="449085EC" w14:textId="77777777" w:rsidR="00B56368" w:rsidRDefault="00B56368" w:rsidP="00B56368">
      <w:pPr>
        <w:pStyle w:val="InviasNormal"/>
        <w:spacing w:before="0" w:after="0"/>
        <w:outlineLvl w:val="2"/>
        <w:rPr>
          <w:rFonts w:ascii="Arial" w:eastAsia="Calibri" w:hAnsi="Arial" w:cs="Arial"/>
          <w:color w:val="000000"/>
          <w:sz w:val="20"/>
          <w:szCs w:val="20"/>
          <w:lang w:val="es-ES_tradnl"/>
        </w:rPr>
      </w:pPr>
      <w:r>
        <w:rPr>
          <w:rFonts w:ascii="Arial" w:eastAsia="Calibri" w:hAnsi="Arial" w:cs="Arial"/>
          <w:color w:val="000000"/>
          <w:sz w:val="20"/>
          <w:szCs w:val="20"/>
          <w:lang w:val="es-ES_tradnl"/>
        </w:rPr>
        <w:lastRenderedPageBreak/>
        <w:t xml:space="preserve">[…] </w:t>
      </w:r>
      <w:r w:rsidRPr="00E25827">
        <w:rPr>
          <w:rFonts w:ascii="Arial" w:eastAsia="Calibri" w:hAnsi="Arial" w:cs="Arial"/>
          <w:color w:val="000000"/>
          <w:sz w:val="20"/>
          <w:szCs w:val="20"/>
          <w:lang w:val="es-ES_tradnl"/>
        </w:rPr>
        <w:t xml:space="preserve">para los procesos de contratación estructurados por lotes se establecieron tres reglas básicas: i) para el primer lote, el método se asignará de acuerdo con la TRM, esto es, a la metodología que ya se explicó, </w:t>
      </w:r>
      <w:proofErr w:type="spellStart"/>
      <w:r w:rsidRPr="00E25827">
        <w:rPr>
          <w:rFonts w:ascii="Arial" w:eastAsia="Calibri" w:hAnsi="Arial" w:cs="Arial"/>
          <w:color w:val="000000"/>
          <w:sz w:val="20"/>
          <w:szCs w:val="20"/>
          <w:lang w:val="es-ES_tradnl"/>
        </w:rPr>
        <w:t>ii</w:t>
      </w:r>
      <w:proofErr w:type="spellEnd"/>
      <w:r w:rsidRPr="00E25827">
        <w:rPr>
          <w:rFonts w:ascii="Arial" w:eastAsia="Calibri" w:hAnsi="Arial" w:cs="Arial"/>
          <w:color w:val="000000"/>
          <w:sz w:val="20"/>
          <w:szCs w:val="20"/>
          <w:lang w:val="es-ES_tradnl"/>
        </w:rPr>
        <w:t xml:space="preserve">) para la adjudicación del segundo lote se tomará el siguiente método en orden ascendente y así sucesivamente, de acuerdo con la tabla de métodos de ponderación incluida más arriba y, </w:t>
      </w:r>
      <w:proofErr w:type="spellStart"/>
      <w:r w:rsidRPr="00E25827">
        <w:rPr>
          <w:rFonts w:ascii="Arial" w:eastAsia="Calibri" w:hAnsi="Arial" w:cs="Arial"/>
          <w:color w:val="000000"/>
          <w:sz w:val="20"/>
          <w:szCs w:val="20"/>
          <w:lang w:val="es-ES_tradnl"/>
        </w:rPr>
        <w:t>iii</w:t>
      </w:r>
      <w:proofErr w:type="spellEnd"/>
      <w:r w:rsidRPr="00E25827">
        <w:rPr>
          <w:rFonts w:ascii="Arial" w:eastAsia="Calibri" w:hAnsi="Arial" w:cs="Arial"/>
          <w:color w:val="000000"/>
          <w:sz w:val="20"/>
          <w:szCs w:val="20"/>
          <w:lang w:val="es-ES_tradnl"/>
        </w:rPr>
        <w:t>) en caso de agotarse el último método se reiniciará desde el primer método de la tabla.</w:t>
      </w:r>
      <w:r>
        <w:rPr>
          <w:rFonts w:ascii="Arial" w:eastAsia="Calibri" w:hAnsi="Arial" w:cs="Arial"/>
          <w:color w:val="000000"/>
          <w:sz w:val="20"/>
          <w:szCs w:val="20"/>
          <w:lang w:val="es-ES_tradnl"/>
        </w:rPr>
        <w:t xml:space="preserve"> […]</w:t>
      </w:r>
    </w:p>
    <w:p w14:paraId="776E807A" w14:textId="77777777" w:rsidR="00B56368" w:rsidRDefault="00B56368" w:rsidP="00B56368">
      <w:pPr>
        <w:pStyle w:val="InviasNormal"/>
        <w:spacing w:before="0" w:after="0"/>
        <w:outlineLvl w:val="2"/>
        <w:rPr>
          <w:rFonts w:ascii="Arial" w:eastAsia="Calibri" w:hAnsi="Arial" w:cs="Arial"/>
          <w:color w:val="000000"/>
          <w:sz w:val="20"/>
          <w:szCs w:val="20"/>
          <w:lang w:val="es-ES_tradnl"/>
        </w:rPr>
      </w:pPr>
    </w:p>
    <w:p w14:paraId="6543CF0A" w14:textId="77777777" w:rsidR="00B56368" w:rsidRPr="003076D4" w:rsidRDefault="00B56368" w:rsidP="00B56368">
      <w:pPr>
        <w:pStyle w:val="InviasNormal"/>
        <w:spacing w:before="0" w:after="0"/>
        <w:outlineLvl w:val="2"/>
        <w:rPr>
          <w:rFonts w:ascii="Arial" w:eastAsia="Calibri" w:hAnsi="Arial" w:cs="Arial"/>
          <w:color w:val="auto"/>
          <w:sz w:val="20"/>
          <w:szCs w:val="20"/>
          <w:lang w:val="es-CO"/>
        </w:rPr>
      </w:pPr>
      <w:r w:rsidRPr="00E25827">
        <w:rPr>
          <w:rFonts w:ascii="Arial" w:eastAsia="Calibri" w:hAnsi="Arial" w:cs="Arial"/>
          <w:color w:val="000000"/>
          <w:sz w:val="20"/>
          <w:szCs w:val="20"/>
          <w:lang w:val="es-ES_tradnl"/>
        </w:rPr>
        <w:t>La asignación de este número en la segunda columna tabla tiene como objetivo principal que las entidades determinen el orden ascendente al que se refiere la segunda regla, entendiendo orden ascendente como aquel que corresponde a los números que siguen una secuencia de menor a mayor. Es decir, desde una interpretación y significado de las palabras, corresponde al número mayor dentro de la secuencia de los métodos a utilizar para la ponderación, por lo que la regla establecida en el documento base no corresponde a su ubicación dentro del cuadro ni mucho menos por el rango de centavos de la TRM, sino con fundamento en el número asignado en la segunda columna de la tabla.</w:t>
      </w:r>
    </w:p>
    <w:p w14:paraId="756AA33F" w14:textId="77777777" w:rsidR="00B56368" w:rsidRDefault="00B56368" w:rsidP="00B56368">
      <w:pPr>
        <w:rPr>
          <w:rFonts w:ascii="Arial" w:eastAsia="Calibri" w:hAnsi="Arial" w:cs="Arial"/>
          <w:sz w:val="20"/>
          <w:szCs w:val="20"/>
          <w:lang w:val="es-CO"/>
        </w:rPr>
      </w:pPr>
    </w:p>
    <w:p w14:paraId="1705A851" w14:textId="77777777" w:rsidR="00B56368" w:rsidRDefault="00B56368" w:rsidP="00B56368">
      <w:pPr>
        <w:spacing w:after="160" w:line="259" w:lineRule="auto"/>
        <w:rPr>
          <w:rFonts w:ascii="Arial" w:eastAsia="Calibri" w:hAnsi="Arial" w:cs="Arial"/>
          <w:sz w:val="20"/>
          <w:szCs w:val="20"/>
        </w:rPr>
      </w:pPr>
      <w:r>
        <w:rPr>
          <w:rFonts w:ascii="Arial" w:eastAsia="Calibri" w:hAnsi="Arial" w:cs="Arial"/>
          <w:sz w:val="20"/>
          <w:szCs w:val="20"/>
        </w:rPr>
        <w:br w:type="page"/>
      </w:r>
    </w:p>
    <w:p w14:paraId="4F16EBCA" w14:textId="77777777" w:rsidR="00B56368" w:rsidRPr="008C1555" w:rsidRDefault="00B56368" w:rsidP="00B56368">
      <w:pPr>
        <w:jc w:val="both"/>
        <w:rPr>
          <w:rFonts w:ascii="Arial" w:eastAsia="Calibri" w:hAnsi="Arial" w:cs="Arial"/>
          <w:sz w:val="20"/>
          <w:szCs w:val="20"/>
        </w:rPr>
      </w:pPr>
    </w:p>
    <w:p w14:paraId="3D607F59" w14:textId="11B80A96" w:rsidR="00B56368" w:rsidRPr="007874E8" w:rsidRDefault="008267C0" w:rsidP="008267C0">
      <w:pPr>
        <w:widowControl w:val="0"/>
        <w:autoSpaceDE w:val="0"/>
        <w:autoSpaceDN w:val="0"/>
        <w:spacing w:before="94"/>
        <w:ind w:right="173"/>
        <w:jc w:val="right"/>
        <w:rPr>
          <w:rFonts w:ascii="Arial" w:eastAsia="Arial MT" w:hAnsi="Arial MT" w:cs="Arial MT"/>
          <w:b/>
          <w:sz w:val="18"/>
          <w:lang w:val="es-ES"/>
        </w:rPr>
      </w:pPr>
      <w:r>
        <w:rPr>
          <w:rFonts w:ascii="Arial" w:eastAsia="Arial MT" w:hAnsi="Arial MT" w:cs="Arial MT"/>
          <w:b/>
          <w:noProof/>
          <w:sz w:val="18"/>
          <w:lang w:val="es-ES"/>
        </w:rPr>
        <w:drawing>
          <wp:inline distT="0" distB="0" distL="0" distR="0" wp14:anchorId="5C7AD5BC" wp14:editId="21A7912E">
            <wp:extent cx="2467319" cy="695422"/>
            <wp:effectExtent l="0" t="0" r="9525" b="9525"/>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467319" cy="695422"/>
                    </a:xfrm>
                    <a:prstGeom prst="rect">
                      <a:avLst/>
                    </a:prstGeom>
                  </pic:spPr>
                </pic:pic>
              </a:graphicData>
            </a:graphic>
          </wp:inline>
        </w:drawing>
      </w:r>
    </w:p>
    <w:p w14:paraId="3A024071" w14:textId="77777777" w:rsidR="00B56368" w:rsidRPr="00C175DA" w:rsidRDefault="00B56368" w:rsidP="00B56368">
      <w:pPr>
        <w:widowControl w:val="0"/>
        <w:autoSpaceDE w:val="0"/>
        <w:autoSpaceDN w:val="0"/>
        <w:spacing w:before="93"/>
        <w:rPr>
          <w:rFonts w:ascii="Arial MT" w:eastAsia="Arial MT" w:hAnsi="Arial MT" w:cs="Arial MT"/>
          <w:sz w:val="22"/>
          <w:lang w:val="es-ES"/>
        </w:rPr>
      </w:pPr>
    </w:p>
    <w:p w14:paraId="7A40944D" w14:textId="473A6D9C" w:rsidR="008E5496" w:rsidRPr="008E5496" w:rsidRDefault="008E5496" w:rsidP="008E5496">
      <w:pPr>
        <w:rPr>
          <w:rFonts w:ascii="Arial" w:eastAsia="Arial" w:hAnsi="Arial" w:cs="Arial"/>
          <w:color w:val="000000"/>
          <w:sz w:val="22"/>
          <w:lang w:eastAsia="es-ES_tradnl"/>
        </w:rPr>
      </w:pPr>
      <w:r w:rsidRPr="008E5496">
        <w:rPr>
          <w:rFonts w:ascii="Arial" w:eastAsia="Arial" w:hAnsi="Arial" w:cs="Arial"/>
          <w:color w:val="000000"/>
          <w:sz w:val="22"/>
          <w:lang w:eastAsia="es-ES_tradnl"/>
        </w:rPr>
        <w:t xml:space="preserve">Bogotá, </w:t>
      </w:r>
      <w:r>
        <w:rPr>
          <w:rFonts w:ascii="Arial" w:eastAsia="Arial" w:hAnsi="Arial" w:cs="Arial"/>
          <w:color w:val="000000"/>
          <w:sz w:val="22"/>
          <w:lang w:eastAsia="es-ES_tradnl"/>
        </w:rPr>
        <w:t>07</w:t>
      </w:r>
      <w:r w:rsidRPr="008E5496">
        <w:rPr>
          <w:rFonts w:ascii="Arial" w:eastAsia="Arial" w:hAnsi="Arial" w:cs="Arial"/>
          <w:color w:val="000000"/>
          <w:sz w:val="22"/>
          <w:lang w:eastAsia="es-ES_tradnl"/>
        </w:rPr>
        <w:t xml:space="preserve"> </w:t>
      </w:r>
      <w:proofErr w:type="gramStart"/>
      <w:r>
        <w:rPr>
          <w:rFonts w:ascii="Arial" w:eastAsia="Arial" w:hAnsi="Arial" w:cs="Arial"/>
          <w:color w:val="000000"/>
          <w:sz w:val="22"/>
          <w:lang w:eastAsia="es-ES_tradnl"/>
        </w:rPr>
        <w:t>Febrero</w:t>
      </w:r>
      <w:proofErr w:type="gramEnd"/>
      <w:r w:rsidRPr="008E5496">
        <w:rPr>
          <w:rFonts w:ascii="Arial" w:eastAsia="Arial" w:hAnsi="Arial" w:cs="Arial"/>
          <w:color w:val="000000"/>
          <w:sz w:val="22"/>
          <w:lang w:eastAsia="es-ES_tradnl"/>
        </w:rPr>
        <w:t xml:space="preserve"> 2022</w:t>
      </w:r>
    </w:p>
    <w:p w14:paraId="036EF0FE" w14:textId="77777777" w:rsidR="00B56368" w:rsidRPr="00C175DA" w:rsidRDefault="00B56368" w:rsidP="00B56368">
      <w:pPr>
        <w:widowControl w:val="0"/>
        <w:autoSpaceDE w:val="0"/>
        <w:autoSpaceDN w:val="0"/>
        <w:rPr>
          <w:rFonts w:ascii="Arial MT" w:eastAsia="Arial MT" w:hAnsi="Arial MT" w:cs="Arial MT"/>
          <w:lang w:val="es-ES"/>
        </w:rPr>
      </w:pPr>
    </w:p>
    <w:p w14:paraId="521FEDC1" w14:textId="77777777" w:rsidR="00B56368" w:rsidRDefault="00B56368" w:rsidP="00B56368">
      <w:pPr>
        <w:widowControl w:val="0"/>
        <w:autoSpaceDE w:val="0"/>
        <w:autoSpaceDN w:val="0"/>
        <w:spacing w:before="144" w:line="276" w:lineRule="auto"/>
        <w:ind w:left="200"/>
        <w:rPr>
          <w:rFonts w:ascii="Arial MT" w:eastAsia="Arial MT" w:hAnsi="Arial MT" w:cs="Arial MT"/>
          <w:sz w:val="22"/>
          <w:lang w:val="es-ES"/>
        </w:rPr>
      </w:pPr>
    </w:p>
    <w:p w14:paraId="2DF0E8C5" w14:textId="77777777" w:rsidR="00B56368" w:rsidRPr="00C175DA" w:rsidRDefault="00B56368" w:rsidP="00B56368">
      <w:pPr>
        <w:widowControl w:val="0"/>
        <w:autoSpaceDE w:val="0"/>
        <w:autoSpaceDN w:val="0"/>
        <w:spacing w:before="144" w:line="276" w:lineRule="auto"/>
        <w:ind w:left="200"/>
        <w:rPr>
          <w:rFonts w:ascii="Arial MT" w:eastAsia="Arial MT" w:hAnsi="Arial MT" w:cs="Arial MT"/>
          <w:sz w:val="22"/>
          <w:lang w:val="es-ES"/>
        </w:rPr>
      </w:pPr>
      <w:r w:rsidRPr="00C175DA">
        <w:rPr>
          <w:rFonts w:ascii="Arial MT" w:eastAsia="Arial MT" w:hAnsi="Arial MT" w:cs="Arial MT"/>
          <w:sz w:val="22"/>
          <w:lang w:val="es-ES"/>
        </w:rPr>
        <w:t>Señor</w:t>
      </w:r>
    </w:p>
    <w:p w14:paraId="0E1E9760" w14:textId="77777777" w:rsidR="00B56368" w:rsidRPr="00C175DA" w:rsidRDefault="00B56368" w:rsidP="00B56368">
      <w:pPr>
        <w:widowControl w:val="0"/>
        <w:autoSpaceDE w:val="0"/>
        <w:autoSpaceDN w:val="0"/>
        <w:spacing w:line="276" w:lineRule="auto"/>
        <w:ind w:left="200"/>
        <w:outlineLvl w:val="0"/>
        <w:rPr>
          <w:rFonts w:ascii="Arial" w:eastAsia="Arial" w:hAnsi="Arial" w:cs="Arial"/>
          <w:b/>
          <w:bCs/>
          <w:sz w:val="22"/>
          <w:lang w:val="es-ES"/>
        </w:rPr>
      </w:pPr>
      <w:r>
        <w:rPr>
          <w:rFonts w:ascii="Arial" w:eastAsia="Arial" w:hAnsi="Arial" w:cs="Arial"/>
          <w:b/>
          <w:bCs/>
          <w:sz w:val="22"/>
          <w:lang w:val="es-ES"/>
        </w:rPr>
        <w:t>Guzmán Eduardo Pérez Gómez</w:t>
      </w:r>
    </w:p>
    <w:p w14:paraId="46A1EE21" w14:textId="77777777" w:rsidR="00B56368" w:rsidRPr="00C175DA" w:rsidRDefault="00B56368" w:rsidP="00B56368">
      <w:pPr>
        <w:widowControl w:val="0"/>
        <w:autoSpaceDE w:val="0"/>
        <w:autoSpaceDN w:val="0"/>
        <w:spacing w:line="276" w:lineRule="auto"/>
        <w:ind w:left="200"/>
        <w:rPr>
          <w:rFonts w:ascii="Arial MT" w:eastAsia="Arial MT" w:hAnsi="Arial MT" w:cs="Arial MT"/>
          <w:sz w:val="22"/>
          <w:lang w:val="es-ES"/>
        </w:rPr>
      </w:pPr>
      <w:r w:rsidRPr="00C175DA">
        <w:rPr>
          <w:rFonts w:ascii="Arial MT" w:eastAsia="Arial MT" w:hAnsi="Arial MT" w:cs="Arial MT"/>
          <w:sz w:val="22"/>
          <w:lang w:val="es-ES"/>
        </w:rPr>
        <w:t>C</w:t>
      </w:r>
      <w:r>
        <w:rPr>
          <w:rFonts w:ascii="Arial MT" w:eastAsia="Arial MT" w:hAnsi="Arial MT" w:cs="Arial MT"/>
          <w:sz w:val="22"/>
          <w:lang w:val="es-ES"/>
        </w:rPr>
        <w:t xml:space="preserve">úcuta, </w:t>
      </w:r>
      <w:r w:rsidRPr="00C175DA">
        <w:rPr>
          <w:rFonts w:ascii="Arial MT" w:eastAsia="Arial MT" w:hAnsi="Arial MT" w:cs="Arial MT"/>
          <w:sz w:val="22"/>
          <w:lang w:val="es-ES"/>
        </w:rPr>
        <w:t>Norte</w:t>
      </w:r>
      <w:r w:rsidRPr="00C175DA">
        <w:rPr>
          <w:rFonts w:ascii="Arial MT" w:eastAsia="Arial MT" w:hAnsi="Arial MT" w:cs="Arial MT"/>
          <w:spacing w:val="-9"/>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8"/>
          <w:sz w:val="22"/>
          <w:lang w:val="es-ES"/>
        </w:rPr>
        <w:t xml:space="preserve"> </w:t>
      </w:r>
      <w:r w:rsidRPr="00C175DA">
        <w:rPr>
          <w:rFonts w:ascii="Arial MT" w:eastAsia="Arial MT" w:hAnsi="Arial MT" w:cs="Arial MT"/>
          <w:sz w:val="22"/>
          <w:lang w:val="es-ES"/>
        </w:rPr>
        <w:t>Santander</w:t>
      </w:r>
    </w:p>
    <w:p w14:paraId="4D3940ED" w14:textId="77777777" w:rsidR="00B56368" w:rsidRPr="00C175DA" w:rsidRDefault="00B56368" w:rsidP="00B56368">
      <w:pPr>
        <w:widowControl w:val="0"/>
        <w:autoSpaceDE w:val="0"/>
        <w:autoSpaceDN w:val="0"/>
        <w:spacing w:line="276" w:lineRule="auto"/>
        <w:rPr>
          <w:rFonts w:ascii="Arial MT" w:eastAsia="Arial MT" w:hAnsi="Arial MT" w:cs="Arial MT"/>
          <w:lang w:val="es-ES"/>
        </w:rPr>
      </w:pPr>
    </w:p>
    <w:p w14:paraId="287CB53E" w14:textId="77777777" w:rsidR="00B56368" w:rsidRPr="00C175DA" w:rsidRDefault="00B56368" w:rsidP="00B56368">
      <w:pPr>
        <w:widowControl w:val="0"/>
        <w:autoSpaceDE w:val="0"/>
        <w:autoSpaceDN w:val="0"/>
        <w:spacing w:line="276" w:lineRule="auto"/>
        <w:rPr>
          <w:rFonts w:ascii="Arial MT" w:eastAsia="Arial MT" w:hAnsi="Arial MT" w:cs="Arial MT"/>
          <w:sz w:val="20"/>
          <w:lang w:val="es-ES"/>
        </w:rPr>
      </w:pPr>
    </w:p>
    <w:p w14:paraId="5341C9A3" w14:textId="77777777" w:rsidR="00B56368" w:rsidRPr="00C175DA" w:rsidRDefault="00B56368" w:rsidP="00B56368">
      <w:pPr>
        <w:widowControl w:val="0"/>
        <w:autoSpaceDE w:val="0"/>
        <w:autoSpaceDN w:val="0"/>
        <w:spacing w:line="276" w:lineRule="auto"/>
        <w:ind w:left="2891"/>
        <w:jc w:val="both"/>
        <w:outlineLvl w:val="0"/>
        <w:rPr>
          <w:rFonts w:ascii="Arial" w:eastAsia="Arial" w:hAnsi="Arial" w:cs="Arial"/>
          <w:b/>
          <w:bCs/>
          <w:sz w:val="22"/>
          <w:lang w:val="es-ES"/>
        </w:rPr>
      </w:pPr>
      <w:r w:rsidRPr="00C175DA">
        <w:rPr>
          <w:rFonts w:ascii="Arial" w:eastAsia="Arial" w:hAnsi="Arial" w:cs="Arial"/>
          <w:b/>
          <w:bCs/>
          <w:sz w:val="22"/>
          <w:lang w:val="es-ES"/>
        </w:rPr>
        <w:t>Concepto</w:t>
      </w:r>
      <w:r w:rsidRPr="00C175DA">
        <w:rPr>
          <w:rFonts w:ascii="Arial" w:eastAsia="Arial" w:hAnsi="Arial" w:cs="Arial"/>
          <w:b/>
          <w:bCs/>
          <w:spacing w:val="-7"/>
          <w:sz w:val="22"/>
          <w:lang w:val="es-ES"/>
        </w:rPr>
        <w:t xml:space="preserve"> </w:t>
      </w:r>
      <w:r w:rsidRPr="00C175DA">
        <w:rPr>
          <w:rFonts w:ascii="Arial" w:eastAsia="Arial" w:hAnsi="Arial" w:cs="Arial"/>
          <w:b/>
          <w:bCs/>
          <w:sz w:val="22"/>
          <w:lang w:val="es-ES"/>
        </w:rPr>
        <w:t>C</w:t>
      </w:r>
      <w:r w:rsidRPr="00C175DA">
        <w:rPr>
          <w:rFonts w:ascii="Arial" w:eastAsia="Arial" w:hAnsi="Arial" w:cs="Arial"/>
          <w:b/>
          <w:bCs/>
          <w:spacing w:val="-4"/>
          <w:sz w:val="22"/>
          <w:lang w:val="es-ES"/>
        </w:rPr>
        <w:t xml:space="preserve"> </w:t>
      </w:r>
      <w:r w:rsidRPr="00C175DA">
        <w:rPr>
          <w:rFonts w:ascii="Arial" w:eastAsia="Arial" w:hAnsi="Arial" w:cs="Arial"/>
          <w:b/>
          <w:bCs/>
          <w:sz w:val="22"/>
          <w:lang w:val="es-ES"/>
        </w:rPr>
        <w:t>–</w:t>
      </w:r>
      <w:r w:rsidRPr="00C175DA">
        <w:rPr>
          <w:rFonts w:ascii="Arial" w:eastAsia="Arial" w:hAnsi="Arial" w:cs="Arial"/>
          <w:b/>
          <w:bCs/>
          <w:spacing w:val="-5"/>
          <w:sz w:val="22"/>
          <w:lang w:val="es-ES"/>
        </w:rPr>
        <w:t xml:space="preserve"> </w:t>
      </w:r>
      <w:r>
        <w:rPr>
          <w:rFonts w:ascii="Arial" w:eastAsia="Arial" w:hAnsi="Arial" w:cs="Arial"/>
          <w:b/>
          <w:bCs/>
          <w:sz w:val="22"/>
          <w:lang w:val="es-ES"/>
        </w:rPr>
        <w:t>751</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de</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2021</w:t>
      </w:r>
    </w:p>
    <w:p w14:paraId="1DE1624F" w14:textId="77777777" w:rsidR="00B56368" w:rsidRPr="00C175DA" w:rsidRDefault="00B56368" w:rsidP="00B56368">
      <w:pPr>
        <w:widowControl w:val="0"/>
        <w:autoSpaceDE w:val="0"/>
        <w:autoSpaceDN w:val="0"/>
        <w:spacing w:before="10" w:line="276" w:lineRule="auto"/>
        <w:rPr>
          <w:rFonts w:ascii="Arial" w:eastAsia="Arial MT" w:hAnsi="Arial MT" w:cs="Arial MT"/>
          <w:b/>
          <w:sz w:val="35"/>
          <w:lang w:val="es-ES"/>
        </w:rPr>
      </w:pPr>
    </w:p>
    <w:p w14:paraId="6A854059" w14:textId="77777777" w:rsidR="00B56368" w:rsidRPr="00C175DA" w:rsidRDefault="00B56368" w:rsidP="00B56368">
      <w:pPr>
        <w:widowControl w:val="0"/>
        <w:tabs>
          <w:tab w:val="left" w:pos="2889"/>
        </w:tabs>
        <w:autoSpaceDE w:val="0"/>
        <w:autoSpaceDN w:val="0"/>
        <w:spacing w:line="276" w:lineRule="auto"/>
        <w:ind w:left="2891" w:right="282" w:hanging="2689"/>
        <w:jc w:val="both"/>
        <w:rPr>
          <w:rFonts w:ascii="Arial MT" w:eastAsia="Arial MT" w:hAnsi="Arial MT" w:cs="Arial MT"/>
          <w:sz w:val="22"/>
          <w:lang w:val="es-ES"/>
        </w:rPr>
      </w:pPr>
      <w:r w:rsidRPr="00C175DA">
        <w:rPr>
          <w:rFonts w:ascii="Arial" w:eastAsia="Arial MT" w:hAnsi="Arial" w:cs="Arial MT"/>
          <w:b/>
          <w:sz w:val="22"/>
          <w:lang w:val="es-ES"/>
        </w:rPr>
        <w:t>Temas:</w:t>
      </w:r>
      <w:r w:rsidRPr="00C175DA">
        <w:rPr>
          <w:rFonts w:ascii="Arial" w:eastAsia="Arial MT" w:hAnsi="Arial" w:cs="Arial MT"/>
          <w:b/>
          <w:sz w:val="22"/>
          <w:lang w:val="es-ES"/>
        </w:rPr>
        <w:tab/>
      </w:r>
      <w:r w:rsidRPr="00C52926">
        <w:rPr>
          <w:rFonts w:ascii="Arial" w:eastAsia="Arial MT" w:hAnsi="Arial" w:cs="Arial"/>
          <w:sz w:val="22"/>
          <w:lang w:val="es-ES"/>
        </w:rPr>
        <w:t>DOCUMENTOS TIPO – Fundamento normativo – Generalidades / DOCUMENTOS TIPO – Obligatoriedad de los documentos o pliegos tipo – Ley 2022 de 2020 / DOCUMENTOS TIPO DE INFRAESTRUCTURA DE TRANSPORTE – Numeral 4.1.4. – Método de ponderación de la propuesta económica por lotes – Orden ascendente</w:t>
      </w:r>
    </w:p>
    <w:p w14:paraId="15027365" w14:textId="77777777" w:rsidR="00B56368" w:rsidRPr="00757862" w:rsidRDefault="00B56368" w:rsidP="00B56368">
      <w:pPr>
        <w:widowControl w:val="0"/>
        <w:tabs>
          <w:tab w:val="left" w:pos="2789"/>
        </w:tabs>
        <w:autoSpaceDE w:val="0"/>
        <w:autoSpaceDN w:val="0"/>
        <w:spacing w:before="144" w:line="276" w:lineRule="auto"/>
        <w:ind w:left="2785" w:hanging="2685"/>
        <w:jc w:val="both"/>
        <w:rPr>
          <w:rFonts w:ascii="Arial MT" w:eastAsia="Arial MT" w:hAnsi="Arial MT" w:cs="Arial MT"/>
          <w:sz w:val="22"/>
          <w:lang w:val="es-ES"/>
        </w:rPr>
      </w:pPr>
      <w:r>
        <w:rPr>
          <w:rFonts w:ascii="Arial" w:eastAsia="Arial MT" w:hAnsi="Arial" w:cs="Arial MT"/>
          <w:b/>
          <w:sz w:val="22"/>
          <w:lang w:val="es-ES"/>
        </w:rPr>
        <w:t xml:space="preserve">Radicación: </w:t>
      </w:r>
      <w:r>
        <w:rPr>
          <w:rFonts w:ascii="Arial" w:eastAsia="Arial MT" w:hAnsi="Arial" w:cs="Arial MT"/>
          <w:b/>
          <w:sz w:val="22"/>
          <w:lang w:val="es-ES"/>
        </w:rPr>
        <w:tab/>
      </w:r>
      <w:r>
        <w:rPr>
          <w:rFonts w:ascii="Arial" w:eastAsia="Arial MT" w:hAnsi="Arial" w:cs="Arial MT"/>
          <w:b/>
          <w:sz w:val="22"/>
          <w:lang w:val="es-ES"/>
        </w:rPr>
        <w:tab/>
      </w:r>
      <w:r w:rsidRPr="008A5AC8">
        <w:rPr>
          <w:rFonts w:ascii="Arial" w:eastAsia="Arial MT" w:hAnsi="Arial" w:cs="Arial"/>
          <w:sz w:val="22"/>
          <w:lang w:val="es-ES"/>
        </w:rPr>
        <w:t>Respuesta</w:t>
      </w:r>
      <w:r w:rsidRPr="008A5AC8">
        <w:rPr>
          <w:rFonts w:ascii="Arial" w:eastAsia="Arial MT" w:hAnsi="Arial" w:cs="Arial"/>
          <w:spacing w:val="-6"/>
          <w:sz w:val="22"/>
          <w:lang w:val="es-ES"/>
        </w:rPr>
        <w:t xml:space="preserve"> </w:t>
      </w:r>
      <w:r w:rsidRPr="008A5AC8">
        <w:rPr>
          <w:rFonts w:ascii="Arial" w:eastAsia="Arial MT" w:hAnsi="Arial" w:cs="Arial"/>
          <w:sz w:val="22"/>
          <w:lang w:val="es-ES"/>
        </w:rPr>
        <w:t>a</w:t>
      </w:r>
      <w:r w:rsidRPr="008A5AC8">
        <w:rPr>
          <w:rFonts w:ascii="Arial" w:eastAsia="Arial MT" w:hAnsi="Arial" w:cs="Arial"/>
          <w:spacing w:val="-6"/>
          <w:sz w:val="22"/>
          <w:lang w:val="es-ES"/>
        </w:rPr>
        <w:t xml:space="preserve"> </w:t>
      </w:r>
      <w:r w:rsidRPr="008A5AC8">
        <w:rPr>
          <w:rFonts w:ascii="Arial" w:eastAsia="Arial MT" w:hAnsi="Arial" w:cs="Arial"/>
          <w:sz w:val="22"/>
          <w:lang w:val="es-ES"/>
        </w:rPr>
        <w:t>la</w:t>
      </w:r>
      <w:r w:rsidRPr="008A5AC8">
        <w:rPr>
          <w:rFonts w:ascii="Arial" w:eastAsia="Arial MT" w:hAnsi="Arial" w:cs="Arial"/>
          <w:spacing w:val="-5"/>
          <w:sz w:val="22"/>
          <w:lang w:val="es-ES"/>
        </w:rPr>
        <w:t xml:space="preserve"> </w:t>
      </w:r>
      <w:r w:rsidRPr="008A5AC8">
        <w:rPr>
          <w:rFonts w:ascii="Arial" w:eastAsia="Arial MT" w:hAnsi="Arial" w:cs="Arial"/>
          <w:sz w:val="22"/>
          <w:lang w:val="es-ES"/>
        </w:rPr>
        <w:t>consulta</w:t>
      </w:r>
      <w:r>
        <w:rPr>
          <w:rFonts w:ascii="Arial" w:eastAsia="Arial MT" w:hAnsi="Arial" w:cs="Arial"/>
          <w:sz w:val="22"/>
          <w:lang w:val="es-ES"/>
        </w:rPr>
        <w:t xml:space="preserve"> #</w:t>
      </w:r>
      <w:r w:rsidRPr="008A5AC8">
        <w:rPr>
          <w:rFonts w:ascii="Arial" w:eastAsia="Arial MT" w:hAnsi="Arial" w:cs="Arial"/>
          <w:spacing w:val="-6"/>
          <w:sz w:val="22"/>
          <w:lang w:val="es-ES"/>
        </w:rPr>
        <w:t xml:space="preserve"> </w:t>
      </w:r>
      <w:r w:rsidRPr="008B1733">
        <w:rPr>
          <w:rFonts w:ascii="Arial" w:eastAsia="Arial MT" w:hAnsi="Arial" w:cs="Arial"/>
          <w:spacing w:val="-6"/>
          <w:sz w:val="22"/>
          <w:lang w:val="es-ES"/>
        </w:rPr>
        <w:t>P20211224011747</w:t>
      </w:r>
    </w:p>
    <w:p w14:paraId="1A11B419" w14:textId="77777777" w:rsidR="00B56368" w:rsidRPr="00757862" w:rsidRDefault="00B56368" w:rsidP="00B56368">
      <w:pPr>
        <w:widowControl w:val="0"/>
        <w:autoSpaceDE w:val="0"/>
        <w:autoSpaceDN w:val="0"/>
        <w:spacing w:line="276" w:lineRule="auto"/>
        <w:rPr>
          <w:rFonts w:ascii="Arial MT" w:eastAsia="Arial MT" w:hAnsi="Arial MT" w:cs="Arial MT"/>
          <w:lang w:val="es-ES"/>
        </w:rPr>
      </w:pPr>
    </w:p>
    <w:p w14:paraId="3436E4B8" w14:textId="77777777" w:rsidR="00B56368" w:rsidRPr="00667C72" w:rsidRDefault="00B56368" w:rsidP="00B56368">
      <w:pPr>
        <w:spacing w:line="276" w:lineRule="auto"/>
        <w:jc w:val="both"/>
        <w:rPr>
          <w:rFonts w:ascii="Arial" w:eastAsia="Calibri" w:hAnsi="Arial" w:cs="Arial"/>
          <w:sz w:val="22"/>
          <w:lang w:val="es-CO"/>
        </w:rPr>
      </w:pPr>
    </w:p>
    <w:p w14:paraId="38F1452E" w14:textId="77777777" w:rsidR="00B56368" w:rsidRPr="00667C72" w:rsidRDefault="00B56368" w:rsidP="00B56368">
      <w:pPr>
        <w:spacing w:line="276" w:lineRule="auto"/>
        <w:rPr>
          <w:rFonts w:ascii="Arial" w:eastAsia="Calibri" w:hAnsi="Arial" w:cs="Arial"/>
          <w:sz w:val="22"/>
          <w:lang w:val="es-CO"/>
        </w:rPr>
      </w:pPr>
      <w:r>
        <w:rPr>
          <w:rFonts w:ascii="Arial" w:eastAsia="Calibri" w:hAnsi="Arial" w:cs="Arial"/>
          <w:sz w:val="22"/>
          <w:lang w:val="es-CO"/>
        </w:rPr>
        <w:t xml:space="preserve">Estimado señor Pérez Gómez: </w:t>
      </w:r>
    </w:p>
    <w:p w14:paraId="1AF7C37D" w14:textId="77777777" w:rsidR="00B56368" w:rsidRPr="00667C72" w:rsidRDefault="00B56368" w:rsidP="00B56368">
      <w:pPr>
        <w:spacing w:line="276" w:lineRule="auto"/>
        <w:rPr>
          <w:rFonts w:ascii="Arial" w:eastAsia="Calibri" w:hAnsi="Arial" w:cs="Arial"/>
          <w:sz w:val="22"/>
          <w:lang w:val="es-CO"/>
        </w:rPr>
      </w:pPr>
    </w:p>
    <w:p w14:paraId="2E135AB8" w14:textId="77777777" w:rsidR="00B56368" w:rsidRPr="00667C72" w:rsidRDefault="00B56368" w:rsidP="00B56368">
      <w:pPr>
        <w:spacing w:line="276" w:lineRule="auto"/>
        <w:ind w:right="49"/>
        <w:jc w:val="both"/>
        <w:rPr>
          <w:rFonts w:ascii="Arial" w:eastAsia="Calibri" w:hAnsi="Arial" w:cs="Arial"/>
          <w:sz w:val="22"/>
          <w:lang w:val="es-CO"/>
        </w:rPr>
      </w:pPr>
      <w:r w:rsidRPr="00E807B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la Agencia Nacional de Contratación Pública – Colombia Compra</w:t>
      </w:r>
      <w:r>
        <w:rPr>
          <w:rFonts w:ascii="Arial" w:eastAsia="Calibri" w:hAnsi="Arial" w:cs="Arial"/>
          <w:color w:val="000000" w:themeColor="text1"/>
          <w:sz w:val="22"/>
          <w:lang w:val="es-ES_tradnl"/>
        </w:rPr>
        <w:t xml:space="preserve"> Eficiente responde su consulta del 24 de diciembre de 2021.</w:t>
      </w:r>
    </w:p>
    <w:p w14:paraId="378C032F" w14:textId="77777777" w:rsidR="00B56368" w:rsidRPr="00667C72" w:rsidRDefault="00B56368" w:rsidP="00B56368">
      <w:pPr>
        <w:spacing w:line="276" w:lineRule="auto"/>
        <w:jc w:val="both"/>
        <w:rPr>
          <w:rFonts w:ascii="Arial" w:eastAsia="Calibri" w:hAnsi="Arial" w:cs="Arial"/>
          <w:sz w:val="22"/>
          <w:lang w:val="es-CO"/>
        </w:rPr>
      </w:pPr>
    </w:p>
    <w:p w14:paraId="116300B6" w14:textId="77777777" w:rsidR="00B56368" w:rsidRPr="00667C72" w:rsidRDefault="00B56368" w:rsidP="00B56368">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667C72">
        <w:rPr>
          <w:rFonts w:ascii="Arial" w:eastAsia="Calibri" w:hAnsi="Arial" w:cs="Arial"/>
          <w:b/>
          <w:sz w:val="22"/>
          <w:lang w:val="es-CO"/>
        </w:rPr>
        <w:t xml:space="preserve">Problema planteado </w:t>
      </w:r>
    </w:p>
    <w:p w14:paraId="1E1F0968" w14:textId="77777777" w:rsidR="00B56368" w:rsidRPr="00667C72" w:rsidRDefault="00B56368" w:rsidP="00B56368">
      <w:pPr>
        <w:tabs>
          <w:tab w:val="left" w:pos="426"/>
        </w:tabs>
        <w:spacing w:line="276" w:lineRule="auto"/>
        <w:jc w:val="both"/>
        <w:rPr>
          <w:rFonts w:ascii="Arial" w:eastAsia="Calibri" w:hAnsi="Arial" w:cs="Arial"/>
          <w:b/>
          <w:sz w:val="22"/>
          <w:lang w:val="es-CO"/>
        </w:rPr>
      </w:pPr>
    </w:p>
    <w:p w14:paraId="27B8929B" w14:textId="77777777" w:rsidR="00B56368" w:rsidRPr="0028382A" w:rsidRDefault="00B56368" w:rsidP="00B56368">
      <w:pPr>
        <w:spacing w:line="276" w:lineRule="auto"/>
        <w:jc w:val="both"/>
        <w:rPr>
          <w:rFonts w:ascii="Arial" w:eastAsia="Calibri" w:hAnsi="Arial" w:cs="Arial"/>
          <w:sz w:val="22"/>
          <w:lang w:val="es-CO"/>
        </w:rPr>
      </w:pPr>
      <w:bookmarkStart w:id="3" w:name="_Hlk81476722"/>
      <w:r>
        <w:rPr>
          <w:rFonts w:ascii="Arial" w:eastAsia="Calibri" w:hAnsi="Arial" w:cs="Arial"/>
          <w:sz w:val="22"/>
          <w:lang w:val="es-CO"/>
        </w:rPr>
        <w:lastRenderedPageBreak/>
        <w:t>U</w:t>
      </w:r>
      <w:r w:rsidRPr="008B1733">
        <w:rPr>
          <w:rFonts w:ascii="Arial" w:eastAsia="Calibri" w:hAnsi="Arial" w:cs="Arial"/>
          <w:sz w:val="22"/>
          <w:lang w:val="es-CO"/>
        </w:rPr>
        <w:t xml:space="preserve">sted pregunta lo siguiente </w:t>
      </w:r>
      <w:r>
        <w:rPr>
          <w:rFonts w:ascii="Arial" w:eastAsia="Calibri" w:hAnsi="Arial" w:cs="Arial"/>
          <w:sz w:val="22"/>
          <w:lang w:val="es-CO"/>
        </w:rPr>
        <w:t>r</w:t>
      </w:r>
      <w:r w:rsidRPr="008B1733">
        <w:rPr>
          <w:rFonts w:ascii="Arial" w:eastAsia="Calibri" w:hAnsi="Arial" w:cs="Arial"/>
          <w:sz w:val="22"/>
          <w:lang w:val="es-CO"/>
        </w:rPr>
        <w:t>especto del numeral 4.1.4 «DETERMINACIÓN DEL MÉTODO PARA LA PONDERACIÓN DE LA PROPUESTA ECONÓMICA» del documento base de los documentos tipo de licitación de obra pública de infraestructura de transporte –versión 3 –,</w:t>
      </w:r>
      <w:r>
        <w:rPr>
          <w:rFonts w:ascii="Arial" w:eastAsia="Calibri" w:hAnsi="Arial" w:cs="Arial"/>
          <w:sz w:val="22"/>
          <w:lang w:val="es-CO"/>
        </w:rPr>
        <w:t xml:space="preserve"> </w:t>
      </w:r>
      <w:r w:rsidRPr="008B1733">
        <w:rPr>
          <w:rFonts w:ascii="Arial" w:eastAsia="Calibri" w:hAnsi="Arial" w:cs="Arial"/>
          <w:sz w:val="22"/>
          <w:lang w:val="es-CO"/>
        </w:rPr>
        <w:t>tratándose de procesos de contratación estructurados por lotes: «[…] qué debe entenderse por orden ascendente para asignar el método a los siguientes lotes […]».</w:t>
      </w:r>
    </w:p>
    <w:bookmarkEnd w:id="3"/>
    <w:p w14:paraId="6EDD0425" w14:textId="77777777" w:rsidR="00B56368" w:rsidRPr="00BB0056" w:rsidRDefault="00B56368" w:rsidP="00B56368">
      <w:pPr>
        <w:tabs>
          <w:tab w:val="left" w:pos="426"/>
        </w:tabs>
        <w:spacing w:line="276" w:lineRule="auto"/>
        <w:jc w:val="both"/>
        <w:rPr>
          <w:rFonts w:ascii="Arial" w:eastAsia="Calibri" w:hAnsi="Arial" w:cs="Arial"/>
          <w:sz w:val="22"/>
          <w:lang w:val="es-CO"/>
        </w:rPr>
      </w:pPr>
    </w:p>
    <w:p w14:paraId="2FF4F65B" w14:textId="77777777" w:rsidR="00B56368" w:rsidRDefault="00B56368" w:rsidP="00B56368">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639BBEB9" w14:textId="77777777" w:rsidR="00B56368" w:rsidRDefault="00B56368" w:rsidP="00B56368">
      <w:pPr>
        <w:tabs>
          <w:tab w:val="left" w:pos="426"/>
        </w:tabs>
        <w:spacing w:line="276" w:lineRule="auto"/>
        <w:jc w:val="both"/>
        <w:rPr>
          <w:rFonts w:ascii="Arial" w:eastAsia="Calibri" w:hAnsi="Arial" w:cs="Arial"/>
          <w:b/>
          <w:sz w:val="22"/>
          <w:lang w:val="es-CO"/>
        </w:rPr>
      </w:pPr>
    </w:p>
    <w:p w14:paraId="68F0ABDA" w14:textId="77777777" w:rsidR="00B56368" w:rsidRDefault="00B56368" w:rsidP="00B56368">
      <w:pPr>
        <w:tabs>
          <w:tab w:val="left" w:pos="426"/>
        </w:tabs>
        <w:spacing w:line="276" w:lineRule="auto"/>
        <w:jc w:val="both"/>
        <w:rPr>
          <w:rFonts w:ascii="Arial" w:hAnsi="Arial" w:cs="Arial"/>
          <w:color w:val="000000" w:themeColor="text1"/>
          <w:sz w:val="22"/>
          <w:lang w:val="es-ES_tradnl"/>
        </w:rPr>
      </w:pPr>
      <w:r w:rsidRPr="009C7D09">
        <w:rPr>
          <w:rFonts w:ascii="Arial" w:eastAsia="Calibri" w:hAnsi="Arial" w:cs="Arial"/>
          <w:color w:val="000000" w:themeColor="text1"/>
          <w:sz w:val="22"/>
          <w:lang w:val="es-ES_tradnl"/>
        </w:rPr>
        <w:t>La Agencia Nacional de Contratación Pública – Colombia Compra Eficiente se pronunció sobre la regulación relacionada con la elección y aplicación del método</w:t>
      </w:r>
      <w:r>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de ponderación</w:t>
      </w:r>
      <w:r>
        <w:rPr>
          <w:rFonts w:ascii="Arial" w:eastAsia="Calibri" w:hAnsi="Arial" w:cs="Arial"/>
          <w:color w:val="000000" w:themeColor="text1"/>
          <w:sz w:val="22"/>
          <w:lang w:val="es-ES_tradnl"/>
        </w:rPr>
        <w:t xml:space="preserve"> de ofertas</w:t>
      </w:r>
      <w:r w:rsidRPr="009C7D09">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económicas </w:t>
      </w:r>
      <w:r w:rsidRPr="009C7D09">
        <w:rPr>
          <w:rFonts w:ascii="Arial" w:eastAsia="Calibri" w:hAnsi="Arial" w:cs="Arial"/>
          <w:color w:val="000000" w:themeColor="text1"/>
          <w:sz w:val="22"/>
          <w:lang w:val="es-ES_tradnl"/>
        </w:rPr>
        <w:t xml:space="preserve">en procesos contractuales regidos por documentos tipo </w:t>
      </w:r>
      <w:r>
        <w:rPr>
          <w:rFonts w:ascii="Arial" w:eastAsia="Calibri" w:hAnsi="Arial" w:cs="Arial"/>
          <w:color w:val="000000" w:themeColor="text1"/>
          <w:sz w:val="22"/>
          <w:lang w:val="es-ES_tradnl"/>
        </w:rPr>
        <w:t>en</w:t>
      </w:r>
      <w:r w:rsidRPr="009C7D09">
        <w:rPr>
          <w:rFonts w:ascii="Arial" w:eastAsia="Calibri" w:hAnsi="Arial" w:cs="Arial"/>
          <w:color w:val="000000" w:themeColor="text1"/>
          <w:sz w:val="22"/>
          <w:lang w:val="es-ES_tradnl"/>
        </w:rPr>
        <w:t xml:space="preserve"> los conceptos C-193 del 6 de abril de 2020, C-279 del 18 de mayo de 2020, C-349 del 23 de junio de 2020, C-431 del 9 de julio de 2020, C-793 del 20 de enero de 2021, C-810 del 8 de febrero de 2021, C-011 del 17 de febrero de 2021, C-042 del 3 de marzo de </w:t>
      </w:r>
      <w:r>
        <w:rPr>
          <w:rFonts w:ascii="Arial" w:eastAsia="Calibri" w:hAnsi="Arial" w:cs="Arial"/>
          <w:color w:val="000000" w:themeColor="text1"/>
          <w:sz w:val="22"/>
          <w:lang w:val="es-ES_tradnl"/>
        </w:rPr>
        <w:t xml:space="preserve">2021, </w:t>
      </w:r>
      <w:r w:rsidRPr="009C7D09">
        <w:rPr>
          <w:rFonts w:ascii="Arial" w:eastAsia="Calibri" w:hAnsi="Arial" w:cs="Arial"/>
          <w:color w:val="000000" w:themeColor="text1"/>
          <w:sz w:val="22"/>
          <w:lang w:val="es-ES_tradnl"/>
        </w:rPr>
        <w:t>C-174 del 26 de abril de 2021</w:t>
      </w:r>
      <w:r>
        <w:rPr>
          <w:rFonts w:ascii="Arial" w:eastAsia="Calibri" w:hAnsi="Arial" w:cs="Arial"/>
          <w:color w:val="000000" w:themeColor="text1"/>
          <w:sz w:val="22"/>
          <w:lang w:val="es-ES_tradnl"/>
        </w:rPr>
        <w:t>, C-332 del 7 de mayo de 2021, C-412 del 17 de agosto de 2021, C-402 del 19 de agosto de 2021, C-425 del 19 de agosto de 2021, C-632 del 19 de noviembre de 2021, C-680 del 9 de diciembre de 2021 y C-722 del 20 de diciembre de 2021.</w:t>
      </w:r>
      <w:r w:rsidRPr="00E91076">
        <w:rPr>
          <w:rFonts w:ascii="Arial" w:hAnsi="Arial" w:cs="Arial"/>
          <w:color w:val="000000" w:themeColor="text1"/>
          <w:sz w:val="22"/>
          <w:lang w:val="es-ES_tradnl"/>
        </w:rPr>
        <w:t xml:space="preserve"> La tesis propuesta en estos conceptos se reitera</w:t>
      </w:r>
      <w:r>
        <w:rPr>
          <w:rFonts w:ascii="Arial" w:hAnsi="Arial" w:cs="Arial"/>
          <w:color w:val="000000" w:themeColor="text1"/>
          <w:sz w:val="22"/>
          <w:lang w:val="es-ES_tradnl"/>
        </w:rPr>
        <w:t xml:space="preserve"> y se complementa a continuación, tomando como base los documentos tipo de licitación de obra pública de infraestructura de transporte.</w:t>
      </w:r>
    </w:p>
    <w:p w14:paraId="73FDB291" w14:textId="77777777" w:rsidR="00B56368" w:rsidRDefault="00B56368" w:rsidP="00B56368">
      <w:pPr>
        <w:tabs>
          <w:tab w:val="left" w:pos="426"/>
        </w:tabs>
        <w:spacing w:line="276" w:lineRule="auto"/>
        <w:jc w:val="both"/>
        <w:rPr>
          <w:rFonts w:ascii="Arial" w:eastAsia="Calibri" w:hAnsi="Arial" w:cs="Arial"/>
          <w:b/>
          <w:sz w:val="22"/>
          <w:lang w:val="es-CO"/>
        </w:rPr>
      </w:pPr>
    </w:p>
    <w:p w14:paraId="66B865DA" w14:textId="77777777" w:rsidR="00B56368" w:rsidRDefault="00B56368" w:rsidP="00B56368">
      <w:pPr>
        <w:tabs>
          <w:tab w:val="left" w:pos="426"/>
        </w:tabs>
        <w:jc w:val="both"/>
        <w:rPr>
          <w:rFonts w:ascii="Arial" w:eastAsia="Calibri" w:hAnsi="Arial" w:cs="Arial"/>
          <w:b/>
          <w:sz w:val="22"/>
          <w:lang w:val="es-CO"/>
        </w:rPr>
      </w:pPr>
      <w:r>
        <w:rPr>
          <w:rFonts w:ascii="Arial" w:eastAsia="Calibri" w:hAnsi="Arial" w:cs="Arial"/>
          <w:b/>
          <w:sz w:val="22"/>
          <w:lang w:val="es-CO"/>
        </w:rPr>
        <w:t>2.1. Generalidades de los documentos tipo de infraestructura de transporte</w:t>
      </w:r>
    </w:p>
    <w:p w14:paraId="4B283BBB" w14:textId="77777777" w:rsidR="00B56368" w:rsidRDefault="00B56368" w:rsidP="00B56368">
      <w:pPr>
        <w:shd w:val="clear" w:color="auto" w:fill="FFFFFF"/>
        <w:spacing w:line="276" w:lineRule="auto"/>
        <w:jc w:val="both"/>
        <w:rPr>
          <w:rFonts w:ascii="Arial" w:eastAsia="Calibri" w:hAnsi="Arial" w:cs="Arial"/>
          <w:b/>
          <w:sz w:val="22"/>
          <w:lang w:val="es-CO"/>
        </w:rPr>
      </w:pPr>
    </w:p>
    <w:p w14:paraId="61883F1C" w14:textId="77777777" w:rsidR="00B56368" w:rsidRPr="0043040E" w:rsidRDefault="00B56368" w:rsidP="00B56368">
      <w:pPr>
        <w:shd w:val="clear" w:color="auto" w:fill="FFFFFF"/>
        <w:spacing w:line="276" w:lineRule="auto"/>
        <w:jc w:val="both"/>
        <w:rPr>
          <w:rFonts w:ascii="Arial" w:hAnsi="Arial" w:cs="Arial"/>
          <w:color w:val="0D0D0D"/>
          <w:sz w:val="22"/>
          <w:bdr w:val="none" w:sz="0" w:space="0" w:color="auto" w:frame="1"/>
          <w:lang w:eastAsia="es-CO"/>
        </w:rPr>
      </w:pPr>
      <w:bookmarkStart w:id="4" w:name="_Hlk95143392"/>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42EA0EA1" w14:textId="77777777" w:rsidR="00B56368" w:rsidRPr="0043040E" w:rsidRDefault="00B56368" w:rsidP="00B56368">
      <w:pPr>
        <w:shd w:val="clear" w:color="auto" w:fill="FFFFFF"/>
        <w:spacing w:before="120" w:line="276" w:lineRule="auto"/>
        <w:ind w:firstLine="708"/>
        <w:jc w:val="both"/>
        <w:rPr>
          <w:rFonts w:ascii="Arial" w:hAnsi="Arial" w:cs="Arial"/>
          <w:color w:val="0D0D0D"/>
          <w:sz w:val="22"/>
          <w:bdr w:val="none" w:sz="0" w:space="0" w:color="auto" w:frame="1"/>
          <w:lang w:eastAsia="es-CO"/>
        </w:rPr>
      </w:pPr>
      <w:bookmarkStart w:id="5" w:name="_Hlk95143447"/>
      <w:bookmarkEnd w:id="4"/>
      <w:r w:rsidRPr="0043040E">
        <w:rPr>
          <w:rFonts w:ascii="Arial" w:hAnsi="Arial" w:cs="Arial"/>
          <w:color w:val="0D0D0D"/>
          <w:sz w:val="22"/>
          <w:bdr w:val="none" w:sz="0" w:space="0" w:color="auto" w:frame="1"/>
          <w:lang w:eastAsia="es-CO"/>
        </w:rPr>
        <w:lastRenderedPageBreak/>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bookmarkEnd w:id="5"/>
    <w:p w14:paraId="28402130" w14:textId="77777777" w:rsidR="00B56368" w:rsidRDefault="00B56368" w:rsidP="00B56368">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w:t>
      </w:r>
      <w:r>
        <w:rPr>
          <w:rFonts w:ascii="Arial" w:hAnsi="Arial" w:cs="Arial"/>
          <w:color w:val="0D0D0D"/>
          <w:sz w:val="22"/>
          <w:bdr w:val="none" w:sz="0" w:space="0" w:color="auto" w:frame="1"/>
          <w:lang w:eastAsia="es-CO"/>
        </w:rPr>
        <w:t>ió</w:t>
      </w:r>
      <w:r w:rsidRPr="0043040E">
        <w:rPr>
          <w:rFonts w:ascii="Arial" w:hAnsi="Arial" w:cs="Arial"/>
          <w:color w:val="0D0D0D"/>
          <w:sz w:val="22"/>
          <w:bdr w:val="none" w:sz="0" w:space="0" w:color="auto" w:frame="1"/>
          <w:lang w:eastAsia="es-CO"/>
        </w:rPr>
        <w:t xml:space="preserve"> la obligatoriedad de la adopción de documentos tipo para algunos contratos, en los siguientes términos: </w:t>
      </w:r>
    </w:p>
    <w:p w14:paraId="3F45FB17" w14:textId="77777777" w:rsidR="00B56368" w:rsidRPr="0043040E" w:rsidRDefault="00B56368" w:rsidP="00B56368">
      <w:pPr>
        <w:shd w:val="clear" w:color="auto" w:fill="FFFFFF"/>
        <w:spacing w:line="276" w:lineRule="auto"/>
        <w:ind w:firstLine="709"/>
        <w:jc w:val="both"/>
        <w:rPr>
          <w:rFonts w:ascii="Arial" w:hAnsi="Arial" w:cs="Arial"/>
          <w:color w:val="000000"/>
          <w:sz w:val="22"/>
          <w:lang w:eastAsia="es-CO"/>
        </w:rPr>
      </w:pPr>
    </w:p>
    <w:p w14:paraId="7ABE7439" w14:textId="77777777" w:rsidR="00B56368" w:rsidRDefault="00B56368" w:rsidP="00B56368">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777DAADC" w14:textId="77777777" w:rsidR="00B56368" w:rsidRPr="00346E84" w:rsidRDefault="00B56368" w:rsidP="00B56368">
      <w:pPr>
        <w:shd w:val="clear" w:color="auto" w:fill="FFFFFF"/>
        <w:spacing w:line="276" w:lineRule="auto"/>
        <w:ind w:left="709" w:right="709"/>
        <w:jc w:val="both"/>
        <w:rPr>
          <w:rFonts w:ascii="Arial" w:hAnsi="Arial" w:cs="Arial"/>
          <w:color w:val="000000"/>
          <w:sz w:val="22"/>
          <w:lang w:eastAsia="es-CO"/>
        </w:rPr>
      </w:pPr>
    </w:p>
    <w:p w14:paraId="2B10B960" w14:textId="77777777" w:rsidR="00B56368" w:rsidRPr="00B57F79" w:rsidRDefault="00B56368" w:rsidP="00B56368">
      <w:pPr>
        <w:shd w:val="clear" w:color="auto" w:fill="FFFFFF"/>
        <w:spacing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w:t>
      </w:r>
      <w:r>
        <w:rPr>
          <w:rFonts w:ascii="Arial" w:hAnsi="Arial" w:cs="Arial"/>
          <w:color w:val="0D0D0D"/>
          <w:sz w:val="22"/>
          <w:bdr w:val="none" w:sz="0" w:space="0" w:color="auto" w:frame="1"/>
          <w:lang w:eastAsia="es-CO"/>
        </w:rPr>
        <w:t>pues</w:t>
      </w:r>
      <w:r w:rsidRPr="00B57F79">
        <w:rPr>
          <w:rFonts w:ascii="Arial" w:hAnsi="Arial" w:cs="Arial"/>
          <w:color w:val="0D0D0D"/>
          <w:sz w:val="22"/>
          <w:bdr w:val="none" w:sz="0" w:space="0" w:color="auto" w:frame="1"/>
          <w:lang w:eastAsia="es-CO"/>
        </w:rPr>
        <w:t xml:space="preserve"> antes se señalaba al Gobierno Nacional y ahora la entidad encargada directamente por la Ley es la Agencia Nacional de Contratación Pública – Colombia Compra Eficiente– o quien haga sus veces; </w:t>
      </w:r>
      <w:proofErr w:type="spellStart"/>
      <w:r w:rsidRPr="00B57F79">
        <w:rPr>
          <w:rFonts w:ascii="Arial" w:hAnsi="Arial" w:cs="Arial"/>
          <w:color w:val="0D0D0D"/>
          <w:sz w:val="22"/>
          <w:bdr w:val="none" w:sz="0" w:space="0" w:color="auto" w:frame="1"/>
          <w:lang w:eastAsia="es-CO"/>
        </w:rPr>
        <w:t>ii</w:t>
      </w:r>
      <w:proofErr w:type="spellEnd"/>
      <w:r w:rsidRPr="00B57F79">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B57F79">
        <w:rPr>
          <w:rFonts w:ascii="Arial" w:hAnsi="Arial" w:cs="Arial"/>
          <w:color w:val="0D0D0D"/>
          <w:sz w:val="22"/>
          <w:bdr w:val="none" w:sz="0" w:space="0" w:color="auto" w:frame="1"/>
          <w:lang w:eastAsia="es-CO"/>
        </w:rPr>
        <w:t>iii</w:t>
      </w:r>
      <w:proofErr w:type="spellEnd"/>
      <w:r w:rsidRPr="00B57F79">
        <w:rPr>
          <w:rFonts w:ascii="Arial" w:hAnsi="Arial" w:cs="Arial"/>
          <w:color w:val="0D0D0D"/>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B57F79">
        <w:rPr>
          <w:rFonts w:ascii="Arial" w:hAnsi="Arial" w:cs="Arial"/>
          <w:color w:val="0D0D0D"/>
          <w:sz w:val="22"/>
          <w:bdr w:val="none" w:sz="0" w:space="0" w:color="auto" w:frame="1"/>
          <w:lang w:eastAsia="es-CO"/>
        </w:rPr>
        <w:t>iv</w:t>
      </w:r>
      <w:proofErr w:type="spellEnd"/>
      <w:r w:rsidRPr="00B57F79">
        <w:rPr>
          <w:rFonts w:ascii="Arial" w:hAnsi="Arial" w:cs="Arial"/>
          <w:color w:val="0D0D0D"/>
          <w:sz w:val="22"/>
          <w:bdr w:val="none" w:sz="0" w:space="0" w:color="auto" w:frame="1"/>
          <w:lang w:eastAsia="es-CO"/>
        </w:rPr>
        <w:t xml:space="preserve">) las responsabilidades para Colombia Compra Eficiente en la definición del desarrollo e </w:t>
      </w:r>
      <w:r w:rsidRPr="00B57F79">
        <w:rPr>
          <w:rFonts w:ascii="Arial" w:hAnsi="Arial" w:cs="Arial"/>
          <w:color w:val="0D0D0D"/>
          <w:sz w:val="22"/>
          <w:bdr w:val="none" w:sz="0" w:space="0" w:color="auto" w:frame="1"/>
          <w:lang w:eastAsia="es-CO"/>
        </w:rPr>
        <w:lastRenderedPageBreak/>
        <w:t>implementación de los documentos tipo mediante cronogramas, coordinación con otras entidades especializadas, recepción de comentarios de los interesados y revisión de los documentos tipo expedidos</w:t>
      </w:r>
      <w:r w:rsidRPr="00B57F79">
        <w:rPr>
          <w:rStyle w:val="Refdenotaalpie"/>
          <w:rFonts w:ascii="Arial" w:hAnsi="Arial" w:cs="Arial"/>
          <w:color w:val="0D0D0D"/>
          <w:sz w:val="22"/>
          <w:bdr w:val="none" w:sz="0" w:space="0" w:color="auto" w:frame="1"/>
          <w:lang w:eastAsia="es-CO"/>
        </w:rPr>
        <w:footnoteReference w:id="5"/>
      </w:r>
      <w:r w:rsidRPr="00B57F79">
        <w:rPr>
          <w:rFonts w:ascii="Arial" w:hAnsi="Arial" w:cs="Arial"/>
          <w:color w:val="0D0D0D"/>
          <w:sz w:val="22"/>
          <w:bdr w:val="none" w:sz="0" w:space="0" w:color="auto" w:frame="1"/>
          <w:lang w:eastAsia="es-CO"/>
        </w:rPr>
        <w:t>.  </w:t>
      </w:r>
    </w:p>
    <w:p w14:paraId="3BA470AA" w14:textId="77777777" w:rsidR="00B56368" w:rsidRPr="00183A4D" w:rsidRDefault="00B56368" w:rsidP="00B56368">
      <w:pPr>
        <w:spacing w:before="120" w:line="276" w:lineRule="auto"/>
        <w:ind w:firstLine="709"/>
        <w:jc w:val="both"/>
        <w:rPr>
          <w:rFonts w:ascii="Arial" w:eastAsia="Times New Roman" w:hAnsi="Arial" w:cs="Arial"/>
          <w:color w:val="0D0D0D"/>
          <w:sz w:val="22"/>
          <w:bdr w:val="none" w:sz="0" w:space="0" w:color="auto" w:frame="1"/>
          <w:lang w:val="es-ES_tradnl" w:eastAsia="es-CO"/>
        </w:rPr>
      </w:pPr>
      <w:r w:rsidRPr="00183A4D">
        <w:rPr>
          <w:rFonts w:ascii="Arial" w:hAnsi="Arial" w:cs="Arial"/>
          <w:color w:val="0D0D0D"/>
          <w:sz w:val="22"/>
          <w:bdr w:val="none" w:sz="0" w:space="0" w:color="auto" w:frame="1"/>
          <w:lang w:eastAsia="es-CO"/>
        </w:rPr>
        <w:t>Con fundamento en las disposiciones anteriores</w:t>
      </w:r>
      <w:r w:rsidRPr="00183A4D">
        <w:rPr>
          <w:rFonts w:ascii="Arial" w:eastAsia="Times New Roman" w:hAnsi="Arial" w:cs="Arial"/>
          <w:color w:val="0D0D0D"/>
          <w:sz w:val="22"/>
          <w:bdr w:val="none" w:sz="0" w:space="0" w:color="auto" w:frame="1"/>
          <w:lang w:val="es-ES_tradnl" w:eastAsia="es-CO"/>
        </w:rPr>
        <w:t>, la Agencia Nacional de Contratación Pública – Colombia Compra Eficiente expidió la Resoluci</w:t>
      </w:r>
      <w:r>
        <w:rPr>
          <w:rFonts w:ascii="Arial" w:eastAsia="Times New Roman" w:hAnsi="Arial" w:cs="Arial"/>
          <w:color w:val="0D0D0D"/>
          <w:sz w:val="22"/>
          <w:bdr w:val="none" w:sz="0" w:space="0" w:color="auto" w:frame="1"/>
          <w:lang w:val="es-ES_tradnl" w:eastAsia="es-CO"/>
        </w:rPr>
        <w:t>ón</w:t>
      </w:r>
      <w:r w:rsidRPr="00183A4D">
        <w:rPr>
          <w:rFonts w:ascii="Arial" w:eastAsia="Times New Roman" w:hAnsi="Arial" w:cs="Arial"/>
          <w:color w:val="0D0D0D"/>
          <w:sz w:val="22"/>
          <w:bdr w:val="none" w:sz="0" w:space="0" w:color="auto" w:frame="1"/>
          <w:lang w:val="es-ES_tradnl" w:eastAsia="es-CO"/>
        </w:rPr>
        <w:t xml:space="preserve"> No. 240 del 27 de noviembre 2020 mediante la cual se adoptan los documentos tipo de licitación de obra pública de infraestructura de transporte – versión 3. Estas versiones de los documentos tipo son obligatorios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2E830CF7" w14:textId="77777777" w:rsidR="00B56368" w:rsidRPr="00183A4D" w:rsidRDefault="00B56368" w:rsidP="00B56368">
      <w:pPr>
        <w:spacing w:before="120" w:line="276" w:lineRule="auto"/>
        <w:ind w:firstLine="709"/>
        <w:jc w:val="both"/>
        <w:rPr>
          <w:rFonts w:ascii="Arial" w:eastAsia="Calibri" w:hAnsi="Arial" w:cs="Arial"/>
          <w:color w:val="000000" w:themeColor="text1"/>
          <w:sz w:val="22"/>
          <w:lang w:val="es-ES_tradnl" w:eastAsia="es-ES"/>
        </w:rPr>
      </w:pPr>
      <w:r w:rsidRPr="00183A4D">
        <w:rPr>
          <w:rFonts w:ascii="Arial" w:eastAsia="Times New Roman" w:hAnsi="Arial" w:cs="Arial"/>
          <w:color w:val="0D0D0D"/>
          <w:sz w:val="22"/>
          <w:bdr w:val="none" w:sz="0" w:space="0" w:color="auto" w:frame="1"/>
          <w:lang w:val="es-ES_tradnl" w:eastAsia="es-CO"/>
        </w:rPr>
        <w:t xml:space="preserve">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w:t>
      </w:r>
      <w:r w:rsidRPr="00183A4D">
        <w:rPr>
          <w:rFonts w:ascii="Arial" w:eastAsia="Times New Roman" w:hAnsi="Arial" w:cs="Arial"/>
          <w:color w:val="0D0D0D"/>
          <w:sz w:val="22"/>
          <w:bdr w:val="none" w:sz="0" w:space="0" w:color="auto" w:frame="1"/>
          <w:lang w:val="es-ES_tradnl" w:eastAsia="es-CO"/>
        </w:rPr>
        <w:lastRenderedPageBreak/>
        <w:t>el Sistema de Compra Pública», esta Agencia expidió la Resolución 304 del 13 de octubre de 2021, mediante l</w:t>
      </w:r>
      <w:r>
        <w:rPr>
          <w:rFonts w:ascii="Arial" w:eastAsia="Times New Roman" w:hAnsi="Arial" w:cs="Arial"/>
          <w:color w:val="0D0D0D"/>
          <w:sz w:val="22"/>
          <w:bdr w:val="none" w:sz="0" w:space="0" w:color="auto" w:frame="1"/>
          <w:lang w:val="es-ES_tradnl" w:eastAsia="es-CO"/>
        </w:rPr>
        <w:t>a</w:t>
      </w:r>
      <w:r w:rsidRPr="00183A4D">
        <w:rPr>
          <w:rFonts w:ascii="Arial" w:eastAsia="Times New Roman" w:hAnsi="Arial" w:cs="Arial"/>
          <w:color w:val="0D0D0D"/>
          <w:sz w:val="22"/>
          <w:bdr w:val="none" w:sz="0" w:space="0" w:color="auto" w:frame="1"/>
          <w:lang w:val="es-ES_tradnl" w:eastAsia="es-CO"/>
        </w:rPr>
        <w:t xml:space="preserve"> cual se modifica</w:t>
      </w:r>
      <w:r>
        <w:rPr>
          <w:rFonts w:ascii="Arial" w:eastAsia="Times New Roman" w:hAnsi="Arial" w:cs="Arial"/>
          <w:color w:val="0D0D0D"/>
          <w:sz w:val="22"/>
          <w:bdr w:val="none" w:sz="0" w:space="0" w:color="auto" w:frame="1"/>
          <w:lang w:val="es-ES_tradnl" w:eastAsia="es-CO"/>
        </w:rPr>
        <w:t>ro</w:t>
      </w:r>
      <w:r w:rsidRPr="00183A4D">
        <w:rPr>
          <w:rFonts w:ascii="Arial" w:eastAsia="Times New Roman" w:hAnsi="Arial" w:cs="Arial"/>
          <w:color w:val="0D0D0D"/>
          <w:sz w:val="22"/>
          <w:bdr w:val="none" w:sz="0" w:space="0" w:color="auto" w:frame="1"/>
          <w:lang w:val="es-ES_tradnl" w:eastAsia="es-CO"/>
        </w:rPr>
        <w:t xml:space="preserve">n los documentos tipo indicados, </w:t>
      </w:r>
      <w:r>
        <w:rPr>
          <w:rFonts w:ascii="Arial" w:eastAsia="Times New Roman" w:hAnsi="Arial" w:cs="Arial"/>
          <w:color w:val="0D0D0D"/>
          <w:sz w:val="22"/>
          <w:bdr w:val="none" w:sz="0" w:space="0" w:color="auto" w:frame="1"/>
          <w:lang w:val="es-ES_tradnl" w:eastAsia="es-CO"/>
        </w:rPr>
        <w:t xml:space="preserve">la cual </w:t>
      </w:r>
      <w:r w:rsidRPr="00183A4D">
        <w:rPr>
          <w:rFonts w:ascii="Arial" w:eastAsia="Times New Roman" w:hAnsi="Arial" w:cs="Arial"/>
          <w:color w:val="0D0D0D"/>
          <w:sz w:val="22"/>
          <w:bdr w:val="none" w:sz="0" w:space="0" w:color="auto" w:frame="1"/>
          <w:lang w:val="es-ES_tradnl" w:eastAsia="es-CO"/>
        </w:rPr>
        <w:t xml:space="preserve">aplica a los procesos de contratación cuyo aviso de convocatoria se publique a partir del 2 de noviembre de 2021. </w:t>
      </w:r>
    </w:p>
    <w:p w14:paraId="74952616" w14:textId="77777777" w:rsidR="00B56368" w:rsidRDefault="00B56368" w:rsidP="00B56368">
      <w:pPr>
        <w:pStyle w:val="Normal11pt"/>
        <w:spacing w:line="276" w:lineRule="auto"/>
        <w:ind w:left="0"/>
        <w:rPr>
          <w:color w:val="0D0D0D"/>
          <w:bdr w:val="none" w:sz="0" w:space="0" w:color="auto" w:frame="1"/>
          <w:lang w:eastAsia="es-CO"/>
        </w:rPr>
      </w:pPr>
    </w:p>
    <w:p w14:paraId="18E30957" w14:textId="77777777" w:rsidR="00B56368" w:rsidRPr="00C15FEE" w:rsidRDefault="00B56368" w:rsidP="00B56368">
      <w:pPr>
        <w:pStyle w:val="Normal11pt"/>
        <w:spacing w:line="276" w:lineRule="auto"/>
        <w:ind w:left="0"/>
        <w:rPr>
          <w:b/>
          <w:bCs/>
          <w:color w:val="0D0D0D"/>
          <w:bdr w:val="none" w:sz="0" w:space="0" w:color="auto" w:frame="1"/>
          <w:lang w:eastAsia="es-CO"/>
        </w:rPr>
      </w:pPr>
      <w:r w:rsidRPr="00C15FEE">
        <w:rPr>
          <w:b/>
          <w:bCs/>
          <w:color w:val="0D0D0D"/>
          <w:bdr w:val="none" w:sz="0" w:space="0" w:color="auto" w:frame="1"/>
          <w:lang w:eastAsia="es-CO"/>
        </w:rPr>
        <w:t xml:space="preserve">2.2. Determinación de la ponderación de la propuesta económica en los documentos tipo de licitación de obra pública de infraestructura de transporte –versión 3– </w:t>
      </w:r>
    </w:p>
    <w:p w14:paraId="58E9FF15" w14:textId="77777777" w:rsidR="00B56368" w:rsidRPr="00C15FEE" w:rsidRDefault="00B56368" w:rsidP="00B56368">
      <w:pPr>
        <w:pStyle w:val="Normal11pt"/>
        <w:spacing w:line="276" w:lineRule="auto"/>
        <w:ind w:left="0"/>
        <w:rPr>
          <w:rFonts w:eastAsia="Calibri"/>
          <w:b/>
          <w:bCs/>
          <w:lang w:val="es-CO"/>
        </w:rPr>
      </w:pPr>
    </w:p>
    <w:p w14:paraId="23EBB67A" w14:textId="77777777" w:rsidR="00B56368" w:rsidRPr="00C15FEE" w:rsidRDefault="00B56368" w:rsidP="00B56368">
      <w:pPr>
        <w:pStyle w:val="InviasNormal"/>
        <w:spacing w:before="0" w:after="120" w:line="276" w:lineRule="auto"/>
        <w:outlineLvl w:val="2"/>
        <w:rPr>
          <w:rFonts w:ascii="Arial" w:eastAsia="Calibri" w:hAnsi="Arial" w:cs="Arial"/>
          <w:color w:val="auto"/>
          <w:sz w:val="22"/>
          <w:szCs w:val="22"/>
        </w:rPr>
      </w:pPr>
      <w:bookmarkStart w:id="6" w:name="_Hlk94088065"/>
      <w:r w:rsidRPr="00C15FEE">
        <w:rPr>
          <w:rFonts w:ascii="Arial" w:eastAsia="Calibri" w:hAnsi="Arial" w:cs="Arial"/>
          <w:color w:val="000000" w:themeColor="text1"/>
          <w:sz w:val="22"/>
          <w:szCs w:val="22"/>
          <w:lang w:val="es-MX" w:eastAsia="en-US"/>
        </w:rPr>
        <w:t>Los «Documentos Tipo – Versión 3» de licitación de infraestructura de transporte</w:t>
      </w:r>
      <w:r w:rsidRPr="00C15FEE">
        <w:rPr>
          <w:rFonts w:ascii="Arial" w:eastAsia="Calibri" w:hAnsi="Arial" w:cs="Arial"/>
          <w:color w:val="auto"/>
          <w:sz w:val="22"/>
          <w:szCs w:val="22"/>
        </w:rPr>
        <w:t xml:space="preserve"> establece</w:t>
      </w:r>
      <w:r w:rsidRPr="00C15FEE">
        <w:rPr>
          <w:rFonts w:ascii="Arial" w:eastAsia="Calibri" w:hAnsi="Arial" w:cs="Arial"/>
          <w:color w:val="auto"/>
          <w:sz w:val="22"/>
          <w:szCs w:val="22"/>
          <w:lang w:val="es-MX"/>
        </w:rPr>
        <w:t xml:space="preserve">n, </w:t>
      </w:r>
      <w:r w:rsidRPr="00C15FEE">
        <w:rPr>
          <w:rFonts w:ascii="Arial" w:eastAsia="Calibri" w:hAnsi="Arial" w:cs="Arial"/>
          <w:color w:val="auto"/>
          <w:sz w:val="22"/>
          <w:szCs w:val="22"/>
        </w:rPr>
        <w:t xml:space="preserve">en el numeral </w:t>
      </w:r>
      <w:bookmarkStart w:id="7" w:name="_Toc32147369"/>
      <w:bookmarkStart w:id="8" w:name="_Toc84413953"/>
      <w:bookmarkStart w:id="9" w:name="_Hlk511666009"/>
      <w:r w:rsidRPr="00C15FEE">
        <w:rPr>
          <w:rFonts w:ascii="Arial" w:eastAsia="Calibri" w:hAnsi="Arial" w:cs="Arial"/>
          <w:color w:val="auto"/>
          <w:sz w:val="22"/>
          <w:szCs w:val="22"/>
          <w:lang w:val="es-CO"/>
        </w:rPr>
        <w:t>4.1.4. «</w:t>
      </w:r>
      <w:r w:rsidRPr="00C15FEE">
        <w:rPr>
          <w:rFonts w:ascii="Arial" w:eastAsia="Arial" w:hAnsi="Arial" w:cs="Arial"/>
          <w:color w:val="auto"/>
          <w:sz w:val="22"/>
          <w:szCs w:val="22"/>
          <w:lang w:val="es-CO"/>
        </w:rPr>
        <w:t>determinación del método para la ponderación de la propuesta económica</w:t>
      </w:r>
      <w:bookmarkEnd w:id="7"/>
      <w:bookmarkEnd w:id="8"/>
      <w:bookmarkEnd w:id="9"/>
      <w:r w:rsidRPr="00C15FEE">
        <w:rPr>
          <w:rFonts w:ascii="Arial" w:eastAsia="Arial" w:hAnsi="Arial" w:cs="Arial"/>
          <w:color w:val="auto"/>
          <w:sz w:val="22"/>
          <w:szCs w:val="22"/>
          <w:lang w:val="es-CO"/>
        </w:rPr>
        <w:t xml:space="preserve">», establece </w:t>
      </w:r>
      <w:r w:rsidRPr="00C15FEE">
        <w:rPr>
          <w:rFonts w:ascii="Arial" w:eastAsia="Calibri" w:hAnsi="Arial" w:cs="Arial"/>
          <w:color w:val="auto"/>
          <w:sz w:val="22"/>
          <w:szCs w:val="22"/>
        </w:rPr>
        <w:t>cuatro</w:t>
      </w:r>
      <w:r w:rsidRPr="00C15FEE">
        <w:rPr>
          <w:rFonts w:ascii="Arial" w:eastAsia="Calibri" w:hAnsi="Arial" w:cs="Arial"/>
          <w:color w:val="auto"/>
          <w:sz w:val="22"/>
          <w:szCs w:val="22"/>
          <w:lang w:val="es-MX"/>
        </w:rPr>
        <w:t xml:space="preserve"> (4)</w:t>
      </w:r>
      <w:r w:rsidRPr="00C15FEE">
        <w:rPr>
          <w:rFonts w:ascii="Arial" w:eastAsia="Calibri" w:hAnsi="Arial" w:cs="Arial"/>
          <w:color w:val="auto"/>
          <w:sz w:val="22"/>
          <w:szCs w:val="22"/>
        </w:rPr>
        <w:t xml:space="preserve"> alternativas para escoger el método de ponderación de la</w:t>
      </w:r>
      <w:r w:rsidRPr="00C15FEE">
        <w:rPr>
          <w:rFonts w:ascii="Arial" w:eastAsia="Calibri" w:hAnsi="Arial" w:cs="Arial"/>
          <w:color w:val="auto"/>
          <w:sz w:val="22"/>
          <w:szCs w:val="22"/>
          <w:lang w:val="es-CO"/>
        </w:rPr>
        <w:t>s</w:t>
      </w:r>
      <w:r w:rsidRPr="00C15FEE">
        <w:rPr>
          <w:rFonts w:ascii="Arial" w:eastAsia="Calibri" w:hAnsi="Arial" w:cs="Arial"/>
          <w:color w:val="auto"/>
          <w:sz w:val="22"/>
          <w:szCs w:val="22"/>
        </w:rPr>
        <w:t xml:space="preserve"> propuesta</w:t>
      </w:r>
      <w:r w:rsidRPr="00C15FEE">
        <w:rPr>
          <w:rFonts w:ascii="Arial" w:eastAsia="Calibri" w:hAnsi="Arial" w:cs="Arial"/>
          <w:color w:val="auto"/>
          <w:sz w:val="22"/>
          <w:szCs w:val="22"/>
          <w:lang w:val="es-CO"/>
        </w:rPr>
        <w:t>s</w:t>
      </w:r>
      <w:r w:rsidRPr="00C15FEE">
        <w:rPr>
          <w:rFonts w:ascii="Arial" w:eastAsia="Calibri" w:hAnsi="Arial" w:cs="Arial"/>
          <w:color w:val="auto"/>
          <w:sz w:val="22"/>
          <w:szCs w:val="22"/>
        </w:rPr>
        <w:t xml:space="preserve"> económica</w:t>
      </w:r>
      <w:r w:rsidRPr="00C15FEE">
        <w:rPr>
          <w:rFonts w:ascii="Arial" w:eastAsia="Calibri" w:hAnsi="Arial" w:cs="Arial"/>
          <w:color w:val="auto"/>
          <w:sz w:val="22"/>
          <w:szCs w:val="22"/>
          <w:lang w:val="es-CO"/>
        </w:rPr>
        <w:t>s</w:t>
      </w:r>
      <w:r w:rsidRPr="00C15FEE">
        <w:rPr>
          <w:rFonts w:ascii="Arial" w:eastAsia="Calibri" w:hAnsi="Arial" w:cs="Arial"/>
          <w:color w:val="auto"/>
          <w:sz w:val="22"/>
          <w:szCs w:val="22"/>
        </w:rPr>
        <w:t xml:space="preserve">, a saber: i) mediana con valor absoluto; </w:t>
      </w:r>
      <w:proofErr w:type="spellStart"/>
      <w:r w:rsidRPr="00C15FEE">
        <w:rPr>
          <w:rFonts w:ascii="Arial" w:eastAsia="Calibri" w:hAnsi="Arial" w:cs="Arial"/>
          <w:color w:val="auto"/>
          <w:sz w:val="22"/>
          <w:szCs w:val="22"/>
        </w:rPr>
        <w:t>ii</w:t>
      </w:r>
      <w:proofErr w:type="spellEnd"/>
      <w:r w:rsidRPr="00C15FEE">
        <w:rPr>
          <w:rFonts w:ascii="Arial" w:eastAsia="Calibri" w:hAnsi="Arial" w:cs="Arial"/>
          <w:color w:val="auto"/>
          <w:sz w:val="22"/>
          <w:szCs w:val="22"/>
        </w:rPr>
        <w:t xml:space="preserve">) media geométrica; </w:t>
      </w:r>
      <w:proofErr w:type="spellStart"/>
      <w:r w:rsidRPr="00C15FEE">
        <w:rPr>
          <w:rFonts w:ascii="Arial" w:eastAsia="Calibri" w:hAnsi="Arial" w:cs="Arial"/>
          <w:color w:val="auto"/>
          <w:sz w:val="22"/>
          <w:szCs w:val="22"/>
        </w:rPr>
        <w:t>iii</w:t>
      </w:r>
      <w:proofErr w:type="spellEnd"/>
      <w:r w:rsidRPr="00C15FEE">
        <w:rPr>
          <w:rFonts w:ascii="Arial" w:eastAsia="Calibri" w:hAnsi="Arial" w:cs="Arial"/>
          <w:color w:val="auto"/>
          <w:sz w:val="22"/>
          <w:szCs w:val="22"/>
        </w:rPr>
        <w:t xml:space="preserve">) media aritmética baja y </w:t>
      </w:r>
      <w:proofErr w:type="spellStart"/>
      <w:r w:rsidRPr="00C15FEE">
        <w:rPr>
          <w:rFonts w:ascii="Arial" w:eastAsia="Calibri" w:hAnsi="Arial" w:cs="Arial"/>
          <w:color w:val="auto"/>
          <w:sz w:val="22"/>
          <w:szCs w:val="22"/>
        </w:rPr>
        <w:t>iv</w:t>
      </w:r>
      <w:proofErr w:type="spellEnd"/>
      <w:r w:rsidRPr="00C15FEE">
        <w:rPr>
          <w:rFonts w:ascii="Arial" w:eastAsia="Calibri" w:hAnsi="Arial" w:cs="Arial"/>
          <w:color w:val="auto"/>
          <w:sz w:val="22"/>
          <w:szCs w:val="22"/>
        </w:rPr>
        <w:t>) menor valor.</w:t>
      </w:r>
      <w:r w:rsidRPr="00C15FEE">
        <w:rPr>
          <w:rFonts w:ascii="Arial" w:eastAsia="Calibri" w:hAnsi="Arial" w:cs="Arial"/>
          <w:color w:val="auto"/>
          <w:sz w:val="22"/>
          <w:szCs w:val="22"/>
          <w:lang w:val="es-CO"/>
        </w:rPr>
        <w:t xml:space="preserve"> A partir de estas alternativas</w:t>
      </w:r>
      <w:r w:rsidRPr="00C15FEE">
        <w:rPr>
          <w:rFonts w:ascii="Arial" w:eastAsia="Calibri" w:hAnsi="Arial" w:cs="Arial"/>
          <w:color w:val="auto"/>
          <w:sz w:val="22"/>
          <w:szCs w:val="22"/>
        </w:rPr>
        <w:t>, la entidad</w:t>
      </w:r>
      <w:r w:rsidRPr="00C15FEE">
        <w:rPr>
          <w:rFonts w:ascii="Arial" w:eastAsia="Calibri" w:hAnsi="Arial" w:cs="Arial"/>
          <w:color w:val="auto"/>
          <w:sz w:val="22"/>
          <w:szCs w:val="22"/>
          <w:lang w:val="es-ES"/>
        </w:rPr>
        <w:t>,</w:t>
      </w:r>
      <w:r w:rsidRPr="00C15FEE">
        <w:rPr>
          <w:rFonts w:ascii="Arial" w:eastAsia="Calibri" w:hAnsi="Arial" w:cs="Arial"/>
          <w:color w:val="auto"/>
          <w:sz w:val="22"/>
          <w:szCs w:val="22"/>
        </w:rPr>
        <w:t xml:space="preserve"> para establecer el método de ponderación</w:t>
      </w:r>
      <w:r w:rsidRPr="00C15FEE">
        <w:rPr>
          <w:rFonts w:ascii="Arial" w:eastAsia="Calibri" w:hAnsi="Arial" w:cs="Arial"/>
          <w:color w:val="auto"/>
          <w:sz w:val="22"/>
          <w:szCs w:val="22"/>
          <w:lang w:val="es-ES"/>
        </w:rPr>
        <w:t>,</w:t>
      </w:r>
      <w:r w:rsidRPr="00C15FEE">
        <w:rPr>
          <w:rFonts w:ascii="Arial" w:eastAsia="Calibri" w:hAnsi="Arial" w:cs="Arial"/>
          <w:color w:val="auto"/>
          <w:sz w:val="22"/>
          <w:szCs w:val="22"/>
        </w:rPr>
        <w:t xml:space="preserve"> tomará los centavos de la Tasa de Cambio Representativa del Mercado (TRM), certificada por la Superintendencia Financiera de Colombia. </w:t>
      </w:r>
    </w:p>
    <w:bookmarkEnd w:id="6"/>
    <w:p w14:paraId="24C424BD" w14:textId="77777777" w:rsidR="00B56368" w:rsidRPr="00C15FEE" w:rsidRDefault="00B56368" w:rsidP="00B56368">
      <w:pPr>
        <w:spacing w:before="120" w:after="120" w:line="276" w:lineRule="auto"/>
        <w:ind w:firstLine="709"/>
        <w:jc w:val="both"/>
        <w:rPr>
          <w:rFonts w:ascii="Arial" w:eastAsia="Calibri" w:hAnsi="Arial" w:cs="Arial"/>
          <w:color w:val="000000"/>
          <w:sz w:val="22"/>
          <w:lang w:val="es-ES_tradnl"/>
        </w:rPr>
      </w:pPr>
      <w:r w:rsidRPr="00C15FEE">
        <w:rPr>
          <w:rFonts w:ascii="Arial" w:eastAsia="Calibri" w:hAnsi="Arial" w:cs="Arial"/>
          <w:color w:val="000000"/>
          <w:sz w:val="22"/>
          <w:lang w:val="es-ES_tradnl"/>
        </w:rPr>
        <w:t>La Tasa de Cambio Representativa del Mercado – TRM «</w:t>
      </w:r>
      <w:r w:rsidRPr="00C15FEE">
        <w:rPr>
          <w:rFonts w:ascii="Arial" w:eastAsia="Calibri"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C15FEE">
        <w:rPr>
          <w:rFonts w:ascii="Arial" w:eastAsia="Calibri" w:hAnsi="Arial" w:cs="Arial"/>
          <w:color w:val="000000"/>
          <w:sz w:val="22"/>
          <w:lang w:val="es-ES_tradnl"/>
        </w:rPr>
        <w:t>»</w:t>
      </w:r>
      <w:r w:rsidRPr="00C15FEE">
        <w:rPr>
          <w:rFonts w:ascii="Arial" w:eastAsia="Calibri" w:hAnsi="Arial" w:cs="Arial"/>
          <w:color w:val="000000"/>
          <w:sz w:val="22"/>
          <w:vertAlign w:val="superscript"/>
          <w:lang w:val="es-ES_tradnl"/>
        </w:rPr>
        <w:t xml:space="preserve"> </w:t>
      </w:r>
      <w:r w:rsidRPr="00C15FEE">
        <w:rPr>
          <w:rFonts w:ascii="Arial" w:eastAsia="Calibri" w:hAnsi="Arial" w:cs="Arial"/>
          <w:color w:val="000000"/>
          <w:sz w:val="22"/>
          <w:vertAlign w:val="superscript"/>
          <w:lang w:val="es-ES_tradnl"/>
        </w:rPr>
        <w:footnoteReference w:id="6"/>
      </w:r>
      <w:r w:rsidRPr="00C15FEE">
        <w:rPr>
          <w:rFonts w:ascii="Arial" w:eastAsia="Calibri" w:hAnsi="Arial" w:cs="Arial"/>
          <w:color w:val="000000"/>
          <w:sz w:val="22"/>
          <w:lang w:val="es-ES_tradnl"/>
        </w:rPr>
        <w:t>, definida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C15FEE">
        <w:rPr>
          <w:rFonts w:ascii="Arial" w:eastAsia="Calibri" w:hAnsi="Arial" w:cs="Arial"/>
          <w:color w:val="000000"/>
          <w:sz w:val="22"/>
          <w:vertAlign w:val="superscript"/>
          <w:lang w:val="es-ES_tradnl"/>
        </w:rPr>
        <w:footnoteReference w:id="7"/>
      </w:r>
      <w:r w:rsidRPr="00C15FEE">
        <w:rPr>
          <w:rFonts w:ascii="Arial" w:eastAsia="Calibri" w:hAnsi="Arial" w:cs="Arial"/>
          <w:color w:val="000000"/>
          <w:sz w:val="22"/>
          <w:lang w:val="es-ES_tradnl"/>
        </w:rPr>
        <w:t xml:space="preserve">, de donde se desprende que la TRM es un valor que se origina en la fluctuación del mercado. </w:t>
      </w:r>
    </w:p>
    <w:p w14:paraId="13C225E7" w14:textId="77777777" w:rsidR="00B56368" w:rsidRPr="00C15FEE" w:rsidRDefault="00B56368" w:rsidP="00B56368">
      <w:pPr>
        <w:spacing w:line="276" w:lineRule="auto"/>
        <w:jc w:val="both"/>
        <w:rPr>
          <w:rFonts w:ascii="Arial" w:eastAsia="Calibri" w:hAnsi="Arial" w:cs="Arial"/>
          <w:sz w:val="22"/>
        </w:rPr>
      </w:pPr>
      <w:r w:rsidRPr="00C15FEE">
        <w:rPr>
          <w:rFonts w:ascii="Arial" w:eastAsia="Calibri" w:hAnsi="Arial" w:cs="Arial"/>
          <w:sz w:val="22"/>
        </w:rPr>
        <w:tab/>
        <w:t xml:space="preserve">La TRM que la entidad usará para el método de ponderación será la que aplique en el día hábil siguiente del día en que efectivamente sea la apertura del segundo sobre, según la publicación hecha por la Superintendencia </w:t>
      </w:r>
      <w:r w:rsidRPr="00C15FEE">
        <w:rPr>
          <w:rFonts w:ascii="Arial" w:eastAsia="Calibri" w:hAnsi="Arial" w:cs="Arial"/>
          <w:color w:val="000000"/>
          <w:sz w:val="22"/>
        </w:rPr>
        <w:t>en horas de la tarde el día de la apertura del segundo sobre</w:t>
      </w:r>
      <w:r w:rsidRPr="00C15FEE">
        <w:rPr>
          <w:rFonts w:ascii="Arial" w:eastAsia="Calibri" w:hAnsi="Arial" w:cs="Arial"/>
          <w:color w:val="000000"/>
          <w:sz w:val="22"/>
          <w:lang w:val="es-CO"/>
        </w:rPr>
        <w:t xml:space="preserve">. Por ejemplo, </w:t>
      </w:r>
      <w:r w:rsidRPr="00C15FEE">
        <w:rPr>
          <w:rFonts w:ascii="Arial" w:eastAsia="Calibri" w:hAnsi="Arial" w:cs="Arial"/>
          <w:color w:val="000000"/>
          <w:sz w:val="22"/>
        </w:rPr>
        <w:t xml:space="preserve">si la audiencia de adjudicación se realiza el 10 de febrero de 2020 y ese mismo día se abre el segundo sobre, la TRM que se usará para determinar el método de evaluación será la del 11 de febrero de 2020, que se publica en la tarde del 10 </w:t>
      </w:r>
      <w:r w:rsidRPr="00C15FEE">
        <w:rPr>
          <w:rFonts w:ascii="Arial" w:eastAsia="Calibri" w:hAnsi="Arial" w:cs="Arial"/>
          <w:color w:val="000000"/>
          <w:sz w:val="22"/>
        </w:rPr>
        <w:lastRenderedPageBreak/>
        <w:t>de febrero de 2020</w:t>
      </w:r>
      <w:r w:rsidRPr="00C15FEE">
        <w:rPr>
          <w:rFonts w:ascii="Arial" w:eastAsia="Calibri" w:hAnsi="Arial" w:cs="Arial"/>
          <w:color w:val="000000"/>
          <w:sz w:val="22"/>
          <w:lang w:val="es-CO"/>
        </w:rPr>
        <w:t>. De acuerdo con lo anterior, el método de ponderación se determinará con los rangos del siguiente cuadro</w:t>
      </w:r>
      <w:r w:rsidRPr="00C15FEE">
        <w:rPr>
          <w:rFonts w:ascii="Arial" w:eastAsia="Calibri" w:hAnsi="Arial" w:cs="Arial"/>
          <w:sz w:val="22"/>
        </w:rPr>
        <w:t xml:space="preserve">: </w:t>
      </w:r>
    </w:p>
    <w:p w14:paraId="1A34CE16" w14:textId="77777777" w:rsidR="00B56368" w:rsidRPr="00C15FEE" w:rsidRDefault="00B56368" w:rsidP="00B56368">
      <w:pPr>
        <w:spacing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B56368" w:rsidRPr="00C15FEE" w14:paraId="40C3C397" w14:textId="77777777" w:rsidTr="00052161">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76D2DA2F" w14:textId="77777777" w:rsidR="00B56368" w:rsidRPr="00C15FEE" w:rsidRDefault="00B56368" w:rsidP="0005216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Rango</w:t>
            </w:r>
            <w:r w:rsidRPr="00C15FEE">
              <w:rPr>
                <w:rFonts w:ascii="Arial" w:eastAsia="Arial,Calibri" w:hAnsi="Arial" w:cs="Arial"/>
                <w:b/>
                <w:bCs/>
                <w:color w:val="FFFFFF"/>
                <w:sz w:val="20"/>
                <w:szCs w:val="20"/>
                <w:lang w:val="es-CO"/>
              </w:rPr>
              <w:t xml:space="preserve"> </w:t>
            </w:r>
            <w:r w:rsidRPr="00C15FEE">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1209461F" w14:textId="77777777" w:rsidR="00B56368" w:rsidRPr="00C15FEE" w:rsidRDefault="00B56368" w:rsidP="0005216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08D3CF48" w14:textId="77777777" w:rsidR="00B56368" w:rsidRPr="00C15FEE" w:rsidRDefault="00B56368" w:rsidP="0005216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Método</w:t>
            </w:r>
          </w:p>
        </w:tc>
      </w:tr>
      <w:tr w:rsidR="00B56368" w:rsidRPr="00C15FEE" w14:paraId="5E5D894F" w14:textId="77777777" w:rsidTr="0005216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13347CE"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7567C69" w14:textId="77777777" w:rsidR="00B56368" w:rsidRPr="00C15FEE" w:rsidRDefault="00B56368" w:rsidP="0005216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BEF8210" w14:textId="77777777" w:rsidR="00B56368" w:rsidRPr="00C15FEE" w:rsidRDefault="00B56368" w:rsidP="0005216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Mediana con valor absoluto</w:t>
            </w:r>
          </w:p>
        </w:tc>
      </w:tr>
      <w:tr w:rsidR="00B56368" w:rsidRPr="00C15FEE" w14:paraId="6046A53B" w14:textId="77777777" w:rsidTr="00052161">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45699250"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E1ECF24" w14:textId="77777777" w:rsidR="00B56368" w:rsidRPr="00C15FEE" w:rsidRDefault="00B56368" w:rsidP="00052161">
            <w:pPr>
              <w:spacing w:line="276" w:lineRule="auto"/>
              <w:jc w:val="center"/>
              <w:rPr>
                <w:rFonts w:ascii="Arial" w:eastAsia="Arial,Times New Roman" w:hAnsi="Arial" w:cs="Arial"/>
                <w:sz w:val="20"/>
                <w:szCs w:val="20"/>
                <w:lang w:val="es-ES" w:eastAsia="es-CO"/>
              </w:rPr>
            </w:pPr>
            <w:r w:rsidRPr="00C15FEE">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EFD8E3D" w14:textId="77777777" w:rsidR="00B56368" w:rsidRPr="00C15FEE" w:rsidRDefault="00B56368" w:rsidP="0005216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Media geométrica</w:t>
            </w:r>
          </w:p>
        </w:tc>
      </w:tr>
      <w:tr w:rsidR="00B56368" w:rsidRPr="00C15FEE" w14:paraId="174CF1C6" w14:textId="77777777" w:rsidTr="0005216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113DB801"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07C8C39A"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C049821"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Media aritmética baja</w:t>
            </w:r>
          </w:p>
        </w:tc>
      </w:tr>
      <w:tr w:rsidR="00B56368" w:rsidRPr="00C15FEE" w14:paraId="29D3FADA" w14:textId="77777777" w:rsidTr="00052161">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DE3ECDA"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2C0262AE"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72906DDF"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Menor valor</w:t>
            </w:r>
          </w:p>
        </w:tc>
      </w:tr>
    </w:tbl>
    <w:p w14:paraId="444B33F8" w14:textId="77777777" w:rsidR="00B56368" w:rsidRPr="00C15FEE" w:rsidRDefault="00B56368" w:rsidP="00B56368">
      <w:pPr>
        <w:spacing w:line="276" w:lineRule="auto"/>
        <w:ind w:firstLine="709"/>
        <w:jc w:val="both"/>
        <w:rPr>
          <w:rFonts w:ascii="Arial" w:hAnsi="Arial" w:cs="Arial"/>
          <w:color w:val="000000" w:themeColor="text1"/>
          <w:sz w:val="22"/>
        </w:rPr>
      </w:pPr>
    </w:p>
    <w:p w14:paraId="14158278" w14:textId="77777777" w:rsidR="00B56368" w:rsidRDefault="00B56368" w:rsidP="00B56368">
      <w:pPr>
        <w:spacing w:line="276" w:lineRule="auto"/>
        <w:ind w:firstLine="709"/>
        <w:jc w:val="both"/>
        <w:rPr>
          <w:rFonts w:ascii="Arial" w:eastAsia="Calibri" w:hAnsi="Arial" w:cs="Arial"/>
          <w:sz w:val="22"/>
        </w:rPr>
      </w:pPr>
      <w:r w:rsidRPr="00C15FEE">
        <w:rPr>
          <w:rFonts w:ascii="Arial" w:eastAsia="Calibri" w:hAnsi="Arial" w:cs="Arial"/>
          <w:sz w:val="22"/>
        </w:rPr>
        <w:t>Se advierte que el documento tipo acudió a este valor –TRM– como el criterio de escogencia del método aleatorio para evaluar la oferta económica, porque su definición no depende de la discrecionalidad de la administración pública en cualquiera de sus órdenes y niveles. Aunque se establece y certifica por parte de la Superintendencia Financiera, su determinación depende de las dinámicas del mercado de divisas, garantizando una elección aleatoria del método de ponderación aplicable para tal propósito, lo que dota de transparencia y selección objetiva la evaluación de las ofertas. De otro lado, respecto a la determinación del método de ponderación de propuestas, para los procesos de contratación estructurados por lotes, el numeral 4.1.4. del documento base, dispone la siguiente regla:</w:t>
      </w:r>
    </w:p>
    <w:p w14:paraId="183AF31D" w14:textId="77777777" w:rsidR="00B56368" w:rsidRPr="00233B0C" w:rsidRDefault="00B56368" w:rsidP="00B56368">
      <w:pPr>
        <w:spacing w:line="276" w:lineRule="auto"/>
        <w:ind w:firstLine="709"/>
        <w:jc w:val="both"/>
        <w:rPr>
          <w:rFonts w:ascii="Arial" w:eastAsia="Calibri" w:hAnsi="Arial" w:cs="Arial"/>
          <w:sz w:val="22"/>
        </w:rPr>
      </w:pPr>
    </w:p>
    <w:p w14:paraId="288D57E2" w14:textId="77777777" w:rsidR="00B56368" w:rsidRDefault="00B56368" w:rsidP="00B56368">
      <w:pPr>
        <w:ind w:left="680" w:right="680"/>
        <w:jc w:val="both"/>
        <w:rPr>
          <w:rFonts w:ascii="Arial" w:eastAsia="Calibri" w:hAnsi="Arial" w:cs="Arial"/>
          <w:color w:val="000000"/>
          <w:sz w:val="21"/>
          <w:szCs w:val="21"/>
        </w:rPr>
      </w:pPr>
      <w:r w:rsidRPr="00132FB4">
        <w:rPr>
          <w:rFonts w:ascii="Arial" w:eastAsia="Calibri" w:hAnsi="Arial" w:cs="Arial"/>
          <w:color w:val="000000"/>
          <w:sz w:val="21"/>
          <w:szCs w:val="21"/>
          <w:highlight w:val="lightGray"/>
        </w:rPr>
        <w:t>[En los procesos de contratación estructurados por lotes, la TRM definirá el método con el cual se asignará el puntaje para el primer lote o grupo a adjudicar, según el orden definido por la entidad. Para la adjudicación del segundo lote o grupo se tomará el siguiente método de acuerdo con la tabla anterior, en orden ascendente, y así sucesivamente; teniendo en cuenta que se reiniciará desde el primer método en caso de agotarse el último método]</w:t>
      </w:r>
    </w:p>
    <w:p w14:paraId="5171435B" w14:textId="77777777" w:rsidR="00B56368" w:rsidRPr="003A02EB" w:rsidRDefault="00B56368" w:rsidP="00B56368">
      <w:pPr>
        <w:spacing w:line="259" w:lineRule="auto"/>
        <w:ind w:left="680" w:right="680"/>
        <w:jc w:val="both"/>
        <w:rPr>
          <w:rFonts w:ascii="Arial" w:eastAsia="Calibri" w:hAnsi="Arial" w:cs="Arial"/>
          <w:color w:val="000000"/>
          <w:sz w:val="21"/>
          <w:szCs w:val="21"/>
        </w:rPr>
      </w:pPr>
    </w:p>
    <w:p w14:paraId="0131D420" w14:textId="77777777" w:rsidR="00B56368" w:rsidRPr="00C15FEE" w:rsidRDefault="00B56368" w:rsidP="00B56368">
      <w:pPr>
        <w:spacing w:after="120" w:line="276" w:lineRule="auto"/>
        <w:ind w:firstLine="680"/>
        <w:jc w:val="both"/>
        <w:rPr>
          <w:rFonts w:ascii="Arial" w:eastAsia="Calibri" w:hAnsi="Arial" w:cs="Arial"/>
          <w:sz w:val="22"/>
        </w:rPr>
      </w:pPr>
      <w:r w:rsidRPr="00C15FEE">
        <w:rPr>
          <w:rFonts w:ascii="Arial" w:eastAsia="Calibri" w:hAnsi="Arial" w:cs="Arial"/>
          <w:sz w:val="22"/>
        </w:rPr>
        <w:t xml:space="preserve">En este sentido, es necesario observar que para los procesos de contratación estructurados por lotes se establecieron tres reglas básicas: i) para el primer lote, el método se asignará de acuerdo con la TRM, esto es, a la metodología que ya se explicó, </w:t>
      </w:r>
      <w:proofErr w:type="spellStart"/>
      <w:r w:rsidRPr="00C15FEE">
        <w:rPr>
          <w:rFonts w:ascii="Arial" w:eastAsia="Calibri" w:hAnsi="Arial" w:cs="Arial"/>
          <w:sz w:val="22"/>
        </w:rPr>
        <w:t>ii</w:t>
      </w:r>
      <w:proofErr w:type="spellEnd"/>
      <w:r w:rsidRPr="00C15FEE">
        <w:rPr>
          <w:rFonts w:ascii="Arial" w:eastAsia="Calibri" w:hAnsi="Arial" w:cs="Arial"/>
          <w:sz w:val="22"/>
        </w:rPr>
        <w:t xml:space="preserve">) para la adjudicación del segundo lote se tomará el siguiente método en orden ascendente y así sucesivamente, de acuerdo con la tabla de métodos de ponderación incluida más arriba y, </w:t>
      </w:r>
      <w:proofErr w:type="spellStart"/>
      <w:r w:rsidRPr="00C15FEE">
        <w:rPr>
          <w:rFonts w:ascii="Arial" w:eastAsia="Calibri" w:hAnsi="Arial" w:cs="Arial"/>
          <w:sz w:val="22"/>
        </w:rPr>
        <w:t>iii</w:t>
      </w:r>
      <w:proofErr w:type="spellEnd"/>
      <w:r w:rsidRPr="00C15FEE">
        <w:rPr>
          <w:rFonts w:ascii="Arial" w:eastAsia="Calibri" w:hAnsi="Arial" w:cs="Arial"/>
          <w:sz w:val="22"/>
        </w:rPr>
        <w:t xml:space="preserve">) en caso de agotarse el último método se reiniciará desde el primer método de la tabla. Para mayor claridad, en la segunda columna de la tabla en mención –establecida en el </w:t>
      </w:r>
      <w:r w:rsidRPr="00C15FEE">
        <w:rPr>
          <w:rFonts w:ascii="Arial" w:eastAsia="Calibri" w:hAnsi="Arial" w:cs="Arial"/>
          <w:sz w:val="22"/>
        </w:rPr>
        <w:lastRenderedPageBreak/>
        <w:t xml:space="preserve">numeral 4.1.4 del documento base–, se asignó un número –del 1 al 4– para cada método de ponderación, tal y como se destaca a continuación en negrilla y subrayado, correspondiente a la segunda columna: </w:t>
      </w:r>
    </w:p>
    <w:p w14:paraId="6FA38FD6" w14:textId="77777777" w:rsidR="00B56368" w:rsidRPr="00C15FEE" w:rsidRDefault="00B56368" w:rsidP="00B56368">
      <w:pPr>
        <w:spacing w:before="120"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B56368" w:rsidRPr="00C15FEE" w14:paraId="2BFF64B0" w14:textId="77777777" w:rsidTr="00052161">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70D1F821" w14:textId="77777777" w:rsidR="00B56368" w:rsidRPr="00C15FEE" w:rsidRDefault="00B56368" w:rsidP="0005216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Rango</w:t>
            </w:r>
            <w:r w:rsidRPr="00C15FEE">
              <w:rPr>
                <w:rFonts w:ascii="Arial" w:eastAsia="Arial,Calibri" w:hAnsi="Arial" w:cs="Arial"/>
                <w:b/>
                <w:bCs/>
                <w:color w:val="FFFFFF"/>
                <w:sz w:val="20"/>
                <w:szCs w:val="20"/>
                <w:lang w:val="es-CO"/>
              </w:rPr>
              <w:t xml:space="preserve"> </w:t>
            </w:r>
            <w:r w:rsidRPr="00C15FEE">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42290B3D" w14:textId="77777777" w:rsidR="00B56368" w:rsidRPr="00132FB4" w:rsidRDefault="00B56368" w:rsidP="00052161">
            <w:pPr>
              <w:spacing w:line="276" w:lineRule="auto"/>
              <w:jc w:val="center"/>
              <w:rPr>
                <w:rFonts w:ascii="Arial" w:eastAsia="Arial,Calibri" w:hAnsi="Arial" w:cs="Arial"/>
                <w:b/>
                <w:bCs/>
                <w:color w:val="FFFFFF"/>
                <w:sz w:val="20"/>
                <w:szCs w:val="20"/>
                <w:u w:val="single"/>
                <w:lang w:val="es-CO"/>
              </w:rPr>
            </w:pPr>
            <w:r w:rsidRPr="00132FB4">
              <w:rPr>
                <w:rFonts w:ascii="Arial" w:eastAsia="Calibri" w:hAnsi="Arial" w:cs="Arial"/>
                <w:b/>
                <w:bCs/>
                <w:color w:val="FFFFFF"/>
                <w:sz w:val="20"/>
                <w:szCs w:val="20"/>
                <w:u w:val="single"/>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3BA109BD" w14:textId="77777777" w:rsidR="00B56368" w:rsidRPr="00C15FEE" w:rsidRDefault="00B56368" w:rsidP="0005216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Método</w:t>
            </w:r>
          </w:p>
        </w:tc>
      </w:tr>
      <w:tr w:rsidR="00B56368" w:rsidRPr="00C15FEE" w14:paraId="55205BEA" w14:textId="77777777" w:rsidTr="0005216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FC68348"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DA76F11" w14:textId="77777777" w:rsidR="00B56368" w:rsidRPr="00132FB4" w:rsidRDefault="00B56368" w:rsidP="00052161">
            <w:pPr>
              <w:spacing w:line="276" w:lineRule="auto"/>
              <w:jc w:val="center"/>
              <w:rPr>
                <w:rFonts w:ascii="Arial" w:eastAsia="Arial,Times New Roman" w:hAnsi="Arial" w:cs="Arial"/>
                <w:b/>
                <w:bCs/>
                <w:sz w:val="20"/>
                <w:szCs w:val="20"/>
                <w:u w:val="single"/>
                <w:lang w:val="es-ES" w:eastAsia="es-CO"/>
              </w:rPr>
            </w:pPr>
            <w:r w:rsidRPr="00132FB4">
              <w:rPr>
                <w:rFonts w:ascii="Arial" w:eastAsia="Calibri" w:hAnsi="Arial" w:cs="Arial"/>
                <w:b/>
                <w:bCs/>
                <w:sz w:val="20"/>
                <w:szCs w:val="20"/>
                <w:u w:val="single"/>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B5CE094" w14:textId="77777777" w:rsidR="00B56368" w:rsidRPr="00C15FEE" w:rsidRDefault="00B56368" w:rsidP="0005216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Mediana con valor absoluto</w:t>
            </w:r>
          </w:p>
        </w:tc>
      </w:tr>
      <w:tr w:rsidR="00B56368" w:rsidRPr="00C15FEE" w14:paraId="685503AD" w14:textId="77777777" w:rsidTr="00052161">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5730B27"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397FCDA1" w14:textId="77777777" w:rsidR="00B56368" w:rsidRPr="00132FB4" w:rsidRDefault="00B56368" w:rsidP="00052161">
            <w:pPr>
              <w:spacing w:line="276" w:lineRule="auto"/>
              <w:jc w:val="center"/>
              <w:rPr>
                <w:rFonts w:ascii="Arial" w:eastAsia="Arial,Times New Roman" w:hAnsi="Arial" w:cs="Arial"/>
                <w:b/>
                <w:bCs/>
                <w:sz w:val="20"/>
                <w:szCs w:val="20"/>
                <w:u w:val="single"/>
                <w:lang w:val="es-ES" w:eastAsia="es-CO"/>
              </w:rPr>
            </w:pPr>
            <w:r w:rsidRPr="00132FB4">
              <w:rPr>
                <w:rFonts w:ascii="Arial" w:eastAsia="Arial,Times New Roman" w:hAnsi="Arial" w:cs="Arial"/>
                <w:b/>
                <w:bCs/>
                <w:sz w:val="20"/>
                <w:szCs w:val="20"/>
                <w:u w:val="single"/>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70079FE" w14:textId="77777777" w:rsidR="00B56368" w:rsidRPr="00C15FEE" w:rsidRDefault="00B56368" w:rsidP="0005216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Media geométrica</w:t>
            </w:r>
          </w:p>
        </w:tc>
      </w:tr>
      <w:tr w:rsidR="00B56368" w:rsidRPr="00C15FEE" w14:paraId="4369FCA5" w14:textId="77777777" w:rsidTr="0005216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207AEE2C"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270FDE29" w14:textId="77777777" w:rsidR="00B56368" w:rsidRPr="00132FB4" w:rsidRDefault="00B56368" w:rsidP="00052161">
            <w:pPr>
              <w:spacing w:line="276" w:lineRule="auto"/>
              <w:jc w:val="center"/>
              <w:rPr>
                <w:rFonts w:ascii="Arial" w:eastAsia="Calibri" w:hAnsi="Arial" w:cs="Arial"/>
                <w:b/>
                <w:bCs/>
                <w:sz w:val="20"/>
                <w:szCs w:val="20"/>
                <w:u w:val="single"/>
                <w:lang w:val="es-ES" w:eastAsia="es-CO"/>
              </w:rPr>
            </w:pPr>
            <w:r w:rsidRPr="00132FB4">
              <w:rPr>
                <w:rFonts w:ascii="Arial" w:eastAsia="Calibri" w:hAnsi="Arial" w:cs="Arial"/>
                <w:b/>
                <w:bCs/>
                <w:sz w:val="20"/>
                <w:szCs w:val="20"/>
                <w:u w:val="single"/>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26CA8C02"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Media aritmética baja</w:t>
            </w:r>
          </w:p>
        </w:tc>
      </w:tr>
      <w:tr w:rsidR="00B56368" w:rsidRPr="00C15FEE" w14:paraId="77E647EC" w14:textId="77777777" w:rsidTr="00052161">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540E3090"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3F69F05C" w14:textId="77777777" w:rsidR="00B56368" w:rsidRPr="00132FB4" w:rsidRDefault="00B56368" w:rsidP="00052161">
            <w:pPr>
              <w:spacing w:line="276" w:lineRule="auto"/>
              <w:jc w:val="center"/>
              <w:rPr>
                <w:rFonts w:ascii="Arial" w:eastAsia="Calibri" w:hAnsi="Arial" w:cs="Arial"/>
                <w:b/>
                <w:bCs/>
                <w:sz w:val="20"/>
                <w:szCs w:val="20"/>
                <w:u w:val="single"/>
                <w:lang w:val="es-ES" w:eastAsia="es-CO"/>
              </w:rPr>
            </w:pPr>
            <w:r w:rsidRPr="00132FB4">
              <w:rPr>
                <w:rFonts w:ascii="Arial" w:eastAsia="Calibri" w:hAnsi="Arial" w:cs="Arial"/>
                <w:b/>
                <w:bCs/>
                <w:sz w:val="20"/>
                <w:szCs w:val="20"/>
                <w:u w:val="single"/>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5E36D069" w14:textId="77777777" w:rsidR="00B56368" w:rsidRPr="00C15FEE" w:rsidRDefault="00B56368" w:rsidP="0005216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Menor valor</w:t>
            </w:r>
          </w:p>
        </w:tc>
      </w:tr>
    </w:tbl>
    <w:p w14:paraId="58622BA2" w14:textId="77777777" w:rsidR="00B56368" w:rsidRPr="00C15FEE" w:rsidRDefault="00B56368" w:rsidP="00B56368">
      <w:pPr>
        <w:spacing w:line="276" w:lineRule="auto"/>
        <w:ind w:left="709" w:right="709"/>
        <w:jc w:val="both"/>
        <w:rPr>
          <w:rFonts w:ascii="Arial" w:eastAsia="Calibri" w:hAnsi="Arial" w:cs="Arial"/>
          <w:color w:val="000000"/>
          <w:sz w:val="21"/>
          <w:szCs w:val="21"/>
          <w:lang w:val="es-CO"/>
        </w:rPr>
      </w:pPr>
      <w:r w:rsidRPr="00C15FEE">
        <w:rPr>
          <w:rFonts w:ascii="Arial" w:eastAsia="Calibri" w:hAnsi="Arial" w:cs="Arial"/>
          <w:color w:val="000000"/>
          <w:sz w:val="21"/>
          <w:szCs w:val="21"/>
          <w:lang w:val="es-CO"/>
        </w:rPr>
        <w:tab/>
      </w:r>
      <w:r w:rsidRPr="00C15FEE">
        <w:rPr>
          <w:rFonts w:ascii="Arial" w:eastAsia="Calibri" w:hAnsi="Arial" w:cs="Arial"/>
          <w:color w:val="000000"/>
          <w:sz w:val="21"/>
          <w:szCs w:val="21"/>
          <w:lang w:val="es-CO"/>
        </w:rPr>
        <w:tab/>
        <w:t>(Negrilla y subrayado fuera del original).</w:t>
      </w:r>
    </w:p>
    <w:p w14:paraId="4930CC47" w14:textId="77777777" w:rsidR="00B56368" w:rsidRPr="00C15FEE" w:rsidRDefault="00B56368" w:rsidP="00B56368">
      <w:pPr>
        <w:spacing w:line="276" w:lineRule="auto"/>
        <w:ind w:left="709" w:right="709"/>
        <w:jc w:val="both"/>
        <w:rPr>
          <w:rFonts w:ascii="Arial" w:eastAsia="Calibri" w:hAnsi="Arial" w:cs="Arial"/>
          <w:sz w:val="22"/>
        </w:rPr>
      </w:pPr>
    </w:p>
    <w:p w14:paraId="7019A53E" w14:textId="77777777" w:rsidR="00B56368" w:rsidRPr="00C15FEE" w:rsidRDefault="00B56368" w:rsidP="00B56368">
      <w:pPr>
        <w:spacing w:after="120" w:line="276" w:lineRule="auto"/>
        <w:ind w:firstLine="709"/>
        <w:jc w:val="both"/>
        <w:rPr>
          <w:rFonts w:ascii="Arial" w:eastAsia="Calibri" w:hAnsi="Arial" w:cs="Arial"/>
          <w:sz w:val="22"/>
        </w:rPr>
      </w:pPr>
      <w:r w:rsidRPr="00C15FEE">
        <w:rPr>
          <w:rFonts w:ascii="Arial" w:eastAsia="Calibri" w:hAnsi="Arial" w:cs="Arial"/>
          <w:sz w:val="22"/>
        </w:rPr>
        <w:t>La asignación de este número en la segunda columna tabla tiene como objetivo principal que las entidades determinen el orden ascendente al que se refiere la segunda regla, entendiendo orden ascendente como aquel que corresponde a los números que siguen una secuencia de menor a mayor. Es decir, desde una interpretación y significado de las palabras</w:t>
      </w:r>
      <w:r w:rsidRPr="00C15FEE">
        <w:rPr>
          <w:rStyle w:val="Refdenotaalpie"/>
          <w:rFonts w:ascii="Arial" w:eastAsia="Calibri" w:hAnsi="Arial" w:cs="Arial"/>
          <w:sz w:val="22"/>
        </w:rPr>
        <w:footnoteReference w:id="8"/>
      </w:r>
      <w:r w:rsidRPr="00C15FEE">
        <w:rPr>
          <w:rFonts w:ascii="Arial" w:eastAsia="Calibri" w:hAnsi="Arial" w:cs="Arial"/>
          <w:sz w:val="22"/>
        </w:rPr>
        <w:t xml:space="preserve">, corresponde al número mayor dentro de la secuencia de los métodos a utilizar para la ponderación, por lo que la regla establecida en el documento base no corresponde a su ubicación dentro del cuadro ni mucho menos por el rango de centavos de la TRM, sino con fundamento en el número asignado en la segunda columna de la tabla. </w:t>
      </w:r>
    </w:p>
    <w:p w14:paraId="22E5397B" w14:textId="77777777" w:rsidR="00B56368" w:rsidRPr="00C15FEE" w:rsidRDefault="00B56368" w:rsidP="00B56368">
      <w:pPr>
        <w:spacing w:before="120" w:after="120" w:line="276" w:lineRule="auto"/>
        <w:ind w:firstLine="709"/>
        <w:jc w:val="both"/>
        <w:rPr>
          <w:rFonts w:ascii="Arial" w:eastAsia="Calibri" w:hAnsi="Arial" w:cs="Arial"/>
          <w:sz w:val="22"/>
        </w:rPr>
      </w:pPr>
      <w:r w:rsidRPr="00C15FEE">
        <w:rPr>
          <w:rFonts w:ascii="Arial" w:eastAsia="Calibri" w:hAnsi="Arial" w:cs="Arial"/>
          <w:sz w:val="22"/>
        </w:rPr>
        <w:t xml:space="preserve">Teniendo en cuenta esta explicación, se tiene que si, por ejemplo, para el primer lote la entidad asignó el método de </w:t>
      </w:r>
      <w:r w:rsidRPr="00132FB4">
        <w:rPr>
          <w:rFonts w:ascii="Arial" w:eastAsia="Calibri" w:hAnsi="Arial" w:cs="Arial"/>
          <w:i/>
          <w:iCs/>
          <w:sz w:val="22"/>
        </w:rPr>
        <w:t>mediana con valor absoluto</w:t>
      </w:r>
      <w:r w:rsidRPr="00C15FEE">
        <w:rPr>
          <w:rFonts w:ascii="Arial" w:eastAsia="Calibri" w:hAnsi="Arial" w:cs="Arial"/>
          <w:sz w:val="22"/>
        </w:rPr>
        <w:t xml:space="preserve"> de acuerdo con la TRM, para el segundo lote se debe seguir la regla y tomar el siguiente método en orden ascendente, y así sucesivamente. Es decir, al segundo lote le corresponde la </w:t>
      </w:r>
      <w:r w:rsidRPr="00132FB4">
        <w:rPr>
          <w:rFonts w:ascii="Arial" w:eastAsia="Calibri" w:hAnsi="Arial" w:cs="Arial"/>
          <w:i/>
          <w:iCs/>
          <w:sz w:val="22"/>
        </w:rPr>
        <w:t>media geométrica</w:t>
      </w:r>
      <w:r w:rsidRPr="00C15FEE">
        <w:rPr>
          <w:rFonts w:ascii="Arial" w:eastAsia="Calibri" w:hAnsi="Arial" w:cs="Arial"/>
          <w:sz w:val="22"/>
        </w:rPr>
        <w:t xml:space="preserve">, esto es, el método número dos. Al tercer lote le corresponde el método </w:t>
      </w:r>
      <w:r w:rsidRPr="00132FB4">
        <w:rPr>
          <w:rFonts w:ascii="Arial" w:eastAsia="Calibri" w:hAnsi="Arial" w:cs="Arial"/>
          <w:i/>
          <w:iCs/>
          <w:sz w:val="22"/>
        </w:rPr>
        <w:t>media aritmética baja</w:t>
      </w:r>
      <w:r w:rsidRPr="00C15FEE">
        <w:rPr>
          <w:rFonts w:ascii="Arial" w:eastAsia="Calibri" w:hAnsi="Arial" w:cs="Arial"/>
          <w:sz w:val="22"/>
        </w:rPr>
        <w:t xml:space="preserve">, es decir, el tercer método; y, por último, al cuarto lote le corresponde el método de </w:t>
      </w:r>
      <w:r w:rsidRPr="00132FB4">
        <w:rPr>
          <w:rFonts w:ascii="Arial" w:eastAsia="Calibri" w:hAnsi="Arial" w:cs="Arial"/>
          <w:i/>
          <w:iCs/>
          <w:sz w:val="22"/>
        </w:rPr>
        <w:t>menor valor</w:t>
      </w:r>
      <w:r w:rsidRPr="00C15FEE">
        <w:rPr>
          <w:rFonts w:ascii="Arial" w:eastAsia="Calibri" w:hAnsi="Arial" w:cs="Arial"/>
          <w:sz w:val="22"/>
        </w:rPr>
        <w:t xml:space="preserve">.  </w:t>
      </w:r>
    </w:p>
    <w:p w14:paraId="4EDAE432" w14:textId="77777777" w:rsidR="00B56368" w:rsidRPr="00C15FEE" w:rsidRDefault="00B56368" w:rsidP="00B56368">
      <w:pPr>
        <w:spacing w:before="120" w:after="120" w:line="276" w:lineRule="auto"/>
        <w:ind w:firstLine="709"/>
        <w:jc w:val="both"/>
        <w:rPr>
          <w:rFonts w:ascii="Arial" w:eastAsia="Calibri" w:hAnsi="Arial" w:cs="Arial"/>
          <w:sz w:val="22"/>
        </w:rPr>
      </w:pPr>
      <w:r w:rsidRPr="00C15FEE">
        <w:rPr>
          <w:rFonts w:ascii="Arial" w:eastAsia="Calibri" w:hAnsi="Arial" w:cs="Arial"/>
          <w:sz w:val="22"/>
        </w:rPr>
        <w:lastRenderedPageBreak/>
        <w:t xml:space="preserve">Finalmente, dado que los procesos se pueden estructurar en más de 4 lotes, debe aplicarse la regla según la cual «se reiniciará desde el primer método en caso de agotarse el último método», por lo que al quinto lote le correspondería el método de </w:t>
      </w:r>
      <w:r w:rsidRPr="00132FB4">
        <w:rPr>
          <w:rFonts w:ascii="Arial" w:eastAsia="Calibri" w:hAnsi="Arial" w:cs="Arial"/>
          <w:i/>
          <w:iCs/>
          <w:sz w:val="22"/>
        </w:rPr>
        <w:t>mediana con valor absoluto</w:t>
      </w:r>
      <w:r w:rsidRPr="00C15FEE">
        <w:rPr>
          <w:rFonts w:ascii="Arial" w:eastAsia="Calibri" w:hAnsi="Arial" w:cs="Arial"/>
          <w:sz w:val="22"/>
        </w:rPr>
        <w:t xml:space="preserve">, al sexto lote el método de </w:t>
      </w:r>
      <w:r w:rsidRPr="00132FB4">
        <w:rPr>
          <w:rFonts w:ascii="Arial" w:eastAsia="Calibri" w:hAnsi="Arial" w:cs="Arial"/>
          <w:i/>
          <w:iCs/>
          <w:sz w:val="22"/>
        </w:rPr>
        <w:t>media geométrica</w:t>
      </w:r>
      <w:r w:rsidRPr="00C15FEE">
        <w:rPr>
          <w:rFonts w:ascii="Arial" w:eastAsia="Calibri" w:hAnsi="Arial" w:cs="Arial"/>
          <w:sz w:val="22"/>
        </w:rPr>
        <w:t xml:space="preserve">, al séptimo lote el método de </w:t>
      </w:r>
      <w:r w:rsidRPr="00132FB4">
        <w:rPr>
          <w:rFonts w:ascii="Arial" w:eastAsia="Calibri" w:hAnsi="Arial" w:cs="Arial"/>
          <w:i/>
          <w:iCs/>
          <w:sz w:val="22"/>
        </w:rPr>
        <w:t>media aritmética baja</w:t>
      </w:r>
      <w:r w:rsidRPr="00C15FEE">
        <w:rPr>
          <w:rFonts w:ascii="Arial" w:eastAsia="Calibri" w:hAnsi="Arial" w:cs="Arial"/>
          <w:sz w:val="22"/>
        </w:rPr>
        <w:t xml:space="preserve"> y, así sucesivamente. </w:t>
      </w:r>
    </w:p>
    <w:p w14:paraId="3E713B10" w14:textId="77777777" w:rsidR="00B56368" w:rsidRPr="00C15FEE" w:rsidRDefault="00B56368" w:rsidP="00B56368">
      <w:pPr>
        <w:pStyle w:val="paragraph"/>
        <w:shd w:val="clear" w:color="auto" w:fill="FFFFFF"/>
        <w:spacing w:before="0" w:beforeAutospacing="0" w:after="120" w:afterAutospacing="0" w:line="276" w:lineRule="auto"/>
        <w:ind w:firstLine="703"/>
        <w:jc w:val="both"/>
        <w:textAlignment w:val="baseline"/>
        <w:rPr>
          <w:rStyle w:val="normaltextrun"/>
          <w:rFonts w:ascii="Arial" w:hAnsi="Arial" w:cs="Arial"/>
          <w:color w:val="000000"/>
          <w:sz w:val="22"/>
          <w:szCs w:val="22"/>
          <w:lang w:val="es-ES"/>
        </w:rPr>
      </w:pPr>
      <w:r w:rsidRPr="00C15FEE">
        <w:rPr>
          <w:rStyle w:val="normaltextrun"/>
          <w:rFonts w:ascii="Arial" w:hAnsi="Arial" w:cs="Arial"/>
          <w:color w:val="000000"/>
          <w:sz w:val="22"/>
          <w:szCs w:val="22"/>
        </w:rPr>
        <w:t xml:space="preserve">Este razonamiento, el cual tiene por objeto los documentos tipo implementados mediante la Resolución 240 del 27 de noviembre de 2020, se aplica </w:t>
      </w:r>
      <w:r w:rsidRPr="00C15FEE">
        <w:rPr>
          <w:rStyle w:val="normaltextrun"/>
          <w:rFonts w:ascii="Arial" w:hAnsi="Arial" w:cs="Arial"/>
          <w:i/>
          <w:iCs/>
          <w:color w:val="000000"/>
          <w:sz w:val="22"/>
          <w:szCs w:val="22"/>
        </w:rPr>
        <w:t>mutatis mutandis</w:t>
      </w:r>
      <w:r w:rsidRPr="00C15FEE">
        <w:rPr>
          <w:rStyle w:val="normaltextrun"/>
          <w:rFonts w:ascii="Arial" w:hAnsi="Arial" w:cs="Arial"/>
          <w:color w:val="000000"/>
          <w:sz w:val="22"/>
          <w:szCs w:val="22"/>
        </w:rPr>
        <w:t xml:space="preserve"> al pliego de condiciones de 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y 249 del 1° de diciembre de 2020, «Por la cual se adoptan los documentos tipo para los procesos de licitación pública para obras de infraestructura de agua potable y saneamiento básico en la modalidad llave en mano».</w:t>
      </w:r>
      <w:r w:rsidRPr="00C15FEE">
        <w:rPr>
          <w:rFonts w:ascii="Segoe UI" w:hAnsi="Segoe UI" w:cs="Segoe UI"/>
          <w:sz w:val="18"/>
          <w:szCs w:val="18"/>
        </w:rPr>
        <w:t xml:space="preserve"> </w:t>
      </w:r>
      <w:r w:rsidRPr="00C15FEE">
        <w:rPr>
          <w:rStyle w:val="normaltextrun"/>
          <w:rFonts w:ascii="Arial" w:hAnsi="Arial" w:cs="Arial"/>
          <w:color w:val="000000"/>
          <w:sz w:val="22"/>
          <w:szCs w:val="22"/>
          <w:lang w:val="es-ES"/>
        </w:rPr>
        <w:t>La misma idea también aplica al pliego de condiciones de los documentos tipo de las Resoluciones 219 y 220 del 6 de agosto de 2021, 392 del 18 de noviembre de 2021 y 454 del 16 de diciembre 2021, por las cuales se adoptan los «documentos tipo transversales» de licitación de obra pública de infraestructura social y los «documentos tipo adicionales» relacionados con infraestructura educativa, salud, y cultura, recreación y deporte.</w:t>
      </w:r>
    </w:p>
    <w:p w14:paraId="18F3BA0B" w14:textId="77777777" w:rsidR="00B56368" w:rsidRPr="00C15FEE" w:rsidRDefault="00B56368" w:rsidP="00B56368">
      <w:pPr>
        <w:pStyle w:val="paragraph"/>
        <w:shd w:val="clear" w:color="auto" w:fill="FFFFFF"/>
        <w:spacing w:before="0" w:beforeAutospacing="0" w:after="120" w:afterAutospacing="0" w:line="276" w:lineRule="auto"/>
        <w:ind w:firstLine="703"/>
        <w:jc w:val="both"/>
        <w:textAlignment w:val="baseline"/>
        <w:rPr>
          <w:rFonts w:ascii="Arial" w:hAnsi="Arial" w:cs="Arial"/>
          <w:color w:val="000000"/>
          <w:sz w:val="22"/>
          <w:szCs w:val="22"/>
          <w:lang w:val="es-ES"/>
        </w:rPr>
      </w:pPr>
      <w:r w:rsidRPr="00C15FEE">
        <w:rPr>
          <w:rStyle w:val="normaltextrun"/>
          <w:rFonts w:ascii="Arial" w:hAnsi="Arial" w:cs="Arial"/>
          <w:color w:val="000000"/>
          <w:sz w:val="22"/>
          <w:szCs w:val="22"/>
          <w:lang w:val="es-ES"/>
        </w:rPr>
        <w:t xml:space="preserve">Sin perjuicio de lo anterior, </w:t>
      </w:r>
      <w:r w:rsidRPr="00C15FEE">
        <w:rPr>
          <w:rFonts w:ascii="Arial" w:hAnsi="Arial" w:cs="Arial"/>
          <w:sz w:val="22"/>
          <w:szCs w:val="22"/>
        </w:rPr>
        <w:t xml:space="preserve">conviene señalar que, en el numeral 2.10. «Reglas para los procesos estructurados por lotes o grupos», literal E, de los documentos tipo de licitación de obra pública de infraestructura de transporte se establece que «[e]l orden que se seguirá para establecer el orden de elegibilidad de los lotes o grupos que conforman el proceso de contratación será el señalado por la entidad en el numeral 2.6.» A su turno, sobre el particular, el numeral 2.6 establece lo siguiente: </w:t>
      </w:r>
    </w:p>
    <w:p w14:paraId="5934FAAE" w14:textId="77777777" w:rsidR="00B56368" w:rsidRPr="00C15FEE" w:rsidRDefault="00B56368" w:rsidP="00B56368">
      <w:pPr>
        <w:pStyle w:val="paragraph"/>
        <w:shd w:val="clear" w:color="auto" w:fill="FFFFFF"/>
        <w:spacing w:after="0" w:afterAutospacing="0"/>
        <w:ind w:left="709" w:right="709"/>
        <w:jc w:val="both"/>
        <w:textAlignment w:val="baseline"/>
        <w:rPr>
          <w:rFonts w:ascii="Arial" w:hAnsi="Arial" w:cs="Arial"/>
          <w:sz w:val="21"/>
          <w:szCs w:val="21"/>
        </w:rPr>
      </w:pPr>
      <w:r w:rsidRPr="00C15FEE">
        <w:rPr>
          <w:rFonts w:ascii="Arial" w:hAnsi="Arial" w:cs="Arial"/>
          <w:sz w:val="21"/>
          <w:szCs w:val="21"/>
        </w:rPr>
        <w:t>[En los procesos estructurados por lotes o grupos la entidad debe establecer en este numeral el orden que seguirá para establecer el orden de elegibilidad de los lotes o grupos que conforman el proceso de contratación, esto es, si se iniciará por el lote con el mayor valor en el presupuesto oficial hasta el de menor valor, o viceversa, o si se establecerá el orden de elegibilidad de acuerdo con el número de lote o grupo definido en el numeral 1.1.</w:t>
      </w:r>
    </w:p>
    <w:p w14:paraId="6081D860" w14:textId="77777777" w:rsidR="00B56368" w:rsidRPr="00C15FEE" w:rsidRDefault="00B56368" w:rsidP="00B56368">
      <w:pPr>
        <w:pStyle w:val="paragraph"/>
        <w:shd w:val="clear" w:color="auto" w:fill="FFFFFF"/>
        <w:spacing w:after="0" w:afterAutospacing="0"/>
        <w:ind w:left="709" w:right="709"/>
        <w:jc w:val="both"/>
        <w:textAlignment w:val="baseline"/>
        <w:rPr>
          <w:rFonts w:ascii="Arial" w:hAnsi="Arial" w:cs="Arial"/>
          <w:sz w:val="21"/>
          <w:szCs w:val="21"/>
        </w:rPr>
      </w:pPr>
      <w:r w:rsidRPr="00C15FEE">
        <w:rPr>
          <w:rFonts w:ascii="Arial" w:hAnsi="Arial" w:cs="Arial"/>
          <w:sz w:val="21"/>
          <w:szCs w:val="21"/>
        </w:rPr>
        <w:t xml:space="preserve">Establecido el orden de elegibilidad del primer lote, de acuerdo con el orden definido por la entidad, se dará apertura al Sobre 2 del siguiente lote y se </w:t>
      </w:r>
      <w:r w:rsidRPr="00C15FEE">
        <w:rPr>
          <w:rFonts w:ascii="Arial" w:hAnsi="Arial" w:cs="Arial"/>
          <w:sz w:val="21"/>
          <w:szCs w:val="21"/>
        </w:rPr>
        <w:lastRenderedPageBreak/>
        <w:t xml:space="preserve">establecerá el orden de elegibilidad, y así sucesivamente para cada lote o grupo que conforman el proceso, de acuerdo con el orden establecido por la entidad].  </w:t>
      </w:r>
    </w:p>
    <w:p w14:paraId="7056BBAE" w14:textId="77777777" w:rsidR="00B56368" w:rsidRPr="00C15FEE" w:rsidRDefault="00B56368" w:rsidP="00B56368">
      <w:pPr>
        <w:spacing w:line="276" w:lineRule="auto"/>
        <w:jc w:val="both"/>
        <w:rPr>
          <w:rFonts w:ascii="Arial" w:hAnsi="Arial" w:cs="Arial"/>
          <w:sz w:val="22"/>
          <w:lang w:val="es-CO"/>
        </w:rPr>
      </w:pPr>
    </w:p>
    <w:p w14:paraId="4A6AF620" w14:textId="77777777" w:rsidR="00B56368" w:rsidRPr="00C15FEE" w:rsidRDefault="00B56368" w:rsidP="00B56368">
      <w:pPr>
        <w:spacing w:line="276" w:lineRule="auto"/>
        <w:ind w:firstLine="708"/>
        <w:jc w:val="both"/>
        <w:rPr>
          <w:rFonts w:ascii="Arial" w:hAnsi="Arial" w:cs="Arial"/>
          <w:sz w:val="22"/>
          <w:lang w:val="es-CO"/>
        </w:rPr>
      </w:pPr>
      <w:r w:rsidRPr="00C15FEE">
        <w:rPr>
          <w:rFonts w:ascii="Arial" w:hAnsi="Arial" w:cs="Arial"/>
          <w:sz w:val="22"/>
          <w:lang w:val="es-CO"/>
        </w:rPr>
        <w:t xml:space="preserve">En ese contexto, respecto del orden para la adjudicación de procesos de licitación de obra pública de infraestructura de transporte estructurados por lotes o grupos, las entidades estatales deben observar lo establecido en el numeral 2.10, literal E, en concordancia con los numerales 2.6 y 1.1 del documento base de los documentos tipo de licitación de obra pública de infraestructura de transporte. </w:t>
      </w:r>
    </w:p>
    <w:p w14:paraId="04710378" w14:textId="77777777" w:rsidR="00B56368" w:rsidRPr="00C15FEE" w:rsidRDefault="00B56368" w:rsidP="00B56368">
      <w:pPr>
        <w:spacing w:line="276" w:lineRule="auto"/>
        <w:jc w:val="both"/>
        <w:rPr>
          <w:rFonts w:ascii="Arial" w:hAnsi="Arial" w:cs="Arial"/>
          <w:sz w:val="22"/>
          <w:lang w:val="es-CO"/>
        </w:rPr>
      </w:pPr>
    </w:p>
    <w:p w14:paraId="7E9EBDE6" w14:textId="77777777" w:rsidR="00B56368" w:rsidRPr="00C15FEE" w:rsidRDefault="00B56368" w:rsidP="00B56368">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C15FEE">
        <w:rPr>
          <w:rFonts w:ascii="Arial" w:eastAsia="Calibri" w:hAnsi="Arial" w:cs="Arial"/>
          <w:b/>
          <w:sz w:val="22"/>
          <w:lang w:val="es-CO"/>
        </w:rPr>
        <w:t>Respuesta</w:t>
      </w:r>
    </w:p>
    <w:p w14:paraId="2AE8204F" w14:textId="77777777" w:rsidR="00B56368" w:rsidRPr="00C15FEE" w:rsidRDefault="00B56368" w:rsidP="00B56368">
      <w:pPr>
        <w:ind w:right="709"/>
        <w:jc w:val="both"/>
        <w:rPr>
          <w:rFonts w:ascii="Arial" w:eastAsia="Calibri" w:hAnsi="Arial" w:cs="Arial"/>
          <w:iCs/>
          <w:sz w:val="22"/>
          <w:lang w:val="es-CO"/>
        </w:rPr>
      </w:pPr>
    </w:p>
    <w:p w14:paraId="262C4500" w14:textId="77777777" w:rsidR="00B56368" w:rsidRPr="00C15FEE" w:rsidRDefault="00B56368" w:rsidP="00B56368">
      <w:pPr>
        <w:ind w:left="709" w:right="709"/>
        <w:jc w:val="both"/>
        <w:rPr>
          <w:rFonts w:ascii="Arial" w:eastAsia="Calibri" w:hAnsi="Arial" w:cs="Arial"/>
          <w:sz w:val="21"/>
          <w:szCs w:val="21"/>
          <w:lang w:val="es-CO"/>
        </w:rPr>
      </w:pPr>
      <w:r w:rsidRPr="00C15FEE">
        <w:rPr>
          <w:rFonts w:ascii="Arial" w:eastAsia="Calibri" w:hAnsi="Arial" w:cs="Arial"/>
          <w:sz w:val="21"/>
          <w:szCs w:val="21"/>
          <w:lang w:val="es-CO"/>
        </w:rPr>
        <w:t xml:space="preserve">«La </w:t>
      </w:r>
      <w:proofErr w:type="gramStart"/>
      <w:r w:rsidRPr="00C15FEE">
        <w:rPr>
          <w:rFonts w:ascii="Arial" w:eastAsia="Calibri" w:hAnsi="Arial" w:cs="Arial"/>
          <w:sz w:val="21"/>
          <w:szCs w:val="21"/>
          <w:lang w:val="es-CO"/>
        </w:rPr>
        <w:t>consulta  consiste</w:t>
      </w:r>
      <w:proofErr w:type="gramEnd"/>
      <w:r w:rsidRPr="00C15FEE">
        <w:rPr>
          <w:rFonts w:ascii="Arial" w:eastAsia="Calibri" w:hAnsi="Arial" w:cs="Arial"/>
          <w:sz w:val="21"/>
          <w:szCs w:val="21"/>
          <w:lang w:val="es-CO"/>
        </w:rPr>
        <w:t xml:space="preserve">  en  determinar  qué  debe  entenderse  por orden  ascendente para  asignar el método a los siguientes lotes, a partir de lo reglado en el &lt;&lt;DOCUMENTO BASE LICITACIÓN DE INFRAESTRUCTURA DE TRANSPORTE (VERSIÓN 3)&gt;&gt;, numeral 4.1.4. sobre la &lt;&lt;DETERMINACIÓN DEL MÉTODO PARA LA PONDERACIÓN DE LA PROPUESTA ECONÓMICA&gt;&gt;».</w:t>
      </w:r>
    </w:p>
    <w:p w14:paraId="0B5FE3B9" w14:textId="77777777" w:rsidR="00B56368" w:rsidRPr="00C15FEE" w:rsidRDefault="00B56368" w:rsidP="00B56368">
      <w:pPr>
        <w:ind w:left="709" w:right="709"/>
        <w:jc w:val="both"/>
        <w:rPr>
          <w:rFonts w:ascii="Arial" w:eastAsia="Calibri" w:hAnsi="Arial" w:cs="Arial"/>
          <w:sz w:val="21"/>
          <w:szCs w:val="21"/>
          <w:lang w:val="es-CO"/>
        </w:rPr>
      </w:pPr>
    </w:p>
    <w:p w14:paraId="78AFF80F" w14:textId="77777777" w:rsidR="00B56368" w:rsidRPr="00C15FEE" w:rsidRDefault="00B56368" w:rsidP="00B56368">
      <w:pPr>
        <w:spacing w:after="120" w:line="276" w:lineRule="auto"/>
        <w:jc w:val="both"/>
        <w:rPr>
          <w:rFonts w:ascii="Arial" w:eastAsia="Calibri" w:hAnsi="Arial" w:cs="Arial"/>
          <w:sz w:val="22"/>
        </w:rPr>
      </w:pPr>
      <w:r w:rsidRPr="00C15FEE">
        <w:rPr>
          <w:rFonts w:ascii="Arial" w:eastAsia="Calibri" w:hAnsi="Arial" w:cs="Arial"/>
          <w:sz w:val="22"/>
        </w:rPr>
        <w:t xml:space="preserve">Como se analizó en las consideraciones, de conformidad con el numeral 4.1.4 del documento base de los documento tipo de licitación de obra pública de infraestructura de transporte, para los procesos de contratación estructurados por lotes se establecieron tres reglas básicas para la definición del método de ponderación de las ofertas económicas correspondientes a cada uno de los lotes: i) para el primer lote, el método se asignará de acuerdo con la TRM, esto es, a la metodología que se explicó en las consideraciones, </w:t>
      </w:r>
      <w:proofErr w:type="spellStart"/>
      <w:r w:rsidRPr="00C15FEE">
        <w:rPr>
          <w:rFonts w:ascii="Arial" w:eastAsia="Calibri" w:hAnsi="Arial" w:cs="Arial"/>
          <w:sz w:val="22"/>
        </w:rPr>
        <w:t>ii</w:t>
      </w:r>
      <w:proofErr w:type="spellEnd"/>
      <w:r w:rsidRPr="00C15FEE">
        <w:rPr>
          <w:rFonts w:ascii="Arial" w:eastAsia="Calibri" w:hAnsi="Arial" w:cs="Arial"/>
          <w:sz w:val="22"/>
        </w:rPr>
        <w:t xml:space="preserve">) para la adjudicación del segundo lote se tomará el siguiente método en orden ascendente y así sucesivamente, de acuerdo con la tabla de métodos de ponderación y, </w:t>
      </w:r>
      <w:proofErr w:type="spellStart"/>
      <w:r w:rsidRPr="00C15FEE">
        <w:rPr>
          <w:rFonts w:ascii="Arial" w:eastAsia="Calibri" w:hAnsi="Arial" w:cs="Arial"/>
          <w:sz w:val="22"/>
        </w:rPr>
        <w:t>iii</w:t>
      </w:r>
      <w:proofErr w:type="spellEnd"/>
      <w:r w:rsidRPr="00C15FEE">
        <w:rPr>
          <w:rFonts w:ascii="Arial" w:eastAsia="Calibri" w:hAnsi="Arial" w:cs="Arial"/>
          <w:sz w:val="22"/>
        </w:rPr>
        <w:t>) en caso de agotarse el último método se reiniciará desde el primer método de la tabla. Para mayor claridad, en la segunda columna de la tabla establecida en el numeral 4.1.4 del documento base, se asignó un número –del 1 al 4– para cada método de ponderación.</w:t>
      </w:r>
    </w:p>
    <w:p w14:paraId="11CC5F13" w14:textId="77777777" w:rsidR="00B56368" w:rsidRPr="00C15FEE" w:rsidRDefault="00B56368" w:rsidP="00B56368">
      <w:pPr>
        <w:spacing w:before="120" w:after="120" w:line="276" w:lineRule="auto"/>
        <w:ind w:firstLine="709"/>
        <w:jc w:val="both"/>
        <w:rPr>
          <w:rFonts w:ascii="Arial" w:eastAsia="Calibri" w:hAnsi="Arial" w:cs="Arial"/>
          <w:sz w:val="22"/>
        </w:rPr>
      </w:pPr>
      <w:r w:rsidRPr="00C15FEE">
        <w:rPr>
          <w:rFonts w:ascii="Arial" w:eastAsia="Calibri" w:hAnsi="Arial" w:cs="Arial"/>
          <w:sz w:val="22"/>
        </w:rPr>
        <w:t>La asignación de este número en la segunda columna tabla tiene como objetivo principal que las entidades determinen el orden ascendente al que se refiere la segunda regla, entendiendo orden ascendente como aquel que corresponde a los números que siguen una secuencia de menor a mayor. Es decir, desde una interpretación y significado de las palabras, corresponde al número mayor dentro de la secuencia de los métodos a utilizar para la ponderación, por lo que la regla establecida en el documento base no corresponde a su ubicación dentro del cuadro ni mucho menos por el rango de centavos de la TRM, sino con fundamento en el número asignado en la segunda columna de la tabla.</w:t>
      </w:r>
    </w:p>
    <w:p w14:paraId="686806AF" w14:textId="77777777" w:rsidR="00B56368" w:rsidRPr="00C15FEE" w:rsidRDefault="00B56368" w:rsidP="00B56368">
      <w:pPr>
        <w:spacing w:before="120" w:after="120" w:line="276" w:lineRule="auto"/>
        <w:ind w:firstLine="709"/>
        <w:jc w:val="both"/>
        <w:rPr>
          <w:rFonts w:ascii="Arial" w:eastAsia="Calibri" w:hAnsi="Arial" w:cs="Arial"/>
          <w:sz w:val="22"/>
        </w:rPr>
      </w:pPr>
      <w:r w:rsidRPr="00C15FEE">
        <w:rPr>
          <w:rFonts w:ascii="Arial" w:eastAsia="Calibri" w:hAnsi="Arial" w:cs="Arial"/>
          <w:sz w:val="22"/>
        </w:rPr>
        <w:lastRenderedPageBreak/>
        <w:t xml:space="preserve">Teniendo en cuenta esta explicación, se tiene que si, por ejemplo, para el primer lote la entidad asignó el método de </w:t>
      </w:r>
      <w:r w:rsidRPr="00C15FEE">
        <w:rPr>
          <w:rFonts w:ascii="Arial" w:eastAsia="Calibri" w:hAnsi="Arial" w:cs="Arial"/>
          <w:i/>
          <w:iCs/>
          <w:sz w:val="22"/>
        </w:rPr>
        <w:t>mediana con valor absoluto</w:t>
      </w:r>
      <w:r w:rsidRPr="00C15FEE">
        <w:rPr>
          <w:rFonts w:ascii="Arial" w:eastAsia="Calibri" w:hAnsi="Arial" w:cs="Arial"/>
          <w:sz w:val="22"/>
        </w:rPr>
        <w:t xml:space="preserve"> de acuerdo con la TRM, para el segundo lote se debe seguir la regla y tomar el siguiente método en orden ascendente, y así sucesivamente. Es decir, al segundo lote le corresponde la </w:t>
      </w:r>
      <w:r w:rsidRPr="00C15FEE">
        <w:rPr>
          <w:rFonts w:ascii="Arial" w:eastAsia="Calibri" w:hAnsi="Arial" w:cs="Arial"/>
          <w:i/>
          <w:iCs/>
          <w:sz w:val="22"/>
        </w:rPr>
        <w:t>media geométrica</w:t>
      </w:r>
      <w:r w:rsidRPr="00C15FEE">
        <w:rPr>
          <w:rFonts w:ascii="Arial" w:eastAsia="Calibri" w:hAnsi="Arial" w:cs="Arial"/>
          <w:sz w:val="22"/>
        </w:rPr>
        <w:t xml:space="preserve">, esto es, el método número dos. Al tercer lote le corresponde el método </w:t>
      </w:r>
      <w:r w:rsidRPr="00C15FEE">
        <w:rPr>
          <w:rFonts w:ascii="Arial" w:eastAsia="Calibri" w:hAnsi="Arial" w:cs="Arial"/>
          <w:i/>
          <w:iCs/>
          <w:sz w:val="22"/>
        </w:rPr>
        <w:t>media aritmética baja</w:t>
      </w:r>
      <w:r w:rsidRPr="00C15FEE">
        <w:rPr>
          <w:rFonts w:ascii="Arial" w:eastAsia="Calibri" w:hAnsi="Arial" w:cs="Arial"/>
          <w:sz w:val="22"/>
        </w:rPr>
        <w:t xml:space="preserve">, es decir, el tercer método; y, por último, al cuarto lote le corresponde el método de </w:t>
      </w:r>
      <w:r w:rsidRPr="00C15FEE">
        <w:rPr>
          <w:rFonts w:ascii="Arial" w:eastAsia="Calibri" w:hAnsi="Arial" w:cs="Arial"/>
          <w:i/>
          <w:iCs/>
          <w:sz w:val="22"/>
        </w:rPr>
        <w:t>menor valor</w:t>
      </w:r>
      <w:r w:rsidRPr="00C15FEE">
        <w:rPr>
          <w:rFonts w:ascii="Arial" w:eastAsia="Calibri" w:hAnsi="Arial" w:cs="Arial"/>
          <w:sz w:val="22"/>
        </w:rPr>
        <w:t xml:space="preserve">.  </w:t>
      </w:r>
    </w:p>
    <w:p w14:paraId="79D55CE9" w14:textId="77777777" w:rsidR="00B56368" w:rsidRPr="00C15FEE" w:rsidRDefault="00B56368" w:rsidP="00B56368">
      <w:pPr>
        <w:spacing w:before="120" w:after="120" w:line="276" w:lineRule="auto"/>
        <w:ind w:firstLine="709"/>
        <w:jc w:val="both"/>
        <w:rPr>
          <w:rFonts w:ascii="Arial" w:eastAsia="Calibri" w:hAnsi="Arial" w:cs="Arial"/>
          <w:sz w:val="22"/>
        </w:rPr>
      </w:pPr>
      <w:r w:rsidRPr="00C15FEE">
        <w:rPr>
          <w:rFonts w:ascii="Arial" w:eastAsia="Calibri" w:hAnsi="Arial" w:cs="Arial"/>
          <w:sz w:val="22"/>
        </w:rPr>
        <w:t xml:space="preserve">Finalmente, dado que los procesos se pueden estructurar en más de 4 lotes, debe aplicarse la regla según la cual «se reiniciará desde el primer método en caso de agotarse el último método», por lo que al quinto lote le correspondería el método de </w:t>
      </w:r>
      <w:r w:rsidRPr="00C15FEE">
        <w:rPr>
          <w:rFonts w:ascii="Arial" w:eastAsia="Calibri" w:hAnsi="Arial" w:cs="Arial"/>
          <w:i/>
          <w:iCs/>
          <w:sz w:val="22"/>
        </w:rPr>
        <w:t>mediana con valor absoluto</w:t>
      </w:r>
      <w:r w:rsidRPr="00C15FEE">
        <w:rPr>
          <w:rFonts w:ascii="Arial" w:eastAsia="Calibri" w:hAnsi="Arial" w:cs="Arial"/>
          <w:sz w:val="22"/>
        </w:rPr>
        <w:t xml:space="preserve">, al sexto lote el método de </w:t>
      </w:r>
      <w:r w:rsidRPr="00C15FEE">
        <w:rPr>
          <w:rFonts w:ascii="Arial" w:eastAsia="Calibri" w:hAnsi="Arial" w:cs="Arial"/>
          <w:i/>
          <w:iCs/>
          <w:sz w:val="22"/>
        </w:rPr>
        <w:t>media geométrica</w:t>
      </w:r>
      <w:r w:rsidRPr="00C15FEE">
        <w:rPr>
          <w:rFonts w:ascii="Arial" w:eastAsia="Calibri" w:hAnsi="Arial" w:cs="Arial"/>
          <w:sz w:val="22"/>
        </w:rPr>
        <w:t xml:space="preserve">, al séptimo lote el método de </w:t>
      </w:r>
      <w:r w:rsidRPr="00C15FEE">
        <w:rPr>
          <w:rFonts w:ascii="Arial" w:eastAsia="Calibri" w:hAnsi="Arial" w:cs="Arial"/>
          <w:i/>
          <w:iCs/>
          <w:sz w:val="22"/>
        </w:rPr>
        <w:t>media aritmética baja</w:t>
      </w:r>
      <w:r w:rsidRPr="00C15FEE">
        <w:rPr>
          <w:rFonts w:ascii="Arial" w:eastAsia="Calibri" w:hAnsi="Arial" w:cs="Arial"/>
          <w:sz w:val="22"/>
        </w:rPr>
        <w:t xml:space="preserve"> y, así sucesivamente. </w:t>
      </w:r>
    </w:p>
    <w:p w14:paraId="095A41B9" w14:textId="77777777" w:rsidR="00B56368" w:rsidRPr="00C15FEE" w:rsidRDefault="00B56368" w:rsidP="00B56368">
      <w:pPr>
        <w:spacing w:line="276" w:lineRule="auto"/>
        <w:jc w:val="both"/>
        <w:rPr>
          <w:rFonts w:ascii="Arial" w:eastAsia="Calibri" w:hAnsi="Arial" w:cs="Arial"/>
          <w:color w:val="000000" w:themeColor="text1"/>
          <w:sz w:val="22"/>
        </w:rPr>
      </w:pPr>
    </w:p>
    <w:p w14:paraId="6697F90C" w14:textId="77777777" w:rsidR="00B56368" w:rsidRPr="00C15FEE" w:rsidRDefault="00B56368" w:rsidP="00B56368">
      <w:pPr>
        <w:spacing w:line="276" w:lineRule="auto"/>
        <w:jc w:val="both"/>
        <w:rPr>
          <w:rFonts w:ascii="Arial" w:eastAsia="Calibri" w:hAnsi="Arial" w:cs="Arial"/>
          <w:color w:val="000000" w:themeColor="text1"/>
          <w:sz w:val="22"/>
        </w:rPr>
      </w:pPr>
      <w:r w:rsidRPr="00C15FEE">
        <w:rPr>
          <w:rFonts w:ascii="Arial" w:eastAsia="Calibri" w:hAnsi="Arial" w:cs="Arial"/>
          <w:color w:val="000000" w:themeColor="text1"/>
          <w:sz w:val="22"/>
        </w:rPr>
        <w:t>Este concepto tiene el alcance previsto en el artículo 28 del Código de Procedimiento Administrativo y de lo Contencioso Administrativo.</w:t>
      </w:r>
    </w:p>
    <w:p w14:paraId="6F3A2CF4" w14:textId="77777777" w:rsidR="00B56368" w:rsidRPr="00C15FEE" w:rsidRDefault="00B56368" w:rsidP="00B56368">
      <w:pPr>
        <w:jc w:val="both"/>
        <w:rPr>
          <w:rFonts w:ascii="Arial" w:hAnsi="Arial" w:cs="Arial"/>
          <w:color w:val="000000" w:themeColor="text1"/>
          <w:sz w:val="22"/>
          <w:lang w:eastAsia="es-CO"/>
        </w:rPr>
      </w:pPr>
    </w:p>
    <w:p w14:paraId="25DB868D" w14:textId="065B3B10" w:rsidR="00B56368" w:rsidRDefault="00B56368" w:rsidP="00B56368">
      <w:pPr>
        <w:jc w:val="both"/>
        <w:rPr>
          <w:rFonts w:ascii="Arial" w:hAnsi="Arial" w:cs="Arial"/>
          <w:color w:val="000000" w:themeColor="text1"/>
          <w:sz w:val="22"/>
          <w:lang w:eastAsia="es-CO"/>
        </w:rPr>
      </w:pPr>
      <w:r w:rsidRPr="00C15FEE">
        <w:rPr>
          <w:rFonts w:ascii="Arial" w:hAnsi="Arial" w:cs="Arial"/>
          <w:color w:val="000000" w:themeColor="text1"/>
          <w:sz w:val="22"/>
          <w:lang w:eastAsia="es-CO"/>
        </w:rPr>
        <w:t>Atentamente,</w:t>
      </w:r>
    </w:p>
    <w:p w14:paraId="74F58271" w14:textId="77777777" w:rsidR="00CF435E" w:rsidRPr="00C15FEE" w:rsidRDefault="00CF435E" w:rsidP="00B56368">
      <w:pPr>
        <w:jc w:val="both"/>
        <w:rPr>
          <w:rFonts w:ascii="Arial" w:hAnsi="Arial" w:cs="Arial"/>
          <w:color w:val="000000" w:themeColor="text1"/>
          <w:sz w:val="22"/>
          <w:lang w:eastAsia="es-CO"/>
        </w:rPr>
      </w:pPr>
    </w:p>
    <w:p w14:paraId="71C59714" w14:textId="0A2B1C3A" w:rsidR="00B56368" w:rsidRDefault="00CF435E" w:rsidP="00CF435E">
      <w:pPr>
        <w:jc w:val="center"/>
        <w:rPr>
          <w:rFonts w:ascii="Arial" w:hAnsi="Arial" w:cs="Arial"/>
          <w:color w:val="000000" w:themeColor="text1"/>
          <w:sz w:val="22"/>
          <w:lang w:eastAsia="es-CO"/>
        </w:rPr>
      </w:pPr>
      <w:r>
        <w:rPr>
          <w:rFonts w:ascii="Arial" w:hAnsi="Arial" w:cs="Arial"/>
          <w:noProof/>
          <w:color w:val="000000" w:themeColor="text1"/>
          <w:sz w:val="22"/>
          <w:lang w:val="es-ES_tradnl"/>
        </w:rPr>
        <w:drawing>
          <wp:inline distT="0" distB="0" distL="0" distR="0" wp14:anchorId="32E68B14" wp14:editId="517245F9">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663E09B" w14:textId="77777777" w:rsidR="00B56368" w:rsidRPr="006C15D5" w:rsidRDefault="00B56368" w:rsidP="00B56368">
      <w:pPr>
        <w:jc w:val="cente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B56368" w:rsidRPr="003F6D32" w14:paraId="37D37392" w14:textId="77777777" w:rsidTr="00052161">
        <w:trPr>
          <w:trHeight w:val="315"/>
        </w:trPr>
        <w:tc>
          <w:tcPr>
            <w:tcW w:w="812" w:type="dxa"/>
            <w:vAlign w:val="center"/>
            <w:hideMark/>
          </w:tcPr>
          <w:p w14:paraId="30AC6F6E" w14:textId="77777777" w:rsidR="00B56368" w:rsidRPr="006C15D5" w:rsidRDefault="00B56368" w:rsidP="00052161">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575" w:type="dxa"/>
            <w:tcBorders>
              <w:top w:val="nil"/>
              <w:left w:val="nil"/>
              <w:bottom w:val="dotted" w:sz="4" w:space="0" w:color="7F7F7F" w:themeColor="text1" w:themeTint="80"/>
              <w:right w:val="nil"/>
            </w:tcBorders>
            <w:vAlign w:val="center"/>
            <w:hideMark/>
          </w:tcPr>
          <w:p w14:paraId="623B8F9F" w14:textId="77777777" w:rsidR="00B56368" w:rsidRPr="006C15D5" w:rsidRDefault="00B56368" w:rsidP="00052161">
            <w:pPr>
              <w:rPr>
                <w:rFonts w:ascii="Arial" w:hAnsi="Arial" w:cs="Arial"/>
                <w:color w:val="000000" w:themeColor="text1"/>
                <w:sz w:val="16"/>
                <w:szCs w:val="16"/>
                <w:lang w:eastAsia="es-ES"/>
              </w:rPr>
            </w:pPr>
            <w:r>
              <w:rPr>
                <w:rFonts w:ascii="Arial" w:hAnsi="Arial" w:cs="Arial"/>
                <w:color w:val="000000" w:themeColor="text1"/>
                <w:sz w:val="16"/>
                <w:szCs w:val="16"/>
                <w:lang w:eastAsia="es-ES"/>
              </w:rPr>
              <w:t>Kevin Arlid Herrera Santa</w:t>
            </w:r>
          </w:p>
          <w:p w14:paraId="2201BD9A" w14:textId="77777777" w:rsidR="00B56368" w:rsidRPr="006C15D5" w:rsidRDefault="00B56368" w:rsidP="00052161">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Analista T2 – 04 </w:t>
            </w:r>
            <w:r w:rsidRPr="00CD169B">
              <w:rPr>
                <w:rFonts w:ascii="Arial" w:hAnsi="Arial" w:cs="Arial"/>
                <w:color w:val="000000" w:themeColor="text1"/>
                <w:sz w:val="16"/>
                <w:szCs w:val="16"/>
                <w:lang w:eastAsia="es-ES"/>
              </w:rPr>
              <w:t>de la Subdirección de Gestión Contractual</w:t>
            </w:r>
          </w:p>
        </w:tc>
      </w:tr>
      <w:tr w:rsidR="00B56368" w:rsidRPr="003F6D32" w14:paraId="4011E05E" w14:textId="77777777" w:rsidTr="00052161">
        <w:trPr>
          <w:trHeight w:val="330"/>
        </w:trPr>
        <w:tc>
          <w:tcPr>
            <w:tcW w:w="812" w:type="dxa"/>
            <w:vAlign w:val="center"/>
            <w:hideMark/>
          </w:tcPr>
          <w:p w14:paraId="46056B79" w14:textId="77777777" w:rsidR="00B56368" w:rsidRPr="006C15D5" w:rsidRDefault="00B56368" w:rsidP="00052161">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58F8ED14" w14:textId="77777777" w:rsidR="00B56368" w:rsidRPr="00CD169B" w:rsidRDefault="00B56368" w:rsidP="00052161">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60ABF639" w14:textId="77777777" w:rsidR="00B56368" w:rsidRPr="006C15D5" w:rsidRDefault="00B56368" w:rsidP="00052161">
            <w:pPr>
              <w:rPr>
                <w:rFonts w:ascii="Arial" w:hAnsi="Arial" w:cs="Arial"/>
                <w:color w:val="000000" w:themeColor="text1"/>
                <w:sz w:val="16"/>
                <w:szCs w:val="16"/>
                <w:lang w:eastAsia="es-ES"/>
              </w:rPr>
            </w:pPr>
            <w:r>
              <w:rPr>
                <w:rFonts w:ascii="Arial" w:hAnsi="Arial" w:cs="Arial"/>
                <w:color w:val="000000" w:themeColor="text1"/>
                <w:sz w:val="16"/>
                <w:szCs w:val="16"/>
                <w:lang w:eastAsia="es-ES"/>
              </w:rPr>
              <w:t>Contratista</w:t>
            </w:r>
            <w:r w:rsidRPr="00CD169B">
              <w:rPr>
                <w:rFonts w:ascii="Arial" w:hAnsi="Arial" w:cs="Arial"/>
                <w:color w:val="000000" w:themeColor="text1"/>
                <w:sz w:val="16"/>
                <w:szCs w:val="16"/>
                <w:lang w:eastAsia="es-ES"/>
              </w:rPr>
              <w:t xml:space="preserve"> de la Subdirección de Gestión Contractual</w:t>
            </w:r>
          </w:p>
        </w:tc>
      </w:tr>
      <w:tr w:rsidR="00B56368" w:rsidRPr="003F6D32" w14:paraId="19A94BDC" w14:textId="77777777" w:rsidTr="00052161">
        <w:trPr>
          <w:trHeight w:val="300"/>
        </w:trPr>
        <w:tc>
          <w:tcPr>
            <w:tcW w:w="812" w:type="dxa"/>
            <w:vAlign w:val="center"/>
            <w:hideMark/>
          </w:tcPr>
          <w:p w14:paraId="08D95310" w14:textId="77777777" w:rsidR="00B56368" w:rsidRPr="006C15D5" w:rsidRDefault="00B56368" w:rsidP="00052161">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14544948" w14:textId="77777777" w:rsidR="00B56368" w:rsidRPr="00CD169B" w:rsidRDefault="00B56368" w:rsidP="00052161">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Jorge Augusto Tirado Navarro</w:t>
            </w:r>
          </w:p>
          <w:p w14:paraId="008C190A" w14:textId="77777777" w:rsidR="00B56368" w:rsidRPr="006C15D5" w:rsidRDefault="00B56368" w:rsidP="00052161">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w:t>
            </w:r>
            <w:r w:rsidRPr="00CD169B">
              <w:rPr>
                <w:rFonts w:ascii="Arial" w:hAnsi="Arial" w:cs="Arial"/>
                <w:color w:val="000000" w:themeColor="text1"/>
                <w:sz w:val="16"/>
                <w:szCs w:val="16"/>
                <w:lang w:eastAsia="es-ES"/>
              </w:rPr>
              <w:t>ANCP – CCE</w:t>
            </w:r>
          </w:p>
        </w:tc>
      </w:tr>
    </w:tbl>
    <w:p w14:paraId="0ECFE562" w14:textId="77777777" w:rsidR="00B56368" w:rsidRDefault="00B56368" w:rsidP="00B56368">
      <w:pPr>
        <w:spacing w:before="120" w:after="120" w:line="276" w:lineRule="auto"/>
        <w:jc w:val="both"/>
        <w:rPr>
          <w:rFonts w:ascii="Arial" w:eastAsia="Calibri" w:hAnsi="Arial" w:cs="Arial"/>
          <w:sz w:val="22"/>
        </w:rPr>
      </w:pPr>
    </w:p>
    <w:p w14:paraId="6240877D" w14:textId="77777777" w:rsidR="00B56368" w:rsidRDefault="00B56368"/>
    <w:sectPr w:rsidR="00B5636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A22D" w14:textId="77777777" w:rsidR="00FC2A9B" w:rsidRDefault="00FC2A9B" w:rsidP="00B56368">
      <w:r>
        <w:separator/>
      </w:r>
    </w:p>
  </w:endnote>
  <w:endnote w:type="continuationSeparator" w:id="0">
    <w:p w14:paraId="4380E442" w14:textId="77777777" w:rsidR="00FC2A9B" w:rsidRDefault="00FC2A9B" w:rsidP="00B5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Calibri">
    <w:altName w:val="Arial"/>
    <w:charset w:val="00"/>
    <w:family w:val="roman"/>
    <w:pitch w:val="default"/>
  </w:font>
  <w:font w:name="Arial,Times New Roman">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E53B" w14:textId="77777777" w:rsidR="00C65F11" w:rsidRDefault="00FC2A9B" w:rsidP="00B6444C">
    <w:pPr>
      <w:pStyle w:val="Sinespaciado"/>
      <w:rPr>
        <w:rFonts w:ascii="Arial" w:hAnsi="Arial" w:cs="Arial"/>
        <w:sz w:val="18"/>
        <w:szCs w:val="18"/>
      </w:rPr>
    </w:pPr>
  </w:p>
  <w:p w14:paraId="2C25E067" w14:textId="77777777" w:rsidR="00C65F11" w:rsidRDefault="00FC2A9B" w:rsidP="00B6444C">
    <w:pPr>
      <w:pStyle w:val="Sinespaciado"/>
      <w:rPr>
        <w:rFonts w:ascii="Arial" w:hAnsi="Arial" w:cs="Arial"/>
        <w:sz w:val="18"/>
        <w:szCs w:val="18"/>
      </w:rPr>
    </w:pPr>
  </w:p>
  <w:p w14:paraId="441E8C56" w14:textId="77777777" w:rsidR="00C65F11" w:rsidRPr="005A79FE" w:rsidRDefault="00E656A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62FA8C91" w14:textId="77777777" w:rsidR="00C65F11" w:rsidRDefault="00E656A2" w:rsidP="007B0854">
    <w:pPr>
      <w:pStyle w:val="Piedepgina"/>
      <w:jc w:val="center"/>
      <w:rPr>
        <w:lang w:val="es-ES"/>
      </w:rPr>
    </w:pPr>
    <w:r>
      <w:rPr>
        <w:noProof/>
        <w:lang w:val="en-US"/>
      </w:rPr>
      <w:drawing>
        <wp:inline distT="0" distB="0" distL="0" distR="0" wp14:anchorId="6C0CB180" wp14:editId="3E0268F8">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0EF81E6" w14:textId="77777777" w:rsidR="00C65F11" w:rsidRDefault="00FC2A9B" w:rsidP="007B0854">
    <w:pPr>
      <w:pStyle w:val="Piedepgina"/>
      <w:jc w:val="center"/>
      <w:rPr>
        <w:lang w:val="es-ES"/>
      </w:rPr>
    </w:pPr>
  </w:p>
  <w:p w14:paraId="3F572B9F" w14:textId="77777777" w:rsidR="00C65F11" w:rsidRPr="007B0854" w:rsidRDefault="00FC2A9B"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9E4E" w14:textId="77777777" w:rsidR="00FC2A9B" w:rsidRDefault="00FC2A9B" w:rsidP="00B56368">
      <w:r>
        <w:separator/>
      </w:r>
    </w:p>
  </w:footnote>
  <w:footnote w:type="continuationSeparator" w:id="0">
    <w:p w14:paraId="1B1DCA50" w14:textId="77777777" w:rsidR="00FC2A9B" w:rsidRDefault="00FC2A9B" w:rsidP="00B56368">
      <w:r>
        <w:continuationSeparator/>
      </w:r>
    </w:p>
  </w:footnote>
  <w:footnote w:id="1">
    <w:p w14:paraId="4BAE0030" w14:textId="77777777" w:rsidR="00B56368" w:rsidRDefault="00B56368" w:rsidP="00B56368">
      <w:pPr>
        <w:pStyle w:val="Textonotapie"/>
        <w:ind w:firstLine="709"/>
        <w:jc w:val="both"/>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6D49FF96" w14:textId="77777777" w:rsidR="00B56368" w:rsidRPr="005A5BF9" w:rsidRDefault="00B56368" w:rsidP="00B56368">
      <w:pPr>
        <w:pStyle w:val="Textonotapie"/>
        <w:ind w:firstLine="709"/>
        <w:jc w:val="both"/>
        <w:rPr>
          <w:rFonts w:ascii="Arial" w:eastAsia="Times New Roman" w:hAnsi="Arial" w:cs="Arial"/>
          <w:color w:val="000000"/>
          <w:sz w:val="19"/>
          <w:szCs w:val="19"/>
          <w:bdr w:val="none" w:sz="0" w:space="0" w:color="auto" w:frame="1"/>
          <w:lang w:eastAsia="es-CO"/>
        </w:rPr>
      </w:pPr>
    </w:p>
  </w:footnote>
  <w:footnote w:id="2">
    <w:p w14:paraId="4ADF08A4" w14:textId="77777777" w:rsidR="00B56368" w:rsidRDefault="00B56368" w:rsidP="00B56368">
      <w:pPr>
        <w:pStyle w:val="Textonotapie"/>
        <w:ind w:firstLine="709"/>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Diario Oficial. Gaceta del Congreso 458 de 2005.  </w:t>
      </w:r>
    </w:p>
    <w:p w14:paraId="695B4BD3" w14:textId="77777777" w:rsidR="00B56368" w:rsidRPr="005A5BF9" w:rsidRDefault="00B56368" w:rsidP="00B56368">
      <w:pPr>
        <w:pStyle w:val="Textonotapie"/>
        <w:ind w:firstLine="709"/>
        <w:rPr>
          <w:rFonts w:ascii="Arial" w:eastAsia="Times New Roman" w:hAnsi="Arial" w:cs="Arial"/>
          <w:color w:val="000000"/>
          <w:sz w:val="19"/>
          <w:szCs w:val="19"/>
          <w:bdr w:val="none" w:sz="0" w:space="0" w:color="auto" w:frame="1"/>
          <w:lang w:eastAsia="es-CO"/>
        </w:rPr>
      </w:pPr>
    </w:p>
  </w:footnote>
  <w:footnote w:id="3">
    <w:p w14:paraId="6E78CC18" w14:textId="77777777" w:rsidR="00B56368" w:rsidRDefault="00B56368" w:rsidP="00B56368">
      <w:pPr>
        <w:pStyle w:val="Textonotapie"/>
        <w:ind w:firstLine="709"/>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sz w:val="19"/>
          <w:szCs w:val="19"/>
        </w:rPr>
        <w:t>Ibídem.</w:t>
      </w:r>
      <w:r w:rsidRPr="003567B6">
        <w:rPr>
          <w:rFonts w:ascii="Arial" w:hAnsi="Arial" w:cs="Arial"/>
          <w:sz w:val="19"/>
          <w:szCs w:val="19"/>
        </w:rPr>
        <w:t xml:space="preserve">  </w:t>
      </w:r>
    </w:p>
    <w:p w14:paraId="2B3AAAE2" w14:textId="77777777" w:rsidR="00B56368" w:rsidRPr="003567B6" w:rsidRDefault="00B56368" w:rsidP="00B56368">
      <w:pPr>
        <w:pStyle w:val="Textonotapie"/>
        <w:ind w:firstLine="709"/>
        <w:rPr>
          <w:rFonts w:ascii="Arial" w:hAnsi="Arial" w:cs="Arial"/>
          <w:sz w:val="19"/>
          <w:szCs w:val="19"/>
        </w:rPr>
      </w:pPr>
    </w:p>
  </w:footnote>
  <w:footnote w:id="4">
    <w:p w14:paraId="04BA64D1" w14:textId="77777777" w:rsidR="00B56368" w:rsidRPr="00BE6711" w:rsidRDefault="00B56368" w:rsidP="00B56368">
      <w:pPr>
        <w:shd w:val="clear" w:color="auto" w:fill="FFFFFF"/>
        <w:ind w:firstLine="709"/>
        <w:jc w:val="both"/>
        <w:textAlignment w:val="baseline"/>
        <w:rPr>
          <w:rFonts w:ascii="Arial"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Diario Oficial. Gaceta del Congreso 416 de 2007, Informe de Conciliación Senado. </w:t>
      </w:r>
    </w:p>
    <w:p w14:paraId="7DBA48B0" w14:textId="77777777" w:rsidR="00B56368" w:rsidRPr="003567B6" w:rsidRDefault="00B56368" w:rsidP="00B56368">
      <w:pPr>
        <w:shd w:val="clear" w:color="auto" w:fill="FFFFFF"/>
        <w:ind w:firstLine="709"/>
        <w:jc w:val="both"/>
        <w:textAlignment w:val="baseline"/>
        <w:rPr>
          <w:rFonts w:ascii="Arial" w:hAnsi="Arial" w:cs="Arial"/>
          <w:color w:val="000000"/>
          <w:sz w:val="19"/>
          <w:szCs w:val="19"/>
          <w:lang w:eastAsia="es-CO"/>
        </w:rPr>
      </w:pPr>
    </w:p>
  </w:footnote>
  <w:footnote w:id="5">
    <w:p w14:paraId="6E8392ED" w14:textId="77777777" w:rsidR="00B56368" w:rsidRPr="003567B6" w:rsidRDefault="00B56368" w:rsidP="00B56368">
      <w:pPr>
        <w:shd w:val="clear" w:color="auto" w:fill="FFFFFF"/>
        <w:ind w:firstLine="709"/>
        <w:jc w:val="both"/>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8A88C34" w14:textId="77777777" w:rsidR="00B56368" w:rsidRPr="003567B6" w:rsidRDefault="00B56368" w:rsidP="00B56368">
      <w:pPr>
        <w:shd w:val="clear" w:color="auto" w:fill="FFFFFF"/>
        <w:ind w:firstLine="709"/>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»Dentro</w:t>
      </w:r>
      <w:proofErr w:type="gramEnd"/>
      <w:r w:rsidRPr="005A5BF9">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5177558" w14:textId="77777777" w:rsidR="00B56368" w:rsidRPr="003567B6" w:rsidRDefault="00B56368" w:rsidP="00B56368">
      <w:pPr>
        <w:shd w:val="clear" w:color="auto" w:fill="FFFFFF"/>
        <w:ind w:firstLine="709"/>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»Con</w:t>
      </w:r>
      <w:proofErr w:type="gramEnd"/>
      <w:r w:rsidRPr="005A5BF9">
        <w:rPr>
          <w:rFonts w:ascii="Arial" w:hAnsi="Arial" w:cs="Arial"/>
          <w:color w:val="000000"/>
          <w:sz w:val="19"/>
          <w:szCs w:val="19"/>
          <w:bdr w:val="none" w:sz="0" w:space="0" w:color="auto" w:frame="1"/>
          <w:lang w:eastAsia="es-CO"/>
        </w:rPr>
        <w:t xml:space="preserve"> el ánimo de promover la descentralización, el empleo local, el desarrollo, los </w:t>
      </w:r>
      <w:r w:rsidRPr="00BE6711">
        <w:rPr>
          <w:rFonts w:ascii="Arial" w:hAnsi="Arial" w:cs="Arial"/>
          <w:color w:val="000000"/>
          <w:sz w:val="19"/>
          <w:szCs w:val="19"/>
          <w:bdr w:val="none" w:sz="0" w:space="0" w:color="auto" w:frame="1"/>
          <w:lang w:eastAsia="es-CO"/>
        </w:rPr>
        <w:t>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FFD6B43" w14:textId="77777777" w:rsidR="00B56368" w:rsidRPr="003567B6" w:rsidRDefault="00B56368" w:rsidP="00B56368">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808CF51" w14:textId="77777777" w:rsidR="00B56368" w:rsidRPr="003567B6" w:rsidRDefault="00B56368" w:rsidP="00B56368">
      <w:pPr>
        <w:shd w:val="clear" w:color="auto" w:fill="FFFFFF"/>
        <w:ind w:firstLine="708"/>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»En</w:t>
      </w:r>
      <w:proofErr w:type="gramEnd"/>
      <w:r w:rsidRPr="005A5BF9">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35063882" w14:textId="77777777" w:rsidR="00B56368" w:rsidRPr="003567B6" w:rsidRDefault="00B56368" w:rsidP="00B56368">
      <w:pPr>
        <w:pStyle w:val="Textonotapie"/>
        <w:rPr>
          <w:rFonts w:ascii="Arial" w:hAnsi="Arial" w:cs="Arial"/>
          <w:sz w:val="19"/>
          <w:szCs w:val="19"/>
        </w:rPr>
      </w:pPr>
    </w:p>
  </w:footnote>
  <w:footnote w:id="6">
    <w:p w14:paraId="4AB2A426" w14:textId="77777777" w:rsidR="00B56368" w:rsidRPr="005A5BF9" w:rsidRDefault="00B56368" w:rsidP="00B56368">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BANCO DE LA REPÚBLICA. </w:t>
      </w:r>
      <w:r w:rsidRPr="00A2737D">
        <w:rPr>
          <w:rFonts w:ascii="Arial" w:hAnsi="Arial" w:cs="Arial"/>
          <w:color w:val="000000" w:themeColor="text1"/>
          <w:sz w:val="19"/>
          <w:szCs w:val="19"/>
        </w:rPr>
        <w:t>Circular Reglamentaria Externa – DOAM</w:t>
      </w:r>
      <w:r w:rsidRPr="002E0FAD">
        <w:rPr>
          <w:rFonts w:ascii="Arial" w:hAnsi="Arial" w:cs="Arial"/>
          <w:color w:val="000000" w:themeColor="text1"/>
          <w:sz w:val="19"/>
          <w:szCs w:val="19"/>
        </w:rPr>
        <w:t>- 146 de 4 de noviembre de 2020</w:t>
      </w:r>
      <w:r w:rsidRPr="005A5BF9">
        <w:rPr>
          <w:rFonts w:ascii="Arial" w:hAnsi="Arial" w:cs="Arial"/>
          <w:color w:val="000000" w:themeColor="text1"/>
          <w:sz w:val="19"/>
          <w:szCs w:val="19"/>
        </w:rPr>
        <w:t xml:space="preserve">. </w:t>
      </w:r>
    </w:p>
    <w:p w14:paraId="4250263D" w14:textId="77777777" w:rsidR="00B56368" w:rsidRPr="005A5BF9" w:rsidRDefault="00B56368" w:rsidP="00B56368">
      <w:pPr>
        <w:pStyle w:val="Textonotapie"/>
        <w:ind w:firstLine="708"/>
        <w:jc w:val="both"/>
        <w:rPr>
          <w:rFonts w:ascii="Arial" w:hAnsi="Arial" w:cs="Arial"/>
          <w:color w:val="000000" w:themeColor="text1"/>
          <w:sz w:val="19"/>
          <w:szCs w:val="19"/>
        </w:rPr>
      </w:pPr>
    </w:p>
  </w:footnote>
  <w:footnote w:id="7">
    <w:p w14:paraId="17D7C33C" w14:textId="77777777" w:rsidR="00B56368" w:rsidRPr="002E0FAD" w:rsidRDefault="00B56368" w:rsidP="00B56368">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BANCO DE LA REPÚBLICA. Disponible en línea: </w:t>
      </w:r>
      <w:hyperlink r:id="rId1" w:history="1">
        <w:r w:rsidRPr="005A5BF9">
          <w:rPr>
            <w:rStyle w:val="Hipervnculo"/>
            <w:rFonts w:ascii="Arial" w:hAnsi="Arial" w:cs="Arial"/>
            <w:color w:val="000000" w:themeColor="text1"/>
            <w:sz w:val="19"/>
            <w:szCs w:val="19"/>
          </w:rPr>
          <w:t>https://www.banrep.gov.co/es/estadisticas/trm</w:t>
        </w:r>
      </w:hyperlink>
      <w:r w:rsidRPr="005A0B35">
        <w:rPr>
          <w:rStyle w:val="Hipervnculo"/>
          <w:rFonts w:ascii="Arial" w:hAnsi="Arial" w:cs="Arial"/>
          <w:color w:val="000000" w:themeColor="text1"/>
          <w:sz w:val="19"/>
          <w:szCs w:val="19"/>
        </w:rPr>
        <w:t>. Consultado el 3 de diciembre de 2021.</w:t>
      </w:r>
      <w:r w:rsidRPr="00A2737D">
        <w:rPr>
          <w:rStyle w:val="Hipervnculo"/>
          <w:rFonts w:ascii="Arial" w:hAnsi="Arial" w:cs="Arial"/>
          <w:color w:val="000000" w:themeColor="text1"/>
          <w:sz w:val="19"/>
          <w:szCs w:val="19"/>
        </w:rPr>
        <w:t xml:space="preserve"> </w:t>
      </w:r>
      <w:r w:rsidRPr="002E0FAD">
        <w:rPr>
          <w:rFonts w:ascii="Arial" w:hAnsi="Arial" w:cs="Arial"/>
          <w:color w:val="000000" w:themeColor="text1"/>
          <w:sz w:val="19"/>
          <w:szCs w:val="19"/>
        </w:rPr>
        <w:t xml:space="preserve"> </w:t>
      </w:r>
    </w:p>
  </w:footnote>
  <w:footnote w:id="8">
    <w:p w14:paraId="4B699CCD" w14:textId="77777777" w:rsidR="00B56368" w:rsidRPr="003567B6" w:rsidRDefault="00B56368" w:rsidP="00B56368">
      <w:pPr>
        <w:pStyle w:val="NormalWeb"/>
        <w:spacing w:before="0" w:beforeAutospacing="0" w:after="0" w:afterAutospacing="0"/>
        <w:ind w:firstLine="708"/>
        <w:jc w:val="both"/>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bookmarkStart w:id="10" w:name="28"/>
      <w:r w:rsidRPr="003567B6">
        <w:rPr>
          <w:rFonts w:ascii="Arial" w:hAnsi="Arial" w:cs="Arial"/>
          <w:bCs/>
          <w:sz w:val="19"/>
          <w:szCs w:val="19"/>
        </w:rPr>
        <w:t>ARTICULO 28 del Código Civil. &lt;SIGNIFICADO DE LAS PALABRAS&gt;.</w:t>
      </w:r>
      <w:bookmarkEnd w:id="10"/>
      <w:r w:rsidRPr="003567B6">
        <w:rPr>
          <w:rFonts w:ascii="Arial" w:hAnsi="Arial" w:cs="Arial"/>
          <w:sz w:val="19"/>
          <w:szCs w:val="19"/>
        </w:rPr>
        <w:t xml:space="preserve"> Las palabras de la ley se entenderán en su sentido natural y obvio, según el uso general de las mismas palabras; pero cuando el legislador las haya </w:t>
      </w:r>
      <w:proofErr w:type="gramStart"/>
      <w:r w:rsidRPr="003567B6">
        <w:rPr>
          <w:rFonts w:ascii="Arial" w:hAnsi="Arial" w:cs="Arial"/>
          <w:sz w:val="19"/>
          <w:szCs w:val="19"/>
        </w:rPr>
        <w:t>definido  expresamente</w:t>
      </w:r>
      <w:proofErr w:type="gramEnd"/>
      <w:r w:rsidRPr="003567B6">
        <w:rPr>
          <w:rFonts w:ascii="Arial" w:hAnsi="Arial" w:cs="Arial"/>
          <w:sz w:val="19"/>
          <w:szCs w:val="19"/>
        </w:rPr>
        <w:t xml:space="preserve"> para ciertas materias, se les dará en éstas su significado legal.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53AB" w14:textId="77777777" w:rsidR="00C65F11" w:rsidRDefault="00FC2A9B">
    <w:pPr>
      <w:pStyle w:val="Encabezado"/>
    </w:pPr>
  </w:p>
  <w:p w14:paraId="06E38FE1" w14:textId="77777777" w:rsidR="00C65F11" w:rsidRDefault="00FC2A9B">
    <w:pPr>
      <w:pStyle w:val="Encabezado"/>
    </w:pPr>
  </w:p>
  <w:p w14:paraId="63136C86" w14:textId="77777777" w:rsidR="00C65F11" w:rsidRDefault="00E656A2">
    <w:pPr>
      <w:pStyle w:val="Encabezado"/>
    </w:pPr>
    <w:r>
      <w:rPr>
        <w:noProof/>
        <w:lang w:val="en-US"/>
      </w:rPr>
      <w:drawing>
        <wp:anchor distT="0" distB="0" distL="114300" distR="114300" simplePos="0" relativeHeight="251659264" behindDoc="1" locked="0" layoutInCell="1" allowOverlap="1" wp14:anchorId="14B63D39" wp14:editId="2E577412">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73CF3" w14:textId="77777777" w:rsidR="00C65F11" w:rsidRDefault="00FC2A9B">
    <w:pPr>
      <w:pStyle w:val="Encabezado"/>
    </w:pPr>
  </w:p>
  <w:p w14:paraId="112A222D" w14:textId="77777777" w:rsidR="00C65F11" w:rsidRDefault="00FC2A9B">
    <w:pPr>
      <w:pStyle w:val="Encabezado"/>
    </w:pPr>
  </w:p>
  <w:p w14:paraId="186DE168" w14:textId="77777777" w:rsidR="00E26BD9" w:rsidRDefault="00FC2A9B">
    <w:pPr>
      <w:pStyle w:val="Encabezado"/>
    </w:pPr>
  </w:p>
  <w:p w14:paraId="4A6D0A14" w14:textId="77777777" w:rsidR="00E26BD9" w:rsidRDefault="00FC2A9B">
    <w:pPr>
      <w:pStyle w:val="Encabezado"/>
    </w:pPr>
  </w:p>
  <w:p w14:paraId="54287D0D" w14:textId="77777777" w:rsidR="00C65F11" w:rsidRDefault="00FC2A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21259261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68"/>
    <w:rsid w:val="008267C0"/>
    <w:rsid w:val="008E5496"/>
    <w:rsid w:val="00B56368"/>
    <w:rsid w:val="00CF435E"/>
    <w:rsid w:val="00E656A2"/>
    <w:rsid w:val="00FC2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2DC4"/>
  <w15:chartTrackingRefBased/>
  <w15:docId w15:val="{24F756B1-33CE-49D9-9668-4564013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6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56368"/>
    <w:pPr>
      <w:tabs>
        <w:tab w:val="center" w:pos="4419"/>
        <w:tab w:val="right" w:pos="8838"/>
      </w:tabs>
    </w:pPr>
  </w:style>
  <w:style w:type="character" w:customStyle="1" w:styleId="PiedepginaCar">
    <w:name w:val="Pie de página Car"/>
    <w:basedOn w:val="Fuentedeprrafopredeter"/>
    <w:link w:val="Piedepgina"/>
    <w:uiPriority w:val="99"/>
    <w:rsid w:val="00B56368"/>
    <w:rPr>
      <w:sz w:val="24"/>
      <w:lang w:val="es-MX"/>
    </w:rPr>
  </w:style>
  <w:style w:type="paragraph" w:styleId="Encabezado">
    <w:name w:val="header"/>
    <w:basedOn w:val="Normal"/>
    <w:link w:val="EncabezadoCar"/>
    <w:uiPriority w:val="99"/>
    <w:unhideWhenUsed/>
    <w:rsid w:val="00B56368"/>
    <w:pPr>
      <w:tabs>
        <w:tab w:val="center" w:pos="4252"/>
        <w:tab w:val="right" w:pos="8504"/>
      </w:tabs>
    </w:pPr>
  </w:style>
  <w:style w:type="character" w:customStyle="1" w:styleId="EncabezadoCar">
    <w:name w:val="Encabezado Car"/>
    <w:basedOn w:val="Fuentedeprrafopredeter"/>
    <w:link w:val="Encabezado"/>
    <w:uiPriority w:val="99"/>
    <w:rsid w:val="00B56368"/>
    <w:rPr>
      <w:sz w:val="24"/>
      <w:lang w:val="es-MX"/>
    </w:rPr>
  </w:style>
  <w:style w:type="table" w:styleId="Tablaconcuadrcula">
    <w:name w:val="Table Grid"/>
    <w:basedOn w:val="Tablanormal"/>
    <w:uiPriority w:val="59"/>
    <w:rsid w:val="00B5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56368"/>
    <w:pPr>
      <w:ind w:left="720"/>
      <w:contextualSpacing/>
    </w:pPr>
  </w:style>
  <w:style w:type="character" w:styleId="Hipervnculo">
    <w:name w:val="Hyperlink"/>
    <w:basedOn w:val="Fuentedeprrafopredeter"/>
    <w:uiPriority w:val="99"/>
    <w:unhideWhenUsed/>
    <w:rsid w:val="00B56368"/>
    <w:rPr>
      <w:color w:val="0563C1" w:themeColor="hyperlink"/>
      <w:u w:val="single"/>
    </w:rPr>
  </w:style>
  <w:style w:type="paragraph" w:styleId="NormalWeb">
    <w:name w:val="Normal (Web)"/>
    <w:basedOn w:val="Normal"/>
    <w:link w:val="NormalWebCar"/>
    <w:uiPriority w:val="99"/>
    <w:unhideWhenUsed/>
    <w:rsid w:val="00B5636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B5636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5636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56368"/>
    <w:rPr>
      <w:sz w:val="20"/>
      <w:szCs w:val="20"/>
    </w:rPr>
  </w:style>
  <w:style w:type="character" w:customStyle="1" w:styleId="TextonotapieCar1">
    <w:name w:val="Texto nota pie Car1"/>
    <w:basedOn w:val="Fuentedeprrafopredeter"/>
    <w:uiPriority w:val="99"/>
    <w:semiHidden/>
    <w:rsid w:val="00B5636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5636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B56368"/>
    <w:rPr>
      <w:vertAlign w:val="superscript"/>
    </w:rPr>
  </w:style>
  <w:style w:type="paragraph" w:customStyle="1" w:styleId="InviasNormal">
    <w:name w:val="Invias Normal"/>
    <w:basedOn w:val="Normal"/>
    <w:link w:val="InviasNormalCar"/>
    <w:qFormat/>
    <w:rsid w:val="00B56368"/>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56368"/>
    <w:rPr>
      <w:rFonts w:ascii="Arial Narrow" w:eastAsia="Times New Roman" w:hAnsi="Arial Narrow" w:cs="Times New Roman"/>
      <w:color w:val="3B3838" w:themeColor="background2" w:themeShade="40"/>
      <w:sz w:val="24"/>
      <w:szCs w:val="24"/>
      <w:lang w:val="x-none" w:eastAsia="es-ES"/>
    </w:rPr>
  </w:style>
  <w:style w:type="paragraph" w:customStyle="1" w:styleId="Appelnotedebasde">
    <w:name w:val="Appel note de bas de..."/>
    <w:basedOn w:val="Normal"/>
    <w:link w:val="Refdenotaalpie"/>
    <w:uiPriority w:val="99"/>
    <w:rsid w:val="00B56368"/>
    <w:pPr>
      <w:spacing w:after="160" w:line="240" w:lineRule="exact"/>
    </w:pPr>
    <w:rPr>
      <w:sz w:val="22"/>
      <w:vertAlign w:val="superscript"/>
      <w:lang w:val="es-CO"/>
    </w:rPr>
  </w:style>
  <w:style w:type="character" w:customStyle="1" w:styleId="NormalWebCar">
    <w:name w:val="Normal (Web) Car"/>
    <w:link w:val="NormalWeb"/>
    <w:uiPriority w:val="99"/>
    <w:locked/>
    <w:rsid w:val="00B56368"/>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B56368"/>
    <w:pPr>
      <w:ind w:left="-540"/>
      <w:jc w:val="both"/>
    </w:pPr>
    <w:rPr>
      <w:rFonts w:ascii="Arial" w:eastAsia="Times New Roman" w:hAnsi="Arial" w:cs="Arial"/>
      <w:color w:val="000000"/>
      <w:sz w:val="22"/>
      <w:lang w:val="es-ES_tradnl" w:eastAsia="es-ES"/>
    </w:rPr>
  </w:style>
  <w:style w:type="character" w:customStyle="1" w:styleId="normaltextrun">
    <w:name w:val="normaltextrun"/>
    <w:basedOn w:val="Fuentedeprrafopredeter"/>
    <w:rsid w:val="00B56368"/>
  </w:style>
  <w:style w:type="paragraph" w:customStyle="1" w:styleId="paragraph">
    <w:name w:val="paragraph"/>
    <w:basedOn w:val="Normal"/>
    <w:rsid w:val="00B56368"/>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06240-45E8-49C7-BA56-5B7F63B922C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3E1DDA5-55BB-4695-B5AD-D39CA79A2EB4}">
  <ds:schemaRefs>
    <ds:schemaRef ds:uri="http://schemas.microsoft.com/sharepoint/v3/contenttype/forms"/>
  </ds:schemaRefs>
</ds:datastoreItem>
</file>

<file path=customXml/itemProps3.xml><?xml version="1.0" encoding="utf-8"?>
<ds:datastoreItem xmlns:ds="http://schemas.openxmlformats.org/officeDocument/2006/customXml" ds:itemID="{467CA739-D08B-4CD1-A6EB-3ED08C90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3701</Words>
  <Characters>20359</Characters>
  <Application>Microsoft Office Word</Application>
  <DocSecurity>0</DocSecurity>
  <Lines>169</Lines>
  <Paragraphs>48</Paragraphs>
  <ScaleCrop>false</ScaleCrop>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Jorge Eliecer Moran Buitrón</cp:lastModifiedBy>
  <cp:revision>4</cp:revision>
  <dcterms:created xsi:type="dcterms:W3CDTF">2022-02-08T16:04:00Z</dcterms:created>
  <dcterms:modified xsi:type="dcterms:W3CDTF">2022-04-22T20:19:00Z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