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5E56F" w14:textId="77777777" w:rsidR="00501B0C" w:rsidRPr="00212092" w:rsidRDefault="00501B0C">
      <w:pPr>
        <w:shd w:val="clear" w:color="auto" w:fill="FFFFFF"/>
        <w:spacing w:after="0" w:line="240" w:lineRule="auto"/>
        <w:rPr>
          <w:rFonts w:ascii="Arial" w:eastAsia="Arial" w:hAnsi="Arial" w:cs="Arial"/>
          <w:b/>
          <w:color w:val="000000"/>
          <w:sz w:val="22"/>
          <w:szCs w:val="22"/>
        </w:rPr>
      </w:pPr>
    </w:p>
    <w:p w14:paraId="33AFA299" w14:textId="77777777" w:rsidR="00501B0C" w:rsidRPr="00212092" w:rsidRDefault="00557D14">
      <w:pPr>
        <w:spacing w:after="0" w:line="240" w:lineRule="auto"/>
        <w:rPr>
          <w:rFonts w:ascii="Arial" w:eastAsia="Arial" w:hAnsi="Arial" w:cs="Arial"/>
          <w:b/>
          <w:sz w:val="22"/>
          <w:szCs w:val="22"/>
        </w:rPr>
      </w:pPr>
      <w:r w:rsidRPr="00212092">
        <w:rPr>
          <w:rFonts w:ascii="Arial" w:eastAsia="Arial" w:hAnsi="Arial" w:cs="Arial"/>
          <w:b/>
          <w:sz w:val="22"/>
          <w:szCs w:val="22"/>
        </w:rPr>
        <w:t>PRINCIPIO DE PUBLICIDAD – Democracia – Estado social de Derecho – Fundamento axiológico</w:t>
      </w:r>
    </w:p>
    <w:p w14:paraId="73FDA829" w14:textId="77777777" w:rsidR="00501B0C" w:rsidRDefault="00501B0C">
      <w:pPr>
        <w:spacing w:after="0" w:line="240" w:lineRule="auto"/>
        <w:rPr>
          <w:rFonts w:ascii="Arial" w:eastAsia="Arial" w:hAnsi="Arial" w:cs="Arial"/>
          <w:b/>
          <w:sz w:val="20"/>
          <w:szCs w:val="20"/>
        </w:rPr>
      </w:pPr>
    </w:p>
    <w:p w14:paraId="65293244" w14:textId="77777777" w:rsidR="00501B0C" w:rsidRDefault="00557D14">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Uno de los postulados más importantes de un Estado social y democrático de derecho es el principio de publicidad, pues este permite que las actuaciones de las autoridades gocen de visibilidad. En tal sentido, la filosofía política explica que la democracia «[…] es idealmente el gobierno de un poder visible, es decir, el gobierno cuyos actos se realizan ante el público y bajo la supervisión de la opinión pública» . El secreto generalizado en el ejercicio del poder político constituye, por el contrario, una negación de la democracia, porque dificulta la supervisión de las autoridades por parte de la sociedad civil y establece una barrera para la participación ciudadana. Inspirada en esta concepción axiológica, la 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 y el 74, que consagra la garantía de acceso a los documentos públicos que no gocen de reserva –y esta, además, es excepcional, pues solo procede si existe causal constitucional o legal expresa–. En tal perspectiva, la Corte Constitucional ha señalado que el principio de publicidad es la garantía que tienen las personas de conocer las actuaciones judiciales y administrativas. </w:t>
      </w:r>
    </w:p>
    <w:p w14:paraId="787A40D4" w14:textId="77777777" w:rsidR="00501B0C" w:rsidRDefault="00501B0C">
      <w:pPr>
        <w:spacing w:after="0" w:line="240" w:lineRule="auto"/>
        <w:rPr>
          <w:rFonts w:ascii="Arial" w:eastAsia="Arial" w:hAnsi="Arial" w:cs="Arial"/>
          <w:color w:val="000000"/>
          <w:sz w:val="20"/>
          <w:szCs w:val="20"/>
        </w:rPr>
      </w:pPr>
    </w:p>
    <w:p w14:paraId="0515F4F6" w14:textId="77777777" w:rsidR="00501B0C" w:rsidRPr="00212092" w:rsidRDefault="00557D14">
      <w:pPr>
        <w:spacing w:after="0" w:line="240" w:lineRule="auto"/>
        <w:rPr>
          <w:rFonts w:ascii="Arial" w:eastAsia="Arial" w:hAnsi="Arial" w:cs="Arial"/>
          <w:b/>
          <w:sz w:val="22"/>
          <w:szCs w:val="22"/>
        </w:rPr>
      </w:pPr>
      <w:r w:rsidRPr="00212092">
        <w:rPr>
          <w:rFonts w:ascii="Arial" w:eastAsia="Arial" w:hAnsi="Arial" w:cs="Arial"/>
          <w:b/>
          <w:sz w:val="22"/>
          <w:szCs w:val="22"/>
        </w:rPr>
        <w:t>SECOP – Entidades exceptuadas – Publicidad – Documentos – Información oficial – Concepto CU-003</w:t>
      </w:r>
    </w:p>
    <w:p w14:paraId="3663433B" w14:textId="77777777" w:rsidR="00501B0C" w:rsidRDefault="00501B0C">
      <w:pPr>
        <w:spacing w:after="0" w:line="240" w:lineRule="auto"/>
        <w:rPr>
          <w:rFonts w:ascii="Arial" w:eastAsia="Arial" w:hAnsi="Arial" w:cs="Arial"/>
          <w:b/>
          <w:sz w:val="20"/>
          <w:szCs w:val="20"/>
        </w:rPr>
      </w:pPr>
    </w:p>
    <w:p w14:paraId="1916FB50" w14:textId="77777777" w:rsidR="00501B0C" w:rsidRDefault="00557D14">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 la Ley 1712 de 2014 –«Por medio de la cual se crea la Ley de Transparencia y del Derecho de Acceso a la Información Pública Nacional y se dictan otras disposiciones»–, señala en el artículo 11, literal g), que todo </w:t>
      </w:r>
      <w:r>
        <w:rPr>
          <w:rFonts w:ascii="Arial" w:eastAsia="Arial" w:hAnsi="Arial" w:cs="Arial"/>
          <w:i/>
          <w:color w:val="000000"/>
          <w:sz w:val="20"/>
          <w:szCs w:val="20"/>
        </w:rPr>
        <w:t>sujeto obligado</w:t>
      </w:r>
      <w:r>
        <w:rPr>
          <w:rFonts w:ascii="Arial" w:eastAsia="Arial" w:hAnsi="Arial" w:cs="Arial"/>
          <w:color w:val="000000"/>
          <w:sz w:val="20"/>
          <w:szCs w:val="20"/>
        </w:rPr>
        <w:t xml:space="preserve"> –y las entidades estatales con régimen especial de contratación lo son– debe publicar sus procedimientos, lineamientos, políticas en materia de adquisiciones y compras, así como todos los datos de adjudicación y ejecución de sus contratos. Lo anterior implica que se deberá publicar cada procedimiento para la adquisición de un producto o servicio, incluidos los datos de adjudicación y ejecución del contrato. […] el Decreto reglamentario 103 de 2015 –«Por el cual se reglamenta parcialmente la Ley 1712 de 2014 y se dictan otras disposiciones»– establece en el artículo 8 –artículo 2.1.1.2.1.8. del Decreto 1081 de 2015–, de forma enunciativa, que se debe publicar la información relativa a la ejecución del contrato, como las aprobaciones, autorizaciones, requerimientos o informes del supervisor o interventor, que aprueben la ejecución del contrato. Por su parte, el artículo 9 del Decreto 103 de 2015 –artículo 2.1.1.2.1.9. del Decreto 1081 de 2015– señala que las entidades deberán publicar los procedimientos, lineamientos y políticas en materia de adquisición, que no son otros que los previstos en el manual de contratación, que se haya expedido de acuerdo con los lineamientos de la Agencia Nacional de Contratación Pública – Colombia Compra Eficiente, el cual debe publicarse en el sitio web del sujeto obligado. Finalmente, el artículo 10 del Decreto 103 de 2015 –</w:t>
      </w:r>
      <w:r>
        <w:rPr>
          <w:rFonts w:ascii="Arial" w:eastAsia="Arial" w:hAnsi="Arial" w:cs="Arial"/>
          <w:sz w:val="20"/>
          <w:szCs w:val="20"/>
        </w:rPr>
        <w:t xml:space="preserve">artículo </w:t>
      </w:r>
      <w:r>
        <w:rPr>
          <w:rFonts w:ascii="Arial" w:eastAsia="Arial" w:hAnsi="Arial" w:cs="Arial"/>
          <w:color w:val="000000"/>
          <w:sz w:val="20"/>
          <w:szCs w:val="20"/>
        </w:rPr>
        <w:t>2.1.1.2.1.10. del Decreto 1081 de 2015– consagra la obligación que tienen las entidades estatales de publicar en el SECOP el Plan Anual de Adquisiciones.</w:t>
      </w:r>
    </w:p>
    <w:p w14:paraId="21B3ED7A" w14:textId="77777777" w:rsidR="00501B0C" w:rsidRDefault="00501B0C">
      <w:pPr>
        <w:spacing w:after="0" w:line="240" w:lineRule="auto"/>
        <w:rPr>
          <w:rFonts w:ascii="Arial" w:eastAsia="Arial" w:hAnsi="Arial" w:cs="Arial"/>
          <w:color w:val="000000"/>
          <w:sz w:val="20"/>
          <w:szCs w:val="20"/>
        </w:rPr>
      </w:pPr>
    </w:p>
    <w:p w14:paraId="0EAA2AC1" w14:textId="77777777" w:rsidR="00501B0C" w:rsidRPr="00212092" w:rsidRDefault="00557D14">
      <w:pPr>
        <w:spacing w:after="0" w:line="240" w:lineRule="auto"/>
        <w:rPr>
          <w:rFonts w:ascii="Arial" w:eastAsia="Arial" w:hAnsi="Arial" w:cs="Arial"/>
          <w:b/>
          <w:color w:val="1A1A1A"/>
          <w:sz w:val="22"/>
          <w:szCs w:val="22"/>
        </w:rPr>
      </w:pPr>
      <w:r w:rsidRPr="00212092">
        <w:rPr>
          <w:rFonts w:ascii="Arial" w:eastAsia="Arial" w:hAnsi="Arial" w:cs="Arial"/>
          <w:b/>
          <w:color w:val="1A1A1A"/>
          <w:sz w:val="22"/>
          <w:szCs w:val="22"/>
        </w:rPr>
        <w:t xml:space="preserve">EMPRESAS DE SERVICIOS PÚBLICOS – Naturaleza jurídica especial – Régimen contractual </w:t>
      </w:r>
    </w:p>
    <w:p w14:paraId="3136E1E4" w14:textId="77777777" w:rsidR="00501B0C" w:rsidRDefault="00501B0C">
      <w:pPr>
        <w:spacing w:after="0" w:line="240" w:lineRule="auto"/>
        <w:rPr>
          <w:rFonts w:ascii="Arial" w:eastAsia="Arial" w:hAnsi="Arial" w:cs="Arial"/>
          <w:b/>
          <w:color w:val="000000"/>
          <w:sz w:val="20"/>
          <w:szCs w:val="20"/>
        </w:rPr>
      </w:pPr>
    </w:p>
    <w:p w14:paraId="2184AF03" w14:textId="77777777" w:rsidR="00501B0C" w:rsidRDefault="00557D14">
      <w:pPr>
        <w:spacing w:after="0" w:line="240" w:lineRule="auto"/>
        <w:rPr>
          <w:rFonts w:ascii="Arial" w:eastAsia="Arial" w:hAnsi="Arial" w:cs="Arial"/>
          <w:color w:val="1A1A1A"/>
          <w:sz w:val="20"/>
          <w:szCs w:val="20"/>
        </w:rPr>
      </w:pPr>
      <w:r>
        <w:rPr>
          <w:rFonts w:ascii="Arial" w:eastAsia="Arial" w:hAnsi="Arial" w:cs="Arial"/>
          <w:color w:val="1A1A1A"/>
          <w:sz w:val="20"/>
          <w:szCs w:val="20"/>
        </w:rPr>
        <w:t xml:space="preserve">[…] las empresas de servicios públicos tienen una naturaleza jurídica especial que viene dada directamente por el artículo 356 de la Constitución Política, y el hecho de que su composición accionaria pueda estar compartida por recursos públicos y privados no las convierte en sociedades de economía mixta, pues las empresas en cuestión tienen su clasificación propia dependiendo de la composición de su capital accionario: empresas de servicios públicos oficiales, mixtas y privadas. </w:t>
      </w:r>
      <w:r>
        <w:rPr>
          <w:rFonts w:ascii="Arial" w:eastAsia="Arial" w:hAnsi="Arial" w:cs="Arial"/>
          <w:color w:val="1A1A1A"/>
          <w:sz w:val="20"/>
          <w:szCs w:val="20"/>
        </w:rPr>
        <w:lastRenderedPageBreak/>
        <w:t>Ahora, sin importar su clasificación, todas hacen parte de la Rama Ejecutiva del sector descentralizado por servicios. En cuanto al régimen jurídico de contratación de las empresas de servicios públicos, el inciso primero del artículo 31 de la Ley 142 de 1994 señala que «[l]os contratos que celebren las entidades estatales que prestan los servicios públicos a los que se refiere esta ley no estarán sujetos a las disposiciones del Estatuto General de Contratación de la Administración Pública, salvo en lo que la presente ley disponga otra cosa». De esta manera, sin perjuicio de lo dispuesto en el artículo 13 de la Ley 1150 de 2007 sobre la aplicación de los principios de la función administrativa, la gestión fiscal, las inhabilidades e incompatibilidades, el régimen jurídico aplicable a los contratos que celebren las empresas de servicios públicos, incluso para las oficiales y las mixtas, es el contenido en el derecho civil y comercial, esto es, por regla general no están sometidas a la Ley 80 de 1993. Sin embargo, como se analizó ut supra, eso no las exime del deber de publicar su actividad contractual, cuando ejecuten recursos públicos.</w:t>
      </w:r>
    </w:p>
    <w:p w14:paraId="7A3ACEFE" w14:textId="77777777" w:rsidR="00501B0C" w:rsidRDefault="00501B0C">
      <w:pPr>
        <w:spacing w:after="0" w:line="240" w:lineRule="auto"/>
        <w:rPr>
          <w:rFonts w:ascii="Arial" w:eastAsia="Arial" w:hAnsi="Arial" w:cs="Arial"/>
          <w:color w:val="000000"/>
          <w:sz w:val="20"/>
          <w:szCs w:val="20"/>
        </w:rPr>
      </w:pPr>
    </w:p>
    <w:p w14:paraId="3D23DC5C" w14:textId="77777777" w:rsidR="00501B0C" w:rsidRPr="00212092" w:rsidRDefault="00557D14">
      <w:pPr>
        <w:spacing w:after="0" w:line="240" w:lineRule="auto"/>
        <w:rPr>
          <w:rFonts w:ascii="Arial" w:eastAsia="Arial" w:hAnsi="Arial" w:cs="Arial"/>
          <w:b/>
          <w:color w:val="000000"/>
          <w:sz w:val="22"/>
          <w:szCs w:val="22"/>
        </w:rPr>
      </w:pPr>
      <w:r w:rsidRPr="00212092">
        <w:rPr>
          <w:rFonts w:ascii="Arial" w:eastAsia="Arial" w:hAnsi="Arial" w:cs="Arial"/>
          <w:b/>
          <w:color w:val="000000"/>
          <w:sz w:val="22"/>
          <w:szCs w:val="22"/>
        </w:rPr>
        <w:t xml:space="preserve">SECOP – EMPRESAS PRESTADORAS DE SERVICIOS PÚBLICOS DOMICILIARIOS – Deber de publicidad </w:t>
      </w:r>
    </w:p>
    <w:p w14:paraId="23C99974" w14:textId="77777777" w:rsidR="00501B0C" w:rsidRDefault="00501B0C">
      <w:pPr>
        <w:pBdr>
          <w:top w:val="nil"/>
          <w:left w:val="nil"/>
          <w:bottom w:val="nil"/>
          <w:right w:val="nil"/>
          <w:between w:val="nil"/>
        </w:pBdr>
        <w:spacing w:after="0" w:line="240" w:lineRule="auto"/>
        <w:ind w:right="45"/>
        <w:rPr>
          <w:rFonts w:ascii="Arial" w:eastAsia="Arial" w:hAnsi="Arial" w:cs="Arial"/>
          <w:color w:val="000000"/>
          <w:sz w:val="20"/>
          <w:szCs w:val="20"/>
        </w:rPr>
      </w:pPr>
    </w:p>
    <w:p w14:paraId="0810BD6D" w14:textId="77777777" w:rsidR="00501B0C" w:rsidRDefault="00557D14">
      <w:pPr>
        <w:spacing w:after="0" w:line="240" w:lineRule="auto"/>
        <w:rPr>
          <w:rFonts w:ascii="Arial" w:eastAsia="Arial" w:hAnsi="Arial" w:cs="Arial"/>
          <w:color w:val="000000"/>
          <w:sz w:val="20"/>
          <w:szCs w:val="20"/>
        </w:rPr>
      </w:pPr>
      <w:r>
        <w:rPr>
          <w:rFonts w:ascii="Arial" w:eastAsia="Arial" w:hAnsi="Arial" w:cs="Arial"/>
          <w:color w:val="000000"/>
          <w:sz w:val="20"/>
          <w:szCs w:val="20"/>
        </w:rPr>
        <w:t>Las empresas prestadoras de servicios públicos domiciliarios no se encuentran incluidas en el Anexo 1 de la Circular No. 1 de 2019, ni en el Anexo de la Circular No. 1 de 2021, razón por la cual no están obligados a utilizar la plataforma SECOP II para gestionar y publicar en línea sus procesos de contratación. Es decir que, los procesos de contratación deben seguir gestionándose a través de SECOP I, con excepción de los procesos de contratación derivados de la aplicación del Decreto 092 de 2017. En todo caso, informamos que la Agencia Nacional de Contratación Pública – Colombia Compra Eficiente no ha establecido una fecha exacta a partir de la cual será obligatorio el uso del SECOP II para las entidades que no se encuentran incluidas en los Anexos de las Circulares No.1 de 2019 y 2021. Cuando se determine, la entidad informará con la suficiente anticipación a través los canales de comunicación oficiales, con el fin de coordinar los servicios de capacitación y acompañamiento correspondientes.</w:t>
      </w:r>
    </w:p>
    <w:p w14:paraId="053FC09D" w14:textId="77777777" w:rsidR="00501B0C" w:rsidRDefault="00557D14">
      <w:pPr>
        <w:spacing w:after="0" w:line="240" w:lineRule="auto"/>
        <w:rPr>
          <w:rFonts w:ascii="Arial" w:eastAsia="Arial" w:hAnsi="Arial" w:cs="Arial"/>
          <w:b/>
          <w:color w:val="000000"/>
          <w:sz w:val="20"/>
          <w:szCs w:val="20"/>
        </w:rPr>
      </w:pPr>
      <w:r>
        <w:br w:type="page"/>
      </w:r>
    </w:p>
    <w:p w14:paraId="79CCFB7B" w14:textId="77777777" w:rsidR="00501B0C" w:rsidRDefault="00501B0C">
      <w:pPr>
        <w:spacing w:after="0"/>
        <w:rPr>
          <w:rFonts w:ascii="Arial" w:eastAsia="Arial" w:hAnsi="Arial" w:cs="Arial"/>
          <w:b/>
          <w:color w:val="000000"/>
          <w:sz w:val="22"/>
          <w:szCs w:val="22"/>
        </w:rPr>
      </w:pPr>
    </w:p>
    <w:p w14:paraId="5D085562" w14:textId="22D8FA6F" w:rsidR="00501B0C" w:rsidRDefault="000A062D" w:rsidP="000A062D">
      <w:pPr>
        <w:tabs>
          <w:tab w:val="left" w:pos="3374"/>
        </w:tabs>
        <w:spacing w:after="0"/>
        <w:jc w:val="right"/>
        <w:rPr>
          <w:rFonts w:ascii="Arial" w:eastAsia="Arial" w:hAnsi="Arial" w:cs="Arial"/>
          <w:color w:val="000000"/>
          <w:sz w:val="22"/>
          <w:szCs w:val="22"/>
        </w:rPr>
      </w:pPr>
      <w:bookmarkStart w:id="0" w:name="_gjdgxs" w:colFirst="0" w:colLast="0"/>
      <w:bookmarkEnd w:id="0"/>
      <w:r>
        <w:rPr>
          <w:noProof/>
        </w:rPr>
        <w:drawing>
          <wp:inline distT="0" distB="0" distL="0" distR="0" wp14:anchorId="790C4625" wp14:editId="02419A1C">
            <wp:extent cx="2505075" cy="1085850"/>
            <wp:effectExtent l="0" t="0" r="9525" b="0"/>
            <wp:docPr id="5" name="Imagen 5"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 Texto, Aplicación&#10;&#10;Descripción generada automáticamente"/>
                    <pic:cNvPicPr/>
                  </pic:nvPicPr>
                  <pic:blipFill>
                    <a:blip r:embed="rId10"/>
                    <a:stretch>
                      <a:fillRect/>
                    </a:stretch>
                  </pic:blipFill>
                  <pic:spPr>
                    <a:xfrm>
                      <a:off x="0" y="0"/>
                      <a:ext cx="2505075" cy="1085850"/>
                    </a:xfrm>
                    <a:prstGeom prst="rect">
                      <a:avLst/>
                    </a:prstGeom>
                  </pic:spPr>
                </pic:pic>
              </a:graphicData>
            </a:graphic>
          </wp:inline>
        </w:drawing>
      </w:r>
    </w:p>
    <w:p w14:paraId="0A5B856D" w14:textId="77777777" w:rsidR="000A062D" w:rsidRDefault="000A062D">
      <w:pPr>
        <w:tabs>
          <w:tab w:val="left" w:pos="3374"/>
        </w:tabs>
        <w:spacing w:after="0"/>
        <w:rPr>
          <w:rFonts w:ascii="Arial" w:eastAsia="Arial" w:hAnsi="Arial" w:cs="Arial"/>
          <w:color w:val="000000"/>
          <w:sz w:val="22"/>
          <w:szCs w:val="22"/>
        </w:rPr>
      </w:pPr>
    </w:p>
    <w:p w14:paraId="27C8E256" w14:textId="6FCD3A08" w:rsidR="00501B0C" w:rsidRDefault="000A062D">
      <w:pPr>
        <w:spacing w:after="0"/>
        <w:rPr>
          <w:rFonts w:ascii="Arial" w:eastAsia="Arial" w:hAnsi="Arial" w:cs="Arial"/>
          <w:color w:val="000000"/>
          <w:sz w:val="22"/>
          <w:szCs w:val="22"/>
        </w:rPr>
      </w:pPr>
      <w:r w:rsidRPr="000A062D">
        <w:rPr>
          <w:rFonts w:ascii="Arial" w:eastAsia="Arial" w:hAnsi="Arial" w:cs="Arial"/>
          <w:color w:val="000000"/>
          <w:sz w:val="22"/>
          <w:szCs w:val="22"/>
        </w:rPr>
        <w:t xml:space="preserve">Bogotá, 10 </w:t>
      </w:r>
      <w:proofErr w:type="gramStart"/>
      <w:r w:rsidRPr="000A062D">
        <w:rPr>
          <w:rFonts w:ascii="Arial" w:eastAsia="Arial" w:hAnsi="Arial" w:cs="Arial"/>
          <w:color w:val="000000"/>
          <w:sz w:val="22"/>
          <w:szCs w:val="22"/>
        </w:rPr>
        <w:t>Febrero</w:t>
      </w:r>
      <w:proofErr w:type="gramEnd"/>
      <w:r w:rsidRPr="000A062D">
        <w:rPr>
          <w:rFonts w:ascii="Arial" w:eastAsia="Arial" w:hAnsi="Arial" w:cs="Arial"/>
          <w:color w:val="000000"/>
          <w:sz w:val="22"/>
          <w:szCs w:val="22"/>
        </w:rPr>
        <w:t xml:space="preserve"> 2022</w:t>
      </w:r>
    </w:p>
    <w:p w14:paraId="2F38341A" w14:textId="77777777" w:rsidR="000A062D" w:rsidRDefault="000A062D">
      <w:pPr>
        <w:spacing w:after="0"/>
        <w:rPr>
          <w:rFonts w:ascii="Arial" w:eastAsia="Arial" w:hAnsi="Arial" w:cs="Arial"/>
          <w:color w:val="000000"/>
          <w:sz w:val="22"/>
          <w:szCs w:val="22"/>
        </w:rPr>
      </w:pPr>
    </w:p>
    <w:p w14:paraId="609FCA44" w14:textId="77777777" w:rsidR="00501B0C" w:rsidRDefault="00501B0C">
      <w:pPr>
        <w:spacing w:after="0"/>
        <w:rPr>
          <w:rFonts w:ascii="Arial" w:eastAsia="Arial" w:hAnsi="Arial" w:cs="Arial"/>
          <w:color w:val="000000"/>
          <w:sz w:val="22"/>
          <w:szCs w:val="22"/>
        </w:rPr>
      </w:pPr>
    </w:p>
    <w:p w14:paraId="6D1F886A" w14:textId="77777777" w:rsidR="00501B0C" w:rsidRDefault="00557D14">
      <w:pPr>
        <w:spacing w:after="0"/>
        <w:rPr>
          <w:rFonts w:ascii="Arial" w:eastAsia="Arial" w:hAnsi="Arial" w:cs="Arial"/>
          <w:color w:val="000000"/>
          <w:sz w:val="22"/>
          <w:szCs w:val="22"/>
        </w:rPr>
      </w:pPr>
      <w:r>
        <w:rPr>
          <w:rFonts w:ascii="Arial" w:eastAsia="Arial" w:hAnsi="Arial" w:cs="Arial"/>
          <w:color w:val="000000"/>
          <w:sz w:val="22"/>
          <w:szCs w:val="22"/>
        </w:rPr>
        <w:t>Señor</w:t>
      </w:r>
    </w:p>
    <w:p w14:paraId="6DC1320E" w14:textId="77777777" w:rsidR="00501B0C" w:rsidRDefault="00557D14">
      <w:pPr>
        <w:spacing w:after="0"/>
        <w:rPr>
          <w:rFonts w:ascii="Arial" w:eastAsia="Arial" w:hAnsi="Arial" w:cs="Arial"/>
          <w:b/>
          <w:color w:val="000000"/>
          <w:sz w:val="22"/>
          <w:szCs w:val="22"/>
        </w:rPr>
      </w:pPr>
      <w:r>
        <w:rPr>
          <w:rFonts w:ascii="Arial" w:eastAsia="Arial" w:hAnsi="Arial" w:cs="Arial"/>
          <w:b/>
          <w:color w:val="000000"/>
          <w:sz w:val="22"/>
          <w:szCs w:val="22"/>
        </w:rPr>
        <w:t>Luis Enrique Roa Merchán</w:t>
      </w:r>
    </w:p>
    <w:p w14:paraId="27AA447D" w14:textId="77777777" w:rsidR="00501B0C" w:rsidRDefault="00557D14">
      <w:pPr>
        <w:spacing w:after="0"/>
        <w:rPr>
          <w:rFonts w:ascii="Arial" w:eastAsia="Arial" w:hAnsi="Arial" w:cs="Arial"/>
          <w:b/>
          <w:color w:val="000000"/>
          <w:sz w:val="22"/>
          <w:szCs w:val="22"/>
        </w:rPr>
      </w:pPr>
      <w:r>
        <w:rPr>
          <w:rFonts w:ascii="Arial" w:eastAsia="Arial" w:hAnsi="Arial" w:cs="Arial"/>
          <w:b/>
          <w:color w:val="000000"/>
          <w:sz w:val="22"/>
          <w:szCs w:val="22"/>
        </w:rPr>
        <w:t>secretariageneral@cartagena.gov.co</w:t>
      </w:r>
    </w:p>
    <w:p w14:paraId="4A123D8F" w14:textId="77777777" w:rsidR="00501B0C" w:rsidRDefault="00501B0C">
      <w:pPr>
        <w:spacing w:after="0"/>
        <w:rPr>
          <w:rFonts w:ascii="Arial" w:eastAsia="Arial" w:hAnsi="Arial" w:cs="Arial"/>
          <w:color w:val="000000"/>
          <w:sz w:val="22"/>
          <w:szCs w:val="22"/>
        </w:rPr>
      </w:pPr>
    </w:p>
    <w:p w14:paraId="38D08219" w14:textId="77777777" w:rsidR="00501B0C" w:rsidRDefault="00501B0C">
      <w:pPr>
        <w:spacing w:after="0"/>
        <w:rPr>
          <w:rFonts w:ascii="Arial" w:eastAsia="Arial" w:hAnsi="Arial" w:cs="Arial"/>
          <w:color w:val="000000"/>
          <w:sz w:val="22"/>
          <w:szCs w:val="22"/>
        </w:rPr>
      </w:pPr>
    </w:p>
    <w:p w14:paraId="321BC92E" w14:textId="1CDDDA85" w:rsidR="00501B0C" w:rsidRDefault="00557D14">
      <w:pPr>
        <w:spacing w:after="0"/>
        <w:rPr>
          <w:rFonts w:ascii="Arial" w:eastAsia="Arial" w:hAnsi="Arial" w:cs="Arial"/>
          <w:color w:val="000000"/>
          <w:sz w:val="22"/>
          <w:szCs w:val="22"/>
        </w:rPr>
      </w:pPr>
      <w:r>
        <w:rPr>
          <w:rFonts w:ascii="Arial" w:eastAsia="Arial" w:hAnsi="Arial" w:cs="Arial"/>
          <w:color w:val="000000"/>
          <w:sz w:val="22"/>
          <w:szCs w:val="22"/>
        </w:rPr>
        <w:t xml:space="preserve">                                            </w:t>
      </w:r>
      <w:r>
        <w:rPr>
          <w:rFonts w:ascii="Arial" w:eastAsia="Arial" w:hAnsi="Arial" w:cs="Arial"/>
          <w:b/>
          <w:color w:val="000000"/>
          <w:sz w:val="22"/>
          <w:szCs w:val="22"/>
        </w:rPr>
        <w:t>Concepto C –758 de 2021</w:t>
      </w:r>
      <w:r>
        <w:rPr>
          <w:rFonts w:ascii="Arial" w:eastAsia="Arial" w:hAnsi="Arial" w:cs="Arial"/>
          <w:color w:val="000000"/>
          <w:sz w:val="22"/>
          <w:szCs w:val="22"/>
        </w:rPr>
        <w:t xml:space="preserve"> </w:t>
      </w:r>
    </w:p>
    <w:p w14:paraId="6F01CA37" w14:textId="77777777" w:rsidR="00501B0C" w:rsidRDefault="00501B0C">
      <w:pPr>
        <w:spacing w:after="0"/>
        <w:rPr>
          <w:rFonts w:ascii="Arial" w:eastAsia="Arial" w:hAnsi="Arial" w:cs="Arial"/>
          <w:b/>
          <w:color w:val="000000"/>
          <w:sz w:val="22"/>
          <w:szCs w:val="22"/>
        </w:rPr>
      </w:pPr>
    </w:p>
    <w:tbl>
      <w:tblPr>
        <w:tblStyle w:val="a"/>
        <w:tblW w:w="89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89"/>
        <w:gridCol w:w="6237"/>
      </w:tblGrid>
      <w:tr w:rsidR="00501B0C" w14:paraId="53491D6A" w14:textId="77777777">
        <w:trPr>
          <w:trHeight w:val="1038"/>
        </w:trPr>
        <w:tc>
          <w:tcPr>
            <w:tcW w:w="2689" w:type="dxa"/>
          </w:tcPr>
          <w:p w14:paraId="32B79E63" w14:textId="77777777" w:rsidR="00501B0C" w:rsidRDefault="00557D14">
            <w:pPr>
              <w:spacing w:line="276" w:lineRule="auto"/>
              <w:rPr>
                <w:rFonts w:ascii="Arial" w:eastAsia="Arial" w:hAnsi="Arial" w:cs="Arial"/>
                <w:color w:val="000000"/>
              </w:rPr>
            </w:pPr>
            <w:r>
              <w:rPr>
                <w:rFonts w:ascii="Arial" w:eastAsia="Arial" w:hAnsi="Arial" w:cs="Arial"/>
                <w:b/>
                <w:color w:val="000000"/>
              </w:rPr>
              <w:t>Temas:</w:t>
            </w:r>
            <w:r>
              <w:rPr>
                <w:rFonts w:ascii="Arial" w:eastAsia="Arial" w:hAnsi="Arial" w:cs="Arial"/>
                <w:color w:val="000000"/>
              </w:rPr>
              <w:t xml:space="preserve">        </w:t>
            </w:r>
          </w:p>
        </w:tc>
        <w:tc>
          <w:tcPr>
            <w:tcW w:w="6237" w:type="dxa"/>
          </w:tcPr>
          <w:p w14:paraId="4943FFED" w14:textId="77777777" w:rsidR="00501B0C" w:rsidRDefault="00557D14">
            <w:pPr>
              <w:jc w:val="both"/>
              <w:rPr>
                <w:rFonts w:ascii="Arial" w:eastAsia="Arial" w:hAnsi="Arial" w:cs="Arial"/>
                <w:color w:val="000000"/>
                <w:sz w:val="20"/>
                <w:szCs w:val="20"/>
              </w:rPr>
            </w:pPr>
            <w:r>
              <w:rPr>
                <w:rFonts w:ascii="Arial" w:eastAsia="Arial" w:hAnsi="Arial" w:cs="Arial"/>
                <w:sz w:val="20"/>
                <w:szCs w:val="20"/>
              </w:rPr>
              <w:t xml:space="preserve">PRINCIPIO DE PUBLICIDAD – Democracia – Estado social de Derecho – Fundamento axiológico / SECOP – Entidades exceptuadas – Publicidad – Documentos – Información oficial – Concepto CU-003 / </w:t>
            </w:r>
            <w:r>
              <w:rPr>
                <w:rFonts w:ascii="Arial" w:eastAsia="Arial" w:hAnsi="Arial" w:cs="Arial"/>
                <w:color w:val="1A1A1A"/>
                <w:sz w:val="20"/>
                <w:szCs w:val="20"/>
              </w:rPr>
              <w:t xml:space="preserve">EMPRESAS DE SERVICIOS PÚBLICOS – Naturaleza jurídica especial – Régimen contractual / </w:t>
            </w:r>
            <w:r>
              <w:rPr>
                <w:rFonts w:ascii="Arial" w:eastAsia="Arial" w:hAnsi="Arial" w:cs="Arial"/>
                <w:color w:val="000000"/>
                <w:sz w:val="20"/>
                <w:szCs w:val="20"/>
              </w:rPr>
              <w:t xml:space="preserve">SECOP – EMPRESAS PRESTADORAS DE SERVICIOS PÚBLICOS DOMICILIARIOS – Deber de publicidad </w:t>
            </w:r>
          </w:p>
          <w:p w14:paraId="50BDF745" w14:textId="77777777" w:rsidR="00501B0C" w:rsidRDefault="00501B0C">
            <w:pPr>
              <w:rPr>
                <w:rFonts w:ascii="Arial" w:eastAsia="Arial" w:hAnsi="Arial" w:cs="Arial"/>
                <w:b/>
                <w:color w:val="1A1A1A"/>
                <w:sz w:val="20"/>
                <w:szCs w:val="20"/>
              </w:rPr>
            </w:pPr>
          </w:p>
          <w:p w14:paraId="22C3F98B" w14:textId="77777777" w:rsidR="00501B0C" w:rsidRDefault="00501B0C">
            <w:pPr>
              <w:spacing w:after="120" w:line="276" w:lineRule="auto"/>
              <w:jc w:val="both"/>
              <w:rPr>
                <w:rFonts w:ascii="Arial" w:eastAsia="Arial" w:hAnsi="Arial" w:cs="Arial"/>
                <w:color w:val="000000"/>
              </w:rPr>
            </w:pPr>
          </w:p>
        </w:tc>
      </w:tr>
      <w:tr w:rsidR="00501B0C" w14:paraId="3D8B5C43" w14:textId="77777777">
        <w:tc>
          <w:tcPr>
            <w:tcW w:w="2689" w:type="dxa"/>
          </w:tcPr>
          <w:p w14:paraId="36FA5622" w14:textId="77777777" w:rsidR="00501B0C" w:rsidRDefault="00557D14">
            <w:pPr>
              <w:spacing w:line="276" w:lineRule="auto"/>
              <w:rPr>
                <w:rFonts w:ascii="Arial" w:eastAsia="Arial" w:hAnsi="Arial" w:cs="Arial"/>
                <w:b/>
                <w:color w:val="000000"/>
                <w:sz w:val="22"/>
                <w:szCs w:val="22"/>
              </w:rPr>
            </w:pPr>
            <w:r>
              <w:rPr>
                <w:rFonts w:ascii="Arial" w:eastAsia="Arial" w:hAnsi="Arial" w:cs="Arial"/>
                <w:b/>
                <w:color w:val="000000"/>
                <w:sz w:val="22"/>
                <w:szCs w:val="22"/>
              </w:rPr>
              <w:t>Radicación:</w:t>
            </w:r>
            <w:r>
              <w:rPr>
                <w:rFonts w:ascii="Arial" w:eastAsia="Arial" w:hAnsi="Arial" w:cs="Arial"/>
                <w:color w:val="000000"/>
                <w:sz w:val="22"/>
                <w:szCs w:val="22"/>
              </w:rPr>
              <w:t xml:space="preserve">                              </w:t>
            </w:r>
          </w:p>
        </w:tc>
        <w:tc>
          <w:tcPr>
            <w:tcW w:w="6237" w:type="dxa"/>
          </w:tcPr>
          <w:p w14:paraId="3CC71C09" w14:textId="77777777" w:rsidR="00501B0C" w:rsidRDefault="00557D14">
            <w:pPr>
              <w:spacing w:line="276" w:lineRule="auto"/>
              <w:jc w:val="both"/>
              <w:rPr>
                <w:rFonts w:ascii="Arial" w:eastAsia="Arial" w:hAnsi="Arial" w:cs="Arial"/>
                <w:color w:val="000000"/>
                <w:sz w:val="22"/>
                <w:szCs w:val="22"/>
              </w:rPr>
            </w:pPr>
            <w:r>
              <w:rPr>
                <w:rFonts w:ascii="Arial" w:eastAsia="Arial" w:hAnsi="Arial" w:cs="Arial"/>
                <w:color w:val="000000"/>
                <w:sz w:val="22"/>
                <w:szCs w:val="22"/>
              </w:rPr>
              <w:t>Respuesta a consulta P20211229011852</w:t>
            </w:r>
          </w:p>
        </w:tc>
      </w:tr>
    </w:tbl>
    <w:p w14:paraId="265F4BC3" w14:textId="77777777" w:rsidR="00501B0C" w:rsidRDefault="00501B0C">
      <w:pPr>
        <w:spacing w:after="0" w:line="240" w:lineRule="auto"/>
        <w:rPr>
          <w:color w:val="000000"/>
          <w:sz w:val="22"/>
          <w:szCs w:val="22"/>
        </w:rPr>
      </w:pPr>
    </w:p>
    <w:p w14:paraId="30EA2E04" w14:textId="77777777" w:rsidR="00501B0C" w:rsidRDefault="00501B0C">
      <w:pPr>
        <w:spacing w:after="0"/>
        <w:rPr>
          <w:rFonts w:ascii="Arial" w:eastAsia="Arial" w:hAnsi="Arial" w:cs="Arial"/>
          <w:color w:val="000000"/>
          <w:sz w:val="22"/>
          <w:szCs w:val="22"/>
        </w:rPr>
      </w:pPr>
    </w:p>
    <w:p w14:paraId="22F40F72" w14:textId="77777777" w:rsidR="00501B0C" w:rsidRDefault="00557D14">
      <w:pPr>
        <w:spacing w:after="0"/>
        <w:rPr>
          <w:rFonts w:ascii="Arial" w:eastAsia="Arial" w:hAnsi="Arial" w:cs="Arial"/>
          <w:color w:val="000000"/>
          <w:sz w:val="22"/>
          <w:szCs w:val="22"/>
        </w:rPr>
      </w:pPr>
      <w:r>
        <w:rPr>
          <w:rFonts w:ascii="Arial" w:eastAsia="Arial" w:hAnsi="Arial" w:cs="Arial"/>
          <w:color w:val="000000"/>
          <w:sz w:val="22"/>
          <w:szCs w:val="22"/>
        </w:rPr>
        <w:t>Estimado señor Roa:</w:t>
      </w:r>
    </w:p>
    <w:p w14:paraId="0801408A" w14:textId="77777777" w:rsidR="00501B0C" w:rsidRDefault="00501B0C">
      <w:pPr>
        <w:spacing w:after="0"/>
        <w:ind w:firstLine="709"/>
        <w:rPr>
          <w:rFonts w:ascii="Arial" w:eastAsia="Arial" w:hAnsi="Arial" w:cs="Arial"/>
          <w:color w:val="000000"/>
          <w:sz w:val="22"/>
          <w:szCs w:val="22"/>
        </w:rPr>
      </w:pPr>
    </w:p>
    <w:p w14:paraId="3315A37C" w14:textId="77777777" w:rsidR="00501B0C" w:rsidRDefault="00557D14">
      <w:pPr>
        <w:spacing w:after="0"/>
        <w:ind w:right="51"/>
        <w:rPr>
          <w:rFonts w:ascii="Arial" w:eastAsia="Arial" w:hAnsi="Arial" w:cs="Arial"/>
          <w:color w:val="000000"/>
          <w:sz w:val="22"/>
          <w:szCs w:val="22"/>
        </w:rPr>
      </w:pPr>
      <w:r>
        <w:rPr>
          <w:rFonts w:ascii="Arial" w:eastAsia="Arial" w:hAnsi="Arial" w:cs="Arial"/>
          <w:color w:val="000000"/>
          <w:sz w:val="22"/>
          <w:szCs w:val="22"/>
        </w:rPr>
        <w:t xml:space="preserve">En ejercicio de la competencia otorgada por el numeral 8 del artículo 11 y el numeral 5 del artículo 3 del Decreto Ley 4170 de 2011, la Agencia Nacional de Contratación Pública – Colombia Compra Eficiente responde la consulta realizada el 21 de diciembre de 2021. </w:t>
      </w:r>
    </w:p>
    <w:p w14:paraId="602D8C1C" w14:textId="77777777" w:rsidR="00501B0C" w:rsidRDefault="00501B0C">
      <w:pPr>
        <w:spacing w:after="0"/>
        <w:rPr>
          <w:rFonts w:ascii="Arial" w:eastAsia="Arial" w:hAnsi="Arial" w:cs="Arial"/>
          <w:color w:val="000000"/>
          <w:sz w:val="22"/>
          <w:szCs w:val="22"/>
        </w:rPr>
      </w:pPr>
    </w:p>
    <w:p w14:paraId="4E64F3A0" w14:textId="77777777" w:rsidR="00501B0C" w:rsidRDefault="00557D14">
      <w:pPr>
        <w:tabs>
          <w:tab w:val="left" w:pos="284"/>
        </w:tabs>
        <w:spacing w:after="0"/>
        <w:rPr>
          <w:rFonts w:ascii="Arial" w:eastAsia="Arial" w:hAnsi="Arial" w:cs="Arial"/>
          <w:b/>
          <w:color w:val="000000"/>
          <w:sz w:val="22"/>
          <w:szCs w:val="22"/>
        </w:rPr>
      </w:pPr>
      <w:r>
        <w:rPr>
          <w:rFonts w:ascii="Arial" w:eastAsia="Arial" w:hAnsi="Arial" w:cs="Arial"/>
          <w:b/>
          <w:color w:val="000000"/>
          <w:sz w:val="22"/>
          <w:szCs w:val="22"/>
        </w:rPr>
        <w:t xml:space="preserve">1. Problema planteado </w:t>
      </w:r>
    </w:p>
    <w:p w14:paraId="11E318B8" w14:textId="77777777" w:rsidR="00501B0C" w:rsidRDefault="00557D14">
      <w:pPr>
        <w:pBdr>
          <w:top w:val="nil"/>
          <w:left w:val="nil"/>
          <w:bottom w:val="nil"/>
          <w:right w:val="nil"/>
          <w:between w:val="nil"/>
        </w:pBdr>
        <w:spacing w:line="240" w:lineRule="auto"/>
        <w:rPr>
          <w:rFonts w:ascii="Times New Roman" w:eastAsia="Times New Roman" w:hAnsi="Times New Roman" w:cs="Times New Roman"/>
          <w:color w:val="000000"/>
        </w:rPr>
      </w:pPr>
      <w:bookmarkStart w:id="1" w:name="_30j0zll" w:colFirst="0" w:colLast="0"/>
      <w:bookmarkEnd w:id="1"/>
      <w:r>
        <w:rPr>
          <w:rFonts w:ascii="Arial" w:eastAsia="Arial" w:hAnsi="Arial" w:cs="Arial"/>
          <w:color w:val="000000"/>
          <w:sz w:val="22"/>
          <w:szCs w:val="22"/>
        </w:rPr>
        <w:t xml:space="preserve">En su consulta, usted plantea le siguiente interrogante: «¿se deben publicar en el Sistema Electrónico para la Contratación Pública (SECOP), los contratos que suscriban las </w:t>
      </w:r>
      <w:r>
        <w:rPr>
          <w:rFonts w:ascii="Arial" w:eastAsia="Arial" w:hAnsi="Arial" w:cs="Arial"/>
          <w:color w:val="000000"/>
          <w:sz w:val="22"/>
          <w:szCs w:val="22"/>
        </w:rPr>
        <w:lastRenderedPageBreak/>
        <w:t>entidades territoriales en el marco del régimen contractual contemplado en las Leyes 142 y 143 de 1994?».</w:t>
      </w:r>
      <w:r>
        <w:rPr>
          <w:rFonts w:ascii="Helvetica Neue" w:eastAsia="Helvetica Neue" w:hAnsi="Helvetica Neue" w:cs="Helvetica Neue"/>
          <w:b/>
          <w:color w:val="000000"/>
          <w:sz w:val="20"/>
          <w:szCs w:val="20"/>
        </w:rPr>
        <w:t xml:space="preserve"> </w:t>
      </w:r>
    </w:p>
    <w:p w14:paraId="50380B48" w14:textId="77777777" w:rsidR="00501B0C" w:rsidRDefault="00557D14">
      <w:pPr>
        <w:tabs>
          <w:tab w:val="left" w:pos="284"/>
        </w:tabs>
        <w:spacing w:after="0"/>
        <w:rPr>
          <w:rFonts w:ascii="Arial" w:eastAsia="Arial" w:hAnsi="Arial" w:cs="Arial"/>
          <w:b/>
          <w:color w:val="000000"/>
          <w:sz w:val="22"/>
          <w:szCs w:val="22"/>
        </w:rPr>
      </w:pPr>
      <w:r>
        <w:rPr>
          <w:rFonts w:ascii="Arial" w:eastAsia="Arial" w:hAnsi="Arial" w:cs="Arial"/>
          <w:b/>
          <w:color w:val="000000"/>
          <w:sz w:val="22"/>
          <w:szCs w:val="22"/>
        </w:rPr>
        <w:t>2. Consideraciones</w:t>
      </w:r>
    </w:p>
    <w:p w14:paraId="1115AB17" w14:textId="77777777" w:rsidR="00501B0C" w:rsidRDefault="00501B0C">
      <w:pPr>
        <w:tabs>
          <w:tab w:val="left" w:pos="426"/>
        </w:tabs>
        <w:spacing w:after="0"/>
        <w:ind w:firstLine="709"/>
        <w:rPr>
          <w:rFonts w:ascii="Arial" w:eastAsia="Arial" w:hAnsi="Arial" w:cs="Arial"/>
          <w:color w:val="000000"/>
          <w:sz w:val="22"/>
          <w:szCs w:val="22"/>
        </w:rPr>
      </w:pPr>
    </w:p>
    <w:p w14:paraId="07515458" w14:textId="77777777" w:rsidR="00501B0C" w:rsidRDefault="00557D14">
      <w:pPr>
        <w:spacing w:after="120"/>
        <w:rPr>
          <w:rFonts w:ascii="Arial" w:eastAsia="Arial" w:hAnsi="Arial" w:cs="Arial"/>
          <w:color w:val="000000"/>
          <w:sz w:val="22"/>
          <w:szCs w:val="22"/>
        </w:rPr>
      </w:pPr>
      <w:r>
        <w:rPr>
          <w:rFonts w:ascii="Arial" w:eastAsia="Arial" w:hAnsi="Arial" w:cs="Arial"/>
          <w:color w:val="000000"/>
          <w:sz w:val="22"/>
          <w:szCs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Pr>
          <w:rFonts w:ascii="Arial" w:eastAsia="Arial" w:hAnsi="Arial" w:cs="Arial"/>
          <w:color w:val="000000"/>
          <w:sz w:val="22"/>
          <w:szCs w:val="22"/>
          <w:vertAlign w:val="superscript"/>
        </w:rPr>
        <w:footnoteReference w:id="1"/>
      </w:r>
      <w:r>
        <w:rPr>
          <w:rFonts w:ascii="Arial" w:eastAsia="Arial" w:hAnsi="Arial" w:cs="Arial"/>
          <w:color w:val="000000"/>
          <w:sz w:val="22"/>
          <w:szCs w:val="22"/>
        </w:rPr>
        <w:t>.</w:t>
      </w:r>
    </w:p>
    <w:p w14:paraId="561D7647" w14:textId="77777777" w:rsidR="00501B0C" w:rsidRPr="009D2FA3" w:rsidRDefault="00557D14" w:rsidP="009D2FA3">
      <w:pPr>
        <w:spacing w:after="120"/>
      </w:pPr>
      <w:bookmarkStart w:id="3" w:name="_1fob9te" w:colFirst="0" w:colLast="0"/>
      <w:bookmarkEnd w:id="3"/>
      <w:r>
        <w:rPr>
          <w:rFonts w:ascii="Arial" w:eastAsia="Arial" w:hAnsi="Arial" w:cs="Arial"/>
          <w:color w:val="000000"/>
          <w:sz w:val="22"/>
          <w:szCs w:val="22"/>
        </w:rPr>
        <w:tab/>
        <w:t>Por ello, esta Subdirección –dentro de los límites de sus atribuciones</w:t>
      </w:r>
      <w:r>
        <w:rPr>
          <w:rFonts w:ascii="Arial" w:eastAsia="Arial" w:hAnsi="Arial" w:cs="Arial"/>
          <w:color w:val="000000"/>
          <w:sz w:val="22"/>
          <w:szCs w:val="22"/>
          <w:vertAlign w:val="superscript"/>
        </w:rPr>
        <w:footnoteReference w:id="2"/>
      </w:r>
      <w:r>
        <w:rPr>
          <w:rFonts w:ascii="Arial" w:eastAsia="Arial" w:hAnsi="Arial" w:cs="Arial"/>
          <w:color w:val="000000"/>
          <w:sz w:val="22"/>
          <w:szCs w:val="22"/>
        </w:rPr>
        <w:t xml:space="preserve">– resolverá la consulta conforme a las normas generales en materia de contratación estatal. Con este objetivo, se analizarán los siguientes temas: i) fundamento axiológico de la publicidad de la información oficial de la contratación estatal en el Sistema Electrónico para la Contratación Pública –SECOP–, ii) documentos que deben publicar en el SECOP las entidades estatales que, por regla general, se rigen por el derecho privado en su actividad contractual y iii) </w:t>
      </w:r>
      <w:r>
        <w:rPr>
          <w:rFonts w:ascii="Arial" w:eastAsia="Arial" w:hAnsi="Arial" w:cs="Arial"/>
          <w:color w:val="1A1A1A"/>
          <w:sz w:val="22"/>
          <w:szCs w:val="22"/>
        </w:rPr>
        <w:t>régimen  de las empresas de servicios públicos domiciliarios y publicidad de la información contractual en el SECOP</w:t>
      </w:r>
      <w:r>
        <w:rPr>
          <w:rFonts w:ascii="Arial" w:eastAsia="Arial" w:hAnsi="Arial" w:cs="Arial"/>
          <w:color w:val="000000"/>
          <w:sz w:val="22"/>
          <w:szCs w:val="22"/>
        </w:rPr>
        <w:t>.</w:t>
      </w:r>
    </w:p>
    <w:p w14:paraId="434F787B" w14:textId="77777777" w:rsidR="00501B0C" w:rsidRDefault="00557D14">
      <w:pPr>
        <w:spacing w:before="120" w:after="120"/>
        <w:ind w:firstLine="709"/>
        <w:rPr>
          <w:rFonts w:ascii="Arial" w:eastAsia="Arial" w:hAnsi="Arial" w:cs="Arial"/>
          <w:color w:val="1A1A1A"/>
          <w:sz w:val="22"/>
          <w:szCs w:val="22"/>
        </w:rPr>
      </w:pPr>
      <w:r>
        <w:rPr>
          <w:rFonts w:ascii="Arial" w:eastAsia="Arial" w:hAnsi="Arial" w:cs="Arial"/>
          <w:color w:val="000000"/>
          <w:sz w:val="22"/>
          <w:szCs w:val="22"/>
        </w:rPr>
        <w:t xml:space="preserve">La Agencia Nacional de Contratación Pública –Colombia Compra Eficiente– unificó su doctrina sobre el deber de las entidades exceptuadas del Estatuto General de Contratación de la Administración Pública –o con régimen especial– de publicar sus actuaciones contractuales en el SECOP, en el concepto CU-003 del 15 de enero de 2020.  Este concepto se reiterará a continuación.  </w:t>
      </w:r>
    </w:p>
    <w:p w14:paraId="5ACDD5BB" w14:textId="515A4F36" w:rsidR="00501B0C" w:rsidRPr="009D2FA3" w:rsidRDefault="00557D14" w:rsidP="009D2FA3">
      <w:pPr>
        <w:tabs>
          <w:tab w:val="left" w:pos="426"/>
        </w:tabs>
        <w:spacing w:after="0"/>
      </w:pPr>
      <w:r>
        <w:rPr>
          <w:rFonts w:ascii="Arial" w:eastAsia="Arial" w:hAnsi="Arial" w:cs="Arial"/>
          <w:color w:val="1A1A1A"/>
          <w:sz w:val="22"/>
          <w:szCs w:val="22"/>
        </w:rPr>
        <w:tab/>
      </w:r>
      <w:r>
        <w:rPr>
          <w:rFonts w:ascii="Arial" w:eastAsia="Arial" w:hAnsi="Arial" w:cs="Arial"/>
          <w:color w:val="1A1A1A"/>
          <w:sz w:val="22"/>
          <w:szCs w:val="22"/>
        </w:rPr>
        <w:tab/>
        <w:t xml:space="preserve">Adicionalmente, para desarrollar el problema planteado, se explicará el deber de publicidad de la información contractual en el SECOP. En este sentido, la Agencia Nacional de Contratación Pública estudió este tema en la consulta No. 4201913000005397 del 9 de agosto de 2019 y reiteró la posición en los siguientes conceptos: 4201912000006611 del 25 de septiembre de 2019, </w:t>
      </w:r>
      <w:r>
        <w:rPr>
          <w:rFonts w:ascii="Arial" w:eastAsia="Arial" w:hAnsi="Arial" w:cs="Arial"/>
          <w:sz w:val="22"/>
          <w:szCs w:val="22"/>
        </w:rPr>
        <w:t>4201913000006847</w:t>
      </w:r>
      <w:r>
        <w:rPr>
          <w:rFonts w:ascii="Arial" w:eastAsia="Arial" w:hAnsi="Arial" w:cs="Arial"/>
          <w:color w:val="1A1A1A"/>
          <w:sz w:val="22"/>
          <w:szCs w:val="22"/>
        </w:rPr>
        <w:t xml:space="preserve"> del 4 de octubre de 2019, 4201912000007762 del 18 de noviembre de 2019 y 4201912000007828 del 13 de noviembre de 2019. Las tesis expuestas en los anteriores conceptos fueron unificadas en el concepto CU-003 del 15 de enero de 2020. Dicho concepto de unificación fue reiterado </w:t>
      </w:r>
      <w:r>
        <w:rPr>
          <w:rFonts w:ascii="Arial" w:eastAsia="Arial" w:hAnsi="Arial" w:cs="Arial"/>
          <w:color w:val="1A1A1A"/>
          <w:sz w:val="22"/>
          <w:szCs w:val="22"/>
        </w:rPr>
        <w:lastRenderedPageBreak/>
        <w:t>en los conceptos C-116 del 18 de febrero de 2020, C-079 del 5 de febrero de 2020, C-061 del 3 de marzo de 2020, C-088 del 3 de marzo de 2020, C-072 del 4 de marzo de 2020, C-087 del 4 de marzo de 2020, C-147 del 17 de marzo de 2020, C-149 del 24 de marzo de 2020, C-158 del 3 de abril de 2020, C-265 del 3 de abril de 2020, C-176 del 6 de abril de 2020, C-264 del 7 de abril de 2020, C-270 del 15 de abril de 2020, C-271 del 22 de abril de 2020, C-009 del 27 de abril de 2020, C-011 del 27 de abril de 2020, C-272 del 27 de abril de 2020, C-015 del 29 de abril de 2020,  C-312 del 6 de mayo de 2020, C-035 del 26 de mayo de 2020, C-346 del 26 de mayo de 2020,  C-369 del 4 de junio de 2020, C-399 del 26 de junio de 2020, C-372 del 30 de junio de 2020, C-437 del 6 de julio de 2020,C-468 del 24 de julio de 2020, C-494 del 4 de agosto de 2020, C-449 del 5 de agosto de 2020, C-559 del 25 de agosto de 2020, C-562 del 25 de agosto de 2020, C-574 del 27 de agosto de 2020, C-680 de 18 de noviembre de 2020, C-780 del 18 de enero de 2021, C-222 del 19 de mayo de 2021, C-238 del 24 de mayo de 2021 y C-241 del 25 de mayo de 2021. La tesis planteada en estos conceptos se reitera a continuación</w:t>
      </w:r>
      <w:r>
        <w:rPr>
          <w:rFonts w:ascii="Arial" w:eastAsia="Arial" w:hAnsi="Arial" w:cs="Arial"/>
          <w:color w:val="000000"/>
          <w:sz w:val="22"/>
          <w:szCs w:val="22"/>
        </w:rPr>
        <w:t>:</w:t>
      </w:r>
    </w:p>
    <w:p w14:paraId="258D58FA" w14:textId="77777777" w:rsidR="00501B0C" w:rsidRDefault="00501B0C">
      <w:pPr>
        <w:tabs>
          <w:tab w:val="left" w:pos="426"/>
        </w:tabs>
        <w:spacing w:after="0"/>
        <w:ind w:firstLine="709"/>
        <w:rPr>
          <w:rFonts w:ascii="Arial" w:eastAsia="Arial" w:hAnsi="Arial" w:cs="Arial"/>
          <w:b/>
          <w:color w:val="000000"/>
          <w:sz w:val="22"/>
          <w:szCs w:val="22"/>
        </w:rPr>
      </w:pPr>
    </w:p>
    <w:p w14:paraId="3A9B33D4" w14:textId="77777777" w:rsidR="00501B0C" w:rsidRDefault="00557D14">
      <w:pPr>
        <w:tabs>
          <w:tab w:val="left" w:pos="426"/>
        </w:tabs>
        <w:rPr>
          <w:rFonts w:ascii="Arial" w:eastAsia="Arial" w:hAnsi="Arial" w:cs="Arial"/>
          <w:b/>
          <w:color w:val="000000"/>
          <w:sz w:val="22"/>
          <w:szCs w:val="22"/>
        </w:rPr>
      </w:pPr>
      <w:bookmarkStart w:id="5" w:name="_3znysh7" w:colFirst="0" w:colLast="0"/>
      <w:bookmarkEnd w:id="5"/>
      <w:r>
        <w:rPr>
          <w:rFonts w:ascii="Arial" w:eastAsia="Arial" w:hAnsi="Arial" w:cs="Arial"/>
          <w:b/>
          <w:color w:val="000000"/>
          <w:sz w:val="22"/>
          <w:szCs w:val="22"/>
        </w:rPr>
        <w:t>2.1. Fundamento axiológico de la publicidad de la información oficial de la contratación estatal en el Sistema Electrónico para la Contratación Pública –SECOP–</w:t>
      </w:r>
    </w:p>
    <w:p w14:paraId="6F203104" w14:textId="77777777" w:rsidR="00501B0C" w:rsidRDefault="00557D14">
      <w:pPr>
        <w:spacing w:after="120"/>
        <w:rPr>
          <w:rFonts w:ascii="Arial" w:eastAsia="Arial" w:hAnsi="Arial" w:cs="Arial"/>
          <w:color w:val="000000"/>
          <w:sz w:val="22"/>
          <w:szCs w:val="22"/>
        </w:rPr>
      </w:pPr>
      <w:r>
        <w:rPr>
          <w:rFonts w:ascii="Arial" w:eastAsia="Arial" w:hAnsi="Arial" w:cs="Arial"/>
          <w:color w:val="000000"/>
          <w:sz w:val="22"/>
          <w:szCs w:val="22"/>
        </w:rPr>
        <w:t xml:space="preserve">Uno de los postulados más importantes de un Estado social y democrático de derecho es el principio de </w:t>
      </w:r>
      <w:r>
        <w:rPr>
          <w:rFonts w:ascii="Arial" w:eastAsia="Arial" w:hAnsi="Arial" w:cs="Arial"/>
          <w:i/>
          <w:color w:val="000000"/>
          <w:sz w:val="22"/>
          <w:szCs w:val="22"/>
        </w:rPr>
        <w:t>publicidad</w:t>
      </w:r>
      <w:r>
        <w:rPr>
          <w:rFonts w:ascii="Arial" w:eastAsia="Arial" w:hAnsi="Arial" w:cs="Arial"/>
          <w:color w:val="000000"/>
          <w:sz w:val="22"/>
          <w:szCs w:val="22"/>
        </w:rPr>
        <w:t>, pues este permite que las actuaciones de las autoridades gocen de visibilidad. En tal sentido, la filosofía política explica que la democracia «[…] es idealmente el gobierno de un poder visible, es decir, el gobierno cuyos actos se realizan ante el público y bajo la supervisión de la opinión pública»</w:t>
      </w:r>
      <w:r>
        <w:rPr>
          <w:rFonts w:ascii="Arial" w:eastAsia="Arial" w:hAnsi="Arial" w:cs="Arial"/>
          <w:color w:val="000000"/>
          <w:sz w:val="22"/>
          <w:szCs w:val="22"/>
          <w:vertAlign w:val="superscript"/>
        </w:rPr>
        <w:footnoteReference w:id="3"/>
      </w:r>
      <w:r>
        <w:rPr>
          <w:rFonts w:ascii="Arial" w:eastAsia="Arial" w:hAnsi="Arial" w:cs="Arial"/>
          <w:color w:val="000000"/>
          <w:sz w:val="22"/>
          <w:szCs w:val="22"/>
        </w:rPr>
        <w:t xml:space="preserve">. El secreto generalizado en el ejercicio del poder político constituye, por el contrario, una negación de la democracia, porque dificulta la supervisión de las autoridades por parte de la sociedad civil y establece una barrera para la participación ciudadana. </w:t>
      </w:r>
    </w:p>
    <w:p w14:paraId="410560F6" w14:textId="77777777" w:rsidR="00501B0C" w:rsidRDefault="00557D14">
      <w:pPr>
        <w:ind w:firstLine="708"/>
        <w:rPr>
          <w:rFonts w:ascii="Arial" w:eastAsia="Arial" w:hAnsi="Arial" w:cs="Arial"/>
          <w:color w:val="000000"/>
          <w:sz w:val="22"/>
          <w:szCs w:val="22"/>
        </w:rPr>
      </w:pPr>
      <w:r>
        <w:rPr>
          <w:rFonts w:ascii="Arial" w:eastAsia="Arial" w:hAnsi="Arial" w:cs="Arial"/>
          <w:color w:val="000000"/>
          <w:sz w:val="22"/>
          <w:szCs w:val="22"/>
        </w:rPr>
        <w:t>Inspirada en esta concepción axiológica, la 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 y el 74, que consagra la garantía de acceso a los documentos públicos que no gocen de reserva –y esta, además, es excepcional, pues solo procede si existe causal constitucional o legal expresa–. En tal perspectiva, la Corte Constitucional ha señalado que el principio de publicidad es la garantía que tienen las personas de conocer las actuaciones judiciales y administrativas. De este modo, explica:</w:t>
      </w:r>
    </w:p>
    <w:p w14:paraId="0665969C" w14:textId="77777777" w:rsidR="00501B0C" w:rsidRPr="009D2FA3" w:rsidRDefault="00557D14" w:rsidP="009D2FA3">
      <w:pPr>
        <w:tabs>
          <w:tab w:val="left" w:pos="3885"/>
        </w:tabs>
        <w:spacing w:after="120" w:line="240" w:lineRule="auto"/>
        <w:ind w:left="709" w:right="709"/>
      </w:pPr>
      <w:r>
        <w:rPr>
          <w:rFonts w:ascii="Arial" w:eastAsia="Arial" w:hAnsi="Arial" w:cs="Arial"/>
          <w:color w:val="000000"/>
          <w:sz w:val="21"/>
          <w:szCs w:val="21"/>
        </w:rPr>
        <w:t xml:space="preserve">El principio de publicidad se encuentra consagrado en el artículo 209 de la Constitución Política, que señala que la función administrativa está al servicio de </w:t>
      </w:r>
      <w:r>
        <w:rPr>
          <w:rFonts w:ascii="Arial" w:eastAsia="Arial" w:hAnsi="Arial" w:cs="Arial"/>
          <w:color w:val="000000"/>
          <w:sz w:val="21"/>
          <w:szCs w:val="21"/>
        </w:rPr>
        <w:lastRenderedPageBreak/>
        <w:t>los intereses generales y se desarrolla con fundamento entre otros, en el «principio de publicidad», el cual se evidencia en dos dimensiones.</w:t>
      </w:r>
    </w:p>
    <w:p w14:paraId="024F9EF7" w14:textId="77777777" w:rsidR="00501B0C" w:rsidRPr="009D2FA3" w:rsidRDefault="00557D14" w:rsidP="009D2FA3">
      <w:pPr>
        <w:tabs>
          <w:tab w:val="left" w:pos="3885"/>
          <w:tab w:val="left" w:pos="8222"/>
        </w:tabs>
        <w:spacing w:line="240" w:lineRule="auto"/>
        <w:ind w:left="709" w:right="709"/>
      </w:pPr>
      <w:r>
        <w:rPr>
          <w:rFonts w:ascii="Arial" w:eastAsia="Arial" w:hAnsi="Arial" w:cs="Arial"/>
          <w:color w:val="000000"/>
          <w:sz w:val="21"/>
          <w:szCs w:val="21"/>
        </w:rPr>
        <w:t>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autoridades públicas y, a través de ese conocimiento, a exigir que ellas se surtan conforme a la ley</w:t>
      </w:r>
      <w:r>
        <w:rPr>
          <w:rFonts w:ascii="Arial" w:eastAsia="Arial" w:hAnsi="Arial" w:cs="Arial"/>
          <w:color w:val="000000"/>
          <w:sz w:val="21"/>
          <w:szCs w:val="21"/>
          <w:vertAlign w:val="superscript"/>
        </w:rPr>
        <w:footnoteReference w:id="4"/>
      </w:r>
      <w:r>
        <w:rPr>
          <w:rFonts w:ascii="Arial" w:eastAsia="Arial" w:hAnsi="Arial" w:cs="Arial"/>
          <w:color w:val="000000"/>
          <w:sz w:val="21"/>
          <w:szCs w:val="21"/>
        </w:rPr>
        <w:t>.</w:t>
      </w:r>
    </w:p>
    <w:p w14:paraId="4392175D" w14:textId="77777777" w:rsidR="00501B0C" w:rsidRPr="009D2FA3" w:rsidRDefault="00557D14" w:rsidP="009D2FA3">
      <w:pPr>
        <w:spacing w:after="120"/>
        <w:ind w:firstLine="709"/>
      </w:pPr>
      <w:r>
        <w:rPr>
          <w:rFonts w:ascii="Arial" w:eastAsia="Arial" w:hAnsi="Arial" w:cs="Arial"/>
          <w:color w:val="000000"/>
          <w:sz w:val="22"/>
          <w:szCs w:val="22"/>
        </w:rPr>
        <w:t>El principio de publicidad impone a las autoridades administrativas el deber de dar a conocer sus actos, contratos y decisiones, para que se divulguen y eventualmente se controlen dichas actuaciones. Es por eso que, en la contratación estatal, el literal c) del artículo 3 de la Ley 1150 de 2007 establece el Sistema Electrónico para la Contratación Pública –SECOP– como un mecanismo que «contará con la información oficial de la contratación realizada con dineros públicos, para lo cual establecerá los patrones a que haya lugar y se encargará de su difusión a través de canales electrónicos»</w:t>
      </w:r>
      <w:r>
        <w:rPr>
          <w:rFonts w:ascii="Arial" w:eastAsia="Arial" w:hAnsi="Arial" w:cs="Arial"/>
          <w:color w:val="000000"/>
          <w:sz w:val="22"/>
          <w:szCs w:val="22"/>
          <w:vertAlign w:val="superscript"/>
        </w:rPr>
        <w:footnoteReference w:id="5"/>
      </w:r>
      <w:r>
        <w:rPr>
          <w:rFonts w:ascii="Arial" w:eastAsia="Arial" w:hAnsi="Arial" w:cs="Arial"/>
          <w:color w:val="000000"/>
          <w:sz w:val="22"/>
          <w:szCs w:val="22"/>
        </w:rPr>
        <w:t xml:space="preserve">. </w:t>
      </w:r>
    </w:p>
    <w:p w14:paraId="56971604" w14:textId="0E0DC7E6" w:rsidR="00501B0C" w:rsidRPr="009D2FA3" w:rsidRDefault="00557D14" w:rsidP="009D2FA3">
      <w:pPr>
        <w:spacing w:before="120" w:after="120"/>
        <w:ind w:firstLine="709"/>
      </w:pPr>
      <w:r>
        <w:rPr>
          <w:rFonts w:ascii="Arial" w:eastAsia="Arial" w:hAnsi="Arial" w:cs="Arial"/>
          <w:color w:val="000000"/>
          <w:sz w:val="22"/>
          <w:szCs w:val="22"/>
        </w:rPr>
        <w:t>De otra parte, la Ley 1712 de 2014 –ley estatutaria que regula la transparencia y el derecho de acceso a la información y a los documentos públicos–,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Pr>
          <w:rFonts w:ascii="Arial" w:eastAsia="Arial" w:hAnsi="Arial" w:cs="Arial"/>
          <w:color w:val="000000"/>
          <w:sz w:val="22"/>
          <w:szCs w:val="22"/>
          <w:vertAlign w:val="superscript"/>
        </w:rPr>
        <w:footnoteReference w:id="6"/>
      </w:r>
      <w:r>
        <w:rPr>
          <w:rFonts w:ascii="Arial" w:eastAsia="Arial" w:hAnsi="Arial" w:cs="Arial"/>
          <w:color w:val="000000"/>
          <w:sz w:val="22"/>
          <w:szCs w:val="22"/>
        </w:rPr>
        <w:t>. El principio de transparencia en la información alude al deber de los sujetos de proporcionar y facilitar el acceso a la misma en los términos más amplios posibles, y a través de los medios y procedimientos legales. En el literal e) del artículo 9, la ley estatutaria citada establece que los sujetos obligados, que son todas las entidades públicas</w:t>
      </w:r>
      <w:r>
        <w:rPr>
          <w:rFonts w:ascii="Arial" w:eastAsia="Arial" w:hAnsi="Arial" w:cs="Arial"/>
          <w:color w:val="000000"/>
          <w:sz w:val="22"/>
          <w:szCs w:val="22"/>
          <w:vertAlign w:val="superscript"/>
        </w:rPr>
        <w:footnoteReference w:id="7"/>
      </w:r>
      <w:r>
        <w:rPr>
          <w:rFonts w:ascii="Arial" w:eastAsia="Arial" w:hAnsi="Arial" w:cs="Arial"/>
          <w:color w:val="000000"/>
          <w:sz w:val="22"/>
          <w:szCs w:val="22"/>
        </w:rPr>
        <w:t xml:space="preserve">, deben publicar la información </w:t>
      </w:r>
      <w:r>
        <w:rPr>
          <w:rFonts w:ascii="Arial" w:eastAsia="Arial" w:hAnsi="Arial" w:cs="Arial"/>
          <w:color w:val="000000"/>
          <w:sz w:val="22"/>
          <w:szCs w:val="22"/>
        </w:rPr>
        <w:lastRenderedPageBreak/>
        <w:t>relativa a su contratación. Esta obligación fue desarrollada por el Decreto Único Reglamentario 1081 de 2015</w:t>
      </w:r>
      <w:r>
        <w:rPr>
          <w:rFonts w:ascii="Arial" w:eastAsia="Arial" w:hAnsi="Arial" w:cs="Arial"/>
          <w:color w:val="000000"/>
          <w:sz w:val="22"/>
          <w:szCs w:val="22"/>
          <w:vertAlign w:val="superscript"/>
        </w:rPr>
        <w:footnoteReference w:id="8"/>
      </w:r>
      <w:r>
        <w:rPr>
          <w:rFonts w:ascii="Arial" w:eastAsia="Arial" w:hAnsi="Arial" w:cs="Arial"/>
          <w:color w:val="000000"/>
          <w:sz w:val="22"/>
          <w:szCs w:val="22"/>
        </w:rPr>
        <w:t>, el cual dispuso que la publicación de la información contractual de los sujetos obligados, que contratan con cargo a recursos públicos, debe hacerse en el Sistema Electrónico para la Contratación Pública ─SECOP–.</w:t>
      </w:r>
    </w:p>
    <w:p w14:paraId="7D347004" w14:textId="77777777" w:rsidR="00501B0C" w:rsidRPr="009D2FA3" w:rsidRDefault="00557D14" w:rsidP="009D2FA3">
      <w:pPr>
        <w:spacing w:before="120" w:after="120"/>
        <w:ind w:firstLine="709"/>
      </w:pPr>
      <w:r>
        <w:rPr>
          <w:rFonts w:ascii="Arial" w:eastAsia="Arial" w:hAnsi="Arial" w:cs="Arial"/>
          <w:color w:val="000000"/>
          <w:sz w:val="22"/>
          <w:szCs w:val="22"/>
        </w:rPr>
        <w:t>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Pr>
          <w:rFonts w:ascii="Arial" w:eastAsia="Arial" w:hAnsi="Arial" w:cs="Arial"/>
          <w:color w:val="000000"/>
          <w:sz w:val="22"/>
          <w:szCs w:val="22"/>
          <w:vertAlign w:val="superscript"/>
        </w:rPr>
        <w:footnoteReference w:id="9"/>
      </w:r>
      <w:r>
        <w:rPr>
          <w:rFonts w:ascii="Arial" w:eastAsia="Arial" w:hAnsi="Arial" w:cs="Arial"/>
          <w:color w:val="000000"/>
          <w:sz w:val="22"/>
          <w:szCs w:val="22"/>
        </w:rPr>
        <w:t>.</w:t>
      </w:r>
    </w:p>
    <w:p w14:paraId="5FBA3E1D" w14:textId="77777777" w:rsidR="00501B0C" w:rsidRPr="009D2FA3" w:rsidRDefault="00557D14" w:rsidP="009D2FA3">
      <w:pPr>
        <w:spacing w:before="120" w:after="120"/>
        <w:ind w:firstLine="709"/>
      </w:pPr>
      <w:r>
        <w:rPr>
          <w:rFonts w:ascii="Arial" w:eastAsia="Arial" w:hAnsi="Arial" w:cs="Arial"/>
          <w:color w:val="000000"/>
          <w:sz w:val="22"/>
          <w:szCs w:val="22"/>
        </w:rPr>
        <w:t>Para el año 2013, la Agencia Nacional de Contratación Pública – Colombia Compra Eficiente, mediante la Circular Externa No 1 del 21 de junio de 2013, recopilada en la Circular Externa Única, recordó a todas las entidades del Estado el deber de publicar oportunamente la información oficial de la contratación en el SECOP, sin distinción de su régimen jurídico, naturaleza jurídica o la pertenencia a una u otra rama del poder público</w:t>
      </w:r>
      <w:r>
        <w:rPr>
          <w:rFonts w:ascii="Arial" w:eastAsia="Arial" w:hAnsi="Arial" w:cs="Arial"/>
          <w:color w:val="000000"/>
          <w:sz w:val="22"/>
          <w:szCs w:val="22"/>
          <w:vertAlign w:val="superscript"/>
        </w:rPr>
        <w:footnoteReference w:id="10"/>
      </w:r>
      <w:r>
        <w:rPr>
          <w:rFonts w:ascii="Arial" w:eastAsia="Arial" w:hAnsi="Arial" w:cs="Arial"/>
          <w:color w:val="000000"/>
          <w:sz w:val="22"/>
          <w:szCs w:val="22"/>
        </w:rPr>
        <w:t>. Este deber, tal y como ha sido aclarado por esta Agencia</w:t>
      </w:r>
      <w:r>
        <w:rPr>
          <w:rFonts w:ascii="Arial" w:eastAsia="Arial" w:hAnsi="Arial" w:cs="Arial"/>
          <w:color w:val="000000"/>
          <w:sz w:val="22"/>
          <w:szCs w:val="22"/>
          <w:vertAlign w:val="superscript"/>
        </w:rPr>
        <w:footnoteReference w:id="11"/>
      </w:r>
      <w:r>
        <w:rPr>
          <w:rFonts w:ascii="Arial" w:eastAsia="Arial" w:hAnsi="Arial" w:cs="Arial"/>
          <w:color w:val="000000"/>
          <w:sz w:val="22"/>
          <w:szCs w:val="22"/>
        </w:rPr>
        <w:t>, permanece vigente, incluso con el auto del 25 de febrero de 2021. Además, la Circular Externa Única, en el numeral 1.1., estableció, de manera enunciativa, que deben 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w:t>
      </w:r>
    </w:p>
    <w:p w14:paraId="06EDD7B3" w14:textId="77777777" w:rsidR="00501B0C" w:rsidRDefault="00557D14">
      <w:pPr>
        <w:spacing w:before="120"/>
        <w:ind w:firstLine="709"/>
        <w:rPr>
          <w:rFonts w:ascii="Arial" w:eastAsia="Arial" w:hAnsi="Arial" w:cs="Arial"/>
          <w:color w:val="000000"/>
          <w:sz w:val="22"/>
          <w:szCs w:val="22"/>
        </w:rPr>
      </w:pPr>
      <w:r>
        <w:rPr>
          <w:rFonts w:ascii="Arial" w:eastAsia="Arial" w:hAnsi="Arial" w:cs="Arial"/>
          <w:color w:val="000000"/>
          <w:sz w:val="22"/>
          <w:szCs w:val="22"/>
        </w:rPr>
        <w:lastRenderedPageBreak/>
        <w:t>El debate sobre la obligatoriedad o no de publicar en el SECOP, para las entidades con régimen especial de contratación, había sido definido, al menos de manera preliminar, por el Consejo de Estado. En este sentido, la Sección Tercera, Subsección C, en el Auto del 14 de agosto de 2017</w:t>
      </w:r>
      <w:r>
        <w:rPr>
          <w:rFonts w:ascii="Arial" w:eastAsia="Arial" w:hAnsi="Arial" w:cs="Arial"/>
          <w:color w:val="000000"/>
          <w:sz w:val="22"/>
          <w:szCs w:val="22"/>
          <w:vertAlign w:val="superscript"/>
        </w:rPr>
        <w:footnoteReference w:id="12"/>
      </w:r>
      <w:r>
        <w:rPr>
          <w:rFonts w:ascii="Arial" w:eastAsia="Arial" w:hAnsi="Arial" w:cs="Arial"/>
          <w:color w:val="000000"/>
          <w:sz w:val="22"/>
          <w:szCs w:val="22"/>
        </w:rPr>
        <w:t>, expresó que la obligación prevista en la Circular Externa No. 1 se ajusta a la normativa superior, en los siguientes términos:</w:t>
      </w:r>
    </w:p>
    <w:p w14:paraId="6D78967C" w14:textId="77777777" w:rsidR="00501B0C" w:rsidRPr="009D2FA3" w:rsidRDefault="00557D14" w:rsidP="009D2FA3">
      <w:pPr>
        <w:tabs>
          <w:tab w:val="left" w:pos="3885"/>
        </w:tabs>
        <w:spacing w:after="120" w:line="240" w:lineRule="auto"/>
        <w:ind w:left="709" w:right="709"/>
      </w:pPr>
      <w:r>
        <w:rPr>
          <w:rFonts w:ascii="Arial" w:eastAsia="Arial" w:hAnsi="Arial" w:cs="Arial"/>
          <w:color w:val="000000"/>
          <w:sz w:val="21"/>
          <w:szCs w:val="21"/>
        </w:rPr>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14:paraId="4632168C" w14:textId="77777777" w:rsidR="00501B0C" w:rsidRPr="009D2FA3" w:rsidRDefault="00557D14" w:rsidP="009D2FA3">
      <w:pPr>
        <w:tabs>
          <w:tab w:val="left" w:pos="3885"/>
        </w:tabs>
        <w:spacing w:line="240" w:lineRule="auto"/>
        <w:ind w:left="709" w:right="709"/>
      </w:pPr>
      <w:r>
        <w:rPr>
          <w:rFonts w:ascii="Arial" w:eastAsia="Arial" w:hAnsi="Arial" w:cs="Arial"/>
          <w:color w:val="000000"/>
          <w:sz w:val="21"/>
          <w:szCs w:val="21"/>
        </w:rPr>
        <w:t>11.5. ─Y es que, si se quiere en términos más detallados el literal c) del artículo 3o de la Ley en comento responde claramente las siguientes inquietudes: ¿Quiénes están obligados? los que realizan contratación con dineros públicos; ¿en razón de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w:t>
      </w:r>
    </w:p>
    <w:p w14:paraId="0A97CA4F" w14:textId="77777777" w:rsidR="00501B0C" w:rsidRPr="009D2FA3" w:rsidRDefault="00557D14" w:rsidP="009D2FA3">
      <w:pPr>
        <w:tabs>
          <w:tab w:val="left" w:pos="3885"/>
        </w:tabs>
        <w:spacing w:after="120" w:line="240" w:lineRule="auto"/>
        <w:ind w:left="709" w:right="709"/>
      </w:pPr>
      <w:r>
        <w:rPr>
          <w:rFonts w:ascii="Arial" w:eastAsia="Arial" w:hAnsi="Arial" w:cs="Arial"/>
          <w:color w:val="000000"/>
          <w:sz w:val="21"/>
          <w:szCs w:val="21"/>
        </w:rPr>
        <w:t>[…]</w:t>
      </w:r>
    </w:p>
    <w:p w14:paraId="7C38FD2E" w14:textId="77777777" w:rsidR="00501B0C" w:rsidRPr="009D2FA3" w:rsidRDefault="00557D14" w:rsidP="009D2FA3">
      <w:pPr>
        <w:tabs>
          <w:tab w:val="left" w:pos="3885"/>
        </w:tabs>
        <w:spacing w:line="240" w:lineRule="auto"/>
        <w:ind w:left="709" w:right="709"/>
      </w:pPr>
      <w:r>
        <w:rPr>
          <w:rFonts w:ascii="Arial" w:eastAsia="Arial" w:hAnsi="Arial" w:cs="Arial"/>
          <w:color w:val="000000"/>
          <w:sz w:val="21"/>
          <w:szCs w:val="21"/>
        </w:rPr>
        <w:t>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Pr>
          <w:rFonts w:ascii="Arial" w:eastAsia="Arial" w:hAnsi="Arial" w:cs="Arial"/>
          <w:color w:val="000000"/>
          <w:sz w:val="21"/>
          <w:szCs w:val="21"/>
          <w:vertAlign w:val="superscript"/>
        </w:rPr>
        <w:footnoteReference w:id="13"/>
      </w:r>
      <w:r>
        <w:rPr>
          <w:rFonts w:ascii="Arial" w:eastAsia="Arial" w:hAnsi="Arial" w:cs="Arial"/>
          <w:color w:val="000000"/>
          <w:sz w:val="21"/>
          <w:szCs w:val="21"/>
        </w:rPr>
        <w:t>.</w:t>
      </w:r>
    </w:p>
    <w:p w14:paraId="3155CEAA" w14:textId="77777777" w:rsidR="00501B0C" w:rsidRDefault="00557D14">
      <w:pPr>
        <w:ind w:firstLine="708"/>
        <w:rPr>
          <w:rFonts w:ascii="Arial" w:eastAsia="Arial" w:hAnsi="Arial" w:cs="Arial"/>
          <w:color w:val="000000"/>
          <w:sz w:val="22"/>
          <w:szCs w:val="22"/>
        </w:rPr>
      </w:pPr>
      <w:r>
        <w:rPr>
          <w:rFonts w:ascii="Arial" w:eastAsia="Arial" w:hAnsi="Arial" w:cs="Arial"/>
          <w:color w:val="000000"/>
          <w:sz w:val="22"/>
          <w:szCs w:val="22"/>
        </w:rPr>
        <w:t xml:space="preserve">Adicionalmente, la publicación de la información contractual oficial no se determina por la naturaleza de la entidad ejecutora ─pública o privada─, ni por el régimen sustantivo contractual que aplique, sea la Ley 80 de 1993 o un régimen exceptuado. En particular, sobre el deber de publicidad de las entidades con régimen especial, el Consejo de Estado sostuvo: </w:t>
      </w:r>
    </w:p>
    <w:p w14:paraId="43E61A76" w14:textId="77777777" w:rsidR="00501B0C" w:rsidRPr="009D2FA3" w:rsidRDefault="00557D14" w:rsidP="009D2FA3">
      <w:pPr>
        <w:spacing w:line="240" w:lineRule="auto"/>
        <w:ind w:left="709" w:right="709"/>
      </w:pPr>
      <w:r>
        <w:rPr>
          <w:rFonts w:ascii="Arial" w:eastAsia="Arial" w:hAnsi="Arial" w:cs="Arial"/>
          <w:color w:val="000000"/>
          <w:sz w:val="21"/>
          <w:szCs w:val="21"/>
        </w:rPr>
        <w:t xml:space="preserve">Por consiguiente, otra conclusión natural de lo que se viene de decir es que la exigibilidad prevista en el literal c) del artículo 3° de la Ley 1150 de 2007 y aquella reflejada en la Circular Externa sobre deber de informar no alteran ni trastocan </w:t>
      </w:r>
      <w:r>
        <w:rPr>
          <w:rFonts w:ascii="Arial" w:eastAsia="Arial" w:hAnsi="Arial" w:cs="Arial"/>
          <w:color w:val="000000"/>
          <w:sz w:val="21"/>
          <w:szCs w:val="21"/>
        </w:rPr>
        <w:lastRenderedPageBreak/>
        <w:t>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r>
        <w:rPr>
          <w:rFonts w:ascii="Arial" w:eastAsia="Arial" w:hAnsi="Arial" w:cs="Arial"/>
          <w:color w:val="000000"/>
          <w:sz w:val="21"/>
          <w:szCs w:val="21"/>
          <w:vertAlign w:val="superscript"/>
        </w:rPr>
        <w:footnoteReference w:id="14"/>
      </w:r>
      <w:r>
        <w:rPr>
          <w:rFonts w:ascii="Arial" w:eastAsia="Arial" w:hAnsi="Arial" w:cs="Arial"/>
          <w:color w:val="000000"/>
          <w:sz w:val="21"/>
          <w:szCs w:val="21"/>
        </w:rPr>
        <w:t>.</w:t>
      </w:r>
    </w:p>
    <w:p w14:paraId="6D91FE60" w14:textId="77777777" w:rsidR="00501B0C" w:rsidRDefault="00557D14">
      <w:pPr>
        <w:ind w:firstLine="708"/>
        <w:rPr>
          <w:rFonts w:ascii="Arial" w:eastAsia="Arial" w:hAnsi="Arial" w:cs="Arial"/>
          <w:color w:val="000000"/>
          <w:sz w:val="22"/>
          <w:szCs w:val="22"/>
        </w:rPr>
      </w:pPr>
      <w:r>
        <w:rPr>
          <w:rFonts w:ascii="Arial" w:eastAsia="Arial" w:hAnsi="Arial" w:cs="Arial"/>
          <w:color w:val="000000"/>
          <w:sz w:val="22"/>
          <w:szCs w:val="22"/>
        </w:rPr>
        <w:t xml:space="preserve">Nótese, entonces, que en ese momento el Consejo de Estado asumió como criterio para determinar la obligatoriedad de publicar en el SECOP que la contratación se realizara con recursos públicos, conclusión que se fundamenta en el literal c) del artículo 3 de la Ley 1150 de 2007. Así, la decisión judicial citada refuerza la obligación de publicar en el SECOP, mandato que además está expresamente consagrado en las Leyes 1150 de 2007, 1712 de 2014 y la Circular Externa Única. </w:t>
      </w:r>
      <w:r>
        <w:rPr>
          <w:rFonts w:ascii="Arial" w:eastAsia="Arial" w:hAnsi="Arial" w:cs="Arial"/>
          <w:color w:val="000000"/>
          <w:sz w:val="21"/>
          <w:szCs w:val="21"/>
        </w:rPr>
        <w:t xml:space="preserve">  </w:t>
      </w:r>
    </w:p>
    <w:p w14:paraId="14D89D17" w14:textId="77777777" w:rsidR="00501B0C" w:rsidRDefault="00557D14">
      <w:pPr>
        <w:pBdr>
          <w:top w:val="nil"/>
          <w:left w:val="nil"/>
          <w:bottom w:val="nil"/>
          <w:right w:val="nil"/>
          <w:between w:val="nil"/>
        </w:pBdr>
        <w:tabs>
          <w:tab w:val="left" w:pos="284"/>
          <w:tab w:val="left" w:pos="426"/>
        </w:tabs>
        <w:spacing w:after="0"/>
        <w:rPr>
          <w:rFonts w:ascii="Arial" w:eastAsia="Arial" w:hAnsi="Arial" w:cs="Arial"/>
          <w:b/>
          <w:color w:val="000000"/>
          <w:sz w:val="22"/>
          <w:szCs w:val="22"/>
        </w:rPr>
      </w:pPr>
      <w:r>
        <w:rPr>
          <w:rFonts w:ascii="Arial" w:eastAsia="Arial" w:hAnsi="Arial" w:cs="Arial"/>
          <w:b/>
          <w:color w:val="000000"/>
          <w:sz w:val="22"/>
          <w:szCs w:val="22"/>
        </w:rPr>
        <w:t xml:space="preserve">2.2. Documentos que deben publicar en el SECOP las entidades estatales de régimen especial. Reiteración del concepto CU-003 del 15 de enero de 2020 </w:t>
      </w:r>
    </w:p>
    <w:p w14:paraId="550F4AB4" w14:textId="77777777" w:rsidR="00501B0C" w:rsidRDefault="00501B0C">
      <w:pPr>
        <w:pBdr>
          <w:top w:val="nil"/>
          <w:left w:val="nil"/>
          <w:bottom w:val="nil"/>
          <w:right w:val="nil"/>
          <w:between w:val="nil"/>
        </w:pBdr>
        <w:spacing w:after="0"/>
        <w:rPr>
          <w:rFonts w:ascii="Arial" w:eastAsia="Arial" w:hAnsi="Arial" w:cs="Arial"/>
          <w:b/>
          <w:color w:val="000000"/>
          <w:sz w:val="22"/>
          <w:szCs w:val="22"/>
        </w:rPr>
      </w:pPr>
    </w:p>
    <w:p w14:paraId="46B1C2F1" w14:textId="77777777" w:rsidR="00501B0C" w:rsidRDefault="00557D14">
      <w:pPr>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 xml:space="preserve">Determinada la obligación que tienen las entidades sujetas a un régimen especial de publicar la información oficial de su contratación con recursos públicos en el SECOP, se identificarán los documentos que deben publicar, no sin antes explicar la posición que la Agencia Nacional de Contratación Pública ─ Colombia Compra Eficiente adoptó desde el 2016 hasta el 2019. Posteriormente, se reiterará el concepto CU-003 del 15 de enero de 2020, que contiene la tesis que actualmente acoge la Agencia. </w:t>
      </w:r>
    </w:p>
    <w:p w14:paraId="2C907271" w14:textId="77777777" w:rsidR="00501B0C" w:rsidRPr="009D2FA3" w:rsidRDefault="00557D14" w:rsidP="009D2FA3">
      <w:pPr>
        <w:spacing w:before="120" w:after="120"/>
        <w:ind w:firstLine="709"/>
      </w:pPr>
      <w:r>
        <w:rPr>
          <w:rFonts w:ascii="Arial" w:eastAsia="Arial" w:hAnsi="Arial" w:cs="Arial"/>
          <w:color w:val="000000"/>
          <w:sz w:val="22"/>
          <w:szCs w:val="22"/>
        </w:rPr>
        <w:t>Primero, en respuesta a la consulta identificada con el radicado No. 41612000877 del 15 de febrero de 2016, la Agencia señaló que las empresas industriales y comerciales del Estado, las empresas de servicios públicos domiciliarios y las sociedades de economía mixta –sometidas a un régimen especial de contratación– debían publicar en el SECOP todos los documentos del proceso que define el Decreto 1082 de 2015, así como lo relativo a la ejecución del contrato. Lo anterior, a partir de lo dispuesto en el literal c) del artículo 3 de la Ley 1150 de 2007</w:t>
      </w:r>
      <w:r>
        <w:rPr>
          <w:rFonts w:ascii="Arial" w:eastAsia="Arial" w:hAnsi="Arial" w:cs="Arial"/>
          <w:color w:val="000000"/>
          <w:sz w:val="22"/>
          <w:szCs w:val="22"/>
          <w:vertAlign w:val="superscript"/>
        </w:rPr>
        <w:footnoteReference w:id="15"/>
      </w:r>
      <w:r>
        <w:rPr>
          <w:rFonts w:ascii="Arial" w:eastAsia="Arial" w:hAnsi="Arial" w:cs="Arial"/>
          <w:color w:val="000000"/>
          <w:sz w:val="22"/>
          <w:szCs w:val="22"/>
        </w:rPr>
        <w:t xml:space="preserve">. En este sentido, reconoció la obligatoriedad, por parte de las entidades de régimen especial, de publicar su </w:t>
      </w:r>
      <w:r w:rsidRPr="009D2FA3">
        <w:rPr>
          <w:rFonts w:ascii="Arial" w:eastAsia="Arial" w:hAnsi="Arial" w:cs="Arial"/>
          <w:color w:val="000000"/>
          <w:sz w:val="22"/>
          <w:szCs w:val="22"/>
        </w:rPr>
        <w:t>actividad contractual</w:t>
      </w:r>
      <w:r>
        <w:rPr>
          <w:rFonts w:ascii="Arial" w:eastAsia="Arial" w:hAnsi="Arial" w:cs="Arial"/>
          <w:color w:val="000000"/>
          <w:sz w:val="22"/>
          <w:szCs w:val="22"/>
        </w:rPr>
        <w:t xml:space="preserve"> en el SECOP. De este modo, con fundamento en el artículo 2.2.1.1.1.3.1 del Decreto 1082 de 2015, normativa que aplica a las entidades que se rigen por la Ley 80 de 1993, indicó que los documentos del </w:t>
      </w:r>
      <w:r>
        <w:rPr>
          <w:rFonts w:ascii="Arial" w:eastAsia="Arial" w:hAnsi="Arial" w:cs="Arial"/>
          <w:color w:val="000000"/>
          <w:sz w:val="22"/>
          <w:szCs w:val="22"/>
        </w:rPr>
        <w:lastRenderedPageBreak/>
        <w:t>proceso que se enunciaban allí también eran los que debían publicar las entidades exceptuadas del Estatuto General de Contratación de la Administración Pública.</w:t>
      </w:r>
    </w:p>
    <w:p w14:paraId="3C831931" w14:textId="77777777" w:rsidR="00501B0C" w:rsidRPr="009D2FA3" w:rsidRDefault="00557D14" w:rsidP="009D2FA3">
      <w:pPr>
        <w:spacing w:before="120" w:after="120"/>
        <w:ind w:firstLine="709"/>
      </w:pPr>
      <w:r>
        <w:rPr>
          <w:rFonts w:ascii="Arial" w:eastAsia="Arial" w:hAnsi="Arial" w:cs="Arial"/>
          <w:color w:val="000000"/>
          <w:sz w:val="22"/>
          <w:szCs w:val="22"/>
        </w:rPr>
        <w:t>Posteriormente, en el año 2018, cambió el fundamento normativo que define los documentos que las entidades de régimen especial debían publicar en el SECOP. Así, en el concepto con radicado No. 4201814000008329 del 8 de octubre de 2018, la Agencia dijo que en virtud del artículo 11 de la Ley 1712 de 2014, los destinatarios de las normas contenidas en la ley de transparencia debían publicar los procedimientos, lineamientos, políticas en materia de adquisiciones y compras, así como todos los datos de adjudicación y ejecución de contratos, incluidos concursos y licitaciones. Por lo tanto, los documentos que se debían publicar eran los previstos en el manual de contratación de cada entidad de régimen especial para la adquisición de un bien o servicio, y no los que definía el artículo 2.2.1.1.1.3.1 del Decreto 1082 de 2015</w:t>
      </w:r>
      <w:r>
        <w:rPr>
          <w:rFonts w:ascii="Arial" w:eastAsia="Arial" w:hAnsi="Arial" w:cs="Arial"/>
          <w:color w:val="000000"/>
          <w:sz w:val="22"/>
          <w:szCs w:val="22"/>
          <w:vertAlign w:val="superscript"/>
        </w:rPr>
        <w:footnoteReference w:id="16"/>
      </w:r>
      <w:r>
        <w:rPr>
          <w:rFonts w:ascii="Arial" w:eastAsia="Arial" w:hAnsi="Arial" w:cs="Arial"/>
          <w:color w:val="000000"/>
          <w:sz w:val="22"/>
          <w:szCs w:val="22"/>
        </w:rPr>
        <w:t xml:space="preserve">. </w:t>
      </w:r>
    </w:p>
    <w:p w14:paraId="0C6A32DD" w14:textId="77777777" w:rsidR="00501B0C" w:rsidRPr="009D2FA3" w:rsidRDefault="00557D14" w:rsidP="009D2FA3">
      <w:pPr>
        <w:spacing w:before="120" w:after="120"/>
        <w:ind w:firstLine="709"/>
      </w:pPr>
      <w:r>
        <w:rPr>
          <w:rFonts w:ascii="Arial" w:eastAsia="Arial" w:hAnsi="Arial" w:cs="Arial"/>
          <w:color w:val="000000"/>
          <w:sz w:val="22"/>
          <w:szCs w:val="22"/>
        </w:rPr>
        <w:t>Conforme a lo anterior, en un primer momento la Agencia Nacional de Contratación Pública – Colombia Compra Eficiente definió los documentos del proceso que las entidades de régimen especial debían publicar en el SECOP, con fundamento en el artículo 2.2.1.1.1.3.1 del Decreto 1082 de 2015. En un segundo momento se identificaron los documentos en virtud del literal g), del artículo 11 de la Ley 1712 de 2014 y lo previsto en el Decreto 103 de 2015 –compilado en los artículos 2.1.1.1.1. al 2.1.1.6.1. del Decreto 1081 de 2015–. Esta posición –que fue la acogida y desarrollada en el concepto de unificación CU-003 de 2020– es la que se reiterará a continuación.</w:t>
      </w:r>
    </w:p>
    <w:p w14:paraId="612DF564" w14:textId="77777777" w:rsidR="00501B0C" w:rsidRPr="009D2FA3" w:rsidRDefault="00557D14" w:rsidP="009D2FA3">
      <w:pPr>
        <w:spacing w:before="120" w:after="120"/>
        <w:ind w:firstLine="709"/>
      </w:pPr>
      <w:r>
        <w:rPr>
          <w:rFonts w:ascii="Arial" w:eastAsia="Arial" w:hAnsi="Arial" w:cs="Arial"/>
          <w:color w:val="000000"/>
          <w:sz w:val="22"/>
          <w:szCs w:val="22"/>
        </w:rPr>
        <w:t xml:space="preserve">En efecto, la Ley 1712 de 2014 –«Por medio de la cual se crea la Ley de Transparencia y del Derecho de Acceso a la Información Pública Nacional y se dictan otras disposiciones»–, señala en el artículo 11, literal g), que todo </w:t>
      </w:r>
      <w:r>
        <w:rPr>
          <w:rFonts w:ascii="Arial" w:eastAsia="Arial" w:hAnsi="Arial" w:cs="Arial"/>
          <w:i/>
          <w:color w:val="000000"/>
          <w:sz w:val="22"/>
          <w:szCs w:val="22"/>
        </w:rPr>
        <w:t>sujeto obligado</w:t>
      </w:r>
      <w:r>
        <w:rPr>
          <w:rFonts w:ascii="Arial" w:eastAsia="Arial" w:hAnsi="Arial" w:cs="Arial"/>
          <w:color w:val="000000"/>
          <w:sz w:val="22"/>
          <w:szCs w:val="22"/>
        </w:rPr>
        <w:t xml:space="preserve"> –y las entidades estatales con régimen especial de contratación lo son– debe publicar sus procedimientos, lineamientos, políticas en materia de adquisiciones y compras, así como todos los datos de adjudicación y ejecución de sus contratos. Lo anterior implica que se deberá publicar cada procedimiento para la adquisición de un producto o servicio, incluidos los datos de adjudicación y ejecución del contrato. </w:t>
      </w:r>
    </w:p>
    <w:p w14:paraId="3B2BE481" w14:textId="77777777" w:rsidR="00501B0C" w:rsidRPr="009D2FA3" w:rsidRDefault="00557D14" w:rsidP="009D2FA3">
      <w:pPr>
        <w:spacing w:before="120" w:after="120"/>
        <w:ind w:firstLine="709"/>
      </w:pPr>
      <w:r>
        <w:rPr>
          <w:rFonts w:ascii="Arial" w:eastAsia="Arial" w:hAnsi="Arial" w:cs="Arial"/>
          <w:color w:val="000000"/>
          <w:sz w:val="22"/>
          <w:szCs w:val="22"/>
        </w:rPr>
        <w:lastRenderedPageBreak/>
        <w:t>Luego, el Decreto reglamentario 103 de 2015 –«Por el cual se reglamenta parcialmente la Ley 1712 de 2014 y se dictan otras disposiciones»– establece en el artículo 8 –artículo 2.1.1.2.1.8. del Decreto 1081 de 2015–, de forma enunciativa, que se debe publicar la información relativa a la ejecución del contrato, como las aprobaciones, autorizaciones, requerimientos o informes del supervisor o interventor, que aprueben la ejecución del contrato</w:t>
      </w:r>
      <w:r>
        <w:rPr>
          <w:rFonts w:ascii="Arial" w:eastAsia="Arial" w:hAnsi="Arial" w:cs="Arial"/>
          <w:color w:val="000000"/>
          <w:sz w:val="22"/>
          <w:szCs w:val="22"/>
          <w:vertAlign w:val="superscript"/>
        </w:rPr>
        <w:footnoteReference w:id="17"/>
      </w:r>
      <w:r>
        <w:rPr>
          <w:rFonts w:ascii="Arial" w:eastAsia="Arial" w:hAnsi="Arial" w:cs="Arial"/>
          <w:color w:val="000000"/>
          <w:sz w:val="22"/>
          <w:szCs w:val="22"/>
        </w:rPr>
        <w:t>. Por su parte, el artículo 9 del Decreto 103 de 2015 –artículo 2.1.1.2.1.9. del Decreto 1081 de 2015– señala que las entidades deberán publicar los procedimientos, lineamientos y políticas en materia de adquisición, que no son otros que los previstos en el manual de contratación, que se haya expedido de acuerdo con los lineamientos de la Agencia Nacional de Contratación Pública – Colombia Compra Eficiente, el cual debe publicarse en el sitio web del sujeto obligado</w:t>
      </w:r>
      <w:r>
        <w:rPr>
          <w:rFonts w:ascii="Arial" w:eastAsia="Arial" w:hAnsi="Arial" w:cs="Arial"/>
          <w:color w:val="000000"/>
          <w:sz w:val="22"/>
          <w:szCs w:val="22"/>
          <w:vertAlign w:val="superscript"/>
        </w:rPr>
        <w:footnoteReference w:id="18"/>
      </w:r>
      <w:r>
        <w:rPr>
          <w:rFonts w:ascii="Arial" w:eastAsia="Arial" w:hAnsi="Arial" w:cs="Arial"/>
          <w:color w:val="000000"/>
          <w:sz w:val="22"/>
          <w:szCs w:val="22"/>
        </w:rPr>
        <w:t>. Finalmente, el artículo 10 del Decreto 103 de 2015 –</w:t>
      </w:r>
      <w:r>
        <w:rPr>
          <w:rFonts w:ascii="Arial" w:eastAsia="Arial" w:hAnsi="Arial" w:cs="Arial"/>
          <w:sz w:val="22"/>
          <w:szCs w:val="22"/>
        </w:rPr>
        <w:t xml:space="preserve">artículo </w:t>
      </w:r>
      <w:r>
        <w:rPr>
          <w:rFonts w:ascii="Arial" w:eastAsia="Arial" w:hAnsi="Arial" w:cs="Arial"/>
          <w:color w:val="000000"/>
          <w:sz w:val="22"/>
          <w:szCs w:val="22"/>
        </w:rPr>
        <w:t>2.1.1.2.1.10. del Decreto 1081 de 2015– consagra la obligación que tienen las entidades estatales de publicar en el SECOP el Plan Anual de Adquisiciones</w:t>
      </w:r>
      <w:r>
        <w:rPr>
          <w:rFonts w:ascii="Arial" w:eastAsia="Arial" w:hAnsi="Arial" w:cs="Arial"/>
          <w:color w:val="000000"/>
          <w:sz w:val="22"/>
          <w:szCs w:val="22"/>
          <w:vertAlign w:val="superscript"/>
        </w:rPr>
        <w:footnoteReference w:id="19"/>
      </w:r>
      <w:r>
        <w:rPr>
          <w:rFonts w:ascii="Arial" w:eastAsia="Arial" w:hAnsi="Arial" w:cs="Arial"/>
          <w:color w:val="000000"/>
          <w:sz w:val="22"/>
          <w:szCs w:val="22"/>
        </w:rPr>
        <w:t>.</w:t>
      </w:r>
    </w:p>
    <w:p w14:paraId="1DEA0746" w14:textId="77777777" w:rsidR="00501B0C" w:rsidRPr="009D2FA3" w:rsidRDefault="00557D14" w:rsidP="009D2FA3">
      <w:pPr>
        <w:spacing w:before="120" w:after="120"/>
        <w:ind w:firstLine="709"/>
      </w:pPr>
      <w:r>
        <w:rPr>
          <w:rFonts w:ascii="Arial" w:eastAsia="Arial" w:hAnsi="Arial" w:cs="Arial"/>
          <w:color w:val="000000"/>
          <w:sz w:val="22"/>
          <w:szCs w:val="22"/>
        </w:rPr>
        <w:t xml:space="preserve">De conformidad con lo anterior, el Decreto 103 de 2015 –compilado en los artículos 2.1.1.1.1. al 2.1.1.6.1. del Decreto 1081 de 2015– preceptúa que los documentos que deben publicar las entidades estatales, entre estas las empresas industriales y comerciales del Estado que actúan en competencia o en mercados regulados, las sociedades de economía mixta que se encuentren en la misma condición o que tenga capital privado igual o superior al 50% de todo el capital social, las empresas de servicios públicos domiciliarios, las universidades públicas, y en general todas las entidades estatales con régimen especial de contratación, son: i) las autorizaciones, requerimientos, aprobaciones o informes del supervisor o del interventor, que prueben la ejecución del contrato, ii) los procedimientos, lineamientos y políticas en materia de adquisición que corresponden a los  documentos que </w:t>
      </w:r>
      <w:r>
        <w:rPr>
          <w:rFonts w:ascii="Arial" w:eastAsia="Arial" w:hAnsi="Arial" w:cs="Arial"/>
          <w:color w:val="000000"/>
          <w:sz w:val="22"/>
          <w:szCs w:val="22"/>
        </w:rPr>
        <w:lastRenderedPageBreak/>
        <w:t>los conforman, previstos en el manual de contratación de la entidad, y finalmente, iii) el plan anual de adquisiciones.</w:t>
      </w:r>
    </w:p>
    <w:p w14:paraId="3625DD2D" w14:textId="77777777" w:rsidR="00501B0C" w:rsidRPr="009D2FA3" w:rsidRDefault="00557D14" w:rsidP="009D2FA3">
      <w:pPr>
        <w:spacing w:before="120" w:after="120"/>
        <w:ind w:firstLine="709"/>
      </w:pPr>
      <w:r>
        <w:rPr>
          <w:rFonts w:ascii="Arial" w:eastAsia="Arial" w:hAnsi="Arial" w:cs="Arial"/>
          <w:color w:val="000000"/>
          <w:sz w:val="22"/>
          <w:szCs w:val="22"/>
        </w:rPr>
        <w:t>En relación con el segundo grupo de documentos, debido a que estas entidades están sometidas al derecho privado y, por lo tanto, no celebran sus procesos de contratación mediante las modalidades previstas en la Ley 80 de 1993, cada una definirá en su manual el procedimiento para contratar sus bienes y servicios. En este sentido, la entidad lo hará ya sea por medio de un procedimiento público, mediante el cual se realice una convocatoria y una evaluación para seleccionar la oferta más favorable, o a través de una contratación directa, cuando no es necesario efectuar un proceso competitivo. En estos casos, el manual definirá las etapas y los documentos que forman parte del procedimiento que realicen, y se publicarán en la plataforma del SECOP para cada procedimiento de contratación que se adelante, incluido el acto de adjudicación –o de selección de la oferta en la policitación regulada en el artículo 860 del Código de Comercio–, por expresa disposición del literal g) del artículo 11 de la Ley 1712 de 2014.</w:t>
      </w:r>
    </w:p>
    <w:p w14:paraId="65A2CB88" w14:textId="77777777" w:rsidR="00501B0C" w:rsidRDefault="00557D14">
      <w:pPr>
        <w:spacing w:before="120"/>
        <w:ind w:firstLine="709"/>
        <w:rPr>
          <w:rFonts w:ascii="Arial" w:eastAsia="Arial" w:hAnsi="Arial" w:cs="Arial"/>
          <w:color w:val="000000"/>
          <w:sz w:val="22"/>
          <w:szCs w:val="22"/>
        </w:rPr>
      </w:pPr>
      <w:r>
        <w:rPr>
          <w:rFonts w:ascii="Arial" w:eastAsia="Arial" w:hAnsi="Arial" w:cs="Arial"/>
          <w:color w:val="000000"/>
          <w:sz w:val="22"/>
          <w:szCs w:val="22"/>
        </w:rPr>
        <w:t>Por lo tanto, en estos casos aplica la Ley 1712 de 2014 y el Decreto 103 de 2015, no el Decreto 1082 de 2015, porque esta última norma rige a las entidades sometidas al Estatuto General de Contratación de la Administración Pública, y por lo tanto no aplica a las entidades exceptuadas de dicho Estatuto que, por regla general, se rigen por el derecho privado. Por su parte, la Ley 1712 de 2014 y el Decreto reglamentario 103 de 2015 –compilado en los artículos 2.1.1.1.1. al 2.1.1.6.1. del Decreto 1081 de 2015– le aplican a cualquier entidad pública, incluyendo las pertenecientes a todas las ramas del poder público, en todos los niveles de la estructura estatal, central o descentralizada por servicios o territorialmente, en los órdenes nacional, departamental, municipal y distrital.</w:t>
      </w:r>
    </w:p>
    <w:p w14:paraId="3167057C" w14:textId="77777777" w:rsidR="00501B0C" w:rsidRDefault="00557D14">
      <w:pPr>
        <w:rPr>
          <w:rFonts w:ascii="Arial" w:eastAsia="Arial" w:hAnsi="Arial" w:cs="Arial"/>
          <w:b/>
          <w:color w:val="1A1A1A"/>
          <w:sz w:val="22"/>
          <w:szCs w:val="22"/>
        </w:rPr>
      </w:pPr>
      <w:r>
        <w:rPr>
          <w:rFonts w:ascii="Arial" w:eastAsia="Arial" w:hAnsi="Arial" w:cs="Arial"/>
          <w:b/>
          <w:color w:val="1A1A1A"/>
          <w:sz w:val="22"/>
          <w:szCs w:val="22"/>
        </w:rPr>
        <w:t xml:space="preserve">2.3. Régimen  de las empresas de servicios públicos domiciliarios y publicidad de la información contractual en el SECOP  </w:t>
      </w:r>
    </w:p>
    <w:p w14:paraId="584A4129" w14:textId="77777777" w:rsidR="00501B0C" w:rsidRDefault="00557D14">
      <w:pPr>
        <w:spacing w:after="120"/>
        <w:rPr>
          <w:rFonts w:ascii="Arial" w:eastAsia="Arial" w:hAnsi="Arial" w:cs="Arial"/>
          <w:color w:val="1A1A1A"/>
          <w:sz w:val="22"/>
          <w:szCs w:val="22"/>
        </w:rPr>
      </w:pPr>
      <w:r>
        <w:rPr>
          <w:rFonts w:ascii="Arial" w:eastAsia="Arial" w:hAnsi="Arial" w:cs="Arial"/>
          <w:color w:val="1A1A1A"/>
          <w:sz w:val="22"/>
          <w:szCs w:val="22"/>
        </w:rPr>
        <w:t>El artículo 365 de la Constitución Política establece que los servicios públicos domiciliarios «podrán ser prestados por el Estado, directa o indirectamente, por comunidades organizadas o por particulares», pero que «[e]n todo caso, el Estado mantendrá la regulación, el control y la vigilancia de dichos servicios». En desarrollo de esta habilitación superior, el Congreso de la República dispuso, en el artículo 15 de la Ley 142 de 1994, que pueden actuar como operadores de servicios públicos domiciliarios: i) «Las empresas de servicios públicos» –oficiales, mixtas y privadas–, ii) «Las personas naturales o jurídicas que produzcan para ellas mismas, o como consecuencia o complemento de su actividad principal, los bienes y servicios propios del objeto de las empresas de servicios públicos, iii) «Los municipios cuando asuman en forma directa, a través de su administración central, la prestación de los servicios públicos, conforme a lo dispuesto en esta Ley», y iv) «Las organizaciones autorizadas conforme a esta Ley para prestar servicios públicos en municipios menores en zonas rurales y en áreas o zonas urbanas específicas».</w:t>
      </w:r>
    </w:p>
    <w:p w14:paraId="33B296F0" w14:textId="77777777" w:rsidR="00501B0C" w:rsidRDefault="00557D14">
      <w:pPr>
        <w:ind w:firstLine="709"/>
        <w:rPr>
          <w:rFonts w:ascii="Arial" w:eastAsia="Arial" w:hAnsi="Arial" w:cs="Arial"/>
          <w:color w:val="1A1A1A"/>
          <w:sz w:val="22"/>
          <w:szCs w:val="22"/>
        </w:rPr>
      </w:pPr>
      <w:r>
        <w:rPr>
          <w:rFonts w:ascii="Arial" w:eastAsia="Arial" w:hAnsi="Arial" w:cs="Arial"/>
          <w:color w:val="1A1A1A"/>
          <w:sz w:val="22"/>
          <w:szCs w:val="22"/>
        </w:rPr>
        <w:lastRenderedPageBreak/>
        <w:t xml:space="preserve">Por su parte, el artículo 14 de la Ley 142 de 1994 contiene las definiciones para la correcta aplicación e interpretación del régimen de servicios públicos domiciliarios. Esta norma define las empresas de servicios públicos oficial, la mixta y la privada, en los siguientes términos: </w:t>
      </w:r>
    </w:p>
    <w:p w14:paraId="6555553E" w14:textId="77777777" w:rsidR="00501B0C" w:rsidRDefault="00557D14">
      <w:pPr>
        <w:pBdr>
          <w:top w:val="nil"/>
          <w:left w:val="nil"/>
          <w:bottom w:val="nil"/>
          <w:right w:val="nil"/>
          <w:between w:val="nil"/>
        </w:pBdr>
        <w:spacing w:after="0" w:line="240" w:lineRule="auto"/>
        <w:ind w:left="709" w:right="474"/>
        <w:rPr>
          <w:rFonts w:ascii="Arial" w:eastAsia="Arial" w:hAnsi="Arial" w:cs="Arial"/>
          <w:color w:val="1A1A1A"/>
          <w:sz w:val="21"/>
          <w:szCs w:val="21"/>
        </w:rPr>
      </w:pPr>
      <w:r>
        <w:rPr>
          <w:rFonts w:ascii="Arial" w:eastAsia="Arial" w:hAnsi="Arial" w:cs="Arial"/>
          <w:color w:val="1A1A1A"/>
          <w:sz w:val="21"/>
          <w:szCs w:val="21"/>
        </w:rPr>
        <w:t>14.5. Empresa de servicios públicos oficial. Es aquella en cuyo capital la Nación, las entidades territoriales, o las entidades descentralizadas de aquella o estas tienen el 100% de los aportes.</w:t>
      </w:r>
    </w:p>
    <w:p w14:paraId="15B4267C" w14:textId="77777777" w:rsidR="00501B0C" w:rsidRDefault="00557D14">
      <w:pPr>
        <w:pBdr>
          <w:top w:val="nil"/>
          <w:left w:val="nil"/>
          <w:bottom w:val="nil"/>
          <w:right w:val="nil"/>
          <w:between w:val="nil"/>
        </w:pBdr>
        <w:spacing w:before="120" w:after="120" w:line="240" w:lineRule="auto"/>
        <w:ind w:left="709" w:right="474"/>
        <w:rPr>
          <w:rFonts w:ascii="Arial" w:eastAsia="Arial" w:hAnsi="Arial" w:cs="Arial"/>
          <w:color w:val="1A1A1A"/>
          <w:sz w:val="21"/>
          <w:szCs w:val="21"/>
        </w:rPr>
      </w:pPr>
      <w:r>
        <w:rPr>
          <w:rFonts w:ascii="Arial" w:eastAsia="Arial" w:hAnsi="Arial" w:cs="Arial"/>
          <w:color w:val="1A1A1A"/>
          <w:sz w:val="21"/>
          <w:szCs w:val="21"/>
        </w:rPr>
        <w:t>14.6. Empresa de servicios públicos mixta. Es aquella en cuyo capital la Nación, las entidades territoriales, o las entidades descentralizadas de aquella o éstas tienen aportes iguales o superiores al 50%. </w:t>
      </w:r>
    </w:p>
    <w:p w14:paraId="3B35194C" w14:textId="77777777" w:rsidR="00501B0C" w:rsidRDefault="00557D14">
      <w:pPr>
        <w:pBdr>
          <w:top w:val="nil"/>
          <w:left w:val="nil"/>
          <w:bottom w:val="nil"/>
          <w:right w:val="nil"/>
          <w:between w:val="nil"/>
        </w:pBdr>
        <w:spacing w:before="120" w:after="0" w:line="240" w:lineRule="auto"/>
        <w:ind w:left="709" w:right="474"/>
        <w:rPr>
          <w:rFonts w:ascii="Arial" w:eastAsia="Arial" w:hAnsi="Arial" w:cs="Arial"/>
          <w:color w:val="1A1A1A"/>
          <w:sz w:val="21"/>
          <w:szCs w:val="21"/>
        </w:rPr>
      </w:pPr>
      <w:r>
        <w:rPr>
          <w:rFonts w:ascii="Arial" w:eastAsia="Arial" w:hAnsi="Arial" w:cs="Arial"/>
          <w:color w:val="1A1A1A"/>
          <w:sz w:val="21"/>
          <w:szCs w:val="21"/>
        </w:rPr>
        <w:t>14.7. Empresa de servicios públicos privada. Es aquella cuyo capital pertenece mayoritariamente a particulares, o a entidades surgidas de convenios internacionales que deseen someterse íntegramente para estos efectos a las reglas a las que se someten los particulares. </w:t>
      </w:r>
    </w:p>
    <w:p w14:paraId="7F183F90" w14:textId="77777777" w:rsidR="00501B0C" w:rsidRDefault="00501B0C">
      <w:pPr>
        <w:pBdr>
          <w:top w:val="nil"/>
          <w:left w:val="nil"/>
          <w:bottom w:val="nil"/>
          <w:right w:val="nil"/>
          <w:between w:val="nil"/>
        </w:pBdr>
        <w:spacing w:after="0" w:line="240" w:lineRule="auto"/>
        <w:rPr>
          <w:rFonts w:ascii="Arial" w:eastAsia="Arial" w:hAnsi="Arial" w:cs="Arial"/>
          <w:color w:val="1A1A1A"/>
          <w:sz w:val="22"/>
          <w:szCs w:val="22"/>
        </w:rPr>
      </w:pPr>
    </w:p>
    <w:p w14:paraId="604B780A" w14:textId="77777777" w:rsidR="00501B0C" w:rsidRDefault="00557D14">
      <w:pPr>
        <w:pBdr>
          <w:top w:val="nil"/>
          <w:left w:val="nil"/>
          <w:bottom w:val="nil"/>
          <w:right w:val="nil"/>
          <w:between w:val="nil"/>
        </w:pBdr>
        <w:spacing w:after="120"/>
        <w:ind w:firstLine="708"/>
        <w:rPr>
          <w:rFonts w:ascii="Arial" w:eastAsia="Arial" w:hAnsi="Arial" w:cs="Arial"/>
          <w:color w:val="1A1A1A"/>
          <w:sz w:val="22"/>
          <w:szCs w:val="22"/>
        </w:rPr>
      </w:pPr>
      <w:r>
        <w:rPr>
          <w:rFonts w:ascii="Arial" w:eastAsia="Arial" w:hAnsi="Arial" w:cs="Arial"/>
          <w:color w:val="1A1A1A"/>
          <w:sz w:val="22"/>
          <w:szCs w:val="22"/>
        </w:rPr>
        <w:t xml:space="preserve">A su turno, el artículo 17 de la ley citada señala que «las empresas de servicios públicos son sociedades por acciones cuyo objeto es la prestación de los servicios públicos de que trata esta ley». </w:t>
      </w:r>
    </w:p>
    <w:p w14:paraId="4A48F3DF" w14:textId="77777777" w:rsidR="00501B0C" w:rsidRDefault="00557D14">
      <w:pPr>
        <w:pBdr>
          <w:top w:val="nil"/>
          <w:left w:val="nil"/>
          <w:bottom w:val="nil"/>
          <w:right w:val="nil"/>
          <w:between w:val="nil"/>
        </w:pBdr>
        <w:spacing w:before="120" w:after="120"/>
        <w:ind w:firstLine="708"/>
        <w:rPr>
          <w:rFonts w:ascii="Arial" w:eastAsia="Arial" w:hAnsi="Arial" w:cs="Arial"/>
          <w:color w:val="1A1A1A"/>
          <w:sz w:val="22"/>
          <w:szCs w:val="22"/>
        </w:rPr>
      </w:pPr>
      <w:r>
        <w:rPr>
          <w:rFonts w:ascii="Arial" w:eastAsia="Arial" w:hAnsi="Arial" w:cs="Arial"/>
          <w:color w:val="1A1A1A"/>
          <w:sz w:val="22"/>
          <w:szCs w:val="22"/>
        </w:rPr>
        <w:t>De otro lado, el artículo 38 de la Ley 489 de 1998 determina la integración de la Rama Ejecutiva del Poder Público en el orden nacional, y en su literal d) señala que las empresas sociales del Estado y las empresas oficiales de servicios públicos domiciliarios pertenecen a las entidades de la Rama Ejecutiva del sector descentralizado por servicios. El artículo 68 de esta ley, al listar las entidades descentralizadas del orden nacional, se refirió únicamente a las empresas oficiales de servicios públicos, esto es, aquellas en las que la participación del Estado es del 100%</w:t>
      </w:r>
      <w:r>
        <w:rPr>
          <w:rFonts w:ascii="Arial" w:eastAsia="Arial" w:hAnsi="Arial" w:cs="Arial"/>
          <w:color w:val="1A1A1A"/>
          <w:sz w:val="22"/>
          <w:szCs w:val="22"/>
          <w:vertAlign w:val="superscript"/>
        </w:rPr>
        <w:footnoteReference w:id="20"/>
      </w:r>
      <w:r>
        <w:rPr>
          <w:rFonts w:ascii="Arial" w:eastAsia="Arial" w:hAnsi="Arial" w:cs="Arial"/>
          <w:color w:val="1A1A1A"/>
          <w:sz w:val="22"/>
          <w:szCs w:val="22"/>
        </w:rPr>
        <w:t xml:space="preserve">. </w:t>
      </w:r>
    </w:p>
    <w:p w14:paraId="6BC07C7D" w14:textId="77777777" w:rsidR="00501B0C" w:rsidRDefault="00557D14">
      <w:pPr>
        <w:pBdr>
          <w:top w:val="nil"/>
          <w:left w:val="nil"/>
          <w:bottom w:val="nil"/>
          <w:right w:val="nil"/>
          <w:between w:val="nil"/>
        </w:pBdr>
        <w:spacing w:before="120" w:after="120"/>
        <w:ind w:firstLine="708"/>
        <w:rPr>
          <w:rFonts w:ascii="Arial" w:eastAsia="Arial" w:hAnsi="Arial" w:cs="Arial"/>
          <w:color w:val="1A1A1A"/>
          <w:sz w:val="22"/>
          <w:szCs w:val="22"/>
        </w:rPr>
      </w:pPr>
      <w:r>
        <w:rPr>
          <w:rFonts w:ascii="Arial" w:eastAsia="Arial" w:hAnsi="Arial" w:cs="Arial"/>
          <w:color w:val="1A1A1A"/>
          <w:sz w:val="22"/>
          <w:szCs w:val="22"/>
        </w:rPr>
        <w:t xml:space="preserve">Lo anterior llevó a pensar que el legislador excluyó de la Rama Ejecutiva a las empresas de servicios públicos mixtas –capital público superior al 50%– y las privadas –capital público inferior al 50%–. Sin embargo, la Corte Constitucional determinó que tanto las empresas de servicios públicos mixtas como las privadas hacían parte de la Rama Ejecutiva, toda vez que el literal g) del artículo 38 de la Ley 489 de 1998 aplica a «g) Las demás entidades administrativas nacionales con personería jurídica que cree, organice o autorice la ley para que formen parte de la Rama Ejecutiva del Poder Público». </w:t>
      </w:r>
    </w:p>
    <w:p w14:paraId="5274B661" w14:textId="77777777" w:rsidR="00501B0C" w:rsidRDefault="00557D14">
      <w:pPr>
        <w:pBdr>
          <w:top w:val="nil"/>
          <w:left w:val="nil"/>
          <w:bottom w:val="nil"/>
          <w:right w:val="nil"/>
          <w:between w:val="nil"/>
        </w:pBdr>
        <w:spacing w:before="120" w:after="120"/>
        <w:ind w:firstLine="709"/>
        <w:rPr>
          <w:rFonts w:ascii="Arial" w:eastAsia="Arial" w:hAnsi="Arial" w:cs="Arial"/>
          <w:color w:val="1A1A1A"/>
          <w:sz w:val="21"/>
          <w:szCs w:val="21"/>
        </w:rPr>
      </w:pPr>
      <w:r>
        <w:rPr>
          <w:rFonts w:ascii="Arial" w:eastAsia="Arial" w:hAnsi="Arial" w:cs="Arial"/>
          <w:color w:val="1A1A1A"/>
          <w:sz w:val="22"/>
          <w:szCs w:val="22"/>
        </w:rPr>
        <w:lastRenderedPageBreak/>
        <w:t>La Corte Constitucional, además de señalar la pertenencia a la Rama Ejecutiva de las empresas de servicios públicos mixtas y privadas, también sostuvo que se trataba de entidades descentralizadas por servicios, en los términos del artículo 68 de la Ley 489 de 1998</w:t>
      </w:r>
      <w:r>
        <w:rPr>
          <w:rFonts w:ascii="Arial" w:eastAsia="Arial" w:hAnsi="Arial" w:cs="Arial"/>
          <w:color w:val="1A1A1A"/>
          <w:sz w:val="22"/>
          <w:szCs w:val="22"/>
          <w:vertAlign w:val="superscript"/>
        </w:rPr>
        <w:footnoteReference w:id="21"/>
      </w:r>
      <w:r>
        <w:rPr>
          <w:rFonts w:ascii="Arial" w:eastAsia="Arial" w:hAnsi="Arial" w:cs="Arial"/>
          <w:color w:val="1A1A1A"/>
          <w:sz w:val="22"/>
          <w:szCs w:val="22"/>
        </w:rPr>
        <w:t>. En esta providencia también aclaró que las empresas prestadoras de servicios públicos, de carácter mixto o privado, no son empresas de economía mixta. La anterior conclusión fue fundamentada sobre la idea del carácter o naturaleza especial que la Constitución otorgó a las empresas de servicios públicos</w:t>
      </w:r>
      <w:r>
        <w:rPr>
          <w:rFonts w:ascii="Arial" w:eastAsia="Arial" w:hAnsi="Arial" w:cs="Arial"/>
          <w:color w:val="1A1A1A"/>
          <w:sz w:val="21"/>
          <w:szCs w:val="21"/>
          <w:vertAlign w:val="superscript"/>
        </w:rPr>
        <w:footnoteReference w:id="22"/>
      </w:r>
      <w:r>
        <w:rPr>
          <w:rFonts w:ascii="Arial" w:eastAsia="Arial" w:hAnsi="Arial" w:cs="Arial"/>
          <w:color w:val="1A1A1A"/>
          <w:sz w:val="21"/>
          <w:szCs w:val="21"/>
        </w:rPr>
        <w:t>.</w:t>
      </w:r>
    </w:p>
    <w:p w14:paraId="62858186" w14:textId="77777777" w:rsidR="00501B0C" w:rsidRDefault="00557D14">
      <w:pPr>
        <w:spacing w:after="120"/>
        <w:ind w:firstLine="708"/>
        <w:rPr>
          <w:rFonts w:ascii="Arial" w:eastAsia="Arial" w:hAnsi="Arial" w:cs="Arial"/>
          <w:color w:val="1A1A1A"/>
          <w:sz w:val="22"/>
          <w:szCs w:val="22"/>
        </w:rPr>
      </w:pPr>
      <w:r>
        <w:rPr>
          <w:rFonts w:ascii="Arial" w:eastAsia="Arial" w:hAnsi="Arial" w:cs="Arial"/>
          <w:color w:val="1A1A1A"/>
          <w:sz w:val="22"/>
          <w:szCs w:val="22"/>
        </w:rPr>
        <w:t xml:space="preserve">Así las cosas, las empresas de servicios públicos tienen una naturaleza jurídica especial que viene dada directamente por el artículo 356 de la Constitución Política, y el hecho de que su composición accionaria pueda estar compartida por recursos públicos y privados no las convierte en sociedades de economía mixta, pues las empresas en cuestión tienen su clasificación propia dependiendo de la composición de su capital accionario: empresas de servicios públicos oficiales, mixtas y privadas. Ahora, sin importar su clasificación, todas hacen parte de la Rama Ejecutiva del sector descentralizado por servicios. </w:t>
      </w:r>
    </w:p>
    <w:p w14:paraId="36C6ED2A" w14:textId="41BA7D60" w:rsidR="00501B0C" w:rsidRDefault="00557D14">
      <w:pPr>
        <w:spacing w:after="120"/>
        <w:ind w:firstLine="708"/>
        <w:rPr>
          <w:rFonts w:ascii="Arial" w:eastAsia="Arial" w:hAnsi="Arial" w:cs="Arial"/>
          <w:color w:val="1A1A1A"/>
          <w:sz w:val="22"/>
          <w:szCs w:val="22"/>
        </w:rPr>
      </w:pPr>
      <w:r>
        <w:rPr>
          <w:rFonts w:ascii="Arial" w:eastAsia="Arial" w:hAnsi="Arial" w:cs="Arial"/>
          <w:color w:val="1A1A1A"/>
          <w:sz w:val="22"/>
          <w:szCs w:val="22"/>
        </w:rPr>
        <w:t xml:space="preserve">En cuanto al régimen jurídico de contratación de las empresas de servicios públicos, el inciso primero del artículo 31 de la Ley 142 de 1994 señala que «[l]os contratos que celebren las entidades estatales que prestan los servicios públicos a los que se refiere esta ley no estarán sujetos a las disposiciones del Estatuto General de Contratación de la Administración Pública, salvo en lo que la presente ley disponga otra cosa». De esta manera, sin perjuicio de lo dispuesto en el artículo 13 de la Ley 1150 de 2007 sobre la aplicación de los principios de la función administrativa, la gestión fiscal, las inhabilidades e incompatibilidades, el régimen jurídico aplicable a los contratos que celebren las empresas de servicios públicos, incluso para las oficiales y las mixtas, es el contenido en el derecho civil y comercial, esto es, por regla general no están sometidas a la Ley 80 de </w:t>
      </w:r>
      <w:r>
        <w:rPr>
          <w:rFonts w:ascii="Arial" w:eastAsia="Arial" w:hAnsi="Arial" w:cs="Arial"/>
          <w:color w:val="1A1A1A"/>
          <w:sz w:val="22"/>
          <w:szCs w:val="22"/>
        </w:rPr>
        <w:lastRenderedPageBreak/>
        <w:t>1993</w:t>
      </w:r>
      <w:r>
        <w:rPr>
          <w:rFonts w:ascii="Arial" w:eastAsia="Arial" w:hAnsi="Arial" w:cs="Arial"/>
          <w:color w:val="1A1A1A"/>
          <w:sz w:val="22"/>
          <w:szCs w:val="22"/>
          <w:vertAlign w:val="superscript"/>
        </w:rPr>
        <w:footnoteReference w:id="23"/>
      </w:r>
      <w:r>
        <w:rPr>
          <w:rFonts w:ascii="Arial" w:eastAsia="Arial" w:hAnsi="Arial" w:cs="Arial"/>
          <w:color w:val="1A1A1A"/>
          <w:sz w:val="22"/>
          <w:szCs w:val="22"/>
        </w:rPr>
        <w:t xml:space="preserve">. Sin embargo, como se analizó </w:t>
      </w:r>
      <w:r>
        <w:rPr>
          <w:rFonts w:ascii="Arial" w:eastAsia="Arial" w:hAnsi="Arial" w:cs="Arial"/>
          <w:i/>
          <w:color w:val="1A1A1A"/>
          <w:sz w:val="22"/>
          <w:szCs w:val="22"/>
        </w:rPr>
        <w:t>ut supra</w:t>
      </w:r>
      <w:r>
        <w:rPr>
          <w:rFonts w:ascii="Arial" w:eastAsia="Arial" w:hAnsi="Arial" w:cs="Arial"/>
          <w:color w:val="1A1A1A"/>
          <w:sz w:val="22"/>
          <w:szCs w:val="22"/>
        </w:rPr>
        <w:t xml:space="preserve">, eso no las exime del deber de publicar </w:t>
      </w:r>
      <w:r>
        <w:rPr>
          <w:rFonts w:ascii="Arial" w:eastAsia="Arial" w:hAnsi="Arial" w:cs="Arial"/>
          <w:color w:val="000000"/>
          <w:sz w:val="22"/>
          <w:szCs w:val="22"/>
        </w:rPr>
        <w:t>la información oficial de la contratación que realicen con recursos públicos</w:t>
      </w:r>
      <w:r>
        <w:rPr>
          <w:rFonts w:ascii="Arial" w:eastAsia="Arial" w:hAnsi="Arial" w:cs="Arial"/>
          <w:color w:val="1A1A1A"/>
          <w:sz w:val="22"/>
          <w:szCs w:val="22"/>
        </w:rPr>
        <w:t xml:space="preserve"> . </w:t>
      </w:r>
    </w:p>
    <w:p w14:paraId="088524ED" w14:textId="77777777" w:rsidR="00501B0C" w:rsidRDefault="00557D14">
      <w:pPr>
        <w:spacing w:after="120"/>
        <w:ind w:firstLine="708"/>
        <w:rPr>
          <w:rFonts w:ascii="Arial" w:eastAsia="Arial" w:hAnsi="Arial" w:cs="Arial"/>
          <w:color w:val="000000"/>
          <w:sz w:val="22"/>
          <w:szCs w:val="22"/>
        </w:rPr>
      </w:pPr>
      <w:bookmarkStart w:id="6" w:name="_2et92p0" w:colFirst="0" w:colLast="0"/>
      <w:bookmarkEnd w:id="6"/>
      <w:r>
        <w:rPr>
          <w:rFonts w:ascii="Arial" w:eastAsia="Arial" w:hAnsi="Arial" w:cs="Arial"/>
          <w:color w:val="000000"/>
          <w:sz w:val="22"/>
          <w:szCs w:val="22"/>
        </w:rPr>
        <w:t>Ahora bien, la Agencia Nacional de Contratación Pública – Colombia Compra Eficiente tiene como función administrar el SECOP</w:t>
      </w:r>
      <w:r>
        <w:rPr>
          <w:rFonts w:ascii="Arial" w:eastAsia="Arial" w:hAnsi="Arial" w:cs="Arial"/>
          <w:color w:val="000000"/>
          <w:sz w:val="22"/>
          <w:szCs w:val="22"/>
          <w:vertAlign w:val="superscript"/>
        </w:rPr>
        <w:footnoteReference w:id="24"/>
      </w:r>
      <w:r>
        <w:rPr>
          <w:rFonts w:ascii="Arial" w:eastAsia="Arial" w:hAnsi="Arial" w:cs="Arial"/>
          <w:color w:val="000000"/>
          <w:sz w:val="22"/>
          <w:szCs w:val="22"/>
        </w:rPr>
        <w:t>, por lo cual desarrolló la primera versión de la plataforma, denominada SECOP I, que funciona como medio de publicidad y no transaccional, lo que significa que, en la práctica, el procedimiento contractual ocurre fuera de la plataforma y del mismo la entidad lleva un expediente físico, cuyos documentos se convierten en electrónicos para ser cargados, por quien tenga la función dentro de la entidad, de acuerdo con su organización interna y en cumplimiento de un deber legal.</w:t>
      </w:r>
    </w:p>
    <w:p w14:paraId="76E64234" w14:textId="77777777" w:rsidR="00501B0C" w:rsidRDefault="00557D14">
      <w:pPr>
        <w:spacing w:before="120" w:after="120"/>
        <w:ind w:firstLine="708"/>
        <w:rPr>
          <w:rFonts w:ascii="Arial" w:eastAsia="Arial" w:hAnsi="Arial" w:cs="Arial"/>
          <w:color w:val="000000"/>
          <w:sz w:val="22"/>
          <w:szCs w:val="22"/>
        </w:rPr>
      </w:pPr>
      <w:r>
        <w:rPr>
          <w:rFonts w:ascii="Arial" w:eastAsia="Arial" w:hAnsi="Arial" w:cs="Arial"/>
          <w:color w:val="000000"/>
          <w:sz w:val="22"/>
          <w:szCs w:val="22"/>
        </w:rPr>
        <w:t>El SECOP II es la segunda versión de la plataforma y su principal característica es que es transaccional, esto es, permite gestionar en línea todos los procedimientos de contratación, con cuentas y usuarios asociados a éstas, para las entidades y los proveedores, así como también el acceso para consulta por parte de cualquier interesado en hacer seguimiento a la contratación pública. Desde sus cuentas, las entidades crean, evalúan y adjudican procedimientos de contratación, y gestionan la fase de ejecución del contrato. Los proveedores, por su parte, pueden hacer comentarios a los documentos del procedimiento, presentar ofertas y, en general, seguir el procedimiento de selección en línea.</w:t>
      </w:r>
    </w:p>
    <w:p w14:paraId="7A86C83D" w14:textId="77777777" w:rsidR="00501B0C" w:rsidRPr="009D2FA3" w:rsidRDefault="00557D14" w:rsidP="009D2FA3">
      <w:pPr>
        <w:spacing w:after="120"/>
        <w:ind w:firstLine="709"/>
      </w:pPr>
      <w:r>
        <w:rPr>
          <w:rFonts w:ascii="Arial" w:eastAsia="Arial" w:hAnsi="Arial" w:cs="Arial"/>
          <w:color w:val="000000"/>
          <w:sz w:val="22"/>
          <w:szCs w:val="22"/>
        </w:rPr>
        <w:t>Es necesario aclarar que, dado que el procedimiento contractual se desarrolla en línea y dentro de la plataforma, paulatinamente se va conformando un expediente electrónico, lo cual implica una diferencia con el SECOP I donde el procedimiento es físico, esto es, con documentos escritos que se publican para cumplir las obligaciones de las entidades antes señaladas. Al existir esa diferencia entre las dos versiones del SECOP, no es posible realizar en SECOP II actuaciones por escrito que son propias del SECOP I, sino que los documentos y actuaciones son electrónicas.</w:t>
      </w:r>
    </w:p>
    <w:p w14:paraId="1FBCB609" w14:textId="77777777" w:rsidR="00501B0C" w:rsidRDefault="00557D14">
      <w:pPr>
        <w:spacing w:before="120" w:after="120"/>
        <w:ind w:firstLine="708"/>
        <w:rPr>
          <w:rFonts w:ascii="Arial" w:eastAsia="Arial" w:hAnsi="Arial" w:cs="Arial"/>
          <w:color w:val="000000"/>
          <w:sz w:val="22"/>
          <w:szCs w:val="22"/>
        </w:rPr>
      </w:pPr>
      <w:r>
        <w:rPr>
          <w:rFonts w:ascii="Arial" w:eastAsia="Arial" w:hAnsi="Arial" w:cs="Arial"/>
          <w:color w:val="000000"/>
          <w:sz w:val="22"/>
          <w:szCs w:val="22"/>
        </w:rPr>
        <w:t xml:space="preserve">Colombia Compra Eficiente realizó el despliegue de SECOP II a nivel territorial en el 2018 y 2019, por lo cual se expidió la Circular Externa No. 1 de 2019 sobre la obligatoriedad del uso del SECOP II en el 2020, que dispone: «a partir del 1 de enero de </w:t>
      </w:r>
      <w:r>
        <w:rPr>
          <w:rFonts w:ascii="Arial" w:eastAsia="Arial" w:hAnsi="Arial" w:cs="Arial"/>
          <w:color w:val="000000"/>
          <w:sz w:val="22"/>
          <w:szCs w:val="22"/>
        </w:rPr>
        <w:lastRenderedPageBreak/>
        <w:t>2020, todos los procesos de contratación de las entidades relacionadas en el Anexo 1 de esta circular deberán gestionarse, exclusivamente, en el SECOP ll». Son las entidades públicas relacionadas en dicho anexo las obligadas al uso de la plataforma que se estudia.</w:t>
      </w:r>
    </w:p>
    <w:p w14:paraId="25A04413" w14:textId="77777777" w:rsidR="00501B0C" w:rsidRDefault="00557D14">
      <w:pPr>
        <w:spacing w:before="120" w:after="120"/>
        <w:ind w:firstLine="708"/>
        <w:rPr>
          <w:rFonts w:ascii="Arial" w:eastAsia="Arial" w:hAnsi="Arial" w:cs="Arial"/>
          <w:color w:val="000000"/>
          <w:sz w:val="22"/>
          <w:szCs w:val="22"/>
        </w:rPr>
      </w:pPr>
      <w:r>
        <w:rPr>
          <w:rFonts w:ascii="Arial" w:eastAsia="Arial" w:hAnsi="Arial" w:cs="Arial"/>
          <w:color w:val="000000"/>
          <w:sz w:val="22"/>
          <w:szCs w:val="22"/>
        </w:rPr>
        <w:t>Este plazo fue prorrogado por la Agencia Nacional de Contratación Pública – Colombia Compra Eficiente, mediante la Circular Externa No. 2 de 2019, a través de la cual se amplió «la entrada en vigencia de la obligatoriedad del SECOP ll. En consecuencia, las alcaldías capitales de departamento (Administración central) y los departamentos (Administración central) gestionarán todos sus procesos de contratación, exclusivamente en el SECOP ll, a partir del 1 de abril de 2020». Con todo, de acuerdo a lo que se dispuso en la Circular Externa No. 3 de 2020, existen dos grupos de entidades que podrán seguir gestionando sus procesos contractuales por medio de la plataforma SECOP I: por un lado, la Gobernación del Chocó, la Gobernación del Archipiélago de San Andrés, Providencia y Santa Catalina, la Alcaldía de Quibdó, la Gobernación del Cauca y la Alcaldía de Popayán y, por el otro, la Gobernación de Guainía, la Alcaldía de Inírida, la Gobernación del Amazonas, la Alcaldía de Leticia, la Gobernación del Vichada, la Alcaldía de Puerto Carreño, la Gobernación del Guaviare, la Alcaldía de San José del Guaviare, la Gobernación de Vaupés y la Alcaldía de Mitú.</w:t>
      </w:r>
    </w:p>
    <w:p w14:paraId="1060475A" w14:textId="77777777" w:rsidR="00501B0C" w:rsidRDefault="00557D14">
      <w:pPr>
        <w:spacing w:before="120" w:after="120"/>
        <w:ind w:firstLine="708"/>
        <w:rPr>
          <w:rFonts w:ascii="Arial" w:eastAsia="Arial" w:hAnsi="Arial" w:cs="Arial"/>
          <w:color w:val="000000"/>
          <w:sz w:val="22"/>
          <w:szCs w:val="22"/>
        </w:rPr>
      </w:pPr>
      <w:r>
        <w:rPr>
          <w:rFonts w:ascii="Arial" w:eastAsia="Arial" w:hAnsi="Arial" w:cs="Arial"/>
          <w:color w:val="000000"/>
          <w:sz w:val="22"/>
          <w:szCs w:val="22"/>
        </w:rPr>
        <w:t>Los primeros, porque no alcanzaron a ser capacitados en el uso de la plataforma SECOP II, pues los programas de formación a cargo de esta entidad se suspendieron por la emergencia en salud pública ocasionada por el Coronavirus - COVID 19. Los segundos, debido a que «las velocidades de carga son insuficientes para operar la plataforma en [sus] territorios», esto es, por problemas de capacidad técnica de las redes.</w:t>
      </w:r>
    </w:p>
    <w:p w14:paraId="589DEEE2" w14:textId="77777777" w:rsidR="00501B0C" w:rsidRDefault="00557D14">
      <w:pPr>
        <w:spacing w:before="120" w:after="120"/>
        <w:ind w:firstLine="708"/>
        <w:rPr>
          <w:rFonts w:ascii="Arial" w:eastAsia="Arial" w:hAnsi="Arial" w:cs="Arial"/>
          <w:color w:val="000000"/>
          <w:sz w:val="22"/>
          <w:szCs w:val="22"/>
        </w:rPr>
      </w:pPr>
      <w:r>
        <w:rPr>
          <w:rFonts w:ascii="Arial" w:eastAsia="Arial" w:hAnsi="Arial" w:cs="Arial"/>
          <w:color w:val="000000"/>
          <w:sz w:val="22"/>
          <w:szCs w:val="22"/>
        </w:rPr>
        <w:t xml:space="preserve">Finalmente, el pasado 10 de febrero de 2021 la Agencia expidió la Circular Externa No. 1 de 2021 por medio de la cual se determina la obligatoriedad del SECOP II para la vigencia del 2021 para las entidades estatales listadas en el Anexo No. 1 de esta circular. </w:t>
      </w:r>
    </w:p>
    <w:p w14:paraId="3DE22DDE" w14:textId="77777777" w:rsidR="00501B0C" w:rsidRDefault="00557D14">
      <w:pPr>
        <w:spacing w:before="120"/>
        <w:ind w:firstLine="708"/>
        <w:rPr>
          <w:rFonts w:ascii="Arial" w:eastAsia="Arial" w:hAnsi="Arial" w:cs="Arial"/>
          <w:color w:val="000000"/>
          <w:sz w:val="22"/>
          <w:szCs w:val="22"/>
        </w:rPr>
      </w:pPr>
      <w:bookmarkStart w:id="7" w:name="_tyjcwt" w:colFirst="0" w:colLast="0"/>
      <w:bookmarkEnd w:id="7"/>
      <w:r>
        <w:rPr>
          <w:rFonts w:ascii="Arial" w:eastAsia="Arial" w:hAnsi="Arial" w:cs="Arial"/>
          <w:color w:val="000000"/>
          <w:sz w:val="22"/>
          <w:szCs w:val="22"/>
        </w:rPr>
        <w:t>Así las cosas, con fundamento en las consideraciones expuestas en ese momento, el hecho de que todas las entidades públicas, sin importar su naturaleza jurídica o régimen de contratación, deban publicar los procesos contractuales en los que ejecutan recursos públicos, no se deriva que siempre tengan que hacerlo en el SECOP II, ya que al uso obligatorio de esta plataforma está vinculado a las entidades referidas por la Agencia en las Circulares Externas mencionadas. En efecto, en el concepto C-151 de 2020 se concluyó lo siguiente:</w:t>
      </w:r>
    </w:p>
    <w:p w14:paraId="2906685B" w14:textId="77777777" w:rsidR="00501B0C" w:rsidRPr="009D2FA3" w:rsidRDefault="00557D14" w:rsidP="009D2FA3">
      <w:pPr>
        <w:spacing w:line="240" w:lineRule="auto"/>
        <w:ind w:left="709" w:right="709"/>
      </w:pPr>
      <w:r>
        <w:rPr>
          <w:rFonts w:ascii="Arial" w:eastAsia="Arial" w:hAnsi="Arial" w:cs="Arial"/>
          <w:color w:val="000000"/>
          <w:sz w:val="21"/>
          <w:szCs w:val="21"/>
        </w:rPr>
        <w:t>Respecto a la publicación del SECOP I o en el SECOP II, la Subdirección de Gestión Contractual concluye que, a la fecha, las entidades descentralizadas del nivel municipal no están obligadas a publicar sus procesos de contratación en el SECOP II, conforme a la salvedad que sobre el particular establece el Anexo 1 de la Circular Externa No. 1 de 2019.  Sin embargo, esta exclusión no las releva de continuar publicando sus procesos de contratación en la plataforma de SECOP I.</w:t>
      </w:r>
      <w:r>
        <w:rPr>
          <w:rFonts w:ascii="Arial" w:eastAsia="Arial" w:hAnsi="Arial" w:cs="Arial"/>
          <w:color w:val="000000"/>
          <w:sz w:val="21"/>
          <w:szCs w:val="21"/>
        </w:rPr>
        <w:tab/>
      </w:r>
    </w:p>
    <w:p w14:paraId="75DE2234" w14:textId="77777777" w:rsidR="00501B0C" w:rsidRPr="009D2FA3" w:rsidRDefault="00557D14" w:rsidP="009D2FA3">
      <w:pPr>
        <w:spacing w:after="120"/>
        <w:ind w:firstLine="709"/>
      </w:pPr>
      <w:r>
        <w:rPr>
          <w:rFonts w:ascii="Arial" w:eastAsia="Arial" w:hAnsi="Arial" w:cs="Arial"/>
          <w:color w:val="000000"/>
          <w:sz w:val="22"/>
          <w:szCs w:val="22"/>
        </w:rPr>
        <w:lastRenderedPageBreak/>
        <w:t xml:space="preserve">Las entidades descentralizadas por servicios, por otro lado, también deben publicar su actividad contractual en el SECOP. Así lo concluyó Colombia Compra Eficiente en el concepto C-264 de 2020, en donde sostuvo que: «[e]l Instituto Social de Vivienda y Hábitat de Medellín, sin consideración al régimen sustantivo de contratación que le resulta aplicable, esto es, Estatuto General de Contratación de la Administración Pública o regímenes exceptuados, inclusive </w:t>
      </w:r>
      <w:r>
        <w:rPr>
          <w:rFonts w:ascii="Arial" w:eastAsia="Arial" w:hAnsi="Arial" w:cs="Arial"/>
          <w:i/>
          <w:color w:val="000000"/>
          <w:sz w:val="22"/>
          <w:szCs w:val="22"/>
        </w:rPr>
        <w:t>independiente de la tipología de los contratos y el régimen aplicable a los mismos</w:t>
      </w:r>
      <w:r>
        <w:rPr>
          <w:rFonts w:ascii="Arial" w:eastAsia="Arial" w:hAnsi="Arial" w:cs="Arial"/>
          <w:color w:val="000000"/>
          <w:sz w:val="22"/>
          <w:szCs w:val="22"/>
        </w:rPr>
        <w:t>, está en la obligación de publicar todos los documentos proferidos con ocasión de sus procesos de contratación» «cursivas propias».</w:t>
      </w:r>
    </w:p>
    <w:p w14:paraId="65D3191A" w14:textId="2A6895E8" w:rsidR="00501B0C" w:rsidRDefault="00557D14">
      <w:pPr>
        <w:spacing w:after="120"/>
        <w:rPr>
          <w:rFonts w:ascii="Arial" w:eastAsia="Arial" w:hAnsi="Arial" w:cs="Arial"/>
          <w:color w:val="000000"/>
          <w:sz w:val="22"/>
          <w:szCs w:val="22"/>
        </w:rPr>
      </w:pPr>
      <w:r>
        <w:rPr>
          <w:rFonts w:ascii="Arial" w:eastAsia="Arial" w:hAnsi="Arial" w:cs="Arial"/>
          <w:color w:val="000000"/>
          <w:sz w:val="22"/>
          <w:szCs w:val="22"/>
        </w:rPr>
        <w:tab/>
        <w:t>En suma, a la luz de los criterios desarrollados por la Agencia Nacional de Contratación Pública, el deber de publicar en el SECOP se fundamenta en una idea general, esto es, que se debe publicar la información oficial de la contratación que realicen con recursos públicos, con independencia de la naturaleza jurídica de la entidad contratante, de su régimen contractual, incluso, sin importar la tipología del contrato a celebrar. Igualmente, este deber debe hacerse efectivo en el SECOP I o en el SECOP II, dependiendo de cada caso.</w:t>
      </w:r>
    </w:p>
    <w:p w14:paraId="6E76F028" w14:textId="77777777" w:rsidR="00501B0C" w:rsidRDefault="00557D14">
      <w:pPr>
        <w:spacing w:after="120"/>
        <w:ind w:firstLine="708"/>
        <w:rPr>
          <w:rFonts w:ascii="Arial" w:eastAsia="Arial" w:hAnsi="Arial" w:cs="Arial"/>
          <w:color w:val="000000"/>
          <w:sz w:val="22"/>
          <w:szCs w:val="22"/>
        </w:rPr>
      </w:pPr>
      <w:bookmarkStart w:id="8" w:name="_3dy6vkm" w:colFirst="0" w:colLast="0"/>
      <w:bookmarkEnd w:id="8"/>
      <w:r>
        <w:rPr>
          <w:rFonts w:ascii="Arial" w:eastAsia="Arial" w:hAnsi="Arial" w:cs="Arial"/>
          <w:color w:val="000000"/>
          <w:sz w:val="22"/>
          <w:szCs w:val="22"/>
        </w:rPr>
        <w:t>Para el caso concreto, las empresas prestadoras de servicios públicos domiciliarios no se encuentran incluidas en el Anexo 1 de la Circular No. 1 de 2019, ni en el Anexo de la Circular No. 1 de 2021, razón por la cual no están obligados a utilizar la plataforma SECOP II para gestionar y publicar en línea sus procesos de contratación. Es decir que, los procesos de contratación deben seguir gestionándose a través de SECOP I, con excepción de los procesos de contratación derivados de la aplicación del Decreto 092 de 2017</w:t>
      </w:r>
      <w:r>
        <w:rPr>
          <w:rFonts w:ascii="Arial" w:eastAsia="Arial" w:hAnsi="Arial" w:cs="Arial"/>
          <w:color w:val="000000"/>
          <w:sz w:val="22"/>
          <w:szCs w:val="22"/>
          <w:vertAlign w:val="superscript"/>
        </w:rPr>
        <w:footnoteReference w:id="25"/>
      </w:r>
      <w:r>
        <w:rPr>
          <w:rFonts w:ascii="Arial" w:eastAsia="Arial" w:hAnsi="Arial" w:cs="Arial"/>
          <w:color w:val="000000"/>
          <w:sz w:val="22"/>
          <w:szCs w:val="22"/>
        </w:rPr>
        <w:t>.</w:t>
      </w:r>
    </w:p>
    <w:p w14:paraId="63E81615" w14:textId="77777777" w:rsidR="00501B0C" w:rsidRDefault="00557D14">
      <w:pPr>
        <w:pBdr>
          <w:top w:val="nil"/>
          <w:left w:val="nil"/>
          <w:bottom w:val="nil"/>
          <w:right w:val="nil"/>
          <w:between w:val="nil"/>
        </w:pBdr>
        <w:spacing w:after="0"/>
        <w:ind w:firstLine="708"/>
        <w:rPr>
          <w:rFonts w:ascii="Arial" w:eastAsia="Arial" w:hAnsi="Arial" w:cs="Arial"/>
          <w:color w:val="000000"/>
          <w:sz w:val="22"/>
          <w:szCs w:val="22"/>
        </w:rPr>
      </w:pPr>
      <w:r>
        <w:rPr>
          <w:rFonts w:ascii="Arial" w:eastAsia="Arial" w:hAnsi="Arial" w:cs="Arial"/>
          <w:color w:val="000000"/>
          <w:sz w:val="22"/>
          <w:szCs w:val="22"/>
        </w:rPr>
        <w:t>En otras palabras, los únicos procesos que debe adelantar las empresas prestadoras de servicios públicos domiciliarios a través del SECOP II son los derivados del Decreto 092 de 2017 para la contratación con ESAL de reconocida idoneidad. Para ello, tendrán habilitados los módulos de “Régimen Especial” en la plataforma. Si requiere información adicional sobre el uso de estos módulos, puede consultar las guías y manuales dispuestos por la ANCP- CCE en el minisitio de SECOP II disponible en los siguientes enlaces:</w:t>
      </w:r>
    </w:p>
    <w:p w14:paraId="59A3FEAA" w14:textId="77777777" w:rsidR="00501B0C" w:rsidRDefault="00501B0C">
      <w:pPr>
        <w:pBdr>
          <w:top w:val="nil"/>
          <w:left w:val="nil"/>
          <w:bottom w:val="nil"/>
          <w:right w:val="nil"/>
          <w:between w:val="nil"/>
        </w:pBdr>
        <w:spacing w:after="0"/>
        <w:ind w:firstLine="708"/>
        <w:rPr>
          <w:rFonts w:ascii="Arial" w:eastAsia="Arial" w:hAnsi="Arial" w:cs="Arial"/>
          <w:color w:val="000000"/>
          <w:sz w:val="22"/>
          <w:szCs w:val="22"/>
        </w:rPr>
      </w:pPr>
    </w:p>
    <w:p w14:paraId="036DB433" w14:textId="77777777" w:rsidR="00501B0C" w:rsidRDefault="00557D14">
      <w:pPr>
        <w:numPr>
          <w:ilvl w:val="0"/>
          <w:numId w:val="1"/>
        </w:numPr>
        <w:pBdr>
          <w:top w:val="nil"/>
          <w:left w:val="nil"/>
          <w:bottom w:val="nil"/>
          <w:right w:val="nil"/>
          <w:between w:val="nil"/>
        </w:pBdr>
        <w:spacing w:after="0" w:line="240" w:lineRule="auto"/>
        <w:rPr>
          <w:color w:val="000000"/>
          <w:sz w:val="22"/>
          <w:szCs w:val="22"/>
        </w:rPr>
      </w:pPr>
      <w:r>
        <w:rPr>
          <w:rFonts w:ascii="Arial" w:eastAsia="Arial" w:hAnsi="Arial" w:cs="Arial"/>
          <w:color w:val="000000"/>
          <w:sz w:val="22"/>
          <w:szCs w:val="22"/>
        </w:rPr>
        <w:t xml:space="preserve">Régimen especial – Con Oferta: </w:t>
      </w:r>
      <w:hyperlink r:id="rId11">
        <w:r>
          <w:rPr>
            <w:rFonts w:ascii="Arial" w:eastAsia="Arial" w:hAnsi="Arial" w:cs="Arial"/>
            <w:color w:val="000000"/>
            <w:sz w:val="22"/>
            <w:szCs w:val="22"/>
            <w:u w:val="single"/>
          </w:rPr>
          <w:t>https://colombiacompra.gov.co/node/23628</w:t>
        </w:r>
      </w:hyperlink>
    </w:p>
    <w:p w14:paraId="22A6C658" w14:textId="77777777" w:rsidR="00501B0C" w:rsidRDefault="00557D14">
      <w:pPr>
        <w:numPr>
          <w:ilvl w:val="0"/>
          <w:numId w:val="1"/>
        </w:numPr>
        <w:pBdr>
          <w:top w:val="nil"/>
          <w:left w:val="nil"/>
          <w:bottom w:val="nil"/>
          <w:right w:val="nil"/>
          <w:between w:val="nil"/>
        </w:pBdr>
        <w:spacing w:after="0"/>
        <w:rPr>
          <w:color w:val="000000"/>
          <w:sz w:val="22"/>
          <w:szCs w:val="22"/>
          <w:u w:val="single"/>
        </w:rPr>
      </w:pPr>
      <w:r>
        <w:rPr>
          <w:rFonts w:ascii="Arial" w:eastAsia="Arial" w:hAnsi="Arial" w:cs="Arial"/>
          <w:color w:val="000000"/>
          <w:sz w:val="22"/>
          <w:szCs w:val="22"/>
        </w:rPr>
        <w:t xml:space="preserve">Régimen especial – Sin ofertas (Uso transaccional): </w:t>
      </w:r>
      <w:hyperlink r:id="rId12">
        <w:r>
          <w:rPr>
            <w:rFonts w:ascii="Arial" w:eastAsia="Arial" w:hAnsi="Arial" w:cs="Arial"/>
            <w:color w:val="000000"/>
            <w:sz w:val="22"/>
            <w:szCs w:val="22"/>
            <w:u w:val="single"/>
          </w:rPr>
          <w:t>https://www.colombiacompra.gov.co/node/30741</w:t>
        </w:r>
      </w:hyperlink>
    </w:p>
    <w:p w14:paraId="7313F22F" w14:textId="77777777" w:rsidR="00501B0C" w:rsidRDefault="00501B0C">
      <w:pPr>
        <w:pBdr>
          <w:top w:val="nil"/>
          <w:left w:val="nil"/>
          <w:bottom w:val="nil"/>
          <w:right w:val="nil"/>
          <w:between w:val="nil"/>
        </w:pBdr>
        <w:spacing w:after="0"/>
        <w:ind w:left="720"/>
        <w:rPr>
          <w:rFonts w:ascii="Arial" w:eastAsia="Arial" w:hAnsi="Arial" w:cs="Arial"/>
          <w:color w:val="000000"/>
          <w:sz w:val="22"/>
          <w:szCs w:val="22"/>
        </w:rPr>
      </w:pPr>
    </w:p>
    <w:p w14:paraId="5F3EFB92" w14:textId="77777777" w:rsidR="00501B0C" w:rsidRDefault="00557D14">
      <w:pPr>
        <w:pBdr>
          <w:top w:val="nil"/>
          <w:left w:val="nil"/>
          <w:bottom w:val="nil"/>
          <w:right w:val="nil"/>
          <w:between w:val="nil"/>
        </w:pBdr>
        <w:spacing w:after="120"/>
        <w:ind w:firstLine="709"/>
        <w:rPr>
          <w:rFonts w:ascii="Arial" w:eastAsia="Arial" w:hAnsi="Arial" w:cs="Arial"/>
          <w:color w:val="000000"/>
          <w:sz w:val="22"/>
          <w:szCs w:val="22"/>
        </w:rPr>
      </w:pPr>
      <w:r>
        <w:rPr>
          <w:rFonts w:ascii="Arial" w:eastAsia="Arial" w:hAnsi="Arial" w:cs="Arial"/>
          <w:color w:val="000000"/>
          <w:sz w:val="22"/>
          <w:szCs w:val="22"/>
        </w:rPr>
        <w:t xml:space="preserve">En todo caso, informamos que la Agencia Nacional de Contratación Pública – Colombia Compra Eficiente no ha establecido una fecha exacta a partir de la cual será obligatorio el uso del SECOP II para las entidades que no se encuentran incluidas en los </w:t>
      </w:r>
      <w:r>
        <w:rPr>
          <w:rFonts w:ascii="Arial" w:eastAsia="Arial" w:hAnsi="Arial" w:cs="Arial"/>
          <w:color w:val="000000"/>
          <w:sz w:val="22"/>
          <w:szCs w:val="22"/>
        </w:rPr>
        <w:lastRenderedPageBreak/>
        <w:t>Anexos de las Circulares No.1 de 2019 y 2021. Cuando se determine, la entidad informará con la suficiente anticipación a través los canales de comunicación oficiales, con el fin de coordinar los servicios de capacitación y acompañamiento correspondientes.</w:t>
      </w:r>
    </w:p>
    <w:p w14:paraId="0E45EBAE" w14:textId="77777777" w:rsidR="00501B0C" w:rsidRDefault="00557D14">
      <w:pPr>
        <w:pBdr>
          <w:top w:val="nil"/>
          <w:left w:val="nil"/>
          <w:bottom w:val="nil"/>
          <w:right w:val="nil"/>
          <w:between w:val="nil"/>
        </w:pBdr>
        <w:spacing w:after="120"/>
        <w:ind w:firstLine="709"/>
        <w:rPr>
          <w:rFonts w:ascii="Arial" w:eastAsia="Arial" w:hAnsi="Arial" w:cs="Arial"/>
          <w:color w:val="000000"/>
          <w:sz w:val="22"/>
          <w:szCs w:val="22"/>
        </w:rPr>
      </w:pPr>
      <w:r>
        <w:rPr>
          <w:rFonts w:ascii="Arial" w:eastAsia="Arial" w:hAnsi="Arial" w:cs="Arial"/>
          <w:color w:val="000000"/>
          <w:sz w:val="22"/>
          <w:szCs w:val="22"/>
        </w:rPr>
        <w:t xml:space="preserve">Si desea conocer información sobre el funcionamiento técnico de SECOP II puede consultar las guías y manuales dispuestos por la ANCP- CCE en el minisitio de SECOP II en el siguiente enlace </w:t>
      </w:r>
      <w:hyperlink r:id="rId13">
        <w:r>
          <w:rPr>
            <w:rFonts w:ascii="Arial" w:eastAsia="Arial" w:hAnsi="Arial" w:cs="Arial"/>
            <w:color w:val="000000"/>
            <w:sz w:val="22"/>
            <w:szCs w:val="22"/>
            <w:u w:val="single"/>
          </w:rPr>
          <w:t>https://www.colombiacompra.gov.co/secop-ii</w:t>
        </w:r>
      </w:hyperlink>
      <w:r>
        <w:rPr>
          <w:rFonts w:ascii="Arial" w:eastAsia="Arial" w:hAnsi="Arial" w:cs="Arial"/>
          <w:color w:val="000000"/>
          <w:sz w:val="22"/>
          <w:szCs w:val="22"/>
          <w:u w:val="single"/>
        </w:rPr>
        <w:t>.</w:t>
      </w:r>
      <w:r>
        <w:rPr>
          <w:rFonts w:ascii="Arial" w:eastAsia="Arial" w:hAnsi="Arial" w:cs="Arial"/>
          <w:color w:val="000000"/>
          <w:sz w:val="22"/>
          <w:szCs w:val="22"/>
        </w:rPr>
        <w:t xml:space="preserve"> </w:t>
      </w:r>
    </w:p>
    <w:p w14:paraId="2B6F2B4F" w14:textId="77777777" w:rsidR="00501B0C" w:rsidRPr="009D2FA3" w:rsidRDefault="00557D14" w:rsidP="009D2FA3">
      <w:pPr>
        <w:shd w:val="clear" w:color="auto" w:fill="FFFFFF"/>
        <w:spacing w:after="0"/>
        <w:ind w:firstLine="709"/>
      </w:pPr>
      <w:r>
        <w:rPr>
          <w:rFonts w:ascii="Arial" w:eastAsia="Arial" w:hAnsi="Arial" w:cs="Arial"/>
          <w:color w:val="000000"/>
          <w:sz w:val="22"/>
          <w:szCs w:val="22"/>
        </w:rPr>
        <w:t xml:space="preserve">Finalmente, en caso de tener dudas sobre las herramientas puede acceder a la Mesa de Servicio de la ANCP - CCE a través de los canales especificados en este enlace: </w:t>
      </w:r>
      <w:hyperlink r:id="rId14">
        <w:r>
          <w:rPr>
            <w:rFonts w:ascii="Arial" w:eastAsia="Arial" w:hAnsi="Arial" w:cs="Arial"/>
            <w:color w:val="000000"/>
            <w:sz w:val="22"/>
            <w:szCs w:val="22"/>
            <w:u w:val="single"/>
          </w:rPr>
          <w:t>https://www.colombiacompra.gov.co/mesa-de-servicio</w:t>
        </w:r>
      </w:hyperlink>
      <w:r>
        <w:rPr>
          <w:rFonts w:ascii="Arial" w:eastAsia="Arial" w:hAnsi="Arial" w:cs="Arial"/>
          <w:color w:val="000000"/>
          <w:sz w:val="22"/>
          <w:szCs w:val="22"/>
        </w:rPr>
        <w:t>.</w:t>
      </w:r>
    </w:p>
    <w:p w14:paraId="62DD38E8" w14:textId="77777777" w:rsidR="00501B0C" w:rsidRDefault="00501B0C">
      <w:pPr>
        <w:tabs>
          <w:tab w:val="left" w:pos="284"/>
        </w:tabs>
        <w:spacing w:after="0"/>
        <w:rPr>
          <w:rFonts w:ascii="Arial" w:eastAsia="Arial" w:hAnsi="Arial" w:cs="Arial"/>
          <w:b/>
          <w:color w:val="000000"/>
          <w:sz w:val="22"/>
          <w:szCs w:val="22"/>
        </w:rPr>
      </w:pPr>
    </w:p>
    <w:p w14:paraId="5BDD19DC" w14:textId="77777777" w:rsidR="00501B0C" w:rsidRDefault="00501B0C">
      <w:pPr>
        <w:tabs>
          <w:tab w:val="left" w:pos="284"/>
        </w:tabs>
        <w:spacing w:after="0"/>
        <w:rPr>
          <w:rFonts w:ascii="Arial" w:eastAsia="Arial" w:hAnsi="Arial" w:cs="Arial"/>
          <w:b/>
          <w:color w:val="000000"/>
          <w:sz w:val="22"/>
          <w:szCs w:val="22"/>
        </w:rPr>
      </w:pPr>
    </w:p>
    <w:p w14:paraId="4C35F73F" w14:textId="77777777" w:rsidR="00501B0C" w:rsidRDefault="00557D14">
      <w:pPr>
        <w:tabs>
          <w:tab w:val="left" w:pos="284"/>
        </w:tabs>
        <w:spacing w:after="0"/>
        <w:rPr>
          <w:rFonts w:ascii="Arial" w:eastAsia="Arial" w:hAnsi="Arial" w:cs="Arial"/>
          <w:b/>
          <w:color w:val="000000"/>
          <w:sz w:val="22"/>
          <w:szCs w:val="22"/>
        </w:rPr>
      </w:pPr>
      <w:r>
        <w:rPr>
          <w:rFonts w:ascii="Arial" w:eastAsia="Arial" w:hAnsi="Arial" w:cs="Arial"/>
          <w:b/>
          <w:color w:val="000000"/>
          <w:sz w:val="22"/>
          <w:szCs w:val="22"/>
        </w:rPr>
        <w:t>3. Respuesta</w:t>
      </w:r>
    </w:p>
    <w:p w14:paraId="4D5AFC0F" w14:textId="77777777" w:rsidR="00501B0C" w:rsidRDefault="00501B0C">
      <w:pPr>
        <w:tabs>
          <w:tab w:val="left" w:pos="284"/>
        </w:tabs>
        <w:spacing w:after="0"/>
        <w:rPr>
          <w:rFonts w:ascii="Arial" w:eastAsia="Arial" w:hAnsi="Arial" w:cs="Arial"/>
          <w:b/>
          <w:color w:val="000000"/>
          <w:sz w:val="22"/>
          <w:szCs w:val="22"/>
        </w:rPr>
      </w:pPr>
    </w:p>
    <w:p w14:paraId="3684B2ED" w14:textId="77777777" w:rsidR="00501B0C" w:rsidRPr="009D2FA3" w:rsidRDefault="00557D14" w:rsidP="009D2FA3">
      <w:pPr>
        <w:spacing w:after="0" w:line="240" w:lineRule="auto"/>
        <w:ind w:left="709" w:right="709"/>
      </w:pPr>
      <w:r>
        <w:rPr>
          <w:rFonts w:ascii="Arial" w:eastAsia="Arial" w:hAnsi="Arial" w:cs="Arial"/>
          <w:color w:val="000000"/>
          <w:sz w:val="21"/>
          <w:szCs w:val="21"/>
        </w:rPr>
        <w:t>«¿se deben publicar en el Sistema Electrónico para la Contratación Pública (SECOP), los contratos que suscriban las entidades territoriales en el marco del régimen contractual contemplado en las Leyes 142 y 143 de 1994?».</w:t>
      </w:r>
    </w:p>
    <w:p w14:paraId="1BD10205" w14:textId="77777777" w:rsidR="00501B0C" w:rsidRDefault="00501B0C">
      <w:pPr>
        <w:spacing w:after="0"/>
        <w:ind w:left="720"/>
        <w:rPr>
          <w:rFonts w:ascii="Arial" w:eastAsia="Arial" w:hAnsi="Arial" w:cs="Arial"/>
          <w:color w:val="000000"/>
          <w:sz w:val="22"/>
          <w:szCs w:val="22"/>
        </w:rPr>
      </w:pPr>
    </w:p>
    <w:p w14:paraId="14254AF4" w14:textId="6C3DB7A4" w:rsidR="00501B0C" w:rsidRPr="009D2FA3" w:rsidRDefault="00557D14" w:rsidP="009D2FA3">
      <w:pPr>
        <w:spacing w:after="120"/>
      </w:pPr>
      <w:r>
        <w:rPr>
          <w:rFonts w:ascii="Arial" w:eastAsia="Arial" w:hAnsi="Arial" w:cs="Arial"/>
          <w:color w:val="000000"/>
          <w:sz w:val="22"/>
          <w:szCs w:val="22"/>
        </w:rPr>
        <w:t>De acuerdo con las consideraciones de este concepto, el deber de publicar en el SECOP se fundamenta en una idea general, esto es, que se debe publicar la información oficial de la contratación que realicen con recursos públicos, con independencia del régimen contractual. De conformidad con el Decreto 103 de 2015 –compilado en los artículos 2.1.1.1.1. al 2.1.1.6.1. del Decreto 1081 de 2015–, los documentos que deben publicar las entidades estatales, entre estas las empresas de servicios públicos domiciliarios y, en general, todas las entidades estatales con régimen especial de contratación, son: i) las autorizaciones, requerimientos, aprobaciones o informes del supervisor o del interventor, que prueben la ejecución del contrato, ii) los procedimientos, lineamientos y políticas en materia de adquisición que corresponden a los  documentos que los conforman, previstos en el manual de contratación de la entidad, y finalmente, iii) el plan anual de adquisiciones.</w:t>
      </w:r>
    </w:p>
    <w:p w14:paraId="75B92344" w14:textId="7D319B99" w:rsidR="00501B0C" w:rsidRDefault="00557D14">
      <w:pPr>
        <w:spacing w:after="120"/>
        <w:ind w:firstLine="720"/>
        <w:rPr>
          <w:rFonts w:ascii="Arial" w:eastAsia="Arial" w:hAnsi="Arial" w:cs="Arial"/>
          <w:color w:val="000000"/>
          <w:sz w:val="22"/>
          <w:szCs w:val="22"/>
        </w:rPr>
      </w:pPr>
      <w:r>
        <w:rPr>
          <w:rFonts w:ascii="Arial" w:eastAsia="Arial" w:hAnsi="Arial" w:cs="Arial"/>
          <w:color w:val="000000"/>
          <w:sz w:val="22"/>
          <w:szCs w:val="22"/>
        </w:rPr>
        <w:t xml:space="preserve">Frente al segundo grupo de documentos, debido a que estas entidades están sometidas al derecho privado y, por lo tanto, no celebran sus procesos de contratación mediante las modalidades previstas en la Ley 80 de 1993, cada una definirá en su manual el procedimiento para contratar sus bienes y servicios. En este sentido, la entidad lo hará ya sea por medio de un procedimiento público, mediante el cual se realice una convocatoria y una evaluación para seleccionar la oferta más favorable, o a través de una contratación directa, cuando no es necesario efectuar un proceso competitivo. En estos casos, el manual definirá las etapas y los documentos que forman parte del procedimiento que realicen, y se publicarán en la plataforma del SECOP para cada procedimiento de contratación que se adelante, incluido el acto de adjudicación –o de selección de la oferta en la policitación </w:t>
      </w:r>
      <w:r>
        <w:rPr>
          <w:rFonts w:ascii="Arial" w:eastAsia="Arial" w:hAnsi="Arial" w:cs="Arial"/>
          <w:color w:val="000000"/>
          <w:sz w:val="22"/>
          <w:szCs w:val="22"/>
        </w:rPr>
        <w:lastRenderedPageBreak/>
        <w:t>regulada en el artículo 860 del Código de Comercio–, por expresa disposición del literal g) del artículo 11 de la Ley 1712 de 2014.</w:t>
      </w:r>
    </w:p>
    <w:p w14:paraId="5A8AE37C" w14:textId="77777777" w:rsidR="00501B0C" w:rsidRDefault="00501B0C">
      <w:pPr>
        <w:spacing w:after="120"/>
        <w:rPr>
          <w:color w:val="000000"/>
        </w:rPr>
      </w:pPr>
    </w:p>
    <w:p w14:paraId="1D45E896" w14:textId="77777777" w:rsidR="00501B0C" w:rsidRDefault="00557D14">
      <w:pPr>
        <w:spacing w:after="120"/>
        <w:rPr>
          <w:rFonts w:ascii="Arial" w:eastAsia="Arial" w:hAnsi="Arial" w:cs="Arial"/>
          <w:color w:val="000000"/>
          <w:sz w:val="22"/>
          <w:szCs w:val="22"/>
        </w:rPr>
      </w:pPr>
      <w:bookmarkStart w:id="9" w:name="_1t3h5sf" w:colFirst="0" w:colLast="0"/>
      <w:bookmarkEnd w:id="9"/>
      <w:r>
        <w:rPr>
          <w:rFonts w:ascii="Arial" w:eastAsia="Arial" w:hAnsi="Arial" w:cs="Arial"/>
          <w:color w:val="000000"/>
          <w:sz w:val="22"/>
          <w:szCs w:val="22"/>
        </w:rPr>
        <w:t>Este concepto tiene el alcance previsto en el artículo 28 del Código de Procedimiento Administrativo y de lo Contencioso Administrativo.</w:t>
      </w:r>
    </w:p>
    <w:p w14:paraId="1DF8827C" w14:textId="77777777" w:rsidR="00501B0C" w:rsidRDefault="00557D14">
      <w:pPr>
        <w:spacing w:after="120"/>
        <w:rPr>
          <w:rFonts w:ascii="Arial" w:eastAsia="Arial" w:hAnsi="Arial" w:cs="Arial"/>
          <w:color w:val="000000"/>
          <w:sz w:val="22"/>
          <w:szCs w:val="22"/>
        </w:rPr>
      </w:pPr>
      <w:r>
        <w:rPr>
          <w:noProof/>
        </w:rPr>
        <mc:AlternateContent>
          <mc:Choice Requires="wps">
            <w:drawing>
              <wp:anchor distT="4294967260" distB="4294967260" distL="114300" distR="114300" simplePos="0" relativeHeight="251658240" behindDoc="0" locked="0" layoutInCell="1" hidden="0" allowOverlap="1" wp14:anchorId="1A8A9E13" wp14:editId="52DEF839">
                <wp:simplePos x="0" y="0"/>
                <wp:positionH relativeFrom="column">
                  <wp:posOffset>434340</wp:posOffset>
                </wp:positionH>
                <wp:positionV relativeFrom="paragraph">
                  <wp:posOffset>10205</wp:posOffset>
                </wp:positionV>
                <wp:extent cx="4686300" cy="0"/>
                <wp:effectExtent l="0" t="4763" r="0" b="4763"/>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86300" cy="0"/>
                        </a:xfrm>
                        <a:prstGeom prst="line">
                          <a:avLst/>
                        </a:prstGeom>
                        <a:noFill/>
                        <a:ln w="9525" cap="flat" cmpd="sng" algn="ctr">
                          <a:solidFill>
                            <a:srgbClr val="DBDBDB"/>
                          </a:solidFill>
                          <a:prstDash val="solid"/>
                        </a:ln>
                        <a:effectLst/>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60" distT="4294967260" distL="114300" distR="114300" hidden="0" layoutInCell="1" locked="0" relativeHeight="0" simplePos="0">
                <wp:simplePos x="0" y="0"/>
                <wp:positionH relativeFrom="column">
                  <wp:posOffset>434340</wp:posOffset>
                </wp:positionH>
                <wp:positionV relativeFrom="paragraph">
                  <wp:posOffset>10205</wp:posOffset>
                </wp:positionV>
                <wp:extent cx="4686300" cy="9526"/>
                <wp:effectExtent b="0" l="0" r="0" t="0"/>
                <wp:wrapNone/>
                <wp:docPr id="1"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4686300" cy="9526"/>
                        </a:xfrm>
                        <a:prstGeom prst="rect"/>
                        <a:ln/>
                      </pic:spPr>
                    </pic:pic>
                  </a:graphicData>
                </a:graphic>
              </wp:anchor>
            </w:drawing>
          </mc:Fallback>
        </mc:AlternateContent>
      </w:r>
    </w:p>
    <w:p w14:paraId="61B2872B" w14:textId="77777777" w:rsidR="00501B0C" w:rsidRDefault="00557D14">
      <w:pPr>
        <w:rPr>
          <w:rFonts w:ascii="Arial" w:eastAsia="Arial" w:hAnsi="Arial" w:cs="Arial"/>
          <w:color w:val="000000"/>
          <w:sz w:val="22"/>
          <w:szCs w:val="22"/>
        </w:rPr>
      </w:pPr>
      <w:r>
        <w:rPr>
          <w:rFonts w:ascii="Arial" w:eastAsia="Arial" w:hAnsi="Arial" w:cs="Arial"/>
          <w:color w:val="000000"/>
          <w:sz w:val="22"/>
          <w:szCs w:val="22"/>
        </w:rPr>
        <w:t>Atentamente,</w:t>
      </w:r>
    </w:p>
    <w:p w14:paraId="18F85856" w14:textId="149E24EC" w:rsidR="00501B0C" w:rsidRDefault="000A062D">
      <w:pPr>
        <w:jc w:val="center"/>
        <w:rPr>
          <w:rFonts w:ascii="Arial" w:eastAsia="Arial" w:hAnsi="Arial" w:cs="Arial"/>
          <w:color w:val="000000"/>
          <w:sz w:val="18"/>
          <w:szCs w:val="18"/>
        </w:rPr>
      </w:pPr>
      <w:r>
        <w:rPr>
          <w:noProof/>
        </w:rPr>
        <w:drawing>
          <wp:inline distT="0" distB="0" distL="0" distR="0" wp14:anchorId="11FB2729" wp14:editId="6B1A16ED">
            <wp:extent cx="2514600" cy="1114425"/>
            <wp:effectExtent l="0" t="0" r="0" b="9525"/>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tbl>
      <w:tblPr>
        <w:tblStyle w:val="a0"/>
        <w:tblW w:w="522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12"/>
        <w:gridCol w:w="4413"/>
      </w:tblGrid>
      <w:tr w:rsidR="00501B0C" w14:paraId="2D516743" w14:textId="77777777">
        <w:trPr>
          <w:trHeight w:val="315"/>
        </w:trPr>
        <w:tc>
          <w:tcPr>
            <w:tcW w:w="812" w:type="dxa"/>
            <w:vAlign w:val="center"/>
          </w:tcPr>
          <w:p w14:paraId="0A619B4F" w14:textId="77777777" w:rsidR="00501B0C" w:rsidRPr="009D2FA3" w:rsidRDefault="00557D14" w:rsidP="009D2FA3">
            <w:pPr>
              <w:spacing w:before="0"/>
            </w:pPr>
            <w:r>
              <w:rPr>
                <w:rFonts w:ascii="Arial" w:eastAsia="Arial" w:hAnsi="Arial" w:cs="Arial"/>
                <w:color w:val="000000"/>
                <w:sz w:val="16"/>
                <w:szCs w:val="16"/>
              </w:rPr>
              <w:t>Elaboró:</w:t>
            </w:r>
          </w:p>
        </w:tc>
        <w:tc>
          <w:tcPr>
            <w:tcW w:w="4413" w:type="dxa"/>
            <w:tcBorders>
              <w:top w:val="nil"/>
              <w:left w:val="nil"/>
              <w:bottom w:val="dotted" w:sz="4" w:space="0" w:color="7F7F7F"/>
              <w:right w:val="nil"/>
            </w:tcBorders>
            <w:vAlign w:val="center"/>
          </w:tcPr>
          <w:p w14:paraId="5D8FE4CA" w14:textId="77777777" w:rsidR="00501B0C" w:rsidRPr="009D2FA3" w:rsidRDefault="00557D14" w:rsidP="009D2FA3">
            <w:pPr>
              <w:spacing w:before="0"/>
            </w:pPr>
            <w:r>
              <w:rPr>
                <w:rFonts w:ascii="Arial" w:eastAsia="Arial" w:hAnsi="Arial" w:cs="Arial"/>
                <w:color w:val="000000"/>
                <w:sz w:val="16"/>
                <w:szCs w:val="16"/>
              </w:rPr>
              <w:t>Álvaro Namén Vargas</w:t>
            </w:r>
          </w:p>
          <w:p w14:paraId="7448F0F9" w14:textId="77777777" w:rsidR="00501B0C" w:rsidRPr="009D2FA3" w:rsidRDefault="00557D14" w:rsidP="009D2FA3">
            <w:pPr>
              <w:spacing w:before="0"/>
            </w:pPr>
            <w:r>
              <w:rPr>
                <w:rFonts w:ascii="Arial" w:eastAsia="Arial" w:hAnsi="Arial" w:cs="Arial"/>
                <w:color w:val="000000"/>
                <w:sz w:val="16"/>
                <w:szCs w:val="16"/>
              </w:rPr>
              <w:t>Contratista de la Subdirección de Gestión Contractual</w:t>
            </w:r>
          </w:p>
        </w:tc>
      </w:tr>
      <w:tr w:rsidR="00501B0C" w14:paraId="65452594" w14:textId="77777777">
        <w:trPr>
          <w:trHeight w:val="330"/>
        </w:trPr>
        <w:tc>
          <w:tcPr>
            <w:tcW w:w="812" w:type="dxa"/>
            <w:vAlign w:val="center"/>
          </w:tcPr>
          <w:p w14:paraId="26F330E9" w14:textId="77777777" w:rsidR="00501B0C" w:rsidRPr="009D2FA3" w:rsidRDefault="00557D14" w:rsidP="009D2FA3">
            <w:pPr>
              <w:spacing w:before="0"/>
            </w:pPr>
            <w:r>
              <w:rPr>
                <w:rFonts w:ascii="Arial" w:eastAsia="Arial" w:hAnsi="Arial" w:cs="Arial"/>
                <w:color w:val="000000"/>
                <w:sz w:val="16"/>
                <w:szCs w:val="16"/>
              </w:rPr>
              <w:t>Revisó:</w:t>
            </w:r>
          </w:p>
        </w:tc>
        <w:tc>
          <w:tcPr>
            <w:tcW w:w="4413" w:type="dxa"/>
            <w:tcBorders>
              <w:top w:val="dotted" w:sz="4" w:space="0" w:color="7F7F7F"/>
              <w:left w:val="nil"/>
              <w:bottom w:val="dotted" w:sz="4" w:space="0" w:color="7F7F7F"/>
              <w:right w:val="nil"/>
            </w:tcBorders>
            <w:vAlign w:val="center"/>
          </w:tcPr>
          <w:p w14:paraId="5AA81DA1" w14:textId="77777777" w:rsidR="00501B0C" w:rsidRPr="009D2FA3" w:rsidRDefault="00557D14" w:rsidP="009D2FA3">
            <w:pPr>
              <w:spacing w:before="0"/>
            </w:pPr>
            <w:r>
              <w:rPr>
                <w:rFonts w:ascii="Arial" w:eastAsia="Arial" w:hAnsi="Arial" w:cs="Arial"/>
                <w:color w:val="000000"/>
                <w:sz w:val="16"/>
                <w:szCs w:val="16"/>
              </w:rPr>
              <w:t>Sebastián Ramírez Grisales</w:t>
            </w:r>
          </w:p>
          <w:p w14:paraId="7E859229" w14:textId="77777777" w:rsidR="00501B0C" w:rsidRPr="009D2FA3" w:rsidRDefault="00557D14" w:rsidP="009D2FA3">
            <w:pPr>
              <w:spacing w:before="0"/>
            </w:pPr>
            <w:r>
              <w:rPr>
                <w:rFonts w:ascii="Arial" w:eastAsia="Arial" w:hAnsi="Arial" w:cs="Arial"/>
                <w:color w:val="000000"/>
                <w:sz w:val="16"/>
                <w:szCs w:val="16"/>
              </w:rPr>
              <w:t>Contratista de la Subdirección de Gestión Contractual</w:t>
            </w:r>
          </w:p>
        </w:tc>
      </w:tr>
      <w:tr w:rsidR="00501B0C" w14:paraId="2197F93F" w14:textId="77777777">
        <w:trPr>
          <w:trHeight w:val="300"/>
        </w:trPr>
        <w:tc>
          <w:tcPr>
            <w:tcW w:w="812" w:type="dxa"/>
            <w:vAlign w:val="center"/>
          </w:tcPr>
          <w:p w14:paraId="28BF942E" w14:textId="77777777" w:rsidR="00501B0C" w:rsidRPr="009D2FA3" w:rsidRDefault="00557D14" w:rsidP="009D2FA3">
            <w:pPr>
              <w:spacing w:before="0"/>
            </w:pPr>
            <w:r>
              <w:rPr>
                <w:rFonts w:ascii="Arial" w:eastAsia="Arial" w:hAnsi="Arial" w:cs="Arial"/>
                <w:color w:val="000000"/>
                <w:sz w:val="16"/>
                <w:szCs w:val="16"/>
              </w:rPr>
              <w:t>Aprobó:</w:t>
            </w:r>
          </w:p>
        </w:tc>
        <w:tc>
          <w:tcPr>
            <w:tcW w:w="4413" w:type="dxa"/>
            <w:tcBorders>
              <w:top w:val="dotted" w:sz="4" w:space="0" w:color="7F7F7F"/>
              <w:left w:val="nil"/>
              <w:bottom w:val="dotted" w:sz="4" w:space="0" w:color="7F7F7F"/>
              <w:right w:val="nil"/>
            </w:tcBorders>
            <w:vAlign w:val="center"/>
          </w:tcPr>
          <w:p w14:paraId="58A47463" w14:textId="77777777" w:rsidR="00501B0C" w:rsidRPr="009D2FA3" w:rsidRDefault="00557D14" w:rsidP="009D2FA3">
            <w:pPr>
              <w:spacing w:before="0"/>
            </w:pPr>
            <w:r>
              <w:rPr>
                <w:rFonts w:ascii="Arial" w:eastAsia="Arial" w:hAnsi="Arial" w:cs="Arial"/>
                <w:color w:val="000000"/>
                <w:sz w:val="16"/>
                <w:szCs w:val="16"/>
              </w:rPr>
              <w:t>Jorge Augusto Tirado Navarro</w:t>
            </w:r>
          </w:p>
          <w:p w14:paraId="3811E557" w14:textId="77777777" w:rsidR="00501B0C" w:rsidRPr="009D2FA3" w:rsidRDefault="00557D14" w:rsidP="009D2FA3">
            <w:pPr>
              <w:spacing w:before="0"/>
            </w:pPr>
            <w:r>
              <w:rPr>
                <w:rFonts w:ascii="Arial" w:eastAsia="Arial" w:hAnsi="Arial" w:cs="Arial"/>
                <w:color w:val="000000"/>
                <w:sz w:val="16"/>
                <w:szCs w:val="16"/>
              </w:rPr>
              <w:t>Subdirector de Gestión Contractual ANCP – CCE</w:t>
            </w:r>
          </w:p>
        </w:tc>
      </w:tr>
    </w:tbl>
    <w:p w14:paraId="5E41BA08" w14:textId="77777777" w:rsidR="00501B0C" w:rsidRDefault="00501B0C">
      <w:pPr>
        <w:spacing w:after="120"/>
        <w:rPr>
          <w:rFonts w:ascii="Arial" w:eastAsia="Arial" w:hAnsi="Arial" w:cs="Arial"/>
          <w:b/>
          <w:color w:val="000000"/>
          <w:sz w:val="20"/>
          <w:szCs w:val="20"/>
        </w:rPr>
      </w:pPr>
    </w:p>
    <w:sectPr w:rsidR="00501B0C">
      <w:headerReference w:type="default" r:id="rId17"/>
      <w:footerReference w:type="default" r:id="rId18"/>
      <w:pgSz w:w="12240" w:h="15840"/>
      <w:pgMar w:top="408" w:right="1701" w:bottom="1276" w:left="1701"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7324D" w14:textId="77777777" w:rsidR="00254A44" w:rsidRDefault="00254A44">
      <w:pPr>
        <w:spacing w:after="0" w:line="240" w:lineRule="auto"/>
      </w:pPr>
      <w:r>
        <w:separator/>
      </w:r>
    </w:p>
  </w:endnote>
  <w:endnote w:type="continuationSeparator" w:id="0">
    <w:p w14:paraId="44B8342A" w14:textId="77777777" w:rsidR="00254A44" w:rsidRDefault="00254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9BAC0" w14:textId="77777777" w:rsidR="00501B0C" w:rsidRDefault="00501B0C">
    <w:pPr>
      <w:pBdr>
        <w:top w:val="nil"/>
        <w:left w:val="nil"/>
        <w:bottom w:val="nil"/>
        <w:right w:val="nil"/>
        <w:between w:val="nil"/>
      </w:pBdr>
      <w:spacing w:after="0" w:line="240" w:lineRule="auto"/>
      <w:rPr>
        <w:rFonts w:ascii="Arial" w:eastAsia="Arial" w:hAnsi="Arial" w:cs="Arial"/>
        <w:color w:val="000000"/>
        <w:sz w:val="18"/>
        <w:szCs w:val="18"/>
      </w:rPr>
    </w:pPr>
  </w:p>
  <w:p w14:paraId="675E2E84" w14:textId="77777777" w:rsidR="00501B0C" w:rsidRDefault="00557D14">
    <w:pPr>
      <w:pBdr>
        <w:top w:val="nil"/>
        <w:left w:val="nil"/>
        <w:bottom w:val="nil"/>
        <w:right w:val="nil"/>
        <w:between w:val="nil"/>
      </w:pBdr>
      <w:tabs>
        <w:tab w:val="center" w:pos="4419"/>
        <w:tab w:val="right" w:pos="8838"/>
      </w:tabs>
      <w:jc w:val="right"/>
      <w:rPr>
        <w:rFonts w:ascii="Arial" w:eastAsia="Arial" w:hAnsi="Arial" w:cs="Arial"/>
        <w:color w:val="7F7F7F"/>
        <w:sz w:val="16"/>
        <w:szCs w:val="16"/>
      </w:rPr>
    </w:pPr>
    <w:r>
      <w:rPr>
        <w:rFonts w:ascii="Arial" w:eastAsia="Arial" w:hAnsi="Arial" w:cs="Arial"/>
        <w:color w:val="7F7F7F"/>
        <w:sz w:val="16"/>
        <w:szCs w:val="16"/>
      </w:rPr>
      <w:t xml:space="preserve">Página </w:t>
    </w:r>
    <w:r>
      <w:rPr>
        <w:rFonts w:ascii="Arial" w:eastAsia="Arial" w:hAnsi="Arial" w:cs="Arial"/>
        <w:b/>
        <w:color w:val="7F7F7F"/>
        <w:sz w:val="16"/>
        <w:szCs w:val="16"/>
      </w:rPr>
      <w:fldChar w:fldCharType="begin"/>
    </w:r>
    <w:r>
      <w:rPr>
        <w:rFonts w:ascii="Arial" w:eastAsia="Arial" w:hAnsi="Arial" w:cs="Arial"/>
        <w:b/>
        <w:color w:val="7F7F7F"/>
        <w:sz w:val="16"/>
        <w:szCs w:val="16"/>
      </w:rPr>
      <w:instrText>PAGE</w:instrText>
    </w:r>
    <w:r>
      <w:rPr>
        <w:rFonts w:ascii="Arial" w:eastAsia="Arial" w:hAnsi="Arial" w:cs="Arial"/>
        <w:b/>
        <w:color w:val="7F7F7F"/>
        <w:sz w:val="16"/>
        <w:szCs w:val="16"/>
      </w:rPr>
      <w:fldChar w:fldCharType="separate"/>
    </w:r>
    <w:r w:rsidR="009D2FA3">
      <w:rPr>
        <w:rFonts w:ascii="Arial" w:eastAsia="Arial" w:hAnsi="Arial" w:cs="Arial"/>
        <w:b/>
        <w:noProof/>
        <w:color w:val="7F7F7F"/>
        <w:sz w:val="16"/>
        <w:szCs w:val="16"/>
      </w:rPr>
      <w:t>1</w:t>
    </w:r>
    <w:r>
      <w:rPr>
        <w:rFonts w:ascii="Arial" w:eastAsia="Arial" w:hAnsi="Arial" w:cs="Arial"/>
        <w:b/>
        <w:color w:val="7F7F7F"/>
        <w:sz w:val="16"/>
        <w:szCs w:val="16"/>
      </w:rPr>
      <w:fldChar w:fldCharType="end"/>
    </w:r>
    <w:r>
      <w:rPr>
        <w:rFonts w:ascii="Arial" w:eastAsia="Arial" w:hAnsi="Arial" w:cs="Arial"/>
        <w:color w:val="7F7F7F"/>
        <w:sz w:val="16"/>
        <w:szCs w:val="16"/>
      </w:rPr>
      <w:t xml:space="preserve"> de </w:t>
    </w:r>
    <w:r>
      <w:rPr>
        <w:rFonts w:ascii="Arial" w:eastAsia="Arial" w:hAnsi="Arial" w:cs="Arial"/>
        <w:b/>
        <w:color w:val="7F7F7F"/>
        <w:sz w:val="16"/>
        <w:szCs w:val="16"/>
      </w:rPr>
      <w:fldChar w:fldCharType="begin"/>
    </w:r>
    <w:r>
      <w:rPr>
        <w:rFonts w:ascii="Arial" w:eastAsia="Arial" w:hAnsi="Arial" w:cs="Arial"/>
        <w:b/>
        <w:color w:val="7F7F7F"/>
        <w:sz w:val="16"/>
        <w:szCs w:val="16"/>
      </w:rPr>
      <w:instrText>NUMPAGES</w:instrText>
    </w:r>
    <w:r>
      <w:rPr>
        <w:rFonts w:ascii="Arial" w:eastAsia="Arial" w:hAnsi="Arial" w:cs="Arial"/>
        <w:b/>
        <w:color w:val="7F7F7F"/>
        <w:sz w:val="16"/>
        <w:szCs w:val="16"/>
      </w:rPr>
      <w:fldChar w:fldCharType="separate"/>
    </w:r>
    <w:r w:rsidR="009D2FA3">
      <w:rPr>
        <w:rFonts w:ascii="Arial" w:eastAsia="Arial" w:hAnsi="Arial" w:cs="Arial"/>
        <w:b/>
        <w:noProof/>
        <w:color w:val="7F7F7F"/>
        <w:sz w:val="16"/>
        <w:szCs w:val="16"/>
      </w:rPr>
      <w:t>2</w:t>
    </w:r>
    <w:r>
      <w:rPr>
        <w:rFonts w:ascii="Arial" w:eastAsia="Arial" w:hAnsi="Arial" w:cs="Arial"/>
        <w:b/>
        <w:color w:val="7F7F7F"/>
        <w:sz w:val="16"/>
        <w:szCs w:val="16"/>
      </w:rPr>
      <w:fldChar w:fldCharType="end"/>
    </w:r>
  </w:p>
  <w:p w14:paraId="232B64D5" w14:textId="77777777" w:rsidR="00501B0C" w:rsidRDefault="00557D14">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5AF53172" wp14:editId="0B76CAD5">
          <wp:extent cx="4241994" cy="595165"/>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241994" cy="595165"/>
                  </a:xfrm>
                  <a:prstGeom prst="rect">
                    <a:avLst/>
                  </a:prstGeom>
                  <a:ln/>
                </pic:spPr>
              </pic:pic>
            </a:graphicData>
          </a:graphic>
        </wp:inline>
      </w:drawing>
    </w:r>
  </w:p>
  <w:p w14:paraId="52C801EA" w14:textId="77777777" w:rsidR="00501B0C" w:rsidRDefault="00501B0C">
    <w:pPr>
      <w:pBdr>
        <w:top w:val="nil"/>
        <w:left w:val="nil"/>
        <w:bottom w:val="nil"/>
        <w:right w:val="nil"/>
        <w:between w:val="nil"/>
      </w:pBdr>
      <w:tabs>
        <w:tab w:val="center" w:pos="4419"/>
        <w:tab w:val="right" w:pos="8838"/>
      </w:tabs>
      <w:spacing w:line="12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517D9" w14:textId="77777777" w:rsidR="00254A44" w:rsidRDefault="00254A44">
      <w:pPr>
        <w:spacing w:after="0" w:line="240" w:lineRule="auto"/>
      </w:pPr>
      <w:r>
        <w:separator/>
      </w:r>
    </w:p>
  </w:footnote>
  <w:footnote w:type="continuationSeparator" w:id="0">
    <w:p w14:paraId="20422A80" w14:textId="77777777" w:rsidR="00254A44" w:rsidRDefault="00254A44">
      <w:pPr>
        <w:spacing w:after="0" w:line="240" w:lineRule="auto"/>
      </w:pPr>
      <w:r>
        <w:continuationSeparator/>
      </w:r>
    </w:p>
  </w:footnote>
  <w:footnote w:id="1">
    <w:p w14:paraId="674FF217" w14:textId="77777777" w:rsidR="00501B0C" w:rsidRPr="000A062D" w:rsidRDefault="00557D14">
      <w:pPr>
        <w:pBdr>
          <w:top w:val="nil"/>
          <w:left w:val="nil"/>
          <w:bottom w:val="nil"/>
          <w:right w:val="nil"/>
          <w:between w:val="nil"/>
        </w:pBdr>
        <w:spacing w:after="0" w:line="240" w:lineRule="auto"/>
        <w:ind w:firstLine="709"/>
        <w:rPr>
          <w:rFonts w:ascii="Arial" w:eastAsia="Arial" w:hAnsi="Arial" w:cs="Arial"/>
          <w:color w:val="000000"/>
          <w:sz w:val="16"/>
          <w:szCs w:val="16"/>
        </w:rPr>
      </w:pPr>
      <w:r w:rsidRPr="000A062D">
        <w:rPr>
          <w:sz w:val="16"/>
          <w:szCs w:val="16"/>
          <w:vertAlign w:val="superscript"/>
        </w:rPr>
        <w:footnoteRef/>
      </w:r>
      <w:r w:rsidRPr="000A062D">
        <w:rPr>
          <w:rFonts w:ascii="Arial" w:eastAsia="Arial" w:hAnsi="Arial" w:cs="Arial"/>
          <w:color w:val="000000"/>
          <w:sz w:val="16"/>
          <w:szCs w:val="16"/>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0A062D">
        <w:rPr>
          <w:rFonts w:ascii="Arial" w:eastAsia="Arial" w:hAnsi="Arial" w:cs="Arial"/>
          <w:i/>
          <w:color w:val="000000"/>
          <w:sz w:val="16"/>
          <w:szCs w:val="16"/>
        </w:rPr>
        <w:t xml:space="preserve">ibidem </w:t>
      </w:r>
      <w:r w:rsidRPr="000A062D">
        <w:rPr>
          <w:rFonts w:ascii="Arial" w:eastAsia="Arial" w:hAnsi="Arial" w:cs="Arial"/>
          <w:color w:val="000000"/>
          <w:sz w:val="16"/>
          <w:szCs w:val="16"/>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Esta se fija con límites claros, con el objeto de evitar que la Agencia actúe como una instancia de validación de las actuaciones de las entidades sujetas a la Ley 80 de 1993 o de los demás participantes de la contratación pública.</w:t>
      </w:r>
    </w:p>
    <w:bookmarkStart w:id="2" w:name="_4d34og8" w:colFirst="0" w:colLast="0"/>
    <w:bookmarkEnd w:id="2"/>
  </w:footnote>
  <w:footnote w:id="2">
    <w:p w14:paraId="01075CB6" w14:textId="77777777" w:rsidR="00501B0C" w:rsidRPr="000A062D" w:rsidRDefault="00557D14">
      <w:pPr>
        <w:pBdr>
          <w:top w:val="nil"/>
          <w:left w:val="nil"/>
          <w:bottom w:val="nil"/>
          <w:right w:val="nil"/>
          <w:between w:val="nil"/>
        </w:pBdr>
        <w:spacing w:after="0" w:line="240" w:lineRule="auto"/>
        <w:ind w:firstLine="709"/>
        <w:rPr>
          <w:rFonts w:ascii="Arial" w:eastAsia="Arial" w:hAnsi="Arial" w:cs="Arial"/>
          <w:color w:val="000000"/>
          <w:sz w:val="16"/>
          <w:szCs w:val="16"/>
        </w:rPr>
      </w:pPr>
      <w:bookmarkStart w:id="4" w:name="_4d34og8" w:colFirst="0" w:colLast="0"/>
      <w:bookmarkEnd w:id="4"/>
      <w:r w:rsidRPr="000A062D">
        <w:rPr>
          <w:sz w:val="16"/>
          <w:szCs w:val="16"/>
          <w:vertAlign w:val="superscript"/>
        </w:rPr>
        <w:footnoteRef/>
      </w:r>
      <w:r w:rsidRPr="000A062D">
        <w:rPr>
          <w:rFonts w:ascii="Arial" w:eastAsia="Arial" w:hAnsi="Arial" w:cs="Arial"/>
          <w:color w:val="000000"/>
          <w:sz w:val="16"/>
          <w:szCs w:val="16"/>
        </w:rPr>
        <w:t xml:space="preserve"> Seguidamente, el numeral 8º del artículo 11 Decreto Ley 4170 de 2011 señala que es función de la Subdirección de Gestión Contractual: «[a]bsolver consultas sobre la aplicación de normas de carácter general». Es necesario tener en cuenta que esta entidad solo tiene competencia para responder solicitudes sobre la aplicación de normas de carácter general en materia de compras y contratación pública.</w:t>
      </w:r>
    </w:p>
  </w:footnote>
  <w:footnote w:id="3">
    <w:p w14:paraId="127C6B5E" w14:textId="77777777" w:rsidR="00501B0C" w:rsidRPr="000A062D" w:rsidRDefault="00557D14">
      <w:pPr>
        <w:pBdr>
          <w:top w:val="nil"/>
          <w:left w:val="nil"/>
          <w:bottom w:val="nil"/>
          <w:right w:val="nil"/>
          <w:between w:val="nil"/>
        </w:pBdr>
        <w:spacing w:after="0" w:line="240" w:lineRule="auto"/>
        <w:ind w:firstLine="709"/>
        <w:rPr>
          <w:rFonts w:ascii="Arial" w:eastAsia="Arial" w:hAnsi="Arial" w:cs="Arial"/>
          <w:color w:val="000000"/>
          <w:sz w:val="16"/>
          <w:szCs w:val="16"/>
        </w:rPr>
      </w:pPr>
      <w:r w:rsidRPr="000A062D">
        <w:rPr>
          <w:sz w:val="16"/>
          <w:szCs w:val="16"/>
          <w:vertAlign w:val="superscript"/>
        </w:rPr>
        <w:footnoteRef/>
      </w:r>
      <w:r w:rsidRPr="000A062D">
        <w:rPr>
          <w:rFonts w:ascii="Arial" w:eastAsia="Arial" w:hAnsi="Arial" w:cs="Arial"/>
          <w:color w:val="000000"/>
          <w:sz w:val="16"/>
          <w:szCs w:val="16"/>
        </w:rPr>
        <w:t xml:space="preserve"> BOBBIO, Norberto. Democracia y secreto. México: Fondo de Cultura Económica, 2013. p. 27.</w:t>
      </w:r>
    </w:p>
  </w:footnote>
  <w:footnote w:id="4">
    <w:p w14:paraId="4A2F9FEF" w14:textId="77777777" w:rsidR="00501B0C" w:rsidRPr="000A062D" w:rsidRDefault="00557D14">
      <w:pPr>
        <w:pBdr>
          <w:top w:val="nil"/>
          <w:left w:val="nil"/>
          <w:bottom w:val="nil"/>
          <w:right w:val="nil"/>
          <w:between w:val="nil"/>
        </w:pBdr>
        <w:spacing w:after="0" w:line="240" w:lineRule="auto"/>
        <w:ind w:firstLine="709"/>
        <w:rPr>
          <w:rFonts w:ascii="Arial" w:eastAsia="Arial" w:hAnsi="Arial" w:cs="Arial"/>
          <w:color w:val="000000"/>
          <w:sz w:val="16"/>
          <w:szCs w:val="16"/>
        </w:rPr>
      </w:pPr>
      <w:r w:rsidRPr="000A062D">
        <w:rPr>
          <w:sz w:val="16"/>
          <w:szCs w:val="16"/>
          <w:vertAlign w:val="superscript"/>
        </w:rPr>
        <w:footnoteRef/>
      </w:r>
    </w:p>
    <w:p w14:paraId="20176E4D" w14:textId="77777777" w:rsidR="00501B0C" w:rsidRPr="000A062D" w:rsidRDefault="00557D14">
      <w:pPr>
        <w:pBdr>
          <w:top w:val="nil"/>
          <w:left w:val="nil"/>
          <w:bottom w:val="nil"/>
          <w:right w:val="nil"/>
          <w:between w:val="nil"/>
        </w:pBdr>
        <w:spacing w:after="0" w:line="240" w:lineRule="auto"/>
        <w:ind w:firstLine="709"/>
        <w:rPr>
          <w:rFonts w:ascii="Arial" w:eastAsia="Arial" w:hAnsi="Arial" w:cs="Arial"/>
          <w:color w:val="000000"/>
          <w:sz w:val="16"/>
          <w:szCs w:val="16"/>
        </w:rPr>
      </w:pPr>
      <w:r w:rsidRPr="000A062D">
        <w:rPr>
          <w:rFonts w:ascii="Arial" w:eastAsia="Arial" w:hAnsi="Arial" w:cs="Arial"/>
          <w:color w:val="000000"/>
          <w:sz w:val="16"/>
          <w:szCs w:val="16"/>
        </w:rPr>
        <w:t xml:space="preserve"> Corte Constitucional. Sentencia C- 341 del 4 de junio de 2014. M. P. Mauricio González Cuervo.</w:t>
      </w:r>
    </w:p>
    <w:p w14:paraId="3DEF534B" w14:textId="77777777" w:rsidR="00501B0C" w:rsidRPr="000A062D" w:rsidRDefault="00501B0C">
      <w:pPr>
        <w:pBdr>
          <w:top w:val="nil"/>
          <w:left w:val="nil"/>
          <w:bottom w:val="nil"/>
          <w:right w:val="nil"/>
          <w:between w:val="nil"/>
        </w:pBdr>
        <w:spacing w:after="0" w:line="240" w:lineRule="auto"/>
        <w:ind w:firstLine="709"/>
        <w:rPr>
          <w:rFonts w:ascii="Arial" w:eastAsia="Arial" w:hAnsi="Arial" w:cs="Arial"/>
          <w:color w:val="000000"/>
          <w:sz w:val="16"/>
          <w:szCs w:val="16"/>
        </w:rPr>
      </w:pPr>
    </w:p>
  </w:footnote>
  <w:footnote w:id="5">
    <w:p w14:paraId="215B3D7D" w14:textId="77777777" w:rsidR="00501B0C" w:rsidRPr="000A062D" w:rsidRDefault="00557D14">
      <w:pPr>
        <w:pBdr>
          <w:top w:val="nil"/>
          <w:left w:val="nil"/>
          <w:bottom w:val="nil"/>
          <w:right w:val="nil"/>
          <w:between w:val="nil"/>
        </w:pBdr>
        <w:spacing w:after="0" w:line="240" w:lineRule="auto"/>
        <w:ind w:firstLine="709"/>
        <w:rPr>
          <w:rFonts w:ascii="Arial" w:eastAsia="Arial" w:hAnsi="Arial" w:cs="Arial"/>
          <w:color w:val="000000"/>
          <w:sz w:val="16"/>
          <w:szCs w:val="16"/>
        </w:rPr>
      </w:pPr>
      <w:r w:rsidRPr="000A062D">
        <w:rPr>
          <w:sz w:val="16"/>
          <w:szCs w:val="16"/>
          <w:vertAlign w:val="superscript"/>
        </w:rPr>
        <w:footnoteRef/>
      </w:r>
      <w:r w:rsidRPr="000A062D">
        <w:rPr>
          <w:rFonts w:ascii="Arial" w:eastAsia="Arial" w:hAnsi="Arial" w:cs="Arial"/>
          <w:color w:val="000000"/>
          <w:sz w:val="16"/>
          <w:szCs w:val="16"/>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4452A4B3" w14:textId="77777777" w:rsidR="00501B0C" w:rsidRPr="000A062D" w:rsidRDefault="00557D14">
      <w:pPr>
        <w:pBdr>
          <w:top w:val="nil"/>
          <w:left w:val="nil"/>
          <w:bottom w:val="nil"/>
          <w:right w:val="nil"/>
          <w:between w:val="nil"/>
        </w:pBdr>
        <w:spacing w:after="0" w:line="240" w:lineRule="auto"/>
        <w:ind w:firstLine="709"/>
        <w:rPr>
          <w:rFonts w:ascii="Arial" w:eastAsia="Arial" w:hAnsi="Arial" w:cs="Arial"/>
          <w:color w:val="000000"/>
          <w:sz w:val="16"/>
          <w:szCs w:val="16"/>
        </w:rPr>
      </w:pPr>
      <w:r w:rsidRPr="000A062D">
        <w:rPr>
          <w:rFonts w:ascii="Arial" w:eastAsia="Arial" w:hAnsi="Arial" w:cs="Arial"/>
          <w:color w:val="000000"/>
          <w:sz w:val="16"/>
          <w:szCs w:val="16"/>
        </w:rPr>
        <w:t>»Lo anterior, sin perjuicio de las publicaciones previstas en el numeral 3 del artículo 30 de la Ley 80 de 1993.</w:t>
      </w:r>
    </w:p>
    <w:p w14:paraId="31853B06" w14:textId="77777777" w:rsidR="00501B0C" w:rsidRPr="000A062D" w:rsidRDefault="00557D14">
      <w:pPr>
        <w:pBdr>
          <w:top w:val="nil"/>
          <w:left w:val="nil"/>
          <w:bottom w:val="nil"/>
          <w:right w:val="nil"/>
          <w:between w:val="nil"/>
        </w:pBdr>
        <w:spacing w:after="0" w:line="240" w:lineRule="auto"/>
        <w:ind w:firstLine="709"/>
        <w:rPr>
          <w:rFonts w:ascii="Arial" w:eastAsia="Arial" w:hAnsi="Arial" w:cs="Arial"/>
          <w:color w:val="000000"/>
          <w:sz w:val="16"/>
          <w:szCs w:val="16"/>
        </w:rPr>
      </w:pPr>
      <w:r w:rsidRPr="000A062D">
        <w:rPr>
          <w:rFonts w:ascii="Arial" w:eastAsia="Arial" w:hAnsi="Arial" w:cs="Arial"/>
          <w:color w:val="000000"/>
          <w:sz w:val="16"/>
          <w:szCs w:val="16"/>
        </w:rPr>
        <w:t xml:space="preserve">»Con el fin de materializar los objetivos a que se refiere el inciso anterior, el Gobierno Nacional desarrollará el Sistema Electrónico para la Contratación Pública, Secop, el cual: </w:t>
      </w:r>
    </w:p>
    <w:p w14:paraId="5F362068" w14:textId="77777777" w:rsidR="00501B0C" w:rsidRPr="000A062D" w:rsidRDefault="00557D14">
      <w:pPr>
        <w:pBdr>
          <w:top w:val="nil"/>
          <w:left w:val="nil"/>
          <w:bottom w:val="nil"/>
          <w:right w:val="nil"/>
          <w:between w:val="nil"/>
        </w:pBdr>
        <w:spacing w:after="0" w:line="240" w:lineRule="auto"/>
        <w:ind w:firstLine="709"/>
        <w:rPr>
          <w:rFonts w:ascii="Arial" w:eastAsia="Arial" w:hAnsi="Arial" w:cs="Arial"/>
          <w:color w:val="000000"/>
          <w:sz w:val="16"/>
          <w:szCs w:val="16"/>
        </w:rPr>
      </w:pPr>
      <w:r w:rsidRPr="000A062D">
        <w:rPr>
          <w:rFonts w:ascii="Arial" w:eastAsia="Arial" w:hAnsi="Arial" w:cs="Arial"/>
          <w:color w:val="000000"/>
          <w:sz w:val="16"/>
          <w:szCs w:val="16"/>
        </w:rPr>
        <w:t>[…]</w:t>
      </w:r>
    </w:p>
    <w:p w14:paraId="3A861DB5" w14:textId="77777777" w:rsidR="00501B0C" w:rsidRPr="000A062D" w:rsidRDefault="00557D14">
      <w:pPr>
        <w:pBdr>
          <w:top w:val="nil"/>
          <w:left w:val="nil"/>
          <w:bottom w:val="nil"/>
          <w:right w:val="nil"/>
          <w:between w:val="nil"/>
        </w:pBdr>
        <w:spacing w:after="0" w:line="240" w:lineRule="auto"/>
        <w:ind w:firstLine="709"/>
        <w:rPr>
          <w:rFonts w:ascii="Arial" w:eastAsia="Arial" w:hAnsi="Arial" w:cs="Arial"/>
          <w:color w:val="000000"/>
          <w:sz w:val="16"/>
          <w:szCs w:val="16"/>
        </w:rPr>
      </w:pPr>
      <w:r w:rsidRPr="000A062D">
        <w:rPr>
          <w:rFonts w:ascii="Arial" w:eastAsia="Arial" w:hAnsi="Arial" w:cs="Arial"/>
          <w:color w:val="000000"/>
          <w:sz w:val="16"/>
          <w:szCs w:val="16"/>
        </w:rPr>
        <w:t xml:space="preserve">»c) Contará con la información oficial de la contratación realizada con dineros públicos, para lo cual establecerá los patrones a que haya lugar y se encargará de su difusión a través de canales electrónico». </w:t>
      </w:r>
    </w:p>
    <w:p w14:paraId="462E801F" w14:textId="77777777" w:rsidR="00501B0C" w:rsidRPr="000A062D" w:rsidRDefault="00501B0C">
      <w:pPr>
        <w:pBdr>
          <w:top w:val="nil"/>
          <w:left w:val="nil"/>
          <w:bottom w:val="nil"/>
          <w:right w:val="nil"/>
          <w:between w:val="nil"/>
        </w:pBdr>
        <w:spacing w:after="0" w:line="240" w:lineRule="auto"/>
        <w:ind w:firstLine="709"/>
        <w:rPr>
          <w:rFonts w:ascii="Arial" w:eastAsia="Arial" w:hAnsi="Arial" w:cs="Arial"/>
          <w:color w:val="000000"/>
          <w:sz w:val="16"/>
          <w:szCs w:val="16"/>
        </w:rPr>
      </w:pPr>
    </w:p>
  </w:footnote>
  <w:footnote w:id="6">
    <w:p w14:paraId="00F5F72A" w14:textId="77777777" w:rsidR="00501B0C" w:rsidRPr="000A062D" w:rsidRDefault="00557D14">
      <w:pPr>
        <w:pBdr>
          <w:top w:val="nil"/>
          <w:left w:val="nil"/>
          <w:bottom w:val="nil"/>
          <w:right w:val="nil"/>
          <w:between w:val="nil"/>
        </w:pBdr>
        <w:spacing w:after="0" w:line="240" w:lineRule="auto"/>
        <w:ind w:firstLine="709"/>
        <w:rPr>
          <w:rFonts w:ascii="Arial" w:eastAsia="Arial" w:hAnsi="Arial" w:cs="Arial"/>
          <w:color w:val="000000"/>
          <w:sz w:val="16"/>
          <w:szCs w:val="16"/>
        </w:rPr>
      </w:pPr>
      <w:r w:rsidRPr="000A062D">
        <w:rPr>
          <w:sz w:val="16"/>
          <w:szCs w:val="16"/>
          <w:vertAlign w:val="superscript"/>
        </w:rPr>
        <w:footnoteRef/>
      </w:r>
      <w:r w:rsidRPr="000A062D">
        <w:rPr>
          <w:rFonts w:ascii="Arial" w:eastAsia="Arial" w:hAnsi="Arial" w:cs="Arial"/>
          <w:color w:val="000000"/>
          <w:sz w:val="16"/>
          <w:szCs w:val="16"/>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7717A7D3" w14:textId="77777777" w:rsidR="00501B0C" w:rsidRPr="000A062D" w:rsidRDefault="00501B0C">
      <w:pPr>
        <w:pBdr>
          <w:top w:val="nil"/>
          <w:left w:val="nil"/>
          <w:bottom w:val="nil"/>
          <w:right w:val="nil"/>
          <w:between w:val="nil"/>
        </w:pBdr>
        <w:spacing w:after="0" w:line="240" w:lineRule="auto"/>
        <w:ind w:firstLine="709"/>
        <w:rPr>
          <w:rFonts w:ascii="Arial" w:eastAsia="Arial" w:hAnsi="Arial" w:cs="Arial"/>
          <w:color w:val="000000"/>
          <w:sz w:val="16"/>
          <w:szCs w:val="16"/>
        </w:rPr>
      </w:pPr>
    </w:p>
  </w:footnote>
  <w:footnote w:id="7">
    <w:p w14:paraId="618E31E1" w14:textId="77777777" w:rsidR="00501B0C" w:rsidRPr="000A062D" w:rsidRDefault="00557D14">
      <w:pPr>
        <w:pBdr>
          <w:top w:val="nil"/>
          <w:left w:val="nil"/>
          <w:bottom w:val="nil"/>
          <w:right w:val="nil"/>
          <w:between w:val="nil"/>
        </w:pBdr>
        <w:spacing w:after="0" w:line="240" w:lineRule="auto"/>
        <w:ind w:firstLine="709"/>
        <w:rPr>
          <w:rFonts w:ascii="Arial" w:eastAsia="Arial" w:hAnsi="Arial" w:cs="Arial"/>
          <w:color w:val="000000"/>
          <w:sz w:val="16"/>
          <w:szCs w:val="16"/>
        </w:rPr>
      </w:pPr>
      <w:r w:rsidRPr="000A062D">
        <w:rPr>
          <w:sz w:val="16"/>
          <w:szCs w:val="16"/>
          <w:vertAlign w:val="superscript"/>
        </w:rPr>
        <w:footnoteRef/>
      </w:r>
      <w:r w:rsidRPr="000A062D">
        <w:rPr>
          <w:rFonts w:ascii="Arial" w:eastAsia="Arial" w:hAnsi="Arial" w:cs="Arial"/>
          <w:color w:val="000000"/>
          <w:sz w:val="16"/>
          <w:szCs w:val="16"/>
        </w:rPr>
        <w:t xml:space="preserve"> Ley 1712 de 2014: «Artículo 5. Ámbito de aplicación. Las disposiciones de esta ley serán aplicables a las siguientes personas en calidad de sujetos obligados: </w:t>
      </w:r>
    </w:p>
    <w:p w14:paraId="271C5D3B" w14:textId="77777777" w:rsidR="00501B0C" w:rsidRPr="000A062D" w:rsidRDefault="00557D14">
      <w:pPr>
        <w:pBdr>
          <w:top w:val="nil"/>
          <w:left w:val="nil"/>
          <w:bottom w:val="nil"/>
          <w:right w:val="nil"/>
          <w:between w:val="nil"/>
        </w:pBdr>
        <w:spacing w:after="0" w:line="240" w:lineRule="auto"/>
        <w:ind w:firstLine="709"/>
        <w:rPr>
          <w:rFonts w:ascii="Arial" w:eastAsia="Arial" w:hAnsi="Arial" w:cs="Arial"/>
          <w:color w:val="000000"/>
          <w:sz w:val="16"/>
          <w:szCs w:val="16"/>
        </w:rPr>
      </w:pPr>
      <w:r w:rsidRPr="000A062D">
        <w:rPr>
          <w:rFonts w:ascii="Arial" w:eastAsia="Arial" w:hAnsi="Arial" w:cs="Arial"/>
          <w:color w:val="000000"/>
          <w:sz w:val="16"/>
          <w:szCs w:val="16"/>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063167C5" w14:textId="77777777" w:rsidR="00501B0C" w:rsidRPr="000A062D" w:rsidRDefault="00501B0C">
      <w:pPr>
        <w:pBdr>
          <w:top w:val="nil"/>
          <w:left w:val="nil"/>
          <w:bottom w:val="nil"/>
          <w:right w:val="nil"/>
          <w:between w:val="nil"/>
        </w:pBdr>
        <w:spacing w:after="0" w:line="240" w:lineRule="auto"/>
        <w:ind w:firstLine="709"/>
        <w:rPr>
          <w:rFonts w:ascii="Arial" w:eastAsia="Arial" w:hAnsi="Arial" w:cs="Arial"/>
          <w:color w:val="000000"/>
          <w:sz w:val="16"/>
          <w:szCs w:val="16"/>
        </w:rPr>
      </w:pPr>
    </w:p>
  </w:footnote>
  <w:footnote w:id="8">
    <w:p w14:paraId="3066A10C" w14:textId="77777777" w:rsidR="00501B0C" w:rsidRPr="000A062D" w:rsidRDefault="00557D14">
      <w:pPr>
        <w:pBdr>
          <w:top w:val="nil"/>
          <w:left w:val="nil"/>
          <w:bottom w:val="nil"/>
          <w:right w:val="nil"/>
          <w:between w:val="nil"/>
        </w:pBdr>
        <w:spacing w:after="0" w:line="240" w:lineRule="auto"/>
        <w:ind w:firstLine="709"/>
        <w:rPr>
          <w:rFonts w:ascii="Arial" w:eastAsia="Arial" w:hAnsi="Arial" w:cs="Arial"/>
          <w:color w:val="000000"/>
          <w:sz w:val="16"/>
          <w:szCs w:val="16"/>
        </w:rPr>
      </w:pPr>
      <w:r w:rsidRPr="000A062D">
        <w:rPr>
          <w:sz w:val="16"/>
          <w:szCs w:val="16"/>
          <w:vertAlign w:val="superscript"/>
        </w:rPr>
        <w:footnoteRef/>
      </w:r>
      <w:r w:rsidRPr="000A062D">
        <w:rPr>
          <w:rFonts w:ascii="Arial" w:eastAsia="Arial" w:hAnsi="Arial" w:cs="Arial"/>
          <w:color w:val="000000"/>
          <w:sz w:val="16"/>
          <w:szCs w:val="16"/>
          <w:vertAlign w:val="superscript"/>
        </w:rPr>
        <w:t xml:space="preserve"> </w:t>
      </w:r>
      <w:r w:rsidRPr="000A062D">
        <w:rPr>
          <w:rFonts w:ascii="Arial" w:eastAsia="Arial" w:hAnsi="Arial" w:cs="Arial"/>
          <w:color w:val="000000"/>
          <w:sz w:val="16"/>
          <w:szCs w:val="16"/>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6C3D10D7" w14:textId="77777777" w:rsidR="00501B0C" w:rsidRPr="000A062D" w:rsidRDefault="00557D14">
      <w:pPr>
        <w:pBdr>
          <w:top w:val="nil"/>
          <w:left w:val="nil"/>
          <w:bottom w:val="nil"/>
          <w:right w:val="nil"/>
          <w:between w:val="nil"/>
        </w:pBdr>
        <w:spacing w:after="0" w:line="240" w:lineRule="auto"/>
        <w:ind w:firstLine="709"/>
        <w:rPr>
          <w:rFonts w:ascii="Arial" w:eastAsia="Arial" w:hAnsi="Arial" w:cs="Arial"/>
          <w:color w:val="000000"/>
          <w:sz w:val="16"/>
          <w:szCs w:val="16"/>
        </w:rPr>
      </w:pPr>
      <w:r w:rsidRPr="000A062D">
        <w:rPr>
          <w:rFonts w:ascii="Arial" w:eastAsia="Arial" w:hAnsi="Arial" w:cs="Arial"/>
          <w:color w:val="000000"/>
          <w:sz w:val="16"/>
          <w:szCs w:val="16"/>
        </w:rPr>
        <w:t>[…].</w:t>
      </w:r>
    </w:p>
    <w:p w14:paraId="7DBBECE1" w14:textId="77777777" w:rsidR="00501B0C" w:rsidRPr="000A062D" w:rsidRDefault="00557D14">
      <w:pPr>
        <w:pBdr>
          <w:top w:val="nil"/>
          <w:left w:val="nil"/>
          <w:bottom w:val="nil"/>
          <w:right w:val="nil"/>
          <w:between w:val="nil"/>
        </w:pBdr>
        <w:spacing w:after="0" w:line="240" w:lineRule="auto"/>
        <w:ind w:firstLine="709"/>
        <w:rPr>
          <w:rFonts w:ascii="Arial" w:eastAsia="Arial" w:hAnsi="Arial" w:cs="Arial"/>
          <w:color w:val="000000"/>
          <w:sz w:val="16"/>
          <w:szCs w:val="16"/>
        </w:rPr>
      </w:pPr>
      <w:r w:rsidRPr="000A062D">
        <w:rPr>
          <w:rFonts w:ascii="Arial" w:eastAsia="Arial" w:hAnsi="Arial" w:cs="Arial"/>
          <w:color w:val="000000"/>
          <w:sz w:val="16"/>
          <w:szCs w:val="16"/>
        </w:rPr>
        <w:t>«Los sujetos obligados que contratan con recursos públicos y recursos privados, deben publicar la información de su gestión contractual con cargo a recursos públicos en el Sistema Electrónico para la Contratación Pública [SECOP]».</w:t>
      </w:r>
    </w:p>
    <w:p w14:paraId="2D7B7FC8" w14:textId="77777777" w:rsidR="00501B0C" w:rsidRPr="000A062D" w:rsidRDefault="00501B0C">
      <w:pPr>
        <w:pBdr>
          <w:top w:val="nil"/>
          <w:left w:val="nil"/>
          <w:bottom w:val="nil"/>
          <w:right w:val="nil"/>
          <w:between w:val="nil"/>
        </w:pBdr>
        <w:spacing w:after="0" w:line="240" w:lineRule="auto"/>
        <w:ind w:firstLine="709"/>
        <w:rPr>
          <w:rFonts w:ascii="Arial" w:eastAsia="Arial" w:hAnsi="Arial" w:cs="Arial"/>
          <w:color w:val="000000"/>
          <w:sz w:val="16"/>
          <w:szCs w:val="16"/>
        </w:rPr>
      </w:pPr>
    </w:p>
  </w:footnote>
  <w:footnote w:id="9">
    <w:p w14:paraId="75E1E1DC" w14:textId="77777777" w:rsidR="00501B0C" w:rsidRPr="000A062D" w:rsidRDefault="00557D14">
      <w:pPr>
        <w:pBdr>
          <w:top w:val="nil"/>
          <w:left w:val="nil"/>
          <w:bottom w:val="nil"/>
          <w:right w:val="nil"/>
          <w:between w:val="nil"/>
        </w:pBdr>
        <w:spacing w:after="0" w:line="240" w:lineRule="auto"/>
        <w:ind w:firstLine="709"/>
        <w:rPr>
          <w:rFonts w:ascii="Arial" w:eastAsia="Arial" w:hAnsi="Arial" w:cs="Arial"/>
          <w:color w:val="000000"/>
          <w:sz w:val="16"/>
          <w:szCs w:val="16"/>
        </w:rPr>
      </w:pPr>
      <w:r w:rsidRPr="000A062D">
        <w:rPr>
          <w:sz w:val="16"/>
          <w:szCs w:val="16"/>
          <w:vertAlign w:val="superscript"/>
        </w:rPr>
        <w:footnoteRef/>
      </w:r>
      <w:r w:rsidRPr="000A062D">
        <w:rPr>
          <w:rFonts w:ascii="Arial" w:eastAsia="Arial" w:hAnsi="Arial" w:cs="Arial"/>
          <w:color w:val="000000"/>
          <w:sz w:val="16"/>
          <w:szCs w:val="16"/>
        </w:rPr>
        <w:t xml:space="preserve"> Corte Constitucional. Sentencia C‒274 de 9 de mayo de 2013. M.P. María Victoria Calle Correa. </w:t>
      </w:r>
    </w:p>
    <w:p w14:paraId="75A2BCB0" w14:textId="77777777" w:rsidR="00501B0C" w:rsidRPr="000A062D" w:rsidRDefault="00501B0C">
      <w:pPr>
        <w:pBdr>
          <w:top w:val="nil"/>
          <w:left w:val="nil"/>
          <w:bottom w:val="nil"/>
          <w:right w:val="nil"/>
          <w:between w:val="nil"/>
        </w:pBdr>
        <w:spacing w:after="0" w:line="240" w:lineRule="auto"/>
        <w:ind w:firstLine="709"/>
        <w:rPr>
          <w:rFonts w:ascii="Arial" w:eastAsia="Arial" w:hAnsi="Arial" w:cs="Arial"/>
          <w:color w:val="000000"/>
          <w:sz w:val="16"/>
          <w:szCs w:val="16"/>
        </w:rPr>
      </w:pPr>
    </w:p>
  </w:footnote>
  <w:footnote w:id="10">
    <w:p w14:paraId="7F2DB13B" w14:textId="77777777" w:rsidR="00501B0C" w:rsidRPr="000A062D" w:rsidRDefault="00557D14">
      <w:pPr>
        <w:pBdr>
          <w:top w:val="nil"/>
          <w:left w:val="nil"/>
          <w:bottom w:val="nil"/>
          <w:right w:val="nil"/>
          <w:between w:val="nil"/>
        </w:pBdr>
        <w:spacing w:after="0" w:line="240" w:lineRule="auto"/>
        <w:ind w:firstLine="709"/>
        <w:rPr>
          <w:rFonts w:ascii="Arial" w:eastAsia="Arial" w:hAnsi="Arial" w:cs="Arial"/>
          <w:color w:val="000000"/>
          <w:sz w:val="16"/>
          <w:szCs w:val="16"/>
        </w:rPr>
      </w:pPr>
      <w:r w:rsidRPr="000A062D">
        <w:rPr>
          <w:sz w:val="16"/>
          <w:szCs w:val="16"/>
          <w:vertAlign w:val="superscript"/>
        </w:rPr>
        <w:footnoteRef/>
      </w:r>
      <w:r w:rsidRPr="000A062D">
        <w:rPr>
          <w:rFonts w:ascii="Arial" w:eastAsia="Arial" w:hAnsi="Arial" w:cs="Arial"/>
          <w:color w:val="000000"/>
          <w:sz w:val="16"/>
          <w:szCs w:val="16"/>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p w14:paraId="16F52A09" w14:textId="77777777" w:rsidR="00501B0C" w:rsidRPr="000A062D" w:rsidRDefault="00501B0C">
      <w:pPr>
        <w:pBdr>
          <w:top w:val="nil"/>
          <w:left w:val="nil"/>
          <w:bottom w:val="nil"/>
          <w:right w:val="nil"/>
          <w:between w:val="nil"/>
        </w:pBdr>
        <w:spacing w:after="0" w:line="240" w:lineRule="auto"/>
        <w:ind w:firstLine="709"/>
        <w:rPr>
          <w:rFonts w:ascii="Arial" w:eastAsia="Arial" w:hAnsi="Arial" w:cs="Arial"/>
          <w:color w:val="000000"/>
          <w:sz w:val="16"/>
          <w:szCs w:val="16"/>
        </w:rPr>
      </w:pPr>
    </w:p>
  </w:footnote>
  <w:footnote w:id="11">
    <w:p w14:paraId="565A49A6" w14:textId="77777777" w:rsidR="00501B0C" w:rsidRPr="000A062D" w:rsidRDefault="00557D14" w:rsidP="009D2FA3">
      <w:pPr>
        <w:pBdr>
          <w:top w:val="nil"/>
          <w:left w:val="nil"/>
          <w:bottom w:val="nil"/>
          <w:right w:val="nil"/>
          <w:between w:val="nil"/>
        </w:pBdr>
        <w:spacing w:after="0" w:line="240" w:lineRule="auto"/>
        <w:ind w:firstLine="709"/>
        <w:rPr>
          <w:sz w:val="16"/>
          <w:szCs w:val="16"/>
        </w:rPr>
      </w:pPr>
      <w:r w:rsidRPr="000A062D">
        <w:rPr>
          <w:sz w:val="16"/>
          <w:szCs w:val="16"/>
          <w:vertAlign w:val="superscript"/>
        </w:rPr>
        <w:footnoteRef/>
      </w:r>
      <w:r w:rsidRPr="000A062D">
        <w:rPr>
          <w:rFonts w:ascii="Arial" w:eastAsia="Arial" w:hAnsi="Arial" w:cs="Arial"/>
          <w:color w:val="000000"/>
          <w:sz w:val="16"/>
          <w:szCs w:val="16"/>
        </w:rPr>
        <w:t xml:space="preserve"> Concepto C-241 de 2021. Disponible en: </w:t>
      </w:r>
      <w:hyperlink r:id="rId1" w:history="1">
        <w:r w:rsidRPr="000A062D">
          <w:rPr>
            <w:rFonts w:ascii="Arial" w:eastAsia="Arial" w:hAnsi="Arial" w:cs="Arial"/>
            <w:color w:val="0000FF"/>
            <w:sz w:val="16"/>
            <w:szCs w:val="16"/>
            <w:u w:val="single"/>
          </w:rPr>
          <w:t>https://relatoria.colombiacompra.gov.co/ficha/C-241%20de%202021</w:t>
        </w:r>
      </w:hyperlink>
      <w:r w:rsidRPr="000A062D">
        <w:rPr>
          <w:rFonts w:ascii="Arial" w:eastAsia="Arial" w:hAnsi="Arial" w:cs="Arial"/>
          <w:color w:val="000000"/>
          <w:sz w:val="16"/>
          <w:szCs w:val="16"/>
        </w:rPr>
        <w:t xml:space="preserve">. </w:t>
      </w:r>
    </w:p>
  </w:footnote>
  <w:footnote w:id="12">
    <w:p w14:paraId="60C84FDA" w14:textId="77777777" w:rsidR="00501B0C" w:rsidRPr="000A062D" w:rsidRDefault="00557D14">
      <w:pPr>
        <w:pBdr>
          <w:top w:val="nil"/>
          <w:left w:val="nil"/>
          <w:bottom w:val="nil"/>
          <w:right w:val="nil"/>
          <w:between w:val="nil"/>
        </w:pBdr>
        <w:spacing w:after="0" w:line="240" w:lineRule="auto"/>
        <w:ind w:firstLine="709"/>
        <w:rPr>
          <w:rFonts w:ascii="Arial" w:eastAsia="Arial" w:hAnsi="Arial" w:cs="Arial"/>
          <w:color w:val="000000"/>
          <w:sz w:val="16"/>
          <w:szCs w:val="16"/>
        </w:rPr>
      </w:pPr>
      <w:r w:rsidRPr="000A062D">
        <w:rPr>
          <w:sz w:val="16"/>
          <w:szCs w:val="16"/>
          <w:vertAlign w:val="superscript"/>
        </w:rPr>
        <w:footnoteRef/>
      </w:r>
      <w:r w:rsidRPr="000A062D">
        <w:rPr>
          <w:rFonts w:ascii="Arial" w:eastAsia="Arial" w:hAnsi="Arial" w:cs="Arial"/>
          <w:color w:val="000000"/>
          <w:sz w:val="16"/>
          <w:szCs w:val="16"/>
        </w:rPr>
        <w:t xml:space="preserve"> Consejero Ponente: Jaime Orlando Santofimio Gamboa.</w:t>
      </w:r>
    </w:p>
  </w:footnote>
  <w:footnote w:id="13">
    <w:p w14:paraId="7FAC4345" w14:textId="77777777" w:rsidR="00501B0C" w:rsidRPr="000A062D" w:rsidRDefault="00557D14">
      <w:pPr>
        <w:pBdr>
          <w:top w:val="nil"/>
          <w:left w:val="nil"/>
          <w:bottom w:val="nil"/>
          <w:right w:val="nil"/>
          <w:between w:val="nil"/>
        </w:pBdr>
        <w:spacing w:after="0" w:line="240" w:lineRule="auto"/>
        <w:ind w:firstLine="709"/>
        <w:rPr>
          <w:rFonts w:ascii="Arial" w:eastAsia="Arial" w:hAnsi="Arial" w:cs="Arial"/>
          <w:color w:val="000000"/>
          <w:sz w:val="16"/>
          <w:szCs w:val="16"/>
        </w:rPr>
      </w:pPr>
      <w:r w:rsidRPr="000A062D">
        <w:rPr>
          <w:sz w:val="16"/>
          <w:szCs w:val="16"/>
          <w:vertAlign w:val="superscript"/>
        </w:rPr>
        <w:footnoteRef/>
      </w:r>
    </w:p>
    <w:p w14:paraId="0E9DAF8C" w14:textId="77777777" w:rsidR="00501B0C" w:rsidRPr="000A062D" w:rsidRDefault="00557D14">
      <w:pPr>
        <w:pBdr>
          <w:top w:val="nil"/>
          <w:left w:val="nil"/>
          <w:bottom w:val="nil"/>
          <w:right w:val="nil"/>
          <w:between w:val="nil"/>
        </w:pBdr>
        <w:spacing w:after="0" w:line="240" w:lineRule="auto"/>
        <w:ind w:firstLine="709"/>
        <w:rPr>
          <w:rFonts w:ascii="Arial" w:eastAsia="Arial" w:hAnsi="Arial" w:cs="Arial"/>
          <w:color w:val="000000"/>
          <w:sz w:val="16"/>
          <w:szCs w:val="16"/>
        </w:rPr>
      </w:pPr>
      <w:r w:rsidRPr="000A062D">
        <w:rPr>
          <w:rFonts w:ascii="Arial" w:eastAsia="Arial" w:hAnsi="Arial" w:cs="Arial"/>
          <w:color w:val="000000"/>
          <w:sz w:val="16"/>
          <w:szCs w:val="16"/>
        </w:rPr>
        <w:t xml:space="preserve"> Consejo de Estado. Sección Tercera. Subsección C. Auto del 14 de agosto de 2017. Exp. 58.820. C.P. Jaime Orlando Santofimio Gamboa. </w:t>
      </w:r>
    </w:p>
    <w:p w14:paraId="52643C8A" w14:textId="77777777" w:rsidR="00501B0C" w:rsidRPr="000A062D" w:rsidRDefault="00501B0C">
      <w:pPr>
        <w:pBdr>
          <w:top w:val="nil"/>
          <w:left w:val="nil"/>
          <w:bottom w:val="nil"/>
          <w:right w:val="nil"/>
          <w:between w:val="nil"/>
        </w:pBdr>
        <w:spacing w:after="0" w:line="240" w:lineRule="auto"/>
        <w:ind w:firstLine="709"/>
        <w:rPr>
          <w:rFonts w:ascii="Arial" w:eastAsia="Arial" w:hAnsi="Arial" w:cs="Arial"/>
          <w:color w:val="000000"/>
          <w:sz w:val="16"/>
          <w:szCs w:val="16"/>
        </w:rPr>
      </w:pPr>
    </w:p>
  </w:footnote>
  <w:footnote w:id="14">
    <w:p w14:paraId="6A735A30" w14:textId="77777777" w:rsidR="00501B0C" w:rsidRPr="000A062D" w:rsidRDefault="00557D14">
      <w:pPr>
        <w:pBdr>
          <w:top w:val="nil"/>
          <w:left w:val="nil"/>
          <w:bottom w:val="nil"/>
          <w:right w:val="nil"/>
          <w:between w:val="nil"/>
        </w:pBdr>
        <w:spacing w:after="0" w:line="240" w:lineRule="auto"/>
        <w:ind w:firstLine="709"/>
        <w:rPr>
          <w:rFonts w:ascii="Arial" w:eastAsia="Arial" w:hAnsi="Arial" w:cs="Arial"/>
          <w:color w:val="000000"/>
          <w:sz w:val="16"/>
          <w:szCs w:val="16"/>
        </w:rPr>
      </w:pPr>
      <w:r w:rsidRPr="000A062D">
        <w:rPr>
          <w:sz w:val="16"/>
          <w:szCs w:val="16"/>
          <w:vertAlign w:val="superscript"/>
        </w:rPr>
        <w:footnoteRef/>
      </w:r>
      <w:r w:rsidRPr="000A062D">
        <w:rPr>
          <w:rFonts w:ascii="Arial" w:eastAsia="Arial" w:hAnsi="Arial" w:cs="Arial"/>
          <w:color w:val="000000"/>
          <w:sz w:val="16"/>
          <w:szCs w:val="16"/>
        </w:rPr>
        <w:t xml:space="preserve"> Ibíd. </w:t>
      </w:r>
    </w:p>
  </w:footnote>
  <w:footnote w:id="15">
    <w:p w14:paraId="6657DE65" w14:textId="77777777" w:rsidR="00501B0C" w:rsidRPr="000A062D" w:rsidRDefault="00557D14">
      <w:pPr>
        <w:pBdr>
          <w:top w:val="nil"/>
          <w:left w:val="nil"/>
          <w:bottom w:val="nil"/>
          <w:right w:val="nil"/>
          <w:between w:val="nil"/>
        </w:pBdr>
        <w:spacing w:after="0" w:line="240" w:lineRule="auto"/>
        <w:ind w:firstLine="709"/>
        <w:rPr>
          <w:rFonts w:ascii="Arial" w:eastAsia="Arial" w:hAnsi="Arial" w:cs="Arial"/>
          <w:color w:val="000000"/>
          <w:sz w:val="16"/>
          <w:szCs w:val="16"/>
        </w:rPr>
      </w:pPr>
      <w:r w:rsidRPr="000A062D">
        <w:rPr>
          <w:sz w:val="16"/>
          <w:szCs w:val="16"/>
          <w:vertAlign w:val="superscript"/>
        </w:rPr>
        <w:footnoteRef/>
      </w:r>
      <w:r w:rsidRPr="000A062D">
        <w:rPr>
          <w:rFonts w:ascii="Arial" w:eastAsia="Arial" w:hAnsi="Arial" w:cs="Arial"/>
          <w:color w:val="000000"/>
          <w:sz w:val="16"/>
          <w:szCs w:val="16"/>
        </w:rPr>
        <w:t xml:space="preserve"> La anterior posición fue reiterada en las siguientes consultas de los años 2016 y 2017: 416130000999 del 23 de febrero de 2016, 4201613000005457 del 24 de octubre de 2016, 42017000001243 del 15 de marzo de 2017, 4201714000003623 del 21 de julio de 2017, entre otras. En estas consultas se señaló que las entidades con régimen especial de contratación publicarán los documentos del proceso que define el Decreto 1082 de 2015, es decir: (a) los estudios y documentos previos, (b) el aviso de convocatoria; (c) los pliegos de condiciones o la invitación; (d) las Adendas; (e) la oferta; (f) el informe de evaluación; (g) el contrato; y cualquier otro documento expedido por la Entidad Estatal durante el Proceso.  </w:t>
      </w:r>
    </w:p>
    <w:p w14:paraId="53FBA54D" w14:textId="77777777" w:rsidR="00501B0C" w:rsidRPr="000A062D" w:rsidRDefault="00501B0C">
      <w:pPr>
        <w:pBdr>
          <w:top w:val="nil"/>
          <w:left w:val="nil"/>
          <w:bottom w:val="nil"/>
          <w:right w:val="nil"/>
          <w:between w:val="nil"/>
        </w:pBdr>
        <w:spacing w:after="0" w:line="240" w:lineRule="auto"/>
        <w:ind w:firstLine="709"/>
        <w:rPr>
          <w:rFonts w:ascii="Arial" w:eastAsia="Arial" w:hAnsi="Arial" w:cs="Arial"/>
          <w:color w:val="000000"/>
          <w:sz w:val="16"/>
          <w:szCs w:val="16"/>
        </w:rPr>
      </w:pPr>
    </w:p>
  </w:footnote>
  <w:footnote w:id="16">
    <w:p w14:paraId="7801684A" w14:textId="77777777" w:rsidR="00501B0C" w:rsidRPr="000A062D" w:rsidRDefault="00557D14">
      <w:pPr>
        <w:pBdr>
          <w:top w:val="nil"/>
          <w:left w:val="nil"/>
          <w:bottom w:val="nil"/>
          <w:right w:val="nil"/>
          <w:between w:val="nil"/>
        </w:pBdr>
        <w:spacing w:after="0" w:line="240" w:lineRule="auto"/>
        <w:ind w:firstLine="709"/>
        <w:rPr>
          <w:rFonts w:ascii="Arial" w:eastAsia="Arial" w:hAnsi="Arial" w:cs="Arial"/>
          <w:color w:val="000000"/>
          <w:sz w:val="16"/>
          <w:szCs w:val="16"/>
        </w:rPr>
      </w:pPr>
      <w:r w:rsidRPr="000A062D">
        <w:rPr>
          <w:sz w:val="16"/>
          <w:szCs w:val="16"/>
          <w:vertAlign w:val="superscript"/>
        </w:rPr>
        <w:footnoteRef/>
      </w:r>
      <w:r w:rsidRPr="000A062D">
        <w:rPr>
          <w:rFonts w:ascii="Arial" w:eastAsia="Arial" w:hAnsi="Arial" w:cs="Arial"/>
          <w:color w:val="000000"/>
          <w:sz w:val="16"/>
          <w:szCs w:val="16"/>
        </w:rPr>
        <w:t xml:space="preserve"> Esta posición se reiteró en las siguientes consultas: No. 4201813000006842 del 16 de agosto de 2018, 4201813000010011 del 5 de diciembre de 2018, 4201813000009778 del 29 de octubre de 2018, entre otros. Al respecto se indicó lo siguiente: «Las Entidades con regímenes especiales de contratación están obligadas publicar en el SECOP la información resultante de su actividad contractual en todas sus fases que se ejecute con cargo a recursos públicos, según los procedimientos de selección que tengan definidos en su manual de contratación. Estos documentos incluyen invitaciones a participar, documentos de apertura de procesos, términos de referencia, pliegos de condiciones o sus equivalentes, documentos relativos al procedimiento de selección como observaciones y respuesta, informes de evaluación, ofertas ganadoras, contratos, evidencia del seguimiento a la ejecución, actas de liquidación, entre otros.</w:t>
      </w:r>
    </w:p>
    <w:p w14:paraId="690ADF9C" w14:textId="77777777" w:rsidR="00501B0C" w:rsidRPr="000A062D" w:rsidRDefault="00557D14">
      <w:pPr>
        <w:pBdr>
          <w:top w:val="nil"/>
          <w:left w:val="nil"/>
          <w:bottom w:val="nil"/>
          <w:right w:val="nil"/>
          <w:between w:val="nil"/>
        </w:pBdr>
        <w:spacing w:after="0" w:line="240" w:lineRule="auto"/>
        <w:ind w:firstLine="709"/>
        <w:rPr>
          <w:rFonts w:ascii="Arial" w:eastAsia="Arial" w:hAnsi="Arial" w:cs="Arial"/>
          <w:color w:val="000000"/>
          <w:sz w:val="16"/>
          <w:szCs w:val="16"/>
        </w:rPr>
      </w:pPr>
      <w:r w:rsidRPr="000A062D">
        <w:rPr>
          <w:rFonts w:ascii="Arial" w:eastAsia="Arial" w:hAnsi="Arial" w:cs="Arial"/>
          <w:color w:val="000000"/>
          <w:sz w:val="16"/>
          <w:szCs w:val="16"/>
        </w:rPr>
        <w:t>»Así las cosas, se precisa que en la normativa no existe una lista taxativa de los documentos que debe contener cada etapa del Proceso de Contratación, ya que algunos de dichos documentos dependerán de la dinámica en la que se desarrolle la actividad contractual de la Entidad Estatal y de lo establecido en el manual de contratación».</w:t>
      </w:r>
    </w:p>
    <w:p w14:paraId="61313FE8" w14:textId="77777777" w:rsidR="00501B0C" w:rsidRPr="000A062D" w:rsidRDefault="00501B0C">
      <w:pPr>
        <w:pBdr>
          <w:top w:val="nil"/>
          <w:left w:val="nil"/>
          <w:bottom w:val="nil"/>
          <w:right w:val="nil"/>
          <w:between w:val="nil"/>
        </w:pBdr>
        <w:spacing w:after="0" w:line="240" w:lineRule="auto"/>
        <w:ind w:firstLine="709"/>
        <w:rPr>
          <w:rFonts w:ascii="Arial" w:eastAsia="Arial" w:hAnsi="Arial" w:cs="Arial"/>
          <w:color w:val="000000"/>
          <w:sz w:val="16"/>
          <w:szCs w:val="16"/>
        </w:rPr>
      </w:pPr>
    </w:p>
  </w:footnote>
  <w:footnote w:id="17">
    <w:p w14:paraId="396D9820" w14:textId="77777777" w:rsidR="00501B0C" w:rsidRPr="000A062D" w:rsidRDefault="00557D14">
      <w:pPr>
        <w:pBdr>
          <w:top w:val="nil"/>
          <w:left w:val="nil"/>
          <w:bottom w:val="nil"/>
          <w:right w:val="nil"/>
          <w:between w:val="nil"/>
        </w:pBdr>
        <w:spacing w:after="0" w:line="240" w:lineRule="auto"/>
        <w:ind w:firstLine="709"/>
        <w:rPr>
          <w:rFonts w:ascii="Arial" w:eastAsia="Arial" w:hAnsi="Arial" w:cs="Arial"/>
          <w:color w:val="000000"/>
          <w:sz w:val="16"/>
          <w:szCs w:val="16"/>
        </w:rPr>
      </w:pPr>
      <w:r w:rsidRPr="000A062D">
        <w:rPr>
          <w:sz w:val="16"/>
          <w:szCs w:val="16"/>
          <w:vertAlign w:val="superscript"/>
        </w:rPr>
        <w:footnoteRef/>
      </w:r>
      <w:r w:rsidRPr="000A062D">
        <w:rPr>
          <w:rFonts w:ascii="Arial" w:eastAsia="Arial" w:hAnsi="Arial" w:cs="Arial"/>
          <w:color w:val="000000"/>
          <w:sz w:val="16"/>
          <w:szCs w:val="16"/>
        </w:rPr>
        <w:t xml:space="preserve"> Decreto 103 de 2015: «Artículo 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p>
  </w:footnote>
  <w:footnote w:id="18">
    <w:p w14:paraId="3C71CC3B" w14:textId="77777777" w:rsidR="00501B0C" w:rsidRPr="000A062D" w:rsidRDefault="00557D14">
      <w:pPr>
        <w:pBdr>
          <w:top w:val="nil"/>
          <w:left w:val="nil"/>
          <w:bottom w:val="nil"/>
          <w:right w:val="nil"/>
          <w:between w:val="nil"/>
        </w:pBdr>
        <w:spacing w:after="0" w:line="240" w:lineRule="auto"/>
        <w:ind w:firstLine="709"/>
        <w:rPr>
          <w:rFonts w:ascii="Arial" w:eastAsia="Arial" w:hAnsi="Arial" w:cs="Arial"/>
          <w:color w:val="000000"/>
          <w:sz w:val="16"/>
          <w:szCs w:val="16"/>
        </w:rPr>
      </w:pPr>
      <w:r w:rsidRPr="000A062D">
        <w:rPr>
          <w:sz w:val="16"/>
          <w:szCs w:val="16"/>
          <w:vertAlign w:val="superscript"/>
        </w:rPr>
        <w:footnoteRef/>
      </w:r>
    </w:p>
    <w:p w14:paraId="74B4CDA5" w14:textId="77777777" w:rsidR="00501B0C" w:rsidRPr="000A062D" w:rsidRDefault="00557D14">
      <w:pPr>
        <w:pBdr>
          <w:top w:val="nil"/>
          <w:left w:val="nil"/>
          <w:bottom w:val="nil"/>
          <w:right w:val="nil"/>
          <w:between w:val="nil"/>
        </w:pBdr>
        <w:spacing w:after="0" w:line="240" w:lineRule="auto"/>
        <w:ind w:firstLine="709"/>
        <w:rPr>
          <w:rFonts w:ascii="Arial" w:eastAsia="Arial" w:hAnsi="Arial" w:cs="Arial"/>
          <w:color w:val="000000"/>
          <w:sz w:val="16"/>
          <w:szCs w:val="16"/>
        </w:rPr>
      </w:pPr>
      <w:r w:rsidRPr="000A062D">
        <w:rPr>
          <w:rFonts w:ascii="Arial" w:eastAsia="Arial" w:hAnsi="Arial" w:cs="Arial"/>
          <w:color w:val="000000"/>
          <w:sz w:val="16"/>
          <w:szCs w:val="16"/>
        </w:rPr>
        <w:t xml:space="preserve"> Decreto 103 de 2015: «Artículo 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 Colombia Compra Eficiente, el cual debe estar publicado en el sitio web oficial del sujeto obligado».</w:t>
      </w:r>
    </w:p>
    <w:p w14:paraId="57422774" w14:textId="77777777" w:rsidR="00501B0C" w:rsidRPr="000A062D" w:rsidRDefault="00501B0C">
      <w:pPr>
        <w:pBdr>
          <w:top w:val="nil"/>
          <w:left w:val="nil"/>
          <w:bottom w:val="nil"/>
          <w:right w:val="nil"/>
          <w:between w:val="nil"/>
        </w:pBdr>
        <w:spacing w:after="0" w:line="240" w:lineRule="auto"/>
        <w:ind w:firstLine="709"/>
        <w:rPr>
          <w:rFonts w:ascii="Arial" w:eastAsia="Arial" w:hAnsi="Arial" w:cs="Arial"/>
          <w:color w:val="000000"/>
          <w:sz w:val="16"/>
          <w:szCs w:val="16"/>
        </w:rPr>
      </w:pPr>
    </w:p>
  </w:footnote>
  <w:footnote w:id="19">
    <w:p w14:paraId="1FF0785E" w14:textId="77777777" w:rsidR="00501B0C" w:rsidRPr="000A062D" w:rsidRDefault="00557D14">
      <w:pPr>
        <w:pBdr>
          <w:top w:val="nil"/>
          <w:left w:val="nil"/>
          <w:bottom w:val="nil"/>
          <w:right w:val="nil"/>
          <w:between w:val="nil"/>
        </w:pBdr>
        <w:spacing w:after="0" w:line="240" w:lineRule="auto"/>
        <w:ind w:firstLine="709"/>
        <w:rPr>
          <w:rFonts w:ascii="Arial" w:eastAsia="Arial" w:hAnsi="Arial" w:cs="Arial"/>
          <w:color w:val="000000"/>
          <w:sz w:val="16"/>
          <w:szCs w:val="16"/>
        </w:rPr>
      </w:pPr>
      <w:r w:rsidRPr="000A062D">
        <w:rPr>
          <w:sz w:val="16"/>
          <w:szCs w:val="16"/>
          <w:vertAlign w:val="superscript"/>
        </w:rPr>
        <w:footnoteRef/>
      </w:r>
      <w:r w:rsidRPr="000A062D">
        <w:rPr>
          <w:rFonts w:ascii="Arial" w:eastAsia="Arial" w:hAnsi="Arial" w:cs="Arial"/>
          <w:color w:val="000000"/>
          <w:sz w:val="16"/>
          <w:szCs w:val="16"/>
        </w:rPr>
        <w:t xml:space="preserve"> Decreto 103 de 2015: «Artículo 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w:t>
      </w:r>
    </w:p>
    <w:p w14:paraId="67465EDA" w14:textId="77777777" w:rsidR="00501B0C" w:rsidRPr="000A062D" w:rsidRDefault="00557D14">
      <w:pPr>
        <w:pBdr>
          <w:top w:val="nil"/>
          <w:left w:val="nil"/>
          <w:bottom w:val="nil"/>
          <w:right w:val="nil"/>
          <w:between w:val="nil"/>
        </w:pBdr>
        <w:spacing w:after="0" w:line="240" w:lineRule="auto"/>
        <w:ind w:firstLine="709"/>
        <w:rPr>
          <w:rFonts w:ascii="Arial" w:eastAsia="Arial" w:hAnsi="Arial" w:cs="Arial"/>
          <w:color w:val="000000"/>
          <w:sz w:val="16"/>
          <w:szCs w:val="16"/>
        </w:rPr>
      </w:pPr>
      <w:r w:rsidRPr="000A062D">
        <w:rPr>
          <w:rFonts w:ascii="Arial" w:eastAsia="Arial" w:hAnsi="Arial" w:cs="Arial"/>
          <w:color w:val="000000"/>
          <w:sz w:val="16"/>
          <w:szCs w:val="16"/>
        </w:rPr>
        <w:t>»Los sujetos obligados que no contratan con cargo a recursos públicos no están obligados a publicar su Plan Anual de Adquisiciones.</w:t>
      </w:r>
    </w:p>
    <w:p w14:paraId="11B1AD96" w14:textId="77777777" w:rsidR="00501B0C" w:rsidRPr="000A062D" w:rsidRDefault="00557D14">
      <w:pPr>
        <w:pBdr>
          <w:top w:val="nil"/>
          <w:left w:val="nil"/>
          <w:bottom w:val="nil"/>
          <w:right w:val="nil"/>
          <w:between w:val="nil"/>
        </w:pBdr>
        <w:spacing w:after="0" w:line="240" w:lineRule="auto"/>
        <w:ind w:firstLine="709"/>
        <w:rPr>
          <w:rFonts w:ascii="Arial" w:eastAsia="Arial" w:hAnsi="Arial" w:cs="Arial"/>
          <w:color w:val="000000"/>
          <w:sz w:val="16"/>
          <w:szCs w:val="16"/>
        </w:rPr>
      </w:pPr>
      <w:r w:rsidRPr="000A062D">
        <w:rPr>
          <w:rFonts w:ascii="Arial" w:eastAsia="Arial" w:hAnsi="Arial" w:cs="Arial"/>
          <w:color w:val="000000"/>
          <w:sz w:val="16"/>
          <w:szCs w:val="16"/>
        </w:rPr>
        <w:t>»Los sujetos obligados que contratan con cargo a recursos públicos y recursos privados, deben publicar en su página web y en el SECOP el Plan Anual de Adquisiciones para los recursos de carácter público que ejecutarán en el año.</w:t>
      </w:r>
    </w:p>
    <w:p w14:paraId="685D058B" w14:textId="77777777" w:rsidR="00501B0C" w:rsidRPr="000A062D" w:rsidRDefault="00557D14">
      <w:pPr>
        <w:pBdr>
          <w:top w:val="nil"/>
          <w:left w:val="nil"/>
          <w:bottom w:val="nil"/>
          <w:right w:val="nil"/>
          <w:between w:val="nil"/>
        </w:pBdr>
        <w:spacing w:after="0" w:line="240" w:lineRule="auto"/>
        <w:ind w:firstLine="709"/>
        <w:rPr>
          <w:rFonts w:ascii="Arial" w:eastAsia="Arial" w:hAnsi="Arial" w:cs="Arial"/>
          <w:color w:val="000000"/>
          <w:sz w:val="16"/>
          <w:szCs w:val="16"/>
        </w:rPr>
      </w:pPr>
      <w:r w:rsidRPr="000A062D">
        <w:rPr>
          <w:rFonts w:ascii="Arial" w:eastAsia="Arial" w:hAnsi="Arial" w:cs="Arial"/>
          <w:color w:val="000000"/>
          <w:sz w:val="16"/>
          <w:szCs w:val="16"/>
        </w:rPr>
        <w:t>»Se entenderá como definición de Plan Anual de Adquisiciones respecto a todos los sujetos obligados que contratan con recursos públicos, la prevista en el artículo 3° del Decreto 1510 de 2013, o el que lo modifique, sustituya o adicione».</w:t>
      </w:r>
    </w:p>
  </w:footnote>
  <w:footnote w:id="20">
    <w:p w14:paraId="53AA8C39" w14:textId="77777777" w:rsidR="00501B0C" w:rsidRPr="000A062D" w:rsidRDefault="00557D14">
      <w:pPr>
        <w:pBdr>
          <w:top w:val="nil"/>
          <w:left w:val="nil"/>
          <w:bottom w:val="nil"/>
          <w:right w:val="nil"/>
          <w:between w:val="nil"/>
        </w:pBdr>
        <w:spacing w:after="0" w:line="240" w:lineRule="auto"/>
        <w:ind w:firstLine="708"/>
        <w:rPr>
          <w:rFonts w:ascii="Arial" w:eastAsia="Arial" w:hAnsi="Arial" w:cs="Arial"/>
          <w:color w:val="000000"/>
          <w:sz w:val="16"/>
          <w:szCs w:val="16"/>
        </w:rPr>
      </w:pPr>
      <w:r w:rsidRPr="000A062D">
        <w:rPr>
          <w:sz w:val="16"/>
          <w:szCs w:val="16"/>
          <w:vertAlign w:val="superscript"/>
        </w:rPr>
        <w:footnoteRef/>
      </w:r>
      <w:r w:rsidRPr="000A062D">
        <w:rPr>
          <w:rFonts w:ascii="Arial" w:eastAsia="Arial" w:hAnsi="Arial" w:cs="Arial"/>
          <w:color w:val="000000"/>
          <w:sz w:val="16"/>
          <w:szCs w:val="16"/>
        </w:rPr>
        <w:t xml:space="preserve"> Ley 489 de 1998: «Artículo 68: Entidades descentralizadas. 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w:t>
      </w:r>
      <w:r w:rsidRPr="000A062D">
        <w:rPr>
          <w:rFonts w:ascii="Arial" w:eastAsia="Arial" w:hAnsi="Arial" w:cs="Arial"/>
          <w:i/>
          <w:color w:val="000000"/>
          <w:sz w:val="16"/>
          <w:szCs w:val="16"/>
        </w:rPr>
        <w:t>las empresas oficiales de servicios públicos</w:t>
      </w:r>
      <w:r w:rsidRPr="000A062D">
        <w:rPr>
          <w:rFonts w:ascii="Arial" w:eastAsia="Arial" w:hAnsi="Arial" w:cs="Arial"/>
          <w:color w:val="000000"/>
          <w:sz w:val="16"/>
          <w:szCs w:val="16"/>
        </w:rPr>
        <w:t>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 (Énfasis fuera de texto).</w:t>
      </w:r>
    </w:p>
    <w:p w14:paraId="50D241AB" w14:textId="77777777" w:rsidR="00501B0C" w:rsidRPr="000A062D" w:rsidRDefault="00501B0C">
      <w:pPr>
        <w:pBdr>
          <w:top w:val="nil"/>
          <w:left w:val="nil"/>
          <w:bottom w:val="nil"/>
          <w:right w:val="nil"/>
          <w:between w:val="nil"/>
        </w:pBdr>
        <w:spacing w:after="0" w:line="240" w:lineRule="auto"/>
        <w:ind w:firstLine="708"/>
        <w:rPr>
          <w:rFonts w:ascii="Arial" w:eastAsia="Arial" w:hAnsi="Arial" w:cs="Arial"/>
          <w:color w:val="000000"/>
          <w:sz w:val="16"/>
          <w:szCs w:val="16"/>
        </w:rPr>
      </w:pPr>
    </w:p>
  </w:footnote>
  <w:footnote w:id="21">
    <w:p w14:paraId="2D2E2A98" w14:textId="77777777" w:rsidR="00501B0C" w:rsidRPr="000A062D" w:rsidRDefault="00557D14">
      <w:pPr>
        <w:pBdr>
          <w:top w:val="nil"/>
          <w:left w:val="nil"/>
          <w:bottom w:val="nil"/>
          <w:right w:val="nil"/>
          <w:between w:val="nil"/>
        </w:pBdr>
        <w:spacing w:after="0" w:line="240" w:lineRule="auto"/>
        <w:ind w:firstLine="708"/>
        <w:rPr>
          <w:rFonts w:ascii="Arial" w:eastAsia="Arial" w:hAnsi="Arial" w:cs="Arial"/>
          <w:color w:val="000000"/>
          <w:sz w:val="16"/>
          <w:szCs w:val="16"/>
        </w:rPr>
      </w:pPr>
      <w:r w:rsidRPr="000A062D">
        <w:rPr>
          <w:sz w:val="16"/>
          <w:szCs w:val="16"/>
          <w:vertAlign w:val="superscript"/>
        </w:rPr>
        <w:footnoteRef/>
      </w:r>
      <w:r w:rsidRPr="000A062D">
        <w:rPr>
          <w:rFonts w:ascii="Arial" w:eastAsia="Arial" w:hAnsi="Arial" w:cs="Arial"/>
          <w:color w:val="000000"/>
          <w:sz w:val="16"/>
          <w:szCs w:val="16"/>
        </w:rPr>
        <w:t xml:space="preserve"> Corte Constitucional. Sentencia C-736 de 2007. C.P. Marco Gerardo Monroy Cabra: «Obsérvese que si bien el legislador sólo considera explícitamente como entidades descentralizadas a las empresas oficiales de servicios públicos, es decir a aquellas con un capital cien por ciento (100%) estatal, lo cual haría pensar que las mixtas y las privadas no ostentarían esta naturaleza jurídica, a continuación indica que también son entidades descentralizadas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Así las cosas, de manera implícita incluye a las empresas de servicios públicos mixtas o privadas como entidades descentralizadas, por lo cual la Corte no encuentra obstáculo para declarar su constitucionalidad».</w:t>
      </w:r>
    </w:p>
    <w:p w14:paraId="5F24CB27" w14:textId="77777777" w:rsidR="00501B0C" w:rsidRPr="000A062D" w:rsidRDefault="00501B0C">
      <w:pPr>
        <w:pBdr>
          <w:top w:val="nil"/>
          <w:left w:val="nil"/>
          <w:bottom w:val="nil"/>
          <w:right w:val="nil"/>
          <w:between w:val="nil"/>
        </w:pBdr>
        <w:spacing w:after="0" w:line="240" w:lineRule="auto"/>
        <w:ind w:firstLine="708"/>
        <w:rPr>
          <w:rFonts w:ascii="Arial" w:eastAsia="Arial" w:hAnsi="Arial" w:cs="Arial"/>
          <w:color w:val="000000"/>
          <w:sz w:val="16"/>
          <w:szCs w:val="16"/>
        </w:rPr>
      </w:pPr>
    </w:p>
  </w:footnote>
  <w:footnote w:id="22">
    <w:p w14:paraId="21929161" w14:textId="77777777" w:rsidR="00501B0C" w:rsidRPr="000A062D" w:rsidRDefault="00557D14">
      <w:pPr>
        <w:pBdr>
          <w:top w:val="nil"/>
          <w:left w:val="nil"/>
          <w:bottom w:val="nil"/>
          <w:right w:val="nil"/>
          <w:between w:val="nil"/>
        </w:pBdr>
        <w:spacing w:after="0" w:line="240" w:lineRule="auto"/>
        <w:ind w:firstLine="708"/>
        <w:rPr>
          <w:rFonts w:ascii="Arial" w:eastAsia="Arial" w:hAnsi="Arial" w:cs="Arial"/>
          <w:color w:val="000000"/>
          <w:sz w:val="16"/>
          <w:szCs w:val="16"/>
        </w:rPr>
      </w:pPr>
      <w:r w:rsidRPr="000A062D">
        <w:rPr>
          <w:sz w:val="16"/>
          <w:szCs w:val="16"/>
          <w:vertAlign w:val="superscript"/>
        </w:rPr>
        <w:footnoteRef/>
      </w:r>
      <w:r w:rsidRPr="000A062D">
        <w:rPr>
          <w:rFonts w:ascii="Arial" w:eastAsia="Arial" w:hAnsi="Arial" w:cs="Arial"/>
          <w:i/>
          <w:color w:val="000000"/>
          <w:sz w:val="16"/>
          <w:szCs w:val="16"/>
        </w:rPr>
        <w:t xml:space="preserve"> Ibídem.</w:t>
      </w:r>
      <w:r w:rsidRPr="000A062D">
        <w:rPr>
          <w:rFonts w:ascii="Arial" w:eastAsia="Arial" w:hAnsi="Arial" w:cs="Arial"/>
          <w:color w:val="000000"/>
          <w:sz w:val="16"/>
          <w:szCs w:val="16"/>
        </w:rPr>
        <w:t>«No obstante, después de haber estudiado los conceptos de sociedad de economía mixta y de empresa de servicios públicos, la Corte estima que la naturaleza y el régimen jurídico especial de la prestación de los servicios públicos dispuesto por el constituyente en el artículo 365 de la Carta impiden considerar que las empresas de servicios públicos constituidas bajo la forma de sociedades por acciones, en las cuales concurran en cualquier proporción el capital público y el privado, sean “sociedades de economía mixta”. A juicio de la Corporación, y por lo dicho anteriormente, se trata de entidades de tipología especial expresamente definida por el legislador en desarrollo de las normas superiores antes mencionadas, que señalan las particularidades de esta actividad».</w:t>
      </w:r>
    </w:p>
    <w:p w14:paraId="0EDFF388" w14:textId="77777777" w:rsidR="00501B0C" w:rsidRPr="000A062D" w:rsidRDefault="00501B0C">
      <w:pPr>
        <w:pBdr>
          <w:top w:val="nil"/>
          <w:left w:val="nil"/>
          <w:bottom w:val="nil"/>
          <w:right w:val="nil"/>
          <w:between w:val="nil"/>
        </w:pBdr>
        <w:spacing w:after="0" w:line="240" w:lineRule="auto"/>
        <w:ind w:firstLine="708"/>
        <w:rPr>
          <w:rFonts w:ascii="Arial" w:eastAsia="Arial" w:hAnsi="Arial" w:cs="Arial"/>
          <w:color w:val="000000"/>
          <w:sz w:val="16"/>
          <w:szCs w:val="16"/>
        </w:rPr>
      </w:pPr>
    </w:p>
  </w:footnote>
  <w:footnote w:id="23">
    <w:p w14:paraId="408E7236" w14:textId="77777777" w:rsidR="00501B0C" w:rsidRPr="000A062D" w:rsidRDefault="00557D14">
      <w:pPr>
        <w:pBdr>
          <w:top w:val="nil"/>
          <w:left w:val="nil"/>
          <w:bottom w:val="nil"/>
          <w:right w:val="nil"/>
          <w:between w:val="nil"/>
        </w:pBdr>
        <w:spacing w:after="0" w:line="240" w:lineRule="auto"/>
        <w:ind w:firstLine="708"/>
        <w:rPr>
          <w:rFonts w:ascii="Arial" w:eastAsia="Arial" w:hAnsi="Arial" w:cs="Arial"/>
          <w:color w:val="000000"/>
          <w:sz w:val="16"/>
          <w:szCs w:val="16"/>
        </w:rPr>
      </w:pPr>
      <w:r w:rsidRPr="000A062D">
        <w:rPr>
          <w:sz w:val="16"/>
          <w:szCs w:val="16"/>
          <w:vertAlign w:val="superscript"/>
        </w:rPr>
        <w:footnoteRef/>
      </w:r>
      <w:r w:rsidRPr="000A062D">
        <w:rPr>
          <w:rFonts w:ascii="Arial" w:eastAsia="Arial" w:hAnsi="Arial" w:cs="Arial"/>
          <w:color w:val="000000"/>
          <w:sz w:val="16"/>
          <w:szCs w:val="16"/>
        </w:rPr>
        <w:t xml:space="preserve"> La Ley 1150 de 2007, en el artículo 13, dispone lo siguiente: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33C0583C" w14:textId="77777777" w:rsidR="00501B0C" w:rsidRPr="000A062D" w:rsidRDefault="00501B0C">
      <w:pPr>
        <w:pBdr>
          <w:top w:val="nil"/>
          <w:left w:val="nil"/>
          <w:bottom w:val="nil"/>
          <w:right w:val="nil"/>
          <w:between w:val="nil"/>
        </w:pBdr>
        <w:spacing w:after="0" w:line="240" w:lineRule="auto"/>
        <w:ind w:firstLine="708"/>
        <w:rPr>
          <w:rFonts w:ascii="Arial" w:eastAsia="Arial" w:hAnsi="Arial" w:cs="Arial"/>
          <w:color w:val="000000"/>
          <w:sz w:val="16"/>
          <w:szCs w:val="16"/>
        </w:rPr>
      </w:pPr>
    </w:p>
  </w:footnote>
  <w:footnote w:id="24">
    <w:p w14:paraId="7505CEBC" w14:textId="77777777" w:rsidR="00501B0C" w:rsidRPr="000A062D" w:rsidRDefault="00557D14">
      <w:pPr>
        <w:pBdr>
          <w:top w:val="nil"/>
          <w:left w:val="nil"/>
          <w:bottom w:val="nil"/>
          <w:right w:val="nil"/>
          <w:between w:val="nil"/>
        </w:pBdr>
        <w:spacing w:after="0" w:line="240" w:lineRule="auto"/>
        <w:ind w:firstLine="708"/>
        <w:rPr>
          <w:rFonts w:ascii="Arial" w:eastAsia="Arial" w:hAnsi="Arial" w:cs="Arial"/>
          <w:color w:val="000000"/>
          <w:sz w:val="16"/>
          <w:szCs w:val="16"/>
        </w:rPr>
      </w:pPr>
      <w:r w:rsidRPr="000A062D">
        <w:rPr>
          <w:sz w:val="16"/>
          <w:szCs w:val="16"/>
          <w:vertAlign w:val="superscript"/>
        </w:rPr>
        <w:footnoteRef/>
      </w:r>
      <w:r w:rsidRPr="000A062D">
        <w:rPr>
          <w:rFonts w:ascii="Arial" w:eastAsia="Arial" w:hAnsi="Arial" w:cs="Arial"/>
          <w:color w:val="000000"/>
          <w:sz w:val="16"/>
          <w:szCs w:val="16"/>
        </w:rPr>
        <w:t xml:space="preserve"> Decreto 4170 de 2011: «Artículo 3. Funciones: La Agencia Nacional de Contratación Pública –Colombia Compra Eficiente– ejercerá las siguientes funciones:</w:t>
      </w:r>
    </w:p>
    <w:p w14:paraId="7AD8F36F" w14:textId="77777777" w:rsidR="00501B0C" w:rsidRPr="000A062D" w:rsidRDefault="00557D14">
      <w:pPr>
        <w:pBdr>
          <w:top w:val="nil"/>
          <w:left w:val="nil"/>
          <w:bottom w:val="nil"/>
          <w:right w:val="nil"/>
          <w:between w:val="nil"/>
        </w:pBdr>
        <w:spacing w:after="0" w:line="240" w:lineRule="auto"/>
        <w:ind w:firstLine="708"/>
        <w:rPr>
          <w:rFonts w:ascii="Arial" w:eastAsia="Arial" w:hAnsi="Arial" w:cs="Arial"/>
          <w:color w:val="000000"/>
          <w:sz w:val="16"/>
          <w:szCs w:val="16"/>
        </w:rPr>
      </w:pPr>
      <w:r w:rsidRPr="000A062D">
        <w:rPr>
          <w:rFonts w:ascii="Arial" w:eastAsia="Arial" w:hAnsi="Arial" w:cs="Arial"/>
          <w:color w:val="000000"/>
          <w:sz w:val="16"/>
          <w:szCs w:val="16"/>
        </w:rPr>
        <w:t>[...]</w:t>
      </w:r>
    </w:p>
    <w:p w14:paraId="6FFFF450" w14:textId="77777777" w:rsidR="00501B0C" w:rsidRPr="000A062D" w:rsidRDefault="00501B0C">
      <w:pPr>
        <w:pBdr>
          <w:top w:val="nil"/>
          <w:left w:val="nil"/>
          <w:bottom w:val="nil"/>
          <w:right w:val="nil"/>
          <w:between w:val="nil"/>
        </w:pBdr>
        <w:spacing w:after="0" w:line="240" w:lineRule="auto"/>
        <w:ind w:firstLine="708"/>
        <w:rPr>
          <w:rFonts w:ascii="Arial" w:eastAsia="Arial" w:hAnsi="Arial" w:cs="Arial"/>
          <w:color w:val="000000"/>
          <w:sz w:val="16"/>
          <w:szCs w:val="16"/>
        </w:rPr>
      </w:pPr>
    </w:p>
    <w:p w14:paraId="494C9F2B" w14:textId="77777777" w:rsidR="00501B0C" w:rsidRPr="000A062D" w:rsidRDefault="00557D14">
      <w:pPr>
        <w:pBdr>
          <w:top w:val="nil"/>
          <w:left w:val="nil"/>
          <w:bottom w:val="nil"/>
          <w:right w:val="nil"/>
          <w:between w:val="nil"/>
        </w:pBdr>
        <w:spacing w:after="0" w:line="240" w:lineRule="auto"/>
        <w:ind w:firstLine="708"/>
        <w:rPr>
          <w:rFonts w:ascii="Arial" w:eastAsia="Arial" w:hAnsi="Arial" w:cs="Arial"/>
          <w:color w:val="000000"/>
          <w:sz w:val="16"/>
          <w:szCs w:val="16"/>
        </w:rPr>
      </w:pPr>
      <w:r w:rsidRPr="000A062D">
        <w:rPr>
          <w:rFonts w:ascii="Arial" w:eastAsia="Arial" w:hAnsi="Arial" w:cs="Arial"/>
          <w:color w:val="000000"/>
          <w:sz w:val="16"/>
          <w:szCs w:val="16"/>
        </w:rPr>
        <w:t>»8. Desarrollar y administrar el Sistema Electrónico para la Contratación Pública (SECOP) o el que haga sus veces, y gestionar nuevos desarrollos tecnológicos en los asuntos de su competencia, teniendo en cuenta los parámetros fijados por el Consejo Directivo.</w:t>
      </w:r>
    </w:p>
    <w:p w14:paraId="1B830313" w14:textId="77777777" w:rsidR="00501B0C" w:rsidRPr="000A062D" w:rsidRDefault="00557D14">
      <w:pPr>
        <w:pBdr>
          <w:top w:val="nil"/>
          <w:left w:val="nil"/>
          <w:bottom w:val="nil"/>
          <w:right w:val="nil"/>
          <w:between w:val="nil"/>
        </w:pBdr>
        <w:spacing w:after="0" w:line="240" w:lineRule="auto"/>
        <w:ind w:firstLine="708"/>
        <w:rPr>
          <w:rFonts w:ascii="Arial" w:eastAsia="Arial" w:hAnsi="Arial" w:cs="Arial"/>
          <w:color w:val="000000"/>
          <w:sz w:val="16"/>
          <w:szCs w:val="16"/>
        </w:rPr>
      </w:pPr>
      <w:r w:rsidRPr="000A062D">
        <w:rPr>
          <w:rFonts w:ascii="Arial" w:eastAsia="Arial" w:hAnsi="Arial" w:cs="Arial"/>
          <w:color w:val="000000"/>
          <w:sz w:val="16"/>
          <w:szCs w:val="16"/>
        </w:rPr>
        <w:t>[...]».</w:t>
      </w:r>
    </w:p>
  </w:footnote>
  <w:footnote w:id="25">
    <w:p w14:paraId="0C19AA33" w14:textId="77777777" w:rsidR="00501B0C" w:rsidRPr="000A062D" w:rsidRDefault="00557D14">
      <w:pPr>
        <w:pBdr>
          <w:top w:val="nil"/>
          <w:left w:val="nil"/>
          <w:bottom w:val="nil"/>
          <w:right w:val="nil"/>
          <w:between w:val="nil"/>
        </w:pBdr>
        <w:spacing w:after="0" w:line="240" w:lineRule="auto"/>
        <w:ind w:firstLine="708"/>
        <w:jc w:val="left"/>
        <w:rPr>
          <w:rFonts w:ascii="Arial" w:eastAsia="Arial" w:hAnsi="Arial" w:cs="Arial"/>
          <w:color w:val="000000"/>
          <w:sz w:val="16"/>
          <w:szCs w:val="16"/>
        </w:rPr>
      </w:pPr>
      <w:r w:rsidRPr="000A062D">
        <w:rPr>
          <w:sz w:val="16"/>
          <w:szCs w:val="16"/>
          <w:vertAlign w:val="superscript"/>
        </w:rPr>
        <w:footnoteRef/>
      </w:r>
      <w:r w:rsidRPr="000A062D">
        <w:rPr>
          <w:rFonts w:ascii="Arial" w:eastAsia="Arial" w:hAnsi="Arial" w:cs="Arial"/>
          <w:color w:val="000000"/>
          <w:sz w:val="16"/>
          <w:szCs w:val="16"/>
        </w:rPr>
        <w:t xml:space="preserve"> Ver: Artículo 9 del Decreto 92 de 2017 y los conceptos 4201913000005551 del 9/09/2019, C-014 de 2020, C.670 de 2020.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7E84" w14:textId="77777777" w:rsidR="00501B0C" w:rsidRDefault="00557D14">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2F3C0AA3" wp14:editId="2D70C9A9">
          <wp:simplePos x="0" y="0"/>
          <wp:positionH relativeFrom="column">
            <wp:posOffset>4458335</wp:posOffset>
          </wp:positionH>
          <wp:positionV relativeFrom="paragraph">
            <wp:posOffset>171450</wp:posOffset>
          </wp:positionV>
          <wp:extent cx="1257300" cy="51625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57300" cy="516255"/>
                  </a:xfrm>
                  <a:prstGeom prst="rect">
                    <a:avLst/>
                  </a:prstGeom>
                  <a:ln/>
                </pic:spPr>
              </pic:pic>
            </a:graphicData>
          </a:graphic>
        </wp:anchor>
      </w:drawing>
    </w:r>
  </w:p>
  <w:p w14:paraId="72A65C1A" w14:textId="77777777" w:rsidR="00501B0C" w:rsidRDefault="00501B0C">
    <w:pPr>
      <w:pBdr>
        <w:top w:val="nil"/>
        <w:left w:val="nil"/>
        <w:bottom w:val="nil"/>
        <w:right w:val="nil"/>
        <w:between w:val="nil"/>
      </w:pBdr>
      <w:tabs>
        <w:tab w:val="center" w:pos="4252"/>
        <w:tab w:val="right" w:pos="8504"/>
      </w:tabs>
      <w:spacing w:after="0"/>
      <w:rPr>
        <w:color w:val="000000"/>
      </w:rPr>
    </w:pPr>
  </w:p>
  <w:p w14:paraId="73283C97" w14:textId="77777777" w:rsidR="00501B0C" w:rsidRDefault="00501B0C">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32CE4"/>
    <w:multiLevelType w:val="multilevel"/>
    <w:tmpl w:val="B00C2C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78678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B0C"/>
    <w:rsid w:val="000A062D"/>
    <w:rsid w:val="00212092"/>
    <w:rsid w:val="00254A44"/>
    <w:rsid w:val="0034425B"/>
    <w:rsid w:val="00501B0C"/>
    <w:rsid w:val="00557D14"/>
    <w:rsid w:val="009D2FA3"/>
    <w:rsid w:val="00B51A7A"/>
    <w:rsid w:val="00C161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B6F1"/>
  <w15:docId w15:val="{2FBF6F6A-AC9C-BB4D-9314-CF0E5884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s-ES_tradnl"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60" w:line="240" w:lineRule="auto"/>
      <w:jc w:val="left"/>
      <w:outlineLvl w:val="0"/>
    </w:pPr>
    <w:rPr>
      <w:rFonts w:ascii="Arial" w:eastAsia="Arial" w:hAnsi="Arial" w:cs="Arial"/>
      <w:b/>
      <w:sz w:val="32"/>
      <w:szCs w:val="32"/>
    </w:rPr>
  </w:style>
  <w:style w:type="paragraph" w:styleId="Ttulo2">
    <w:name w:val="heading 2"/>
    <w:basedOn w:val="Normal"/>
    <w:next w:val="Normal"/>
    <w:uiPriority w:val="9"/>
    <w:semiHidden/>
    <w:unhideWhenUsed/>
    <w:qFormat/>
    <w:pPr>
      <w:keepNext/>
      <w:spacing w:before="240" w:after="60" w:line="240" w:lineRule="auto"/>
      <w:ind w:left="720"/>
      <w:jc w:val="left"/>
      <w:outlineLvl w:val="1"/>
    </w:pPr>
    <w:rPr>
      <w:rFonts w:ascii="Arial" w:eastAsia="Arial" w:hAnsi="Arial" w:cs="Arial"/>
      <w:b/>
      <w:i/>
      <w:sz w:val="28"/>
      <w:szCs w:val="28"/>
    </w:rPr>
  </w:style>
  <w:style w:type="paragraph" w:styleId="Ttulo3">
    <w:name w:val="heading 3"/>
    <w:basedOn w:val="Normal"/>
    <w:next w:val="Normal"/>
    <w:uiPriority w:val="9"/>
    <w:semiHidden/>
    <w:unhideWhenUsed/>
    <w:qFormat/>
    <w:pPr>
      <w:keepNext/>
      <w:spacing w:before="240" w:after="60" w:line="240" w:lineRule="auto"/>
      <w:ind w:left="1440"/>
      <w:jc w:val="left"/>
      <w:outlineLvl w:val="2"/>
    </w:pPr>
    <w:rPr>
      <w:rFonts w:ascii="Arial" w:eastAsia="Arial" w:hAnsi="Arial" w:cs="Arial"/>
      <w:b/>
      <w:sz w:val="26"/>
      <w:szCs w:val="26"/>
    </w:rPr>
  </w:style>
  <w:style w:type="paragraph" w:styleId="Ttulo4">
    <w:name w:val="heading 4"/>
    <w:basedOn w:val="Normal"/>
    <w:next w:val="Normal"/>
    <w:uiPriority w:val="9"/>
    <w:semiHidden/>
    <w:unhideWhenUsed/>
    <w:qFormat/>
    <w:pPr>
      <w:keepNext/>
      <w:spacing w:before="240" w:after="60" w:line="240" w:lineRule="auto"/>
      <w:ind w:left="2160"/>
      <w:jc w:val="left"/>
      <w:outlineLvl w:val="3"/>
    </w:pPr>
    <w:rPr>
      <w:rFonts w:ascii="Times New Roman" w:eastAsia="Times New Roman" w:hAnsi="Times New Roman" w:cs="Times New Roman"/>
      <w:b/>
      <w:sz w:val="28"/>
      <w:szCs w:val="28"/>
    </w:rPr>
  </w:style>
  <w:style w:type="paragraph" w:styleId="Ttulo5">
    <w:name w:val="heading 5"/>
    <w:basedOn w:val="Normal"/>
    <w:next w:val="Normal"/>
    <w:uiPriority w:val="9"/>
    <w:semiHidden/>
    <w:unhideWhenUsed/>
    <w:qFormat/>
    <w:pPr>
      <w:spacing w:before="240" w:after="60" w:line="240" w:lineRule="auto"/>
      <w:ind w:left="2880"/>
      <w:jc w:val="left"/>
      <w:outlineLvl w:val="4"/>
    </w:pPr>
    <w:rPr>
      <w:rFonts w:ascii="Times New Roman" w:eastAsia="Times New Roman" w:hAnsi="Times New Roman" w:cs="Times New Roman"/>
      <w:b/>
      <w:i/>
      <w:sz w:val="26"/>
      <w:szCs w:val="26"/>
    </w:rPr>
  </w:style>
  <w:style w:type="paragraph" w:styleId="Ttulo6">
    <w:name w:val="heading 6"/>
    <w:basedOn w:val="Normal"/>
    <w:next w:val="Normal"/>
    <w:uiPriority w:val="9"/>
    <w:semiHidden/>
    <w:unhideWhenUsed/>
    <w:qFormat/>
    <w:pPr>
      <w:spacing w:before="240" w:after="60" w:line="240" w:lineRule="auto"/>
      <w:ind w:left="3600"/>
      <w:jc w:val="left"/>
      <w:outlineLvl w:val="5"/>
    </w:pPr>
    <w:rPr>
      <w:rFonts w:ascii="Times New Roman" w:eastAsia="Times New Roman" w:hAnsi="Times New Roman" w:cs="Times New Roman"/>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before="120" w:after="0" w:line="240" w:lineRule="auto"/>
      <w:jc w:val="left"/>
    </w:pPr>
    <w:tblPr>
      <w:tblStyleRowBandSize w:val="1"/>
      <w:tblStyleColBandSize w:val="1"/>
      <w:tblCellMar>
        <w:left w:w="108" w:type="dxa"/>
        <w:right w:w="108" w:type="dxa"/>
      </w:tblCellMar>
    </w:tblPr>
  </w:style>
  <w:style w:type="table" w:customStyle="1" w:styleId="a0">
    <w:basedOn w:val="TableNormal"/>
    <w:pPr>
      <w:spacing w:before="120" w:after="0" w:line="240" w:lineRule="auto"/>
      <w:jc w:val="left"/>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secop-ii"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ombiacompra.gov.co/node/3074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lombiacompra.gov.co/node/23628" TargetMode="External"/><Relationship Id="rId5" Type="http://schemas.openxmlformats.org/officeDocument/2006/relationships/styles" Target="styles.xml"/><Relationship Id="rId15" Type="http://schemas.openxmlformats.org/officeDocument/2006/relationships/image" Target="media/image10.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ombiacompra.gov.co/mesa-de-servici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ficha/C-241%20de%20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4832B0-5557-465C-8827-D1B97AF8CDF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43F240E9-72CA-4304-93F2-3B84B0B77D3A}">
  <ds:schemaRefs>
    <ds:schemaRef ds:uri="http://schemas.microsoft.com/sharepoint/v3/contenttype/forms"/>
  </ds:schemaRefs>
</ds:datastoreItem>
</file>

<file path=customXml/itemProps3.xml><?xml version="1.0" encoding="utf-8"?>
<ds:datastoreItem xmlns:ds="http://schemas.openxmlformats.org/officeDocument/2006/customXml" ds:itemID="{84F6E0F2-046D-4E20-9038-D3CF87B0C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6951</Words>
  <Characters>38231</Characters>
  <Application>Microsoft Office Word</Application>
  <DocSecurity>0</DocSecurity>
  <Lines>318</Lines>
  <Paragraphs>90</Paragraphs>
  <ScaleCrop>false</ScaleCrop>
  <Company/>
  <LinksUpToDate>false</LinksUpToDate>
  <CharactersWithSpaces>45092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MORALES</dc:creator>
  <cp:lastModifiedBy>Jorge Eliecer Moran Buitrón</cp:lastModifiedBy>
  <cp:revision>3</cp:revision>
  <dcterms:created xsi:type="dcterms:W3CDTF">2022-02-14T21:40:00Z</dcterms:created>
  <dcterms:modified xsi:type="dcterms:W3CDTF">2022-04-22T20:32:00Z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