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19DC3796" w:rsidR="002415B8" w:rsidRPr="003E6423" w:rsidRDefault="001402A2" w:rsidP="008536BB">
      <w:pPr>
        <w:jc w:val="right"/>
        <w:rPr>
          <w:rFonts w:ascii="Arial" w:eastAsia="Calibri" w:hAnsi="Arial" w:cs="Arial"/>
          <w:b/>
          <w:sz w:val="20"/>
          <w:szCs w:val="20"/>
          <w:lang w:val="es-ES_tradnl"/>
        </w:rPr>
      </w:pPr>
      <w:bookmarkStart w:id="0" w:name="_Hlk28946138"/>
      <w:bookmarkStart w:id="1" w:name="_Hlk29548183"/>
      <w:r>
        <w:rPr>
          <w:rFonts w:ascii="Arial" w:hAnsi="Arial" w:cs="Arial"/>
          <w:bCs/>
          <w:sz w:val="16"/>
          <w:szCs w:val="16"/>
          <w:lang w:val="es-ES_tradnl" w:eastAsia="es-ES"/>
        </w:rPr>
        <w:t xml:space="preserve">                                         </w:t>
      </w:r>
      <w:r w:rsidR="00B55C69" w:rsidRPr="003E6423">
        <w:rPr>
          <w:rFonts w:ascii="Arial" w:hAnsi="Arial" w:cs="Arial"/>
          <w:bCs/>
          <w:sz w:val="16"/>
          <w:szCs w:val="16"/>
          <w:lang w:val="es-ES_tradnl" w:eastAsia="es-ES"/>
        </w:rPr>
        <w:t>CCE-DES-FM-17</w:t>
      </w:r>
      <w:bookmarkEnd w:id="0"/>
      <w:bookmarkEnd w:id="1"/>
    </w:p>
    <w:p w14:paraId="17A05F16" w14:textId="77777777" w:rsidR="00580772" w:rsidRPr="003E6423" w:rsidRDefault="00580772" w:rsidP="00E52CE7">
      <w:pPr>
        <w:jc w:val="both"/>
        <w:rPr>
          <w:rFonts w:ascii="Arial" w:eastAsia="Calibri" w:hAnsi="Arial" w:cs="Arial"/>
          <w:b/>
          <w:sz w:val="22"/>
        </w:rPr>
      </w:pPr>
    </w:p>
    <w:p w14:paraId="067093DE" w14:textId="4D666D40" w:rsidR="00E52CE7" w:rsidRPr="003E6423" w:rsidRDefault="00E52CE7" w:rsidP="00E52CE7">
      <w:pPr>
        <w:jc w:val="both"/>
        <w:rPr>
          <w:rFonts w:ascii="Arial" w:eastAsia="Calibri" w:hAnsi="Arial" w:cs="Arial"/>
          <w:b/>
          <w:sz w:val="22"/>
        </w:rPr>
      </w:pPr>
      <w:r w:rsidRPr="003E6423">
        <w:rPr>
          <w:rFonts w:ascii="Arial" w:eastAsia="Calibri" w:hAnsi="Arial" w:cs="Arial"/>
          <w:b/>
          <w:sz w:val="22"/>
        </w:rPr>
        <w:t xml:space="preserve">LEY DE EMPRENDIMIENTO – </w:t>
      </w:r>
      <w:r w:rsidR="00F70F32" w:rsidRPr="003E6423">
        <w:rPr>
          <w:rFonts w:ascii="Arial" w:eastAsia="Calibri" w:hAnsi="Arial" w:cs="Arial"/>
          <w:b/>
          <w:sz w:val="22"/>
        </w:rPr>
        <w:t xml:space="preserve">Ley 2069 de 2020 – </w:t>
      </w:r>
      <w:r w:rsidRPr="003E6423">
        <w:rPr>
          <w:rFonts w:ascii="Arial" w:eastAsia="Calibri" w:hAnsi="Arial" w:cs="Arial"/>
          <w:b/>
          <w:sz w:val="22"/>
        </w:rPr>
        <w:t xml:space="preserve">Finalidad </w:t>
      </w:r>
    </w:p>
    <w:p w14:paraId="49D41540" w14:textId="77777777" w:rsidR="00F70F32" w:rsidRPr="003E6423" w:rsidRDefault="00F70F32" w:rsidP="00E52CE7">
      <w:pPr>
        <w:jc w:val="both"/>
        <w:rPr>
          <w:rFonts w:ascii="Arial" w:eastAsia="Calibri" w:hAnsi="Arial" w:cs="Arial"/>
          <w:b/>
          <w:sz w:val="22"/>
        </w:rPr>
      </w:pPr>
    </w:p>
    <w:p w14:paraId="3423CA52" w14:textId="304D3050" w:rsidR="00E52CE7" w:rsidRPr="003E6423" w:rsidRDefault="00F70F32" w:rsidP="00F70F32">
      <w:pPr>
        <w:jc w:val="both"/>
        <w:rPr>
          <w:rFonts w:ascii="Arial" w:eastAsia="Calibri" w:hAnsi="Arial" w:cs="Arial"/>
          <w:sz w:val="20"/>
          <w:szCs w:val="20"/>
        </w:rPr>
      </w:pPr>
      <w:r w:rsidRPr="003E6423">
        <w:rPr>
          <w:rFonts w:ascii="Arial" w:eastAsia="Calibri" w:hAnsi="Arial" w:cs="Arial"/>
          <w:sz w:val="20"/>
          <w:szCs w:val="20"/>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r w:rsidR="001402A2" w:rsidRPr="003E6423">
        <w:rPr>
          <w:rFonts w:ascii="Arial" w:eastAsia="Calibri" w:hAnsi="Arial" w:cs="Arial"/>
          <w:sz w:val="20"/>
          <w:szCs w:val="20"/>
        </w:rPr>
        <w:t xml:space="preserve"> </w:t>
      </w:r>
      <w:r w:rsidRPr="003E6423">
        <w:rPr>
          <w:rFonts w:ascii="Arial" w:eastAsia="Calibri" w:hAnsi="Arial" w:cs="Arial"/>
          <w:sz w:val="20"/>
          <w:szCs w:val="20"/>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 así como incentivos a favor de aquellas dentro del sistema de compras y contratación pública . También se consagran mecanismos de acceso al financiamiento , se unifican las fuentes de emprendimiento y de desarrollo empresarial, para fortalecer y promover los distintos sectores de la economía  y se prevén medidas de educación para el emprendimiento y la innovación .</w:t>
      </w:r>
    </w:p>
    <w:p w14:paraId="404EA19E" w14:textId="77777777" w:rsidR="00F70F32" w:rsidRPr="003E6423" w:rsidRDefault="00F70F32" w:rsidP="00E52CE7">
      <w:pPr>
        <w:jc w:val="both"/>
        <w:rPr>
          <w:rFonts w:ascii="Arial" w:eastAsia="Calibri" w:hAnsi="Arial" w:cs="Arial"/>
          <w:sz w:val="20"/>
          <w:szCs w:val="20"/>
        </w:rPr>
      </w:pPr>
    </w:p>
    <w:p w14:paraId="09D3CE4E" w14:textId="08CC4F70" w:rsidR="00F70F32" w:rsidRPr="003E6423" w:rsidRDefault="00F70F32" w:rsidP="00E52CE7">
      <w:pPr>
        <w:jc w:val="both"/>
        <w:rPr>
          <w:rFonts w:ascii="Arial" w:eastAsia="Calibri" w:hAnsi="Arial" w:cs="Arial"/>
          <w:b/>
          <w:sz w:val="22"/>
        </w:rPr>
      </w:pPr>
      <w:r w:rsidRPr="003E6423">
        <w:rPr>
          <w:rFonts w:ascii="Arial" w:eastAsia="Calibri" w:hAnsi="Arial" w:cs="Arial"/>
          <w:b/>
          <w:sz w:val="22"/>
        </w:rPr>
        <w:t>LEY DE EMPRENDIMIENTO – Ley 2069 de 2020 – Reglamentación – Decreto 1860 de 2021</w:t>
      </w:r>
    </w:p>
    <w:p w14:paraId="21103203" w14:textId="77777777" w:rsidR="00FF4AE4" w:rsidRPr="003E6423" w:rsidRDefault="00FF4AE4" w:rsidP="00E52CE7">
      <w:pPr>
        <w:jc w:val="both"/>
        <w:rPr>
          <w:rFonts w:ascii="Arial" w:eastAsia="Calibri" w:hAnsi="Arial" w:cs="Arial"/>
          <w:sz w:val="20"/>
          <w:szCs w:val="20"/>
        </w:rPr>
      </w:pPr>
    </w:p>
    <w:p w14:paraId="38399E38" w14:textId="4F8D25BB" w:rsidR="00E52CE7" w:rsidRPr="003E6423" w:rsidRDefault="00F70F32" w:rsidP="00E52CE7">
      <w:pPr>
        <w:jc w:val="both"/>
        <w:rPr>
          <w:rFonts w:ascii="Arial" w:eastAsia="Calibri" w:hAnsi="Arial" w:cs="Arial"/>
          <w:sz w:val="20"/>
          <w:szCs w:val="20"/>
        </w:rPr>
      </w:pPr>
      <w:r w:rsidRPr="003E6423">
        <w:rPr>
          <w:rFonts w:ascii="Arial" w:eastAsia="Calibri" w:hAnsi="Arial" w:cs="Arial"/>
          <w:sz w:val="20"/>
          <w:szCs w:val="20"/>
        </w:rPr>
        <w:t xml:space="preserve">El pasado 24 de diciembre, el gobierno nacional expidió el Decreto 1860 de 2021,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modificaciones normativas requeridas para aplicar estas disposiciones, tal como indica el artículo 1 del Decreto 1860 de 2021.  </w:t>
      </w:r>
    </w:p>
    <w:p w14:paraId="057829AE" w14:textId="77777777" w:rsidR="00F70F32" w:rsidRPr="003E6423" w:rsidRDefault="00F70F32" w:rsidP="00E52CE7">
      <w:pPr>
        <w:jc w:val="both"/>
        <w:rPr>
          <w:rFonts w:ascii="Arial" w:eastAsia="Calibri" w:hAnsi="Arial" w:cs="Arial"/>
          <w:sz w:val="20"/>
          <w:szCs w:val="20"/>
        </w:rPr>
      </w:pPr>
    </w:p>
    <w:p w14:paraId="3778659B" w14:textId="325EE3E8" w:rsidR="00F70F32" w:rsidRPr="003E6423" w:rsidRDefault="00F70F32" w:rsidP="00F70F32">
      <w:pPr>
        <w:jc w:val="both"/>
        <w:rPr>
          <w:rFonts w:ascii="Arial" w:eastAsia="Calibri" w:hAnsi="Arial" w:cs="Arial"/>
          <w:sz w:val="20"/>
          <w:szCs w:val="20"/>
        </w:rPr>
      </w:pPr>
      <w:r w:rsidRPr="003E6423">
        <w:rPr>
          <w:rFonts w:ascii="Arial" w:eastAsia="Calibri" w:hAnsi="Arial" w:cs="Arial"/>
          <w:b/>
          <w:sz w:val="22"/>
        </w:rPr>
        <w:t>DECRETO 1860 DE 2021 – Vigencia – Artículo 8</w:t>
      </w:r>
    </w:p>
    <w:p w14:paraId="2AF38476" w14:textId="77777777" w:rsidR="00E52CE7" w:rsidRPr="003E6423" w:rsidRDefault="00E52CE7" w:rsidP="00E52CE7">
      <w:pPr>
        <w:jc w:val="both"/>
        <w:rPr>
          <w:rFonts w:ascii="Arial" w:eastAsia="Calibri" w:hAnsi="Arial" w:cs="Arial"/>
          <w:b/>
          <w:sz w:val="20"/>
          <w:szCs w:val="20"/>
        </w:rPr>
      </w:pPr>
    </w:p>
    <w:p w14:paraId="03D1C3C2" w14:textId="303E732F" w:rsidR="00580772" w:rsidRPr="003E6423" w:rsidRDefault="00F70F32" w:rsidP="00BD57BF">
      <w:pPr>
        <w:jc w:val="both"/>
        <w:rPr>
          <w:rFonts w:ascii="Arial" w:eastAsia="Calibri" w:hAnsi="Arial" w:cs="Arial"/>
          <w:b/>
          <w:sz w:val="22"/>
        </w:rPr>
      </w:pPr>
      <w:r w:rsidRPr="003E6423">
        <w:rPr>
          <w:rFonts w:ascii="Arial" w:eastAsia="Calibri" w:hAnsi="Arial" w:cs="Arial"/>
          <w:bCs/>
          <w:sz w:val="20"/>
          <w:szCs w:val="20"/>
          <w:lang w:val="es-ES"/>
        </w:rPr>
        <w:t>Por último, debe precisarse que la vigencia del Decreto 1860 de 2021 es regulada por su artículo 8, el cual establece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 .</w:t>
      </w:r>
    </w:p>
    <w:p w14:paraId="09184048" w14:textId="66D59788" w:rsidR="004602E2" w:rsidRPr="003E6423" w:rsidRDefault="004602E2" w:rsidP="000C2CC9">
      <w:pPr>
        <w:jc w:val="both"/>
        <w:rPr>
          <w:rFonts w:ascii="Arial" w:hAnsi="Arial" w:cs="Arial"/>
          <w:b/>
          <w:bCs/>
          <w:noProof/>
          <w:sz w:val="22"/>
          <w:lang w:val="es-ES_tradnl"/>
        </w:rPr>
      </w:pPr>
    </w:p>
    <w:p w14:paraId="2B2324DC" w14:textId="11B008E3" w:rsidR="00F70F32" w:rsidRPr="003E6423" w:rsidRDefault="00F70F32" w:rsidP="000C2CC9">
      <w:pPr>
        <w:jc w:val="both"/>
        <w:rPr>
          <w:rFonts w:ascii="Arial" w:eastAsia="Calibri" w:hAnsi="Arial" w:cs="Arial"/>
          <w:b/>
          <w:sz w:val="22"/>
        </w:rPr>
      </w:pPr>
      <w:r w:rsidRPr="003E6423">
        <w:rPr>
          <w:rFonts w:ascii="Arial" w:eastAsia="Calibri" w:hAnsi="Arial" w:cs="Arial"/>
          <w:b/>
          <w:sz w:val="22"/>
        </w:rPr>
        <w:t>DECRETO 1860 DE 2021 – Mipymes – Convocatorias limitadas</w:t>
      </w:r>
      <w:r w:rsidR="00E66050" w:rsidRPr="003E6423">
        <w:rPr>
          <w:rFonts w:ascii="Arial" w:eastAsia="Calibri" w:hAnsi="Arial" w:cs="Arial"/>
          <w:b/>
          <w:sz w:val="22"/>
        </w:rPr>
        <w:t xml:space="preserve"> – Vigencia</w:t>
      </w:r>
    </w:p>
    <w:p w14:paraId="2FC07365" w14:textId="0517A6E9" w:rsidR="00E66050" w:rsidRPr="003E6423" w:rsidRDefault="00E66050" w:rsidP="000C2CC9">
      <w:pPr>
        <w:jc w:val="both"/>
        <w:rPr>
          <w:rFonts w:ascii="Arial" w:eastAsia="Calibri" w:hAnsi="Arial" w:cs="Arial"/>
          <w:b/>
          <w:sz w:val="22"/>
        </w:rPr>
      </w:pPr>
    </w:p>
    <w:p w14:paraId="1425437D" w14:textId="4295F0CA" w:rsidR="00E66050" w:rsidRPr="003E6423" w:rsidRDefault="00E66050" w:rsidP="00E66050">
      <w:pPr>
        <w:jc w:val="both"/>
        <w:rPr>
          <w:rFonts w:ascii="Arial" w:hAnsi="Arial" w:cs="Arial"/>
          <w:noProof/>
          <w:sz w:val="20"/>
          <w:szCs w:val="20"/>
          <w:lang w:val="es-ES_tradnl"/>
        </w:rPr>
      </w:pPr>
      <w:r w:rsidRPr="003E6423">
        <w:rPr>
          <w:rFonts w:ascii="Arial" w:hAnsi="Arial" w:cs="Arial"/>
          <w:noProof/>
          <w:sz w:val="20"/>
          <w:szCs w:val="20"/>
          <w:lang w:val="es-ES_tradnl"/>
        </w:rPr>
        <w:t xml:space="preserve">Es necesario llamar nuevamente la atención sobre la reciente expedición del Decreto 1860 del 24 de diciembre de 2021, mediante el cual se reglamentan los artículos 30, 31, 32, 34 y 35 de la Ley 2069 de 2020, en lo relativo al sistema de compras públicas. Concretamente, frente a las convocatorias limitadas a mipymes del artículo 34, el Decreto definió las condiciones y los montos </w:t>
      </w:r>
      <w:r w:rsidRPr="003E6423">
        <w:rPr>
          <w:rFonts w:ascii="Arial" w:hAnsi="Arial" w:cs="Arial"/>
          <w:noProof/>
          <w:sz w:val="20"/>
          <w:szCs w:val="20"/>
          <w:lang w:val="es-ES_tradnl"/>
        </w:rPr>
        <w:lastRenderedPageBreak/>
        <w:t>para la adopción de convocatorias limitadas a Mipyme, las limitaciones territoriales y la acreditación de los requisitos para participar en convocatorias limitadas. Por ello, mediante el artículo 5 se modificaron los artículos 2.2.1.2.4.2.2., 2.2.1.2.4.2.3. y 2.2.1.2.4.2.4. de la Subsección 2 de la Sección 4 del Capítulo 2 del Título 1 de la Parte 2 del Libro 2 del Decreto 1082 de 2015. No obstante, debe precisarse que, de acuerdo con lo establecido en el artículo 8 del Decreto 1860 de 2021, las disposiciones en él contenidas comenzarán a ser aplicables en los procedimientos de selección cuya invitación, aviso de convocatoria o documento equivalente se publique a los tres (3) meses contados a partir de su expedición. Por lo tanto, el desarrollo de convocatorias limitadas a mipymes según lo establecido en este Decreto, comenzará ser posible en los procedimientos de selección cuya invitación, aviso de convocatoria o documento equivalente se publique con posterioridad al 24 de marzo de 2022.</w:t>
      </w:r>
    </w:p>
    <w:p w14:paraId="0D4358BE" w14:textId="77777777" w:rsidR="00E66050" w:rsidRPr="003E6423" w:rsidRDefault="00E66050" w:rsidP="00E66050">
      <w:pPr>
        <w:jc w:val="both"/>
        <w:rPr>
          <w:rFonts w:ascii="Arial" w:hAnsi="Arial" w:cs="Arial"/>
          <w:noProof/>
          <w:sz w:val="20"/>
          <w:szCs w:val="20"/>
          <w:lang w:val="es-ES_tradnl"/>
        </w:rPr>
      </w:pPr>
    </w:p>
    <w:p w14:paraId="776AFB7A" w14:textId="749AD2FF" w:rsidR="00E66050" w:rsidRPr="003E6423" w:rsidRDefault="00E66050" w:rsidP="00E66050">
      <w:pPr>
        <w:jc w:val="both"/>
        <w:rPr>
          <w:rFonts w:ascii="Arial" w:hAnsi="Arial" w:cs="Arial"/>
          <w:noProof/>
          <w:sz w:val="20"/>
          <w:szCs w:val="20"/>
          <w:lang w:val="es-ES_tradnl"/>
        </w:rPr>
      </w:pPr>
      <w:r w:rsidRPr="003E6423">
        <w:rPr>
          <w:rFonts w:ascii="Arial" w:hAnsi="Arial" w:cs="Arial"/>
          <w:noProof/>
          <w:sz w:val="20"/>
          <w:szCs w:val="20"/>
          <w:lang w:val="es-ES_tradnl"/>
        </w:rPr>
        <w:t>Lo anterior significa que, actualmente las entidades estatales, los patrimonios autónomos constituidos por estas y los particulares que ejecuten recursos públicos, no pueden adoptar convocatorias limitadas a mipymes puesto que el artículo 5 de la Ley 1860 de 2021 que modificó el artículo 2.2.1.2.4.2.2 del Decreto 1082 de 2015 entrará en vigencia para los procedimientos de selección cuya invitación, aviso de convocatoria o documento equivalente se publique a partir del 24 de marzo de 2022. Para estos nuevos procesos que se inicien en el futuro, la limitación de las convocatorias se realizará en los términos establecidos en el artículo 34 de la Ley 2069 de 2020 y el Decreto 1860 del 24 de diciembre de 2021, que modificó el Decreto 1082 de 2015.</w:t>
      </w:r>
    </w:p>
    <w:p w14:paraId="6F713004" w14:textId="77777777" w:rsidR="00F70F32" w:rsidRPr="003E6423" w:rsidRDefault="00F70F32" w:rsidP="000C2CC9">
      <w:pPr>
        <w:jc w:val="both"/>
        <w:rPr>
          <w:rFonts w:ascii="Arial" w:hAnsi="Arial" w:cs="Arial"/>
          <w:b/>
          <w:bCs/>
          <w:noProof/>
          <w:sz w:val="22"/>
          <w:lang w:val="es-ES_tradnl"/>
        </w:rPr>
      </w:pPr>
    </w:p>
    <w:p w14:paraId="0D0F0608" w14:textId="69382D48" w:rsidR="004602E2" w:rsidRPr="003E6423" w:rsidRDefault="004602E2" w:rsidP="004602E2">
      <w:pPr>
        <w:jc w:val="both"/>
        <w:rPr>
          <w:rFonts w:ascii="Arial" w:eastAsia="Calibri" w:hAnsi="Arial" w:cs="Arial"/>
          <w:b/>
          <w:bCs/>
          <w:sz w:val="22"/>
        </w:rPr>
      </w:pPr>
      <w:r w:rsidRPr="003E6423">
        <w:rPr>
          <w:rFonts w:ascii="Arial" w:hAnsi="Arial" w:cs="Arial"/>
          <w:b/>
          <w:bCs/>
          <w:noProof/>
          <w:sz w:val="22"/>
          <w:lang w:val="es-ES_tradnl"/>
        </w:rPr>
        <w:t>MÍNIMA CUANTÍA</w:t>
      </w:r>
      <w:r w:rsidRPr="003E6423">
        <w:rPr>
          <w:rFonts w:ascii="Arial" w:eastAsia="Calibri" w:hAnsi="Arial" w:cs="Arial"/>
          <w:b/>
          <w:bCs/>
          <w:sz w:val="22"/>
        </w:rPr>
        <w:t xml:space="preserve"> – Normas reglamentarias – </w:t>
      </w:r>
      <w:r w:rsidR="00B71CAC" w:rsidRPr="003E6423">
        <w:rPr>
          <w:rFonts w:ascii="Arial" w:eastAsia="Calibri" w:hAnsi="Arial" w:cs="Arial"/>
          <w:b/>
          <w:bCs/>
          <w:sz w:val="22"/>
        </w:rPr>
        <w:t xml:space="preserve">Decreto 1082 de 2015 </w:t>
      </w:r>
      <w:r w:rsidR="0082585B" w:rsidRPr="003E6423">
        <w:rPr>
          <w:rFonts w:ascii="Arial" w:eastAsia="Calibri" w:hAnsi="Arial" w:cs="Arial"/>
          <w:b/>
          <w:bCs/>
          <w:sz w:val="22"/>
        </w:rPr>
        <w:t>–</w:t>
      </w:r>
      <w:r w:rsidRPr="003E6423">
        <w:rPr>
          <w:rFonts w:ascii="Arial" w:eastAsia="Calibri" w:hAnsi="Arial" w:cs="Arial"/>
          <w:b/>
          <w:bCs/>
          <w:sz w:val="22"/>
        </w:rPr>
        <w:t>Vigencia</w:t>
      </w:r>
    </w:p>
    <w:p w14:paraId="6EE2C791" w14:textId="4AAA69C5" w:rsidR="004602E2" w:rsidRPr="003E6423" w:rsidRDefault="004602E2" w:rsidP="004602E2">
      <w:pPr>
        <w:jc w:val="both"/>
        <w:rPr>
          <w:rFonts w:ascii="Arial" w:hAnsi="Arial" w:cs="Arial"/>
          <w:noProof/>
          <w:sz w:val="22"/>
        </w:rPr>
      </w:pPr>
    </w:p>
    <w:p w14:paraId="42F0EBF9" w14:textId="77777777" w:rsidR="00D32ACB" w:rsidRPr="003E6423" w:rsidRDefault="004602E2" w:rsidP="004602E2">
      <w:pPr>
        <w:tabs>
          <w:tab w:val="left" w:pos="709"/>
        </w:tabs>
        <w:jc w:val="both"/>
        <w:rPr>
          <w:rFonts w:ascii="Arial" w:eastAsia="Calibri" w:hAnsi="Arial" w:cs="Arial"/>
          <w:sz w:val="20"/>
          <w:szCs w:val="20"/>
          <w:lang w:val="es-ES_tradnl"/>
        </w:rPr>
      </w:pPr>
      <w:r w:rsidRPr="003E6423">
        <w:rPr>
          <w:rFonts w:ascii="Arial" w:eastAsia="Calibri" w:hAnsi="Arial" w:cs="Arial"/>
          <w:sz w:val="20"/>
          <w:szCs w:val="20"/>
          <w:lang w:val="es-ES_tradnl"/>
        </w:rPr>
        <w:t xml:space="preserve">Conforme a lo explicado en la parte considerativa, continúan vigentes las normas reglamentarias sobre la mínima cuantía. Aunque el artículo 30 de la Ley de Emprendimiento subroga el contenido del numeral 5 del artículo 2 de la Ley 1150 de 2007, ambas disposiciones son de aplicación directa. Adicionalmente, pese a que la Ley de Emprendimiento permite las convocatorias limitadas a la mypimes en la mínima cuantía, el desarrollo reglamentario de este tema hace parte del artículo 34 </w:t>
      </w:r>
      <w:r w:rsidRPr="003E6423">
        <w:rPr>
          <w:rFonts w:ascii="Arial" w:eastAsia="Calibri" w:hAnsi="Arial" w:cs="Arial"/>
          <w:i/>
          <w:iCs/>
          <w:sz w:val="20"/>
          <w:szCs w:val="20"/>
          <w:lang w:val="es-ES_tradnl"/>
        </w:rPr>
        <w:t>ibídem</w:t>
      </w:r>
      <w:r w:rsidRPr="003E6423">
        <w:rPr>
          <w:rFonts w:ascii="Arial" w:eastAsia="Calibri" w:hAnsi="Arial" w:cs="Arial"/>
          <w:sz w:val="20"/>
          <w:szCs w:val="20"/>
          <w:lang w:val="es-ES_tradnl"/>
        </w:rPr>
        <w:t>. En esta medida, pese a la sustitución formal del artículo 94 de la Ley 1474 de 2011, se observa que materialmente no existe una derogación de la mínima cuantía ni una modificación sustancial que incida en el procedimiento, por lo que no desaparece el fundamento jurídico de las normas reglamentarias que lo desarrollan.</w:t>
      </w:r>
    </w:p>
    <w:p w14:paraId="31238F8C" w14:textId="4623919A" w:rsidR="00D32ACB" w:rsidRPr="003E6423" w:rsidRDefault="00D32ACB" w:rsidP="004602E2">
      <w:pPr>
        <w:tabs>
          <w:tab w:val="left" w:pos="709"/>
        </w:tabs>
        <w:jc w:val="both"/>
        <w:rPr>
          <w:rFonts w:ascii="Arial" w:eastAsia="Calibri" w:hAnsi="Arial" w:cs="Arial"/>
          <w:sz w:val="20"/>
          <w:szCs w:val="20"/>
          <w:lang w:val="es-ES_tradnl"/>
        </w:rPr>
      </w:pPr>
    </w:p>
    <w:p w14:paraId="7263949D" w14:textId="06D35436" w:rsidR="00B37F6B" w:rsidRPr="003E6423" w:rsidRDefault="00D32ACB" w:rsidP="00B37F6B">
      <w:pPr>
        <w:jc w:val="both"/>
        <w:rPr>
          <w:rFonts w:ascii="Arial" w:eastAsia="Calibri" w:hAnsi="Arial" w:cs="Arial"/>
          <w:b/>
          <w:bCs/>
          <w:sz w:val="22"/>
        </w:rPr>
      </w:pPr>
      <w:r w:rsidRPr="003E6423">
        <w:rPr>
          <w:rFonts w:ascii="Arial" w:hAnsi="Arial" w:cs="Arial"/>
          <w:b/>
          <w:bCs/>
          <w:noProof/>
          <w:sz w:val="22"/>
          <w:lang w:val="es-ES_tradnl"/>
        </w:rPr>
        <w:t>MÍNIMA CUANTÍA</w:t>
      </w:r>
      <w:r w:rsidRPr="003E6423">
        <w:rPr>
          <w:rFonts w:ascii="Arial" w:eastAsia="Calibri" w:hAnsi="Arial" w:cs="Arial"/>
          <w:b/>
          <w:bCs/>
          <w:sz w:val="22"/>
        </w:rPr>
        <w:t xml:space="preserve"> – Ley </w:t>
      </w:r>
      <w:r w:rsidR="00B37F6B" w:rsidRPr="003E6423">
        <w:rPr>
          <w:rFonts w:ascii="Arial" w:eastAsia="Calibri" w:hAnsi="Arial" w:cs="Arial"/>
          <w:b/>
          <w:bCs/>
          <w:sz w:val="22"/>
        </w:rPr>
        <w:t>1955 de 2019</w:t>
      </w:r>
      <w:r w:rsidRPr="003E6423">
        <w:rPr>
          <w:rFonts w:ascii="Arial" w:eastAsia="Calibri" w:hAnsi="Arial" w:cs="Arial"/>
          <w:b/>
          <w:bCs/>
          <w:sz w:val="22"/>
        </w:rPr>
        <w:t xml:space="preserve"> – </w:t>
      </w:r>
      <w:r w:rsidR="00B37F6B" w:rsidRPr="003E6423">
        <w:rPr>
          <w:rFonts w:ascii="Arial" w:eastAsia="Calibri" w:hAnsi="Arial" w:cs="Arial"/>
          <w:b/>
          <w:bCs/>
          <w:sz w:val="22"/>
        </w:rPr>
        <w:t>Artículo 42</w:t>
      </w:r>
      <w:r w:rsidRPr="003E6423">
        <w:rPr>
          <w:rFonts w:ascii="Arial" w:eastAsia="Calibri" w:hAnsi="Arial" w:cs="Arial"/>
          <w:b/>
          <w:bCs/>
          <w:sz w:val="22"/>
        </w:rPr>
        <w:t xml:space="preserve"> –</w:t>
      </w:r>
      <w:r w:rsidR="00B37F6B" w:rsidRPr="003E6423">
        <w:rPr>
          <w:rFonts w:ascii="Arial" w:eastAsia="Calibri" w:hAnsi="Arial" w:cs="Arial"/>
          <w:b/>
          <w:bCs/>
          <w:sz w:val="22"/>
        </w:rPr>
        <w:t xml:space="preserve"> Derogatoria</w:t>
      </w:r>
    </w:p>
    <w:p w14:paraId="16AB06A2" w14:textId="77777777" w:rsidR="00B37F6B" w:rsidRPr="003E6423" w:rsidRDefault="00B37F6B" w:rsidP="00B37F6B">
      <w:pPr>
        <w:jc w:val="both"/>
        <w:rPr>
          <w:rFonts w:ascii="Arial" w:hAnsi="Arial" w:cs="Arial"/>
          <w:sz w:val="20"/>
          <w:szCs w:val="20"/>
          <w:lang w:val="es-ES_tradnl"/>
        </w:rPr>
      </w:pPr>
    </w:p>
    <w:p w14:paraId="3C46CA79" w14:textId="0D4F1181" w:rsidR="00395B1E" w:rsidRPr="003E6423" w:rsidRDefault="00B37F6B" w:rsidP="00B37F6B">
      <w:pPr>
        <w:jc w:val="both"/>
        <w:rPr>
          <w:rFonts w:ascii="Arial" w:hAnsi="Arial" w:cs="Arial"/>
          <w:sz w:val="20"/>
          <w:szCs w:val="20"/>
          <w:lang w:val="es-ES_tradnl"/>
        </w:rPr>
      </w:pPr>
      <w:r w:rsidRPr="003E6423">
        <w:rPr>
          <w:rFonts w:ascii="Arial" w:hAnsi="Arial" w:cs="Arial"/>
          <w:sz w:val="20"/>
          <w:szCs w:val="20"/>
          <w:lang w:val="es-ES_tradnl"/>
        </w:rPr>
        <w:t>[…]</w:t>
      </w:r>
      <w:r w:rsidR="00D32ACB" w:rsidRPr="003E6423">
        <w:rPr>
          <w:rFonts w:ascii="Arial" w:hAnsi="Arial" w:cs="Arial"/>
          <w:sz w:val="20"/>
          <w:szCs w:val="20"/>
          <w:lang w:val="es-ES_tradnl"/>
        </w:rPr>
        <w:t xml:space="preserve">, el artículo 30 de la Ley 2069 de 2020 es una norma </w:t>
      </w:r>
      <w:r w:rsidR="00D32ACB" w:rsidRPr="003E6423">
        <w:rPr>
          <w:rFonts w:ascii="Arial" w:hAnsi="Arial" w:cs="Arial"/>
          <w:i/>
          <w:iCs/>
          <w:sz w:val="20"/>
          <w:szCs w:val="20"/>
          <w:lang w:val="es-ES_tradnl"/>
        </w:rPr>
        <w:t>posterior</w:t>
      </w:r>
      <w:r w:rsidR="00D32ACB" w:rsidRPr="003E6423">
        <w:rPr>
          <w:rFonts w:ascii="Arial" w:hAnsi="Arial" w:cs="Arial"/>
          <w:sz w:val="20"/>
          <w:szCs w:val="20"/>
          <w:lang w:val="es-ES_tradnl"/>
        </w:rPr>
        <w:t xml:space="preserve"> en el tiempo al artículo 42 de la Ley 1955 de 2019 y además es </w:t>
      </w:r>
      <w:r w:rsidR="00D32ACB" w:rsidRPr="003E6423">
        <w:rPr>
          <w:rFonts w:ascii="Arial" w:hAnsi="Arial" w:cs="Arial"/>
          <w:i/>
          <w:iCs/>
          <w:sz w:val="20"/>
          <w:szCs w:val="20"/>
          <w:lang w:val="es-ES_tradnl"/>
        </w:rPr>
        <w:t>especial</w:t>
      </w:r>
      <w:r w:rsidR="00D32ACB" w:rsidRPr="003E6423">
        <w:rPr>
          <w:rFonts w:ascii="Arial" w:hAnsi="Arial" w:cs="Arial"/>
          <w:sz w:val="20"/>
          <w:szCs w:val="20"/>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dicho que se conservaría la vigencia del artículo 42 de la Ley 2069 de 2020, pero no fue así.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r w:rsidR="009742A3" w:rsidRPr="003E6423">
        <w:rPr>
          <w:rFonts w:ascii="Arial" w:hAnsi="Arial" w:cs="Arial"/>
          <w:sz w:val="20"/>
          <w:szCs w:val="20"/>
          <w:lang w:val="es-ES_tradnl"/>
        </w:rPr>
        <w:t>Por ello</w:t>
      </w:r>
      <w:r w:rsidR="00D32ACB" w:rsidRPr="003E6423">
        <w:rPr>
          <w:rFonts w:ascii="Arial" w:hAnsi="Arial" w:cs="Arial"/>
          <w:sz w:val="20"/>
          <w:szCs w:val="20"/>
          <w:lang w:val="es-ES_tradnl"/>
        </w:rPr>
        <w:t xml:space="preserve">, como «lo accesorio sigue la suerte de lo principal», si se subroga la norma </w:t>
      </w:r>
      <w:r w:rsidR="00D32ACB" w:rsidRPr="003E6423">
        <w:rPr>
          <w:rFonts w:ascii="Arial" w:hAnsi="Arial" w:cs="Arial"/>
          <w:i/>
          <w:iCs/>
          <w:sz w:val="20"/>
          <w:szCs w:val="20"/>
          <w:lang w:val="es-ES_tradnl"/>
        </w:rPr>
        <w:t>principal</w:t>
      </w:r>
      <w:r w:rsidR="00D32ACB" w:rsidRPr="003E6423">
        <w:rPr>
          <w:rFonts w:ascii="Arial" w:hAnsi="Arial" w:cs="Arial"/>
          <w:sz w:val="20"/>
          <w:szCs w:val="20"/>
          <w:lang w:val="es-ES_tradnl"/>
        </w:rPr>
        <w:t xml:space="preserve"> que había sido modificada por el artículo 42 de la Ley 1955 de 2019, de contera, este también pierde vigencia, o sea, la </w:t>
      </w:r>
      <w:r w:rsidR="00D32ACB" w:rsidRPr="003E6423">
        <w:rPr>
          <w:rFonts w:ascii="Arial" w:hAnsi="Arial" w:cs="Arial"/>
          <w:i/>
          <w:iCs/>
          <w:sz w:val="20"/>
          <w:szCs w:val="20"/>
          <w:lang w:val="es-ES_tradnl"/>
        </w:rPr>
        <w:t>accesoria</w:t>
      </w:r>
      <w:r w:rsidR="00D32ACB" w:rsidRPr="003E6423">
        <w:rPr>
          <w:rFonts w:ascii="Arial" w:hAnsi="Arial" w:cs="Arial"/>
          <w:sz w:val="20"/>
          <w:szCs w:val="20"/>
          <w:lang w:val="es-ES_tradnl"/>
        </w:rPr>
        <w:t xml:space="preserve">. No podría afirmarse –como lo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w:t>
      </w:r>
      <w:r w:rsidR="00D32ACB" w:rsidRPr="003E6423">
        <w:rPr>
          <w:rFonts w:ascii="Arial" w:hAnsi="Arial" w:cs="Arial"/>
          <w:sz w:val="20"/>
          <w:szCs w:val="20"/>
          <w:lang w:val="es-ES_tradnl"/>
        </w:rPr>
        <w:lastRenderedPageBreak/>
        <w:t>desarrollo a la que se refieren los artículos 151 y 342 de la Constitución. Por lo tanto, no puede acudirse al argumento de la supuesta mayor jerarquía de la Ley 1955 de 2019 para justificar que su artículo 42 no fue derogado por el artículo 30 de la Ley 2069 de 2020.</w:t>
      </w:r>
    </w:p>
    <w:p w14:paraId="5BDD0A07" w14:textId="5501D806" w:rsidR="00E66050" w:rsidRPr="003E6423" w:rsidRDefault="00E66050" w:rsidP="00E66050">
      <w:pPr>
        <w:jc w:val="both"/>
        <w:rPr>
          <w:rFonts w:ascii="Arial" w:hAnsi="Arial" w:cs="Arial"/>
          <w:sz w:val="20"/>
          <w:szCs w:val="20"/>
          <w:lang w:val="es-ES_tradnl"/>
        </w:rPr>
      </w:pPr>
    </w:p>
    <w:p w14:paraId="42C94AE7" w14:textId="509428C3" w:rsidR="00E66050" w:rsidRPr="003E6423" w:rsidRDefault="00E66050" w:rsidP="00E66050">
      <w:pPr>
        <w:jc w:val="both"/>
        <w:rPr>
          <w:rFonts w:ascii="Arial" w:hAnsi="Arial" w:cs="Arial"/>
          <w:b/>
          <w:bCs/>
          <w:sz w:val="28"/>
          <w:szCs w:val="28"/>
          <w:lang w:val="es-ES_tradnl"/>
        </w:rPr>
      </w:pPr>
      <w:r w:rsidRPr="003E6423">
        <w:rPr>
          <w:rFonts w:ascii="Arial" w:hAnsi="Arial" w:cs="Arial"/>
          <w:b/>
          <w:bCs/>
          <w:sz w:val="22"/>
          <w:szCs w:val="22"/>
          <w:lang w:val="es-ES_tradnl"/>
        </w:rPr>
        <w:t xml:space="preserve">DECRETO 310 DE 2021 – Acuerdos marco de precios – Bolsa de productos – Circular Externa 004 de 2021 </w:t>
      </w:r>
    </w:p>
    <w:p w14:paraId="431B1711" w14:textId="77777777" w:rsidR="00E66050" w:rsidRPr="003E6423" w:rsidRDefault="00E66050" w:rsidP="00E66050">
      <w:pPr>
        <w:jc w:val="both"/>
        <w:rPr>
          <w:rFonts w:ascii="Arial" w:hAnsi="Arial" w:cs="Arial"/>
          <w:sz w:val="20"/>
          <w:szCs w:val="20"/>
          <w:lang w:val="es-ES_tradnl"/>
        </w:rPr>
      </w:pPr>
    </w:p>
    <w:p w14:paraId="6C54BA56" w14:textId="20FDC92A" w:rsidR="00E66050" w:rsidRPr="003E6423" w:rsidRDefault="00E66050" w:rsidP="00E66050">
      <w:pPr>
        <w:jc w:val="both"/>
        <w:rPr>
          <w:rFonts w:ascii="Arial" w:hAnsi="Arial" w:cs="Arial"/>
          <w:sz w:val="20"/>
          <w:szCs w:val="20"/>
          <w:lang w:val="es-ES_tradnl"/>
        </w:rPr>
      </w:pPr>
      <w:r w:rsidRPr="003E6423">
        <w:rPr>
          <w:rFonts w:ascii="Arial" w:hAnsi="Arial" w:cs="Arial"/>
          <w:sz w:val="20"/>
          <w:szCs w:val="20"/>
          <w:lang w:val="es-ES_tradnl"/>
        </w:rPr>
        <w:t xml:space="preserve">De conformidad con lo expuesto, el artículo 2.2.1.2.1.2.7 del Decreto 1082 de 2015 establece que las entidades estatales regidas por el EGCAP, en principio, están obligadas a proveer sus necesidades de bienes de características técnicas uniformes y de común utilización a través de la compra por catálogo derivados de acuerdos marcos de precios. Sin embargo, según lo dispuesto en el inciso primero artículo 2.2.1.2.1.2.12, cuando no exista acuerdo marco de precios, las entidades podrán al mecanismo de bolsa de productos, previo estudio comparativo e identificación de las ventajas de utilizar dicho mecanismo respecto del de subasta inversa o la promoción de un nuevo acuerdo marco de precios.  No obstante, de conformidad con el inciso tercero del artículo 2.2.1.2.1.2.12, incluso existiendo acuerdo marco de precios, es posible que las entidades estatales acudan al mecanismo de bolsa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durante los últimos seis (6) meses. En este análisis deben incluirse los costos generados por concepto de comisionistas de bolsa y gastos de operación, valores que deben ser verificados por el respectivo ordenador del gasto en el último boletín de precios que, para el efecto, expida esta Agencia. </w:t>
      </w:r>
    </w:p>
    <w:p w14:paraId="4C21E126" w14:textId="77777777" w:rsidR="00E66050" w:rsidRPr="003E6423" w:rsidRDefault="00E66050" w:rsidP="00E66050">
      <w:pPr>
        <w:jc w:val="both"/>
        <w:rPr>
          <w:rFonts w:ascii="Arial" w:hAnsi="Arial" w:cs="Arial"/>
          <w:sz w:val="20"/>
          <w:szCs w:val="20"/>
          <w:lang w:val="es-ES_tradnl"/>
        </w:rPr>
      </w:pPr>
    </w:p>
    <w:p w14:paraId="0D4274C6" w14:textId="3ED527D7" w:rsidR="00E66050" w:rsidRPr="003E6423" w:rsidRDefault="00E66050" w:rsidP="00E66050">
      <w:pPr>
        <w:jc w:val="both"/>
        <w:rPr>
          <w:rFonts w:ascii="Arial" w:hAnsi="Arial" w:cs="Arial"/>
          <w:sz w:val="20"/>
          <w:szCs w:val="20"/>
          <w:lang w:val="es-ES_tradnl"/>
        </w:rPr>
      </w:pPr>
      <w:r w:rsidRPr="003E6423">
        <w:rPr>
          <w:rFonts w:ascii="Arial" w:hAnsi="Arial" w:cs="Arial"/>
          <w:sz w:val="20"/>
          <w:szCs w:val="20"/>
          <w:lang w:val="es-ES_tradnl"/>
        </w:rPr>
        <w:t>Es importante anotar que el parágrafo 1 del artículo 2.2.1.2.1.2.12 atribuyó a esta Agencia la potestad de establecer –en la circular de que trata el numeral 2 del parágrafo 1 del artículo 2.2.1.2.1.2.7– los lineamientos generales, así como los criterios objetivos y medibles  con arreglo a los cuales deben sujetarse las entidades estatales para la planeación de las adquisiciones de bienes o servicios de características técnicas uniformes a través de bolsas de productos, independientemente de que exista o no un acuerdo marco de precios vigente. De esto se ocupó esta Agencia a través de la Circular Externa 004 del 21 de septiembre de 2021, en la que se definieron unos criterios con arreglo a los cuales las entidades estatales deben sustentar las adquisiciones de bienes y/o servicios de características técnicas uniformes a través del mecanismo de bolsa de productos, de acuerdo con lo dispuesto en el artículo 2.2.1.2.1.2.12 del Decreto 1082 de 2015, modificado por el Decreto 310 de 2021.  Sin perjuicio de lo anterior, de conformidad con el parágrafo tercero del artículo 2.2.1.2.1.2.12 del Decreto 1082 de 2015, modificado por el Decreto 310 de 2021, lo dispuesto en el parágrafo 1 de la misma norma, no es aplicable a las entidades estatales de la Rama Ejecutiva del orden nacional, obligadas a aplicar la Ley 80 de 1993 y la Ley 1150 de 2007. Estas entidades, en virtud de lo dispuesto en este parágrafo, están obligadas a adquirir bienes y servicios de características técnicas uniformes a través de los acuerdos marco de precios vigentes estructurados por la Agencia Nacional de Contratación Pública -Colombia Compra Eficiente, sin que sea oponible para ellas lo dispuesto en la Circular 004 del 21 de septiembre de 2021.</w:t>
      </w:r>
    </w:p>
    <w:p w14:paraId="6DD5FB97" w14:textId="77777777" w:rsidR="00395B1E" w:rsidRPr="003E6423" w:rsidRDefault="00395B1E">
      <w:pPr>
        <w:spacing w:after="200" w:line="276" w:lineRule="auto"/>
        <w:rPr>
          <w:rFonts w:ascii="Arial" w:hAnsi="Arial" w:cs="Arial"/>
          <w:sz w:val="20"/>
          <w:szCs w:val="20"/>
          <w:lang w:val="es-ES_tradnl"/>
        </w:rPr>
      </w:pPr>
      <w:r w:rsidRPr="003E6423">
        <w:rPr>
          <w:rFonts w:ascii="Arial" w:hAnsi="Arial" w:cs="Arial"/>
          <w:sz w:val="20"/>
          <w:szCs w:val="20"/>
          <w:lang w:val="es-ES_tradnl"/>
        </w:rPr>
        <w:br w:type="page"/>
      </w:r>
    </w:p>
    <w:p w14:paraId="2DAEA8A4" w14:textId="2FB7167D" w:rsidR="00E910C8" w:rsidRPr="003E6423" w:rsidRDefault="00E910C8" w:rsidP="00E910C8">
      <w:pPr>
        <w:jc w:val="right"/>
        <w:rPr>
          <w:rFonts w:ascii="Arial" w:hAnsi="Arial" w:cs="Arial"/>
          <w:sz w:val="22"/>
          <w:szCs w:val="22"/>
        </w:rPr>
      </w:pPr>
    </w:p>
    <w:p w14:paraId="1DE67EA5" w14:textId="7A6906DA" w:rsidR="00D207B0" w:rsidRPr="003E6423" w:rsidRDefault="00D870BE" w:rsidP="00E910C8">
      <w:pPr>
        <w:jc w:val="right"/>
        <w:rPr>
          <w:rFonts w:ascii="Arial" w:hAnsi="Arial" w:cs="Arial"/>
          <w:sz w:val="22"/>
          <w:szCs w:val="22"/>
        </w:rPr>
      </w:pPr>
      <w:r w:rsidRPr="00D870BE">
        <w:rPr>
          <w:rFonts w:ascii="Arial" w:hAnsi="Arial" w:cs="Arial"/>
          <w:sz w:val="22"/>
          <w:szCs w:val="22"/>
        </w:rPr>
        <w:drawing>
          <wp:inline distT="0" distB="0" distL="0" distR="0" wp14:anchorId="2A38D8CD" wp14:editId="61E1F0D6">
            <wp:extent cx="2486372" cy="64779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86372" cy="647790"/>
                    </a:xfrm>
                    <a:prstGeom prst="rect">
                      <a:avLst/>
                    </a:prstGeom>
                  </pic:spPr>
                </pic:pic>
              </a:graphicData>
            </a:graphic>
          </wp:inline>
        </w:drawing>
      </w:r>
    </w:p>
    <w:p w14:paraId="31B0AA31" w14:textId="617DF416" w:rsidR="00D207B0" w:rsidRPr="003E6423" w:rsidRDefault="00D207B0" w:rsidP="00E910C8">
      <w:pPr>
        <w:jc w:val="right"/>
        <w:rPr>
          <w:rFonts w:ascii="Arial" w:hAnsi="Arial" w:cs="Arial"/>
          <w:sz w:val="22"/>
          <w:szCs w:val="22"/>
        </w:rPr>
      </w:pPr>
    </w:p>
    <w:p w14:paraId="3809EB7A" w14:textId="6F9B67FB" w:rsidR="00D207B0" w:rsidRPr="003E6423" w:rsidRDefault="00D207B0" w:rsidP="00E910C8">
      <w:pPr>
        <w:jc w:val="right"/>
        <w:rPr>
          <w:rFonts w:ascii="Arial" w:hAnsi="Arial" w:cs="Arial"/>
          <w:sz w:val="22"/>
          <w:szCs w:val="22"/>
        </w:rPr>
      </w:pPr>
    </w:p>
    <w:p w14:paraId="37F0FF05" w14:textId="33743FF4" w:rsidR="00D207B0" w:rsidRPr="003E6423" w:rsidRDefault="00D207B0" w:rsidP="00E910C8">
      <w:pPr>
        <w:jc w:val="right"/>
        <w:rPr>
          <w:rFonts w:ascii="Arial" w:hAnsi="Arial" w:cs="Arial"/>
          <w:sz w:val="22"/>
          <w:szCs w:val="22"/>
        </w:rPr>
      </w:pPr>
    </w:p>
    <w:p w14:paraId="78D7B813" w14:textId="6B4679D2" w:rsidR="00D870BE" w:rsidRPr="00D870BE" w:rsidRDefault="00D870BE" w:rsidP="00D870BE">
      <w:pPr>
        <w:rPr>
          <w:rFonts w:ascii="Arial" w:eastAsia="Arial" w:hAnsi="Arial" w:cs="Arial"/>
          <w:color w:val="000000"/>
          <w:sz w:val="22"/>
          <w:szCs w:val="22"/>
          <w:lang w:val="es-MX"/>
        </w:rPr>
      </w:pPr>
      <w:r w:rsidRPr="00D870BE">
        <w:rPr>
          <w:rFonts w:ascii="Arial" w:eastAsia="Arial" w:hAnsi="Arial" w:cs="Arial"/>
          <w:color w:val="000000"/>
          <w:sz w:val="22"/>
          <w:szCs w:val="22"/>
          <w:lang w:val="es-MX"/>
        </w:rPr>
        <w:t xml:space="preserve">Bogotá, </w:t>
      </w:r>
      <w:r>
        <w:rPr>
          <w:rFonts w:ascii="Arial" w:eastAsia="Arial" w:hAnsi="Arial" w:cs="Arial"/>
          <w:color w:val="000000"/>
          <w:sz w:val="22"/>
          <w:szCs w:val="22"/>
          <w:lang w:val="es-MX"/>
        </w:rPr>
        <w:t>08</w:t>
      </w:r>
      <w:r w:rsidRPr="00D870BE">
        <w:rPr>
          <w:rFonts w:ascii="Arial" w:eastAsia="Arial" w:hAnsi="Arial" w:cs="Arial"/>
          <w:color w:val="000000"/>
          <w:sz w:val="22"/>
          <w:szCs w:val="22"/>
          <w:lang w:val="es-MX"/>
        </w:rPr>
        <w:t xml:space="preserve"> </w:t>
      </w:r>
      <w:r>
        <w:rPr>
          <w:rFonts w:ascii="Arial" w:eastAsia="Arial" w:hAnsi="Arial" w:cs="Arial"/>
          <w:color w:val="000000"/>
          <w:sz w:val="22"/>
          <w:szCs w:val="22"/>
          <w:lang w:val="es-MX"/>
        </w:rPr>
        <w:t xml:space="preserve">Febrero </w:t>
      </w:r>
      <w:r w:rsidRPr="00D870BE">
        <w:rPr>
          <w:rFonts w:ascii="Arial" w:eastAsia="Arial" w:hAnsi="Arial" w:cs="Arial"/>
          <w:color w:val="000000"/>
          <w:sz w:val="22"/>
          <w:szCs w:val="22"/>
          <w:lang w:val="es-MX"/>
        </w:rPr>
        <w:t>2022</w:t>
      </w:r>
    </w:p>
    <w:p w14:paraId="6A8A869B" w14:textId="77777777" w:rsidR="00B95C30" w:rsidRPr="003E6423" w:rsidRDefault="00B95C30" w:rsidP="00E910C8">
      <w:pPr>
        <w:jc w:val="right"/>
        <w:rPr>
          <w:rFonts w:ascii="Arial" w:hAnsi="Arial" w:cs="Arial"/>
          <w:b/>
          <w:sz w:val="22"/>
          <w:szCs w:val="22"/>
          <w:lang w:val="es-ES_tradnl"/>
        </w:rPr>
      </w:pPr>
    </w:p>
    <w:p w14:paraId="2E3E8DB5" w14:textId="77777777" w:rsidR="00D870BE" w:rsidRDefault="00D870BE" w:rsidP="00D207B0">
      <w:pPr>
        <w:pStyle w:val="Sinespaciado"/>
        <w:rPr>
          <w:rFonts w:ascii="Arial" w:hAnsi="Arial" w:cs="Arial"/>
          <w:sz w:val="22"/>
        </w:rPr>
      </w:pPr>
      <w:bookmarkStart w:id="2" w:name="_Hlk95485612"/>
    </w:p>
    <w:p w14:paraId="13F7EF62" w14:textId="77777777" w:rsidR="00D870BE" w:rsidRDefault="00D870BE" w:rsidP="00D207B0">
      <w:pPr>
        <w:pStyle w:val="Sinespaciado"/>
        <w:rPr>
          <w:rFonts w:ascii="Arial" w:hAnsi="Arial" w:cs="Arial"/>
          <w:sz w:val="22"/>
        </w:rPr>
      </w:pPr>
    </w:p>
    <w:p w14:paraId="688808ED" w14:textId="30CF18D2" w:rsidR="00D207B0" w:rsidRPr="003E6423" w:rsidRDefault="00D207B0" w:rsidP="00D207B0">
      <w:pPr>
        <w:pStyle w:val="Sinespaciado"/>
        <w:rPr>
          <w:rFonts w:ascii="Arial" w:hAnsi="Arial" w:cs="Arial"/>
          <w:sz w:val="22"/>
        </w:rPr>
      </w:pPr>
      <w:r w:rsidRPr="003E6423">
        <w:rPr>
          <w:rFonts w:ascii="Arial" w:hAnsi="Arial" w:cs="Arial"/>
          <w:sz w:val="22"/>
        </w:rPr>
        <w:t xml:space="preserve">Teniente de Fragata </w:t>
      </w:r>
    </w:p>
    <w:p w14:paraId="45CB66AF" w14:textId="24E161BB" w:rsidR="00D207B0" w:rsidRPr="003E6423" w:rsidRDefault="00D207B0" w:rsidP="00D207B0">
      <w:pPr>
        <w:pStyle w:val="Sinespaciado"/>
        <w:rPr>
          <w:rFonts w:ascii="Arial" w:hAnsi="Arial" w:cs="Arial"/>
          <w:b/>
          <w:sz w:val="22"/>
        </w:rPr>
      </w:pPr>
      <w:r w:rsidRPr="003E6423">
        <w:rPr>
          <w:rFonts w:ascii="Arial" w:hAnsi="Arial" w:cs="Arial"/>
          <w:b/>
          <w:sz w:val="22"/>
        </w:rPr>
        <w:t xml:space="preserve">Erika Alejandra </w:t>
      </w:r>
      <w:bookmarkStart w:id="3" w:name="_Hlk94702945"/>
      <w:r w:rsidRPr="003E6423">
        <w:rPr>
          <w:rFonts w:ascii="Arial" w:hAnsi="Arial" w:cs="Arial"/>
          <w:b/>
          <w:sz w:val="22"/>
        </w:rPr>
        <w:t xml:space="preserve">Poveda </w:t>
      </w:r>
      <w:bookmarkEnd w:id="3"/>
      <w:r w:rsidRPr="003E6423">
        <w:rPr>
          <w:rFonts w:ascii="Arial" w:hAnsi="Arial" w:cs="Arial"/>
          <w:b/>
          <w:sz w:val="22"/>
        </w:rPr>
        <w:t xml:space="preserve">Quintero </w:t>
      </w:r>
    </w:p>
    <w:p w14:paraId="272F1859" w14:textId="77777777" w:rsidR="00D207B0" w:rsidRPr="003E6423" w:rsidRDefault="00D207B0" w:rsidP="00D207B0">
      <w:pPr>
        <w:pStyle w:val="Sinespaciado"/>
        <w:rPr>
          <w:rFonts w:ascii="Arial" w:hAnsi="Arial" w:cs="Arial"/>
          <w:sz w:val="22"/>
        </w:rPr>
      </w:pPr>
      <w:r w:rsidRPr="003E6423">
        <w:rPr>
          <w:rFonts w:ascii="Arial" w:hAnsi="Arial" w:cs="Arial"/>
          <w:sz w:val="22"/>
        </w:rPr>
        <w:t>Asesora Jurídica Base Naval ARC "San Andrés"</w:t>
      </w:r>
    </w:p>
    <w:p w14:paraId="09D4AEA8" w14:textId="44F059B5" w:rsidR="00B95C30" w:rsidRPr="003E6423" w:rsidRDefault="00D207B0" w:rsidP="00B95C30">
      <w:pPr>
        <w:jc w:val="both"/>
        <w:rPr>
          <w:rFonts w:ascii="Arial" w:eastAsia="Calibri" w:hAnsi="Arial" w:cs="Arial"/>
          <w:sz w:val="22"/>
          <w:szCs w:val="22"/>
          <w:lang w:val="es-ES_tradnl"/>
        </w:rPr>
      </w:pPr>
      <w:r w:rsidRPr="003E6423">
        <w:rPr>
          <w:rFonts w:ascii="Arial" w:eastAsia="Calibri" w:hAnsi="Arial" w:cs="Arial"/>
          <w:sz w:val="22"/>
          <w:szCs w:val="22"/>
          <w:lang w:val="es-ES_tradnl"/>
        </w:rPr>
        <w:t>San Andrés I.</w:t>
      </w:r>
    </w:p>
    <w:p w14:paraId="3F3D1203" w14:textId="77777777" w:rsidR="00B95C30" w:rsidRPr="003E6423" w:rsidRDefault="00B95C30" w:rsidP="00B95C30">
      <w:pPr>
        <w:jc w:val="both"/>
        <w:rPr>
          <w:rFonts w:ascii="Arial" w:eastAsia="Calibri" w:hAnsi="Arial" w:cs="Arial"/>
          <w:sz w:val="22"/>
          <w:lang w:val="es-ES_tradnl"/>
        </w:rPr>
      </w:pPr>
    </w:p>
    <w:p w14:paraId="24E8D2A9" w14:textId="77777777" w:rsidR="00B95C30" w:rsidRPr="003E6423" w:rsidRDefault="00B95C30" w:rsidP="00B95C30">
      <w:pPr>
        <w:jc w:val="both"/>
        <w:rPr>
          <w:rFonts w:ascii="Arial" w:eastAsia="Calibri" w:hAnsi="Arial" w:cs="Arial"/>
          <w:sz w:val="22"/>
          <w:lang w:val="es-ES_tradnl"/>
        </w:rPr>
      </w:pPr>
    </w:p>
    <w:p w14:paraId="12E66182" w14:textId="13E2B7CF" w:rsidR="00B95C30" w:rsidRPr="003E6423" w:rsidRDefault="007D0CE3" w:rsidP="00852C30">
      <w:pPr>
        <w:rPr>
          <w:rFonts w:ascii="Arial" w:eastAsia="Calibri" w:hAnsi="Arial" w:cs="Arial"/>
          <w:b/>
          <w:bCs/>
          <w:sz w:val="22"/>
          <w:lang w:val="es-ES_tradnl"/>
        </w:rPr>
      </w:pPr>
      <w:r w:rsidRPr="003E6423">
        <w:rPr>
          <w:rFonts w:ascii="Arial" w:eastAsia="Calibri" w:hAnsi="Arial" w:cs="Arial"/>
          <w:b/>
          <w:bCs/>
          <w:sz w:val="22"/>
          <w:lang w:val="es-ES_tradnl"/>
        </w:rPr>
        <w:t xml:space="preserve">                                            </w:t>
      </w:r>
      <w:r w:rsidR="00B95C30" w:rsidRPr="003E6423">
        <w:rPr>
          <w:rFonts w:ascii="Arial" w:eastAsia="Calibri" w:hAnsi="Arial" w:cs="Arial"/>
          <w:b/>
          <w:bCs/>
          <w:sz w:val="22"/>
          <w:lang w:val="es-ES_tradnl"/>
        </w:rPr>
        <w:t xml:space="preserve">Concepto C ‒ </w:t>
      </w:r>
      <w:r w:rsidR="00D207B0" w:rsidRPr="003E6423">
        <w:rPr>
          <w:rFonts w:ascii="Arial" w:eastAsia="Calibri" w:hAnsi="Arial" w:cs="Arial"/>
          <w:b/>
          <w:bCs/>
          <w:sz w:val="22"/>
          <w:lang w:val="es-ES_tradnl"/>
        </w:rPr>
        <w:t>761</w:t>
      </w:r>
      <w:r w:rsidR="00B95C30" w:rsidRPr="003E6423">
        <w:rPr>
          <w:rFonts w:ascii="Arial" w:eastAsia="Calibri" w:hAnsi="Arial" w:cs="Arial"/>
          <w:b/>
          <w:bCs/>
          <w:sz w:val="22"/>
          <w:lang w:val="es-ES_tradnl"/>
        </w:rPr>
        <w:t xml:space="preserve"> de 202</w:t>
      </w:r>
      <w:r w:rsidR="00D207B0" w:rsidRPr="003E6423">
        <w:rPr>
          <w:rFonts w:ascii="Arial" w:eastAsia="Calibri" w:hAnsi="Arial" w:cs="Arial"/>
          <w:b/>
          <w:bCs/>
          <w:sz w:val="22"/>
          <w:lang w:val="es-ES_tradnl"/>
        </w:rPr>
        <w:t>2</w:t>
      </w:r>
    </w:p>
    <w:p w14:paraId="1BD594F9" w14:textId="77777777" w:rsidR="00B95C30" w:rsidRPr="003E6423"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72959" w:rsidRPr="003E6423" w14:paraId="19DFC051" w14:textId="77777777" w:rsidTr="00DF6CCA">
        <w:tc>
          <w:tcPr>
            <w:tcW w:w="2689" w:type="dxa"/>
          </w:tcPr>
          <w:p w14:paraId="6BC0D1AC" w14:textId="77777777" w:rsidR="00B95C30" w:rsidRPr="003E6423" w:rsidRDefault="00B95C30" w:rsidP="00DF6CCA">
            <w:pPr>
              <w:jc w:val="both"/>
              <w:rPr>
                <w:rFonts w:ascii="Arial" w:eastAsia="Calibri" w:hAnsi="Arial" w:cs="Arial"/>
                <w:sz w:val="22"/>
                <w:lang w:val="es-ES_tradnl"/>
              </w:rPr>
            </w:pPr>
            <w:r w:rsidRPr="003E6423">
              <w:rPr>
                <w:rFonts w:ascii="Arial" w:eastAsia="Calibri" w:hAnsi="Arial" w:cs="Arial"/>
                <w:b/>
                <w:sz w:val="22"/>
                <w:lang w:val="es-ES_tradnl"/>
              </w:rPr>
              <w:t>Temas:</w:t>
            </w:r>
            <w:r w:rsidRPr="003E6423">
              <w:rPr>
                <w:rFonts w:ascii="Arial" w:eastAsia="Calibri" w:hAnsi="Arial" w:cs="Arial"/>
                <w:sz w:val="22"/>
                <w:lang w:val="es-ES_tradnl"/>
              </w:rPr>
              <w:t xml:space="preserve">                                      </w:t>
            </w:r>
          </w:p>
        </w:tc>
        <w:tc>
          <w:tcPr>
            <w:tcW w:w="6237" w:type="dxa"/>
          </w:tcPr>
          <w:p w14:paraId="5F389CAF" w14:textId="48B9724E" w:rsidR="00B95C30" w:rsidRPr="003E6423" w:rsidRDefault="00FF4AE4" w:rsidP="00B37F6B">
            <w:pPr>
              <w:jc w:val="both"/>
              <w:rPr>
                <w:rFonts w:ascii="Arial" w:eastAsia="Calibri" w:hAnsi="Arial" w:cs="Arial"/>
                <w:b/>
                <w:bCs/>
                <w:sz w:val="22"/>
              </w:rPr>
            </w:pPr>
            <w:r w:rsidRPr="003E6423">
              <w:rPr>
                <w:rFonts w:ascii="Arial" w:eastAsia="Calibri" w:hAnsi="Arial" w:cs="Arial"/>
                <w:sz w:val="22"/>
              </w:rPr>
              <w:t>LEY DE EMPRENDIMIENTO – Ley 2069 de 2020 – Finalidad / LEY DE EMPRENDIMIENTO – Ley 2069 de 2020 – Reglamentación – Decreto 1860 de 2021 / DECRETO 1860 DE 2021 – Vigencia – Artículo 8 / DECRETO 1860 DE 2021 – Mipymes – Convocatorias limitadas – Vigencia / MÍNIMA CUANTÍA – Normas reglamentarias – Decreto 1082 de 2015 –Vigencia / MÍNIMA CUANTÍA – Ley 1955 de 2019 – Artículo 42 – Derogatoria / DECRETO 310 DE 2021 – Acuerdos marco de precios – Bolsa de productos – Circular Externa 004 de 2021</w:t>
            </w:r>
          </w:p>
        </w:tc>
      </w:tr>
      <w:tr w:rsidR="00972959" w:rsidRPr="003E6423" w14:paraId="27CD52AB" w14:textId="77777777" w:rsidTr="00DF6CCA">
        <w:tc>
          <w:tcPr>
            <w:tcW w:w="2689" w:type="dxa"/>
          </w:tcPr>
          <w:p w14:paraId="37E195A1" w14:textId="4C368209" w:rsidR="00B95C30" w:rsidRPr="003E6423" w:rsidRDefault="00B95C30" w:rsidP="00DF6CCA">
            <w:pPr>
              <w:spacing w:before="120"/>
              <w:jc w:val="both"/>
              <w:rPr>
                <w:rFonts w:ascii="Arial" w:eastAsia="Calibri" w:hAnsi="Arial" w:cs="Arial"/>
                <w:b/>
                <w:sz w:val="22"/>
                <w:lang w:val="es-ES_tradnl"/>
              </w:rPr>
            </w:pPr>
            <w:r w:rsidRPr="003E6423">
              <w:rPr>
                <w:rFonts w:ascii="Arial" w:eastAsia="Calibri" w:hAnsi="Arial" w:cs="Arial"/>
                <w:b/>
                <w:sz w:val="22"/>
                <w:lang w:val="es-ES_tradnl"/>
              </w:rPr>
              <w:t>Radicación:</w:t>
            </w:r>
            <w:r w:rsidRPr="003E6423">
              <w:rPr>
                <w:rFonts w:ascii="Arial" w:eastAsia="Calibri" w:hAnsi="Arial" w:cs="Arial"/>
                <w:sz w:val="22"/>
                <w:lang w:val="es-ES_tradnl"/>
              </w:rPr>
              <w:t xml:space="preserve">                              </w:t>
            </w:r>
          </w:p>
        </w:tc>
        <w:tc>
          <w:tcPr>
            <w:tcW w:w="6237" w:type="dxa"/>
          </w:tcPr>
          <w:p w14:paraId="09088B1B" w14:textId="631F7241" w:rsidR="00B95C30" w:rsidRPr="003E6423" w:rsidRDefault="00B95C30" w:rsidP="00DF6CCA">
            <w:pPr>
              <w:spacing w:before="120"/>
              <w:jc w:val="both"/>
              <w:rPr>
                <w:rFonts w:ascii="Arial" w:eastAsia="Calibri" w:hAnsi="Arial" w:cs="Arial"/>
                <w:sz w:val="22"/>
                <w:lang w:val="es-ES_tradnl"/>
              </w:rPr>
            </w:pPr>
            <w:r w:rsidRPr="003E6423">
              <w:rPr>
                <w:rFonts w:ascii="Arial" w:eastAsia="Calibri" w:hAnsi="Arial" w:cs="Arial"/>
                <w:sz w:val="22"/>
                <w:lang w:val="es-ES_tradnl"/>
              </w:rPr>
              <w:t xml:space="preserve">Respuesta a consulta # </w:t>
            </w:r>
            <w:r w:rsidR="00D207B0" w:rsidRPr="003E6423">
              <w:rPr>
                <w:rFonts w:ascii="Arial" w:eastAsia="Calibri" w:hAnsi="Arial" w:cs="Arial"/>
                <w:sz w:val="22"/>
                <w:lang w:val="es-ES_tradnl"/>
              </w:rPr>
              <w:t>P20211230011886</w:t>
            </w:r>
          </w:p>
        </w:tc>
      </w:tr>
    </w:tbl>
    <w:p w14:paraId="4B7A51C2" w14:textId="77777777" w:rsidR="00F809F8" w:rsidRPr="003E6423" w:rsidRDefault="00F809F8" w:rsidP="003C3339">
      <w:pPr>
        <w:jc w:val="both"/>
        <w:rPr>
          <w:rFonts w:ascii="Arial" w:eastAsia="Calibri" w:hAnsi="Arial" w:cs="Arial"/>
          <w:sz w:val="22"/>
          <w:lang w:val="es-ES_tradnl"/>
        </w:rPr>
      </w:pPr>
    </w:p>
    <w:p w14:paraId="33ECF62F" w14:textId="77777777" w:rsidR="00F809F8" w:rsidRPr="003E6423" w:rsidRDefault="00F809F8" w:rsidP="003C3339">
      <w:pPr>
        <w:jc w:val="both"/>
        <w:rPr>
          <w:rFonts w:ascii="Arial" w:eastAsia="Calibri" w:hAnsi="Arial" w:cs="Arial"/>
          <w:sz w:val="22"/>
          <w:lang w:val="es-ES_tradnl"/>
        </w:rPr>
      </w:pPr>
    </w:p>
    <w:p w14:paraId="1CF4AEA0" w14:textId="42661C22" w:rsidR="003C3339" w:rsidRPr="003E6423" w:rsidRDefault="003C3339" w:rsidP="003C3339">
      <w:pPr>
        <w:jc w:val="both"/>
        <w:rPr>
          <w:rFonts w:ascii="Arial" w:eastAsia="Calibri" w:hAnsi="Arial" w:cs="Arial"/>
          <w:sz w:val="22"/>
          <w:lang w:val="es-ES_tradnl"/>
        </w:rPr>
      </w:pPr>
      <w:r w:rsidRPr="003E6423">
        <w:rPr>
          <w:rFonts w:ascii="Arial" w:eastAsia="Calibri" w:hAnsi="Arial" w:cs="Arial"/>
          <w:sz w:val="22"/>
          <w:lang w:val="es-ES_tradnl"/>
        </w:rPr>
        <w:t>Estimad</w:t>
      </w:r>
      <w:r w:rsidR="00585B15" w:rsidRPr="003E6423">
        <w:rPr>
          <w:rFonts w:ascii="Arial" w:eastAsia="Calibri" w:hAnsi="Arial" w:cs="Arial"/>
          <w:sz w:val="22"/>
          <w:lang w:val="es-ES_tradnl"/>
        </w:rPr>
        <w:t>a</w:t>
      </w:r>
      <w:r w:rsidRPr="003E6423">
        <w:rPr>
          <w:rFonts w:ascii="Arial" w:eastAsia="Calibri" w:hAnsi="Arial" w:cs="Arial"/>
          <w:sz w:val="22"/>
          <w:lang w:val="es-ES_tradnl"/>
        </w:rPr>
        <w:t xml:space="preserve"> </w:t>
      </w:r>
      <w:r w:rsidR="00D207B0" w:rsidRPr="003E6423">
        <w:rPr>
          <w:rFonts w:ascii="Arial" w:eastAsia="Calibri" w:hAnsi="Arial" w:cs="Arial"/>
          <w:sz w:val="22"/>
          <w:lang w:val="es-ES_tradnl"/>
        </w:rPr>
        <w:t>Teniente Fragata</w:t>
      </w:r>
      <w:r w:rsidR="00677E9C" w:rsidRPr="003E6423">
        <w:rPr>
          <w:rFonts w:ascii="Arial" w:eastAsia="Calibri" w:hAnsi="Arial" w:cs="Arial"/>
          <w:sz w:val="22"/>
          <w:lang w:val="es-ES_tradnl"/>
        </w:rPr>
        <w:t xml:space="preserve"> </w:t>
      </w:r>
      <w:r w:rsidR="00D207B0" w:rsidRPr="003E6423">
        <w:rPr>
          <w:rFonts w:ascii="Arial" w:eastAsia="Calibri" w:hAnsi="Arial" w:cs="Arial"/>
          <w:sz w:val="22"/>
          <w:lang w:val="es-ES_tradnl"/>
        </w:rPr>
        <w:t>Poveda</w:t>
      </w:r>
      <w:r w:rsidRPr="003E6423">
        <w:rPr>
          <w:rFonts w:ascii="Arial" w:eastAsia="Calibri" w:hAnsi="Arial" w:cs="Arial"/>
          <w:sz w:val="22"/>
          <w:lang w:val="es-ES_tradnl"/>
        </w:rPr>
        <w:t>:</w:t>
      </w:r>
    </w:p>
    <w:p w14:paraId="1EAE5543" w14:textId="77777777" w:rsidR="00DD5B04" w:rsidRPr="003E6423" w:rsidRDefault="00DD5B04" w:rsidP="00DF76A2">
      <w:pPr>
        <w:jc w:val="both"/>
        <w:rPr>
          <w:rFonts w:ascii="Arial" w:eastAsia="Calibri" w:hAnsi="Arial" w:cs="Arial"/>
          <w:sz w:val="22"/>
          <w:lang w:val="es-ES_tradnl"/>
        </w:rPr>
      </w:pPr>
    </w:p>
    <w:p w14:paraId="2109B2D3" w14:textId="387E773F" w:rsidR="00DD5B04" w:rsidRPr="003E6423" w:rsidRDefault="00DD5B04" w:rsidP="00DF76A2">
      <w:pPr>
        <w:spacing w:line="276" w:lineRule="auto"/>
        <w:jc w:val="both"/>
        <w:rPr>
          <w:rFonts w:ascii="Arial" w:eastAsia="Calibri" w:hAnsi="Arial" w:cs="Arial"/>
          <w:sz w:val="22"/>
          <w:lang w:val="es-ES_tradnl"/>
        </w:rPr>
      </w:pPr>
      <w:r w:rsidRPr="003E6423">
        <w:rPr>
          <w:rFonts w:ascii="Arial" w:eastAsia="Calibri" w:hAnsi="Arial" w:cs="Arial"/>
          <w:sz w:val="22"/>
          <w:lang w:val="es-ES_tradnl"/>
        </w:rPr>
        <w:t>En ejercicio de la competencia otorgada por el numeral 8 del artículo 11 y el numeral 5 del artículo 3 del Decreto Ley 4170 de 2011,</w:t>
      </w:r>
      <w:r w:rsidR="006A0F2B" w:rsidRPr="003E6423">
        <w:rPr>
          <w:rFonts w:ascii="Arial" w:eastAsia="Calibri" w:hAnsi="Arial" w:cs="Arial"/>
          <w:sz w:val="22"/>
          <w:lang w:val="es-ES_tradnl"/>
        </w:rPr>
        <w:t xml:space="preserve"> </w:t>
      </w:r>
      <w:r w:rsidRPr="003E6423">
        <w:rPr>
          <w:rFonts w:ascii="Arial" w:eastAsia="Calibri" w:hAnsi="Arial" w:cs="Arial"/>
          <w:sz w:val="22"/>
          <w:lang w:val="es-ES_tradnl"/>
        </w:rPr>
        <w:t>la Agencia Nacional de Contratación Pública ― Colombia Compra Eficiente</w:t>
      </w:r>
      <w:r w:rsidR="008C3C57" w:rsidRPr="003E6423">
        <w:rPr>
          <w:rFonts w:ascii="Arial" w:eastAsia="Calibri" w:hAnsi="Arial" w:cs="Arial"/>
          <w:sz w:val="22"/>
          <w:lang w:val="es-ES_tradnl"/>
        </w:rPr>
        <w:t xml:space="preserve"> </w:t>
      </w:r>
      <w:r w:rsidRPr="003E6423">
        <w:rPr>
          <w:rFonts w:ascii="Arial" w:eastAsia="Calibri" w:hAnsi="Arial" w:cs="Arial"/>
          <w:sz w:val="22"/>
          <w:lang w:val="es-ES_tradnl"/>
        </w:rPr>
        <w:t xml:space="preserve">responde su consulta del </w:t>
      </w:r>
      <w:r w:rsidR="009E30CC" w:rsidRPr="003E6423">
        <w:rPr>
          <w:rFonts w:ascii="Arial" w:eastAsia="Calibri" w:hAnsi="Arial" w:cs="Arial"/>
          <w:sz w:val="22"/>
          <w:lang w:val="es-ES_tradnl"/>
        </w:rPr>
        <w:t>30</w:t>
      </w:r>
      <w:r w:rsidR="00FD4AF3" w:rsidRPr="003E6423">
        <w:rPr>
          <w:rFonts w:ascii="Arial" w:eastAsia="Calibri" w:hAnsi="Arial" w:cs="Arial"/>
          <w:sz w:val="22"/>
          <w:lang w:val="es-ES_tradnl"/>
        </w:rPr>
        <w:t xml:space="preserve"> de </w:t>
      </w:r>
      <w:r w:rsidR="009E30CC" w:rsidRPr="003E6423">
        <w:rPr>
          <w:rFonts w:ascii="Arial" w:eastAsia="Calibri" w:hAnsi="Arial" w:cs="Arial"/>
          <w:sz w:val="22"/>
          <w:lang w:val="es-ES_tradnl"/>
        </w:rPr>
        <w:t>diciembre</w:t>
      </w:r>
      <w:r w:rsidRPr="003E6423">
        <w:rPr>
          <w:rFonts w:ascii="Arial" w:eastAsia="Calibri" w:hAnsi="Arial" w:cs="Arial"/>
          <w:sz w:val="22"/>
          <w:lang w:val="es-ES_tradnl"/>
        </w:rPr>
        <w:t xml:space="preserve"> del</w:t>
      </w:r>
      <w:r w:rsidR="007E74BF" w:rsidRPr="003E6423">
        <w:rPr>
          <w:rFonts w:ascii="Arial" w:eastAsia="Calibri" w:hAnsi="Arial" w:cs="Arial"/>
          <w:sz w:val="22"/>
          <w:lang w:val="es-ES_tradnl"/>
        </w:rPr>
        <w:t xml:space="preserve"> </w:t>
      </w:r>
      <w:r w:rsidRPr="003E6423">
        <w:rPr>
          <w:rFonts w:ascii="Arial" w:eastAsia="Calibri" w:hAnsi="Arial" w:cs="Arial"/>
          <w:sz w:val="22"/>
          <w:lang w:val="es-ES_tradnl"/>
        </w:rPr>
        <w:t>202</w:t>
      </w:r>
      <w:r w:rsidR="004673A8" w:rsidRPr="003E6423">
        <w:rPr>
          <w:rFonts w:ascii="Arial" w:eastAsia="Calibri" w:hAnsi="Arial" w:cs="Arial"/>
          <w:sz w:val="22"/>
          <w:lang w:val="es-ES_tradnl"/>
        </w:rPr>
        <w:t>1</w:t>
      </w:r>
      <w:r w:rsidR="008C3C57" w:rsidRPr="003E6423">
        <w:rPr>
          <w:rFonts w:ascii="Arial" w:eastAsia="Calibri" w:hAnsi="Arial" w:cs="Arial"/>
          <w:sz w:val="22"/>
          <w:lang w:val="es-ES_tradnl"/>
        </w:rPr>
        <w:t>.</w:t>
      </w:r>
    </w:p>
    <w:p w14:paraId="0C1E0712" w14:textId="77777777" w:rsidR="00DD5B04" w:rsidRPr="003E6423" w:rsidRDefault="00DD5B04" w:rsidP="00DF76A2">
      <w:pPr>
        <w:spacing w:line="276" w:lineRule="auto"/>
        <w:jc w:val="both"/>
        <w:rPr>
          <w:rFonts w:ascii="Arial" w:eastAsia="Calibri" w:hAnsi="Arial" w:cs="Arial"/>
          <w:b/>
          <w:sz w:val="22"/>
          <w:lang w:val="es-ES_tradnl"/>
        </w:rPr>
      </w:pPr>
    </w:p>
    <w:p w14:paraId="7701FCC7" w14:textId="77777777" w:rsidR="00DD5B04" w:rsidRPr="003E6423"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3E6423">
        <w:rPr>
          <w:rFonts w:ascii="Arial" w:eastAsia="Calibri" w:hAnsi="Arial" w:cs="Arial"/>
          <w:b/>
          <w:sz w:val="22"/>
          <w:lang w:val="es-ES_tradnl"/>
        </w:rPr>
        <w:t xml:space="preserve">Problema planteado </w:t>
      </w:r>
    </w:p>
    <w:p w14:paraId="224B43D3" w14:textId="77777777" w:rsidR="00DD5B04" w:rsidRPr="003E6423" w:rsidRDefault="00DD5B04" w:rsidP="00DF76A2">
      <w:pPr>
        <w:tabs>
          <w:tab w:val="left" w:pos="426"/>
        </w:tabs>
        <w:spacing w:line="276" w:lineRule="auto"/>
        <w:jc w:val="both"/>
        <w:rPr>
          <w:rFonts w:ascii="Arial" w:eastAsia="Calibri" w:hAnsi="Arial" w:cs="Arial"/>
          <w:b/>
          <w:sz w:val="22"/>
          <w:lang w:val="es-ES_tradnl"/>
        </w:rPr>
      </w:pPr>
    </w:p>
    <w:p w14:paraId="3C575DE9" w14:textId="78201F7E" w:rsidR="00443B55" w:rsidRPr="003E6423" w:rsidRDefault="00DD5B04" w:rsidP="0099583D">
      <w:pPr>
        <w:spacing w:line="276" w:lineRule="auto"/>
        <w:jc w:val="both"/>
        <w:rPr>
          <w:rFonts w:ascii="Arial" w:hAnsi="Arial" w:cs="Arial"/>
          <w:sz w:val="22"/>
          <w:lang w:val="es-ES_tradnl"/>
        </w:rPr>
      </w:pPr>
      <w:r w:rsidRPr="003E6423">
        <w:rPr>
          <w:rFonts w:ascii="Arial" w:hAnsi="Arial" w:cs="Arial"/>
          <w:sz w:val="22"/>
          <w:lang w:val="es-ES_tradnl"/>
        </w:rPr>
        <w:t xml:space="preserve">Usted </w:t>
      </w:r>
      <w:r w:rsidR="00467D1D" w:rsidRPr="003E6423">
        <w:rPr>
          <w:rFonts w:ascii="Arial" w:hAnsi="Arial" w:cs="Arial"/>
          <w:sz w:val="22"/>
          <w:lang w:val="es-ES_tradnl"/>
        </w:rPr>
        <w:t>realiza</w:t>
      </w:r>
      <w:r w:rsidR="006D46A3" w:rsidRPr="003E6423">
        <w:rPr>
          <w:rFonts w:ascii="Arial" w:hAnsi="Arial" w:cs="Arial"/>
          <w:sz w:val="22"/>
          <w:lang w:val="es-ES_tradnl"/>
        </w:rPr>
        <w:t xml:space="preserve"> la siguiente </w:t>
      </w:r>
      <w:r w:rsidR="00B46915" w:rsidRPr="003E6423">
        <w:rPr>
          <w:rFonts w:ascii="Arial" w:hAnsi="Arial" w:cs="Arial"/>
          <w:sz w:val="22"/>
          <w:lang w:val="es-ES_tradnl"/>
        </w:rPr>
        <w:t>consulta</w:t>
      </w:r>
      <w:r w:rsidR="000314BD" w:rsidRPr="003E6423">
        <w:rPr>
          <w:rFonts w:ascii="Arial" w:hAnsi="Arial" w:cs="Arial"/>
          <w:sz w:val="22"/>
          <w:lang w:val="es-ES_tradnl"/>
        </w:rPr>
        <w:t>:</w:t>
      </w:r>
      <w:r w:rsidR="007E18DF" w:rsidRPr="003E6423">
        <w:rPr>
          <w:rFonts w:ascii="Arial" w:hAnsi="Arial" w:cs="Arial"/>
          <w:sz w:val="22"/>
          <w:lang w:val="es-ES_tradnl"/>
        </w:rPr>
        <w:t xml:space="preserve"> </w:t>
      </w:r>
    </w:p>
    <w:p w14:paraId="559EE20C" w14:textId="77777777" w:rsidR="00443B55" w:rsidRPr="003E6423" w:rsidRDefault="00443B55" w:rsidP="0099583D">
      <w:pPr>
        <w:spacing w:line="276" w:lineRule="auto"/>
        <w:jc w:val="both"/>
        <w:rPr>
          <w:rFonts w:ascii="Arial" w:hAnsi="Arial" w:cs="Arial"/>
          <w:sz w:val="22"/>
          <w:lang w:val="es-ES_tradnl"/>
        </w:rPr>
      </w:pPr>
    </w:p>
    <w:p w14:paraId="250B72D7" w14:textId="3595B310" w:rsidR="009E30CC" w:rsidRPr="003E6423" w:rsidRDefault="003C2546" w:rsidP="009E30CC">
      <w:pPr>
        <w:spacing w:after="120"/>
        <w:ind w:left="709" w:right="709"/>
        <w:jc w:val="both"/>
        <w:rPr>
          <w:rFonts w:ascii="Arial" w:hAnsi="Arial" w:cs="Arial"/>
          <w:sz w:val="21"/>
          <w:szCs w:val="21"/>
          <w:lang w:val="es-ES_tradnl"/>
        </w:rPr>
      </w:pPr>
      <w:r w:rsidRPr="003E6423">
        <w:rPr>
          <w:rFonts w:ascii="Arial" w:hAnsi="Arial" w:cs="Arial"/>
          <w:sz w:val="21"/>
          <w:szCs w:val="21"/>
          <w:lang w:val="es-ES_tradnl"/>
        </w:rPr>
        <w:t>«</w:t>
      </w:r>
      <w:r w:rsidR="009E30CC" w:rsidRPr="003E6423">
        <w:t xml:space="preserve"> </w:t>
      </w:r>
      <w:r w:rsidR="009E30CC" w:rsidRPr="003E6423">
        <w:rPr>
          <w:rFonts w:ascii="Arial" w:hAnsi="Arial" w:cs="Arial"/>
          <w:sz w:val="21"/>
          <w:szCs w:val="21"/>
          <w:lang w:val="es-ES_tradnl"/>
        </w:rPr>
        <w:t>1)</w:t>
      </w:r>
      <w:r w:rsidR="009E30CC" w:rsidRPr="003E6423">
        <w:rPr>
          <w:rFonts w:ascii="Arial" w:hAnsi="Arial" w:cs="Arial"/>
          <w:sz w:val="21"/>
          <w:szCs w:val="21"/>
          <w:lang w:val="es-ES_tradnl"/>
        </w:rPr>
        <w:tab/>
        <w:t xml:space="preserve">En relación con la interpretación del Decreto 1860 del 24 de diciembre de 2021 que reglamentó la Ley de Emprendimiento, y teniendo en cuenta que el </w:t>
      </w:r>
      <w:r w:rsidR="009E30CC" w:rsidRPr="003E6423">
        <w:rPr>
          <w:rFonts w:ascii="Arial" w:hAnsi="Arial" w:cs="Arial"/>
          <w:sz w:val="21"/>
          <w:szCs w:val="21"/>
          <w:lang w:val="es-ES_tradnl"/>
        </w:rPr>
        <w:lastRenderedPageBreak/>
        <w:t xml:space="preserve">artículo 8 “vigencia y derogatorias” establece que las disposiciones allí contenidas se aplicaran en los procedimientos de selección que se publiquen a los 3 meses de su expedición, solicito indicar si actualmente se pueden adelantar convocatorias limitadas a MIPYME </w:t>
      </w:r>
      <w:r w:rsidR="00C0478F" w:rsidRPr="003E6423">
        <w:rPr>
          <w:rFonts w:ascii="Arial" w:hAnsi="Arial" w:cs="Arial"/>
          <w:sz w:val="21"/>
          <w:szCs w:val="21"/>
          <w:lang w:val="es-ES_tradnl"/>
        </w:rPr>
        <w:t>[…] T</w:t>
      </w:r>
      <w:r w:rsidR="009E30CC" w:rsidRPr="003E6423">
        <w:rPr>
          <w:rFonts w:ascii="Arial" w:hAnsi="Arial" w:cs="Arial"/>
          <w:sz w:val="21"/>
          <w:szCs w:val="21"/>
          <w:lang w:val="es-ES_tradnl"/>
        </w:rPr>
        <w:t>eniendo en cuenta que a la fecha ya se expidió decreto reglamentario, pero en todo caso éste indica que su aplicabilidad iniciará 3 meses después, solicito informar si se pueden adelantar convocatorias limitadas a MIPYME actualmente con 2 solicitudes o solo podrán adelantarse a partir del 24 de marzo de 2022.</w:t>
      </w:r>
    </w:p>
    <w:p w14:paraId="43415EE0" w14:textId="77777777" w:rsidR="009E30CC" w:rsidRPr="003E6423" w:rsidRDefault="009E30CC" w:rsidP="009E30CC">
      <w:pPr>
        <w:spacing w:after="120"/>
        <w:ind w:left="709" w:right="709"/>
        <w:jc w:val="both"/>
        <w:rPr>
          <w:rFonts w:ascii="Arial" w:hAnsi="Arial" w:cs="Arial"/>
          <w:sz w:val="21"/>
          <w:szCs w:val="21"/>
          <w:lang w:val="es-ES_tradnl"/>
        </w:rPr>
      </w:pPr>
    </w:p>
    <w:p w14:paraId="3DE18244" w14:textId="77777777" w:rsidR="009E30CC" w:rsidRPr="003E6423" w:rsidRDefault="009E30CC" w:rsidP="00C0478F">
      <w:pPr>
        <w:ind w:left="709" w:right="709"/>
        <w:jc w:val="both"/>
        <w:rPr>
          <w:rFonts w:ascii="Arial" w:hAnsi="Arial" w:cs="Arial"/>
          <w:sz w:val="21"/>
          <w:szCs w:val="21"/>
          <w:lang w:val="es-ES_tradnl"/>
        </w:rPr>
      </w:pPr>
      <w:r w:rsidRPr="003E6423">
        <w:rPr>
          <w:rFonts w:ascii="Arial" w:hAnsi="Arial" w:cs="Arial"/>
          <w:sz w:val="21"/>
          <w:szCs w:val="21"/>
          <w:lang w:val="es-ES_tradnl"/>
        </w:rPr>
        <w:t>2)</w:t>
      </w:r>
      <w:r w:rsidRPr="003E6423">
        <w:rPr>
          <w:rFonts w:ascii="Arial" w:hAnsi="Arial" w:cs="Arial"/>
          <w:sz w:val="21"/>
          <w:szCs w:val="21"/>
          <w:lang w:val="es-ES_tradnl"/>
        </w:rPr>
        <w:tab/>
        <w:t>De otra parte y teniendo en cuenta que también se conceptúo por parte de esa agencia según concepto C ‒ 242 de 2021 de fecha 25 de mayo de 2021 que la Ley 2069 de 2020 derogó el artículo 42 de la Ley 1955 de 2019 y que tal interpretación es acorde con el criterio del Consejo de Estado contenido en el auto del 29 de mayo de 2017 según el cual  la mínima cuantía debe efectuarse cuando el valor de la contratación no exceda el 10% de la menor cuantía, independientemente del objeto, solicito confirmar si actualmente prima la mínima cuantía sobre la adquisición por acuerdo marco cuando el valor de la contratación no exceda el 10% de la menor cuantía de la entidad.</w:t>
      </w:r>
    </w:p>
    <w:p w14:paraId="0F4F466B" w14:textId="77777777" w:rsidR="009E30CC" w:rsidRPr="003E6423" w:rsidRDefault="009E30CC" w:rsidP="00C0478F">
      <w:pPr>
        <w:ind w:left="709" w:right="709"/>
        <w:jc w:val="both"/>
        <w:rPr>
          <w:rFonts w:ascii="Arial" w:hAnsi="Arial" w:cs="Arial"/>
          <w:sz w:val="21"/>
          <w:szCs w:val="21"/>
          <w:lang w:val="es-ES_tradnl"/>
        </w:rPr>
      </w:pPr>
    </w:p>
    <w:p w14:paraId="6F4D36EF" w14:textId="77777777" w:rsidR="009E30CC" w:rsidRPr="003E6423" w:rsidRDefault="009E30CC" w:rsidP="00C0478F">
      <w:pPr>
        <w:ind w:left="709" w:right="709"/>
        <w:jc w:val="both"/>
        <w:rPr>
          <w:rFonts w:ascii="Arial" w:hAnsi="Arial" w:cs="Arial"/>
          <w:sz w:val="21"/>
          <w:szCs w:val="21"/>
          <w:lang w:val="es-ES_tradnl"/>
        </w:rPr>
      </w:pPr>
      <w:r w:rsidRPr="003E6423">
        <w:rPr>
          <w:rFonts w:ascii="Arial" w:hAnsi="Arial" w:cs="Arial"/>
          <w:sz w:val="21"/>
          <w:szCs w:val="21"/>
          <w:lang w:val="es-ES_tradnl"/>
        </w:rPr>
        <w:t>3)</w:t>
      </w:r>
      <w:r w:rsidRPr="003E6423">
        <w:rPr>
          <w:rFonts w:ascii="Arial" w:hAnsi="Arial" w:cs="Arial"/>
          <w:sz w:val="21"/>
          <w:szCs w:val="21"/>
          <w:lang w:val="es-ES_tradnl"/>
        </w:rPr>
        <w:tab/>
        <w:t xml:space="preserve">Finalmente, y en relación con lo establecido en el parágrafo 3 Artículo 2.2.1.2.1.2.12: “Planeación de una adquisición en la bolsa de productos” del Decreto 310 del 25 de marzo de 2021: “PARÁGRAFO 3. Lo previsto en el parágrafo 1 de este artículo no será aplicable a las Entidades Estatales de la Rama Ejecutiva del Poder Público del orden nacional, obligadas a aplicar la Ley 80 de 1993 y la Ley 1150 de 2007, o las normas que las modifiquen, aclaren, adicionen o sustituyan, las cuales en todo caso están obligadas a adquirir Bienes y Servicios de Características Técnicas Uniformes a través de los Acuerdos Marco de Precios vigentes estructurados por la Agencia Nacional de Contratación Pública -Colombia Compra Eficiente", solicito amablemente informar cual es la interpretación de Colombia Compra en relación con este aspecto, es decir ¿qué apartes de esta norma es el que no le es aplicable  a las Entidades de la Rama Ejecutiva del Poder Público? Pues el parágrafo 1 donde supuestamente se indica lo no aplicable a este tipo de entidades, únicamente se lee: “PARÁGRAFO 1. La Agencia Nacional de contratación Pública - Colombia Compra Eficiente, a través de la circular de que trata el numeral 2 del parágrafo 1 del artículo 2.2.1.2.1.2.7.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 </w:t>
      </w:r>
    </w:p>
    <w:p w14:paraId="00415448" w14:textId="77777777" w:rsidR="009E30CC" w:rsidRPr="003E6423" w:rsidRDefault="009E30CC" w:rsidP="00C0478F">
      <w:pPr>
        <w:ind w:left="709" w:right="709"/>
        <w:jc w:val="both"/>
        <w:rPr>
          <w:rFonts w:ascii="Arial" w:hAnsi="Arial" w:cs="Arial"/>
          <w:sz w:val="21"/>
          <w:szCs w:val="21"/>
          <w:lang w:val="es-ES_tradnl"/>
        </w:rPr>
      </w:pPr>
    </w:p>
    <w:p w14:paraId="1D0C9BCC" w14:textId="2377F920" w:rsidR="0050703E" w:rsidRPr="003E6423" w:rsidRDefault="009E30CC" w:rsidP="000723E2">
      <w:pPr>
        <w:ind w:left="709" w:right="709"/>
        <w:jc w:val="both"/>
        <w:rPr>
          <w:rFonts w:ascii="Arial" w:hAnsi="Arial" w:cs="Arial"/>
          <w:sz w:val="21"/>
          <w:szCs w:val="21"/>
          <w:lang w:val="es-ES_tradnl"/>
        </w:rPr>
      </w:pPr>
      <w:r w:rsidRPr="003E6423">
        <w:rPr>
          <w:rFonts w:ascii="Arial" w:hAnsi="Arial" w:cs="Arial"/>
          <w:sz w:val="21"/>
          <w:szCs w:val="21"/>
          <w:lang w:val="es-ES_tradnl"/>
        </w:rPr>
        <w:t>Por su parte, en la circular expedida por Colombia Compra Eficiente, de que el parágrafo 1 tampoco se esclareció este tema, al contrario pienso que lo hizo más confuso</w:t>
      </w:r>
      <w:r w:rsidR="00EF79D1" w:rsidRPr="003E6423">
        <w:rPr>
          <w:rFonts w:ascii="Arial" w:hAnsi="Arial" w:cs="Arial"/>
          <w:sz w:val="21"/>
          <w:szCs w:val="21"/>
          <w:lang w:val="es-ES_tradnl"/>
        </w:rPr>
        <w:t>»</w:t>
      </w:r>
      <w:r w:rsidR="00467D1D" w:rsidRPr="003E6423">
        <w:rPr>
          <w:rFonts w:ascii="Arial" w:hAnsi="Arial" w:cs="Arial"/>
          <w:sz w:val="21"/>
          <w:szCs w:val="21"/>
          <w:lang w:val="es-ES_tradnl"/>
        </w:rPr>
        <w:t>.</w:t>
      </w:r>
    </w:p>
    <w:p w14:paraId="7316D498" w14:textId="77777777" w:rsidR="00BD53A0" w:rsidRPr="003E6423" w:rsidRDefault="00BD53A0" w:rsidP="00B2086F">
      <w:pPr>
        <w:spacing w:line="276" w:lineRule="auto"/>
        <w:ind w:left="709" w:right="709"/>
        <w:jc w:val="both"/>
        <w:rPr>
          <w:rFonts w:ascii="Arial" w:hAnsi="Arial" w:cs="Arial"/>
          <w:sz w:val="22"/>
          <w:szCs w:val="22"/>
          <w:lang w:val="es-ES_tradnl"/>
        </w:rPr>
      </w:pPr>
    </w:p>
    <w:p w14:paraId="124D2DCA" w14:textId="77777777" w:rsidR="00DD5B04" w:rsidRPr="003E6423"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3E6423">
        <w:rPr>
          <w:rFonts w:ascii="Arial" w:eastAsia="Calibri" w:hAnsi="Arial" w:cs="Arial"/>
          <w:b/>
          <w:sz w:val="22"/>
          <w:lang w:val="es-ES_tradnl"/>
        </w:rPr>
        <w:t>Consideraciones</w:t>
      </w:r>
    </w:p>
    <w:p w14:paraId="7D050D2E" w14:textId="4381E36A" w:rsidR="00435703" w:rsidRPr="003E6423" w:rsidRDefault="00435703" w:rsidP="00DF76A2">
      <w:pPr>
        <w:spacing w:line="276" w:lineRule="auto"/>
        <w:jc w:val="both"/>
        <w:rPr>
          <w:rFonts w:ascii="Arial" w:eastAsia="Calibri" w:hAnsi="Arial" w:cs="Arial"/>
          <w:sz w:val="22"/>
          <w:szCs w:val="22"/>
          <w:lang w:val="es-ES_tradnl"/>
        </w:rPr>
      </w:pPr>
    </w:p>
    <w:p w14:paraId="183B0AE1" w14:textId="38E76887" w:rsidR="00C0478F" w:rsidRPr="003E6423" w:rsidRDefault="00A5463D" w:rsidP="00324096">
      <w:pPr>
        <w:tabs>
          <w:tab w:val="left" w:pos="426"/>
          <w:tab w:val="left" w:pos="8647"/>
        </w:tabs>
        <w:spacing w:after="120" w:line="276" w:lineRule="auto"/>
        <w:jc w:val="both"/>
        <w:rPr>
          <w:rFonts w:ascii="Arial" w:eastAsia="Calibri" w:hAnsi="Arial" w:cs="Arial"/>
          <w:bCs/>
          <w:sz w:val="22"/>
        </w:rPr>
      </w:pPr>
      <w:r w:rsidRPr="003E6423">
        <w:rPr>
          <w:rFonts w:ascii="Arial" w:eastAsia="Calibri" w:hAnsi="Arial" w:cs="Arial"/>
          <w:bCs/>
          <w:sz w:val="22"/>
        </w:rPr>
        <w:lastRenderedPageBreak/>
        <w:t>Para resolver las inquietudes planteadas se</w:t>
      </w:r>
      <w:r w:rsidR="00C0478F" w:rsidRPr="003E6423">
        <w:rPr>
          <w:rFonts w:ascii="Arial" w:eastAsia="Calibri" w:hAnsi="Arial" w:cs="Arial"/>
          <w:bCs/>
          <w:sz w:val="22"/>
        </w:rPr>
        <w:t xml:space="preserve"> </w:t>
      </w:r>
      <w:r w:rsidR="00F70F32" w:rsidRPr="003E6423">
        <w:rPr>
          <w:rFonts w:ascii="Arial" w:eastAsia="Calibri" w:hAnsi="Arial" w:cs="Arial"/>
          <w:bCs/>
          <w:sz w:val="22"/>
        </w:rPr>
        <w:t>analizarán</w:t>
      </w:r>
      <w:r w:rsidR="00C0478F" w:rsidRPr="003E6423">
        <w:rPr>
          <w:rFonts w:ascii="Arial" w:eastAsia="Calibri" w:hAnsi="Arial" w:cs="Arial"/>
          <w:bCs/>
          <w:sz w:val="22"/>
        </w:rPr>
        <w:t xml:space="preserve"> los siguientes temas: i) </w:t>
      </w:r>
      <w:r w:rsidR="00661332" w:rsidRPr="003E6423">
        <w:rPr>
          <w:rFonts w:ascii="Arial" w:eastAsia="Calibri" w:hAnsi="Arial" w:cs="Arial"/>
          <w:bCs/>
          <w:sz w:val="22"/>
        </w:rPr>
        <w:t>ámbito de aplicación, vigencia y reglamentación de la Ley 2069 de 2020</w:t>
      </w:r>
      <w:r w:rsidR="00C0478F" w:rsidRPr="003E6423">
        <w:rPr>
          <w:rFonts w:ascii="Arial" w:eastAsia="Calibri" w:hAnsi="Arial" w:cs="Arial"/>
          <w:bCs/>
          <w:sz w:val="22"/>
        </w:rPr>
        <w:t xml:space="preserve">; ii) </w:t>
      </w:r>
      <w:r w:rsidR="00661332" w:rsidRPr="003E6423">
        <w:rPr>
          <w:rFonts w:ascii="Arial" w:eastAsia="Calibri" w:hAnsi="Arial" w:cs="Arial"/>
          <w:bCs/>
          <w:sz w:val="22"/>
        </w:rPr>
        <w:t>regulación de las convocatorias limitadas a mipymes en el artículo 34 de la Ley 2069 de 2020. Eficacia y alcance de la potestad reglamentaria</w:t>
      </w:r>
      <w:r w:rsidR="00324096" w:rsidRPr="003E6423">
        <w:rPr>
          <w:rFonts w:ascii="Arial" w:eastAsia="Calibri" w:hAnsi="Arial" w:cs="Arial"/>
          <w:bCs/>
          <w:sz w:val="22"/>
        </w:rPr>
        <w:t xml:space="preserve">; iii) </w:t>
      </w:r>
      <w:r w:rsidR="00661332" w:rsidRPr="003E6423">
        <w:rPr>
          <w:rFonts w:ascii="Arial" w:eastAsia="Calibri" w:hAnsi="Arial" w:cs="Arial"/>
          <w:bCs/>
          <w:sz w:val="22"/>
        </w:rPr>
        <w:t>derogatoria del artículo 42 de la Ley 1955 de 2019, frente a la nueva regulación de la mínima cuantía contenida en el artículo 30 de la Ley 2069 de 2020</w:t>
      </w:r>
      <w:r w:rsidR="00EE774F" w:rsidRPr="003E6423">
        <w:rPr>
          <w:rFonts w:ascii="Arial" w:eastAsia="Calibri" w:hAnsi="Arial" w:cs="Arial"/>
          <w:bCs/>
          <w:sz w:val="22"/>
        </w:rPr>
        <w:t xml:space="preserve">; y </w:t>
      </w:r>
      <w:r w:rsidR="00661332" w:rsidRPr="003E6423">
        <w:rPr>
          <w:rFonts w:ascii="Arial" w:eastAsia="Calibri" w:hAnsi="Arial" w:cs="Arial"/>
          <w:bCs/>
          <w:sz w:val="22"/>
        </w:rPr>
        <w:t>i</w:t>
      </w:r>
      <w:r w:rsidR="00EE774F" w:rsidRPr="003E6423">
        <w:rPr>
          <w:rFonts w:ascii="Arial" w:eastAsia="Calibri" w:hAnsi="Arial" w:cs="Arial"/>
          <w:bCs/>
          <w:sz w:val="22"/>
        </w:rPr>
        <w:t xml:space="preserve">v) </w:t>
      </w:r>
      <w:r w:rsidR="00661332" w:rsidRPr="003E6423">
        <w:rPr>
          <w:rFonts w:ascii="Arial" w:eastAsia="Calibri" w:hAnsi="Arial" w:cs="Arial"/>
          <w:bCs/>
          <w:sz w:val="22"/>
        </w:rPr>
        <w:t>planeación de las adquisiciones de bienes y servicios de características técnicas uniformes: alcance de la Circular Externa 004 de 21 de septiembre de 2021.</w:t>
      </w:r>
    </w:p>
    <w:p w14:paraId="6540522F" w14:textId="6437E7EA" w:rsidR="00082303" w:rsidRPr="003E6423" w:rsidRDefault="00A5463D" w:rsidP="00226598">
      <w:pPr>
        <w:tabs>
          <w:tab w:val="left" w:pos="426"/>
        </w:tabs>
        <w:spacing w:line="276" w:lineRule="auto"/>
        <w:jc w:val="both"/>
        <w:rPr>
          <w:rFonts w:ascii="Arial" w:eastAsia="Calibri" w:hAnsi="Arial" w:cs="Arial"/>
          <w:bCs/>
          <w:sz w:val="22"/>
        </w:rPr>
      </w:pPr>
      <w:r w:rsidRPr="003E6423">
        <w:rPr>
          <w:rFonts w:ascii="Arial" w:eastAsia="Calibri" w:hAnsi="Arial" w:cs="Arial"/>
          <w:bCs/>
          <w:sz w:val="22"/>
        </w:rPr>
        <w:tab/>
      </w:r>
      <w:r w:rsidRPr="003E6423">
        <w:rPr>
          <w:rFonts w:ascii="Arial" w:eastAsia="Calibri" w:hAnsi="Arial" w:cs="Arial"/>
          <w:bCs/>
          <w:sz w:val="22"/>
        </w:rPr>
        <w:tab/>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w:t>
      </w:r>
      <w:r w:rsidR="00291AE7" w:rsidRPr="003E6423">
        <w:rPr>
          <w:rFonts w:ascii="Arial" w:eastAsia="Calibri" w:hAnsi="Arial" w:cs="Arial"/>
          <w:bCs/>
          <w:sz w:val="22"/>
        </w:rPr>
        <w:t>c</w:t>
      </w:r>
      <w:r w:rsidRPr="003E6423">
        <w:rPr>
          <w:rFonts w:ascii="Arial" w:eastAsia="Calibri" w:hAnsi="Arial" w:cs="Arial"/>
          <w:bCs/>
          <w:sz w:val="22"/>
        </w:rPr>
        <w:t xml:space="preserve">onceptos </w:t>
      </w:r>
      <w:r w:rsidR="00291AE7" w:rsidRPr="003E6423">
        <w:rPr>
          <w:rFonts w:ascii="Arial" w:eastAsia="Calibri" w:hAnsi="Arial" w:cs="Arial"/>
          <w:bCs/>
          <w:sz w:val="22"/>
        </w:rPr>
        <w:t xml:space="preserve">C-005 del 16 de febrero de 2021, C-037 del 26 de febrero de 2021, C-035 del 02 de marzo de 2021, C-126 del 06 de abril de 2021, C-127 del 06 de abril de 2021, C-144 del 07 de abril de 2021, C-141 del 08 de abril de 2021, C-163 </w:t>
      </w:r>
      <w:r w:rsidR="00EE774F" w:rsidRPr="003E6423">
        <w:rPr>
          <w:rFonts w:ascii="Arial" w:eastAsia="Calibri" w:hAnsi="Arial" w:cs="Arial"/>
          <w:bCs/>
          <w:sz w:val="22"/>
        </w:rPr>
        <w:t>,</w:t>
      </w:r>
      <w:r w:rsidR="00291AE7" w:rsidRPr="003E6423">
        <w:rPr>
          <w:rFonts w:ascii="Arial" w:eastAsia="Calibri" w:hAnsi="Arial" w:cs="Arial"/>
          <w:bCs/>
          <w:sz w:val="22"/>
        </w:rPr>
        <w:t xml:space="preserve"> C-164 del 19 de abril de 2021,</w:t>
      </w:r>
      <w:r w:rsidR="00572252" w:rsidRPr="003E6423">
        <w:rPr>
          <w:rFonts w:ascii="Arial" w:eastAsia="Calibri" w:hAnsi="Arial" w:cs="Arial"/>
          <w:bCs/>
          <w:sz w:val="22"/>
        </w:rPr>
        <w:t xml:space="preserve"> C-166 del 23 de abril de 2021, C−195 del 4 de mayo de 2021, C−198 del 5 de mayo de 2021,</w:t>
      </w:r>
      <w:r w:rsidR="00EE774F" w:rsidRPr="003E6423">
        <w:rPr>
          <w:rFonts w:ascii="Arial" w:eastAsia="Calibri" w:hAnsi="Arial" w:cs="Arial"/>
          <w:bCs/>
          <w:sz w:val="22"/>
        </w:rPr>
        <w:t xml:space="preserve"> C-242 del 25 de mayo de 2021, C-496 del 14 de septiembre de 2021, C-573 del 13 de octubre de 2021, </w:t>
      </w:r>
      <w:r w:rsidR="00572252" w:rsidRPr="003E6423">
        <w:rPr>
          <w:rFonts w:ascii="Arial" w:eastAsia="Calibri" w:hAnsi="Arial" w:cs="Arial"/>
          <w:bCs/>
          <w:sz w:val="22"/>
        </w:rPr>
        <w:t xml:space="preserve">C-586 del 14 de octubre de 2021, </w:t>
      </w:r>
      <w:r w:rsidR="00EE774F" w:rsidRPr="003E6423">
        <w:rPr>
          <w:rFonts w:ascii="Arial" w:eastAsia="Calibri" w:hAnsi="Arial" w:cs="Arial"/>
          <w:bCs/>
          <w:sz w:val="22"/>
        </w:rPr>
        <w:t xml:space="preserve">C-542 del 20 de octubre de 2021, C-673 de </w:t>
      </w:r>
      <w:r w:rsidR="00572252" w:rsidRPr="003E6423">
        <w:rPr>
          <w:rFonts w:ascii="Arial" w:eastAsia="Calibri" w:hAnsi="Arial" w:cs="Arial"/>
          <w:bCs/>
          <w:sz w:val="22"/>
        </w:rPr>
        <w:t xml:space="preserve">5 de enero de </w:t>
      </w:r>
      <w:r w:rsidR="00EE774F" w:rsidRPr="003E6423">
        <w:rPr>
          <w:rFonts w:ascii="Arial" w:eastAsia="Calibri" w:hAnsi="Arial" w:cs="Arial"/>
          <w:bCs/>
          <w:sz w:val="22"/>
        </w:rPr>
        <w:t>2022</w:t>
      </w:r>
      <w:r w:rsidR="00572252" w:rsidRPr="003E6423">
        <w:rPr>
          <w:rFonts w:ascii="Arial" w:eastAsia="Calibri" w:hAnsi="Arial" w:cs="Arial"/>
          <w:bCs/>
          <w:sz w:val="22"/>
        </w:rPr>
        <w:t>, entre otros</w:t>
      </w:r>
      <w:r w:rsidR="00E910B2" w:rsidRPr="003E6423">
        <w:rPr>
          <w:rFonts w:ascii="Arial" w:eastAsia="Calibri" w:hAnsi="Arial" w:cs="Arial"/>
          <w:bCs/>
          <w:sz w:val="22"/>
        </w:rPr>
        <w:t>, se analizó el alcance del artículo 30 de la Ley 2069 de 2020, concluyendo que goza de eficacia directa</w:t>
      </w:r>
      <w:r w:rsidR="00572252" w:rsidRPr="003E6423">
        <w:rPr>
          <w:rFonts w:ascii="Arial" w:eastAsia="Calibri" w:hAnsi="Arial" w:cs="Arial"/>
          <w:bCs/>
          <w:sz w:val="22"/>
        </w:rPr>
        <w:t xml:space="preserve">. De otra parte, en los conceptos C-043 del </w:t>
      </w:r>
      <w:r w:rsidR="005D234B" w:rsidRPr="003E6423">
        <w:rPr>
          <w:rFonts w:ascii="Arial" w:eastAsia="Calibri" w:hAnsi="Arial" w:cs="Arial"/>
          <w:bCs/>
          <w:sz w:val="22"/>
        </w:rPr>
        <w:t xml:space="preserve">9 de febrero de </w:t>
      </w:r>
      <w:r w:rsidR="00572252" w:rsidRPr="003E6423">
        <w:rPr>
          <w:rFonts w:ascii="Arial" w:eastAsia="Calibri" w:hAnsi="Arial" w:cs="Arial"/>
          <w:bCs/>
          <w:sz w:val="22"/>
        </w:rPr>
        <w:t>2021, C-005 del 16</w:t>
      </w:r>
      <w:r w:rsidR="005D234B" w:rsidRPr="003E6423">
        <w:rPr>
          <w:rFonts w:ascii="Arial" w:eastAsia="Calibri" w:hAnsi="Arial" w:cs="Arial"/>
          <w:bCs/>
          <w:sz w:val="22"/>
        </w:rPr>
        <w:t xml:space="preserve"> de febrero </w:t>
      </w:r>
      <w:r w:rsidR="00572252" w:rsidRPr="003E6423">
        <w:rPr>
          <w:rFonts w:ascii="Arial" w:eastAsia="Calibri" w:hAnsi="Arial" w:cs="Arial"/>
          <w:bCs/>
          <w:sz w:val="22"/>
        </w:rPr>
        <w:t>2021, C-081 del 23</w:t>
      </w:r>
      <w:r w:rsidR="005D234B" w:rsidRPr="003E6423">
        <w:rPr>
          <w:rFonts w:ascii="Arial" w:eastAsia="Calibri" w:hAnsi="Arial" w:cs="Arial"/>
          <w:bCs/>
          <w:sz w:val="22"/>
        </w:rPr>
        <w:t xml:space="preserve"> de febrero de </w:t>
      </w:r>
      <w:r w:rsidR="00572252" w:rsidRPr="003E6423">
        <w:rPr>
          <w:rFonts w:ascii="Arial" w:eastAsia="Calibri" w:hAnsi="Arial" w:cs="Arial"/>
          <w:bCs/>
          <w:sz w:val="22"/>
        </w:rPr>
        <w:t>2021, C-087 del 23</w:t>
      </w:r>
      <w:r w:rsidR="005D234B" w:rsidRPr="003E6423">
        <w:rPr>
          <w:rFonts w:ascii="Arial" w:eastAsia="Calibri" w:hAnsi="Arial" w:cs="Arial"/>
          <w:bCs/>
          <w:sz w:val="22"/>
        </w:rPr>
        <w:t xml:space="preserve"> de febrero de </w:t>
      </w:r>
      <w:r w:rsidR="00572252" w:rsidRPr="003E6423">
        <w:rPr>
          <w:rFonts w:ascii="Arial" w:eastAsia="Calibri" w:hAnsi="Arial" w:cs="Arial"/>
          <w:bCs/>
          <w:sz w:val="22"/>
        </w:rPr>
        <w:t>2021, C-025 del 25</w:t>
      </w:r>
      <w:r w:rsidR="005D234B" w:rsidRPr="003E6423">
        <w:rPr>
          <w:rFonts w:ascii="Arial" w:eastAsia="Calibri" w:hAnsi="Arial" w:cs="Arial"/>
          <w:bCs/>
          <w:sz w:val="22"/>
        </w:rPr>
        <w:t xml:space="preserve"> de febrero de </w:t>
      </w:r>
      <w:r w:rsidR="00572252" w:rsidRPr="003E6423">
        <w:rPr>
          <w:rFonts w:ascii="Arial" w:eastAsia="Calibri" w:hAnsi="Arial" w:cs="Arial"/>
          <w:bCs/>
          <w:sz w:val="22"/>
        </w:rPr>
        <w:t>2021, C-037 del 26</w:t>
      </w:r>
      <w:r w:rsidR="005D234B" w:rsidRPr="003E6423">
        <w:rPr>
          <w:rFonts w:ascii="Arial" w:eastAsia="Calibri" w:hAnsi="Arial" w:cs="Arial"/>
          <w:bCs/>
          <w:sz w:val="22"/>
        </w:rPr>
        <w:t xml:space="preserve"> de febrero de </w:t>
      </w:r>
      <w:r w:rsidR="00572252" w:rsidRPr="003E6423">
        <w:rPr>
          <w:rFonts w:ascii="Arial" w:eastAsia="Calibri" w:hAnsi="Arial" w:cs="Arial"/>
          <w:bCs/>
          <w:sz w:val="22"/>
        </w:rPr>
        <w:t>2021, C-035 del 2</w:t>
      </w:r>
      <w:r w:rsidR="005D234B" w:rsidRPr="003E6423">
        <w:rPr>
          <w:rFonts w:ascii="Arial" w:eastAsia="Calibri" w:hAnsi="Arial" w:cs="Arial"/>
          <w:bCs/>
          <w:sz w:val="22"/>
        </w:rPr>
        <w:t xml:space="preserve"> de marzo de </w:t>
      </w:r>
      <w:r w:rsidR="00572252" w:rsidRPr="003E6423">
        <w:rPr>
          <w:rFonts w:ascii="Arial" w:eastAsia="Calibri" w:hAnsi="Arial" w:cs="Arial"/>
          <w:bCs/>
          <w:sz w:val="22"/>
        </w:rPr>
        <w:t>2021, C-040 del 2</w:t>
      </w:r>
      <w:r w:rsidR="005D234B" w:rsidRPr="003E6423">
        <w:rPr>
          <w:rFonts w:ascii="Arial" w:eastAsia="Calibri" w:hAnsi="Arial" w:cs="Arial"/>
          <w:bCs/>
          <w:sz w:val="22"/>
        </w:rPr>
        <w:t xml:space="preserve"> de marzo de </w:t>
      </w:r>
      <w:r w:rsidR="00572252" w:rsidRPr="003E6423">
        <w:rPr>
          <w:rFonts w:ascii="Arial" w:eastAsia="Calibri" w:hAnsi="Arial" w:cs="Arial"/>
          <w:bCs/>
          <w:sz w:val="22"/>
        </w:rPr>
        <w:t>2021, C-044 del 3</w:t>
      </w:r>
      <w:r w:rsidR="005D234B" w:rsidRPr="003E6423">
        <w:rPr>
          <w:rFonts w:ascii="Arial" w:eastAsia="Calibri" w:hAnsi="Arial" w:cs="Arial"/>
          <w:bCs/>
          <w:sz w:val="22"/>
        </w:rPr>
        <w:t xml:space="preserve"> de marzo de </w:t>
      </w:r>
      <w:r w:rsidR="00572252" w:rsidRPr="003E6423">
        <w:rPr>
          <w:rFonts w:ascii="Arial" w:eastAsia="Calibri" w:hAnsi="Arial" w:cs="Arial"/>
          <w:bCs/>
          <w:sz w:val="22"/>
        </w:rPr>
        <w:t>2021, C-125 del 5</w:t>
      </w:r>
      <w:r w:rsidR="005D234B" w:rsidRPr="003E6423">
        <w:rPr>
          <w:rFonts w:ascii="Arial" w:eastAsia="Calibri" w:hAnsi="Arial" w:cs="Arial"/>
          <w:bCs/>
          <w:sz w:val="22"/>
        </w:rPr>
        <w:t xml:space="preserve"> de abril de </w:t>
      </w:r>
      <w:r w:rsidR="00572252" w:rsidRPr="003E6423">
        <w:rPr>
          <w:rFonts w:ascii="Arial" w:eastAsia="Calibri" w:hAnsi="Arial" w:cs="Arial"/>
          <w:bCs/>
          <w:sz w:val="22"/>
        </w:rPr>
        <w:t>2021, C-127 del 6</w:t>
      </w:r>
      <w:r w:rsidR="005D234B" w:rsidRPr="003E6423">
        <w:rPr>
          <w:rFonts w:ascii="Arial" w:eastAsia="Calibri" w:hAnsi="Arial" w:cs="Arial"/>
          <w:bCs/>
          <w:sz w:val="22"/>
        </w:rPr>
        <w:t xml:space="preserve"> de abril de </w:t>
      </w:r>
      <w:r w:rsidR="00572252" w:rsidRPr="003E6423">
        <w:rPr>
          <w:rFonts w:ascii="Arial" w:eastAsia="Calibri" w:hAnsi="Arial" w:cs="Arial"/>
          <w:bCs/>
          <w:sz w:val="22"/>
        </w:rPr>
        <w:t>2021), C-102 del 25</w:t>
      </w:r>
      <w:r w:rsidR="005D234B" w:rsidRPr="003E6423">
        <w:rPr>
          <w:rFonts w:ascii="Arial" w:eastAsia="Calibri" w:hAnsi="Arial" w:cs="Arial"/>
          <w:bCs/>
          <w:sz w:val="22"/>
        </w:rPr>
        <w:t xml:space="preserve"> de marzo de </w:t>
      </w:r>
      <w:r w:rsidR="00572252" w:rsidRPr="003E6423">
        <w:rPr>
          <w:rFonts w:ascii="Arial" w:eastAsia="Calibri" w:hAnsi="Arial" w:cs="Arial"/>
          <w:bCs/>
          <w:sz w:val="22"/>
        </w:rPr>
        <w:t>2021,   C-125 del 5</w:t>
      </w:r>
      <w:r w:rsidR="005D234B" w:rsidRPr="003E6423">
        <w:rPr>
          <w:rFonts w:ascii="Arial" w:eastAsia="Calibri" w:hAnsi="Arial" w:cs="Arial"/>
          <w:bCs/>
          <w:sz w:val="22"/>
        </w:rPr>
        <w:t xml:space="preserve"> de abril de </w:t>
      </w:r>
      <w:r w:rsidR="00572252" w:rsidRPr="003E6423">
        <w:rPr>
          <w:rFonts w:ascii="Arial" w:eastAsia="Calibri" w:hAnsi="Arial" w:cs="Arial"/>
          <w:bCs/>
          <w:sz w:val="22"/>
        </w:rPr>
        <w:t>2021</w:t>
      </w:r>
      <w:r w:rsidR="005D234B" w:rsidRPr="003E6423">
        <w:rPr>
          <w:rFonts w:ascii="Arial" w:eastAsia="Calibri" w:hAnsi="Arial" w:cs="Arial"/>
          <w:bCs/>
          <w:sz w:val="22"/>
        </w:rPr>
        <w:t>, C-130 del 7 de abril de 2021,</w:t>
      </w:r>
      <w:r w:rsidR="00572252" w:rsidRPr="003E6423">
        <w:rPr>
          <w:rFonts w:ascii="Arial" w:eastAsia="Calibri" w:hAnsi="Arial" w:cs="Arial"/>
          <w:bCs/>
          <w:sz w:val="22"/>
        </w:rPr>
        <w:t xml:space="preserve"> C-141 del 8</w:t>
      </w:r>
      <w:r w:rsidR="005D234B" w:rsidRPr="003E6423">
        <w:rPr>
          <w:rFonts w:ascii="Arial" w:eastAsia="Calibri" w:hAnsi="Arial" w:cs="Arial"/>
          <w:bCs/>
          <w:sz w:val="22"/>
        </w:rPr>
        <w:t xml:space="preserve"> de abril de </w:t>
      </w:r>
      <w:r w:rsidR="00572252" w:rsidRPr="003E6423">
        <w:rPr>
          <w:rFonts w:ascii="Arial" w:eastAsia="Calibri" w:hAnsi="Arial" w:cs="Arial"/>
          <w:bCs/>
          <w:sz w:val="22"/>
        </w:rPr>
        <w:t>2021,</w:t>
      </w:r>
      <w:r w:rsidR="005D234B" w:rsidRPr="003E6423">
        <w:rPr>
          <w:rFonts w:ascii="Arial" w:eastAsia="Calibri" w:hAnsi="Arial" w:cs="Arial"/>
          <w:bCs/>
          <w:sz w:val="22"/>
        </w:rPr>
        <w:t xml:space="preserve"> C−151 del 12 de abril de 2021,   C-160 del 20 de abril de 2021,</w:t>
      </w:r>
      <w:r w:rsidR="00E910B2" w:rsidRPr="003E6423">
        <w:rPr>
          <w:rFonts w:ascii="Arial" w:eastAsia="Calibri" w:hAnsi="Arial" w:cs="Arial"/>
          <w:bCs/>
          <w:sz w:val="22"/>
        </w:rPr>
        <w:t xml:space="preserve"> C-169 del 21 de abril de 2021,</w:t>
      </w:r>
      <w:r w:rsidR="005D234B" w:rsidRPr="003E6423">
        <w:rPr>
          <w:rFonts w:ascii="Arial" w:eastAsia="Calibri" w:hAnsi="Arial" w:cs="Arial"/>
          <w:bCs/>
          <w:sz w:val="22"/>
        </w:rPr>
        <w:t xml:space="preserve"> </w:t>
      </w:r>
      <w:r w:rsidR="00E910B2" w:rsidRPr="003E6423">
        <w:rPr>
          <w:rFonts w:ascii="Arial" w:eastAsia="Calibri" w:hAnsi="Arial" w:cs="Arial"/>
          <w:bCs/>
          <w:sz w:val="22"/>
        </w:rPr>
        <w:t xml:space="preserve">C-175 del 26 de abril de 2021, </w:t>
      </w:r>
      <w:r w:rsidR="005D234B" w:rsidRPr="003E6423">
        <w:rPr>
          <w:rFonts w:ascii="Arial" w:eastAsia="Calibri" w:hAnsi="Arial" w:cs="Arial"/>
          <w:bCs/>
          <w:sz w:val="22"/>
        </w:rPr>
        <w:t>C−189 del 26</w:t>
      </w:r>
      <w:r w:rsidR="00E910B2" w:rsidRPr="003E6423">
        <w:rPr>
          <w:rFonts w:ascii="Arial" w:eastAsia="Calibri" w:hAnsi="Arial" w:cs="Arial"/>
          <w:bCs/>
          <w:sz w:val="22"/>
        </w:rPr>
        <w:t xml:space="preserve"> de abril de </w:t>
      </w:r>
      <w:r w:rsidR="005D234B" w:rsidRPr="003E6423">
        <w:rPr>
          <w:rFonts w:ascii="Arial" w:eastAsia="Calibri" w:hAnsi="Arial" w:cs="Arial"/>
          <w:bCs/>
          <w:sz w:val="22"/>
        </w:rPr>
        <w:t>2021, C-206 del 3</w:t>
      </w:r>
      <w:r w:rsidR="00E910B2" w:rsidRPr="003E6423">
        <w:rPr>
          <w:rFonts w:ascii="Arial" w:eastAsia="Calibri" w:hAnsi="Arial" w:cs="Arial"/>
          <w:bCs/>
          <w:sz w:val="22"/>
        </w:rPr>
        <w:t xml:space="preserve"> de mayo de </w:t>
      </w:r>
      <w:r w:rsidR="005D234B" w:rsidRPr="003E6423">
        <w:rPr>
          <w:rFonts w:ascii="Arial" w:eastAsia="Calibri" w:hAnsi="Arial" w:cs="Arial"/>
          <w:bCs/>
          <w:sz w:val="22"/>
        </w:rPr>
        <w:t>2021, C-208 del 10</w:t>
      </w:r>
      <w:r w:rsidR="00E910B2" w:rsidRPr="003E6423">
        <w:rPr>
          <w:rFonts w:ascii="Arial" w:eastAsia="Calibri" w:hAnsi="Arial" w:cs="Arial"/>
          <w:bCs/>
          <w:sz w:val="22"/>
        </w:rPr>
        <w:t xml:space="preserve"> de mayo de </w:t>
      </w:r>
      <w:r w:rsidR="005D234B" w:rsidRPr="003E6423">
        <w:rPr>
          <w:rFonts w:ascii="Arial" w:eastAsia="Calibri" w:hAnsi="Arial" w:cs="Arial"/>
          <w:bCs/>
          <w:sz w:val="22"/>
        </w:rPr>
        <w:t>2021,</w:t>
      </w:r>
      <w:r w:rsidR="00E910B2" w:rsidRPr="003E6423">
        <w:rPr>
          <w:rFonts w:ascii="Arial" w:eastAsia="Calibri" w:hAnsi="Arial" w:cs="Arial"/>
          <w:bCs/>
          <w:sz w:val="22"/>
        </w:rPr>
        <w:t xml:space="preserve"> C-211 del 11 de mayo de 2021,</w:t>
      </w:r>
      <w:r w:rsidR="005D234B" w:rsidRPr="003E6423">
        <w:rPr>
          <w:rFonts w:ascii="Arial" w:eastAsia="Calibri" w:hAnsi="Arial" w:cs="Arial"/>
          <w:bCs/>
          <w:sz w:val="22"/>
        </w:rPr>
        <w:t xml:space="preserve"> C-234 del 26</w:t>
      </w:r>
      <w:r w:rsidR="00E910B2" w:rsidRPr="003E6423">
        <w:rPr>
          <w:rFonts w:ascii="Arial" w:eastAsia="Calibri" w:hAnsi="Arial" w:cs="Arial"/>
          <w:bCs/>
          <w:sz w:val="22"/>
        </w:rPr>
        <w:t xml:space="preserve"> de mayo de </w:t>
      </w:r>
      <w:r w:rsidR="005D234B" w:rsidRPr="003E6423">
        <w:rPr>
          <w:rFonts w:ascii="Arial" w:eastAsia="Calibri" w:hAnsi="Arial" w:cs="Arial"/>
          <w:bCs/>
          <w:sz w:val="22"/>
        </w:rPr>
        <w:t xml:space="preserve">2021, </w:t>
      </w:r>
      <w:r w:rsidR="00572252" w:rsidRPr="003E6423">
        <w:rPr>
          <w:rFonts w:ascii="Arial" w:eastAsia="Calibri" w:hAnsi="Arial" w:cs="Arial"/>
          <w:bCs/>
          <w:sz w:val="22"/>
        </w:rPr>
        <w:t>C-306 del 28</w:t>
      </w:r>
      <w:r w:rsidR="00E910B2" w:rsidRPr="003E6423">
        <w:rPr>
          <w:rFonts w:ascii="Arial" w:eastAsia="Calibri" w:hAnsi="Arial" w:cs="Arial"/>
          <w:bCs/>
          <w:sz w:val="22"/>
        </w:rPr>
        <w:t xml:space="preserve"> de junio de </w:t>
      </w:r>
      <w:r w:rsidR="00572252" w:rsidRPr="003E6423">
        <w:rPr>
          <w:rFonts w:ascii="Arial" w:eastAsia="Calibri" w:hAnsi="Arial" w:cs="Arial"/>
          <w:bCs/>
          <w:sz w:val="22"/>
        </w:rPr>
        <w:t>202</w:t>
      </w:r>
      <w:r w:rsidR="00E910B2" w:rsidRPr="003E6423">
        <w:rPr>
          <w:rFonts w:ascii="Arial" w:eastAsia="Calibri" w:hAnsi="Arial" w:cs="Arial"/>
          <w:bCs/>
          <w:sz w:val="22"/>
        </w:rPr>
        <w:t xml:space="preserve">1, C-114 del 13 de julio de 2021, </w:t>
      </w:r>
      <w:r w:rsidR="00572252" w:rsidRPr="003E6423">
        <w:rPr>
          <w:rFonts w:ascii="Arial" w:eastAsia="Calibri" w:hAnsi="Arial" w:cs="Arial"/>
          <w:bCs/>
          <w:sz w:val="22"/>
        </w:rPr>
        <w:t>C-455 del 31</w:t>
      </w:r>
      <w:r w:rsidR="00E910B2" w:rsidRPr="003E6423">
        <w:rPr>
          <w:rFonts w:ascii="Arial" w:eastAsia="Calibri" w:hAnsi="Arial" w:cs="Arial"/>
          <w:bCs/>
          <w:sz w:val="22"/>
        </w:rPr>
        <w:t xml:space="preserve"> de agosto de </w:t>
      </w:r>
      <w:r w:rsidR="00572252" w:rsidRPr="003E6423">
        <w:rPr>
          <w:rFonts w:ascii="Arial" w:eastAsia="Calibri" w:hAnsi="Arial" w:cs="Arial"/>
          <w:bCs/>
          <w:sz w:val="22"/>
        </w:rPr>
        <w:t>2021</w:t>
      </w:r>
      <w:r w:rsidR="00E910B2" w:rsidRPr="003E6423">
        <w:rPr>
          <w:rFonts w:ascii="Arial" w:eastAsia="Calibri" w:hAnsi="Arial" w:cs="Arial"/>
          <w:bCs/>
          <w:sz w:val="22"/>
        </w:rPr>
        <w:t>,</w:t>
      </w:r>
      <w:r w:rsidR="00572252" w:rsidRPr="003E6423">
        <w:rPr>
          <w:rFonts w:ascii="Arial" w:eastAsia="Calibri" w:hAnsi="Arial" w:cs="Arial"/>
          <w:bCs/>
          <w:sz w:val="22"/>
        </w:rPr>
        <w:t xml:space="preserve">  C-438 del 28</w:t>
      </w:r>
      <w:r w:rsidR="00E910B2" w:rsidRPr="003E6423">
        <w:rPr>
          <w:rFonts w:ascii="Arial" w:eastAsia="Calibri" w:hAnsi="Arial" w:cs="Arial"/>
          <w:bCs/>
          <w:sz w:val="22"/>
        </w:rPr>
        <w:t xml:space="preserve"> de septiembre de </w:t>
      </w:r>
      <w:r w:rsidR="00572252" w:rsidRPr="003E6423">
        <w:rPr>
          <w:rFonts w:ascii="Arial" w:eastAsia="Calibri" w:hAnsi="Arial" w:cs="Arial"/>
          <w:bCs/>
          <w:sz w:val="22"/>
        </w:rPr>
        <w:t>2021</w:t>
      </w:r>
      <w:r w:rsidR="00E910B2" w:rsidRPr="003E6423">
        <w:rPr>
          <w:rFonts w:ascii="Arial" w:eastAsia="Calibri" w:hAnsi="Arial" w:cs="Arial"/>
          <w:bCs/>
          <w:sz w:val="22"/>
        </w:rPr>
        <w:t xml:space="preserve">, </w:t>
      </w:r>
      <w:r w:rsidR="00572252" w:rsidRPr="003E6423">
        <w:rPr>
          <w:rFonts w:ascii="Arial" w:eastAsia="Calibri" w:hAnsi="Arial" w:cs="Arial"/>
          <w:bCs/>
          <w:sz w:val="22"/>
        </w:rPr>
        <w:t xml:space="preserve">C-573 </w:t>
      </w:r>
      <w:r w:rsidR="00E910B2" w:rsidRPr="003E6423">
        <w:rPr>
          <w:rFonts w:ascii="Arial" w:eastAsia="Calibri" w:hAnsi="Arial" w:cs="Arial"/>
          <w:bCs/>
          <w:sz w:val="22"/>
        </w:rPr>
        <w:t xml:space="preserve">del </w:t>
      </w:r>
      <w:r w:rsidR="00572252" w:rsidRPr="003E6423">
        <w:rPr>
          <w:rFonts w:ascii="Arial" w:eastAsia="Calibri" w:hAnsi="Arial" w:cs="Arial"/>
          <w:bCs/>
          <w:sz w:val="22"/>
        </w:rPr>
        <w:t>13</w:t>
      </w:r>
      <w:r w:rsidR="00E910B2" w:rsidRPr="003E6423">
        <w:rPr>
          <w:rFonts w:ascii="Arial" w:eastAsia="Calibri" w:hAnsi="Arial" w:cs="Arial"/>
          <w:bCs/>
          <w:sz w:val="22"/>
        </w:rPr>
        <w:t xml:space="preserve"> de octubre de </w:t>
      </w:r>
      <w:r w:rsidR="00572252" w:rsidRPr="003E6423">
        <w:rPr>
          <w:rFonts w:ascii="Arial" w:eastAsia="Calibri" w:hAnsi="Arial" w:cs="Arial"/>
          <w:bCs/>
          <w:sz w:val="22"/>
        </w:rPr>
        <w:t>2021</w:t>
      </w:r>
      <w:r w:rsidR="00E910B2" w:rsidRPr="003E6423">
        <w:rPr>
          <w:rFonts w:ascii="Arial" w:eastAsia="Calibri" w:hAnsi="Arial" w:cs="Arial"/>
          <w:bCs/>
          <w:sz w:val="22"/>
        </w:rPr>
        <w:t xml:space="preserve">, se estudió el artículo 34 de la Ley 2069 de 2020. </w:t>
      </w:r>
      <w:r w:rsidR="00226598" w:rsidRPr="003E6423">
        <w:rPr>
          <w:rFonts w:ascii="Arial" w:eastAsia="Calibri" w:hAnsi="Arial" w:cs="Arial"/>
          <w:bCs/>
          <w:sz w:val="22"/>
        </w:rPr>
        <w:t xml:space="preserve">Las tesis desarrolladas en estos conceptos se reiteran y se complementan a continuación. </w:t>
      </w:r>
    </w:p>
    <w:p w14:paraId="4FC8D6AC" w14:textId="77777777" w:rsidR="00226598" w:rsidRPr="003E6423" w:rsidRDefault="00226598" w:rsidP="00226598">
      <w:pPr>
        <w:tabs>
          <w:tab w:val="left" w:pos="426"/>
        </w:tabs>
        <w:spacing w:line="276" w:lineRule="auto"/>
        <w:jc w:val="both"/>
        <w:rPr>
          <w:rFonts w:ascii="Arial" w:eastAsia="Calibri" w:hAnsi="Arial" w:cs="Arial"/>
          <w:b/>
          <w:bCs/>
          <w:sz w:val="22"/>
          <w:szCs w:val="22"/>
          <w:lang w:val="es-ES_tradnl"/>
        </w:rPr>
      </w:pPr>
    </w:p>
    <w:p w14:paraId="57130B0B" w14:textId="3BA6E9BA" w:rsidR="00D6325C" w:rsidRPr="003E6423" w:rsidRDefault="009A0F66" w:rsidP="00D6325C">
      <w:pPr>
        <w:spacing w:line="276" w:lineRule="auto"/>
        <w:jc w:val="both"/>
        <w:rPr>
          <w:rFonts w:ascii="Arial" w:eastAsia="Calibri" w:hAnsi="Arial" w:cs="Arial"/>
          <w:b/>
          <w:bCs/>
          <w:sz w:val="22"/>
          <w:szCs w:val="22"/>
          <w:lang w:val="es-ES_tradnl"/>
        </w:rPr>
      </w:pPr>
      <w:r w:rsidRPr="003E6423">
        <w:rPr>
          <w:rFonts w:ascii="Arial" w:eastAsia="Calibri" w:hAnsi="Arial" w:cs="Arial"/>
          <w:b/>
          <w:bCs/>
          <w:sz w:val="22"/>
          <w:szCs w:val="22"/>
          <w:lang w:val="es-ES_tradnl"/>
        </w:rPr>
        <w:t>2.</w:t>
      </w:r>
      <w:r w:rsidR="00AC39C5" w:rsidRPr="003E6423">
        <w:rPr>
          <w:rFonts w:ascii="Arial" w:eastAsia="Calibri" w:hAnsi="Arial" w:cs="Arial"/>
          <w:b/>
          <w:bCs/>
          <w:sz w:val="22"/>
          <w:szCs w:val="22"/>
          <w:lang w:val="es-ES_tradnl"/>
        </w:rPr>
        <w:t>1</w:t>
      </w:r>
      <w:r w:rsidRPr="003E6423">
        <w:rPr>
          <w:rFonts w:ascii="Arial" w:eastAsia="Calibri" w:hAnsi="Arial" w:cs="Arial"/>
          <w:b/>
          <w:bCs/>
          <w:sz w:val="22"/>
          <w:szCs w:val="22"/>
          <w:lang w:val="es-ES_tradnl"/>
        </w:rPr>
        <w:t xml:space="preserve">. </w:t>
      </w:r>
      <w:r w:rsidR="00D6325C" w:rsidRPr="003E6423">
        <w:rPr>
          <w:rFonts w:ascii="Arial" w:eastAsia="Calibri" w:hAnsi="Arial" w:cs="Arial"/>
          <w:b/>
          <w:bCs/>
          <w:sz w:val="22"/>
          <w:szCs w:val="22"/>
          <w:lang w:val="es-ES_tradnl"/>
        </w:rPr>
        <w:t xml:space="preserve">Ámbito de aplicación, vigencia y reglamentación de la Ley 2069 de 2020 </w:t>
      </w:r>
    </w:p>
    <w:p w14:paraId="109B8701" w14:textId="77777777" w:rsidR="00D6325C" w:rsidRPr="003E6423" w:rsidRDefault="00D6325C" w:rsidP="00D6325C">
      <w:pPr>
        <w:spacing w:line="276" w:lineRule="auto"/>
        <w:jc w:val="both"/>
        <w:rPr>
          <w:rFonts w:ascii="Arial" w:eastAsia="Calibri" w:hAnsi="Arial" w:cs="Arial"/>
          <w:sz w:val="22"/>
          <w:szCs w:val="22"/>
          <w:lang w:val="es-ES_tradnl"/>
        </w:rPr>
      </w:pPr>
    </w:p>
    <w:p w14:paraId="3996FB51" w14:textId="77777777" w:rsidR="00D6325C" w:rsidRPr="003E6423" w:rsidRDefault="00D6325C" w:rsidP="00D6325C">
      <w:pPr>
        <w:spacing w:line="276" w:lineRule="auto"/>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El 31 de diciembre de 2020 se promulgó la Ley 2069, «Por medio de la cual se impulsa el emprendimiento en Colombia». De acuerdo con el artículo 84, «La presente Ley rige a partir </w:t>
      </w:r>
      <w:r w:rsidRPr="003E6423">
        <w:rPr>
          <w:rFonts w:ascii="Arial" w:eastAsia="Calibri" w:hAnsi="Arial" w:cs="Arial"/>
          <w:sz w:val="22"/>
          <w:szCs w:val="22"/>
          <w:lang w:val="es-ES_tradnl"/>
        </w:rPr>
        <w:lastRenderedPageBreak/>
        <w:t>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03436FA" w14:textId="77777777" w:rsidR="00D6325C" w:rsidRPr="003E6423" w:rsidRDefault="00D6325C" w:rsidP="00D6325C">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3E6423">
        <w:rPr>
          <w:rStyle w:val="Refdenotaalpie"/>
          <w:rFonts w:ascii="Arial" w:eastAsia="Calibri" w:hAnsi="Arial" w:cs="Arial"/>
          <w:sz w:val="22"/>
          <w:szCs w:val="22"/>
          <w:lang w:val="es-ES_tradnl"/>
        </w:rPr>
        <w:footnoteReference w:id="2"/>
      </w:r>
      <w:r w:rsidRPr="003E6423">
        <w:rPr>
          <w:rFonts w:ascii="Arial" w:eastAsia="Calibri" w:hAnsi="Arial" w:cs="Arial"/>
          <w:sz w:val="22"/>
          <w:szCs w:val="22"/>
          <w:lang w:val="es-ES_tradnl"/>
        </w:rPr>
        <w:t>, así como incentivos a favor de aquellas dentro del sistema de compras y contratación pública</w:t>
      </w:r>
      <w:r w:rsidRPr="003E6423">
        <w:rPr>
          <w:rStyle w:val="Refdenotaalpie"/>
          <w:rFonts w:ascii="Arial" w:eastAsia="Calibri" w:hAnsi="Arial" w:cs="Arial"/>
          <w:sz w:val="22"/>
          <w:szCs w:val="22"/>
          <w:lang w:val="es-ES_tradnl"/>
        </w:rPr>
        <w:footnoteReference w:id="3"/>
      </w:r>
      <w:r w:rsidRPr="003E6423">
        <w:rPr>
          <w:rFonts w:ascii="Arial" w:eastAsia="Calibri" w:hAnsi="Arial" w:cs="Arial"/>
          <w:sz w:val="22"/>
          <w:szCs w:val="22"/>
          <w:lang w:val="es-ES_tradnl"/>
        </w:rPr>
        <w:t>. También se consagran mecanismos de acceso al financiamiento</w:t>
      </w:r>
      <w:r w:rsidRPr="003E6423">
        <w:rPr>
          <w:rStyle w:val="Refdenotaalpie"/>
          <w:rFonts w:ascii="Arial" w:eastAsia="Calibri" w:hAnsi="Arial" w:cs="Arial"/>
          <w:sz w:val="22"/>
          <w:szCs w:val="22"/>
          <w:lang w:val="es-ES_tradnl"/>
        </w:rPr>
        <w:footnoteReference w:id="4"/>
      </w:r>
      <w:r w:rsidRPr="003E6423">
        <w:rPr>
          <w:rFonts w:ascii="Arial" w:eastAsia="Calibri" w:hAnsi="Arial" w:cs="Arial"/>
          <w:sz w:val="22"/>
          <w:szCs w:val="22"/>
          <w:lang w:val="es-ES_tradnl"/>
        </w:rPr>
        <w:t>, se unifican las fuentes de emprendimiento y de desarrollo empresarial, para fortalecer y promover los distintos sectores de la economía</w:t>
      </w:r>
      <w:r w:rsidRPr="003E6423">
        <w:rPr>
          <w:rStyle w:val="Refdenotaalpie"/>
          <w:rFonts w:ascii="Arial" w:eastAsia="Calibri" w:hAnsi="Arial" w:cs="Arial"/>
          <w:sz w:val="22"/>
          <w:szCs w:val="22"/>
          <w:lang w:val="es-ES_tradnl"/>
        </w:rPr>
        <w:footnoteReference w:id="5"/>
      </w:r>
      <w:r w:rsidRPr="003E6423">
        <w:rPr>
          <w:rFonts w:ascii="Arial" w:eastAsia="Calibri" w:hAnsi="Arial" w:cs="Arial"/>
          <w:sz w:val="22"/>
          <w:szCs w:val="22"/>
          <w:lang w:val="es-ES_tradnl"/>
        </w:rPr>
        <w:t xml:space="preserve"> y se prevén medidas de educación para el emprendimiento y la innovación</w:t>
      </w:r>
      <w:r w:rsidRPr="003E6423">
        <w:rPr>
          <w:rStyle w:val="Refdenotaalpie"/>
          <w:rFonts w:ascii="Arial" w:eastAsia="Calibri" w:hAnsi="Arial" w:cs="Arial"/>
          <w:sz w:val="22"/>
          <w:szCs w:val="22"/>
          <w:lang w:val="es-ES_tradnl"/>
        </w:rPr>
        <w:footnoteReference w:id="6"/>
      </w:r>
      <w:r w:rsidRPr="003E6423">
        <w:rPr>
          <w:rFonts w:ascii="Arial" w:eastAsia="Calibri" w:hAnsi="Arial" w:cs="Arial"/>
          <w:sz w:val="22"/>
          <w:szCs w:val="22"/>
          <w:lang w:val="es-ES_tradnl"/>
        </w:rPr>
        <w:t>.</w:t>
      </w:r>
    </w:p>
    <w:p w14:paraId="4D76E5CB" w14:textId="7CC1DE02" w:rsidR="00D6325C" w:rsidRPr="003E6423" w:rsidRDefault="00D6325C" w:rsidP="00D6325C">
      <w:pPr>
        <w:spacing w:before="120" w:after="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6408A5E4" w14:textId="288932F1" w:rsidR="00D6325C" w:rsidRPr="003E6423" w:rsidRDefault="00D6325C" w:rsidP="00D6325C">
      <w:pPr>
        <w:spacing w:after="120" w:line="276" w:lineRule="auto"/>
        <w:jc w:val="both"/>
        <w:rPr>
          <w:rFonts w:ascii="Arial" w:eastAsia="Calibri" w:hAnsi="Arial" w:cs="Arial"/>
          <w:sz w:val="22"/>
          <w:szCs w:val="22"/>
          <w:lang w:val="es-ES_tradnl"/>
        </w:rPr>
      </w:pPr>
      <w:r w:rsidRPr="003E6423">
        <w:rPr>
          <w:rFonts w:ascii="Arial" w:eastAsia="Calibri" w:hAnsi="Arial" w:cs="Arial"/>
          <w:b/>
          <w:bCs/>
          <w:sz w:val="22"/>
          <w:szCs w:val="22"/>
          <w:lang w:val="es-ES_tradnl"/>
        </w:rPr>
        <w:tab/>
      </w:r>
      <w:r w:rsidR="00F05B88" w:rsidRPr="003E6423">
        <w:rPr>
          <w:rFonts w:ascii="Arial" w:eastAsia="Calibri" w:hAnsi="Arial" w:cs="Arial"/>
          <w:sz w:val="22"/>
          <w:szCs w:val="22"/>
          <w:lang w:val="es-ES_tradnl"/>
        </w:rPr>
        <w:t>E</w:t>
      </w:r>
      <w:r w:rsidRPr="003E6423">
        <w:rPr>
          <w:rFonts w:ascii="Arial" w:eastAsia="Calibri" w:hAnsi="Arial" w:cs="Arial"/>
          <w:sz w:val="22"/>
          <w:szCs w:val="22"/>
          <w:lang w:val="es-ES_tradnl"/>
        </w:rPr>
        <w:t>l pasado 24 de diciembre, el gobierno nacional expidió el Decreto 1860 de 2021,</w:t>
      </w:r>
      <w:r w:rsidRPr="003E6423">
        <w:t xml:space="preserve"> </w:t>
      </w:r>
      <w:r w:rsidRPr="003E6423">
        <w:rPr>
          <w:rFonts w:ascii="Arial" w:eastAsia="Calibri" w:hAnsi="Arial" w:cs="Arial"/>
          <w:sz w:val="22"/>
          <w:szCs w:val="22"/>
          <w:lang w:val="es-ES_tradnl"/>
        </w:rPr>
        <w:t xml:space="preserve">«Por el cual se modifica y adiciona el Decreto 1082 de 2015, Único Reglamentario del Sector Administrativo de Planeación Nacional, con el fin reglamentar los artículos 30, 31, 32, 34 y 35 de la Ley 2069 de 2020, en lo relativo al sistema de compras públicas y se </w:t>
      </w:r>
      <w:r w:rsidRPr="003E6423">
        <w:rPr>
          <w:rFonts w:ascii="Arial" w:eastAsia="Calibri" w:hAnsi="Arial" w:cs="Arial"/>
          <w:sz w:val="22"/>
          <w:szCs w:val="22"/>
          <w:lang w:val="es-ES_tradnl"/>
        </w:rPr>
        <w:lastRenderedPageBreak/>
        <w:t xml:space="preserve">dictan otras disposiciones». Esta norma se expidió con el propósito de adecuar el marco reglamentario de la contratación pública a las modificaciones normativas que se desprenden del Capítulo III de la Ley 2069 de 2020 –con excepción de los artículos 33 y 36–, realizando las </w:t>
      </w:r>
      <w:r w:rsidR="00F05B88" w:rsidRPr="003E6423">
        <w:rPr>
          <w:rFonts w:ascii="Arial" w:eastAsia="Calibri" w:hAnsi="Arial" w:cs="Arial"/>
          <w:sz w:val="22"/>
          <w:szCs w:val="22"/>
          <w:lang w:val="es-ES_tradnl"/>
        </w:rPr>
        <w:t>modificaciones normativas</w:t>
      </w:r>
      <w:r w:rsidRPr="003E6423">
        <w:rPr>
          <w:rFonts w:ascii="Arial" w:eastAsia="Calibri" w:hAnsi="Arial" w:cs="Arial"/>
          <w:sz w:val="22"/>
          <w:szCs w:val="22"/>
          <w:lang w:val="es-ES_tradnl"/>
        </w:rPr>
        <w:t xml:space="preserve"> requeridas para aplicar estas disposiciones, tal como indica el artículo 1 del Decreto 1860 de 2021</w:t>
      </w:r>
      <w:r w:rsidRPr="003E6423">
        <w:rPr>
          <w:rStyle w:val="Refdenotaalpie"/>
          <w:rFonts w:ascii="Arial" w:eastAsia="Calibri" w:hAnsi="Arial" w:cs="Arial"/>
          <w:sz w:val="22"/>
          <w:szCs w:val="22"/>
          <w:lang w:val="es-ES_tradnl"/>
        </w:rPr>
        <w:footnoteReference w:id="7"/>
      </w:r>
      <w:r w:rsidRPr="003E6423">
        <w:rPr>
          <w:rFonts w:ascii="Arial" w:eastAsia="Calibri" w:hAnsi="Arial" w:cs="Arial"/>
          <w:sz w:val="22"/>
          <w:szCs w:val="22"/>
          <w:lang w:val="es-ES_tradnl"/>
        </w:rPr>
        <w:t xml:space="preserve">.  </w:t>
      </w:r>
    </w:p>
    <w:p w14:paraId="3AD1186F" w14:textId="77777777" w:rsidR="00D6325C" w:rsidRPr="003E6423" w:rsidRDefault="00D6325C" w:rsidP="00D6325C">
      <w:pPr>
        <w:spacing w:after="120" w:line="276" w:lineRule="auto"/>
        <w:jc w:val="both"/>
        <w:rPr>
          <w:rFonts w:ascii="Arial" w:hAnsi="Arial" w:cs="Arial"/>
          <w:sz w:val="22"/>
          <w:szCs w:val="22"/>
          <w:lang w:eastAsia="es-CO"/>
        </w:rPr>
      </w:pPr>
      <w:r w:rsidRPr="003E6423">
        <w:rPr>
          <w:rFonts w:ascii="Arial" w:eastAsia="Calibri" w:hAnsi="Arial" w:cs="Arial"/>
          <w:sz w:val="22"/>
          <w:szCs w:val="22"/>
          <w:lang w:val="es-ES_tradnl"/>
        </w:rPr>
        <w:tab/>
        <w:t>De esta manera, el artículo 2 del Decreto 1860 de 2021 modificó la Subsección </w:t>
      </w:r>
      <w:hyperlink r:id="rId12" w:anchor="2.2.1.2.1.5.1">
        <w:r w:rsidRPr="003E6423">
          <w:rPr>
            <w:rFonts w:ascii="Arial" w:eastAsia="Calibri" w:hAnsi="Arial" w:cs="Arial"/>
            <w:sz w:val="22"/>
            <w:szCs w:val="22"/>
            <w:lang w:val="es-ES_tradnl"/>
          </w:rPr>
          <w:t>5 </w:t>
        </w:r>
      </w:hyperlink>
      <w:r w:rsidRPr="003E6423">
        <w:rPr>
          <w:rFonts w:ascii="Arial" w:eastAsia="Calibri" w:hAnsi="Arial" w:cs="Arial"/>
          <w:sz w:val="22"/>
          <w:szCs w:val="22"/>
          <w:lang w:val="es-ES_tradnl"/>
        </w:rPr>
        <w:t>de la Sección 1 del Capítulo 2 del Título 1 de la Parte 2 del Libro 2 del Decreto 1082 de 2015, particularmente, los artículos 2.2.1.2.1.5.1, 2.2.1.2.1.5.2, 2.2.1.2.1.5.3, 2.2.1.2.1.5.4  y 2.2.1.2.1.5.5, relacionados con la modalidad de mínima cuantía y la implementación de los cambios introducidos por el artículo 30 de la Ley 2069 de 2020.</w:t>
      </w:r>
      <w:r w:rsidRPr="003E6423">
        <w:rPr>
          <w:rFonts w:ascii="Arial" w:hAnsi="Arial" w:cs="Arial"/>
          <w:sz w:val="22"/>
          <w:szCs w:val="22"/>
          <w:lang w:eastAsia="es-CO"/>
        </w:rPr>
        <w:t xml:space="preserve">  Por su parte, el artículo 3 del referido decreto adicionó los artículos 2.2.1.2.4.2.14, 2.2.1.2.4.2.15 y 2.2.1.2.4.2.18 a la Subsección 2 de la Sección 4 del Capítulo 2 del Título 1 de la Parte 2 del Libro 2 del Decreto 1082 de 2015, disposiciones relacionadas con la definición de empresas y emprendimientos de mujeres, los criterios diferenciales para estas y para las mipymes, establecidos en los artículos 31 y 32 de la Ley 2069 de 2020. El artículo 3, además, adiciona el artículo 2.2.1.2.4.2.16, que, de conformidad con el artículo 34 de la referida ley, reglamenta el fomento de la ejecución de contratos estatales por parte de población en pobreza extrema, desplazados por la violencia, personas en proceso de reintegración o reincorporación y sujetos de especial protección constitucional, y también introduce el artículo 2.2.1.2.4.2.17, el cual reglamenta los factores de desempate del artículo 35 </w:t>
      </w:r>
      <w:r w:rsidRPr="003E6423">
        <w:rPr>
          <w:rFonts w:ascii="Arial" w:hAnsi="Arial" w:cs="Arial"/>
          <w:i/>
          <w:iCs/>
          <w:sz w:val="22"/>
          <w:szCs w:val="22"/>
          <w:lang w:eastAsia="es-CO"/>
        </w:rPr>
        <w:t>ibídem</w:t>
      </w:r>
      <w:r w:rsidRPr="003E6423">
        <w:rPr>
          <w:rFonts w:ascii="Arial" w:hAnsi="Arial" w:cs="Arial"/>
          <w:sz w:val="22"/>
          <w:szCs w:val="22"/>
          <w:lang w:eastAsia="es-CO"/>
        </w:rPr>
        <w:t>, estableciendo los medios de acreditación de cada uno de los supuestos de hecho en función de los cuales operan.</w:t>
      </w:r>
    </w:p>
    <w:p w14:paraId="02A336CA" w14:textId="77777777" w:rsidR="00D6325C" w:rsidRPr="003E6423" w:rsidRDefault="00D6325C" w:rsidP="00D6325C">
      <w:pPr>
        <w:spacing w:after="120" w:line="276" w:lineRule="auto"/>
        <w:ind w:firstLine="708"/>
        <w:jc w:val="both"/>
        <w:rPr>
          <w:rFonts w:ascii="Arial" w:hAnsi="Arial" w:cs="Arial"/>
          <w:sz w:val="22"/>
          <w:szCs w:val="22"/>
          <w:lang w:eastAsia="es-CO"/>
        </w:rPr>
      </w:pPr>
      <w:r w:rsidRPr="003E6423">
        <w:rPr>
          <w:rFonts w:ascii="Arial" w:eastAsia="Calibri" w:hAnsi="Arial" w:cs="Arial"/>
          <w:sz w:val="22"/>
          <w:szCs w:val="22"/>
          <w:lang w:val="es-ES_tradnl"/>
        </w:rPr>
        <w:t>El artículo 4 del Decreto 1860 de 2021 adiciona un </w:t>
      </w:r>
      <w:hyperlink r:id="rId13" w:anchor="2.2.1.2.3.1.9.p" w:history="1">
        <w:r w:rsidRPr="003E6423">
          <w:rPr>
            <w:rFonts w:ascii="Arial" w:eastAsia="Calibri" w:hAnsi="Arial" w:cs="Arial"/>
            <w:sz w:val="22"/>
            <w:szCs w:val="22"/>
            <w:lang w:val="es-ES_tradnl"/>
          </w:rPr>
          <w:t>parágrafo </w:t>
        </w:r>
      </w:hyperlink>
      <w:r w:rsidRPr="003E6423">
        <w:rPr>
          <w:rFonts w:ascii="Arial" w:eastAsia="Calibri" w:hAnsi="Arial" w:cs="Arial"/>
          <w:sz w:val="22"/>
          <w:szCs w:val="22"/>
          <w:lang w:val="es-ES_tradnl"/>
        </w:rPr>
        <w:t>al artículo </w:t>
      </w:r>
      <w:hyperlink r:id="rId14" w:anchor="2.2.1.2.3.1.9" w:history="1">
        <w:r w:rsidRPr="003E6423">
          <w:rPr>
            <w:rFonts w:ascii="Arial" w:eastAsia="Calibri" w:hAnsi="Arial" w:cs="Arial"/>
            <w:sz w:val="22"/>
            <w:szCs w:val="22"/>
            <w:lang w:val="es-ES_tradnl"/>
          </w:rPr>
          <w:t>2.2.1.2.3.1.9</w:t>
        </w:r>
      </w:hyperlink>
      <w:r w:rsidRPr="003E6423">
        <w:rPr>
          <w:rFonts w:ascii="Arial" w:eastAsia="Calibri" w:hAnsi="Arial" w:cs="Arial"/>
          <w:sz w:val="22"/>
          <w:szCs w:val="22"/>
          <w:lang w:val="es-ES_tradnl"/>
        </w:rPr>
        <w:t xml:space="preserve"> de la Subsección 1 de la Sección 3 del Capítulo 2 del Título 1 de la Parte 2 del Libro 2 del Decreto 1082 de 2015, norma que regula la suficiencia de la garantía de seriedad de la oferta. Dicho parágrafo faculta a Colombia Compra Eficiente para definir un valor de suficiencia diferencial para la garantía de seriedad de las ofertas presentadas por los emprendimientos y las empresas de mujeres, así como las presentadas por mipymes en los Acuerdos Marco de Precio, esto en concordancia con los artículos 31 y 32 de la Ley 2069 de 2020.</w:t>
      </w:r>
      <w:r w:rsidRPr="003E6423">
        <w:rPr>
          <w:rFonts w:ascii="Work Sans" w:hAnsi="Work Sans"/>
          <w:i/>
          <w:iCs/>
          <w:sz w:val="25"/>
          <w:szCs w:val="25"/>
        </w:rPr>
        <w:t xml:space="preserve"> </w:t>
      </w:r>
    </w:p>
    <w:p w14:paraId="4A799C67" w14:textId="77777777" w:rsidR="00D6325C" w:rsidRPr="003E6423" w:rsidRDefault="00D6325C" w:rsidP="00D6325C">
      <w:pPr>
        <w:spacing w:after="120" w:line="276" w:lineRule="auto"/>
        <w:jc w:val="both"/>
        <w:rPr>
          <w:rFonts w:ascii="Arial" w:hAnsi="Arial" w:cs="Arial"/>
          <w:sz w:val="22"/>
          <w:szCs w:val="22"/>
          <w:lang w:eastAsia="es-CO"/>
        </w:rPr>
      </w:pPr>
      <w:r w:rsidRPr="003E6423">
        <w:rPr>
          <w:rFonts w:ascii="Arial" w:hAnsi="Arial" w:cs="Arial"/>
          <w:sz w:val="22"/>
          <w:szCs w:val="22"/>
          <w:lang w:eastAsia="es-CO"/>
        </w:rPr>
        <w:tab/>
        <w:t xml:space="preserve">El artículo 5 del Decreto 1860 de 2021 modificó la Subsección 2 de la Sección 4 del Capítulo 2 del Título 1 de la Parte 2 del Libro 2 del Decreto 1082 de 2015, y el artículo 6, </w:t>
      </w:r>
      <w:r w:rsidRPr="003E6423">
        <w:rPr>
          <w:rFonts w:ascii="Arial" w:hAnsi="Arial" w:cs="Arial"/>
          <w:sz w:val="22"/>
          <w:szCs w:val="22"/>
          <w:lang w:eastAsia="es-CO"/>
        </w:rPr>
        <w:lastRenderedPageBreak/>
        <w:t xml:space="preserve">modificó el artículo 2.2.1.2.1.2.2, norma que regula el mecanismo de subasta inversa. Es importante anotar que, a través del artículo 5 </w:t>
      </w:r>
      <w:r w:rsidRPr="003E6423">
        <w:rPr>
          <w:rFonts w:ascii="Arial" w:hAnsi="Arial" w:cs="Arial"/>
          <w:i/>
          <w:iCs/>
          <w:sz w:val="22"/>
          <w:szCs w:val="22"/>
          <w:lang w:eastAsia="es-CO"/>
        </w:rPr>
        <w:t xml:space="preserve">ejusdem, </w:t>
      </w:r>
      <w:r w:rsidRPr="003E6423">
        <w:rPr>
          <w:rFonts w:ascii="Arial" w:hAnsi="Arial" w:cs="Arial"/>
          <w:sz w:val="22"/>
          <w:szCs w:val="22"/>
          <w:lang w:eastAsia="es-CO"/>
        </w:rPr>
        <w:t>el gobierno nacional reglamentó el artículo 12 de la Ley 1150 de 2007, en consideración a las modificaciones realizadas por el artículo 34 de la Ley 2069 de 2020, para lo que ajustó el contenido de los artículos 2.2.1.2.4.2.2, relativo a las convocatorias limitadas a mipymes, el artículo 2.2.1.2.4.2.3 sobre las limitaciones a mipymes en función del factor territorial y el artículo 2.2.1.2.4.2.4 alusivo a la acreditación de requisitos para participar en convocatorias limitadas. </w:t>
      </w:r>
    </w:p>
    <w:p w14:paraId="3671FE07" w14:textId="77777777" w:rsidR="00D6325C" w:rsidRPr="003E6423" w:rsidRDefault="00D6325C" w:rsidP="00D6325C">
      <w:pPr>
        <w:pStyle w:val="NormalWeb"/>
        <w:shd w:val="clear" w:color="auto" w:fill="FFFFFF"/>
        <w:spacing w:before="0" w:beforeAutospacing="0" w:after="120" w:afterAutospacing="0" w:line="276" w:lineRule="auto"/>
        <w:jc w:val="both"/>
        <w:rPr>
          <w:rFonts w:ascii="Arial" w:hAnsi="Arial" w:cs="Arial"/>
          <w:sz w:val="22"/>
          <w:szCs w:val="22"/>
        </w:rPr>
      </w:pPr>
      <w:r w:rsidRPr="003E6423">
        <w:rPr>
          <w:rFonts w:ascii="Arial" w:hAnsi="Arial" w:cs="Arial"/>
          <w:sz w:val="22"/>
          <w:szCs w:val="22"/>
        </w:rPr>
        <w:tab/>
        <w:t xml:space="preserve">De otra parte, el artículo 7 del decreto recientemente expedido, modificó el contenido del artículo 2.2.1.2.4.2.8 </w:t>
      </w:r>
      <w:r w:rsidRPr="003E6423">
        <w:rPr>
          <w:rFonts w:ascii="Arial" w:hAnsi="Arial" w:cs="Arial"/>
          <w:sz w:val="22"/>
          <w:szCs w:val="22"/>
          <w:shd w:val="clear" w:color="auto" w:fill="FFFFFF"/>
        </w:rPr>
        <w:t xml:space="preserve">de la Subsección 2 de la Sección 4 del Capítulo 2 del Título 1 de la Parte 2 del Libro 2 del Decreto 1082 de 2015, alusivo al sistema de preferencias en favor de las personas con discapacidad. </w:t>
      </w:r>
      <w:r w:rsidRPr="003E6423">
        <w:rPr>
          <w:rFonts w:ascii="Arial" w:hAnsi="Arial" w:cs="Arial"/>
          <w:sz w:val="22"/>
          <w:szCs w:val="22"/>
        </w:rPr>
        <w:t>La modificación realizada reemplazó la referencia al artículo 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4E2B1E85" w14:textId="77777777" w:rsidR="00D6325C" w:rsidRPr="003E6423" w:rsidRDefault="00D6325C" w:rsidP="00D6325C">
      <w:pPr>
        <w:spacing w:line="276" w:lineRule="auto"/>
        <w:jc w:val="both"/>
        <w:rPr>
          <w:rFonts w:ascii="Arial" w:hAnsi="Arial" w:cs="Arial"/>
          <w:sz w:val="22"/>
          <w:szCs w:val="22"/>
          <w:lang w:eastAsia="es-CO"/>
        </w:rPr>
      </w:pPr>
      <w:r w:rsidRPr="003E6423">
        <w:rPr>
          <w:rFonts w:ascii="Arial" w:hAnsi="Arial" w:cs="Arial"/>
          <w:sz w:val="22"/>
          <w:szCs w:val="22"/>
          <w:lang w:eastAsia="es-CO"/>
        </w:rPr>
        <w:tab/>
        <w:t>Por último, debe precisarse que la vigencia del Decreto 1860 de 2021 es regulada por su artículo 8, el cual establece que «Las disposiciones contenidas en el presente Decreto se aplicarán a los procedimientos de selección cuya invitación, aviso de convocatoria o documento equivalente se publique a los tres (3) meses contados a partir de su expedición».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w:t>
      </w:r>
      <w:r w:rsidRPr="003E6423">
        <w:rPr>
          <w:rStyle w:val="Refdenotaalpie"/>
          <w:rFonts w:ascii="Arial" w:hAnsi="Arial" w:cs="Arial"/>
          <w:sz w:val="22"/>
          <w:szCs w:val="22"/>
          <w:lang w:eastAsia="es-CO"/>
        </w:rPr>
        <w:footnoteReference w:id="8"/>
      </w:r>
      <w:r w:rsidRPr="003E6423">
        <w:rPr>
          <w:rFonts w:ascii="Arial" w:hAnsi="Arial" w:cs="Arial"/>
          <w:sz w:val="22"/>
          <w:szCs w:val="22"/>
          <w:lang w:eastAsia="es-CO"/>
        </w:rPr>
        <w:t xml:space="preserve">. </w:t>
      </w:r>
    </w:p>
    <w:p w14:paraId="7A8B689F" w14:textId="2976B60B" w:rsidR="00CE6103" w:rsidRPr="003E6423" w:rsidRDefault="00CE6103" w:rsidP="002D13CC">
      <w:pPr>
        <w:spacing w:line="276" w:lineRule="auto"/>
        <w:jc w:val="both"/>
        <w:rPr>
          <w:rFonts w:ascii="Arial" w:hAnsi="Arial" w:cs="Arial"/>
          <w:sz w:val="22"/>
          <w:lang w:val="es-ES_tradnl"/>
        </w:rPr>
      </w:pPr>
    </w:p>
    <w:p w14:paraId="4A328F26" w14:textId="77777777" w:rsidR="00F70F32" w:rsidRPr="003E6423" w:rsidRDefault="00F70F32" w:rsidP="002D13CC">
      <w:pPr>
        <w:spacing w:line="276" w:lineRule="auto"/>
        <w:jc w:val="both"/>
        <w:rPr>
          <w:rFonts w:ascii="Arial" w:hAnsi="Arial" w:cs="Arial"/>
          <w:sz w:val="22"/>
          <w:lang w:val="es-ES_tradnl"/>
        </w:rPr>
      </w:pPr>
    </w:p>
    <w:p w14:paraId="56CB282F" w14:textId="06624F40" w:rsidR="00C4722B" w:rsidRPr="003E6423" w:rsidRDefault="00C4722B" w:rsidP="00C4722B">
      <w:pPr>
        <w:spacing w:line="276" w:lineRule="auto"/>
        <w:jc w:val="both"/>
        <w:rPr>
          <w:rFonts w:ascii="Arial" w:eastAsia="Calibri" w:hAnsi="Arial" w:cs="Arial"/>
          <w:b/>
          <w:bCs/>
          <w:sz w:val="22"/>
          <w:szCs w:val="22"/>
          <w:lang w:val="es-ES_tradnl"/>
        </w:rPr>
      </w:pPr>
      <w:r w:rsidRPr="003E6423">
        <w:rPr>
          <w:rFonts w:ascii="Arial" w:eastAsia="Calibri" w:hAnsi="Arial" w:cs="Arial"/>
          <w:b/>
          <w:bCs/>
          <w:sz w:val="22"/>
          <w:szCs w:val="22"/>
          <w:lang w:val="es-ES_tradnl"/>
        </w:rPr>
        <w:t>2.2. Regulación de las convocatorias limitadas a mipymes en el artículo 34 de la Ley 2069 de 2020. Eficacia y alcance de la potestad reglamentaria</w:t>
      </w:r>
    </w:p>
    <w:p w14:paraId="4AD174B5" w14:textId="77777777" w:rsidR="00C4722B" w:rsidRPr="003E6423" w:rsidRDefault="00C4722B" w:rsidP="00C4722B">
      <w:pPr>
        <w:spacing w:line="276" w:lineRule="auto"/>
        <w:jc w:val="both"/>
        <w:rPr>
          <w:rFonts w:ascii="Arial" w:eastAsia="Calibri" w:hAnsi="Arial" w:cs="Arial"/>
          <w:sz w:val="22"/>
          <w:szCs w:val="22"/>
          <w:lang w:val="es-ES_tradnl"/>
        </w:rPr>
      </w:pPr>
    </w:p>
    <w:p w14:paraId="1A207D05" w14:textId="77777777" w:rsidR="006E589E" w:rsidRPr="003E6423" w:rsidRDefault="006E589E" w:rsidP="006E589E">
      <w:pPr>
        <w:spacing w:line="276" w:lineRule="auto"/>
        <w:jc w:val="both"/>
        <w:rPr>
          <w:rFonts w:ascii="Arial" w:eastAsia="Calibri" w:hAnsi="Arial" w:cs="Arial"/>
          <w:sz w:val="22"/>
          <w:szCs w:val="22"/>
          <w:lang w:val="es-ES_tradnl"/>
        </w:rPr>
      </w:pPr>
      <w:r w:rsidRPr="003E6423">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3E6423">
        <w:rPr>
          <w:rStyle w:val="Refdenotaalpie"/>
          <w:rFonts w:ascii="Arial" w:eastAsia="Calibri" w:hAnsi="Arial" w:cs="Arial"/>
          <w:sz w:val="22"/>
          <w:szCs w:val="22"/>
          <w:lang w:val="es-ES_tradnl"/>
        </w:rPr>
        <w:footnoteReference w:id="9"/>
      </w:r>
      <w:r w:rsidRPr="003E6423">
        <w:rPr>
          <w:rFonts w:ascii="Arial" w:eastAsia="Calibri" w:hAnsi="Arial" w:cs="Arial"/>
          <w:sz w:val="22"/>
          <w:szCs w:val="22"/>
          <w:lang w:val="es-ES_tradnl"/>
        </w:rPr>
        <w:t>, regulación que se resume en los siguientes aspectos:</w:t>
      </w:r>
    </w:p>
    <w:p w14:paraId="6B68E20F"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i) Encomienda, al gobierno nacional el deber de definir las condiciones y los montos para que las entidades estatales –cualquiera sea su régimen contractual–, los patrimonios autónomos constituidos por aquellas y los particulares que administren recursos públicos efectúen convocatorias limitadas a Mipyme en los procesos de contratación. Además, agrega que estas convocatorias se pueden realizar también en el ámbito municipal o departamental en el que se ejecute el contrato. </w:t>
      </w:r>
    </w:p>
    <w:p w14:paraId="31B550F6"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lastRenderedPageBreak/>
        <w:t>ii) Indica que dichas convocatorias se deben efectuar –y así lo deberá reglamentar el gobierno nacional– siempre y cuando, antes del acto administrativo de apertura del proceso de selección, por lo menos dos (2) Mipyme hayan manifestado su interés.</w:t>
      </w:r>
    </w:p>
    <w:p w14:paraId="13EFBC6B"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6F1C208C"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iv) Establece que, en el reglamento, el gobierno nacional podría establecer condiciones preferenciales para los bienes y servicios producidos por las Mipymes, sin perjuicio de los compromisos internacionales vigentes.</w:t>
      </w:r>
    </w:p>
    <w:p w14:paraId="2519863C"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5F3F6A83"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vi) Señala que el reglamento que expida el gobierno nacional, además de las convocatorias limitadas a Mipymes, deberá contener disposiciones que fomenten en la ejecución de los contratos estatales la provisión de bienes y servicios por parte de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1EE5FEB4"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7869146E"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7241C661"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norma se produjo el fenómeno de la subrogación, el cual explica la Corte Constitucional en los siguientes términos: </w:t>
      </w:r>
    </w:p>
    <w:p w14:paraId="60647258" w14:textId="77777777" w:rsidR="006E589E" w:rsidRPr="003E6423" w:rsidRDefault="006E589E" w:rsidP="006E589E">
      <w:pPr>
        <w:spacing w:line="276" w:lineRule="auto"/>
        <w:ind w:left="709" w:right="709"/>
        <w:jc w:val="both"/>
        <w:rPr>
          <w:rFonts w:ascii="Arial" w:eastAsia="Calibri" w:hAnsi="Arial" w:cs="Arial"/>
          <w:sz w:val="21"/>
          <w:szCs w:val="21"/>
          <w:lang w:val="es-ES_tradnl"/>
        </w:rPr>
      </w:pPr>
    </w:p>
    <w:p w14:paraId="08838498" w14:textId="77777777" w:rsidR="006E589E" w:rsidRPr="003E6423" w:rsidRDefault="006E589E" w:rsidP="006E589E">
      <w:pPr>
        <w:ind w:left="709" w:right="709"/>
        <w:jc w:val="both"/>
        <w:rPr>
          <w:rFonts w:ascii="Arial" w:eastAsia="Calibri" w:hAnsi="Arial" w:cs="Arial"/>
          <w:sz w:val="21"/>
          <w:szCs w:val="21"/>
          <w:lang w:val="es-ES_tradnl"/>
        </w:rPr>
      </w:pPr>
      <w:r w:rsidRPr="003E6423">
        <w:rPr>
          <w:rFonts w:ascii="Arial" w:eastAsia="Calibri" w:hAnsi="Arial" w:cs="Arial"/>
          <w:sz w:val="21"/>
          <w:szCs w:val="21"/>
          <w:lang w:val="es-ES_tradnl"/>
        </w:rPr>
        <w:t xml:space="preserve">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w:t>
      </w:r>
      <w:r w:rsidRPr="003E6423">
        <w:rPr>
          <w:rFonts w:ascii="Arial" w:eastAsia="Calibri" w:hAnsi="Arial" w:cs="Arial"/>
          <w:sz w:val="21"/>
          <w:szCs w:val="21"/>
          <w:lang w:val="es-ES_tradnl"/>
        </w:rPr>
        <w:lastRenderedPageBreak/>
        <w:t>jurídicas preexistentes y afectadas con la medida pueden en parte ser derogadas, modificadas y en parte sustituidas por otras nuevas; pero también la subrogación puede incluir la reproducción de apartes normativos provenientes del texto legal que se subroga</w:t>
      </w:r>
      <w:r w:rsidRPr="003E6423">
        <w:rPr>
          <w:rStyle w:val="Refdenotaalpie"/>
          <w:rFonts w:ascii="Arial" w:eastAsia="Calibri" w:hAnsi="Arial" w:cs="Arial"/>
          <w:sz w:val="21"/>
          <w:szCs w:val="21"/>
          <w:lang w:val="es-ES_tradnl"/>
        </w:rPr>
        <w:footnoteReference w:id="10"/>
      </w:r>
      <w:r w:rsidRPr="003E6423">
        <w:rPr>
          <w:rFonts w:ascii="Arial" w:eastAsia="Calibri" w:hAnsi="Arial" w:cs="Arial"/>
          <w:sz w:val="21"/>
          <w:szCs w:val="21"/>
          <w:lang w:val="es-ES_tradnl"/>
        </w:rPr>
        <w:t>.</w:t>
      </w:r>
    </w:p>
    <w:p w14:paraId="388280E7" w14:textId="77777777" w:rsidR="006E589E" w:rsidRPr="003E6423" w:rsidRDefault="006E589E" w:rsidP="006E589E">
      <w:pPr>
        <w:spacing w:line="276" w:lineRule="auto"/>
        <w:ind w:firstLine="709"/>
        <w:jc w:val="both"/>
        <w:rPr>
          <w:rFonts w:ascii="Arial" w:eastAsia="Calibri" w:hAnsi="Arial" w:cs="Arial"/>
          <w:sz w:val="22"/>
          <w:szCs w:val="22"/>
          <w:lang w:val="es-ES_tradnl"/>
        </w:rPr>
      </w:pPr>
    </w:p>
    <w:p w14:paraId="0197F4EA" w14:textId="77777777" w:rsidR="006E589E" w:rsidRPr="003E6423" w:rsidRDefault="006E589E" w:rsidP="006E589E">
      <w:pPr>
        <w:spacing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La subrogación es, entonces, una forma de derogación de las normas jurídicas,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3D9B6410"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0D5A965B"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Por ello,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6746C625" w14:textId="77777777" w:rsidR="006E589E" w:rsidRPr="003E6423" w:rsidRDefault="006E589E" w:rsidP="006E589E">
      <w:pPr>
        <w:ind w:left="709" w:right="709"/>
        <w:jc w:val="both"/>
        <w:rPr>
          <w:rFonts w:ascii="Arial" w:eastAsia="Calibri" w:hAnsi="Arial" w:cs="Arial"/>
          <w:sz w:val="21"/>
          <w:szCs w:val="21"/>
          <w:lang w:val="es-ES_tradnl"/>
        </w:rPr>
      </w:pPr>
    </w:p>
    <w:p w14:paraId="212C7646" w14:textId="77777777" w:rsidR="006E589E" w:rsidRPr="003E6423" w:rsidRDefault="006E589E" w:rsidP="006E589E">
      <w:pPr>
        <w:ind w:left="709" w:right="709"/>
        <w:jc w:val="both"/>
        <w:rPr>
          <w:rFonts w:ascii="Arial" w:eastAsia="Calibri" w:hAnsi="Arial" w:cs="Arial"/>
          <w:sz w:val="21"/>
          <w:szCs w:val="21"/>
          <w:lang w:val="es-ES_tradnl"/>
        </w:rPr>
      </w:pPr>
      <w:r w:rsidRPr="003E6423">
        <w:rPr>
          <w:rFonts w:ascii="Arial" w:eastAsia="Calibri" w:hAnsi="Arial" w:cs="Arial"/>
          <w:sz w:val="21"/>
          <w:szCs w:val="21"/>
          <w:lang w:val="es-ES_tradnl"/>
        </w:rPr>
        <w:t>Adiciónese un parágrafo al artículo 12 de la Ley 1150 de 2007:</w:t>
      </w:r>
    </w:p>
    <w:p w14:paraId="41C2266F" w14:textId="77777777" w:rsidR="006E589E" w:rsidRPr="003E6423" w:rsidRDefault="006E589E" w:rsidP="006E589E">
      <w:pPr>
        <w:ind w:right="709"/>
        <w:jc w:val="both"/>
        <w:rPr>
          <w:rFonts w:ascii="Arial" w:eastAsia="Calibri" w:hAnsi="Arial" w:cs="Arial"/>
          <w:sz w:val="21"/>
          <w:szCs w:val="21"/>
          <w:lang w:val="es-ES_tradnl"/>
        </w:rPr>
      </w:pPr>
    </w:p>
    <w:p w14:paraId="50494358" w14:textId="77777777" w:rsidR="006E589E" w:rsidRPr="003E6423" w:rsidRDefault="006E589E" w:rsidP="006E589E">
      <w:pPr>
        <w:spacing w:after="120"/>
        <w:ind w:left="709" w:right="709"/>
        <w:jc w:val="both"/>
        <w:rPr>
          <w:rFonts w:ascii="Arial" w:eastAsia="Calibri" w:hAnsi="Arial" w:cs="Arial"/>
          <w:sz w:val="21"/>
          <w:szCs w:val="21"/>
          <w:lang w:val="es-ES_tradnl"/>
        </w:rPr>
      </w:pPr>
      <w:r w:rsidRPr="003E6423">
        <w:rPr>
          <w:rFonts w:ascii="Arial" w:eastAsia="Calibri" w:hAnsi="Arial" w:cs="Arial"/>
          <w:sz w:val="21"/>
          <w:szCs w:val="21"/>
          <w:lang w:val="es-ES_tradnl"/>
        </w:rPr>
        <w:t>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sobrevivencia y que hayan cumplido el requisito de edad de pensión establecido en la Ley.</w:t>
      </w:r>
    </w:p>
    <w:p w14:paraId="25A96AB3" w14:textId="77777777" w:rsidR="006E589E" w:rsidRPr="003E6423" w:rsidRDefault="006E589E" w:rsidP="006E589E">
      <w:pPr>
        <w:spacing w:after="120"/>
        <w:ind w:left="709" w:right="709"/>
        <w:jc w:val="both"/>
        <w:rPr>
          <w:rFonts w:ascii="Arial" w:eastAsia="Calibri" w:hAnsi="Arial" w:cs="Arial"/>
          <w:sz w:val="21"/>
          <w:szCs w:val="21"/>
          <w:lang w:val="es-ES_tradnl"/>
        </w:rPr>
      </w:pPr>
      <w:r w:rsidRPr="003E6423">
        <w:rPr>
          <w:rFonts w:ascii="Arial" w:eastAsia="Calibri" w:hAnsi="Arial" w:cs="Arial"/>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6F6F25CC" w14:textId="77777777" w:rsidR="006E589E" w:rsidRPr="003E6423" w:rsidRDefault="006E589E" w:rsidP="006E589E">
      <w:pPr>
        <w:spacing w:after="120"/>
        <w:ind w:left="709" w:right="709"/>
        <w:jc w:val="both"/>
        <w:rPr>
          <w:rFonts w:ascii="Arial" w:eastAsia="Calibri" w:hAnsi="Arial" w:cs="Arial"/>
          <w:sz w:val="21"/>
          <w:szCs w:val="21"/>
          <w:lang w:val="es-ES_tradnl"/>
        </w:rPr>
      </w:pPr>
      <w:r w:rsidRPr="003E6423">
        <w:rPr>
          <w:rFonts w:ascii="Arial" w:eastAsia="Calibri" w:hAnsi="Arial" w:cs="Arial"/>
          <w:sz w:val="21"/>
          <w:szCs w:val="21"/>
          <w:lang w:val="es-ES_tradnl"/>
        </w:rPr>
        <w:lastRenderedPageBreak/>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1609FBF9" w14:textId="77777777" w:rsidR="006E589E" w:rsidRPr="003E6423" w:rsidRDefault="006E589E" w:rsidP="006E589E">
      <w:pPr>
        <w:ind w:left="709" w:right="709"/>
        <w:jc w:val="both"/>
        <w:rPr>
          <w:rFonts w:ascii="Arial" w:eastAsia="Calibri" w:hAnsi="Arial" w:cs="Arial"/>
          <w:sz w:val="21"/>
          <w:szCs w:val="21"/>
          <w:lang w:val="es-ES_tradnl"/>
        </w:rPr>
      </w:pPr>
      <w:r w:rsidRPr="003E6423">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1814327C" w14:textId="77777777" w:rsidR="006E589E" w:rsidRPr="003E6423" w:rsidRDefault="006E589E" w:rsidP="006E589E">
      <w:pPr>
        <w:spacing w:line="276" w:lineRule="auto"/>
        <w:ind w:firstLine="709"/>
        <w:jc w:val="both"/>
        <w:rPr>
          <w:rFonts w:ascii="Arial" w:eastAsia="Calibri" w:hAnsi="Arial" w:cs="Arial"/>
          <w:sz w:val="22"/>
          <w:szCs w:val="22"/>
          <w:lang w:val="es-ES_tradnl"/>
        </w:rPr>
      </w:pPr>
    </w:p>
    <w:p w14:paraId="59E18D45" w14:textId="77777777" w:rsidR="006E589E" w:rsidRPr="003E6423" w:rsidRDefault="006E589E" w:rsidP="006E589E">
      <w:pPr>
        <w:spacing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El anterior texto, que según se indicó fue agregado al artículo 12 de la Ley 1150 de 2007 como parágrafo 4, también se ve afectado por el efecto de la subrogación producida por el artículo 34 de la Ley 2069 de 2020, porque en este artículo no dispone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pues no está vigente.</w:t>
      </w:r>
    </w:p>
    <w:p w14:paraId="3CF5822F"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 como aconteció con el Decreto 1860 de 2021.</w:t>
      </w:r>
    </w:p>
    <w:p w14:paraId="3190110D"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 </w:t>
      </w:r>
    </w:p>
    <w:p w14:paraId="7EEB009A"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lastRenderedPageBreak/>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del Decreto 1082 de 2015, que, hasta la expedición de la Ley 2069 de 2020, regulaba las convocatorias limitadas a Mipymes.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8830ED5"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76DCB0A8"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vigor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0B720E7A"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31A21219"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lastRenderedPageBreak/>
        <w:t xml:space="preserve">A lo anterior debe agregarse que mientras la nueva disposición legal indica que la convocatoria limitada a Mipymes debe hacerse cuando por lo menos </w:t>
      </w:r>
      <w:r w:rsidRPr="003E6423">
        <w:rPr>
          <w:rFonts w:ascii="Arial" w:eastAsia="Calibri" w:hAnsi="Arial" w:cs="Arial"/>
          <w:i/>
          <w:iCs/>
          <w:sz w:val="22"/>
          <w:szCs w:val="22"/>
          <w:lang w:val="es-ES_tradnl"/>
        </w:rPr>
        <w:t>dos (2)</w:t>
      </w:r>
      <w:r w:rsidRPr="003E6423">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3E6423">
        <w:rPr>
          <w:rFonts w:ascii="Arial" w:eastAsia="Calibri" w:hAnsi="Arial" w:cs="Arial"/>
          <w:i/>
          <w:iCs/>
          <w:sz w:val="22"/>
          <w:szCs w:val="22"/>
          <w:lang w:val="es-ES_tradnl"/>
        </w:rPr>
        <w:t>tres (3)</w:t>
      </w:r>
      <w:r w:rsidRPr="003E6423">
        <w:rPr>
          <w:rFonts w:ascii="Arial" w:eastAsia="Calibri" w:hAnsi="Arial" w:cs="Arial"/>
          <w:sz w:val="22"/>
          <w:szCs w:val="22"/>
          <w:lang w:val="es-ES_tradnl"/>
        </w:rPr>
        <w:t xml:space="preserve"> Mipymes, a más tardar un día hábil antes de la apertura del proceso de selección.</w:t>
      </w:r>
    </w:p>
    <w:p w14:paraId="319D1044" w14:textId="77777777" w:rsidR="006E589E" w:rsidRPr="003E6423" w:rsidRDefault="006E589E" w:rsidP="006E589E">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Las diferencias evidenciadas son suficientes para mostrar que, </w:t>
      </w:r>
      <w:bookmarkStart w:id="4" w:name="_Hlk81295413"/>
      <w:r w:rsidRPr="003E6423">
        <w:rPr>
          <w:rFonts w:ascii="Arial" w:eastAsia="Calibri" w:hAnsi="Arial" w:cs="Arial"/>
          <w:sz w:val="22"/>
          <w:szCs w:val="22"/>
          <w:lang w:val="es-ES_tradnl"/>
        </w:rPr>
        <w:t>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Entonces, además del decaimiento del artículo 2.2.1.2.4.2.2. del Decreto 1082 de 2015, debe entenderse que esta norma está derogada.</w:t>
      </w:r>
      <w:bookmarkEnd w:id="4"/>
    </w:p>
    <w:p w14:paraId="7185C99B" w14:textId="3C76654E" w:rsidR="006E589E" w:rsidRPr="003E6423" w:rsidRDefault="00A56FA8" w:rsidP="006E589E">
      <w:pPr>
        <w:shd w:val="clear" w:color="auto" w:fill="FFFFFF"/>
        <w:spacing w:before="120" w:line="276" w:lineRule="auto"/>
        <w:ind w:right="51"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Al respecto debe descartarse </w:t>
      </w:r>
      <w:r w:rsidR="009A5695" w:rsidRPr="003E6423">
        <w:rPr>
          <w:rFonts w:ascii="Arial" w:eastAsia="Calibri" w:hAnsi="Arial" w:cs="Arial"/>
          <w:sz w:val="22"/>
          <w:szCs w:val="22"/>
          <w:lang w:val="es-ES_tradnl"/>
        </w:rPr>
        <w:t>la posibilidad de</w:t>
      </w:r>
      <w:r w:rsidR="006E589E" w:rsidRPr="003E6423">
        <w:rPr>
          <w:rFonts w:ascii="Arial" w:eastAsia="Calibri" w:hAnsi="Arial" w:cs="Arial"/>
          <w:sz w:val="22"/>
          <w:szCs w:val="22"/>
          <w:lang w:val="es-ES_tradnl"/>
        </w:rPr>
        <w:t xml:space="preserve"> </w:t>
      </w:r>
      <w:r w:rsidR="009A5695" w:rsidRPr="003E6423">
        <w:rPr>
          <w:rFonts w:ascii="Arial" w:eastAsia="Calibri" w:hAnsi="Arial" w:cs="Arial"/>
          <w:sz w:val="22"/>
          <w:szCs w:val="22"/>
          <w:lang w:val="es-ES_tradnl"/>
        </w:rPr>
        <w:t>aplicar</w:t>
      </w:r>
      <w:r w:rsidR="006E589E" w:rsidRPr="003E6423">
        <w:rPr>
          <w:rFonts w:ascii="Arial" w:eastAsia="Calibri" w:hAnsi="Arial" w:cs="Arial"/>
          <w:sz w:val="22"/>
          <w:szCs w:val="22"/>
          <w:lang w:val="es-ES_tradnl"/>
        </w:rPr>
        <w:t xml:space="preserve"> los apartados normativos del artículo 2.2.1.2.4.2.2. original del Decreto 1082 de 2015 –antes de la modificación realizada por el Decreto 1860 de 2021– que, en su texto, no sean contrarios a la nueva regulación contenida en el artículo 34 de la Ley 2069 de 2020. Est</w:t>
      </w:r>
      <w:r w:rsidR="009A5695" w:rsidRPr="003E6423">
        <w:rPr>
          <w:rFonts w:ascii="Arial" w:eastAsia="Calibri" w:hAnsi="Arial" w:cs="Arial"/>
          <w:sz w:val="22"/>
          <w:szCs w:val="22"/>
          <w:lang w:val="es-ES_tradnl"/>
        </w:rPr>
        <w:t xml:space="preserve">o por cuanto </w:t>
      </w:r>
      <w:r w:rsidR="006E589E" w:rsidRPr="003E6423">
        <w:rPr>
          <w:rFonts w:ascii="Arial" w:eastAsia="Calibri" w:hAnsi="Arial" w:cs="Arial"/>
          <w:sz w:val="22"/>
          <w:szCs w:val="22"/>
          <w:lang w:val="es-ES_tradnl"/>
        </w:rPr>
        <w:t xml:space="preserve">el artículo 34, reiteradamente, señala que el gobierno nacional debe definir las condiciones para la aplicación de las reglas expedidas, que permitan llevar a cabo las convocatorias limitadas a </w:t>
      </w:r>
      <w:r w:rsidR="009A5695" w:rsidRPr="003E6423">
        <w:rPr>
          <w:rFonts w:ascii="Arial" w:eastAsia="Calibri" w:hAnsi="Arial" w:cs="Arial"/>
          <w:sz w:val="22"/>
          <w:szCs w:val="22"/>
          <w:lang w:val="es-ES_tradnl"/>
        </w:rPr>
        <w:t>m</w:t>
      </w:r>
      <w:r w:rsidR="006E589E" w:rsidRPr="003E6423">
        <w:rPr>
          <w:rFonts w:ascii="Arial" w:eastAsia="Calibri" w:hAnsi="Arial" w:cs="Arial"/>
          <w:sz w:val="22"/>
          <w:szCs w:val="22"/>
          <w:lang w:val="es-ES_tradnl"/>
        </w:rPr>
        <w:t xml:space="preserve">ipymes, lo cual demuestra la voluntad legislativa de establecer la necesidad de una nueva reglamentación de la materia. En tal sentido, las entidades estatales, los patrimonios autónomos constituidos por estas y los particulares que ejecuten recursos públicos, no pueden adoptar convocatorias limitadas a </w:t>
      </w:r>
      <w:r w:rsidR="009A5695" w:rsidRPr="003E6423">
        <w:rPr>
          <w:rFonts w:ascii="Arial" w:eastAsia="Calibri" w:hAnsi="Arial" w:cs="Arial"/>
          <w:sz w:val="22"/>
          <w:szCs w:val="22"/>
          <w:lang w:val="es-ES_tradnl"/>
        </w:rPr>
        <w:t>m</w:t>
      </w:r>
      <w:r w:rsidR="006E589E" w:rsidRPr="003E6423">
        <w:rPr>
          <w:rFonts w:ascii="Arial" w:eastAsia="Calibri" w:hAnsi="Arial" w:cs="Arial"/>
          <w:sz w:val="22"/>
          <w:szCs w:val="22"/>
          <w:lang w:val="es-ES_tradnl"/>
        </w:rPr>
        <w:t xml:space="preserve">ipymes, pues al tenor del artículo 34 de la Ley 2069 de 2020, la eficacia de esta norma quedó condicionada a la expedición del decreto reglamentario que fije las condiciones de su operatividad.  </w:t>
      </w:r>
    </w:p>
    <w:p w14:paraId="34943566" w14:textId="4A918A37" w:rsidR="006E589E" w:rsidRPr="003E6423" w:rsidRDefault="006E589E" w:rsidP="006E589E">
      <w:pPr>
        <w:spacing w:before="120" w:line="276" w:lineRule="auto"/>
        <w:ind w:firstLine="709"/>
        <w:jc w:val="both"/>
        <w:rPr>
          <w:rFonts w:ascii="Arial" w:hAnsi="Arial" w:cs="Arial"/>
          <w:sz w:val="22"/>
          <w:szCs w:val="22"/>
        </w:rPr>
      </w:pPr>
      <w:r w:rsidRPr="003E6423">
        <w:rPr>
          <w:rFonts w:ascii="Arial" w:hAnsi="Arial" w:cs="Arial"/>
          <w:sz w:val="22"/>
          <w:szCs w:val="22"/>
          <w:lang w:val="es-ES_tradnl"/>
        </w:rPr>
        <w:t xml:space="preserve">A este respecto, es necesario llamar nuevamente la atención sobre la reciente expedición del Decreto </w:t>
      </w:r>
      <w:r w:rsidRPr="003E6423">
        <w:rPr>
          <w:rFonts w:ascii="Arial" w:hAnsi="Arial" w:cs="Arial"/>
          <w:sz w:val="22"/>
          <w:szCs w:val="22"/>
          <w:lang w:val="es-MX"/>
        </w:rPr>
        <w:t>1860 del 24 de diciembre de 2021</w:t>
      </w:r>
      <w:r w:rsidR="009A5695" w:rsidRPr="003E6423">
        <w:rPr>
          <w:rFonts w:ascii="Arial" w:hAnsi="Arial" w:cs="Arial"/>
          <w:sz w:val="22"/>
          <w:szCs w:val="22"/>
          <w:lang w:val="es-MX"/>
        </w:rPr>
        <w:t>,</w:t>
      </w:r>
      <w:r w:rsidRPr="003E6423">
        <w:rPr>
          <w:rFonts w:ascii="Arial" w:hAnsi="Arial" w:cs="Arial"/>
          <w:sz w:val="22"/>
          <w:szCs w:val="22"/>
          <w:lang w:val="es-ES_tradnl"/>
        </w:rPr>
        <w:t xml:space="preserve"> mediante el cual se reglamentan los artículos 30,</w:t>
      </w:r>
      <w:r w:rsidRPr="003E6423">
        <w:rPr>
          <w:rFonts w:ascii="Arial" w:hAnsi="Arial" w:cs="Arial"/>
          <w:sz w:val="19"/>
          <w:szCs w:val="19"/>
          <w:lang w:val="es-MX"/>
        </w:rPr>
        <w:t xml:space="preserve"> </w:t>
      </w:r>
      <w:r w:rsidRPr="003E6423">
        <w:rPr>
          <w:rFonts w:ascii="Arial" w:hAnsi="Arial" w:cs="Arial"/>
          <w:sz w:val="22"/>
          <w:szCs w:val="22"/>
          <w:lang w:val="es-MX"/>
        </w:rPr>
        <w:t xml:space="preserve">31, 32, 34 y 35 de la Ley 2069 de 2020, en lo relativo al sistema de compras públicas. Concretamente, frente a las convocatorias limitadas a </w:t>
      </w:r>
      <w:r w:rsidR="009A5695" w:rsidRPr="003E6423">
        <w:rPr>
          <w:rFonts w:ascii="Arial" w:hAnsi="Arial" w:cs="Arial"/>
          <w:sz w:val="22"/>
          <w:szCs w:val="22"/>
          <w:lang w:val="es-MX"/>
        </w:rPr>
        <w:t>m</w:t>
      </w:r>
      <w:r w:rsidRPr="003E6423">
        <w:rPr>
          <w:rFonts w:ascii="Arial" w:hAnsi="Arial" w:cs="Arial"/>
          <w:sz w:val="22"/>
          <w:szCs w:val="22"/>
          <w:lang w:val="es-MX"/>
        </w:rPr>
        <w:t xml:space="preserve">ipymes del artículo 34, el Decreto </w:t>
      </w:r>
      <w:r w:rsidRPr="003E6423">
        <w:rPr>
          <w:rFonts w:ascii="Arial" w:hAnsi="Arial" w:cs="Arial"/>
          <w:sz w:val="22"/>
          <w:szCs w:val="22"/>
        </w:rPr>
        <w:t>definió las condiciones y los montos para la adopción de convocatorias limitadas a Mipyme, las limitaciones territoriales y la acreditación de los requisitos para participar en convocatorias limitadas.</w:t>
      </w:r>
      <w:r w:rsidRPr="003E6423">
        <w:rPr>
          <w:rFonts w:ascii="Arial" w:hAnsi="Arial" w:cs="Arial"/>
          <w:sz w:val="22"/>
          <w:szCs w:val="22"/>
          <w:lang w:val="es-MX"/>
        </w:rPr>
        <w:t xml:space="preserve"> </w:t>
      </w:r>
      <w:r w:rsidRPr="003E6423">
        <w:rPr>
          <w:rFonts w:ascii="Arial" w:eastAsia="Calibri" w:hAnsi="Arial" w:cs="Arial"/>
          <w:sz w:val="22"/>
          <w:szCs w:val="22"/>
          <w:lang w:val="es-ES_tradnl"/>
        </w:rPr>
        <w:t>Por ello, mediante el artículo 5 se modificaron los artículos 2.2.1.2.4.2.2., 2.2.1.2.4.2.3. y 2.2.1.2.4.2.4. de la Subsección 2 de la Sección 4 del Capítulo 2 del Título 1 de la Parte 2 del Libro 2 del Decreto 1082 de 2015.</w:t>
      </w:r>
    </w:p>
    <w:p w14:paraId="34D147B9" w14:textId="4D417C89" w:rsidR="006E589E" w:rsidRPr="003E6423" w:rsidRDefault="006E589E" w:rsidP="006E589E">
      <w:pPr>
        <w:spacing w:before="120" w:line="276" w:lineRule="auto"/>
        <w:ind w:firstLine="709"/>
        <w:jc w:val="both"/>
        <w:rPr>
          <w:rFonts w:ascii="Arial" w:eastAsia="Arial" w:hAnsi="Arial" w:cs="Arial"/>
          <w:bCs/>
          <w:sz w:val="22"/>
          <w:szCs w:val="22"/>
          <w:lang w:val="es-ES_tradnl" w:eastAsia="es-ES" w:bidi="es-ES"/>
        </w:rPr>
      </w:pPr>
      <w:r w:rsidRPr="003E6423">
        <w:rPr>
          <w:rFonts w:ascii="Arial" w:hAnsi="Arial" w:cs="Arial"/>
          <w:sz w:val="22"/>
          <w:szCs w:val="22"/>
          <w:lang w:val="es-ES_tradnl"/>
        </w:rPr>
        <w:t xml:space="preserve">No obstante, debe precisarse que, de acuerdo con lo establecido en el artículo 8 del Decreto 1860 de 2021, </w:t>
      </w:r>
      <w:r w:rsidRPr="003E6423">
        <w:rPr>
          <w:rFonts w:ascii="Arial" w:hAnsi="Arial" w:cs="Arial"/>
          <w:sz w:val="22"/>
          <w:szCs w:val="22"/>
        </w:rPr>
        <w:t xml:space="preserve">las disposiciones en él contenidas comenzarán a ser aplicables en </w:t>
      </w:r>
      <w:r w:rsidRPr="003E6423">
        <w:rPr>
          <w:rFonts w:ascii="Arial" w:hAnsi="Arial" w:cs="Arial"/>
          <w:sz w:val="22"/>
          <w:szCs w:val="22"/>
        </w:rPr>
        <w:lastRenderedPageBreak/>
        <w:t xml:space="preserve">los procedimientos de selección cuya invitación, aviso de convocatoria o documento equivalente se publique a los tres (3) meses contados a partir de su expedición. Por </w:t>
      </w:r>
      <w:r w:rsidR="00DA3DF6" w:rsidRPr="003E6423">
        <w:rPr>
          <w:rFonts w:ascii="Arial" w:hAnsi="Arial" w:cs="Arial"/>
          <w:sz w:val="22"/>
          <w:szCs w:val="22"/>
        </w:rPr>
        <w:t xml:space="preserve">lo </w:t>
      </w:r>
      <w:r w:rsidRPr="003E6423">
        <w:rPr>
          <w:rFonts w:ascii="Arial" w:hAnsi="Arial" w:cs="Arial"/>
          <w:sz w:val="22"/>
          <w:szCs w:val="22"/>
        </w:rPr>
        <w:t xml:space="preserve">tanto, </w:t>
      </w:r>
      <w:r w:rsidR="00DA3DF6" w:rsidRPr="003E6423">
        <w:rPr>
          <w:rFonts w:ascii="Arial" w:hAnsi="Arial" w:cs="Arial"/>
          <w:sz w:val="22"/>
          <w:szCs w:val="22"/>
        </w:rPr>
        <w:t xml:space="preserve">el desarrollo de </w:t>
      </w:r>
      <w:r w:rsidRPr="003E6423">
        <w:rPr>
          <w:rFonts w:ascii="Arial" w:hAnsi="Arial" w:cs="Arial"/>
          <w:sz w:val="22"/>
          <w:szCs w:val="22"/>
        </w:rPr>
        <w:t>convocatorias limitadas a mipymes</w:t>
      </w:r>
      <w:r w:rsidR="00DA3DF6" w:rsidRPr="003E6423">
        <w:rPr>
          <w:rFonts w:ascii="Arial" w:hAnsi="Arial" w:cs="Arial"/>
          <w:sz w:val="22"/>
          <w:szCs w:val="22"/>
        </w:rPr>
        <w:t xml:space="preserve"> según</w:t>
      </w:r>
      <w:r w:rsidRPr="003E6423">
        <w:rPr>
          <w:rFonts w:ascii="Arial" w:hAnsi="Arial" w:cs="Arial"/>
          <w:sz w:val="22"/>
          <w:szCs w:val="22"/>
        </w:rPr>
        <w:t xml:space="preserve"> </w:t>
      </w:r>
      <w:r w:rsidR="00DA3DF6" w:rsidRPr="003E6423">
        <w:rPr>
          <w:rFonts w:ascii="Arial" w:hAnsi="Arial" w:cs="Arial"/>
          <w:sz w:val="22"/>
          <w:szCs w:val="22"/>
        </w:rPr>
        <w:t xml:space="preserve">lo </w:t>
      </w:r>
      <w:r w:rsidRPr="003E6423">
        <w:rPr>
          <w:rFonts w:ascii="Arial" w:hAnsi="Arial" w:cs="Arial"/>
          <w:sz w:val="22"/>
          <w:szCs w:val="22"/>
        </w:rPr>
        <w:t>establecid</w:t>
      </w:r>
      <w:r w:rsidR="00DA3DF6" w:rsidRPr="003E6423">
        <w:rPr>
          <w:rFonts w:ascii="Arial" w:hAnsi="Arial" w:cs="Arial"/>
          <w:sz w:val="22"/>
          <w:szCs w:val="22"/>
        </w:rPr>
        <w:t>o</w:t>
      </w:r>
      <w:r w:rsidRPr="003E6423">
        <w:rPr>
          <w:rFonts w:ascii="Arial" w:hAnsi="Arial" w:cs="Arial"/>
          <w:sz w:val="22"/>
          <w:szCs w:val="22"/>
        </w:rPr>
        <w:t xml:space="preserve"> en este Decreto</w:t>
      </w:r>
      <w:r w:rsidR="00DA3DF6" w:rsidRPr="003E6423">
        <w:rPr>
          <w:rFonts w:ascii="Arial" w:hAnsi="Arial" w:cs="Arial"/>
          <w:sz w:val="22"/>
          <w:szCs w:val="22"/>
        </w:rPr>
        <w:t>,</w:t>
      </w:r>
      <w:r w:rsidRPr="003E6423">
        <w:rPr>
          <w:rFonts w:ascii="Arial" w:hAnsi="Arial" w:cs="Arial"/>
          <w:sz w:val="22"/>
          <w:szCs w:val="22"/>
        </w:rPr>
        <w:t xml:space="preserve"> </w:t>
      </w:r>
      <w:r w:rsidR="00DA3DF6" w:rsidRPr="003E6423">
        <w:rPr>
          <w:rFonts w:ascii="Arial" w:hAnsi="Arial" w:cs="Arial"/>
          <w:sz w:val="22"/>
          <w:szCs w:val="22"/>
        </w:rPr>
        <w:t xml:space="preserve">comenzará </w:t>
      </w:r>
      <w:r w:rsidRPr="003E6423">
        <w:rPr>
          <w:rFonts w:ascii="Arial" w:hAnsi="Arial" w:cs="Arial"/>
          <w:sz w:val="22"/>
          <w:szCs w:val="22"/>
        </w:rPr>
        <w:t xml:space="preserve">ser </w:t>
      </w:r>
      <w:r w:rsidR="00DA3DF6" w:rsidRPr="003E6423">
        <w:rPr>
          <w:rFonts w:ascii="Arial" w:hAnsi="Arial" w:cs="Arial"/>
          <w:sz w:val="22"/>
          <w:szCs w:val="22"/>
        </w:rPr>
        <w:t>posible</w:t>
      </w:r>
      <w:r w:rsidRPr="003E6423">
        <w:rPr>
          <w:rFonts w:ascii="Arial" w:hAnsi="Arial" w:cs="Arial"/>
          <w:sz w:val="22"/>
          <w:szCs w:val="22"/>
        </w:rPr>
        <w:t xml:space="preserve"> </w:t>
      </w:r>
      <w:r w:rsidR="00DA3DF6" w:rsidRPr="003E6423">
        <w:rPr>
          <w:rFonts w:ascii="Arial" w:hAnsi="Arial" w:cs="Arial"/>
          <w:sz w:val="22"/>
          <w:szCs w:val="22"/>
        </w:rPr>
        <w:t>en</w:t>
      </w:r>
      <w:r w:rsidRPr="003E6423">
        <w:rPr>
          <w:rFonts w:ascii="Arial" w:hAnsi="Arial" w:cs="Arial"/>
          <w:sz w:val="22"/>
          <w:szCs w:val="22"/>
        </w:rPr>
        <w:t xml:space="preserve"> los procedimientos de selección cuya invitación, aviso de convocatoria o documento equivalente se publique con posterioridad al 24 de marzo de 2022.</w:t>
      </w:r>
    </w:p>
    <w:p w14:paraId="5BB94A7D" w14:textId="6E46E740" w:rsidR="006E589E" w:rsidRPr="003E6423" w:rsidRDefault="00DA3DF6" w:rsidP="006E589E">
      <w:pPr>
        <w:spacing w:before="120" w:line="276" w:lineRule="auto"/>
        <w:ind w:firstLine="709"/>
        <w:jc w:val="both"/>
        <w:rPr>
          <w:rFonts w:ascii="Arial" w:eastAsia="Arial" w:hAnsi="Arial" w:cs="Arial"/>
          <w:bCs/>
          <w:sz w:val="22"/>
          <w:szCs w:val="22"/>
          <w:lang w:val="es-ES_tradnl" w:eastAsia="es-ES" w:bidi="es-ES"/>
        </w:rPr>
      </w:pPr>
      <w:r w:rsidRPr="003E6423">
        <w:rPr>
          <w:rFonts w:ascii="Arial" w:eastAsia="Arial" w:hAnsi="Arial" w:cs="Arial"/>
          <w:bCs/>
          <w:sz w:val="22"/>
          <w:szCs w:val="22"/>
          <w:lang w:val="es-ES_tradnl" w:eastAsia="es-ES" w:bidi="es-ES"/>
        </w:rPr>
        <w:t>Lo anterior significa que</w:t>
      </w:r>
      <w:r w:rsidR="006E589E" w:rsidRPr="003E6423">
        <w:rPr>
          <w:rFonts w:ascii="Arial" w:eastAsia="Arial" w:hAnsi="Arial" w:cs="Arial"/>
          <w:bCs/>
          <w:sz w:val="22"/>
          <w:szCs w:val="22"/>
          <w:lang w:val="es-ES_tradnl" w:eastAsia="es-ES" w:bidi="es-ES"/>
        </w:rPr>
        <w:t xml:space="preserve">, actualmente las entidades estatales, los patrimonios autónomos constituidos por estas y los particulares que ejecuten recursos públicos, no pueden adoptar convocatorias limitadas a </w:t>
      </w:r>
      <w:r w:rsidRPr="003E6423">
        <w:rPr>
          <w:rFonts w:ascii="Arial" w:eastAsia="Arial" w:hAnsi="Arial" w:cs="Arial"/>
          <w:bCs/>
          <w:sz w:val="22"/>
          <w:szCs w:val="22"/>
          <w:lang w:val="es-ES_tradnl" w:eastAsia="es-ES" w:bidi="es-ES"/>
        </w:rPr>
        <w:t>m</w:t>
      </w:r>
      <w:r w:rsidR="006E589E" w:rsidRPr="003E6423">
        <w:rPr>
          <w:rFonts w:ascii="Arial" w:eastAsia="Arial" w:hAnsi="Arial" w:cs="Arial"/>
          <w:bCs/>
          <w:sz w:val="22"/>
          <w:szCs w:val="22"/>
          <w:lang w:val="es-ES_tradnl" w:eastAsia="es-ES" w:bidi="es-ES"/>
        </w:rPr>
        <w:t>ipymes puesto que el artículo 5 de la Ley 1860 de 2021 que modificó el artículo 2.2.1.2.4.2.2 del Decreto 1082 de 2015 entrará en vigencia para</w:t>
      </w:r>
      <w:r w:rsidR="006E589E" w:rsidRPr="003E6423">
        <w:rPr>
          <w:rFonts w:ascii="Arial" w:hAnsi="Arial" w:cs="Arial"/>
          <w:sz w:val="22"/>
          <w:szCs w:val="22"/>
        </w:rPr>
        <w:t xml:space="preserve"> los procedimientos de selección cuya invitación, aviso de convocatoria o documento equivalente se publique</w:t>
      </w:r>
      <w:r w:rsidR="006E589E" w:rsidRPr="003E6423">
        <w:rPr>
          <w:rFonts w:ascii="Arial" w:eastAsia="Arial" w:hAnsi="Arial" w:cs="Arial"/>
          <w:bCs/>
          <w:sz w:val="22"/>
          <w:szCs w:val="22"/>
          <w:lang w:val="es-ES_tradnl" w:eastAsia="es-ES" w:bidi="es-ES"/>
        </w:rPr>
        <w:t xml:space="preserve"> a partir del 24 de marzo de 2022. Para estos nuevos procesos que se inicien en el futuro, la limitación de las convocatorias se realizará en los términos establecidos en el artículo 34 de la Ley 2069 de 2020 y el Decreto 1860 del 24 de diciembre de 2021, que modificó el Decreto 1082 de 2015. </w:t>
      </w:r>
    </w:p>
    <w:p w14:paraId="712C26B7" w14:textId="77777777" w:rsidR="00C4722B" w:rsidRPr="003E6423" w:rsidRDefault="00C4722B" w:rsidP="002D13CC">
      <w:pPr>
        <w:spacing w:line="276" w:lineRule="auto"/>
        <w:jc w:val="both"/>
        <w:rPr>
          <w:rFonts w:ascii="Arial" w:hAnsi="Arial" w:cs="Arial"/>
          <w:sz w:val="22"/>
          <w:lang w:val="es-ES_tradnl"/>
        </w:rPr>
      </w:pPr>
    </w:p>
    <w:p w14:paraId="0E6D2AA4" w14:textId="38A643AE" w:rsidR="00EC5308" w:rsidRPr="003E6423" w:rsidRDefault="00EC5308" w:rsidP="004D1C27">
      <w:pPr>
        <w:spacing w:line="276" w:lineRule="auto"/>
        <w:jc w:val="both"/>
        <w:rPr>
          <w:rFonts w:ascii="Arial" w:eastAsia="Calibri" w:hAnsi="Arial" w:cs="Arial"/>
          <w:b/>
          <w:sz w:val="22"/>
          <w:lang w:val="es-ES_tradnl"/>
        </w:rPr>
      </w:pPr>
      <w:r w:rsidRPr="003E6423">
        <w:rPr>
          <w:rFonts w:ascii="Arial" w:eastAsia="Calibri" w:hAnsi="Arial" w:cs="Arial"/>
          <w:b/>
          <w:sz w:val="22"/>
          <w:lang w:val="es-ES_tradnl"/>
        </w:rPr>
        <w:t>2.</w:t>
      </w:r>
      <w:r w:rsidR="0052645D" w:rsidRPr="003E6423">
        <w:rPr>
          <w:rFonts w:ascii="Arial" w:eastAsia="Calibri" w:hAnsi="Arial" w:cs="Arial"/>
          <w:b/>
          <w:sz w:val="22"/>
          <w:lang w:val="es-ES_tradnl"/>
        </w:rPr>
        <w:t>3</w:t>
      </w:r>
      <w:r w:rsidRPr="003E6423">
        <w:rPr>
          <w:rFonts w:ascii="Arial" w:eastAsia="Calibri" w:hAnsi="Arial" w:cs="Arial"/>
          <w:b/>
          <w:sz w:val="22"/>
          <w:lang w:val="es-ES_tradnl"/>
        </w:rPr>
        <w:t xml:space="preserve">. </w:t>
      </w:r>
      <w:r w:rsidR="00E34B9D" w:rsidRPr="003E6423">
        <w:rPr>
          <w:rFonts w:ascii="Arial" w:eastAsia="Calibri" w:hAnsi="Arial" w:cs="Arial"/>
          <w:b/>
          <w:sz w:val="22"/>
          <w:lang w:val="es-ES_tradnl"/>
        </w:rPr>
        <w:t>Derogatoria</w:t>
      </w:r>
      <w:r w:rsidRPr="003E6423">
        <w:rPr>
          <w:rFonts w:ascii="Arial" w:eastAsia="Calibri" w:hAnsi="Arial" w:cs="Arial"/>
          <w:b/>
          <w:sz w:val="22"/>
          <w:lang w:val="es-ES_tradnl"/>
        </w:rPr>
        <w:t xml:space="preserve"> del artículo </w:t>
      </w:r>
      <w:r w:rsidR="00EB3C01" w:rsidRPr="003E6423">
        <w:rPr>
          <w:rFonts w:ascii="Arial" w:eastAsia="Calibri" w:hAnsi="Arial" w:cs="Arial"/>
          <w:b/>
          <w:sz w:val="22"/>
          <w:lang w:val="es-ES_tradnl"/>
        </w:rPr>
        <w:t>42 de la Ley 1955 de 2019</w:t>
      </w:r>
      <w:r w:rsidR="00A04509" w:rsidRPr="003E6423">
        <w:rPr>
          <w:rFonts w:ascii="Arial" w:eastAsia="Calibri" w:hAnsi="Arial" w:cs="Arial"/>
          <w:b/>
          <w:sz w:val="22"/>
          <w:lang w:val="es-ES_tradnl"/>
        </w:rPr>
        <w:t xml:space="preserve">, </w:t>
      </w:r>
      <w:r w:rsidR="003C6191" w:rsidRPr="003E6423">
        <w:rPr>
          <w:rFonts w:ascii="Arial" w:eastAsia="Calibri" w:hAnsi="Arial" w:cs="Arial"/>
          <w:b/>
          <w:sz w:val="22"/>
          <w:lang w:val="es-ES_tradnl"/>
        </w:rPr>
        <w:t>frente a la nueva regulación de la mínima cuantía contenida en el artículo 30 de la Ley 2069 de 2020</w:t>
      </w:r>
    </w:p>
    <w:p w14:paraId="3B5C8B8B" w14:textId="285D60ED" w:rsidR="00EC5308" w:rsidRPr="003E6423" w:rsidRDefault="00EC5308" w:rsidP="004D1C27">
      <w:pPr>
        <w:spacing w:line="276" w:lineRule="auto"/>
        <w:jc w:val="both"/>
        <w:rPr>
          <w:rFonts w:ascii="Arial" w:eastAsia="Calibri" w:hAnsi="Arial" w:cs="Arial"/>
          <w:b/>
          <w:sz w:val="22"/>
          <w:lang w:val="es-ES_tradnl"/>
        </w:rPr>
      </w:pPr>
    </w:p>
    <w:p w14:paraId="65BEEB89" w14:textId="74AA5017" w:rsidR="003D0CE1" w:rsidRPr="003E6423" w:rsidRDefault="009A5695" w:rsidP="000F167C">
      <w:pPr>
        <w:spacing w:line="276" w:lineRule="auto"/>
        <w:jc w:val="both"/>
        <w:rPr>
          <w:rFonts w:ascii="Arial" w:hAnsi="Arial" w:cs="Arial"/>
          <w:sz w:val="22"/>
          <w:lang w:val="es-ES_tradnl"/>
        </w:rPr>
      </w:pPr>
      <w:r w:rsidRPr="003E6423">
        <w:rPr>
          <w:rFonts w:ascii="Arial" w:hAnsi="Arial" w:cs="Arial"/>
          <w:sz w:val="22"/>
          <w:lang w:val="es-ES_tradnl"/>
        </w:rPr>
        <w:t>Como bien explicó esta Subdirección en el concepto C-242 del 25 de mayo de 2021</w:t>
      </w:r>
      <w:r w:rsidR="00283087" w:rsidRPr="003E6423">
        <w:rPr>
          <w:rStyle w:val="Refdenotaalpie"/>
          <w:rFonts w:ascii="Arial" w:hAnsi="Arial" w:cs="Arial"/>
          <w:sz w:val="22"/>
          <w:lang w:val="es-ES_tradnl"/>
        </w:rPr>
        <w:footnoteReference w:id="11"/>
      </w:r>
      <w:r w:rsidR="00283087" w:rsidRPr="003E6423">
        <w:rPr>
          <w:rFonts w:ascii="Arial" w:hAnsi="Arial" w:cs="Arial"/>
          <w:sz w:val="22"/>
          <w:lang w:val="es-ES_tradnl"/>
        </w:rPr>
        <w:t>,</w:t>
      </w:r>
      <w:r w:rsidRPr="003E6423">
        <w:rPr>
          <w:rFonts w:ascii="Arial" w:hAnsi="Arial" w:cs="Arial"/>
          <w:sz w:val="22"/>
          <w:lang w:val="es-ES_tradnl"/>
        </w:rPr>
        <w:t xml:space="preserve"> </w:t>
      </w:r>
      <w:r w:rsidR="00283087" w:rsidRPr="003E6423">
        <w:rPr>
          <w:rFonts w:ascii="Arial" w:hAnsi="Arial" w:cs="Arial"/>
          <w:sz w:val="22"/>
          <w:lang w:val="es-ES_tradnl"/>
        </w:rPr>
        <w:t>a</w:t>
      </w:r>
      <w:r w:rsidR="003D0CE1" w:rsidRPr="003E6423">
        <w:rPr>
          <w:rFonts w:ascii="Arial" w:hAnsi="Arial" w:cs="Arial"/>
          <w:sz w:val="22"/>
          <w:lang w:val="es-ES_tradnl"/>
        </w:rPr>
        <w:t xml:space="preserve">ntes de la Ley 1955 de 2019 –en particular </w:t>
      </w:r>
      <w:r w:rsidR="003C6191" w:rsidRPr="003E6423">
        <w:rPr>
          <w:rFonts w:ascii="Arial" w:hAnsi="Arial" w:cs="Arial"/>
          <w:sz w:val="22"/>
          <w:lang w:val="es-ES_tradnl"/>
        </w:rPr>
        <w:t xml:space="preserve">de </w:t>
      </w:r>
      <w:r w:rsidR="003D0CE1" w:rsidRPr="003E6423">
        <w:rPr>
          <w:rFonts w:ascii="Arial" w:hAnsi="Arial" w:cs="Arial"/>
          <w:sz w:val="22"/>
          <w:lang w:val="es-ES_tradnl"/>
        </w:rPr>
        <w:t xml:space="preserve">su artículo 42– que adiciona el parágrafo 3 del artículo 94 de la Ley 1474 de 2011, se interpretaba que la modalidad de selección de mínima cuantía aplicaba en caso de que la contratación no excediera del diez por ciento –10%– de la menor cuantía de la entidad, </w:t>
      </w:r>
      <w:r w:rsidR="003D0CE1" w:rsidRPr="003E6423">
        <w:rPr>
          <w:rFonts w:ascii="Arial" w:hAnsi="Arial" w:cs="Arial"/>
          <w:i/>
          <w:iCs/>
          <w:sz w:val="22"/>
          <w:lang w:val="es-ES_tradnl"/>
        </w:rPr>
        <w:t>independientemente de su objeto</w:t>
      </w:r>
      <w:r w:rsidR="003D0CE1" w:rsidRPr="003E6423">
        <w:rPr>
          <w:rFonts w:ascii="Arial" w:hAnsi="Arial" w:cs="Arial"/>
          <w:sz w:val="22"/>
          <w:lang w:val="es-ES_tradnl"/>
        </w:rPr>
        <w:t xml:space="preserve">. Por esta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Este manual establecía lo siguiente: </w:t>
      </w:r>
    </w:p>
    <w:p w14:paraId="685EE313" w14:textId="77777777" w:rsidR="003D0CE1" w:rsidRPr="003E6423" w:rsidRDefault="003D0CE1" w:rsidP="003D0CE1">
      <w:pPr>
        <w:spacing w:line="276" w:lineRule="auto"/>
        <w:ind w:firstLine="709"/>
        <w:jc w:val="both"/>
        <w:rPr>
          <w:rFonts w:ascii="Arial" w:hAnsi="Arial" w:cs="Arial"/>
          <w:sz w:val="22"/>
          <w:lang w:val="es-ES_tradnl"/>
        </w:rPr>
      </w:pPr>
    </w:p>
    <w:p w14:paraId="1B3A36DB" w14:textId="77777777" w:rsidR="003D0CE1" w:rsidRPr="003E6423" w:rsidRDefault="003D0CE1" w:rsidP="003D0CE1">
      <w:pPr>
        <w:ind w:left="709" w:right="709"/>
        <w:jc w:val="both"/>
        <w:rPr>
          <w:rFonts w:ascii="Arial" w:hAnsi="Arial" w:cs="Arial"/>
          <w:sz w:val="21"/>
          <w:szCs w:val="21"/>
          <w:lang w:val="es-ES_tradnl"/>
        </w:rPr>
      </w:pPr>
      <w:r w:rsidRPr="003E6423">
        <w:rPr>
          <w:rFonts w:ascii="Arial" w:hAnsi="Arial" w:cs="Arial"/>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23573911" w14:textId="77777777" w:rsidR="003D0CE1" w:rsidRPr="003E6423" w:rsidRDefault="003D0CE1" w:rsidP="003D0CE1">
      <w:pPr>
        <w:spacing w:line="276" w:lineRule="auto"/>
        <w:ind w:left="709" w:right="709"/>
        <w:jc w:val="both"/>
        <w:rPr>
          <w:rFonts w:ascii="Arial" w:hAnsi="Arial" w:cs="Arial"/>
          <w:sz w:val="22"/>
          <w:lang w:val="es-ES_tradnl"/>
        </w:rPr>
      </w:pPr>
    </w:p>
    <w:p w14:paraId="6434FBEB" w14:textId="64D728DD" w:rsidR="003D0CE1" w:rsidRPr="003E6423" w:rsidRDefault="00895624" w:rsidP="003D0CE1">
      <w:pPr>
        <w:spacing w:after="120" w:line="276" w:lineRule="auto"/>
        <w:ind w:firstLine="709"/>
        <w:jc w:val="both"/>
        <w:rPr>
          <w:rFonts w:ascii="Arial" w:hAnsi="Arial" w:cs="Arial"/>
          <w:sz w:val="22"/>
          <w:lang w:val="es-ES_tradnl"/>
        </w:rPr>
      </w:pPr>
      <w:r w:rsidRPr="003E6423">
        <w:rPr>
          <w:rFonts w:ascii="Arial" w:hAnsi="Arial" w:cs="Arial"/>
          <w:sz w:val="22"/>
          <w:lang w:val="es-ES_tradnl"/>
        </w:rPr>
        <w:lastRenderedPageBreak/>
        <w:t>En su momento, la</w:t>
      </w:r>
      <w:r w:rsidR="003D0CE1" w:rsidRPr="003E6423">
        <w:rPr>
          <w:rFonts w:ascii="Arial" w:hAnsi="Arial" w:cs="Arial"/>
          <w:sz w:val="22"/>
          <w:lang w:val="es-ES_tradnl"/>
        </w:rPr>
        <w:t xml:space="preserve"> Sección Tercera del Consejo de Estado</w:t>
      </w:r>
      <w:r w:rsidRPr="003E6423">
        <w:rPr>
          <w:rFonts w:ascii="Arial" w:hAnsi="Arial" w:cs="Arial"/>
          <w:sz w:val="22"/>
          <w:lang w:val="es-ES_tradnl"/>
        </w:rPr>
        <w:t>, mediante auto de 29 de marzo de 2017,</w:t>
      </w:r>
      <w:r w:rsidR="003D0CE1" w:rsidRPr="003E6423">
        <w:rPr>
          <w:rFonts w:ascii="Arial" w:hAnsi="Arial" w:cs="Arial"/>
          <w:sz w:val="22"/>
          <w:lang w:val="es-ES_tradnl"/>
        </w:rPr>
        <w:t xml:space="preserve"> suspendió provisionalmente el acápite VII, considerando que no existe concurrencia entre la modalidad de selección de mínima cuantía y la compra por catálogo derivada de acuerdos marco de precios. En tal sentido, indic</w:t>
      </w:r>
      <w:r w:rsidR="003A73C1" w:rsidRPr="003E6423">
        <w:rPr>
          <w:rFonts w:ascii="Arial" w:hAnsi="Arial" w:cs="Arial"/>
          <w:sz w:val="22"/>
          <w:lang w:val="es-ES_tradnl"/>
        </w:rPr>
        <w:t>ó</w:t>
      </w:r>
      <w:r w:rsidR="003D0CE1" w:rsidRPr="003E6423">
        <w:rPr>
          <w:rFonts w:ascii="Arial" w:hAnsi="Arial" w:cs="Arial"/>
          <w:sz w:val="22"/>
          <w:lang w:val="es-ES_tradnl"/>
        </w:rPr>
        <w:t>: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003D0CE1" w:rsidRPr="003E6423">
        <w:rPr>
          <w:rStyle w:val="Refdenotaalpie"/>
          <w:rFonts w:ascii="Arial" w:hAnsi="Arial" w:cs="Arial"/>
          <w:sz w:val="22"/>
          <w:lang w:val="es-ES_tradnl"/>
        </w:rPr>
        <w:footnoteReference w:id="12"/>
      </w:r>
      <w:r w:rsidR="003D0CE1" w:rsidRPr="003E6423">
        <w:rPr>
          <w:rFonts w:ascii="Arial" w:hAnsi="Arial" w:cs="Arial"/>
          <w:sz w:val="22"/>
          <w:lang w:val="es-ES_tradnl"/>
        </w:rPr>
        <w:t xml:space="preserve">. </w:t>
      </w:r>
    </w:p>
    <w:p w14:paraId="2D479029" w14:textId="2527FF8A" w:rsidR="00895624" w:rsidRPr="003E6423" w:rsidRDefault="004F7F5F" w:rsidP="003D0CE1">
      <w:pPr>
        <w:spacing w:after="120" w:line="276" w:lineRule="auto"/>
        <w:ind w:firstLine="709"/>
        <w:jc w:val="both"/>
        <w:rPr>
          <w:rFonts w:ascii="Arial" w:hAnsi="Arial" w:cs="Arial"/>
          <w:sz w:val="22"/>
          <w:lang w:val="es-ES_tradnl"/>
        </w:rPr>
      </w:pPr>
      <w:r w:rsidRPr="003E6423">
        <w:rPr>
          <w:rFonts w:ascii="Arial" w:hAnsi="Arial" w:cs="Arial"/>
          <w:sz w:val="22"/>
          <w:lang w:val="es-ES_tradnl"/>
        </w:rPr>
        <w:t>Además, e</w:t>
      </w:r>
      <w:r w:rsidR="00895624" w:rsidRPr="003E6423">
        <w:rPr>
          <w:rFonts w:ascii="Arial" w:hAnsi="Arial" w:cs="Arial"/>
          <w:sz w:val="22"/>
          <w:lang w:val="es-ES_tradnl"/>
        </w:rPr>
        <w:t xml:space="preserve">sta postura fue confirmada en </w:t>
      </w:r>
      <w:r w:rsidR="00F47C40" w:rsidRPr="003E6423">
        <w:rPr>
          <w:rFonts w:ascii="Arial" w:hAnsi="Arial" w:cs="Arial"/>
          <w:sz w:val="22"/>
          <w:lang w:val="es-ES_tradnl"/>
        </w:rPr>
        <w:t>s</w:t>
      </w:r>
      <w:r w:rsidR="00895624" w:rsidRPr="003E6423">
        <w:rPr>
          <w:rFonts w:ascii="Arial" w:hAnsi="Arial" w:cs="Arial"/>
          <w:sz w:val="22"/>
          <w:lang w:val="es-ES_tradnl"/>
        </w:rPr>
        <w:t xml:space="preserve">entencia de 23 de abril de 2021, mediante la cual se declaró la nulidad del numeral VII, del </w:t>
      </w:r>
      <w:r w:rsidR="00EE0B62" w:rsidRPr="003E6423">
        <w:rPr>
          <w:rFonts w:ascii="Arial" w:hAnsi="Arial" w:cs="Arial"/>
          <w:sz w:val="22"/>
          <w:lang w:val="es-ES_tradnl"/>
        </w:rPr>
        <w:t xml:space="preserve">«Manual para la Operación Secundaria de los Acuerdos Marcos de Precios». Dentro de las razones en las que sustenta dicha declaratoria de nulidad encontramos la violación de lo dispuesto en el artículo 94 de la Ley 1474 de 2011, particularmente, en las consideraciones </w:t>
      </w:r>
      <w:r w:rsidR="00BF34C8" w:rsidRPr="003E6423">
        <w:rPr>
          <w:rFonts w:ascii="Arial" w:hAnsi="Arial" w:cs="Arial"/>
          <w:sz w:val="22"/>
          <w:lang w:val="es-ES_tradnl"/>
        </w:rPr>
        <w:t>relacionadas con</w:t>
      </w:r>
      <w:r w:rsidR="00EE0B62" w:rsidRPr="003E6423">
        <w:rPr>
          <w:rFonts w:ascii="Arial" w:hAnsi="Arial" w:cs="Arial"/>
          <w:sz w:val="22"/>
          <w:lang w:val="es-ES_tradnl"/>
        </w:rPr>
        <w:t xml:space="preserve"> la supuesta «Concurrencia de selección abreviada por Acuerdo Marco de Precios y mínima cuantía». Al respecto consideró el </w:t>
      </w:r>
      <w:r w:rsidR="00870E6F" w:rsidRPr="003E6423">
        <w:rPr>
          <w:rFonts w:ascii="Arial" w:hAnsi="Arial" w:cs="Arial"/>
          <w:sz w:val="22"/>
          <w:lang w:val="es-ES_tradnl"/>
        </w:rPr>
        <w:t>alto tribunal</w:t>
      </w:r>
      <w:r w:rsidR="00EE0B62" w:rsidRPr="003E6423">
        <w:rPr>
          <w:rFonts w:ascii="Arial" w:hAnsi="Arial" w:cs="Arial"/>
          <w:sz w:val="22"/>
          <w:lang w:val="es-ES_tradnl"/>
        </w:rPr>
        <w:t xml:space="preserve">: </w:t>
      </w:r>
      <w:r w:rsidR="00895624" w:rsidRPr="003E6423">
        <w:rPr>
          <w:rFonts w:ascii="Arial" w:hAnsi="Arial" w:cs="Arial"/>
          <w:sz w:val="22"/>
          <w:lang w:val="es-ES_tradnl"/>
        </w:rPr>
        <w:t xml:space="preserve"> </w:t>
      </w:r>
    </w:p>
    <w:p w14:paraId="28B571C9" w14:textId="77777777" w:rsidR="00EE0B62" w:rsidRPr="003E6423" w:rsidRDefault="00EE0B62" w:rsidP="00661D29">
      <w:pPr>
        <w:pBdr>
          <w:top w:val="nil"/>
          <w:left w:val="nil"/>
          <w:bottom w:val="nil"/>
          <w:right w:val="nil"/>
          <w:between w:val="nil"/>
        </w:pBdr>
        <w:ind w:left="709" w:right="709"/>
        <w:jc w:val="both"/>
        <w:rPr>
          <w:rFonts w:ascii="Arial" w:eastAsia="Arial" w:hAnsi="Arial" w:cs="Arial"/>
          <w:sz w:val="21"/>
          <w:szCs w:val="21"/>
        </w:rPr>
      </w:pPr>
    </w:p>
    <w:p w14:paraId="269A3A00" w14:textId="7106B0B1" w:rsidR="00661D29" w:rsidRPr="003E6423" w:rsidRDefault="003736FD" w:rsidP="00EE0B62">
      <w:pPr>
        <w:pBdr>
          <w:top w:val="nil"/>
          <w:left w:val="nil"/>
          <w:bottom w:val="nil"/>
          <w:right w:val="nil"/>
          <w:between w:val="nil"/>
        </w:pBdr>
        <w:ind w:left="709" w:right="709"/>
        <w:jc w:val="both"/>
        <w:rPr>
          <w:rFonts w:ascii="Arial" w:eastAsia="Arial" w:hAnsi="Arial" w:cs="Arial"/>
          <w:sz w:val="21"/>
          <w:szCs w:val="21"/>
        </w:rPr>
      </w:pPr>
      <w:r w:rsidRPr="003E6423">
        <w:rPr>
          <w:rFonts w:ascii="Arial" w:eastAsia="Arial" w:hAnsi="Arial" w:cs="Arial"/>
          <w:sz w:val="21"/>
          <w:szCs w:val="21"/>
        </w:rPr>
        <w:t xml:space="preserve">84. […] </w:t>
      </w:r>
      <w:r w:rsidR="00661D29" w:rsidRPr="003E6423">
        <w:rPr>
          <w:rFonts w:ascii="Arial" w:eastAsia="Arial" w:hAnsi="Arial" w:cs="Arial"/>
          <w:sz w:val="21"/>
          <w:szCs w:val="21"/>
        </w:rPr>
        <w:t>Como se observa, la mínima cuantía se definió</w:t>
      </w:r>
      <w:r w:rsidR="00661D29" w:rsidRPr="003E6423">
        <w:rPr>
          <w:rFonts w:ascii="Arial" w:eastAsia="Arial" w:hAnsi="Arial" w:cs="Arial"/>
          <w:i/>
          <w:sz w:val="21"/>
          <w:szCs w:val="21"/>
        </w:rPr>
        <w:t xml:space="preserve"> </w:t>
      </w:r>
      <w:r w:rsidR="00661D29" w:rsidRPr="003E6423">
        <w:rPr>
          <w:rFonts w:ascii="Arial" w:eastAsia="Arial" w:hAnsi="Arial" w:cs="Arial"/>
          <w:sz w:val="21"/>
          <w:szCs w:val="21"/>
        </w:rPr>
        <w:t xml:space="preserve">como aquella </w:t>
      </w:r>
      <w:r w:rsidR="00661D29" w:rsidRPr="003E6423">
        <w:rPr>
          <w:rFonts w:ascii="Arial" w:eastAsia="Arial" w:hAnsi="Arial" w:cs="Arial"/>
          <w:i/>
          <w:sz w:val="21"/>
          <w:szCs w:val="21"/>
        </w:rPr>
        <w:t>“contratación</w:t>
      </w:r>
      <w:r w:rsidR="00661D29" w:rsidRPr="003E6423">
        <w:rPr>
          <w:rFonts w:ascii="Arial" w:eastAsia="Arial" w:hAnsi="Arial" w:cs="Arial"/>
          <w:sz w:val="21"/>
          <w:szCs w:val="21"/>
        </w:rPr>
        <w:t xml:space="preserve"> </w:t>
      </w:r>
      <w:r w:rsidR="00661D29" w:rsidRPr="003E6423">
        <w:rPr>
          <w:rFonts w:ascii="Arial" w:eastAsia="Arial" w:hAnsi="Arial" w:cs="Arial"/>
          <w:i/>
          <w:sz w:val="21"/>
          <w:szCs w:val="21"/>
        </w:rPr>
        <w:t>cuyo valor no excede del 10 por ciento de la menor cuantía de la entidad “</w:t>
      </w:r>
      <w:r w:rsidR="00661D29" w:rsidRPr="003E6423">
        <w:rPr>
          <w:rFonts w:ascii="Arial" w:eastAsia="Arial" w:hAnsi="Arial" w:cs="Arial"/>
          <w:i/>
          <w:sz w:val="21"/>
          <w:szCs w:val="21"/>
          <w:u w:val="single"/>
        </w:rPr>
        <w:t>independientemente de su objeto</w:t>
      </w:r>
      <w:r w:rsidR="00661D29" w:rsidRPr="003E6423">
        <w:rPr>
          <w:rFonts w:ascii="Arial" w:eastAsia="Arial" w:hAnsi="Arial" w:cs="Arial"/>
          <w:i/>
          <w:sz w:val="21"/>
          <w:szCs w:val="21"/>
        </w:rPr>
        <w:t>”;</w:t>
      </w:r>
      <w:r w:rsidR="00661D29" w:rsidRPr="003E6423">
        <w:rPr>
          <w:rFonts w:ascii="Arial" w:eastAsia="Arial" w:hAnsi="Arial" w:cs="Arial"/>
          <w:sz w:val="21"/>
          <w:szCs w:val="21"/>
        </w:rPr>
        <w:t xml:space="preserve"> en este sentido, la expresión subrayada que acompaña la construcción de la norma, vino a afirmar la decisión del legislador de excluir cualquier consideración relacionada con el objeto a contratar, en orden a robustecer el elemento central de esta modalidad de selección reservado exclusivamente a la cuantía en su fracción mínima. Dicho de otra manera, el precepto legal dispone que independientemente del objeto a contratar, siempre que su valor no exceda el 10 por ciento de la menor cuantía de la entidad, la escogencia del contratista se hará por la modalidad de la mínima cuantía prevista en el artículo 94 de la Ley 1474 de 2011. </w:t>
      </w:r>
    </w:p>
    <w:p w14:paraId="470618F5" w14:textId="77777777" w:rsidR="00661D29" w:rsidRPr="003E6423" w:rsidRDefault="00661D29" w:rsidP="00EE0B62">
      <w:pPr>
        <w:ind w:left="709" w:right="709"/>
        <w:jc w:val="both"/>
        <w:rPr>
          <w:rFonts w:ascii="Arial" w:eastAsia="Arial" w:hAnsi="Arial" w:cs="Arial"/>
          <w:b/>
          <w:sz w:val="21"/>
          <w:szCs w:val="21"/>
        </w:rPr>
      </w:pPr>
    </w:p>
    <w:p w14:paraId="55C7BAA2" w14:textId="79F79FAB" w:rsidR="00661D29" w:rsidRPr="003E6423" w:rsidRDefault="00661D29" w:rsidP="00EE0B62">
      <w:pPr>
        <w:pBdr>
          <w:top w:val="nil"/>
          <w:left w:val="nil"/>
          <w:bottom w:val="nil"/>
          <w:right w:val="nil"/>
          <w:between w:val="nil"/>
        </w:pBdr>
        <w:ind w:left="709" w:right="709"/>
        <w:jc w:val="both"/>
        <w:rPr>
          <w:rFonts w:ascii="Arial" w:eastAsia="Arial" w:hAnsi="Arial" w:cs="Arial"/>
          <w:sz w:val="21"/>
          <w:szCs w:val="21"/>
        </w:rPr>
      </w:pPr>
      <w:r w:rsidRPr="003E6423">
        <w:rPr>
          <w:rFonts w:ascii="Arial" w:eastAsia="Arial" w:hAnsi="Arial" w:cs="Arial"/>
          <w:sz w:val="21"/>
          <w:szCs w:val="21"/>
        </w:rPr>
        <w:t>[…]</w:t>
      </w:r>
    </w:p>
    <w:p w14:paraId="2BB56F2A" w14:textId="77777777" w:rsidR="00F47C40" w:rsidRPr="003E6423" w:rsidRDefault="00F47C40" w:rsidP="00EE0B62">
      <w:pPr>
        <w:pBdr>
          <w:top w:val="nil"/>
          <w:left w:val="nil"/>
          <w:bottom w:val="nil"/>
          <w:right w:val="nil"/>
          <w:between w:val="nil"/>
        </w:pBdr>
        <w:ind w:left="709" w:right="709"/>
        <w:jc w:val="both"/>
        <w:rPr>
          <w:rFonts w:ascii="Arial" w:eastAsia="Arial" w:hAnsi="Arial" w:cs="Arial"/>
          <w:sz w:val="21"/>
          <w:szCs w:val="21"/>
        </w:rPr>
      </w:pPr>
    </w:p>
    <w:p w14:paraId="6A4FBAB5" w14:textId="7AB2B392" w:rsidR="00661D29" w:rsidRPr="003E6423" w:rsidRDefault="003736FD" w:rsidP="00EE0B62">
      <w:pPr>
        <w:pBdr>
          <w:top w:val="nil"/>
          <w:left w:val="nil"/>
          <w:bottom w:val="nil"/>
          <w:right w:val="nil"/>
          <w:between w:val="nil"/>
        </w:pBdr>
        <w:suppressAutoHyphens/>
        <w:ind w:left="709" w:right="709"/>
        <w:jc w:val="both"/>
        <w:textDirection w:val="btLr"/>
        <w:textAlignment w:val="top"/>
        <w:outlineLvl w:val="0"/>
        <w:rPr>
          <w:rFonts w:ascii="Arial" w:eastAsia="Arial" w:hAnsi="Arial" w:cs="Arial"/>
          <w:sz w:val="21"/>
          <w:szCs w:val="21"/>
        </w:rPr>
      </w:pPr>
      <w:r w:rsidRPr="003E6423">
        <w:rPr>
          <w:rFonts w:ascii="Arial" w:eastAsia="Arial" w:hAnsi="Arial" w:cs="Arial"/>
          <w:sz w:val="21"/>
          <w:szCs w:val="21"/>
        </w:rPr>
        <w:t xml:space="preserve">89. </w:t>
      </w:r>
      <w:r w:rsidR="00661D29" w:rsidRPr="003E6423">
        <w:rPr>
          <w:rFonts w:ascii="Arial" w:eastAsia="Arial" w:hAnsi="Arial" w:cs="Arial"/>
          <w:sz w:val="21"/>
          <w:szCs w:val="21"/>
        </w:rPr>
        <w:t xml:space="preserve">En el presente caso, tal como esta Sala tuvo oportunidad de analizar al decretar la suspensión provisional del numeral VII del referido manual, el procedimiento de selección abreviada para la adquisición de bienes y servicios bajo AMP está centrado en el objeto mismo de la contratación, dado que éste sólo tiene lugar de cara a bienes o servicios de características técnicas uniformes y común utilización que reúnan las condiciones previstas en el artículo 2 - numeral 2 - literal a) de la Ley 1150 de 2007; de suerte que frente al mismo es plenamente aplicable la modalidad de mínima cuantía, en tanto el legislador </w:t>
      </w:r>
      <w:r w:rsidR="00661D29" w:rsidRPr="003E6423">
        <w:rPr>
          <w:rFonts w:ascii="Arial" w:eastAsia="Arial" w:hAnsi="Arial" w:cs="Arial"/>
          <w:sz w:val="21"/>
          <w:szCs w:val="21"/>
        </w:rPr>
        <w:lastRenderedPageBreak/>
        <w:t>dispuso expresamente que esta última aplica independientemente del objeto a contratar.</w:t>
      </w:r>
    </w:p>
    <w:p w14:paraId="0FBA9423" w14:textId="77777777" w:rsidR="00661D29" w:rsidRPr="003E6423" w:rsidRDefault="00661D29" w:rsidP="00EE0B62">
      <w:pPr>
        <w:pBdr>
          <w:top w:val="nil"/>
          <w:left w:val="nil"/>
          <w:bottom w:val="nil"/>
          <w:right w:val="nil"/>
          <w:between w:val="nil"/>
        </w:pBdr>
        <w:ind w:left="709" w:right="709"/>
        <w:rPr>
          <w:rFonts w:ascii="Arial" w:eastAsia="Arial" w:hAnsi="Arial" w:cs="Arial"/>
          <w:sz w:val="21"/>
          <w:szCs w:val="21"/>
        </w:rPr>
      </w:pPr>
    </w:p>
    <w:p w14:paraId="0CC27B25" w14:textId="77777777" w:rsidR="003736FD" w:rsidRPr="003E6423" w:rsidRDefault="003736FD" w:rsidP="00EE0B62">
      <w:pPr>
        <w:pBdr>
          <w:top w:val="nil"/>
          <w:left w:val="nil"/>
          <w:bottom w:val="nil"/>
          <w:right w:val="nil"/>
          <w:between w:val="nil"/>
        </w:pBdr>
        <w:suppressAutoHyphens/>
        <w:ind w:left="709" w:right="709"/>
        <w:jc w:val="both"/>
        <w:textDirection w:val="btLr"/>
        <w:textAlignment w:val="top"/>
        <w:outlineLvl w:val="0"/>
        <w:rPr>
          <w:rFonts w:ascii="Arial" w:eastAsia="Arial" w:hAnsi="Arial" w:cs="Arial"/>
          <w:sz w:val="21"/>
          <w:szCs w:val="21"/>
        </w:rPr>
      </w:pPr>
      <w:r w:rsidRPr="003E6423">
        <w:rPr>
          <w:rFonts w:ascii="Arial" w:eastAsia="Arial" w:hAnsi="Arial" w:cs="Arial"/>
          <w:sz w:val="21"/>
          <w:szCs w:val="21"/>
        </w:rPr>
        <w:t xml:space="preserve">90. </w:t>
      </w:r>
      <w:r w:rsidR="00661D29" w:rsidRPr="003E6423">
        <w:rPr>
          <w:rFonts w:ascii="Arial" w:eastAsia="Arial" w:hAnsi="Arial" w:cs="Arial"/>
          <w:sz w:val="21"/>
          <w:szCs w:val="21"/>
        </w:rPr>
        <w:t>Lo anterior se confirma, a su vez, al revisar las demás normas contenidas en la reglamentación efectuada a este proceso de contratación en el citado Decreto 2516 de 2011, el cual está dirigido a cualquier tipo de bien, obra o servicio que se encuentre bajo el rango de la mínima cuantía, postulado que se proyecta en los elementos que conforman los estudios previos en orden a definir el objeto a contratar y sus  condiciones técnicas, en conjunto con las bases que debe contener la invitación pública en este tipo de procedimiento.</w:t>
      </w:r>
    </w:p>
    <w:p w14:paraId="03D1C927" w14:textId="753BA8AA" w:rsidR="00661D29" w:rsidRPr="003E6423" w:rsidRDefault="00661D29" w:rsidP="00EE0B62">
      <w:pPr>
        <w:pBdr>
          <w:top w:val="nil"/>
          <w:left w:val="nil"/>
          <w:bottom w:val="nil"/>
          <w:right w:val="nil"/>
          <w:between w:val="nil"/>
        </w:pBdr>
        <w:suppressAutoHyphens/>
        <w:ind w:left="709" w:right="709"/>
        <w:jc w:val="both"/>
        <w:textDirection w:val="btLr"/>
        <w:textAlignment w:val="top"/>
        <w:outlineLvl w:val="0"/>
        <w:rPr>
          <w:rFonts w:ascii="Arial" w:eastAsia="Arial" w:hAnsi="Arial" w:cs="Arial"/>
          <w:sz w:val="21"/>
          <w:szCs w:val="21"/>
        </w:rPr>
      </w:pPr>
      <w:r w:rsidRPr="003E6423">
        <w:rPr>
          <w:rFonts w:ascii="Arial" w:eastAsia="Arial" w:hAnsi="Arial" w:cs="Arial"/>
          <w:sz w:val="21"/>
          <w:szCs w:val="21"/>
        </w:rPr>
        <w:t xml:space="preserve">  </w:t>
      </w:r>
    </w:p>
    <w:p w14:paraId="786A55DB" w14:textId="5461FF6E" w:rsidR="00661D29" w:rsidRPr="003E6423" w:rsidRDefault="003736FD" w:rsidP="00EE0B62">
      <w:pPr>
        <w:pBdr>
          <w:top w:val="nil"/>
          <w:left w:val="nil"/>
          <w:bottom w:val="nil"/>
          <w:right w:val="nil"/>
          <w:between w:val="nil"/>
        </w:pBdr>
        <w:suppressAutoHyphens/>
        <w:ind w:left="709" w:right="709"/>
        <w:jc w:val="both"/>
        <w:textDirection w:val="btLr"/>
        <w:textAlignment w:val="top"/>
        <w:outlineLvl w:val="0"/>
        <w:rPr>
          <w:rFonts w:ascii="Arial" w:eastAsia="Arial" w:hAnsi="Arial" w:cs="Arial"/>
          <w:sz w:val="21"/>
          <w:szCs w:val="21"/>
        </w:rPr>
      </w:pPr>
      <w:r w:rsidRPr="003E6423">
        <w:rPr>
          <w:rFonts w:ascii="Arial" w:eastAsia="Arial" w:hAnsi="Arial" w:cs="Arial"/>
          <w:sz w:val="21"/>
          <w:szCs w:val="21"/>
        </w:rPr>
        <w:t xml:space="preserve">91. </w:t>
      </w:r>
      <w:r w:rsidR="00661D29" w:rsidRPr="003E6423">
        <w:rPr>
          <w:rFonts w:ascii="Arial" w:eastAsia="Arial" w:hAnsi="Arial" w:cs="Arial"/>
          <w:sz w:val="21"/>
          <w:szCs w:val="21"/>
        </w:rPr>
        <w:t>Analizado el contexto normativo precedente, la Sala evidencia que si bien ambas normas contienen rasgos distintivos que permiten considerarlas como normas especiales -en tanto la selección abreviada por AMP se dirige a bienes de características técnicas uniformes, y la mínima cuantía se especializa en el valor tope de la contratación- la segunda de ellas ostenta un mayor grado de especialidad, puesto que excluye del ámbito de aplicación de la primera los eventos en los que la contratación es de mínima cuantía</w:t>
      </w:r>
      <w:r w:rsidR="00661D29" w:rsidRPr="003E6423">
        <w:rPr>
          <w:rFonts w:ascii="Arial" w:eastAsia="Arial" w:hAnsi="Arial" w:cs="Arial"/>
          <w:i/>
          <w:sz w:val="21"/>
          <w:szCs w:val="21"/>
        </w:rPr>
        <w:t>.</w:t>
      </w:r>
      <w:r w:rsidR="00F47C40" w:rsidRPr="003E6423">
        <w:rPr>
          <w:rFonts w:ascii="Arial" w:eastAsia="Arial" w:hAnsi="Arial" w:cs="Arial"/>
          <w:i/>
          <w:sz w:val="21"/>
          <w:szCs w:val="21"/>
        </w:rPr>
        <w:t xml:space="preserve"> </w:t>
      </w:r>
      <w:r w:rsidR="00661D29" w:rsidRPr="003E6423">
        <w:rPr>
          <w:rFonts w:ascii="Arial" w:eastAsia="Arial" w:hAnsi="Arial" w:cs="Arial"/>
          <w:sz w:val="21"/>
          <w:szCs w:val="21"/>
        </w:rPr>
        <w:t>Asimismo, en criterio de la Sala, “también es palmaria la prevalencia del artículo 94 de la Ley 1474 de 2011 al tratarse de una norma legal posterior a la contenida en el artículo 2 - numeral 2 - literal a) de la Ley 1150 de 2007 y estar provista de un alcance modificatorio que expresamente le atribuyó el legislador, lo cual indica que el fin perseguido por este al expedir la norma más reciente, era someter las reglas antiguas a los nuevos parámetros fijados en esa ley posterior”</w:t>
      </w:r>
      <w:r w:rsidR="00F47C40" w:rsidRPr="003E6423">
        <w:rPr>
          <w:rStyle w:val="Refdenotaalpie"/>
          <w:rFonts w:ascii="Arial" w:eastAsia="Arial" w:hAnsi="Arial" w:cs="Arial"/>
          <w:sz w:val="21"/>
          <w:szCs w:val="21"/>
        </w:rPr>
        <w:footnoteReference w:id="13"/>
      </w:r>
      <w:r w:rsidR="00661D29" w:rsidRPr="003E6423">
        <w:rPr>
          <w:rFonts w:ascii="Arial" w:eastAsia="Arial" w:hAnsi="Arial" w:cs="Arial"/>
          <w:sz w:val="21"/>
          <w:szCs w:val="21"/>
        </w:rPr>
        <w:t>.</w:t>
      </w:r>
    </w:p>
    <w:p w14:paraId="10B6C60D" w14:textId="77777777" w:rsidR="00EE0B62" w:rsidRPr="003E6423" w:rsidRDefault="00EE0B62" w:rsidP="00EE0B62">
      <w:pPr>
        <w:spacing w:line="276" w:lineRule="auto"/>
        <w:ind w:firstLine="709"/>
        <w:jc w:val="both"/>
        <w:rPr>
          <w:rFonts w:ascii="Arial" w:hAnsi="Arial" w:cs="Arial"/>
          <w:sz w:val="22"/>
          <w:lang w:val="es-ES_tradnl"/>
        </w:rPr>
      </w:pPr>
    </w:p>
    <w:p w14:paraId="304F0E64" w14:textId="27EE5251" w:rsidR="003D0CE1" w:rsidRPr="003E6423" w:rsidRDefault="003D0CE1" w:rsidP="00EE0B62">
      <w:pPr>
        <w:spacing w:line="276" w:lineRule="auto"/>
        <w:ind w:firstLine="709"/>
        <w:jc w:val="both"/>
        <w:rPr>
          <w:rFonts w:ascii="Arial" w:hAnsi="Arial" w:cs="Arial"/>
          <w:sz w:val="22"/>
          <w:lang w:val="es-ES_tradnl"/>
        </w:rPr>
      </w:pPr>
      <w:r w:rsidRPr="003E6423">
        <w:rPr>
          <w:rFonts w:ascii="Arial" w:hAnsi="Arial" w:cs="Arial"/>
          <w:sz w:val="22"/>
          <w:lang w:val="es-ES_tradnl"/>
        </w:rPr>
        <w:t>Por tanto, en cumplimiento de esta</w:t>
      </w:r>
      <w:r w:rsidR="00EE0B62" w:rsidRPr="003E6423">
        <w:rPr>
          <w:rFonts w:ascii="Arial" w:hAnsi="Arial" w:cs="Arial"/>
          <w:sz w:val="22"/>
          <w:lang w:val="es-ES_tradnl"/>
        </w:rPr>
        <w:t>s</w:t>
      </w:r>
      <w:r w:rsidRPr="003E6423">
        <w:rPr>
          <w:rFonts w:ascii="Arial" w:hAnsi="Arial" w:cs="Arial"/>
          <w:sz w:val="22"/>
          <w:lang w:val="es-ES_tradnl"/>
        </w:rPr>
        <w:t xml:space="preserve"> providencia</w:t>
      </w:r>
      <w:r w:rsidR="00EE0B62" w:rsidRPr="003E6423">
        <w:rPr>
          <w:rFonts w:ascii="Arial" w:hAnsi="Arial" w:cs="Arial"/>
          <w:sz w:val="22"/>
          <w:lang w:val="es-ES_tradnl"/>
        </w:rPr>
        <w:t>s</w:t>
      </w:r>
      <w:r w:rsidRPr="003E6423">
        <w:rPr>
          <w:rFonts w:ascii="Arial" w:hAnsi="Arial" w:cs="Arial"/>
          <w:sz w:val="22"/>
          <w:lang w:val="es-ES_tradnl"/>
        </w:rPr>
        <w:t>, se</w:t>
      </w:r>
      <w:r w:rsidR="00EE0B62" w:rsidRPr="003E6423">
        <w:rPr>
          <w:rFonts w:ascii="Arial" w:hAnsi="Arial" w:cs="Arial"/>
          <w:sz w:val="22"/>
          <w:lang w:val="es-ES_tradnl"/>
        </w:rPr>
        <w:t xml:space="preserve"> ha</w:t>
      </w:r>
      <w:r w:rsidRPr="003E6423">
        <w:rPr>
          <w:rFonts w:ascii="Arial" w:hAnsi="Arial" w:cs="Arial"/>
          <w:sz w:val="22"/>
          <w:lang w:val="es-ES_tradnl"/>
        </w:rPr>
        <w:t xml:space="preserve"> interpret</w:t>
      </w:r>
      <w:r w:rsidR="00EE0B62" w:rsidRPr="003E6423">
        <w:rPr>
          <w:rFonts w:ascii="Arial" w:hAnsi="Arial" w:cs="Arial"/>
          <w:sz w:val="22"/>
          <w:lang w:val="es-ES_tradnl"/>
        </w:rPr>
        <w:t>ado</w:t>
      </w:r>
      <w:r w:rsidRPr="003E6423">
        <w:rPr>
          <w:rFonts w:ascii="Arial" w:hAnsi="Arial" w:cs="Arial"/>
          <w:sz w:val="22"/>
          <w:lang w:val="es-ES_tradnl"/>
        </w:rPr>
        <w:t xml:space="preserve"> que cuando el presupuesto del proceso de contratación de bienes y servicios de características técnicas uniformes no exced</w:t>
      </w:r>
      <w:r w:rsidR="00EE0B62" w:rsidRPr="003E6423">
        <w:rPr>
          <w:rFonts w:ascii="Arial" w:hAnsi="Arial" w:cs="Arial"/>
          <w:sz w:val="22"/>
          <w:lang w:val="es-ES_tradnl"/>
        </w:rPr>
        <w:t>e</w:t>
      </w:r>
      <w:r w:rsidRPr="003E6423">
        <w:rPr>
          <w:rFonts w:ascii="Arial" w:hAnsi="Arial" w:cs="Arial"/>
          <w:sz w:val="22"/>
          <w:lang w:val="es-ES_tradnl"/>
        </w:rPr>
        <w:t xml:space="preserve"> la mínima cuantía de la entidad, de</w:t>
      </w:r>
      <w:r w:rsidR="00EE0B62" w:rsidRPr="003E6423">
        <w:rPr>
          <w:rFonts w:ascii="Arial" w:hAnsi="Arial" w:cs="Arial"/>
          <w:sz w:val="22"/>
          <w:lang w:val="es-ES_tradnl"/>
        </w:rPr>
        <w:t>be</w:t>
      </w:r>
      <w:r w:rsidRPr="003E6423">
        <w:rPr>
          <w:rFonts w:ascii="Arial" w:hAnsi="Arial" w:cs="Arial"/>
          <w:sz w:val="22"/>
          <w:lang w:val="es-ES_tradnl"/>
        </w:rPr>
        <w:t xml:space="preserve"> acudirse al procedimiento de selección de mínima cuantía, sin importar que el bien o servicio se enc</w:t>
      </w:r>
      <w:r w:rsidR="00EE0B62" w:rsidRPr="003E6423">
        <w:rPr>
          <w:rFonts w:ascii="Arial" w:hAnsi="Arial" w:cs="Arial"/>
          <w:sz w:val="22"/>
          <w:lang w:val="es-ES_tradnl"/>
        </w:rPr>
        <w:t>uentre</w:t>
      </w:r>
      <w:r w:rsidRPr="003E6423">
        <w:rPr>
          <w:rFonts w:ascii="Arial" w:hAnsi="Arial" w:cs="Arial"/>
          <w:sz w:val="22"/>
          <w:lang w:val="es-ES_tradnl"/>
        </w:rPr>
        <w:t xml:space="preserve"> en algún instrumento de agregación de demanda. No obstante, </w:t>
      </w:r>
      <w:r w:rsidR="002F7012" w:rsidRPr="003E6423">
        <w:rPr>
          <w:rFonts w:ascii="Arial" w:hAnsi="Arial" w:cs="Arial"/>
          <w:sz w:val="22"/>
          <w:lang w:val="es-ES_tradnl"/>
        </w:rPr>
        <w:t xml:space="preserve">el artículo 42 de </w:t>
      </w:r>
      <w:r w:rsidRPr="003E6423">
        <w:rPr>
          <w:rFonts w:ascii="Arial" w:hAnsi="Arial" w:cs="Arial"/>
          <w:sz w:val="22"/>
          <w:lang w:val="es-ES_tradnl"/>
        </w:rPr>
        <w:t>la Ley 1955 de 2019 establec</w:t>
      </w:r>
      <w:r w:rsidR="008A5542" w:rsidRPr="003E6423">
        <w:rPr>
          <w:rFonts w:ascii="Arial" w:hAnsi="Arial" w:cs="Arial"/>
          <w:sz w:val="22"/>
          <w:lang w:val="es-ES_tradnl"/>
        </w:rPr>
        <w:t>ió</w:t>
      </w:r>
      <w:r w:rsidRPr="003E6423">
        <w:rPr>
          <w:rFonts w:ascii="Arial" w:hAnsi="Arial" w:cs="Arial"/>
          <w:sz w:val="22"/>
          <w:lang w:val="es-ES_tradnl"/>
        </w:rPr>
        <w:t xml:space="preserve"> </w:t>
      </w:r>
      <w:r w:rsidR="005531BB" w:rsidRPr="003E6423">
        <w:rPr>
          <w:rFonts w:ascii="Arial" w:hAnsi="Arial" w:cs="Arial"/>
          <w:sz w:val="22"/>
          <w:lang w:val="es-ES_tradnl"/>
        </w:rPr>
        <w:t xml:space="preserve">en su momento </w:t>
      </w:r>
      <w:r w:rsidRPr="003E6423">
        <w:rPr>
          <w:rFonts w:ascii="Arial" w:hAnsi="Arial" w:cs="Arial"/>
          <w:sz w:val="22"/>
          <w:lang w:val="es-ES_tradnl"/>
        </w:rPr>
        <w:t xml:space="preserve">una nueva regla para estos casos, al </w:t>
      </w:r>
      <w:r w:rsidR="002F7012" w:rsidRPr="003E6423">
        <w:rPr>
          <w:rFonts w:ascii="Arial" w:hAnsi="Arial" w:cs="Arial"/>
          <w:sz w:val="22"/>
          <w:lang w:val="es-ES_tradnl"/>
        </w:rPr>
        <w:t>disponer lo siguiente</w:t>
      </w:r>
      <w:r w:rsidRPr="003E6423">
        <w:rPr>
          <w:rFonts w:ascii="Arial" w:hAnsi="Arial" w:cs="Arial"/>
          <w:sz w:val="22"/>
          <w:lang w:val="es-ES_tradnl"/>
        </w:rPr>
        <w:t xml:space="preserve">: </w:t>
      </w:r>
    </w:p>
    <w:p w14:paraId="63E7DE87" w14:textId="77777777" w:rsidR="003D0CE1" w:rsidRPr="003E6423" w:rsidRDefault="003D0CE1" w:rsidP="003D0CE1">
      <w:pPr>
        <w:spacing w:line="276" w:lineRule="auto"/>
        <w:jc w:val="both"/>
        <w:rPr>
          <w:rFonts w:ascii="Arial" w:hAnsi="Arial" w:cs="Arial"/>
          <w:sz w:val="22"/>
          <w:lang w:val="es-ES_tradnl"/>
        </w:rPr>
      </w:pPr>
    </w:p>
    <w:p w14:paraId="5150D6D4" w14:textId="77777777" w:rsidR="003D0CE1" w:rsidRPr="003E6423" w:rsidRDefault="003D0CE1" w:rsidP="003D0CE1">
      <w:pPr>
        <w:spacing w:after="120"/>
        <w:ind w:left="709" w:right="709"/>
        <w:jc w:val="both"/>
        <w:rPr>
          <w:rFonts w:ascii="Arial" w:hAnsi="Arial" w:cs="Arial"/>
          <w:sz w:val="21"/>
          <w:szCs w:val="21"/>
          <w:lang w:val="es-ES_tradnl"/>
        </w:rPr>
      </w:pPr>
      <w:r w:rsidRPr="003E6423">
        <w:rPr>
          <w:rFonts w:ascii="Arial" w:hAnsi="Arial" w:cs="Arial"/>
          <w:sz w:val="21"/>
          <w:szCs w:val="21"/>
          <w:lang w:val="es-ES_tradnl"/>
        </w:rPr>
        <w:t xml:space="preserve">Adiciónese el parágrafo 3 al artículo 94 de la Ley 1474 de 2011, así: </w:t>
      </w:r>
    </w:p>
    <w:p w14:paraId="254E7189" w14:textId="77777777" w:rsidR="003D0CE1" w:rsidRPr="003E6423" w:rsidRDefault="003D0CE1" w:rsidP="003D0CE1">
      <w:pPr>
        <w:spacing w:after="120"/>
        <w:ind w:left="709" w:right="709"/>
        <w:jc w:val="both"/>
        <w:rPr>
          <w:rFonts w:ascii="Arial" w:hAnsi="Arial" w:cs="Arial"/>
          <w:sz w:val="21"/>
          <w:szCs w:val="21"/>
          <w:lang w:val="es-ES_tradnl"/>
        </w:rPr>
      </w:pPr>
      <w:r w:rsidRPr="003E6423">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4D666B89" w14:textId="77777777" w:rsidR="003D0CE1" w:rsidRPr="003E6423" w:rsidRDefault="003D0CE1" w:rsidP="003D0CE1">
      <w:pPr>
        <w:ind w:left="709" w:right="709"/>
        <w:jc w:val="both"/>
        <w:rPr>
          <w:rFonts w:ascii="Arial" w:hAnsi="Arial" w:cs="Arial"/>
          <w:sz w:val="21"/>
          <w:szCs w:val="21"/>
          <w:lang w:val="es-ES_tradnl"/>
        </w:rPr>
      </w:pPr>
      <w:r w:rsidRPr="003E6423">
        <w:rPr>
          <w:rFonts w:ascii="Arial" w:hAnsi="Arial" w:cs="Arial"/>
          <w:sz w:val="21"/>
          <w:szCs w:val="21"/>
          <w:lang w:val="es-ES_tradnl"/>
        </w:rPr>
        <w:t xml:space="preserve">Las entidades que no se encuentren obligadas a hacer uso del acuerdo marco de precios igualmente podrán utilizar esta figura antes que la selección por mínima cuantía. </w:t>
      </w:r>
    </w:p>
    <w:p w14:paraId="6D384DA5" w14:textId="77777777" w:rsidR="003D0CE1" w:rsidRPr="003E6423" w:rsidRDefault="003D0CE1" w:rsidP="003D0CE1">
      <w:pPr>
        <w:spacing w:line="276" w:lineRule="auto"/>
        <w:jc w:val="both"/>
        <w:rPr>
          <w:rFonts w:ascii="Arial" w:hAnsi="Arial" w:cs="Arial"/>
          <w:sz w:val="22"/>
          <w:lang w:val="es-ES_tradnl"/>
        </w:rPr>
      </w:pPr>
    </w:p>
    <w:p w14:paraId="3932E1EE" w14:textId="04B5E1E6" w:rsidR="003D0CE1" w:rsidRPr="003E6423" w:rsidRDefault="003D0CE1" w:rsidP="006C58FA">
      <w:pPr>
        <w:spacing w:after="120" w:line="276" w:lineRule="auto"/>
        <w:ind w:firstLine="708"/>
        <w:jc w:val="both"/>
        <w:rPr>
          <w:rFonts w:ascii="Arial" w:hAnsi="Arial" w:cs="Arial"/>
          <w:sz w:val="22"/>
          <w:lang w:val="es-ES_tradnl"/>
        </w:rPr>
      </w:pPr>
      <w:r w:rsidRPr="003E6423">
        <w:rPr>
          <w:rFonts w:ascii="Arial" w:hAnsi="Arial" w:cs="Arial"/>
          <w:sz w:val="22"/>
          <w:lang w:val="es-ES_tradnl"/>
        </w:rPr>
        <w:lastRenderedPageBreak/>
        <w:t>Esta norma afect</w:t>
      </w:r>
      <w:r w:rsidR="00717AB6" w:rsidRPr="003E6423">
        <w:rPr>
          <w:rFonts w:ascii="Arial" w:hAnsi="Arial" w:cs="Arial"/>
          <w:sz w:val="22"/>
          <w:lang w:val="es-ES_tradnl"/>
        </w:rPr>
        <w:t>ó</w:t>
      </w:r>
      <w:r w:rsidRPr="003E6423">
        <w:rPr>
          <w:rFonts w:ascii="Arial" w:hAnsi="Arial" w:cs="Arial"/>
          <w:sz w:val="22"/>
          <w:lang w:val="es-ES_tradnl"/>
        </w:rPr>
        <w:t xml:space="preserve"> la</w:t>
      </w:r>
      <w:r w:rsidR="005B5364">
        <w:rPr>
          <w:rFonts w:ascii="Arial" w:hAnsi="Arial" w:cs="Arial"/>
          <w:sz w:val="22"/>
          <w:lang w:val="es-ES_tradnl"/>
        </w:rPr>
        <w:t xml:space="preserve"> aplicación de la</w:t>
      </w:r>
      <w:r w:rsidRPr="003E6423">
        <w:rPr>
          <w:rFonts w:ascii="Arial" w:hAnsi="Arial" w:cs="Arial"/>
          <w:sz w:val="22"/>
          <w:lang w:val="es-ES_tradnl"/>
        </w:rPr>
        <w:t xml:space="preserve"> decisión del Consejo de Estado, pues establec</w:t>
      </w:r>
      <w:r w:rsidR="00717AB6" w:rsidRPr="003E6423">
        <w:rPr>
          <w:rFonts w:ascii="Arial" w:hAnsi="Arial" w:cs="Arial"/>
          <w:sz w:val="22"/>
          <w:lang w:val="es-ES_tradnl"/>
        </w:rPr>
        <w:t>ió</w:t>
      </w:r>
      <w:r w:rsidRPr="003E6423">
        <w:rPr>
          <w:rFonts w:ascii="Arial" w:hAnsi="Arial" w:cs="Arial"/>
          <w:sz w:val="22"/>
          <w:lang w:val="es-ES_tradnl"/>
        </w:rPr>
        <w:t xml:space="preserve"> una nueva regla para los casos de concurrencia entre acuerdos marco de precios y mínima cuantía.</w:t>
      </w:r>
      <w:r w:rsidR="009C5B6B" w:rsidRPr="003E6423">
        <w:rPr>
          <w:rFonts w:ascii="Arial" w:hAnsi="Arial" w:cs="Arial"/>
          <w:sz w:val="22"/>
          <w:lang w:val="es-ES_tradnl"/>
        </w:rPr>
        <w:t xml:space="preserve"> </w:t>
      </w:r>
      <w:r w:rsidRPr="003E6423">
        <w:rPr>
          <w:rFonts w:ascii="Arial" w:hAnsi="Arial" w:cs="Arial"/>
          <w:sz w:val="22"/>
          <w:lang w:val="es-ES_tradnl"/>
        </w:rPr>
        <w:t xml:space="preserve">De esta forma, el artículo 42 de la Ley 1955 de 2019 </w:t>
      </w:r>
      <w:r w:rsidR="00351333" w:rsidRPr="003E6423">
        <w:rPr>
          <w:rFonts w:ascii="Arial" w:hAnsi="Arial" w:cs="Arial"/>
          <w:sz w:val="22"/>
          <w:lang w:val="es-ES_tradnl"/>
        </w:rPr>
        <w:t>dispuso</w:t>
      </w:r>
      <w:r w:rsidRPr="003E6423">
        <w:rPr>
          <w:rFonts w:ascii="Arial" w:hAnsi="Arial" w:cs="Arial"/>
          <w:sz w:val="22"/>
          <w:lang w:val="es-ES_tradnl"/>
        </w:rPr>
        <w:t xml:space="preserve"> que las entidades estatales deb</w:t>
      </w:r>
      <w:r w:rsidR="00690B6E" w:rsidRPr="003E6423">
        <w:rPr>
          <w:rFonts w:ascii="Arial" w:hAnsi="Arial" w:cs="Arial"/>
          <w:sz w:val="22"/>
          <w:lang w:val="es-ES_tradnl"/>
        </w:rPr>
        <w:t>ía</w:t>
      </w:r>
      <w:r w:rsidRPr="003E6423">
        <w:rPr>
          <w:rFonts w:ascii="Arial" w:hAnsi="Arial" w:cs="Arial"/>
          <w:sz w:val="22"/>
          <w:lang w:val="es-ES_tradnl"/>
        </w:rPr>
        <w:t xml:space="preserve">n adquirir los bienes o servicios de características técnicas uniformes y de común utilización –siempre que </w:t>
      </w:r>
      <w:r w:rsidR="00690B6E" w:rsidRPr="003E6423">
        <w:rPr>
          <w:rFonts w:ascii="Arial" w:hAnsi="Arial" w:cs="Arial"/>
          <w:sz w:val="22"/>
          <w:lang w:val="es-ES_tradnl"/>
        </w:rPr>
        <w:t>estuvieran</w:t>
      </w:r>
      <w:r w:rsidRPr="003E6423">
        <w:rPr>
          <w:rFonts w:ascii="Arial" w:hAnsi="Arial" w:cs="Arial"/>
          <w:sz w:val="22"/>
          <w:lang w:val="es-ES_tradnl"/>
        </w:rPr>
        <w:t xml:space="preserve"> disponibles– a través de acuerdo marco de precios, incluso en los procesos de contratación cuyo presupuesto no exced</w:t>
      </w:r>
      <w:r w:rsidR="00690B6E" w:rsidRPr="003E6423">
        <w:rPr>
          <w:rFonts w:ascii="Arial" w:hAnsi="Arial" w:cs="Arial"/>
          <w:sz w:val="22"/>
          <w:lang w:val="es-ES_tradnl"/>
        </w:rPr>
        <w:t>iera</w:t>
      </w:r>
      <w:r w:rsidRPr="003E6423">
        <w:rPr>
          <w:rFonts w:ascii="Arial" w:hAnsi="Arial" w:cs="Arial"/>
          <w:sz w:val="22"/>
          <w:lang w:val="es-ES_tradnl"/>
        </w:rPr>
        <w:t xml:space="preserve"> el diez por ciento –10%– de la menor cuantía</w:t>
      </w:r>
      <w:r w:rsidRPr="003E6423">
        <w:rPr>
          <w:rStyle w:val="Refdenotaalpie"/>
          <w:rFonts w:ascii="Arial" w:hAnsi="Arial" w:cs="Arial"/>
          <w:sz w:val="22"/>
          <w:lang w:val="es-ES_tradnl"/>
        </w:rPr>
        <w:footnoteReference w:id="14"/>
      </w:r>
      <w:r w:rsidRPr="003E6423">
        <w:rPr>
          <w:rFonts w:ascii="Arial" w:hAnsi="Arial" w:cs="Arial"/>
          <w:sz w:val="22"/>
          <w:lang w:val="es-ES_tradnl"/>
        </w:rPr>
        <w:t xml:space="preserve">. </w:t>
      </w:r>
    </w:p>
    <w:p w14:paraId="056BCF27" w14:textId="252E3D7C" w:rsidR="003D0CE1" w:rsidRPr="003E6423" w:rsidRDefault="003D0CE1" w:rsidP="003D0CE1">
      <w:pPr>
        <w:spacing w:line="276" w:lineRule="auto"/>
        <w:ind w:firstLine="709"/>
        <w:jc w:val="both"/>
        <w:rPr>
          <w:rFonts w:ascii="Arial" w:hAnsi="Arial" w:cs="Arial"/>
          <w:sz w:val="22"/>
          <w:lang w:val="es-ES_tradnl"/>
        </w:rPr>
      </w:pPr>
      <w:r w:rsidRPr="003E6423">
        <w:rPr>
          <w:rFonts w:ascii="Arial" w:hAnsi="Arial" w:cs="Arial"/>
          <w:sz w:val="22"/>
          <w:lang w:val="es-ES_tradnl"/>
        </w:rPr>
        <w:t xml:space="preserve">Ahora bien, en el caso de que el bien o servicio de características técnicas uniforme y de común utilización no </w:t>
      </w:r>
      <w:r w:rsidR="00673252" w:rsidRPr="003E6423">
        <w:rPr>
          <w:rFonts w:ascii="Arial" w:hAnsi="Arial" w:cs="Arial"/>
          <w:sz w:val="22"/>
          <w:lang w:val="es-ES_tradnl"/>
        </w:rPr>
        <w:t>estuviera</w:t>
      </w:r>
      <w:r w:rsidRPr="003E6423">
        <w:rPr>
          <w:rFonts w:ascii="Arial" w:hAnsi="Arial" w:cs="Arial"/>
          <w:sz w:val="22"/>
          <w:lang w:val="es-ES_tradnl"/>
        </w:rPr>
        <w:t xml:space="preserve"> disponible en un acuerdo marco de precios, y la cuantía </w:t>
      </w:r>
      <w:r w:rsidR="00673252" w:rsidRPr="003E6423">
        <w:rPr>
          <w:rFonts w:ascii="Arial" w:hAnsi="Arial" w:cs="Arial"/>
          <w:sz w:val="22"/>
          <w:lang w:val="es-ES_tradnl"/>
        </w:rPr>
        <w:t>fuera</w:t>
      </w:r>
      <w:r w:rsidRPr="003E6423">
        <w:rPr>
          <w:rFonts w:ascii="Arial" w:hAnsi="Arial" w:cs="Arial"/>
          <w:sz w:val="22"/>
          <w:lang w:val="es-ES_tradnl"/>
        </w:rPr>
        <w:t xml:space="preserve"> menor al diez por ciento –10%– del presupuesto, las entidades estatales </w:t>
      </w:r>
      <w:r w:rsidR="00673252" w:rsidRPr="003E6423">
        <w:rPr>
          <w:rFonts w:ascii="Arial" w:hAnsi="Arial" w:cs="Arial"/>
          <w:sz w:val="22"/>
          <w:lang w:val="es-ES_tradnl"/>
        </w:rPr>
        <w:t>debían</w:t>
      </w:r>
      <w:r w:rsidRPr="003E6423">
        <w:rPr>
          <w:rFonts w:ascii="Arial" w:hAnsi="Arial" w:cs="Arial"/>
          <w:sz w:val="22"/>
          <w:lang w:val="es-ES_tradnl"/>
        </w:rPr>
        <w:t xml:space="preserve"> realizar la adquisición por la modalidad de mínima cuantía</w:t>
      </w:r>
      <w:r w:rsidR="00C97511" w:rsidRPr="003E6423">
        <w:rPr>
          <w:rFonts w:ascii="Arial" w:hAnsi="Arial" w:cs="Arial"/>
          <w:sz w:val="22"/>
          <w:lang w:val="es-ES_tradnl"/>
        </w:rPr>
        <w:t>. Esto teniendo en cuenta</w:t>
      </w:r>
      <w:r w:rsidRPr="003E6423">
        <w:rPr>
          <w:rFonts w:ascii="Arial" w:hAnsi="Arial" w:cs="Arial"/>
          <w:sz w:val="22"/>
          <w:lang w:val="es-ES_tradnl"/>
        </w:rPr>
        <w:t xml:space="preserve"> que el Consejo de Estado</w:t>
      </w:r>
      <w:r w:rsidR="00071FD1" w:rsidRPr="003E6423">
        <w:rPr>
          <w:rFonts w:ascii="Arial" w:hAnsi="Arial" w:cs="Arial"/>
          <w:sz w:val="22"/>
          <w:lang w:val="es-ES_tradnl"/>
        </w:rPr>
        <w:t>,</w:t>
      </w:r>
      <w:r w:rsidRPr="003E6423">
        <w:rPr>
          <w:rFonts w:ascii="Arial" w:hAnsi="Arial" w:cs="Arial"/>
          <w:sz w:val="22"/>
          <w:lang w:val="es-ES_tradnl"/>
        </w:rPr>
        <w:t xml:space="preserve"> el auto citado anteriormente</w:t>
      </w:r>
      <w:r w:rsidR="00CB376E" w:rsidRPr="003E6423">
        <w:rPr>
          <w:rFonts w:ascii="Arial" w:hAnsi="Arial" w:cs="Arial"/>
          <w:sz w:val="22"/>
          <w:lang w:val="es-ES_tradnl"/>
        </w:rPr>
        <w:t xml:space="preserve"> explicó</w:t>
      </w:r>
      <w:r w:rsidRPr="003E6423">
        <w:rPr>
          <w:rFonts w:ascii="Arial" w:hAnsi="Arial" w:cs="Arial"/>
          <w:sz w:val="22"/>
          <w:lang w:val="es-ES_tradnl"/>
        </w:rPr>
        <w:t xml:space="preserve"> que:</w:t>
      </w:r>
    </w:p>
    <w:p w14:paraId="13F6B25C" w14:textId="77777777" w:rsidR="003D0CE1" w:rsidRPr="003E6423" w:rsidRDefault="003D0CE1" w:rsidP="003D0CE1">
      <w:pPr>
        <w:spacing w:line="276" w:lineRule="auto"/>
        <w:jc w:val="both"/>
        <w:rPr>
          <w:rFonts w:ascii="Arial" w:hAnsi="Arial" w:cs="Arial"/>
          <w:sz w:val="22"/>
          <w:lang w:val="es-ES_tradnl"/>
        </w:rPr>
      </w:pPr>
    </w:p>
    <w:p w14:paraId="7A2526D2" w14:textId="79F977AA" w:rsidR="003D0CE1" w:rsidRPr="003E6423" w:rsidRDefault="00C97511" w:rsidP="003D0CE1">
      <w:pPr>
        <w:ind w:left="709" w:right="709"/>
        <w:jc w:val="both"/>
        <w:rPr>
          <w:rFonts w:ascii="Arial" w:hAnsi="Arial" w:cs="Arial"/>
          <w:sz w:val="21"/>
          <w:szCs w:val="21"/>
          <w:lang w:val="es-ES_tradnl"/>
        </w:rPr>
      </w:pPr>
      <w:r w:rsidRPr="003E6423">
        <w:rPr>
          <w:rFonts w:ascii="Arial" w:hAnsi="Arial" w:cs="Arial"/>
          <w:sz w:val="21"/>
          <w:szCs w:val="21"/>
          <w:lang w:val="es-ES_tradnl"/>
        </w:rPr>
        <w:t>[…]</w:t>
      </w:r>
      <w:r w:rsidR="003D0CE1" w:rsidRPr="003E6423">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7E4F375A" w14:textId="77777777" w:rsidR="003D0CE1" w:rsidRPr="003E6423" w:rsidRDefault="003D0CE1" w:rsidP="003D0CE1">
      <w:pPr>
        <w:spacing w:line="276" w:lineRule="auto"/>
        <w:jc w:val="both"/>
        <w:rPr>
          <w:rFonts w:ascii="Arial" w:hAnsi="Arial" w:cs="Arial"/>
          <w:sz w:val="22"/>
          <w:lang w:val="es-ES_tradnl"/>
        </w:rPr>
      </w:pPr>
    </w:p>
    <w:p w14:paraId="0A280588" w14:textId="40AE093D" w:rsidR="00A875AD" w:rsidRPr="003E6423" w:rsidRDefault="003D0CE1" w:rsidP="007B7183">
      <w:pPr>
        <w:spacing w:line="276" w:lineRule="auto"/>
        <w:ind w:firstLine="708"/>
        <w:jc w:val="both"/>
        <w:rPr>
          <w:rFonts w:ascii="Arial" w:hAnsi="Arial" w:cs="Arial"/>
          <w:sz w:val="22"/>
          <w:lang w:val="es-ES_tradnl"/>
        </w:rPr>
      </w:pPr>
      <w:r w:rsidRPr="003E6423">
        <w:rPr>
          <w:rFonts w:ascii="Arial" w:hAnsi="Arial" w:cs="Arial"/>
          <w:sz w:val="22"/>
          <w:lang w:val="es-ES_tradnl"/>
        </w:rPr>
        <w:t xml:space="preserve">En ese sentido, cuando el bien o servicio de características técnicas uniformes y de común utilización no </w:t>
      </w:r>
      <w:r w:rsidR="00673252" w:rsidRPr="003E6423">
        <w:rPr>
          <w:rFonts w:ascii="Arial" w:hAnsi="Arial" w:cs="Arial"/>
          <w:sz w:val="22"/>
          <w:lang w:val="es-ES_tradnl"/>
        </w:rPr>
        <w:t>estuviera</w:t>
      </w:r>
      <w:r w:rsidRPr="003E6423">
        <w:rPr>
          <w:rFonts w:ascii="Arial" w:hAnsi="Arial" w:cs="Arial"/>
          <w:sz w:val="22"/>
          <w:lang w:val="es-ES_tradnl"/>
        </w:rPr>
        <w:t xml:space="preserve"> disponible en un acuerdo marco de precios, y la cuantía </w:t>
      </w:r>
      <w:r w:rsidR="00673252" w:rsidRPr="003E6423">
        <w:rPr>
          <w:rFonts w:ascii="Arial" w:hAnsi="Arial" w:cs="Arial"/>
          <w:sz w:val="22"/>
          <w:lang w:val="es-ES_tradnl"/>
        </w:rPr>
        <w:t>fuera</w:t>
      </w:r>
      <w:r w:rsidRPr="003E6423">
        <w:rPr>
          <w:rFonts w:ascii="Arial" w:hAnsi="Arial" w:cs="Arial"/>
          <w:sz w:val="22"/>
          <w:lang w:val="es-ES_tradnl"/>
        </w:rPr>
        <w:t xml:space="preserve"> menor al diez por ciento –10%– de la menor cuantía, prevalec</w:t>
      </w:r>
      <w:r w:rsidR="00673252" w:rsidRPr="003E6423">
        <w:rPr>
          <w:rFonts w:ascii="Arial" w:hAnsi="Arial" w:cs="Arial"/>
          <w:sz w:val="22"/>
          <w:lang w:val="es-ES_tradnl"/>
        </w:rPr>
        <w:t>ía</w:t>
      </w:r>
      <w:r w:rsidRPr="003E6423">
        <w:rPr>
          <w:rFonts w:ascii="Arial" w:hAnsi="Arial" w:cs="Arial"/>
          <w:sz w:val="22"/>
          <w:lang w:val="es-ES_tradnl"/>
        </w:rPr>
        <w:t xml:space="preserve"> la modalidad de mínima cuantía sobre los demás procedimientos de selección, por tratarse de un procedimiento </w:t>
      </w:r>
      <w:r w:rsidRPr="003E6423">
        <w:rPr>
          <w:rFonts w:ascii="Arial" w:hAnsi="Arial" w:cs="Arial"/>
          <w:sz w:val="22"/>
          <w:lang w:val="es-ES_tradnl"/>
        </w:rPr>
        <w:lastRenderedPageBreak/>
        <w:t>especial, excepto la contratación directa.</w:t>
      </w:r>
      <w:r w:rsidR="00011634" w:rsidRPr="003E6423">
        <w:rPr>
          <w:rFonts w:ascii="Arial" w:hAnsi="Arial" w:cs="Arial"/>
          <w:sz w:val="22"/>
          <w:lang w:val="es-ES_tradnl"/>
        </w:rPr>
        <w:t xml:space="preserve"> No obstante</w:t>
      </w:r>
      <w:r w:rsidR="00673252" w:rsidRPr="003E6423">
        <w:rPr>
          <w:rFonts w:ascii="Arial" w:hAnsi="Arial" w:cs="Arial"/>
          <w:sz w:val="22"/>
          <w:lang w:val="es-ES_tradnl"/>
        </w:rPr>
        <w:t xml:space="preserve">, con la entrada en vigencia de la Ley 2069 de 2020, </w:t>
      </w:r>
      <w:r w:rsidR="003D7336" w:rsidRPr="003E6423">
        <w:rPr>
          <w:rFonts w:ascii="Arial" w:hAnsi="Arial" w:cs="Arial"/>
          <w:sz w:val="22"/>
          <w:lang w:val="es-ES_tradnl"/>
        </w:rPr>
        <w:t xml:space="preserve">quedó derogado </w:t>
      </w:r>
      <w:r w:rsidR="00673252" w:rsidRPr="003E6423">
        <w:rPr>
          <w:rFonts w:ascii="Arial" w:hAnsi="Arial" w:cs="Arial"/>
          <w:sz w:val="22"/>
          <w:lang w:val="es-ES_tradnl"/>
        </w:rPr>
        <w:t xml:space="preserve">el artículo 42 de la Ley </w:t>
      </w:r>
      <w:r w:rsidR="003A35CB" w:rsidRPr="003E6423">
        <w:rPr>
          <w:rFonts w:ascii="Arial" w:hAnsi="Arial" w:cs="Arial"/>
          <w:sz w:val="22"/>
          <w:lang w:val="es-ES_tradnl"/>
        </w:rPr>
        <w:t>1955 de 2019.</w:t>
      </w:r>
      <w:r w:rsidR="00E84A6D" w:rsidRPr="003E6423">
        <w:rPr>
          <w:rFonts w:ascii="Arial" w:hAnsi="Arial" w:cs="Arial"/>
          <w:sz w:val="22"/>
          <w:lang w:val="es-ES_tradnl"/>
        </w:rPr>
        <w:t xml:space="preserve"> Lo anterior, por </w:t>
      </w:r>
      <w:r w:rsidR="009E5960" w:rsidRPr="003E6423">
        <w:rPr>
          <w:rFonts w:ascii="Arial" w:hAnsi="Arial" w:cs="Arial"/>
          <w:sz w:val="22"/>
          <w:lang w:val="es-ES_tradnl"/>
        </w:rPr>
        <w:t>seis</w:t>
      </w:r>
      <w:r w:rsidR="00011634" w:rsidRPr="003E6423">
        <w:rPr>
          <w:rFonts w:ascii="Arial" w:hAnsi="Arial" w:cs="Arial"/>
          <w:sz w:val="22"/>
          <w:lang w:val="es-ES_tradnl"/>
        </w:rPr>
        <w:t xml:space="preserve"> (6)</w:t>
      </w:r>
      <w:r w:rsidR="00E84A6D" w:rsidRPr="003E6423">
        <w:rPr>
          <w:rFonts w:ascii="Arial" w:hAnsi="Arial" w:cs="Arial"/>
          <w:sz w:val="22"/>
          <w:lang w:val="es-ES_tradnl"/>
        </w:rPr>
        <w:t xml:space="preserve"> razones principales</w:t>
      </w:r>
      <w:r w:rsidR="0080683F" w:rsidRPr="003E6423">
        <w:rPr>
          <w:rFonts w:ascii="Arial" w:hAnsi="Arial" w:cs="Arial"/>
          <w:sz w:val="22"/>
          <w:lang w:val="es-ES_tradnl"/>
        </w:rPr>
        <w:t xml:space="preserve"> que se explican a continuación:</w:t>
      </w:r>
      <w:r w:rsidR="00E84A6D" w:rsidRPr="003E6423">
        <w:rPr>
          <w:rFonts w:ascii="Arial" w:hAnsi="Arial" w:cs="Arial"/>
          <w:sz w:val="22"/>
          <w:lang w:val="es-ES_tradnl"/>
        </w:rPr>
        <w:t xml:space="preserve"> </w:t>
      </w:r>
    </w:p>
    <w:p w14:paraId="06EE3F36" w14:textId="62837FBA" w:rsidR="00EC34F3" w:rsidRPr="003E6423" w:rsidRDefault="00002042" w:rsidP="00A875AD">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i) </w:t>
      </w:r>
      <w:r w:rsidR="0014771E" w:rsidRPr="003E6423">
        <w:rPr>
          <w:rFonts w:ascii="Arial" w:hAnsi="Arial" w:cs="Arial"/>
          <w:sz w:val="22"/>
          <w:lang w:val="es-ES_tradnl"/>
        </w:rPr>
        <w:t>E</w:t>
      </w:r>
      <w:r w:rsidR="00E84A6D" w:rsidRPr="003E6423">
        <w:rPr>
          <w:rFonts w:ascii="Arial" w:hAnsi="Arial" w:cs="Arial"/>
          <w:sz w:val="22"/>
          <w:lang w:val="es-ES_tradnl"/>
        </w:rPr>
        <w:t xml:space="preserve">l artículo </w:t>
      </w:r>
      <w:r w:rsidR="005F1EF1" w:rsidRPr="003E6423">
        <w:rPr>
          <w:rFonts w:ascii="Arial" w:hAnsi="Arial" w:cs="Arial"/>
          <w:sz w:val="22"/>
          <w:lang w:val="es-ES_tradnl"/>
        </w:rPr>
        <w:t>3</w:t>
      </w:r>
      <w:r w:rsidR="00F71252" w:rsidRPr="003E6423">
        <w:rPr>
          <w:rFonts w:ascii="Arial" w:hAnsi="Arial" w:cs="Arial"/>
          <w:sz w:val="22"/>
          <w:lang w:val="es-ES_tradnl"/>
        </w:rPr>
        <w:t>0</w:t>
      </w:r>
      <w:r w:rsidR="005F1EF1" w:rsidRPr="003E6423">
        <w:rPr>
          <w:rFonts w:ascii="Arial" w:hAnsi="Arial" w:cs="Arial"/>
          <w:sz w:val="22"/>
          <w:lang w:val="es-ES_tradnl"/>
        </w:rPr>
        <w:t xml:space="preserve"> de la Ley 2069 de 2020</w:t>
      </w:r>
      <w:r w:rsidR="00BD177B" w:rsidRPr="003E6423">
        <w:rPr>
          <w:rFonts w:ascii="Arial" w:hAnsi="Arial" w:cs="Arial"/>
          <w:sz w:val="22"/>
          <w:lang w:val="es-ES_tradnl"/>
        </w:rPr>
        <w:t>, como se lee en su primer inciso,</w:t>
      </w:r>
      <w:r w:rsidR="005F1EF1" w:rsidRPr="003E6423">
        <w:rPr>
          <w:rFonts w:ascii="Arial" w:hAnsi="Arial" w:cs="Arial"/>
          <w:sz w:val="22"/>
          <w:lang w:val="es-ES_tradnl"/>
        </w:rPr>
        <w:t xml:space="preserve"> modific</w:t>
      </w:r>
      <w:r w:rsidR="00A875AD" w:rsidRPr="003E6423">
        <w:rPr>
          <w:rFonts w:ascii="Arial" w:hAnsi="Arial" w:cs="Arial"/>
          <w:sz w:val="22"/>
          <w:lang w:val="es-ES_tradnl"/>
        </w:rPr>
        <w:t>ó</w:t>
      </w:r>
      <w:r w:rsidR="005F1EF1" w:rsidRPr="003E6423">
        <w:rPr>
          <w:rFonts w:ascii="Arial" w:hAnsi="Arial" w:cs="Arial"/>
          <w:sz w:val="22"/>
          <w:lang w:val="es-ES_tradnl"/>
        </w:rPr>
        <w:t xml:space="preserve"> integralmente el </w:t>
      </w:r>
      <w:r w:rsidR="00F71252" w:rsidRPr="003E6423">
        <w:rPr>
          <w:rFonts w:ascii="Arial" w:hAnsi="Arial" w:cs="Arial"/>
          <w:sz w:val="22"/>
          <w:lang w:val="es-ES_tradnl"/>
        </w:rPr>
        <w:t>numeral</w:t>
      </w:r>
      <w:r w:rsidR="005F1EF1" w:rsidRPr="003E6423">
        <w:rPr>
          <w:rFonts w:ascii="Arial" w:hAnsi="Arial" w:cs="Arial"/>
          <w:sz w:val="22"/>
          <w:lang w:val="es-ES_tradnl"/>
        </w:rPr>
        <w:t xml:space="preserve"> </w:t>
      </w:r>
      <w:r w:rsidR="00F71252" w:rsidRPr="003E6423">
        <w:rPr>
          <w:rFonts w:ascii="Arial" w:hAnsi="Arial" w:cs="Arial"/>
          <w:sz w:val="22"/>
          <w:lang w:val="es-ES_tradnl"/>
        </w:rPr>
        <w:t>5</w:t>
      </w:r>
      <w:r w:rsidR="005F1EF1" w:rsidRPr="003E6423">
        <w:rPr>
          <w:rFonts w:ascii="Arial" w:hAnsi="Arial" w:cs="Arial"/>
          <w:sz w:val="22"/>
          <w:lang w:val="es-ES_tradnl"/>
        </w:rPr>
        <w:t xml:space="preserve"> </w:t>
      </w:r>
      <w:r w:rsidR="00F71252" w:rsidRPr="003E6423">
        <w:rPr>
          <w:rFonts w:ascii="Arial" w:hAnsi="Arial" w:cs="Arial"/>
          <w:sz w:val="22"/>
          <w:lang w:val="es-ES_tradnl"/>
        </w:rPr>
        <w:t xml:space="preserve">del artículo 2 </w:t>
      </w:r>
      <w:r w:rsidR="005F1EF1" w:rsidRPr="003E6423">
        <w:rPr>
          <w:rFonts w:ascii="Arial" w:hAnsi="Arial" w:cs="Arial"/>
          <w:sz w:val="22"/>
          <w:lang w:val="es-ES_tradnl"/>
        </w:rPr>
        <w:t>de la Ley 1150 de 2007</w:t>
      </w:r>
      <w:r w:rsidR="00BD177B" w:rsidRPr="003E6423">
        <w:rPr>
          <w:rFonts w:ascii="Arial" w:hAnsi="Arial" w:cs="Arial"/>
          <w:sz w:val="22"/>
          <w:lang w:val="es-ES_tradnl"/>
        </w:rPr>
        <w:t xml:space="preserve">. Por consiguiente, al modificar </w:t>
      </w:r>
      <w:r w:rsidR="004727B0" w:rsidRPr="003E6423">
        <w:rPr>
          <w:rFonts w:ascii="Arial" w:hAnsi="Arial" w:cs="Arial"/>
          <w:sz w:val="22"/>
          <w:lang w:val="es-ES_tradnl"/>
        </w:rPr>
        <w:t xml:space="preserve">por completo </w:t>
      </w:r>
      <w:r w:rsidR="002B657F" w:rsidRPr="003E6423">
        <w:rPr>
          <w:rFonts w:ascii="Arial" w:hAnsi="Arial" w:cs="Arial"/>
          <w:sz w:val="22"/>
          <w:lang w:val="es-ES_tradnl"/>
        </w:rPr>
        <w:t>este</w:t>
      </w:r>
      <w:r w:rsidR="004727B0" w:rsidRPr="003E6423">
        <w:rPr>
          <w:rFonts w:ascii="Arial" w:hAnsi="Arial" w:cs="Arial"/>
          <w:sz w:val="22"/>
          <w:lang w:val="es-ES_tradnl"/>
        </w:rPr>
        <w:t xml:space="preserve"> numeral sin </w:t>
      </w:r>
      <w:r w:rsidR="002B657F" w:rsidRPr="003E6423">
        <w:rPr>
          <w:rFonts w:ascii="Arial" w:hAnsi="Arial" w:cs="Arial"/>
          <w:sz w:val="22"/>
          <w:lang w:val="es-ES_tradnl"/>
        </w:rPr>
        <w:t>aludir</w:t>
      </w:r>
      <w:r w:rsidR="004727B0" w:rsidRPr="003E6423">
        <w:rPr>
          <w:rFonts w:ascii="Arial" w:hAnsi="Arial" w:cs="Arial"/>
          <w:sz w:val="22"/>
          <w:lang w:val="es-ES_tradnl"/>
        </w:rPr>
        <w:t xml:space="preserve"> expresa</w:t>
      </w:r>
      <w:r w:rsidR="007146DF" w:rsidRPr="003E6423">
        <w:rPr>
          <w:rFonts w:ascii="Arial" w:hAnsi="Arial" w:cs="Arial"/>
          <w:sz w:val="22"/>
          <w:lang w:val="es-ES_tradnl"/>
        </w:rPr>
        <w:t>mente</w:t>
      </w:r>
      <w:r w:rsidR="004727B0" w:rsidRPr="003E6423">
        <w:rPr>
          <w:rFonts w:ascii="Arial" w:hAnsi="Arial" w:cs="Arial"/>
          <w:sz w:val="22"/>
          <w:lang w:val="es-ES_tradnl"/>
        </w:rPr>
        <w:t xml:space="preserve"> </w:t>
      </w:r>
      <w:r w:rsidR="002B657F" w:rsidRPr="003E6423">
        <w:rPr>
          <w:rFonts w:ascii="Arial" w:hAnsi="Arial" w:cs="Arial"/>
          <w:sz w:val="22"/>
          <w:lang w:val="es-ES_tradnl"/>
        </w:rPr>
        <w:t>a la</w:t>
      </w:r>
      <w:r w:rsidR="007146DF" w:rsidRPr="003E6423">
        <w:rPr>
          <w:rFonts w:ascii="Arial" w:hAnsi="Arial" w:cs="Arial"/>
          <w:sz w:val="22"/>
          <w:lang w:val="es-ES_tradnl"/>
        </w:rPr>
        <w:t xml:space="preserve"> vigen</w:t>
      </w:r>
      <w:r w:rsidR="002B657F" w:rsidRPr="003E6423">
        <w:rPr>
          <w:rFonts w:ascii="Arial" w:hAnsi="Arial" w:cs="Arial"/>
          <w:sz w:val="22"/>
          <w:lang w:val="es-ES_tradnl"/>
        </w:rPr>
        <w:t>cia de</w:t>
      </w:r>
      <w:r w:rsidR="007146DF" w:rsidRPr="003E6423">
        <w:rPr>
          <w:rFonts w:ascii="Arial" w:hAnsi="Arial" w:cs="Arial"/>
          <w:sz w:val="22"/>
          <w:lang w:val="es-ES_tradnl"/>
        </w:rPr>
        <w:t xml:space="preserve"> </w:t>
      </w:r>
      <w:r w:rsidR="004727B0" w:rsidRPr="003E6423">
        <w:rPr>
          <w:rFonts w:ascii="Arial" w:hAnsi="Arial" w:cs="Arial"/>
          <w:sz w:val="22"/>
          <w:lang w:val="es-ES_tradnl"/>
        </w:rPr>
        <w:t>las normas que lo habían modificado en el pasado –</w:t>
      </w:r>
      <w:r w:rsidR="00EC34F3" w:rsidRPr="003E6423">
        <w:rPr>
          <w:rFonts w:ascii="Arial" w:hAnsi="Arial" w:cs="Arial"/>
          <w:sz w:val="22"/>
          <w:lang w:val="es-ES_tradnl"/>
        </w:rPr>
        <w:t xml:space="preserve">siendo </w:t>
      </w:r>
      <w:r w:rsidR="007146DF" w:rsidRPr="003E6423">
        <w:rPr>
          <w:rFonts w:ascii="Arial" w:hAnsi="Arial" w:cs="Arial"/>
          <w:sz w:val="22"/>
          <w:lang w:val="es-ES_tradnl"/>
        </w:rPr>
        <w:t xml:space="preserve">una de ellas </w:t>
      </w:r>
      <w:r w:rsidR="00EC34F3" w:rsidRPr="003E6423">
        <w:rPr>
          <w:rFonts w:ascii="Arial" w:hAnsi="Arial" w:cs="Arial"/>
          <w:sz w:val="22"/>
          <w:lang w:val="es-ES_tradnl"/>
        </w:rPr>
        <w:t xml:space="preserve">el artículo 42 de la </w:t>
      </w:r>
      <w:r w:rsidR="004727B0" w:rsidRPr="003E6423">
        <w:rPr>
          <w:rFonts w:ascii="Arial" w:hAnsi="Arial" w:cs="Arial"/>
          <w:sz w:val="22"/>
          <w:lang w:val="es-ES_tradnl"/>
        </w:rPr>
        <w:t>Ley 1955 de 2019–</w:t>
      </w:r>
      <w:r w:rsidR="00AB6065" w:rsidRPr="003E6423">
        <w:rPr>
          <w:rFonts w:ascii="Arial" w:hAnsi="Arial" w:cs="Arial"/>
          <w:sz w:val="22"/>
          <w:lang w:val="es-ES_tradnl"/>
        </w:rPr>
        <w:t xml:space="preserve">, </w:t>
      </w:r>
      <w:r w:rsidR="00531CBF" w:rsidRPr="003E6423">
        <w:rPr>
          <w:rFonts w:ascii="Arial" w:hAnsi="Arial" w:cs="Arial"/>
          <w:sz w:val="22"/>
          <w:lang w:val="es-ES_tradnl"/>
        </w:rPr>
        <w:t xml:space="preserve">el artículo 30 de la Ley de Emprendimiento </w:t>
      </w:r>
      <w:r w:rsidR="007146DF" w:rsidRPr="003E6423">
        <w:rPr>
          <w:rFonts w:ascii="Arial" w:hAnsi="Arial" w:cs="Arial"/>
          <w:sz w:val="22"/>
          <w:lang w:val="es-ES_tradnl"/>
        </w:rPr>
        <w:t>derogó dichas normas</w:t>
      </w:r>
      <w:r w:rsidR="002C157B" w:rsidRPr="003E6423">
        <w:rPr>
          <w:rFonts w:ascii="Arial" w:hAnsi="Arial" w:cs="Arial"/>
          <w:sz w:val="22"/>
          <w:lang w:val="es-ES_tradnl"/>
        </w:rPr>
        <w:t>.</w:t>
      </w:r>
    </w:p>
    <w:p w14:paraId="42C5DC92" w14:textId="362859BF" w:rsidR="00733EE1" w:rsidRPr="003E6423" w:rsidRDefault="00A07FB7" w:rsidP="00687702">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ii) </w:t>
      </w:r>
      <w:r w:rsidR="0014771E" w:rsidRPr="003E6423">
        <w:rPr>
          <w:rFonts w:ascii="Arial" w:hAnsi="Arial" w:cs="Arial"/>
          <w:sz w:val="22"/>
          <w:lang w:val="es-ES_tradnl"/>
        </w:rPr>
        <w:t>L</w:t>
      </w:r>
      <w:r w:rsidR="00421535" w:rsidRPr="003E6423">
        <w:rPr>
          <w:rFonts w:ascii="Arial" w:hAnsi="Arial" w:cs="Arial"/>
          <w:sz w:val="22"/>
          <w:lang w:val="es-ES_tradnl"/>
        </w:rPr>
        <w:t>a derogatoria del artículo 42</w:t>
      </w:r>
      <w:r w:rsidR="00FA4CA8" w:rsidRPr="003E6423">
        <w:rPr>
          <w:rFonts w:ascii="Arial" w:hAnsi="Arial" w:cs="Arial"/>
          <w:sz w:val="22"/>
          <w:lang w:val="es-ES_tradnl"/>
        </w:rPr>
        <w:t xml:space="preserve"> de la Ley 1955 de 2019 también se sustenta e</w:t>
      </w:r>
      <w:r w:rsidR="00D254B0" w:rsidRPr="003E6423">
        <w:rPr>
          <w:rFonts w:ascii="Arial" w:hAnsi="Arial" w:cs="Arial"/>
          <w:sz w:val="22"/>
          <w:lang w:val="es-ES_tradnl"/>
        </w:rPr>
        <w:t>n que el nuevo contenido del numeral 5 del artículo 2 de la Ley 1150 de 2007</w:t>
      </w:r>
      <w:r w:rsidR="00CF2982" w:rsidRPr="003E6423">
        <w:rPr>
          <w:rFonts w:ascii="Arial" w:hAnsi="Arial" w:cs="Arial"/>
          <w:sz w:val="22"/>
          <w:lang w:val="es-ES_tradnl"/>
        </w:rPr>
        <w:t xml:space="preserve"> –modificado por el artículo 30 de la Ley 2069 de 2020– </w:t>
      </w:r>
      <w:r w:rsidR="00CF2982" w:rsidRPr="003E6423">
        <w:rPr>
          <w:rFonts w:ascii="Arial" w:hAnsi="Arial" w:cs="Arial"/>
          <w:i/>
          <w:iCs/>
          <w:sz w:val="22"/>
          <w:lang w:val="es-ES_tradnl"/>
        </w:rPr>
        <w:t>solo contempla dos parágrafos</w:t>
      </w:r>
      <w:r w:rsidR="00476A69" w:rsidRPr="003E6423">
        <w:rPr>
          <w:rStyle w:val="Refdenotaalpie"/>
          <w:rFonts w:ascii="Arial" w:hAnsi="Arial" w:cs="Arial"/>
          <w:sz w:val="22"/>
          <w:lang w:val="es-ES_tradnl"/>
        </w:rPr>
        <w:footnoteReference w:id="15"/>
      </w:r>
      <w:r w:rsidR="00BA102C" w:rsidRPr="003E6423">
        <w:rPr>
          <w:rFonts w:ascii="Arial" w:hAnsi="Arial" w:cs="Arial"/>
          <w:sz w:val="22"/>
          <w:lang w:val="es-ES_tradnl"/>
        </w:rPr>
        <w:t xml:space="preserve">. </w:t>
      </w:r>
      <w:r w:rsidR="00F965D2" w:rsidRPr="003E6423">
        <w:rPr>
          <w:rFonts w:ascii="Arial" w:hAnsi="Arial" w:cs="Arial"/>
          <w:sz w:val="22"/>
          <w:lang w:val="es-ES_tradnl"/>
        </w:rPr>
        <w:t>Por consiguiente, el parágrafo 3</w:t>
      </w:r>
      <w:r w:rsidR="00712839" w:rsidRPr="003E6423">
        <w:rPr>
          <w:rFonts w:ascii="Arial" w:hAnsi="Arial" w:cs="Arial"/>
          <w:sz w:val="22"/>
          <w:lang w:val="es-ES_tradnl"/>
        </w:rPr>
        <w:t xml:space="preserve"> que había sido adicionado</w:t>
      </w:r>
      <w:r w:rsidR="00134878" w:rsidRPr="003E6423">
        <w:rPr>
          <w:rFonts w:ascii="Arial" w:hAnsi="Arial" w:cs="Arial"/>
          <w:sz w:val="22"/>
          <w:lang w:val="es-ES_tradnl"/>
        </w:rPr>
        <w:t xml:space="preserve"> por el artículo </w:t>
      </w:r>
      <w:r w:rsidR="009B272D" w:rsidRPr="003E6423">
        <w:rPr>
          <w:rFonts w:ascii="Arial" w:hAnsi="Arial" w:cs="Arial"/>
          <w:sz w:val="22"/>
          <w:lang w:val="es-ES_tradnl"/>
        </w:rPr>
        <w:t>42 de la Ley 1955 de 2019</w:t>
      </w:r>
      <w:r w:rsidR="00712839" w:rsidRPr="003E6423">
        <w:rPr>
          <w:rFonts w:ascii="Arial" w:hAnsi="Arial" w:cs="Arial"/>
          <w:sz w:val="22"/>
          <w:lang w:val="es-ES_tradnl"/>
        </w:rPr>
        <w:t xml:space="preserve"> al artículo 94 de la Ley 1474 de 2011</w:t>
      </w:r>
      <w:r w:rsidR="009B272D" w:rsidRPr="003E6423">
        <w:rPr>
          <w:rFonts w:ascii="Arial" w:hAnsi="Arial" w:cs="Arial"/>
          <w:sz w:val="22"/>
          <w:lang w:val="es-ES_tradnl"/>
        </w:rPr>
        <w:t xml:space="preserve"> –</w:t>
      </w:r>
      <w:r w:rsidR="00712839" w:rsidRPr="003E6423">
        <w:rPr>
          <w:rFonts w:ascii="Arial" w:hAnsi="Arial" w:cs="Arial"/>
          <w:sz w:val="22"/>
          <w:lang w:val="es-ES_tradnl"/>
        </w:rPr>
        <w:t xml:space="preserve">artículo que a su vez había </w:t>
      </w:r>
      <w:r w:rsidR="001E123F" w:rsidRPr="003E6423">
        <w:rPr>
          <w:rFonts w:ascii="Arial" w:hAnsi="Arial" w:cs="Arial"/>
          <w:sz w:val="22"/>
          <w:lang w:val="es-ES_tradnl"/>
        </w:rPr>
        <w:t xml:space="preserve">adicionado el contenido del numeral 5 del artículo </w:t>
      </w:r>
      <w:r w:rsidR="00805B03" w:rsidRPr="003E6423">
        <w:rPr>
          <w:rFonts w:ascii="Arial" w:hAnsi="Arial" w:cs="Arial"/>
          <w:sz w:val="22"/>
          <w:lang w:val="es-ES_tradnl"/>
        </w:rPr>
        <w:t>2 de la Ley 1150 de 2007</w:t>
      </w:r>
      <w:r w:rsidR="009B272D" w:rsidRPr="003E6423">
        <w:rPr>
          <w:rFonts w:ascii="Arial" w:hAnsi="Arial" w:cs="Arial"/>
          <w:sz w:val="22"/>
          <w:lang w:val="es-ES_tradnl"/>
        </w:rPr>
        <w:t>–</w:t>
      </w:r>
      <w:r w:rsidR="00805B03" w:rsidRPr="003E6423">
        <w:rPr>
          <w:rFonts w:ascii="Arial" w:hAnsi="Arial" w:cs="Arial"/>
          <w:sz w:val="22"/>
          <w:lang w:val="es-ES_tradnl"/>
        </w:rPr>
        <w:t>, se entiende derogado, pues dicho parágrafo 3 no quedó previsto en el artículo 30 de la Ley 2069 de 2020.</w:t>
      </w:r>
      <w:r w:rsidR="00687702" w:rsidRPr="003E6423">
        <w:rPr>
          <w:rFonts w:ascii="Arial" w:hAnsi="Arial" w:cs="Arial"/>
          <w:sz w:val="22"/>
          <w:lang w:val="es-ES_tradnl"/>
        </w:rPr>
        <w:t xml:space="preserve"> </w:t>
      </w:r>
    </w:p>
    <w:p w14:paraId="47C42BFA" w14:textId="710EEDB0" w:rsidR="00687702" w:rsidRPr="003E6423" w:rsidRDefault="0014771E" w:rsidP="00687702">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iii) </w:t>
      </w:r>
      <w:r w:rsidR="00733EE1" w:rsidRPr="003E6423">
        <w:rPr>
          <w:rFonts w:ascii="Arial" w:hAnsi="Arial" w:cs="Arial"/>
          <w:sz w:val="22"/>
          <w:lang w:val="es-ES_tradnl"/>
        </w:rPr>
        <w:t>E</w:t>
      </w:r>
      <w:r w:rsidR="00687702" w:rsidRPr="003E6423">
        <w:rPr>
          <w:rFonts w:ascii="Arial" w:hAnsi="Arial" w:cs="Arial"/>
          <w:sz w:val="22"/>
          <w:lang w:val="es-ES_tradnl"/>
        </w:rPr>
        <w:t xml:space="preserve">l parágrafo </w:t>
      </w:r>
      <w:r w:rsidR="00733EE1" w:rsidRPr="003E6423">
        <w:rPr>
          <w:rFonts w:ascii="Arial" w:hAnsi="Arial" w:cs="Arial"/>
          <w:sz w:val="22"/>
          <w:lang w:val="es-ES_tradnl"/>
        </w:rPr>
        <w:t>3 adicionado</w:t>
      </w:r>
      <w:r w:rsidR="000C0867" w:rsidRPr="003E6423">
        <w:rPr>
          <w:rFonts w:ascii="Arial" w:hAnsi="Arial" w:cs="Arial"/>
          <w:sz w:val="22"/>
          <w:lang w:val="es-ES_tradnl"/>
        </w:rPr>
        <w:t xml:space="preserve"> al artículo 94 de la Ley 1474 de 2011 por el artículo 42 de la Ley 1955 de 2019 </w:t>
      </w:r>
      <w:r w:rsidR="00A14B88" w:rsidRPr="003E6423">
        <w:rPr>
          <w:rFonts w:ascii="Arial" w:hAnsi="Arial" w:cs="Arial"/>
          <w:sz w:val="22"/>
          <w:lang w:val="es-ES_tradnl"/>
        </w:rPr>
        <w:t xml:space="preserve">reguló en su momento </w:t>
      </w:r>
      <w:r w:rsidR="00D86EC2" w:rsidRPr="003E6423">
        <w:rPr>
          <w:rFonts w:ascii="Arial" w:hAnsi="Arial" w:cs="Arial"/>
          <w:sz w:val="22"/>
          <w:lang w:val="es-ES_tradnl"/>
        </w:rPr>
        <w:t>un aspecto d</w:t>
      </w:r>
      <w:r w:rsidR="00A14B88" w:rsidRPr="003E6423">
        <w:rPr>
          <w:rFonts w:ascii="Arial" w:hAnsi="Arial" w:cs="Arial"/>
          <w:sz w:val="22"/>
          <w:lang w:val="es-ES_tradnl"/>
        </w:rPr>
        <w:t>el procedimiento de mínima cuantía, pues así lo indica</w:t>
      </w:r>
      <w:r w:rsidR="00B030CF" w:rsidRPr="003E6423">
        <w:rPr>
          <w:rFonts w:ascii="Arial" w:hAnsi="Arial" w:cs="Arial"/>
          <w:sz w:val="22"/>
          <w:lang w:val="es-ES_tradnl"/>
        </w:rPr>
        <w:t>ba</w:t>
      </w:r>
      <w:r w:rsidR="00A14B88" w:rsidRPr="003E6423">
        <w:rPr>
          <w:rFonts w:ascii="Arial" w:hAnsi="Arial" w:cs="Arial"/>
          <w:sz w:val="22"/>
          <w:lang w:val="es-ES_tradnl"/>
        </w:rPr>
        <w:t xml:space="preserve"> el título utilizado tanto en el </w:t>
      </w:r>
      <w:r w:rsidR="00266E6A" w:rsidRPr="003E6423">
        <w:rPr>
          <w:rFonts w:ascii="Arial" w:hAnsi="Arial" w:cs="Arial"/>
          <w:sz w:val="22"/>
          <w:lang w:val="es-ES_tradnl"/>
        </w:rPr>
        <w:t>artículo del referido artículo 42, como en la exposición de motivos</w:t>
      </w:r>
      <w:r w:rsidR="000C5FCE" w:rsidRPr="003E6423">
        <w:rPr>
          <w:rStyle w:val="Refdenotaalpie"/>
          <w:rFonts w:ascii="Arial" w:hAnsi="Arial" w:cs="Arial"/>
          <w:sz w:val="22"/>
          <w:lang w:val="es-ES_tradnl"/>
        </w:rPr>
        <w:footnoteReference w:id="16"/>
      </w:r>
      <w:r w:rsidR="000C5FCE" w:rsidRPr="003E6423">
        <w:rPr>
          <w:rFonts w:ascii="Arial" w:hAnsi="Arial" w:cs="Arial"/>
          <w:sz w:val="22"/>
          <w:lang w:val="es-ES_tradnl"/>
        </w:rPr>
        <w:t xml:space="preserve">, que emplea la expresión: «transparencia en contratación de mínima cuantía». Además, así </w:t>
      </w:r>
      <w:r w:rsidR="00D86EC2" w:rsidRPr="003E6423">
        <w:rPr>
          <w:rFonts w:ascii="Arial" w:hAnsi="Arial" w:cs="Arial"/>
          <w:sz w:val="22"/>
          <w:lang w:val="es-ES_tradnl"/>
        </w:rPr>
        <w:t xml:space="preserve">también </w:t>
      </w:r>
      <w:r w:rsidR="000C5FCE" w:rsidRPr="003E6423">
        <w:rPr>
          <w:rFonts w:ascii="Arial" w:hAnsi="Arial" w:cs="Arial"/>
          <w:sz w:val="22"/>
          <w:lang w:val="es-ES_tradnl"/>
        </w:rPr>
        <w:t>lo ratifica</w:t>
      </w:r>
      <w:r w:rsidR="00D86EC2" w:rsidRPr="003E6423">
        <w:rPr>
          <w:rFonts w:ascii="Arial" w:hAnsi="Arial" w:cs="Arial"/>
          <w:sz w:val="22"/>
          <w:lang w:val="es-ES_tradnl"/>
        </w:rPr>
        <w:t>ba</w:t>
      </w:r>
      <w:r w:rsidR="000C5FCE" w:rsidRPr="003E6423">
        <w:rPr>
          <w:rFonts w:ascii="Arial" w:hAnsi="Arial" w:cs="Arial"/>
          <w:sz w:val="22"/>
          <w:lang w:val="es-ES_tradnl"/>
        </w:rPr>
        <w:t xml:space="preserve"> su contenido</w:t>
      </w:r>
      <w:r w:rsidR="00B030CF" w:rsidRPr="003E6423">
        <w:rPr>
          <w:rFonts w:ascii="Arial" w:hAnsi="Arial" w:cs="Arial"/>
          <w:sz w:val="22"/>
          <w:lang w:val="es-ES_tradnl"/>
        </w:rPr>
        <w:t>, que establecía una regla de excepción para la mínima cuantía</w:t>
      </w:r>
      <w:r w:rsidR="00A90453" w:rsidRPr="003E6423">
        <w:rPr>
          <w:rFonts w:ascii="Arial" w:hAnsi="Arial" w:cs="Arial"/>
          <w:sz w:val="22"/>
          <w:lang w:val="es-ES_tradnl"/>
        </w:rPr>
        <w:t xml:space="preserve">, otorgando prevalencia </w:t>
      </w:r>
      <w:r w:rsidR="00677203" w:rsidRPr="003E6423">
        <w:rPr>
          <w:rFonts w:ascii="Arial" w:hAnsi="Arial" w:cs="Arial"/>
          <w:sz w:val="22"/>
          <w:lang w:val="es-ES_tradnl"/>
        </w:rPr>
        <w:t>al mecanismo del acuerdo marco de precios</w:t>
      </w:r>
      <w:r w:rsidR="002D3DC1" w:rsidRPr="003E6423">
        <w:rPr>
          <w:rFonts w:ascii="Arial" w:hAnsi="Arial" w:cs="Arial"/>
          <w:sz w:val="22"/>
          <w:lang w:val="es-ES_tradnl"/>
        </w:rPr>
        <w:t xml:space="preserve"> a través de la Tienda Virtual del Estado Colombiano. Sin embargo, el artículo 30 de la Ley 2069 de 2020 </w:t>
      </w:r>
      <w:r w:rsidR="009A3EDE" w:rsidRPr="003E6423">
        <w:rPr>
          <w:rFonts w:ascii="Arial" w:hAnsi="Arial" w:cs="Arial"/>
          <w:sz w:val="22"/>
          <w:lang w:val="es-ES_tradnl"/>
        </w:rPr>
        <w:t xml:space="preserve">dispone </w:t>
      </w:r>
      <w:r w:rsidR="002D3DC1" w:rsidRPr="003E6423">
        <w:rPr>
          <w:rFonts w:ascii="Arial" w:hAnsi="Arial" w:cs="Arial"/>
          <w:sz w:val="22"/>
          <w:lang w:val="es-ES_tradnl"/>
        </w:rPr>
        <w:t xml:space="preserve">en </w:t>
      </w:r>
      <w:r w:rsidR="002D154B" w:rsidRPr="003E6423">
        <w:rPr>
          <w:rFonts w:ascii="Arial" w:hAnsi="Arial" w:cs="Arial"/>
          <w:sz w:val="22"/>
          <w:lang w:val="es-ES_tradnl"/>
        </w:rPr>
        <w:t>el</w:t>
      </w:r>
      <w:r w:rsidR="002D3DC1" w:rsidRPr="003E6423">
        <w:rPr>
          <w:rFonts w:ascii="Arial" w:hAnsi="Arial" w:cs="Arial"/>
          <w:sz w:val="22"/>
          <w:lang w:val="es-ES_tradnl"/>
        </w:rPr>
        <w:t xml:space="preserve"> primer inciso</w:t>
      </w:r>
      <w:r w:rsidR="002D154B" w:rsidRPr="003E6423">
        <w:rPr>
          <w:rFonts w:ascii="Arial" w:hAnsi="Arial" w:cs="Arial"/>
          <w:sz w:val="22"/>
          <w:lang w:val="es-ES_tradnl"/>
        </w:rPr>
        <w:t>:</w:t>
      </w:r>
      <w:r w:rsidR="002D3DC1" w:rsidRPr="003E6423">
        <w:rPr>
          <w:rFonts w:ascii="Arial" w:hAnsi="Arial" w:cs="Arial"/>
          <w:sz w:val="22"/>
          <w:lang w:val="es-ES_tradnl"/>
        </w:rPr>
        <w:t xml:space="preserve"> «Modifíquese el numeral 5 del artículo 2 de la Ley 1150 de 2007, el cual quedará así: </w:t>
      </w:r>
      <w:r w:rsidR="004B5C32" w:rsidRPr="003E6423">
        <w:rPr>
          <w:rFonts w:ascii="Arial" w:hAnsi="Arial" w:cs="Arial"/>
          <w:sz w:val="22"/>
          <w:lang w:val="es-ES_tradnl"/>
        </w:rPr>
        <w:t>[…]»</w:t>
      </w:r>
      <w:r w:rsidR="002D154B" w:rsidRPr="003E6423">
        <w:rPr>
          <w:rFonts w:ascii="Arial" w:hAnsi="Arial" w:cs="Arial"/>
          <w:sz w:val="22"/>
          <w:lang w:val="es-ES_tradnl"/>
        </w:rPr>
        <w:t>,</w:t>
      </w:r>
      <w:r w:rsidR="004B5C32" w:rsidRPr="003E6423">
        <w:rPr>
          <w:rFonts w:ascii="Arial" w:hAnsi="Arial" w:cs="Arial"/>
          <w:sz w:val="22"/>
          <w:lang w:val="es-ES_tradnl"/>
        </w:rPr>
        <w:t xml:space="preserve"> y en lo que queda no establece la excepción a la mínima cuantía que antes consagraba el artículo 42 de la Ley 1955 de 2019. </w:t>
      </w:r>
      <w:r w:rsidR="00AD5964" w:rsidRPr="003E6423">
        <w:rPr>
          <w:rFonts w:ascii="Arial" w:hAnsi="Arial" w:cs="Arial"/>
          <w:sz w:val="22"/>
          <w:lang w:val="es-ES_tradnl"/>
        </w:rPr>
        <w:t>M</w:t>
      </w:r>
      <w:r w:rsidR="004B5C32" w:rsidRPr="003E6423">
        <w:rPr>
          <w:rFonts w:ascii="Arial" w:hAnsi="Arial" w:cs="Arial"/>
          <w:sz w:val="22"/>
          <w:lang w:val="es-ES_tradnl"/>
        </w:rPr>
        <w:t>ás</w:t>
      </w:r>
      <w:r w:rsidR="00AD5964" w:rsidRPr="003E6423">
        <w:rPr>
          <w:rFonts w:ascii="Arial" w:hAnsi="Arial" w:cs="Arial"/>
          <w:sz w:val="22"/>
          <w:lang w:val="es-ES_tradnl"/>
        </w:rPr>
        <w:t xml:space="preserve"> aún</w:t>
      </w:r>
      <w:r w:rsidR="004B5C32" w:rsidRPr="003E6423">
        <w:rPr>
          <w:rFonts w:ascii="Arial" w:hAnsi="Arial" w:cs="Arial"/>
          <w:sz w:val="22"/>
          <w:lang w:val="es-ES_tradnl"/>
        </w:rPr>
        <w:t xml:space="preserve">, </w:t>
      </w:r>
      <w:r w:rsidR="00914FF0" w:rsidRPr="003E6423">
        <w:rPr>
          <w:rFonts w:ascii="Arial" w:hAnsi="Arial" w:cs="Arial"/>
          <w:sz w:val="22"/>
          <w:lang w:val="es-ES_tradnl"/>
        </w:rPr>
        <w:t xml:space="preserve">el parágrafo segundo del artículo 30 de la Ley 2069 de 2020 </w:t>
      </w:r>
      <w:r w:rsidR="00635C2B" w:rsidRPr="003E6423">
        <w:rPr>
          <w:rFonts w:ascii="Arial" w:hAnsi="Arial" w:cs="Arial"/>
          <w:sz w:val="22"/>
          <w:lang w:val="es-ES_tradnl"/>
        </w:rPr>
        <w:t>prescribe</w:t>
      </w:r>
      <w:r w:rsidR="00914FF0" w:rsidRPr="003E6423">
        <w:rPr>
          <w:rFonts w:ascii="Arial" w:hAnsi="Arial" w:cs="Arial"/>
          <w:sz w:val="22"/>
          <w:lang w:val="es-ES_tradnl"/>
        </w:rPr>
        <w:t xml:space="preserve"> que «La contratación a que se refiere el presente artículo se realizará </w:t>
      </w:r>
      <w:r w:rsidR="00914FF0" w:rsidRPr="003E6423">
        <w:rPr>
          <w:rFonts w:ascii="Arial" w:hAnsi="Arial" w:cs="Arial"/>
          <w:i/>
          <w:iCs/>
          <w:sz w:val="22"/>
          <w:lang w:val="es-ES_tradnl"/>
        </w:rPr>
        <w:t>exclusivamente</w:t>
      </w:r>
      <w:r w:rsidR="00914FF0" w:rsidRPr="003E6423">
        <w:rPr>
          <w:rFonts w:ascii="Arial" w:hAnsi="Arial" w:cs="Arial"/>
          <w:sz w:val="22"/>
          <w:lang w:val="es-ES_tradnl"/>
        </w:rPr>
        <w:t xml:space="preserve"> con las reglas en él contempladas y en su reglamentación»</w:t>
      </w:r>
      <w:r w:rsidR="007E5034" w:rsidRPr="003E6423">
        <w:rPr>
          <w:rFonts w:ascii="Arial" w:hAnsi="Arial" w:cs="Arial"/>
          <w:sz w:val="22"/>
          <w:lang w:val="es-ES_tradnl"/>
        </w:rPr>
        <w:t>.</w:t>
      </w:r>
    </w:p>
    <w:p w14:paraId="5686AFD0" w14:textId="04AFC208" w:rsidR="00D86EC2" w:rsidRPr="003E6423" w:rsidRDefault="00635C2B" w:rsidP="00687702">
      <w:pPr>
        <w:spacing w:before="120" w:line="276" w:lineRule="auto"/>
        <w:ind w:firstLine="709"/>
        <w:jc w:val="both"/>
        <w:rPr>
          <w:rFonts w:ascii="Arial" w:hAnsi="Arial" w:cs="Arial"/>
          <w:sz w:val="22"/>
          <w:lang w:val="es-ES_tradnl"/>
        </w:rPr>
      </w:pPr>
      <w:r w:rsidRPr="003E6423">
        <w:rPr>
          <w:rFonts w:ascii="Arial" w:hAnsi="Arial" w:cs="Arial"/>
          <w:sz w:val="22"/>
          <w:lang w:val="es-ES_tradnl"/>
        </w:rPr>
        <w:lastRenderedPageBreak/>
        <w:t>iv) E</w:t>
      </w:r>
      <w:r w:rsidR="00803AF8" w:rsidRPr="003E6423">
        <w:rPr>
          <w:rFonts w:ascii="Arial" w:hAnsi="Arial" w:cs="Arial"/>
          <w:sz w:val="22"/>
          <w:lang w:val="es-ES_tradnl"/>
        </w:rPr>
        <w:t>l artículo 30 de la Ley 2069 de 2020</w:t>
      </w:r>
      <w:r w:rsidR="00CD13F6" w:rsidRPr="003E6423">
        <w:rPr>
          <w:rFonts w:ascii="Arial" w:hAnsi="Arial" w:cs="Arial"/>
          <w:sz w:val="22"/>
          <w:lang w:val="es-ES_tradnl"/>
        </w:rPr>
        <w:t xml:space="preserve"> es una norma </w:t>
      </w:r>
      <w:r w:rsidR="00CD13F6" w:rsidRPr="003E6423">
        <w:rPr>
          <w:rFonts w:ascii="Arial" w:hAnsi="Arial" w:cs="Arial"/>
          <w:i/>
          <w:iCs/>
          <w:sz w:val="22"/>
          <w:lang w:val="es-ES_tradnl"/>
        </w:rPr>
        <w:t>posterior</w:t>
      </w:r>
      <w:r w:rsidR="00CD13F6" w:rsidRPr="003E6423">
        <w:rPr>
          <w:rFonts w:ascii="Arial" w:hAnsi="Arial" w:cs="Arial"/>
          <w:sz w:val="22"/>
          <w:lang w:val="es-ES_tradnl"/>
        </w:rPr>
        <w:t xml:space="preserve"> en el tiempo al artículo </w:t>
      </w:r>
      <w:r w:rsidR="0048220F" w:rsidRPr="003E6423">
        <w:rPr>
          <w:rFonts w:ascii="Arial" w:hAnsi="Arial" w:cs="Arial"/>
          <w:sz w:val="22"/>
          <w:lang w:val="es-ES_tradnl"/>
        </w:rPr>
        <w:t xml:space="preserve">42 de la Ley 1955 de 2019 y además es </w:t>
      </w:r>
      <w:r w:rsidR="0048220F" w:rsidRPr="003E6423">
        <w:rPr>
          <w:rFonts w:ascii="Arial" w:hAnsi="Arial" w:cs="Arial"/>
          <w:i/>
          <w:iCs/>
          <w:sz w:val="22"/>
          <w:lang w:val="es-ES_tradnl"/>
        </w:rPr>
        <w:t>especial</w:t>
      </w:r>
      <w:r w:rsidR="0048220F" w:rsidRPr="003E6423">
        <w:rPr>
          <w:rFonts w:ascii="Arial" w:hAnsi="Arial" w:cs="Arial"/>
          <w:sz w:val="22"/>
          <w:lang w:val="es-ES_tradnl"/>
        </w:rPr>
        <w:t xml:space="preserve"> en la regulación del trámite de la mínima cuantía.</w:t>
      </w:r>
      <w:r w:rsidR="00C62BF9" w:rsidRPr="003E6423">
        <w:rPr>
          <w:rFonts w:ascii="Arial" w:hAnsi="Arial" w:cs="Arial"/>
          <w:sz w:val="22"/>
          <w:lang w:val="es-ES_tradnl"/>
        </w:rPr>
        <w:t xml:space="preserve"> Este es un argumento adicional para sostener que el artículo 42 de la Ley 1955 de 2019 se encuentra derogado</w:t>
      </w:r>
      <w:r w:rsidR="00FB6A41" w:rsidRPr="003E6423">
        <w:rPr>
          <w:rFonts w:ascii="Arial" w:hAnsi="Arial" w:cs="Arial"/>
          <w:sz w:val="22"/>
          <w:lang w:val="es-ES_tradnl"/>
        </w:rPr>
        <w:t xml:space="preserve">, pues una norma posterior y especial reguló la mínima cuantía, sin dejarlo vigente. Cuestión distinta habría sido </w:t>
      </w:r>
      <w:r w:rsidR="004A3BE5" w:rsidRPr="003E6423">
        <w:rPr>
          <w:rFonts w:ascii="Arial" w:hAnsi="Arial" w:cs="Arial"/>
          <w:sz w:val="22"/>
          <w:lang w:val="es-ES_tradnl"/>
        </w:rPr>
        <w:t>que</w:t>
      </w:r>
      <w:r w:rsidR="00FB6A41" w:rsidRPr="003E6423">
        <w:rPr>
          <w:rFonts w:ascii="Arial" w:hAnsi="Arial" w:cs="Arial"/>
          <w:sz w:val="22"/>
          <w:lang w:val="es-ES_tradnl"/>
        </w:rPr>
        <w:t xml:space="preserve"> el artículo 30 de la Ley 2069 de 2020 o algún artículo </w:t>
      </w:r>
      <w:r w:rsidR="00354E02" w:rsidRPr="003E6423">
        <w:rPr>
          <w:rFonts w:ascii="Arial" w:hAnsi="Arial" w:cs="Arial"/>
          <w:sz w:val="22"/>
          <w:lang w:val="es-ES_tradnl"/>
        </w:rPr>
        <w:t xml:space="preserve">distinto </w:t>
      </w:r>
      <w:r w:rsidR="00DA23F0" w:rsidRPr="003E6423">
        <w:rPr>
          <w:rFonts w:ascii="Arial" w:hAnsi="Arial" w:cs="Arial"/>
          <w:sz w:val="22"/>
          <w:lang w:val="es-ES_tradnl"/>
        </w:rPr>
        <w:t>previsto en</w:t>
      </w:r>
      <w:r w:rsidR="00354E02" w:rsidRPr="003E6423">
        <w:rPr>
          <w:rFonts w:ascii="Arial" w:hAnsi="Arial" w:cs="Arial"/>
          <w:sz w:val="22"/>
          <w:lang w:val="es-ES_tradnl"/>
        </w:rPr>
        <w:t xml:space="preserve"> esta </w:t>
      </w:r>
      <w:r w:rsidR="005E62D7" w:rsidRPr="003E6423">
        <w:rPr>
          <w:rFonts w:ascii="Arial" w:hAnsi="Arial" w:cs="Arial"/>
          <w:sz w:val="22"/>
          <w:lang w:val="es-ES_tradnl"/>
        </w:rPr>
        <w:t>l</w:t>
      </w:r>
      <w:r w:rsidR="00354E02" w:rsidRPr="003E6423">
        <w:rPr>
          <w:rFonts w:ascii="Arial" w:hAnsi="Arial" w:cs="Arial"/>
          <w:sz w:val="22"/>
          <w:lang w:val="es-ES_tradnl"/>
        </w:rPr>
        <w:t xml:space="preserve">ey hubiera </w:t>
      </w:r>
      <w:r w:rsidR="005E62D7" w:rsidRPr="003E6423">
        <w:rPr>
          <w:rFonts w:ascii="Arial" w:hAnsi="Arial" w:cs="Arial"/>
          <w:sz w:val="22"/>
          <w:lang w:val="es-ES_tradnl"/>
        </w:rPr>
        <w:t>previsto</w:t>
      </w:r>
      <w:r w:rsidR="00354E02" w:rsidRPr="003E6423">
        <w:rPr>
          <w:rFonts w:ascii="Arial" w:hAnsi="Arial" w:cs="Arial"/>
          <w:sz w:val="22"/>
          <w:lang w:val="es-ES_tradnl"/>
        </w:rPr>
        <w:t xml:space="preserve"> que se conservaría la vigencia del artículo 42 de la Ley</w:t>
      </w:r>
      <w:r w:rsidR="005E62D7" w:rsidRPr="003E6423">
        <w:rPr>
          <w:rFonts w:ascii="Arial" w:hAnsi="Arial" w:cs="Arial"/>
          <w:sz w:val="22"/>
          <w:lang w:val="es-ES_tradnl"/>
        </w:rPr>
        <w:t xml:space="preserve"> 1955 de 2019</w:t>
      </w:r>
      <w:r w:rsidR="00354E02" w:rsidRPr="003E6423">
        <w:rPr>
          <w:rFonts w:ascii="Arial" w:hAnsi="Arial" w:cs="Arial"/>
          <w:sz w:val="22"/>
          <w:lang w:val="es-ES_tradnl"/>
        </w:rPr>
        <w:t xml:space="preserve">, pero </w:t>
      </w:r>
      <w:r w:rsidR="005E62D7" w:rsidRPr="003E6423">
        <w:rPr>
          <w:rFonts w:ascii="Arial" w:hAnsi="Arial" w:cs="Arial"/>
          <w:sz w:val="22"/>
          <w:lang w:val="es-ES_tradnl"/>
        </w:rPr>
        <w:t>este no fue el caso</w:t>
      </w:r>
      <w:r w:rsidR="00354E02" w:rsidRPr="003E6423">
        <w:rPr>
          <w:rFonts w:ascii="Arial" w:hAnsi="Arial" w:cs="Arial"/>
          <w:sz w:val="22"/>
          <w:lang w:val="es-ES_tradnl"/>
        </w:rPr>
        <w:t xml:space="preserve">. </w:t>
      </w:r>
      <w:r w:rsidR="00E33327" w:rsidRPr="003E6423">
        <w:rPr>
          <w:rFonts w:ascii="Arial" w:hAnsi="Arial" w:cs="Arial"/>
          <w:sz w:val="22"/>
          <w:lang w:val="es-ES_tradnl"/>
        </w:rPr>
        <w:t>Se produjo</w:t>
      </w:r>
      <w:r w:rsidR="00DA23F0" w:rsidRPr="003E6423">
        <w:rPr>
          <w:rFonts w:ascii="Arial" w:hAnsi="Arial" w:cs="Arial"/>
          <w:sz w:val="22"/>
          <w:lang w:val="es-ES_tradnl"/>
        </w:rPr>
        <w:t>, en consecuencia,</w:t>
      </w:r>
      <w:r w:rsidR="00E33327" w:rsidRPr="003E6423">
        <w:rPr>
          <w:rFonts w:ascii="Arial" w:hAnsi="Arial" w:cs="Arial"/>
          <w:sz w:val="22"/>
          <w:lang w:val="es-ES_tradnl"/>
        </w:rPr>
        <w:t xml:space="preserve"> una subrogación, en la medida en que el artículo 30 de la Ley 2069 de 2020 </w:t>
      </w:r>
      <w:r w:rsidR="006751C3" w:rsidRPr="003E6423">
        <w:rPr>
          <w:rFonts w:ascii="Arial" w:hAnsi="Arial" w:cs="Arial"/>
          <w:sz w:val="22"/>
          <w:lang w:val="es-ES_tradnl"/>
        </w:rPr>
        <w:t xml:space="preserve">modificó integralmente el numeral 5 del artículo 2 de la Ley 1150 de 2007 –numeral que, se reitera, había sido modificado por el artículo </w:t>
      </w:r>
      <w:r w:rsidR="0099333E" w:rsidRPr="003E6423">
        <w:rPr>
          <w:rFonts w:ascii="Arial" w:hAnsi="Arial" w:cs="Arial"/>
          <w:sz w:val="22"/>
          <w:lang w:val="es-ES_tradnl"/>
        </w:rPr>
        <w:t>94 de la Ley 1474 de 2011 y este a su vez por el artículo 42 de la Ley 1955 de 2019–</w:t>
      </w:r>
      <w:r w:rsidR="00637B2B" w:rsidRPr="003E6423">
        <w:rPr>
          <w:rFonts w:ascii="Arial" w:hAnsi="Arial" w:cs="Arial"/>
          <w:sz w:val="22"/>
          <w:lang w:val="es-ES_tradnl"/>
        </w:rPr>
        <w:t xml:space="preserve">. </w:t>
      </w:r>
      <w:r w:rsidR="00AD5964" w:rsidRPr="003E6423">
        <w:rPr>
          <w:rFonts w:ascii="Arial" w:hAnsi="Arial" w:cs="Arial"/>
          <w:sz w:val="22"/>
          <w:lang w:val="es-ES_tradnl"/>
        </w:rPr>
        <w:t>Por ello</w:t>
      </w:r>
      <w:r w:rsidR="00637B2B" w:rsidRPr="003E6423">
        <w:rPr>
          <w:rFonts w:ascii="Arial" w:hAnsi="Arial" w:cs="Arial"/>
          <w:sz w:val="22"/>
          <w:lang w:val="es-ES_tradnl"/>
        </w:rPr>
        <w:t xml:space="preserve">, como </w:t>
      </w:r>
      <w:r w:rsidR="004A3BE5" w:rsidRPr="003E6423">
        <w:rPr>
          <w:rFonts w:ascii="Arial" w:hAnsi="Arial" w:cs="Arial"/>
          <w:sz w:val="22"/>
          <w:lang w:val="es-ES_tradnl"/>
        </w:rPr>
        <w:t>«</w:t>
      </w:r>
      <w:r w:rsidR="00637B2B" w:rsidRPr="003E6423">
        <w:rPr>
          <w:rFonts w:ascii="Arial" w:hAnsi="Arial" w:cs="Arial"/>
          <w:sz w:val="22"/>
          <w:lang w:val="es-ES_tradnl"/>
        </w:rPr>
        <w:t>lo accesorio sigue la suerte de lo principal</w:t>
      </w:r>
      <w:r w:rsidR="004A3BE5" w:rsidRPr="003E6423">
        <w:rPr>
          <w:rFonts w:ascii="Arial" w:hAnsi="Arial" w:cs="Arial"/>
          <w:sz w:val="22"/>
          <w:lang w:val="es-ES_tradnl"/>
        </w:rPr>
        <w:t>»</w:t>
      </w:r>
      <w:r w:rsidR="00637B2B" w:rsidRPr="003E6423">
        <w:rPr>
          <w:rFonts w:ascii="Arial" w:hAnsi="Arial" w:cs="Arial"/>
          <w:sz w:val="22"/>
          <w:lang w:val="es-ES_tradnl"/>
        </w:rPr>
        <w:t xml:space="preserve">, si se subroga la norma </w:t>
      </w:r>
      <w:r w:rsidR="00637B2B" w:rsidRPr="003E6423">
        <w:rPr>
          <w:rFonts w:ascii="Arial" w:hAnsi="Arial" w:cs="Arial"/>
          <w:i/>
          <w:iCs/>
          <w:sz w:val="22"/>
          <w:lang w:val="es-ES_tradnl"/>
        </w:rPr>
        <w:t>principal</w:t>
      </w:r>
      <w:r w:rsidR="00637B2B" w:rsidRPr="003E6423">
        <w:rPr>
          <w:rFonts w:ascii="Arial" w:hAnsi="Arial" w:cs="Arial"/>
          <w:sz w:val="22"/>
          <w:lang w:val="es-ES_tradnl"/>
        </w:rPr>
        <w:t xml:space="preserve"> que había sido modificada por el artículo 42 de la Ley 1955 de 201</w:t>
      </w:r>
      <w:r w:rsidR="005A628C" w:rsidRPr="003E6423">
        <w:rPr>
          <w:rFonts w:ascii="Arial" w:hAnsi="Arial" w:cs="Arial"/>
          <w:sz w:val="22"/>
          <w:lang w:val="es-ES_tradnl"/>
        </w:rPr>
        <w:t>9, de contera</w:t>
      </w:r>
      <w:r w:rsidR="004A3BE5" w:rsidRPr="003E6423">
        <w:rPr>
          <w:rFonts w:ascii="Arial" w:hAnsi="Arial" w:cs="Arial"/>
          <w:sz w:val="22"/>
          <w:lang w:val="es-ES_tradnl"/>
        </w:rPr>
        <w:t>,</w:t>
      </w:r>
      <w:r w:rsidR="005A628C" w:rsidRPr="003E6423">
        <w:rPr>
          <w:rFonts w:ascii="Arial" w:hAnsi="Arial" w:cs="Arial"/>
          <w:sz w:val="22"/>
          <w:lang w:val="es-ES_tradnl"/>
        </w:rPr>
        <w:t xml:space="preserve"> </w:t>
      </w:r>
      <w:r w:rsidR="005B332A" w:rsidRPr="003E6423">
        <w:rPr>
          <w:rFonts w:ascii="Arial" w:hAnsi="Arial" w:cs="Arial"/>
          <w:sz w:val="22"/>
          <w:lang w:val="es-ES_tradnl"/>
        </w:rPr>
        <w:t xml:space="preserve">la </w:t>
      </w:r>
      <w:r w:rsidR="005B332A" w:rsidRPr="003E6423">
        <w:rPr>
          <w:rFonts w:ascii="Arial" w:hAnsi="Arial" w:cs="Arial"/>
          <w:i/>
          <w:iCs/>
          <w:sz w:val="22"/>
          <w:lang w:val="es-ES_tradnl"/>
        </w:rPr>
        <w:t>accesoria</w:t>
      </w:r>
      <w:r w:rsidR="005A628C" w:rsidRPr="003E6423">
        <w:rPr>
          <w:rFonts w:ascii="Arial" w:hAnsi="Arial" w:cs="Arial"/>
          <w:sz w:val="22"/>
          <w:lang w:val="es-ES_tradnl"/>
        </w:rPr>
        <w:t xml:space="preserve"> también pierde vigencia.</w:t>
      </w:r>
      <w:r w:rsidR="00C62BF9" w:rsidRPr="003E6423">
        <w:rPr>
          <w:rFonts w:ascii="Arial" w:hAnsi="Arial" w:cs="Arial"/>
          <w:sz w:val="22"/>
          <w:lang w:val="es-ES_tradnl"/>
        </w:rPr>
        <w:t xml:space="preserve"> </w:t>
      </w:r>
      <w:r w:rsidR="00235CA3" w:rsidRPr="003E6423">
        <w:rPr>
          <w:rFonts w:ascii="Arial" w:hAnsi="Arial" w:cs="Arial"/>
          <w:sz w:val="22"/>
          <w:lang w:val="es-ES_tradnl"/>
        </w:rPr>
        <w:t>No podría afirmarse –como señala la consulta– que la Ley 1955 de 2019 es una ley orgánica</w:t>
      </w:r>
      <w:r w:rsidR="00ED0E32" w:rsidRPr="003E6423">
        <w:rPr>
          <w:rFonts w:ascii="Arial" w:hAnsi="Arial" w:cs="Arial"/>
          <w:sz w:val="22"/>
          <w:lang w:val="es-ES_tradnl"/>
        </w:rPr>
        <w:t xml:space="preserve">, pues en realidad es una ley ordinaria. Así lo ha expresado la Corte Constitucional, al indicar que </w:t>
      </w:r>
      <w:r w:rsidR="00E96B2A" w:rsidRPr="003E6423">
        <w:rPr>
          <w:rFonts w:ascii="Arial" w:hAnsi="Arial" w:cs="Arial"/>
          <w:sz w:val="22"/>
          <w:lang w:val="es-ES_tradnl"/>
        </w:rPr>
        <w:t>las leyes por las cuales se aprueba el plan nacional de desarrollo son leyes ordinarias</w:t>
      </w:r>
      <w:r w:rsidR="009A3DE2" w:rsidRPr="003E6423">
        <w:rPr>
          <w:rFonts w:ascii="Arial" w:hAnsi="Arial" w:cs="Arial"/>
          <w:sz w:val="22"/>
          <w:lang w:val="es-ES_tradnl"/>
        </w:rPr>
        <w:t>, diferentes a la ley orgánica del plan de desarrollo</w:t>
      </w:r>
      <w:r w:rsidR="00E05F4A" w:rsidRPr="003E6423">
        <w:rPr>
          <w:rFonts w:ascii="Arial" w:hAnsi="Arial" w:cs="Arial"/>
          <w:sz w:val="22"/>
          <w:lang w:val="es-ES_tradnl"/>
        </w:rPr>
        <w:t xml:space="preserve"> a la que se refieren los artículos 151</w:t>
      </w:r>
      <w:r w:rsidR="003D273E" w:rsidRPr="003E6423">
        <w:rPr>
          <w:rFonts w:ascii="Arial" w:hAnsi="Arial" w:cs="Arial"/>
          <w:sz w:val="22"/>
          <w:lang w:val="es-ES_tradnl"/>
        </w:rPr>
        <w:t xml:space="preserve"> y 342 de la Constitución</w:t>
      </w:r>
      <w:r w:rsidR="00190000" w:rsidRPr="003E6423">
        <w:rPr>
          <w:rStyle w:val="Refdenotaalpie"/>
          <w:rFonts w:ascii="Arial" w:hAnsi="Arial" w:cs="Arial"/>
          <w:sz w:val="22"/>
          <w:lang w:val="es-ES_tradnl"/>
        </w:rPr>
        <w:footnoteReference w:id="17"/>
      </w:r>
      <w:r w:rsidR="003D273E" w:rsidRPr="003E6423">
        <w:rPr>
          <w:rFonts w:ascii="Arial" w:hAnsi="Arial" w:cs="Arial"/>
          <w:sz w:val="22"/>
          <w:lang w:val="es-ES_tradnl"/>
        </w:rPr>
        <w:t>.</w:t>
      </w:r>
      <w:r w:rsidR="002B0980" w:rsidRPr="003E6423">
        <w:rPr>
          <w:rFonts w:ascii="Arial" w:hAnsi="Arial" w:cs="Arial"/>
          <w:sz w:val="22"/>
          <w:lang w:val="es-ES_tradnl"/>
        </w:rPr>
        <w:t xml:space="preserve"> Por lo tanto, no puede acudirse al argumento de la </w:t>
      </w:r>
      <w:r w:rsidR="008F3839" w:rsidRPr="003E6423">
        <w:rPr>
          <w:rFonts w:ascii="Arial" w:hAnsi="Arial" w:cs="Arial"/>
          <w:sz w:val="22"/>
          <w:lang w:val="es-ES_tradnl"/>
        </w:rPr>
        <w:t xml:space="preserve">supuesta </w:t>
      </w:r>
      <w:r w:rsidR="002B0980" w:rsidRPr="003E6423">
        <w:rPr>
          <w:rFonts w:ascii="Arial" w:hAnsi="Arial" w:cs="Arial"/>
          <w:sz w:val="22"/>
          <w:lang w:val="es-ES_tradnl"/>
        </w:rPr>
        <w:t>mayor jerarquía de la Ley 1955 de 2019 para justificar que su artículo 42 no fue derogado por el artículo 30 de la Ley 2069 de 2020.</w:t>
      </w:r>
    </w:p>
    <w:p w14:paraId="681594E8" w14:textId="07410FE6" w:rsidR="002B0980" w:rsidRPr="003E6423" w:rsidRDefault="00A32D82" w:rsidP="00687702">
      <w:pPr>
        <w:spacing w:before="120" w:line="276" w:lineRule="auto"/>
        <w:ind w:firstLine="709"/>
        <w:jc w:val="both"/>
        <w:rPr>
          <w:rFonts w:ascii="Arial" w:hAnsi="Arial" w:cs="Arial"/>
          <w:sz w:val="22"/>
          <w:lang w:val="es-ES_tradnl"/>
        </w:rPr>
      </w:pPr>
      <w:r w:rsidRPr="003E6423">
        <w:rPr>
          <w:rFonts w:ascii="Arial" w:hAnsi="Arial" w:cs="Arial"/>
          <w:sz w:val="22"/>
          <w:lang w:val="es-ES_tradnl"/>
        </w:rPr>
        <w:t>v) E</w:t>
      </w:r>
      <w:r w:rsidR="002B0980" w:rsidRPr="003E6423">
        <w:rPr>
          <w:rFonts w:ascii="Arial" w:hAnsi="Arial" w:cs="Arial"/>
          <w:sz w:val="22"/>
          <w:lang w:val="es-ES_tradnl"/>
        </w:rPr>
        <w:t xml:space="preserve">l artículo </w:t>
      </w:r>
      <w:r w:rsidR="008F3839" w:rsidRPr="003E6423">
        <w:rPr>
          <w:rFonts w:ascii="Arial" w:hAnsi="Arial" w:cs="Arial"/>
          <w:sz w:val="22"/>
          <w:lang w:val="es-ES_tradnl"/>
        </w:rPr>
        <w:t xml:space="preserve">84 de la Ley 2069 de 2020 establece que «La presente Ley rige a partir del momento de su promulgación, […] y deroga </w:t>
      </w:r>
      <w:r w:rsidR="006740B6" w:rsidRPr="003E6423">
        <w:rPr>
          <w:rFonts w:ascii="Arial" w:hAnsi="Arial" w:cs="Arial"/>
          <w:sz w:val="22"/>
          <w:lang w:val="es-ES_tradnl"/>
        </w:rPr>
        <w:t>[…]</w:t>
      </w:r>
      <w:r w:rsidR="008F3839" w:rsidRPr="003E6423">
        <w:rPr>
          <w:rFonts w:ascii="Arial" w:hAnsi="Arial" w:cs="Arial"/>
          <w:sz w:val="22"/>
          <w:lang w:val="es-ES_tradnl"/>
        </w:rPr>
        <w:t xml:space="preserve"> todas las disposiciones que le sean contrarias</w:t>
      </w:r>
      <w:r w:rsidR="006740B6" w:rsidRPr="003E6423">
        <w:rPr>
          <w:rFonts w:ascii="Arial" w:hAnsi="Arial" w:cs="Arial"/>
          <w:sz w:val="22"/>
          <w:lang w:val="es-ES_tradnl"/>
        </w:rPr>
        <w:t>»</w:t>
      </w:r>
      <w:r w:rsidR="008F3839" w:rsidRPr="003E6423">
        <w:rPr>
          <w:rFonts w:ascii="Arial" w:hAnsi="Arial" w:cs="Arial"/>
          <w:sz w:val="22"/>
          <w:lang w:val="es-ES_tradnl"/>
        </w:rPr>
        <w:t>.</w:t>
      </w:r>
      <w:r w:rsidR="006740B6" w:rsidRPr="003E6423">
        <w:rPr>
          <w:rFonts w:ascii="Arial" w:hAnsi="Arial" w:cs="Arial"/>
          <w:sz w:val="22"/>
          <w:lang w:val="es-ES_tradnl"/>
        </w:rPr>
        <w:t xml:space="preserve"> Si el artículo 30 </w:t>
      </w:r>
      <w:r w:rsidRPr="003E6423">
        <w:rPr>
          <w:rFonts w:ascii="Arial" w:hAnsi="Arial" w:cs="Arial"/>
          <w:sz w:val="22"/>
          <w:lang w:val="es-ES_tradnl"/>
        </w:rPr>
        <w:t>dispone</w:t>
      </w:r>
      <w:r w:rsidR="006740B6" w:rsidRPr="003E6423">
        <w:rPr>
          <w:rFonts w:ascii="Arial" w:hAnsi="Arial" w:cs="Arial"/>
          <w:sz w:val="22"/>
          <w:lang w:val="es-ES_tradnl"/>
        </w:rPr>
        <w:t xml:space="preserve"> en qué casos </w:t>
      </w:r>
      <w:r w:rsidR="00080A04" w:rsidRPr="003E6423">
        <w:rPr>
          <w:rFonts w:ascii="Arial" w:hAnsi="Arial" w:cs="Arial"/>
          <w:sz w:val="22"/>
          <w:lang w:val="es-ES_tradnl"/>
        </w:rPr>
        <w:t xml:space="preserve">debe </w:t>
      </w:r>
      <w:r w:rsidRPr="003E6423">
        <w:rPr>
          <w:rFonts w:ascii="Arial" w:hAnsi="Arial" w:cs="Arial"/>
          <w:sz w:val="22"/>
          <w:lang w:val="es-ES_tradnl"/>
        </w:rPr>
        <w:t>adelantarse</w:t>
      </w:r>
      <w:r w:rsidR="00080A04" w:rsidRPr="003E6423">
        <w:rPr>
          <w:rFonts w:ascii="Arial" w:hAnsi="Arial" w:cs="Arial"/>
          <w:sz w:val="22"/>
          <w:lang w:val="es-ES_tradnl"/>
        </w:rPr>
        <w:t xml:space="preserve"> el procedimiento de mínima cuantía –cuando el valor de la contratación «[…] no excede del 10 por ciento de la menor cuantía de la entidad independientemente de su objeto»–, sin establecer excepciones al respecto, el artículo 42 de la Ley </w:t>
      </w:r>
      <w:r w:rsidR="005D7F43" w:rsidRPr="003E6423">
        <w:rPr>
          <w:rFonts w:ascii="Arial" w:hAnsi="Arial" w:cs="Arial"/>
          <w:sz w:val="22"/>
          <w:lang w:val="es-ES_tradnl"/>
        </w:rPr>
        <w:t>1955 de 2019 resultaba contrario a esta regla</w:t>
      </w:r>
      <w:r w:rsidR="00415E0D" w:rsidRPr="003E6423">
        <w:rPr>
          <w:rFonts w:ascii="Arial" w:hAnsi="Arial" w:cs="Arial"/>
          <w:sz w:val="22"/>
          <w:lang w:val="es-ES_tradnl"/>
        </w:rPr>
        <w:t xml:space="preserve">. En efecto, </w:t>
      </w:r>
      <w:r w:rsidR="005D7F43" w:rsidRPr="003E6423">
        <w:rPr>
          <w:rFonts w:ascii="Arial" w:hAnsi="Arial" w:cs="Arial"/>
          <w:sz w:val="22"/>
          <w:lang w:val="es-ES_tradnl"/>
        </w:rPr>
        <w:t xml:space="preserve">establecía que </w:t>
      </w:r>
      <w:r w:rsidR="00D61634" w:rsidRPr="003E6423">
        <w:rPr>
          <w:rFonts w:ascii="Arial" w:hAnsi="Arial" w:cs="Arial"/>
          <w:sz w:val="22"/>
          <w:lang w:val="es-ES_tradnl"/>
        </w:rPr>
        <w:t xml:space="preserve">si el objeto de la contratación eran bienes o servicios de características técnicas uniformes cuyo valor no excediera el 10% de la menor cuantía, </w:t>
      </w:r>
      <w:r w:rsidR="00C56B58" w:rsidRPr="003E6423">
        <w:rPr>
          <w:rFonts w:ascii="Arial" w:hAnsi="Arial" w:cs="Arial"/>
          <w:sz w:val="22"/>
          <w:lang w:val="es-ES_tradnl"/>
        </w:rPr>
        <w:t xml:space="preserve">las entidades estatales obligadas </w:t>
      </w:r>
      <w:r w:rsidR="00D61634" w:rsidRPr="003E6423">
        <w:rPr>
          <w:rFonts w:ascii="Arial" w:hAnsi="Arial" w:cs="Arial"/>
          <w:sz w:val="22"/>
          <w:lang w:val="es-ES_tradnl"/>
        </w:rPr>
        <w:t>debía</w:t>
      </w:r>
      <w:r w:rsidR="0000712E" w:rsidRPr="003E6423">
        <w:rPr>
          <w:rFonts w:ascii="Arial" w:hAnsi="Arial" w:cs="Arial"/>
          <w:sz w:val="22"/>
          <w:lang w:val="es-ES_tradnl"/>
        </w:rPr>
        <w:t>n</w:t>
      </w:r>
      <w:r w:rsidR="00D61634" w:rsidRPr="003E6423">
        <w:rPr>
          <w:rFonts w:ascii="Arial" w:hAnsi="Arial" w:cs="Arial"/>
          <w:sz w:val="22"/>
          <w:lang w:val="es-ES_tradnl"/>
        </w:rPr>
        <w:t xml:space="preserve"> </w:t>
      </w:r>
      <w:r w:rsidR="00C56B58" w:rsidRPr="003E6423">
        <w:rPr>
          <w:rFonts w:ascii="Arial" w:hAnsi="Arial" w:cs="Arial"/>
          <w:sz w:val="22"/>
          <w:lang w:val="es-ES_tradnl"/>
        </w:rPr>
        <w:t>adquirir dichos bienes y servicios a través del</w:t>
      </w:r>
      <w:r w:rsidR="00D61634" w:rsidRPr="003E6423">
        <w:rPr>
          <w:rFonts w:ascii="Arial" w:hAnsi="Arial" w:cs="Arial"/>
          <w:sz w:val="22"/>
          <w:lang w:val="es-ES_tradnl"/>
        </w:rPr>
        <w:t xml:space="preserve"> acuerdo marco de precios</w:t>
      </w:r>
      <w:r w:rsidR="00C56B58" w:rsidRPr="003E6423">
        <w:rPr>
          <w:rFonts w:ascii="Arial" w:hAnsi="Arial" w:cs="Arial"/>
          <w:sz w:val="22"/>
          <w:lang w:val="es-ES_tradnl"/>
        </w:rPr>
        <w:t xml:space="preserve"> vigente y las</w:t>
      </w:r>
      <w:r w:rsidR="00FF40D6" w:rsidRPr="003E6423">
        <w:rPr>
          <w:rFonts w:ascii="Arial" w:hAnsi="Arial" w:cs="Arial"/>
          <w:sz w:val="22"/>
          <w:lang w:val="es-ES_tradnl"/>
        </w:rPr>
        <w:t xml:space="preserve"> entidades</w:t>
      </w:r>
      <w:r w:rsidR="00C56B58" w:rsidRPr="003E6423">
        <w:rPr>
          <w:rFonts w:ascii="Arial" w:hAnsi="Arial" w:cs="Arial"/>
          <w:sz w:val="22"/>
          <w:lang w:val="es-ES_tradnl"/>
        </w:rPr>
        <w:t xml:space="preserve"> no obligadas </w:t>
      </w:r>
      <w:r w:rsidR="00FF40D6" w:rsidRPr="003E6423">
        <w:rPr>
          <w:rFonts w:ascii="Arial" w:hAnsi="Arial" w:cs="Arial"/>
          <w:sz w:val="22"/>
          <w:lang w:val="es-ES_tradnl"/>
        </w:rPr>
        <w:t xml:space="preserve">también </w:t>
      </w:r>
      <w:r w:rsidR="00C56B58" w:rsidRPr="003E6423">
        <w:rPr>
          <w:rFonts w:ascii="Arial" w:hAnsi="Arial" w:cs="Arial"/>
          <w:sz w:val="22"/>
          <w:lang w:val="es-ES_tradnl"/>
        </w:rPr>
        <w:t xml:space="preserve">podían </w:t>
      </w:r>
      <w:r w:rsidR="00FF40D6" w:rsidRPr="003E6423">
        <w:rPr>
          <w:rFonts w:ascii="Arial" w:hAnsi="Arial" w:cs="Arial"/>
          <w:sz w:val="22"/>
          <w:lang w:val="es-ES_tradnl"/>
        </w:rPr>
        <w:t xml:space="preserve">preferir la adquisición mediante la tienda virtual, absteniéndose de </w:t>
      </w:r>
      <w:r w:rsidR="003B5E1F" w:rsidRPr="003E6423">
        <w:rPr>
          <w:rFonts w:ascii="Arial" w:hAnsi="Arial" w:cs="Arial"/>
          <w:sz w:val="22"/>
          <w:lang w:val="es-ES_tradnl"/>
        </w:rPr>
        <w:t>adelantar el trámite de la</w:t>
      </w:r>
      <w:r w:rsidR="00FF40D6" w:rsidRPr="003E6423">
        <w:rPr>
          <w:rFonts w:ascii="Arial" w:hAnsi="Arial" w:cs="Arial"/>
          <w:sz w:val="22"/>
          <w:lang w:val="es-ES_tradnl"/>
        </w:rPr>
        <w:t xml:space="preserve"> mínima cuantía. </w:t>
      </w:r>
      <w:r w:rsidR="00D854BB" w:rsidRPr="003E6423">
        <w:rPr>
          <w:rFonts w:ascii="Arial" w:hAnsi="Arial" w:cs="Arial"/>
          <w:sz w:val="22"/>
          <w:lang w:val="es-ES_tradnl"/>
        </w:rPr>
        <w:t xml:space="preserve">Como se aprecia, esta excepción no quedó prevista en el artículo 30 de la Ley 2069 de 2020. En consecuencia, al ser contraria a su contenido, se impone concluir </w:t>
      </w:r>
      <w:r w:rsidR="0050531A" w:rsidRPr="003E6423">
        <w:rPr>
          <w:rFonts w:ascii="Arial" w:hAnsi="Arial" w:cs="Arial"/>
          <w:sz w:val="22"/>
          <w:lang w:val="es-ES_tradnl"/>
        </w:rPr>
        <w:t>la</w:t>
      </w:r>
      <w:r w:rsidR="00D854BB" w:rsidRPr="003E6423">
        <w:rPr>
          <w:rFonts w:ascii="Arial" w:hAnsi="Arial" w:cs="Arial"/>
          <w:sz w:val="22"/>
          <w:lang w:val="es-ES_tradnl"/>
        </w:rPr>
        <w:t xml:space="preserve"> derogatoria</w:t>
      </w:r>
      <w:r w:rsidR="0050531A" w:rsidRPr="003E6423">
        <w:rPr>
          <w:rFonts w:ascii="Arial" w:hAnsi="Arial" w:cs="Arial"/>
          <w:sz w:val="22"/>
          <w:lang w:val="es-ES_tradnl"/>
        </w:rPr>
        <w:t xml:space="preserve"> del artículo 42 de la Ley 1955 de 2019</w:t>
      </w:r>
      <w:r w:rsidR="00D854BB" w:rsidRPr="003E6423">
        <w:rPr>
          <w:rFonts w:ascii="Arial" w:hAnsi="Arial" w:cs="Arial"/>
          <w:sz w:val="22"/>
          <w:lang w:val="es-ES_tradnl"/>
        </w:rPr>
        <w:t xml:space="preserve"> en virtud del artículo 84 de la Ley </w:t>
      </w:r>
      <w:r w:rsidR="00C92DEC" w:rsidRPr="003E6423">
        <w:rPr>
          <w:rFonts w:ascii="Arial" w:hAnsi="Arial" w:cs="Arial"/>
          <w:sz w:val="22"/>
          <w:lang w:val="es-ES_tradnl"/>
        </w:rPr>
        <w:t>de Emprendimiento</w:t>
      </w:r>
      <w:r w:rsidR="00D854BB" w:rsidRPr="003E6423">
        <w:rPr>
          <w:rFonts w:ascii="Arial" w:hAnsi="Arial" w:cs="Arial"/>
          <w:sz w:val="22"/>
          <w:lang w:val="es-ES_tradnl"/>
        </w:rPr>
        <w:t>.</w:t>
      </w:r>
    </w:p>
    <w:p w14:paraId="4D1A3704" w14:textId="29A65EA1" w:rsidR="00EB3C01" w:rsidRPr="003E6423" w:rsidRDefault="00A36E33" w:rsidP="00C6079C">
      <w:pPr>
        <w:spacing w:before="120" w:line="276" w:lineRule="auto"/>
        <w:ind w:firstLine="709"/>
        <w:jc w:val="both"/>
        <w:rPr>
          <w:rFonts w:ascii="Arial" w:hAnsi="Arial" w:cs="Arial"/>
          <w:sz w:val="22"/>
          <w:lang w:val="es-ES_tradnl"/>
        </w:rPr>
      </w:pPr>
      <w:r w:rsidRPr="003E6423">
        <w:rPr>
          <w:rFonts w:ascii="Arial" w:hAnsi="Arial" w:cs="Arial"/>
          <w:sz w:val="22"/>
          <w:lang w:val="es-ES_tradnl"/>
        </w:rPr>
        <w:t>iv) Por último</w:t>
      </w:r>
      <w:r w:rsidR="00D854BB" w:rsidRPr="003E6423">
        <w:rPr>
          <w:rFonts w:ascii="Arial" w:hAnsi="Arial" w:cs="Arial"/>
          <w:sz w:val="22"/>
          <w:lang w:val="es-ES_tradnl"/>
        </w:rPr>
        <w:t>, esta Agencia considera que</w:t>
      </w:r>
      <w:r w:rsidR="00164AC8" w:rsidRPr="003E6423">
        <w:rPr>
          <w:rFonts w:ascii="Arial" w:hAnsi="Arial" w:cs="Arial"/>
          <w:sz w:val="22"/>
          <w:lang w:val="es-ES_tradnl"/>
        </w:rPr>
        <w:t xml:space="preserve"> la interpretación previamente expuesta es acorde con el criterio del Consejo de Estado</w:t>
      </w:r>
      <w:r w:rsidR="00036B26" w:rsidRPr="003E6423">
        <w:rPr>
          <w:rFonts w:ascii="Arial" w:hAnsi="Arial" w:cs="Arial"/>
          <w:sz w:val="22"/>
          <w:lang w:val="es-ES_tradnl"/>
        </w:rPr>
        <w:t xml:space="preserve"> contenido</w:t>
      </w:r>
      <w:r w:rsidR="00870E6F" w:rsidRPr="003E6423">
        <w:rPr>
          <w:rFonts w:ascii="Arial" w:hAnsi="Arial" w:cs="Arial"/>
          <w:sz w:val="22"/>
          <w:lang w:val="es-ES_tradnl"/>
        </w:rPr>
        <w:t xml:space="preserve"> en las providencias </w:t>
      </w:r>
      <w:r w:rsidR="00C6079C" w:rsidRPr="003E6423">
        <w:rPr>
          <w:rFonts w:ascii="Arial" w:hAnsi="Arial" w:cs="Arial"/>
          <w:sz w:val="22"/>
          <w:lang w:val="es-ES_tradnl"/>
        </w:rPr>
        <w:t>comentad</w:t>
      </w:r>
      <w:r w:rsidR="00870E6F" w:rsidRPr="003E6423">
        <w:rPr>
          <w:rFonts w:ascii="Arial" w:hAnsi="Arial" w:cs="Arial"/>
          <w:sz w:val="22"/>
          <w:lang w:val="es-ES_tradnl"/>
        </w:rPr>
        <w:t xml:space="preserve">as </w:t>
      </w:r>
      <w:r w:rsidR="00870E6F" w:rsidRPr="003E6423">
        <w:rPr>
          <w:rFonts w:ascii="Arial" w:hAnsi="Arial" w:cs="Arial"/>
          <w:i/>
          <w:iCs/>
          <w:sz w:val="22"/>
          <w:lang w:val="es-ES_tradnl"/>
        </w:rPr>
        <w:lastRenderedPageBreak/>
        <w:t>ut supra</w:t>
      </w:r>
      <w:r w:rsidR="00036B26" w:rsidRPr="003E6423">
        <w:rPr>
          <w:rStyle w:val="Refdenotaalpie"/>
          <w:rFonts w:ascii="Arial" w:hAnsi="Arial" w:cs="Arial"/>
          <w:sz w:val="22"/>
          <w:lang w:val="es-ES_tradnl"/>
        </w:rPr>
        <w:footnoteReference w:id="18"/>
      </w:r>
      <w:r w:rsidR="00036B26" w:rsidRPr="003E6423">
        <w:rPr>
          <w:rFonts w:ascii="Arial" w:hAnsi="Arial" w:cs="Arial"/>
          <w:sz w:val="22"/>
          <w:lang w:val="es-ES_tradnl"/>
        </w:rPr>
        <w:t xml:space="preserve">. </w:t>
      </w:r>
      <w:r w:rsidR="006B3FE2" w:rsidRPr="003E6423">
        <w:rPr>
          <w:rFonts w:ascii="Arial" w:hAnsi="Arial" w:cs="Arial"/>
          <w:sz w:val="22"/>
          <w:lang w:val="es-ES_tradnl"/>
        </w:rPr>
        <w:t>En efecto, según el alto tribunal,</w:t>
      </w:r>
      <w:r w:rsidR="00757565" w:rsidRPr="003E6423">
        <w:rPr>
          <w:rFonts w:ascii="Arial" w:hAnsi="Arial" w:cs="Arial"/>
          <w:sz w:val="22"/>
          <w:lang w:val="es-ES_tradnl"/>
        </w:rPr>
        <w:t xml:space="preserve"> </w:t>
      </w:r>
      <w:r w:rsidR="00B45352" w:rsidRPr="003E6423">
        <w:rPr>
          <w:rFonts w:ascii="Arial" w:hAnsi="Arial" w:cs="Arial"/>
          <w:sz w:val="22"/>
          <w:lang w:val="es-ES_tradnl"/>
        </w:rPr>
        <w:t>la mínima cuantía debe efectuarse cuando el valor de la contratación no exceda el 10% de la menor cuantía, independientemente del objeto.</w:t>
      </w:r>
      <w:r w:rsidR="00870E6F" w:rsidRPr="003E6423">
        <w:rPr>
          <w:rFonts w:ascii="Arial" w:hAnsi="Arial" w:cs="Arial"/>
          <w:sz w:val="22"/>
          <w:lang w:val="es-ES_tradnl"/>
        </w:rPr>
        <w:t xml:space="preserve"> </w:t>
      </w:r>
    </w:p>
    <w:p w14:paraId="6CD268D7" w14:textId="5F0CE987" w:rsidR="00BF5203" w:rsidRPr="003E6423" w:rsidRDefault="00BF5203" w:rsidP="004D1C27">
      <w:pPr>
        <w:spacing w:line="276" w:lineRule="auto"/>
        <w:jc w:val="both"/>
        <w:rPr>
          <w:rFonts w:ascii="Arial" w:eastAsia="Calibri" w:hAnsi="Arial" w:cs="Arial"/>
          <w:b/>
          <w:sz w:val="22"/>
          <w:lang w:val="es-ES_tradnl"/>
        </w:rPr>
      </w:pPr>
    </w:p>
    <w:p w14:paraId="0D67CFC4" w14:textId="4DE0CAF4" w:rsidR="00BF5203" w:rsidRPr="003E6423" w:rsidRDefault="00EE774F" w:rsidP="004D1C27">
      <w:pPr>
        <w:spacing w:line="276" w:lineRule="auto"/>
        <w:jc w:val="both"/>
        <w:rPr>
          <w:rFonts w:ascii="Arial" w:eastAsia="Calibri" w:hAnsi="Arial" w:cs="Arial"/>
          <w:b/>
          <w:sz w:val="22"/>
          <w:szCs w:val="22"/>
          <w:lang w:val="es-ES_tradnl"/>
        </w:rPr>
      </w:pPr>
      <w:r w:rsidRPr="003E6423">
        <w:rPr>
          <w:rFonts w:ascii="Arial" w:eastAsia="Calibri" w:hAnsi="Arial" w:cs="Arial"/>
          <w:b/>
          <w:sz w:val="22"/>
          <w:szCs w:val="22"/>
          <w:lang w:val="es-ES_tradnl"/>
        </w:rPr>
        <w:t>2.</w:t>
      </w:r>
      <w:r w:rsidR="0052645D" w:rsidRPr="003E6423">
        <w:rPr>
          <w:rFonts w:ascii="Arial" w:eastAsia="Calibri" w:hAnsi="Arial" w:cs="Arial"/>
          <w:b/>
          <w:sz w:val="22"/>
          <w:szCs w:val="22"/>
          <w:lang w:val="es-ES_tradnl"/>
        </w:rPr>
        <w:t>4</w:t>
      </w:r>
      <w:r w:rsidRPr="003E6423">
        <w:rPr>
          <w:rFonts w:ascii="Arial" w:eastAsia="Calibri" w:hAnsi="Arial" w:cs="Arial"/>
          <w:b/>
          <w:sz w:val="22"/>
          <w:szCs w:val="22"/>
          <w:lang w:val="es-ES_tradnl"/>
        </w:rPr>
        <w:t>. Planeación de la</w:t>
      </w:r>
      <w:r w:rsidR="00787812" w:rsidRPr="003E6423">
        <w:rPr>
          <w:rFonts w:ascii="Arial" w:eastAsia="Calibri" w:hAnsi="Arial" w:cs="Arial"/>
          <w:b/>
          <w:sz w:val="22"/>
          <w:szCs w:val="22"/>
          <w:lang w:val="es-ES_tradnl"/>
        </w:rPr>
        <w:t>s</w:t>
      </w:r>
      <w:r w:rsidRPr="003E6423">
        <w:rPr>
          <w:rFonts w:ascii="Arial" w:eastAsia="Calibri" w:hAnsi="Arial" w:cs="Arial"/>
          <w:b/>
          <w:sz w:val="22"/>
          <w:szCs w:val="22"/>
          <w:lang w:val="es-ES_tradnl"/>
        </w:rPr>
        <w:t xml:space="preserve"> adquisici</w:t>
      </w:r>
      <w:r w:rsidR="00787812" w:rsidRPr="003E6423">
        <w:rPr>
          <w:rFonts w:ascii="Arial" w:eastAsia="Calibri" w:hAnsi="Arial" w:cs="Arial"/>
          <w:b/>
          <w:sz w:val="22"/>
          <w:szCs w:val="22"/>
          <w:lang w:val="es-ES_tradnl"/>
        </w:rPr>
        <w:t>ones</w:t>
      </w:r>
      <w:r w:rsidRPr="003E6423">
        <w:rPr>
          <w:rFonts w:ascii="Arial" w:eastAsia="Calibri" w:hAnsi="Arial" w:cs="Arial"/>
          <w:b/>
          <w:sz w:val="22"/>
          <w:szCs w:val="22"/>
          <w:lang w:val="es-ES_tradnl"/>
        </w:rPr>
        <w:t xml:space="preserve"> de </w:t>
      </w:r>
      <w:r w:rsidR="00787812" w:rsidRPr="003E6423">
        <w:rPr>
          <w:rFonts w:ascii="Arial" w:eastAsia="Calibri" w:hAnsi="Arial" w:cs="Arial"/>
          <w:b/>
          <w:sz w:val="22"/>
          <w:szCs w:val="22"/>
          <w:lang w:val="es-ES_tradnl"/>
        </w:rPr>
        <w:t>b</w:t>
      </w:r>
      <w:r w:rsidRPr="003E6423">
        <w:rPr>
          <w:rFonts w:ascii="Arial" w:eastAsia="Calibri" w:hAnsi="Arial" w:cs="Arial"/>
          <w:b/>
          <w:sz w:val="22"/>
          <w:szCs w:val="22"/>
          <w:lang w:val="es-ES_tradnl"/>
        </w:rPr>
        <w:t xml:space="preserve">ienes y </w:t>
      </w:r>
      <w:r w:rsidR="00787812" w:rsidRPr="003E6423">
        <w:rPr>
          <w:rFonts w:ascii="Arial" w:eastAsia="Calibri" w:hAnsi="Arial" w:cs="Arial"/>
          <w:b/>
          <w:sz w:val="22"/>
          <w:szCs w:val="22"/>
          <w:lang w:val="es-ES_tradnl"/>
        </w:rPr>
        <w:t>s</w:t>
      </w:r>
      <w:r w:rsidRPr="003E6423">
        <w:rPr>
          <w:rFonts w:ascii="Arial" w:eastAsia="Calibri" w:hAnsi="Arial" w:cs="Arial"/>
          <w:b/>
          <w:sz w:val="22"/>
          <w:szCs w:val="22"/>
          <w:lang w:val="es-ES_tradnl"/>
        </w:rPr>
        <w:t xml:space="preserve">ervicios de </w:t>
      </w:r>
      <w:r w:rsidR="00787812" w:rsidRPr="003E6423">
        <w:rPr>
          <w:rFonts w:ascii="Arial" w:eastAsia="Calibri" w:hAnsi="Arial" w:cs="Arial"/>
          <w:b/>
          <w:sz w:val="22"/>
          <w:szCs w:val="22"/>
          <w:lang w:val="es-ES_tradnl"/>
        </w:rPr>
        <w:t>c</w:t>
      </w:r>
      <w:r w:rsidRPr="003E6423">
        <w:rPr>
          <w:rFonts w:ascii="Arial" w:eastAsia="Calibri" w:hAnsi="Arial" w:cs="Arial"/>
          <w:b/>
          <w:sz w:val="22"/>
          <w:szCs w:val="22"/>
          <w:lang w:val="es-ES_tradnl"/>
        </w:rPr>
        <w:t xml:space="preserve">aracterísticas </w:t>
      </w:r>
      <w:r w:rsidR="00787812" w:rsidRPr="003E6423">
        <w:rPr>
          <w:rFonts w:ascii="Arial" w:eastAsia="Calibri" w:hAnsi="Arial" w:cs="Arial"/>
          <w:b/>
          <w:sz w:val="22"/>
          <w:szCs w:val="22"/>
          <w:lang w:val="es-ES_tradnl"/>
        </w:rPr>
        <w:t>t</w:t>
      </w:r>
      <w:r w:rsidRPr="003E6423">
        <w:rPr>
          <w:rFonts w:ascii="Arial" w:eastAsia="Calibri" w:hAnsi="Arial" w:cs="Arial"/>
          <w:b/>
          <w:sz w:val="22"/>
          <w:szCs w:val="22"/>
          <w:lang w:val="es-ES_tradnl"/>
        </w:rPr>
        <w:t xml:space="preserve">écnicas </w:t>
      </w:r>
      <w:r w:rsidR="00787812" w:rsidRPr="003E6423">
        <w:rPr>
          <w:rFonts w:ascii="Arial" w:eastAsia="Calibri" w:hAnsi="Arial" w:cs="Arial"/>
          <w:b/>
          <w:sz w:val="22"/>
          <w:szCs w:val="22"/>
          <w:lang w:val="es-ES_tradnl"/>
        </w:rPr>
        <w:t>u</w:t>
      </w:r>
      <w:r w:rsidRPr="003E6423">
        <w:rPr>
          <w:rFonts w:ascii="Arial" w:eastAsia="Calibri" w:hAnsi="Arial" w:cs="Arial"/>
          <w:b/>
          <w:sz w:val="22"/>
          <w:szCs w:val="22"/>
          <w:lang w:val="es-ES_tradnl"/>
        </w:rPr>
        <w:t>niformes</w:t>
      </w:r>
      <w:r w:rsidR="00661332" w:rsidRPr="003E6423">
        <w:rPr>
          <w:rFonts w:ascii="Arial" w:eastAsia="Calibri" w:hAnsi="Arial" w:cs="Arial"/>
          <w:b/>
          <w:sz w:val="22"/>
          <w:szCs w:val="22"/>
          <w:lang w:val="es-ES_tradnl"/>
        </w:rPr>
        <w:t>:</w:t>
      </w:r>
      <w:r w:rsidR="00787812" w:rsidRPr="003E6423">
        <w:rPr>
          <w:rFonts w:ascii="Arial" w:eastAsia="Calibri" w:hAnsi="Arial" w:cs="Arial"/>
          <w:b/>
          <w:sz w:val="22"/>
          <w:szCs w:val="22"/>
          <w:lang w:val="es-ES_tradnl"/>
        </w:rPr>
        <w:t xml:space="preserve"> </w:t>
      </w:r>
      <w:r w:rsidR="00661332" w:rsidRPr="003E6423">
        <w:rPr>
          <w:rFonts w:ascii="Arial" w:eastAsia="Calibri" w:hAnsi="Arial" w:cs="Arial"/>
          <w:b/>
          <w:sz w:val="22"/>
          <w:szCs w:val="22"/>
          <w:lang w:val="es-ES_tradnl"/>
        </w:rPr>
        <w:t>alcance de la Circular Externa 004 de 21 de septiembre de 2021</w:t>
      </w:r>
    </w:p>
    <w:p w14:paraId="52702164" w14:textId="3893C7C9" w:rsidR="00BF5203" w:rsidRPr="003E6423" w:rsidRDefault="00BF5203" w:rsidP="00696056">
      <w:pPr>
        <w:jc w:val="both"/>
        <w:rPr>
          <w:rFonts w:ascii="Arial" w:eastAsia="Calibri" w:hAnsi="Arial" w:cs="Arial"/>
          <w:b/>
          <w:sz w:val="22"/>
          <w:szCs w:val="22"/>
          <w:lang w:val="es-ES_tradnl"/>
        </w:rPr>
      </w:pPr>
    </w:p>
    <w:p w14:paraId="46382ADF" w14:textId="4AEDC50C" w:rsidR="00226598" w:rsidRPr="003E6423" w:rsidRDefault="00BB7522" w:rsidP="00787812">
      <w:pPr>
        <w:spacing w:after="120" w:line="276" w:lineRule="auto"/>
        <w:jc w:val="both"/>
        <w:rPr>
          <w:rFonts w:ascii="Arial" w:eastAsia="Calibri" w:hAnsi="Arial" w:cs="Arial"/>
          <w:sz w:val="22"/>
          <w:szCs w:val="22"/>
          <w:lang w:val="es-MX"/>
        </w:rPr>
      </w:pPr>
      <w:r w:rsidRPr="003E6423">
        <w:rPr>
          <w:rFonts w:ascii="Arial" w:eastAsia="Calibri" w:hAnsi="Arial" w:cs="Arial"/>
          <w:sz w:val="22"/>
          <w:szCs w:val="22"/>
          <w:lang w:val="es-MX"/>
        </w:rPr>
        <w:t xml:space="preserve">De conformidad con </w:t>
      </w:r>
      <w:r w:rsidR="003F4162" w:rsidRPr="003E6423">
        <w:rPr>
          <w:rFonts w:ascii="Arial" w:eastAsia="Calibri" w:hAnsi="Arial" w:cs="Arial"/>
          <w:sz w:val="22"/>
          <w:szCs w:val="22"/>
          <w:lang w:val="es-MX"/>
        </w:rPr>
        <w:t xml:space="preserve">lo establecido en el literal del numeral 2 del artículo 2 de la Ley 1150 de 2007, la subasta inversa, la compra por catálogo a través de Acuerdos Marco de Precios y la compra en bolsas de productos, son los mecanismos a los que las entidades estatales regidas por EGCAP deben acudir para la adquisición de </w:t>
      </w:r>
      <w:r w:rsidR="00870E6F" w:rsidRPr="003E6423">
        <w:rPr>
          <w:rFonts w:ascii="Arial" w:eastAsia="Calibri" w:hAnsi="Arial" w:cs="Arial"/>
          <w:sz w:val="22"/>
          <w:szCs w:val="22"/>
          <w:lang w:val="es-MX"/>
        </w:rPr>
        <w:t>bienes de características técnicas uniformes</w:t>
      </w:r>
      <w:r w:rsidR="003F4162" w:rsidRPr="003E6423">
        <w:rPr>
          <w:rFonts w:ascii="Arial" w:eastAsia="Calibri" w:hAnsi="Arial" w:cs="Arial"/>
          <w:sz w:val="22"/>
          <w:szCs w:val="22"/>
          <w:vertAlign w:val="superscript"/>
          <w:lang w:val="es-MX"/>
        </w:rPr>
        <w:footnoteReference w:id="19"/>
      </w:r>
      <w:r w:rsidR="003F4162" w:rsidRPr="003E6423">
        <w:rPr>
          <w:rFonts w:ascii="Arial" w:eastAsia="Calibri" w:hAnsi="Arial" w:cs="Arial"/>
          <w:sz w:val="22"/>
          <w:szCs w:val="22"/>
          <w:lang w:val="es-MX"/>
        </w:rPr>
        <w:t xml:space="preserve">. </w:t>
      </w:r>
    </w:p>
    <w:p w14:paraId="11FAE8F9" w14:textId="5D0E3FB3" w:rsidR="00323CF4" w:rsidRPr="003E6423" w:rsidRDefault="00323CF4" w:rsidP="00132050">
      <w:pPr>
        <w:spacing w:after="120" w:line="276" w:lineRule="auto"/>
        <w:ind w:firstLine="708"/>
        <w:jc w:val="both"/>
        <w:rPr>
          <w:rFonts w:ascii="Arial" w:hAnsi="Arial" w:cs="Arial"/>
          <w:sz w:val="22"/>
          <w:szCs w:val="22"/>
        </w:rPr>
      </w:pPr>
      <w:r w:rsidRPr="003E6423">
        <w:rPr>
          <w:rFonts w:ascii="Arial" w:hAnsi="Arial" w:cs="Arial"/>
          <w:sz w:val="22"/>
          <w:szCs w:val="22"/>
        </w:rPr>
        <w:t>La subasta inversa es un mecanismo que consiste en «la puja dinámica, mediante la cual los oferentes, durante un tiempo determinado, ajustan su oferta respecto de aquellas variables susceptibles de ser mejoradas, con el fin de lograr el ofrecimiento que representa la mejor relación costo-beneficio para la entidad, de acuerdo con lo señalado en el pliego de condiciones»</w:t>
      </w:r>
      <w:r w:rsidRPr="003E6423">
        <w:rPr>
          <w:rStyle w:val="Refdenotaalpie"/>
          <w:rFonts w:ascii="Arial" w:hAnsi="Arial" w:cs="Arial"/>
          <w:sz w:val="22"/>
          <w:szCs w:val="22"/>
        </w:rPr>
        <w:footnoteReference w:id="20"/>
      </w:r>
      <w:r w:rsidRPr="003E6423">
        <w:rPr>
          <w:rFonts w:ascii="Arial" w:hAnsi="Arial" w:cs="Arial"/>
          <w:sz w:val="22"/>
          <w:szCs w:val="22"/>
        </w:rPr>
        <w:t xml:space="preserve">. </w:t>
      </w:r>
      <w:r w:rsidR="004A6624" w:rsidRPr="003E6423">
        <w:rPr>
          <w:rFonts w:ascii="Arial" w:hAnsi="Arial" w:cs="Arial"/>
          <w:sz w:val="22"/>
          <w:szCs w:val="22"/>
        </w:rPr>
        <w:t xml:space="preserve">Este mecanismo, en lo relativo a la modalidad de selección abreviada de menor cuantía, aparece reglamentado entre los artículos </w:t>
      </w:r>
      <w:r w:rsidR="00132050" w:rsidRPr="003E6423">
        <w:rPr>
          <w:rStyle w:val="normaltextrun"/>
          <w:rFonts w:ascii="Arial" w:hAnsi="Arial" w:cs="Arial"/>
          <w:sz w:val="22"/>
          <w:szCs w:val="22"/>
          <w:bdr w:val="none" w:sz="0" w:space="0" w:color="auto" w:frame="1"/>
          <w:lang w:val="es-ES"/>
        </w:rPr>
        <w:t xml:space="preserve">2.2.1.2.1.2.2 y 2.2.1.2.1.2.6 del Decreto 1082 de 2015. </w:t>
      </w:r>
      <w:r w:rsidRPr="003E6423">
        <w:rPr>
          <w:rFonts w:ascii="Arial" w:hAnsi="Arial" w:cs="Arial"/>
          <w:sz w:val="22"/>
          <w:szCs w:val="22"/>
        </w:rPr>
        <w:t xml:space="preserve">  </w:t>
      </w:r>
    </w:p>
    <w:p w14:paraId="4E4D1FE1" w14:textId="37667EEF" w:rsidR="00696056" w:rsidRPr="003E6423" w:rsidRDefault="00132050" w:rsidP="00696056">
      <w:pPr>
        <w:spacing w:after="120" w:line="276" w:lineRule="auto"/>
        <w:ind w:firstLine="709"/>
        <w:jc w:val="both"/>
        <w:rPr>
          <w:rFonts w:ascii="Arial" w:hAnsi="Arial" w:cs="Arial"/>
          <w:sz w:val="22"/>
          <w:szCs w:val="22"/>
          <w:lang w:val="es-ES_tradnl"/>
        </w:rPr>
      </w:pPr>
      <w:r w:rsidRPr="003E6423">
        <w:rPr>
          <w:rFonts w:ascii="Arial" w:eastAsia="Calibri" w:hAnsi="Arial" w:cs="Arial"/>
          <w:sz w:val="22"/>
          <w:szCs w:val="22"/>
          <w:lang w:val="es-MX"/>
        </w:rPr>
        <w:t>Por su parte, la compra por catálogo derivado de la celebración de Acuerdos Marco de Precios</w:t>
      </w:r>
      <w:r w:rsidR="00E50AC5" w:rsidRPr="003E6423">
        <w:rPr>
          <w:rFonts w:ascii="Arial" w:eastAsia="Calibri" w:hAnsi="Arial" w:cs="Arial"/>
          <w:sz w:val="22"/>
          <w:szCs w:val="22"/>
          <w:lang w:val="es-MX"/>
        </w:rPr>
        <w:t xml:space="preserve"> </w:t>
      </w:r>
      <w:r w:rsidRPr="003E6423">
        <w:rPr>
          <w:rFonts w:ascii="Arial" w:eastAsia="Calibri" w:hAnsi="Arial" w:cs="Arial"/>
          <w:sz w:val="22"/>
          <w:szCs w:val="22"/>
          <w:lang w:val="es-MX"/>
        </w:rPr>
        <w:t xml:space="preserve">está regulada entre los artículos </w:t>
      </w:r>
      <w:r w:rsidRPr="003E6423">
        <w:rPr>
          <w:rFonts w:ascii="Arial" w:hAnsi="Arial" w:cs="Arial"/>
          <w:sz w:val="22"/>
          <w:szCs w:val="22"/>
          <w:lang w:val="es-ES_tradnl"/>
        </w:rPr>
        <w:t xml:space="preserve">2.2.1.2.1.2.7 y </w:t>
      </w:r>
      <w:r w:rsidRPr="003E6423">
        <w:rPr>
          <w:rStyle w:val="normaltextrun"/>
          <w:rFonts w:ascii="Arial" w:hAnsi="Arial" w:cs="Arial"/>
          <w:sz w:val="22"/>
          <w:szCs w:val="22"/>
          <w:bdr w:val="none" w:sz="0" w:space="0" w:color="auto" w:frame="1"/>
          <w:lang w:val="es-ES"/>
        </w:rPr>
        <w:t>2.2.1.2.1.2.10</w:t>
      </w:r>
      <w:r w:rsidR="00E50AC5" w:rsidRPr="003E6423">
        <w:rPr>
          <w:rStyle w:val="normaltextrun"/>
          <w:rFonts w:ascii="Arial" w:hAnsi="Arial" w:cs="Arial"/>
          <w:sz w:val="22"/>
          <w:szCs w:val="22"/>
          <w:bdr w:val="none" w:sz="0" w:space="0" w:color="auto" w:frame="1"/>
          <w:lang w:val="es-ES"/>
        </w:rPr>
        <w:t xml:space="preserve"> del Decreto 1082 </w:t>
      </w:r>
      <w:r w:rsidR="00E50AC5" w:rsidRPr="003E6423">
        <w:rPr>
          <w:rStyle w:val="normaltextrun"/>
          <w:rFonts w:ascii="Arial" w:hAnsi="Arial" w:cs="Arial"/>
          <w:sz w:val="22"/>
          <w:szCs w:val="22"/>
          <w:bdr w:val="none" w:sz="0" w:space="0" w:color="auto" w:frame="1"/>
          <w:lang w:val="es-ES"/>
        </w:rPr>
        <w:lastRenderedPageBreak/>
        <w:t xml:space="preserve">de 2015. </w:t>
      </w:r>
      <w:r w:rsidR="00E50AC5" w:rsidRPr="003E6423">
        <w:rPr>
          <w:rFonts w:ascii="Arial" w:hAnsi="Arial" w:cs="Arial"/>
          <w:sz w:val="22"/>
          <w:szCs w:val="22"/>
          <w:lang w:val="es-ES_tradnl"/>
        </w:rPr>
        <w:t>El artículo 2.2.1.1.1.3.1. del mencionado Decreto define el Acuerdo Marco de Precios como el «Contrato celebrado entre uno o más proveedores y Colombia Compra Eficiente, o quien haga sus veces, para la provisión a las Entidades Estatales de Bienes y Servicios de Características Técnicas Uniformes, en la forma, plazo y condiciones establecidas en este»</w:t>
      </w:r>
      <w:r w:rsidR="00E50AC5" w:rsidRPr="003E6423">
        <w:rPr>
          <w:rStyle w:val="Refdenotaalpie"/>
          <w:rFonts w:ascii="Arial" w:hAnsi="Arial" w:cs="Arial"/>
          <w:sz w:val="22"/>
          <w:szCs w:val="22"/>
          <w:lang w:val="es-ES_tradnl"/>
        </w:rPr>
        <w:footnoteReference w:id="21"/>
      </w:r>
      <w:r w:rsidR="00E50AC5" w:rsidRPr="003E6423">
        <w:rPr>
          <w:rFonts w:ascii="Arial" w:hAnsi="Arial" w:cs="Arial"/>
          <w:sz w:val="22"/>
          <w:szCs w:val="22"/>
          <w:lang w:val="es-ES_tradnl"/>
        </w:rPr>
        <w:t>.</w:t>
      </w:r>
      <w:r w:rsidR="00696056" w:rsidRPr="003E6423">
        <w:rPr>
          <w:rFonts w:ascii="Arial" w:hAnsi="Arial" w:cs="Arial"/>
          <w:sz w:val="22"/>
          <w:szCs w:val="22"/>
          <w:lang w:val="es-ES_tradnl"/>
        </w:rPr>
        <w:t xml:space="preserve"> Los Bienes o Servicios de Características Técnicas Uniformes disponibles en los catálogos derivados de la suscripción de los Acuerdos Marco de Precios, pueden adquirirse por las entidades estatales en la Tienda Virtual del Estado Colombiano</w:t>
      </w:r>
      <w:r w:rsidR="00696056" w:rsidRPr="003E6423">
        <w:rPr>
          <w:rStyle w:val="Refdenotaalpie"/>
          <w:rFonts w:ascii="Arial" w:hAnsi="Arial" w:cs="Arial"/>
          <w:sz w:val="22"/>
          <w:szCs w:val="22"/>
          <w:lang w:val="es-ES_tradnl"/>
        </w:rPr>
        <w:footnoteReference w:id="22"/>
      </w:r>
      <w:r w:rsidR="00696056" w:rsidRPr="003E6423">
        <w:rPr>
          <w:rFonts w:ascii="Arial" w:hAnsi="Arial" w:cs="Arial"/>
          <w:sz w:val="22"/>
          <w:szCs w:val="22"/>
          <w:lang w:val="es-ES_tradnl"/>
        </w:rPr>
        <w:t>.</w:t>
      </w:r>
    </w:p>
    <w:p w14:paraId="46941D5C" w14:textId="75CD2BCA" w:rsidR="00226598" w:rsidRPr="003E6423" w:rsidRDefault="00696056" w:rsidP="007D2E1F">
      <w:pPr>
        <w:spacing w:after="120" w:line="276" w:lineRule="auto"/>
        <w:ind w:firstLine="708"/>
        <w:jc w:val="both"/>
        <w:rPr>
          <w:rFonts w:ascii="Arial" w:eastAsia="Calibri" w:hAnsi="Arial" w:cs="Arial"/>
          <w:sz w:val="22"/>
          <w:szCs w:val="22"/>
          <w:lang w:val="es-MX"/>
        </w:rPr>
      </w:pPr>
      <w:r w:rsidRPr="003E6423">
        <w:rPr>
          <w:rFonts w:ascii="Arial" w:eastAsia="Calibri" w:hAnsi="Arial" w:cs="Arial"/>
          <w:sz w:val="22"/>
          <w:szCs w:val="22"/>
          <w:lang w:val="es-MX"/>
        </w:rPr>
        <w:t>De otro lado, l</w:t>
      </w:r>
      <w:r w:rsidR="00226598" w:rsidRPr="003E6423">
        <w:rPr>
          <w:rFonts w:ascii="Arial" w:eastAsia="Calibri" w:hAnsi="Arial" w:cs="Arial"/>
          <w:sz w:val="22"/>
          <w:szCs w:val="22"/>
          <w:lang w:val="es-MX"/>
        </w:rPr>
        <w:t>a adquisición mediante el mecanismo de bolsa de productos se encuentra regulada por el Decreto 2555 de 2010 y los artículos 2.2.1.2.1.2.11 a 2.2.1.2.1.2.19 del Decreto 1082 de 2015. Est</w:t>
      </w:r>
      <w:r w:rsidR="00695C5F" w:rsidRPr="003E6423">
        <w:rPr>
          <w:rFonts w:ascii="Arial" w:eastAsia="Calibri" w:hAnsi="Arial" w:cs="Arial"/>
          <w:sz w:val="22"/>
          <w:szCs w:val="22"/>
          <w:lang w:val="es-MX"/>
        </w:rPr>
        <w:t>e mecanismo</w:t>
      </w:r>
      <w:r w:rsidR="00226598" w:rsidRPr="003E6423">
        <w:rPr>
          <w:rFonts w:ascii="Arial" w:eastAsia="Calibri" w:hAnsi="Arial" w:cs="Arial"/>
          <w:sz w:val="22"/>
          <w:szCs w:val="22"/>
          <w:lang w:val="es-MX"/>
        </w:rPr>
        <w:t xml:space="preserve"> hace posible que vendedores y compradores concurran en un mercado organizado donde se negocian de forma dinámica bienes y servicios, a través de procesos de subasta pública, a viva voz o en línea, en un ambiente transparente y altamente competitivo</w:t>
      </w:r>
      <w:r w:rsidR="00226598" w:rsidRPr="003E6423">
        <w:rPr>
          <w:rFonts w:ascii="Arial" w:eastAsia="Calibri" w:hAnsi="Arial" w:cs="Arial"/>
          <w:sz w:val="22"/>
          <w:szCs w:val="22"/>
          <w:vertAlign w:val="superscript"/>
          <w:lang w:val="es-MX"/>
        </w:rPr>
        <w:footnoteReference w:id="23"/>
      </w:r>
      <w:r w:rsidR="00226598" w:rsidRPr="003E6423">
        <w:rPr>
          <w:rFonts w:ascii="Arial" w:eastAsia="Calibri" w:hAnsi="Arial" w:cs="Arial"/>
          <w:sz w:val="22"/>
          <w:szCs w:val="22"/>
          <w:lang w:val="es-MX"/>
        </w:rPr>
        <w:t>. Los productos se negocian con base en una descripción detallada de los mismos, de acuerdo con una reglamentación que permite que los participantes estén en igualdad de oportunidades y que el precio de los productos sea resultado de la competencia entre los ofrecimientos</w:t>
      </w:r>
      <w:r w:rsidR="00226598" w:rsidRPr="003E6423">
        <w:rPr>
          <w:rFonts w:ascii="Arial" w:eastAsia="Calibri" w:hAnsi="Arial" w:cs="Arial"/>
          <w:sz w:val="22"/>
          <w:szCs w:val="22"/>
          <w:vertAlign w:val="superscript"/>
          <w:lang w:val="es-MX"/>
        </w:rPr>
        <w:footnoteReference w:id="24"/>
      </w:r>
      <w:r w:rsidR="00226598" w:rsidRPr="003E6423">
        <w:rPr>
          <w:rFonts w:ascii="Arial" w:eastAsia="Calibri" w:hAnsi="Arial" w:cs="Arial"/>
          <w:sz w:val="22"/>
          <w:szCs w:val="22"/>
          <w:lang w:val="es-MX"/>
        </w:rPr>
        <w:t xml:space="preserve">. La negociación por parte de la entidad se da a través de un comisionista, el cual debe ser contratado por la entidad de </w:t>
      </w:r>
      <w:r w:rsidR="00226598" w:rsidRPr="003E6423">
        <w:rPr>
          <w:rFonts w:ascii="Arial" w:eastAsia="Calibri" w:hAnsi="Arial" w:cs="Arial"/>
          <w:sz w:val="22"/>
          <w:szCs w:val="22"/>
          <w:lang w:val="es-MX"/>
        </w:rPr>
        <w:lastRenderedPageBreak/>
        <w:t>conformidad con el procedimiento y reglas de la respectiva bolsa de productos</w:t>
      </w:r>
      <w:r w:rsidR="00226598" w:rsidRPr="003E6423">
        <w:rPr>
          <w:rFonts w:ascii="Arial" w:eastAsia="Calibri" w:hAnsi="Arial" w:cs="Arial"/>
          <w:sz w:val="22"/>
          <w:szCs w:val="22"/>
          <w:vertAlign w:val="superscript"/>
          <w:lang w:val="es-MX"/>
        </w:rPr>
        <w:footnoteReference w:id="25"/>
      </w:r>
      <w:r w:rsidR="00226598" w:rsidRPr="003E6423">
        <w:rPr>
          <w:rFonts w:ascii="Arial" w:eastAsia="Calibri" w:hAnsi="Arial" w:cs="Arial"/>
          <w:sz w:val="22"/>
          <w:szCs w:val="22"/>
          <w:lang w:val="es-MX"/>
        </w:rPr>
        <w:t>. A su vez, la calidad de los productos negociados y la liquidación de las operaciones celebradas debe estar respaldada por garantías</w:t>
      </w:r>
      <w:r w:rsidR="00226598" w:rsidRPr="003E6423">
        <w:rPr>
          <w:rFonts w:ascii="Arial" w:eastAsia="Calibri" w:hAnsi="Arial" w:cs="Arial"/>
          <w:sz w:val="22"/>
          <w:szCs w:val="22"/>
          <w:vertAlign w:val="superscript"/>
          <w:lang w:val="es-MX"/>
        </w:rPr>
        <w:footnoteReference w:id="26"/>
      </w:r>
      <w:r w:rsidR="00226598" w:rsidRPr="003E6423">
        <w:rPr>
          <w:rFonts w:ascii="Arial" w:eastAsia="Calibri" w:hAnsi="Arial" w:cs="Arial"/>
          <w:sz w:val="22"/>
          <w:szCs w:val="22"/>
          <w:lang w:val="es-MX"/>
        </w:rPr>
        <w:t>.</w:t>
      </w:r>
    </w:p>
    <w:p w14:paraId="5989D25B" w14:textId="5892383E" w:rsidR="007D2E1F" w:rsidRPr="003E6423" w:rsidRDefault="007D2E1F" w:rsidP="007D2E1F">
      <w:pPr>
        <w:spacing w:after="120" w:line="276" w:lineRule="auto"/>
        <w:ind w:firstLine="708"/>
        <w:jc w:val="both"/>
        <w:rPr>
          <w:rFonts w:ascii="Arial" w:eastAsia="Calibri" w:hAnsi="Arial" w:cs="Arial"/>
          <w:sz w:val="22"/>
          <w:szCs w:val="22"/>
          <w:lang w:val="es-MX"/>
        </w:rPr>
      </w:pPr>
      <w:r w:rsidRPr="003E6423">
        <w:rPr>
          <w:rFonts w:ascii="Arial" w:eastAsia="Calibri" w:hAnsi="Arial" w:cs="Arial"/>
          <w:sz w:val="22"/>
          <w:szCs w:val="22"/>
          <w:lang w:val="es-MX"/>
        </w:rPr>
        <w:t>Si bien</w:t>
      </w:r>
      <w:r w:rsidR="00787812" w:rsidRPr="003E6423">
        <w:rPr>
          <w:rFonts w:ascii="Arial" w:eastAsia="Calibri" w:hAnsi="Arial" w:cs="Arial"/>
          <w:sz w:val="22"/>
          <w:szCs w:val="22"/>
          <w:lang w:val="es-MX"/>
        </w:rPr>
        <w:t xml:space="preserve"> en algún momento</w:t>
      </w:r>
      <w:r w:rsidRPr="003E6423">
        <w:rPr>
          <w:rFonts w:ascii="Arial" w:eastAsia="Calibri" w:hAnsi="Arial" w:cs="Arial"/>
          <w:sz w:val="22"/>
          <w:szCs w:val="22"/>
          <w:lang w:val="es-MX"/>
        </w:rPr>
        <w:t xml:space="preserve"> las entidades</w:t>
      </w:r>
      <w:r w:rsidR="00787812" w:rsidRPr="003E6423">
        <w:rPr>
          <w:rFonts w:ascii="Arial" w:eastAsia="Calibri" w:hAnsi="Arial" w:cs="Arial"/>
          <w:sz w:val="22"/>
          <w:szCs w:val="22"/>
          <w:lang w:val="es-MX"/>
        </w:rPr>
        <w:t>,</w:t>
      </w:r>
      <w:r w:rsidRPr="003E6423">
        <w:rPr>
          <w:rFonts w:ascii="Arial" w:eastAsia="Calibri" w:hAnsi="Arial" w:cs="Arial"/>
          <w:sz w:val="22"/>
          <w:szCs w:val="22"/>
          <w:lang w:val="es-MX"/>
        </w:rPr>
        <w:t xml:space="preserve"> en general han tenido cierto margen de decisión para decidir a </w:t>
      </w:r>
      <w:r w:rsidR="008412CD" w:rsidRPr="003E6423">
        <w:rPr>
          <w:rFonts w:ascii="Arial" w:eastAsia="Calibri" w:hAnsi="Arial" w:cs="Arial"/>
          <w:sz w:val="22"/>
          <w:szCs w:val="22"/>
          <w:lang w:val="es-MX"/>
        </w:rPr>
        <w:t>cuál</w:t>
      </w:r>
      <w:r w:rsidRPr="003E6423">
        <w:rPr>
          <w:rFonts w:ascii="Arial" w:eastAsia="Calibri" w:hAnsi="Arial" w:cs="Arial"/>
          <w:sz w:val="22"/>
          <w:szCs w:val="22"/>
          <w:lang w:val="es-MX"/>
        </w:rPr>
        <w:t xml:space="preserve"> de los mencionados mecanismos acuden para adquirir los </w:t>
      </w:r>
      <w:r w:rsidR="00787812" w:rsidRPr="003E6423">
        <w:rPr>
          <w:rFonts w:ascii="Arial" w:eastAsia="Calibri" w:hAnsi="Arial" w:cs="Arial"/>
          <w:sz w:val="22"/>
          <w:szCs w:val="22"/>
          <w:lang w:val="es-MX"/>
        </w:rPr>
        <w:t xml:space="preserve">bienes de características técnicas uniformes </w:t>
      </w:r>
      <w:r w:rsidRPr="003E6423">
        <w:rPr>
          <w:rFonts w:ascii="Arial" w:eastAsia="Calibri" w:hAnsi="Arial" w:cs="Arial"/>
          <w:sz w:val="22"/>
          <w:szCs w:val="22"/>
          <w:lang w:val="es-MX"/>
        </w:rPr>
        <w:t xml:space="preserve">que requieren, esto ha sido </w:t>
      </w:r>
      <w:r w:rsidR="00A66846" w:rsidRPr="003E6423">
        <w:rPr>
          <w:rFonts w:ascii="Arial" w:eastAsia="Calibri" w:hAnsi="Arial" w:cs="Arial"/>
          <w:sz w:val="22"/>
          <w:szCs w:val="22"/>
          <w:lang w:val="es-MX"/>
        </w:rPr>
        <w:t xml:space="preserve">regulado por las normas reglamentarias, las cuales han venido privilegiando la aplicación de los </w:t>
      </w:r>
      <w:r w:rsidR="004F4B40" w:rsidRPr="003E6423">
        <w:rPr>
          <w:rFonts w:ascii="Arial" w:eastAsia="Calibri" w:hAnsi="Arial" w:cs="Arial"/>
          <w:sz w:val="22"/>
          <w:szCs w:val="22"/>
          <w:lang w:val="es-MX"/>
        </w:rPr>
        <w:t xml:space="preserve">acuerdos marcos de precio, en </w:t>
      </w:r>
      <w:r w:rsidR="00A66846" w:rsidRPr="003E6423">
        <w:rPr>
          <w:rFonts w:ascii="Arial" w:eastAsia="Calibri" w:hAnsi="Arial" w:cs="Arial"/>
          <w:sz w:val="22"/>
          <w:szCs w:val="22"/>
          <w:lang w:val="es-MX"/>
        </w:rPr>
        <w:t xml:space="preserve">detrimento de </w:t>
      </w:r>
      <w:r w:rsidR="00787812" w:rsidRPr="003E6423">
        <w:rPr>
          <w:rFonts w:ascii="Arial" w:eastAsia="Calibri" w:hAnsi="Arial" w:cs="Arial"/>
          <w:sz w:val="22"/>
          <w:szCs w:val="22"/>
          <w:lang w:val="es-MX"/>
        </w:rPr>
        <w:t xml:space="preserve">los </w:t>
      </w:r>
      <w:r w:rsidR="00A66846" w:rsidRPr="003E6423">
        <w:rPr>
          <w:rFonts w:ascii="Arial" w:eastAsia="Calibri" w:hAnsi="Arial" w:cs="Arial"/>
          <w:sz w:val="22"/>
          <w:szCs w:val="22"/>
          <w:lang w:val="es-MX"/>
        </w:rPr>
        <w:t>otros mecanismo</w:t>
      </w:r>
      <w:r w:rsidR="008412CD" w:rsidRPr="003E6423">
        <w:rPr>
          <w:rFonts w:ascii="Arial" w:eastAsia="Calibri" w:hAnsi="Arial" w:cs="Arial"/>
          <w:sz w:val="22"/>
          <w:szCs w:val="22"/>
          <w:lang w:val="es-MX"/>
        </w:rPr>
        <w:t>s</w:t>
      </w:r>
      <w:r w:rsidR="00A66846" w:rsidRPr="003E6423">
        <w:rPr>
          <w:rFonts w:ascii="Arial" w:eastAsia="Calibri" w:hAnsi="Arial" w:cs="Arial"/>
          <w:sz w:val="22"/>
          <w:szCs w:val="22"/>
          <w:lang w:val="es-MX"/>
        </w:rPr>
        <w:t xml:space="preserve">.  </w:t>
      </w:r>
      <w:r w:rsidR="004F4B40" w:rsidRPr="003E6423">
        <w:rPr>
          <w:rFonts w:ascii="Arial" w:eastAsia="Calibri" w:hAnsi="Arial" w:cs="Arial"/>
          <w:sz w:val="22"/>
          <w:szCs w:val="22"/>
          <w:lang w:val="es-MX"/>
        </w:rPr>
        <w:t>Para estos efectos, en se han ido estableciendo algunos tipos de entidades para las cuales, en ciertos supuestos, es obligatoria la utilización de los acuerdos marco de precios vigentes.</w:t>
      </w:r>
    </w:p>
    <w:p w14:paraId="4546EFC1" w14:textId="57B8F0B0" w:rsidR="008412CD" w:rsidRPr="003E6423" w:rsidRDefault="008412CD" w:rsidP="00B73BAA">
      <w:pPr>
        <w:spacing w:after="120" w:line="276" w:lineRule="auto"/>
        <w:ind w:firstLine="709"/>
        <w:jc w:val="both"/>
        <w:rPr>
          <w:rFonts w:ascii="Arial" w:hAnsi="Arial" w:cs="Arial"/>
          <w:sz w:val="22"/>
          <w:szCs w:val="22"/>
          <w:lang w:val="es-ES_tradnl"/>
        </w:rPr>
      </w:pPr>
      <w:r w:rsidRPr="003E6423">
        <w:rPr>
          <w:rFonts w:ascii="Arial" w:hAnsi="Arial" w:cs="Arial"/>
          <w:sz w:val="22"/>
          <w:szCs w:val="22"/>
          <w:lang w:val="es-ES_tradnl"/>
        </w:rPr>
        <w:t xml:space="preserve">En su momento, en ejercicio de la potestad reglamentaria, el </w:t>
      </w:r>
      <w:r w:rsidR="004F4B40" w:rsidRPr="003E6423">
        <w:rPr>
          <w:rFonts w:ascii="Arial" w:hAnsi="Arial" w:cs="Arial"/>
          <w:sz w:val="22"/>
          <w:szCs w:val="22"/>
          <w:lang w:val="es-ES_tradnl"/>
        </w:rPr>
        <w:t>g</w:t>
      </w:r>
      <w:r w:rsidRPr="003E6423">
        <w:rPr>
          <w:rFonts w:ascii="Arial" w:hAnsi="Arial" w:cs="Arial"/>
          <w:sz w:val="22"/>
          <w:szCs w:val="22"/>
          <w:lang w:val="es-ES_tradnl"/>
        </w:rPr>
        <w:t xml:space="preserve">obierno </w:t>
      </w:r>
      <w:r w:rsidR="004F4B40" w:rsidRPr="003E6423">
        <w:rPr>
          <w:rFonts w:ascii="Arial" w:hAnsi="Arial" w:cs="Arial"/>
          <w:sz w:val="22"/>
          <w:szCs w:val="22"/>
          <w:lang w:val="es-ES_tradnl"/>
        </w:rPr>
        <w:t>n</w:t>
      </w:r>
      <w:r w:rsidRPr="003E6423">
        <w:rPr>
          <w:rFonts w:ascii="Arial" w:hAnsi="Arial" w:cs="Arial"/>
          <w:sz w:val="22"/>
          <w:szCs w:val="22"/>
          <w:lang w:val="es-ES_tradnl"/>
        </w:rPr>
        <w:t xml:space="preserve">acional en el artículo 2.2.1.2.1.2.7, estableció que las entidades estatales del orden nacional estaban obligadas a adquirir sus </w:t>
      </w:r>
      <w:r w:rsidR="004F4B40" w:rsidRPr="003E6423">
        <w:rPr>
          <w:rFonts w:ascii="Arial" w:hAnsi="Arial" w:cs="Arial"/>
          <w:sz w:val="22"/>
          <w:szCs w:val="22"/>
          <w:lang w:val="es-ES_tradnl"/>
        </w:rPr>
        <w:t>bienes o servicios de características técnicas uniformes</w:t>
      </w:r>
      <w:r w:rsidRPr="003E6423">
        <w:rPr>
          <w:rFonts w:ascii="Arial" w:hAnsi="Arial" w:cs="Arial"/>
          <w:sz w:val="22"/>
          <w:szCs w:val="22"/>
          <w:lang w:val="es-ES_tradnl"/>
        </w:rPr>
        <w:t xml:space="preserve"> mediante los </w:t>
      </w:r>
      <w:r w:rsidR="004F4B40" w:rsidRPr="003E6423">
        <w:rPr>
          <w:rFonts w:ascii="Arial" w:hAnsi="Arial" w:cs="Arial"/>
          <w:sz w:val="22"/>
          <w:szCs w:val="22"/>
          <w:lang w:val="es-ES_tradnl"/>
        </w:rPr>
        <w:t>acuerdos marco de precios vigentes</w:t>
      </w:r>
      <w:r w:rsidRPr="003E6423">
        <w:rPr>
          <w:rFonts w:ascii="Arial" w:hAnsi="Arial" w:cs="Arial"/>
          <w:sz w:val="22"/>
          <w:szCs w:val="22"/>
          <w:lang w:val="es-ES_tradnl"/>
        </w:rPr>
        <w:t xml:space="preserve">, es decir que debían acudir a este instrumento de agregación de demanda y no a los otros mecanismos establecidos en la Ley 1150 de 2007 para obtener este tipo de bienes o servicios. No obstante, dicha norma fue recientemente modificada por el artículo 1 del Decreto 310 de 2021, </w:t>
      </w:r>
      <w:r w:rsidR="00DC7F42" w:rsidRPr="003E6423">
        <w:rPr>
          <w:rFonts w:ascii="Arial" w:hAnsi="Arial" w:cs="Arial"/>
          <w:sz w:val="22"/>
          <w:szCs w:val="22"/>
          <w:lang w:val="es-ES_tradnl"/>
        </w:rPr>
        <w:t>norma que amplió el numero de entidades obligadas a utilizar Acuerdos Marco de Precios, al establecer en su primer inciso que</w:t>
      </w:r>
      <w:r w:rsidR="008B6A60" w:rsidRPr="003E6423">
        <w:rPr>
          <w:rFonts w:ascii="Arial" w:hAnsi="Arial" w:cs="Arial"/>
          <w:sz w:val="22"/>
          <w:szCs w:val="22"/>
          <w:lang w:val="es-ES_tradnl"/>
        </w:rPr>
        <w:t>,</w:t>
      </w:r>
      <w:r w:rsidR="00DC7F42" w:rsidRPr="003E6423">
        <w:rPr>
          <w:rFonts w:ascii="Arial" w:hAnsi="Arial" w:cs="Arial"/>
          <w:sz w:val="22"/>
          <w:szCs w:val="22"/>
          <w:lang w:val="es-ES_tradnl"/>
        </w:rPr>
        <w:t xml:space="preserve"> </w:t>
      </w:r>
      <w:r w:rsidR="008D161D" w:rsidRPr="003E6423">
        <w:rPr>
          <w:rFonts w:ascii="Arial" w:hAnsi="Arial" w:cs="Arial"/>
          <w:sz w:val="22"/>
          <w:szCs w:val="22"/>
          <w:lang w:val="es-ES_tradnl"/>
        </w:rPr>
        <w:t>no solo las entidades de la Rama Ejecutiva del orden nacional, sino</w:t>
      </w:r>
      <w:r w:rsidR="00DC7F42" w:rsidRPr="003E6423">
        <w:rPr>
          <w:rFonts w:ascii="Arial" w:hAnsi="Arial" w:cs="Arial"/>
          <w:sz w:val="22"/>
          <w:szCs w:val="22"/>
          <w:lang w:val="es-ES_tradnl"/>
        </w:rPr>
        <w:t xml:space="preserve"> todas las «[…] Entidades Estatales sometidas al Estatuto General de Contratación de la Administración Pública, están obligadas a adquirir Bienes y Servicios de Características Técnicas Uniformes de Común Utilización a través de los Acuerdos Marco de Precios previamente justificados, diseñados, organizados y celebrados por la Agencia Nacional de Contratación </w:t>
      </w:r>
      <w:r w:rsidR="00DC7F42" w:rsidRPr="003E6423">
        <w:rPr>
          <w:rFonts w:ascii="Arial" w:hAnsi="Arial" w:cs="Arial"/>
          <w:sz w:val="22"/>
          <w:szCs w:val="22"/>
          <w:lang w:val="es-ES_tradnl"/>
        </w:rPr>
        <w:lastRenderedPageBreak/>
        <w:t>Pública -Colombia Compra Eficiente-».</w:t>
      </w:r>
      <w:r w:rsidR="00B73BAA" w:rsidRPr="003E6423">
        <w:rPr>
          <w:rFonts w:ascii="Arial" w:hAnsi="Arial" w:cs="Arial"/>
          <w:sz w:val="22"/>
          <w:szCs w:val="22"/>
          <w:lang w:val="es-ES_tradnl"/>
        </w:rPr>
        <w:t xml:space="preserve"> Al respecto, el inciso segundo del artículo 2.2.1.2.1.2.7, </w:t>
      </w:r>
      <w:r w:rsidR="007F1A8A" w:rsidRPr="003E6423">
        <w:rPr>
          <w:rFonts w:ascii="Arial" w:hAnsi="Arial" w:cs="Arial"/>
          <w:sz w:val="22"/>
          <w:szCs w:val="22"/>
          <w:lang w:val="es-ES_tradnl"/>
        </w:rPr>
        <w:t>modificado</w:t>
      </w:r>
      <w:r w:rsidR="00B73BAA" w:rsidRPr="003E6423">
        <w:rPr>
          <w:rFonts w:ascii="Arial" w:hAnsi="Arial" w:cs="Arial"/>
          <w:sz w:val="22"/>
          <w:szCs w:val="22"/>
          <w:lang w:val="es-ES_tradnl"/>
        </w:rPr>
        <w:t xml:space="preserve"> por el Decreto 310 de 2021, establece que la implementación de nuevos Acuerdos Marco de Precios de uso obligatorio para las entidades territoriales, estará precedida de un estudio de agregación de demanda, que debe tener en cuenta las particularidades propias de los mercados regionales, la necesidad de promover el desarrollo empresarial en las entidades territoriales a través de las mypimes y evitar en lo posible, la concentración de proveedores en ciertas ciudades del país</w:t>
      </w:r>
      <w:r w:rsidR="007F1A8A" w:rsidRPr="003E6423">
        <w:rPr>
          <w:rStyle w:val="Refdenotaalpie"/>
          <w:rFonts w:ascii="Arial" w:hAnsi="Arial" w:cs="Arial"/>
          <w:sz w:val="22"/>
          <w:szCs w:val="22"/>
          <w:lang w:val="es-ES_tradnl"/>
        </w:rPr>
        <w:footnoteReference w:id="27"/>
      </w:r>
      <w:r w:rsidR="00B73BAA" w:rsidRPr="003E6423">
        <w:rPr>
          <w:rFonts w:ascii="Arial" w:hAnsi="Arial" w:cs="Arial"/>
          <w:sz w:val="22"/>
          <w:szCs w:val="22"/>
          <w:lang w:val="es-ES_tradnl"/>
        </w:rPr>
        <w:t xml:space="preserve">.  </w:t>
      </w:r>
    </w:p>
    <w:p w14:paraId="78C0F1E5" w14:textId="502CAC8C" w:rsidR="008412CD" w:rsidRPr="003E6423" w:rsidRDefault="008B6A60" w:rsidP="007F1A8A">
      <w:pPr>
        <w:spacing w:after="120" w:line="276" w:lineRule="auto"/>
        <w:ind w:firstLine="709"/>
        <w:jc w:val="both"/>
        <w:rPr>
          <w:rFonts w:ascii="Arial" w:hAnsi="Arial" w:cs="Arial"/>
          <w:sz w:val="22"/>
          <w:lang w:val="es-ES_tradnl"/>
        </w:rPr>
      </w:pPr>
      <w:r w:rsidRPr="003E6423">
        <w:rPr>
          <w:rFonts w:ascii="Arial" w:hAnsi="Arial" w:cs="Arial"/>
          <w:sz w:val="22"/>
          <w:lang w:val="es-ES_tradnl"/>
        </w:rPr>
        <w:lastRenderedPageBreak/>
        <w:t>Para tal implementación</w:t>
      </w:r>
      <w:r w:rsidR="00B73BAA" w:rsidRPr="003E6423">
        <w:rPr>
          <w:rFonts w:ascii="Arial" w:hAnsi="Arial" w:cs="Arial"/>
          <w:sz w:val="22"/>
          <w:lang w:val="es-ES_tradnl"/>
        </w:rPr>
        <w:t xml:space="preserve">, el parágrafo 1 del artículo </w:t>
      </w:r>
      <w:r w:rsidR="00B73BAA" w:rsidRPr="003E6423">
        <w:rPr>
          <w:rFonts w:ascii="Arial" w:hAnsi="Arial" w:cs="Arial"/>
          <w:sz w:val="22"/>
          <w:szCs w:val="22"/>
          <w:lang w:val="es-ES_tradnl"/>
        </w:rPr>
        <w:t>2.2.1.2.1.2.7 establec</w:t>
      </w:r>
      <w:r w:rsidRPr="003E6423">
        <w:rPr>
          <w:rFonts w:ascii="Arial" w:hAnsi="Arial" w:cs="Arial"/>
          <w:sz w:val="22"/>
          <w:szCs w:val="22"/>
          <w:lang w:val="es-ES_tradnl"/>
        </w:rPr>
        <w:t>ió un esquema gradual</w:t>
      </w:r>
      <w:r w:rsidR="00B73BAA" w:rsidRPr="003E6423">
        <w:rPr>
          <w:rFonts w:ascii="Arial" w:hAnsi="Arial" w:cs="Arial"/>
          <w:sz w:val="22"/>
          <w:szCs w:val="22"/>
          <w:lang w:val="es-ES_tradnl"/>
        </w:rPr>
        <w:t xml:space="preserve"> </w:t>
      </w:r>
      <w:r w:rsidRPr="003E6423">
        <w:rPr>
          <w:rFonts w:ascii="Arial" w:hAnsi="Arial" w:cs="Arial"/>
          <w:sz w:val="22"/>
          <w:szCs w:val="22"/>
          <w:lang w:val="es-ES_tradnl"/>
        </w:rPr>
        <w:t>para ir haciendo</w:t>
      </w:r>
      <w:r w:rsidR="00B73BAA" w:rsidRPr="003E6423">
        <w:rPr>
          <w:rFonts w:ascii="Arial" w:hAnsi="Arial" w:cs="Arial"/>
          <w:sz w:val="22"/>
          <w:szCs w:val="22"/>
          <w:lang w:val="es-ES_tradnl"/>
        </w:rPr>
        <w:t xml:space="preserve"> obligatorio </w:t>
      </w:r>
      <w:r w:rsidRPr="003E6423">
        <w:rPr>
          <w:rFonts w:ascii="Arial" w:hAnsi="Arial" w:cs="Arial"/>
          <w:sz w:val="22"/>
          <w:szCs w:val="22"/>
          <w:lang w:val="es-ES_tradnl"/>
        </w:rPr>
        <w:t xml:space="preserve">el uso </w:t>
      </w:r>
      <w:r w:rsidR="00B73BAA" w:rsidRPr="003E6423">
        <w:rPr>
          <w:rFonts w:ascii="Arial" w:hAnsi="Arial" w:cs="Arial"/>
          <w:sz w:val="22"/>
          <w:szCs w:val="22"/>
          <w:lang w:val="es-ES_tradnl"/>
        </w:rPr>
        <w:t xml:space="preserve">de los </w:t>
      </w:r>
      <w:r w:rsidR="004F4B40" w:rsidRPr="003E6423">
        <w:rPr>
          <w:rFonts w:ascii="Arial" w:hAnsi="Arial" w:cs="Arial"/>
          <w:sz w:val="22"/>
          <w:szCs w:val="22"/>
          <w:lang w:val="es-ES_tradnl"/>
        </w:rPr>
        <w:t xml:space="preserve">acuerdos marco de precios </w:t>
      </w:r>
      <w:r w:rsidR="00B73BAA" w:rsidRPr="003E6423">
        <w:rPr>
          <w:rFonts w:ascii="Arial" w:hAnsi="Arial" w:cs="Arial"/>
          <w:sz w:val="22"/>
          <w:szCs w:val="22"/>
          <w:lang w:val="es-ES_tradnl"/>
        </w:rPr>
        <w:t xml:space="preserve">por parte de las entidades estatales sometidas al </w:t>
      </w:r>
      <w:r w:rsidRPr="003E6423">
        <w:rPr>
          <w:rFonts w:ascii="Arial" w:hAnsi="Arial" w:cs="Arial"/>
          <w:sz w:val="22"/>
          <w:szCs w:val="22"/>
          <w:lang w:val="es-ES_tradnl"/>
        </w:rPr>
        <w:t>EGCAP,</w:t>
      </w:r>
      <w:r w:rsidR="00B73BAA" w:rsidRPr="003E6423">
        <w:rPr>
          <w:rFonts w:ascii="Arial" w:hAnsi="Arial" w:cs="Arial"/>
          <w:sz w:val="22"/>
          <w:szCs w:val="22"/>
          <w:lang w:val="es-ES_tradnl"/>
        </w:rPr>
        <w:t xml:space="preserve"> </w:t>
      </w:r>
      <w:r w:rsidR="00941AFA" w:rsidRPr="003E6423">
        <w:rPr>
          <w:rFonts w:ascii="Arial" w:hAnsi="Arial" w:cs="Arial"/>
          <w:sz w:val="22"/>
          <w:szCs w:val="22"/>
          <w:lang w:val="es-ES_tradnl"/>
        </w:rPr>
        <w:t>de acuerdo con las condiciones técnicas de la plataforma de la Tienda Virtual del Estado Colombiano y la asignación de nuevos usuarios</w:t>
      </w:r>
      <w:r w:rsidR="00922625" w:rsidRPr="003E6423">
        <w:rPr>
          <w:rFonts w:ascii="Arial" w:hAnsi="Arial" w:cs="Arial"/>
          <w:sz w:val="22"/>
          <w:szCs w:val="22"/>
          <w:lang w:val="es-ES_tradnl"/>
        </w:rPr>
        <w:t>. Para tales efectos, el parágrafo</w:t>
      </w:r>
      <w:r w:rsidRPr="003E6423">
        <w:rPr>
          <w:rFonts w:ascii="Arial" w:hAnsi="Arial" w:cs="Arial"/>
          <w:sz w:val="22"/>
          <w:szCs w:val="22"/>
          <w:lang w:val="es-ES_tradnl"/>
        </w:rPr>
        <w:t xml:space="preserve"> establece unos grupos de entidades y fechas a partir de las cuales deberán comenzar a utilizar la Tienda Virtual del Estado Colombiano, </w:t>
      </w:r>
      <w:r w:rsidR="00922625" w:rsidRPr="003E6423">
        <w:rPr>
          <w:rFonts w:ascii="Arial" w:hAnsi="Arial" w:cs="Arial"/>
          <w:sz w:val="22"/>
          <w:szCs w:val="22"/>
          <w:lang w:val="es-ES_tradnl"/>
        </w:rPr>
        <w:t>faculta</w:t>
      </w:r>
      <w:r w:rsidRPr="003E6423">
        <w:rPr>
          <w:rFonts w:ascii="Arial" w:hAnsi="Arial" w:cs="Arial"/>
          <w:sz w:val="22"/>
          <w:szCs w:val="22"/>
          <w:lang w:val="es-ES_tradnl"/>
        </w:rPr>
        <w:t>ndo además</w:t>
      </w:r>
      <w:r w:rsidR="00922625" w:rsidRPr="003E6423">
        <w:rPr>
          <w:rFonts w:ascii="Arial" w:hAnsi="Arial" w:cs="Arial"/>
          <w:sz w:val="22"/>
          <w:szCs w:val="22"/>
          <w:lang w:val="es-ES_tradnl"/>
        </w:rPr>
        <w:t xml:space="preserve"> a la Agencia Nacional de Contratación Pública -Colombia Compra Eficiente, para que, mediante circular, adopte un plan operativo de despliegue detallado para el ingreso gradual de las entidades, el cual deberá contener las fechas exactas de ingreso y el desarrollo de un programa de capacitación.  </w:t>
      </w:r>
    </w:p>
    <w:p w14:paraId="3B3739C0" w14:textId="456CDBA5" w:rsidR="00226598" w:rsidRPr="003E6423" w:rsidRDefault="00226598" w:rsidP="00226598">
      <w:pPr>
        <w:spacing w:after="120" w:line="276" w:lineRule="auto"/>
        <w:jc w:val="both"/>
        <w:rPr>
          <w:rFonts w:ascii="Arial" w:eastAsia="Calibri" w:hAnsi="Arial" w:cs="Arial"/>
          <w:sz w:val="22"/>
          <w:szCs w:val="22"/>
          <w:lang w:val="es-MX"/>
        </w:rPr>
      </w:pPr>
      <w:r w:rsidRPr="003E6423">
        <w:rPr>
          <w:rFonts w:ascii="Arial" w:eastAsia="Calibri" w:hAnsi="Arial" w:cs="Arial"/>
          <w:sz w:val="22"/>
          <w:szCs w:val="22"/>
          <w:lang w:val="es-MX"/>
        </w:rPr>
        <w:tab/>
        <w:t>De</w:t>
      </w:r>
      <w:r w:rsidR="00B8287D" w:rsidRPr="003E6423">
        <w:rPr>
          <w:rFonts w:ascii="Arial" w:eastAsia="Calibri" w:hAnsi="Arial" w:cs="Arial"/>
          <w:sz w:val="22"/>
          <w:szCs w:val="22"/>
          <w:lang w:val="es-MX"/>
        </w:rPr>
        <w:t xml:space="preserve"> otra parte, de </w:t>
      </w:r>
      <w:r w:rsidRPr="003E6423">
        <w:rPr>
          <w:rFonts w:ascii="Arial" w:eastAsia="Calibri" w:hAnsi="Arial" w:cs="Arial"/>
          <w:sz w:val="22"/>
          <w:szCs w:val="22"/>
          <w:lang w:val="es-MX"/>
        </w:rPr>
        <w:t>conformidad con el artículo 2.2.1.2.1.2.12 del Decreto 1082 de 2015, modificado por el artículo 2 del Decreto 310 del 25 de marzo de 2021, cuando no exista un acuerdo marco de precios</w:t>
      </w:r>
      <w:r w:rsidR="008B6A60" w:rsidRPr="003E6423">
        <w:rPr>
          <w:rFonts w:ascii="Arial" w:eastAsia="Calibri" w:hAnsi="Arial" w:cs="Arial"/>
          <w:sz w:val="22"/>
          <w:szCs w:val="22"/>
          <w:lang w:val="es-MX"/>
        </w:rPr>
        <w:t>,</w:t>
      </w:r>
      <w:r w:rsidRPr="003E6423">
        <w:rPr>
          <w:rFonts w:ascii="Arial" w:eastAsia="Calibri" w:hAnsi="Arial" w:cs="Arial"/>
          <w:sz w:val="22"/>
          <w:szCs w:val="22"/>
          <w:lang w:val="es-MX"/>
        </w:rPr>
        <w:t xml:space="preserve"> el adelantamiento de una compra mediante el mecanismo de bolsa de productos requiere que las entidades realicen un estudio comparativo en el que determinen las ventajas de utilizar el mecanismo, frente a la posibilidad de acudir a la subasta inversa o a la posibilidad de promover un nuevo acuerdo marco de precios, análisis en que se deberá considerar el proceso de selección del comisionista, los costos asociados a la selección, el valor de la comisión y de las garantías. </w:t>
      </w:r>
      <w:r w:rsidR="00995BB3" w:rsidRPr="003E6423">
        <w:rPr>
          <w:rFonts w:ascii="Arial" w:eastAsia="Calibri" w:hAnsi="Arial" w:cs="Arial"/>
          <w:sz w:val="22"/>
          <w:szCs w:val="22"/>
          <w:lang w:val="es-MX"/>
        </w:rPr>
        <w:t>Además, l</w:t>
      </w:r>
      <w:r w:rsidRPr="003E6423">
        <w:rPr>
          <w:rFonts w:ascii="Arial" w:eastAsia="Calibri" w:hAnsi="Arial" w:cs="Arial"/>
          <w:sz w:val="22"/>
          <w:szCs w:val="22"/>
          <w:lang w:val="es-MX"/>
        </w:rPr>
        <w:t>a disposición indicada expresa que este estudio debe señalar la forma en que la entidad estatal garantiza</w:t>
      </w:r>
      <w:r w:rsidR="004F4B40" w:rsidRPr="003E6423">
        <w:rPr>
          <w:rFonts w:ascii="Arial" w:eastAsia="Calibri" w:hAnsi="Arial" w:cs="Arial"/>
          <w:sz w:val="22"/>
          <w:szCs w:val="22"/>
          <w:lang w:val="es-MX"/>
        </w:rPr>
        <w:t>rá</w:t>
      </w:r>
      <w:r w:rsidRPr="003E6423">
        <w:rPr>
          <w:rFonts w:ascii="Arial" w:eastAsia="Calibri" w:hAnsi="Arial" w:cs="Arial"/>
          <w:sz w:val="22"/>
          <w:szCs w:val="22"/>
          <w:lang w:val="es-MX"/>
        </w:rPr>
        <w:t xml:space="preserve"> los principios y objetivos del sistema de compras, contratación pública, los postulados de la función administrativa y de la gestión fiscal. De otro lado, expresamente se establece en el inciso segundo de la norma analizada que: «[…] este estudio deberá consignarse expresamente en los documentos del Proceso de Selección y se deberá garantizar su oportuna publicidad a través del SECOP». </w:t>
      </w:r>
    </w:p>
    <w:p w14:paraId="50AF40BB" w14:textId="631CAF56" w:rsidR="00226598" w:rsidRPr="003E6423" w:rsidRDefault="00226598" w:rsidP="00226598">
      <w:pPr>
        <w:spacing w:after="120" w:line="276" w:lineRule="auto"/>
        <w:jc w:val="both"/>
        <w:rPr>
          <w:rFonts w:ascii="Arial" w:eastAsia="Calibri" w:hAnsi="Arial" w:cs="Arial"/>
          <w:sz w:val="22"/>
          <w:szCs w:val="22"/>
          <w:lang w:val="es-MX"/>
        </w:rPr>
      </w:pPr>
      <w:r w:rsidRPr="003E6423">
        <w:rPr>
          <w:rFonts w:ascii="Arial" w:eastAsia="Calibri" w:hAnsi="Arial" w:cs="Arial"/>
          <w:lang w:val="es-MX"/>
        </w:rPr>
        <w:tab/>
      </w:r>
      <w:r w:rsidRPr="003E6423">
        <w:rPr>
          <w:rFonts w:ascii="Arial" w:eastAsia="Calibri" w:hAnsi="Arial" w:cs="Arial"/>
          <w:sz w:val="22"/>
          <w:szCs w:val="22"/>
          <w:lang w:val="es-MX"/>
        </w:rPr>
        <w:t xml:space="preserve">No obstante, los incisos tercero y cuarto de la disposición analizada también permiten a las entidades estatales acudir a las bolsas de productos cuando a pesar de la existencia de un acuerdo marco de precios, mediante aquel mecanismo se obtengan precios inferiores, incluyendo los costos generados por concepto de comisionistas de bolsa y los gastos de operación indicados en el artículo 2.2.1.2.1.2.15 del Decreto 1082 de 2015 y no se desmejoren las condiciones técnicas y de calidad. Este análisis comparativo se </w:t>
      </w:r>
      <w:r w:rsidRPr="003E6423">
        <w:rPr>
          <w:rFonts w:ascii="Arial" w:eastAsia="Calibri" w:hAnsi="Arial" w:cs="Arial"/>
          <w:sz w:val="22"/>
          <w:szCs w:val="22"/>
          <w:lang w:val="es-MX"/>
        </w:rPr>
        <w:lastRenderedPageBreak/>
        <w:t>debe realizar con el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 durante los últimos seis (6) meses»</w:t>
      </w:r>
      <w:r w:rsidRPr="003E6423">
        <w:rPr>
          <w:rStyle w:val="Refdenotaalpie"/>
          <w:rFonts w:ascii="Arial" w:eastAsia="Calibri" w:hAnsi="Arial" w:cs="Arial"/>
          <w:sz w:val="22"/>
          <w:szCs w:val="22"/>
          <w:lang w:val="es-MX"/>
        </w:rPr>
        <w:footnoteReference w:id="28"/>
      </w:r>
      <w:r w:rsidRPr="003E6423">
        <w:rPr>
          <w:rFonts w:ascii="Arial" w:eastAsia="Calibri" w:hAnsi="Arial" w:cs="Arial"/>
          <w:sz w:val="22"/>
          <w:szCs w:val="22"/>
          <w:lang w:val="es-MX"/>
        </w:rPr>
        <w:t>.</w:t>
      </w:r>
    </w:p>
    <w:p w14:paraId="7C6867F6" w14:textId="7C331FEE" w:rsidR="003D6D6A" w:rsidRPr="003E6423" w:rsidRDefault="00AB1B06" w:rsidP="00BC4C11">
      <w:pPr>
        <w:spacing w:after="120" w:line="276" w:lineRule="auto"/>
        <w:jc w:val="both"/>
        <w:rPr>
          <w:rFonts w:ascii="Arial" w:hAnsi="Arial" w:cs="Arial"/>
          <w:sz w:val="22"/>
          <w:szCs w:val="22"/>
        </w:rPr>
      </w:pPr>
      <w:r w:rsidRPr="003E6423">
        <w:rPr>
          <w:rFonts w:ascii="Arial" w:eastAsia="Calibri" w:hAnsi="Arial" w:cs="Arial"/>
          <w:sz w:val="22"/>
          <w:szCs w:val="22"/>
          <w:lang w:val="es-MX"/>
        </w:rPr>
        <w:tab/>
        <w:t xml:space="preserve">De otra parte, el parágrafo 1 de artículo 2.2.1.2.1.2.12, faculta </w:t>
      </w:r>
      <w:r w:rsidR="00694E9F" w:rsidRPr="003E6423">
        <w:rPr>
          <w:rFonts w:ascii="Arial" w:eastAsia="Calibri" w:hAnsi="Arial" w:cs="Arial"/>
          <w:sz w:val="22"/>
          <w:szCs w:val="22"/>
          <w:lang w:val="es-MX"/>
        </w:rPr>
        <w:t xml:space="preserve">a </w:t>
      </w:r>
      <w:r w:rsidR="00694E9F" w:rsidRPr="003E6423">
        <w:rPr>
          <w:rFonts w:ascii="Arial" w:hAnsi="Arial" w:cs="Arial"/>
          <w:sz w:val="22"/>
          <w:szCs w:val="22"/>
        </w:rPr>
        <w:t>l</w:t>
      </w:r>
      <w:r w:rsidRPr="003E6423">
        <w:rPr>
          <w:rFonts w:ascii="Arial" w:hAnsi="Arial" w:cs="Arial"/>
          <w:sz w:val="22"/>
          <w:szCs w:val="22"/>
        </w:rPr>
        <w:t>a Agencia Nacional de contratación Pública - Colombia Compra Eficiente</w:t>
      </w:r>
      <w:r w:rsidR="00622881" w:rsidRPr="003E6423">
        <w:rPr>
          <w:rFonts w:ascii="Arial" w:hAnsi="Arial" w:cs="Arial"/>
          <w:sz w:val="22"/>
          <w:szCs w:val="22"/>
        </w:rPr>
        <w:t xml:space="preserve"> para definir los lineamientos generales, </w:t>
      </w:r>
      <w:r w:rsidR="00C57F27" w:rsidRPr="003E6423">
        <w:rPr>
          <w:rFonts w:ascii="Arial" w:hAnsi="Arial" w:cs="Arial"/>
          <w:sz w:val="22"/>
          <w:szCs w:val="22"/>
        </w:rPr>
        <w:t xml:space="preserve">así como los </w:t>
      </w:r>
      <w:r w:rsidR="00622881" w:rsidRPr="003E6423">
        <w:rPr>
          <w:rFonts w:ascii="Arial" w:hAnsi="Arial" w:cs="Arial"/>
          <w:sz w:val="22"/>
          <w:szCs w:val="22"/>
        </w:rPr>
        <w:t>criterios objetivos y medibles con arreglo a los cuales, las entidades estatales debe</w:t>
      </w:r>
      <w:r w:rsidR="00C57F27" w:rsidRPr="003E6423">
        <w:rPr>
          <w:rFonts w:ascii="Arial" w:hAnsi="Arial" w:cs="Arial"/>
          <w:sz w:val="22"/>
          <w:szCs w:val="22"/>
        </w:rPr>
        <w:t>n</w:t>
      </w:r>
      <w:r w:rsidR="00622881" w:rsidRPr="003E6423">
        <w:rPr>
          <w:rFonts w:ascii="Arial" w:hAnsi="Arial" w:cs="Arial"/>
          <w:sz w:val="22"/>
          <w:szCs w:val="22"/>
        </w:rPr>
        <w:t xml:space="preserve"> realizar sus adquisiciones </w:t>
      </w:r>
      <w:r w:rsidR="00C57F27" w:rsidRPr="003E6423">
        <w:rPr>
          <w:rFonts w:ascii="Arial" w:hAnsi="Arial" w:cs="Arial"/>
          <w:sz w:val="22"/>
          <w:szCs w:val="22"/>
        </w:rPr>
        <w:t xml:space="preserve">de </w:t>
      </w:r>
      <w:r w:rsidR="00622881" w:rsidRPr="003E6423">
        <w:rPr>
          <w:rFonts w:ascii="Arial" w:hAnsi="Arial" w:cs="Arial"/>
          <w:sz w:val="22"/>
          <w:szCs w:val="22"/>
        </w:rPr>
        <w:t xml:space="preserve">bienes o servicios de características técnicas uniformes a través de </w:t>
      </w:r>
      <w:r w:rsidR="00F327C8" w:rsidRPr="003E6423">
        <w:rPr>
          <w:rFonts w:ascii="Arial" w:hAnsi="Arial" w:cs="Arial"/>
          <w:sz w:val="22"/>
          <w:szCs w:val="22"/>
        </w:rPr>
        <w:t>bolsas de productos,</w:t>
      </w:r>
      <w:r w:rsidR="00622881" w:rsidRPr="003E6423">
        <w:rPr>
          <w:rFonts w:ascii="Arial" w:hAnsi="Arial" w:cs="Arial"/>
          <w:sz w:val="22"/>
          <w:szCs w:val="22"/>
        </w:rPr>
        <w:t xml:space="preserve"> independientemente de que exista o no un </w:t>
      </w:r>
      <w:r w:rsidR="00F327C8" w:rsidRPr="003E6423">
        <w:rPr>
          <w:rFonts w:ascii="Arial" w:hAnsi="Arial" w:cs="Arial"/>
          <w:sz w:val="22"/>
          <w:szCs w:val="22"/>
        </w:rPr>
        <w:t>acuerdo marco de precios</w:t>
      </w:r>
      <w:r w:rsidR="00622881" w:rsidRPr="003E6423">
        <w:rPr>
          <w:rFonts w:ascii="Arial" w:hAnsi="Arial" w:cs="Arial"/>
          <w:sz w:val="22"/>
          <w:szCs w:val="22"/>
        </w:rPr>
        <w:t xml:space="preserve"> vigente</w:t>
      </w:r>
      <w:r w:rsidR="00C57F27" w:rsidRPr="003E6423">
        <w:rPr>
          <w:rFonts w:ascii="Arial" w:hAnsi="Arial" w:cs="Arial"/>
          <w:sz w:val="22"/>
          <w:szCs w:val="22"/>
        </w:rPr>
        <w:t xml:space="preserve">. Dicha facultad fue ejercida a través de la Circular </w:t>
      </w:r>
      <w:r w:rsidR="005814BD" w:rsidRPr="003E6423">
        <w:rPr>
          <w:rFonts w:ascii="Arial" w:hAnsi="Arial" w:cs="Arial"/>
          <w:sz w:val="22"/>
          <w:szCs w:val="22"/>
        </w:rPr>
        <w:t>CCE-</w:t>
      </w:r>
      <w:r w:rsidR="005814BD" w:rsidRPr="003E6423">
        <w:rPr>
          <w:rFonts w:ascii="Arial" w:hAnsi="Arial" w:cs="Arial"/>
          <w:sz w:val="22"/>
          <w:szCs w:val="22"/>
        </w:rPr>
        <w:lastRenderedPageBreak/>
        <w:t>004 del 21 de septiembre de 2021</w:t>
      </w:r>
      <w:r w:rsidR="00BC4C11" w:rsidRPr="003E6423">
        <w:rPr>
          <w:rStyle w:val="Refdenotaalpie"/>
          <w:rFonts w:ascii="Arial" w:hAnsi="Arial" w:cs="Arial"/>
          <w:sz w:val="22"/>
          <w:szCs w:val="22"/>
        </w:rPr>
        <w:footnoteReference w:id="29"/>
      </w:r>
      <w:r w:rsidR="005814BD" w:rsidRPr="003E6423">
        <w:rPr>
          <w:rFonts w:ascii="Arial" w:hAnsi="Arial" w:cs="Arial"/>
          <w:sz w:val="22"/>
          <w:szCs w:val="22"/>
        </w:rPr>
        <w:t xml:space="preserve">, en la que además del Plan Operativo de Despliegue para materializar el régimen de obligatoriedad </w:t>
      </w:r>
      <w:r w:rsidR="00545FA4" w:rsidRPr="003E6423">
        <w:rPr>
          <w:rFonts w:ascii="Arial" w:hAnsi="Arial" w:cs="Arial"/>
          <w:sz w:val="22"/>
          <w:szCs w:val="22"/>
        </w:rPr>
        <w:t xml:space="preserve">de </w:t>
      </w:r>
      <w:r w:rsidR="005814BD" w:rsidRPr="003E6423">
        <w:rPr>
          <w:rFonts w:ascii="Arial" w:hAnsi="Arial" w:cs="Arial"/>
          <w:sz w:val="22"/>
          <w:szCs w:val="22"/>
        </w:rPr>
        <w:t xml:space="preserve">la utilización de los </w:t>
      </w:r>
      <w:r w:rsidR="00F327C8" w:rsidRPr="003E6423">
        <w:rPr>
          <w:rFonts w:ascii="Arial" w:hAnsi="Arial" w:cs="Arial"/>
          <w:sz w:val="22"/>
          <w:szCs w:val="22"/>
        </w:rPr>
        <w:t>acuerdos marco de precios</w:t>
      </w:r>
      <w:r w:rsidR="005814BD" w:rsidRPr="003E6423">
        <w:rPr>
          <w:rFonts w:ascii="Arial" w:hAnsi="Arial" w:cs="Arial"/>
          <w:sz w:val="22"/>
          <w:szCs w:val="22"/>
        </w:rPr>
        <w:t>,</w:t>
      </w:r>
      <w:r w:rsidR="00545FA4" w:rsidRPr="003E6423">
        <w:rPr>
          <w:rFonts w:ascii="Arial" w:hAnsi="Arial" w:cs="Arial"/>
          <w:sz w:val="22"/>
          <w:szCs w:val="22"/>
        </w:rPr>
        <w:t xml:space="preserve"> se establecieron </w:t>
      </w:r>
      <w:r w:rsidR="00F327C8" w:rsidRPr="003E6423">
        <w:rPr>
          <w:rFonts w:ascii="Arial" w:hAnsi="Arial" w:cs="Arial"/>
          <w:sz w:val="22"/>
          <w:szCs w:val="22"/>
        </w:rPr>
        <w:t xml:space="preserve">unos criterios con base en los cuales las entidades estatales deben sustentar </w:t>
      </w:r>
      <w:r w:rsidR="00545FA4" w:rsidRPr="003E6423">
        <w:rPr>
          <w:rFonts w:ascii="Arial" w:hAnsi="Arial" w:cs="Arial"/>
          <w:sz w:val="22"/>
          <w:szCs w:val="22"/>
        </w:rPr>
        <w:t xml:space="preserve">la escogencia del </w:t>
      </w:r>
      <w:r w:rsidR="00F327C8" w:rsidRPr="003E6423">
        <w:rPr>
          <w:rFonts w:ascii="Arial" w:hAnsi="Arial" w:cs="Arial"/>
          <w:sz w:val="22"/>
          <w:szCs w:val="22"/>
        </w:rPr>
        <w:t xml:space="preserve">respectivo </w:t>
      </w:r>
      <w:r w:rsidR="00545FA4" w:rsidRPr="003E6423">
        <w:rPr>
          <w:rFonts w:ascii="Arial" w:hAnsi="Arial" w:cs="Arial"/>
          <w:sz w:val="22"/>
          <w:szCs w:val="22"/>
        </w:rPr>
        <w:t xml:space="preserve">mecanismo para adquirir </w:t>
      </w:r>
      <w:r w:rsidR="00F327C8" w:rsidRPr="003E6423">
        <w:rPr>
          <w:rFonts w:ascii="Arial" w:hAnsi="Arial" w:cs="Arial"/>
          <w:sz w:val="22"/>
          <w:szCs w:val="22"/>
        </w:rPr>
        <w:t>los bienes y/o servicios de características técnicas uniformes que requieran. Dentro de estos encontramos</w:t>
      </w:r>
      <w:r w:rsidR="00545FA4" w:rsidRPr="003E6423">
        <w:rPr>
          <w:rFonts w:ascii="Arial" w:hAnsi="Arial" w:cs="Arial"/>
          <w:sz w:val="22"/>
          <w:szCs w:val="22"/>
        </w:rPr>
        <w:t>:</w:t>
      </w:r>
      <w:r w:rsidR="005814BD" w:rsidRPr="003E6423">
        <w:rPr>
          <w:rFonts w:ascii="Arial" w:hAnsi="Arial" w:cs="Arial"/>
          <w:sz w:val="22"/>
          <w:szCs w:val="22"/>
        </w:rPr>
        <w:t xml:space="preserve"> </w:t>
      </w:r>
      <w:r w:rsidR="00C57F27" w:rsidRPr="003E6423">
        <w:rPr>
          <w:rFonts w:ascii="Arial" w:hAnsi="Arial" w:cs="Arial"/>
          <w:sz w:val="22"/>
          <w:szCs w:val="22"/>
        </w:rPr>
        <w:t xml:space="preserve">i) validación de la disponibilidad del Bien o Servicio requerido por la entidad estatal en los catálogos de bienes y servicios ofrecidos en los acuerdos marco vigentes en la Tienda Virtual del Estado Colombiano; ii) existencia de un Acuerdo Marco de precios y disponibilidad de los mismos bienes y/o servicios a través de la Bolsa de Productos; y </w:t>
      </w:r>
      <w:r w:rsidR="00BC4C11" w:rsidRPr="003E6423">
        <w:rPr>
          <w:rFonts w:ascii="Arial" w:hAnsi="Arial" w:cs="Arial"/>
          <w:sz w:val="22"/>
          <w:szCs w:val="22"/>
        </w:rPr>
        <w:t>iii</w:t>
      </w:r>
      <w:r w:rsidR="00C57F27" w:rsidRPr="003E6423">
        <w:rPr>
          <w:rFonts w:ascii="Arial" w:hAnsi="Arial" w:cs="Arial"/>
          <w:sz w:val="22"/>
          <w:szCs w:val="22"/>
        </w:rPr>
        <w:t>) no existencia de un Acuerdo Marco de precios</w:t>
      </w:r>
      <w:r w:rsidR="00BC4C11" w:rsidRPr="003E6423">
        <w:rPr>
          <w:rFonts w:ascii="Arial" w:hAnsi="Arial" w:cs="Arial"/>
          <w:sz w:val="22"/>
          <w:szCs w:val="22"/>
        </w:rPr>
        <w:t xml:space="preserve">. </w:t>
      </w:r>
    </w:p>
    <w:p w14:paraId="0309D061" w14:textId="176CCC10" w:rsidR="00AB1B06" w:rsidRPr="003E6423" w:rsidRDefault="003D6D6A" w:rsidP="00BC4C11">
      <w:pPr>
        <w:spacing w:after="120" w:line="276" w:lineRule="auto"/>
        <w:jc w:val="both"/>
        <w:rPr>
          <w:rFonts w:ascii="Arial" w:eastAsia="Calibri" w:hAnsi="Arial" w:cs="Arial"/>
          <w:sz w:val="22"/>
          <w:szCs w:val="22"/>
          <w:lang w:val="es-MX"/>
        </w:rPr>
      </w:pPr>
      <w:r w:rsidRPr="003E6423">
        <w:rPr>
          <w:rFonts w:ascii="Arial" w:hAnsi="Arial" w:cs="Arial"/>
          <w:sz w:val="22"/>
          <w:szCs w:val="22"/>
        </w:rPr>
        <w:tab/>
        <w:t xml:space="preserve">En ese sentido, </w:t>
      </w:r>
      <w:r w:rsidR="001F7814" w:rsidRPr="003E6423">
        <w:rPr>
          <w:rFonts w:ascii="Arial" w:hAnsi="Arial" w:cs="Arial"/>
          <w:sz w:val="22"/>
          <w:szCs w:val="22"/>
        </w:rPr>
        <w:t>tenemos que, por un lado,</w:t>
      </w:r>
      <w:r w:rsidRPr="003E6423">
        <w:rPr>
          <w:rFonts w:ascii="Arial" w:hAnsi="Arial" w:cs="Arial"/>
          <w:sz w:val="22"/>
          <w:szCs w:val="22"/>
        </w:rPr>
        <w:t xml:space="preserve"> el artículo </w:t>
      </w:r>
      <w:r w:rsidRPr="003E6423">
        <w:rPr>
          <w:rFonts w:ascii="Arial" w:hAnsi="Arial" w:cs="Arial"/>
          <w:sz w:val="22"/>
          <w:szCs w:val="22"/>
          <w:lang w:val="es-ES_tradnl"/>
        </w:rPr>
        <w:t>2.2.1.2.1.2.7 del Decreto 1082 de 2015</w:t>
      </w:r>
      <w:r w:rsidR="001F7814" w:rsidRPr="003E6423">
        <w:rPr>
          <w:rFonts w:ascii="Arial" w:hAnsi="Arial" w:cs="Arial"/>
          <w:sz w:val="22"/>
          <w:szCs w:val="22"/>
          <w:lang w:val="es-ES_tradnl"/>
        </w:rPr>
        <w:t>,</w:t>
      </w:r>
      <w:r w:rsidRPr="003E6423">
        <w:rPr>
          <w:rFonts w:ascii="Arial" w:hAnsi="Arial" w:cs="Arial"/>
          <w:sz w:val="22"/>
          <w:szCs w:val="22"/>
          <w:lang w:val="es-ES_tradnl"/>
        </w:rPr>
        <w:t xml:space="preserve"> </w:t>
      </w:r>
      <w:r w:rsidR="00F327C8" w:rsidRPr="003E6423">
        <w:rPr>
          <w:rFonts w:ascii="Arial" w:hAnsi="Arial" w:cs="Arial"/>
          <w:sz w:val="22"/>
          <w:szCs w:val="22"/>
          <w:lang w:val="es-ES_tradnl"/>
        </w:rPr>
        <w:t>establece</w:t>
      </w:r>
      <w:r w:rsidRPr="003E6423">
        <w:rPr>
          <w:rFonts w:ascii="Arial" w:hAnsi="Arial" w:cs="Arial"/>
          <w:sz w:val="22"/>
          <w:szCs w:val="22"/>
          <w:lang w:val="es-ES_tradnl"/>
        </w:rPr>
        <w:t xml:space="preserve"> el deber de la generalidad de entidades estatales regidas por el Estatuto General de Contratación de la Administración Pública</w:t>
      </w:r>
      <w:r w:rsidR="00870E6F" w:rsidRPr="003E6423">
        <w:rPr>
          <w:rFonts w:ascii="Arial" w:hAnsi="Arial" w:cs="Arial"/>
          <w:sz w:val="22"/>
          <w:szCs w:val="22"/>
          <w:lang w:val="es-ES_tradnl"/>
        </w:rPr>
        <w:t xml:space="preserve"> –en adelante EGCAP–</w:t>
      </w:r>
      <w:r w:rsidRPr="003E6423">
        <w:rPr>
          <w:rFonts w:ascii="Arial" w:hAnsi="Arial" w:cs="Arial"/>
          <w:sz w:val="22"/>
          <w:szCs w:val="22"/>
          <w:lang w:val="es-ES_tradnl"/>
        </w:rPr>
        <w:t xml:space="preserve"> de acudir a los Acuerdos Marco de Precios para adquirir </w:t>
      </w:r>
      <w:r w:rsidR="00F327C8" w:rsidRPr="003E6423">
        <w:rPr>
          <w:rFonts w:ascii="Arial" w:hAnsi="Arial" w:cs="Arial"/>
          <w:sz w:val="22"/>
          <w:szCs w:val="22"/>
          <w:lang w:val="es-ES_tradnl"/>
        </w:rPr>
        <w:t>bienes de características técnicas uniformes</w:t>
      </w:r>
      <w:r w:rsidR="001F7814" w:rsidRPr="003E6423">
        <w:rPr>
          <w:rFonts w:ascii="Arial" w:hAnsi="Arial" w:cs="Arial"/>
          <w:sz w:val="22"/>
          <w:szCs w:val="22"/>
          <w:lang w:val="es-ES_tradnl"/>
        </w:rPr>
        <w:t>. Por otro lado, encontramos que,</w:t>
      </w:r>
      <w:r w:rsidRPr="003E6423">
        <w:rPr>
          <w:rFonts w:ascii="Arial" w:hAnsi="Arial" w:cs="Arial"/>
          <w:sz w:val="22"/>
          <w:szCs w:val="22"/>
          <w:lang w:val="es-ES_tradnl"/>
        </w:rPr>
        <w:t xml:space="preserve"> el artículo </w:t>
      </w:r>
      <w:r w:rsidRPr="003E6423">
        <w:rPr>
          <w:rFonts w:ascii="Arial" w:eastAsia="Calibri" w:hAnsi="Arial" w:cs="Arial"/>
          <w:sz w:val="22"/>
          <w:szCs w:val="22"/>
          <w:lang w:val="es-MX"/>
        </w:rPr>
        <w:t>2.2.1.2.1.2.12 del propio decreto</w:t>
      </w:r>
      <w:r w:rsidR="001F7814" w:rsidRPr="003E6423">
        <w:rPr>
          <w:rFonts w:ascii="Arial" w:eastAsia="Calibri" w:hAnsi="Arial" w:cs="Arial"/>
          <w:sz w:val="22"/>
          <w:szCs w:val="22"/>
          <w:lang w:val="es-MX"/>
        </w:rPr>
        <w:t>,</w:t>
      </w:r>
      <w:r w:rsidRPr="003E6423">
        <w:rPr>
          <w:rFonts w:ascii="Arial" w:eastAsia="Calibri" w:hAnsi="Arial" w:cs="Arial"/>
          <w:sz w:val="22"/>
          <w:szCs w:val="22"/>
          <w:lang w:val="es-MX"/>
        </w:rPr>
        <w:t xml:space="preserve"> establece la posibilidad de que, previa justificación, independientemente de que exista o no el </w:t>
      </w:r>
      <w:r w:rsidR="00F327C8" w:rsidRPr="003E6423">
        <w:rPr>
          <w:rFonts w:ascii="Arial" w:eastAsia="Calibri" w:hAnsi="Arial" w:cs="Arial"/>
          <w:sz w:val="22"/>
          <w:szCs w:val="22"/>
          <w:lang w:val="es-MX"/>
        </w:rPr>
        <w:t>acuerdo marco de precios</w:t>
      </w:r>
      <w:r w:rsidRPr="003E6423">
        <w:rPr>
          <w:rFonts w:ascii="Arial" w:eastAsia="Calibri" w:hAnsi="Arial" w:cs="Arial"/>
          <w:sz w:val="22"/>
          <w:szCs w:val="22"/>
          <w:lang w:val="es-MX"/>
        </w:rPr>
        <w:t xml:space="preserve">, </w:t>
      </w:r>
      <w:r w:rsidR="00A53043" w:rsidRPr="003E6423">
        <w:rPr>
          <w:rFonts w:ascii="Arial" w:eastAsia="Calibri" w:hAnsi="Arial" w:cs="Arial"/>
          <w:sz w:val="22"/>
          <w:szCs w:val="22"/>
          <w:lang w:val="es-MX"/>
        </w:rPr>
        <w:t>las entidades puedan acudir a los otros mecanismos como el de subasta</w:t>
      </w:r>
      <w:r w:rsidR="00F327C8" w:rsidRPr="003E6423">
        <w:rPr>
          <w:rFonts w:ascii="Arial" w:eastAsia="Calibri" w:hAnsi="Arial" w:cs="Arial"/>
          <w:sz w:val="22"/>
          <w:szCs w:val="22"/>
          <w:lang w:val="es-MX"/>
        </w:rPr>
        <w:t xml:space="preserve"> inversa</w:t>
      </w:r>
      <w:r w:rsidR="00A53043" w:rsidRPr="003E6423">
        <w:rPr>
          <w:rFonts w:ascii="Arial" w:eastAsia="Calibri" w:hAnsi="Arial" w:cs="Arial"/>
          <w:sz w:val="22"/>
          <w:szCs w:val="22"/>
          <w:lang w:val="es-MX"/>
        </w:rPr>
        <w:t xml:space="preserve"> o bolsa de productos, de resultar ello lo más conveniente de acuerdo con la aplicación de los criterios establecidos en la </w:t>
      </w:r>
      <w:r w:rsidR="00912C6C" w:rsidRPr="003E6423">
        <w:rPr>
          <w:rFonts w:ascii="Arial" w:hAnsi="Arial" w:cs="Arial"/>
          <w:sz w:val="22"/>
          <w:szCs w:val="22"/>
        </w:rPr>
        <w:t>Circular Externa 004 del 21 de septiembre de 2021</w:t>
      </w:r>
      <w:r w:rsidR="0054793F" w:rsidRPr="003E6423">
        <w:rPr>
          <w:rFonts w:ascii="Arial" w:hAnsi="Arial" w:cs="Arial"/>
          <w:sz w:val="22"/>
          <w:szCs w:val="22"/>
        </w:rPr>
        <w:t>, expedida por esta Agencia</w:t>
      </w:r>
      <w:r w:rsidR="00A53043" w:rsidRPr="003E6423">
        <w:rPr>
          <w:rFonts w:ascii="Arial" w:hAnsi="Arial" w:cs="Arial"/>
          <w:sz w:val="22"/>
          <w:szCs w:val="22"/>
        </w:rPr>
        <w:t xml:space="preserve">. </w:t>
      </w:r>
    </w:p>
    <w:p w14:paraId="7158FC87" w14:textId="68FB4FCB" w:rsidR="00912C6C" w:rsidRPr="003E6423" w:rsidRDefault="00A53043" w:rsidP="009C659B">
      <w:pPr>
        <w:spacing w:after="120" w:line="276" w:lineRule="auto"/>
        <w:jc w:val="both"/>
        <w:rPr>
          <w:rFonts w:ascii="Arial" w:eastAsia="Calibri" w:hAnsi="Arial" w:cs="Arial"/>
          <w:sz w:val="22"/>
          <w:szCs w:val="22"/>
          <w:lang w:val="es-MX"/>
        </w:rPr>
      </w:pPr>
      <w:r w:rsidRPr="003E6423">
        <w:rPr>
          <w:rFonts w:ascii="Arial" w:eastAsia="Calibri" w:hAnsi="Arial" w:cs="Arial"/>
          <w:sz w:val="22"/>
          <w:szCs w:val="22"/>
          <w:lang w:val="es-MX"/>
        </w:rPr>
        <w:tab/>
        <w:t xml:space="preserve">Sin embargo, debe precisarse que el parágrafo 3 del artículo 2.2.1.2.1.2.12 suma un asunto a considerar a la cuestión, comoquiera que establece que </w:t>
      </w:r>
      <w:r w:rsidRPr="003E6423">
        <w:rPr>
          <w:rFonts w:ascii="Arial" w:hAnsi="Arial" w:cs="Arial"/>
          <w:sz w:val="22"/>
          <w:szCs w:val="22"/>
        </w:rPr>
        <w:t xml:space="preserve">las </w:t>
      </w:r>
      <w:r w:rsidR="00F92DDE" w:rsidRPr="003E6423">
        <w:rPr>
          <w:rFonts w:ascii="Arial" w:hAnsi="Arial" w:cs="Arial"/>
          <w:sz w:val="22"/>
          <w:szCs w:val="22"/>
        </w:rPr>
        <w:t>e</w:t>
      </w:r>
      <w:r w:rsidRPr="003E6423">
        <w:rPr>
          <w:rFonts w:ascii="Arial" w:hAnsi="Arial" w:cs="Arial"/>
          <w:sz w:val="22"/>
          <w:szCs w:val="22"/>
        </w:rPr>
        <w:t xml:space="preserve">ntidades </w:t>
      </w:r>
      <w:r w:rsidR="00F92DDE" w:rsidRPr="003E6423">
        <w:rPr>
          <w:rFonts w:ascii="Arial" w:hAnsi="Arial" w:cs="Arial"/>
          <w:sz w:val="22"/>
          <w:szCs w:val="22"/>
        </w:rPr>
        <w:t>e</w:t>
      </w:r>
      <w:r w:rsidRPr="003E6423">
        <w:rPr>
          <w:rFonts w:ascii="Arial" w:hAnsi="Arial" w:cs="Arial"/>
          <w:sz w:val="22"/>
          <w:szCs w:val="22"/>
        </w:rPr>
        <w:t xml:space="preserve">statales de la Rama Ejecutiva del Poder Público del orden nacional, regidas por </w:t>
      </w:r>
      <w:r w:rsidR="00870E6F" w:rsidRPr="003E6423">
        <w:rPr>
          <w:rFonts w:ascii="Arial" w:hAnsi="Arial" w:cs="Arial"/>
          <w:sz w:val="22"/>
          <w:szCs w:val="22"/>
          <w:lang w:val="es-ES_tradnl"/>
        </w:rPr>
        <w:t>EGCAP</w:t>
      </w:r>
      <w:r w:rsidRPr="003E6423">
        <w:rPr>
          <w:rFonts w:ascii="Arial" w:hAnsi="Arial" w:cs="Arial"/>
          <w:sz w:val="22"/>
          <w:szCs w:val="22"/>
        </w:rPr>
        <w:t xml:space="preserve">, están obligadas a adquirir </w:t>
      </w:r>
      <w:r w:rsidR="0054793F" w:rsidRPr="003E6423">
        <w:rPr>
          <w:rFonts w:ascii="Arial" w:hAnsi="Arial" w:cs="Arial"/>
          <w:sz w:val="22"/>
          <w:szCs w:val="22"/>
        </w:rPr>
        <w:t xml:space="preserve">bienes y servicios de características técnicas uniformes </w:t>
      </w:r>
      <w:r w:rsidRPr="003E6423">
        <w:rPr>
          <w:rFonts w:ascii="Arial" w:hAnsi="Arial" w:cs="Arial"/>
          <w:sz w:val="22"/>
          <w:szCs w:val="22"/>
        </w:rPr>
        <w:t xml:space="preserve">a través de los </w:t>
      </w:r>
      <w:r w:rsidR="0054793F" w:rsidRPr="003E6423">
        <w:rPr>
          <w:rFonts w:ascii="Arial" w:hAnsi="Arial" w:cs="Arial"/>
          <w:sz w:val="22"/>
          <w:szCs w:val="22"/>
        </w:rPr>
        <w:t xml:space="preserve">acuerdos marco de precios </w:t>
      </w:r>
      <w:r w:rsidRPr="003E6423">
        <w:rPr>
          <w:rFonts w:ascii="Arial" w:hAnsi="Arial" w:cs="Arial"/>
          <w:sz w:val="22"/>
          <w:szCs w:val="22"/>
        </w:rPr>
        <w:t>vigentes estructurados por la Agencia Nacional de Contratación Pública -Colombia Compra Eficiente.</w:t>
      </w:r>
      <w:r w:rsidR="00F92DDE" w:rsidRPr="003E6423">
        <w:rPr>
          <w:rFonts w:ascii="Arial" w:hAnsi="Arial" w:cs="Arial"/>
          <w:sz w:val="22"/>
          <w:szCs w:val="22"/>
        </w:rPr>
        <w:t xml:space="preserve"> Esto significa que, existiendo</w:t>
      </w:r>
      <w:r w:rsidR="004D23CD" w:rsidRPr="003E6423">
        <w:rPr>
          <w:rFonts w:ascii="Arial" w:hAnsi="Arial" w:cs="Arial"/>
          <w:sz w:val="22"/>
          <w:szCs w:val="22"/>
        </w:rPr>
        <w:t xml:space="preserve"> </w:t>
      </w:r>
      <w:r w:rsidR="00F92DDE" w:rsidRPr="003E6423">
        <w:rPr>
          <w:rFonts w:ascii="Arial" w:hAnsi="Arial" w:cs="Arial"/>
          <w:sz w:val="22"/>
          <w:szCs w:val="22"/>
        </w:rPr>
        <w:t xml:space="preserve"> </w:t>
      </w:r>
      <w:r w:rsidR="0054793F" w:rsidRPr="003E6423">
        <w:rPr>
          <w:rFonts w:ascii="Arial" w:hAnsi="Arial" w:cs="Arial"/>
          <w:sz w:val="22"/>
          <w:szCs w:val="22"/>
        </w:rPr>
        <w:t xml:space="preserve">acuerdo marco de precios </w:t>
      </w:r>
      <w:r w:rsidR="00F92DDE" w:rsidRPr="003E6423">
        <w:rPr>
          <w:rFonts w:ascii="Arial" w:hAnsi="Arial" w:cs="Arial"/>
          <w:sz w:val="22"/>
          <w:szCs w:val="22"/>
        </w:rPr>
        <w:t xml:space="preserve">con respecto a determinado </w:t>
      </w:r>
      <w:r w:rsidR="00661332" w:rsidRPr="003E6423">
        <w:rPr>
          <w:rFonts w:ascii="Arial" w:hAnsi="Arial" w:cs="Arial"/>
          <w:sz w:val="22"/>
          <w:szCs w:val="22"/>
        </w:rPr>
        <w:t>bien o servicio de características técnicas uniformes</w:t>
      </w:r>
      <w:r w:rsidR="00F92DDE" w:rsidRPr="003E6423">
        <w:rPr>
          <w:rFonts w:ascii="Arial" w:hAnsi="Arial" w:cs="Arial"/>
          <w:sz w:val="22"/>
          <w:szCs w:val="22"/>
        </w:rPr>
        <w:t xml:space="preserve">, las </w:t>
      </w:r>
      <w:r w:rsidRPr="003E6423">
        <w:rPr>
          <w:rFonts w:ascii="Arial" w:hAnsi="Arial" w:cs="Arial"/>
          <w:sz w:val="22"/>
          <w:szCs w:val="22"/>
        </w:rPr>
        <w:t xml:space="preserve"> </w:t>
      </w:r>
      <w:r w:rsidR="00F92DDE" w:rsidRPr="003E6423">
        <w:rPr>
          <w:rFonts w:ascii="Arial" w:hAnsi="Arial" w:cs="Arial"/>
          <w:sz w:val="22"/>
          <w:szCs w:val="22"/>
        </w:rPr>
        <w:t xml:space="preserve">entidades de la Rama Ejecutiva del Poder Público del orden nacional, regidas por la Ley 80 de 1993, </w:t>
      </w:r>
      <w:r w:rsidR="004D23CD" w:rsidRPr="003E6423">
        <w:rPr>
          <w:rFonts w:ascii="Arial" w:hAnsi="Arial" w:cs="Arial"/>
          <w:sz w:val="22"/>
          <w:szCs w:val="22"/>
        </w:rPr>
        <w:t>de manera obligatoria,</w:t>
      </w:r>
      <w:r w:rsidR="00F92DDE" w:rsidRPr="003E6423">
        <w:rPr>
          <w:rFonts w:ascii="Arial" w:hAnsi="Arial" w:cs="Arial"/>
          <w:sz w:val="22"/>
          <w:szCs w:val="22"/>
        </w:rPr>
        <w:t xml:space="preserve"> deberán realizar sus adquisiciones del mismo mediante la Tienda Virtual del Estado Colombiano, sin que se</w:t>
      </w:r>
      <w:r w:rsidR="004D23CD" w:rsidRPr="003E6423">
        <w:rPr>
          <w:rFonts w:ascii="Arial" w:hAnsi="Arial" w:cs="Arial"/>
          <w:sz w:val="22"/>
          <w:szCs w:val="22"/>
        </w:rPr>
        <w:t>a</w:t>
      </w:r>
      <w:r w:rsidR="00F92DDE" w:rsidRPr="003E6423">
        <w:rPr>
          <w:rFonts w:ascii="Arial" w:hAnsi="Arial" w:cs="Arial"/>
          <w:sz w:val="22"/>
          <w:szCs w:val="22"/>
        </w:rPr>
        <w:t xml:space="preserve"> viable acudir a otros mecanismos, ni siquiera con sustento en los criterios establecidos en la Circular </w:t>
      </w:r>
      <w:r w:rsidR="00912C6C" w:rsidRPr="003E6423">
        <w:rPr>
          <w:rFonts w:ascii="Arial" w:hAnsi="Arial" w:cs="Arial"/>
          <w:sz w:val="22"/>
          <w:szCs w:val="22"/>
        </w:rPr>
        <w:t xml:space="preserve">Externa </w:t>
      </w:r>
      <w:r w:rsidR="00F92DDE" w:rsidRPr="003E6423">
        <w:rPr>
          <w:rFonts w:ascii="Arial" w:hAnsi="Arial" w:cs="Arial"/>
          <w:sz w:val="22"/>
          <w:szCs w:val="22"/>
        </w:rPr>
        <w:t xml:space="preserve">004 del 21 de septiembre de 2021, la cual no le aplica a este tipo de entidades, de conformidad con lo dispuesto en el </w:t>
      </w:r>
      <w:r w:rsidR="00F92DDE" w:rsidRPr="003E6423">
        <w:rPr>
          <w:rFonts w:ascii="Arial" w:eastAsia="Calibri" w:hAnsi="Arial" w:cs="Arial"/>
          <w:sz w:val="22"/>
          <w:szCs w:val="22"/>
          <w:lang w:val="es-MX"/>
        </w:rPr>
        <w:t xml:space="preserve">parágrafo 3 del artículo 2.2.1.2.1.2.12. </w:t>
      </w:r>
    </w:p>
    <w:p w14:paraId="1097AAB8" w14:textId="43DD41CD" w:rsidR="009C659B" w:rsidRPr="003E6423" w:rsidRDefault="009C659B" w:rsidP="00912C6C">
      <w:pPr>
        <w:spacing w:after="120" w:line="276" w:lineRule="auto"/>
        <w:ind w:firstLine="708"/>
        <w:jc w:val="both"/>
        <w:rPr>
          <w:rFonts w:ascii="Arial" w:eastAsia="Calibri" w:hAnsi="Arial" w:cs="Arial"/>
          <w:sz w:val="22"/>
          <w:szCs w:val="22"/>
          <w:lang w:val="es-MX"/>
        </w:rPr>
      </w:pPr>
      <w:r w:rsidRPr="003E6423">
        <w:rPr>
          <w:rFonts w:ascii="Arial" w:eastAsia="Calibri" w:hAnsi="Arial" w:cs="Arial"/>
          <w:sz w:val="22"/>
          <w:szCs w:val="22"/>
          <w:lang w:val="es-MX"/>
        </w:rPr>
        <w:t xml:space="preserve">En atención a esto, al final del numeral 3 de la </w:t>
      </w:r>
      <w:r w:rsidR="00912C6C" w:rsidRPr="003E6423">
        <w:rPr>
          <w:rFonts w:ascii="Arial" w:hAnsi="Arial" w:cs="Arial"/>
          <w:sz w:val="22"/>
          <w:szCs w:val="22"/>
        </w:rPr>
        <w:t>Circular Externa 004 del 21 de septiembre de 2021</w:t>
      </w:r>
      <w:r w:rsidRPr="003E6423">
        <w:rPr>
          <w:rFonts w:ascii="Arial" w:hAnsi="Arial" w:cs="Arial"/>
          <w:sz w:val="22"/>
          <w:szCs w:val="22"/>
        </w:rPr>
        <w:t>, se estableció que</w:t>
      </w:r>
      <w:r w:rsidR="00912C6C" w:rsidRPr="003E6423">
        <w:rPr>
          <w:rFonts w:ascii="Arial" w:hAnsi="Arial" w:cs="Arial"/>
          <w:sz w:val="22"/>
          <w:szCs w:val="22"/>
        </w:rPr>
        <w:t>:</w:t>
      </w:r>
      <w:r w:rsidRPr="003E6423">
        <w:rPr>
          <w:rFonts w:ascii="Arial" w:hAnsi="Arial" w:cs="Arial"/>
          <w:sz w:val="22"/>
          <w:szCs w:val="22"/>
        </w:rPr>
        <w:t xml:space="preserve"> «[…] las entidades estatales de la rama ejecutiva del Poder Público del orden nacional, obligadas a aplicar la Ley 80 de 1993 y la Ley 1150 </w:t>
      </w:r>
      <w:r w:rsidRPr="003E6423">
        <w:rPr>
          <w:rFonts w:ascii="Arial" w:hAnsi="Arial" w:cs="Arial"/>
          <w:sz w:val="22"/>
          <w:szCs w:val="22"/>
        </w:rPr>
        <w:lastRenderedPageBreak/>
        <w:t>de 2007, o las normas que las modifiquen, aclaren, adicionen o sustituyan, en todo caso ,</w:t>
      </w:r>
      <w:r w:rsidR="00482B27" w:rsidRPr="003E6423">
        <w:rPr>
          <w:rFonts w:ascii="Arial" w:hAnsi="Arial" w:cs="Arial"/>
          <w:sz w:val="22"/>
          <w:szCs w:val="22"/>
        </w:rPr>
        <w:t xml:space="preserve"> </w:t>
      </w:r>
      <w:r w:rsidRPr="003E6423">
        <w:rPr>
          <w:rFonts w:ascii="Arial" w:hAnsi="Arial" w:cs="Arial"/>
          <w:sz w:val="22"/>
          <w:szCs w:val="22"/>
        </w:rPr>
        <w:t>están obligadas a adquirir Bienes y Servicios de Características Técnicas Uniformes a través de los acuerdos marco de precios vigentes estructurados por la Agencia Nacional de Contratación Pública -Colombia Compra Eficiente-, sin que sea oponible para ellas lo establecido en esta Circular”»</w:t>
      </w:r>
      <w:r w:rsidR="00912C6C" w:rsidRPr="003E6423">
        <w:rPr>
          <w:rFonts w:ascii="Arial" w:hAnsi="Arial" w:cs="Arial"/>
          <w:sz w:val="22"/>
          <w:szCs w:val="22"/>
        </w:rPr>
        <w:t>.</w:t>
      </w:r>
    </w:p>
    <w:p w14:paraId="759C4908" w14:textId="2C17AED5" w:rsidR="00C76C72" w:rsidRPr="003E6423" w:rsidRDefault="009C659B" w:rsidP="00226598">
      <w:pPr>
        <w:spacing w:after="120" w:line="276" w:lineRule="auto"/>
        <w:jc w:val="both"/>
        <w:rPr>
          <w:rFonts w:ascii="Arial" w:hAnsi="Arial" w:cs="Arial"/>
          <w:sz w:val="22"/>
          <w:szCs w:val="22"/>
          <w:lang w:val="es-ES_tradnl"/>
        </w:rPr>
      </w:pPr>
      <w:r w:rsidRPr="003E6423">
        <w:rPr>
          <w:rFonts w:ascii="Arial" w:eastAsia="Calibri" w:hAnsi="Arial" w:cs="Arial"/>
          <w:lang w:val="es-MX"/>
        </w:rPr>
        <w:tab/>
      </w:r>
      <w:r w:rsidR="00C76C72" w:rsidRPr="003E6423">
        <w:rPr>
          <w:rFonts w:ascii="Arial" w:eastAsia="Calibri" w:hAnsi="Arial" w:cs="Arial"/>
          <w:sz w:val="22"/>
          <w:szCs w:val="22"/>
          <w:lang w:val="es-MX"/>
        </w:rPr>
        <w:t xml:space="preserve">De conformidad con lo expuesto, con relación al tercer interrogante es posible concluir que, en atención a lo dispuesto en el artículo </w:t>
      </w:r>
      <w:r w:rsidRPr="003E6423">
        <w:rPr>
          <w:rFonts w:ascii="Arial" w:hAnsi="Arial" w:cs="Arial"/>
          <w:sz w:val="22"/>
          <w:szCs w:val="22"/>
          <w:lang w:val="es-ES_tradnl"/>
        </w:rPr>
        <w:t xml:space="preserve">2.2.1.2.1.2.7 </w:t>
      </w:r>
      <w:r w:rsidR="00C76C72" w:rsidRPr="003E6423">
        <w:rPr>
          <w:rFonts w:ascii="Arial" w:hAnsi="Arial" w:cs="Arial"/>
          <w:sz w:val="22"/>
          <w:szCs w:val="22"/>
          <w:lang w:val="es-ES_tradnl"/>
        </w:rPr>
        <w:t xml:space="preserve">las entidades estatales regidas por el EGCAP, en principio, están obligadas a proveer sus necesidades de </w:t>
      </w:r>
      <w:r w:rsidR="004077FD" w:rsidRPr="003E6423">
        <w:rPr>
          <w:rFonts w:ascii="Arial" w:hAnsi="Arial" w:cs="Arial"/>
          <w:sz w:val="22"/>
          <w:szCs w:val="22"/>
          <w:lang w:val="es-ES_tradnl"/>
        </w:rPr>
        <w:t xml:space="preserve">bienes de características técnicas uniformes </w:t>
      </w:r>
      <w:r w:rsidR="00C76C72" w:rsidRPr="003E6423">
        <w:rPr>
          <w:rFonts w:ascii="Arial" w:hAnsi="Arial" w:cs="Arial"/>
          <w:sz w:val="22"/>
          <w:szCs w:val="22"/>
          <w:lang w:val="es-ES_tradnl"/>
        </w:rPr>
        <w:t xml:space="preserve">y de común utilización a través de la compra por </w:t>
      </w:r>
      <w:r w:rsidR="00972959" w:rsidRPr="003E6423">
        <w:rPr>
          <w:rFonts w:ascii="Arial" w:hAnsi="Arial" w:cs="Arial"/>
          <w:sz w:val="22"/>
          <w:szCs w:val="22"/>
          <w:lang w:val="es-ES_tradnl"/>
        </w:rPr>
        <w:t>catálogo</w:t>
      </w:r>
      <w:r w:rsidR="00C76C72" w:rsidRPr="003E6423">
        <w:rPr>
          <w:rFonts w:ascii="Arial" w:hAnsi="Arial" w:cs="Arial"/>
          <w:sz w:val="22"/>
          <w:szCs w:val="22"/>
          <w:lang w:val="es-ES_tradnl"/>
        </w:rPr>
        <w:t xml:space="preserve"> derivados de </w:t>
      </w:r>
      <w:r w:rsidR="004077FD" w:rsidRPr="003E6423">
        <w:rPr>
          <w:rFonts w:ascii="Arial" w:hAnsi="Arial" w:cs="Arial"/>
          <w:sz w:val="22"/>
          <w:szCs w:val="22"/>
          <w:lang w:val="es-ES_tradnl"/>
        </w:rPr>
        <w:t>acuerdos marcos de precios</w:t>
      </w:r>
      <w:r w:rsidR="00C76C72" w:rsidRPr="003E6423">
        <w:rPr>
          <w:rFonts w:ascii="Arial" w:hAnsi="Arial" w:cs="Arial"/>
          <w:sz w:val="22"/>
          <w:szCs w:val="22"/>
          <w:lang w:val="es-ES_tradnl"/>
        </w:rPr>
        <w:t>. No obstante,</w:t>
      </w:r>
      <w:r w:rsidR="00464F96" w:rsidRPr="003E6423">
        <w:rPr>
          <w:rFonts w:ascii="Arial" w:hAnsi="Arial" w:cs="Arial"/>
          <w:sz w:val="22"/>
          <w:szCs w:val="22"/>
          <w:lang w:val="es-ES_tradnl"/>
        </w:rPr>
        <w:t xml:space="preserve"> cuando no exista </w:t>
      </w:r>
      <w:r w:rsidR="004077FD" w:rsidRPr="003E6423">
        <w:rPr>
          <w:rFonts w:ascii="Arial" w:hAnsi="Arial" w:cs="Arial"/>
          <w:sz w:val="22"/>
          <w:szCs w:val="22"/>
          <w:lang w:val="es-ES_tradnl"/>
        </w:rPr>
        <w:t>acuerdo marco de precios</w:t>
      </w:r>
      <w:r w:rsidR="00464F96" w:rsidRPr="003E6423">
        <w:rPr>
          <w:rFonts w:ascii="Arial" w:hAnsi="Arial" w:cs="Arial"/>
          <w:sz w:val="22"/>
          <w:szCs w:val="22"/>
          <w:lang w:val="es-ES_tradnl"/>
        </w:rPr>
        <w:t>, o incluso existiendo,</w:t>
      </w:r>
      <w:r w:rsidR="00C76C72" w:rsidRPr="003E6423">
        <w:rPr>
          <w:rFonts w:ascii="Arial" w:hAnsi="Arial" w:cs="Arial"/>
          <w:sz w:val="22"/>
          <w:szCs w:val="22"/>
          <w:lang w:val="es-ES_tradnl"/>
        </w:rPr>
        <w:t xml:space="preserve"> según lo dispuesto en el artículo </w:t>
      </w:r>
      <w:r w:rsidR="00C76C72" w:rsidRPr="003E6423">
        <w:rPr>
          <w:rFonts w:ascii="Arial" w:eastAsia="Calibri" w:hAnsi="Arial" w:cs="Arial"/>
          <w:sz w:val="22"/>
          <w:szCs w:val="22"/>
          <w:lang w:val="es-MX"/>
        </w:rPr>
        <w:t xml:space="preserve">2.2.1.2.1.2.12, </w:t>
      </w:r>
      <w:r w:rsidR="00C76C72" w:rsidRPr="003E6423">
        <w:rPr>
          <w:rFonts w:ascii="Arial" w:hAnsi="Arial" w:cs="Arial"/>
          <w:sz w:val="22"/>
          <w:szCs w:val="22"/>
          <w:lang w:val="es-ES_tradnl"/>
        </w:rPr>
        <w:t>previa justificación sustentada en los criterios establecidos</w:t>
      </w:r>
      <w:r w:rsidR="00B748AC" w:rsidRPr="003E6423">
        <w:rPr>
          <w:rFonts w:ascii="Arial" w:hAnsi="Arial" w:cs="Arial"/>
          <w:sz w:val="22"/>
          <w:szCs w:val="22"/>
          <w:lang w:val="es-ES_tradnl"/>
        </w:rPr>
        <w:t xml:space="preserve"> en la</w:t>
      </w:r>
      <w:r w:rsidR="00C76C72" w:rsidRPr="003E6423">
        <w:rPr>
          <w:rFonts w:ascii="Arial" w:hAnsi="Arial" w:cs="Arial"/>
          <w:sz w:val="22"/>
          <w:szCs w:val="22"/>
          <w:lang w:val="es-ES_tradnl"/>
        </w:rPr>
        <w:t xml:space="preserve"> </w:t>
      </w:r>
      <w:r w:rsidR="00464F96" w:rsidRPr="003E6423">
        <w:rPr>
          <w:rFonts w:ascii="Arial" w:hAnsi="Arial" w:cs="Arial"/>
          <w:sz w:val="22"/>
          <w:szCs w:val="22"/>
          <w:lang w:val="es-ES_tradnl"/>
        </w:rPr>
        <w:t xml:space="preserve">mencionada circular, las entidades pueden acudir al </w:t>
      </w:r>
      <w:r w:rsidR="00972959" w:rsidRPr="003E6423">
        <w:rPr>
          <w:rFonts w:ascii="Arial" w:hAnsi="Arial" w:cs="Arial"/>
          <w:sz w:val="22"/>
          <w:szCs w:val="22"/>
          <w:lang w:val="es-ES_tradnl"/>
        </w:rPr>
        <w:t>mecanismo de bolsa</w:t>
      </w:r>
      <w:r w:rsidR="00464F96" w:rsidRPr="003E6423">
        <w:rPr>
          <w:rFonts w:ascii="Arial" w:hAnsi="Arial" w:cs="Arial"/>
          <w:sz w:val="22"/>
          <w:szCs w:val="22"/>
          <w:lang w:val="es-ES_tradnl"/>
        </w:rPr>
        <w:t xml:space="preserve"> de productos. En todo caso, dicha posibilidad de acudir a mecanismos diferentes a la Tienda Virtual del Estado </w:t>
      </w:r>
      <w:r w:rsidR="00912C6C" w:rsidRPr="003E6423">
        <w:rPr>
          <w:rFonts w:ascii="Arial" w:hAnsi="Arial" w:cs="Arial"/>
          <w:sz w:val="22"/>
          <w:szCs w:val="22"/>
          <w:lang w:val="es-ES_tradnl"/>
        </w:rPr>
        <w:t>Colombiano</w:t>
      </w:r>
      <w:r w:rsidR="00464F96" w:rsidRPr="003E6423">
        <w:rPr>
          <w:rFonts w:ascii="Arial" w:hAnsi="Arial" w:cs="Arial"/>
          <w:sz w:val="22"/>
          <w:szCs w:val="22"/>
          <w:lang w:val="es-ES_tradnl"/>
        </w:rPr>
        <w:t xml:space="preserve"> está vedada </w:t>
      </w:r>
      <w:r w:rsidR="00243A5A" w:rsidRPr="003E6423">
        <w:rPr>
          <w:rFonts w:ascii="Arial" w:hAnsi="Arial" w:cs="Arial"/>
          <w:sz w:val="22"/>
          <w:szCs w:val="22"/>
          <w:lang w:val="es-ES_tradnl"/>
        </w:rPr>
        <w:t xml:space="preserve">para </w:t>
      </w:r>
      <w:r w:rsidR="00464F96" w:rsidRPr="003E6423">
        <w:rPr>
          <w:rFonts w:ascii="Arial" w:hAnsi="Arial" w:cs="Arial"/>
          <w:sz w:val="22"/>
          <w:szCs w:val="22"/>
          <w:lang w:val="es-ES_tradnl"/>
        </w:rPr>
        <w:t xml:space="preserve">entidades estatales de la Rama Ejecutiva del orden nacional, obligadas a aplicar la Ley 80 de 1993 y la Ley 1150 de 2007, quienes de conformidad con el parágrafo 3 del artículo </w:t>
      </w:r>
      <w:r w:rsidR="00464F96" w:rsidRPr="003E6423">
        <w:rPr>
          <w:rFonts w:ascii="Arial" w:eastAsia="Calibri" w:hAnsi="Arial" w:cs="Arial"/>
          <w:sz w:val="22"/>
          <w:szCs w:val="22"/>
          <w:lang w:val="es-MX"/>
        </w:rPr>
        <w:t xml:space="preserve">2.2.1.2.1.2.12 del Decreto 1082 de 2015, existiendo </w:t>
      </w:r>
      <w:r w:rsidR="00912C6C" w:rsidRPr="003E6423">
        <w:rPr>
          <w:rFonts w:ascii="Arial" w:eastAsia="Calibri" w:hAnsi="Arial" w:cs="Arial"/>
          <w:sz w:val="22"/>
          <w:szCs w:val="22"/>
          <w:lang w:val="es-MX"/>
        </w:rPr>
        <w:t xml:space="preserve">acuerdo marco de precios, </w:t>
      </w:r>
      <w:r w:rsidR="00464F96" w:rsidRPr="003E6423">
        <w:rPr>
          <w:rFonts w:ascii="Arial" w:eastAsia="Calibri" w:hAnsi="Arial" w:cs="Arial"/>
          <w:sz w:val="22"/>
          <w:szCs w:val="22"/>
          <w:lang w:val="es-MX"/>
        </w:rPr>
        <w:t xml:space="preserve">deberán utilizar dicho mecanismo para adquirir los respectivos </w:t>
      </w:r>
      <w:r w:rsidR="00912C6C" w:rsidRPr="003E6423">
        <w:rPr>
          <w:rFonts w:ascii="Arial" w:eastAsia="Calibri" w:hAnsi="Arial" w:cs="Arial"/>
          <w:sz w:val="22"/>
          <w:szCs w:val="22"/>
          <w:lang w:val="es-MX"/>
        </w:rPr>
        <w:t>bienes de características técnicas uniformes</w:t>
      </w:r>
      <w:r w:rsidR="00464F96" w:rsidRPr="003E6423">
        <w:rPr>
          <w:rFonts w:ascii="Arial" w:eastAsia="Calibri" w:hAnsi="Arial" w:cs="Arial"/>
          <w:sz w:val="22"/>
          <w:szCs w:val="22"/>
          <w:lang w:val="es-MX"/>
        </w:rPr>
        <w:t xml:space="preserve">. </w:t>
      </w:r>
    </w:p>
    <w:p w14:paraId="3A82A5F4" w14:textId="77777777" w:rsidR="00BF5203" w:rsidRPr="003E6423" w:rsidRDefault="00BF5203" w:rsidP="004D1C27">
      <w:pPr>
        <w:spacing w:line="276" w:lineRule="auto"/>
        <w:jc w:val="both"/>
        <w:rPr>
          <w:rFonts w:ascii="Arial" w:eastAsia="Calibri" w:hAnsi="Arial" w:cs="Arial"/>
          <w:b/>
          <w:sz w:val="22"/>
          <w:lang w:val="es-ES_tradnl"/>
        </w:rPr>
      </w:pPr>
    </w:p>
    <w:p w14:paraId="37CA9805" w14:textId="34681302" w:rsidR="00DD5B04" w:rsidRPr="003E6423" w:rsidRDefault="004177A6" w:rsidP="004D1C27">
      <w:pPr>
        <w:spacing w:line="276" w:lineRule="auto"/>
        <w:jc w:val="both"/>
        <w:rPr>
          <w:rFonts w:ascii="Arial" w:hAnsi="Arial" w:cs="Arial"/>
          <w:sz w:val="22"/>
          <w:lang w:val="es-ES_tradnl"/>
        </w:rPr>
      </w:pPr>
      <w:r w:rsidRPr="003E6423">
        <w:rPr>
          <w:rFonts w:ascii="Arial" w:eastAsia="Calibri" w:hAnsi="Arial" w:cs="Arial"/>
          <w:b/>
          <w:sz w:val="22"/>
          <w:lang w:val="es-ES_tradnl"/>
        </w:rPr>
        <w:t>3</w:t>
      </w:r>
      <w:r w:rsidR="00B011A9" w:rsidRPr="003E6423">
        <w:rPr>
          <w:rFonts w:ascii="Arial" w:eastAsia="Calibri" w:hAnsi="Arial" w:cs="Arial"/>
          <w:b/>
          <w:sz w:val="22"/>
          <w:lang w:val="es-ES_tradnl"/>
        </w:rPr>
        <w:t xml:space="preserve">. </w:t>
      </w:r>
      <w:r w:rsidR="00DD5B04" w:rsidRPr="003E6423">
        <w:rPr>
          <w:rFonts w:ascii="Arial" w:eastAsia="Calibri" w:hAnsi="Arial" w:cs="Arial"/>
          <w:b/>
          <w:sz w:val="22"/>
          <w:lang w:val="es-ES_tradnl"/>
        </w:rPr>
        <w:t>Respuest</w:t>
      </w:r>
      <w:r w:rsidR="00BF0E64" w:rsidRPr="003E6423">
        <w:rPr>
          <w:rFonts w:ascii="Arial" w:eastAsia="Calibri" w:hAnsi="Arial" w:cs="Arial"/>
          <w:b/>
          <w:sz w:val="22"/>
          <w:lang w:val="es-ES_tradnl"/>
        </w:rPr>
        <w:t>a</w:t>
      </w:r>
    </w:p>
    <w:p w14:paraId="0B74D5B8" w14:textId="259D6A1D" w:rsidR="00C4581D" w:rsidRPr="003E6423" w:rsidRDefault="00C4581D" w:rsidP="00510DE9">
      <w:pPr>
        <w:tabs>
          <w:tab w:val="left" w:pos="0"/>
        </w:tabs>
        <w:jc w:val="both"/>
        <w:rPr>
          <w:rFonts w:ascii="Arial" w:eastAsia="Calibri" w:hAnsi="Arial" w:cs="Arial"/>
          <w:sz w:val="22"/>
          <w:lang w:val="es-ES_tradnl"/>
        </w:rPr>
      </w:pPr>
    </w:p>
    <w:p w14:paraId="01210B74" w14:textId="471945BF" w:rsidR="00912C6C" w:rsidRPr="003E6423" w:rsidRDefault="00C11177" w:rsidP="002F29F4">
      <w:pPr>
        <w:ind w:left="709" w:right="709"/>
        <w:jc w:val="both"/>
        <w:rPr>
          <w:rFonts w:ascii="Arial" w:hAnsi="Arial" w:cs="Arial"/>
          <w:sz w:val="21"/>
          <w:szCs w:val="21"/>
          <w:lang w:val="es-ES_tradnl"/>
        </w:rPr>
      </w:pPr>
      <w:r w:rsidRPr="003E6423">
        <w:rPr>
          <w:rFonts w:ascii="Arial" w:hAnsi="Arial" w:cs="Arial"/>
          <w:sz w:val="21"/>
          <w:szCs w:val="21"/>
          <w:lang w:val="es-ES_tradnl"/>
        </w:rPr>
        <w:t>«</w:t>
      </w:r>
      <w:r w:rsidR="00912C6C" w:rsidRPr="003E6423">
        <w:rPr>
          <w:rFonts w:ascii="Arial" w:hAnsi="Arial" w:cs="Arial"/>
          <w:sz w:val="21"/>
          <w:szCs w:val="21"/>
          <w:lang w:val="es-ES_tradnl"/>
        </w:rPr>
        <w:t>1)</w:t>
      </w:r>
      <w:r w:rsidR="00912C6C" w:rsidRPr="003E6423">
        <w:rPr>
          <w:rFonts w:ascii="Arial" w:hAnsi="Arial" w:cs="Arial"/>
          <w:sz w:val="21"/>
          <w:szCs w:val="21"/>
          <w:lang w:val="es-ES_tradnl"/>
        </w:rPr>
        <w:tab/>
        <w:t>En relación con la interpretación del Decreto 1860 del 24 de diciembre de 2021 que reglamentó la Ley de Emprendimiento, y teniendo en cuenta que el artículo 8 “vigencia y derogatorias” establece que las disposiciones allí contenidas se aplicaran en los procedimientos de selección que se publiquen a los 3 meses de su expedición, solicito indicar si actualmente se pueden adelantar convocatorias limitadas a MIPYME […] Teniendo en cuenta que a la fecha ya se expidió decreto reglamentario, pero en todo caso éste indica que su aplicabilidad iniciará 3 meses después, solicito informar si se pueden adelantar convocatorias limitadas a MIPYME actualmente con 2 solicitudes o solo podrán adelantarse a partir del 24 de marzo de 2022.</w:t>
      </w:r>
    </w:p>
    <w:p w14:paraId="620F1337" w14:textId="77777777" w:rsidR="009C260C" w:rsidRPr="003E6423" w:rsidRDefault="009C260C" w:rsidP="009C260C">
      <w:pPr>
        <w:spacing w:before="120" w:line="276" w:lineRule="auto"/>
        <w:jc w:val="both"/>
        <w:rPr>
          <w:rFonts w:ascii="Arial" w:eastAsia="Calibri" w:hAnsi="Arial" w:cs="Arial"/>
          <w:sz w:val="22"/>
          <w:szCs w:val="22"/>
          <w:lang w:val="es-ES_tradnl"/>
        </w:rPr>
      </w:pPr>
    </w:p>
    <w:p w14:paraId="2B5ACD55" w14:textId="5004C53A" w:rsidR="009C260C" w:rsidRPr="003E6423" w:rsidRDefault="009C260C" w:rsidP="009C260C">
      <w:pPr>
        <w:spacing w:before="120" w:line="276" w:lineRule="auto"/>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De las consideraciones efectuadas en este concepto, puede concluirse que, además de la pérdida de fuerza ejecutoria del artículo 2.2.1.2.4.2.2 original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Por ello, puede </w:t>
      </w:r>
      <w:r w:rsidRPr="003E6423">
        <w:rPr>
          <w:rFonts w:ascii="Arial" w:eastAsia="Calibri" w:hAnsi="Arial" w:cs="Arial"/>
          <w:sz w:val="22"/>
          <w:szCs w:val="22"/>
          <w:lang w:val="es-ES_tradnl"/>
        </w:rPr>
        <w:lastRenderedPageBreak/>
        <w:t xml:space="preserve">afirmarse que, además del decaimiento del artículo 2.2.1.2.4.2.2. del Decreto 1082 de 2015, debe entenderse derogado. </w:t>
      </w:r>
    </w:p>
    <w:p w14:paraId="5584109E" w14:textId="77777777" w:rsidR="009C260C" w:rsidRPr="003E6423" w:rsidRDefault="009C260C" w:rsidP="009C260C">
      <w:pPr>
        <w:spacing w:before="120" w:line="276" w:lineRule="auto"/>
        <w:ind w:firstLine="709"/>
        <w:jc w:val="both"/>
        <w:rPr>
          <w:rFonts w:ascii="Arial" w:eastAsia="Calibri" w:hAnsi="Arial" w:cs="Arial"/>
          <w:sz w:val="22"/>
          <w:szCs w:val="22"/>
          <w:lang w:val="es-ES_tradnl"/>
        </w:rPr>
      </w:pPr>
      <w:r w:rsidRPr="003E6423">
        <w:rPr>
          <w:rFonts w:ascii="Arial" w:eastAsia="Calibri" w:hAnsi="Arial" w:cs="Arial"/>
          <w:sz w:val="22"/>
          <w:szCs w:val="22"/>
          <w:lang w:val="es-ES_tradnl"/>
        </w:rPr>
        <w:t xml:space="preserve">Además, no es válido aducir que los apartados normativos del artículo 2.2.1.2.4.2.2. original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expedidas, que permitan llevar a cabo las convocatorias limitadas a Mipymes, lo cual demuestra la voluntad legislativa de establecer la necesidad de una nueva reglamentación de la materia. En tal sentido, las entidades estatales, los patrimonios autónomos constituidos por estas y los particulares que ejecuten recursos públicos, actualmente no pueden adoptar convocatorias limitadas a Mipymes, pues al tenor del artículo 34 de la Ley 2069 de 2020, la eficacia de esta norma quedó condicionada a la expedición del decreto reglamentario que fije las condiciones de su operatividad.  </w:t>
      </w:r>
    </w:p>
    <w:p w14:paraId="467E55F7" w14:textId="2273A047" w:rsidR="009C260C" w:rsidRPr="003E6423" w:rsidRDefault="009C260C" w:rsidP="009C260C">
      <w:pPr>
        <w:spacing w:before="120" w:line="276" w:lineRule="auto"/>
        <w:ind w:firstLine="709"/>
        <w:jc w:val="both"/>
        <w:rPr>
          <w:rFonts w:ascii="Arial" w:eastAsia="Arial" w:hAnsi="Arial" w:cs="Arial"/>
          <w:bCs/>
          <w:sz w:val="22"/>
          <w:szCs w:val="22"/>
          <w:lang w:val="es-ES_tradnl" w:eastAsia="es-ES" w:bidi="es-ES"/>
        </w:rPr>
      </w:pPr>
      <w:r w:rsidRPr="003E6423">
        <w:rPr>
          <w:rFonts w:ascii="Arial" w:hAnsi="Arial" w:cs="Arial"/>
          <w:sz w:val="22"/>
          <w:szCs w:val="22"/>
          <w:lang w:val="es-ES_tradnl"/>
        </w:rPr>
        <w:t>A</w:t>
      </w:r>
      <w:r w:rsidR="000D4FCF" w:rsidRPr="003E6423">
        <w:rPr>
          <w:rFonts w:ascii="Arial" w:hAnsi="Arial" w:cs="Arial"/>
          <w:sz w:val="22"/>
          <w:szCs w:val="22"/>
          <w:lang w:val="es-ES_tradnl"/>
        </w:rPr>
        <w:t>l</w:t>
      </w:r>
      <w:r w:rsidRPr="003E6423">
        <w:rPr>
          <w:rFonts w:ascii="Arial" w:hAnsi="Arial" w:cs="Arial"/>
          <w:sz w:val="22"/>
          <w:szCs w:val="22"/>
          <w:lang w:val="es-ES_tradnl"/>
        </w:rPr>
        <w:t xml:space="preserve"> respecto, es necesario precisar que en desarrollo de la Ley 2069 de 2020 se expidió el Decreto </w:t>
      </w:r>
      <w:r w:rsidRPr="003E6423">
        <w:rPr>
          <w:rFonts w:ascii="Arial" w:hAnsi="Arial" w:cs="Arial"/>
          <w:sz w:val="22"/>
          <w:szCs w:val="22"/>
          <w:lang w:val="es-MX"/>
        </w:rPr>
        <w:t>1860 del 24 de diciembre de 2021</w:t>
      </w:r>
      <w:r w:rsidRPr="003E6423">
        <w:rPr>
          <w:rFonts w:ascii="Arial" w:hAnsi="Arial" w:cs="Arial"/>
          <w:sz w:val="22"/>
          <w:szCs w:val="22"/>
          <w:lang w:val="es-ES_tradnl"/>
        </w:rPr>
        <w:t xml:space="preserve"> mediante el cual se reglamentan los artículos 30,</w:t>
      </w:r>
      <w:r w:rsidRPr="003E6423">
        <w:rPr>
          <w:rFonts w:ascii="Arial" w:hAnsi="Arial" w:cs="Arial"/>
          <w:sz w:val="19"/>
          <w:szCs w:val="19"/>
          <w:lang w:val="es-MX"/>
        </w:rPr>
        <w:t xml:space="preserve"> </w:t>
      </w:r>
      <w:r w:rsidRPr="003E6423">
        <w:rPr>
          <w:rFonts w:ascii="Arial" w:hAnsi="Arial" w:cs="Arial"/>
          <w:sz w:val="22"/>
          <w:szCs w:val="22"/>
          <w:lang w:val="es-MX"/>
        </w:rPr>
        <w:t>31, 32, 34 y 35 de la Ley 2069 de 2020, en lo relativo al sistema de compras públicas, cuyo artículo 5</w:t>
      </w:r>
      <w:r w:rsidRPr="003E6423">
        <w:rPr>
          <w:rFonts w:ascii="Arial" w:eastAsia="Calibri" w:hAnsi="Arial" w:cs="Arial"/>
          <w:sz w:val="22"/>
          <w:szCs w:val="22"/>
          <w:lang w:val="es-ES_tradnl"/>
        </w:rPr>
        <w:t xml:space="preserve"> modificó los artículos 2.2.1.2.4.2.2., 2.2.1.2.4.2.3. y 2.2.1.2.4.2.4. del Decreto 1082 de 2015 </w:t>
      </w:r>
      <w:r w:rsidRPr="003E6423">
        <w:rPr>
          <w:rFonts w:ascii="Arial" w:hAnsi="Arial" w:cs="Arial"/>
          <w:sz w:val="22"/>
          <w:szCs w:val="22"/>
          <w:lang w:val="es-MX"/>
        </w:rPr>
        <w:t xml:space="preserve">determinó </w:t>
      </w:r>
      <w:r w:rsidRPr="003E6423">
        <w:rPr>
          <w:rFonts w:ascii="Arial" w:hAnsi="Arial" w:cs="Arial"/>
          <w:sz w:val="22"/>
          <w:szCs w:val="22"/>
        </w:rPr>
        <w:t>las condiciones y los montos para la adopción de convocatorias limitadas a Mipyme, las limitaciones territoriales y la acreditación de los requisitos para participar en convocatorias limitadas. Sin embargo, conforme a</w:t>
      </w:r>
      <w:r w:rsidR="001F7814" w:rsidRPr="003E6423">
        <w:rPr>
          <w:rFonts w:ascii="Arial" w:hAnsi="Arial" w:cs="Arial"/>
          <w:sz w:val="22"/>
          <w:szCs w:val="22"/>
        </w:rPr>
        <w:t xml:space="preserve"> lo dispuesto en el</w:t>
      </w:r>
      <w:r w:rsidRPr="003E6423">
        <w:rPr>
          <w:rFonts w:ascii="Arial" w:hAnsi="Arial" w:cs="Arial"/>
          <w:sz w:val="22"/>
          <w:szCs w:val="22"/>
        </w:rPr>
        <w:t xml:space="preserve"> artículo 8</w:t>
      </w:r>
      <w:r w:rsidR="001F7814" w:rsidRPr="003E6423">
        <w:rPr>
          <w:rFonts w:ascii="Arial" w:hAnsi="Arial" w:cs="Arial"/>
          <w:sz w:val="22"/>
          <w:szCs w:val="22"/>
        </w:rPr>
        <w:t xml:space="preserve"> del Decreto 1860,</w:t>
      </w:r>
      <w:r w:rsidRPr="003E6423">
        <w:rPr>
          <w:rFonts w:ascii="Arial" w:hAnsi="Arial" w:cs="Arial"/>
          <w:sz w:val="22"/>
          <w:szCs w:val="22"/>
        </w:rPr>
        <w:t xml:space="preserve"> las disposiciones contenidas en </w:t>
      </w:r>
      <w:r w:rsidR="001F7814" w:rsidRPr="003E6423">
        <w:rPr>
          <w:rFonts w:ascii="Arial" w:hAnsi="Arial" w:cs="Arial"/>
          <w:sz w:val="22"/>
          <w:szCs w:val="22"/>
        </w:rPr>
        <w:t xml:space="preserve">él </w:t>
      </w:r>
      <w:r w:rsidRPr="003E6423">
        <w:rPr>
          <w:rFonts w:ascii="Arial" w:hAnsi="Arial" w:cs="Arial"/>
          <w:sz w:val="22"/>
          <w:szCs w:val="22"/>
        </w:rPr>
        <w:t>se</w:t>
      </w:r>
      <w:r w:rsidR="001F7814" w:rsidRPr="003E6423">
        <w:rPr>
          <w:rFonts w:ascii="Arial" w:hAnsi="Arial" w:cs="Arial"/>
          <w:sz w:val="22"/>
          <w:szCs w:val="22"/>
        </w:rPr>
        <w:t xml:space="preserve"> comenzarán</w:t>
      </w:r>
      <w:r w:rsidRPr="003E6423">
        <w:rPr>
          <w:rFonts w:ascii="Arial" w:hAnsi="Arial" w:cs="Arial"/>
          <w:sz w:val="22"/>
          <w:szCs w:val="22"/>
        </w:rPr>
        <w:t xml:space="preserve"> </w:t>
      </w:r>
      <w:r w:rsidR="001F7814" w:rsidRPr="003E6423">
        <w:rPr>
          <w:rFonts w:ascii="Arial" w:hAnsi="Arial" w:cs="Arial"/>
          <w:sz w:val="22"/>
          <w:szCs w:val="22"/>
        </w:rPr>
        <w:t xml:space="preserve">a </w:t>
      </w:r>
      <w:r w:rsidRPr="003E6423">
        <w:rPr>
          <w:rFonts w:ascii="Arial" w:hAnsi="Arial" w:cs="Arial"/>
          <w:sz w:val="22"/>
          <w:szCs w:val="22"/>
        </w:rPr>
        <w:t xml:space="preserve">aplicar </w:t>
      </w:r>
      <w:r w:rsidR="001F7814" w:rsidRPr="003E6423">
        <w:rPr>
          <w:rFonts w:ascii="Arial" w:hAnsi="Arial" w:cs="Arial"/>
          <w:sz w:val="22"/>
          <w:szCs w:val="22"/>
        </w:rPr>
        <w:t>en</w:t>
      </w:r>
      <w:r w:rsidRPr="003E6423">
        <w:rPr>
          <w:rFonts w:ascii="Arial" w:hAnsi="Arial" w:cs="Arial"/>
          <w:sz w:val="22"/>
          <w:szCs w:val="22"/>
        </w:rPr>
        <w:t xml:space="preserve"> los procedimientos de selección cuya invitación, aviso de convocatoria o documento equivalente se publique a los tres (3) meses contados a partir de su expedición. Por tanto, la convocatoria limitada a Mipyme establecida en este Decreto deberá ser aplicada a los procedimientos de selección cuya invitación, aviso de convocatoria o documento equivalente se publique con posterioridad al 24 de marzo de 2022.</w:t>
      </w:r>
    </w:p>
    <w:p w14:paraId="77B4B307" w14:textId="48D88D13" w:rsidR="009C260C" w:rsidRPr="003E6423" w:rsidRDefault="009C260C" w:rsidP="009C260C">
      <w:pPr>
        <w:spacing w:before="120" w:line="276" w:lineRule="auto"/>
        <w:ind w:firstLine="709"/>
        <w:jc w:val="both"/>
        <w:rPr>
          <w:rFonts w:ascii="Arial" w:eastAsia="Arial" w:hAnsi="Arial" w:cs="Arial"/>
          <w:bCs/>
          <w:sz w:val="22"/>
          <w:szCs w:val="22"/>
          <w:lang w:val="es-ES_tradnl" w:eastAsia="es-ES" w:bidi="es-ES"/>
        </w:rPr>
      </w:pPr>
      <w:r w:rsidRPr="003E6423">
        <w:rPr>
          <w:rFonts w:ascii="Arial" w:eastAsia="Arial" w:hAnsi="Arial" w:cs="Arial"/>
          <w:bCs/>
          <w:sz w:val="22"/>
          <w:szCs w:val="22"/>
          <w:lang w:val="es-ES_tradnl" w:eastAsia="es-ES" w:bidi="es-ES"/>
        </w:rPr>
        <w:t xml:space="preserve">Así las cosas, actualmente las entidades estatales, los patrimonios autónomos constituidos por estas y los particulares que ejecuten recursos públicos, no pueden adoptar convocatorias limitadas a Mipymes, puesto que el artículo 5 del Decreto 1860 de 2021, que modificó el artículo 2.2.1.2.4.2.2 del Decreto 1082 de 2015, </w:t>
      </w:r>
      <w:r w:rsidR="001F7814" w:rsidRPr="003E6423">
        <w:rPr>
          <w:rFonts w:ascii="Arial" w:eastAsia="Arial" w:hAnsi="Arial" w:cs="Arial"/>
          <w:bCs/>
          <w:sz w:val="22"/>
          <w:szCs w:val="22"/>
          <w:lang w:val="es-ES_tradnl" w:eastAsia="es-ES" w:bidi="es-ES"/>
        </w:rPr>
        <w:t>entrará en vigor</w:t>
      </w:r>
      <w:r w:rsidRPr="003E6423">
        <w:rPr>
          <w:rFonts w:ascii="Arial" w:eastAsia="Arial" w:hAnsi="Arial" w:cs="Arial"/>
          <w:bCs/>
          <w:sz w:val="22"/>
          <w:szCs w:val="22"/>
          <w:lang w:val="es-ES_tradnl" w:eastAsia="es-ES" w:bidi="es-ES"/>
        </w:rPr>
        <w:t xml:space="preserve"> para</w:t>
      </w:r>
      <w:r w:rsidRPr="003E6423">
        <w:rPr>
          <w:rFonts w:ascii="Arial" w:hAnsi="Arial" w:cs="Arial"/>
          <w:sz w:val="22"/>
          <w:szCs w:val="22"/>
        </w:rPr>
        <w:t xml:space="preserve"> los procedimientos de selección cuya invitación, aviso de convocatoria o documento equivalente se publique</w:t>
      </w:r>
      <w:r w:rsidRPr="003E6423">
        <w:rPr>
          <w:rFonts w:ascii="Arial" w:eastAsia="Arial" w:hAnsi="Arial" w:cs="Arial"/>
          <w:bCs/>
          <w:sz w:val="22"/>
          <w:szCs w:val="22"/>
          <w:lang w:val="es-ES_tradnl" w:eastAsia="es-ES" w:bidi="es-ES"/>
        </w:rPr>
        <w:t xml:space="preserve"> a partir del 24 de marzo de 2022. </w:t>
      </w:r>
    </w:p>
    <w:p w14:paraId="633B807F" w14:textId="77777777" w:rsidR="009C260C" w:rsidRPr="003E6423" w:rsidRDefault="009C260C" w:rsidP="00912C6C">
      <w:pPr>
        <w:ind w:left="709" w:right="709"/>
        <w:jc w:val="both"/>
        <w:rPr>
          <w:rFonts w:ascii="Arial" w:hAnsi="Arial" w:cs="Arial"/>
          <w:sz w:val="21"/>
          <w:szCs w:val="21"/>
          <w:lang w:val="es-ES_tradnl"/>
        </w:rPr>
      </w:pPr>
    </w:p>
    <w:p w14:paraId="6A37F7F2" w14:textId="77611A51" w:rsidR="00912C6C" w:rsidRPr="003E6423" w:rsidRDefault="00912C6C" w:rsidP="00912C6C">
      <w:pPr>
        <w:ind w:left="709" w:right="709"/>
        <w:jc w:val="both"/>
        <w:rPr>
          <w:rFonts w:ascii="Arial" w:hAnsi="Arial" w:cs="Arial"/>
          <w:sz w:val="21"/>
          <w:szCs w:val="21"/>
          <w:lang w:val="es-ES_tradnl"/>
        </w:rPr>
      </w:pPr>
      <w:r w:rsidRPr="003E6423">
        <w:rPr>
          <w:rFonts w:ascii="Arial" w:hAnsi="Arial" w:cs="Arial"/>
          <w:sz w:val="21"/>
          <w:szCs w:val="21"/>
          <w:lang w:val="es-ES_tradnl"/>
        </w:rPr>
        <w:t>2)</w:t>
      </w:r>
      <w:r w:rsidRPr="003E6423">
        <w:rPr>
          <w:rFonts w:ascii="Arial" w:hAnsi="Arial" w:cs="Arial"/>
          <w:sz w:val="21"/>
          <w:szCs w:val="21"/>
          <w:lang w:val="es-ES_tradnl"/>
        </w:rPr>
        <w:tab/>
        <w:t xml:space="preserve">De otra parte y teniendo en cuenta que también se conceptúo por parte de esa agencia según concepto C ‒ 242 de 2021 de fecha 25 de mayo de 2021 que la Ley 2069 de 2020 derogó el artículo 42 de la Ley 1955 de 2019 y que tal interpretación es acorde con el criterio del Consejo de Estado contenido en el auto del 29 de mayo de 2017 según el cual  la mínima cuantía debe efectuarse cuando el valor de la contratación no exceda el 10% de la menor cuantía, </w:t>
      </w:r>
      <w:r w:rsidRPr="003E6423">
        <w:rPr>
          <w:rFonts w:ascii="Arial" w:hAnsi="Arial" w:cs="Arial"/>
          <w:sz w:val="21"/>
          <w:szCs w:val="21"/>
          <w:lang w:val="es-ES_tradnl"/>
        </w:rPr>
        <w:lastRenderedPageBreak/>
        <w:t>independientemente del objeto, solicito confirmar si actualmente prima la mínima cuantía sobre la adquisición por acuerdo marco cuando el valor de la contratación no exceda el 10% de la menor cuantía de la entidad.</w:t>
      </w:r>
    </w:p>
    <w:p w14:paraId="400DF958" w14:textId="77777777" w:rsidR="00E34B9D" w:rsidRPr="003E6423" w:rsidRDefault="00E34B9D" w:rsidP="005831D9">
      <w:pPr>
        <w:spacing w:line="276" w:lineRule="auto"/>
        <w:jc w:val="both"/>
        <w:rPr>
          <w:rFonts w:ascii="Arial" w:hAnsi="Arial" w:cs="Arial"/>
          <w:sz w:val="22"/>
          <w:lang w:val="es-ES_tradnl"/>
        </w:rPr>
      </w:pPr>
    </w:p>
    <w:p w14:paraId="65376970" w14:textId="36A8DE1B" w:rsidR="008562D3" w:rsidRPr="003E6423" w:rsidRDefault="00F50353" w:rsidP="007B7183">
      <w:pPr>
        <w:spacing w:line="276" w:lineRule="auto"/>
        <w:jc w:val="both"/>
        <w:rPr>
          <w:rFonts w:ascii="Arial" w:hAnsi="Arial" w:cs="Arial"/>
          <w:sz w:val="22"/>
          <w:lang w:val="es-ES_tradnl"/>
        </w:rPr>
      </w:pPr>
      <w:r w:rsidRPr="003E6423">
        <w:rPr>
          <w:rFonts w:ascii="Arial" w:hAnsi="Arial" w:cs="Arial"/>
          <w:sz w:val="22"/>
          <w:lang w:val="es-ES_tradnl"/>
        </w:rPr>
        <w:t xml:space="preserve">De acuerdo con lo explicado en </w:t>
      </w:r>
      <w:r w:rsidR="009C260C" w:rsidRPr="003E6423">
        <w:rPr>
          <w:rFonts w:ascii="Arial" w:hAnsi="Arial" w:cs="Arial"/>
          <w:sz w:val="22"/>
          <w:lang w:val="es-ES_tradnl"/>
        </w:rPr>
        <w:t>la parte considerativa, la Agencia reitera las consideraciones expuestas en el concepto C-242 del 25 de mayo de 2021 en torno a la derogatoria del</w:t>
      </w:r>
      <w:r w:rsidR="005831D9" w:rsidRPr="003E6423">
        <w:rPr>
          <w:rFonts w:ascii="Arial" w:hAnsi="Arial" w:cs="Arial"/>
          <w:sz w:val="22"/>
          <w:lang w:val="es-ES_tradnl"/>
        </w:rPr>
        <w:t xml:space="preserve"> artículo 42 de la Ley 1955 de 2019</w:t>
      </w:r>
      <w:r w:rsidR="009C260C" w:rsidRPr="003E6423">
        <w:rPr>
          <w:rFonts w:ascii="Arial" w:hAnsi="Arial" w:cs="Arial"/>
          <w:sz w:val="22"/>
          <w:lang w:val="es-ES_tradnl"/>
        </w:rPr>
        <w:t xml:space="preserve">, </w:t>
      </w:r>
      <w:r w:rsidR="009C24A7" w:rsidRPr="003E6423">
        <w:rPr>
          <w:rFonts w:ascii="Arial" w:hAnsi="Arial" w:cs="Arial"/>
          <w:sz w:val="22"/>
          <w:lang w:val="es-ES_tradnl"/>
        </w:rPr>
        <w:t>por</w:t>
      </w:r>
      <w:r w:rsidR="009C260C" w:rsidRPr="003E6423">
        <w:rPr>
          <w:rFonts w:ascii="Arial" w:hAnsi="Arial" w:cs="Arial"/>
          <w:sz w:val="22"/>
          <w:lang w:val="es-ES_tradnl"/>
        </w:rPr>
        <w:t xml:space="preserve"> la expedición del artículo 30 de la Ley 2069 de 2020</w:t>
      </w:r>
      <w:r w:rsidR="005831D9" w:rsidRPr="003E6423">
        <w:rPr>
          <w:rFonts w:ascii="Arial" w:hAnsi="Arial" w:cs="Arial"/>
          <w:sz w:val="22"/>
          <w:lang w:val="es-ES_tradnl"/>
        </w:rPr>
        <w:t>. Lo anterior, por seis</w:t>
      </w:r>
      <w:r w:rsidR="008562D3" w:rsidRPr="003E6423">
        <w:rPr>
          <w:rFonts w:ascii="Arial" w:hAnsi="Arial" w:cs="Arial"/>
          <w:sz w:val="22"/>
          <w:lang w:val="es-ES_tradnl"/>
        </w:rPr>
        <w:t xml:space="preserve"> (6)</w:t>
      </w:r>
      <w:r w:rsidR="005831D9" w:rsidRPr="003E6423">
        <w:rPr>
          <w:rFonts w:ascii="Arial" w:hAnsi="Arial" w:cs="Arial"/>
          <w:sz w:val="22"/>
          <w:lang w:val="es-ES_tradnl"/>
        </w:rPr>
        <w:t xml:space="preserve"> razones: </w:t>
      </w:r>
      <w:r w:rsidR="008562D3" w:rsidRPr="003E6423">
        <w:rPr>
          <w:rFonts w:ascii="Arial" w:hAnsi="Arial" w:cs="Arial"/>
          <w:sz w:val="22"/>
          <w:lang w:val="es-ES_tradnl"/>
        </w:rPr>
        <w:t>i) el artículo 30 de la Ley 2069 de 2020, como se lee en su primer inciso, modificó integralmente el numeral 5 del artículo 2 de la Ley 1150 de 2007. Por consiguiente, al modificar por completo este numeral sin aludir expresamente a la vigencia de las normas que lo habían modificado en el pasado –siendo una de ellas el artículo 42 de la Ley 1955 de 2019–, el artículo 30 de la Ley de Emprendimiento derogó dichas normas.</w:t>
      </w:r>
    </w:p>
    <w:p w14:paraId="19D4D517" w14:textId="556E45AD" w:rsidR="008562D3" w:rsidRPr="003E6423" w:rsidRDefault="008562D3" w:rsidP="008562D3">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ii) La derogatoria del artículo 42 de la Ley 1955 de 2019 también se sustenta en que el nuevo contenido del numeral 5 del artículo 2 de la Ley 1150 de 2007 –modificado por el artículo 30 de la Ley 2069 de 2020– </w:t>
      </w:r>
      <w:r w:rsidRPr="003E6423">
        <w:rPr>
          <w:rFonts w:ascii="Arial" w:hAnsi="Arial" w:cs="Arial"/>
          <w:i/>
          <w:iCs/>
          <w:sz w:val="22"/>
          <w:lang w:val="es-ES_tradnl"/>
        </w:rPr>
        <w:t>solo contempla dos parágrafos</w:t>
      </w:r>
      <w:r w:rsidRPr="003E6423">
        <w:rPr>
          <w:rFonts w:ascii="Arial" w:hAnsi="Arial" w:cs="Arial"/>
          <w:sz w:val="22"/>
          <w:lang w:val="es-ES_tradnl"/>
        </w:rPr>
        <w:t xml:space="preserve">. Por consiguiente, el parágrafo 3 que había sido adicionado por el artículo 42 de la Ley 1955 de 2019 al artículo 94 de la Ley 1474 de 2011 –artículo que a su vez había adicionado el contenido del numeral 5 del artículo 2 de la Ley 1150 de 2007–, se entiende derogado, pues dicho parágrafo 3 no quedó previsto en el artículo 30 de la Ley 2069 de 2020. </w:t>
      </w:r>
    </w:p>
    <w:p w14:paraId="14FFA04F" w14:textId="1BFD3F1B" w:rsidR="008562D3" w:rsidRPr="003E6423" w:rsidRDefault="008562D3" w:rsidP="008562D3">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iii) El parágrafo 3 adicionado al artículo 94 de la Ley 1474 de 2011 por el artículo 42 de la Ley 1955 de 2019 reguló en su momento un aspecto del procedimiento de mínima cuantía, pues así lo indicaba el título utilizado tanto en el artículo del referido artículo 42, como en la exposición de motivos, que emplea la expresión: «transparencia en contratación de mínima cuantía». Además, así también lo ratificaba su contenido, que establecía una regla de excepción para la mínima cuantía, otorgando prevalencia al mecanismo del acuerdo marco de precios a través de la Tienda Virtual del Estado Colombiano. Sin embargo, el artículo 30 de la Ley 2069 de 2020 dispone en el primer inciso: «Modifíquese el numeral 5 del artículo 2 de la Ley 1150 de 2007, el cual quedará así: […]», y en lo que queda no establece la excepción a la mínima cuantía que antes consagraba el artículo 42 de la Ley 1955 de 2019. Es más, el parágrafo segundo del artículo 30 de la Ley 2069 de 2020 prescribe que «La contratación a que se refiere el presente artículo se realizará </w:t>
      </w:r>
      <w:r w:rsidRPr="003E6423">
        <w:rPr>
          <w:rFonts w:ascii="Arial" w:hAnsi="Arial" w:cs="Arial"/>
          <w:i/>
          <w:iCs/>
          <w:sz w:val="22"/>
          <w:lang w:val="es-ES_tradnl"/>
        </w:rPr>
        <w:t>exclusivamente</w:t>
      </w:r>
      <w:r w:rsidRPr="003E6423">
        <w:rPr>
          <w:rFonts w:ascii="Arial" w:hAnsi="Arial" w:cs="Arial"/>
          <w:sz w:val="22"/>
          <w:lang w:val="es-ES_tradnl"/>
        </w:rPr>
        <w:t xml:space="preserve"> con las reglas en él contempladas y en su reglamentación».</w:t>
      </w:r>
    </w:p>
    <w:p w14:paraId="2DB5BF15" w14:textId="0273E960" w:rsidR="008562D3" w:rsidRPr="003E6423" w:rsidRDefault="008562D3" w:rsidP="008562D3">
      <w:pPr>
        <w:spacing w:before="120" w:line="276" w:lineRule="auto"/>
        <w:ind w:firstLine="709"/>
        <w:jc w:val="both"/>
        <w:rPr>
          <w:rFonts w:ascii="Arial" w:hAnsi="Arial" w:cs="Arial"/>
          <w:sz w:val="22"/>
          <w:lang w:val="es-ES_tradnl"/>
        </w:rPr>
      </w:pPr>
      <w:r w:rsidRPr="003E6423">
        <w:rPr>
          <w:rFonts w:ascii="Arial" w:hAnsi="Arial" w:cs="Arial"/>
          <w:sz w:val="22"/>
          <w:lang w:val="es-ES_tradnl"/>
        </w:rPr>
        <w:t xml:space="preserve">iv) El artículo 30 de la Ley 2069 de 2020 es una norma </w:t>
      </w:r>
      <w:r w:rsidRPr="003E6423">
        <w:rPr>
          <w:rFonts w:ascii="Arial" w:hAnsi="Arial" w:cs="Arial"/>
          <w:i/>
          <w:iCs/>
          <w:sz w:val="22"/>
          <w:lang w:val="es-ES_tradnl"/>
        </w:rPr>
        <w:t>posterior</w:t>
      </w:r>
      <w:r w:rsidRPr="003E6423">
        <w:rPr>
          <w:rFonts w:ascii="Arial" w:hAnsi="Arial" w:cs="Arial"/>
          <w:sz w:val="22"/>
          <w:lang w:val="es-ES_tradnl"/>
        </w:rPr>
        <w:t xml:space="preserve"> en el tiempo al artículo 42 de la Ley 1955 de 2019 y además es </w:t>
      </w:r>
      <w:r w:rsidRPr="003E6423">
        <w:rPr>
          <w:rFonts w:ascii="Arial" w:hAnsi="Arial" w:cs="Arial"/>
          <w:i/>
          <w:iCs/>
          <w:sz w:val="22"/>
          <w:lang w:val="es-ES_tradnl"/>
        </w:rPr>
        <w:t>especial</w:t>
      </w:r>
      <w:r w:rsidRPr="003E6423">
        <w:rPr>
          <w:rFonts w:ascii="Arial" w:hAnsi="Arial" w:cs="Arial"/>
          <w:sz w:val="22"/>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w:t>
      </w:r>
      <w:r w:rsidRPr="003E6423">
        <w:rPr>
          <w:rFonts w:ascii="Arial" w:hAnsi="Arial" w:cs="Arial"/>
          <w:sz w:val="22"/>
          <w:lang w:val="es-ES_tradnl"/>
        </w:rPr>
        <w:lastRenderedPageBreak/>
        <w:t xml:space="preserve">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Entonces, como «lo accesorio sigue la suerte de lo principal», si se subroga la norma </w:t>
      </w:r>
      <w:r w:rsidRPr="003E6423">
        <w:rPr>
          <w:rFonts w:ascii="Arial" w:hAnsi="Arial" w:cs="Arial"/>
          <w:i/>
          <w:iCs/>
          <w:sz w:val="22"/>
          <w:lang w:val="es-ES_tradnl"/>
        </w:rPr>
        <w:t>principal</w:t>
      </w:r>
      <w:r w:rsidRPr="003E6423">
        <w:rPr>
          <w:rFonts w:ascii="Arial" w:hAnsi="Arial" w:cs="Arial"/>
          <w:sz w:val="22"/>
          <w:lang w:val="es-ES_tradnl"/>
        </w:rPr>
        <w:t xml:space="preserve"> que había sido modificada por el artículo 42 de la Ley 1955 de 2019, de contera, la </w:t>
      </w:r>
      <w:r w:rsidRPr="003E6423">
        <w:rPr>
          <w:rFonts w:ascii="Arial" w:hAnsi="Arial" w:cs="Arial"/>
          <w:i/>
          <w:iCs/>
          <w:sz w:val="22"/>
          <w:lang w:val="es-ES_tradnl"/>
        </w:rPr>
        <w:t>accesoria</w:t>
      </w:r>
      <w:r w:rsidRPr="003E6423">
        <w:rPr>
          <w:rFonts w:ascii="Arial" w:hAnsi="Arial" w:cs="Arial"/>
          <w:sz w:val="22"/>
          <w:lang w:val="es-ES_tradnl"/>
        </w:rPr>
        <w:t xml:space="preserve"> también pierde vigencia. No podría afirmarse –como señala la consulta–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 Por lo tanto, no puede acudirse al argumento de la supuesta mayor jerarquía de la Ley 1955 de 2019 para justificar que su artículo 42 no fue derogado por el artículo 30 de la Ley 2069 de 2020.</w:t>
      </w:r>
    </w:p>
    <w:p w14:paraId="30704DF0" w14:textId="77777777" w:rsidR="008562D3" w:rsidRPr="003E6423" w:rsidRDefault="008562D3" w:rsidP="008562D3">
      <w:pPr>
        <w:spacing w:before="120" w:line="276" w:lineRule="auto"/>
        <w:ind w:firstLine="709"/>
        <w:jc w:val="both"/>
        <w:rPr>
          <w:rFonts w:ascii="Arial" w:hAnsi="Arial" w:cs="Arial"/>
          <w:sz w:val="22"/>
          <w:lang w:val="es-ES_tradnl"/>
        </w:rPr>
      </w:pPr>
      <w:r w:rsidRPr="003E6423">
        <w:rPr>
          <w:rFonts w:ascii="Arial" w:hAnsi="Arial" w:cs="Arial"/>
          <w:sz w:val="22"/>
          <w:lang w:val="es-ES_tradnl"/>
        </w:rPr>
        <w:t>v) El artículo 84 de la Ley 2069 de 2020 establece que «La presente Ley rige a partir del momento de su promulgación, […] y deroga […] todas las disposiciones que le sean contrarias». Si el artículo 30 dispone en qué casos debe adelantarse el procedimiento de mínima cuantía –cuando el valor de la contratación «[…] no excede del 10 por ciento de la menor cuantía de la entidad independientemente de su objeto»–, sin establecer excepciones al respecto, el artículo 42 de la Ley 1955 de 2019 resultaba contrario a esta regla. En efecto, establecía que si el objeto de la contratación eran bienes o servicios de características técnicas uniformes cuyo valor no excediera el 10% de la menor cuantía, las entidades estatales obligadas debían adquirir dichos bienes y servicios a través del acuerdo marco de precios vigente y las entidades no obligadas también podían preferir la adquisición mediante la tienda virtual, absteniéndose de adelantar el trámite de la mínima cuantía. Como se aprecia, esta excepción no quedó prevista en el artículo 30 de la Ley 2069 de 2020. En consecuencia, al ser contraria a su contenido, se impone concluir la derogatoria del artículo 42 de la Ley 1955 de 2019 en virtud del artículo 84 de la Ley de Emprendimiento.</w:t>
      </w:r>
    </w:p>
    <w:p w14:paraId="467F16C4" w14:textId="2AF73591" w:rsidR="005831D9" w:rsidRPr="003E6423" w:rsidRDefault="008562D3" w:rsidP="007B7183">
      <w:pPr>
        <w:spacing w:before="120" w:line="276" w:lineRule="auto"/>
        <w:ind w:firstLine="709"/>
        <w:jc w:val="both"/>
        <w:rPr>
          <w:rFonts w:ascii="Arial" w:hAnsi="Arial" w:cs="Arial"/>
          <w:sz w:val="22"/>
          <w:lang w:val="es-ES_tradnl"/>
        </w:rPr>
      </w:pPr>
      <w:r w:rsidRPr="003E6423">
        <w:rPr>
          <w:rFonts w:ascii="Arial" w:hAnsi="Arial" w:cs="Arial"/>
          <w:sz w:val="22"/>
          <w:lang w:val="es-ES_tradnl"/>
        </w:rPr>
        <w:t>v</w:t>
      </w:r>
      <w:r w:rsidR="00AD5964" w:rsidRPr="003E6423">
        <w:rPr>
          <w:rFonts w:ascii="Arial" w:hAnsi="Arial" w:cs="Arial"/>
          <w:sz w:val="22"/>
          <w:lang w:val="es-ES_tradnl"/>
        </w:rPr>
        <w:t>i</w:t>
      </w:r>
      <w:r w:rsidRPr="003E6423">
        <w:rPr>
          <w:rFonts w:ascii="Arial" w:hAnsi="Arial" w:cs="Arial"/>
          <w:sz w:val="22"/>
          <w:lang w:val="es-ES_tradnl"/>
        </w:rPr>
        <w:t xml:space="preserve">) Por último, esta Agencia considera que la interpretación previamente expuesta es acorde con el criterio del Consejo de Estado contenido en el auto del 29 de mayo de 2017 </w:t>
      </w:r>
      <w:r w:rsidR="009C260C" w:rsidRPr="003E6423">
        <w:rPr>
          <w:rFonts w:ascii="Arial" w:hAnsi="Arial" w:cs="Arial"/>
          <w:sz w:val="22"/>
          <w:lang w:val="es-ES_tradnl"/>
        </w:rPr>
        <w:t xml:space="preserve">y la sentencia del 23 de abril de 2021, </w:t>
      </w:r>
      <w:r w:rsidRPr="003E6423">
        <w:rPr>
          <w:rFonts w:ascii="Arial" w:hAnsi="Arial" w:cs="Arial"/>
          <w:sz w:val="22"/>
          <w:lang w:val="es-ES_tradnl"/>
        </w:rPr>
        <w:t>comenta</w:t>
      </w:r>
      <w:r w:rsidR="009C260C" w:rsidRPr="003E6423">
        <w:rPr>
          <w:rFonts w:ascii="Arial" w:hAnsi="Arial" w:cs="Arial"/>
          <w:sz w:val="22"/>
          <w:lang w:val="es-ES_tradnl"/>
        </w:rPr>
        <w:t xml:space="preserve">das </w:t>
      </w:r>
      <w:r w:rsidR="009C260C" w:rsidRPr="003E6423">
        <w:rPr>
          <w:rFonts w:ascii="Arial" w:hAnsi="Arial" w:cs="Arial"/>
          <w:i/>
          <w:iCs/>
          <w:sz w:val="22"/>
          <w:lang w:val="es-ES_tradnl"/>
        </w:rPr>
        <w:t>ut supra</w:t>
      </w:r>
      <w:r w:rsidRPr="003E6423">
        <w:rPr>
          <w:rFonts w:ascii="Arial" w:hAnsi="Arial" w:cs="Arial"/>
          <w:sz w:val="22"/>
          <w:lang w:val="es-ES_tradnl"/>
        </w:rPr>
        <w:t>. En efecto, según el alto tribunal, la mínima cuantía debe efectuarse cuando el valor de la contratación no exceda el 10% de la menor cuantía, independientemente del objeto.</w:t>
      </w:r>
    </w:p>
    <w:p w14:paraId="7D90474A" w14:textId="0877C498" w:rsidR="005831D9" w:rsidRPr="003E6423" w:rsidRDefault="005831D9" w:rsidP="00E34B9D">
      <w:pPr>
        <w:spacing w:after="120"/>
        <w:ind w:right="709"/>
        <w:jc w:val="both"/>
        <w:rPr>
          <w:rFonts w:ascii="Arial" w:hAnsi="Arial" w:cs="Arial"/>
          <w:sz w:val="21"/>
          <w:szCs w:val="21"/>
          <w:lang w:val="es-ES_tradnl"/>
        </w:rPr>
      </w:pPr>
    </w:p>
    <w:p w14:paraId="23A5BF2E" w14:textId="77777777" w:rsidR="009F57C7" w:rsidRPr="003E6423" w:rsidRDefault="009F57C7" w:rsidP="009F57C7">
      <w:pPr>
        <w:ind w:left="709" w:right="709"/>
        <w:jc w:val="both"/>
        <w:rPr>
          <w:rFonts w:ascii="Arial" w:hAnsi="Arial" w:cs="Arial"/>
          <w:sz w:val="21"/>
          <w:szCs w:val="21"/>
          <w:lang w:val="es-ES_tradnl"/>
        </w:rPr>
      </w:pPr>
      <w:r w:rsidRPr="003E6423">
        <w:rPr>
          <w:rFonts w:ascii="Arial" w:hAnsi="Arial" w:cs="Arial"/>
          <w:sz w:val="21"/>
          <w:szCs w:val="21"/>
          <w:lang w:val="es-ES_tradnl"/>
        </w:rPr>
        <w:t>3)</w:t>
      </w:r>
      <w:r w:rsidRPr="003E6423">
        <w:rPr>
          <w:rFonts w:ascii="Arial" w:hAnsi="Arial" w:cs="Arial"/>
          <w:sz w:val="21"/>
          <w:szCs w:val="21"/>
          <w:lang w:val="es-ES_tradnl"/>
        </w:rPr>
        <w:tab/>
        <w:t xml:space="preserve">Finalmente, y en relación con lo establecido en el parágrafo 3 Artículo 2.2.1.2.1.2.12: “Planeación de una adquisición en la bolsa de productos” del Decreto 310 del 25 de marzo de 2021: “PARÁGRAFO 3. Lo previsto en el parágrafo 1 de este artículo no será aplicable a las Entidades Estatales de la Rama Ejecutiva del Poder Público del orden nacional, obligadas a aplicar la Ley 80 de 1993 y la Ley 1150 de 2007, o las normas que las modifiquen, aclaren, </w:t>
      </w:r>
      <w:r w:rsidRPr="003E6423">
        <w:rPr>
          <w:rFonts w:ascii="Arial" w:hAnsi="Arial" w:cs="Arial"/>
          <w:sz w:val="21"/>
          <w:szCs w:val="21"/>
          <w:lang w:val="es-ES_tradnl"/>
        </w:rPr>
        <w:lastRenderedPageBreak/>
        <w:t xml:space="preserve">adicionen o sustituyan, las cuales en todo caso están obligadas a adquirir Bienes y Servicios de Características Técnicas Uniformes a través de los Acuerdos Marco de Precios vigentes estructurados por la Agencia Nacional de Contratación Pública -Colombia Compra Eficiente", solicito amablemente informar cual es la interpretación de Colombia Compra en relación con este aspecto, es decir ¿qué apartes de esta norma es el que no le es aplicable  a las Entidades de la Rama Ejecutiva del Poder Público? Pues el parágrafo 1 donde supuestamente se indica lo no aplicable a este tipo de entidades, únicamente se lee: “PARÁGRAFO 1. La Agencia Nacional de contratación Pública - Colombia Compra Eficiente, a través de la circular de que trata el numeral 2 del parágrafo 1 del artículo 2.2.1.2.1.2.7.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 </w:t>
      </w:r>
    </w:p>
    <w:p w14:paraId="28A41557" w14:textId="77777777" w:rsidR="009F57C7" w:rsidRPr="003E6423" w:rsidRDefault="009F57C7" w:rsidP="009F57C7">
      <w:pPr>
        <w:ind w:left="709" w:right="709"/>
        <w:jc w:val="both"/>
        <w:rPr>
          <w:rFonts w:ascii="Arial" w:hAnsi="Arial" w:cs="Arial"/>
          <w:sz w:val="21"/>
          <w:szCs w:val="21"/>
          <w:lang w:val="es-ES_tradnl"/>
        </w:rPr>
      </w:pPr>
    </w:p>
    <w:p w14:paraId="39D364FA" w14:textId="4FB6E487" w:rsidR="009F57C7" w:rsidRPr="003E6423" w:rsidRDefault="009F57C7" w:rsidP="009F57C7">
      <w:pPr>
        <w:spacing w:after="120"/>
        <w:ind w:left="709" w:right="709"/>
        <w:jc w:val="both"/>
        <w:rPr>
          <w:rFonts w:ascii="Arial" w:hAnsi="Arial" w:cs="Arial"/>
          <w:sz w:val="21"/>
          <w:szCs w:val="21"/>
          <w:lang w:val="es-ES_tradnl"/>
        </w:rPr>
      </w:pPr>
      <w:r w:rsidRPr="003E6423">
        <w:rPr>
          <w:rFonts w:ascii="Arial" w:hAnsi="Arial" w:cs="Arial"/>
          <w:sz w:val="21"/>
          <w:szCs w:val="21"/>
          <w:lang w:val="es-ES_tradnl"/>
        </w:rPr>
        <w:t>Por su parte, en la circular expedida por Colombia Compra Eficiente, de que el parágrafo 1 tampoco se esclareció este tema, al contrario pienso que lo hizo más confuso».</w:t>
      </w:r>
    </w:p>
    <w:p w14:paraId="3669FEC3" w14:textId="77777777" w:rsidR="002F29F4" w:rsidRPr="003E6423" w:rsidRDefault="002F29F4" w:rsidP="002F29F4">
      <w:pPr>
        <w:ind w:left="709" w:right="709"/>
        <w:jc w:val="both"/>
        <w:rPr>
          <w:rFonts w:ascii="Arial" w:hAnsi="Arial" w:cs="Arial"/>
          <w:sz w:val="21"/>
          <w:szCs w:val="21"/>
          <w:lang w:val="es-ES_tradnl"/>
        </w:rPr>
      </w:pPr>
    </w:p>
    <w:p w14:paraId="6183A082" w14:textId="075D813D" w:rsidR="003A2E78" w:rsidRPr="003E6423" w:rsidRDefault="002F29F4" w:rsidP="002F29F4">
      <w:pPr>
        <w:spacing w:after="120" w:line="276" w:lineRule="auto"/>
        <w:ind w:firstLine="708"/>
        <w:jc w:val="both"/>
        <w:rPr>
          <w:rFonts w:ascii="Arial" w:hAnsi="Arial" w:cs="Arial"/>
          <w:sz w:val="22"/>
          <w:szCs w:val="22"/>
          <w:lang w:val="es-ES_tradnl"/>
        </w:rPr>
      </w:pPr>
      <w:r w:rsidRPr="003E6423">
        <w:rPr>
          <w:rFonts w:ascii="Arial" w:eastAsia="Calibri" w:hAnsi="Arial" w:cs="Arial"/>
          <w:sz w:val="22"/>
          <w:szCs w:val="22"/>
          <w:lang w:val="es-MX"/>
        </w:rPr>
        <w:t xml:space="preserve">De conformidad con lo expuesto, el artículo </w:t>
      </w:r>
      <w:r w:rsidRPr="003E6423">
        <w:rPr>
          <w:rFonts w:ascii="Arial" w:hAnsi="Arial" w:cs="Arial"/>
          <w:sz w:val="22"/>
          <w:szCs w:val="22"/>
          <w:lang w:val="es-ES_tradnl"/>
        </w:rPr>
        <w:t>2.2.1.2.1.2.7 del Decreto 1082 de 2015</w:t>
      </w:r>
      <w:r w:rsidR="00E66050" w:rsidRPr="003E6423">
        <w:rPr>
          <w:rFonts w:ascii="Arial" w:hAnsi="Arial" w:cs="Arial"/>
          <w:sz w:val="22"/>
          <w:szCs w:val="22"/>
          <w:lang w:val="es-ES_tradnl"/>
        </w:rPr>
        <w:t>, modificado por el Decreto 310 de 2021,</w:t>
      </w:r>
      <w:r w:rsidRPr="003E6423">
        <w:rPr>
          <w:rFonts w:ascii="Arial" w:hAnsi="Arial" w:cs="Arial"/>
          <w:sz w:val="22"/>
          <w:szCs w:val="22"/>
          <w:lang w:val="es-ES_tradnl"/>
        </w:rPr>
        <w:t xml:space="preserve"> establece que las entidades estatales regidas por el EGCAP, en principio, están obligadas a proveer sus necesidades de bienes de características técnicas uniformes y de común utilización a través de la compra por catálogo derivados de acuerdos marco de precios. Sin embargo, según lo dispuesto en el</w:t>
      </w:r>
      <w:r w:rsidR="00BD1DAF" w:rsidRPr="003E6423">
        <w:rPr>
          <w:rFonts w:ascii="Arial" w:hAnsi="Arial" w:cs="Arial"/>
          <w:sz w:val="22"/>
          <w:szCs w:val="22"/>
          <w:lang w:val="es-ES_tradnl"/>
        </w:rPr>
        <w:t xml:space="preserve"> inciso primero</w:t>
      </w:r>
      <w:r w:rsidRPr="003E6423">
        <w:rPr>
          <w:rFonts w:ascii="Arial" w:hAnsi="Arial" w:cs="Arial"/>
          <w:sz w:val="22"/>
          <w:szCs w:val="22"/>
          <w:lang w:val="es-ES_tradnl"/>
        </w:rPr>
        <w:t xml:space="preserve"> artículo </w:t>
      </w:r>
      <w:r w:rsidRPr="003E6423">
        <w:rPr>
          <w:rFonts w:ascii="Arial" w:eastAsia="Calibri" w:hAnsi="Arial" w:cs="Arial"/>
          <w:sz w:val="22"/>
          <w:szCs w:val="22"/>
          <w:lang w:val="es-MX"/>
        </w:rPr>
        <w:t xml:space="preserve">2.2.1.2.1.2.12, </w:t>
      </w:r>
      <w:r w:rsidRPr="003E6423">
        <w:rPr>
          <w:rFonts w:ascii="Arial" w:hAnsi="Arial" w:cs="Arial"/>
          <w:sz w:val="22"/>
          <w:szCs w:val="22"/>
          <w:lang w:val="es-ES_tradnl"/>
        </w:rPr>
        <w:t>cuando no exista acuerdo marco de precios,</w:t>
      </w:r>
      <w:r w:rsidR="003A2E78" w:rsidRPr="003E6423">
        <w:rPr>
          <w:rFonts w:ascii="Arial" w:hAnsi="Arial" w:cs="Arial"/>
          <w:sz w:val="22"/>
          <w:szCs w:val="22"/>
          <w:lang w:val="es-ES_tradnl"/>
        </w:rPr>
        <w:t xml:space="preserve"> las entidades podrán al mecanismo de bolsa de productos, previo estudio comparativo e identificación de las ventajas de utilizar </w:t>
      </w:r>
      <w:r w:rsidR="00BD1DAF" w:rsidRPr="003E6423">
        <w:rPr>
          <w:rFonts w:ascii="Arial" w:hAnsi="Arial" w:cs="Arial"/>
          <w:sz w:val="22"/>
          <w:szCs w:val="22"/>
          <w:lang w:val="es-ES_tradnl"/>
        </w:rPr>
        <w:t>dicho</w:t>
      </w:r>
      <w:r w:rsidR="003A2E78" w:rsidRPr="003E6423">
        <w:rPr>
          <w:rFonts w:ascii="Arial" w:hAnsi="Arial" w:cs="Arial"/>
          <w:sz w:val="22"/>
          <w:szCs w:val="22"/>
          <w:lang w:val="es-ES_tradnl"/>
        </w:rPr>
        <w:t xml:space="preserve"> mecanismo</w:t>
      </w:r>
      <w:r w:rsidR="00BD1DAF" w:rsidRPr="003E6423">
        <w:rPr>
          <w:rFonts w:ascii="Arial" w:hAnsi="Arial" w:cs="Arial"/>
          <w:sz w:val="22"/>
          <w:szCs w:val="22"/>
          <w:lang w:val="es-ES_tradnl"/>
        </w:rPr>
        <w:t xml:space="preserve"> respecto del de subasta inversa o</w:t>
      </w:r>
      <w:r w:rsidR="003A2E78" w:rsidRPr="003E6423">
        <w:rPr>
          <w:rFonts w:ascii="Arial" w:hAnsi="Arial" w:cs="Arial"/>
          <w:sz w:val="22"/>
          <w:szCs w:val="22"/>
          <w:lang w:val="es-ES_tradnl"/>
        </w:rPr>
        <w:t xml:space="preserve"> la promoción de un nuevo </w:t>
      </w:r>
      <w:r w:rsidR="00BD1DAF" w:rsidRPr="003E6423">
        <w:rPr>
          <w:rFonts w:ascii="Arial" w:hAnsi="Arial" w:cs="Arial"/>
          <w:sz w:val="22"/>
          <w:szCs w:val="22"/>
          <w:lang w:val="es-ES_tradnl"/>
        </w:rPr>
        <w:t xml:space="preserve">acuerdo marco de precios.  </w:t>
      </w:r>
    </w:p>
    <w:p w14:paraId="406CA57F" w14:textId="1AFAA292" w:rsidR="00BD1DAF" w:rsidRPr="003E6423" w:rsidRDefault="00733A9B" w:rsidP="002F29F4">
      <w:pPr>
        <w:spacing w:after="120" w:line="276" w:lineRule="auto"/>
        <w:ind w:firstLine="708"/>
        <w:jc w:val="both"/>
        <w:rPr>
          <w:rFonts w:ascii="Arial" w:hAnsi="Arial" w:cs="Arial"/>
          <w:sz w:val="22"/>
          <w:szCs w:val="22"/>
          <w:lang w:val="es-ES_tradnl"/>
        </w:rPr>
      </w:pPr>
      <w:r w:rsidRPr="003E6423">
        <w:rPr>
          <w:rFonts w:ascii="Arial" w:hAnsi="Arial" w:cs="Arial"/>
          <w:sz w:val="22"/>
          <w:szCs w:val="22"/>
          <w:lang w:val="es-ES_tradnl"/>
        </w:rPr>
        <w:t>No obstante,</w:t>
      </w:r>
      <w:r w:rsidR="00BD1DAF" w:rsidRPr="003E6423">
        <w:rPr>
          <w:rFonts w:ascii="Arial" w:hAnsi="Arial" w:cs="Arial"/>
          <w:sz w:val="22"/>
          <w:szCs w:val="22"/>
          <w:lang w:val="es-ES_tradnl"/>
        </w:rPr>
        <w:t xml:space="preserve"> de conformidad con el inciso tercero del artículo </w:t>
      </w:r>
      <w:r w:rsidR="00BD1DAF" w:rsidRPr="003E6423">
        <w:rPr>
          <w:rFonts w:ascii="Arial" w:eastAsia="Calibri" w:hAnsi="Arial" w:cs="Arial"/>
          <w:sz w:val="22"/>
          <w:szCs w:val="22"/>
          <w:lang w:val="es-MX"/>
        </w:rPr>
        <w:t>2.2.1.2.1.2.12,</w:t>
      </w:r>
      <w:r w:rsidR="002F29F4" w:rsidRPr="003E6423">
        <w:rPr>
          <w:rFonts w:ascii="Arial" w:hAnsi="Arial" w:cs="Arial"/>
          <w:sz w:val="22"/>
          <w:szCs w:val="22"/>
          <w:lang w:val="es-ES_tradnl"/>
        </w:rPr>
        <w:t xml:space="preserve"> incluso existiendo</w:t>
      </w:r>
      <w:r w:rsidR="00BD1DAF" w:rsidRPr="003E6423">
        <w:rPr>
          <w:rFonts w:ascii="Arial" w:hAnsi="Arial" w:cs="Arial"/>
          <w:sz w:val="22"/>
          <w:szCs w:val="22"/>
          <w:lang w:val="es-ES_tradnl"/>
        </w:rPr>
        <w:t xml:space="preserve"> acuerdo marco de precios</w:t>
      </w:r>
      <w:r w:rsidR="002F29F4" w:rsidRPr="003E6423">
        <w:rPr>
          <w:rFonts w:ascii="Arial" w:hAnsi="Arial" w:cs="Arial"/>
          <w:sz w:val="22"/>
          <w:szCs w:val="22"/>
          <w:lang w:val="es-ES_tradnl"/>
        </w:rPr>
        <w:t xml:space="preserve">, </w:t>
      </w:r>
      <w:r w:rsidR="00BD1DAF" w:rsidRPr="003E6423">
        <w:rPr>
          <w:rFonts w:ascii="Arial" w:hAnsi="Arial" w:cs="Arial"/>
          <w:sz w:val="22"/>
          <w:szCs w:val="22"/>
          <w:lang w:val="es-ES_tradnl"/>
        </w:rPr>
        <w:t xml:space="preserve">es posible que las entidades estatales acudan al mecanismo de bolsa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durante los últimos seis (6) meses. </w:t>
      </w:r>
      <w:r w:rsidR="00C109C1" w:rsidRPr="003E6423">
        <w:rPr>
          <w:rFonts w:ascii="Arial" w:hAnsi="Arial" w:cs="Arial"/>
          <w:sz w:val="22"/>
          <w:szCs w:val="22"/>
          <w:lang w:val="es-ES_tradnl"/>
        </w:rPr>
        <w:t>En este análisis deben</w:t>
      </w:r>
      <w:r w:rsidR="00BD1DAF" w:rsidRPr="003E6423">
        <w:rPr>
          <w:rFonts w:ascii="Arial" w:hAnsi="Arial" w:cs="Arial"/>
          <w:sz w:val="22"/>
          <w:szCs w:val="22"/>
          <w:lang w:val="es-ES_tradnl"/>
        </w:rPr>
        <w:t xml:space="preserve"> inclu</w:t>
      </w:r>
      <w:r w:rsidR="00C109C1" w:rsidRPr="003E6423">
        <w:rPr>
          <w:rFonts w:ascii="Arial" w:hAnsi="Arial" w:cs="Arial"/>
          <w:sz w:val="22"/>
          <w:szCs w:val="22"/>
          <w:lang w:val="es-ES_tradnl"/>
        </w:rPr>
        <w:t>irse</w:t>
      </w:r>
      <w:r w:rsidR="00BD1DAF" w:rsidRPr="003E6423">
        <w:rPr>
          <w:rFonts w:ascii="Arial" w:hAnsi="Arial" w:cs="Arial"/>
          <w:sz w:val="22"/>
          <w:szCs w:val="22"/>
          <w:lang w:val="es-ES_tradnl"/>
        </w:rPr>
        <w:t xml:space="preserve"> los costos generados por concepto de comisionistas de bolsa y gastos de operación, valores que debe</w:t>
      </w:r>
      <w:r w:rsidR="00C109C1" w:rsidRPr="003E6423">
        <w:rPr>
          <w:rFonts w:ascii="Arial" w:hAnsi="Arial" w:cs="Arial"/>
          <w:sz w:val="22"/>
          <w:szCs w:val="22"/>
          <w:lang w:val="es-ES_tradnl"/>
        </w:rPr>
        <w:t>n</w:t>
      </w:r>
      <w:r w:rsidR="00BD1DAF" w:rsidRPr="003E6423">
        <w:rPr>
          <w:rFonts w:ascii="Arial" w:hAnsi="Arial" w:cs="Arial"/>
          <w:sz w:val="22"/>
          <w:szCs w:val="22"/>
          <w:lang w:val="es-ES_tradnl"/>
        </w:rPr>
        <w:t xml:space="preserve"> ser verificados por el respectivo ordenador del gasto en el último boletín de precios que, para el efecto, expida </w:t>
      </w:r>
      <w:r w:rsidR="00C109C1" w:rsidRPr="003E6423">
        <w:rPr>
          <w:rFonts w:ascii="Arial" w:hAnsi="Arial" w:cs="Arial"/>
          <w:sz w:val="22"/>
          <w:szCs w:val="22"/>
          <w:lang w:val="es-ES_tradnl"/>
        </w:rPr>
        <w:t xml:space="preserve">esta Agencia. </w:t>
      </w:r>
    </w:p>
    <w:p w14:paraId="01F610C1" w14:textId="5449B363" w:rsidR="00C109C1" w:rsidRPr="003E6423" w:rsidRDefault="005D2E69" w:rsidP="002F29F4">
      <w:pPr>
        <w:spacing w:after="120" w:line="276" w:lineRule="auto"/>
        <w:ind w:firstLine="708"/>
        <w:jc w:val="both"/>
        <w:rPr>
          <w:rFonts w:ascii="Arial" w:hAnsi="Arial" w:cs="Arial"/>
          <w:sz w:val="22"/>
          <w:szCs w:val="22"/>
          <w:lang w:val="es-ES_tradnl"/>
        </w:rPr>
      </w:pPr>
      <w:r w:rsidRPr="003E6423">
        <w:rPr>
          <w:rFonts w:ascii="Arial" w:hAnsi="Arial" w:cs="Arial"/>
          <w:sz w:val="22"/>
          <w:szCs w:val="22"/>
          <w:lang w:val="es-ES_tradnl"/>
        </w:rPr>
        <w:t xml:space="preserve">Es importante anotar que </w:t>
      </w:r>
      <w:r w:rsidR="00C109C1" w:rsidRPr="003E6423">
        <w:rPr>
          <w:rFonts w:ascii="Arial" w:hAnsi="Arial" w:cs="Arial"/>
          <w:sz w:val="22"/>
          <w:szCs w:val="22"/>
          <w:lang w:val="es-ES_tradnl"/>
        </w:rPr>
        <w:t xml:space="preserve">el parágrafo 1 del artículo </w:t>
      </w:r>
      <w:r w:rsidR="00C109C1" w:rsidRPr="003E6423">
        <w:rPr>
          <w:rFonts w:ascii="Arial" w:eastAsia="Calibri" w:hAnsi="Arial" w:cs="Arial"/>
          <w:sz w:val="22"/>
          <w:szCs w:val="22"/>
          <w:lang w:val="es-MX"/>
        </w:rPr>
        <w:t xml:space="preserve">2.2.1.2.1.2.12 atribuyó a esta Agencia </w:t>
      </w:r>
      <w:r w:rsidR="00C109C1" w:rsidRPr="003E6423">
        <w:rPr>
          <w:rFonts w:ascii="Arial" w:hAnsi="Arial" w:cs="Arial"/>
          <w:sz w:val="22"/>
          <w:szCs w:val="22"/>
          <w:shd w:val="clear" w:color="auto" w:fill="FFFFFF"/>
        </w:rPr>
        <w:t>la potestad de establecer –en la circular de que trata el numeral 2 del parágrafo 1 del artículo 2.2.1.2.1.2.7– los lineamientos generales, así como los criterios objetivos y medibles  con arreglo a los cuales deben sujetarse las entidades estatales para la</w:t>
      </w:r>
      <w:r w:rsidRPr="003E6423">
        <w:rPr>
          <w:rFonts w:ascii="Arial" w:hAnsi="Arial" w:cs="Arial"/>
          <w:sz w:val="22"/>
          <w:szCs w:val="22"/>
          <w:shd w:val="clear" w:color="auto" w:fill="FFFFFF"/>
        </w:rPr>
        <w:t xml:space="preserve"> </w:t>
      </w:r>
      <w:r w:rsidRPr="003E6423">
        <w:rPr>
          <w:rFonts w:ascii="Arial" w:hAnsi="Arial" w:cs="Arial"/>
          <w:sz w:val="22"/>
          <w:szCs w:val="22"/>
          <w:shd w:val="clear" w:color="auto" w:fill="FFFFFF"/>
        </w:rPr>
        <w:lastRenderedPageBreak/>
        <w:t>planeación de las</w:t>
      </w:r>
      <w:r w:rsidR="00C109C1" w:rsidRPr="003E6423">
        <w:rPr>
          <w:rFonts w:ascii="Arial" w:hAnsi="Arial" w:cs="Arial"/>
          <w:sz w:val="22"/>
          <w:szCs w:val="22"/>
          <w:shd w:val="clear" w:color="auto" w:fill="FFFFFF"/>
        </w:rPr>
        <w:t xml:space="preserve"> adquisici</w:t>
      </w:r>
      <w:r w:rsidRPr="003E6423">
        <w:rPr>
          <w:rFonts w:ascii="Arial" w:hAnsi="Arial" w:cs="Arial"/>
          <w:sz w:val="22"/>
          <w:szCs w:val="22"/>
          <w:shd w:val="clear" w:color="auto" w:fill="FFFFFF"/>
        </w:rPr>
        <w:t>ones</w:t>
      </w:r>
      <w:r w:rsidR="00C109C1" w:rsidRPr="003E6423">
        <w:rPr>
          <w:rFonts w:ascii="Arial" w:hAnsi="Arial" w:cs="Arial"/>
          <w:sz w:val="22"/>
          <w:szCs w:val="22"/>
          <w:shd w:val="clear" w:color="auto" w:fill="FFFFFF"/>
        </w:rPr>
        <w:t xml:space="preserve"> de bienes o servicios de características técnicas uniformes a través de </w:t>
      </w:r>
      <w:r w:rsidRPr="003E6423">
        <w:rPr>
          <w:rFonts w:ascii="Arial" w:hAnsi="Arial" w:cs="Arial"/>
          <w:sz w:val="22"/>
          <w:szCs w:val="22"/>
          <w:shd w:val="clear" w:color="auto" w:fill="FFFFFF"/>
        </w:rPr>
        <w:t>b</w:t>
      </w:r>
      <w:r w:rsidR="00C109C1" w:rsidRPr="003E6423">
        <w:rPr>
          <w:rFonts w:ascii="Arial" w:hAnsi="Arial" w:cs="Arial"/>
          <w:sz w:val="22"/>
          <w:szCs w:val="22"/>
          <w:shd w:val="clear" w:color="auto" w:fill="FFFFFF"/>
        </w:rPr>
        <w:t xml:space="preserve">olsas de </w:t>
      </w:r>
      <w:r w:rsidRPr="003E6423">
        <w:rPr>
          <w:rFonts w:ascii="Arial" w:hAnsi="Arial" w:cs="Arial"/>
          <w:sz w:val="22"/>
          <w:szCs w:val="22"/>
          <w:shd w:val="clear" w:color="auto" w:fill="FFFFFF"/>
        </w:rPr>
        <w:t>p</w:t>
      </w:r>
      <w:r w:rsidR="00C109C1" w:rsidRPr="003E6423">
        <w:rPr>
          <w:rFonts w:ascii="Arial" w:hAnsi="Arial" w:cs="Arial"/>
          <w:sz w:val="22"/>
          <w:szCs w:val="22"/>
          <w:shd w:val="clear" w:color="auto" w:fill="FFFFFF"/>
        </w:rPr>
        <w:t>roductos, independientemente de que exista o no un</w:t>
      </w:r>
      <w:r w:rsidRPr="003E6423">
        <w:rPr>
          <w:rFonts w:ascii="Arial" w:hAnsi="Arial" w:cs="Arial"/>
          <w:sz w:val="22"/>
          <w:szCs w:val="22"/>
          <w:shd w:val="clear" w:color="auto" w:fill="FFFFFF"/>
        </w:rPr>
        <w:t xml:space="preserve"> acuerdo marco de precios vigente. De esto se ocupó esta Agencia a través de la Circular Externa 004 del 21 de septiembre de 2021, en la que se definieron unos criterios con arreglo a los cuales las entidades estatales deben sustentar las adquisiciones de bienes y/o servicios de características técnicas uniformes a través del mecanismo de bolsa de productos, de acuerdo con lo dispuesto en el artículo </w:t>
      </w:r>
      <w:r w:rsidRPr="003E6423">
        <w:rPr>
          <w:rFonts w:ascii="Arial" w:eastAsia="Calibri" w:hAnsi="Arial" w:cs="Arial"/>
          <w:sz w:val="22"/>
          <w:szCs w:val="22"/>
          <w:lang w:val="es-MX"/>
        </w:rPr>
        <w:t xml:space="preserve">2.2.1.2.1.2.12 del Decreto 1082 de 2015, modificado por el Decreto 310 de 2021. </w:t>
      </w:r>
    </w:p>
    <w:p w14:paraId="1AB0562A" w14:textId="1F368BDE" w:rsidR="009F57C7" w:rsidRPr="003E6423" w:rsidRDefault="00733A9B" w:rsidP="004077FD">
      <w:pPr>
        <w:spacing w:line="276" w:lineRule="auto"/>
        <w:ind w:firstLine="708"/>
        <w:jc w:val="both"/>
        <w:rPr>
          <w:rFonts w:ascii="Arial" w:hAnsi="Arial" w:cs="Arial"/>
          <w:sz w:val="21"/>
          <w:szCs w:val="21"/>
          <w:lang w:val="es-ES_tradnl"/>
        </w:rPr>
      </w:pPr>
      <w:r w:rsidRPr="003E6423">
        <w:rPr>
          <w:rFonts w:ascii="Arial" w:hAnsi="Arial" w:cs="Arial"/>
          <w:sz w:val="22"/>
          <w:szCs w:val="22"/>
          <w:lang w:val="es-ES_tradnl"/>
        </w:rPr>
        <w:t xml:space="preserve">Sin perjuicio de lo anterior, de conformidad con el parágrafo tercero del </w:t>
      </w:r>
      <w:r w:rsidRPr="003E6423">
        <w:rPr>
          <w:rFonts w:ascii="Arial" w:hAnsi="Arial" w:cs="Arial"/>
          <w:sz w:val="22"/>
          <w:szCs w:val="22"/>
          <w:shd w:val="clear" w:color="auto" w:fill="FFFFFF"/>
        </w:rPr>
        <w:t xml:space="preserve">artículo </w:t>
      </w:r>
      <w:r w:rsidRPr="003E6423">
        <w:rPr>
          <w:rFonts w:ascii="Arial" w:eastAsia="Calibri" w:hAnsi="Arial" w:cs="Arial"/>
          <w:sz w:val="22"/>
          <w:szCs w:val="22"/>
          <w:lang w:val="es-MX"/>
        </w:rPr>
        <w:t xml:space="preserve">2.2.1.2.1.2.12 del Decreto 1082 de 2015, modificado por el Decreto 310 de 2021, lo dispuesto en el parágrafo 1 de la misma norma, no es aplicable a las </w:t>
      </w:r>
      <w:r w:rsidR="002F29F4" w:rsidRPr="003E6423">
        <w:rPr>
          <w:rFonts w:ascii="Arial" w:hAnsi="Arial" w:cs="Arial"/>
          <w:sz w:val="22"/>
          <w:szCs w:val="22"/>
          <w:lang w:val="es-ES_tradnl"/>
        </w:rPr>
        <w:t>entidades estatales de la Rama Ejecutiva del orden nacional, obligadas a aplicar la Ley 80 de 1993 y la Ley 1150 de 2007</w:t>
      </w:r>
      <w:r w:rsidRPr="003E6423">
        <w:rPr>
          <w:rFonts w:ascii="Arial" w:hAnsi="Arial" w:cs="Arial"/>
          <w:sz w:val="22"/>
          <w:szCs w:val="22"/>
          <w:lang w:val="es-ES_tradnl"/>
        </w:rPr>
        <w:t xml:space="preserve">. Estas entidades, en virtud de lo dispuesto en este parágrafo, están obligadas a </w:t>
      </w:r>
      <w:r w:rsidR="004077FD" w:rsidRPr="003E6423">
        <w:rPr>
          <w:rFonts w:ascii="Arial" w:hAnsi="Arial" w:cs="Arial"/>
          <w:sz w:val="22"/>
          <w:szCs w:val="22"/>
          <w:lang w:val="es-ES_tradnl"/>
        </w:rPr>
        <w:t>adquirir bienes y servicios de características técnicas uniformes a través de los acuerdos marco de precios vigentes estructurados por la Agencia Nacional de Contratación Pública -Colombia Compra Eficiente, sin que sea oponible para ellas lo dispuesto en la Circular 004 del 21 de septiembre de 2021.</w:t>
      </w:r>
    </w:p>
    <w:p w14:paraId="13EDC4DB" w14:textId="77777777" w:rsidR="009F57C7" w:rsidRPr="003E6423" w:rsidRDefault="009F57C7" w:rsidP="00E34B9D">
      <w:pPr>
        <w:spacing w:after="120"/>
        <w:ind w:right="709"/>
        <w:jc w:val="both"/>
        <w:rPr>
          <w:rFonts w:ascii="Arial" w:hAnsi="Arial" w:cs="Arial"/>
          <w:sz w:val="21"/>
          <w:szCs w:val="21"/>
          <w:lang w:val="es-ES_tradnl"/>
        </w:rPr>
      </w:pPr>
    </w:p>
    <w:p w14:paraId="7B2C921D" w14:textId="0383AF9A" w:rsidR="00DD5B04" w:rsidRPr="003E6423" w:rsidRDefault="00DD5B04" w:rsidP="00DF76A2">
      <w:pPr>
        <w:spacing w:line="276" w:lineRule="auto"/>
        <w:jc w:val="both"/>
        <w:rPr>
          <w:rFonts w:ascii="Arial" w:hAnsi="Arial" w:cs="Arial"/>
          <w:sz w:val="22"/>
          <w:lang w:val="es-ES_tradnl"/>
        </w:rPr>
      </w:pPr>
      <w:r w:rsidRPr="003E6423">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3E6423"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3E6423"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3E6423">
        <w:rPr>
          <w:rFonts w:ascii="Arial" w:hAnsi="Arial" w:cs="Arial"/>
          <w:sz w:val="22"/>
          <w:szCs w:val="22"/>
          <w:lang w:val="es-ES_tradnl"/>
        </w:rPr>
        <w:t>Atentamente,</w:t>
      </w:r>
    </w:p>
    <w:p w14:paraId="692FC307" w14:textId="4D8EEE33" w:rsidR="00921304" w:rsidRPr="003E6423" w:rsidRDefault="004C678F" w:rsidP="004C678F">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7F54FD21" wp14:editId="7A7FDCB0">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30AA3DC7" w14:textId="5AD90530" w:rsidR="00921304" w:rsidRPr="003E6423" w:rsidRDefault="00921304" w:rsidP="00F90C4D">
      <w:pPr>
        <w:pStyle w:val="NormalWeb"/>
        <w:spacing w:before="0" w:beforeAutospacing="0" w:after="0" w:afterAutospacing="0" w:line="276" w:lineRule="auto"/>
        <w:jc w:val="center"/>
        <w:rPr>
          <w:rFonts w:ascii="Arial" w:hAnsi="Arial" w:cs="Arial"/>
          <w:sz w:val="22"/>
          <w:szCs w:val="22"/>
          <w:lang w:val="es-ES_tradnl"/>
        </w:rPr>
      </w:pPr>
    </w:p>
    <w:p w14:paraId="5CBAE239" w14:textId="77777777" w:rsidR="00425C43" w:rsidRPr="003E6423" w:rsidRDefault="00425C43" w:rsidP="00B37657">
      <w:pPr>
        <w:jc w:val="center"/>
        <w:rPr>
          <w:rFonts w:ascii="Arial" w:hAnsi="Arial" w:cs="Arial"/>
          <w:sz w:val="18"/>
          <w:szCs w:val="20"/>
          <w:lang w:val="es-ES_tradnl" w:eastAsia="es-CO"/>
        </w:rPr>
      </w:pPr>
    </w:p>
    <w:p w14:paraId="49730030" w14:textId="217D35F3" w:rsidR="00DD5B04" w:rsidRPr="003E6423" w:rsidRDefault="00DD5B04" w:rsidP="00B37657">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72959" w:rsidRPr="003E6423" w14:paraId="0C7DC5F7" w14:textId="77777777" w:rsidTr="00DF6CCA">
        <w:trPr>
          <w:trHeight w:val="315"/>
        </w:trPr>
        <w:tc>
          <w:tcPr>
            <w:tcW w:w="812" w:type="dxa"/>
            <w:vAlign w:val="center"/>
            <w:hideMark/>
          </w:tcPr>
          <w:p w14:paraId="5BDB1AC9" w14:textId="77777777" w:rsidR="00DD5B04" w:rsidRPr="003E6423" w:rsidRDefault="00DD5B04" w:rsidP="00DF76A2">
            <w:pPr>
              <w:jc w:val="both"/>
              <w:rPr>
                <w:rFonts w:ascii="Arial" w:hAnsi="Arial" w:cs="Arial"/>
                <w:sz w:val="16"/>
                <w:szCs w:val="16"/>
                <w:lang w:val="es-ES_tradnl" w:eastAsia="es-ES"/>
              </w:rPr>
            </w:pPr>
            <w:r w:rsidRPr="003E6423">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0F14975" w:rsidR="00DD5B04" w:rsidRPr="003E6423" w:rsidRDefault="00C0478F" w:rsidP="00DF76A2">
            <w:pPr>
              <w:jc w:val="both"/>
              <w:rPr>
                <w:rFonts w:ascii="Arial" w:hAnsi="Arial" w:cs="Arial"/>
                <w:sz w:val="16"/>
                <w:szCs w:val="16"/>
                <w:lang w:val="es-ES_tradnl" w:eastAsia="es-ES"/>
              </w:rPr>
            </w:pPr>
            <w:r w:rsidRPr="003E6423">
              <w:rPr>
                <w:rFonts w:ascii="Arial" w:hAnsi="Arial" w:cs="Arial"/>
                <w:sz w:val="16"/>
                <w:szCs w:val="16"/>
                <w:lang w:val="es-ES_tradnl" w:eastAsia="es-ES"/>
              </w:rPr>
              <w:t>Alejandro Sarmiento Cantillo</w:t>
            </w:r>
          </w:p>
          <w:p w14:paraId="240C71FD" w14:textId="15B0AA90" w:rsidR="00DD5B04" w:rsidRPr="003E6423" w:rsidRDefault="00C0478F" w:rsidP="00DF76A2">
            <w:pPr>
              <w:jc w:val="both"/>
              <w:rPr>
                <w:rFonts w:ascii="Arial" w:hAnsi="Arial" w:cs="Arial"/>
                <w:sz w:val="16"/>
                <w:szCs w:val="16"/>
                <w:lang w:val="es-ES_tradnl" w:eastAsia="es-ES"/>
              </w:rPr>
            </w:pPr>
            <w:r w:rsidRPr="003E6423">
              <w:rPr>
                <w:rFonts w:ascii="Arial" w:hAnsi="Arial" w:cs="Arial"/>
                <w:sz w:val="16"/>
                <w:szCs w:val="16"/>
                <w:lang w:val="es-ES_tradnl" w:eastAsia="es-ES"/>
              </w:rPr>
              <w:t>Gestor T1-1</w:t>
            </w:r>
            <w:r w:rsidR="00C4722B" w:rsidRPr="003E6423">
              <w:rPr>
                <w:rFonts w:ascii="Arial" w:hAnsi="Arial" w:cs="Arial"/>
                <w:sz w:val="16"/>
                <w:szCs w:val="16"/>
                <w:lang w:val="es-ES_tradnl" w:eastAsia="es-ES"/>
              </w:rPr>
              <w:t>5</w:t>
            </w:r>
            <w:r w:rsidR="00FF0050" w:rsidRPr="003E6423">
              <w:rPr>
                <w:rFonts w:ascii="Arial" w:hAnsi="Arial" w:cs="Arial"/>
                <w:sz w:val="16"/>
                <w:szCs w:val="16"/>
                <w:lang w:val="es-ES_tradnl" w:eastAsia="es-ES"/>
              </w:rPr>
              <w:t xml:space="preserve"> de la </w:t>
            </w:r>
            <w:r w:rsidR="00DD5B04" w:rsidRPr="003E6423">
              <w:rPr>
                <w:rFonts w:ascii="Arial" w:hAnsi="Arial" w:cs="Arial"/>
                <w:sz w:val="16"/>
                <w:szCs w:val="16"/>
                <w:lang w:val="es-ES_tradnl" w:eastAsia="es-ES"/>
              </w:rPr>
              <w:t>Subdirección de Gestión Contractual</w:t>
            </w:r>
          </w:p>
        </w:tc>
      </w:tr>
      <w:tr w:rsidR="00972959" w:rsidRPr="003E6423" w14:paraId="2F8FD650" w14:textId="77777777" w:rsidTr="00DF6CCA">
        <w:trPr>
          <w:trHeight w:val="330"/>
        </w:trPr>
        <w:tc>
          <w:tcPr>
            <w:tcW w:w="812" w:type="dxa"/>
            <w:vAlign w:val="center"/>
            <w:hideMark/>
          </w:tcPr>
          <w:p w14:paraId="50203A0B" w14:textId="77777777" w:rsidR="00C0478F" w:rsidRPr="003E6423" w:rsidRDefault="00C0478F" w:rsidP="00C0478F">
            <w:pPr>
              <w:jc w:val="both"/>
              <w:rPr>
                <w:rFonts w:ascii="Arial" w:hAnsi="Arial" w:cs="Arial"/>
                <w:sz w:val="16"/>
                <w:szCs w:val="16"/>
                <w:lang w:val="es-ES_tradnl" w:eastAsia="es-ES"/>
              </w:rPr>
            </w:pPr>
            <w:r w:rsidRPr="003E6423">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7F28E3" w14:textId="77777777" w:rsidR="00C0478F" w:rsidRPr="003E6423" w:rsidRDefault="00C0478F" w:rsidP="00C0478F">
            <w:pPr>
              <w:jc w:val="both"/>
              <w:rPr>
                <w:rFonts w:ascii="Arial" w:hAnsi="Arial" w:cs="Arial"/>
                <w:sz w:val="16"/>
                <w:szCs w:val="16"/>
                <w:lang w:val="es-ES_tradnl" w:eastAsia="es-ES"/>
              </w:rPr>
            </w:pPr>
            <w:r w:rsidRPr="003E6423">
              <w:rPr>
                <w:rFonts w:ascii="Arial" w:hAnsi="Arial" w:cs="Arial"/>
                <w:sz w:val="16"/>
                <w:szCs w:val="16"/>
                <w:lang w:val="es-ES_tradnl" w:eastAsia="es-ES"/>
              </w:rPr>
              <w:t>Jorge Augusto Tirado Navarro</w:t>
            </w:r>
          </w:p>
          <w:p w14:paraId="130B3228" w14:textId="5A507EA7" w:rsidR="00C0478F" w:rsidRPr="003E6423" w:rsidRDefault="00C0478F" w:rsidP="00C0478F">
            <w:pPr>
              <w:jc w:val="both"/>
              <w:rPr>
                <w:rFonts w:ascii="Arial" w:hAnsi="Arial" w:cs="Arial"/>
                <w:sz w:val="16"/>
                <w:szCs w:val="16"/>
                <w:lang w:val="es-ES_tradnl" w:eastAsia="es-ES"/>
              </w:rPr>
            </w:pPr>
            <w:r w:rsidRPr="003E6423">
              <w:rPr>
                <w:rFonts w:ascii="Arial" w:hAnsi="Arial" w:cs="Arial"/>
                <w:sz w:val="16"/>
                <w:szCs w:val="16"/>
                <w:lang w:val="es-ES_tradnl" w:eastAsia="es-ES"/>
              </w:rPr>
              <w:t>Subdirector de Gestión Contractual ANCP – CCE</w:t>
            </w:r>
          </w:p>
        </w:tc>
      </w:tr>
      <w:tr w:rsidR="00DD5B04" w:rsidRPr="00972959" w14:paraId="0FCBCA4A" w14:textId="77777777" w:rsidTr="00DF6CCA">
        <w:trPr>
          <w:trHeight w:val="300"/>
        </w:trPr>
        <w:tc>
          <w:tcPr>
            <w:tcW w:w="812" w:type="dxa"/>
            <w:vAlign w:val="center"/>
            <w:hideMark/>
          </w:tcPr>
          <w:p w14:paraId="3C1D943A" w14:textId="77777777" w:rsidR="00DD5B04" w:rsidRPr="003E6423" w:rsidRDefault="00DD5B04" w:rsidP="00DF76A2">
            <w:pPr>
              <w:jc w:val="both"/>
              <w:rPr>
                <w:rFonts w:ascii="Arial" w:hAnsi="Arial" w:cs="Arial"/>
                <w:sz w:val="16"/>
                <w:szCs w:val="16"/>
                <w:lang w:val="es-ES_tradnl" w:eastAsia="es-ES"/>
              </w:rPr>
            </w:pPr>
            <w:r w:rsidRPr="003E6423">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3E6423" w:rsidRDefault="00134E7E" w:rsidP="00134E7E">
            <w:pPr>
              <w:jc w:val="both"/>
              <w:rPr>
                <w:rFonts w:ascii="Arial" w:hAnsi="Arial" w:cs="Arial"/>
                <w:sz w:val="16"/>
                <w:szCs w:val="16"/>
                <w:lang w:val="es-ES_tradnl" w:eastAsia="es-ES"/>
              </w:rPr>
            </w:pPr>
            <w:r w:rsidRPr="003E6423">
              <w:rPr>
                <w:rFonts w:ascii="Arial" w:hAnsi="Arial" w:cs="Arial"/>
                <w:sz w:val="16"/>
                <w:szCs w:val="16"/>
                <w:lang w:val="es-ES_tradnl" w:eastAsia="es-ES"/>
              </w:rPr>
              <w:t>Jorge Augusto Tirado Navarro</w:t>
            </w:r>
          </w:p>
          <w:p w14:paraId="1ADC483B" w14:textId="1C385A7F" w:rsidR="00DD5B04" w:rsidRPr="00972959" w:rsidRDefault="00134E7E" w:rsidP="00134E7E">
            <w:pPr>
              <w:jc w:val="both"/>
              <w:rPr>
                <w:rFonts w:ascii="Arial" w:hAnsi="Arial" w:cs="Arial"/>
                <w:sz w:val="16"/>
                <w:szCs w:val="16"/>
                <w:lang w:val="es-ES_tradnl" w:eastAsia="es-ES"/>
              </w:rPr>
            </w:pPr>
            <w:r w:rsidRPr="003E6423">
              <w:rPr>
                <w:rFonts w:ascii="Arial" w:hAnsi="Arial" w:cs="Arial"/>
                <w:sz w:val="16"/>
                <w:szCs w:val="16"/>
                <w:lang w:val="es-ES_tradnl" w:eastAsia="es-ES"/>
              </w:rPr>
              <w:t>Subdirector de Gestión Contractual ANCP – CCE</w:t>
            </w:r>
          </w:p>
        </w:tc>
      </w:tr>
      <w:bookmarkEnd w:id="2"/>
    </w:tbl>
    <w:p w14:paraId="35B56F46" w14:textId="77777777" w:rsidR="00746E08" w:rsidRPr="00972959" w:rsidRDefault="00746E08" w:rsidP="00215B8E">
      <w:pPr>
        <w:jc w:val="both"/>
        <w:rPr>
          <w:rFonts w:ascii="Arial" w:hAnsi="Arial" w:cs="Arial"/>
          <w:lang w:val="es-ES_tradnl"/>
        </w:rPr>
      </w:pPr>
    </w:p>
    <w:sectPr w:rsidR="00746E08" w:rsidRPr="00972959" w:rsidSect="005D791B">
      <w:headerReference w:type="default" r:id="rId16"/>
      <w:footerReference w:type="defaul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B9AD" w14:textId="77777777" w:rsidR="00414F98" w:rsidRDefault="00414F98">
      <w:r>
        <w:separator/>
      </w:r>
    </w:p>
  </w:endnote>
  <w:endnote w:type="continuationSeparator" w:id="0">
    <w:p w14:paraId="4182EE94" w14:textId="77777777" w:rsidR="00414F98" w:rsidRDefault="00414F98">
      <w:r>
        <w:continuationSeparator/>
      </w:r>
    </w:p>
  </w:endnote>
  <w:endnote w:type="continuationNotice" w:id="1">
    <w:p w14:paraId="530ED023" w14:textId="77777777" w:rsidR="00414F98" w:rsidRDefault="0041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264646" w:rsidRDefault="00264646" w:rsidP="00322937">
    <w:pPr>
      <w:pStyle w:val="Sinespaciado"/>
      <w:jc w:val="right"/>
      <w:rPr>
        <w:rFonts w:ascii="Arial" w:hAnsi="Arial" w:cs="Arial"/>
        <w:sz w:val="18"/>
        <w:szCs w:val="18"/>
      </w:rPr>
    </w:pPr>
  </w:p>
  <w:p w14:paraId="7A3785F3" w14:textId="2EF28465" w:rsidR="00264646" w:rsidRPr="008217B7" w:rsidRDefault="00264646"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264646" w:rsidRDefault="00264646"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264646" w:rsidRDefault="00264646" w:rsidP="007B0854">
    <w:pPr>
      <w:pStyle w:val="Piedepgina"/>
      <w:jc w:val="center"/>
      <w:rPr>
        <w:lang w:val="es-ES"/>
      </w:rPr>
    </w:pPr>
  </w:p>
  <w:p w14:paraId="6C0EFC49" w14:textId="77777777" w:rsidR="00264646" w:rsidRPr="007B0854" w:rsidRDefault="0026464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0472" w14:textId="77777777" w:rsidR="00414F98" w:rsidRDefault="00414F98">
      <w:r>
        <w:separator/>
      </w:r>
    </w:p>
  </w:footnote>
  <w:footnote w:type="continuationSeparator" w:id="0">
    <w:p w14:paraId="54151661" w14:textId="77777777" w:rsidR="00414F98" w:rsidRDefault="00414F98">
      <w:r>
        <w:continuationSeparator/>
      </w:r>
    </w:p>
  </w:footnote>
  <w:footnote w:type="continuationNotice" w:id="1">
    <w:p w14:paraId="03367CD0" w14:textId="77777777" w:rsidR="00414F98" w:rsidRDefault="00414F98"/>
  </w:footnote>
  <w:footnote w:id="2">
    <w:p w14:paraId="673EB532" w14:textId="77777777" w:rsidR="00D6325C" w:rsidRPr="000723E2" w:rsidRDefault="00D6325C"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2 al 29.</w:t>
      </w:r>
    </w:p>
    <w:p w14:paraId="6BBA3A0B" w14:textId="77777777" w:rsidR="00D6325C" w:rsidRPr="000723E2" w:rsidRDefault="00D6325C" w:rsidP="000723E2">
      <w:pPr>
        <w:pStyle w:val="Textonotapie"/>
        <w:ind w:firstLine="709"/>
        <w:jc w:val="both"/>
        <w:rPr>
          <w:rFonts w:ascii="Arial" w:hAnsi="Arial" w:cs="Arial"/>
          <w:sz w:val="18"/>
          <w:szCs w:val="18"/>
          <w:lang w:val="es-ES"/>
        </w:rPr>
      </w:pPr>
    </w:p>
  </w:footnote>
  <w:footnote w:id="3">
    <w:p w14:paraId="6251B400" w14:textId="77777777" w:rsidR="00D6325C" w:rsidRPr="000723E2" w:rsidRDefault="00D6325C"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30 al 36.</w:t>
      </w:r>
    </w:p>
    <w:p w14:paraId="73735583" w14:textId="77777777" w:rsidR="00D6325C" w:rsidRPr="000723E2" w:rsidRDefault="00D6325C" w:rsidP="000723E2">
      <w:pPr>
        <w:pStyle w:val="Textonotapie"/>
        <w:ind w:firstLine="709"/>
        <w:jc w:val="both"/>
        <w:rPr>
          <w:rFonts w:ascii="Arial" w:hAnsi="Arial" w:cs="Arial"/>
          <w:sz w:val="18"/>
          <w:szCs w:val="18"/>
          <w:lang w:val="es-ES"/>
        </w:rPr>
      </w:pPr>
    </w:p>
  </w:footnote>
  <w:footnote w:id="4">
    <w:p w14:paraId="2AA489E9" w14:textId="77777777" w:rsidR="00D6325C" w:rsidRPr="000723E2" w:rsidRDefault="00D6325C"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37 al 45.</w:t>
      </w:r>
    </w:p>
    <w:p w14:paraId="054B8B49" w14:textId="77777777" w:rsidR="00D6325C" w:rsidRPr="000723E2" w:rsidRDefault="00D6325C" w:rsidP="000723E2">
      <w:pPr>
        <w:pStyle w:val="Textonotapie"/>
        <w:ind w:firstLine="709"/>
        <w:jc w:val="both"/>
        <w:rPr>
          <w:rFonts w:ascii="Arial" w:hAnsi="Arial" w:cs="Arial"/>
          <w:sz w:val="18"/>
          <w:szCs w:val="18"/>
          <w:lang w:val="es-ES"/>
        </w:rPr>
      </w:pPr>
    </w:p>
  </w:footnote>
  <w:footnote w:id="5">
    <w:p w14:paraId="3E2B289E" w14:textId="77777777" w:rsidR="00D6325C" w:rsidRPr="000723E2" w:rsidRDefault="00D6325C"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46 al 73.</w:t>
      </w:r>
    </w:p>
    <w:p w14:paraId="18C1F89D" w14:textId="77777777" w:rsidR="00D6325C" w:rsidRPr="000723E2" w:rsidRDefault="00D6325C" w:rsidP="000723E2">
      <w:pPr>
        <w:pStyle w:val="Textonotapie"/>
        <w:ind w:firstLine="709"/>
        <w:jc w:val="both"/>
        <w:rPr>
          <w:rFonts w:ascii="Arial" w:hAnsi="Arial" w:cs="Arial"/>
          <w:sz w:val="18"/>
          <w:szCs w:val="18"/>
          <w:lang w:val="es-ES"/>
        </w:rPr>
      </w:pPr>
    </w:p>
  </w:footnote>
  <w:footnote w:id="6">
    <w:p w14:paraId="646B4FE3" w14:textId="20A1E3ED" w:rsidR="00D6325C" w:rsidRPr="000723E2" w:rsidRDefault="00D6325C"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Artículos 74 al 83.</w:t>
      </w:r>
    </w:p>
    <w:p w14:paraId="7DB1CF9D" w14:textId="77777777" w:rsidR="00F70F32" w:rsidRPr="000723E2" w:rsidRDefault="00F70F32" w:rsidP="000723E2">
      <w:pPr>
        <w:pStyle w:val="Textonotapie"/>
        <w:ind w:firstLine="709"/>
        <w:jc w:val="both"/>
        <w:rPr>
          <w:rFonts w:ascii="Arial" w:hAnsi="Arial" w:cs="Arial"/>
          <w:sz w:val="18"/>
          <w:szCs w:val="18"/>
          <w:lang w:val="es-ES"/>
        </w:rPr>
      </w:pPr>
    </w:p>
  </w:footnote>
  <w:footnote w:id="7">
    <w:p w14:paraId="03E4A1CB" w14:textId="77777777" w:rsidR="00D6325C" w:rsidRPr="000723E2" w:rsidRDefault="00D6325C" w:rsidP="000723E2">
      <w:pPr>
        <w:pStyle w:val="Textonotapie"/>
        <w:ind w:firstLine="708"/>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8">
    <w:p w14:paraId="751F928E" w14:textId="77777777" w:rsidR="00D6325C" w:rsidRPr="000723E2" w:rsidRDefault="00D6325C" w:rsidP="000723E2">
      <w:pPr>
        <w:pStyle w:val="NormalWeb"/>
        <w:shd w:val="clear" w:color="auto" w:fill="FFFFFF"/>
        <w:spacing w:before="0" w:beforeAutospacing="0" w:after="120" w:afterAutospacing="0"/>
        <w:ind w:firstLine="709"/>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hyperlink r:id="rId1" w:anchor="2.2.1.2.1.5.1" w:history="1">
        <w:r w:rsidRPr="000723E2">
          <w:rPr>
            <w:rStyle w:val="Hipervnculo"/>
            <w:rFonts w:ascii="Arial" w:hAnsi="Arial" w:cs="Arial"/>
            <w:color w:val="auto"/>
            <w:sz w:val="18"/>
            <w:szCs w:val="18"/>
          </w:rPr>
          <w:t>5 </w:t>
        </w:r>
      </w:hyperlink>
      <w:r w:rsidRPr="000723E2">
        <w:rPr>
          <w:rFonts w:ascii="Arial" w:hAnsi="Arial" w:cs="Arial"/>
          <w:sz w:val="18"/>
          <w:szCs w:val="18"/>
        </w:rPr>
        <w:t>de la Sección 1 del Capítulo 2 del Título 1 de la Parte 2 del Libro 2, así como los artículos </w:t>
      </w:r>
      <w:hyperlink r:id="rId2" w:anchor="2.2.1.2.4.2.2" w:history="1">
        <w:r w:rsidRPr="000723E2">
          <w:rPr>
            <w:rStyle w:val="Hipervnculo"/>
            <w:rFonts w:ascii="Arial" w:hAnsi="Arial" w:cs="Arial"/>
            <w:color w:val="auto"/>
            <w:sz w:val="18"/>
            <w:szCs w:val="18"/>
            <w:u w:val="none"/>
          </w:rPr>
          <w:t>2.2.1.2.4.2.2</w:t>
        </w:r>
      </w:hyperlink>
      <w:r w:rsidRPr="000723E2">
        <w:rPr>
          <w:rFonts w:ascii="Arial" w:hAnsi="Arial" w:cs="Arial"/>
          <w:sz w:val="18"/>
          <w:szCs w:val="18"/>
        </w:rPr>
        <w:t>., </w:t>
      </w:r>
      <w:hyperlink r:id="rId3" w:anchor="2.2.1.2.4.2.3" w:history="1">
        <w:r w:rsidRPr="000723E2">
          <w:rPr>
            <w:rStyle w:val="Hipervnculo"/>
            <w:rFonts w:ascii="Arial" w:hAnsi="Arial" w:cs="Arial"/>
            <w:color w:val="auto"/>
            <w:sz w:val="18"/>
            <w:szCs w:val="18"/>
            <w:u w:val="none"/>
          </w:rPr>
          <w:t>2.2.1.2.4.2.3</w:t>
        </w:r>
      </w:hyperlink>
      <w:r w:rsidRPr="000723E2">
        <w:rPr>
          <w:rFonts w:ascii="Arial" w:hAnsi="Arial" w:cs="Arial"/>
          <w:sz w:val="18"/>
          <w:szCs w:val="18"/>
        </w:rPr>
        <w:t>., </w:t>
      </w:r>
      <w:hyperlink r:id="rId4" w:anchor="2.2.1.2.4.2.4" w:history="1">
        <w:r w:rsidRPr="000723E2">
          <w:rPr>
            <w:rStyle w:val="Hipervnculo"/>
            <w:rFonts w:ascii="Arial" w:hAnsi="Arial" w:cs="Arial"/>
            <w:color w:val="auto"/>
            <w:sz w:val="18"/>
            <w:szCs w:val="18"/>
            <w:u w:val="none"/>
          </w:rPr>
          <w:t>2.2.1.2.4.2.4</w:t>
        </w:r>
      </w:hyperlink>
      <w:r w:rsidRPr="000723E2">
        <w:rPr>
          <w:rFonts w:ascii="Arial" w:hAnsi="Arial" w:cs="Arial"/>
          <w:sz w:val="18"/>
          <w:szCs w:val="18"/>
        </w:rPr>
        <w:t>., </w:t>
      </w:r>
      <w:hyperlink r:id="rId5" w:anchor="2.2.1.2.1.2.2" w:history="1">
        <w:r w:rsidRPr="000723E2">
          <w:rPr>
            <w:rStyle w:val="Hipervnculo"/>
            <w:rFonts w:ascii="Arial" w:hAnsi="Arial" w:cs="Arial"/>
            <w:color w:val="auto"/>
            <w:sz w:val="18"/>
            <w:szCs w:val="18"/>
            <w:u w:val="none"/>
          </w:rPr>
          <w:t>2.2.1.2.1.2.2</w:t>
        </w:r>
      </w:hyperlink>
      <w:r w:rsidRPr="000723E2">
        <w:rPr>
          <w:rFonts w:ascii="Arial" w:hAnsi="Arial" w:cs="Arial"/>
          <w:sz w:val="18"/>
          <w:szCs w:val="18"/>
        </w:rPr>
        <w:t xml:space="preserve"> y </w:t>
      </w:r>
      <w:hyperlink r:id="rId6" w:anchor="2.2.1.2.4.2.8" w:history="1">
        <w:r w:rsidRPr="000723E2">
          <w:rPr>
            <w:rStyle w:val="Hipervnculo"/>
            <w:rFonts w:ascii="Arial" w:hAnsi="Arial" w:cs="Arial"/>
            <w:color w:val="auto"/>
            <w:sz w:val="18"/>
            <w:szCs w:val="18"/>
            <w:u w:val="none"/>
          </w:rPr>
          <w:t>2.2.1.2.4.2.8</w:t>
        </w:r>
      </w:hyperlink>
      <w:r w:rsidRPr="000723E2">
        <w:rPr>
          <w:rFonts w:ascii="Arial" w:hAnsi="Arial" w:cs="Arial"/>
          <w:sz w:val="18"/>
          <w:szCs w:val="18"/>
        </w:rPr>
        <w:t>.; adiciona los artículos </w:t>
      </w:r>
      <w:hyperlink r:id="rId7" w:anchor="2.2.1.2.4.2.14" w:history="1">
        <w:r w:rsidRPr="000723E2">
          <w:rPr>
            <w:rStyle w:val="Hipervnculo"/>
            <w:rFonts w:ascii="Arial" w:hAnsi="Arial" w:cs="Arial"/>
            <w:color w:val="auto"/>
            <w:sz w:val="18"/>
            <w:szCs w:val="18"/>
            <w:u w:val="none"/>
          </w:rPr>
          <w:t>2.2.1.2.4.2.14</w:t>
        </w:r>
      </w:hyperlink>
      <w:r w:rsidRPr="000723E2">
        <w:rPr>
          <w:rFonts w:ascii="Arial" w:hAnsi="Arial" w:cs="Arial"/>
          <w:sz w:val="18"/>
          <w:szCs w:val="18"/>
        </w:rPr>
        <w:t>., </w:t>
      </w:r>
      <w:hyperlink r:id="rId8" w:anchor="2.2.1.2.4.2.15" w:history="1">
        <w:r w:rsidRPr="000723E2">
          <w:rPr>
            <w:rStyle w:val="Hipervnculo"/>
            <w:rFonts w:ascii="Arial" w:hAnsi="Arial" w:cs="Arial"/>
            <w:color w:val="auto"/>
            <w:sz w:val="18"/>
            <w:szCs w:val="18"/>
            <w:u w:val="none"/>
          </w:rPr>
          <w:t>2.2.1.2.4.2.15</w:t>
        </w:r>
      </w:hyperlink>
      <w:r w:rsidRPr="000723E2">
        <w:rPr>
          <w:rFonts w:ascii="Arial" w:hAnsi="Arial" w:cs="Arial"/>
          <w:sz w:val="18"/>
          <w:szCs w:val="18"/>
        </w:rPr>
        <w:t>., </w:t>
      </w:r>
      <w:hyperlink r:id="rId9" w:anchor="2.2.1.2.4.2.16" w:history="1">
        <w:r w:rsidRPr="000723E2">
          <w:rPr>
            <w:rStyle w:val="Hipervnculo"/>
            <w:rFonts w:ascii="Arial" w:hAnsi="Arial" w:cs="Arial"/>
            <w:color w:val="auto"/>
            <w:sz w:val="18"/>
            <w:szCs w:val="18"/>
            <w:u w:val="none"/>
          </w:rPr>
          <w:t>2.2.1.2.4.2.16</w:t>
        </w:r>
      </w:hyperlink>
      <w:r w:rsidRPr="000723E2">
        <w:rPr>
          <w:rFonts w:ascii="Arial" w:hAnsi="Arial" w:cs="Arial"/>
          <w:sz w:val="18"/>
          <w:szCs w:val="18"/>
        </w:rPr>
        <w:t>., </w:t>
      </w:r>
      <w:hyperlink r:id="rId10" w:anchor="2.2.1.2.4.2.17" w:history="1">
        <w:r w:rsidRPr="000723E2">
          <w:rPr>
            <w:rStyle w:val="Hipervnculo"/>
            <w:rFonts w:ascii="Arial" w:hAnsi="Arial" w:cs="Arial"/>
            <w:color w:val="auto"/>
            <w:sz w:val="18"/>
            <w:szCs w:val="18"/>
            <w:u w:val="none"/>
          </w:rPr>
          <w:t>2.2.1.2.4.2.17</w:t>
        </w:r>
      </w:hyperlink>
      <w:r w:rsidRPr="000723E2">
        <w:rPr>
          <w:rFonts w:ascii="Arial" w:hAnsi="Arial" w:cs="Arial"/>
          <w:sz w:val="18"/>
          <w:szCs w:val="18"/>
        </w:rPr>
        <w:t>. y </w:t>
      </w:r>
      <w:hyperlink r:id="rId11" w:anchor="2.2.1.2.4.2.18" w:history="1">
        <w:r w:rsidRPr="000723E2">
          <w:rPr>
            <w:rStyle w:val="Hipervnculo"/>
            <w:rFonts w:ascii="Arial" w:hAnsi="Arial" w:cs="Arial"/>
            <w:color w:val="auto"/>
            <w:sz w:val="18"/>
            <w:szCs w:val="18"/>
            <w:u w:val="none"/>
          </w:rPr>
          <w:t>2.2.1.2.4.2.18</w:t>
        </w:r>
      </w:hyperlink>
      <w:r w:rsidRPr="000723E2">
        <w:rPr>
          <w:rFonts w:ascii="Arial" w:hAnsi="Arial" w:cs="Arial"/>
          <w:sz w:val="18"/>
          <w:szCs w:val="18"/>
        </w:rPr>
        <w:t>.; adiciona un </w:t>
      </w:r>
      <w:hyperlink r:id="rId12" w:anchor="2.2.1.2.3.1.9.p" w:history="1">
        <w:r w:rsidRPr="000723E2">
          <w:rPr>
            <w:rStyle w:val="Hipervnculo"/>
            <w:rFonts w:ascii="Arial" w:hAnsi="Arial" w:cs="Arial"/>
            <w:color w:val="auto"/>
            <w:sz w:val="18"/>
            <w:szCs w:val="18"/>
            <w:u w:val="none"/>
          </w:rPr>
          <w:t>parágrafo </w:t>
        </w:r>
      </w:hyperlink>
      <w:r w:rsidRPr="000723E2">
        <w:rPr>
          <w:rFonts w:ascii="Arial" w:hAnsi="Arial" w:cs="Arial"/>
          <w:sz w:val="18"/>
          <w:szCs w:val="18"/>
        </w:rPr>
        <w:t>al artículo </w:t>
      </w:r>
      <w:hyperlink r:id="rId13" w:anchor="2.2.1.2.3.1.9" w:history="1">
        <w:r w:rsidRPr="000723E2">
          <w:rPr>
            <w:rStyle w:val="Hipervnculo"/>
            <w:rFonts w:ascii="Arial" w:hAnsi="Arial" w:cs="Arial"/>
            <w:color w:val="auto"/>
            <w:sz w:val="18"/>
            <w:szCs w:val="18"/>
            <w:u w:val="none"/>
          </w:rPr>
          <w:t>2.2.1.2.3.1.9</w:t>
        </w:r>
      </w:hyperlink>
      <w:r w:rsidRPr="000723E2">
        <w:rPr>
          <w:rFonts w:ascii="Arial" w:hAnsi="Arial" w:cs="Arial"/>
          <w:sz w:val="18"/>
          <w:szCs w:val="18"/>
        </w:rPr>
        <w:t>; y deroga el artículo </w:t>
      </w:r>
      <w:hyperlink r:id="rId14" w:anchor="2.2.1.1.2.2.9" w:history="1">
        <w:r w:rsidRPr="000723E2">
          <w:rPr>
            <w:rStyle w:val="Hipervnculo"/>
            <w:rFonts w:ascii="Arial" w:hAnsi="Arial" w:cs="Arial"/>
            <w:color w:val="auto"/>
            <w:sz w:val="18"/>
            <w:szCs w:val="18"/>
            <w:u w:val="none"/>
          </w:rPr>
          <w:t>2.2.1.1.2.2.9</w:t>
        </w:r>
      </w:hyperlink>
      <w:r w:rsidRPr="000723E2">
        <w:rPr>
          <w:rFonts w:ascii="Arial" w:hAnsi="Arial" w:cs="Arial"/>
          <w:sz w:val="18"/>
          <w:szCs w:val="18"/>
        </w:rPr>
        <w:t>. del Decreto 1082 de 2015, Único Reglamentario del Sector Administrativo de Planeación Nacional.</w:t>
      </w:r>
    </w:p>
    <w:p w14:paraId="57463910" w14:textId="77777777" w:rsidR="00D6325C" w:rsidRPr="000723E2" w:rsidRDefault="00D6325C" w:rsidP="000723E2">
      <w:pPr>
        <w:pStyle w:val="NormalWeb"/>
        <w:shd w:val="clear" w:color="auto" w:fill="FFFFFF"/>
        <w:spacing w:before="0" w:beforeAutospacing="0" w:after="120" w:afterAutospacing="0"/>
        <w:jc w:val="both"/>
        <w:rPr>
          <w:rFonts w:ascii="Arial" w:hAnsi="Arial" w:cs="Arial"/>
          <w:sz w:val="18"/>
          <w:szCs w:val="18"/>
        </w:rPr>
      </w:pPr>
      <w:r w:rsidRPr="000723E2">
        <w:rPr>
          <w:rFonts w:ascii="Arial" w:hAnsi="Arial" w:cs="Arial"/>
          <w:b/>
          <w:bCs/>
          <w:sz w:val="18"/>
          <w:szCs w:val="18"/>
        </w:rPr>
        <w:t> </w:t>
      </w:r>
      <w:r w:rsidRPr="000723E2">
        <w:rPr>
          <w:rFonts w:ascii="Arial" w:hAnsi="Arial" w:cs="Arial"/>
          <w:b/>
          <w:bCs/>
          <w:sz w:val="18"/>
          <w:szCs w:val="18"/>
        </w:rPr>
        <w:tab/>
        <w:t>»</w:t>
      </w:r>
      <w:r w:rsidRPr="000723E2">
        <w:rPr>
          <w:rFonts w:ascii="Arial" w:hAnsi="Arial" w:cs="Arial"/>
          <w:sz w:val="18"/>
          <w:szCs w:val="18"/>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3C07EECF" w14:textId="77777777" w:rsidR="00D6325C" w:rsidRPr="000723E2" w:rsidRDefault="00D6325C" w:rsidP="000723E2">
      <w:pPr>
        <w:pStyle w:val="NormalWeb"/>
        <w:shd w:val="clear" w:color="auto" w:fill="FFFFFF"/>
        <w:spacing w:before="0" w:beforeAutospacing="0" w:after="0" w:afterAutospacing="0"/>
        <w:jc w:val="both"/>
        <w:rPr>
          <w:rFonts w:ascii="Arial" w:hAnsi="Arial" w:cs="Arial"/>
          <w:sz w:val="18"/>
          <w:szCs w:val="18"/>
        </w:rPr>
      </w:pPr>
      <w:r w:rsidRPr="000723E2">
        <w:rPr>
          <w:rFonts w:ascii="Arial" w:hAnsi="Arial" w:cs="Arial"/>
          <w:sz w:val="18"/>
          <w:szCs w:val="18"/>
        </w:rPr>
        <w:t> </w:t>
      </w:r>
      <w:r w:rsidRPr="000723E2">
        <w:rPr>
          <w:rFonts w:ascii="Arial" w:hAnsi="Arial" w:cs="Arial"/>
          <w:sz w:val="18"/>
          <w:szCs w:val="18"/>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9">
    <w:p w14:paraId="6E6B85C8" w14:textId="77777777" w:rsidR="006E589E" w:rsidRPr="000723E2" w:rsidRDefault="006E589E" w:rsidP="000723E2">
      <w:pPr>
        <w:ind w:firstLine="709"/>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En efecto, el artículo 34 de la Ley 2069 de 2020 establece: «</w:t>
      </w:r>
      <w:r w:rsidRPr="000723E2">
        <w:rPr>
          <w:rFonts w:ascii="Arial" w:hAnsi="Arial" w:cs="Arial"/>
          <w:sz w:val="18"/>
          <w:szCs w:val="18"/>
        </w:rPr>
        <w:t xml:space="preserve">Modifíquese el artículo 12 de la Ley 1150 de 2007, el cual quedará así: </w:t>
      </w:r>
    </w:p>
    <w:p w14:paraId="2DF84AD6" w14:textId="77777777" w:rsidR="006E589E" w:rsidRPr="000723E2" w:rsidRDefault="006E589E" w:rsidP="000723E2">
      <w:pPr>
        <w:spacing w:after="120"/>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rPr>
        <w:t>»</w:t>
      </w:r>
      <w:r w:rsidRPr="000723E2">
        <w:rPr>
          <w:rFonts w:ascii="Arial" w:eastAsia="Calibri" w:hAnsi="Arial" w:cs="Arial"/>
          <w:color w:val="000000" w:themeColor="text1"/>
          <w:sz w:val="18"/>
          <w:szCs w:val="18"/>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295BACEA" w14:textId="77777777" w:rsidR="006E589E" w:rsidRPr="000723E2" w:rsidRDefault="006E589E" w:rsidP="000723E2">
      <w:pPr>
        <w:spacing w:after="120"/>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3D055730" w14:textId="77777777" w:rsidR="006E589E" w:rsidRPr="000723E2" w:rsidRDefault="006E589E" w:rsidP="000723E2">
      <w:pPr>
        <w:spacing w:after="120"/>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lang w:val="es-ES_tradnl"/>
        </w:rPr>
        <w:t>»En todo caso, se deberá garantizar la satisfacción de las condiciones técnicas y económicas requeridas en el Proceso de Contratación.</w:t>
      </w:r>
    </w:p>
    <w:p w14:paraId="10EE9F89" w14:textId="77777777" w:rsidR="006E589E" w:rsidRPr="000723E2" w:rsidRDefault="006E589E" w:rsidP="000723E2">
      <w:pPr>
        <w:spacing w:after="120"/>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2D6B0F1B" w14:textId="77777777" w:rsidR="006E589E" w:rsidRPr="000723E2" w:rsidRDefault="006E589E" w:rsidP="000723E2">
      <w:pPr>
        <w:spacing w:after="120"/>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7F2F4B75" w14:textId="77777777" w:rsidR="006E589E" w:rsidRPr="000723E2" w:rsidRDefault="006E589E" w:rsidP="000723E2">
      <w:pPr>
        <w:spacing w:after="120"/>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546EC0BD" w14:textId="77777777" w:rsidR="006E589E" w:rsidRPr="000723E2" w:rsidRDefault="006E589E" w:rsidP="000723E2">
      <w:pPr>
        <w:ind w:firstLine="709"/>
        <w:jc w:val="both"/>
        <w:rPr>
          <w:rFonts w:ascii="Arial" w:eastAsia="Calibri" w:hAnsi="Arial" w:cs="Arial"/>
          <w:color w:val="000000" w:themeColor="text1"/>
          <w:sz w:val="18"/>
          <w:szCs w:val="18"/>
          <w:lang w:val="es-ES_tradnl"/>
        </w:rPr>
      </w:pPr>
      <w:r w:rsidRPr="000723E2">
        <w:rPr>
          <w:rFonts w:ascii="Arial" w:eastAsia="Calibri" w:hAnsi="Arial" w:cs="Arial"/>
          <w:color w:val="000000" w:themeColor="text1"/>
          <w:sz w:val="18"/>
          <w:szCs w:val="18"/>
          <w:lang w:val="es-ES_tradnl"/>
        </w:rPr>
        <w:t xml:space="preserve">»Parágrafo Tercero. En la ejecución de los contratos a que se refiere el presente artículo, las entidades y los contratistas, deberán observar lo dispuesto en los artículos 90 a 95 de la Ley 418 de 1997 y las normas que la modifiquen, adicionen o subroguen». </w:t>
      </w:r>
    </w:p>
    <w:p w14:paraId="37E4E89B" w14:textId="77777777" w:rsidR="006E589E" w:rsidRPr="000723E2" w:rsidRDefault="006E589E" w:rsidP="000723E2">
      <w:pPr>
        <w:pStyle w:val="Textonotapie"/>
        <w:ind w:firstLine="709"/>
        <w:jc w:val="both"/>
        <w:rPr>
          <w:rFonts w:ascii="Arial" w:hAnsi="Arial" w:cs="Arial"/>
          <w:sz w:val="18"/>
          <w:szCs w:val="18"/>
          <w:lang w:val="es-ES_tradnl"/>
        </w:rPr>
      </w:pPr>
    </w:p>
  </w:footnote>
  <w:footnote w:id="10">
    <w:p w14:paraId="63BC42E5" w14:textId="77777777" w:rsidR="006E589E" w:rsidRPr="000723E2" w:rsidRDefault="006E589E" w:rsidP="000723E2">
      <w:pPr>
        <w:ind w:firstLine="709"/>
        <w:jc w:val="both"/>
        <w:rPr>
          <w:rFonts w:ascii="Arial" w:eastAsiaTheme="minorHAnsi" w:hAnsi="Arial" w:cs="Arial"/>
          <w:sz w:val="18"/>
          <w:szCs w:val="18"/>
          <w:lang w:val="es-ES" w:eastAsia="en-U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 xml:space="preserve">Corte Constitucional. Sentencia C-502 de 2012. Magistrada Ponente: </w:t>
      </w:r>
      <w:r w:rsidRPr="000723E2">
        <w:rPr>
          <w:rFonts w:ascii="Arial" w:eastAsiaTheme="minorHAnsi" w:hAnsi="Arial" w:cs="Arial"/>
          <w:sz w:val="18"/>
          <w:szCs w:val="18"/>
          <w:lang w:val="es-ES" w:eastAsia="en-US"/>
        </w:rPr>
        <w:t>Adriana María Guillén Arango.</w:t>
      </w:r>
    </w:p>
    <w:p w14:paraId="485F3B0F" w14:textId="77777777" w:rsidR="006E589E" w:rsidRPr="000723E2" w:rsidRDefault="006E589E" w:rsidP="000723E2">
      <w:pPr>
        <w:pStyle w:val="Textonotapie"/>
        <w:ind w:firstLine="709"/>
        <w:jc w:val="both"/>
        <w:rPr>
          <w:rFonts w:ascii="Arial" w:hAnsi="Arial" w:cs="Arial"/>
          <w:sz w:val="18"/>
          <w:szCs w:val="18"/>
          <w:lang w:val="es-ES"/>
        </w:rPr>
      </w:pPr>
      <w:r w:rsidRPr="000723E2">
        <w:rPr>
          <w:rFonts w:ascii="Arial" w:hAnsi="Arial" w:cs="Arial"/>
          <w:sz w:val="18"/>
          <w:szCs w:val="18"/>
          <w:lang w:val="es-ES"/>
        </w:rPr>
        <w:t xml:space="preserve"> </w:t>
      </w:r>
    </w:p>
  </w:footnote>
  <w:footnote w:id="11">
    <w:p w14:paraId="4B0EF0A2" w14:textId="4F815CE1" w:rsidR="00283087" w:rsidRPr="000723E2" w:rsidRDefault="00283087" w:rsidP="000723E2">
      <w:pPr>
        <w:pStyle w:val="Textonotapie"/>
        <w:ind w:firstLine="708"/>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Respuesta a radicado de entrada No. P20210414003061 del 13 de abril de 2021. Radicado de salida No. RS20210525004719 del 25 de mayo de 2021. </w:t>
      </w:r>
    </w:p>
  </w:footnote>
  <w:footnote w:id="12">
    <w:p w14:paraId="13933DD7" w14:textId="591F2103" w:rsidR="003D0CE1" w:rsidRPr="000723E2" w:rsidRDefault="003D0CE1" w:rsidP="000723E2">
      <w:pPr>
        <w:pStyle w:val="Textonotapie"/>
        <w:ind w:firstLine="709"/>
        <w:jc w:val="both"/>
        <w:rPr>
          <w:rFonts w:ascii="Arial" w:hAnsi="Arial" w:cs="Arial"/>
          <w:color w:val="000000" w:themeColor="text1"/>
          <w:sz w:val="18"/>
          <w:szCs w:val="18"/>
          <w:lang w:val="es-ES_tradnl"/>
        </w:rPr>
      </w:pPr>
      <w:r w:rsidRPr="000723E2">
        <w:rPr>
          <w:rStyle w:val="Refdenotaalpie"/>
          <w:rFonts w:ascii="Arial" w:hAnsi="Arial" w:cs="Arial"/>
          <w:color w:val="000000" w:themeColor="text1"/>
          <w:sz w:val="18"/>
          <w:szCs w:val="18"/>
          <w:lang w:val="es-ES_tradnl"/>
        </w:rPr>
        <w:footnoteRef/>
      </w:r>
      <w:r w:rsidRPr="000723E2">
        <w:rPr>
          <w:rFonts w:ascii="Arial" w:hAnsi="Arial" w:cs="Arial"/>
          <w:color w:val="000000" w:themeColor="text1"/>
          <w:sz w:val="18"/>
          <w:szCs w:val="18"/>
          <w:lang w:val="es-ES_tradnl"/>
        </w:rPr>
        <w:t xml:space="preserve"> Consejo de Estado. Sección Tercera. Subsección A. Auto del 29 de marzo de 2017. Exp. 56.307. Consejero: Carlos Alberto Zambrano Barrera.</w:t>
      </w:r>
    </w:p>
    <w:p w14:paraId="1A426069" w14:textId="77777777" w:rsidR="00C4231E" w:rsidRPr="000723E2" w:rsidRDefault="00C4231E" w:rsidP="000723E2">
      <w:pPr>
        <w:pStyle w:val="Textonotapie"/>
        <w:ind w:firstLine="709"/>
        <w:jc w:val="both"/>
        <w:rPr>
          <w:rFonts w:ascii="Arial" w:hAnsi="Arial" w:cs="Arial"/>
          <w:color w:val="000000" w:themeColor="text1"/>
          <w:sz w:val="18"/>
          <w:szCs w:val="18"/>
          <w:lang w:val="es-ES_tradnl"/>
        </w:rPr>
      </w:pPr>
    </w:p>
  </w:footnote>
  <w:footnote w:id="13">
    <w:p w14:paraId="4E9106A9" w14:textId="7111AFAD" w:rsidR="00F47C40" w:rsidRPr="000723E2" w:rsidRDefault="00F47C40" w:rsidP="000723E2">
      <w:pPr>
        <w:pStyle w:val="Textonotapie"/>
        <w:ind w:firstLine="708"/>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color w:val="000000" w:themeColor="text1"/>
          <w:sz w:val="18"/>
          <w:szCs w:val="18"/>
          <w:lang w:val="es-ES_tradnl"/>
        </w:rPr>
        <w:t>Consejo de Estado. Sección Tercera. Subsección A. Sentencia del 23 de abril de 2021. Exp. 56.307. Consejero: José Roberto Sáchica Méndez</w:t>
      </w:r>
    </w:p>
  </w:footnote>
  <w:footnote w:id="14">
    <w:p w14:paraId="12B80CDE" w14:textId="3D8140F6" w:rsidR="003D0CE1" w:rsidRPr="000723E2" w:rsidRDefault="003D0CE1" w:rsidP="000723E2">
      <w:pPr>
        <w:pStyle w:val="Textonotapie"/>
        <w:ind w:firstLine="709"/>
        <w:jc w:val="both"/>
        <w:rPr>
          <w:rFonts w:ascii="Arial" w:hAnsi="Arial" w:cs="Arial"/>
          <w:color w:val="000000" w:themeColor="text1"/>
          <w:sz w:val="18"/>
          <w:szCs w:val="18"/>
          <w:lang w:val="es-ES_tradnl"/>
        </w:rPr>
      </w:pPr>
      <w:r w:rsidRPr="000723E2">
        <w:rPr>
          <w:rStyle w:val="Refdenotaalpie"/>
          <w:rFonts w:ascii="Arial" w:hAnsi="Arial" w:cs="Arial"/>
          <w:color w:val="000000" w:themeColor="text1"/>
          <w:sz w:val="18"/>
          <w:szCs w:val="18"/>
          <w:lang w:val="es-ES_tradnl"/>
        </w:rPr>
        <w:footnoteRef/>
      </w:r>
      <w:r w:rsidRPr="000723E2">
        <w:rPr>
          <w:rFonts w:ascii="Arial" w:hAnsi="Arial" w:cs="Arial"/>
          <w:color w:val="000000" w:themeColor="text1"/>
          <w:sz w:val="18"/>
          <w:szCs w:val="18"/>
          <w:lang w:val="es-ES_tradnl"/>
        </w:rPr>
        <w:t xml:space="preserve"> Esta </w:t>
      </w:r>
      <w:r w:rsidR="0008699D" w:rsidRPr="000723E2">
        <w:rPr>
          <w:rFonts w:ascii="Arial" w:hAnsi="Arial" w:cs="Arial"/>
          <w:color w:val="000000" w:themeColor="text1"/>
          <w:sz w:val="18"/>
          <w:szCs w:val="18"/>
          <w:lang w:val="es-ES_tradnl"/>
        </w:rPr>
        <w:t>fue</w:t>
      </w:r>
      <w:r w:rsidRPr="000723E2">
        <w:rPr>
          <w:rFonts w:ascii="Arial" w:hAnsi="Arial" w:cs="Arial"/>
          <w:color w:val="000000" w:themeColor="text1"/>
          <w:sz w:val="18"/>
          <w:szCs w:val="18"/>
          <w:lang w:val="es-ES_tradnl"/>
        </w:rPr>
        <w:t xml:space="preserv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39D2571F" w14:textId="77777777" w:rsidR="003D0CE1" w:rsidRPr="000723E2" w:rsidRDefault="003D0CE1" w:rsidP="000723E2">
      <w:pPr>
        <w:pStyle w:val="Textonotapie"/>
        <w:ind w:firstLine="709"/>
        <w:jc w:val="both"/>
        <w:rPr>
          <w:rFonts w:ascii="Arial" w:hAnsi="Arial" w:cs="Arial"/>
          <w:color w:val="000000" w:themeColor="text1"/>
          <w:sz w:val="18"/>
          <w:szCs w:val="18"/>
          <w:lang w:val="es-ES_tradnl"/>
        </w:rPr>
      </w:pPr>
      <w:r w:rsidRPr="000723E2">
        <w:rPr>
          <w:rFonts w:ascii="Arial" w:hAnsi="Arial" w:cs="Arial"/>
          <w:color w:val="000000" w:themeColor="text1"/>
          <w:sz w:val="18"/>
          <w:szCs w:val="18"/>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55651C1F" w14:textId="77777777" w:rsidR="003D0CE1" w:rsidRPr="000723E2" w:rsidRDefault="003D0CE1" w:rsidP="000723E2">
      <w:pPr>
        <w:pStyle w:val="Textonotapie"/>
        <w:ind w:firstLine="709"/>
        <w:jc w:val="both"/>
        <w:rPr>
          <w:rFonts w:ascii="Arial" w:hAnsi="Arial" w:cs="Arial"/>
          <w:color w:val="000000" w:themeColor="text1"/>
          <w:sz w:val="18"/>
          <w:szCs w:val="18"/>
          <w:lang w:val="es-ES_tradnl"/>
        </w:rPr>
      </w:pPr>
      <w:r w:rsidRPr="000723E2">
        <w:rPr>
          <w:rFonts w:ascii="Arial" w:hAnsi="Arial" w:cs="Arial"/>
          <w:color w:val="000000" w:themeColor="text1"/>
          <w:sz w:val="18"/>
          <w:szCs w:val="18"/>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15">
    <w:p w14:paraId="1AB66BFA" w14:textId="77777777" w:rsidR="001C04E6" w:rsidRPr="000723E2" w:rsidRDefault="00476A69" w:rsidP="000723E2">
      <w:pPr>
        <w:pStyle w:val="NormalWeb"/>
        <w:spacing w:before="0" w:beforeAutospacing="0" w:after="0" w:afterAutospacing="0"/>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 xml:space="preserve">Estos dos parágrafos están redactados de la siguiente manera: </w:t>
      </w:r>
    </w:p>
    <w:p w14:paraId="3B3DC3B1" w14:textId="77777777" w:rsidR="001C04E6" w:rsidRPr="000723E2" w:rsidRDefault="001C04E6" w:rsidP="000723E2">
      <w:pPr>
        <w:pStyle w:val="NormalWeb"/>
        <w:spacing w:before="0" w:beforeAutospacing="0" w:after="0" w:afterAutospacing="0"/>
        <w:ind w:firstLine="709"/>
        <w:jc w:val="both"/>
        <w:rPr>
          <w:rFonts w:ascii="Arial" w:hAnsi="Arial" w:cs="Arial"/>
          <w:sz w:val="18"/>
          <w:szCs w:val="18"/>
          <w:lang w:val="es-ES"/>
        </w:rPr>
      </w:pPr>
      <w:r w:rsidRPr="000723E2">
        <w:rPr>
          <w:rFonts w:ascii="Arial" w:hAnsi="Arial" w:cs="Arial"/>
          <w:sz w:val="18"/>
          <w:szCs w:val="18"/>
          <w:lang w:val="es-ES"/>
        </w:rPr>
        <w:t>«[…]</w:t>
      </w:r>
    </w:p>
    <w:p w14:paraId="13683E72" w14:textId="4B892575" w:rsidR="001C04E6" w:rsidRPr="000723E2" w:rsidRDefault="001C04E6" w:rsidP="000723E2">
      <w:pPr>
        <w:pStyle w:val="NormalWeb"/>
        <w:spacing w:before="0" w:beforeAutospacing="0" w:after="0" w:afterAutospacing="0"/>
        <w:ind w:firstLine="709"/>
        <w:jc w:val="both"/>
        <w:rPr>
          <w:rFonts w:ascii="Arial" w:hAnsi="Arial" w:cs="Arial"/>
          <w:sz w:val="18"/>
          <w:szCs w:val="18"/>
          <w:lang w:val="es-ES"/>
        </w:rPr>
      </w:pPr>
      <w:r w:rsidRPr="000723E2">
        <w:rPr>
          <w:rFonts w:ascii="Arial" w:hAnsi="Arial" w:cs="Arial"/>
          <w:sz w:val="18"/>
          <w:szCs w:val="18"/>
          <w:lang w:val="es-ES"/>
        </w:rPr>
        <w:t>»PARÁGRAFO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21305AF5" w14:textId="676ED045" w:rsidR="001C04E6" w:rsidRPr="000723E2" w:rsidRDefault="001C04E6" w:rsidP="000723E2">
      <w:pPr>
        <w:pStyle w:val="NormalWeb"/>
        <w:spacing w:before="0" w:beforeAutospacing="0" w:after="0" w:afterAutospacing="0"/>
        <w:ind w:firstLine="709"/>
        <w:jc w:val="both"/>
        <w:rPr>
          <w:rFonts w:ascii="Arial" w:hAnsi="Arial" w:cs="Arial"/>
          <w:sz w:val="18"/>
          <w:szCs w:val="18"/>
          <w:lang w:val="es-ES"/>
        </w:rPr>
      </w:pPr>
      <w:r w:rsidRPr="000723E2">
        <w:rPr>
          <w:rFonts w:ascii="Arial" w:hAnsi="Arial" w:cs="Arial"/>
          <w:sz w:val="18"/>
          <w:szCs w:val="18"/>
          <w:lang w:val="es-ES"/>
        </w:rPr>
        <w:t>»PARÁGRAFO SEGUNDO. La contratación a que se refiere el presente artículo se realizará exclusivamente con las reglas en él contempladas y en su reglamentación. En particular no se aplicará lo previsto en la Ley 816 de 2003».  </w:t>
      </w:r>
    </w:p>
    <w:p w14:paraId="7D029E95" w14:textId="571E1DAD" w:rsidR="00476A69" w:rsidRPr="000723E2" w:rsidRDefault="00476A69" w:rsidP="000723E2">
      <w:pPr>
        <w:pStyle w:val="Textonotapie"/>
        <w:ind w:firstLine="709"/>
        <w:jc w:val="both"/>
        <w:rPr>
          <w:rFonts w:ascii="Arial" w:hAnsi="Arial" w:cs="Arial"/>
          <w:sz w:val="18"/>
          <w:szCs w:val="18"/>
          <w:lang w:val="es-CO"/>
        </w:rPr>
      </w:pPr>
    </w:p>
  </w:footnote>
  <w:footnote w:id="16">
    <w:p w14:paraId="07847DA3" w14:textId="656EEA90" w:rsidR="000C5FCE" w:rsidRPr="000723E2" w:rsidRDefault="000C5FCE"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http://leyes.senado.gov.co/proyectos/images/documentos/Textos%20Radicados/Ponencias/2019/gaceta_33.pdf</w:t>
      </w:r>
    </w:p>
  </w:footnote>
  <w:footnote w:id="17">
    <w:p w14:paraId="4782A248" w14:textId="799874A0" w:rsidR="00190000" w:rsidRPr="000723E2" w:rsidRDefault="00190000" w:rsidP="000723E2">
      <w:pPr>
        <w:pStyle w:val="Textonotapie"/>
        <w:ind w:firstLine="709"/>
        <w:jc w:val="both"/>
        <w:rPr>
          <w:rFonts w:ascii="Arial" w:hAnsi="Arial" w:cs="Arial"/>
          <w:sz w:val="18"/>
          <w:szCs w:val="18"/>
          <w:lang w:val="es-ES"/>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sz w:val="18"/>
          <w:szCs w:val="18"/>
          <w:lang w:val="es-ES"/>
        </w:rPr>
        <w:t>Ver, entre otras, las sentencias: C-557 de 2000, M.P. Vladimiro Naranjo Mesa, C-1065 de 2001, M.P. Alfredo Beltrán Sierra y C-524 de 2003, M.P. Jaime Córdoba Triviño.</w:t>
      </w:r>
    </w:p>
    <w:p w14:paraId="68BF2179" w14:textId="77777777" w:rsidR="00190000" w:rsidRPr="000723E2" w:rsidRDefault="00190000" w:rsidP="000723E2">
      <w:pPr>
        <w:pStyle w:val="Textonotapie"/>
        <w:ind w:firstLine="709"/>
        <w:jc w:val="both"/>
        <w:rPr>
          <w:rFonts w:ascii="Arial" w:hAnsi="Arial" w:cs="Arial"/>
          <w:sz w:val="18"/>
          <w:szCs w:val="18"/>
          <w:lang w:val="es-ES"/>
        </w:rPr>
      </w:pPr>
    </w:p>
  </w:footnote>
  <w:footnote w:id="18">
    <w:p w14:paraId="09128C9E" w14:textId="2CA6B956" w:rsidR="00036B26" w:rsidRPr="000723E2" w:rsidRDefault="00036B26" w:rsidP="000723E2">
      <w:pPr>
        <w:pStyle w:val="Textonotapie"/>
        <w:ind w:firstLine="709"/>
        <w:jc w:val="both"/>
        <w:rPr>
          <w:rFonts w:ascii="Arial" w:hAnsi="Arial" w:cs="Arial"/>
          <w:sz w:val="18"/>
          <w:szCs w:val="18"/>
        </w:rPr>
      </w:pPr>
      <w:r w:rsidRPr="000723E2">
        <w:rPr>
          <w:rStyle w:val="Refdenotaalpie"/>
          <w:rFonts w:ascii="Arial" w:hAnsi="Arial" w:cs="Arial"/>
          <w:color w:val="000000" w:themeColor="text1"/>
          <w:sz w:val="18"/>
          <w:szCs w:val="18"/>
          <w:lang w:val="es-ES_tradnl"/>
        </w:rPr>
        <w:footnoteRef/>
      </w:r>
      <w:r w:rsidRPr="000723E2">
        <w:rPr>
          <w:rFonts w:ascii="Arial" w:hAnsi="Arial" w:cs="Arial"/>
          <w:color w:val="000000" w:themeColor="text1"/>
          <w:sz w:val="18"/>
          <w:szCs w:val="18"/>
          <w:lang w:val="es-ES_tradnl"/>
        </w:rPr>
        <w:t xml:space="preserve"> </w:t>
      </w:r>
      <w:r w:rsidR="00870E6F" w:rsidRPr="000723E2">
        <w:rPr>
          <w:rFonts w:ascii="Arial" w:hAnsi="Arial" w:cs="Arial"/>
          <w:color w:val="000000" w:themeColor="text1"/>
          <w:sz w:val="18"/>
          <w:szCs w:val="18"/>
          <w:lang w:val="es-ES_tradnl"/>
        </w:rPr>
        <w:t xml:space="preserve">(1) </w:t>
      </w:r>
      <w:r w:rsidRPr="000723E2">
        <w:rPr>
          <w:rFonts w:ascii="Arial" w:hAnsi="Arial" w:cs="Arial"/>
          <w:color w:val="000000" w:themeColor="text1"/>
          <w:sz w:val="18"/>
          <w:szCs w:val="18"/>
          <w:lang w:val="es-ES_tradnl"/>
        </w:rPr>
        <w:t>Consejo de Estado. Sección Tercera. Subsección A. Auto del 29 de marzo de 2017. Exp. 56.307. Consejero: Carlos Alberto Zambrano Barrera</w:t>
      </w:r>
      <w:r w:rsidR="00870E6F" w:rsidRPr="000723E2">
        <w:rPr>
          <w:rFonts w:ascii="Arial" w:hAnsi="Arial" w:cs="Arial"/>
          <w:color w:val="000000" w:themeColor="text1"/>
          <w:sz w:val="18"/>
          <w:szCs w:val="18"/>
          <w:lang w:val="es-ES_tradnl"/>
        </w:rPr>
        <w:t>, y (2) Consejo de Estado. Sección Tercera. Subsección A. Sentencia del 23 de abril de 2021. Exp. 56.307. Consejero: José Roberto Sáchica Méndez.</w:t>
      </w:r>
    </w:p>
    <w:p w14:paraId="645D22BD" w14:textId="77777777" w:rsidR="006C58FA" w:rsidRPr="000723E2" w:rsidRDefault="006C58FA" w:rsidP="000723E2">
      <w:pPr>
        <w:pStyle w:val="Textonotapie"/>
        <w:ind w:firstLine="709"/>
        <w:jc w:val="both"/>
        <w:rPr>
          <w:rFonts w:ascii="Arial" w:hAnsi="Arial" w:cs="Arial"/>
          <w:color w:val="000000" w:themeColor="text1"/>
          <w:sz w:val="18"/>
          <w:szCs w:val="18"/>
          <w:lang w:val="es-ES_tradnl"/>
        </w:rPr>
      </w:pPr>
    </w:p>
  </w:footnote>
  <w:footnote w:id="19">
    <w:p w14:paraId="46FACFDE" w14:textId="77777777" w:rsidR="003F4162" w:rsidRPr="000723E2" w:rsidRDefault="003F4162" w:rsidP="000723E2">
      <w:pPr>
        <w:pStyle w:val="Textonotapie"/>
        <w:ind w:firstLine="708"/>
        <w:jc w:val="both"/>
        <w:rPr>
          <w:rFonts w:ascii="Arial" w:hAnsi="Arial" w:cs="Arial"/>
          <w:color w:val="000000" w:themeColor="text1"/>
          <w:sz w:val="18"/>
          <w:szCs w:val="18"/>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Ley 1150 de 2007 «</w:t>
      </w:r>
      <w:r w:rsidRPr="000723E2">
        <w:rPr>
          <w:rStyle w:val="Textoennegrita"/>
          <w:rFonts w:ascii="Arial" w:hAnsi="Arial" w:cs="Arial"/>
          <w:b w:val="0"/>
          <w:color w:val="000000" w:themeColor="text1"/>
          <w:sz w:val="18"/>
          <w:szCs w:val="18"/>
        </w:rPr>
        <w:t>Artículo 2</w:t>
      </w:r>
      <w:r w:rsidRPr="000723E2">
        <w:rPr>
          <w:rStyle w:val="Textoennegrita"/>
          <w:rFonts w:ascii="Arial" w:hAnsi="Arial" w:cs="Arial"/>
          <w:color w:val="000000" w:themeColor="text1"/>
          <w:sz w:val="18"/>
          <w:szCs w:val="18"/>
        </w:rPr>
        <w:t>°.</w:t>
      </w:r>
      <w:r w:rsidRPr="000723E2">
        <w:rPr>
          <w:rStyle w:val="nfasis"/>
          <w:rFonts w:ascii="Arial" w:hAnsi="Arial" w:cs="Arial"/>
          <w:color w:val="000000" w:themeColor="text1"/>
          <w:sz w:val="18"/>
          <w:szCs w:val="18"/>
        </w:rPr>
        <w:t xml:space="preserve"> De las modalidades de selección. </w:t>
      </w:r>
      <w:r w:rsidRPr="000723E2">
        <w:rPr>
          <w:rFonts w:ascii="Arial" w:hAnsi="Arial" w:cs="Arial"/>
          <w:color w:val="000000" w:themeColor="text1"/>
          <w:sz w:val="18"/>
          <w:szCs w:val="18"/>
        </w:rPr>
        <w:t>La escogencia del contratista se efectuará con arreglo a las modalidades de selección de licitación pública, selección abreviada, concurso de méritos y contratación directa, con base en las siguientes reglas: </w:t>
      </w:r>
    </w:p>
    <w:p w14:paraId="1F05511D" w14:textId="77777777" w:rsidR="003F4162" w:rsidRPr="000723E2" w:rsidRDefault="003F4162" w:rsidP="000723E2">
      <w:pPr>
        <w:pStyle w:val="Textonotapie"/>
        <w:ind w:firstLine="708"/>
        <w:jc w:val="both"/>
        <w:rPr>
          <w:rFonts w:ascii="Arial" w:hAnsi="Arial" w:cs="Arial"/>
          <w:color w:val="000000" w:themeColor="text1"/>
          <w:sz w:val="18"/>
          <w:szCs w:val="18"/>
        </w:rPr>
      </w:pPr>
      <w:r w:rsidRPr="000723E2">
        <w:rPr>
          <w:rFonts w:ascii="Arial" w:hAnsi="Arial" w:cs="Arial"/>
          <w:color w:val="000000" w:themeColor="text1"/>
          <w:sz w:val="18"/>
          <w:szCs w:val="18"/>
        </w:rPr>
        <w:t>[…]</w:t>
      </w:r>
    </w:p>
    <w:p w14:paraId="2A059ABB" w14:textId="77777777" w:rsidR="003F4162" w:rsidRPr="000723E2" w:rsidRDefault="003F4162" w:rsidP="000723E2">
      <w:pPr>
        <w:pStyle w:val="Textonotapie"/>
        <w:ind w:firstLine="708"/>
        <w:jc w:val="both"/>
        <w:rPr>
          <w:rFonts w:ascii="Arial" w:hAnsi="Arial" w:cs="Arial"/>
          <w:color w:val="000000" w:themeColor="text1"/>
          <w:sz w:val="18"/>
          <w:szCs w:val="18"/>
        </w:rPr>
      </w:pPr>
      <w:r w:rsidRPr="000723E2">
        <w:rPr>
          <w:rFonts w:ascii="Arial" w:hAnsi="Arial" w:cs="Arial"/>
          <w:color w:val="000000" w:themeColor="text1"/>
          <w:sz w:val="18"/>
          <w:szCs w:val="18"/>
        </w:rPr>
        <w:t xml:space="preserve">»2. Selección 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El Gobierno Nacional reglamentará la materia. </w:t>
      </w:r>
    </w:p>
    <w:p w14:paraId="340DBF91" w14:textId="77777777" w:rsidR="003F4162" w:rsidRPr="000723E2" w:rsidRDefault="003F4162" w:rsidP="000723E2">
      <w:pPr>
        <w:pStyle w:val="Textonotapie"/>
        <w:ind w:firstLine="708"/>
        <w:jc w:val="both"/>
        <w:rPr>
          <w:rFonts w:ascii="Arial" w:hAnsi="Arial" w:cs="Arial"/>
          <w:color w:val="000000" w:themeColor="text1"/>
          <w:sz w:val="18"/>
          <w:szCs w:val="18"/>
        </w:rPr>
      </w:pPr>
      <w:r w:rsidRPr="000723E2">
        <w:rPr>
          <w:rFonts w:ascii="Arial" w:hAnsi="Arial" w:cs="Arial"/>
          <w:color w:val="000000" w:themeColor="text1"/>
          <w:sz w:val="18"/>
          <w:szCs w:val="18"/>
        </w:rPr>
        <w:t xml:space="preserve">»Serán causales de selección abreviada las siguientes: </w:t>
      </w:r>
    </w:p>
    <w:p w14:paraId="0E7AEA08" w14:textId="77777777" w:rsidR="003F4162" w:rsidRPr="000723E2" w:rsidRDefault="003F4162" w:rsidP="000723E2">
      <w:pPr>
        <w:pStyle w:val="Textonotapie"/>
        <w:ind w:firstLine="708"/>
        <w:jc w:val="both"/>
        <w:rPr>
          <w:rFonts w:ascii="Arial" w:hAnsi="Arial" w:cs="Arial"/>
          <w:color w:val="000000" w:themeColor="text1"/>
          <w:sz w:val="18"/>
          <w:szCs w:val="18"/>
        </w:rPr>
      </w:pPr>
      <w:r w:rsidRPr="000723E2">
        <w:rPr>
          <w:rFonts w:ascii="Arial" w:hAnsi="Arial" w:cs="Arial"/>
          <w:color w:val="000000" w:themeColor="text1"/>
          <w:sz w:val="18"/>
          <w:szCs w:val="18"/>
        </w:rPr>
        <w:t xml:space="preserve">»a)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 </w:t>
      </w:r>
    </w:p>
    <w:p w14:paraId="3316E332" w14:textId="7544A32A" w:rsidR="003F4162" w:rsidRPr="000723E2" w:rsidRDefault="003F4162" w:rsidP="000723E2">
      <w:pPr>
        <w:pStyle w:val="Textonotapie"/>
        <w:ind w:firstLine="708"/>
        <w:jc w:val="both"/>
        <w:rPr>
          <w:rFonts w:ascii="Arial" w:hAnsi="Arial" w:cs="Arial"/>
          <w:color w:val="000000" w:themeColor="text1"/>
          <w:sz w:val="18"/>
          <w:szCs w:val="18"/>
          <w:lang w:val="es-CO"/>
        </w:rPr>
      </w:pPr>
      <w:r w:rsidRPr="000723E2">
        <w:rPr>
          <w:rFonts w:ascii="Arial" w:hAnsi="Arial" w:cs="Arial"/>
          <w:color w:val="000000" w:themeColor="text1"/>
          <w:sz w:val="18"/>
          <w:szCs w:val="18"/>
        </w:rPr>
        <w:t>»Para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footnote>
  <w:footnote w:id="20">
    <w:p w14:paraId="61C847BC" w14:textId="77777777" w:rsidR="00323CF4" w:rsidRPr="000723E2" w:rsidRDefault="00323CF4" w:rsidP="000723E2">
      <w:pPr>
        <w:pStyle w:val="Textonotapie"/>
        <w:jc w:val="both"/>
        <w:rPr>
          <w:rFonts w:ascii="Arial" w:hAnsi="Arial" w:cs="Arial"/>
          <w:color w:val="000000" w:themeColor="text1"/>
          <w:sz w:val="18"/>
          <w:szCs w:val="18"/>
        </w:rPr>
      </w:pPr>
    </w:p>
    <w:p w14:paraId="5B74E8BD" w14:textId="77777777" w:rsidR="00323CF4" w:rsidRPr="000723E2" w:rsidRDefault="00323CF4" w:rsidP="000723E2">
      <w:pPr>
        <w:pStyle w:val="Textonotapie"/>
        <w:ind w:firstLine="708"/>
        <w:jc w:val="both"/>
        <w:rPr>
          <w:rFonts w:ascii="Arial" w:hAnsi="Arial" w:cs="Arial"/>
          <w:color w:val="000000" w:themeColor="text1"/>
          <w:sz w:val="18"/>
          <w:szCs w:val="18"/>
          <w:lang w:val="es-CO"/>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MATALLANA CAMACHO, Ernesto (2013). Manual de Contratación de la Administración Pública. 3a ed. Bogotá D. C. Editorial Universidad externado de Colombia. p.</w:t>
      </w:r>
    </w:p>
  </w:footnote>
  <w:footnote w:id="21">
    <w:p w14:paraId="0EA2E741" w14:textId="77777777" w:rsidR="00E50AC5" w:rsidRPr="000723E2" w:rsidRDefault="00E50AC5" w:rsidP="000723E2">
      <w:pPr>
        <w:pStyle w:val="Textonotapie"/>
        <w:ind w:firstLine="708"/>
        <w:jc w:val="both"/>
        <w:rPr>
          <w:rFonts w:ascii="Arial" w:hAnsi="Arial" w:cs="Arial"/>
          <w:sz w:val="18"/>
          <w:szCs w:val="18"/>
        </w:rPr>
      </w:pPr>
    </w:p>
    <w:p w14:paraId="76FE3BDC" w14:textId="79F55182" w:rsidR="00E50AC5" w:rsidRPr="000723E2" w:rsidRDefault="00E50AC5" w:rsidP="000723E2">
      <w:pPr>
        <w:ind w:firstLine="709"/>
        <w:jc w:val="both"/>
        <w:rPr>
          <w:rFonts w:ascii="Arial" w:hAnsi="Arial" w:cs="Arial"/>
          <w:color w:val="000000" w:themeColor="text1"/>
          <w:sz w:val="18"/>
          <w:szCs w:val="18"/>
          <w:lang w:val="es-ES_tradnl"/>
        </w:rPr>
      </w:pPr>
      <w:r w:rsidRPr="000723E2">
        <w:rPr>
          <w:rStyle w:val="Refdenotaalpie"/>
          <w:rFonts w:ascii="Arial" w:hAnsi="Arial" w:cs="Arial"/>
          <w:sz w:val="18"/>
          <w:szCs w:val="18"/>
        </w:rPr>
        <w:footnoteRef/>
      </w:r>
      <w:r w:rsidRPr="000723E2">
        <w:rPr>
          <w:rFonts w:ascii="Arial" w:hAnsi="Arial" w:cs="Arial"/>
          <w:sz w:val="18"/>
          <w:szCs w:val="18"/>
        </w:rPr>
        <w:t xml:space="preserve"> </w:t>
      </w:r>
      <w:r w:rsidRPr="000723E2">
        <w:rPr>
          <w:rFonts w:ascii="Arial" w:hAnsi="Arial" w:cs="Arial"/>
          <w:color w:val="000000" w:themeColor="text1"/>
          <w:sz w:val="18"/>
          <w:szCs w:val="18"/>
          <w:lang w:val="es-ES_tradnl"/>
        </w:rPr>
        <w:t>En la Guía para entender los acuerdos marcos de precio –G-EAMP-001–, la Agencia Nacional de Contratación Pública – Colombia Compra Eficiente definió dichos instrumentos de la siguiente manera:</w:t>
      </w:r>
      <w:r w:rsidR="00696056" w:rsidRPr="000723E2">
        <w:rPr>
          <w:rFonts w:ascii="Arial" w:hAnsi="Arial" w:cs="Arial"/>
          <w:color w:val="000000" w:themeColor="text1"/>
          <w:sz w:val="18"/>
          <w:szCs w:val="18"/>
          <w:lang w:val="es-ES_tradnl"/>
        </w:rPr>
        <w:t xml:space="preserve"> </w:t>
      </w:r>
      <w:r w:rsidRPr="000723E2">
        <w:rPr>
          <w:rFonts w:ascii="Arial" w:hAnsi="Arial" w:cs="Arial"/>
          <w:color w:val="000000" w:themeColor="text1"/>
          <w:sz w:val="18"/>
          <w:szCs w:val="18"/>
          <w:lang w:val="es-ES_tradnl"/>
        </w:rPr>
        <w:t>«Los Acuerdos o convenio (sic) Marco de Precios son una herramienta para que el Estado agregue demanda y centralice decisiones de adquisición de bienes, obras o servicios para:</w:t>
      </w:r>
    </w:p>
    <w:p w14:paraId="72809FC7" w14:textId="62CEE6F1" w:rsidR="00E50AC5" w:rsidRPr="000723E2" w:rsidRDefault="00E50AC5" w:rsidP="000723E2">
      <w:pPr>
        <w:ind w:left="709" w:right="709"/>
        <w:jc w:val="both"/>
        <w:rPr>
          <w:rFonts w:ascii="Arial" w:hAnsi="Arial" w:cs="Arial"/>
          <w:color w:val="000000" w:themeColor="text1"/>
          <w:sz w:val="18"/>
          <w:szCs w:val="18"/>
          <w:lang w:val="es-ES_tradnl"/>
        </w:rPr>
      </w:pPr>
      <w:r w:rsidRPr="000723E2">
        <w:rPr>
          <w:rFonts w:ascii="Arial" w:hAnsi="Arial" w:cs="Arial"/>
          <w:color w:val="000000" w:themeColor="text1"/>
          <w:sz w:val="18"/>
          <w:szCs w:val="18"/>
          <w:lang w:val="es-ES_tradnl"/>
        </w:rPr>
        <w:t xml:space="preserve">»(i) producir economías de escala; </w:t>
      </w:r>
    </w:p>
    <w:p w14:paraId="531D10BE" w14:textId="74DD2485" w:rsidR="00E50AC5" w:rsidRPr="000723E2" w:rsidRDefault="00E50AC5" w:rsidP="000723E2">
      <w:pPr>
        <w:ind w:left="709" w:right="709"/>
        <w:jc w:val="both"/>
        <w:rPr>
          <w:rFonts w:ascii="Arial" w:hAnsi="Arial" w:cs="Arial"/>
          <w:color w:val="000000" w:themeColor="text1"/>
          <w:sz w:val="18"/>
          <w:szCs w:val="18"/>
          <w:lang w:val="es-ES_tradnl"/>
        </w:rPr>
      </w:pPr>
      <w:r w:rsidRPr="000723E2">
        <w:rPr>
          <w:rFonts w:ascii="Arial" w:hAnsi="Arial" w:cs="Arial"/>
          <w:color w:val="000000" w:themeColor="text1"/>
          <w:sz w:val="18"/>
          <w:szCs w:val="18"/>
          <w:lang w:val="es-ES_tradnl"/>
        </w:rPr>
        <w:t>»(ii) incrementar el poder de negociación del Estado; y</w:t>
      </w:r>
    </w:p>
    <w:p w14:paraId="4137F2E1" w14:textId="6F06D9C4" w:rsidR="00E50AC5" w:rsidRPr="000723E2" w:rsidRDefault="00E50AC5" w:rsidP="000723E2">
      <w:pPr>
        <w:ind w:left="709" w:right="709"/>
        <w:jc w:val="both"/>
        <w:rPr>
          <w:rFonts w:ascii="Arial" w:hAnsi="Arial" w:cs="Arial"/>
          <w:color w:val="000000" w:themeColor="text1"/>
          <w:sz w:val="18"/>
          <w:szCs w:val="18"/>
          <w:lang w:val="es-ES_tradnl"/>
        </w:rPr>
      </w:pPr>
      <w:r w:rsidRPr="000723E2">
        <w:rPr>
          <w:rFonts w:ascii="Arial" w:hAnsi="Arial" w:cs="Arial"/>
          <w:color w:val="000000" w:themeColor="text1"/>
          <w:sz w:val="18"/>
          <w:szCs w:val="18"/>
          <w:lang w:val="es-ES_tradnl"/>
        </w:rPr>
        <w:t>»(iii) compartir costos y conocimiento entre las diferentes agencias o departamentos del Estado.</w:t>
      </w:r>
    </w:p>
    <w:p w14:paraId="60C6432A" w14:textId="71020347" w:rsidR="00E50AC5" w:rsidRPr="000723E2" w:rsidRDefault="00E50AC5" w:rsidP="000723E2">
      <w:pPr>
        <w:pStyle w:val="Textonotapie"/>
        <w:ind w:firstLine="708"/>
        <w:jc w:val="both"/>
        <w:rPr>
          <w:rFonts w:ascii="Arial" w:hAnsi="Arial" w:cs="Arial"/>
          <w:sz w:val="18"/>
          <w:szCs w:val="18"/>
          <w:lang w:val="es-CO"/>
        </w:rPr>
      </w:pPr>
      <w:r w:rsidRPr="000723E2">
        <w:rPr>
          <w:rFonts w:ascii="Arial" w:hAnsi="Arial" w:cs="Arial"/>
          <w:color w:val="000000" w:themeColor="text1"/>
          <w:sz w:val="18"/>
          <w:szCs w:val="18"/>
          <w:lang w:val="es-ES_tradnl"/>
        </w:rPr>
        <w:t>»El Acuerdo Marco de Precios es un contrato entre un representante de los compradores y uno o varios proveedores, que contiene la identificación del bien o servicio, el precio máximo de adquisición, las garantías mínimas y el plazo mínimo de entrega, así como las condiciones a través de las cuales un comprador puede vincularse al acuerdo. Generalmente, los compradores se vinculan a un Acuerdo Marco de Precios mediante una manifestación de su compromiso de cumplir las condiciones del mismo y la colocación de una orden de compra para la adquisición de los bienes o servicios previstos en el acuerdo»</w:t>
      </w:r>
      <w:r w:rsidR="00696056" w:rsidRPr="000723E2">
        <w:rPr>
          <w:rFonts w:ascii="Arial" w:hAnsi="Arial" w:cs="Arial"/>
          <w:color w:val="000000" w:themeColor="text1"/>
          <w:sz w:val="18"/>
          <w:szCs w:val="18"/>
          <w:lang w:val="es-ES_tradnl"/>
        </w:rPr>
        <w:t xml:space="preserve">. </w:t>
      </w:r>
      <w:r w:rsidR="00696056" w:rsidRPr="000723E2">
        <w:rPr>
          <w:rFonts w:ascii="Arial" w:hAnsi="Arial" w:cs="Arial"/>
          <w:color w:val="000000" w:themeColor="text1"/>
          <w:sz w:val="18"/>
          <w:szCs w:val="18"/>
        </w:rPr>
        <w:t xml:space="preserve">Agencia Nacional de Contratación Pública – Colombia Compra Eficiente. </w:t>
      </w:r>
      <w:r w:rsidR="00696056" w:rsidRPr="000723E2">
        <w:rPr>
          <w:rFonts w:ascii="Arial" w:hAnsi="Arial" w:cs="Arial"/>
          <w:color w:val="000000" w:themeColor="text1"/>
          <w:sz w:val="18"/>
          <w:szCs w:val="18"/>
          <w:lang w:val="es-ES_tradnl"/>
        </w:rPr>
        <w:t xml:space="preserve">Guía para entender los acuerdos marcos de precio. G-EAMP-001. En: </w:t>
      </w:r>
      <w:hyperlink r:id="rId15" w:history="1">
        <w:r w:rsidR="00696056" w:rsidRPr="000723E2">
          <w:rPr>
            <w:rStyle w:val="Hipervnculo"/>
            <w:rFonts w:ascii="Arial" w:hAnsi="Arial" w:cs="Arial"/>
            <w:color w:val="0A497D" w:themeColor="text2" w:themeShade="BF"/>
            <w:sz w:val="18"/>
            <w:szCs w:val="18"/>
            <w:lang w:val="es-ES_tradnl"/>
          </w:rPr>
          <w:t>https://www.colombiacompra.gov.co/sites/cce_public/files/cce_documents/cce_guia_entender_acuerdos_marco.pdf</w:t>
        </w:r>
      </w:hyperlink>
    </w:p>
  </w:footnote>
  <w:footnote w:id="22">
    <w:p w14:paraId="2D55814D" w14:textId="78BB3880" w:rsidR="00696056" w:rsidRPr="000723E2" w:rsidRDefault="00696056" w:rsidP="000723E2">
      <w:pPr>
        <w:pStyle w:val="Textonotapie"/>
        <w:ind w:firstLine="709"/>
        <w:jc w:val="both"/>
        <w:rPr>
          <w:rFonts w:ascii="Arial" w:hAnsi="Arial" w:cs="Arial"/>
          <w:color w:val="000000" w:themeColor="text1"/>
          <w:sz w:val="18"/>
          <w:szCs w:val="18"/>
          <w:lang w:val="es-ES"/>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w:t>
      </w:r>
      <w:r w:rsidRPr="000723E2">
        <w:rPr>
          <w:rFonts w:ascii="Arial" w:hAnsi="Arial" w:cs="Arial"/>
          <w:color w:val="000000" w:themeColor="text1"/>
          <w:sz w:val="18"/>
          <w:szCs w:val="18"/>
          <w:lang w:val="es-ES"/>
        </w:rPr>
        <w:t>Al respecto, puede consultarse la Guía General de los Acuerdos Marco G-GAM-01, que contiene el instructivo para la utilización de la tienda virtual del Estado colombiano por parte de las entidades estatales. En: https://www.colombiacompra.gov.co/sites/cce_public/files/cce_tvec/cce_guia_general_de_los_acuerdos_marco.pdf</w:t>
      </w:r>
    </w:p>
  </w:footnote>
  <w:footnote w:id="23">
    <w:p w14:paraId="422AA06C" w14:textId="77777777" w:rsidR="00226598" w:rsidRPr="000723E2" w:rsidRDefault="00226598" w:rsidP="000723E2">
      <w:pPr>
        <w:pStyle w:val="Textonotapie"/>
        <w:ind w:firstLine="708"/>
        <w:jc w:val="both"/>
        <w:rPr>
          <w:rFonts w:ascii="Arial" w:hAnsi="Arial" w:cs="Arial"/>
          <w:color w:val="000000" w:themeColor="text1"/>
          <w:sz w:val="18"/>
          <w:szCs w:val="18"/>
          <w:lang w:val="es-CO"/>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DÁVILA VINUEZA, Luis Guillermo. Régimen jurídico de la contratación estatal. Tercera edición. Bogotá: Legis, 2016. p. 469. </w:t>
      </w:r>
    </w:p>
  </w:footnote>
  <w:footnote w:id="24">
    <w:p w14:paraId="78592F24" w14:textId="77777777" w:rsidR="00226598" w:rsidRPr="000723E2" w:rsidRDefault="00226598" w:rsidP="000723E2">
      <w:pPr>
        <w:pStyle w:val="Textonotapie"/>
        <w:ind w:firstLine="708"/>
        <w:jc w:val="both"/>
        <w:rPr>
          <w:rFonts w:ascii="Arial" w:hAnsi="Arial" w:cs="Arial"/>
          <w:color w:val="000000" w:themeColor="text1"/>
          <w:sz w:val="18"/>
          <w:szCs w:val="18"/>
        </w:rPr>
      </w:pPr>
    </w:p>
    <w:p w14:paraId="1072651A" w14:textId="77777777" w:rsidR="00226598" w:rsidRPr="000723E2" w:rsidRDefault="00226598" w:rsidP="000723E2">
      <w:pPr>
        <w:pStyle w:val="Textonotapie"/>
        <w:ind w:firstLine="708"/>
        <w:jc w:val="both"/>
        <w:rPr>
          <w:rFonts w:ascii="Arial" w:hAnsi="Arial" w:cs="Arial"/>
          <w:color w:val="000000" w:themeColor="text1"/>
          <w:sz w:val="18"/>
          <w:szCs w:val="18"/>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w:t>
      </w:r>
      <w:r w:rsidRPr="000723E2">
        <w:rPr>
          <w:rFonts w:ascii="Arial" w:hAnsi="Arial" w:cs="Arial"/>
          <w:i/>
          <w:iCs/>
          <w:color w:val="000000" w:themeColor="text1"/>
          <w:sz w:val="18"/>
          <w:szCs w:val="18"/>
        </w:rPr>
        <w:t>Ibídem.</w:t>
      </w:r>
      <w:r w:rsidRPr="000723E2">
        <w:rPr>
          <w:rFonts w:ascii="Arial" w:hAnsi="Arial" w:cs="Arial"/>
          <w:color w:val="000000" w:themeColor="text1"/>
          <w:sz w:val="18"/>
          <w:szCs w:val="18"/>
        </w:rPr>
        <w:t xml:space="preserve"> </w:t>
      </w:r>
    </w:p>
    <w:p w14:paraId="0F9D5504" w14:textId="77777777" w:rsidR="00226598" w:rsidRPr="000723E2" w:rsidRDefault="00226598" w:rsidP="000723E2">
      <w:pPr>
        <w:pStyle w:val="Textonotapie"/>
        <w:ind w:firstLine="708"/>
        <w:jc w:val="both"/>
        <w:rPr>
          <w:rFonts w:ascii="Arial" w:hAnsi="Arial" w:cs="Arial"/>
          <w:color w:val="000000" w:themeColor="text1"/>
          <w:sz w:val="18"/>
          <w:szCs w:val="18"/>
          <w:lang w:val="es-CO"/>
        </w:rPr>
      </w:pPr>
    </w:p>
  </w:footnote>
  <w:footnote w:id="25">
    <w:p w14:paraId="21D32145" w14:textId="77777777" w:rsidR="00226598" w:rsidRPr="000723E2" w:rsidRDefault="00226598" w:rsidP="000723E2">
      <w:pPr>
        <w:pStyle w:val="Textonotapie"/>
        <w:ind w:firstLine="708"/>
        <w:jc w:val="both"/>
        <w:rPr>
          <w:rFonts w:ascii="Arial" w:hAnsi="Arial" w:cs="Arial"/>
          <w:color w:val="000000" w:themeColor="text1"/>
          <w:sz w:val="18"/>
          <w:szCs w:val="18"/>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Decreto 1082 de 2015 «Artículo 2.2.1.2.1.2.14. Selección del comisionista. La Entidad Estatal debe seleccionar al comisionista de acuerdo con el procedimiento interno aplicable en la bolsa de productos, el cual debe ser competitivo. </w:t>
      </w:r>
    </w:p>
    <w:p w14:paraId="3BB00AFD" w14:textId="77777777" w:rsidR="00226598" w:rsidRPr="000723E2" w:rsidRDefault="00226598" w:rsidP="000723E2">
      <w:pPr>
        <w:pStyle w:val="Textonotapie"/>
        <w:ind w:firstLine="708"/>
        <w:jc w:val="both"/>
        <w:rPr>
          <w:rFonts w:ascii="Arial" w:hAnsi="Arial" w:cs="Arial"/>
          <w:color w:val="000000" w:themeColor="text1"/>
          <w:sz w:val="18"/>
          <w:szCs w:val="18"/>
          <w:lang w:val="es-CO"/>
        </w:rPr>
      </w:pPr>
      <w:r w:rsidRPr="000723E2">
        <w:rPr>
          <w:rFonts w:ascii="Arial" w:hAnsi="Arial" w:cs="Arial"/>
          <w:color w:val="000000" w:themeColor="text1"/>
          <w:sz w:val="18"/>
          <w:szCs w:val="18"/>
        </w:rPr>
        <w:t>»La Entidad Estatal debe publicar el contrato suscrito con el comisionista seleccionado y sus modificaciones en el Secop».</w:t>
      </w:r>
    </w:p>
  </w:footnote>
  <w:footnote w:id="26">
    <w:p w14:paraId="6BA26B37" w14:textId="77777777" w:rsidR="00226598" w:rsidRPr="000723E2" w:rsidRDefault="00226598" w:rsidP="000723E2">
      <w:pPr>
        <w:pStyle w:val="Textonotapie"/>
        <w:jc w:val="both"/>
        <w:rPr>
          <w:rFonts w:ascii="Arial" w:hAnsi="Arial" w:cs="Arial"/>
          <w:color w:val="000000" w:themeColor="text1"/>
          <w:sz w:val="18"/>
          <w:szCs w:val="18"/>
        </w:rPr>
      </w:pPr>
    </w:p>
    <w:p w14:paraId="3630575F" w14:textId="77777777" w:rsidR="00226598" w:rsidRPr="000723E2" w:rsidRDefault="00226598" w:rsidP="000723E2">
      <w:pPr>
        <w:pStyle w:val="NormalWeb"/>
        <w:spacing w:after="0"/>
        <w:ind w:firstLine="708"/>
        <w:jc w:val="both"/>
        <w:rPr>
          <w:rFonts w:ascii="Arial" w:hAnsi="Arial" w:cs="Arial"/>
          <w:color w:val="000000" w:themeColor="text1"/>
          <w:sz w:val="18"/>
          <w:szCs w:val="18"/>
        </w:rPr>
      </w:pPr>
      <w:r w:rsidRPr="000723E2">
        <w:rPr>
          <w:rStyle w:val="Refdenotaalpie"/>
          <w:rFonts w:ascii="Arial" w:hAnsi="Arial" w:cs="Arial"/>
          <w:color w:val="000000" w:themeColor="text1"/>
          <w:sz w:val="18"/>
          <w:szCs w:val="18"/>
        </w:rPr>
        <w:footnoteRef/>
      </w:r>
      <w:r w:rsidRPr="000723E2">
        <w:rPr>
          <w:rFonts w:ascii="Arial" w:hAnsi="Arial" w:cs="Arial"/>
          <w:color w:val="000000" w:themeColor="text1"/>
          <w:sz w:val="18"/>
          <w:szCs w:val="18"/>
        </w:rPr>
        <w:t xml:space="preserve"> Decreto 1082 de 2015 «Artículo 2.2.1.2.1.2.17. Garantía única a favor de la Entidad Estatal. Como requisito para la ejecución del contrato de comisión, el comisionista seleccionado debe constituir a favor de la entidad estatal comitente la garantía única de cumplimiento, en relación con el valor de la comisión que la Entidad Estatal pagará al comisionista por sus servicios. </w:t>
      </w:r>
      <w:bookmarkStart w:id="5" w:name="ver_30051355"/>
      <w:bookmarkEnd w:id="5"/>
    </w:p>
    <w:p w14:paraId="59C962B7" w14:textId="5ED54120" w:rsidR="00226598" w:rsidRPr="000723E2" w:rsidRDefault="00226598" w:rsidP="000723E2">
      <w:pPr>
        <w:pStyle w:val="NormalWeb"/>
        <w:spacing w:after="0"/>
        <w:ind w:firstLine="708"/>
        <w:jc w:val="both"/>
        <w:rPr>
          <w:rFonts w:ascii="Arial" w:hAnsi="Arial" w:cs="Arial"/>
          <w:color w:val="000000" w:themeColor="text1"/>
          <w:sz w:val="18"/>
          <w:szCs w:val="18"/>
        </w:rPr>
      </w:pPr>
      <w:r w:rsidRPr="000723E2">
        <w:rPr>
          <w:rFonts w:ascii="Arial" w:hAnsi="Arial" w:cs="Arial"/>
          <w:color w:val="000000" w:themeColor="text1"/>
          <w:sz w:val="18"/>
          <w:szCs w:val="18"/>
        </w:rPr>
        <w:t xml:space="preserve">»Artículo 2.2.1.2.1.2.18. Garantías de cumplimiento a favor del organismo de compensación de la bolsa de productos. La Entidad Estatal y el comitente vendedor deben constituir a favor del organismo de compensación de la bolsa de productos las garantías establecidas en su reglamento, para garantizar el cumplimiento de las </w:t>
      </w:r>
      <w:r w:rsidRPr="000723E2">
        <w:rPr>
          <w:rFonts w:ascii="Arial" w:hAnsi="Arial" w:cs="Arial"/>
          <w:color w:val="000000" w:themeColor="text1"/>
          <w:sz w:val="18"/>
          <w:szCs w:val="18"/>
        </w:rPr>
        <w:tab/>
        <w:t xml:space="preserve"> negociaciones mediante las cuales la Entidad Estatal adquiere Bienes y Servicios de Características Técnicas Uniformes. </w:t>
      </w:r>
    </w:p>
    <w:p w14:paraId="40FD7447" w14:textId="5B236A8B" w:rsidR="00226598" w:rsidRPr="000723E2" w:rsidRDefault="00226598" w:rsidP="000723E2">
      <w:pPr>
        <w:jc w:val="both"/>
        <w:rPr>
          <w:rFonts w:ascii="Arial" w:hAnsi="Arial" w:cs="Arial"/>
          <w:color w:val="000000" w:themeColor="text1"/>
          <w:sz w:val="18"/>
          <w:szCs w:val="18"/>
        </w:rPr>
      </w:pPr>
      <w:r w:rsidRPr="000723E2">
        <w:rPr>
          <w:rFonts w:ascii="Arial" w:hAnsi="Arial" w:cs="Arial"/>
          <w:color w:val="000000" w:themeColor="text1"/>
          <w:sz w:val="18"/>
          <w:szCs w:val="18"/>
          <w:lang w:eastAsia="es-CO"/>
        </w:rPr>
        <w:t>  </w:t>
      </w:r>
      <w:r w:rsidRPr="000723E2">
        <w:rPr>
          <w:rFonts w:ascii="Arial" w:hAnsi="Arial" w:cs="Arial"/>
          <w:color w:val="000000" w:themeColor="text1"/>
          <w:sz w:val="18"/>
          <w:szCs w:val="18"/>
          <w:lang w:eastAsia="es-CO"/>
        </w:rPr>
        <w:tab/>
        <w:t>»Las Entidades Estatales pueden exigir al comitente vendedor garantías adicionales a las señaladas en el presente artículo, siempre y cuando resulten adecuadas y proporcionales al objeto a contratar y a su valor». </w:t>
      </w:r>
    </w:p>
  </w:footnote>
  <w:footnote w:id="27">
    <w:p w14:paraId="4E157E81" w14:textId="08848EAD"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Decreto 1082 de 2015.«</w:t>
      </w:r>
      <w:r w:rsidRPr="000723E2">
        <w:rPr>
          <w:rStyle w:val="Textoennegrita"/>
          <w:rFonts w:ascii="Arial" w:hAnsi="Arial" w:cs="Arial"/>
          <w:b w:val="0"/>
          <w:bCs w:val="0"/>
          <w:color w:val="000000"/>
          <w:sz w:val="18"/>
          <w:szCs w:val="18"/>
        </w:rPr>
        <w:t>Artículo 2.2.1.2.1.2.7.</w:t>
      </w:r>
      <w:r w:rsidRPr="000723E2">
        <w:rPr>
          <w:rStyle w:val="Textoennegrita"/>
          <w:rFonts w:ascii="Arial" w:hAnsi="Arial" w:cs="Arial"/>
          <w:color w:val="000000"/>
          <w:sz w:val="18"/>
          <w:szCs w:val="18"/>
        </w:rPr>
        <w:t> </w:t>
      </w:r>
      <w:r w:rsidRPr="000723E2">
        <w:rPr>
          <w:rStyle w:val="nfasis"/>
          <w:rFonts w:ascii="Arial" w:hAnsi="Arial" w:cs="Arial"/>
          <w:color w:val="000000"/>
          <w:sz w:val="18"/>
          <w:szCs w:val="18"/>
        </w:rPr>
        <w:t xml:space="preserve">Procedencia del Acuerdo Marco de Precios. </w:t>
      </w:r>
      <w:r w:rsidRPr="000723E2">
        <w:rPr>
          <w:rStyle w:val="nfasis"/>
          <w:rFonts w:ascii="Arial" w:hAnsi="Arial" w:cs="Arial"/>
          <w:i w:val="0"/>
          <w:iCs w:val="0"/>
          <w:color w:val="000000"/>
          <w:sz w:val="18"/>
          <w:szCs w:val="18"/>
        </w:rPr>
        <w:t>Las Entidades Estatales sometidas al Estatuto General de Contratación de la Administración Pública, están obligadas </w:t>
      </w:r>
      <w:r w:rsidRPr="000723E2">
        <w:rPr>
          <w:rFonts w:ascii="Arial" w:hAnsi="Arial" w:cs="Arial"/>
          <w:i/>
          <w:iCs/>
          <w:color w:val="000000"/>
          <w:sz w:val="18"/>
          <w:szCs w:val="18"/>
        </w:rPr>
        <w:t>a </w:t>
      </w:r>
      <w:r w:rsidRPr="000723E2">
        <w:rPr>
          <w:rStyle w:val="nfasis"/>
          <w:rFonts w:ascii="Arial" w:hAnsi="Arial" w:cs="Arial"/>
          <w:i w:val="0"/>
          <w:iCs w:val="0"/>
          <w:color w:val="000000"/>
          <w:sz w:val="18"/>
          <w:szCs w:val="18"/>
        </w:rPr>
        <w:t>adquirir Bienes </w:t>
      </w:r>
      <w:r w:rsidRPr="000723E2">
        <w:rPr>
          <w:rFonts w:ascii="Arial" w:hAnsi="Arial" w:cs="Arial"/>
          <w:i/>
          <w:iCs/>
          <w:color w:val="000000"/>
          <w:sz w:val="18"/>
          <w:szCs w:val="18"/>
        </w:rPr>
        <w:t>y </w:t>
      </w:r>
      <w:r w:rsidRPr="000723E2">
        <w:rPr>
          <w:rStyle w:val="nfasis"/>
          <w:rFonts w:ascii="Arial" w:hAnsi="Arial" w:cs="Arial"/>
          <w:i w:val="0"/>
          <w:iCs w:val="0"/>
          <w:color w:val="000000"/>
          <w:sz w:val="18"/>
          <w:szCs w:val="18"/>
        </w:rPr>
        <w:t>Servicios de Características Técnicas Uniformes de Común </w:t>
      </w:r>
      <w:r w:rsidRPr="000723E2">
        <w:rPr>
          <w:rFonts w:ascii="Arial" w:hAnsi="Arial" w:cs="Arial"/>
          <w:i/>
          <w:iCs/>
          <w:color w:val="000000"/>
          <w:sz w:val="18"/>
          <w:szCs w:val="18"/>
        </w:rPr>
        <w:t xml:space="preserve">Utilización </w:t>
      </w:r>
      <w:r w:rsidRPr="000723E2">
        <w:rPr>
          <w:rFonts w:ascii="Arial" w:hAnsi="Arial" w:cs="Arial"/>
          <w:color w:val="000000"/>
          <w:sz w:val="18"/>
          <w:szCs w:val="18"/>
        </w:rPr>
        <w:t>a través de los Acuerdos Marco de Precios previamente justificados, diseñados, organizados y celebrados por la Agencia Nacional de Contratación Pública -Colombia Compra Eficiente-.  </w:t>
      </w:r>
    </w:p>
    <w:p w14:paraId="29A2FD65" w14:textId="38CF81CF"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Fonts w:ascii="Arial" w:hAnsi="Arial" w:cs="Arial"/>
          <w:color w:val="000000"/>
          <w:sz w:val="18"/>
          <w:szCs w:val="18"/>
        </w:rPr>
        <w:t>»La implementación de nuevos Acuerdos Marco de Precios organizados y celebrados por la Agencia Nacional de Contratación Pública -Colombia Compra Eficiente-de uso obligatorio por parte de las entidades territoriales, estará precedida de un estudio de agregación de demanda que realizará aquella, el cual tenga en cuenta las particularidades propias de los mercados regionales, la necesidad de promover el desarrollo empresarial en las entidades territoriales a través de las MYPIMES y evitar en lo posible, la concentración de proveedores en ciertas ciudades del país, salvo que exista la respectiva justificación técnica, económica y/o jurídica.  </w:t>
      </w:r>
    </w:p>
    <w:p w14:paraId="6CDFE00F" w14:textId="09D7D9E9"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Style w:val="Textoennegrita"/>
          <w:rFonts w:ascii="Arial" w:hAnsi="Arial" w:cs="Arial"/>
          <w:color w:val="000000"/>
          <w:sz w:val="18"/>
          <w:szCs w:val="18"/>
        </w:rPr>
        <w:t>»</w:t>
      </w:r>
      <w:r w:rsidRPr="000723E2">
        <w:rPr>
          <w:rStyle w:val="Textoennegrita"/>
          <w:rFonts w:ascii="Arial" w:hAnsi="Arial" w:cs="Arial"/>
          <w:b w:val="0"/>
          <w:bCs w:val="0"/>
          <w:color w:val="000000"/>
          <w:sz w:val="18"/>
          <w:szCs w:val="18"/>
        </w:rPr>
        <w:t>Parágrafo 1.</w:t>
      </w:r>
      <w:r w:rsidRPr="000723E2">
        <w:rPr>
          <w:rFonts w:ascii="Arial" w:hAnsi="Arial" w:cs="Arial"/>
          <w:color w:val="000000"/>
          <w:sz w:val="18"/>
          <w:szCs w:val="18"/>
        </w:rPr>
        <w:t> Para los fines contemplados en el presente artículo, el uso obligatorio de los Acuerdos Marco de Precios organizados y celebrados por la Agencia Nacional de Contratación Pública -Colombia Compra Eficiente-por parte de las Entidades Estatales sometidas al Estatuto General de Contratación de la Administración Pública se hará de manera gradual, teniendo en cuenta las siguientes condiciones:  </w:t>
      </w:r>
    </w:p>
    <w:p w14:paraId="63A38D84" w14:textId="77777777" w:rsidR="007F1A8A" w:rsidRPr="000723E2" w:rsidRDefault="007F1A8A" w:rsidP="000723E2">
      <w:pPr>
        <w:pStyle w:val="NormalWeb"/>
        <w:spacing w:before="0" w:beforeAutospacing="0" w:after="120" w:afterAutospacing="0"/>
        <w:jc w:val="both"/>
        <w:rPr>
          <w:rFonts w:ascii="Arial" w:hAnsi="Arial" w:cs="Arial"/>
          <w:color w:val="000000"/>
          <w:sz w:val="18"/>
          <w:szCs w:val="18"/>
        </w:rPr>
      </w:pPr>
      <w:r w:rsidRPr="000723E2">
        <w:rPr>
          <w:rFonts w:ascii="Arial" w:hAnsi="Arial" w:cs="Arial"/>
          <w:color w:val="000000"/>
          <w:sz w:val="18"/>
          <w:szCs w:val="18"/>
        </w:rPr>
        <w:t>La Agencia Nacional de Contratación Pública -Colombia Compra Eficiente-como Administradora del Sistema Electrónico para la Contratación Pública (SECOP) permitirá el ingreso a la Tienda Virtual del Estado Colombiano -TVEC, de acuerdo con las condiciones técnicas de la plataforma y la asignación de nuevos usuarios.  </w:t>
      </w:r>
    </w:p>
    <w:p w14:paraId="1478FAB7" w14:textId="77777777" w:rsidR="007F1A8A" w:rsidRPr="000723E2" w:rsidRDefault="007F1A8A" w:rsidP="000723E2">
      <w:pPr>
        <w:pStyle w:val="NormalWeb"/>
        <w:spacing w:before="0" w:beforeAutospacing="0" w:after="120" w:afterAutospacing="0"/>
        <w:jc w:val="both"/>
        <w:rPr>
          <w:rFonts w:ascii="Arial" w:hAnsi="Arial" w:cs="Arial"/>
          <w:color w:val="000000"/>
          <w:sz w:val="18"/>
          <w:szCs w:val="18"/>
        </w:rPr>
      </w:pPr>
      <w:r w:rsidRPr="000723E2">
        <w:rPr>
          <w:rFonts w:ascii="Arial" w:hAnsi="Arial" w:cs="Arial"/>
          <w:color w:val="000000"/>
          <w:sz w:val="18"/>
          <w:szCs w:val="18"/>
        </w:rPr>
        <w:t>La Agencia Nacional de Contratación Pública -Colombia Compra Eficiente-dispondrá mediante circular, la cual publicará en su página web, un plan operativo de despliegue detallado para el ingreso gradual de las entidades, el cual contendrá las fechas exactas de ingreso y el desarrollo de un programa de capacitación dirigido a las entidades compradoras, plan el cual contemplará, en todo caso, los siguientes parámetros temporales:  </w:t>
      </w:r>
    </w:p>
    <w:p w14:paraId="0036F854" w14:textId="3E3EC9FE"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Fonts w:ascii="Arial" w:hAnsi="Arial" w:cs="Arial"/>
          <w:color w:val="000000"/>
          <w:sz w:val="18"/>
          <w:szCs w:val="18"/>
        </w:rPr>
        <w:t>»a. Para el año 2021 deberán ingresar a la Tienda Virtual del Estado Colombiano -TVEC: i) Las entidades del sector central y del sector descentralizado de la Rama Ejecutiva del orden nacional, que a la fecha de expedición del presente Decreto aún no hayan ingresado; ii) la Rama Judicial; iii) la Rama Legislativa; iv) las entidades del sector central y descentralizado del nivel departamental; v) las entidades del sector central y descentralizando de los municipios (o distritos) que sean capitales de departamento; vi) las entidades del sector central y del sector descentralizado del Distrito Capital; vii) los órganos de control nacionales, departamentales y de ciudades capitales de departamento; viii) la Organización Electoral; ix) los órganos autónomos e independientes de creación constitucional que estén sometidos al Estatuto General de Contratación de la Administración Pública; x) las Corporaciones Autónomas de que trata la Ley 99 de 1993 y el Artículo 331 de la Constitución Política de Colombia; xi) las entidades del sector central y descentralizado de los municipios de categoría 1, 2 Y 3; Y xii) las Áreas Metropolitanas, las Asociaciones de Municipios y las Regiones Administrativas Especiales de que trata la ley 1454 de 2011.  </w:t>
      </w:r>
    </w:p>
    <w:p w14:paraId="57E16AAF" w14:textId="42B86125"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Fonts w:ascii="Arial" w:hAnsi="Arial" w:cs="Arial"/>
          <w:color w:val="000000"/>
          <w:sz w:val="18"/>
          <w:szCs w:val="18"/>
        </w:rPr>
        <w:t>»b. Para el año 2022 deberán ingresar a la Tienda Virtual del Estado Colombiano -TVEC: i) Las entidades del sector central y descentralizado de los municipios de categoría 4, 5 Y 6; Y íi) los entes de control territoriales que no hayan ingresado en el año 2021.  </w:t>
      </w:r>
    </w:p>
    <w:p w14:paraId="7DC68FF1" w14:textId="5B2F5AB9"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Fonts w:ascii="Arial" w:hAnsi="Arial" w:cs="Arial"/>
          <w:color w:val="000000"/>
          <w:sz w:val="18"/>
          <w:szCs w:val="18"/>
        </w:rPr>
        <w:t>»c. Para el año 2022 deberán ingresar las demás Entidades Estatales sometidas al Estatuto General de la Contratación Administrativa, cuya naturaleza jurídica no haya sido descrita en los /itera les anteriores.  </w:t>
      </w:r>
    </w:p>
    <w:p w14:paraId="458D0D02" w14:textId="3235F61C" w:rsidR="007F1A8A" w:rsidRPr="000723E2" w:rsidRDefault="007F1A8A" w:rsidP="000723E2">
      <w:pPr>
        <w:pStyle w:val="NormalWeb"/>
        <w:spacing w:before="0" w:beforeAutospacing="0" w:after="120" w:afterAutospacing="0"/>
        <w:ind w:firstLine="708"/>
        <w:jc w:val="both"/>
        <w:rPr>
          <w:rFonts w:ascii="Arial" w:hAnsi="Arial" w:cs="Arial"/>
          <w:color w:val="000000"/>
          <w:sz w:val="18"/>
          <w:szCs w:val="18"/>
        </w:rPr>
      </w:pPr>
      <w:r w:rsidRPr="000723E2">
        <w:rPr>
          <w:rFonts w:ascii="Arial" w:hAnsi="Arial" w:cs="Arial"/>
          <w:color w:val="000000"/>
          <w:sz w:val="18"/>
          <w:szCs w:val="18"/>
        </w:rPr>
        <w:t>»d. La Agencia Nacional de Contratación Pública -Colombia Compra Eficiente -deberá ajustar el Plan Operativo para la incorporación de una entidad cuando como producto de un análisis técnico y económico de abastecimiento estratégico, se evidencie que el ingreso anticipado o posterior de una entidad estatal genera eficiencia en el gasto público.  </w:t>
      </w:r>
    </w:p>
    <w:p w14:paraId="5C46D0AB" w14:textId="4DA84BC1" w:rsidR="007F1A8A" w:rsidRPr="000723E2" w:rsidRDefault="007F1A8A" w:rsidP="000723E2">
      <w:pPr>
        <w:pStyle w:val="NormalWeb"/>
        <w:spacing w:before="0" w:beforeAutospacing="0" w:after="0" w:afterAutospacing="0"/>
        <w:ind w:firstLine="708"/>
        <w:jc w:val="both"/>
        <w:rPr>
          <w:rFonts w:ascii="Arial" w:hAnsi="Arial" w:cs="Arial"/>
          <w:sz w:val="18"/>
          <w:szCs w:val="18"/>
        </w:rPr>
      </w:pPr>
      <w:r w:rsidRPr="000723E2">
        <w:rPr>
          <w:rStyle w:val="Textoennegrita"/>
          <w:rFonts w:ascii="Arial" w:hAnsi="Arial" w:cs="Arial"/>
          <w:color w:val="000000"/>
          <w:sz w:val="18"/>
          <w:szCs w:val="18"/>
        </w:rPr>
        <w:t>»</w:t>
      </w:r>
      <w:r w:rsidRPr="000723E2">
        <w:rPr>
          <w:rStyle w:val="Textoennegrita"/>
          <w:rFonts w:ascii="Arial" w:hAnsi="Arial" w:cs="Arial"/>
          <w:b w:val="0"/>
          <w:bCs w:val="0"/>
          <w:color w:val="000000"/>
          <w:sz w:val="18"/>
          <w:szCs w:val="18"/>
        </w:rPr>
        <w:t>Parágrafo 2</w:t>
      </w:r>
      <w:r w:rsidRPr="000723E2">
        <w:rPr>
          <w:rStyle w:val="Textoennegrita"/>
          <w:rFonts w:ascii="Arial" w:hAnsi="Arial" w:cs="Arial"/>
          <w:color w:val="000000"/>
          <w:sz w:val="18"/>
          <w:szCs w:val="18"/>
        </w:rPr>
        <w:t>.</w:t>
      </w:r>
      <w:r w:rsidRPr="000723E2">
        <w:rPr>
          <w:rFonts w:ascii="Arial" w:hAnsi="Arial" w:cs="Arial"/>
          <w:color w:val="000000"/>
          <w:sz w:val="18"/>
          <w:szCs w:val="18"/>
        </w:rPr>
        <w:t> De conformidad con lo establecido en los literales a), b), y c) del numeral 2 del parágrafo 1 de este artículo, los procesos de selección adelantados por las entidades estatales allí contempladas para adquirir Bienes y Servicios de Características Técnicas Uniformes de Común Utilización a través de Bolsas de Productos o Subasta Inversa, continuarán su trámite siempre y cuando se haya presentado la carta de intención o la publicación del aviso de convocatoria, respectivamente».  </w:t>
      </w:r>
    </w:p>
  </w:footnote>
  <w:footnote w:id="28">
    <w:p w14:paraId="56628C20" w14:textId="77777777" w:rsidR="00226598" w:rsidRPr="000723E2" w:rsidRDefault="00226598" w:rsidP="000723E2">
      <w:pPr>
        <w:pStyle w:val="Textonotapie"/>
        <w:spacing w:after="60"/>
        <w:ind w:firstLine="709"/>
        <w:jc w:val="both"/>
        <w:rPr>
          <w:rFonts w:ascii="Arial" w:hAnsi="Arial" w:cs="Arial"/>
          <w:sz w:val="18"/>
          <w:szCs w:val="18"/>
        </w:rPr>
      </w:pPr>
      <w:r w:rsidRPr="000723E2">
        <w:rPr>
          <w:rStyle w:val="Refdenotaalpie"/>
          <w:rFonts w:ascii="Arial" w:hAnsi="Arial" w:cs="Arial"/>
          <w:sz w:val="18"/>
          <w:szCs w:val="18"/>
        </w:rPr>
        <w:footnoteRef/>
      </w:r>
      <w:r w:rsidRPr="000723E2">
        <w:rPr>
          <w:rFonts w:ascii="Arial" w:hAnsi="Arial" w:cs="Arial"/>
          <w:sz w:val="18"/>
          <w:szCs w:val="18"/>
        </w:rPr>
        <w:t xml:space="preserve"> El artículo 2.2.1.2.1.2.12. del Decreto 1082 de 2015, modificado por el artículo 2 del Decreto 310 del 25 de marzo de 2021 establece: «Planeación de una adquisición en la bolsa de productos.​ Cuando no exista un Acuerdo Marco de Precios para el bien o servicio requerido, las entidades estatales deben estudiar, comparar e identificar las ventajas de utilizar la bolsa de productos para la adquisición respectiva frente a la subasta inversa o a la promoción de un nuevo Acuerdo Marco de Precios con la Agencia Nacional de Contratación Pública -Colombia Compra Eficiente- para tales bienes o servicios, incluyendo el análisis del Proceso de Selección del comisionista, los costos asociados a la selección, el valor de la comisión y de las garantías. </w:t>
      </w:r>
    </w:p>
    <w:p w14:paraId="1DA69AA4" w14:textId="77777777" w:rsidR="00226598" w:rsidRPr="000723E2" w:rsidRDefault="00226598" w:rsidP="000723E2">
      <w:pPr>
        <w:pStyle w:val="Textonotapie"/>
        <w:spacing w:after="60"/>
        <w:ind w:firstLine="709"/>
        <w:jc w:val="both"/>
        <w:rPr>
          <w:rFonts w:ascii="Arial" w:hAnsi="Arial" w:cs="Arial"/>
          <w:sz w:val="18"/>
          <w:szCs w:val="18"/>
        </w:rPr>
      </w:pPr>
      <w:r w:rsidRPr="000723E2">
        <w:rPr>
          <w:rFonts w:ascii="Arial" w:hAnsi="Arial" w:cs="Arial"/>
          <w:sz w:val="18"/>
          <w:szCs w:val="18"/>
        </w:rPr>
        <w:t xml:space="preserve">»El estudio mencionado deberá dar cuenta de la forma en que la Entidad Estatal garantiza los principios y objetivos del sistema de compras, contratación pública, los postulados de la función administrativa y de la gestión fiscal. Este estudio deberá consignarse expresamente en los documentos del Proceso de Selección y se deberá garantizar su oportuna publicidad a través del SECOP. </w:t>
      </w:r>
    </w:p>
    <w:p w14:paraId="1B875874" w14:textId="77777777" w:rsidR="00226598" w:rsidRPr="000723E2" w:rsidRDefault="00226598" w:rsidP="000723E2">
      <w:pPr>
        <w:pStyle w:val="Textonotapie"/>
        <w:spacing w:after="60"/>
        <w:ind w:firstLine="709"/>
        <w:jc w:val="both"/>
        <w:rPr>
          <w:rFonts w:ascii="Arial" w:hAnsi="Arial" w:cs="Arial"/>
          <w:sz w:val="18"/>
          <w:szCs w:val="18"/>
        </w:rPr>
      </w:pPr>
      <w:r w:rsidRPr="000723E2">
        <w:rPr>
          <w:rFonts w:ascii="Arial" w:hAnsi="Arial" w:cs="Arial"/>
          <w:sz w:val="18"/>
          <w:szCs w:val="18"/>
        </w:rPr>
        <w:t xml:space="preserve">»Aún existiendo un Acuerdo Marco de Precios, las entidades estatales podrán acudir a las bolsas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 durante los últimos seis (6) meses, incluyendo los costos generados por concepto de comisionistas de bolsa y gastos de operación de qué trata el artículo 2.2.1.2.1.2.1.5 del presente Decreto, valores que deberán ser verificados por el respectivo ordenador del gasto en el último boletín de precios que, para el efecto, expida el órgano rector de la contratación estatal. </w:t>
      </w:r>
    </w:p>
    <w:p w14:paraId="32590992" w14:textId="77777777" w:rsidR="00226598" w:rsidRPr="000723E2" w:rsidRDefault="00226598" w:rsidP="000723E2">
      <w:pPr>
        <w:pStyle w:val="Textonotapie"/>
        <w:spacing w:after="60"/>
        <w:ind w:firstLine="709"/>
        <w:jc w:val="both"/>
        <w:rPr>
          <w:rFonts w:ascii="Arial" w:hAnsi="Arial" w:cs="Arial"/>
          <w:sz w:val="18"/>
          <w:szCs w:val="18"/>
        </w:rPr>
      </w:pPr>
      <w:r w:rsidRPr="000723E2">
        <w:rPr>
          <w:rFonts w:ascii="Arial" w:hAnsi="Arial" w:cs="Arial"/>
          <w:sz w:val="18"/>
          <w:szCs w:val="18"/>
        </w:rPr>
        <w:t xml:space="preserve">»Estas adquisiciones, no podrán desmejorar las condiciones técnicas y de calidad definidas para los bienes y servicios que conforman los catálogos de los acuerdos marco de precios de la Agencia Nacional de Contratación Pública como ente rector en la materia o quien haga sus veces. </w:t>
      </w:r>
    </w:p>
    <w:p w14:paraId="1CD0FF0E" w14:textId="77777777" w:rsidR="00226598" w:rsidRPr="000723E2" w:rsidRDefault="00226598" w:rsidP="000723E2">
      <w:pPr>
        <w:pStyle w:val="Textonotapie"/>
        <w:spacing w:after="60"/>
        <w:ind w:firstLine="709"/>
        <w:jc w:val="both"/>
        <w:rPr>
          <w:rFonts w:ascii="Arial" w:hAnsi="Arial" w:cs="Arial"/>
          <w:sz w:val="18"/>
          <w:szCs w:val="18"/>
        </w:rPr>
      </w:pPr>
      <w:r w:rsidRPr="000723E2">
        <w:rPr>
          <w:rFonts w:ascii="Arial" w:hAnsi="Arial" w:cs="Arial"/>
          <w:sz w:val="18"/>
          <w:szCs w:val="18"/>
        </w:rPr>
        <w:t xml:space="preserve">»Parágrafo 1. La Agencia Nacional de contratación Pública - Colombia Compra Eficiente, a través de la circular de que trata el numeral 2 del parágrafo 1 del artículo 2.2.1.2.1.2.7. del presente Decreto definirá los lineamientos generales, así como los criterios objetivos y medibles a los cuales deberán sujetarse las entidades estatales para la adquisición de bienes o servicios de características técnicas uniformes a través de Bolsas de Productos, independientemente de que exista o no un Acuerdo Marco de Precios vigente. </w:t>
      </w:r>
    </w:p>
    <w:p w14:paraId="18D58DD6" w14:textId="77777777" w:rsidR="00226598" w:rsidRPr="000723E2" w:rsidRDefault="00226598" w:rsidP="000723E2">
      <w:pPr>
        <w:pStyle w:val="Textonotapie"/>
        <w:spacing w:after="60"/>
        <w:ind w:firstLine="709"/>
        <w:jc w:val="both"/>
        <w:rPr>
          <w:rFonts w:ascii="Arial" w:hAnsi="Arial" w:cs="Arial"/>
          <w:sz w:val="18"/>
          <w:szCs w:val="18"/>
        </w:rPr>
      </w:pPr>
      <w:r w:rsidRPr="000723E2">
        <w:rPr>
          <w:rFonts w:ascii="Arial" w:hAnsi="Arial" w:cs="Arial"/>
          <w:sz w:val="18"/>
          <w:szCs w:val="18"/>
        </w:rPr>
        <w:t xml:space="preserve">»Parágrafo 2. Para los efectos de este Decreto, entiéndase por Bolsa de Productos, las sociedades vigiladas por la Superintendencia Financiera de Colombia y definidas en el artículo 2.11.1.1.1 del Decreto 2555 de 2010 o la norma que la modifique, adicione o sustituya. </w:t>
      </w:r>
    </w:p>
    <w:p w14:paraId="53AF04BC" w14:textId="18D5A719" w:rsidR="00226598" w:rsidRPr="000723E2" w:rsidRDefault="00226598" w:rsidP="000723E2">
      <w:pPr>
        <w:pStyle w:val="Textonotapie"/>
        <w:ind w:firstLine="708"/>
        <w:jc w:val="both"/>
        <w:rPr>
          <w:rFonts w:ascii="Arial" w:hAnsi="Arial" w:cs="Arial"/>
          <w:sz w:val="18"/>
          <w:szCs w:val="18"/>
        </w:rPr>
      </w:pPr>
      <w:r w:rsidRPr="000723E2">
        <w:rPr>
          <w:rFonts w:ascii="Arial" w:hAnsi="Arial" w:cs="Arial"/>
          <w:sz w:val="18"/>
          <w:szCs w:val="18"/>
        </w:rPr>
        <w:t>»Parágrafo 3. Lo previsto en el parágrafo 1 de este artículo no será aplicable a las Entidades Estatales de la Rama Ejecutiva del Poder Público del orden nacional, obligadas a aplicar la Ley 80 de 1993 y la Ley 1150 de 2007, o las normas que las modifiquen, aclaren, adicionen o sustituyan, las cuales en todo caso están obligadas a adquirir Bienes y Servicios de Características Técnicas Uniformes a través de los Acuerdos Marco de Precios vigentes estructurados por la Agencia Nacional de Contratación Pública -Colombia Compra Eficiente».​</w:t>
      </w:r>
    </w:p>
    <w:p w14:paraId="57781F48" w14:textId="77777777" w:rsidR="00BC4C11" w:rsidRPr="000723E2" w:rsidRDefault="00BC4C11" w:rsidP="000723E2">
      <w:pPr>
        <w:pStyle w:val="Textonotapie"/>
        <w:ind w:firstLine="708"/>
        <w:jc w:val="both"/>
        <w:rPr>
          <w:rFonts w:ascii="Arial" w:hAnsi="Arial" w:cs="Arial"/>
          <w:sz w:val="18"/>
          <w:szCs w:val="18"/>
        </w:rPr>
      </w:pPr>
    </w:p>
  </w:footnote>
  <w:footnote w:id="29">
    <w:p w14:paraId="532D84F3" w14:textId="3D3658C2" w:rsidR="00BC4C11" w:rsidRPr="000723E2" w:rsidRDefault="00BC4C11" w:rsidP="000723E2">
      <w:pPr>
        <w:pStyle w:val="Textonotapie"/>
        <w:ind w:firstLine="708"/>
        <w:rPr>
          <w:rFonts w:ascii="Arial" w:hAnsi="Arial" w:cs="Arial"/>
          <w:sz w:val="18"/>
          <w:szCs w:val="18"/>
          <w:lang w:val="es-CO"/>
        </w:rPr>
      </w:pPr>
      <w:r w:rsidRPr="00972959">
        <w:rPr>
          <w:rStyle w:val="Refdenotaalpie"/>
          <w:rFonts w:ascii="Arial" w:hAnsi="Arial" w:cs="Arial"/>
          <w:color w:val="073154" w:themeColor="text2" w:themeShade="80"/>
          <w:sz w:val="18"/>
          <w:szCs w:val="18"/>
        </w:rPr>
        <w:footnoteRef/>
      </w:r>
      <w:r w:rsidRPr="00972959">
        <w:rPr>
          <w:rFonts w:ascii="Arial" w:hAnsi="Arial" w:cs="Arial"/>
          <w:color w:val="073154" w:themeColor="text2" w:themeShade="80"/>
          <w:sz w:val="18"/>
          <w:szCs w:val="18"/>
        </w:rPr>
        <w:t xml:space="preserve"> </w:t>
      </w:r>
      <w:hyperlink r:id="rId16" w:history="1">
        <w:r w:rsidRPr="00972959">
          <w:rPr>
            <w:rStyle w:val="Hipervnculo"/>
            <w:rFonts w:ascii="Arial" w:hAnsi="Arial" w:cs="Arial"/>
            <w:color w:val="073154" w:themeColor="text2" w:themeShade="80"/>
            <w:sz w:val="18"/>
            <w:szCs w:val="18"/>
          </w:rPr>
          <w:t>https://www.colombiacompra.gov.co/sites/cce_public/files/cce_circulares/vf_circular_externa_004_de_2021_ 002_2.pdf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264646" w:rsidRDefault="00264646">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AA242CC"/>
    <w:multiLevelType w:val="hybridMultilevel"/>
    <w:tmpl w:val="9612D3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2081F"/>
    <w:multiLevelType w:val="multilevel"/>
    <w:tmpl w:val="88C8C594"/>
    <w:lvl w:ilvl="0">
      <w:start w:val="1"/>
      <w:numFmt w:val="decimal"/>
      <w:lvlText w:val="%1."/>
      <w:lvlJc w:val="left"/>
      <w:pPr>
        <w:ind w:left="358" w:hanging="360"/>
      </w:pPr>
      <w:rPr>
        <w:b/>
        <w:i w:val="0"/>
      </w:rPr>
    </w:lvl>
    <w:lvl w:ilvl="1">
      <w:start w:val="1"/>
      <w:numFmt w:val="decimal"/>
      <w:lvlText w:val="%1.%2."/>
      <w:lvlJc w:val="left"/>
      <w:pPr>
        <w:ind w:left="718" w:hanging="720"/>
      </w:pPr>
      <w:rPr>
        <w:b/>
      </w:rPr>
    </w:lvl>
    <w:lvl w:ilvl="2">
      <w:start w:val="1"/>
      <w:numFmt w:val="decimal"/>
      <w:lvlText w:val="%1.%2.%3."/>
      <w:lvlJc w:val="left"/>
      <w:pPr>
        <w:ind w:left="718" w:hanging="720"/>
      </w:pPr>
    </w:lvl>
    <w:lvl w:ilvl="3">
      <w:start w:val="1"/>
      <w:numFmt w:val="decimal"/>
      <w:lvlText w:val="%1.%2.%3.%4."/>
      <w:lvlJc w:val="left"/>
      <w:pPr>
        <w:ind w:left="1078" w:hanging="1080"/>
      </w:pPr>
    </w:lvl>
    <w:lvl w:ilvl="4">
      <w:start w:val="1"/>
      <w:numFmt w:val="decimal"/>
      <w:lvlText w:val="%1.%2.%3.%4.%5."/>
      <w:lvlJc w:val="left"/>
      <w:pPr>
        <w:ind w:left="1078" w:hanging="1080"/>
      </w:pPr>
    </w:lvl>
    <w:lvl w:ilvl="5">
      <w:start w:val="1"/>
      <w:numFmt w:val="decimal"/>
      <w:lvlText w:val="%1.%2.%3.%4.%5.%6."/>
      <w:lvlJc w:val="left"/>
      <w:pPr>
        <w:ind w:left="1438" w:hanging="1440"/>
      </w:pPr>
    </w:lvl>
    <w:lvl w:ilvl="6">
      <w:start w:val="1"/>
      <w:numFmt w:val="decimal"/>
      <w:lvlText w:val="%1.%2.%3.%4.%5.%6.%7."/>
      <w:lvlJc w:val="left"/>
      <w:pPr>
        <w:ind w:left="1438" w:hanging="1440"/>
      </w:pPr>
    </w:lvl>
    <w:lvl w:ilvl="7">
      <w:start w:val="1"/>
      <w:numFmt w:val="decimal"/>
      <w:lvlText w:val="%1.%2.%3.%4.%5.%6.%7.%8."/>
      <w:lvlJc w:val="left"/>
      <w:pPr>
        <w:ind w:left="1798" w:hanging="1800"/>
      </w:pPr>
    </w:lvl>
    <w:lvl w:ilvl="8">
      <w:start w:val="1"/>
      <w:numFmt w:val="decimal"/>
      <w:lvlText w:val="%1.%2.%3.%4.%5.%6.%7.%8.%9."/>
      <w:lvlJc w:val="left"/>
      <w:pPr>
        <w:ind w:left="2158" w:hanging="2160"/>
      </w:p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821385770">
    <w:abstractNumId w:val="11"/>
  </w:num>
  <w:num w:numId="2" w16cid:durableId="1749882680">
    <w:abstractNumId w:val="9"/>
  </w:num>
  <w:num w:numId="3" w16cid:durableId="984699541">
    <w:abstractNumId w:val="14"/>
  </w:num>
  <w:num w:numId="4" w16cid:durableId="1383485769">
    <w:abstractNumId w:val="17"/>
  </w:num>
  <w:num w:numId="5" w16cid:durableId="92166764">
    <w:abstractNumId w:val="22"/>
  </w:num>
  <w:num w:numId="6" w16cid:durableId="209226606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4647151">
    <w:abstractNumId w:val="19"/>
  </w:num>
  <w:num w:numId="8" w16cid:durableId="440417356">
    <w:abstractNumId w:val="0"/>
  </w:num>
  <w:num w:numId="9" w16cid:durableId="1968118799">
    <w:abstractNumId w:val="4"/>
  </w:num>
  <w:num w:numId="10" w16cid:durableId="3792826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9792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8522660">
    <w:abstractNumId w:val="10"/>
  </w:num>
  <w:num w:numId="13" w16cid:durableId="193542840">
    <w:abstractNumId w:val="13"/>
  </w:num>
  <w:num w:numId="14" w16cid:durableId="854656199">
    <w:abstractNumId w:val="8"/>
  </w:num>
  <w:num w:numId="15" w16cid:durableId="126106246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716975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377015">
    <w:abstractNumId w:val="24"/>
  </w:num>
  <w:num w:numId="18" w16cid:durableId="2143647460">
    <w:abstractNumId w:val="15"/>
  </w:num>
  <w:num w:numId="19" w16cid:durableId="1721443585">
    <w:abstractNumId w:val="3"/>
  </w:num>
  <w:num w:numId="20" w16cid:durableId="1803107776">
    <w:abstractNumId w:val="25"/>
  </w:num>
  <w:num w:numId="21" w16cid:durableId="1303388659">
    <w:abstractNumId w:val="16"/>
  </w:num>
  <w:num w:numId="22" w16cid:durableId="252250554">
    <w:abstractNumId w:val="6"/>
  </w:num>
  <w:num w:numId="23" w16cid:durableId="217321810">
    <w:abstractNumId w:val="5"/>
  </w:num>
  <w:num w:numId="24" w16cid:durableId="2037926556">
    <w:abstractNumId w:val="23"/>
  </w:num>
  <w:num w:numId="25" w16cid:durableId="927811663">
    <w:abstractNumId w:val="18"/>
  </w:num>
  <w:num w:numId="26" w16cid:durableId="673193900">
    <w:abstractNumId w:val="26"/>
  </w:num>
  <w:num w:numId="27" w16cid:durableId="364210771">
    <w:abstractNumId w:val="7"/>
  </w:num>
  <w:num w:numId="28" w16cid:durableId="1562473178">
    <w:abstractNumId w:val="2"/>
  </w:num>
  <w:num w:numId="29" w16cid:durableId="1487089020">
    <w:abstractNumId w:val="20"/>
  </w:num>
  <w:num w:numId="30" w16cid:durableId="4229219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42"/>
    <w:rsid w:val="000020FE"/>
    <w:rsid w:val="00002173"/>
    <w:rsid w:val="000023B3"/>
    <w:rsid w:val="000031A8"/>
    <w:rsid w:val="00003C5C"/>
    <w:rsid w:val="000040D7"/>
    <w:rsid w:val="00004556"/>
    <w:rsid w:val="00004CC6"/>
    <w:rsid w:val="00004E47"/>
    <w:rsid w:val="000051AF"/>
    <w:rsid w:val="000059D3"/>
    <w:rsid w:val="00005B6D"/>
    <w:rsid w:val="0000600A"/>
    <w:rsid w:val="00006081"/>
    <w:rsid w:val="0000712E"/>
    <w:rsid w:val="00007564"/>
    <w:rsid w:val="00007750"/>
    <w:rsid w:val="000077FD"/>
    <w:rsid w:val="00007E37"/>
    <w:rsid w:val="000107EA"/>
    <w:rsid w:val="00010C40"/>
    <w:rsid w:val="000112B4"/>
    <w:rsid w:val="00011634"/>
    <w:rsid w:val="00011DCC"/>
    <w:rsid w:val="00012532"/>
    <w:rsid w:val="00012B9E"/>
    <w:rsid w:val="00012FBA"/>
    <w:rsid w:val="00013C6B"/>
    <w:rsid w:val="00013F28"/>
    <w:rsid w:val="0001406B"/>
    <w:rsid w:val="000143F8"/>
    <w:rsid w:val="00014624"/>
    <w:rsid w:val="00015B44"/>
    <w:rsid w:val="00015CEE"/>
    <w:rsid w:val="00016081"/>
    <w:rsid w:val="000165AC"/>
    <w:rsid w:val="00016651"/>
    <w:rsid w:val="00016FE3"/>
    <w:rsid w:val="000171A2"/>
    <w:rsid w:val="00017339"/>
    <w:rsid w:val="00017B65"/>
    <w:rsid w:val="00020158"/>
    <w:rsid w:val="000207E0"/>
    <w:rsid w:val="000209E2"/>
    <w:rsid w:val="00020F8F"/>
    <w:rsid w:val="00021A95"/>
    <w:rsid w:val="0002256F"/>
    <w:rsid w:val="00023746"/>
    <w:rsid w:val="00023DAE"/>
    <w:rsid w:val="00024896"/>
    <w:rsid w:val="00025254"/>
    <w:rsid w:val="00025D0A"/>
    <w:rsid w:val="000263F0"/>
    <w:rsid w:val="00026407"/>
    <w:rsid w:val="00026608"/>
    <w:rsid w:val="00027787"/>
    <w:rsid w:val="000278D2"/>
    <w:rsid w:val="000303D1"/>
    <w:rsid w:val="0003095C"/>
    <w:rsid w:val="00030BD4"/>
    <w:rsid w:val="00031158"/>
    <w:rsid w:val="00031364"/>
    <w:rsid w:val="000314BD"/>
    <w:rsid w:val="000315E1"/>
    <w:rsid w:val="00031FF6"/>
    <w:rsid w:val="00032322"/>
    <w:rsid w:val="0003236E"/>
    <w:rsid w:val="0003339A"/>
    <w:rsid w:val="0003370C"/>
    <w:rsid w:val="000341F2"/>
    <w:rsid w:val="000343F8"/>
    <w:rsid w:val="00035046"/>
    <w:rsid w:val="000351F2"/>
    <w:rsid w:val="00036849"/>
    <w:rsid w:val="00036B26"/>
    <w:rsid w:val="00036E03"/>
    <w:rsid w:val="000373D1"/>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610D"/>
    <w:rsid w:val="000463B5"/>
    <w:rsid w:val="00046717"/>
    <w:rsid w:val="00046A63"/>
    <w:rsid w:val="00046C09"/>
    <w:rsid w:val="0004716A"/>
    <w:rsid w:val="00047385"/>
    <w:rsid w:val="000473E8"/>
    <w:rsid w:val="00047F84"/>
    <w:rsid w:val="000504DE"/>
    <w:rsid w:val="00051074"/>
    <w:rsid w:val="0005212B"/>
    <w:rsid w:val="000526F0"/>
    <w:rsid w:val="0005273D"/>
    <w:rsid w:val="00052B79"/>
    <w:rsid w:val="00052EA0"/>
    <w:rsid w:val="000536A7"/>
    <w:rsid w:val="000536E3"/>
    <w:rsid w:val="00053896"/>
    <w:rsid w:val="0005463D"/>
    <w:rsid w:val="0005474D"/>
    <w:rsid w:val="00055CB9"/>
    <w:rsid w:val="000566BB"/>
    <w:rsid w:val="00056CD0"/>
    <w:rsid w:val="00056F66"/>
    <w:rsid w:val="0005702F"/>
    <w:rsid w:val="00057066"/>
    <w:rsid w:val="0006089F"/>
    <w:rsid w:val="00061010"/>
    <w:rsid w:val="00061D06"/>
    <w:rsid w:val="00062CDD"/>
    <w:rsid w:val="0006318B"/>
    <w:rsid w:val="000635D9"/>
    <w:rsid w:val="000640AF"/>
    <w:rsid w:val="00064940"/>
    <w:rsid w:val="00064CAE"/>
    <w:rsid w:val="00064DB7"/>
    <w:rsid w:val="00064FA7"/>
    <w:rsid w:val="00065195"/>
    <w:rsid w:val="0006533E"/>
    <w:rsid w:val="0006536C"/>
    <w:rsid w:val="00065FCC"/>
    <w:rsid w:val="0007078B"/>
    <w:rsid w:val="00070AF1"/>
    <w:rsid w:val="000714DE"/>
    <w:rsid w:val="00071FD1"/>
    <w:rsid w:val="000723E2"/>
    <w:rsid w:val="0007254F"/>
    <w:rsid w:val="00072974"/>
    <w:rsid w:val="0007331E"/>
    <w:rsid w:val="00073C30"/>
    <w:rsid w:val="00074305"/>
    <w:rsid w:val="000744D0"/>
    <w:rsid w:val="00074B2A"/>
    <w:rsid w:val="00074EEE"/>
    <w:rsid w:val="000753D5"/>
    <w:rsid w:val="00075B3E"/>
    <w:rsid w:val="00076456"/>
    <w:rsid w:val="00077173"/>
    <w:rsid w:val="0007719D"/>
    <w:rsid w:val="0007779B"/>
    <w:rsid w:val="000777E7"/>
    <w:rsid w:val="0007790A"/>
    <w:rsid w:val="0008017B"/>
    <w:rsid w:val="000808B0"/>
    <w:rsid w:val="000808C5"/>
    <w:rsid w:val="00080A04"/>
    <w:rsid w:val="00080ACD"/>
    <w:rsid w:val="000811ED"/>
    <w:rsid w:val="0008146E"/>
    <w:rsid w:val="00081D62"/>
    <w:rsid w:val="00082303"/>
    <w:rsid w:val="00082B74"/>
    <w:rsid w:val="00083099"/>
    <w:rsid w:val="00083452"/>
    <w:rsid w:val="00083B4A"/>
    <w:rsid w:val="00083DE2"/>
    <w:rsid w:val="00083EDC"/>
    <w:rsid w:val="000842BE"/>
    <w:rsid w:val="00084B97"/>
    <w:rsid w:val="0008510E"/>
    <w:rsid w:val="000852D8"/>
    <w:rsid w:val="000856DE"/>
    <w:rsid w:val="00085F17"/>
    <w:rsid w:val="00085FB0"/>
    <w:rsid w:val="00085FB3"/>
    <w:rsid w:val="0008686B"/>
    <w:rsid w:val="0008699D"/>
    <w:rsid w:val="00086B2A"/>
    <w:rsid w:val="00086ED2"/>
    <w:rsid w:val="000874F7"/>
    <w:rsid w:val="000914D6"/>
    <w:rsid w:val="00091569"/>
    <w:rsid w:val="0009222D"/>
    <w:rsid w:val="00092CA3"/>
    <w:rsid w:val="00092CDB"/>
    <w:rsid w:val="00092DCA"/>
    <w:rsid w:val="00093CE0"/>
    <w:rsid w:val="00093D14"/>
    <w:rsid w:val="000942EB"/>
    <w:rsid w:val="00095B70"/>
    <w:rsid w:val="0009617E"/>
    <w:rsid w:val="0009628D"/>
    <w:rsid w:val="000965FA"/>
    <w:rsid w:val="0009670F"/>
    <w:rsid w:val="00097342"/>
    <w:rsid w:val="000979CF"/>
    <w:rsid w:val="00097FCD"/>
    <w:rsid w:val="000A03C8"/>
    <w:rsid w:val="000A05F2"/>
    <w:rsid w:val="000A06C4"/>
    <w:rsid w:val="000A0861"/>
    <w:rsid w:val="000A09F9"/>
    <w:rsid w:val="000A0ED1"/>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BFD"/>
    <w:rsid w:val="000A7EF4"/>
    <w:rsid w:val="000B0A15"/>
    <w:rsid w:val="000B103F"/>
    <w:rsid w:val="000B1437"/>
    <w:rsid w:val="000B1470"/>
    <w:rsid w:val="000B244D"/>
    <w:rsid w:val="000B2570"/>
    <w:rsid w:val="000B2B86"/>
    <w:rsid w:val="000B3051"/>
    <w:rsid w:val="000B419B"/>
    <w:rsid w:val="000B5781"/>
    <w:rsid w:val="000B5CB1"/>
    <w:rsid w:val="000B6C36"/>
    <w:rsid w:val="000B6D08"/>
    <w:rsid w:val="000C0185"/>
    <w:rsid w:val="000C0867"/>
    <w:rsid w:val="000C0B1E"/>
    <w:rsid w:val="000C0F81"/>
    <w:rsid w:val="000C128D"/>
    <w:rsid w:val="000C17A3"/>
    <w:rsid w:val="000C1D4B"/>
    <w:rsid w:val="000C2CC9"/>
    <w:rsid w:val="000C2DC4"/>
    <w:rsid w:val="000C3260"/>
    <w:rsid w:val="000C3B77"/>
    <w:rsid w:val="000C3F6D"/>
    <w:rsid w:val="000C4F49"/>
    <w:rsid w:val="000C5861"/>
    <w:rsid w:val="000C5BDE"/>
    <w:rsid w:val="000C5FC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4FCF"/>
    <w:rsid w:val="000D50DB"/>
    <w:rsid w:val="000D5EF9"/>
    <w:rsid w:val="000D6288"/>
    <w:rsid w:val="000D7541"/>
    <w:rsid w:val="000D75E1"/>
    <w:rsid w:val="000D79F4"/>
    <w:rsid w:val="000E047D"/>
    <w:rsid w:val="000E056A"/>
    <w:rsid w:val="000E22CF"/>
    <w:rsid w:val="000E2977"/>
    <w:rsid w:val="000E2CC0"/>
    <w:rsid w:val="000E30AC"/>
    <w:rsid w:val="000E3B46"/>
    <w:rsid w:val="000E3E11"/>
    <w:rsid w:val="000E40A7"/>
    <w:rsid w:val="000E4596"/>
    <w:rsid w:val="000E5768"/>
    <w:rsid w:val="000E5843"/>
    <w:rsid w:val="000E598B"/>
    <w:rsid w:val="000E5E20"/>
    <w:rsid w:val="000E6139"/>
    <w:rsid w:val="000E6BE1"/>
    <w:rsid w:val="000E7E0B"/>
    <w:rsid w:val="000F0136"/>
    <w:rsid w:val="000F078A"/>
    <w:rsid w:val="000F122D"/>
    <w:rsid w:val="000F1450"/>
    <w:rsid w:val="000F14E8"/>
    <w:rsid w:val="000F1594"/>
    <w:rsid w:val="000F167C"/>
    <w:rsid w:val="000F1BBD"/>
    <w:rsid w:val="000F1E74"/>
    <w:rsid w:val="000F290F"/>
    <w:rsid w:val="000F4403"/>
    <w:rsid w:val="000F4702"/>
    <w:rsid w:val="000F480B"/>
    <w:rsid w:val="000F4E17"/>
    <w:rsid w:val="000F5D2E"/>
    <w:rsid w:val="000F6578"/>
    <w:rsid w:val="000F7E8F"/>
    <w:rsid w:val="000F7FBB"/>
    <w:rsid w:val="001000FB"/>
    <w:rsid w:val="001001E6"/>
    <w:rsid w:val="00100A9E"/>
    <w:rsid w:val="00100F6A"/>
    <w:rsid w:val="00102605"/>
    <w:rsid w:val="00102686"/>
    <w:rsid w:val="00102745"/>
    <w:rsid w:val="00103756"/>
    <w:rsid w:val="00103795"/>
    <w:rsid w:val="00103915"/>
    <w:rsid w:val="00103EA0"/>
    <w:rsid w:val="00104AD6"/>
    <w:rsid w:val="00104F1C"/>
    <w:rsid w:val="001051E5"/>
    <w:rsid w:val="00105A74"/>
    <w:rsid w:val="00105ACB"/>
    <w:rsid w:val="00105AEF"/>
    <w:rsid w:val="00105DDD"/>
    <w:rsid w:val="00106259"/>
    <w:rsid w:val="001068EB"/>
    <w:rsid w:val="001078CE"/>
    <w:rsid w:val="00107FBF"/>
    <w:rsid w:val="00110A8B"/>
    <w:rsid w:val="00110F61"/>
    <w:rsid w:val="00110F7C"/>
    <w:rsid w:val="001111BD"/>
    <w:rsid w:val="0011165A"/>
    <w:rsid w:val="001116C6"/>
    <w:rsid w:val="001119B1"/>
    <w:rsid w:val="00111B2B"/>
    <w:rsid w:val="00112774"/>
    <w:rsid w:val="00112B2E"/>
    <w:rsid w:val="00112B7F"/>
    <w:rsid w:val="00113003"/>
    <w:rsid w:val="00113062"/>
    <w:rsid w:val="00113657"/>
    <w:rsid w:val="00113705"/>
    <w:rsid w:val="00113975"/>
    <w:rsid w:val="00113CFC"/>
    <w:rsid w:val="00113FEA"/>
    <w:rsid w:val="00114631"/>
    <w:rsid w:val="00114A22"/>
    <w:rsid w:val="00114E9D"/>
    <w:rsid w:val="0011507B"/>
    <w:rsid w:val="0011627A"/>
    <w:rsid w:val="00116328"/>
    <w:rsid w:val="001163CF"/>
    <w:rsid w:val="001174C9"/>
    <w:rsid w:val="00117E69"/>
    <w:rsid w:val="001204D2"/>
    <w:rsid w:val="00121103"/>
    <w:rsid w:val="001211EA"/>
    <w:rsid w:val="001215B2"/>
    <w:rsid w:val="00121BAB"/>
    <w:rsid w:val="00121E3C"/>
    <w:rsid w:val="00122B23"/>
    <w:rsid w:val="00122B7E"/>
    <w:rsid w:val="00123FB5"/>
    <w:rsid w:val="0012400F"/>
    <w:rsid w:val="001249DC"/>
    <w:rsid w:val="0012572D"/>
    <w:rsid w:val="00125BED"/>
    <w:rsid w:val="00125C59"/>
    <w:rsid w:val="00125D4F"/>
    <w:rsid w:val="00125DDE"/>
    <w:rsid w:val="00126924"/>
    <w:rsid w:val="00127004"/>
    <w:rsid w:val="00127AF2"/>
    <w:rsid w:val="00127EDC"/>
    <w:rsid w:val="00127F6D"/>
    <w:rsid w:val="00127FF6"/>
    <w:rsid w:val="00130355"/>
    <w:rsid w:val="00130365"/>
    <w:rsid w:val="001304C9"/>
    <w:rsid w:val="0013182D"/>
    <w:rsid w:val="00131B5A"/>
    <w:rsid w:val="00131CA8"/>
    <w:rsid w:val="00132050"/>
    <w:rsid w:val="00132C30"/>
    <w:rsid w:val="00132EFD"/>
    <w:rsid w:val="00133AED"/>
    <w:rsid w:val="00134285"/>
    <w:rsid w:val="00134878"/>
    <w:rsid w:val="00134E09"/>
    <w:rsid w:val="00134E7E"/>
    <w:rsid w:val="00135DB9"/>
    <w:rsid w:val="001360C5"/>
    <w:rsid w:val="00136394"/>
    <w:rsid w:val="0013695C"/>
    <w:rsid w:val="00136BF7"/>
    <w:rsid w:val="00136C29"/>
    <w:rsid w:val="001378B9"/>
    <w:rsid w:val="00137FFA"/>
    <w:rsid w:val="00140109"/>
    <w:rsid w:val="0014029B"/>
    <w:rsid w:val="001402A2"/>
    <w:rsid w:val="00140464"/>
    <w:rsid w:val="00140A4F"/>
    <w:rsid w:val="001413AB"/>
    <w:rsid w:val="00141DBF"/>
    <w:rsid w:val="00142BDD"/>
    <w:rsid w:val="00142EFD"/>
    <w:rsid w:val="00142F55"/>
    <w:rsid w:val="0014337C"/>
    <w:rsid w:val="00143866"/>
    <w:rsid w:val="00144335"/>
    <w:rsid w:val="0014502F"/>
    <w:rsid w:val="00145282"/>
    <w:rsid w:val="001453B0"/>
    <w:rsid w:val="001454D9"/>
    <w:rsid w:val="00145D8E"/>
    <w:rsid w:val="00146083"/>
    <w:rsid w:val="001462F7"/>
    <w:rsid w:val="00146B92"/>
    <w:rsid w:val="0014771E"/>
    <w:rsid w:val="00147BED"/>
    <w:rsid w:val="00147F35"/>
    <w:rsid w:val="00150005"/>
    <w:rsid w:val="00150795"/>
    <w:rsid w:val="001518D7"/>
    <w:rsid w:val="00151AEB"/>
    <w:rsid w:val="00151B99"/>
    <w:rsid w:val="00151BB8"/>
    <w:rsid w:val="00151C1E"/>
    <w:rsid w:val="00152136"/>
    <w:rsid w:val="001521B2"/>
    <w:rsid w:val="00152B65"/>
    <w:rsid w:val="00152EDD"/>
    <w:rsid w:val="00153491"/>
    <w:rsid w:val="0015361C"/>
    <w:rsid w:val="0015372F"/>
    <w:rsid w:val="00153BFB"/>
    <w:rsid w:val="0015407E"/>
    <w:rsid w:val="0015448E"/>
    <w:rsid w:val="00154A6F"/>
    <w:rsid w:val="00155D08"/>
    <w:rsid w:val="00155F93"/>
    <w:rsid w:val="00156174"/>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4AC8"/>
    <w:rsid w:val="00165703"/>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76ED3"/>
    <w:rsid w:val="001805C1"/>
    <w:rsid w:val="001807B6"/>
    <w:rsid w:val="00180A2E"/>
    <w:rsid w:val="001813AF"/>
    <w:rsid w:val="001829CD"/>
    <w:rsid w:val="00182F01"/>
    <w:rsid w:val="00183044"/>
    <w:rsid w:val="001837CD"/>
    <w:rsid w:val="00183FCD"/>
    <w:rsid w:val="00184F27"/>
    <w:rsid w:val="001850AC"/>
    <w:rsid w:val="0018519B"/>
    <w:rsid w:val="00185966"/>
    <w:rsid w:val="00185A2D"/>
    <w:rsid w:val="00185AFE"/>
    <w:rsid w:val="00185B06"/>
    <w:rsid w:val="00185BE0"/>
    <w:rsid w:val="00185E78"/>
    <w:rsid w:val="00187061"/>
    <w:rsid w:val="00187177"/>
    <w:rsid w:val="00187ABD"/>
    <w:rsid w:val="00190000"/>
    <w:rsid w:val="001904E3"/>
    <w:rsid w:val="00190688"/>
    <w:rsid w:val="0019087A"/>
    <w:rsid w:val="00191473"/>
    <w:rsid w:val="00191589"/>
    <w:rsid w:val="00191C5A"/>
    <w:rsid w:val="00191CEB"/>
    <w:rsid w:val="00191E63"/>
    <w:rsid w:val="00192531"/>
    <w:rsid w:val="0019258A"/>
    <w:rsid w:val="0019264C"/>
    <w:rsid w:val="00192D68"/>
    <w:rsid w:val="0019388B"/>
    <w:rsid w:val="00193B9A"/>
    <w:rsid w:val="001940ED"/>
    <w:rsid w:val="001946AE"/>
    <w:rsid w:val="001946D5"/>
    <w:rsid w:val="00194804"/>
    <w:rsid w:val="00194E8C"/>
    <w:rsid w:val="001962EC"/>
    <w:rsid w:val="0019638E"/>
    <w:rsid w:val="001963DD"/>
    <w:rsid w:val="001965DB"/>
    <w:rsid w:val="00196D01"/>
    <w:rsid w:val="00196DC9"/>
    <w:rsid w:val="00196E95"/>
    <w:rsid w:val="00197CF9"/>
    <w:rsid w:val="001A0236"/>
    <w:rsid w:val="001A0427"/>
    <w:rsid w:val="001A0930"/>
    <w:rsid w:val="001A0AF8"/>
    <w:rsid w:val="001A1300"/>
    <w:rsid w:val="001A18D5"/>
    <w:rsid w:val="001A1A38"/>
    <w:rsid w:val="001A1BE0"/>
    <w:rsid w:val="001A1D4A"/>
    <w:rsid w:val="001A3011"/>
    <w:rsid w:val="001A32CA"/>
    <w:rsid w:val="001A433C"/>
    <w:rsid w:val="001A4A9B"/>
    <w:rsid w:val="001A4DAF"/>
    <w:rsid w:val="001A54CD"/>
    <w:rsid w:val="001A66DF"/>
    <w:rsid w:val="001A67D0"/>
    <w:rsid w:val="001A6863"/>
    <w:rsid w:val="001A7591"/>
    <w:rsid w:val="001A75B1"/>
    <w:rsid w:val="001A7AA9"/>
    <w:rsid w:val="001A7B06"/>
    <w:rsid w:val="001B0366"/>
    <w:rsid w:val="001B0444"/>
    <w:rsid w:val="001B096B"/>
    <w:rsid w:val="001B0F9F"/>
    <w:rsid w:val="001B0FAA"/>
    <w:rsid w:val="001B123C"/>
    <w:rsid w:val="001B1A0D"/>
    <w:rsid w:val="001B1BF1"/>
    <w:rsid w:val="001B1C97"/>
    <w:rsid w:val="001B2456"/>
    <w:rsid w:val="001B246B"/>
    <w:rsid w:val="001B255B"/>
    <w:rsid w:val="001B3DE1"/>
    <w:rsid w:val="001B449C"/>
    <w:rsid w:val="001B4AA2"/>
    <w:rsid w:val="001B4ADE"/>
    <w:rsid w:val="001B5EF8"/>
    <w:rsid w:val="001B615D"/>
    <w:rsid w:val="001C04E6"/>
    <w:rsid w:val="001C07C6"/>
    <w:rsid w:val="001C19CD"/>
    <w:rsid w:val="001C22D5"/>
    <w:rsid w:val="001C2394"/>
    <w:rsid w:val="001C2515"/>
    <w:rsid w:val="001C26FB"/>
    <w:rsid w:val="001C2A1F"/>
    <w:rsid w:val="001C2BE4"/>
    <w:rsid w:val="001C2CA1"/>
    <w:rsid w:val="001C33C1"/>
    <w:rsid w:val="001C3E30"/>
    <w:rsid w:val="001C3E5C"/>
    <w:rsid w:val="001C4C3A"/>
    <w:rsid w:val="001C5072"/>
    <w:rsid w:val="001C5B2A"/>
    <w:rsid w:val="001C600B"/>
    <w:rsid w:val="001C6898"/>
    <w:rsid w:val="001C6DD8"/>
    <w:rsid w:val="001C6DFF"/>
    <w:rsid w:val="001C7C7B"/>
    <w:rsid w:val="001D068D"/>
    <w:rsid w:val="001D0EC9"/>
    <w:rsid w:val="001D12D1"/>
    <w:rsid w:val="001D15DF"/>
    <w:rsid w:val="001D30F3"/>
    <w:rsid w:val="001D31A0"/>
    <w:rsid w:val="001D338E"/>
    <w:rsid w:val="001D3675"/>
    <w:rsid w:val="001D4F13"/>
    <w:rsid w:val="001D5351"/>
    <w:rsid w:val="001D56E9"/>
    <w:rsid w:val="001D5922"/>
    <w:rsid w:val="001D5EE1"/>
    <w:rsid w:val="001D796A"/>
    <w:rsid w:val="001D7A84"/>
    <w:rsid w:val="001D7C79"/>
    <w:rsid w:val="001E003B"/>
    <w:rsid w:val="001E1050"/>
    <w:rsid w:val="001E123F"/>
    <w:rsid w:val="001E12FF"/>
    <w:rsid w:val="001E1CC4"/>
    <w:rsid w:val="001E1D38"/>
    <w:rsid w:val="001E279E"/>
    <w:rsid w:val="001E28A0"/>
    <w:rsid w:val="001E2ECF"/>
    <w:rsid w:val="001E3F3C"/>
    <w:rsid w:val="001E4258"/>
    <w:rsid w:val="001E44EA"/>
    <w:rsid w:val="001E5AEF"/>
    <w:rsid w:val="001E5D6A"/>
    <w:rsid w:val="001E6A94"/>
    <w:rsid w:val="001E70FB"/>
    <w:rsid w:val="001E780A"/>
    <w:rsid w:val="001F0D03"/>
    <w:rsid w:val="001F0FA0"/>
    <w:rsid w:val="001F1349"/>
    <w:rsid w:val="001F1863"/>
    <w:rsid w:val="001F2356"/>
    <w:rsid w:val="001F25CA"/>
    <w:rsid w:val="001F2A68"/>
    <w:rsid w:val="001F2F17"/>
    <w:rsid w:val="001F3E30"/>
    <w:rsid w:val="001F3ECE"/>
    <w:rsid w:val="001F4773"/>
    <w:rsid w:val="001F5008"/>
    <w:rsid w:val="001F51A9"/>
    <w:rsid w:val="001F56AA"/>
    <w:rsid w:val="001F58AA"/>
    <w:rsid w:val="001F5A4E"/>
    <w:rsid w:val="001F5C3E"/>
    <w:rsid w:val="001F5EF6"/>
    <w:rsid w:val="001F657F"/>
    <w:rsid w:val="001F6FB6"/>
    <w:rsid w:val="001F72BB"/>
    <w:rsid w:val="001F7814"/>
    <w:rsid w:val="001F7978"/>
    <w:rsid w:val="001F7A0E"/>
    <w:rsid w:val="0020022E"/>
    <w:rsid w:val="0020054E"/>
    <w:rsid w:val="00201260"/>
    <w:rsid w:val="00201AC4"/>
    <w:rsid w:val="00201F1E"/>
    <w:rsid w:val="0020299B"/>
    <w:rsid w:val="00202E44"/>
    <w:rsid w:val="002037AA"/>
    <w:rsid w:val="00203FE3"/>
    <w:rsid w:val="002040B0"/>
    <w:rsid w:val="002042D8"/>
    <w:rsid w:val="00204515"/>
    <w:rsid w:val="00204A2E"/>
    <w:rsid w:val="00204BF5"/>
    <w:rsid w:val="00204E6B"/>
    <w:rsid w:val="00204EF3"/>
    <w:rsid w:val="00204FB5"/>
    <w:rsid w:val="002053EF"/>
    <w:rsid w:val="00205719"/>
    <w:rsid w:val="002058D4"/>
    <w:rsid w:val="0020632A"/>
    <w:rsid w:val="0020697F"/>
    <w:rsid w:val="002110EB"/>
    <w:rsid w:val="00211338"/>
    <w:rsid w:val="00211388"/>
    <w:rsid w:val="0021148C"/>
    <w:rsid w:val="00211694"/>
    <w:rsid w:val="0021201A"/>
    <w:rsid w:val="00212FA8"/>
    <w:rsid w:val="002138FE"/>
    <w:rsid w:val="00213A1F"/>
    <w:rsid w:val="00213C63"/>
    <w:rsid w:val="00214502"/>
    <w:rsid w:val="00214741"/>
    <w:rsid w:val="0021539A"/>
    <w:rsid w:val="00215852"/>
    <w:rsid w:val="00215B8E"/>
    <w:rsid w:val="00216264"/>
    <w:rsid w:val="002176B6"/>
    <w:rsid w:val="0021792D"/>
    <w:rsid w:val="00217DB8"/>
    <w:rsid w:val="002202CE"/>
    <w:rsid w:val="0022032A"/>
    <w:rsid w:val="0022194E"/>
    <w:rsid w:val="002220B1"/>
    <w:rsid w:val="002221CE"/>
    <w:rsid w:val="00222BE8"/>
    <w:rsid w:val="00223102"/>
    <w:rsid w:val="002232CB"/>
    <w:rsid w:val="00224022"/>
    <w:rsid w:val="00224A66"/>
    <w:rsid w:val="002251EF"/>
    <w:rsid w:val="00225E0B"/>
    <w:rsid w:val="00226055"/>
    <w:rsid w:val="0022613F"/>
    <w:rsid w:val="00226236"/>
    <w:rsid w:val="00226598"/>
    <w:rsid w:val="002265F3"/>
    <w:rsid w:val="002269B2"/>
    <w:rsid w:val="002270C9"/>
    <w:rsid w:val="00227A8B"/>
    <w:rsid w:val="0023146B"/>
    <w:rsid w:val="002315A0"/>
    <w:rsid w:val="0023161C"/>
    <w:rsid w:val="00231748"/>
    <w:rsid w:val="00231AE0"/>
    <w:rsid w:val="00231BEE"/>
    <w:rsid w:val="00231EC7"/>
    <w:rsid w:val="00232E15"/>
    <w:rsid w:val="00233079"/>
    <w:rsid w:val="0023382C"/>
    <w:rsid w:val="00233977"/>
    <w:rsid w:val="00233C58"/>
    <w:rsid w:val="00233C71"/>
    <w:rsid w:val="0023452B"/>
    <w:rsid w:val="002345B6"/>
    <w:rsid w:val="002347A6"/>
    <w:rsid w:val="00234B84"/>
    <w:rsid w:val="00235CA3"/>
    <w:rsid w:val="00236016"/>
    <w:rsid w:val="00237065"/>
    <w:rsid w:val="00237589"/>
    <w:rsid w:val="0023758D"/>
    <w:rsid w:val="002375A7"/>
    <w:rsid w:val="002378F9"/>
    <w:rsid w:val="0023798D"/>
    <w:rsid w:val="0024019A"/>
    <w:rsid w:val="00241146"/>
    <w:rsid w:val="0024120F"/>
    <w:rsid w:val="0024131D"/>
    <w:rsid w:val="002415B8"/>
    <w:rsid w:val="00242D62"/>
    <w:rsid w:val="00242EC6"/>
    <w:rsid w:val="002430BF"/>
    <w:rsid w:val="002430D0"/>
    <w:rsid w:val="002431D7"/>
    <w:rsid w:val="00243A5A"/>
    <w:rsid w:val="00244058"/>
    <w:rsid w:val="00245718"/>
    <w:rsid w:val="00245DB2"/>
    <w:rsid w:val="00245E07"/>
    <w:rsid w:val="00246AEC"/>
    <w:rsid w:val="00247712"/>
    <w:rsid w:val="00247874"/>
    <w:rsid w:val="00247F95"/>
    <w:rsid w:val="00250EC6"/>
    <w:rsid w:val="002515C7"/>
    <w:rsid w:val="00251866"/>
    <w:rsid w:val="00251A9F"/>
    <w:rsid w:val="00252492"/>
    <w:rsid w:val="0025266C"/>
    <w:rsid w:val="00252B35"/>
    <w:rsid w:val="0025316D"/>
    <w:rsid w:val="00253A02"/>
    <w:rsid w:val="00253B81"/>
    <w:rsid w:val="002554DE"/>
    <w:rsid w:val="00255575"/>
    <w:rsid w:val="00255E11"/>
    <w:rsid w:val="00256835"/>
    <w:rsid w:val="002569F0"/>
    <w:rsid w:val="00256BA0"/>
    <w:rsid w:val="00256E1A"/>
    <w:rsid w:val="00256E30"/>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646"/>
    <w:rsid w:val="0026478A"/>
    <w:rsid w:val="0026480D"/>
    <w:rsid w:val="002653A6"/>
    <w:rsid w:val="00265D28"/>
    <w:rsid w:val="002661F1"/>
    <w:rsid w:val="00266DB6"/>
    <w:rsid w:val="00266E6A"/>
    <w:rsid w:val="00270802"/>
    <w:rsid w:val="002711A4"/>
    <w:rsid w:val="00271ECB"/>
    <w:rsid w:val="00271F13"/>
    <w:rsid w:val="0027278E"/>
    <w:rsid w:val="00273A90"/>
    <w:rsid w:val="0027482E"/>
    <w:rsid w:val="00274842"/>
    <w:rsid w:val="00274BAC"/>
    <w:rsid w:val="00274DB5"/>
    <w:rsid w:val="00275423"/>
    <w:rsid w:val="00275BB1"/>
    <w:rsid w:val="00277933"/>
    <w:rsid w:val="002779C3"/>
    <w:rsid w:val="00277F8D"/>
    <w:rsid w:val="00277FA7"/>
    <w:rsid w:val="00280046"/>
    <w:rsid w:val="002804D7"/>
    <w:rsid w:val="00280B4F"/>
    <w:rsid w:val="00280F3D"/>
    <w:rsid w:val="0028106A"/>
    <w:rsid w:val="00281EB4"/>
    <w:rsid w:val="0028227B"/>
    <w:rsid w:val="00282D74"/>
    <w:rsid w:val="00283087"/>
    <w:rsid w:val="0028308E"/>
    <w:rsid w:val="002834E9"/>
    <w:rsid w:val="00283975"/>
    <w:rsid w:val="00283A52"/>
    <w:rsid w:val="00283C5E"/>
    <w:rsid w:val="00283E26"/>
    <w:rsid w:val="0028428F"/>
    <w:rsid w:val="00284CFC"/>
    <w:rsid w:val="00284FBA"/>
    <w:rsid w:val="002856D0"/>
    <w:rsid w:val="00285832"/>
    <w:rsid w:val="00285969"/>
    <w:rsid w:val="00285E33"/>
    <w:rsid w:val="0028663B"/>
    <w:rsid w:val="0028676C"/>
    <w:rsid w:val="00286CEC"/>
    <w:rsid w:val="002870F9"/>
    <w:rsid w:val="002871A9"/>
    <w:rsid w:val="00287505"/>
    <w:rsid w:val="00287D71"/>
    <w:rsid w:val="00290781"/>
    <w:rsid w:val="00291784"/>
    <w:rsid w:val="00291AE7"/>
    <w:rsid w:val="002920DF"/>
    <w:rsid w:val="0029273C"/>
    <w:rsid w:val="002929BB"/>
    <w:rsid w:val="00294368"/>
    <w:rsid w:val="00294B78"/>
    <w:rsid w:val="00295416"/>
    <w:rsid w:val="00295949"/>
    <w:rsid w:val="0029624A"/>
    <w:rsid w:val="00296922"/>
    <w:rsid w:val="00296FB6"/>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A59"/>
    <w:rsid w:val="002A6AFB"/>
    <w:rsid w:val="002A733D"/>
    <w:rsid w:val="002A774A"/>
    <w:rsid w:val="002A78F3"/>
    <w:rsid w:val="002A7E5C"/>
    <w:rsid w:val="002A7F6D"/>
    <w:rsid w:val="002B0980"/>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657F"/>
    <w:rsid w:val="002B7014"/>
    <w:rsid w:val="002B73B0"/>
    <w:rsid w:val="002B73C0"/>
    <w:rsid w:val="002C157B"/>
    <w:rsid w:val="002C1EDE"/>
    <w:rsid w:val="002C24B4"/>
    <w:rsid w:val="002C2B3A"/>
    <w:rsid w:val="002C2B87"/>
    <w:rsid w:val="002C3576"/>
    <w:rsid w:val="002C3CF4"/>
    <w:rsid w:val="002C441A"/>
    <w:rsid w:val="002C4A73"/>
    <w:rsid w:val="002C4B84"/>
    <w:rsid w:val="002C4C0C"/>
    <w:rsid w:val="002C5016"/>
    <w:rsid w:val="002C5C2F"/>
    <w:rsid w:val="002C5D0F"/>
    <w:rsid w:val="002C60B9"/>
    <w:rsid w:val="002C672A"/>
    <w:rsid w:val="002C6F77"/>
    <w:rsid w:val="002C704D"/>
    <w:rsid w:val="002C7E86"/>
    <w:rsid w:val="002D0845"/>
    <w:rsid w:val="002D0933"/>
    <w:rsid w:val="002D0CE3"/>
    <w:rsid w:val="002D13CC"/>
    <w:rsid w:val="002D154B"/>
    <w:rsid w:val="002D19BB"/>
    <w:rsid w:val="002D1A9B"/>
    <w:rsid w:val="002D20F8"/>
    <w:rsid w:val="002D22BD"/>
    <w:rsid w:val="002D22C5"/>
    <w:rsid w:val="002D2F86"/>
    <w:rsid w:val="002D3003"/>
    <w:rsid w:val="002D302A"/>
    <w:rsid w:val="002D3552"/>
    <w:rsid w:val="002D3698"/>
    <w:rsid w:val="002D36C6"/>
    <w:rsid w:val="002D3749"/>
    <w:rsid w:val="002D37C1"/>
    <w:rsid w:val="002D3822"/>
    <w:rsid w:val="002D3DC1"/>
    <w:rsid w:val="002D444B"/>
    <w:rsid w:val="002D4A45"/>
    <w:rsid w:val="002D4B42"/>
    <w:rsid w:val="002D4B43"/>
    <w:rsid w:val="002D540E"/>
    <w:rsid w:val="002D56D7"/>
    <w:rsid w:val="002D595E"/>
    <w:rsid w:val="002D5A10"/>
    <w:rsid w:val="002D5A1B"/>
    <w:rsid w:val="002D5E68"/>
    <w:rsid w:val="002D65BC"/>
    <w:rsid w:val="002D6960"/>
    <w:rsid w:val="002D6A45"/>
    <w:rsid w:val="002E055C"/>
    <w:rsid w:val="002E0774"/>
    <w:rsid w:val="002E1050"/>
    <w:rsid w:val="002E107E"/>
    <w:rsid w:val="002E18E5"/>
    <w:rsid w:val="002E1953"/>
    <w:rsid w:val="002E1972"/>
    <w:rsid w:val="002E2CB5"/>
    <w:rsid w:val="002E2D7D"/>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9F4"/>
    <w:rsid w:val="002F2F50"/>
    <w:rsid w:val="002F33EC"/>
    <w:rsid w:val="002F34E3"/>
    <w:rsid w:val="002F3601"/>
    <w:rsid w:val="002F3A37"/>
    <w:rsid w:val="002F3AAD"/>
    <w:rsid w:val="002F45F6"/>
    <w:rsid w:val="002F4B0A"/>
    <w:rsid w:val="002F5A6F"/>
    <w:rsid w:val="002F692F"/>
    <w:rsid w:val="002F7012"/>
    <w:rsid w:val="002F7B66"/>
    <w:rsid w:val="0030097A"/>
    <w:rsid w:val="00300CB4"/>
    <w:rsid w:val="00300E24"/>
    <w:rsid w:val="003033BA"/>
    <w:rsid w:val="00303771"/>
    <w:rsid w:val="00303BAF"/>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4A5D"/>
    <w:rsid w:val="00315365"/>
    <w:rsid w:val="00315457"/>
    <w:rsid w:val="003161A4"/>
    <w:rsid w:val="00316955"/>
    <w:rsid w:val="0031720A"/>
    <w:rsid w:val="0031749B"/>
    <w:rsid w:val="003174E5"/>
    <w:rsid w:val="00317C9D"/>
    <w:rsid w:val="00317CD2"/>
    <w:rsid w:val="00317D99"/>
    <w:rsid w:val="0032078D"/>
    <w:rsid w:val="00320ADF"/>
    <w:rsid w:val="0032137B"/>
    <w:rsid w:val="00321741"/>
    <w:rsid w:val="00321BD6"/>
    <w:rsid w:val="00321FA3"/>
    <w:rsid w:val="003227D3"/>
    <w:rsid w:val="00322937"/>
    <w:rsid w:val="00323881"/>
    <w:rsid w:val="00323CF4"/>
    <w:rsid w:val="00324096"/>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B15"/>
    <w:rsid w:val="00335B21"/>
    <w:rsid w:val="00335D3F"/>
    <w:rsid w:val="00336104"/>
    <w:rsid w:val="00336155"/>
    <w:rsid w:val="0033672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AF6"/>
    <w:rsid w:val="0034680A"/>
    <w:rsid w:val="00346A44"/>
    <w:rsid w:val="00346C62"/>
    <w:rsid w:val="0034705D"/>
    <w:rsid w:val="00347202"/>
    <w:rsid w:val="00347346"/>
    <w:rsid w:val="0034778E"/>
    <w:rsid w:val="00347A5A"/>
    <w:rsid w:val="003501E2"/>
    <w:rsid w:val="00351333"/>
    <w:rsid w:val="00351E10"/>
    <w:rsid w:val="003533F4"/>
    <w:rsid w:val="003536F6"/>
    <w:rsid w:val="00353765"/>
    <w:rsid w:val="00353DD5"/>
    <w:rsid w:val="00354E02"/>
    <w:rsid w:val="00355131"/>
    <w:rsid w:val="00355714"/>
    <w:rsid w:val="00355C52"/>
    <w:rsid w:val="00355F74"/>
    <w:rsid w:val="003560DB"/>
    <w:rsid w:val="003564DB"/>
    <w:rsid w:val="00356F0B"/>
    <w:rsid w:val="00356F87"/>
    <w:rsid w:val="00360CF3"/>
    <w:rsid w:val="00361A59"/>
    <w:rsid w:val="00363348"/>
    <w:rsid w:val="0036366B"/>
    <w:rsid w:val="00363857"/>
    <w:rsid w:val="00363D59"/>
    <w:rsid w:val="00364071"/>
    <w:rsid w:val="003640F7"/>
    <w:rsid w:val="00365D3A"/>
    <w:rsid w:val="00366314"/>
    <w:rsid w:val="003664FF"/>
    <w:rsid w:val="00366BD2"/>
    <w:rsid w:val="003670B8"/>
    <w:rsid w:val="00367519"/>
    <w:rsid w:val="00367A7A"/>
    <w:rsid w:val="00370488"/>
    <w:rsid w:val="003704A3"/>
    <w:rsid w:val="003706F2"/>
    <w:rsid w:val="0037124F"/>
    <w:rsid w:val="003722B3"/>
    <w:rsid w:val="003724CE"/>
    <w:rsid w:val="003736FD"/>
    <w:rsid w:val="00373827"/>
    <w:rsid w:val="00373C6B"/>
    <w:rsid w:val="0037401C"/>
    <w:rsid w:val="00374D49"/>
    <w:rsid w:val="0037507B"/>
    <w:rsid w:val="00375179"/>
    <w:rsid w:val="00375627"/>
    <w:rsid w:val="00375C7C"/>
    <w:rsid w:val="00377027"/>
    <w:rsid w:val="00377135"/>
    <w:rsid w:val="00377C94"/>
    <w:rsid w:val="00380272"/>
    <w:rsid w:val="003805DB"/>
    <w:rsid w:val="003811F4"/>
    <w:rsid w:val="0038152A"/>
    <w:rsid w:val="00382B34"/>
    <w:rsid w:val="00382BAD"/>
    <w:rsid w:val="00382F03"/>
    <w:rsid w:val="003835FD"/>
    <w:rsid w:val="00384ACA"/>
    <w:rsid w:val="00384DF1"/>
    <w:rsid w:val="00384FF3"/>
    <w:rsid w:val="0038512F"/>
    <w:rsid w:val="00385BC4"/>
    <w:rsid w:val="00385CB6"/>
    <w:rsid w:val="00386456"/>
    <w:rsid w:val="003865A9"/>
    <w:rsid w:val="0039092B"/>
    <w:rsid w:val="00390DB1"/>
    <w:rsid w:val="00390F32"/>
    <w:rsid w:val="0039135E"/>
    <w:rsid w:val="0039319C"/>
    <w:rsid w:val="00393577"/>
    <w:rsid w:val="00393CAE"/>
    <w:rsid w:val="00394194"/>
    <w:rsid w:val="003945F4"/>
    <w:rsid w:val="00394849"/>
    <w:rsid w:val="00394EB5"/>
    <w:rsid w:val="00394F19"/>
    <w:rsid w:val="003953B4"/>
    <w:rsid w:val="00395B1E"/>
    <w:rsid w:val="0039615F"/>
    <w:rsid w:val="003966A0"/>
    <w:rsid w:val="00396A29"/>
    <w:rsid w:val="00397FF0"/>
    <w:rsid w:val="003A0878"/>
    <w:rsid w:val="003A1561"/>
    <w:rsid w:val="003A1965"/>
    <w:rsid w:val="003A1D25"/>
    <w:rsid w:val="003A22A2"/>
    <w:rsid w:val="003A2447"/>
    <w:rsid w:val="003A2AA1"/>
    <w:rsid w:val="003A2E78"/>
    <w:rsid w:val="003A2E9D"/>
    <w:rsid w:val="003A31A5"/>
    <w:rsid w:val="003A329A"/>
    <w:rsid w:val="003A3491"/>
    <w:rsid w:val="003A35CB"/>
    <w:rsid w:val="003A35FC"/>
    <w:rsid w:val="003A3603"/>
    <w:rsid w:val="003A3851"/>
    <w:rsid w:val="003A39DD"/>
    <w:rsid w:val="003A4199"/>
    <w:rsid w:val="003A4A8E"/>
    <w:rsid w:val="003A563C"/>
    <w:rsid w:val="003A581E"/>
    <w:rsid w:val="003A6160"/>
    <w:rsid w:val="003A65A5"/>
    <w:rsid w:val="003A72F5"/>
    <w:rsid w:val="003A73C1"/>
    <w:rsid w:val="003A73EE"/>
    <w:rsid w:val="003A7464"/>
    <w:rsid w:val="003A78E5"/>
    <w:rsid w:val="003B0341"/>
    <w:rsid w:val="003B0A10"/>
    <w:rsid w:val="003B1E57"/>
    <w:rsid w:val="003B29D4"/>
    <w:rsid w:val="003B2B6C"/>
    <w:rsid w:val="003B2EF3"/>
    <w:rsid w:val="003B31BF"/>
    <w:rsid w:val="003B4913"/>
    <w:rsid w:val="003B4A4D"/>
    <w:rsid w:val="003B4DA9"/>
    <w:rsid w:val="003B534F"/>
    <w:rsid w:val="003B5391"/>
    <w:rsid w:val="003B58CE"/>
    <w:rsid w:val="003B5E1F"/>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697"/>
    <w:rsid w:val="003C287F"/>
    <w:rsid w:val="003C2D51"/>
    <w:rsid w:val="003C3339"/>
    <w:rsid w:val="003C375A"/>
    <w:rsid w:val="003C4D9F"/>
    <w:rsid w:val="003C5247"/>
    <w:rsid w:val="003C6191"/>
    <w:rsid w:val="003C622C"/>
    <w:rsid w:val="003C64C7"/>
    <w:rsid w:val="003C6505"/>
    <w:rsid w:val="003C65A6"/>
    <w:rsid w:val="003C6CDC"/>
    <w:rsid w:val="003C73C7"/>
    <w:rsid w:val="003C76DF"/>
    <w:rsid w:val="003C7CFB"/>
    <w:rsid w:val="003C7E50"/>
    <w:rsid w:val="003D0236"/>
    <w:rsid w:val="003D050B"/>
    <w:rsid w:val="003D0B98"/>
    <w:rsid w:val="003D0C38"/>
    <w:rsid w:val="003D0C3C"/>
    <w:rsid w:val="003D0CE1"/>
    <w:rsid w:val="003D0DE5"/>
    <w:rsid w:val="003D1351"/>
    <w:rsid w:val="003D21C1"/>
    <w:rsid w:val="003D273E"/>
    <w:rsid w:val="003D3A07"/>
    <w:rsid w:val="003D3B15"/>
    <w:rsid w:val="003D3B2E"/>
    <w:rsid w:val="003D4101"/>
    <w:rsid w:val="003D484D"/>
    <w:rsid w:val="003D49CB"/>
    <w:rsid w:val="003D6B8F"/>
    <w:rsid w:val="003D6D6A"/>
    <w:rsid w:val="003D70D5"/>
    <w:rsid w:val="003D7336"/>
    <w:rsid w:val="003D7566"/>
    <w:rsid w:val="003D7C41"/>
    <w:rsid w:val="003D7FB3"/>
    <w:rsid w:val="003E0224"/>
    <w:rsid w:val="003E09BB"/>
    <w:rsid w:val="003E159D"/>
    <w:rsid w:val="003E20EA"/>
    <w:rsid w:val="003E210C"/>
    <w:rsid w:val="003E2F55"/>
    <w:rsid w:val="003E3239"/>
    <w:rsid w:val="003E32C3"/>
    <w:rsid w:val="003E34DB"/>
    <w:rsid w:val="003E3833"/>
    <w:rsid w:val="003E3AF9"/>
    <w:rsid w:val="003E40D8"/>
    <w:rsid w:val="003E4170"/>
    <w:rsid w:val="003E4A70"/>
    <w:rsid w:val="003E4C48"/>
    <w:rsid w:val="003E4CD9"/>
    <w:rsid w:val="003E52C2"/>
    <w:rsid w:val="003E54B3"/>
    <w:rsid w:val="003E5780"/>
    <w:rsid w:val="003E5B9F"/>
    <w:rsid w:val="003E6072"/>
    <w:rsid w:val="003E6423"/>
    <w:rsid w:val="003E6AB6"/>
    <w:rsid w:val="003E6E0B"/>
    <w:rsid w:val="003E71CD"/>
    <w:rsid w:val="003E72F0"/>
    <w:rsid w:val="003E7890"/>
    <w:rsid w:val="003E78DA"/>
    <w:rsid w:val="003E7A8B"/>
    <w:rsid w:val="003F01CC"/>
    <w:rsid w:val="003F060E"/>
    <w:rsid w:val="003F0F7F"/>
    <w:rsid w:val="003F115C"/>
    <w:rsid w:val="003F155A"/>
    <w:rsid w:val="003F16E9"/>
    <w:rsid w:val="003F300D"/>
    <w:rsid w:val="003F391F"/>
    <w:rsid w:val="003F4162"/>
    <w:rsid w:val="003F4599"/>
    <w:rsid w:val="003F45E1"/>
    <w:rsid w:val="003F4F6C"/>
    <w:rsid w:val="003F559E"/>
    <w:rsid w:val="003F6181"/>
    <w:rsid w:val="003F6BFC"/>
    <w:rsid w:val="003F7343"/>
    <w:rsid w:val="00400002"/>
    <w:rsid w:val="00400054"/>
    <w:rsid w:val="004016A3"/>
    <w:rsid w:val="004017F3"/>
    <w:rsid w:val="00401AAC"/>
    <w:rsid w:val="00401B31"/>
    <w:rsid w:val="0040202B"/>
    <w:rsid w:val="0040279A"/>
    <w:rsid w:val="00402DE1"/>
    <w:rsid w:val="00402EEB"/>
    <w:rsid w:val="004037C2"/>
    <w:rsid w:val="00403DF5"/>
    <w:rsid w:val="00404041"/>
    <w:rsid w:val="004047DF"/>
    <w:rsid w:val="00404B43"/>
    <w:rsid w:val="00404C61"/>
    <w:rsid w:val="00405487"/>
    <w:rsid w:val="00405B8A"/>
    <w:rsid w:val="0040602B"/>
    <w:rsid w:val="0040669F"/>
    <w:rsid w:val="00406DF5"/>
    <w:rsid w:val="00406F35"/>
    <w:rsid w:val="004077FD"/>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4F98"/>
    <w:rsid w:val="00415194"/>
    <w:rsid w:val="00415816"/>
    <w:rsid w:val="00415B88"/>
    <w:rsid w:val="00415D32"/>
    <w:rsid w:val="00415E0D"/>
    <w:rsid w:val="004160A2"/>
    <w:rsid w:val="004163EA"/>
    <w:rsid w:val="00416641"/>
    <w:rsid w:val="00416A61"/>
    <w:rsid w:val="00416B3B"/>
    <w:rsid w:val="00416CB0"/>
    <w:rsid w:val="004170D7"/>
    <w:rsid w:val="004177A6"/>
    <w:rsid w:val="00417C23"/>
    <w:rsid w:val="00417EFD"/>
    <w:rsid w:val="004200EE"/>
    <w:rsid w:val="004208C9"/>
    <w:rsid w:val="004209D2"/>
    <w:rsid w:val="00420D6E"/>
    <w:rsid w:val="00421535"/>
    <w:rsid w:val="0042158C"/>
    <w:rsid w:val="00421BD2"/>
    <w:rsid w:val="00421E00"/>
    <w:rsid w:val="00421FCB"/>
    <w:rsid w:val="004225A3"/>
    <w:rsid w:val="00422DCA"/>
    <w:rsid w:val="0042311B"/>
    <w:rsid w:val="00423562"/>
    <w:rsid w:val="004236BF"/>
    <w:rsid w:val="00423F9F"/>
    <w:rsid w:val="00424AB2"/>
    <w:rsid w:val="00425C43"/>
    <w:rsid w:val="00426CF8"/>
    <w:rsid w:val="004273FA"/>
    <w:rsid w:val="004275A7"/>
    <w:rsid w:val="00427B66"/>
    <w:rsid w:val="00430186"/>
    <w:rsid w:val="00430682"/>
    <w:rsid w:val="00431017"/>
    <w:rsid w:val="00431C0B"/>
    <w:rsid w:val="0043269A"/>
    <w:rsid w:val="004333C2"/>
    <w:rsid w:val="0043448A"/>
    <w:rsid w:val="00434787"/>
    <w:rsid w:val="00434C13"/>
    <w:rsid w:val="00434C2C"/>
    <w:rsid w:val="004351CF"/>
    <w:rsid w:val="00435703"/>
    <w:rsid w:val="00435BD5"/>
    <w:rsid w:val="00435FAF"/>
    <w:rsid w:val="00436323"/>
    <w:rsid w:val="0043683F"/>
    <w:rsid w:val="00436F40"/>
    <w:rsid w:val="004370FA"/>
    <w:rsid w:val="00440096"/>
    <w:rsid w:val="004403DD"/>
    <w:rsid w:val="00440CF3"/>
    <w:rsid w:val="00440DB0"/>
    <w:rsid w:val="00440DDC"/>
    <w:rsid w:val="00440FAD"/>
    <w:rsid w:val="0044121F"/>
    <w:rsid w:val="00441291"/>
    <w:rsid w:val="00441E04"/>
    <w:rsid w:val="004420AB"/>
    <w:rsid w:val="004422D6"/>
    <w:rsid w:val="004427AC"/>
    <w:rsid w:val="00442C7D"/>
    <w:rsid w:val="00442D4D"/>
    <w:rsid w:val="00442EB9"/>
    <w:rsid w:val="0044374D"/>
    <w:rsid w:val="00443B55"/>
    <w:rsid w:val="00443D27"/>
    <w:rsid w:val="004445D9"/>
    <w:rsid w:val="00444C47"/>
    <w:rsid w:val="00444FE0"/>
    <w:rsid w:val="0044500B"/>
    <w:rsid w:val="00445B5B"/>
    <w:rsid w:val="00446037"/>
    <w:rsid w:val="00446268"/>
    <w:rsid w:val="0044642F"/>
    <w:rsid w:val="0044772C"/>
    <w:rsid w:val="00447D53"/>
    <w:rsid w:val="00450846"/>
    <w:rsid w:val="00451A52"/>
    <w:rsid w:val="0045271D"/>
    <w:rsid w:val="00452755"/>
    <w:rsid w:val="00452803"/>
    <w:rsid w:val="004529C6"/>
    <w:rsid w:val="00452EAD"/>
    <w:rsid w:val="004533D1"/>
    <w:rsid w:val="004534D1"/>
    <w:rsid w:val="004540C4"/>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2E2"/>
    <w:rsid w:val="00460915"/>
    <w:rsid w:val="00460946"/>
    <w:rsid w:val="00460CCD"/>
    <w:rsid w:val="004610A0"/>
    <w:rsid w:val="004614A9"/>
    <w:rsid w:val="00461E97"/>
    <w:rsid w:val="0046268F"/>
    <w:rsid w:val="0046284F"/>
    <w:rsid w:val="00462B10"/>
    <w:rsid w:val="00462C04"/>
    <w:rsid w:val="0046320A"/>
    <w:rsid w:val="004632E2"/>
    <w:rsid w:val="00463473"/>
    <w:rsid w:val="004638E2"/>
    <w:rsid w:val="00464030"/>
    <w:rsid w:val="004647F8"/>
    <w:rsid w:val="004647FB"/>
    <w:rsid w:val="00464F96"/>
    <w:rsid w:val="00465347"/>
    <w:rsid w:val="00465677"/>
    <w:rsid w:val="00466616"/>
    <w:rsid w:val="00466631"/>
    <w:rsid w:val="00466A0C"/>
    <w:rsid w:val="00466A53"/>
    <w:rsid w:val="004673A8"/>
    <w:rsid w:val="0046753A"/>
    <w:rsid w:val="00467D1D"/>
    <w:rsid w:val="00467D4E"/>
    <w:rsid w:val="0047098A"/>
    <w:rsid w:val="00470A6A"/>
    <w:rsid w:val="00470D73"/>
    <w:rsid w:val="00470D92"/>
    <w:rsid w:val="00471D8F"/>
    <w:rsid w:val="00471DF7"/>
    <w:rsid w:val="004727B0"/>
    <w:rsid w:val="004734CF"/>
    <w:rsid w:val="004734E9"/>
    <w:rsid w:val="004737EA"/>
    <w:rsid w:val="00475C5A"/>
    <w:rsid w:val="00475C9C"/>
    <w:rsid w:val="0047676B"/>
    <w:rsid w:val="00476A69"/>
    <w:rsid w:val="0047773C"/>
    <w:rsid w:val="00477C5F"/>
    <w:rsid w:val="00480050"/>
    <w:rsid w:val="0048011C"/>
    <w:rsid w:val="00480567"/>
    <w:rsid w:val="004808DE"/>
    <w:rsid w:val="00480CDC"/>
    <w:rsid w:val="00481931"/>
    <w:rsid w:val="004819C7"/>
    <w:rsid w:val="00481AC4"/>
    <w:rsid w:val="00481DC1"/>
    <w:rsid w:val="0048220F"/>
    <w:rsid w:val="00482507"/>
    <w:rsid w:val="0048268A"/>
    <w:rsid w:val="00482B27"/>
    <w:rsid w:val="00482DE8"/>
    <w:rsid w:val="004835CA"/>
    <w:rsid w:val="004836F8"/>
    <w:rsid w:val="004836FE"/>
    <w:rsid w:val="00483FAD"/>
    <w:rsid w:val="0048498B"/>
    <w:rsid w:val="00484E4E"/>
    <w:rsid w:val="00484F0F"/>
    <w:rsid w:val="00484F40"/>
    <w:rsid w:val="0048540C"/>
    <w:rsid w:val="0048576F"/>
    <w:rsid w:val="004861B4"/>
    <w:rsid w:val="00486BD0"/>
    <w:rsid w:val="00486D00"/>
    <w:rsid w:val="00487263"/>
    <w:rsid w:val="0048734F"/>
    <w:rsid w:val="00487532"/>
    <w:rsid w:val="0049029D"/>
    <w:rsid w:val="0049030C"/>
    <w:rsid w:val="004903C0"/>
    <w:rsid w:val="0049114B"/>
    <w:rsid w:val="004912A8"/>
    <w:rsid w:val="00491577"/>
    <w:rsid w:val="0049196A"/>
    <w:rsid w:val="0049196E"/>
    <w:rsid w:val="00491B54"/>
    <w:rsid w:val="0049241A"/>
    <w:rsid w:val="00492C1F"/>
    <w:rsid w:val="00492E4C"/>
    <w:rsid w:val="00493664"/>
    <w:rsid w:val="00493E04"/>
    <w:rsid w:val="00493EDB"/>
    <w:rsid w:val="004940E3"/>
    <w:rsid w:val="004951A1"/>
    <w:rsid w:val="0049530F"/>
    <w:rsid w:val="004957D0"/>
    <w:rsid w:val="00496664"/>
    <w:rsid w:val="00496786"/>
    <w:rsid w:val="0049695B"/>
    <w:rsid w:val="00496B9C"/>
    <w:rsid w:val="00496D8F"/>
    <w:rsid w:val="00497463"/>
    <w:rsid w:val="00497610"/>
    <w:rsid w:val="004978F6"/>
    <w:rsid w:val="004A054C"/>
    <w:rsid w:val="004A08D1"/>
    <w:rsid w:val="004A1040"/>
    <w:rsid w:val="004A16C1"/>
    <w:rsid w:val="004A1767"/>
    <w:rsid w:val="004A1CE2"/>
    <w:rsid w:val="004A30EB"/>
    <w:rsid w:val="004A34D2"/>
    <w:rsid w:val="004A3898"/>
    <w:rsid w:val="004A39CD"/>
    <w:rsid w:val="004A3BE5"/>
    <w:rsid w:val="004A4301"/>
    <w:rsid w:val="004A4D93"/>
    <w:rsid w:val="004A56EE"/>
    <w:rsid w:val="004A58EE"/>
    <w:rsid w:val="004A59B7"/>
    <w:rsid w:val="004A6051"/>
    <w:rsid w:val="004A623B"/>
    <w:rsid w:val="004A6624"/>
    <w:rsid w:val="004A6A04"/>
    <w:rsid w:val="004A6A52"/>
    <w:rsid w:val="004B0A44"/>
    <w:rsid w:val="004B0B4D"/>
    <w:rsid w:val="004B0F0B"/>
    <w:rsid w:val="004B18CB"/>
    <w:rsid w:val="004B2197"/>
    <w:rsid w:val="004B28E0"/>
    <w:rsid w:val="004B298A"/>
    <w:rsid w:val="004B2CC7"/>
    <w:rsid w:val="004B34C4"/>
    <w:rsid w:val="004B46AE"/>
    <w:rsid w:val="004B4DDA"/>
    <w:rsid w:val="004B50CB"/>
    <w:rsid w:val="004B578D"/>
    <w:rsid w:val="004B5BE7"/>
    <w:rsid w:val="004B5C32"/>
    <w:rsid w:val="004B5E2D"/>
    <w:rsid w:val="004B6394"/>
    <w:rsid w:val="004B66CD"/>
    <w:rsid w:val="004B6C07"/>
    <w:rsid w:val="004B74D3"/>
    <w:rsid w:val="004B788E"/>
    <w:rsid w:val="004B7E5D"/>
    <w:rsid w:val="004C072C"/>
    <w:rsid w:val="004C2180"/>
    <w:rsid w:val="004C22F7"/>
    <w:rsid w:val="004C2B27"/>
    <w:rsid w:val="004C3219"/>
    <w:rsid w:val="004C3929"/>
    <w:rsid w:val="004C3BDA"/>
    <w:rsid w:val="004C4DED"/>
    <w:rsid w:val="004C5212"/>
    <w:rsid w:val="004C580A"/>
    <w:rsid w:val="004C58C2"/>
    <w:rsid w:val="004C5EF0"/>
    <w:rsid w:val="004C64C9"/>
    <w:rsid w:val="004C678F"/>
    <w:rsid w:val="004C7226"/>
    <w:rsid w:val="004C74C9"/>
    <w:rsid w:val="004C7915"/>
    <w:rsid w:val="004C7D70"/>
    <w:rsid w:val="004D02F9"/>
    <w:rsid w:val="004D03FE"/>
    <w:rsid w:val="004D0446"/>
    <w:rsid w:val="004D06A3"/>
    <w:rsid w:val="004D0D3C"/>
    <w:rsid w:val="004D0F95"/>
    <w:rsid w:val="004D106A"/>
    <w:rsid w:val="004D1335"/>
    <w:rsid w:val="004D1C27"/>
    <w:rsid w:val="004D1C7E"/>
    <w:rsid w:val="004D23B3"/>
    <w:rsid w:val="004D23CD"/>
    <w:rsid w:val="004D245A"/>
    <w:rsid w:val="004D31EE"/>
    <w:rsid w:val="004D36AF"/>
    <w:rsid w:val="004D3BD1"/>
    <w:rsid w:val="004D46F2"/>
    <w:rsid w:val="004D4720"/>
    <w:rsid w:val="004D4BA1"/>
    <w:rsid w:val="004D4EC1"/>
    <w:rsid w:val="004D584D"/>
    <w:rsid w:val="004D5A7E"/>
    <w:rsid w:val="004D5CD1"/>
    <w:rsid w:val="004D6120"/>
    <w:rsid w:val="004D644D"/>
    <w:rsid w:val="004D6826"/>
    <w:rsid w:val="004D6A91"/>
    <w:rsid w:val="004D6D7F"/>
    <w:rsid w:val="004D6D83"/>
    <w:rsid w:val="004E023F"/>
    <w:rsid w:val="004E0546"/>
    <w:rsid w:val="004E0742"/>
    <w:rsid w:val="004E0C64"/>
    <w:rsid w:val="004E0F6B"/>
    <w:rsid w:val="004E10F5"/>
    <w:rsid w:val="004E1545"/>
    <w:rsid w:val="004E1F1C"/>
    <w:rsid w:val="004E2A35"/>
    <w:rsid w:val="004E2F40"/>
    <w:rsid w:val="004E40CE"/>
    <w:rsid w:val="004E5736"/>
    <w:rsid w:val="004E5A3C"/>
    <w:rsid w:val="004E5AA8"/>
    <w:rsid w:val="004E5B36"/>
    <w:rsid w:val="004E5D20"/>
    <w:rsid w:val="004E5D5D"/>
    <w:rsid w:val="004E6045"/>
    <w:rsid w:val="004E6F43"/>
    <w:rsid w:val="004E7200"/>
    <w:rsid w:val="004E787E"/>
    <w:rsid w:val="004F0960"/>
    <w:rsid w:val="004F0A5C"/>
    <w:rsid w:val="004F163F"/>
    <w:rsid w:val="004F18A0"/>
    <w:rsid w:val="004F1A08"/>
    <w:rsid w:val="004F2B64"/>
    <w:rsid w:val="004F31B8"/>
    <w:rsid w:val="004F375E"/>
    <w:rsid w:val="004F3764"/>
    <w:rsid w:val="004F3C90"/>
    <w:rsid w:val="004F3DB4"/>
    <w:rsid w:val="004F3EEF"/>
    <w:rsid w:val="004F414F"/>
    <w:rsid w:val="004F4B40"/>
    <w:rsid w:val="004F5180"/>
    <w:rsid w:val="004F57C9"/>
    <w:rsid w:val="004F5930"/>
    <w:rsid w:val="004F5970"/>
    <w:rsid w:val="004F5B13"/>
    <w:rsid w:val="004F5F0C"/>
    <w:rsid w:val="004F5F46"/>
    <w:rsid w:val="004F6121"/>
    <w:rsid w:val="004F6161"/>
    <w:rsid w:val="004F66BC"/>
    <w:rsid w:val="004F6B63"/>
    <w:rsid w:val="004F6C26"/>
    <w:rsid w:val="004F7AC9"/>
    <w:rsid w:val="004F7F5F"/>
    <w:rsid w:val="005005F2"/>
    <w:rsid w:val="0050062F"/>
    <w:rsid w:val="00500E74"/>
    <w:rsid w:val="0050160F"/>
    <w:rsid w:val="0050284E"/>
    <w:rsid w:val="00502993"/>
    <w:rsid w:val="0050306F"/>
    <w:rsid w:val="0050531A"/>
    <w:rsid w:val="00505DCB"/>
    <w:rsid w:val="0050703E"/>
    <w:rsid w:val="005075CA"/>
    <w:rsid w:val="00507B06"/>
    <w:rsid w:val="00507BF1"/>
    <w:rsid w:val="0051047A"/>
    <w:rsid w:val="0051074C"/>
    <w:rsid w:val="00510DE9"/>
    <w:rsid w:val="00510F21"/>
    <w:rsid w:val="005111E2"/>
    <w:rsid w:val="00511231"/>
    <w:rsid w:val="00512C4F"/>
    <w:rsid w:val="00513042"/>
    <w:rsid w:val="0051329D"/>
    <w:rsid w:val="0051334F"/>
    <w:rsid w:val="00513399"/>
    <w:rsid w:val="00513AF2"/>
    <w:rsid w:val="00514575"/>
    <w:rsid w:val="00514C03"/>
    <w:rsid w:val="00514D67"/>
    <w:rsid w:val="0051522A"/>
    <w:rsid w:val="00515515"/>
    <w:rsid w:val="0051635C"/>
    <w:rsid w:val="00516650"/>
    <w:rsid w:val="00516C5B"/>
    <w:rsid w:val="00517612"/>
    <w:rsid w:val="00517CFB"/>
    <w:rsid w:val="00517F85"/>
    <w:rsid w:val="00520235"/>
    <w:rsid w:val="00520899"/>
    <w:rsid w:val="00520922"/>
    <w:rsid w:val="005209D9"/>
    <w:rsid w:val="005209FC"/>
    <w:rsid w:val="00521A30"/>
    <w:rsid w:val="005224E5"/>
    <w:rsid w:val="0052257C"/>
    <w:rsid w:val="00523903"/>
    <w:rsid w:val="005239B6"/>
    <w:rsid w:val="00523C45"/>
    <w:rsid w:val="00524165"/>
    <w:rsid w:val="005246E7"/>
    <w:rsid w:val="00524B08"/>
    <w:rsid w:val="00524C38"/>
    <w:rsid w:val="00524FD2"/>
    <w:rsid w:val="00525621"/>
    <w:rsid w:val="005257E5"/>
    <w:rsid w:val="00526431"/>
    <w:rsid w:val="0052645D"/>
    <w:rsid w:val="00527015"/>
    <w:rsid w:val="005270E8"/>
    <w:rsid w:val="00527532"/>
    <w:rsid w:val="00527703"/>
    <w:rsid w:val="00527DEB"/>
    <w:rsid w:val="00527E57"/>
    <w:rsid w:val="00527F2C"/>
    <w:rsid w:val="00530405"/>
    <w:rsid w:val="00530522"/>
    <w:rsid w:val="005305E5"/>
    <w:rsid w:val="00530CBA"/>
    <w:rsid w:val="00530F38"/>
    <w:rsid w:val="00531CBF"/>
    <w:rsid w:val="00531F26"/>
    <w:rsid w:val="00532299"/>
    <w:rsid w:val="00532319"/>
    <w:rsid w:val="0053277C"/>
    <w:rsid w:val="005327C0"/>
    <w:rsid w:val="00532E9B"/>
    <w:rsid w:val="00533101"/>
    <w:rsid w:val="00533CA9"/>
    <w:rsid w:val="00533D28"/>
    <w:rsid w:val="005346AD"/>
    <w:rsid w:val="005346BC"/>
    <w:rsid w:val="00534EFB"/>
    <w:rsid w:val="00534F60"/>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2E5C"/>
    <w:rsid w:val="00543084"/>
    <w:rsid w:val="00543314"/>
    <w:rsid w:val="00543584"/>
    <w:rsid w:val="00543A9E"/>
    <w:rsid w:val="0054413A"/>
    <w:rsid w:val="00544288"/>
    <w:rsid w:val="005446BB"/>
    <w:rsid w:val="005448C8"/>
    <w:rsid w:val="00544DA5"/>
    <w:rsid w:val="00544F43"/>
    <w:rsid w:val="005450E7"/>
    <w:rsid w:val="00545E30"/>
    <w:rsid w:val="00545EA3"/>
    <w:rsid w:val="00545FA4"/>
    <w:rsid w:val="00546C9B"/>
    <w:rsid w:val="0054793F"/>
    <w:rsid w:val="00547BF6"/>
    <w:rsid w:val="00547FB3"/>
    <w:rsid w:val="00551098"/>
    <w:rsid w:val="00551598"/>
    <w:rsid w:val="0055162B"/>
    <w:rsid w:val="00551BFF"/>
    <w:rsid w:val="00551D68"/>
    <w:rsid w:val="00551DFF"/>
    <w:rsid w:val="005525C9"/>
    <w:rsid w:val="0055291B"/>
    <w:rsid w:val="00552B3E"/>
    <w:rsid w:val="005531BB"/>
    <w:rsid w:val="00554D57"/>
    <w:rsid w:val="00554F2E"/>
    <w:rsid w:val="005551AA"/>
    <w:rsid w:val="0055583B"/>
    <w:rsid w:val="0055636A"/>
    <w:rsid w:val="005564CA"/>
    <w:rsid w:val="005568EA"/>
    <w:rsid w:val="00556961"/>
    <w:rsid w:val="00557140"/>
    <w:rsid w:val="00557984"/>
    <w:rsid w:val="00560C87"/>
    <w:rsid w:val="00560F51"/>
    <w:rsid w:val="00561249"/>
    <w:rsid w:val="0056182B"/>
    <w:rsid w:val="00561AF3"/>
    <w:rsid w:val="00561E0B"/>
    <w:rsid w:val="00562141"/>
    <w:rsid w:val="0056296E"/>
    <w:rsid w:val="00562D86"/>
    <w:rsid w:val="00563784"/>
    <w:rsid w:val="00563DF0"/>
    <w:rsid w:val="00564704"/>
    <w:rsid w:val="00564712"/>
    <w:rsid w:val="0056524A"/>
    <w:rsid w:val="005657A8"/>
    <w:rsid w:val="00565952"/>
    <w:rsid w:val="00566866"/>
    <w:rsid w:val="00566E76"/>
    <w:rsid w:val="005670A5"/>
    <w:rsid w:val="00567285"/>
    <w:rsid w:val="00567723"/>
    <w:rsid w:val="0056772D"/>
    <w:rsid w:val="00567AB8"/>
    <w:rsid w:val="005707E3"/>
    <w:rsid w:val="00570A26"/>
    <w:rsid w:val="00570CFD"/>
    <w:rsid w:val="0057118A"/>
    <w:rsid w:val="00571872"/>
    <w:rsid w:val="0057221F"/>
    <w:rsid w:val="00572252"/>
    <w:rsid w:val="00572539"/>
    <w:rsid w:val="00573355"/>
    <w:rsid w:val="0057337D"/>
    <w:rsid w:val="00573504"/>
    <w:rsid w:val="00573BA3"/>
    <w:rsid w:val="00573C8C"/>
    <w:rsid w:val="005745F3"/>
    <w:rsid w:val="00574708"/>
    <w:rsid w:val="00574D81"/>
    <w:rsid w:val="005756AA"/>
    <w:rsid w:val="0057696F"/>
    <w:rsid w:val="005774FE"/>
    <w:rsid w:val="00580087"/>
    <w:rsid w:val="0058040C"/>
    <w:rsid w:val="00580772"/>
    <w:rsid w:val="00580D6D"/>
    <w:rsid w:val="005813DE"/>
    <w:rsid w:val="005814BD"/>
    <w:rsid w:val="00581796"/>
    <w:rsid w:val="00581B45"/>
    <w:rsid w:val="00582480"/>
    <w:rsid w:val="00582805"/>
    <w:rsid w:val="0058290E"/>
    <w:rsid w:val="00582CAB"/>
    <w:rsid w:val="00582D08"/>
    <w:rsid w:val="00582E21"/>
    <w:rsid w:val="00582FA6"/>
    <w:rsid w:val="005831D9"/>
    <w:rsid w:val="0058375E"/>
    <w:rsid w:val="0058378C"/>
    <w:rsid w:val="00584233"/>
    <w:rsid w:val="005842D0"/>
    <w:rsid w:val="005845FB"/>
    <w:rsid w:val="00584860"/>
    <w:rsid w:val="00584FE8"/>
    <w:rsid w:val="005855AE"/>
    <w:rsid w:val="00585829"/>
    <w:rsid w:val="00585B15"/>
    <w:rsid w:val="00585CA8"/>
    <w:rsid w:val="00586412"/>
    <w:rsid w:val="005864B9"/>
    <w:rsid w:val="005866C4"/>
    <w:rsid w:val="00587229"/>
    <w:rsid w:val="00590F1A"/>
    <w:rsid w:val="00591C03"/>
    <w:rsid w:val="00591D97"/>
    <w:rsid w:val="00591D9E"/>
    <w:rsid w:val="00591E2A"/>
    <w:rsid w:val="005923C4"/>
    <w:rsid w:val="00592981"/>
    <w:rsid w:val="00593EA2"/>
    <w:rsid w:val="00593F75"/>
    <w:rsid w:val="005940A0"/>
    <w:rsid w:val="0059429A"/>
    <w:rsid w:val="00594462"/>
    <w:rsid w:val="00594CBE"/>
    <w:rsid w:val="00595BF6"/>
    <w:rsid w:val="00596AF7"/>
    <w:rsid w:val="00596CCE"/>
    <w:rsid w:val="005A123E"/>
    <w:rsid w:val="005A1976"/>
    <w:rsid w:val="005A2120"/>
    <w:rsid w:val="005A2323"/>
    <w:rsid w:val="005A2501"/>
    <w:rsid w:val="005A2C80"/>
    <w:rsid w:val="005A3066"/>
    <w:rsid w:val="005A3B35"/>
    <w:rsid w:val="005A3C4B"/>
    <w:rsid w:val="005A3E5A"/>
    <w:rsid w:val="005A43F3"/>
    <w:rsid w:val="005A485D"/>
    <w:rsid w:val="005A496F"/>
    <w:rsid w:val="005A4A56"/>
    <w:rsid w:val="005A5608"/>
    <w:rsid w:val="005A5A3D"/>
    <w:rsid w:val="005A6035"/>
    <w:rsid w:val="005A628C"/>
    <w:rsid w:val="005A6B75"/>
    <w:rsid w:val="005A6E00"/>
    <w:rsid w:val="005A718A"/>
    <w:rsid w:val="005A7752"/>
    <w:rsid w:val="005A7885"/>
    <w:rsid w:val="005B01F9"/>
    <w:rsid w:val="005B0293"/>
    <w:rsid w:val="005B10DC"/>
    <w:rsid w:val="005B12B2"/>
    <w:rsid w:val="005B143B"/>
    <w:rsid w:val="005B19BD"/>
    <w:rsid w:val="005B1E45"/>
    <w:rsid w:val="005B21C4"/>
    <w:rsid w:val="005B2A28"/>
    <w:rsid w:val="005B2B6C"/>
    <w:rsid w:val="005B332A"/>
    <w:rsid w:val="005B3621"/>
    <w:rsid w:val="005B3CD9"/>
    <w:rsid w:val="005B446A"/>
    <w:rsid w:val="005B44E6"/>
    <w:rsid w:val="005B4948"/>
    <w:rsid w:val="005B501D"/>
    <w:rsid w:val="005B5364"/>
    <w:rsid w:val="005B54CC"/>
    <w:rsid w:val="005B5AF5"/>
    <w:rsid w:val="005B74AD"/>
    <w:rsid w:val="005B7E96"/>
    <w:rsid w:val="005C0429"/>
    <w:rsid w:val="005C084F"/>
    <w:rsid w:val="005C0968"/>
    <w:rsid w:val="005C0CF4"/>
    <w:rsid w:val="005C0EE9"/>
    <w:rsid w:val="005C16A8"/>
    <w:rsid w:val="005C1716"/>
    <w:rsid w:val="005C1954"/>
    <w:rsid w:val="005C1C0B"/>
    <w:rsid w:val="005C2011"/>
    <w:rsid w:val="005C3EA3"/>
    <w:rsid w:val="005C4434"/>
    <w:rsid w:val="005C44DE"/>
    <w:rsid w:val="005C4825"/>
    <w:rsid w:val="005C5011"/>
    <w:rsid w:val="005C5241"/>
    <w:rsid w:val="005C529E"/>
    <w:rsid w:val="005C53D1"/>
    <w:rsid w:val="005C57BA"/>
    <w:rsid w:val="005C5C52"/>
    <w:rsid w:val="005C5D3D"/>
    <w:rsid w:val="005C5EC1"/>
    <w:rsid w:val="005C5F05"/>
    <w:rsid w:val="005C6171"/>
    <w:rsid w:val="005C6186"/>
    <w:rsid w:val="005C7E45"/>
    <w:rsid w:val="005C7F3E"/>
    <w:rsid w:val="005D06D3"/>
    <w:rsid w:val="005D0C3B"/>
    <w:rsid w:val="005D0E86"/>
    <w:rsid w:val="005D1051"/>
    <w:rsid w:val="005D1606"/>
    <w:rsid w:val="005D2044"/>
    <w:rsid w:val="005D234B"/>
    <w:rsid w:val="005D2917"/>
    <w:rsid w:val="005D2E69"/>
    <w:rsid w:val="005D2EB2"/>
    <w:rsid w:val="005D2F48"/>
    <w:rsid w:val="005D3B32"/>
    <w:rsid w:val="005D458B"/>
    <w:rsid w:val="005D4643"/>
    <w:rsid w:val="005D464B"/>
    <w:rsid w:val="005D466F"/>
    <w:rsid w:val="005D49F0"/>
    <w:rsid w:val="005D51F7"/>
    <w:rsid w:val="005D51FA"/>
    <w:rsid w:val="005D53E8"/>
    <w:rsid w:val="005D5A9D"/>
    <w:rsid w:val="005D6651"/>
    <w:rsid w:val="005D6675"/>
    <w:rsid w:val="005D691D"/>
    <w:rsid w:val="005D6A72"/>
    <w:rsid w:val="005D6E87"/>
    <w:rsid w:val="005D6F38"/>
    <w:rsid w:val="005D7279"/>
    <w:rsid w:val="005D7764"/>
    <w:rsid w:val="005D791B"/>
    <w:rsid w:val="005D7CF2"/>
    <w:rsid w:val="005D7E2D"/>
    <w:rsid w:val="005D7F43"/>
    <w:rsid w:val="005D7F92"/>
    <w:rsid w:val="005E0D7B"/>
    <w:rsid w:val="005E1595"/>
    <w:rsid w:val="005E182D"/>
    <w:rsid w:val="005E1F1D"/>
    <w:rsid w:val="005E273D"/>
    <w:rsid w:val="005E30AC"/>
    <w:rsid w:val="005E3278"/>
    <w:rsid w:val="005E3456"/>
    <w:rsid w:val="005E363B"/>
    <w:rsid w:val="005E3736"/>
    <w:rsid w:val="005E62D7"/>
    <w:rsid w:val="005F0068"/>
    <w:rsid w:val="005F1EF1"/>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39A"/>
    <w:rsid w:val="006013C9"/>
    <w:rsid w:val="00602B45"/>
    <w:rsid w:val="006032AB"/>
    <w:rsid w:val="00603499"/>
    <w:rsid w:val="006035F5"/>
    <w:rsid w:val="00603CC2"/>
    <w:rsid w:val="0060461C"/>
    <w:rsid w:val="006047D1"/>
    <w:rsid w:val="00604A55"/>
    <w:rsid w:val="00604D4E"/>
    <w:rsid w:val="00604E3E"/>
    <w:rsid w:val="00604EFB"/>
    <w:rsid w:val="00605AC3"/>
    <w:rsid w:val="00606908"/>
    <w:rsid w:val="00606ED9"/>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425"/>
    <w:rsid w:val="00621D0C"/>
    <w:rsid w:val="00622470"/>
    <w:rsid w:val="00622725"/>
    <w:rsid w:val="00622881"/>
    <w:rsid w:val="0062296B"/>
    <w:rsid w:val="006231AA"/>
    <w:rsid w:val="00623482"/>
    <w:rsid w:val="00623AC2"/>
    <w:rsid w:val="00623EBC"/>
    <w:rsid w:val="0062452A"/>
    <w:rsid w:val="006266D7"/>
    <w:rsid w:val="00626D42"/>
    <w:rsid w:val="00626EE3"/>
    <w:rsid w:val="006271CF"/>
    <w:rsid w:val="006272DE"/>
    <w:rsid w:val="006274AD"/>
    <w:rsid w:val="00627519"/>
    <w:rsid w:val="00627532"/>
    <w:rsid w:val="006302AA"/>
    <w:rsid w:val="006310C3"/>
    <w:rsid w:val="006311A2"/>
    <w:rsid w:val="0063161E"/>
    <w:rsid w:val="00631660"/>
    <w:rsid w:val="00631908"/>
    <w:rsid w:val="00631BB5"/>
    <w:rsid w:val="00631DD0"/>
    <w:rsid w:val="00633DBF"/>
    <w:rsid w:val="00634122"/>
    <w:rsid w:val="00634261"/>
    <w:rsid w:val="00635C2B"/>
    <w:rsid w:val="00635E32"/>
    <w:rsid w:val="00636018"/>
    <w:rsid w:val="006360FC"/>
    <w:rsid w:val="0063642D"/>
    <w:rsid w:val="006364DB"/>
    <w:rsid w:val="006365DE"/>
    <w:rsid w:val="00636BE4"/>
    <w:rsid w:val="00636E45"/>
    <w:rsid w:val="00636EFD"/>
    <w:rsid w:val="00636F88"/>
    <w:rsid w:val="0063732C"/>
    <w:rsid w:val="00637802"/>
    <w:rsid w:val="00637836"/>
    <w:rsid w:val="00637B2B"/>
    <w:rsid w:val="00637C26"/>
    <w:rsid w:val="00637F44"/>
    <w:rsid w:val="00640084"/>
    <w:rsid w:val="00641078"/>
    <w:rsid w:val="00641242"/>
    <w:rsid w:val="00641E6F"/>
    <w:rsid w:val="00642188"/>
    <w:rsid w:val="006424AA"/>
    <w:rsid w:val="00642A32"/>
    <w:rsid w:val="006433D5"/>
    <w:rsid w:val="00643412"/>
    <w:rsid w:val="00643AAF"/>
    <w:rsid w:val="00643D0A"/>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1C9A"/>
    <w:rsid w:val="00651F46"/>
    <w:rsid w:val="00652E70"/>
    <w:rsid w:val="0065339A"/>
    <w:rsid w:val="00653469"/>
    <w:rsid w:val="00654A38"/>
    <w:rsid w:val="00655301"/>
    <w:rsid w:val="00655371"/>
    <w:rsid w:val="00655507"/>
    <w:rsid w:val="00656C4B"/>
    <w:rsid w:val="00657279"/>
    <w:rsid w:val="006573EA"/>
    <w:rsid w:val="0066073F"/>
    <w:rsid w:val="006608ED"/>
    <w:rsid w:val="00660D2A"/>
    <w:rsid w:val="00661029"/>
    <w:rsid w:val="00661332"/>
    <w:rsid w:val="0066135A"/>
    <w:rsid w:val="00661A38"/>
    <w:rsid w:val="00661D29"/>
    <w:rsid w:val="0066272D"/>
    <w:rsid w:val="00662E58"/>
    <w:rsid w:val="00662F39"/>
    <w:rsid w:val="0066339A"/>
    <w:rsid w:val="006635A0"/>
    <w:rsid w:val="00664351"/>
    <w:rsid w:val="00665875"/>
    <w:rsid w:val="00665968"/>
    <w:rsid w:val="00665BF7"/>
    <w:rsid w:val="00666027"/>
    <w:rsid w:val="00666178"/>
    <w:rsid w:val="0066639E"/>
    <w:rsid w:val="00666473"/>
    <w:rsid w:val="00666C72"/>
    <w:rsid w:val="00666E6C"/>
    <w:rsid w:val="0066707F"/>
    <w:rsid w:val="00667ED8"/>
    <w:rsid w:val="00670298"/>
    <w:rsid w:val="0067064C"/>
    <w:rsid w:val="006707E7"/>
    <w:rsid w:val="00670B20"/>
    <w:rsid w:val="00670E12"/>
    <w:rsid w:val="00670F27"/>
    <w:rsid w:val="00672E80"/>
    <w:rsid w:val="00673252"/>
    <w:rsid w:val="0067333F"/>
    <w:rsid w:val="0067334B"/>
    <w:rsid w:val="006739E4"/>
    <w:rsid w:val="00673ECF"/>
    <w:rsid w:val="006740B6"/>
    <w:rsid w:val="0067426B"/>
    <w:rsid w:val="00674A1B"/>
    <w:rsid w:val="00674F1C"/>
    <w:rsid w:val="006751C3"/>
    <w:rsid w:val="006754F8"/>
    <w:rsid w:val="00675BD6"/>
    <w:rsid w:val="00676127"/>
    <w:rsid w:val="00676AED"/>
    <w:rsid w:val="00677203"/>
    <w:rsid w:val="00677E9C"/>
    <w:rsid w:val="00677F26"/>
    <w:rsid w:val="006800EE"/>
    <w:rsid w:val="006802A7"/>
    <w:rsid w:val="006811C9"/>
    <w:rsid w:val="006812CE"/>
    <w:rsid w:val="00682548"/>
    <w:rsid w:val="006826C1"/>
    <w:rsid w:val="00682C89"/>
    <w:rsid w:val="006832B8"/>
    <w:rsid w:val="006837B2"/>
    <w:rsid w:val="00683800"/>
    <w:rsid w:val="006839E9"/>
    <w:rsid w:val="00684462"/>
    <w:rsid w:val="00684C8A"/>
    <w:rsid w:val="00684CF5"/>
    <w:rsid w:val="0068553E"/>
    <w:rsid w:val="00685E7B"/>
    <w:rsid w:val="0068652A"/>
    <w:rsid w:val="00686551"/>
    <w:rsid w:val="00686B53"/>
    <w:rsid w:val="00686BD1"/>
    <w:rsid w:val="00686CAB"/>
    <w:rsid w:val="00686E4D"/>
    <w:rsid w:val="0068717F"/>
    <w:rsid w:val="0068719A"/>
    <w:rsid w:val="0068730C"/>
    <w:rsid w:val="00687504"/>
    <w:rsid w:val="00687702"/>
    <w:rsid w:val="00687A14"/>
    <w:rsid w:val="00687A8C"/>
    <w:rsid w:val="00690839"/>
    <w:rsid w:val="006908DB"/>
    <w:rsid w:val="00690B6E"/>
    <w:rsid w:val="00690DE9"/>
    <w:rsid w:val="00691095"/>
    <w:rsid w:val="00691BF2"/>
    <w:rsid w:val="00691DE9"/>
    <w:rsid w:val="00691EAA"/>
    <w:rsid w:val="00692245"/>
    <w:rsid w:val="00692FFA"/>
    <w:rsid w:val="00693772"/>
    <w:rsid w:val="00693984"/>
    <w:rsid w:val="00693B77"/>
    <w:rsid w:val="00694160"/>
    <w:rsid w:val="006943FB"/>
    <w:rsid w:val="00694E9F"/>
    <w:rsid w:val="006959A5"/>
    <w:rsid w:val="00695C0C"/>
    <w:rsid w:val="00695C5F"/>
    <w:rsid w:val="00696056"/>
    <w:rsid w:val="00696736"/>
    <w:rsid w:val="00696A05"/>
    <w:rsid w:val="00697665"/>
    <w:rsid w:val="006979BF"/>
    <w:rsid w:val="00697C9A"/>
    <w:rsid w:val="00697E68"/>
    <w:rsid w:val="00697FC1"/>
    <w:rsid w:val="006A0274"/>
    <w:rsid w:val="006A0706"/>
    <w:rsid w:val="006A0F2B"/>
    <w:rsid w:val="006A103E"/>
    <w:rsid w:val="006A19B2"/>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18F"/>
    <w:rsid w:val="006A64C6"/>
    <w:rsid w:val="006A6655"/>
    <w:rsid w:val="006A6BF9"/>
    <w:rsid w:val="006A70D3"/>
    <w:rsid w:val="006A7CB5"/>
    <w:rsid w:val="006A7FD0"/>
    <w:rsid w:val="006B00E4"/>
    <w:rsid w:val="006B025C"/>
    <w:rsid w:val="006B08ED"/>
    <w:rsid w:val="006B2534"/>
    <w:rsid w:val="006B2CB2"/>
    <w:rsid w:val="006B347D"/>
    <w:rsid w:val="006B3AFE"/>
    <w:rsid w:val="006B3E19"/>
    <w:rsid w:val="006B3FE2"/>
    <w:rsid w:val="006B4488"/>
    <w:rsid w:val="006B49FC"/>
    <w:rsid w:val="006B50C4"/>
    <w:rsid w:val="006B53AE"/>
    <w:rsid w:val="006B58B4"/>
    <w:rsid w:val="006B67AC"/>
    <w:rsid w:val="006B6DB3"/>
    <w:rsid w:val="006B786A"/>
    <w:rsid w:val="006B7A03"/>
    <w:rsid w:val="006B7A67"/>
    <w:rsid w:val="006B7D67"/>
    <w:rsid w:val="006B7E4E"/>
    <w:rsid w:val="006C003A"/>
    <w:rsid w:val="006C003B"/>
    <w:rsid w:val="006C074F"/>
    <w:rsid w:val="006C08E4"/>
    <w:rsid w:val="006C107C"/>
    <w:rsid w:val="006C1E56"/>
    <w:rsid w:val="006C1EA0"/>
    <w:rsid w:val="006C22B2"/>
    <w:rsid w:val="006C2454"/>
    <w:rsid w:val="006C2551"/>
    <w:rsid w:val="006C37CA"/>
    <w:rsid w:val="006C40D2"/>
    <w:rsid w:val="006C4A90"/>
    <w:rsid w:val="006C4BBD"/>
    <w:rsid w:val="006C4C26"/>
    <w:rsid w:val="006C58FA"/>
    <w:rsid w:val="006C5B15"/>
    <w:rsid w:val="006C5D00"/>
    <w:rsid w:val="006C5D32"/>
    <w:rsid w:val="006C5DCB"/>
    <w:rsid w:val="006C6475"/>
    <w:rsid w:val="006C70C4"/>
    <w:rsid w:val="006C724E"/>
    <w:rsid w:val="006C741F"/>
    <w:rsid w:val="006D0196"/>
    <w:rsid w:val="006D04DA"/>
    <w:rsid w:val="006D10F6"/>
    <w:rsid w:val="006D1544"/>
    <w:rsid w:val="006D1688"/>
    <w:rsid w:val="006D1DD3"/>
    <w:rsid w:val="006D1FF3"/>
    <w:rsid w:val="006D2A99"/>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8EE"/>
    <w:rsid w:val="006E155A"/>
    <w:rsid w:val="006E2C34"/>
    <w:rsid w:val="006E359B"/>
    <w:rsid w:val="006E39D1"/>
    <w:rsid w:val="006E3B05"/>
    <w:rsid w:val="006E437F"/>
    <w:rsid w:val="006E4D5B"/>
    <w:rsid w:val="006E589E"/>
    <w:rsid w:val="006E602F"/>
    <w:rsid w:val="006E6720"/>
    <w:rsid w:val="006E6F90"/>
    <w:rsid w:val="006E7275"/>
    <w:rsid w:val="006E77B8"/>
    <w:rsid w:val="006E7BE1"/>
    <w:rsid w:val="006E7E0B"/>
    <w:rsid w:val="006F13BA"/>
    <w:rsid w:val="006F15CC"/>
    <w:rsid w:val="006F15F6"/>
    <w:rsid w:val="006F1F32"/>
    <w:rsid w:val="006F36EA"/>
    <w:rsid w:val="006F4147"/>
    <w:rsid w:val="006F4315"/>
    <w:rsid w:val="006F4CB0"/>
    <w:rsid w:val="006F4F78"/>
    <w:rsid w:val="006F547E"/>
    <w:rsid w:val="006F5510"/>
    <w:rsid w:val="006F5CCF"/>
    <w:rsid w:val="006F5F09"/>
    <w:rsid w:val="006F6E5F"/>
    <w:rsid w:val="006F6F04"/>
    <w:rsid w:val="006F71F5"/>
    <w:rsid w:val="00700610"/>
    <w:rsid w:val="00700B9C"/>
    <w:rsid w:val="0070138A"/>
    <w:rsid w:val="0070157E"/>
    <w:rsid w:val="00701743"/>
    <w:rsid w:val="007024EF"/>
    <w:rsid w:val="007030D4"/>
    <w:rsid w:val="00703279"/>
    <w:rsid w:val="007036AE"/>
    <w:rsid w:val="00703B19"/>
    <w:rsid w:val="00703B61"/>
    <w:rsid w:val="00703E11"/>
    <w:rsid w:val="00704102"/>
    <w:rsid w:val="0070437C"/>
    <w:rsid w:val="0070461C"/>
    <w:rsid w:val="00704D4B"/>
    <w:rsid w:val="00705631"/>
    <w:rsid w:val="00705818"/>
    <w:rsid w:val="00705F62"/>
    <w:rsid w:val="0070773F"/>
    <w:rsid w:val="007078BD"/>
    <w:rsid w:val="00707ED3"/>
    <w:rsid w:val="007101B7"/>
    <w:rsid w:val="00710668"/>
    <w:rsid w:val="007110F4"/>
    <w:rsid w:val="007112B1"/>
    <w:rsid w:val="0071130F"/>
    <w:rsid w:val="00712714"/>
    <w:rsid w:val="00712839"/>
    <w:rsid w:val="007129AB"/>
    <w:rsid w:val="00712B63"/>
    <w:rsid w:val="00713526"/>
    <w:rsid w:val="00713799"/>
    <w:rsid w:val="00713FC5"/>
    <w:rsid w:val="007143A8"/>
    <w:rsid w:val="007146DF"/>
    <w:rsid w:val="00714DCA"/>
    <w:rsid w:val="00715BBF"/>
    <w:rsid w:val="00715C29"/>
    <w:rsid w:val="00715CBD"/>
    <w:rsid w:val="00715EAA"/>
    <w:rsid w:val="00716CAD"/>
    <w:rsid w:val="00716F18"/>
    <w:rsid w:val="00717363"/>
    <w:rsid w:val="00717786"/>
    <w:rsid w:val="00717AB6"/>
    <w:rsid w:val="00717ACB"/>
    <w:rsid w:val="007208A8"/>
    <w:rsid w:val="0072123A"/>
    <w:rsid w:val="0072138B"/>
    <w:rsid w:val="00721BFF"/>
    <w:rsid w:val="00723475"/>
    <w:rsid w:val="007235BD"/>
    <w:rsid w:val="007236C4"/>
    <w:rsid w:val="00723BF1"/>
    <w:rsid w:val="007242A2"/>
    <w:rsid w:val="00724635"/>
    <w:rsid w:val="00724F21"/>
    <w:rsid w:val="00725134"/>
    <w:rsid w:val="00725447"/>
    <w:rsid w:val="00725530"/>
    <w:rsid w:val="0072554B"/>
    <w:rsid w:val="00725AFD"/>
    <w:rsid w:val="00726603"/>
    <w:rsid w:val="007270EF"/>
    <w:rsid w:val="00727B1D"/>
    <w:rsid w:val="00727DDC"/>
    <w:rsid w:val="007301ED"/>
    <w:rsid w:val="00730CD6"/>
    <w:rsid w:val="00730F74"/>
    <w:rsid w:val="0073114B"/>
    <w:rsid w:val="00732151"/>
    <w:rsid w:val="007339EC"/>
    <w:rsid w:val="00733A9B"/>
    <w:rsid w:val="00733EE1"/>
    <w:rsid w:val="00734236"/>
    <w:rsid w:val="00734952"/>
    <w:rsid w:val="00734990"/>
    <w:rsid w:val="00734FF5"/>
    <w:rsid w:val="007356B8"/>
    <w:rsid w:val="00735B78"/>
    <w:rsid w:val="00735D85"/>
    <w:rsid w:val="00735DA7"/>
    <w:rsid w:val="007368B4"/>
    <w:rsid w:val="007378E0"/>
    <w:rsid w:val="00737D92"/>
    <w:rsid w:val="00740529"/>
    <w:rsid w:val="00740876"/>
    <w:rsid w:val="00741358"/>
    <w:rsid w:val="00741626"/>
    <w:rsid w:val="00742332"/>
    <w:rsid w:val="00742886"/>
    <w:rsid w:val="00742DD2"/>
    <w:rsid w:val="00742F60"/>
    <w:rsid w:val="007437C6"/>
    <w:rsid w:val="007441A2"/>
    <w:rsid w:val="00744E80"/>
    <w:rsid w:val="00745035"/>
    <w:rsid w:val="00745186"/>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16BE"/>
    <w:rsid w:val="007520F0"/>
    <w:rsid w:val="007522E8"/>
    <w:rsid w:val="00753BAC"/>
    <w:rsid w:val="00754A0B"/>
    <w:rsid w:val="00754DFE"/>
    <w:rsid w:val="007552DB"/>
    <w:rsid w:val="00755965"/>
    <w:rsid w:val="00755B08"/>
    <w:rsid w:val="00755DD0"/>
    <w:rsid w:val="0075647A"/>
    <w:rsid w:val="00756A2F"/>
    <w:rsid w:val="007573E1"/>
    <w:rsid w:val="0075749E"/>
    <w:rsid w:val="00757565"/>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5F28"/>
    <w:rsid w:val="00766896"/>
    <w:rsid w:val="00766ECC"/>
    <w:rsid w:val="007672F3"/>
    <w:rsid w:val="007677B5"/>
    <w:rsid w:val="007678B1"/>
    <w:rsid w:val="00770817"/>
    <w:rsid w:val="007708A8"/>
    <w:rsid w:val="00770D6E"/>
    <w:rsid w:val="0077184A"/>
    <w:rsid w:val="00772100"/>
    <w:rsid w:val="00772275"/>
    <w:rsid w:val="00772BEC"/>
    <w:rsid w:val="00772D4B"/>
    <w:rsid w:val="007734E4"/>
    <w:rsid w:val="0077380D"/>
    <w:rsid w:val="00773BC8"/>
    <w:rsid w:val="0077466F"/>
    <w:rsid w:val="007752B7"/>
    <w:rsid w:val="00775597"/>
    <w:rsid w:val="007757DC"/>
    <w:rsid w:val="007759A8"/>
    <w:rsid w:val="00775C27"/>
    <w:rsid w:val="00775D98"/>
    <w:rsid w:val="0077644C"/>
    <w:rsid w:val="00776FE5"/>
    <w:rsid w:val="00777101"/>
    <w:rsid w:val="007774E7"/>
    <w:rsid w:val="0077768C"/>
    <w:rsid w:val="00777696"/>
    <w:rsid w:val="00777DD1"/>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42D6"/>
    <w:rsid w:val="00784FC4"/>
    <w:rsid w:val="00785353"/>
    <w:rsid w:val="00785BBB"/>
    <w:rsid w:val="00786937"/>
    <w:rsid w:val="00786FAD"/>
    <w:rsid w:val="00787812"/>
    <w:rsid w:val="00787D90"/>
    <w:rsid w:val="00787F5E"/>
    <w:rsid w:val="00790164"/>
    <w:rsid w:val="00790A24"/>
    <w:rsid w:val="00790A37"/>
    <w:rsid w:val="00790A60"/>
    <w:rsid w:val="00790CE0"/>
    <w:rsid w:val="0079146D"/>
    <w:rsid w:val="00791C32"/>
    <w:rsid w:val="00791FF0"/>
    <w:rsid w:val="007923D0"/>
    <w:rsid w:val="00792E15"/>
    <w:rsid w:val="007930D3"/>
    <w:rsid w:val="0079381F"/>
    <w:rsid w:val="00793A57"/>
    <w:rsid w:val="00793B2E"/>
    <w:rsid w:val="007948F5"/>
    <w:rsid w:val="00795647"/>
    <w:rsid w:val="007963F6"/>
    <w:rsid w:val="0079670D"/>
    <w:rsid w:val="007968B8"/>
    <w:rsid w:val="00796AFE"/>
    <w:rsid w:val="00796DC8"/>
    <w:rsid w:val="00796E80"/>
    <w:rsid w:val="0079744F"/>
    <w:rsid w:val="007979AD"/>
    <w:rsid w:val="00797A9C"/>
    <w:rsid w:val="007A00FA"/>
    <w:rsid w:val="007A0EAB"/>
    <w:rsid w:val="007A0FEC"/>
    <w:rsid w:val="007A2341"/>
    <w:rsid w:val="007A2476"/>
    <w:rsid w:val="007A2754"/>
    <w:rsid w:val="007A38A1"/>
    <w:rsid w:val="007A3BBE"/>
    <w:rsid w:val="007A4766"/>
    <w:rsid w:val="007A5747"/>
    <w:rsid w:val="007A5947"/>
    <w:rsid w:val="007A5C22"/>
    <w:rsid w:val="007A5DB3"/>
    <w:rsid w:val="007A666C"/>
    <w:rsid w:val="007A717B"/>
    <w:rsid w:val="007B0313"/>
    <w:rsid w:val="007B070D"/>
    <w:rsid w:val="007B0854"/>
    <w:rsid w:val="007B0E48"/>
    <w:rsid w:val="007B1162"/>
    <w:rsid w:val="007B1A0E"/>
    <w:rsid w:val="007B1D1B"/>
    <w:rsid w:val="007B2A72"/>
    <w:rsid w:val="007B303E"/>
    <w:rsid w:val="007B316A"/>
    <w:rsid w:val="007B32C0"/>
    <w:rsid w:val="007B32F7"/>
    <w:rsid w:val="007B3659"/>
    <w:rsid w:val="007B38B5"/>
    <w:rsid w:val="007B3BF3"/>
    <w:rsid w:val="007B431B"/>
    <w:rsid w:val="007B4558"/>
    <w:rsid w:val="007B4632"/>
    <w:rsid w:val="007B46A2"/>
    <w:rsid w:val="007B4828"/>
    <w:rsid w:val="007B4B2D"/>
    <w:rsid w:val="007B4BA9"/>
    <w:rsid w:val="007B4D4A"/>
    <w:rsid w:val="007B4E4F"/>
    <w:rsid w:val="007B513D"/>
    <w:rsid w:val="007B53DA"/>
    <w:rsid w:val="007B53DB"/>
    <w:rsid w:val="007B5428"/>
    <w:rsid w:val="007B59B7"/>
    <w:rsid w:val="007B5F71"/>
    <w:rsid w:val="007B6C64"/>
    <w:rsid w:val="007B6EC8"/>
    <w:rsid w:val="007B6F81"/>
    <w:rsid w:val="007B7183"/>
    <w:rsid w:val="007B7EA2"/>
    <w:rsid w:val="007C097D"/>
    <w:rsid w:val="007C0AF2"/>
    <w:rsid w:val="007C11CE"/>
    <w:rsid w:val="007C1672"/>
    <w:rsid w:val="007C2128"/>
    <w:rsid w:val="007C312A"/>
    <w:rsid w:val="007C34A9"/>
    <w:rsid w:val="007C3570"/>
    <w:rsid w:val="007C3920"/>
    <w:rsid w:val="007C3BFC"/>
    <w:rsid w:val="007C3F3B"/>
    <w:rsid w:val="007C41A6"/>
    <w:rsid w:val="007C4241"/>
    <w:rsid w:val="007C425E"/>
    <w:rsid w:val="007C55FF"/>
    <w:rsid w:val="007C59E6"/>
    <w:rsid w:val="007C6339"/>
    <w:rsid w:val="007C6A4D"/>
    <w:rsid w:val="007C753F"/>
    <w:rsid w:val="007C790C"/>
    <w:rsid w:val="007C7C43"/>
    <w:rsid w:val="007C7F0D"/>
    <w:rsid w:val="007D06E3"/>
    <w:rsid w:val="007D0CE3"/>
    <w:rsid w:val="007D0E8D"/>
    <w:rsid w:val="007D1134"/>
    <w:rsid w:val="007D17F0"/>
    <w:rsid w:val="007D20BB"/>
    <w:rsid w:val="007D23F7"/>
    <w:rsid w:val="007D2566"/>
    <w:rsid w:val="007D2C18"/>
    <w:rsid w:val="007D2D74"/>
    <w:rsid w:val="007D2E1F"/>
    <w:rsid w:val="007D3693"/>
    <w:rsid w:val="007D3C20"/>
    <w:rsid w:val="007D3C6D"/>
    <w:rsid w:val="007D3EE2"/>
    <w:rsid w:val="007D42D3"/>
    <w:rsid w:val="007D481A"/>
    <w:rsid w:val="007D4ED0"/>
    <w:rsid w:val="007D5648"/>
    <w:rsid w:val="007D58C5"/>
    <w:rsid w:val="007D5BC9"/>
    <w:rsid w:val="007D5DE8"/>
    <w:rsid w:val="007D6102"/>
    <w:rsid w:val="007D7CFC"/>
    <w:rsid w:val="007E05D9"/>
    <w:rsid w:val="007E0812"/>
    <w:rsid w:val="007E1541"/>
    <w:rsid w:val="007E18DF"/>
    <w:rsid w:val="007E1CB1"/>
    <w:rsid w:val="007E2C36"/>
    <w:rsid w:val="007E3309"/>
    <w:rsid w:val="007E350D"/>
    <w:rsid w:val="007E3A0A"/>
    <w:rsid w:val="007E3ACA"/>
    <w:rsid w:val="007E3C2B"/>
    <w:rsid w:val="007E496E"/>
    <w:rsid w:val="007E5034"/>
    <w:rsid w:val="007E564D"/>
    <w:rsid w:val="007E5C4A"/>
    <w:rsid w:val="007E64D4"/>
    <w:rsid w:val="007E66E9"/>
    <w:rsid w:val="007E69F2"/>
    <w:rsid w:val="007E7432"/>
    <w:rsid w:val="007E74BF"/>
    <w:rsid w:val="007E7D65"/>
    <w:rsid w:val="007F14D3"/>
    <w:rsid w:val="007F16C0"/>
    <w:rsid w:val="007F1A8A"/>
    <w:rsid w:val="007F1D9D"/>
    <w:rsid w:val="007F1E28"/>
    <w:rsid w:val="007F1F63"/>
    <w:rsid w:val="007F22A0"/>
    <w:rsid w:val="007F2903"/>
    <w:rsid w:val="007F2F90"/>
    <w:rsid w:val="007F3320"/>
    <w:rsid w:val="007F3AC1"/>
    <w:rsid w:val="007F4976"/>
    <w:rsid w:val="007F49FD"/>
    <w:rsid w:val="007F4CF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83A"/>
    <w:rsid w:val="00803AF8"/>
    <w:rsid w:val="00803D9D"/>
    <w:rsid w:val="0080543F"/>
    <w:rsid w:val="008059C6"/>
    <w:rsid w:val="00805AD7"/>
    <w:rsid w:val="00805B03"/>
    <w:rsid w:val="00805BD6"/>
    <w:rsid w:val="00805DE3"/>
    <w:rsid w:val="0080683F"/>
    <w:rsid w:val="00807C35"/>
    <w:rsid w:val="00807F35"/>
    <w:rsid w:val="00807F69"/>
    <w:rsid w:val="008100F7"/>
    <w:rsid w:val="00810206"/>
    <w:rsid w:val="00811898"/>
    <w:rsid w:val="00811AC2"/>
    <w:rsid w:val="00811CDC"/>
    <w:rsid w:val="008124D8"/>
    <w:rsid w:val="0081250A"/>
    <w:rsid w:val="00813A7B"/>
    <w:rsid w:val="00813F04"/>
    <w:rsid w:val="00814AF1"/>
    <w:rsid w:val="0081513E"/>
    <w:rsid w:val="00815DA5"/>
    <w:rsid w:val="00816169"/>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00F"/>
    <w:rsid w:val="0082348D"/>
    <w:rsid w:val="008236BE"/>
    <w:rsid w:val="00823FEA"/>
    <w:rsid w:val="008241CE"/>
    <w:rsid w:val="00825240"/>
    <w:rsid w:val="00825595"/>
    <w:rsid w:val="0082585B"/>
    <w:rsid w:val="00825B43"/>
    <w:rsid w:val="00826D3A"/>
    <w:rsid w:val="00826F71"/>
    <w:rsid w:val="00827818"/>
    <w:rsid w:val="00827CC0"/>
    <w:rsid w:val="00830BAF"/>
    <w:rsid w:val="00830D29"/>
    <w:rsid w:val="00831026"/>
    <w:rsid w:val="0083119B"/>
    <w:rsid w:val="00831BAE"/>
    <w:rsid w:val="00832216"/>
    <w:rsid w:val="0083261D"/>
    <w:rsid w:val="00832CD0"/>
    <w:rsid w:val="00832F8C"/>
    <w:rsid w:val="00833430"/>
    <w:rsid w:val="0083382A"/>
    <w:rsid w:val="00834128"/>
    <w:rsid w:val="0083417F"/>
    <w:rsid w:val="00834A0D"/>
    <w:rsid w:val="00835143"/>
    <w:rsid w:val="0083569B"/>
    <w:rsid w:val="00835741"/>
    <w:rsid w:val="00836E74"/>
    <w:rsid w:val="00836EAB"/>
    <w:rsid w:val="00836FDF"/>
    <w:rsid w:val="008375B1"/>
    <w:rsid w:val="00837673"/>
    <w:rsid w:val="00837937"/>
    <w:rsid w:val="00837D82"/>
    <w:rsid w:val="00840893"/>
    <w:rsid w:val="00840E88"/>
    <w:rsid w:val="00840EAE"/>
    <w:rsid w:val="008410D3"/>
    <w:rsid w:val="0084120E"/>
    <w:rsid w:val="008412CD"/>
    <w:rsid w:val="008423EC"/>
    <w:rsid w:val="008426F8"/>
    <w:rsid w:val="008429A6"/>
    <w:rsid w:val="00843615"/>
    <w:rsid w:val="00843698"/>
    <w:rsid w:val="00843A4B"/>
    <w:rsid w:val="00843B57"/>
    <w:rsid w:val="00843B60"/>
    <w:rsid w:val="00843D33"/>
    <w:rsid w:val="008440DF"/>
    <w:rsid w:val="008444F0"/>
    <w:rsid w:val="00844CA4"/>
    <w:rsid w:val="00844D4F"/>
    <w:rsid w:val="00845AE3"/>
    <w:rsid w:val="008466A0"/>
    <w:rsid w:val="00847535"/>
    <w:rsid w:val="00847B6D"/>
    <w:rsid w:val="0085092D"/>
    <w:rsid w:val="00850C79"/>
    <w:rsid w:val="00850D82"/>
    <w:rsid w:val="00850F44"/>
    <w:rsid w:val="00850F79"/>
    <w:rsid w:val="0085100B"/>
    <w:rsid w:val="00852C30"/>
    <w:rsid w:val="00852C43"/>
    <w:rsid w:val="00852E6D"/>
    <w:rsid w:val="0085304C"/>
    <w:rsid w:val="008536BB"/>
    <w:rsid w:val="00853A3C"/>
    <w:rsid w:val="008548CA"/>
    <w:rsid w:val="008562D3"/>
    <w:rsid w:val="008565D9"/>
    <w:rsid w:val="00856B9F"/>
    <w:rsid w:val="00856C06"/>
    <w:rsid w:val="008578B1"/>
    <w:rsid w:val="0085790B"/>
    <w:rsid w:val="008579B9"/>
    <w:rsid w:val="00857C95"/>
    <w:rsid w:val="00857E78"/>
    <w:rsid w:val="00860AEF"/>
    <w:rsid w:val="00860B18"/>
    <w:rsid w:val="00860D5E"/>
    <w:rsid w:val="0086122C"/>
    <w:rsid w:val="00861310"/>
    <w:rsid w:val="00861E75"/>
    <w:rsid w:val="00861F53"/>
    <w:rsid w:val="0086289E"/>
    <w:rsid w:val="008629CB"/>
    <w:rsid w:val="0086327F"/>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0E6F"/>
    <w:rsid w:val="008715ED"/>
    <w:rsid w:val="008717D8"/>
    <w:rsid w:val="00871E3C"/>
    <w:rsid w:val="00872CC1"/>
    <w:rsid w:val="00872F97"/>
    <w:rsid w:val="00874607"/>
    <w:rsid w:val="00874915"/>
    <w:rsid w:val="00874B89"/>
    <w:rsid w:val="00874E7B"/>
    <w:rsid w:val="00875403"/>
    <w:rsid w:val="00875434"/>
    <w:rsid w:val="00875C1F"/>
    <w:rsid w:val="00876215"/>
    <w:rsid w:val="0087646C"/>
    <w:rsid w:val="00876815"/>
    <w:rsid w:val="00877932"/>
    <w:rsid w:val="008808C7"/>
    <w:rsid w:val="0088106B"/>
    <w:rsid w:val="0088107D"/>
    <w:rsid w:val="00881E64"/>
    <w:rsid w:val="00882D24"/>
    <w:rsid w:val="00882E39"/>
    <w:rsid w:val="00883CF4"/>
    <w:rsid w:val="00884C1E"/>
    <w:rsid w:val="008850EB"/>
    <w:rsid w:val="00885228"/>
    <w:rsid w:val="00886114"/>
    <w:rsid w:val="00886C32"/>
    <w:rsid w:val="00886DF2"/>
    <w:rsid w:val="00886FB9"/>
    <w:rsid w:val="00887057"/>
    <w:rsid w:val="00887080"/>
    <w:rsid w:val="00887C79"/>
    <w:rsid w:val="00887D54"/>
    <w:rsid w:val="00887E72"/>
    <w:rsid w:val="0089107B"/>
    <w:rsid w:val="008913CC"/>
    <w:rsid w:val="008914AE"/>
    <w:rsid w:val="008915C4"/>
    <w:rsid w:val="008919CF"/>
    <w:rsid w:val="00891F84"/>
    <w:rsid w:val="008928EC"/>
    <w:rsid w:val="00892E5D"/>
    <w:rsid w:val="008935CF"/>
    <w:rsid w:val="0089436B"/>
    <w:rsid w:val="00894436"/>
    <w:rsid w:val="0089494C"/>
    <w:rsid w:val="00894BB1"/>
    <w:rsid w:val="008951D0"/>
    <w:rsid w:val="00895624"/>
    <w:rsid w:val="00895828"/>
    <w:rsid w:val="0089582D"/>
    <w:rsid w:val="008959C6"/>
    <w:rsid w:val="00895E8C"/>
    <w:rsid w:val="0089606D"/>
    <w:rsid w:val="00896129"/>
    <w:rsid w:val="00896316"/>
    <w:rsid w:val="0089774F"/>
    <w:rsid w:val="00897875"/>
    <w:rsid w:val="00897B8F"/>
    <w:rsid w:val="008A00D9"/>
    <w:rsid w:val="008A07D5"/>
    <w:rsid w:val="008A15D3"/>
    <w:rsid w:val="008A16E8"/>
    <w:rsid w:val="008A1E94"/>
    <w:rsid w:val="008A1FB7"/>
    <w:rsid w:val="008A229A"/>
    <w:rsid w:val="008A2A23"/>
    <w:rsid w:val="008A2AF5"/>
    <w:rsid w:val="008A2B5A"/>
    <w:rsid w:val="008A3840"/>
    <w:rsid w:val="008A3F9D"/>
    <w:rsid w:val="008A4B42"/>
    <w:rsid w:val="008A5474"/>
    <w:rsid w:val="008A5542"/>
    <w:rsid w:val="008A5C9A"/>
    <w:rsid w:val="008A6005"/>
    <w:rsid w:val="008A614F"/>
    <w:rsid w:val="008A6A55"/>
    <w:rsid w:val="008A6DF0"/>
    <w:rsid w:val="008A6F6E"/>
    <w:rsid w:val="008A73C4"/>
    <w:rsid w:val="008A7888"/>
    <w:rsid w:val="008A796E"/>
    <w:rsid w:val="008B0862"/>
    <w:rsid w:val="008B088C"/>
    <w:rsid w:val="008B1BF5"/>
    <w:rsid w:val="008B263F"/>
    <w:rsid w:val="008B2686"/>
    <w:rsid w:val="008B3045"/>
    <w:rsid w:val="008B47A6"/>
    <w:rsid w:val="008B4E7A"/>
    <w:rsid w:val="008B672C"/>
    <w:rsid w:val="008B6A60"/>
    <w:rsid w:val="008B7ABE"/>
    <w:rsid w:val="008C065F"/>
    <w:rsid w:val="008C0743"/>
    <w:rsid w:val="008C0B4C"/>
    <w:rsid w:val="008C0D9F"/>
    <w:rsid w:val="008C11F0"/>
    <w:rsid w:val="008C1704"/>
    <w:rsid w:val="008C1DBA"/>
    <w:rsid w:val="008C2291"/>
    <w:rsid w:val="008C234C"/>
    <w:rsid w:val="008C24E7"/>
    <w:rsid w:val="008C2500"/>
    <w:rsid w:val="008C2BC1"/>
    <w:rsid w:val="008C2CAC"/>
    <w:rsid w:val="008C2E00"/>
    <w:rsid w:val="008C3C57"/>
    <w:rsid w:val="008C3E2A"/>
    <w:rsid w:val="008C45BD"/>
    <w:rsid w:val="008C4B19"/>
    <w:rsid w:val="008C515F"/>
    <w:rsid w:val="008C62D4"/>
    <w:rsid w:val="008C6B89"/>
    <w:rsid w:val="008C6CBF"/>
    <w:rsid w:val="008C7436"/>
    <w:rsid w:val="008D09D5"/>
    <w:rsid w:val="008D161D"/>
    <w:rsid w:val="008D18AA"/>
    <w:rsid w:val="008D1A2A"/>
    <w:rsid w:val="008D1ADE"/>
    <w:rsid w:val="008D35D9"/>
    <w:rsid w:val="008D3B85"/>
    <w:rsid w:val="008D462D"/>
    <w:rsid w:val="008D47E6"/>
    <w:rsid w:val="008D560B"/>
    <w:rsid w:val="008D6084"/>
    <w:rsid w:val="008D64AC"/>
    <w:rsid w:val="008D66CA"/>
    <w:rsid w:val="008D69B1"/>
    <w:rsid w:val="008D7338"/>
    <w:rsid w:val="008D785E"/>
    <w:rsid w:val="008E0012"/>
    <w:rsid w:val="008E0DF7"/>
    <w:rsid w:val="008E0FAD"/>
    <w:rsid w:val="008E1035"/>
    <w:rsid w:val="008E11E4"/>
    <w:rsid w:val="008E1252"/>
    <w:rsid w:val="008E1347"/>
    <w:rsid w:val="008E16E0"/>
    <w:rsid w:val="008E1C15"/>
    <w:rsid w:val="008E1C9A"/>
    <w:rsid w:val="008E28BD"/>
    <w:rsid w:val="008E30C4"/>
    <w:rsid w:val="008E38B4"/>
    <w:rsid w:val="008E3BA4"/>
    <w:rsid w:val="008E41FD"/>
    <w:rsid w:val="008E44AB"/>
    <w:rsid w:val="008E4E27"/>
    <w:rsid w:val="008E5179"/>
    <w:rsid w:val="008E57FE"/>
    <w:rsid w:val="008E6226"/>
    <w:rsid w:val="008E6401"/>
    <w:rsid w:val="008E6598"/>
    <w:rsid w:val="008E6CC2"/>
    <w:rsid w:val="008E7214"/>
    <w:rsid w:val="008E7884"/>
    <w:rsid w:val="008E7D6E"/>
    <w:rsid w:val="008F0D02"/>
    <w:rsid w:val="008F1056"/>
    <w:rsid w:val="008F16F3"/>
    <w:rsid w:val="008F25BF"/>
    <w:rsid w:val="008F2E8D"/>
    <w:rsid w:val="008F361D"/>
    <w:rsid w:val="008F3839"/>
    <w:rsid w:val="008F387B"/>
    <w:rsid w:val="008F3952"/>
    <w:rsid w:val="008F3DD9"/>
    <w:rsid w:val="008F4814"/>
    <w:rsid w:val="008F4DA6"/>
    <w:rsid w:val="008F538E"/>
    <w:rsid w:val="008F5A20"/>
    <w:rsid w:val="008F5ABA"/>
    <w:rsid w:val="008F71AB"/>
    <w:rsid w:val="008F7383"/>
    <w:rsid w:val="008F7905"/>
    <w:rsid w:val="008F7989"/>
    <w:rsid w:val="00901F1D"/>
    <w:rsid w:val="009020B3"/>
    <w:rsid w:val="00902851"/>
    <w:rsid w:val="009028E8"/>
    <w:rsid w:val="00902E5C"/>
    <w:rsid w:val="0090363E"/>
    <w:rsid w:val="009046E5"/>
    <w:rsid w:val="009047C5"/>
    <w:rsid w:val="00910683"/>
    <w:rsid w:val="00910E00"/>
    <w:rsid w:val="009116CE"/>
    <w:rsid w:val="00911714"/>
    <w:rsid w:val="00911D04"/>
    <w:rsid w:val="00911EFF"/>
    <w:rsid w:val="00912C6C"/>
    <w:rsid w:val="009136D4"/>
    <w:rsid w:val="00914159"/>
    <w:rsid w:val="00914B9A"/>
    <w:rsid w:val="00914C3F"/>
    <w:rsid w:val="00914F33"/>
    <w:rsid w:val="00914FF0"/>
    <w:rsid w:val="0091542B"/>
    <w:rsid w:val="00915FCE"/>
    <w:rsid w:val="00916722"/>
    <w:rsid w:val="0091698B"/>
    <w:rsid w:val="00916AFE"/>
    <w:rsid w:val="00916FC8"/>
    <w:rsid w:val="009170D3"/>
    <w:rsid w:val="0091759C"/>
    <w:rsid w:val="00920026"/>
    <w:rsid w:val="009203E2"/>
    <w:rsid w:val="00920F61"/>
    <w:rsid w:val="00921304"/>
    <w:rsid w:val="00921395"/>
    <w:rsid w:val="00921805"/>
    <w:rsid w:val="00921BFC"/>
    <w:rsid w:val="00921E63"/>
    <w:rsid w:val="00922625"/>
    <w:rsid w:val="00923396"/>
    <w:rsid w:val="00923534"/>
    <w:rsid w:val="00923F56"/>
    <w:rsid w:val="00925346"/>
    <w:rsid w:val="00925743"/>
    <w:rsid w:val="0092579F"/>
    <w:rsid w:val="009259C5"/>
    <w:rsid w:val="00925BC6"/>
    <w:rsid w:val="00927E8D"/>
    <w:rsid w:val="00927F23"/>
    <w:rsid w:val="009307CD"/>
    <w:rsid w:val="00930A90"/>
    <w:rsid w:val="009310C5"/>
    <w:rsid w:val="00931365"/>
    <w:rsid w:val="00931451"/>
    <w:rsid w:val="009314FA"/>
    <w:rsid w:val="009315CF"/>
    <w:rsid w:val="0093194F"/>
    <w:rsid w:val="00931BF3"/>
    <w:rsid w:val="00931C55"/>
    <w:rsid w:val="00933333"/>
    <w:rsid w:val="0093349A"/>
    <w:rsid w:val="009338BA"/>
    <w:rsid w:val="00933FCB"/>
    <w:rsid w:val="00934488"/>
    <w:rsid w:val="00934537"/>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131"/>
    <w:rsid w:val="009413C0"/>
    <w:rsid w:val="009415BB"/>
    <w:rsid w:val="00941AFA"/>
    <w:rsid w:val="00941FA9"/>
    <w:rsid w:val="009444B4"/>
    <w:rsid w:val="00944644"/>
    <w:rsid w:val="00944C27"/>
    <w:rsid w:val="00946603"/>
    <w:rsid w:val="00946A24"/>
    <w:rsid w:val="009470D4"/>
    <w:rsid w:val="00947337"/>
    <w:rsid w:val="00947E6E"/>
    <w:rsid w:val="009501ED"/>
    <w:rsid w:val="00950ABC"/>
    <w:rsid w:val="009512FA"/>
    <w:rsid w:val="009516A9"/>
    <w:rsid w:val="00951E57"/>
    <w:rsid w:val="00952505"/>
    <w:rsid w:val="00953018"/>
    <w:rsid w:val="009533E2"/>
    <w:rsid w:val="00953554"/>
    <w:rsid w:val="0095385A"/>
    <w:rsid w:val="00953F49"/>
    <w:rsid w:val="00955021"/>
    <w:rsid w:val="0095560F"/>
    <w:rsid w:val="00955AB4"/>
    <w:rsid w:val="0095780A"/>
    <w:rsid w:val="009578C3"/>
    <w:rsid w:val="009579E4"/>
    <w:rsid w:val="00957AA4"/>
    <w:rsid w:val="00957ACB"/>
    <w:rsid w:val="00957CC5"/>
    <w:rsid w:val="00957F27"/>
    <w:rsid w:val="00960156"/>
    <w:rsid w:val="00960198"/>
    <w:rsid w:val="00960BDB"/>
    <w:rsid w:val="00960C11"/>
    <w:rsid w:val="00960D2E"/>
    <w:rsid w:val="0096105C"/>
    <w:rsid w:val="0096147D"/>
    <w:rsid w:val="00961D53"/>
    <w:rsid w:val="00961E5F"/>
    <w:rsid w:val="009625C6"/>
    <w:rsid w:val="009629B5"/>
    <w:rsid w:val="00962A50"/>
    <w:rsid w:val="0096409A"/>
    <w:rsid w:val="00964138"/>
    <w:rsid w:val="009648D6"/>
    <w:rsid w:val="00964B3F"/>
    <w:rsid w:val="00964C98"/>
    <w:rsid w:val="00965DAF"/>
    <w:rsid w:val="00965DF2"/>
    <w:rsid w:val="00971053"/>
    <w:rsid w:val="009710E5"/>
    <w:rsid w:val="00971441"/>
    <w:rsid w:val="009715D4"/>
    <w:rsid w:val="0097179A"/>
    <w:rsid w:val="00972959"/>
    <w:rsid w:val="009732A4"/>
    <w:rsid w:val="00973838"/>
    <w:rsid w:val="009739A8"/>
    <w:rsid w:val="00973C05"/>
    <w:rsid w:val="00973ECE"/>
    <w:rsid w:val="009742A3"/>
    <w:rsid w:val="0097494E"/>
    <w:rsid w:val="00974999"/>
    <w:rsid w:val="00974B58"/>
    <w:rsid w:val="00975445"/>
    <w:rsid w:val="0097568E"/>
    <w:rsid w:val="009761ED"/>
    <w:rsid w:val="0097670B"/>
    <w:rsid w:val="00976B37"/>
    <w:rsid w:val="0097769A"/>
    <w:rsid w:val="00980206"/>
    <w:rsid w:val="0098022F"/>
    <w:rsid w:val="00980EAB"/>
    <w:rsid w:val="009810DE"/>
    <w:rsid w:val="00981B91"/>
    <w:rsid w:val="00981DFC"/>
    <w:rsid w:val="009822D7"/>
    <w:rsid w:val="009827E6"/>
    <w:rsid w:val="00982F84"/>
    <w:rsid w:val="00983EAA"/>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33E"/>
    <w:rsid w:val="0099349E"/>
    <w:rsid w:val="00993B78"/>
    <w:rsid w:val="00993DBE"/>
    <w:rsid w:val="00994C7D"/>
    <w:rsid w:val="00995119"/>
    <w:rsid w:val="0099531F"/>
    <w:rsid w:val="009953AD"/>
    <w:rsid w:val="0099583D"/>
    <w:rsid w:val="00995B3A"/>
    <w:rsid w:val="00995BB3"/>
    <w:rsid w:val="00996020"/>
    <w:rsid w:val="00996992"/>
    <w:rsid w:val="00996E1E"/>
    <w:rsid w:val="00997148"/>
    <w:rsid w:val="00997392"/>
    <w:rsid w:val="0099747C"/>
    <w:rsid w:val="0099771C"/>
    <w:rsid w:val="009A01E4"/>
    <w:rsid w:val="009A0917"/>
    <w:rsid w:val="009A0A33"/>
    <w:rsid w:val="009A0F66"/>
    <w:rsid w:val="009A1351"/>
    <w:rsid w:val="009A2435"/>
    <w:rsid w:val="009A24CE"/>
    <w:rsid w:val="009A254A"/>
    <w:rsid w:val="009A35DC"/>
    <w:rsid w:val="009A38AB"/>
    <w:rsid w:val="009A39DD"/>
    <w:rsid w:val="009A3D47"/>
    <w:rsid w:val="009A3DE2"/>
    <w:rsid w:val="009A3EDE"/>
    <w:rsid w:val="009A4D63"/>
    <w:rsid w:val="009A5356"/>
    <w:rsid w:val="009A5468"/>
    <w:rsid w:val="009A5695"/>
    <w:rsid w:val="009A5D99"/>
    <w:rsid w:val="009A608C"/>
    <w:rsid w:val="009A6FDF"/>
    <w:rsid w:val="009A715F"/>
    <w:rsid w:val="009A71C1"/>
    <w:rsid w:val="009A76D6"/>
    <w:rsid w:val="009B043F"/>
    <w:rsid w:val="009B2374"/>
    <w:rsid w:val="009B24B2"/>
    <w:rsid w:val="009B272D"/>
    <w:rsid w:val="009B2A8C"/>
    <w:rsid w:val="009B2E29"/>
    <w:rsid w:val="009B3163"/>
    <w:rsid w:val="009B422F"/>
    <w:rsid w:val="009B46BC"/>
    <w:rsid w:val="009B4D1A"/>
    <w:rsid w:val="009B4D85"/>
    <w:rsid w:val="009B502F"/>
    <w:rsid w:val="009B558B"/>
    <w:rsid w:val="009B5F29"/>
    <w:rsid w:val="009B6A34"/>
    <w:rsid w:val="009B6D21"/>
    <w:rsid w:val="009B6DCD"/>
    <w:rsid w:val="009B707D"/>
    <w:rsid w:val="009B78ED"/>
    <w:rsid w:val="009C048D"/>
    <w:rsid w:val="009C181C"/>
    <w:rsid w:val="009C1A44"/>
    <w:rsid w:val="009C1C7F"/>
    <w:rsid w:val="009C1EC7"/>
    <w:rsid w:val="009C24A7"/>
    <w:rsid w:val="009C260C"/>
    <w:rsid w:val="009C28A2"/>
    <w:rsid w:val="009C3239"/>
    <w:rsid w:val="009C37CE"/>
    <w:rsid w:val="009C3828"/>
    <w:rsid w:val="009C3AD3"/>
    <w:rsid w:val="009C3AF4"/>
    <w:rsid w:val="009C3D2C"/>
    <w:rsid w:val="009C3E79"/>
    <w:rsid w:val="009C4987"/>
    <w:rsid w:val="009C4FDE"/>
    <w:rsid w:val="009C523F"/>
    <w:rsid w:val="009C59BF"/>
    <w:rsid w:val="009C5B6B"/>
    <w:rsid w:val="009C5E4F"/>
    <w:rsid w:val="009C5F64"/>
    <w:rsid w:val="009C5F82"/>
    <w:rsid w:val="009C60EA"/>
    <w:rsid w:val="009C659B"/>
    <w:rsid w:val="009C6BFC"/>
    <w:rsid w:val="009C70F8"/>
    <w:rsid w:val="009C72FA"/>
    <w:rsid w:val="009C75FC"/>
    <w:rsid w:val="009C78A3"/>
    <w:rsid w:val="009C7E68"/>
    <w:rsid w:val="009D00D7"/>
    <w:rsid w:val="009D0156"/>
    <w:rsid w:val="009D0280"/>
    <w:rsid w:val="009D05DA"/>
    <w:rsid w:val="009D07AE"/>
    <w:rsid w:val="009D11F6"/>
    <w:rsid w:val="009D1A14"/>
    <w:rsid w:val="009D1E2A"/>
    <w:rsid w:val="009D1F8D"/>
    <w:rsid w:val="009D1FA0"/>
    <w:rsid w:val="009D265C"/>
    <w:rsid w:val="009D2BDF"/>
    <w:rsid w:val="009D3736"/>
    <w:rsid w:val="009D3C84"/>
    <w:rsid w:val="009D4529"/>
    <w:rsid w:val="009D5118"/>
    <w:rsid w:val="009D604F"/>
    <w:rsid w:val="009D61BB"/>
    <w:rsid w:val="009D6410"/>
    <w:rsid w:val="009D68BB"/>
    <w:rsid w:val="009D70C2"/>
    <w:rsid w:val="009D7ADB"/>
    <w:rsid w:val="009D7B33"/>
    <w:rsid w:val="009E06C3"/>
    <w:rsid w:val="009E0703"/>
    <w:rsid w:val="009E0EFC"/>
    <w:rsid w:val="009E1035"/>
    <w:rsid w:val="009E16DA"/>
    <w:rsid w:val="009E1A00"/>
    <w:rsid w:val="009E1CD4"/>
    <w:rsid w:val="009E2391"/>
    <w:rsid w:val="009E2865"/>
    <w:rsid w:val="009E2EF9"/>
    <w:rsid w:val="009E304F"/>
    <w:rsid w:val="009E30CC"/>
    <w:rsid w:val="009E34A5"/>
    <w:rsid w:val="009E4648"/>
    <w:rsid w:val="009E476A"/>
    <w:rsid w:val="009E4E05"/>
    <w:rsid w:val="009E56FF"/>
    <w:rsid w:val="009E5960"/>
    <w:rsid w:val="009E598D"/>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38EA"/>
    <w:rsid w:val="009F4990"/>
    <w:rsid w:val="009F4F25"/>
    <w:rsid w:val="009F57C7"/>
    <w:rsid w:val="009F59C2"/>
    <w:rsid w:val="009F5A5A"/>
    <w:rsid w:val="009F61A0"/>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509"/>
    <w:rsid w:val="00A04594"/>
    <w:rsid w:val="00A046D2"/>
    <w:rsid w:val="00A04A54"/>
    <w:rsid w:val="00A05B4B"/>
    <w:rsid w:val="00A066C3"/>
    <w:rsid w:val="00A06754"/>
    <w:rsid w:val="00A069E0"/>
    <w:rsid w:val="00A06E4A"/>
    <w:rsid w:val="00A06EE8"/>
    <w:rsid w:val="00A070E9"/>
    <w:rsid w:val="00A078FB"/>
    <w:rsid w:val="00A07FB7"/>
    <w:rsid w:val="00A1036D"/>
    <w:rsid w:val="00A1069F"/>
    <w:rsid w:val="00A10AAD"/>
    <w:rsid w:val="00A10ACA"/>
    <w:rsid w:val="00A10D08"/>
    <w:rsid w:val="00A11E67"/>
    <w:rsid w:val="00A11E78"/>
    <w:rsid w:val="00A12355"/>
    <w:rsid w:val="00A127D2"/>
    <w:rsid w:val="00A13CF5"/>
    <w:rsid w:val="00A143EC"/>
    <w:rsid w:val="00A149E8"/>
    <w:rsid w:val="00A14B88"/>
    <w:rsid w:val="00A1500F"/>
    <w:rsid w:val="00A15621"/>
    <w:rsid w:val="00A15670"/>
    <w:rsid w:val="00A157A0"/>
    <w:rsid w:val="00A1585B"/>
    <w:rsid w:val="00A15C19"/>
    <w:rsid w:val="00A15FE9"/>
    <w:rsid w:val="00A16052"/>
    <w:rsid w:val="00A16809"/>
    <w:rsid w:val="00A16D42"/>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207"/>
    <w:rsid w:val="00A27FB6"/>
    <w:rsid w:val="00A27FDD"/>
    <w:rsid w:val="00A30121"/>
    <w:rsid w:val="00A30368"/>
    <w:rsid w:val="00A3043A"/>
    <w:rsid w:val="00A30E02"/>
    <w:rsid w:val="00A30F6A"/>
    <w:rsid w:val="00A310D9"/>
    <w:rsid w:val="00A31C3E"/>
    <w:rsid w:val="00A322A6"/>
    <w:rsid w:val="00A32809"/>
    <w:rsid w:val="00A32D39"/>
    <w:rsid w:val="00A32D82"/>
    <w:rsid w:val="00A34538"/>
    <w:rsid w:val="00A34677"/>
    <w:rsid w:val="00A3535E"/>
    <w:rsid w:val="00A3540F"/>
    <w:rsid w:val="00A35630"/>
    <w:rsid w:val="00A35914"/>
    <w:rsid w:val="00A36189"/>
    <w:rsid w:val="00A36E33"/>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046"/>
    <w:rsid w:val="00A45346"/>
    <w:rsid w:val="00A45EC5"/>
    <w:rsid w:val="00A45F9B"/>
    <w:rsid w:val="00A46574"/>
    <w:rsid w:val="00A475BC"/>
    <w:rsid w:val="00A500B1"/>
    <w:rsid w:val="00A52A53"/>
    <w:rsid w:val="00A52EE5"/>
    <w:rsid w:val="00A53037"/>
    <w:rsid w:val="00A53043"/>
    <w:rsid w:val="00A532B9"/>
    <w:rsid w:val="00A532CF"/>
    <w:rsid w:val="00A5351D"/>
    <w:rsid w:val="00A53E79"/>
    <w:rsid w:val="00A54031"/>
    <w:rsid w:val="00A5426D"/>
    <w:rsid w:val="00A5463D"/>
    <w:rsid w:val="00A5471D"/>
    <w:rsid w:val="00A548FA"/>
    <w:rsid w:val="00A54FC2"/>
    <w:rsid w:val="00A55122"/>
    <w:rsid w:val="00A55CEA"/>
    <w:rsid w:val="00A568B6"/>
    <w:rsid w:val="00A56BBF"/>
    <w:rsid w:val="00A56DE7"/>
    <w:rsid w:val="00A56FA8"/>
    <w:rsid w:val="00A57EB2"/>
    <w:rsid w:val="00A6009E"/>
    <w:rsid w:val="00A601E0"/>
    <w:rsid w:val="00A60265"/>
    <w:rsid w:val="00A60B1F"/>
    <w:rsid w:val="00A613E5"/>
    <w:rsid w:val="00A61C60"/>
    <w:rsid w:val="00A62589"/>
    <w:rsid w:val="00A62AD0"/>
    <w:rsid w:val="00A62C3A"/>
    <w:rsid w:val="00A6319C"/>
    <w:rsid w:val="00A63812"/>
    <w:rsid w:val="00A63DF7"/>
    <w:rsid w:val="00A6454D"/>
    <w:rsid w:val="00A64F18"/>
    <w:rsid w:val="00A64F2F"/>
    <w:rsid w:val="00A65505"/>
    <w:rsid w:val="00A6611E"/>
    <w:rsid w:val="00A6634D"/>
    <w:rsid w:val="00A66846"/>
    <w:rsid w:val="00A668BA"/>
    <w:rsid w:val="00A66D61"/>
    <w:rsid w:val="00A66FA7"/>
    <w:rsid w:val="00A67052"/>
    <w:rsid w:val="00A67E16"/>
    <w:rsid w:val="00A67E2C"/>
    <w:rsid w:val="00A67EB1"/>
    <w:rsid w:val="00A703CC"/>
    <w:rsid w:val="00A70C5C"/>
    <w:rsid w:val="00A710A2"/>
    <w:rsid w:val="00A719D1"/>
    <w:rsid w:val="00A71EA7"/>
    <w:rsid w:val="00A7221C"/>
    <w:rsid w:val="00A730AD"/>
    <w:rsid w:val="00A734CB"/>
    <w:rsid w:val="00A73855"/>
    <w:rsid w:val="00A73D64"/>
    <w:rsid w:val="00A74216"/>
    <w:rsid w:val="00A7434D"/>
    <w:rsid w:val="00A744B4"/>
    <w:rsid w:val="00A751E3"/>
    <w:rsid w:val="00A75504"/>
    <w:rsid w:val="00A75FD7"/>
    <w:rsid w:val="00A77168"/>
    <w:rsid w:val="00A7723B"/>
    <w:rsid w:val="00A7793C"/>
    <w:rsid w:val="00A77D21"/>
    <w:rsid w:val="00A77FDE"/>
    <w:rsid w:val="00A80085"/>
    <w:rsid w:val="00A8043B"/>
    <w:rsid w:val="00A80DA0"/>
    <w:rsid w:val="00A81323"/>
    <w:rsid w:val="00A81A0B"/>
    <w:rsid w:val="00A820CB"/>
    <w:rsid w:val="00A82342"/>
    <w:rsid w:val="00A82D31"/>
    <w:rsid w:val="00A82F33"/>
    <w:rsid w:val="00A83BEF"/>
    <w:rsid w:val="00A84443"/>
    <w:rsid w:val="00A8487F"/>
    <w:rsid w:val="00A849A3"/>
    <w:rsid w:val="00A84A0E"/>
    <w:rsid w:val="00A85422"/>
    <w:rsid w:val="00A861C8"/>
    <w:rsid w:val="00A86E0B"/>
    <w:rsid w:val="00A874BB"/>
    <w:rsid w:val="00A875AD"/>
    <w:rsid w:val="00A90453"/>
    <w:rsid w:val="00A90F12"/>
    <w:rsid w:val="00A91DAA"/>
    <w:rsid w:val="00A93101"/>
    <w:rsid w:val="00A9413E"/>
    <w:rsid w:val="00A94281"/>
    <w:rsid w:val="00A94293"/>
    <w:rsid w:val="00A9496E"/>
    <w:rsid w:val="00A949F0"/>
    <w:rsid w:val="00A94BDE"/>
    <w:rsid w:val="00A94EE3"/>
    <w:rsid w:val="00A94FCA"/>
    <w:rsid w:val="00A95E4C"/>
    <w:rsid w:val="00A96568"/>
    <w:rsid w:val="00A96C60"/>
    <w:rsid w:val="00A972A6"/>
    <w:rsid w:val="00A9740B"/>
    <w:rsid w:val="00A9766C"/>
    <w:rsid w:val="00A977F8"/>
    <w:rsid w:val="00A979DB"/>
    <w:rsid w:val="00A97C93"/>
    <w:rsid w:val="00A97E85"/>
    <w:rsid w:val="00AA08E7"/>
    <w:rsid w:val="00AA0A06"/>
    <w:rsid w:val="00AA0EE1"/>
    <w:rsid w:val="00AA1351"/>
    <w:rsid w:val="00AA184C"/>
    <w:rsid w:val="00AA1C84"/>
    <w:rsid w:val="00AA20FA"/>
    <w:rsid w:val="00AA2C93"/>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14E8"/>
    <w:rsid w:val="00AB1676"/>
    <w:rsid w:val="00AB1B06"/>
    <w:rsid w:val="00AB1B1D"/>
    <w:rsid w:val="00AB2216"/>
    <w:rsid w:val="00AB358D"/>
    <w:rsid w:val="00AB37A1"/>
    <w:rsid w:val="00AB3BAD"/>
    <w:rsid w:val="00AB3CFD"/>
    <w:rsid w:val="00AB4244"/>
    <w:rsid w:val="00AB49BC"/>
    <w:rsid w:val="00AB4C02"/>
    <w:rsid w:val="00AB4DEE"/>
    <w:rsid w:val="00AB4E32"/>
    <w:rsid w:val="00AB5999"/>
    <w:rsid w:val="00AB59AE"/>
    <w:rsid w:val="00AB5C19"/>
    <w:rsid w:val="00AB6065"/>
    <w:rsid w:val="00AB724B"/>
    <w:rsid w:val="00AB726C"/>
    <w:rsid w:val="00AB72B4"/>
    <w:rsid w:val="00AC02AA"/>
    <w:rsid w:val="00AC0537"/>
    <w:rsid w:val="00AC0A84"/>
    <w:rsid w:val="00AC1508"/>
    <w:rsid w:val="00AC2A0B"/>
    <w:rsid w:val="00AC2BEE"/>
    <w:rsid w:val="00AC2E53"/>
    <w:rsid w:val="00AC312A"/>
    <w:rsid w:val="00AC39C5"/>
    <w:rsid w:val="00AC4263"/>
    <w:rsid w:val="00AC484F"/>
    <w:rsid w:val="00AC4B20"/>
    <w:rsid w:val="00AC56F2"/>
    <w:rsid w:val="00AC71C3"/>
    <w:rsid w:val="00AC7212"/>
    <w:rsid w:val="00AD09F7"/>
    <w:rsid w:val="00AD0CA8"/>
    <w:rsid w:val="00AD101B"/>
    <w:rsid w:val="00AD11E3"/>
    <w:rsid w:val="00AD1EFA"/>
    <w:rsid w:val="00AD2072"/>
    <w:rsid w:val="00AD2A5A"/>
    <w:rsid w:val="00AD2DBD"/>
    <w:rsid w:val="00AD2FBF"/>
    <w:rsid w:val="00AD340E"/>
    <w:rsid w:val="00AD3A38"/>
    <w:rsid w:val="00AD3E34"/>
    <w:rsid w:val="00AD455D"/>
    <w:rsid w:val="00AD463C"/>
    <w:rsid w:val="00AD4F60"/>
    <w:rsid w:val="00AD5044"/>
    <w:rsid w:val="00AD5114"/>
    <w:rsid w:val="00AD5964"/>
    <w:rsid w:val="00AD5C0C"/>
    <w:rsid w:val="00AD6166"/>
    <w:rsid w:val="00AD6236"/>
    <w:rsid w:val="00AD69D5"/>
    <w:rsid w:val="00AD6FD3"/>
    <w:rsid w:val="00AD7619"/>
    <w:rsid w:val="00AD7770"/>
    <w:rsid w:val="00AE160A"/>
    <w:rsid w:val="00AE1772"/>
    <w:rsid w:val="00AE1990"/>
    <w:rsid w:val="00AE1D23"/>
    <w:rsid w:val="00AE1FC8"/>
    <w:rsid w:val="00AE20E5"/>
    <w:rsid w:val="00AE25C0"/>
    <w:rsid w:val="00AE25E8"/>
    <w:rsid w:val="00AE26F0"/>
    <w:rsid w:val="00AE2AD4"/>
    <w:rsid w:val="00AE2CA7"/>
    <w:rsid w:val="00AE2F1D"/>
    <w:rsid w:val="00AE4C81"/>
    <w:rsid w:val="00AE586F"/>
    <w:rsid w:val="00AE6582"/>
    <w:rsid w:val="00AE6DC5"/>
    <w:rsid w:val="00AE7686"/>
    <w:rsid w:val="00AE7846"/>
    <w:rsid w:val="00AE799A"/>
    <w:rsid w:val="00AF041E"/>
    <w:rsid w:val="00AF0E81"/>
    <w:rsid w:val="00AF117A"/>
    <w:rsid w:val="00AF16CA"/>
    <w:rsid w:val="00AF186E"/>
    <w:rsid w:val="00AF19DF"/>
    <w:rsid w:val="00AF1D41"/>
    <w:rsid w:val="00AF26CF"/>
    <w:rsid w:val="00AF285E"/>
    <w:rsid w:val="00AF2A18"/>
    <w:rsid w:val="00AF344D"/>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BAF"/>
    <w:rsid w:val="00B01C36"/>
    <w:rsid w:val="00B024ED"/>
    <w:rsid w:val="00B026B8"/>
    <w:rsid w:val="00B02EB3"/>
    <w:rsid w:val="00B02FCB"/>
    <w:rsid w:val="00B030CF"/>
    <w:rsid w:val="00B033F8"/>
    <w:rsid w:val="00B03C1E"/>
    <w:rsid w:val="00B04400"/>
    <w:rsid w:val="00B04835"/>
    <w:rsid w:val="00B05A55"/>
    <w:rsid w:val="00B05DE1"/>
    <w:rsid w:val="00B06595"/>
    <w:rsid w:val="00B072AD"/>
    <w:rsid w:val="00B10109"/>
    <w:rsid w:val="00B10776"/>
    <w:rsid w:val="00B1085E"/>
    <w:rsid w:val="00B10FD1"/>
    <w:rsid w:val="00B119AE"/>
    <w:rsid w:val="00B11D59"/>
    <w:rsid w:val="00B1219D"/>
    <w:rsid w:val="00B12469"/>
    <w:rsid w:val="00B12735"/>
    <w:rsid w:val="00B12F44"/>
    <w:rsid w:val="00B13C3A"/>
    <w:rsid w:val="00B13C48"/>
    <w:rsid w:val="00B13E35"/>
    <w:rsid w:val="00B13EC0"/>
    <w:rsid w:val="00B14102"/>
    <w:rsid w:val="00B14D32"/>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6F"/>
    <w:rsid w:val="00B2088D"/>
    <w:rsid w:val="00B208FF"/>
    <w:rsid w:val="00B20943"/>
    <w:rsid w:val="00B22E22"/>
    <w:rsid w:val="00B22F5F"/>
    <w:rsid w:val="00B2300C"/>
    <w:rsid w:val="00B231D9"/>
    <w:rsid w:val="00B23813"/>
    <w:rsid w:val="00B23FD9"/>
    <w:rsid w:val="00B24591"/>
    <w:rsid w:val="00B245D5"/>
    <w:rsid w:val="00B245EF"/>
    <w:rsid w:val="00B24C36"/>
    <w:rsid w:val="00B24F94"/>
    <w:rsid w:val="00B25126"/>
    <w:rsid w:val="00B25A52"/>
    <w:rsid w:val="00B25BE7"/>
    <w:rsid w:val="00B25FC3"/>
    <w:rsid w:val="00B27875"/>
    <w:rsid w:val="00B27BB5"/>
    <w:rsid w:val="00B3008D"/>
    <w:rsid w:val="00B3019A"/>
    <w:rsid w:val="00B30A94"/>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1DC"/>
    <w:rsid w:val="00B35B6A"/>
    <w:rsid w:val="00B35BFD"/>
    <w:rsid w:val="00B35C51"/>
    <w:rsid w:val="00B35DAA"/>
    <w:rsid w:val="00B36D2B"/>
    <w:rsid w:val="00B3748A"/>
    <w:rsid w:val="00B37657"/>
    <w:rsid w:val="00B37AFD"/>
    <w:rsid w:val="00B37B07"/>
    <w:rsid w:val="00B37F6B"/>
    <w:rsid w:val="00B4046F"/>
    <w:rsid w:val="00B406B3"/>
    <w:rsid w:val="00B40A36"/>
    <w:rsid w:val="00B40DCB"/>
    <w:rsid w:val="00B41D39"/>
    <w:rsid w:val="00B41FD1"/>
    <w:rsid w:val="00B422C0"/>
    <w:rsid w:val="00B426CA"/>
    <w:rsid w:val="00B426E1"/>
    <w:rsid w:val="00B42973"/>
    <w:rsid w:val="00B42F6D"/>
    <w:rsid w:val="00B43449"/>
    <w:rsid w:val="00B4387A"/>
    <w:rsid w:val="00B43DA1"/>
    <w:rsid w:val="00B44746"/>
    <w:rsid w:val="00B44854"/>
    <w:rsid w:val="00B44BA5"/>
    <w:rsid w:val="00B44DD9"/>
    <w:rsid w:val="00B45352"/>
    <w:rsid w:val="00B458D0"/>
    <w:rsid w:val="00B4595C"/>
    <w:rsid w:val="00B4661B"/>
    <w:rsid w:val="00B46915"/>
    <w:rsid w:val="00B4792C"/>
    <w:rsid w:val="00B50CAE"/>
    <w:rsid w:val="00B50E01"/>
    <w:rsid w:val="00B512AD"/>
    <w:rsid w:val="00B5196C"/>
    <w:rsid w:val="00B52201"/>
    <w:rsid w:val="00B525CB"/>
    <w:rsid w:val="00B52697"/>
    <w:rsid w:val="00B52FA2"/>
    <w:rsid w:val="00B54D8F"/>
    <w:rsid w:val="00B557D8"/>
    <w:rsid w:val="00B55857"/>
    <w:rsid w:val="00B55C69"/>
    <w:rsid w:val="00B565C5"/>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24C"/>
    <w:rsid w:val="00B64EDB"/>
    <w:rsid w:val="00B6558B"/>
    <w:rsid w:val="00B65938"/>
    <w:rsid w:val="00B65C8A"/>
    <w:rsid w:val="00B65CE2"/>
    <w:rsid w:val="00B660AD"/>
    <w:rsid w:val="00B66109"/>
    <w:rsid w:val="00B66349"/>
    <w:rsid w:val="00B66CB4"/>
    <w:rsid w:val="00B67903"/>
    <w:rsid w:val="00B67FBF"/>
    <w:rsid w:val="00B70832"/>
    <w:rsid w:val="00B71376"/>
    <w:rsid w:val="00B71617"/>
    <w:rsid w:val="00B716D7"/>
    <w:rsid w:val="00B71CAC"/>
    <w:rsid w:val="00B72110"/>
    <w:rsid w:val="00B72B91"/>
    <w:rsid w:val="00B72C4E"/>
    <w:rsid w:val="00B73019"/>
    <w:rsid w:val="00B7315F"/>
    <w:rsid w:val="00B7323A"/>
    <w:rsid w:val="00B7353B"/>
    <w:rsid w:val="00B737FB"/>
    <w:rsid w:val="00B73BAA"/>
    <w:rsid w:val="00B73E5D"/>
    <w:rsid w:val="00B73EF3"/>
    <w:rsid w:val="00B7423D"/>
    <w:rsid w:val="00B748AC"/>
    <w:rsid w:val="00B74D05"/>
    <w:rsid w:val="00B75893"/>
    <w:rsid w:val="00B766DC"/>
    <w:rsid w:val="00B76F9D"/>
    <w:rsid w:val="00B777FA"/>
    <w:rsid w:val="00B77850"/>
    <w:rsid w:val="00B7796B"/>
    <w:rsid w:val="00B80BD7"/>
    <w:rsid w:val="00B80C72"/>
    <w:rsid w:val="00B81964"/>
    <w:rsid w:val="00B81E6F"/>
    <w:rsid w:val="00B82123"/>
    <w:rsid w:val="00B8225B"/>
    <w:rsid w:val="00B825BB"/>
    <w:rsid w:val="00B8287D"/>
    <w:rsid w:val="00B82BB5"/>
    <w:rsid w:val="00B83182"/>
    <w:rsid w:val="00B839F0"/>
    <w:rsid w:val="00B851E4"/>
    <w:rsid w:val="00B854CE"/>
    <w:rsid w:val="00B85681"/>
    <w:rsid w:val="00B857EB"/>
    <w:rsid w:val="00B86162"/>
    <w:rsid w:val="00B86877"/>
    <w:rsid w:val="00B8695D"/>
    <w:rsid w:val="00B86A0C"/>
    <w:rsid w:val="00B86E66"/>
    <w:rsid w:val="00B871FE"/>
    <w:rsid w:val="00B873BA"/>
    <w:rsid w:val="00B8746F"/>
    <w:rsid w:val="00B8760D"/>
    <w:rsid w:val="00B87706"/>
    <w:rsid w:val="00B900D9"/>
    <w:rsid w:val="00B90631"/>
    <w:rsid w:val="00B90A49"/>
    <w:rsid w:val="00B90A73"/>
    <w:rsid w:val="00B91B8E"/>
    <w:rsid w:val="00B92531"/>
    <w:rsid w:val="00B925CF"/>
    <w:rsid w:val="00B92618"/>
    <w:rsid w:val="00B9266F"/>
    <w:rsid w:val="00B92751"/>
    <w:rsid w:val="00B92B69"/>
    <w:rsid w:val="00B92CC6"/>
    <w:rsid w:val="00B92E63"/>
    <w:rsid w:val="00B935C9"/>
    <w:rsid w:val="00B936A3"/>
    <w:rsid w:val="00B93E3D"/>
    <w:rsid w:val="00B93EC7"/>
    <w:rsid w:val="00B95464"/>
    <w:rsid w:val="00B95C30"/>
    <w:rsid w:val="00B95D2F"/>
    <w:rsid w:val="00B95E3D"/>
    <w:rsid w:val="00B9691F"/>
    <w:rsid w:val="00B96EEC"/>
    <w:rsid w:val="00B97392"/>
    <w:rsid w:val="00B976C7"/>
    <w:rsid w:val="00B97BE4"/>
    <w:rsid w:val="00BA023A"/>
    <w:rsid w:val="00BA0B40"/>
    <w:rsid w:val="00BA0C54"/>
    <w:rsid w:val="00BA102C"/>
    <w:rsid w:val="00BA1382"/>
    <w:rsid w:val="00BA15E3"/>
    <w:rsid w:val="00BA1A8C"/>
    <w:rsid w:val="00BA20D8"/>
    <w:rsid w:val="00BA22FC"/>
    <w:rsid w:val="00BA2C2A"/>
    <w:rsid w:val="00BA2F30"/>
    <w:rsid w:val="00BA3982"/>
    <w:rsid w:val="00BA3F29"/>
    <w:rsid w:val="00BA4771"/>
    <w:rsid w:val="00BA5027"/>
    <w:rsid w:val="00BA59F2"/>
    <w:rsid w:val="00BA665B"/>
    <w:rsid w:val="00BA686B"/>
    <w:rsid w:val="00BA6FE8"/>
    <w:rsid w:val="00BA732D"/>
    <w:rsid w:val="00BA7370"/>
    <w:rsid w:val="00BA778B"/>
    <w:rsid w:val="00BB04A0"/>
    <w:rsid w:val="00BB0888"/>
    <w:rsid w:val="00BB0DF1"/>
    <w:rsid w:val="00BB0E9B"/>
    <w:rsid w:val="00BB1109"/>
    <w:rsid w:val="00BB1251"/>
    <w:rsid w:val="00BB1F02"/>
    <w:rsid w:val="00BB2268"/>
    <w:rsid w:val="00BB2841"/>
    <w:rsid w:val="00BB2A74"/>
    <w:rsid w:val="00BB300F"/>
    <w:rsid w:val="00BB32C9"/>
    <w:rsid w:val="00BB35C5"/>
    <w:rsid w:val="00BB4293"/>
    <w:rsid w:val="00BB4C8E"/>
    <w:rsid w:val="00BB4F9C"/>
    <w:rsid w:val="00BB57ED"/>
    <w:rsid w:val="00BB5DD6"/>
    <w:rsid w:val="00BB65C3"/>
    <w:rsid w:val="00BB662E"/>
    <w:rsid w:val="00BB6721"/>
    <w:rsid w:val="00BB67A9"/>
    <w:rsid w:val="00BB68DA"/>
    <w:rsid w:val="00BB6C01"/>
    <w:rsid w:val="00BB748C"/>
    <w:rsid w:val="00BB7522"/>
    <w:rsid w:val="00BB7942"/>
    <w:rsid w:val="00BB7CD1"/>
    <w:rsid w:val="00BC0F33"/>
    <w:rsid w:val="00BC14A7"/>
    <w:rsid w:val="00BC17CC"/>
    <w:rsid w:val="00BC1D52"/>
    <w:rsid w:val="00BC1DFE"/>
    <w:rsid w:val="00BC2898"/>
    <w:rsid w:val="00BC2928"/>
    <w:rsid w:val="00BC296E"/>
    <w:rsid w:val="00BC29BD"/>
    <w:rsid w:val="00BC2BB1"/>
    <w:rsid w:val="00BC34A3"/>
    <w:rsid w:val="00BC3FF9"/>
    <w:rsid w:val="00BC4112"/>
    <w:rsid w:val="00BC4834"/>
    <w:rsid w:val="00BC4A97"/>
    <w:rsid w:val="00BC4C11"/>
    <w:rsid w:val="00BC4E15"/>
    <w:rsid w:val="00BC520E"/>
    <w:rsid w:val="00BC5A25"/>
    <w:rsid w:val="00BC5BC0"/>
    <w:rsid w:val="00BC5FDD"/>
    <w:rsid w:val="00BC68B4"/>
    <w:rsid w:val="00BD0140"/>
    <w:rsid w:val="00BD02CC"/>
    <w:rsid w:val="00BD0611"/>
    <w:rsid w:val="00BD088E"/>
    <w:rsid w:val="00BD0F18"/>
    <w:rsid w:val="00BD115F"/>
    <w:rsid w:val="00BD177B"/>
    <w:rsid w:val="00BD1B42"/>
    <w:rsid w:val="00BD1DAF"/>
    <w:rsid w:val="00BD2063"/>
    <w:rsid w:val="00BD2F4F"/>
    <w:rsid w:val="00BD33D9"/>
    <w:rsid w:val="00BD3646"/>
    <w:rsid w:val="00BD38C5"/>
    <w:rsid w:val="00BD3DEA"/>
    <w:rsid w:val="00BD3E97"/>
    <w:rsid w:val="00BD40E4"/>
    <w:rsid w:val="00BD48E5"/>
    <w:rsid w:val="00BD52FE"/>
    <w:rsid w:val="00BD53A0"/>
    <w:rsid w:val="00BD57BF"/>
    <w:rsid w:val="00BD59CA"/>
    <w:rsid w:val="00BD5EA0"/>
    <w:rsid w:val="00BD62CF"/>
    <w:rsid w:val="00BD654F"/>
    <w:rsid w:val="00BD67B2"/>
    <w:rsid w:val="00BD68E2"/>
    <w:rsid w:val="00BD76E5"/>
    <w:rsid w:val="00BD78FE"/>
    <w:rsid w:val="00BD7C55"/>
    <w:rsid w:val="00BD7D10"/>
    <w:rsid w:val="00BD7E2E"/>
    <w:rsid w:val="00BE0149"/>
    <w:rsid w:val="00BE0767"/>
    <w:rsid w:val="00BE12D7"/>
    <w:rsid w:val="00BE1372"/>
    <w:rsid w:val="00BE1775"/>
    <w:rsid w:val="00BE18DA"/>
    <w:rsid w:val="00BE26C0"/>
    <w:rsid w:val="00BE3442"/>
    <w:rsid w:val="00BE37CD"/>
    <w:rsid w:val="00BE42D6"/>
    <w:rsid w:val="00BE455C"/>
    <w:rsid w:val="00BE47B2"/>
    <w:rsid w:val="00BE48C7"/>
    <w:rsid w:val="00BE4C4F"/>
    <w:rsid w:val="00BE4F66"/>
    <w:rsid w:val="00BE5238"/>
    <w:rsid w:val="00BE543E"/>
    <w:rsid w:val="00BE6074"/>
    <w:rsid w:val="00BE6860"/>
    <w:rsid w:val="00BE6938"/>
    <w:rsid w:val="00BE7257"/>
    <w:rsid w:val="00BF020D"/>
    <w:rsid w:val="00BF0609"/>
    <w:rsid w:val="00BF0E64"/>
    <w:rsid w:val="00BF0EE8"/>
    <w:rsid w:val="00BF1D87"/>
    <w:rsid w:val="00BF1DD2"/>
    <w:rsid w:val="00BF22BF"/>
    <w:rsid w:val="00BF23A3"/>
    <w:rsid w:val="00BF2A7E"/>
    <w:rsid w:val="00BF3331"/>
    <w:rsid w:val="00BF34C8"/>
    <w:rsid w:val="00BF3721"/>
    <w:rsid w:val="00BF3A45"/>
    <w:rsid w:val="00BF436F"/>
    <w:rsid w:val="00BF4484"/>
    <w:rsid w:val="00BF5203"/>
    <w:rsid w:val="00BF5C05"/>
    <w:rsid w:val="00BF5CB4"/>
    <w:rsid w:val="00BF6FC6"/>
    <w:rsid w:val="00BF7C52"/>
    <w:rsid w:val="00BF7D44"/>
    <w:rsid w:val="00BF7F99"/>
    <w:rsid w:val="00C00713"/>
    <w:rsid w:val="00C009A0"/>
    <w:rsid w:val="00C01F74"/>
    <w:rsid w:val="00C02558"/>
    <w:rsid w:val="00C0285F"/>
    <w:rsid w:val="00C02A1D"/>
    <w:rsid w:val="00C02F35"/>
    <w:rsid w:val="00C0304B"/>
    <w:rsid w:val="00C03305"/>
    <w:rsid w:val="00C03515"/>
    <w:rsid w:val="00C03738"/>
    <w:rsid w:val="00C037A6"/>
    <w:rsid w:val="00C039F8"/>
    <w:rsid w:val="00C043F5"/>
    <w:rsid w:val="00C044E3"/>
    <w:rsid w:val="00C04607"/>
    <w:rsid w:val="00C0478F"/>
    <w:rsid w:val="00C04BDB"/>
    <w:rsid w:val="00C052C6"/>
    <w:rsid w:val="00C0594D"/>
    <w:rsid w:val="00C05A61"/>
    <w:rsid w:val="00C05AD5"/>
    <w:rsid w:val="00C05FEE"/>
    <w:rsid w:val="00C06CCF"/>
    <w:rsid w:val="00C0794D"/>
    <w:rsid w:val="00C109C1"/>
    <w:rsid w:val="00C10B33"/>
    <w:rsid w:val="00C10E78"/>
    <w:rsid w:val="00C11177"/>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A84"/>
    <w:rsid w:val="00C17D24"/>
    <w:rsid w:val="00C2082C"/>
    <w:rsid w:val="00C20CC6"/>
    <w:rsid w:val="00C20E1E"/>
    <w:rsid w:val="00C20EB0"/>
    <w:rsid w:val="00C21004"/>
    <w:rsid w:val="00C21005"/>
    <w:rsid w:val="00C2136E"/>
    <w:rsid w:val="00C220B6"/>
    <w:rsid w:val="00C2287E"/>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2868"/>
    <w:rsid w:val="00C32B8C"/>
    <w:rsid w:val="00C3322E"/>
    <w:rsid w:val="00C33333"/>
    <w:rsid w:val="00C337F5"/>
    <w:rsid w:val="00C33B90"/>
    <w:rsid w:val="00C34161"/>
    <w:rsid w:val="00C34B5F"/>
    <w:rsid w:val="00C358D4"/>
    <w:rsid w:val="00C35DFB"/>
    <w:rsid w:val="00C36462"/>
    <w:rsid w:val="00C365C6"/>
    <w:rsid w:val="00C366F4"/>
    <w:rsid w:val="00C36785"/>
    <w:rsid w:val="00C369EA"/>
    <w:rsid w:val="00C3711C"/>
    <w:rsid w:val="00C37256"/>
    <w:rsid w:val="00C3729C"/>
    <w:rsid w:val="00C37A7B"/>
    <w:rsid w:val="00C37FAA"/>
    <w:rsid w:val="00C37FFE"/>
    <w:rsid w:val="00C40B50"/>
    <w:rsid w:val="00C419E3"/>
    <w:rsid w:val="00C419F4"/>
    <w:rsid w:val="00C41E6A"/>
    <w:rsid w:val="00C42247"/>
    <w:rsid w:val="00C4231E"/>
    <w:rsid w:val="00C43369"/>
    <w:rsid w:val="00C439BE"/>
    <w:rsid w:val="00C44622"/>
    <w:rsid w:val="00C4494B"/>
    <w:rsid w:val="00C4539B"/>
    <w:rsid w:val="00C45466"/>
    <w:rsid w:val="00C455C1"/>
    <w:rsid w:val="00C4581D"/>
    <w:rsid w:val="00C4722B"/>
    <w:rsid w:val="00C47472"/>
    <w:rsid w:val="00C500F0"/>
    <w:rsid w:val="00C504A7"/>
    <w:rsid w:val="00C506C9"/>
    <w:rsid w:val="00C50A16"/>
    <w:rsid w:val="00C50AFD"/>
    <w:rsid w:val="00C51C9A"/>
    <w:rsid w:val="00C52C68"/>
    <w:rsid w:val="00C52D98"/>
    <w:rsid w:val="00C52DA1"/>
    <w:rsid w:val="00C533F2"/>
    <w:rsid w:val="00C53D24"/>
    <w:rsid w:val="00C54640"/>
    <w:rsid w:val="00C547A6"/>
    <w:rsid w:val="00C5485B"/>
    <w:rsid w:val="00C54A3A"/>
    <w:rsid w:val="00C55B52"/>
    <w:rsid w:val="00C55C32"/>
    <w:rsid w:val="00C56976"/>
    <w:rsid w:val="00C56A67"/>
    <w:rsid w:val="00C56B58"/>
    <w:rsid w:val="00C56CC2"/>
    <w:rsid w:val="00C57498"/>
    <w:rsid w:val="00C5763C"/>
    <w:rsid w:val="00C57724"/>
    <w:rsid w:val="00C5780C"/>
    <w:rsid w:val="00C5796B"/>
    <w:rsid w:val="00C57F27"/>
    <w:rsid w:val="00C60750"/>
    <w:rsid w:val="00C6079C"/>
    <w:rsid w:val="00C612C4"/>
    <w:rsid w:val="00C619A1"/>
    <w:rsid w:val="00C62370"/>
    <w:rsid w:val="00C62BBB"/>
    <w:rsid w:val="00C62BF9"/>
    <w:rsid w:val="00C6305F"/>
    <w:rsid w:val="00C6325B"/>
    <w:rsid w:val="00C63E99"/>
    <w:rsid w:val="00C649B8"/>
    <w:rsid w:val="00C64A64"/>
    <w:rsid w:val="00C65151"/>
    <w:rsid w:val="00C657F4"/>
    <w:rsid w:val="00C6598D"/>
    <w:rsid w:val="00C660FE"/>
    <w:rsid w:val="00C66119"/>
    <w:rsid w:val="00C66292"/>
    <w:rsid w:val="00C66AB9"/>
    <w:rsid w:val="00C66D0A"/>
    <w:rsid w:val="00C66F21"/>
    <w:rsid w:val="00C672A3"/>
    <w:rsid w:val="00C672F1"/>
    <w:rsid w:val="00C673D0"/>
    <w:rsid w:val="00C6742E"/>
    <w:rsid w:val="00C679D9"/>
    <w:rsid w:val="00C67B0B"/>
    <w:rsid w:val="00C70012"/>
    <w:rsid w:val="00C70637"/>
    <w:rsid w:val="00C708AA"/>
    <w:rsid w:val="00C70E6F"/>
    <w:rsid w:val="00C71E2A"/>
    <w:rsid w:val="00C733BA"/>
    <w:rsid w:val="00C7462C"/>
    <w:rsid w:val="00C75110"/>
    <w:rsid w:val="00C7595C"/>
    <w:rsid w:val="00C760DC"/>
    <w:rsid w:val="00C764CB"/>
    <w:rsid w:val="00C767CD"/>
    <w:rsid w:val="00C76C72"/>
    <w:rsid w:val="00C76D66"/>
    <w:rsid w:val="00C8082B"/>
    <w:rsid w:val="00C81164"/>
    <w:rsid w:val="00C81A88"/>
    <w:rsid w:val="00C81AE5"/>
    <w:rsid w:val="00C81D46"/>
    <w:rsid w:val="00C82298"/>
    <w:rsid w:val="00C833B4"/>
    <w:rsid w:val="00C83851"/>
    <w:rsid w:val="00C84284"/>
    <w:rsid w:val="00C84E33"/>
    <w:rsid w:val="00C85D99"/>
    <w:rsid w:val="00C85FFC"/>
    <w:rsid w:val="00C861FC"/>
    <w:rsid w:val="00C86C87"/>
    <w:rsid w:val="00C87B6C"/>
    <w:rsid w:val="00C9005E"/>
    <w:rsid w:val="00C90111"/>
    <w:rsid w:val="00C9038E"/>
    <w:rsid w:val="00C9077B"/>
    <w:rsid w:val="00C90CA9"/>
    <w:rsid w:val="00C90F88"/>
    <w:rsid w:val="00C915F2"/>
    <w:rsid w:val="00C917B1"/>
    <w:rsid w:val="00C9193C"/>
    <w:rsid w:val="00C91B77"/>
    <w:rsid w:val="00C920E2"/>
    <w:rsid w:val="00C9295F"/>
    <w:rsid w:val="00C92DD4"/>
    <w:rsid w:val="00C92DEC"/>
    <w:rsid w:val="00C93765"/>
    <w:rsid w:val="00C93877"/>
    <w:rsid w:val="00C93D8C"/>
    <w:rsid w:val="00C93E07"/>
    <w:rsid w:val="00C946CC"/>
    <w:rsid w:val="00C94D3B"/>
    <w:rsid w:val="00C959BD"/>
    <w:rsid w:val="00C95DFE"/>
    <w:rsid w:val="00C95E71"/>
    <w:rsid w:val="00C95F44"/>
    <w:rsid w:val="00C96D1B"/>
    <w:rsid w:val="00C97106"/>
    <w:rsid w:val="00C97511"/>
    <w:rsid w:val="00C978D4"/>
    <w:rsid w:val="00C97CDF"/>
    <w:rsid w:val="00CA0031"/>
    <w:rsid w:val="00CA0413"/>
    <w:rsid w:val="00CA043A"/>
    <w:rsid w:val="00CA0E51"/>
    <w:rsid w:val="00CA1691"/>
    <w:rsid w:val="00CA1B45"/>
    <w:rsid w:val="00CA2738"/>
    <w:rsid w:val="00CA2D2E"/>
    <w:rsid w:val="00CA41E7"/>
    <w:rsid w:val="00CA4A99"/>
    <w:rsid w:val="00CA5520"/>
    <w:rsid w:val="00CA5812"/>
    <w:rsid w:val="00CA5BD4"/>
    <w:rsid w:val="00CA5C14"/>
    <w:rsid w:val="00CA7500"/>
    <w:rsid w:val="00CA76FC"/>
    <w:rsid w:val="00CA7E7B"/>
    <w:rsid w:val="00CB0236"/>
    <w:rsid w:val="00CB0DC1"/>
    <w:rsid w:val="00CB144F"/>
    <w:rsid w:val="00CB1969"/>
    <w:rsid w:val="00CB19E3"/>
    <w:rsid w:val="00CB1A73"/>
    <w:rsid w:val="00CB2C3A"/>
    <w:rsid w:val="00CB2D38"/>
    <w:rsid w:val="00CB376E"/>
    <w:rsid w:val="00CB4137"/>
    <w:rsid w:val="00CB4A21"/>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9F"/>
    <w:rsid w:val="00CC1ED2"/>
    <w:rsid w:val="00CC21AC"/>
    <w:rsid w:val="00CC232E"/>
    <w:rsid w:val="00CC2514"/>
    <w:rsid w:val="00CC25B5"/>
    <w:rsid w:val="00CC2B1A"/>
    <w:rsid w:val="00CC2D34"/>
    <w:rsid w:val="00CC2F69"/>
    <w:rsid w:val="00CC315F"/>
    <w:rsid w:val="00CC3D38"/>
    <w:rsid w:val="00CC40C3"/>
    <w:rsid w:val="00CC4E5D"/>
    <w:rsid w:val="00CC50AE"/>
    <w:rsid w:val="00CC5F2C"/>
    <w:rsid w:val="00CC5FFE"/>
    <w:rsid w:val="00CC61B7"/>
    <w:rsid w:val="00CC61CA"/>
    <w:rsid w:val="00CC64DE"/>
    <w:rsid w:val="00CC69EC"/>
    <w:rsid w:val="00CC6DF1"/>
    <w:rsid w:val="00CC71D3"/>
    <w:rsid w:val="00CC743D"/>
    <w:rsid w:val="00CC7A62"/>
    <w:rsid w:val="00CD050A"/>
    <w:rsid w:val="00CD1017"/>
    <w:rsid w:val="00CD13F6"/>
    <w:rsid w:val="00CD205D"/>
    <w:rsid w:val="00CD2A22"/>
    <w:rsid w:val="00CD2B50"/>
    <w:rsid w:val="00CD2FD9"/>
    <w:rsid w:val="00CD3172"/>
    <w:rsid w:val="00CD3EDA"/>
    <w:rsid w:val="00CD4357"/>
    <w:rsid w:val="00CD43B3"/>
    <w:rsid w:val="00CD4506"/>
    <w:rsid w:val="00CD45A4"/>
    <w:rsid w:val="00CD520B"/>
    <w:rsid w:val="00CD592E"/>
    <w:rsid w:val="00CD5982"/>
    <w:rsid w:val="00CD5A1A"/>
    <w:rsid w:val="00CD6988"/>
    <w:rsid w:val="00CD76FF"/>
    <w:rsid w:val="00CD7EFA"/>
    <w:rsid w:val="00CE020E"/>
    <w:rsid w:val="00CE0566"/>
    <w:rsid w:val="00CE0E1C"/>
    <w:rsid w:val="00CE1384"/>
    <w:rsid w:val="00CE1CD4"/>
    <w:rsid w:val="00CE207C"/>
    <w:rsid w:val="00CE2761"/>
    <w:rsid w:val="00CE28FC"/>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ABB"/>
    <w:rsid w:val="00CF1E1D"/>
    <w:rsid w:val="00CF23A0"/>
    <w:rsid w:val="00CF24FE"/>
    <w:rsid w:val="00CF287F"/>
    <w:rsid w:val="00CF2982"/>
    <w:rsid w:val="00CF35D0"/>
    <w:rsid w:val="00CF3B57"/>
    <w:rsid w:val="00CF3DD5"/>
    <w:rsid w:val="00CF481B"/>
    <w:rsid w:val="00CF4AF7"/>
    <w:rsid w:val="00CF4D20"/>
    <w:rsid w:val="00CF73F8"/>
    <w:rsid w:val="00CF75C1"/>
    <w:rsid w:val="00CF7928"/>
    <w:rsid w:val="00CF7CA2"/>
    <w:rsid w:val="00D004F6"/>
    <w:rsid w:val="00D00684"/>
    <w:rsid w:val="00D00911"/>
    <w:rsid w:val="00D00A8E"/>
    <w:rsid w:val="00D00DE0"/>
    <w:rsid w:val="00D00ED7"/>
    <w:rsid w:val="00D00F79"/>
    <w:rsid w:val="00D012BF"/>
    <w:rsid w:val="00D01760"/>
    <w:rsid w:val="00D0254E"/>
    <w:rsid w:val="00D030BD"/>
    <w:rsid w:val="00D0366F"/>
    <w:rsid w:val="00D0368E"/>
    <w:rsid w:val="00D0393E"/>
    <w:rsid w:val="00D03AC3"/>
    <w:rsid w:val="00D03D2D"/>
    <w:rsid w:val="00D03E7B"/>
    <w:rsid w:val="00D0401A"/>
    <w:rsid w:val="00D0469C"/>
    <w:rsid w:val="00D046C1"/>
    <w:rsid w:val="00D047E0"/>
    <w:rsid w:val="00D04B9F"/>
    <w:rsid w:val="00D04E8D"/>
    <w:rsid w:val="00D04FFB"/>
    <w:rsid w:val="00D055FE"/>
    <w:rsid w:val="00D05800"/>
    <w:rsid w:val="00D058E9"/>
    <w:rsid w:val="00D0612A"/>
    <w:rsid w:val="00D06E6B"/>
    <w:rsid w:val="00D07315"/>
    <w:rsid w:val="00D1060D"/>
    <w:rsid w:val="00D10E7C"/>
    <w:rsid w:val="00D11182"/>
    <w:rsid w:val="00D1137B"/>
    <w:rsid w:val="00D11807"/>
    <w:rsid w:val="00D11DB3"/>
    <w:rsid w:val="00D12D82"/>
    <w:rsid w:val="00D12F77"/>
    <w:rsid w:val="00D1306E"/>
    <w:rsid w:val="00D134CD"/>
    <w:rsid w:val="00D138FA"/>
    <w:rsid w:val="00D14B5F"/>
    <w:rsid w:val="00D14E13"/>
    <w:rsid w:val="00D14F23"/>
    <w:rsid w:val="00D160F6"/>
    <w:rsid w:val="00D16740"/>
    <w:rsid w:val="00D16A8B"/>
    <w:rsid w:val="00D16E39"/>
    <w:rsid w:val="00D172A4"/>
    <w:rsid w:val="00D17951"/>
    <w:rsid w:val="00D17AD8"/>
    <w:rsid w:val="00D207B0"/>
    <w:rsid w:val="00D2104A"/>
    <w:rsid w:val="00D21BB5"/>
    <w:rsid w:val="00D21FFC"/>
    <w:rsid w:val="00D223B6"/>
    <w:rsid w:val="00D223E8"/>
    <w:rsid w:val="00D224E1"/>
    <w:rsid w:val="00D22DC8"/>
    <w:rsid w:val="00D22F86"/>
    <w:rsid w:val="00D2477B"/>
    <w:rsid w:val="00D2522A"/>
    <w:rsid w:val="00D2531C"/>
    <w:rsid w:val="00D254B0"/>
    <w:rsid w:val="00D2553E"/>
    <w:rsid w:val="00D25CFA"/>
    <w:rsid w:val="00D2742F"/>
    <w:rsid w:val="00D2754F"/>
    <w:rsid w:val="00D277C5"/>
    <w:rsid w:val="00D279D9"/>
    <w:rsid w:val="00D312DC"/>
    <w:rsid w:val="00D31B84"/>
    <w:rsid w:val="00D31C6A"/>
    <w:rsid w:val="00D31EDF"/>
    <w:rsid w:val="00D31F0A"/>
    <w:rsid w:val="00D31FF9"/>
    <w:rsid w:val="00D32149"/>
    <w:rsid w:val="00D32256"/>
    <w:rsid w:val="00D32634"/>
    <w:rsid w:val="00D32A27"/>
    <w:rsid w:val="00D32ABC"/>
    <w:rsid w:val="00D32ACB"/>
    <w:rsid w:val="00D32D7A"/>
    <w:rsid w:val="00D33FA4"/>
    <w:rsid w:val="00D34B25"/>
    <w:rsid w:val="00D34F4E"/>
    <w:rsid w:val="00D357F3"/>
    <w:rsid w:val="00D357FA"/>
    <w:rsid w:val="00D35C0E"/>
    <w:rsid w:val="00D36379"/>
    <w:rsid w:val="00D373A8"/>
    <w:rsid w:val="00D379A5"/>
    <w:rsid w:val="00D401BE"/>
    <w:rsid w:val="00D4043A"/>
    <w:rsid w:val="00D40DB0"/>
    <w:rsid w:val="00D41093"/>
    <w:rsid w:val="00D410DC"/>
    <w:rsid w:val="00D416D5"/>
    <w:rsid w:val="00D41858"/>
    <w:rsid w:val="00D421E2"/>
    <w:rsid w:val="00D422DB"/>
    <w:rsid w:val="00D42303"/>
    <w:rsid w:val="00D42314"/>
    <w:rsid w:val="00D42AC2"/>
    <w:rsid w:val="00D44498"/>
    <w:rsid w:val="00D4498E"/>
    <w:rsid w:val="00D4515F"/>
    <w:rsid w:val="00D451E8"/>
    <w:rsid w:val="00D45A47"/>
    <w:rsid w:val="00D46185"/>
    <w:rsid w:val="00D466C9"/>
    <w:rsid w:val="00D47275"/>
    <w:rsid w:val="00D50689"/>
    <w:rsid w:val="00D51064"/>
    <w:rsid w:val="00D517F6"/>
    <w:rsid w:val="00D51E15"/>
    <w:rsid w:val="00D5210F"/>
    <w:rsid w:val="00D52B7E"/>
    <w:rsid w:val="00D52E2F"/>
    <w:rsid w:val="00D52F59"/>
    <w:rsid w:val="00D53445"/>
    <w:rsid w:val="00D53DD0"/>
    <w:rsid w:val="00D53E3E"/>
    <w:rsid w:val="00D54620"/>
    <w:rsid w:val="00D54FEE"/>
    <w:rsid w:val="00D55444"/>
    <w:rsid w:val="00D55904"/>
    <w:rsid w:val="00D5616F"/>
    <w:rsid w:val="00D565EE"/>
    <w:rsid w:val="00D57940"/>
    <w:rsid w:val="00D60327"/>
    <w:rsid w:val="00D60EE8"/>
    <w:rsid w:val="00D61116"/>
    <w:rsid w:val="00D61384"/>
    <w:rsid w:val="00D61526"/>
    <w:rsid w:val="00D61634"/>
    <w:rsid w:val="00D61F81"/>
    <w:rsid w:val="00D6276C"/>
    <w:rsid w:val="00D62BE6"/>
    <w:rsid w:val="00D6325C"/>
    <w:rsid w:val="00D63766"/>
    <w:rsid w:val="00D63912"/>
    <w:rsid w:val="00D63923"/>
    <w:rsid w:val="00D6451B"/>
    <w:rsid w:val="00D64B57"/>
    <w:rsid w:val="00D651A1"/>
    <w:rsid w:val="00D65DEA"/>
    <w:rsid w:val="00D66579"/>
    <w:rsid w:val="00D66953"/>
    <w:rsid w:val="00D676D3"/>
    <w:rsid w:val="00D67B06"/>
    <w:rsid w:val="00D67BC7"/>
    <w:rsid w:val="00D67DAF"/>
    <w:rsid w:val="00D701F1"/>
    <w:rsid w:val="00D705D3"/>
    <w:rsid w:val="00D70E00"/>
    <w:rsid w:val="00D70F7C"/>
    <w:rsid w:val="00D715AC"/>
    <w:rsid w:val="00D71851"/>
    <w:rsid w:val="00D718CF"/>
    <w:rsid w:val="00D71A81"/>
    <w:rsid w:val="00D71ACF"/>
    <w:rsid w:val="00D71EE6"/>
    <w:rsid w:val="00D728F5"/>
    <w:rsid w:val="00D72E9D"/>
    <w:rsid w:val="00D73249"/>
    <w:rsid w:val="00D73419"/>
    <w:rsid w:val="00D73CA9"/>
    <w:rsid w:val="00D751B7"/>
    <w:rsid w:val="00D7524B"/>
    <w:rsid w:val="00D75396"/>
    <w:rsid w:val="00D759C0"/>
    <w:rsid w:val="00D75E17"/>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318E"/>
    <w:rsid w:val="00D831E3"/>
    <w:rsid w:val="00D8342C"/>
    <w:rsid w:val="00D83C92"/>
    <w:rsid w:val="00D85494"/>
    <w:rsid w:val="00D854BB"/>
    <w:rsid w:val="00D8582C"/>
    <w:rsid w:val="00D858B1"/>
    <w:rsid w:val="00D85D61"/>
    <w:rsid w:val="00D8616D"/>
    <w:rsid w:val="00D86363"/>
    <w:rsid w:val="00D8641F"/>
    <w:rsid w:val="00D866CA"/>
    <w:rsid w:val="00D8689D"/>
    <w:rsid w:val="00D869B7"/>
    <w:rsid w:val="00D86EC2"/>
    <w:rsid w:val="00D870BE"/>
    <w:rsid w:val="00D8711B"/>
    <w:rsid w:val="00D87384"/>
    <w:rsid w:val="00D87AE8"/>
    <w:rsid w:val="00D9052A"/>
    <w:rsid w:val="00D90683"/>
    <w:rsid w:val="00D90B2A"/>
    <w:rsid w:val="00D90DE2"/>
    <w:rsid w:val="00D91391"/>
    <w:rsid w:val="00D91483"/>
    <w:rsid w:val="00D915C8"/>
    <w:rsid w:val="00D916F5"/>
    <w:rsid w:val="00D92EC3"/>
    <w:rsid w:val="00D9310B"/>
    <w:rsid w:val="00D931F3"/>
    <w:rsid w:val="00D93726"/>
    <w:rsid w:val="00D93F3E"/>
    <w:rsid w:val="00D9405B"/>
    <w:rsid w:val="00D94942"/>
    <w:rsid w:val="00D95145"/>
    <w:rsid w:val="00D951DA"/>
    <w:rsid w:val="00D95360"/>
    <w:rsid w:val="00D96594"/>
    <w:rsid w:val="00D967CB"/>
    <w:rsid w:val="00D968D4"/>
    <w:rsid w:val="00D96EE0"/>
    <w:rsid w:val="00D97ACE"/>
    <w:rsid w:val="00D97BD1"/>
    <w:rsid w:val="00D97DAD"/>
    <w:rsid w:val="00DA06B8"/>
    <w:rsid w:val="00DA14A9"/>
    <w:rsid w:val="00DA23F0"/>
    <w:rsid w:val="00DA2862"/>
    <w:rsid w:val="00DA286D"/>
    <w:rsid w:val="00DA2969"/>
    <w:rsid w:val="00DA29B7"/>
    <w:rsid w:val="00DA337C"/>
    <w:rsid w:val="00DA385C"/>
    <w:rsid w:val="00DA39B1"/>
    <w:rsid w:val="00DA3DF6"/>
    <w:rsid w:val="00DA4842"/>
    <w:rsid w:val="00DA4B69"/>
    <w:rsid w:val="00DA4C5A"/>
    <w:rsid w:val="00DA5989"/>
    <w:rsid w:val="00DA5AB1"/>
    <w:rsid w:val="00DA5F9D"/>
    <w:rsid w:val="00DA5FFB"/>
    <w:rsid w:val="00DA69B2"/>
    <w:rsid w:val="00DA7462"/>
    <w:rsid w:val="00DA7AD0"/>
    <w:rsid w:val="00DB02D7"/>
    <w:rsid w:val="00DB03CC"/>
    <w:rsid w:val="00DB12D4"/>
    <w:rsid w:val="00DB14F0"/>
    <w:rsid w:val="00DB1745"/>
    <w:rsid w:val="00DB19BB"/>
    <w:rsid w:val="00DB1AFF"/>
    <w:rsid w:val="00DB219A"/>
    <w:rsid w:val="00DB23DD"/>
    <w:rsid w:val="00DB3165"/>
    <w:rsid w:val="00DB4292"/>
    <w:rsid w:val="00DB5023"/>
    <w:rsid w:val="00DB629E"/>
    <w:rsid w:val="00DB6381"/>
    <w:rsid w:val="00DB6883"/>
    <w:rsid w:val="00DB6E46"/>
    <w:rsid w:val="00DB7117"/>
    <w:rsid w:val="00DB7760"/>
    <w:rsid w:val="00DB7A65"/>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C7F42"/>
    <w:rsid w:val="00DD09B4"/>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72A0"/>
    <w:rsid w:val="00DD735D"/>
    <w:rsid w:val="00DE0159"/>
    <w:rsid w:val="00DE064A"/>
    <w:rsid w:val="00DE082D"/>
    <w:rsid w:val="00DE1369"/>
    <w:rsid w:val="00DE1410"/>
    <w:rsid w:val="00DE14A6"/>
    <w:rsid w:val="00DE1B6E"/>
    <w:rsid w:val="00DE20C6"/>
    <w:rsid w:val="00DE3119"/>
    <w:rsid w:val="00DE3FF0"/>
    <w:rsid w:val="00DE4105"/>
    <w:rsid w:val="00DE41C4"/>
    <w:rsid w:val="00DE5189"/>
    <w:rsid w:val="00DE5D24"/>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51F"/>
    <w:rsid w:val="00DF6CCA"/>
    <w:rsid w:val="00DF6F43"/>
    <w:rsid w:val="00DF752F"/>
    <w:rsid w:val="00DF76A2"/>
    <w:rsid w:val="00DF7B87"/>
    <w:rsid w:val="00E00B7A"/>
    <w:rsid w:val="00E01FDD"/>
    <w:rsid w:val="00E02186"/>
    <w:rsid w:val="00E023E5"/>
    <w:rsid w:val="00E026BB"/>
    <w:rsid w:val="00E027C5"/>
    <w:rsid w:val="00E03124"/>
    <w:rsid w:val="00E031C3"/>
    <w:rsid w:val="00E03951"/>
    <w:rsid w:val="00E03DB8"/>
    <w:rsid w:val="00E03F17"/>
    <w:rsid w:val="00E0420C"/>
    <w:rsid w:val="00E04230"/>
    <w:rsid w:val="00E04EDD"/>
    <w:rsid w:val="00E055C2"/>
    <w:rsid w:val="00E05E70"/>
    <w:rsid w:val="00E05F4A"/>
    <w:rsid w:val="00E064BC"/>
    <w:rsid w:val="00E065C9"/>
    <w:rsid w:val="00E06A6F"/>
    <w:rsid w:val="00E07225"/>
    <w:rsid w:val="00E076B4"/>
    <w:rsid w:val="00E07B55"/>
    <w:rsid w:val="00E10579"/>
    <w:rsid w:val="00E109DD"/>
    <w:rsid w:val="00E11229"/>
    <w:rsid w:val="00E114CA"/>
    <w:rsid w:val="00E11FE2"/>
    <w:rsid w:val="00E12789"/>
    <w:rsid w:val="00E1397F"/>
    <w:rsid w:val="00E13AB8"/>
    <w:rsid w:val="00E1482E"/>
    <w:rsid w:val="00E153AE"/>
    <w:rsid w:val="00E15AB1"/>
    <w:rsid w:val="00E16382"/>
    <w:rsid w:val="00E1699C"/>
    <w:rsid w:val="00E16E75"/>
    <w:rsid w:val="00E1714E"/>
    <w:rsid w:val="00E1746D"/>
    <w:rsid w:val="00E2012A"/>
    <w:rsid w:val="00E205A2"/>
    <w:rsid w:val="00E20BA4"/>
    <w:rsid w:val="00E213A3"/>
    <w:rsid w:val="00E21C48"/>
    <w:rsid w:val="00E22041"/>
    <w:rsid w:val="00E22053"/>
    <w:rsid w:val="00E2302A"/>
    <w:rsid w:val="00E23137"/>
    <w:rsid w:val="00E23980"/>
    <w:rsid w:val="00E241E9"/>
    <w:rsid w:val="00E24A16"/>
    <w:rsid w:val="00E257C3"/>
    <w:rsid w:val="00E25CB3"/>
    <w:rsid w:val="00E25DA4"/>
    <w:rsid w:val="00E26237"/>
    <w:rsid w:val="00E26C70"/>
    <w:rsid w:val="00E26CB8"/>
    <w:rsid w:val="00E26D16"/>
    <w:rsid w:val="00E26FCF"/>
    <w:rsid w:val="00E27165"/>
    <w:rsid w:val="00E275D9"/>
    <w:rsid w:val="00E27801"/>
    <w:rsid w:val="00E27988"/>
    <w:rsid w:val="00E3044A"/>
    <w:rsid w:val="00E305EF"/>
    <w:rsid w:val="00E305F4"/>
    <w:rsid w:val="00E30E49"/>
    <w:rsid w:val="00E3174A"/>
    <w:rsid w:val="00E31A4A"/>
    <w:rsid w:val="00E33327"/>
    <w:rsid w:val="00E3344A"/>
    <w:rsid w:val="00E33B29"/>
    <w:rsid w:val="00E33B62"/>
    <w:rsid w:val="00E3403D"/>
    <w:rsid w:val="00E344BD"/>
    <w:rsid w:val="00E34B9D"/>
    <w:rsid w:val="00E34E6C"/>
    <w:rsid w:val="00E353E2"/>
    <w:rsid w:val="00E36345"/>
    <w:rsid w:val="00E368BD"/>
    <w:rsid w:val="00E36C86"/>
    <w:rsid w:val="00E36CEB"/>
    <w:rsid w:val="00E37387"/>
    <w:rsid w:val="00E37A28"/>
    <w:rsid w:val="00E40430"/>
    <w:rsid w:val="00E40690"/>
    <w:rsid w:val="00E40AEB"/>
    <w:rsid w:val="00E40B4D"/>
    <w:rsid w:val="00E4143A"/>
    <w:rsid w:val="00E424C8"/>
    <w:rsid w:val="00E4251D"/>
    <w:rsid w:val="00E437CE"/>
    <w:rsid w:val="00E43D00"/>
    <w:rsid w:val="00E443B4"/>
    <w:rsid w:val="00E445E4"/>
    <w:rsid w:val="00E457CB"/>
    <w:rsid w:val="00E45D47"/>
    <w:rsid w:val="00E45DE4"/>
    <w:rsid w:val="00E45E63"/>
    <w:rsid w:val="00E462F0"/>
    <w:rsid w:val="00E46BBC"/>
    <w:rsid w:val="00E4759C"/>
    <w:rsid w:val="00E47B5C"/>
    <w:rsid w:val="00E50A7B"/>
    <w:rsid w:val="00E50AC5"/>
    <w:rsid w:val="00E50B0B"/>
    <w:rsid w:val="00E510FE"/>
    <w:rsid w:val="00E51129"/>
    <w:rsid w:val="00E516C7"/>
    <w:rsid w:val="00E51E25"/>
    <w:rsid w:val="00E5205B"/>
    <w:rsid w:val="00E521AE"/>
    <w:rsid w:val="00E52212"/>
    <w:rsid w:val="00E529A3"/>
    <w:rsid w:val="00E52CE7"/>
    <w:rsid w:val="00E53A21"/>
    <w:rsid w:val="00E53BCA"/>
    <w:rsid w:val="00E53DE2"/>
    <w:rsid w:val="00E53F02"/>
    <w:rsid w:val="00E54534"/>
    <w:rsid w:val="00E548C3"/>
    <w:rsid w:val="00E54C5A"/>
    <w:rsid w:val="00E54F27"/>
    <w:rsid w:val="00E5525E"/>
    <w:rsid w:val="00E55E1C"/>
    <w:rsid w:val="00E55FF1"/>
    <w:rsid w:val="00E56090"/>
    <w:rsid w:val="00E565B9"/>
    <w:rsid w:val="00E56CF4"/>
    <w:rsid w:val="00E56E7B"/>
    <w:rsid w:val="00E5733B"/>
    <w:rsid w:val="00E5756C"/>
    <w:rsid w:val="00E57811"/>
    <w:rsid w:val="00E5798B"/>
    <w:rsid w:val="00E57CF0"/>
    <w:rsid w:val="00E601BE"/>
    <w:rsid w:val="00E60B5F"/>
    <w:rsid w:val="00E613AE"/>
    <w:rsid w:val="00E61429"/>
    <w:rsid w:val="00E61ABB"/>
    <w:rsid w:val="00E61FD7"/>
    <w:rsid w:val="00E620B6"/>
    <w:rsid w:val="00E62103"/>
    <w:rsid w:val="00E623E6"/>
    <w:rsid w:val="00E62851"/>
    <w:rsid w:val="00E630C0"/>
    <w:rsid w:val="00E63107"/>
    <w:rsid w:val="00E6312C"/>
    <w:rsid w:val="00E634E6"/>
    <w:rsid w:val="00E63DCE"/>
    <w:rsid w:val="00E64530"/>
    <w:rsid w:val="00E6453E"/>
    <w:rsid w:val="00E64700"/>
    <w:rsid w:val="00E64854"/>
    <w:rsid w:val="00E64F45"/>
    <w:rsid w:val="00E65074"/>
    <w:rsid w:val="00E6526E"/>
    <w:rsid w:val="00E65E70"/>
    <w:rsid w:val="00E66050"/>
    <w:rsid w:val="00E66087"/>
    <w:rsid w:val="00E66A24"/>
    <w:rsid w:val="00E66D79"/>
    <w:rsid w:val="00E66FF9"/>
    <w:rsid w:val="00E6706F"/>
    <w:rsid w:val="00E67856"/>
    <w:rsid w:val="00E679C8"/>
    <w:rsid w:val="00E70314"/>
    <w:rsid w:val="00E724E7"/>
    <w:rsid w:val="00E72B41"/>
    <w:rsid w:val="00E73036"/>
    <w:rsid w:val="00E7347B"/>
    <w:rsid w:val="00E73792"/>
    <w:rsid w:val="00E73D03"/>
    <w:rsid w:val="00E74040"/>
    <w:rsid w:val="00E7471C"/>
    <w:rsid w:val="00E7498A"/>
    <w:rsid w:val="00E7514E"/>
    <w:rsid w:val="00E76537"/>
    <w:rsid w:val="00E76626"/>
    <w:rsid w:val="00E77784"/>
    <w:rsid w:val="00E77937"/>
    <w:rsid w:val="00E77AF5"/>
    <w:rsid w:val="00E81925"/>
    <w:rsid w:val="00E823F9"/>
    <w:rsid w:val="00E82C1F"/>
    <w:rsid w:val="00E83671"/>
    <w:rsid w:val="00E8406E"/>
    <w:rsid w:val="00E840EE"/>
    <w:rsid w:val="00E8416F"/>
    <w:rsid w:val="00E84A6D"/>
    <w:rsid w:val="00E84A71"/>
    <w:rsid w:val="00E85170"/>
    <w:rsid w:val="00E86556"/>
    <w:rsid w:val="00E86D35"/>
    <w:rsid w:val="00E86DC2"/>
    <w:rsid w:val="00E86E32"/>
    <w:rsid w:val="00E86F2E"/>
    <w:rsid w:val="00E8732E"/>
    <w:rsid w:val="00E8744A"/>
    <w:rsid w:val="00E87E9C"/>
    <w:rsid w:val="00E9011F"/>
    <w:rsid w:val="00E906EB"/>
    <w:rsid w:val="00E90A66"/>
    <w:rsid w:val="00E910B2"/>
    <w:rsid w:val="00E910C8"/>
    <w:rsid w:val="00E919FB"/>
    <w:rsid w:val="00E9241E"/>
    <w:rsid w:val="00E92460"/>
    <w:rsid w:val="00E92E62"/>
    <w:rsid w:val="00E93804"/>
    <w:rsid w:val="00E9429D"/>
    <w:rsid w:val="00E94F0F"/>
    <w:rsid w:val="00E95434"/>
    <w:rsid w:val="00E95B72"/>
    <w:rsid w:val="00E96467"/>
    <w:rsid w:val="00E966DA"/>
    <w:rsid w:val="00E96948"/>
    <w:rsid w:val="00E96B2A"/>
    <w:rsid w:val="00E96E26"/>
    <w:rsid w:val="00E9737B"/>
    <w:rsid w:val="00E97A3F"/>
    <w:rsid w:val="00E97F0A"/>
    <w:rsid w:val="00EA0100"/>
    <w:rsid w:val="00EA018C"/>
    <w:rsid w:val="00EA0BCE"/>
    <w:rsid w:val="00EA1155"/>
    <w:rsid w:val="00EA2744"/>
    <w:rsid w:val="00EA37B9"/>
    <w:rsid w:val="00EA39F7"/>
    <w:rsid w:val="00EA3DC2"/>
    <w:rsid w:val="00EA434E"/>
    <w:rsid w:val="00EA4757"/>
    <w:rsid w:val="00EA5037"/>
    <w:rsid w:val="00EA5051"/>
    <w:rsid w:val="00EA560B"/>
    <w:rsid w:val="00EA5669"/>
    <w:rsid w:val="00EA56A9"/>
    <w:rsid w:val="00EA5CC6"/>
    <w:rsid w:val="00EA63EF"/>
    <w:rsid w:val="00EB0A89"/>
    <w:rsid w:val="00EB1573"/>
    <w:rsid w:val="00EB1910"/>
    <w:rsid w:val="00EB2170"/>
    <w:rsid w:val="00EB2D83"/>
    <w:rsid w:val="00EB2E97"/>
    <w:rsid w:val="00EB3416"/>
    <w:rsid w:val="00EB3C01"/>
    <w:rsid w:val="00EB48E9"/>
    <w:rsid w:val="00EB4A31"/>
    <w:rsid w:val="00EB4AE1"/>
    <w:rsid w:val="00EB52F4"/>
    <w:rsid w:val="00EB5694"/>
    <w:rsid w:val="00EB5779"/>
    <w:rsid w:val="00EB5D2F"/>
    <w:rsid w:val="00EB66C3"/>
    <w:rsid w:val="00EB67F1"/>
    <w:rsid w:val="00EB67FB"/>
    <w:rsid w:val="00EB72CD"/>
    <w:rsid w:val="00EB749A"/>
    <w:rsid w:val="00EB76B6"/>
    <w:rsid w:val="00EB7D8A"/>
    <w:rsid w:val="00EC05E2"/>
    <w:rsid w:val="00EC08AC"/>
    <w:rsid w:val="00EC0B18"/>
    <w:rsid w:val="00EC0E84"/>
    <w:rsid w:val="00EC16E2"/>
    <w:rsid w:val="00EC1CE7"/>
    <w:rsid w:val="00EC26F1"/>
    <w:rsid w:val="00EC34F3"/>
    <w:rsid w:val="00EC3C94"/>
    <w:rsid w:val="00EC44DF"/>
    <w:rsid w:val="00EC4FA2"/>
    <w:rsid w:val="00EC4FB9"/>
    <w:rsid w:val="00EC5308"/>
    <w:rsid w:val="00EC5393"/>
    <w:rsid w:val="00EC5741"/>
    <w:rsid w:val="00EC5C42"/>
    <w:rsid w:val="00EC5DA3"/>
    <w:rsid w:val="00EC6014"/>
    <w:rsid w:val="00EC6656"/>
    <w:rsid w:val="00EC6B3E"/>
    <w:rsid w:val="00EC73DE"/>
    <w:rsid w:val="00EC7637"/>
    <w:rsid w:val="00EC7CF2"/>
    <w:rsid w:val="00ED046C"/>
    <w:rsid w:val="00ED053A"/>
    <w:rsid w:val="00ED0E32"/>
    <w:rsid w:val="00ED1220"/>
    <w:rsid w:val="00ED15DF"/>
    <w:rsid w:val="00ED1F03"/>
    <w:rsid w:val="00ED24AF"/>
    <w:rsid w:val="00ED2932"/>
    <w:rsid w:val="00ED2D27"/>
    <w:rsid w:val="00ED3347"/>
    <w:rsid w:val="00ED3441"/>
    <w:rsid w:val="00ED3860"/>
    <w:rsid w:val="00ED3954"/>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73"/>
    <w:rsid w:val="00ED7FBC"/>
    <w:rsid w:val="00EE0253"/>
    <w:rsid w:val="00EE0297"/>
    <w:rsid w:val="00EE0B62"/>
    <w:rsid w:val="00EE1258"/>
    <w:rsid w:val="00EE13DA"/>
    <w:rsid w:val="00EE1668"/>
    <w:rsid w:val="00EE1EDB"/>
    <w:rsid w:val="00EE24E2"/>
    <w:rsid w:val="00EE366D"/>
    <w:rsid w:val="00EE46B0"/>
    <w:rsid w:val="00EE4726"/>
    <w:rsid w:val="00EE4BA1"/>
    <w:rsid w:val="00EE4CDF"/>
    <w:rsid w:val="00EE5454"/>
    <w:rsid w:val="00EE59B5"/>
    <w:rsid w:val="00EE5FB7"/>
    <w:rsid w:val="00EE6783"/>
    <w:rsid w:val="00EE7266"/>
    <w:rsid w:val="00EE7368"/>
    <w:rsid w:val="00EE774F"/>
    <w:rsid w:val="00EE7B54"/>
    <w:rsid w:val="00EE7C47"/>
    <w:rsid w:val="00EE7C88"/>
    <w:rsid w:val="00EE7C8B"/>
    <w:rsid w:val="00EF0209"/>
    <w:rsid w:val="00EF05C0"/>
    <w:rsid w:val="00EF0EA4"/>
    <w:rsid w:val="00EF1E97"/>
    <w:rsid w:val="00EF1FAB"/>
    <w:rsid w:val="00EF21E6"/>
    <w:rsid w:val="00EF2388"/>
    <w:rsid w:val="00EF2436"/>
    <w:rsid w:val="00EF2547"/>
    <w:rsid w:val="00EF284B"/>
    <w:rsid w:val="00EF296B"/>
    <w:rsid w:val="00EF2B2B"/>
    <w:rsid w:val="00EF2E1C"/>
    <w:rsid w:val="00EF2FD6"/>
    <w:rsid w:val="00EF326A"/>
    <w:rsid w:val="00EF3488"/>
    <w:rsid w:val="00EF3850"/>
    <w:rsid w:val="00EF38B3"/>
    <w:rsid w:val="00EF3ECF"/>
    <w:rsid w:val="00EF427A"/>
    <w:rsid w:val="00EF44B3"/>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9D1"/>
    <w:rsid w:val="00EF7BF4"/>
    <w:rsid w:val="00F0012F"/>
    <w:rsid w:val="00F0030F"/>
    <w:rsid w:val="00F00674"/>
    <w:rsid w:val="00F01657"/>
    <w:rsid w:val="00F01E67"/>
    <w:rsid w:val="00F02744"/>
    <w:rsid w:val="00F02BFD"/>
    <w:rsid w:val="00F02D25"/>
    <w:rsid w:val="00F03C3D"/>
    <w:rsid w:val="00F0435D"/>
    <w:rsid w:val="00F04580"/>
    <w:rsid w:val="00F04ECA"/>
    <w:rsid w:val="00F04F8B"/>
    <w:rsid w:val="00F05B88"/>
    <w:rsid w:val="00F06E19"/>
    <w:rsid w:val="00F06F84"/>
    <w:rsid w:val="00F07616"/>
    <w:rsid w:val="00F076E7"/>
    <w:rsid w:val="00F079C3"/>
    <w:rsid w:val="00F07AA1"/>
    <w:rsid w:val="00F07CCE"/>
    <w:rsid w:val="00F105AE"/>
    <w:rsid w:val="00F10618"/>
    <w:rsid w:val="00F107DF"/>
    <w:rsid w:val="00F1108B"/>
    <w:rsid w:val="00F1123C"/>
    <w:rsid w:val="00F114FA"/>
    <w:rsid w:val="00F11768"/>
    <w:rsid w:val="00F11951"/>
    <w:rsid w:val="00F12256"/>
    <w:rsid w:val="00F12262"/>
    <w:rsid w:val="00F12564"/>
    <w:rsid w:val="00F12AF8"/>
    <w:rsid w:val="00F12C52"/>
    <w:rsid w:val="00F13E62"/>
    <w:rsid w:val="00F148B7"/>
    <w:rsid w:val="00F14EA9"/>
    <w:rsid w:val="00F15505"/>
    <w:rsid w:val="00F15BFF"/>
    <w:rsid w:val="00F168A8"/>
    <w:rsid w:val="00F16E4F"/>
    <w:rsid w:val="00F17244"/>
    <w:rsid w:val="00F17500"/>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9D2"/>
    <w:rsid w:val="00F31BEF"/>
    <w:rsid w:val="00F327C8"/>
    <w:rsid w:val="00F334DB"/>
    <w:rsid w:val="00F33968"/>
    <w:rsid w:val="00F3399B"/>
    <w:rsid w:val="00F33F4B"/>
    <w:rsid w:val="00F34645"/>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47738"/>
    <w:rsid w:val="00F47C40"/>
    <w:rsid w:val="00F50183"/>
    <w:rsid w:val="00F50353"/>
    <w:rsid w:val="00F50D92"/>
    <w:rsid w:val="00F5160A"/>
    <w:rsid w:val="00F51765"/>
    <w:rsid w:val="00F5183B"/>
    <w:rsid w:val="00F51A51"/>
    <w:rsid w:val="00F51BC6"/>
    <w:rsid w:val="00F51CB4"/>
    <w:rsid w:val="00F52324"/>
    <w:rsid w:val="00F52950"/>
    <w:rsid w:val="00F52C9D"/>
    <w:rsid w:val="00F533F1"/>
    <w:rsid w:val="00F54499"/>
    <w:rsid w:val="00F55565"/>
    <w:rsid w:val="00F55679"/>
    <w:rsid w:val="00F561E3"/>
    <w:rsid w:val="00F565E6"/>
    <w:rsid w:val="00F567F4"/>
    <w:rsid w:val="00F56AFA"/>
    <w:rsid w:val="00F570AD"/>
    <w:rsid w:val="00F573E9"/>
    <w:rsid w:val="00F575E2"/>
    <w:rsid w:val="00F579FF"/>
    <w:rsid w:val="00F600E0"/>
    <w:rsid w:val="00F605EC"/>
    <w:rsid w:val="00F60F60"/>
    <w:rsid w:val="00F612CE"/>
    <w:rsid w:val="00F6133C"/>
    <w:rsid w:val="00F620DD"/>
    <w:rsid w:val="00F623D7"/>
    <w:rsid w:val="00F624A7"/>
    <w:rsid w:val="00F62AB6"/>
    <w:rsid w:val="00F64933"/>
    <w:rsid w:val="00F65A3C"/>
    <w:rsid w:val="00F65CF6"/>
    <w:rsid w:val="00F65D0E"/>
    <w:rsid w:val="00F66282"/>
    <w:rsid w:val="00F6639E"/>
    <w:rsid w:val="00F670E9"/>
    <w:rsid w:val="00F67AF1"/>
    <w:rsid w:val="00F67D8B"/>
    <w:rsid w:val="00F701C5"/>
    <w:rsid w:val="00F70639"/>
    <w:rsid w:val="00F70961"/>
    <w:rsid w:val="00F70A8F"/>
    <w:rsid w:val="00F70E36"/>
    <w:rsid w:val="00F70F32"/>
    <w:rsid w:val="00F71252"/>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221"/>
    <w:rsid w:val="00F809F8"/>
    <w:rsid w:val="00F80C81"/>
    <w:rsid w:val="00F81265"/>
    <w:rsid w:val="00F815AC"/>
    <w:rsid w:val="00F8187D"/>
    <w:rsid w:val="00F82CD1"/>
    <w:rsid w:val="00F83B33"/>
    <w:rsid w:val="00F83CAE"/>
    <w:rsid w:val="00F840BF"/>
    <w:rsid w:val="00F8427A"/>
    <w:rsid w:val="00F843DF"/>
    <w:rsid w:val="00F84899"/>
    <w:rsid w:val="00F85585"/>
    <w:rsid w:val="00F8570C"/>
    <w:rsid w:val="00F859F0"/>
    <w:rsid w:val="00F85CC1"/>
    <w:rsid w:val="00F86B5D"/>
    <w:rsid w:val="00F875E1"/>
    <w:rsid w:val="00F87634"/>
    <w:rsid w:val="00F87C13"/>
    <w:rsid w:val="00F87C5A"/>
    <w:rsid w:val="00F87DD2"/>
    <w:rsid w:val="00F87E29"/>
    <w:rsid w:val="00F87F18"/>
    <w:rsid w:val="00F87F68"/>
    <w:rsid w:val="00F904EA"/>
    <w:rsid w:val="00F90C4D"/>
    <w:rsid w:val="00F9167D"/>
    <w:rsid w:val="00F91CB2"/>
    <w:rsid w:val="00F91E38"/>
    <w:rsid w:val="00F9232A"/>
    <w:rsid w:val="00F927E8"/>
    <w:rsid w:val="00F9289C"/>
    <w:rsid w:val="00F92DDE"/>
    <w:rsid w:val="00F93393"/>
    <w:rsid w:val="00F9374A"/>
    <w:rsid w:val="00F9375C"/>
    <w:rsid w:val="00F93DBC"/>
    <w:rsid w:val="00F93E41"/>
    <w:rsid w:val="00F94644"/>
    <w:rsid w:val="00F952E4"/>
    <w:rsid w:val="00F9537B"/>
    <w:rsid w:val="00F963FC"/>
    <w:rsid w:val="00F965D2"/>
    <w:rsid w:val="00F97A94"/>
    <w:rsid w:val="00F97CF1"/>
    <w:rsid w:val="00FA015F"/>
    <w:rsid w:val="00FA0160"/>
    <w:rsid w:val="00FA0446"/>
    <w:rsid w:val="00FA0FAC"/>
    <w:rsid w:val="00FA10F7"/>
    <w:rsid w:val="00FA1DA2"/>
    <w:rsid w:val="00FA1E83"/>
    <w:rsid w:val="00FA3414"/>
    <w:rsid w:val="00FA347A"/>
    <w:rsid w:val="00FA37E1"/>
    <w:rsid w:val="00FA3CDE"/>
    <w:rsid w:val="00FA40FC"/>
    <w:rsid w:val="00FA49B7"/>
    <w:rsid w:val="00FA4CA8"/>
    <w:rsid w:val="00FA5043"/>
    <w:rsid w:val="00FA6C18"/>
    <w:rsid w:val="00FA6F8B"/>
    <w:rsid w:val="00FA727C"/>
    <w:rsid w:val="00FA7A30"/>
    <w:rsid w:val="00FB033F"/>
    <w:rsid w:val="00FB12E3"/>
    <w:rsid w:val="00FB1570"/>
    <w:rsid w:val="00FB193B"/>
    <w:rsid w:val="00FB1FBC"/>
    <w:rsid w:val="00FB27B7"/>
    <w:rsid w:val="00FB3441"/>
    <w:rsid w:val="00FB35E3"/>
    <w:rsid w:val="00FB4B5D"/>
    <w:rsid w:val="00FB4C98"/>
    <w:rsid w:val="00FB4CE3"/>
    <w:rsid w:val="00FB50FA"/>
    <w:rsid w:val="00FB583C"/>
    <w:rsid w:val="00FB6048"/>
    <w:rsid w:val="00FB630E"/>
    <w:rsid w:val="00FB6738"/>
    <w:rsid w:val="00FB691B"/>
    <w:rsid w:val="00FB6A41"/>
    <w:rsid w:val="00FB6BE6"/>
    <w:rsid w:val="00FB731C"/>
    <w:rsid w:val="00FB7628"/>
    <w:rsid w:val="00FB78B1"/>
    <w:rsid w:val="00FC05A0"/>
    <w:rsid w:val="00FC0811"/>
    <w:rsid w:val="00FC1078"/>
    <w:rsid w:val="00FC1196"/>
    <w:rsid w:val="00FC15EB"/>
    <w:rsid w:val="00FC162C"/>
    <w:rsid w:val="00FC178B"/>
    <w:rsid w:val="00FC18DC"/>
    <w:rsid w:val="00FC1A35"/>
    <w:rsid w:val="00FC1ABF"/>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245"/>
    <w:rsid w:val="00FC5CF4"/>
    <w:rsid w:val="00FC5D64"/>
    <w:rsid w:val="00FC5DA6"/>
    <w:rsid w:val="00FC6A39"/>
    <w:rsid w:val="00FC7176"/>
    <w:rsid w:val="00FC76A9"/>
    <w:rsid w:val="00FC79AB"/>
    <w:rsid w:val="00FC7BE7"/>
    <w:rsid w:val="00FC7D25"/>
    <w:rsid w:val="00FC7DAC"/>
    <w:rsid w:val="00FD005D"/>
    <w:rsid w:val="00FD023A"/>
    <w:rsid w:val="00FD04AE"/>
    <w:rsid w:val="00FD0DFA"/>
    <w:rsid w:val="00FD128D"/>
    <w:rsid w:val="00FD1890"/>
    <w:rsid w:val="00FD1994"/>
    <w:rsid w:val="00FD2389"/>
    <w:rsid w:val="00FD23D6"/>
    <w:rsid w:val="00FD3508"/>
    <w:rsid w:val="00FD35D5"/>
    <w:rsid w:val="00FD393C"/>
    <w:rsid w:val="00FD3AFF"/>
    <w:rsid w:val="00FD43BB"/>
    <w:rsid w:val="00FD48CD"/>
    <w:rsid w:val="00FD4AF3"/>
    <w:rsid w:val="00FD798D"/>
    <w:rsid w:val="00FE141E"/>
    <w:rsid w:val="00FE144E"/>
    <w:rsid w:val="00FE1768"/>
    <w:rsid w:val="00FE24F4"/>
    <w:rsid w:val="00FE2560"/>
    <w:rsid w:val="00FE29AD"/>
    <w:rsid w:val="00FE2D60"/>
    <w:rsid w:val="00FE35D0"/>
    <w:rsid w:val="00FE42ED"/>
    <w:rsid w:val="00FE485B"/>
    <w:rsid w:val="00FE4E06"/>
    <w:rsid w:val="00FE55A7"/>
    <w:rsid w:val="00FE5C5A"/>
    <w:rsid w:val="00FE6432"/>
    <w:rsid w:val="00FE6DD0"/>
    <w:rsid w:val="00FE7020"/>
    <w:rsid w:val="00FE72A0"/>
    <w:rsid w:val="00FE76F9"/>
    <w:rsid w:val="00FF0050"/>
    <w:rsid w:val="00FF045F"/>
    <w:rsid w:val="00FF0FA2"/>
    <w:rsid w:val="00FF13D4"/>
    <w:rsid w:val="00FF2053"/>
    <w:rsid w:val="00FF3AFD"/>
    <w:rsid w:val="00FF3B37"/>
    <w:rsid w:val="00FF3CC7"/>
    <w:rsid w:val="00FF3D6F"/>
    <w:rsid w:val="00FF40D6"/>
    <w:rsid w:val="00FF4489"/>
    <w:rsid w:val="00FF4AE4"/>
    <w:rsid w:val="00FF4BD8"/>
    <w:rsid w:val="00FF4D11"/>
    <w:rsid w:val="00FF5214"/>
    <w:rsid w:val="00FF596E"/>
    <w:rsid w:val="00FF5B59"/>
    <w:rsid w:val="00FF5BFD"/>
    <w:rsid w:val="00FF5F9E"/>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0C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character" w:styleId="Hipervnculovisitado">
    <w:name w:val="FollowedHyperlink"/>
    <w:basedOn w:val="Fuentedeprrafopredeter"/>
    <w:uiPriority w:val="99"/>
    <w:semiHidden/>
    <w:unhideWhenUsed/>
    <w:rsid w:val="00912C6C"/>
    <w:rPr>
      <w:color w:val="F2F2F2" w:themeColor="followedHyperlink"/>
      <w:u w:val="single"/>
    </w:rPr>
  </w:style>
  <w:style w:type="paragraph" w:styleId="Revisin">
    <w:name w:val="Revision"/>
    <w:hidden/>
    <w:uiPriority w:val="99"/>
    <w:semiHidden/>
    <w:rsid w:val="004F7F5F"/>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841">
      <w:bodyDiv w:val="1"/>
      <w:marLeft w:val="0"/>
      <w:marRight w:val="0"/>
      <w:marTop w:val="0"/>
      <w:marBottom w:val="0"/>
      <w:divBdr>
        <w:top w:val="none" w:sz="0" w:space="0" w:color="auto"/>
        <w:left w:val="none" w:sz="0" w:space="0" w:color="auto"/>
        <w:bottom w:val="none" w:sz="0" w:space="0" w:color="auto"/>
        <w:right w:val="none" w:sz="0" w:space="0" w:color="auto"/>
      </w:divBdr>
    </w:div>
    <w:div w:id="4863279">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17631127">
      <w:bodyDiv w:val="1"/>
      <w:marLeft w:val="0"/>
      <w:marRight w:val="0"/>
      <w:marTop w:val="0"/>
      <w:marBottom w:val="0"/>
      <w:divBdr>
        <w:top w:val="none" w:sz="0" w:space="0" w:color="auto"/>
        <w:left w:val="none" w:sz="0" w:space="0" w:color="auto"/>
        <w:bottom w:val="none" w:sz="0" w:space="0" w:color="auto"/>
        <w:right w:val="none" w:sz="0" w:space="0" w:color="auto"/>
      </w:divBdr>
      <w:divsChild>
        <w:div w:id="1104106312">
          <w:marLeft w:val="0"/>
          <w:marRight w:val="0"/>
          <w:marTop w:val="0"/>
          <w:marBottom w:val="0"/>
          <w:divBdr>
            <w:top w:val="none" w:sz="0" w:space="0" w:color="auto"/>
            <w:left w:val="none" w:sz="0" w:space="0" w:color="auto"/>
            <w:bottom w:val="none" w:sz="0" w:space="0" w:color="auto"/>
            <w:right w:val="none" w:sz="0" w:space="0" w:color="auto"/>
          </w:divBdr>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9107924">
      <w:bodyDiv w:val="1"/>
      <w:marLeft w:val="0"/>
      <w:marRight w:val="0"/>
      <w:marTop w:val="0"/>
      <w:marBottom w:val="0"/>
      <w:divBdr>
        <w:top w:val="none" w:sz="0" w:space="0" w:color="auto"/>
        <w:left w:val="none" w:sz="0" w:space="0" w:color="auto"/>
        <w:bottom w:val="none" w:sz="0" w:space="0" w:color="auto"/>
        <w:right w:val="none" w:sz="0" w:space="0" w:color="auto"/>
      </w:divBdr>
      <w:divsChild>
        <w:div w:id="325986237">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149953">
      <w:bodyDiv w:val="1"/>
      <w:marLeft w:val="0"/>
      <w:marRight w:val="0"/>
      <w:marTop w:val="0"/>
      <w:marBottom w:val="0"/>
      <w:divBdr>
        <w:top w:val="none" w:sz="0" w:space="0" w:color="auto"/>
        <w:left w:val="none" w:sz="0" w:space="0" w:color="auto"/>
        <w:bottom w:val="none" w:sz="0" w:space="0" w:color="auto"/>
        <w:right w:val="none" w:sz="0" w:space="0" w:color="auto"/>
      </w:divBdr>
    </w:div>
    <w:div w:id="76175579">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332763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18786286">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298806072">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6932900">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6296407">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026393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7528053">
      <w:bodyDiv w:val="1"/>
      <w:marLeft w:val="0"/>
      <w:marRight w:val="0"/>
      <w:marTop w:val="0"/>
      <w:marBottom w:val="0"/>
      <w:divBdr>
        <w:top w:val="none" w:sz="0" w:space="0" w:color="auto"/>
        <w:left w:val="none" w:sz="0" w:space="0" w:color="auto"/>
        <w:bottom w:val="none" w:sz="0" w:space="0" w:color="auto"/>
        <w:right w:val="none" w:sz="0" w:space="0" w:color="auto"/>
      </w:divBdr>
      <w:divsChild>
        <w:div w:id="1980762141">
          <w:marLeft w:val="0"/>
          <w:marRight w:val="0"/>
          <w:marTop w:val="0"/>
          <w:marBottom w:val="0"/>
          <w:divBdr>
            <w:top w:val="none" w:sz="0" w:space="0" w:color="auto"/>
            <w:left w:val="none" w:sz="0" w:space="0" w:color="auto"/>
            <w:bottom w:val="none" w:sz="0" w:space="0" w:color="auto"/>
            <w:right w:val="none" w:sz="0" w:space="0" w:color="auto"/>
          </w:divBdr>
          <w:divsChild>
            <w:div w:id="824053641">
              <w:marLeft w:val="0"/>
              <w:marRight w:val="0"/>
              <w:marTop w:val="0"/>
              <w:marBottom w:val="0"/>
              <w:divBdr>
                <w:top w:val="none" w:sz="0" w:space="0" w:color="auto"/>
                <w:left w:val="none" w:sz="0" w:space="0" w:color="auto"/>
                <w:bottom w:val="none" w:sz="0" w:space="0" w:color="auto"/>
                <w:right w:val="none" w:sz="0" w:space="0" w:color="auto"/>
              </w:divBdr>
              <w:divsChild>
                <w:div w:id="20166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5125429">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2367808">
      <w:bodyDiv w:val="1"/>
      <w:marLeft w:val="0"/>
      <w:marRight w:val="0"/>
      <w:marTop w:val="0"/>
      <w:marBottom w:val="0"/>
      <w:divBdr>
        <w:top w:val="none" w:sz="0" w:space="0" w:color="auto"/>
        <w:left w:val="none" w:sz="0" w:space="0" w:color="auto"/>
        <w:bottom w:val="none" w:sz="0" w:space="0" w:color="auto"/>
        <w:right w:val="none" w:sz="0" w:space="0" w:color="auto"/>
      </w:divBdr>
      <w:divsChild>
        <w:div w:id="2058628378">
          <w:marLeft w:val="0"/>
          <w:marRight w:val="0"/>
          <w:marTop w:val="0"/>
          <w:marBottom w:val="0"/>
          <w:divBdr>
            <w:top w:val="none" w:sz="0" w:space="0" w:color="auto"/>
            <w:left w:val="none" w:sz="0" w:space="0" w:color="auto"/>
            <w:bottom w:val="none" w:sz="0" w:space="0" w:color="auto"/>
            <w:right w:val="none" w:sz="0" w:space="0" w:color="auto"/>
          </w:divBdr>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9656948">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53539">
      <w:bodyDiv w:val="1"/>
      <w:marLeft w:val="0"/>
      <w:marRight w:val="0"/>
      <w:marTop w:val="0"/>
      <w:marBottom w:val="0"/>
      <w:divBdr>
        <w:top w:val="none" w:sz="0" w:space="0" w:color="auto"/>
        <w:left w:val="none" w:sz="0" w:space="0" w:color="auto"/>
        <w:bottom w:val="none" w:sz="0" w:space="0" w:color="auto"/>
        <w:right w:val="none" w:sz="0" w:space="0" w:color="auto"/>
      </w:divBdr>
      <w:divsChild>
        <w:div w:id="645017653">
          <w:marLeft w:val="0"/>
          <w:marRight w:val="0"/>
          <w:marTop w:val="0"/>
          <w:marBottom w:val="0"/>
          <w:divBdr>
            <w:top w:val="none" w:sz="0" w:space="0" w:color="auto"/>
            <w:left w:val="none" w:sz="0" w:space="0" w:color="auto"/>
            <w:bottom w:val="none" w:sz="0" w:space="0" w:color="auto"/>
            <w:right w:val="none" w:sz="0" w:space="0" w:color="auto"/>
          </w:divBdr>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7765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7765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uncionpublica.gov.co/eva/gestornormativo/norma.php?i=7765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colombiacompra.gov.co/sites/cce_public/files/cce_circulares/vf_circular_externa_004_de_2021_002_2.pdf" TargetMode="External"/><Relationship Id="rId1" Type="http://schemas.openxmlformats.org/officeDocument/2006/relationships/hyperlink" Target="https://www.funcionpublica.gov.co/eva/gestornormativo/norma.php?i=77653"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colombiacompra.gov.co/sites/cce_public/files/cce_documents/cce_guia_entender_acuerdos_marco.pdf"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4EBD048E-CBD4-4443-8941-65E6B1BC4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26</TotalTime>
  <Pages>34</Pages>
  <Words>13521</Words>
  <Characters>74369</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87715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Jorge Eliecer Moran Buitrón</cp:lastModifiedBy>
  <cp:revision>4</cp:revision>
  <cp:lastPrinted>2020-01-30T15:05:00Z</cp:lastPrinted>
  <dcterms:created xsi:type="dcterms:W3CDTF">2022-02-11T20:41:00Z</dcterms:created>
  <dcterms:modified xsi:type="dcterms:W3CDTF">2022-04-22T20:40:00Z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