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54F3" w:rsidR="001854F3" w:rsidP="001854F3" w:rsidRDefault="001854F3" w14:paraId="788FB562" w14:textId="77777777">
      <w:pPr>
        <w:tabs>
          <w:tab w:val="left" w:pos="426"/>
        </w:tabs>
        <w:spacing w:after="0" w:line="240" w:lineRule="auto"/>
        <w:contextualSpacing/>
        <w:jc w:val="both"/>
        <w:rPr>
          <w:rFonts w:ascii="Arial" w:hAnsi="Arial" w:eastAsia="Calibri" w:cs="Arial"/>
          <w:b/>
          <w:bCs/>
          <w:lang w:val="es-MX"/>
        </w:rPr>
      </w:pPr>
      <w:bookmarkStart w:name="_Hlk29890381" w:id="0"/>
      <w:bookmarkStart w:name="_Hlk77152637" w:id="1"/>
      <w:bookmarkStart w:name="_Hlk77157066" w:id="2"/>
      <w:bookmarkStart w:name="_Hlk78821436" w:id="3"/>
      <w:bookmarkEnd w:id="0"/>
      <w:r w:rsidRPr="001854F3">
        <w:rPr>
          <w:rFonts w:ascii="Arial" w:hAnsi="Arial" w:eastAsia="Calibri" w:cs="Arial"/>
          <w:b/>
          <w:bCs/>
          <w:lang w:val="es-MX"/>
        </w:rPr>
        <w:t>LEY DE GARANTÍAS ELECTORALES ‒</w:t>
      </w:r>
      <w:bookmarkEnd w:id="1"/>
      <w:r w:rsidRPr="001854F3">
        <w:rPr>
          <w:rFonts w:ascii="Arial" w:hAnsi="Arial" w:eastAsia="Calibri" w:cs="Arial"/>
          <w:b/>
          <w:bCs/>
          <w:lang w:val="es-MX"/>
        </w:rPr>
        <w:t xml:space="preserve"> Tipos de restricciones </w:t>
      </w:r>
      <w:bookmarkStart w:name="_Hlk77157034" w:id="4"/>
      <w:r w:rsidRPr="001854F3">
        <w:rPr>
          <w:rFonts w:ascii="Arial" w:hAnsi="Arial" w:eastAsia="Calibri" w:cs="Arial"/>
          <w:b/>
          <w:bCs/>
          <w:lang w:val="es-MX"/>
        </w:rPr>
        <w:t xml:space="preserve">‒ </w:t>
      </w:r>
      <w:bookmarkStart w:name="_Hlk77153098" w:id="5"/>
      <w:bookmarkEnd w:id="4"/>
      <w:r w:rsidRPr="001854F3">
        <w:rPr>
          <w:rFonts w:ascii="Arial" w:hAnsi="Arial" w:eastAsia="Calibri" w:cs="Arial"/>
          <w:b/>
          <w:bCs/>
          <w:lang w:val="es-MX"/>
        </w:rPr>
        <w:t xml:space="preserve">Ámbito temporal </w:t>
      </w:r>
      <w:bookmarkEnd w:id="5"/>
    </w:p>
    <w:p w:rsidRPr="001854F3" w:rsidR="001854F3" w:rsidP="001854F3" w:rsidRDefault="001854F3" w14:paraId="3C2E602C" w14:textId="77777777">
      <w:pPr>
        <w:tabs>
          <w:tab w:val="left" w:pos="426"/>
        </w:tabs>
        <w:spacing w:after="0" w:line="240" w:lineRule="auto"/>
        <w:contextualSpacing/>
        <w:jc w:val="both"/>
        <w:rPr>
          <w:rFonts w:ascii="Arial" w:hAnsi="Arial" w:eastAsia="Calibri" w:cs="Arial"/>
          <w:b/>
          <w:bCs/>
          <w:sz w:val="20"/>
          <w:szCs w:val="20"/>
          <w:lang w:val="es-MX"/>
        </w:rPr>
      </w:pPr>
    </w:p>
    <w:bookmarkEnd w:id="2"/>
    <w:p w:rsidRPr="001854F3" w:rsidR="001854F3" w:rsidP="001854F3" w:rsidRDefault="001854F3" w14:paraId="5A2C3D4B" w14:textId="77777777">
      <w:pPr>
        <w:tabs>
          <w:tab w:val="left" w:pos="426"/>
        </w:tabs>
        <w:spacing w:after="0" w:line="240" w:lineRule="auto"/>
        <w:contextualSpacing/>
        <w:jc w:val="both"/>
        <w:rPr>
          <w:rFonts w:ascii="Arial" w:hAnsi="Arial" w:eastAsia="Calibri" w:cs="Arial"/>
          <w:noProof/>
          <w:sz w:val="20"/>
          <w:szCs w:val="20"/>
          <w:lang w:val="es-MX"/>
        </w:rPr>
      </w:pPr>
      <w:r w:rsidRPr="001854F3">
        <w:rPr>
          <w:rFonts w:ascii="Arial" w:hAnsi="Arial" w:eastAsia="Calibri" w:cs="Arial"/>
          <w:noProof/>
          <w:sz w:val="20"/>
          <w:szCs w:val="20"/>
          <w:lang w:val="es-MX"/>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rsidRPr="001854F3" w:rsidR="001854F3" w:rsidP="001854F3" w:rsidRDefault="001854F3" w14:paraId="6E3840C2" w14:textId="77777777">
      <w:pPr>
        <w:tabs>
          <w:tab w:val="left" w:pos="426"/>
        </w:tabs>
        <w:spacing w:after="0" w:line="240" w:lineRule="auto"/>
        <w:contextualSpacing/>
        <w:jc w:val="both"/>
        <w:rPr>
          <w:rFonts w:ascii="Arial" w:hAnsi="Arial" w:eastAsia="Calibri" w:cs="Arial"/>
          <w:noProof/>
          <w:sz w:val="20"/>
          <w:szCs w:val="20"/>
          <w:lang w:val="es-MX"/>
        </w:rPr>
      </w:pPr>
    </w:p>
    <w:p w:rsidRPr="001854F3" w:rsidR="001854F3" w:rsidP="001854F3" w:rsidRDefault="001854F3" w14:paraId="7F193C7F" w14:textId="77777777">
      <w:pPr>
        <w:tabs>
          <w:tab w:val="left" w:pos="426"/>
        </w:tabs>
        <w:spacing w:after="0" w:line="240" w:lineRule="auto"/>
        <w:contextualSpacing/>
        <w:jc w:val="both"/>
        <w:rPr>
          <w:rFonts w:ascii="Arial" w:hAnsi="Arial" w:eastAsia="Calibri" w:cs="Arial"/>
          <w:noProof/>
          <w:sz w:val="20"/>
          <w:szCs w:val="20"/>
          <w:lang w:val="es-MX"/>
        </w:rPr>
      </w:pPr>
      <w:r w:rsidRPr="001854F3">
        <w:rPr>
          <w:rFonts w:ascii="Arial" w:hAnsi="Arial" w:eastAsia="Calibri" w:cs="Arial"/>
          <w:noProof/>
          <w:sz w:val="20"/>
          <w:szCs w:val="20"/>
          <w:lang w:val="es-MX"/>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rsidRPr="001854F3" w:rsidR="001854F3" w:rsidP="001854F3" w:rsidRDefault="001854F3" w14:paraId="0632D53E" w14:textId="77777777">
      <w:pPr>
        <w:tabs>
          <w:tab w:val="left" w:pos="426"/>
        </w:tabs>
        <w:spacing w:after="0" w:line="240" w:lineRule="auto"/>
        <w:contextualSpacing/>
        <w:jc w:val="both"/>
        <w:rPr>
          <w:rFonts w:ascii="Arial" w:hAnsi="Arial" w:eastAsia="Calibri" w:cs="Arial"/>
          <w:noProof/>
          <w:sz w:val="20"/>
          <w:szCs w:val="20"/>
          <w:lang w:val="es-ES_tradnl"/>
        </w:rPr>
      </w:pPr>
    </w:p>
    <w:p w:rsidRPr="001854F3" w:rsidR="001854F3" w:rsidP="001854F3" w:rsidRDefault="001854F3" w14:paraId="672B5DCC" w14:textId="77777777">
      <w:pPr>
        <w:tabs>
          <w:tab w:val="left" w:pos="426"/>
        </w:tabs>
        <w:spacing w:after="0" w:line="240" w:lineRule="auto"/>
        <w:contextualSpacing/>
        <w:jc w:val="both"/>
        <w:rPr>
          <w:rFonts w:ascii="Arial" w:hAnsi="Arial" w:eastAsia="Calibri" w:cs="Arial"/>
          <w:b/>
          <w:bCs/>
          <w:lang w:val="es-MX"/>
        </w:rPr>
      </w:pPr>
      <w:bookmarkStart w:name="_Hlk77165666" w:id="6"/>
      <w:r w:rsidRPr="001854F3">
        <w:rPr>
          <w:rFonts w:ascii="Arial" w:hAnsi="Arial" w:eastAsia="Calibri" w:cs="Arial"/>
          <w:b/>
          <w:bCs/>
          <w:lang w:val="es-MX"/>
        </w:rPr>
        <w:t xml:space="preserve">LEY DE GARANTÍAS ELECTORALES ─ Prohibición ‒ </w:t>
      </w:r>
      <w:bookmarkEnd w:id="6"/>
      <w:r w:rsidRPr="001854F3">
        <w:rPr>
          <w:rFonts w:ascii="Arial" w:hAnsi="Arial" w:eastAsia="Calibri" w:cs="Arial"/>
          <w:b/>
          <w:bCs/>
          <w:lang w:val="es-MX"/>
        </w:rPr>
        <w:t xml:space="preserve">Contratación directa ‒ Alcance </w:t>
      </w:r>
    </w:p>
    <w:p w:rsidRPr="001854F3" w:rsidR="001854F3" w:rsidP="001854F3" w:rsidRDefault="001854F3" w14:paraId="05BA56BF" w14:textId="77777777">
      <w:pPr>
        <w:tabs>
          <w:tab w:val="left" w:pos="426"/>
        </w:tabs>
        <w:spacing w:after="0" w:line="240" w:lineRule="auto"/>
        <w:contextualSpacing/>
        <w:jc w:val="both"/>
        <w:rPr>
          <w:rFonts w:ascii="Arial" w:hAnsi="Arial" w:eastAsia="Calibri" w:cs="Arial"/>
          <w:noProof/>
          <w:sz w:val="20"/>
          <w:szCs w:val="20"/>
          <w:lang w:val="es-MX"/>
        </w:rPr>
      </w:pPr>
    </w:p>
    <w:p w:rsidRPr="001854F3" w:rsidR="001854F3" w:rsidP="001854F3" w:rsidRDefault="001854F3" w14:paraId="589E859F" w14:textId="77777777">
      <w:pPr>
        <w:tabs>
          <w:tab w:val="left" w:pos="426"/>
        </w:tabs>
        <w:spacing w:after="0" w:line="240" w:lineRule="auto"/>
        <w:contextualSpacing/>
        <w:jc w:val="both"/>
        <w:rPr>
          <w:rFonts w:ascii="Arial" w:hAnsi="Arial" w:eastAsia="Calibri" w:cs="Arial"/>
          <w:noProof/>
          <w:sz w:val="20"/>
          <w:szCs w:val="20"/>
          <w:lang w:val="es-MX"/>
        </w:rPr>
      </w:pPr>
      <w:r w:rsidRPr="001854F3">
        <w:rPr>
          <w:rFonts w:ascii="Arial" w:hAnsi="Arial" w:eastAsia="Calibri" w:cs="Arial"/>
          <w:noProof/>
          <w:sz w:val="20"/>
          <w:szCs w:val="20"/>
          <w:lang w:val="es-MX"/>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p>
    <w:p w:rsidRPr="001854F3" w:rsidR="001854F3" w:rsidP="001854F3" w:rsidRDefault="001854F3" w14:paraId="5479135B" w14:textId="77777777">
      <w:pPr>
        <w:shd w:val="clear" w:color="auto" w:fill="FFFFFF"/>
        <w:spacing w:after="0" w:line="240" w:lineRule="auto"/>
        <w:contextualSpacing/>
        <w:jc w:val="both"/>
        <w:rPr>
          <w:rFonts w:ascii="Arial" w:hAnsi="Arial" w:eastAsia="Times New Roman" w:cs="Arial"/>
          <w:sz w:val="20"/>
          <w:szCs w:val="20"/>
          <w:lang w:eastAsia="es-CO"/>
        </w:rPr>
      </w:pPr>
    </w:p>
    <w:p w:rsidRPr="001854F3" w:rsidR="001854F3" w:rsidP="001854F3" w:rsidRDefault="001854F3" w14:paraId="43E867CB" w14:textId="77777777">
      <w:pPr>
        <w:tabs>
          <w:tab w:val="left" w:pos="426"/>
        </w:tabs>
        <w:spacing w:after="0" w:line="240" w:lineRule="auto"/>
        <w:contextualSpacing/>
        <w:jc w:val="both"/>
        <w:rPr>
          <w:rFonts w:ascii="Arial" w:hAnsi="Arial" w:eastAsia="Calibri" w:cs="Arial"/>
          <w:noProof/>
          <w:sz w:val="20"/>
          <w:szCs w:val="20"/>
          <w:lang w:val="es-MX"/>
        </w:rPr>
      </w:pPr>
      <w:r w:rsidRPr="001854F3">
        <w:rPr>
          <w:rFonts w:ascii="Arial" w:hAnsi="Arial" w:eastAsia="Calibri" w:cs="Arial"/>
          <w:noProof/>
          <w:sz w:val="20"/>
          <w:szCs w:val="20"/>
          <w:lang w:val="es-MX"/>
        </w:rPr>
        <w:t>[…] 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rsidRPr="001854F3" w:rsidR="001854F3" w:rsidP="001854F3" w:rsidRDefault="001854F3" w14:paraId="45E2B980" w14:textId="77777777">
      <w:pPr>
        <w:shd w:val="clear" w:color="auto" w:fill="FFFFFF"/>
        <w:spacing w:after="0" w:line="240" w:lineRule="auto"/>
        <w:contextualSpacing/>
        <w:jc w:val="both"/>
        <w:rPr>
          <w:rFonts w:ascii="Arial" w:hAnsi="Arial" w:eastAsia="Times New Roman" w:cs="Arial"/>
          <w:sz w:val="20"/>
          <w:szCs w:val="20"/>
          <w:lang w:eastAsia="es-CO"/>
        </w:rPr>
      </w:pPr>
    </w:p>
    <w:p w:rsidRPr="001854F3" w:rsidR="001854F3" w:rsidP="001854F3" w:rsidRDefault="001854F3" w14:paraId="25F34CC7" w14:textId="77777777">
      <w:pPr>
        <w:tabs>
          <w:tab w:val="left" w:pos="426"/>
        </w:tabs>
        <w:spacing w:after="0" w:line="240" w:lineRule="auto"/>
        <w:contextualSpacing/>
        <w:jc w:val="both"/>
        <w:rPr>
          <w:rFonts w:ascii="Arial" w:hAnsi="Arial" w:eastAsia="Calibri" w:cs="Arial"/>
          <w:b/>
          <w:bCs/>
          <w:lang w:val="es-MX"/>
        </w:rPr>
      </w:pPr>
      <w:r w:rsidRPr="001854F3">
        <w:rPr>
          <w:rFonts w:ascii="Arial" w:hAnsi="Arial" w:eastAsia="Calibri" w:cs="Arial"/>
          <w:b/>
          <w:bCs/>
          <w:lang w:val="es-MX"/>
        </w:rPr>
        <w:t xml:space="preserve">LEY DE GARANTÍAS ELECTORALES ─ </w:t>
      </w:r>
      <w:r w:rsidRPr="001854F3">
        <w:rPr>
          <w:rFonts w:ascii="Arial" w:hAnsi="Arial" w:eastAsia="Times New Roman" w:cs="Arial"/>
          <w:b/>
          <w:bCs/>
          <w:lang w:eastAsia="es-CO"/>
        </w:rPr>
        <w:t>Excepciones</w:t>
      </w:r>
      <w:r w:rsidRPr="001854F3">
        <w:rPr>
          <w:rFonts w:ascii="Arial" w:hAnsi="Arial" w:eastAsia="Calibri" w:cs="Arial"/>
          <w:b/>
          <w:bCs/>
          <w:lang w:val="es-MX"/>
        </w:rPr>
        <w:t xml:space="preserve"> </w:t>
      </w:r>
    </w:p>
    <w:p w:rsidRPr="001854F3" w:rsidR="001854F3" w:rsidP="001854F3" w:rsidRDefault="001854F3" w14:paraId="01D529A4" w14:textId="77777777">
      <w:pPr>
        <w:shd w:val="clear" w:color="auto" w:fill="FFFFFF"/>
        <w:spacing w:after="0" w:line="240" w:lineRule="auto"/>
        <w:contextualSpacing/>
        <w:jc w:val="both"/>
        <w:rPr>
          <w:rFonts w:ascii="Arial" w:hAnsi="Arial" w:eastAsia="Times New Roman" w:cs="Arial"/>
          <w:sz w:val="20"/>
          <w:szCs w:val="20"/>
          <w:lang w:eastAsia="es-CO"/>
        </w:rPr>
      </w:pPr>
    </w:p>
    <w:p w:rsidRPr="001854F3" w:rsidR="001854F3" w:rsidP="001854F3" w:rsidRDefault="001854F3" w14:paraId="69AB26A8" w14:textId="77777777">
      <w:pPr>
        <w:tabs>
          <w:tab w:val="left" w:pos="426"/>
        </w:tabs>
        <w:spacing w:after="0" w:line="240" w:lineRule="auto"/>
        <w:contextualSpacing/>
        <w:jc w:val="both"/>
        <w:rPr>
          <w:rFonts w:ascii="Arial" w:hAnsi="Arial" w:eastAsia="Calibri" w:cs="Arial"/>
          <w:noProof/>
          <w:sz w:val="20"/>
          <w:szCs w:val="20"/>
          <w:lang w:val="es-MX"/>
        </w:rPr>
      </w:pPr>
      <w:r w:rsidRPr="001854F3">
        <w:rPr>
          <w:rFonts w:ascii="Arial" w:hAnsi="Arial" w:eastAsia="Calibri" w:cs="Arial"/>
          <w:noProof/>
          <w:sz w:val="20"/>
          <w:szCs w:val="20"/>
          <w:lang w:val="es-MX"/>
        </w:rPr>
        <w:lastRenderedPageBreak/>
        <w:t>[…]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La misma disposición señala que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rsidRPr="001854F3" w:rsidR="001854F3" w:rsidP="001854F3" w:rsidRDefault="001854F3" w14:paraId="65F6F012" w14:textId="77777777">
      <w:pPr>
        <w:tabs>
          <w:tab w:val="left" w:pos="426"/>
        </w:tabs>
        <w:spacing w:after="0" w:line="240" w:lineRule="auto"/>
        <w:contextualSpacing/>
        <w:jc w:val="both"/>
        <w:rPr>
          <w:rFonts w:ascii="Arial" w:hAnsi="Arial" w:eastAsia="Calibri" w:cs="Arial"/>
          <w:noProof/>
          <w:sz w:val="20"/>
          <w:szCs w:val="20"/>
          <w:lang w:val="es-MX"/>
        </w:rPr>
      </w:pPr>
    </w:p>
    <w:p w:rsidRPr="001854F3" w:rsidR="001854F3" w:rsidP="001854F3" w:rsidRDefault="001854F3" w14:paraId="4D64C8BE" w14:textId="77777777">
      <w:pPr>
        <w:spacing w:after="0" w:line="240" w:lineRule="auto"/>
        <w:contextualSpacing/>
        <w:jc w:val="both"/>
        <w:rPr>
          <w:rFonts w:ascii="Arial" w:hAnsi="Arial" w:eastAsia="Times New Roman" w:cs="Arial"/>
          <w:b/>
          <w:lang w:val="es-ES" w:eastAsia="es-CO"/>
        </w:rPr>
      </w:pPr>
      <w:r w:rsidRPr="001854F3">
        <w:rPr>
          <w:rFonts w:ascii="Arial" w:hAnsi="Arial" w:eastAsia="Times New Roman" w:cs="Arial"/>
          <w:b/>
          <w:bCs/>
          <w:lang w:eastAsia="es-CO"/>
        </w:rPr>
        <w:t xml:space="preserve">LEY DE GARANTÍAS ELECTORALES </w:t>
      </w:r>
      <w:bookmarkStart w:name="_Hlk77166669" w:id="7"/>
      <w:r w:rsidRPr="001854F3">
        <w:rPr>
          <w:rFonts w:ascii="Arial" w:hAnsi="Arial" w:eastAsia="Times New Roman" w:cs="Arial"/>
          <w:b/>
          <w:bCs/>
          <w:lang w:eastAsia="es-CO"/>
        </w:rPr>
        <w:t>‒</w:t>
      </w:r>
      <w:bookmarkEnd w:id="7"/>
      <w:r w:rsidRPr="001854F3">
        <w:rPr>
          <w:rFonts w:ascii="Arial" w:hAnsi="Arial" w:eastAsia="Times New Roman" w:cs="Arial"/>
          <w:b/>
          <w:bCs/>
          <w:lang w:eastAsia="es-CO"/>
        </w:rPr>
        <w:t xml:space="preserve"> </w:t>
      </w:r>
      <w:r w:rsidRPr="001854F3">
        <w:rPr>
          <w:rFonts w:ascii="Arial" w:hAnsi="Arial" w:eastAsia="Times New Roman" w:cs="Arial"/>
          <w:b/>
          <w:lang w:val="es-ES" w:eastAsia="es-CO"/>
        </w:rPr>
        <w:t xml:space="preserve">Prohibición del artículo 33 </w:t>
      </w:r>
      <w:r w:rsidRPr="001854F3">
        <w:rPr>
          <w:rFonts w:ascii="Arial" w:hAnsi="Arial" w:eastAsia="Times New Roman" w:cs="Arial"/>
          <w:b/>
          <w:bCs/>
          <w:lang w:eastAsia="es-CO"/>
        </w:rPr>
        <w:t>‒ Destinatarios</w:t>
      </w:r>
    </w:p>
    <w:p w:rsidRPr="001854F3" w:rsidR="001854F3" w:rsidP="001854F3" w:rsidRDefault="001854F3" w14:paraId="2E75F193" w14:textId="77777777">
      <w:pPr>
        <w:tabs>
          <w:tab w:val="left" w:pos="426"/>
        </w:tabs>
        <w:spacing w:after="0" w:line="240" w:lineRule="auto"/>
        <w:contextualSpacing/>
        <w:jc w:val="both"/>
        <w:rPr>
          <w:rFonts w:ascii="Arial" w:hAnsi="Arial" w:eastAsia="Calibri" w:cs="Arial"/>
          <w:noProof/>
          <w:color w:val="FF0000"/>
          <w:sz w:val="20"/>
          <w:szCs w:val="20"/>
          <w:lang w:val="es-ES"/>
        </w:rPr>
      </w:pPr>
    </w:p>
    <w:p w:rsidRPr="001854F3" w:rsidR="001854F3" w:rsidP="001854F3" w:rsidRDefault="001854F3" w14:paraId="7DC151FD" w14:textId="77777777">
      <w:pPr>
        <w:tabs>
          <w:tab w:val="left" w:pos="426"/>
        </w:tabs>
        <w:spacing w:after="0" w:line="240" w:lineRule="auto"/>
        <w:contextualSpacing/>
        <w:jc w:val="both"/>
        <w:rPr>
          <w:rFonts w:ascii="Arial" w:hAnsi="Arial" w:eastAsia="Calibri" w:cs="Arial"/>
          <w:noProof/>
          <w:sz w:val="20"/>
          <w:szCs w:val="20"/>
          <w:lang w:val="es-MX"/>
        </w:rPr>
      </w:pPr>
      <w:r w:rsidRPr="001854F3">
        <w:rPr>
          <w:rFonts w:ascii="Arial" w:hAnsi="Arial" w:eastAsia="Calibri" w:cs="Arial"/>
          <w:noProof/>
          <w:sz w:val="20"/>
          <w:szCs w:val="20"/>
          <w:lang w:val="es-MX"/>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001854F3" w:rsidP="001854F3" w:rsidRDefault="001854F3" w14:paraId="7C7362F3" w14:textId="77777777">
      <w:pPr>
        <w:tabs>
          <w:tab w:val="left" w:pos="426"/>
        </w:tabs>
        <w:spacing w:after="0" w:line="240" w:lineRule="auto"/>
        <w:jc w:val="both"/>
        <w:rPr>
          <w:rFonts w:ascii="Arial" w:hAnsi="Arial" w:eastAsia="Calibri" w:cs="Arial"/>
          <w:b/>
          <w:bCs/>
          <w:color w:val="FF0000"/>
          <w:lang w:val="es-MX"/>
        </w:rPr>
      </w:pPr>
    </w:p>
    <w:bookmarkEnd w:id="3"/>
    <w:p w:rsidRPr="00A51D9A" w:rsidR="001F55AB" w:rsidRDefault="001F55AB" w14:paraId="154FA556" w14:textId="77777777">
      <w:pPr>
        <w:rPr>
          <w:rFonts w:ascii="Arial" w:hAnsi="Arial" w:eastAsia="Times New Roman" w:cs="Arial"/>
          <w:b/>
          <w:bCs/>
          <w:sz w:val="16"/>
          <w:szCs w:val="16"/>
          <w:lang w:eastAsia="es-ES"/>
        </w:rPr>
      </w:pPr>
      <w:r w:rsidRPr="00A51D9A">
        <w:rPr>
          <w:rFonts w:ascii="Arial" w:hAnsi="Arial" w:eastAsia="Times New Roman" w:cs="Arial"/>
          <w:b/>
          <w:bCs/>
          <w:sz w:val="16"/>
          <w:szCs w:val="16"/>
          <w:lang w:eastAsia="es-ES"/>
        </w:rPr>
        <w:br w:type="page"/>
      </w:r>
    </w:p>
    <w:p w:rsidR="00947FCF" w:rsidP="00947FCF" w:rsidRDefault="00947FCF" w14:paraId="6090F780" w14:textId="4D02AB17">
      <w:pPr>
        <w:spacing w:after="0" w:line="240" w:lineRule="auto"/>
        <w:jc w:val="right"/>
        <w:rPr>
          <w:rFonts w:ascii="Arial" w:hAnsi="Arial" w:eastAsia="Calibri" w:cs="Arial"/>
        </w:rPr>
      </w:pPr>
      <w:r>
        <w:rPr>
          <w:noProof/>
        </w:rPr>
        <w:lastRenderedPageBreak/>
        <w:drawing>
          <wp:inline distT="0" distB="0" distL="0" distR="0" wp14:anchorId="0DF48061" wp14:editId="6A13E3D4">
            <wp:extent cx="3499616" cy="790575"/>
            <wp:effectExtent l="0" t="0" r="5715" b="0"/>
            <wp:docPr id="2091321007" name="Imagen 209132100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1007" name="Imagen 2091321007"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536258" cy="798853"/>
                    </a:xfrm>
                    <a:prstGeom prst="rect">
                      <a:avLst/>
                    </a:prstGeom>
                  </pic:spPr>
                </pic:pic>
              </a:graphicData>
            </a:graphic>
          </wp:inline>
        </w:drawing>
      </w:r>
    </w:p>
    <w:p w:rsidR="00645C15" w:rsidP="00645C15" w:rsidRDefault="00645C15" w14:paraId="46EE4C79" w14:textId="70619052">
      <w:pPr>
        <w:spacing w:after="0" w:line="240" w:lineRule="auto"/>
        <w:jc w:val="right"/>
        <w:rPr>
          <w:rFonts w:ascii="Arial" w:hAnsi="Arial" w:eastAsia="Calibri" w:cs="Arial"/>
        </w:rPr>
      </w:pPr>
      <w:r>
        <w:rPr>
          <w:noProof/>
        </w:rPr>
        <w:drawing>
          <wp:inline distT="0" distB="0" distL="0" distR="0" wp14:anchorId="69EA968B" wp14:editId="4E367553">
            <wp:extent cx="3290454" cy="90487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4621" cy="911521"/>
                    </a:xfrm>
                    <a:prstGeom prst="rect">
                      <a:avLst/>
                    </a:prstGeom>
                  </pic:spPr>
                </pic:pic>
              </a:graphicData>
            </a:graphic>
          </wp:inline>
        </w:drawing>
      </w:r>
    </w:p>
    <w:p w:rsidRPr="00CC07FD" w:rsidR="00645C15" w:rsidP="007E2182" w:rsidRDefault="00645C15" w14:paraId="29139696" w14:textId="77777777">
      <w:pPr>
        <w:spacing w:after="0" w:line="240" w:lineRule="auto"/>
        <w:rPr>
          <w:rFonts w:ascii="Arial" w:hAnsi="Arial" w:eastAsia="Calibri" w:cs="Arial"/>
        </w:rPr>
      </w:pPr>
    </w:p>
    <w:p w:rsidRPr="00CC07FD" w:rsidR="007E2182" w:rsidP="007E2182" w:rsidRDefault="007E2182" w14:paraId="4B2AAE73" w14:textId="6EF8E6D9">
      <w:pPr>
        <w:spacing w:after="0" w:line="240" w:lineRule="auto"/>
        <w:rPr>
          <w:rFonts w:ascii="Arial" w:hAnsi="Arial" w:eastAsia="Calibri" w:cs="Arial"/>
        </w:rPr>
      </w:pPr>
      <w:r w:rsidRPr="72C9A560" w:rsidR="007E2182">
        <w:rPr>
          <w:rFonts w:ascii="Arial" w:hAnsi="Arial" w:eastAsia="Calibri" w:cs="Arial"/>
        </w:rPr>
        <w:t xml:space="preserve">Bogotá D.C., </w:t>
      </w:r>
      <w:r w:rsidRPr="72C9A560" w:rsidR="00645C15">
        <w:rPr>
          <w:rFonts w:ascii="Arial" w:hAnsi="Arial" w:eastAsia="Calibri" w:cs="Arial"/>
        </w:rPr>
        <w:t>05 de abril de 2022</w:t>
      </w:r>
    </w:p>
    <w:p w:rsidRPr="00CC07FD" w:rsidR="007E2182" w:rsidP="007E2182" w:rsidRDefault="007E2182" w14:paraId="5BB24CAA" w14:textId="49A8E046">
      <w:pPr>
        <w:spacing w:after="0" w:line="240" w:lineRule="auto"/>
        <w:rPr>
          <w:rFonts w:ascii="Arial" w:hAnsi="Arial" w:eastAsia="Calibri" w:cs="Arial"/>
        </w:rPr>
      </w:pPr>
    </w:p>
    <w:p w:rsidRPr="00CC07FD" w:rsidR="007E2182" w:rsidP="00CC07FD" w:rsidRDefault="007E2182" w14:paraId="6EB0C4AE" w14:textId="77777777">
      <w:pPr>
        <w:spacing w:after="0" w:line="240" w:lineRule="auto"/>
        <w:rPr>
          <w:rFonts w:ascii="Arial" w:hAnsi="Arial" w:eastAsia="Calibri" w:cs="Arial"/>
        </w:rPr>
      </w:pPr>
    </w:p>
    <w:p w:rsidRPr="00CC07FD" w:rsidR="00E97186" w:rsidP="00E97186" w:rsidRDefault="00E97186" w14:paraId="4F272A74" w14:textId="7E4993FB">
      <w:pPr>
        <w:spacing w:after="0" w:line="240" w:lineRule="auto"/>
        <w:jc w:val="both"/>
        <w:rPr>
          <w:rFonts w:ascii="Arial" w:hAnsi="Arial" w:eastAsia="Calibri" w:cs="Arial"/>
        </w:rPr>
      </w:pPr>
      <w:bookmarkStart w:name="_Hlk96417464" w:id="8"/>
      <w:r w:rsidRPr="00CC07FD">
        <w:rPr>
          <w:rFonts w:ascii="Arial" w:hAnsi="Arial" w:eastAsia="Calibri" w:cs="Arial"/>
        </w:rPr>
        <w:t>Señor</w:t>
      </w:r>
      <w:r w:rsidRPr="00CC07FD" w:rsidR="001B78CF">
        <w:rPr>
          <w:rFonts w:ascii="Arial" w:hAnsi="Arial" w:eastAsia="Calibri" w:cs="Arial"/>
        </w:rPr>
        <w:t>a</w:t>
      </w:r>
    </w:p>
    <w:p w:rsidRPr="00CC07FD" w:rsidR="001B78CF" w:rsidP="00E97186" w:rsidRDefault="000056B4" w14:paraId="5AF7E6CA" w14:textId="45ACA5DD">
      <w:pPr>
        <w:spacing w:after="0" w:line="240" w:lineRule="auto"/>
        <w:jc w:val="both"/>
        <w:rPr>
          <w:rFonts w:ascii="Arial" w:hAnsi="Arial" w:eastAsia="Calibri" w:cs="Arial"/>
          <w:b/>
          <w:bCs/>
        </w:rPr>
      </w:pPr>
      <w:r w:rsidRPr="00CC07FD">
        <w:rPr>
          <w:rFonts w:ascii="Arial" w:hAnsi="Arial" w:eastAsia="Calibri" w:cs="Arial"/>
          <w:b/>
          <w:bCs/>
        </w:rPr>
        <w:t>Mauris Yolanda Orozco Hincapié</w:t>
      </w:r>
    </w:p>
    <w:p w:rsidRPr="00CC07FD" w:rsidR="00E97186" w:rsidP="001B78CF" w:rsidRDefault="00E97186" w14:paraId="590AC856" w14:textId="558CD822">
      <w:pPr>
        <w:tabs>
          <w:tab w:val="left" w:pos="3516"/>
        </w:tabs>
        <w:spacing w:after="0" w:line="240" w:lineRule="auto"/>
        <w:jc w:val="both"/>
        <w:rPr>
          <w:rFonts w:ascii="Arial" w:hAnsi="Arial" w:eastAsia="Calibri" w:cs="Arial"/>
        </w:rPr>
      </w:pPr>
      <w:r w:rsidRPr="00CC07FD">
        <w:rPr>
          <w:rFonts w:ascii="Arial" w:hAnsi="Arial" w:eastAsia="Calibri" w:cs="Arial"/>
        </w:rPr>
        <w:t>B</w:t>
      </w:r>
      <w:r w:rsidRPr="00CC07FD" w:rsidR="001B78CF">
        <w:rPr>
          <w:rFonts w:ascii="Arial" w:hAnsi="Arial" w:eastAsia="Calibri" w:cs="Arial"/>
        </w:rPr>
        <w:t xml:space="preserve">ogotá D.C. </w:t>
      </w:r>
      <w:r w:rsidRPr="00CC07FD">
        <w:rPr>
          <w:rFonts w:ascii="Arial" w:hAnsi="Arial" w:eastAsia="Calibri" w:cs="Arial"/>
        </w:rPr>
        <w:t xml:space="preserve"> </w:t>
      </w:r>
      <w:r w:rsidRPr="00CC07FD" w:rsidR="001B78CF">
        <w:rPr>
          <w:rFonts w:ascii="Arial" w:hAnsi="Arial" w:eastAsia="Calibri" w:cs="Arial"/>
        </w:rPr>
        <w:tab/>
      </w:r>
    </w:p>
    <w:p w:rsidRPr="00CC07FD" w:rsidR="00E97186" w:rsidP="00E97186" w:rsidRDefault="00E97186" w14:paraId="0DB468D5" w14:textId="77777777">
      <w:pPr>
        <w:spacing w:after="0" w:line="240" w:lineRule="auto"/>
        <w:jc w:val="both"/>
        <w:rPr>
          <w:rFonts w:ascii="Arial" w:hAnsi="Arial" w:eastAsia="Calibri" w:cs="Arial"/>
        </w:rPr>
      </w:pPr>
    </w:p>
    <w:p w:rsidRPr="00CC07FD" w:rsidR="00E97186" w:rsidP="00E97186" w:rsidRDefault="00E97186" w14:paraId="5D2661D5" w14:textId="77777777">
      <w:pPr>
        <w:spacing w:after="0" w:line="240" w:lineRule="auto"/>
        <w:jc w:val="both"/>
        <w:rPr>
          <w:rFonts w:ascii="Arial" w:hAnsi="Arial" w:eastAsia="Calibri" w:cs="Arial"/>
        </w:rPr>
      </w:pPr>
    </w:p>
    <w:p w:rsidRPr="00CC07FD" w:rsidR="00E97186" w:rsidP="00E97186" w:rsidRDefault="00E97186" w14:paraId="248419E6" w14:textId="1E564EE3">
      <w:pPr>
        <w:spacing w:after="0" w:line="240" w:lineRule="auto"/>
        <w:jc w:val="both"/>
        <w:rPr>
          <w:rFonts w:ascii="Arial" w:hAnsi="Arial" w:eastAsia="Calibri" w:cs="Arial"/>
        </w:rPr>
      </w:pPr>
      <w:r w:rsidRPr="00CC07FD">
        <w:rPr>
          <w:rFonts w:ascii="Arial" w:hAnsi="Arial" w:eastAsia="Calibri" w:cs="Arial"/>
        </w:rPr>
        <w:t xml:space="preserve">                                            </w:t>
      </w:r>
      <w:r w:rsidRPr="00CC07FD">
        <w:rPr>
          <w:rFonts w:ascii="Arial" w:hAnsi="Arial" w:eastAsia="Calibri" w:cs="Arial"/>
          <w:b/>
        </w:rPr>
        <w:t xml:space="preserve">Concepto C – </w:t>
      </w:r>
      <w:r w:rsidRPr="00CC07FD" w:rsidR="006B4E7F">
        <w:rPr>
          <w:rFonts w:ascii="Arial" w:hAnsi="Arial" w:eastAsia="Calibri" w:cs="Arial"/>
          <w:b/>
        </w:rPr>
        <w:t>1</w:t>
      </w:r>
      <w:r w:rsidRPr="00CC07FD" w:rsidR="001B78CF">
        <w:rPr>
          <w:rFonts w:ascii="Arial" w:hAnsi="Arial" w:eastAsia="Calibri" w:cs="Arial"/>
          <w:b/>
        </w:rPr>
        <w:t>51</w:t>
      </w:r>
      <w:r w:rsidRPr="00CC07FD">
        <w:rPr>
          <w:rFonts w:ascii="Arial" w:hAnsi="Arial" w:eastAsia="Calibri" w:cs="Arial"/>
          <w:b/>
        </w:rPr>
        <w:t xml:space="preserve"> de 2022</w:t>
      </w:r>
      <w:r w:rsidRPr="00CC07FD">
        <w:rPr>
          <w:rFonts w:ascii="Arial" w:hAnsi="Arial" w:eastAsia="Calibri" w:cs="Arial"/>
        </w:rPr>
        <w:t xml:space="preserve"> </w:t>
      </w:r>
    </w:p>
    <w:p w:rsidRPr="00CC07FD" w:rsidR="00E97186" w:rsidP="00E97186" w:rsidRDefault="00E97186" w14:paraId="7AE24725" w14:textId="77777777">
      <w:pPr>
        <w:spacing w:after="0" w:line="240" w:lineRule="auto"/>
        <w:jc w:val="both"/>
        <w:rPr>
          <w:rFonts w:ascii="Arial" w:hAnsi="Arial" w:eastAsia="Calibri" w:cs="Arial"/>
          <w:b/>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C07FD" w:rsidR="005C71EA" w:rsidTr="00982669" w14:paraId="23C4232D" w14:textId="77777777">
        <w:trPr>
          <w:trHeight w:val="485"/>
        </w:trPr>
        <w:tc>
          <w:tcPr>
            <w:tcW w:w="2689" w:type="dxa"/>
            <w:hideMark/>
          </w:tcPr>
          <w:p w:rsidRPr="00CC07FD" w:rsidR="00E97186" w:rsidP="00E97186" w:rsidRDefault="00E97186" w14:paraId="55D0584B" w14:textId="77777777">
            <w:pPr>
              <w:contextualSpacing/>
              <w:rPr>
                <w:rFonts w:ascii="Arial" w:hAnsi="Arial" w:eastAsia="Calibri" w:cs="Arial"/>
                <w:noProof/>
                <w:lang w:val="es-ES_tradnl"/>
              </w:rPr>
            </w:pPr>
            <w:r w:rsidRPr="00CC07FD">
              <w:rPr>
                <w:rFonts w:ascii="Arial" w:hAnsi="Arial" w:eastAsia="Calibri" w:cs="Arial"/>
                <w:b/>
                <w:noProof/>
                <w:lang w:val="es-ES_tradnl"/>
              </w:rPr>
              <w:t>Temas:</w:t>
            </w:r>
            <w:r w:rsidRPr="00CC07FD">
              <w:rPr>
                <w:rFonts w:ascii="Arial" w:hAnsi="Arial" w:eastAsia="Calibri" w:cs="Arial"/>
                <w:noProof/>
                <w:lang w:val="es-ES_tradnl"/>
              </w:rPr>
              <w:t xml:space="preserve">        </w:t>
            </w:r>
          </w:p>
        </w:tc>
        <w:tc>
          <w:tcPr>
            <w:tcW w:w="6237" w:type="dxa"/>
            <w:hideMark/>
          </w:tcPr>
          <w:p w:rsidRPr="00F406AD" w:rsidR="00C70B5E" w:rsidP="00C70B5E" w:rsidRDefault="003D78B0" w14:paraId="7172597A" w14:textId="0B242400">
            <w:pPr>
              <w:jc w:val="both"/>
              <w:rPr>
                <w:rFonts w:ascii="Arial" w:hAnsi="Arial" w:eastAsia="Times New Roman" w:cs="Arial"/>
                <w:lang w:val="es-ES" w:eastAsia="es-CO"/>
              </w:rPr>
            </w:pPr>
            <w:r w:rsidRPr="00F406AD">
              <w:rPr>
                <w:rFonts w:ascii="Arial" w:hAnsi="Arial" w:eastAsia="Calibri" w:cs="Arial"/>
                <w:lang w:val="es-MX"/>
              </w:rPr>
              <w:t xml:space="preserve">LEY DE GARANTÍAS ELECTORALES ‒ Tipos de restricciones ‒ Ámbito temporal / </w:t>
            </w:r>
            <w:r w:rsidRPr="00F406AD" w:rsidR="00B75FEF">
              <w:rPr>
                <w:rFonts w:ascii="Arial" w:hAnsi="Arial" w:eastAsia="Calibri" w:cs="Arial"/>
                <w:lang w:val="es-MX"/>
              </w:rPr>
              <w:t xml:space="preserve">LEY DE GARANTÍAS ELECTORALES ─ Prohibición ‒ Contratación directa ‒ Alcance / </w:t>
            </w:r>
            <w:r w:rsidRPr="00F406AD" w:rsidR="009F38A7">
              <w:rPr>
                <w:rFonts w:ascii="Arial" w:hAnsi="Arial" w:eastAsia="Calibri" w:cs="Arial"/>
                <w:lang w:val="es-MX"/>
              </w:rPr>
              <w:t xml:space="preserve">EY DE GARANTÍAS ELECTORALES ─ </w:t>
            </w:r>
            <w:r w:rsidRPr="00F406AD" w:rsidR="009F38A7">
              <w:rPr>
                <w:rFonts w:ascii="Arial" w:hAnsi="Arial" w:eastAsia="Times New Roman" w:cs="Arial"/>
                <w:lang w:eastAsia="es-CO"/>
              </w:rPr>
              <w:t xml:space="preserve">Excepciones / </w:t>
            </w:r>
            <w:r w:rsidRPr="00F406AD" w:rsidR="00C70B5E">
              <w:rPr>
                <w:rFonts w:ascii="Arial" w:hAnsi="Arial" w:eastAsia="Times New Roman" w:cs="Arial"/>
                <w:lang w:eastAsia="es-CO"/>
              </w:rPr>
              <w:t xml:space="preserve">LEY DE GARANTÍAS ELECTORALES ‒ </w:t>
            </w:r>
            <w:r w:rsidRPr="00F406AD" w:rsidR="00C70B5E">
              <w:rPr>
                <w:rFonts w:ascii="Arial" w:hAnsi="Arial" w:eastAsia="Times New Roman" w:cs="Arial"/>
                <w:lang w:val="es-ES" w:eastAsia="es-CO"/>
              </w:rPr>
              <w:t xml:space="preserve">Prohibición del artículo 33 </w:t>
            </w:r>
            <w:r w:rsidRPr="00F406AD" w:rsidR="00C70B5E">
              <w:rPr>
                <w:rFonts w:ascii="Arial" w:hAnsi="Arial" w:eastAsia="Times New Roman" w:cs="Arial"/>
                <w:lang w:eastAsia="es-CO"/>
              </w:rPr>
              <w:t>‒ Destinatarios</w:t>
            </w:r>
          </w:p>
          <w:p w:rsidRPr="004C3A2B" w:rsidR="003D78B0" w:rsidP="003D78B0" w:rsidRDefault="003D78B0" w14:paraId="69C29951" w14:textId="4ADF9A3A">
            <w:pPr>
              <w:tabs>
                <w:tab w:val="left" w:pos="426"/>
              </w:tabs>
              <w:jc w:val="both"/>
              <w:rPr>
                <w:rFonts w:ascii="Arial" w:hAnsi="Arial" w:eastAsia="Calibri" w:cs="Arial"/>
                <w:b/>
                <w:bCs/>
                <w:lang w:val="es-MX"/>
              </w:rPr>
            </w:pPr>
          </w:p>
          <w:p w:rsidRPr="00CC07FD" w:rsidR="00E97186" w:rsidP="00E97186" w:rsidRDefault="00E97186" w14:paraId="5E8B5EE3" w14:textId="77777777">
            <w:pPr>
              <w:spacing w:after="120"/>
              <w:rPr>
                <w:rFonts w:ascii="Arial" w:hAnsi="Arial" w:eastAsia="Calibri" w:cs="Arial"/>
                <w:bCs/>
                <w:lang w:val="es-MX"/>
              </w:rPr>
            </w:pPr>
          </w:p>
        </w:tc>
      </w:tr>
      <w:tr w:rsidRPr="00CC07FD" w:rsidR="003665DC" w:rsidTr="00847D80" w14:paraId="2F7954AA" w14:textId="77777777">
        <w:trPr>
          <w:trHeight w:val="95"/>
        </w:trPr>
        <w:tc>
          <w:tcPr>
            <w:tcW w:w="2689" w:type="dxa"/>
          </w:tcPr>
          <w:p w:rsidRPr="00CC07FD" w:rsidR="00E97186" w:rsidP="00E97186" w:rsidRDefault="00E97186" w14:paraId="368640BA" w14:textId="77777777">
            <w:pPr>
              <w:contextualSpacing/>
              <w:rPr>
                <w:rFonts w:ascii="Arial" w:hAnsi="Arial" w:eastAsia="Calibri" w:cs="Arial"/>
                <w:bCs/>
                <w:lang w:val="es-MX"/>
              </w:rPr>
            </w:pPr>
            <w:r w:rsidRPr="00CC07FD">
              <w:rPr>
                <w:rFonts w:ascii="Arial" w:hAnsi="Arial" w:eastAsia="Calibri" w:cs="Arial"/>
                <w:b/>
                <w:lang w:val="es-MX"/>
              </w:rPr>
              <w:t>Radicación</w:t>
            </w:r>
            <w:r w:rsidRPr="00CC07FD">
              <w:rPr>
                <w:rFonts w:ascii="Arial" w:hAnsi="Arial" w:eastAsia="Calibri" w:cs="Arial"/>
                <w:bCs/>
                <w:lang w:val="es-MX"/>
              </w:rPr>
              <w:t xml:space="preserve">:                              </w:t>
            </w:r>
          </w:p>
        </w:tc>
        <w:tc>
          <w:tcPr>
            <w:tcW w:w="6237" w:type="dxa"/>
          </w:tcPr>
          <w:p w:rsidRPr="00CC07FD" w:rsidR="00E97186" w:rsidP="00E97186" w:rsidRDefault="00E97186" w14:paraId="576DEF11" w14:textId="6FDBAF66">
            <w:pPr>
              <w:contextualSpacing/>
              <w:jc w:val="both"/>
              <w:rPr>
                <w:rFonts w:ascii="Arial" w:hAnsi="Arial" w:eastAsia="Calibri" w:cs="Arial"/>
                <w:bCs/>
                <w:lang w:val="es-MX"/>
              </w:rPr>
            </w:pPr>
            <w:r w:rsidRPr="00CC07FD">
              <w:rPr>
                <w:rFonts w:ascii="Arial" w:hAnsi="Arial" w:eastAsia="Calibri" w:cs="Arial"/>
                <w:bCs/>
                <w:lang w:val="es-MX"/>
              </w:rPr>
              <w:t xml:space="preserve">Respuesta a consulta </w:t>
            </w:r>
            <w:r w:rsidRPr="00CC07FD" w:rsidR="00847D80">
              <w:rPr>
                <w:rFonts w:ascii="Arial" w:hAnsi="Arial" w:eastAsia="Calibri" w:cs="Arial"/>
                <w:bCs/>
                <w:lang w:val="es-MX"/>
              </w:rPr>
              <w:t>P20220218001648</w:t>
            </w:r>
          </w:p>
        </w:tc>
      </w:tr>
    </w:tbl>
    <w:p w:rsidRPr="00CC07FD" w:rsidR="00E97186" w:rsidP="00E97186" w:rsidRDefault="00E97186" w14:paraId="5CB1D067" w14:textId="77777777">
      <w:pPr>
        <w:spacing w:after="0" w:line="240" w:lineRule="auto"/>
        <w:jc w:val="both"/>
        <w:rPr>
          <w:rFonts w:ascii="Arial" w:hAnsi="Arial" w:eastAsia="Calibri" w:cs="Arial"/>
        </w:rPr>
      </w:pPr>
    </w:p>
    <w:p w:rsidRPr="00CC07FD" w:rsidR="00E97186" w:rsidP="00E97186" w:rsidRDefault="00E97186" w14:paraId="2C94E6AC" w14:textId="77777777">
      <w:pPr>
        <w:spacing w:after="0" w:line="240" w:lineRule="auto"/>
        <w:jc w:val="both"/>
        <w:rPr>
          <w:rFonts w:ascii="Arial" w:hAnsi="Arial" w:eastAsia="Calibri" w:cs="Arial"/>
        </w:rPr>
      </w:pPr>
    </w:p>
    <w:p w:rsidRPr="00CC07FD" w:rsidR="00E97186" w:rsidP="00E97186" w:rsidRDefault="00E97186" w14:paraId="6762137F" w14:textId="05466252">
      <w:pPr>
        <w:spacing w:after="0" w:line="276" w:lineRule="auto"/>
        <w:contextualSpacing/>
        <w:jc w:val="both"/>
        <w:rPr>
          <w:rFonts w:ascii="Arial" w:hAnsi="Arial" w:eastAsia="Calibri" w:cs="Arial"/>
        </w:rPr>
      </w:pPr>
      <w:r w:rsidRPr="00CC07FD">
        <w:rPr>
          <w:rFonts w:ascii="Arial" w:hAnsi="Arial" w:eastAsia="Calibri" w:cs="Arial"/>
        </w:rPr>
        <w:t>Estimad</w:t>
      </w:r>
      <w:r w:rsidRPr="00CC07FD" w:rsidR="00847D80">
        <w:rPr>
          <w:rFonts w:ascii="Arial" w:hAnsi="Arial" w:eastAsia="Calibri" w:cs="Arial"/>
        </w:rPr>
        <w:t>a señora Orozco</w:t>
      </w:r>
      <w:r w:rsidRPr="00CC07FD">
        <w:rPr>
          <w:rFonts w:ascii="Arial" w:hAnsi="Arial" w:eastAsia="Calibri" w:cs="Arial"/>
        </w:rPr>
        <w:t>:</w:t>
      </w:r>
    </w:p>
    <w:p w:rsidRPr="00CC07FD" w:rsidR="00E97186" w:rsidP="00E97186" w:rsidRDefault="00E97186" w14:paraId="3892E620" w14:textId="77777777">
      <w:pPr>
        <w:spacing w:after="0" w:line="276" w:lineRule="auto"/>
        <w:ind w:firstLine="709"/>
        <w:contextualSpacing/>
        <w:jc w:val="both"/>
        <w:rPr>
          <w:rFonts w:ascii="Arial" w:hAnsi="Arial" w:eastAsia="Calibri" w:cs="Arial"/>
        </w:rPr>
      </w:pPr>
    </w:p>
    <w:p w:rsidRPr="00CC07FD" w:rsidR="00E97186" w:rsidP="00E97186" w:rsidRDefault="00E97186" w14:paraId="76931E2E" w14:textId="01D15588">
      <w:pPr>
        <w:spacing w:after="0" w:line="276" w:lineRule="auto"/>
        <w:ind w:right="51"/>
        <w:contextualSpacing/>
        <w:jc w:val="both"/>
        <w:rPr>
          <w:rFonts w:ascii="Arial" w:hAnsi="Arial" w:eastAsia="Calibri" w:cs="Arial"/>
        </w:rPr>
      </w:pPr>
      <w:r w:rsidRPr="00CC07FD">
        <w:rPr>
          <w:rFonts w:ascii="Arial" w:hAnsi="Arial" w:eastAsia="Calibri" w:cs="Arial"/>
        </w:rPr>
        <w:t>En ejercicio de la competencia otorgada por el numeral 8 del artículo 11 y el numeral 5 del artículo 3 del Decreto Ley 4170 de 2011, la Agencia Nacional de Contratación Pública – Colombia Compra Eficiente responde la consulta radicada el 1</w:t>
      </w:r>
      <w:r w:rsidRPr="00CC07FD" w:rsidR="003665DC">
        <w:rPr>
          <w:rFonts w:ascii="Arial" w:hAnsi="Arial" w:eastAsia="Calibri" w:cs="Arial"/>
        </w:rPr>
        <w:t>8</w:t>
      </w:r>
      <w:r w:rsidRPr="00CC07FD">
        <w:rPr>
          <w:rFonts w:ascii="Arial" w:hAnsi="Arial" w:eastAsia="Calibri" w:cs="Arial"/>
        </w:rPr>
        <w:t xml:space="preserve"> de </w:t>
      </w:r>
      <w:r w:rsidRPr="00CC07FD" w:rsidR="003665DC">
        <w:rPr>
          <w:rFonts w:ascii="Arial" w:hAnsi="Arial" w:eastAsia="Calibri" w:cs="Arial"/>
        </w:rPr>
        <w:t>febrero</w:t>
      </w:r>
      <w:r w:rsidRPr="00CC07FD">
        <w:rPr>
          <w:rFonts w:ascii="Arial" w:hAnsi="Arial" w:eastAsia="Calibri" w:cs="Arial"/>
        </w:rPr>
        <w:t xml:space="preserve"> de 2022. </w:t>
      </w:r>
    </w:p>
    <w:p w:rsidRPr="00CC07FD" w:rsidR="00E97186" w:rsidP="00E97186" w:rsidRDefault="00E97186" w14:paraId="04F9D2A3" w14:textId="77777777">
      <w:pPr>
        <w:spacing w:after="0" w:line="276" w:lineRule="auto"/>
        <w:contextualSpacing/>
        <w:jc w:val="both"/>
        <w:rPr>
          <w:rFonts w:ascii="Arial" w:hAnsi="Arial" w:eastAsia="Calibri" w:cs="Arial"/>
        </w:rPr>
      </w:pPr>
    </w:p>
    <w:p w:rsidRPr="00CC07FD" w:rsidR="00E97186" w:rsidP="00E97186" w:rsidRDefault="00E97186" w14:paraId="7F125781" w14:textId="77777777">
      <w:pPr>
        <w:tabs>
          <w:tab w:val="left" w:pos="284"/>
        </w:tabs>
        <w:spacing w:after="0" w:line="276" w:lineRule="auto"/>
        <w:contextualSpacing/>
        <w:jc w:val="both"/>
        <w:rPr>
          <w:rFonts w:ascii="Arial" w:hAnsi="Arial" w:eastAsia="Calibri" w:cs="Arial"/>
          <w:b/>
        </w:rPr>
      </w:pPr>
      <w:r w:rsidRPr="00CC07FD">
        <w:rPr>
          <w:rFonts w:ascii="Arial" w:hAnsi="Arial" w:eastAsia="Calibri" w:cs="Arial"/>
          <w:b/>
        </w:rPr>
        <w:t xml:space="preserve">1. Problema planteado </w:t>
      </w:r>
    </w:p>
    <w:p w:rsidRPr="00CC07FD" w:rsidR="00E97186" w:rsidP="00E97186" w:rsidRDefault="00E97186" w14:paraId="7DB3FB14" w14:textId="77777777">
      <w:pPr>
        <w:tabs>
          <w:tab w:val="left" w:pos="284"/>
        </w:tabs>
        <w:spacing w:after="0" w:line="276" w:lineRule="auto"/>
        <w:ind w:firstLine="709"/>
        <w:contextualSpacing/>
        <w:jc w:val="both"/>
        <w:rPr>
          <w:rFonts w:ascii="Arial" w:hAnsi="Arial" w:eastAsia="Calibri" w:cs="Arial"/>
          <w:b/>
        </w:rPr>
      </w:pPr>
    </w:p>
    <w:p w:rsidRPr="00CC07FD" w:rsidR="00E97186" w:rsidP="00CC07FD" w:rsidRDefault="00B34E07" w14:paraId="7CB41AFC" w14:textId="0E0342CE">
      <w:pPr>
        <w:spacing w:after="0" w:line="276" w:lineRule="auto"/>
        <w:contextualSpacing/>
        <w:jc w:val="both"/>
        <w:rPr>
          <w:rFonts w:ascii="Arial" w:hAnsi="Arial" w:eastAsia="Times New Roman" w:cs="Arial"/>
          <w:lang w:val="es-ES" w:eastAsia="es-CO"/>
        </w:rPr>
      </w:pPr>
      <w:bookmarkStart w:name="_Hlk99630505" w:id="9"/>
      <w:bookmarkStart w:name="_Hlk99618028" w:id="10"/>
      <w:bookmarkStart w:name="_Hlk58917991" w:id="11"/>
      <w:bookmarkStart w:name="_Hlk56103000" w:id="12"/>
      <w:r w:rsidRPr="00CC07FD">
        <w:rPr>
          <w:rFonts w:ascii="Arial" w:hAnsi="Arial" w:eastAsia="Times New Roman" w:cs="Arial"/>
          <w:lang w:eastAsia="es-CO"/>
        </w:rPr>
        <w:lastRenderedPageBreak/>
        <w:t>Respecto a la prohibición de contratación directa del artículo 33 de la Ley 996 de 2005, u</w:t>
      </w:r>
      <w:r w:rsidRPr="00CC07FD" w:rsidR="00E97186">
        <w:rPr>
          <w:rFonts w:ascii="Arial" w:hAnsi="Arial" w:eastAsia="Times New Roman" w:cs="Arial"/>
          <w:lang w:eastAsia="es-CO"/>
        </w:rPr>
        <w:t xml:space="preserve">sted </w:t>
      </w:r>
      <w:r w:rsidRPr="00CC07FD" w:rsidR="00E97186">
        <w:rPr>
          <w:rFonts w:ascii="Arial" w:hAnsi="Arial" w:eastAsia="Times New Roman" w:cs="Arial"/>
          <w:shd w:val="clear" w:color="auto" w:fill="FFFFFF"/>
          <w:lang w:eastAsia="es-CO"/>
        </w:rPr>
        <w:t xml:space="preserve">realiza la siguiente </w:t>
      </w:r>
      <w:r w:rsidRPr="00CC07FD" w:rsidR="00EA23D7">
        <w:rPr>
          <w:rFonts w:ascii="Arial" w:hAnsi="Arial" w:eastAsia="Times New Roman" w:cs="Arial"/>
          <w:shd w:val="clear" w:color="auto" w:fill="FFFFFF"/>
          <w:lang w:eastAsia="es-CO"/>
        </w:rPr>
        <w:t>pregunta</w:t>
      </w:r>
      <w:r w:rsidRPr="00CC07FD" w:rsidR="00E97186">
        <w:rPr>
          <w:rFonts w:ascii="Arial" w:hAnsi="Arial" w:eastAsia="Times New Roman" w:cs="Arial"/>
          <w:shd w:val="clear" w:color="auto" w:fill="FFFFFF"/>
          <w:lang w:eastAsia="es-CO"/>
        </w:rPr>
        <w:t>:</w:t>
      </w:r>
      <w:bookmarkEnd w:id="9"/>
      <w:r w:rsidRPr="00CC07FD" w:rsidR="00E97186">
        <w:rPr>
          <w:rFonts w:ascii="Arial" w:hAnsi="Arial" w:eastAsia="Times New Roman" w:cs="Arial"/>
          <w:shd w:val="clear" w:color="auto" w:fill="FFFFFF"/>
          <w:lang w:eastAsia="es-CO"/>
        </w:rPr>
        <w:t xml:space="preserve"> </w:t>
      </w:r>
      <w:bookmarkStart w:name="_Hlk94514883" w:id="13"/>
      <w:r w:rsidRPr="00CC07FD" w:rsidR="00E97186">
        <w:rPr>
          <w:rFonts w:ascii="Arial" w:hAnsi="Arial" w:eastAsia="Times New Roman" w:cs="Arial"/>
          <w:lang w:val="es-ES" w:eastAsia="es-CO"/>
        </w:rPr>
        <w:t>«</w:t>
      </w:r>
      <w:r w:rsidRPr="00CC07FD" w:rsidR="003665DC">
        <w:rPr>
          <w:rFonts w:ascii="Arial" w:hAnsi="Arial" w:eastAsia="Times New Roman" w:cs="Arial"/>
          <w:lang w:val="es-ES" w:eastAsia="es-CO"/>
        </w:rPr>
        <w:t>El Instituto Colombiano de Bienestar Familiar, por su calidad de Heredero en 5o orden sucesoral, suscribe contratos de participación con los denunciantes de los procesos de Vocación Hereditaria, de conformidad con la RESOLUCION 682 de 2018 ICBF - Por medio de la cual se adopta el procedimiento que debe seguirse en el trámite de las denuncias de bienes vacantes, mostrencos y vocaciones hereditarias. Estos contratos de participación son sin cuantía y por contratación directa. No están contemplados en las excepciones de Ley de Garant</w:t>
      </w:r>
      <w:r w:rsidRPr="00CC07FD">
        <w:rPr>
          <w:rFonts w:ascii="Arial" w:hAnsi="Arial" w:eastAsia="Times New Roman" w:cs="Arial"/>
          <w:lang w:val="es-ES" w:eastAsia="es-CO"/>
        </w:rPr>
        <w:t>í</w:t>
      </w:r>
      <w:r w:rsidRPr="00CC07FD" w:rsidR="003665DC">
        <w:rPr>
          <w:rFonts w:ascii="Arial" w:hAnsi="Arial" w:eastAsia="Times New Roman" w:cs="Arial"/>
          <w:lang w:val="es-ES" w:eastAsia="es-CO"/>
        </w:rPr>
        <w:t xml:space="preserve">as. Pregunta: </w:t>
      </w:r>
      <w:proofErr w:type="gramStart"/>
      <w:r w:rsidRPr="00CC07FD" w:rsidR="003665DC">
        <w:rPr>
          <w:rFonts w:ascii="Arial" w:hAnsi="Arial" w:eastAsia="Times New Roman" w:cs="Arial"/>
          <w:lang w:val="es-ES" w:eastAsia="es-CO"/>
        </w:rPr>
        <w:t>Me confirman por favor, si no se pueden suscribir estos contratos de participación en medio de ley de Garantías?</w:t>
      </w:r>
      <w:proofErr w:type="gramEnd"/>
      <w:r w:rsidRPr="00CC07FD" w:rsidR="003665DC">
        <w:rPr>
          <w:rFonts w:ascii="Arial" w:hAnsi="Arial" w:eastAsia="Times New Roman" w:cs="Arial"/>
          <w:lang w:val="es-ES" w:eastAsia="es-CO"/>
        </w:rPr>
        <w:t xml:space="preserve"> (SIC)</w:t>
      </w:r>
      <w:r w:rsidRPr="00CC07FD" w:rsidR="00E97186">
        <w:rPr>
          <w:rFonts w:ascii="Arial" w:hAnsi="Arial" w:eastAsia="Times New Roman" w:cs="Arial"/>
          <w:lang w:val="es-ES" w:eastAsia="es-CO"/>
        </w:rPr>
        <w:t>».</w:t>
      </w:r>
      <w:bookmarkEnd w:id="10"/>
      <w:bookmarkEnd w:id="13"/>
    </w:p>
    <w:p w:rsidRPr="00CC07FD" w:rsidR="00E97186" w:rsidP="00E97186" w:rsidRDefault="00E97186" w14:paraId="247C24F8" w14:textId="77777777">
      <w:pPr>
        <w:tabs>
          <w:tab w:val="left" w:pos="426"/>
        </w:tabs>
        <w:spacing w:after="0" w:line="276" w:lineRule="auto"/>
        <w:contextualSpacing/>
        <w:jc w:val="both"/>
        <w:rPr>
          <w:rFonts w:ascii="Arial" w:hAnsi="Arial" w:eastAsia="Calibri" w:cs="Arial"/>
        </w:rPr>
      </w:pPr>
    </w:p>
    <w:bookmarkEnd w:id="11"/>
    <w:bookmarkEnd w:id="12"/>
    <w:p w:rsidRPr="00CC07FD" w:rsidR="00E97186" w:rsidP="00E97186" w:rsidRDefault="00E97186" w14:paraId="49A2F577" w14:textId="77777777">
      <w:pPr>
        <w:tabs>
          <w:tab w:val="left" w:pos="284"/>
        </w:tabs>
        <w:spacing w:after="0" w:line="276" w:lineRule="auto"/>
        <w:contextualSpacing/>
        <w:jc w:val="both"/>
        <w:rPr>
          <w:rFonts w:ascii="Arial" w:hAnsi="Arial" w:eastAsia="Calibri" w:cs="Arial"/>
          <w:b/>
        </w:rPr>
      </w:pPr>
      <w:r w:rsidRPr="00CC07FD">
        <w:rPr>
          <w:rFonts w:ascii="Arial" w:hAnsi="Arial" w:eastAsia="Calibri" w:cs="Arial"/>
          <w:b/>
        </w:rPr>
        <w:t>2. Consideraciones</w:t>
      </w:r>
    </w:p>
    <w:p w:rsidRPr="00CC07FD" w:rsidR="00E97186" w:rsidP="00E97186" w:rsidRDefault="00E97186" w14:paraId="0BAFB8FD" w14:textId="77777777">
      <w:pPr>
        <w:tabs>
          <w:tab w:val="left" w:pos="426"/>
        </w:tabs>
        <w:spacing w:after="0" w:line="276" w:lineRule="auto"/>
        <w:ind w:firstLine="709"/>
        <w:contextualSpacing/>
        <w:jc w:val="both"/>
        <w:rPr>
          <w:rFonts w:ascii="Arial" w:hAnsi="Arial" w:eastAsia="Calibri" w:cs="Arial"/>
          <w:bCs/>
        </w:rPr>
      </w:pPr>
    </w:p>
    <w:p w:rsidRPr="00CC07FD" w:rsidR="007E2182" w:rsidP="00CC07FD" w:rsidRDefault="007E2182" w14:paraId="28F46E82" w14:textId="77777777">
      <w:pPr>
        <w:spacing w:after="120" w:line="276" w:lineRule="auto"/>
        <w:jc w:val="both"/>
        <w:rPr>
          <w:rFonts w:ascii="Arial" w:hAnsi="Arial" w:cs="Arial"/>
          <w:lang w:val="es-ES"/>
        </w:rPr>
      </w:pPr>
      <w:bookmarkStart w:name="_Hlk99630689" w:id="14"/>
      <w:bookmarkStart w:name="_Hlk96420298" w:id="15"/>
      <w:r w:rsidRPr="00CC07FD">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CC07FD">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CC07FD">
        <w:rPr>
          <w:rFonts w:ascii="Arial" w:hAnsi="Arial" w:cs="Arial"/>
          <w:bCs/>
        </w:rPr>
        <w:t xml:space="preserve"> de todos los partícipes de la contratación estatal ni para interpretar el alcance de cualquier norma vigente en el ordenamiento jurídico.</w:t>
      </w:r>
    </w:p>
    <w:p w:rsidRPr="00CC07FD" w:rsidR="007E2182" w:rsidP="00CC07FD" w:rsidRDefault="007E2182" w14:paraId="44402899" w14:textId="77777777">
      <w:pPr>
        <w:spacing w:after="120" w:line="276" w:lineRule="auto"/>
        <w:ind w:firstLine="708"/>
        <w:jc w:val="both"/>
        <w:rPr>
          <w:rFonts w:ascii="Arial" w:hAnsi="Arial" w:cs="Arial"/>
          <w:lang w:val="es-ES"/>
        </w:rPr>
      </w:pPr>
      <w:r w:rsidRPr="00CC07FD">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C07FD">
        <w:rPr>
          <w:rFonts w:ascii="Arial" w:hAnsi="Arial" w:cs="Arial"/>
          <w:vertAlign w:val="superscript"/>
          <w:lang w:val="es-ES"/>
        </w:rPr>
        <w:footnoteReference w:id="1"/>
      </w:r>
      <w:r w:rsidRPr="00CC07FD">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corresponde a la entidad de adoptar la decisión correspondiente y, en caso de </w:t>
      </w:r>
      <w:r w:rsidRPr="00CC07FD">
        <w:rPr>
          <w:rFonts w:ascii="Arial" w:hAnsi="Arial" w:cs="Arial"/>
          <w:lang w:val="es-ES"/>
        </w:rPr>
        <w:lastRenderedPageBreak/>
        <w:t>conflicto, a las autoridades judiciales, fiscales y disciplinarias. De esta manera, le corresponderá a cada entidad definir la viabilidad técnica, jurídica y financiera de celebrar determinado contrato estatal en específico.</w:t>
      </w:r>
    </w:p>
    <w:p w:rsidRPr="00CC07FD" w:rsidR="007E2182" w:rsidP="00CC07FD" w:rsidRDefault="007E2182" w14:paraId="6C625856" w14:textId="40B98598">
      <w:pPr>
        <w:spacing w:after="120" w:line="276" w:lineRule="auto"/>
        <w:ind w:firstLine="708"/>
        <w:jc w:val="both"/>
        <w:rPr>
          <w:rFonts w:ascii="Arial" w:hAnsi="Arial" w:cs="Arial"/>
          <w:lang w:val="es-ES"/>
        </w:rPr>
      </w:pPr>
      <w:r w:rsidRPr="00CC07FD">
        <w:rPr>
          <w:rFonts w:ascii="Arial" w:hAnsi="Arial" w:cs="Arial"/>
          <w:lang w:val="es-ES"/>
        </w:rPr>
        <w:t>En este contexto, es necesario tener en cuenta que esta Agencia no es competente para pronunciarse sobre</w:t>
      </w:r>
      <w:r w:rsidRPr="00CC07FD" w:rsidR="00F945CA">
        <w:rPr>
          <w:rFonts w:ascii="Arial" w:hAnsi="Arial" w:cs="Arial"/>
          <w:lang w:val="es-ES"/>
        </w:rPr>
        <w:t xml:space="preserve"> aspectos relativos a</w:t>
      </w:r>
      <w:r w:rsidRPr="00CC07FD">
        <w:rPr>
          <w:rFonts w:ascii="Arial" w:hAnsi="Arial" w:cs="Arial"/>
          <w:lang w:val="es-ES"/>
        </w:rPr>
        <w:t xml:space="preserve"> la </w:t>
      </w:r>
      <w:r w:rsidRPr="00CC07FD" w:rsidR="00F945CA">
        <w:rPr>
          <w:rFonts w:ascii="Arial" w:hAnsi="Arial" w:cs="Arial"/>
          <w:lang w:val="es-ES"/>
        </w:rPr>
        <w:t xml:space="preserve">vocación hereditaria del ICBF en los términos del artículo 1051 del Código Civil, modificado por el </w:t>
      </w:r>
      <w:r w:rsidRPr="00CC07FD" w:rsidR="00F945CA">
        <w:rPr>
          <w:rFonts w:ascii="Arial" w:hAnsi="Arial" w:cs="Arial"/>
        </w:rPr>
        <w:t>artículo 8 de la Ley 29 de 1982</w:t>
      </w:r>
      <w:r w:rsidRPr="00CC07FD">
        <w:rPr>
          <w:rFonts w:ascii="Arial" w:hAnsi="Arial" w:cs="Arial"/>
          <w:lang w:val="es-ES"/>
        </w:rPr>
        <w:t>.</w:t>
      </w:r>
      <w:r w:rsidRPr="00CC07FD" w:rsidR="00F945CA">
        <w:rPr>
          <w:rFonts w:ascii="Arial" w:hAnsi="Arial" w:cs="Arial"/>
          <w:lang w:val="es-ES"/>
        </w:rPr>
        <w:t xml:space="preserve"> Lo anterior en la medida que esta norma se relaciona </w:t>
      </w:r>
      <w:r w:rsidRPr="00CC07FD" w:rsidR="004433F9">
        <w:rPr>
          <w:rFonts w:ascii="Arial" w:hAnsi="Arial" w:cs="Arial"/>
          <w:lang w:val="es-ES"/>
        </w:rPr>
        <w:t xml:space="preserve">con la sucesión por causa de muerte como modo de adquirir el derecho real de dominio de los bienes relictos conforme al artículo 673 </w:t>
      </w:r>
      <w:r w:rsidRPr="00CC07FD" w:rsidR="004433F9">
        <w:rPr>
          <w:rFonts w:ascii="Arial" w:hAnsi="Arial" w:cs="Arial"/>
          <w:i/>
          <w:iCs/>
          <w:lang w:val="es-ES"/>
        </w:rPr>
        <w:t>ibidem</w:t>
      </w:r>
      <w:r w:rsidRPr="00CC07FD" w:rsidR="004433F9">
        <w:rPr>
          <w:rFonts w:ascii="Arial" w:hAnsi="Arial" w:cs="Arial"/>
          <w:lang w:val="es-ES"/>
        </w:rPr>
        <w:t xml:space="preserve">. </w:t>
      </w:r>
      <w:r w:rsidRPr="00CC07FD" w:rsidR="005946FC">
        <w:rPr>
          <w:rFonts w:ascii="Arial" w:hAnsi="Arial" w:cs="Arial"/>
          <w:lang w:val="es-ES"/>
        </w:rPr>
        <w:t xml:space="preserve">Estos aspectos son </w:t>
      </w:r>
      <w:r w:rsidRPr="00CC07FD" w:rsidR="004433F9">
        <w:rPr>
          <w:rFonts w:ascii="Arial" w:hAnsi="Arial" w:cs="Arial"/>
          <w:lang w:val="es-ES"/>
        </w:rPr>
        <w:t>ajeno</w:t>
      </w:r>
      <w:r w:rsidRPr="00CC07FD" w:rsidR="005946FC">
        <w:rPr>
          <w:rFonts w:ascii="Arial" w:hAnsi="Arial" w:cs="Arial"/>
          <w:lang w:val="es-ES"/>
        </w:rPr>
        <w:t>s</w:t>
      </w:r>
      <w:r w:rsidRPr="00CC07FD" w:rsidR="004433F9">
        <w:rPr>
          <w:rFonts w:ascii="Arial" w:hAnsi="Arial" w:cs="Arial"/>
          <w:lang w:val="es-ES"/>
        </w:rPr>
        <w:t xml:space="preserve"> al sistema de compras y contratación pública, por lo que </w:t>
      </w:r>
      <w:r w:rsidRPr="00CC07FD" w:rsidR="005946FC">
        <w:rPr>
          <w:rFonts w:ascii="Arial" w:hAnsi="Arial" w:cs="Arial"/>
          <w:lang w:val="es-ES"/>
        </w:rPr>
        <w:t xml:space="preserve">Agencia </w:t>
      </w:r>
      <w:r w:rsidRPr="00CC07FD" w:rsidR="004433F9">
        <w:rPr>
          <w:rFonts w:ascii="Arial" w:hAnsi="Arial" w:cs="Arial"/>
          <w:lang w:val="es-ES"/>
        </w:rPr>
        <w:t>t</w:t>
      </w:r>
      <w:r w:rsidRPr="00CC07FD">
        <w:rPr>
          <w:rFonts w:ascii="Arial" w:hAnsi="Arial" w:cs="Arial"/>
          <w:lang w:val="es-ES"/>
        </w:rPr>
        <w:t>ampoco</w:t>
      </w:r>
      <w:r w:rsidRPr="00CC07FD" w:rsidR="005946FC">
        <w:rPr>
          <w:rFonts w:ascii="Arial" w:hAnsi="Arial" w:cs="Arial"/>
          <w:lang w:val="es-ES"/>
        </w:rPr>
        <w:t xml:space="preserve"> tiene atribuciones</w:t>
      </w:r>
      <w:r w:rsidRPr="00CC07FD">
        <w:rPr>
          <w:rFonts w:ascii="Arial" w:hAnsi="Arial" w:cs="Arial"/>
          <w:lang w:val="es-ES"/>
        </w:rPr>
        <w:t xml:space="preserve"> </w:t>
      </w:r>
      <w:r w:rsidRPr="00CC07FD" w:rsidR="005946FC">
        <w:rPr>
          <w:rFonts w:ascii="Arial" w:hAnsi="Arial" w:cs="Arial"/>
          <w:lang w:val="es-ES"/>
        </w:rPr>
        <w:t>para interpretar el</w:t>
      </w:r>
      <w:r w:rsidRPr="00CC07FD" w:rsidR="004433F9">
        <w:rPr>
          <w:rFonts w:ascii="Arial" w:hAnsi="Arial" w:cs="Arial"/>
          <w:lang w:val="es-ES"/>
        </w:rPr>
        <w:t xml:space="preserve"> alcance </w:t>
      </w:r>
      <w:r w:rsidRPr="00CC07FD" w:rsidR="005946FC">
        <w:rPr>
          <w:rFonts w:ascii="Arial" w:hAnsi="Arial" w:cs="Arial"/>
          <w:lang w:val="es-ES"/>
        </w:rPr>
        <w:t>de la Resolución del ICBF 682 del 24 de enero de 2018, «</w:t>
      </w:r>
      <w:r w:rsidRPr="00CC07FD" w:rsidR="005946FC">
        <w:rPr>
          <w:rFonts w:ascii="Arial" w:hAnsi="Arial" w:cs="Arial"/>
        </w:rPr>
        <w:t>Por medio de la cual se adopta el procedimiento que debe seguirse en el trámite de las denuncias de bienes vacantes, mostrencos y vocaciones hereditarias»</w:t>
      </w:r>
      <w:r w:rsidRPr="00CC07FD">
        <w:rPr>
          <w:rFonts w:ascii="Arial" w:hAnsi="Arial" w:cs="Arial"/>
          <w:lang w:val="es-ES"/>
        </w:rPr>
        <w:t xml:space="preserve">. </w:t>
      </w:r>
    </w:p>
    <w:p w:rsidRPr="00CC07FD" w:rsidR="00E97186" w:rsidP="0072030E" w:rsidRDefault="00E97186" w14:paraId="31817D5C" w14:textId="5B926C35">
      <w:pPr>
        <w:tabs>
          <w:tab w:val="left" w:pos="426"/>
        </w:tabs>
        <w:spacing w:after="120" w:line="276" w:lineRule="auto"/>
        <w:jc w:val="both"/>
        <w:rPr>
          <w:rFonts w:ascii="Arial" w:hAnsi="Arial" w:eastAsia="Calibri" w:cs="Arial"/>
          <w:bCs/>
        </w:rPr>
      </w:pPr>
      <w:r w:rsidRPr="00CC07FD">
        <w:rPr>
          <w:rFonts w:ascii="Arial" w:hAnsi="Arial" w:eastAsia="Calibri" w:cs="Arial"/>
          <w:lang w:val="es-ES"/>
        </w:rPr>
        <w:tab/>
      </w:r>
      <w:r w:rsidRPr="00CC07FD">
        <w:rPr>
          <w:rFonts w:ascii="Arial" w:hAnsi="Arial" w:eastAsia="Calibri" w:cs="Arial"/>
          <w:lang w:val="es-ES"/>
        </w:rPr>
        <w:tab/>
      </w:r>
      <w:r w:rsidRPr="00CC07FD">
        <w:rPr>
          <w:rFonts w:ascii="Arial" w:hAnsi="Arial" w:eastAsia="Calibri" w:cs="Arial"/>
        </w:rPr>
        <w:t>Sin perjuicio de lo anterior,</w:t>
      </w:r>
      <w:r w:rsidRPr="00CC07FD" w:rsidR="00B9005E">
        <w:rPr>
          <w:rFonts w:ascii="Arial" w:hAnsi="Arial" w:eastAsia="Calibri" w:cs="Arial"/>
        </w:rPr>
        <w:t xml:space="preserve"> </w:t>
      </w:r>
      <w:r w:rsidRPr="00CC07FD">
        <w:rPr>
          <w:rFonts w:ascii="Arial" w:hAnsi="Arial" w:eastAsia="Calibri" w:cs="Arial"/>
          <w:lang w:val="es-ES"/>
        </w:rPr>
        <w:t xml:space="preserve">la </w:t>
      </w:r>
      <w:r w:rsidRPr="00CC07FD" w:rsidR="00DB21CD">
        <w:rPr>
          <w:rFonts w:ascii="Arial" w:hAnsi="Arial" w:eastAsia="Calibri" w:cs="Arial"/>
          <w:lang w:val="es-ES"/>
        </w:rPr>
        <w:t>Agencia</w:t>
      </w:r>
      <w:r w:rsidRPr="00CC07FD">
        <w:rPr>
          <w:rFonts w:ascii="Arial" w:hAnsi="Arial" w:eastAsia="Calibri" w:cs="Arial"/>
          <w:lang w:val="es-ES"/>
        </w:rPr>
        <w:t xml:space="preserve"> –dentro de los límites de sus atribuciones, </w:t>
      </w:r>
      <w:r w:rsidRPr="00CC07FD" w:rsidR="00DB21CD">
        <w:rPr>
          <w:rFonts w:ascii="Arial" w:hAnsi="Arial" w:eastAsia="Calibri" w:cs="Arial"/>
          <w:lang w:val="es-ES"/>
        </w:rPr>
        <w:t>es decir</w:t>
      </w:r>
      <w:r w:rsidRPr="00CC07FD">
        <w:rPr>
          <w:rFonts w:ascii="Arial" w:hAnsi="Arial" w:eastAsia="Calibri" w:cs="Arial"/>
          <w:lang w:val="es-ES"/>
        </w:rPr>
        <w:t xml:space="preserve">, </w:t>
      </w:r>
      <w:bookmarkStart w:name="_Hlk61025408" w:id="16"/>
      <w:r w:rsidRPr="00CC07FD">
        <w:rPr>
          <w:rFonts w:ascii="Arial" w:hAnsi="Arial" w:eastAsia="Calibri" w:cs="Arial"/>
          <w:lang w:val="es-ES"/>
        </w:rPr>
        <w:t>haciendo abstracción</w:t>
      </w:r>
      <w:r w:rsidRPr="00CC07FD" w:rsidR="00DB21CD">
        <w:rPr>
          <w:rFonts w:ascii="Arial" w:hAnsi="Arial" w:eastAsia="Calibri" w:cs="Arial"/>
          <w:lang w:val="es-ES"/>
        </w:rPr>
        <w:t xml:space="preserve"> de las normas relativas a la vocación hereditaria del ICBF y</w:t>
      </w:r>
      <w:r w:rsidRPr="00CC07FD">
        <w:rPr>
          <w:rFonts w:ascii="Arial" w:hAnsi="Arial" w:eastAsia="Calibri" w:cs="Arial"/>
          <w:lang w:val="es-ES"/>
        </w:rPr>
        <w:t xml:space="preserve"> del caso particular </w:t>
      </w:r>
      <w:bookmarkEnd w:id="16"/>
      <w:r w:rsidRPr="00CC07FD" w:rsidR="00DB21CD">
        <w:rPr>
          <w:rFonts w:ascii="Arial" w:hAnsi="Arial" w:eastAsia="Calibri" w:cs="Arial"/>
          <w:lang w:val="es-ES"/>
        </w:rPr>
        <w:t xml:space="preserve">expuesto </w:t>
      </w:r>
      <w:r w:rsidRPr="00CC07FD" w:rsidR="008F7401">
        <w:rPr>
          <w:rFonts w:ascii="Arial" w:hAnsi="Arial" w:eastAsia="Calibri" w:cs="Arial"/>
          <w:lang w:val="es-ES"/>
        </w:rPr>
        <w:t>en la petición</w:t>
      </w:r>
      <w:r w:rsidRPr="00CC07FD">
        <w:rPr>
          <w:rFonts w:ascii="Arial" w:hAnsi="Arial" w:eastAsia="Calibri" w:cs="Arial"/>
          <w:lang w:val="es-ES"/>
        </w:rPr>
        <w:t>– resolverá la consulta conforme a las normas generales en materia de contratación estatal.</w:t>
      </w:r>
      <w:bookmarkEnd w:id="14"/>
      <w:r w:rsidRPr="00CC07FD">
        <w:rPr>
          <w:rFonts w:ascii="Arial" w:hAnsi="Arial" w:eastAsia="Calibri" w:cs="Arial"/>
          <w:lang w:val="es-ES"/>
        </w:rPr>
        <w:t xml:space="preserve"> Con este objetivo se analizarán los siguientes temas:</w:t>
      </w:r>
      <w:r w:rsidRPr="00CC07FD">
        <w:rPr>
          <w:rFonts w:ascii="Arial" w:hAnsi="Arial" w:eastAsia="Calibri" w:cs="Arial"/>
          <w:bCs/>
        </w:rPr>
        <w:t xml:space="preserve"> i) definición y finalidad de la Ley de Garantías Electorales, </w:t>
      </w:r>
      <w:proofErr w:type="spellStart"/>
      <w:r w:rsidRPr="00CC07FD">
        <w:rPr>
          <w:rFonts w:ascii="Arial" w:hAnsi="Arial" w:eastAsia="Calibri" w:cs="Arial"/>
          <w:bCs/>
        </w:rPr>
        <w:t>ii</w:t>
      </w:r>
      <w:proofErr w:type="spellEnd"/>
      <w:r w:rsidRPr="00CC07FD">
        <w:rPr>
          <w:rFonts w:ascii="Arial" w:hAnsi="Arial" w:eastAsia="Calibri" w:cs="Arial"/>
          <w:bCs/>
        </w:rPr>
        <w:t>) restricciones para elecciones presidenciales</w:t>
      </w:r>
      <w:r w:rsidRPr="00CC07FD" w:rsidR="00411155">
        <w:rPr>
          <w:rFonts w:ascii="Arial" w:hAnsi="Arial" w:eastAsia="Calibri" w:cs="Arial"/>
          <w:bCs/>
        </w:rPr>
        <w:t xml:space="preserve"> y</w:t>
      </w:r>
      <w:r w:rsidRPr="00CC07FD">
        <w:rPr>
          <w:rFonts w:ascii="Arial" w:hAnsi="Arial" w:eastAsia="Calibri" w:cs="Arial"/>
          <w:bCs/>
        </w:rPr>
        <w:t xml:space="preserve"> </w:t>
      </w:r>
      <w:proofErr w:type="spellStart"/>
      <w:r w:rsidRPr="00CC07FD">
        <w:rPr>
          <w:rFonts w:ascii="Arial" w:hAnsi="Arial" w:eastAsia="Calibri" w:cs="Arial"/>
          <w:bCs/>
        </w:rPr>
        <w:t>iii</w:t>
      </w:r>
      <w:proofErr w:type="spellEnd"/>
      <w:r w:rsidRPr="00CC07FD">
        <w:rPr>
          <w:rFonts w:ascii="Arial" w:hAnsi="Arial" w:eastAsia="Calibri" w:cs="Arial"/>
          <w:bCs/>
        </w:rPr>
        <w:t>) destinatarios de la prohibición del artículo 33 de la Ley 996 de 2005</w:t>
      </w:r>
      <w:r w:rsidRPr="00CC07FD" w:rsidR="00627F00">
        <w:rPr>
          <w:rFonts w:ascii="Arial" w:hAnsi="Arial" w:eastAsia="Calibri" w:cs="Arial"/>
        </w:rPr>
        <w:t xml:space="preserve">. </w:t>
      </w:r>
    </w:p>
    <w:p w:rsidRPr="00CC07FD" w:rsidR="00E97186" w:rsidP="0072030E" w:rsidRDefault="00E97186" w14:paraId="2A9E684E" w14:textId="3ED61746">
      <w:pPr>
        <w:tabs>
          <w:tab w:val="left" w:pos="426"/>
        </w:tabs>
        <w:spacing w:after="0" w:line="276" w:lineRule="auto"/>
        <w:ind w:firstLine="709"/>
        <w:contextualSpacing/>
        <w:jc w:val="both"/>
        <w:rPr>
          <w:rFonts w:ascii="Arial" w:hAnsi="Arial" w:eastAsia="Calibri" w:cs="Arial"/>
          <w:bCs/>
        </w:rPr>
      </w:pPr>
      <w:bookmarkStart w:name="_Hlk96420693" w:id="17"/>
      <w:bookmarkEnd w:id="15"/>
      <w:r w:rsidRPr="00CC07FD">
        <w:rPr>
          <w:rFonts w:ascii="Arial" w:hAnsi="Arial" w:eastAsia="Calibri" w:cs="Arial"/>
          <w:bCs/>
        </w:rPr>
        <w:t xml:space="preserve">La Agencia Nacional de Contratación Pública – Colombia Compra Eficiente ha impartido lineamientos sobre la aplicación de la Ley 996 de 2005,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w:t>
      </w:r>
      <w:r w:rsidRPr="00CC07FD">
        <w:rPr>
          <w:rFonts w:ascii="Arial" w:hAnsi="Arial" w:eastAsia="Calibri" w:cs="Arial"/>
          <w:bCs/>
        </w:rPr>
        <w:lastRenderedPageBreak/>
        <w:t>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 y C-726 del 24 de enero de 2022</w:t>
      </w:r>
      <w:r w:rsidRPr="00CC07FD" w:rsidR="00F5636F">
        <w:rPr>
          <w:rFonts w:ascii="Arial" w:hAnsi="Arial" w:eastAsia="Calibri" w:cs="Arial"/>
          <w:bCs/>
        </w:rPr>
        <w:t xml:space="preserve">, </w:t>
      </w:r>
      <w:r w:rsidRPr="00CC07FD" w:rsidR="00FA450C">
        <w:rPr>
          <w:rFonts w:ascii="Arial" w:hAnsi="Arial" w:eastAsia="Calibri" w:cs="Arial"/>
          <w:bCs/>
        </w:rPr>
        <w:t>C</w:t>
      </w:r>
      <w:r w:rsidRPr="00CC07FD" w:rsidR="00785FF5">
        <w:rPr>
          <w:rFonts w:ascii="Arial" w:hAnsi="Arial" w:eastAsia="Calibri" w:cs="Arial"/>
          <w:bCs/>
        </w:rPr>
        <w:t>-002 del 15 de febrero de 2022, C005 del 1</w:t>
      </w:r>
      <w:r w:rsidRPr="00CC07FD" w:rsidR="00885307">
        <w:rPr>
          <w:rFonts w:ascii="Arial" w:hAnsi="Arial" w:eastAsia="Calibri" w:cs="Arial"/>
          <w:bCs/>
        </w:rPr>
        <w:t>6</w:t>
      </w:r>
      <w:r w:rsidRPr="00CC07FD" w:rsidR="00785FF5">
        <w:rPr>
          <w:rFonts w:ascii="Arial" w:hAnsi="Arial" w:eastAsia="Calibri" w:cs="Arial"/>
          <w:bCs/>
        </w:rPr>
        <w:t xml:space="preserve"> de febrero de 2022, </w:t>
      </w:r>
      <w:r w:rsidRPr="00CC07FD" w:rsidR="00885307">
        <w:rPr>
          <w:rFonts w:ascii="Arial" w:hAnsi="Arial" w:eastAsia="Calibri" w:cs="Arial"/>
          <w:bCs/>
        </w:rPr>
        <w:t xml:space="preserve">C-009 del 15 de febrero de 2022, </w:t>
      </w:r>
      <w:r w:rsidRPr="00CC07FD" w:rsidR="00706681">
        <w:rPr>
          <w:rFonts w:ascii="Arial" w:hAnsi="Arial" w:eastAsia="Calibri" w:cs="Arial"/>
          <w:bCs/>
        </w:rPr>
        <w:t>C-014 del 18 de febrero de 2022, C-022</w:t>
      </w:r>
      <w:r w:rsidRPr="00CC07FD" w:rsidR="006A418E">
        <w:rPr>
          <w:rFonts w:ascii="Arial" w:hAnsi="Arial" w:eastAsia="Calibri" w:cs="Arial"/>
          <w:bCs/>
        </w:rPr>
        <w:t xml:space="preserve"> del 21 de febrero de 2022, C-023 del 22 de febrero de 2022, C</w:t>
      </w:r>
      <w:r w:rsidRPr="00CC07FD" w:rsidR="000C5674">
        <w:rPr>
          <w:rFonts w:ascii="Arial" w:hAnsi="Arial" w:eastAsia="Calibri" w:cs="Arial"/>
          <w:bCs/>
        </w:rPr>
        <w:t xml:space="preserve">-008 del 24 de febrero de 2022, C-045 del 3 de marzo de 2022, </w:t>
      </w:r>
      <w:r w:rsidRPr="00CC07FD" w:rsidR="004076E8">
        <w:rPr>
          <w:rFonts w:ascii="Arial" w:hAnsi="Arial" w:eastAsia="Calibri" w:cs="Arial"/>
          <w:bCs/>
        </w:rPr>
        <w:t>C-064 del 8 de marzo de 2022, C-072</w:t>
      </w:r>
      <w:r w:rsidRPr="00CC07FD" w:rsidR="0025518A">
        <w:rPr>
          <w:rFonts w:ascii="Arial" w:hAnsi="Arial" w:eastAsia="Calibri" w:cs="Arial"/>
          <w:bCs/>
        </w:rPr>
        <w:t xml:space="preserve"> del 11 de marzo de 2022, C-109 del 14 de marzo de 2022, </w:t>
      </w:r>
      <w:r w:rsidRPr="00CC07FD" w:rsidR="0070392C">
        <w:rPr>
          <w:rFonts w:ascii="Arial" w:hAnsi="Arial" w:eastAsia="Calibri" w:cs="Arial"/>
          <w:bCs/>
        </w:rPr>
        <w:t xml:space="preserve">C-073 del 14 de marzo de 2022, C-075 del 10 de marzo de 2022, </w:t>
      </w:r>
      <w:r w:rsidRPr="00CC07FD" w:rsidR="0050051A">
        <w:rPr>
          <w:rFonts w:ascii="Arial" w:hAnsi="Arial" w:eastAsia="Calibri" w:cs="Arial"/>
          <w:bCs/>
        </w:rPr>
        <w:t>C-077 del 17 de marzo de 2022, C-092 del 16 de marzo de 2022</w:t>
      </w:r>
      <w:r w:rsidRPr="00CC07FD" w:rsidR="00AF53B2">
        <w:rPr>
          <w:rFonts w:ascii="Arial" w:hAnsi="Arial" w:eastAsia="Calibri" w:cs="Arial"/>
          <w:bCs/>
        </w:rPr>
        <w:t xml:space="preserve">, C-094 del 16 de marzo de 2022, C-096 del 22 de marzo de 2022, </w:t>
      </w:r>
      <w:r w:rsidRPr="00CC07FD" w:rsidR="00785E29">
        <w:rPr>
          <w:rFonts w:ascii="Arial" w:hAnsi="Arial" w:eastAsia="Calibri" w:cs="Arial"/>
          <w:bCs/>
        </w:rPr>
        <w:t>C-097 del 18 de marzo de 2022, C-098</w:t>
      </w:r>
      <w:r w:rsidRPr="00CC07FD" w:rsidR="00717C51">
        <w:rPr>
          <w:rFonts w:ascii="Arial" w:hAnsi="Arial" w:eastAsia="Calibri" w:cs="Arial"/>
          <w:bCs/>
        </w:rPr>
        <w:t xml:space="preserve"> del 9 de marzo de 2022, C-099 del 22 de marzo de 2022, C</w:t>
      </w:r>
      <w:r w:rsidRPr="00CC07FD" w:rsidR="00312D1E">
        <w:rPr>
          <w:rFonts w:ascii="Arial" w:hAnsi="Arial" w:eastAsia="Calibri" w:cs="Arial"/>
          <w:bCs/>
        </w:rPr>
        <w:t>-102 del 22 de marzo de 2022, C-107 del 18 de marzo de 2022, C-111</w:t>
      </w:r>
      <w:r w:rsidRPr="00CC07FD" w:rsidR="00F95737">
        <w:rPr>
          <w:rFonts w:ascii="Arial" w:hAnsi="Arial" w:eastAsia="Calibri" w:cs="Arial"/>
          <w:bCs/>
        </w:rPr>
        <w:t xml:space="preserve"> del 22 de marzo de 2022. C-115 del 22 de marzo de 2022, </w:t>
      </w:r>
      <w:r w:rsidRPr="00CC07FD" w:rsidR="00ED4DFE">
        <w:rPr>
          <w:rFonts w:ascii="Arial" w:hAnsi="Arial" w:eastAsia="Calibri" w:cs="Arial"/>
          <w:bCs/>
        </w:rPr>
        <w:t>C-116 del 18 de marzo de 2022, C-127 del 22 de marzo de 2022</w:t>
      </w:r>
      <w:r w:rsidRPr="00CC07FD" w:rsidR="000A389C">
        <w:rPr>
          <w:rFonts w:ascii="Arial" w:hAnsi="Arial" w:eastAsia="Calibri" w:cs="Arial"/>
          <w:bCs/>
        </w:rPr>
        <w:t xml:space="preserve"> y </w:t>
      </w:r>
      <w:r w:rsidRPr="00CC07FD" w:rsidR="00ED4DFE">
        <w:rPr>
          <w:rFonts w:ascii="Arial" w:hAnsi="Arial" w:eastAsia="Calibri" w:cs="Arial"/>
          <w:bCs/>
        </w:rPr>
        <w:t xml:space="preserve">C-164 del 22 de marzo de </w:t>
      </w:r>
      <w:r w:rsidRPr="00CC07FD" w:rsidR="000A389C">
        <w:rPr>
          <w:rFonts w:ascii="Arial" w:hAnsi="Arial" w:eastAsia="Calibri" w:cs="Arial"/>
          <w:bCs/>
        </w:rPr>
        <w:t xml:space="preserve">2022. </w:t>
      </w:r>
      <w:r w:rsidRPr="00CC07FD">
        <w:rPr>
          <w:rFonts w:ascii="Arial" w:hAnsi="Arial" w:eastAsia="Calibri" w:cs="Arial"/>
          <w:bCs/>
        </w:rPr>
        <w:t>La tesis desarrollada en estos conceptos se reitera y complementa a continuación:</w:t>
      </w:r>
    </w:p>
    <w:bookmarkEnd w:id="17"/>
    <w:p w:rsidRPr="00CC07FD" w:rsidR="00E97186" w:rsidP="0072030E" w:rsidRDefault="00E97186" w14:paraId="1A14478A" w14:textId="77777777">
      <w:pPr>
        <w:tabs>
          <w:tab w:val="left" w:pos="426"/>
        </w:tabs>
        <w:spacing w:after="0" w:line="276" w:lineRule="auto"/>
        <w:ind w:firstLine="709"/>
        <w:contextualSpacing/>
        <w:jc w:val="both"/>
        <w:rPr>
          <w:rFonts w:ascii="Arial" w:hAnsi="Arial" w:eastAsia="Calibri" w:cs="Arial"/>
          <w:b/>
          <w:bCs/>
        </w:rPr>
      </w:pPr>
    </w:p>
    <w:p w:rsidRPr="00CC07FD" w:rsidR="00E97186" w:rsidP="0072030E" w:rsidRDefault="00E97186" w14:paraId="17092C63" w14:textId="77777777">
      <w:pPr>
        <w:tabs>
          <w:tab w:val="left" w:pos="426"/>
        </w:tabs>
        <w:spacing w:after="0" w:line="276" w:lineRule="auto"/>
        <w:contextualSpacing/>
        <w:jc w:val="both"/>
        <w:rPr>
          <w:rFonts w:ascii="Arial" w:hAnsi="Arial" w:eastAsia="Calibri" w:cs="Arial"/>
          <w:b/>
          <w:bCs/>
        </w:rPr>
      </w:pPr>
      <w:r w:rsidRPr="00CC07FD">
        <w:rPr>
          <w:rFonts w:ascii="Arial" w:hAnsi="Arial" w:eastAsia="Calibri" w:cs="Arial"/>
          <w:b/>
          <w:bCs/>
        </w:rPr>
        <w:t>2.1. Definición y finalidad de la Ley de Garantías Electorales: alcance de las restricciones</w:t>
      </w:r>
    </w:p>
    <w:p w:rsidRPr="00CC07FD" w:rsidR="00E97186" w:rsidP="0072030E" w:rsidRDefault="00E97186" w14:paraId="55F88EBB" w14:textId="77777777">
      <w:pPr>
        <w:tabs>
          <w:tab w:val="left" w:pos="426"/>
        </w:tabs>
        <w:spacing w:after="0" w:line="276" w:lineRule="auto"/>
        <w:ind w:firstLine="709"/>
        <w:contextualSpacing/>
        <w:jc w:val="both"/>
        <w:rPr>
          <w:rFonts w:ascii="Arial" w:hAnsi="Arial" w:eastAsia="Calibri" w:cs="Arial"/>
          <w:bCs/>
        </w:rPr>
      </w:pPr>
    </w:p>
    <w:p w:rsidRPr="00CC07FD" w:rsidR="00E97186" w:rsidP="0072030E" w:rsidRDefault="00E97186" w14:paraId="3B8881B0" w14:textId="77777777">
      <w:pPr>
        <w:tabs>
          <w:tab w:val="left" w:pos="426"/>
        </w:tabs>
        <w:spacing w:after="120" w:line="276" w:lineRule="auto"/>
        <w:jc w:val="both"/>
        <w:rPr>
          <w:rFonts w:ascii="Arial" w:hAnsi="Arial" w:eastAsia="Times New Roman" w:cs="Arial"/>
          <w:bCs/>
          <w:lang w:eastAsia="es-CO"/>
        </w:rPr>
      </w:pPr>
      <w:r w:rsidRPr="00CC07FD">
        <w:rPr>
          <w:rFonts w:ascii="Arial" w:hAnsi="Arial" w:eastAsia="Calibri" w:cs="Arial"/>
          <w:bCs/>
        </w:rPr>
        <w:t>El ordenamiento jurídico colombiano contempla previsiones claras para evitar la obtención de beneficios personales en asuntos propios de la administración pública</w:t>
      </w:r>
      <w:r w:rsidRPr="00CC07FD">
        <w:rPr>
          <w:rFonts w:ascii="Arial" w:hAnsi="Arial" w:eastAsia="Calibri" w:cs="Arial"/>
          <w:bCs/>
          <w:i/>
          <w:iCs/>
        </w:rPr>
        <w:t xml:space="preserve">. </w:t>
      </w:r>
      <w:r w:rsidRPr="00CC07FD">
        <w:rPr>
          <w:rFonts w:ascii="Arial" w:hAnsi="Arial" w:eastAsia="Calibri" w:cs="Arial"/>
          <w:bCs/>
        </w:rPr>
        <w:t>Por ejemplo, el artículo 127 de la Constitución Política establece una prohibición contractual a los servidores públicos y en cuanto a aspectos políticos establece restricciones a ciertos empleados del Estado, incluso en época no electoral</w:t>
      </w:r>
      <w:r w:rsidRPr="00CC07FD">
        <w:rPr>
          <w:rFonts w:ascii="Arial" w:hAnsi="Arial" w:eastAsia="Calibri" w:cs="Arial"/>
          <w:bCs/>
          <w:vertAlign w:val="superscript"/>
        </w:rPr>
        <w:footnoteReference w:id="2"/>
      </w:r>
      <w:r w:rsidRPr="00CC07FD">
        <w:rPr>
          <w:rFonts w:ascii="Arial" w:hAnsi="Arial" w:eastAsia="Calibri" w:cs="Arial"/>
          <w:bCs/>
        </w:rPr>
        <w:t xml:space="preserve">. </w:t>
      </w:r>
    </w:p>
    <w:p w:rsidRPr="00CC07FD" w:rsidR="00E97186" w:rsidP="0072030E" w:rsidRDefault="00E97186" w14:paraId="7EE40A09" w14:textId="77777777">
      <w:pPr>
        <w:tabs>
          <w:tab w:val="left" w:pos="426"/>
        </w:tabs>
        <w:spacing w:after="0" w:line="276" w:lineRule="auto"/>
        <w:ind w:firstLine="709"/>
        <w:contextualSpacing/>
        <w:jc w:val="both"/>
        <w:rPr>
          <w:rFonts w:ascii="Arial" w:hAnsi="Arial" w:eastAsia="Times New Roman" w:cs="Arial"/>
          <w:bCs/>
          <w:lang w:val="es-MX" w:eastAsia="es-CO"/>
        </w:rPr>
      </w:pPr>
      <w:r w:rsidRPr="00CC07FD">
        <w:rPr>
          <w:rFonts w:ascii="Arial" w:hAnsi="Arial" w:eastAsia="Times New Roman" w:cs="Arial"/>
          <w:bCs/>
          <w:lang w:eastAsia="es-CO"/>
        </w:rPr>
        <w:lastRenderedPageBreak/>
        <w:t>En el mismo sentido</w:t>
      </w:r>
      <w:r w:rsidRPr="00CC07FD">
        <w:rPr>
          <w:rFonts w:ascii="Arial" w:hAnsi="Arial" w:eastAsia="Times New Roman" w:cs="Arial"/>
          <w:bCs/>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CC07FD">
        <w:rPr>
          <w:rFonts w:ascii="Arial" w:hAnsi="Arial" w:eastAsia="Times New Roman" w:cs="Arial"/>
          <w:bCs/>
          <w:vertAlign w:val="superscript"/>
          <w:lang w:val="es-MX" w:eastAsia="es-CO"/>
        </w:rPr>
        <w:footnoteReference w:id="3"/>
      </w:r>
      <w:r w:rsidRPr="00CC07FD">
        <w:rPr>
          <w:rFonts w:ascii="Arial" w:hAnsi="Arial" w:eastAsia="Times New Roman"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CC07FD">
        <w:rPr>
          <w:rFonts w:ascii="Arial" w:hAnsi="Arial" w:eastAsia="Calibri" w:cs="Arial"/>
          <w:noProof/>
          <w:lang w:val="es-ES_tradnl"/>
        </w:rPr>
        <w:t xml:space="preserve"> </w:t>
      </w:r>
      <w:r w:rsidRPr="00CC07FD">
        <w:rPr>
          <w:rFonts w:ascii="Arial" w:hAnsi="Arial" w:eastAsia="Times New Roman" w:cs="Arial"/>
          <w:bCs/>
          <w:lang w:val="es-MX" w:eastAsia="es-CO"/>
        </w:rPr>
        <w:t>En armonía con lo anterior, la Corte Constitucional ha abordado la definición de la Ley de Garantías Electorales. De esta manera, explica que tiene como propósito:</w:t>
      </w:r>
    </w:p>
    <w:p w:rsidRPr="00CC07FD" w:rsidR="00E97186" w:rsidP="0072030E" w:rsidRDefault="00E97186" w14:paraId="0D61F7F4" w14:textId="77777777">
      <w:pPr>
        <w:spacing w:after="0" w:line="276" w:lineRule="auto"/>
        <w:ind w:right="709"/>
        <w:contextualSpacing/>
        <w:jc w:val="both"/>
        <w:rPr>
          <w:rFonts w:ascii="Arial" w:hAnsi="Arial" w:eastAsia="Times New Roman" w:cs="Arial"/>
          <w:sz w:val="21"/>
          <w:szCs w:val="21"/>
          <w:lang w:val="es-ES" w:eastAsia="es-CO"/>
        </w:rPr>
      </w:pPr>
    </w:p>
    <w:p w:rsidRPr="00CC07FD" w:rsidR="00E97186" w:rsidP="0072030E" w:rsidRDefault="00E97186" w14:paraId="027208B6" w14:textId="77777777">
      <w:pPr>
        <w:spacing w:after="0" w:line="240" w:lineRule="auto"/>
        <w:ind w:left="709" w:right="709"/>
        <w:contextualSpacing/>
        <w:jc w:val="both"/>
        <w:rPr>
          <w:rFonts w:ascii="Arial" w:hAnsi="Arial" w:eastAsia="Times New Roman" w:cs="Arial"/>
          <w:bCs/>
          <w:sz w:val="21"/>
          <w:szCs w:val="21"/>
          <w:lang w:val="es-MX" w:eastAsia="es-CO"/>
        </w:rPr>
      </w:pPr>
      <w:r w:rsidRPr="00CC07FD">
        <w:rPr>
          <w:rFonts w:ascii="Arial" w:hAnsi="Arial" w:eastAsia="Times New Roman" w:cs="Arial"/>
          <w:sz w:val="21"/>
          <w:szCs w:val="21"/>
          <w:lang w:val="es-ES" w:eastAsia="es-CO"/>
        </w:rPr>
        <w:t xml:space="preserve">[…] </w:t>
      </w:r>
      <w:r w:rsidRPr="00CC07FD">
        <w:rPr>
          <w:rFonts w:ascii="Arial" w:hAnsi="Arial" w:eastAsia="Times New Roman" w:cs="Arial"/>
          <w:bCs/>
          <w:sz w:val="21"/>
          <w:szCs w:val="21"/>
          <w:lang w:val="es-MX" w:eastAsia="es-CO"/>
        </w:rPr>
        <w:t>la definición de reglas claras que permitan acceder a los canales de expresión democrática de manera efectiva e igualitaria. El objetivo de una ley de garantías es definir esas reglas.</w:t>
      </w:r>
    </w:p>
    <w:p w:rsidRPr="00CC07FD" w:rsidR="0072030E" w:rsidP="002D0D8A" w:rsidRDefault="0072030E" w14:paraId="0BC5733C" w14:textId="77777777">
      <w:pPr>
        <w:spacing w:after="0" w:line="240" w:lineRule="auto"/>
        <w:ind w:left="709" w:right="709"/>
        <w:contextualSpacing/>
        <w:jc w:val="both"/>
        <w:rPr>
          <w:rFonts w:ascii="Arial" w:hAnsi="Arial" w:eastAsia="Times New Roman" w:cs="Arial"/>
          <w:bCs/>
          <w:sz w:val="21"/>
          <w:szCs w:val="21"/>
          <w:lang w:val="es-MX" w:eastAsia="es-CO"/>
        </w:rPr>
      </w:pPr>
    </w:p>
    <w:p w:rsidRPr="00CC07FD" w:rsidR="00E97186" w:rsidP="0072030E" w:rsidRDefault="00E97186" w14:paraId="6BC4E304" w14:textId="29B47A52">
      <w:pPr>
        <w:spacing w:after="0" w:line="240" w:lineRule="auto"/>
        <w:ind w:left="709" w:right="709"/>
        <w:contextualSpacing/>
        <w:jc w:val="both"/>
        <w:rPr>
          <w:rFonts w:ascii="Arial" w:hAnsi="Arial" w:eastAsia="Times New Roman" w:cs="Arial"/>
          <w:bCs/>
          <w:sz w:val="21"/>
          <w:szCs w:val="21"/>
          <w:lang w:val="es-MX" w:eastAsia="es-CO"/>
        </w:rPr>
      </w:pPr>
      <w:r w:rsidRPr="00CC07FD">
        <w:rPr>
          <w:rFonts w:ascii="Arial" w:hAnsi="Arial" w:eastAsia="Times New Roman" w:cs="Arial"/>
          <w:bCs/>
          <w:sz w:val="21"/>
          <w:szCs w:val="21"/>
          <w:lang w:val="es-MX" w:eastAsia="es-CO"/>
        </w:rPr>
        <w:t xml:space="preserve">[…] </w:t>
      </w:r>
    </w:p>
    <w:p w:rsidRPr="00CC07FD" w:rsidR="0072030E" w:rsidP="0072030E" w:rsidRDefault="0072030E" w14:paraId="7B0788C8" w14:textId="77777777">
      <w:pPr>
        <w:spacing w:after="0" w:line="240" w:lineRule="auto"/>
        <w:ind w:left="709" w:right="709"/>
        <w:contextualSpacing/>
        <w:jc w:val="both"/>
        <w:rPr>
          <w:rFonts w:ascii="Arial" w:hAnsi="Arial" w:eastAsia="Times New Roman" w:cs="Arial"/>
          <w:bCs/>
          <w:sz w:val="21"/>
          <w:szCs w:val="21"/>
          <w:lang w:val="es-MX" w:eastAsia="es-CO"/>
        </w:rPr>
      </w:pPr>
    </w:p>
    <w:p w:rsidRPr="00CC07FD" w:rsidR="00E97186" w:rsidP="0072030E" w:rsidRDefault="00E97186" w14:paraId="7B45F36F" w14:textId="30E2774D">
      <w:pPr>
        <w:spacing w:after="0" w:line="240" w:lineRule="auto"/>
        <w:ind w:left="709" w:right="709"/>
        <w:contextualSpacing/>
        <w:jc w:val="both"/>
        <w:rPr>
          <w:rFonts w:ascii="Arial" w:hAnsi="Arial" w:eastAsia="Times New Roman" w:cs="Arial"/>
          <w:bCs/>
          <w:sz w:val="21"/>
          <w:szCs w:val="21"/>
          <w:lang w:val="es-MX" w:eastAsia="es-CO"/>
        </w:rPr>
      </w:pPr>
      <w:r w:rsidRPr="00CC07FD">
        <w:rPr>
          <w:rFonts w:ascii="Arial" w:hAnsi="Arial" w:eastAsia="Times New Roman"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C07FD">
        <w:rPr>
          <w:rFonts w:ascii="Arial" w:hAnsi="Arial" w:eastAsia="Calibri" w:cs="Arial"/>
          <w:sz w:val="20"/>
          <w:szCs w:val="20"/>
          <w:vertAlign w:val="superscript"/>
          <w:lang w:val="es-MX"/>
        </w:rPr>
        <w:footnoteReference w:id="4"/>
      </w:r>
    </w:p>
    <w:p w:rsidRPr="00CC07FD" w:rsidR="00E97186" w:rsidP="0072030E" w:rsidRDefault="00E97186" w14:paraId="4598D825" w14:textId="77777777">
      <w:pPr>
        <w:spacing w:after="0" w:line="276" w:lineRule="auto"/>
        <w:ind w:left="709" w:right="709"/>
        <w:contextualSpacing/>
        <w:jc w:val="both"/>
        <w:rPr>
          <w:rFonts w:ascii="Arial" w:hAnsi="Arial" w:eastAsia="Times New Roman" w:cs="Arial"/>
          <w:bCs/>
          <w:sz w:val="21"/>
          <w:szCs w:val="21"/>
          <w:lang w:val="es-MX" w:eastAsia="es-CO"/>
        </w:rPr>
      </w:pPr>
    </w:p>
    <w:p w:rsidRPr="00CC07FD" w:rsidR="00E97186" w:rsidP="0072030E" w:rsidRDefault="00E97186" w14:paraId="13A8CFCC" w14:textId="77777777">
      <w:pPr>
        <w:spacing w:after="0" w:line="276" w:lineRule="auto"/>
        <w:ind w:firstLine="709"/>
        <w:contextualSpacing/>
        <w:jc w:val="both"/>
        <w:rPr>
          <w:rFonts w:ascii="Arial" w:hAnsi="Arial" w:eastAsia="Times New Roman" w:cs="Arial"/>
          <w:bCs/>
          <w:lang w:val="es-MX" w:eastAsia="es-CO"/>
        </w:rPr>
      </w:pPr>
      <w:bookmarkStart w:name="_Hlk78818186" w:id="18"/>
      <w:r w:rsidRPr="00CC07FD">
        <w:rPr>
          <w:rFonts w:ascii="Arial" w:hAnsi="Arial" w:eastAsia="Times New Roman"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8"/>
      <w:r w:rsidRPr="00CC07FD">
        <w:rPr>
          <w:rFonts w:ascii="Arial" w:hAnsi="Arial" w:eastAsia="Times New Roman"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rsidRPr="00CC07FD" w:rsidR="00E97186" w:rsidP="0072030E" w:rsidRDefault="00E97186" w14:paraId="4E387C1B" w14:textId="77777777">
      <w:pPr>
        <w:spacing w:after="0" w:line="276" w:lineRule="auto"/>
        <w:ind w:firstLine="709"/>
        <w:contextualSpacing/>
        <w:jc w:val="both"/>
        <w:rPr>
          <w:rFonts w:ascii="Arial" w:hAnsi="Arial" w:eastAsia="Times New Roman" w:cs="Arial"/>
          <w:bCs/>
          <w:lang w:val="es-MX" w:eastAsia="es-CO"/>
        </w:rPr>
      </w:pPr>
    </w:p>
    <w:p w:rsidRPr="00CC07FD" w:rsidR="00E97186" w:rsidP="0072030E" w:rsidRDefault="00E97186" w14:paraId="67FDFE15" w14:textId="5979192F">
      <w:pPr>
        <w:spacing w:after="0" w:line="240" w:lineRule="auto"/>
        <w:ind w:left="709" w:right="709"/>
        <w:contextualSpacing/>
        <w:jc w:val="both"/>
        <w:rPr>
          <w:rFonts w:ascii="Arial" w:hAnsi="Arial" w:eastAsia="Times New Roman" w:cs="Arial"/>
          <w:bCs/>
          <w:sz w:val="21"/>
          <w:szCs w:val="21"/>
          <w:lang w:val="es-MX" w:eastAsia="es-CO"/>
        </w:rPr>
      </w:pPr>
      <w:r w:rsidRPr="00CC07FD">
        <w:rPr>
          <w:rFonts w:ascii="Arial" w:hAnsi="Arial" w:eastAsia="Times New Roman"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CC07FD">
        <w:rPr>
          <w:rFonts w:ascii="Arial" w:hAnsi="Arial" w:eastAsia="Times New Roman" w:cs="Arial"/>
          <w:bCs/>
          <w:sz w:val="21"/>
          <w:szCs w:val="21"/>
          <w:lang w:val="es-MX" w:eastAsia="es-CO"/>
        </w:rPr>
        <w:t>legis</w:t>
      </w:r>
      <w:proofErr w:type="spellEnd"/>
      <w:r w:rsidRPr="00CC07FD">
        <w:rPr>
          <w:rFonts w:ascii="Arial" w:hAnsi="Arial" w:eastAsia="Times New Roman"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CC07FD" w:rsidR="0072030E" w:rsidP="0072030E" w:rsidRDefault="0072030E" w14:paraId="15C809BA" w14:textId="77777777">
      <w:pPr>
        <w:spacing w:after="0" w:line="240" w:lineRule="auto"/>
        <w:ind w:left="709" w:right="709"/>
        <w:contextualSpacing/>
        <w:jc w:val="both"/>
        <w:rPr>
          <w:rFonts w:ascii="Arial" w:hAnsi="Arial" w:eastAsia="Times New Roman" w:cs="Arial"/>
          <w:bCs/>
          <w:sz w:val="21"/>
          <w:szCs w:val="21"/>
          <w:lang w:val="es-MX" w:eastAsia="es-CO"/>
        </w:rPr>
      </w:pPr>
    </w:p>
    <w:p w:rsidRPr="00CC07FD" w:rsidR="00E97186" w:rsidP="0072030E" w:rsidRDefault="00E97186" w14:paraId="16096983" w14:textId="77777777">
      <w:pPr>
        <w:spacing w:after="0" w:line="240" w:lineRule="auto"/>
        <w:ind w:left="709" w:right="709"/>
        <w:contextualSpacing/>
        <w:jc w:val="both"/>
        <w:rPr>
          <w:rFonts w:ascii="Arial" w:hAnsi="Arial" w:eastAsia="Times New Roman" w:cs="Arial"/>
          <w:bCs/>
          <w:sz w:val="21"/>
          <w:szCs w:val="21"/>
          <w:lang w:val="es-MX" w:eastAsia="es-CO"/>
        </w:rPr>
      </w:pPr>
      <w:r w:rsidRPr="00CC07FD">
        <w:rPr>
          <w:rFonts w:ascii="Arial" w:hAnsi="Arial" w:eastAsia="Times New Roman" w:cs="Arial"/>
          <w:bCs/>
          <w:sz w:val="21"/>
          <w:szCs w:val="21"/>
          <w:lang w:val="es-MX" w:eastAsia="es-CO"/>
        </w:rPr>
        <w:t>La jurisprudencia de la Corte Constitucional</w:t>
      </w:r>
      <w:r w:rsidRPr="00CC07FD">
        <w:rPr>
          <w:rFonts w:ascii="Arial" w:hAnsi="Arial" w:eastAsia="Times New Roman" w:cs="Arial"/>
          <w:bCs/>
          <w:sz w:val="21"/>
          <w:szCs w:val="21"/>
          <w:vertAlign w:val="superscript"/>
          <w:lang w:val="es-MX" w:eastAsia="es-CO"/>
        </w:rPr>
        <w:footnoteReference w:id="5"/>
      </w:r>
      <w:r w:rsidRPr="00CC07FD">
        <w:rPr>
          <w:rFonts w:ascii="Arial" w:hAnsi="Arial" w:eastAsia="Times New Roman" w:cs="Arial"/>
          <w:bCs/>
          <w:sz w:val="21"/>
          <w:szCs w:val="21"/>
          <w:lang w:val="es-MX" w:eastAsia="es-CO"/>
        </w:rPr>
        <w:t> y del Consejo de Estado</w:t>
      </w:r>
      <w:r w:rsidRPr="00CC07FD">
        <w:rPr>
          <w:rFonts w:ascii="Arial" w:hAnsi="Arial" w:eastAsia="Times New Roman" w:cs="Arial"/>
          <w:bCs/>
          <w:sz w:val="21"/>
          <w:szCs w:val="21"/>
          <w:vertAlign w:val="superscript"/>
          <w:lang w:val="es-MX" w:eastAsia="es-CO"/>
        </w:rPr>
        <w:footnoteReference w:id="6"/>
      </w:r>
      <w:r w:rsidRPr="00CC07FD">
        <w:rPr>
          <w:rFonts w:ascii="Arial" w:hAnsi="Arial" w:eastAsia="Times New Roman"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CC07FD">
        <w:rPr>
          <w:rFonts w:ascii="Arial" w:hAnsi="Arial" w:eastAsia="Times New Roman" w:cs="Arial"/>
          <w:bCs/>
          <w:vertAlign w:val="superscript"/>
          <w:lang w:val="es-MX" w:eastAsia="es-CO"/>
        </w:rPr>
        <w:footnoteReference w:id="7"/>
      </w:r>
      <w:r w:rsidRPr="00CC07FD">
        <w:rPr>
          <w:rFonts w:ascii="Arial" w:hAnsi="Arial" w:eastAsia="Times New Roman" w:cs="Arial"/>
          <w:bCs/>
          <w:sz w:val="21"/>
          <w:szCs w:val="21"/>
          <w:lang w:val="es-MX" w:eastAsia="es-CO"/>
        </w:rPr>
        <w:t>.</w:t>
      </w:r>
    </w:p>
    <w:p w:rsidRPr="00CC07FD" w:rsidR="00E97186" w:rsidP="0072030E" w:rsidRDefault="00E97186" w14:paraId="02218010" w14:textId="77777777">
      <w:pPr>
        <w:spacing w:after="0" w:line="276" w:lineRule="auto"/>
        <w:ind w:right="709"/>
        <w:contextualSpacing/>
        <w:jc w:val="both"/>
        <w:rPr>
          <w:rFonts w:ascii="Arial" w:hAnsi="Arial" w:eastAsia="Times New Roman" w:cs="Arial"/>
          <w:bCs/>
          <w:sz w:val="21"/>
          <w:szCs w:val="21"/>
          <w:lang w:val="es-MX" w:eastAsia="es-CO"/>
        </w:rPr>
      </w:pPr>
    </w:p>
    <w:p w:rsidRPr="00CC07FD" w:rsidR="00E97186" w:rsidP="0072030E" w:rsidRDefault="00E97186" w14:paraId="5A3AA580" w14:textId="77777777">
      <w:pPr>
        <w:spacing w:after="120" w:line="276" w:lineRule="auto"/>
        <w:jc w:val="both"/>
        <w:rPr>
          <w:rFonts w:ascii="Arial" w:hAnsi="Arial" w:eastAsia="Arial" w:cs="Arial"/>
          <w:lang w:val="es-ES" w:eastAsia="es-ES" w:bidi="es-ES"/>
        </w:rPr>
      </w:pPr>
      <w:r w:rsidRPr="00CC07FD">
        <w:rPr>
          <w:rFonts w:ascii="Arial" w:hAnsi="Arial" w:eastAsia="Times New Roman" w:cs="Arial"/>
          <w:bCs/>
          <w:lang w:val="es-MX" w:eastAsia="es-CO"/>
        </w:rPr>
        <w:tab/>
      </w:r>
      <w:r w:rsidRPr="00CC07FD">
        <w:rPr>
          <w:rFonts w:ascii="Arial" w:hAnsi="Arial" w:eastAsia="Times New Roman" w:cs="Arial"/>
          <w:bCs/>
          <w:lang w:val="es-MX" w:eastAsia="es-CO"/>
        </w:rPr>
        <w:t>De</w:t>
      </w:r>
      <w:r w:rsidRPr="00CC07FD">
        <w:rPr>
          <w:rFonts w:ascii="Arial" w:hAnsi="Arial" w:eastAsia="Arial" w:cs="Arial"/>
          <w:lang w:val="es-ES" w:eastAsia="es-ES" w:bidi="es-ES"/>
        </w:rPr>
        <w:t xml:space="preserve"> conformidad con lo anterior, </w:t>
      </w:r>
      <w:bookmarkStart w:name="_Hlk77236098" w:id="19"/>
      <w:r w:rsidRPr="00CC07FD">
        <w:rPr>
          <w:rFonts w:ascii="Arial" w:hAnsi="Arial" w:eastAsia="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9"/>
    </w:p>
    <w:p w:rsidRPr="00CC07FD" w:rsidR="00E97186" w:rsidP="0072030E" w:rsidRDefault="00E97186" w14:paraId="16EC087B" w14:textId="77777777">
      <w:pPr>
        <w:spacing w:after="120" w:line="276" w:lineRule="auto"/>
        <w:ind w:firstLine="708"/>
        <w:jc w:val="both"/>
        <w:rPr>
          <w:rFonts w:ascii="Arial" w:hAnsi="Arial" w:eastAsia="Calibri" w:cs="Arial"/>
        </w:rPr>
      </w:pPr>
      <w:r w:rsidRPr="00CC07FD">
        <w:rPr>
          <w:rFonts w:ascii="Arial" w:hAnsi="Arial" w:eastAsia="Calibri" w:cs="Arial"/>
        </w:rPr>
        <w:lastRenderedPageBreak/>
        <w:t xml:space="preserve">Por un lado, el artículo 33 de la Ley 996 de 2005 prohíbe </w:t>
      </w:r>
      <w:r w:rsidRPr="00CC07FD">
        <w:rPr>
          <w:rFonts w:ascii="Arial" w:hAnsi="Arial" w:eastAsia="Calibri" w:cs="Arial"/>
          <w:bCs/>
        </w:rPr>
        <w:t xml:space="preserve">«[…] </w:t>
      </w:r>
      <w:r w:rsidRPr="00CC07FD">
        <w:rPr>
          <w:rFonts w:ascii="Arial" w:hAnsi="Arial" w:eastAsia="Calibri" w:cs="Arial"/>
        </w:rPr>
        <w:t>la contratación directa por parte de todos los entes del Estado</w:t>
      </w:r>
      <w:r w:rsidRPr="00CC07FD">
        <w:rPr>
          <w:rFonts w:ascii="Arial" w:hAnsi="Arial" w:eastAsia="Calibri" w:cs="Arial"/>
          <w:bCs/>
        </w:rPr>
        <w:t>»</w:t>
      </w:r>
      <w:r w:rsidRPr="00CC07FD">
        <w:rPr>
          <w:rFonts w:ascii="Arial" w:hAnsi="Arial" w:eastAsia="Calibri" w:cs="Arial"/>
        </w:rPr>
        <w:t xml:space="preserve"> durante los cuatro (4) meses anteriores a las elecciones presidenciales, salvo </w:t>
      </w:r>
      <w:r w:rsidRPr="00CC07FD">
        <w:rPr>
          <w:rFonts w:ascii="Arial" w:hAnsi="Arial" w:eastAsia="Calibri" w:cs="Arial"/>
          <w:bCs/>
        </w:rPr>
        <w:t xml:space="preserve">«[…] </w:t>
      </w:r>
      <w:r w:rsidRPr="00CC07FD">
        <w:rPr>
          <w:rFonts w:ascii="Arial" w:hAnsi="Arial" w:eastAsia="Calibri"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C07FD">
        <w:rPr>
          <w:rFonts w:ascii="Arial" w:hAnsi="Arial" w:eastAsia="Calibri" w:cs="Arial"/>
          <w:bCs/>
        </w:rPr>
        <w:t>»</w:t>
      </w:r>
      <w:r w:rsidRPr="00CC07FD">
        <w:rPr>
          <w:rFonts w:ascii="Arial" w:hAnsi="Arial" w:eastAsia="Calibri" w:cs="Arial"/>
          <w:bCs/>
          <w:vertAlign w:val="superscript"/>
        </w:rPr>
        <w:footnoteReference w:id="8"/>
      </w:r>
      <w:r w:rsidRPr="00CC07FD">
        <w:rPr>
          <w:rFonts w:ascii="Arial" w:hAnsi="Arial" w:eastAsia="Calibri" w:cs="Arial"/>
        </w:rPr>
        <w:t>.</w:t>
      </w:r>
    </w:p>
    <w:p w:rsidRPr="00CC07FD" w:rsidR="00610F5E" w:rsidP="0072030E" w:rsidRDefault="00E97186" w14:paraId="5E22FBAD" w14:textId="77777777">
      <w:pPr>
        <w:widowControl w:val="0"/>
        <w:autoSpaceDE w:val="0"/>
        <w:autoSpaceDN w:val="0"/>
        <w:spacing w:after="120" w:line="276" w:lineRule="auto"/>
        <w:ind w:right="113" w:firstLine="708"/>
        <w:jc w:val="both"/>
        <w:rPr>
          <w:rFonts w:ascii="Arial" w:hAnsi="Arial" w:eastAsia="Arial" w:cs="Arial"/>
          <w:lang w:val="es-ES" w:eastAsia="es-ES" w:bidi="es-ES"/>
        </w:rPr>
      </w:pPr>
      <w:r w:rsidRPr="00CC07FD">
        <w:rPr>
          <w:rFonts w:ascii="Arial" w:hAnsi="Arial" w:eastAsia="Calibri"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C07FD">
        <w:rPr>
          <w:rFonts w:ascii="Arial" w:hAnsi="Arial" w:eastAsia="Calibri" w:cs="Arial"/>
          <w:bCs/>
        </w:rPr>
        <w:t xml:space="preserve">«[…] </w:t>
      </w:r>
      <w:r w:rsidRPr="00CC07FD">
        <w:rPr>
          <w:rFonts w:ascii="Arial" w:hAnsi="Arial" w:eastAsia="Calibri"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C07FD">
        <w:rPr>
          <w:rFonts w:ascii="Arial" w:hAnsi="Arial" w:eastAsia="Calibri" w:cs="Arial"/>
          <w:bCs/>
          <w:sz w:val="19"/>
          <w:szCs w:val="19"/>
        </w:rPr>
        <w:t>»</w:t>
      </w:r>
      <w:r w:rsidRPr="00CC07FD">
        <w:rPr>
          <w:rFonts w:ascii="Arial" w:hAnsi="Arial" w:eastAsia="Calibri" w:cs="Arial"/>
          <w:bCs/>
          <w:sz w:val="19"/>
          <w:szCs w:val="19"/>
          <w:vertAlign w:val="superscript"/>
        </w:rPr>
        <w:footnoteReference w:id="9"/>
      </w:r>
      <w:r w:rsidRPr="00CC07FD">
        <w:rPr>
          <w:rFonts w:ascii="Arial" w:hAnsi="Arial" w:eastAsia="Calibri" w:cs="Arial"/>
          <w:lang w:val="es-MX"/>
        </w:rPr>
        <w:t>.</w:t>
      </w:r>
      <w:r w:rsidRPr="00CC07FD">
        <w:rPr>
          <w:rFonts w:ascii="Arial" w:hAnsi="Arial" w:eastAsia="Arial" w:cs="Arial"/>
          <w:lang w:val="es-ES" w:eastAsia="es-ES" w:bidi="es-ES"/>
        </w:rPr>
        <w:t xml:space="preserve"> </w:t>
      </w:r>
    </w:p>
    <w:p w:rsidRPr="00CC07FD" w:rsidR="00E97186" w:rsidP="0072030E" w:rsidRDefault="00E97186" w14:paraId="780E0D27" w14:textId="2969E27F">
      <w:pPr>
        <w:widowControl w:val="0"/>
        <w:autoSpaceDE w:val="0"/>
        <w:autoSpaceDN w:val="0"/>
        <w:spacing w:after="0" w:line="276" w:lineRule="auto"/>
        <w:ind w:right="113" w:firstLine="708"/>
        <w:contextualSpacing/>
        <w:jc w:val="both"/>
        <w:rPr>
          <w:rFonts w:ascii="Arial" w:hAnsi="Arial" w:eastAsia="Arial" w:cs="Arial"/>
          <w:lang w:val="es-ES" w:eastAsia="es-ES" w:bidi="es-ES"/>
        </w:rPr>
      </w:pPr>
      <w:r w:rsidRPr="00CC07FD">
        <w:rPr>
          <w:rFonts w:ascii="Arial" w:hAnsi="Arial" w:eastAsia="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rsidRPr="00CC07FD" w:rsidR="00E97186" w:rsidP="0072030E" w:rsidRDefault="00E97186" w14:paraId="4E1B9365" w14:textId="77777777">
      <w:pPr>
        <w:widowControl w:val="0"/>
        <w:autoSpaceDE w:val="0"/>
        <w:autoSpaceDN w:val="0"/>
        <w:spacing w:after="0" w:line="276" w:lineRule="auto"/>
        <w:ind w:left="805" w:right="812"/>
        <w:contextualSpacing/>
        <w:jc w:val="both"/>
        <w:rPr>
          <w:rFonts w:ascii="Arial" w:hAnsi="Arial" w:eastAsia="Arial" w:cs="Arial"/>
          <w:lang w:val="es-ES" w:eastAsia="es-ES" w:bidi="es-ES"/>
        </w:rPr>
      </w:pPr>
    </w:p>
    <w:p w:rsidRPr="00CC07FD" w:rsidR="00E97186" w:rsidP="0072030E" w:rsidRDefault="00E97186" w14:paraId="12F257D8" w14:textId="77777777">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r w:rsidRPr="00CC07FD">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w:t>
      </w:r>
      <w:r w:rsidRPr="00CC07FD">
        <w:rPr>
          <w:rFonts w:ascii="Arial" w:hAnsi="Arial" w:eastAsia="Arial" w:cs="Arial"/>
          <w:sz w:val="21"/>
          <w:szCs w:val="21"/>
          <w:lang w:val="es-ES" w:eastAsia="es-ES" w:bidi="es-ES"/>
        </w:rPr>
        <w:lastRenderedPageBreak/>
        <w:t xml:space="preserve">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22"/>
      <w:r w:rsidRPr="00CC07FD">
        <w:rPr>
          <w:rFonts w:ascii="Arial" w:hAnsi="Arial" w:eastAsia="Arial" w:cs="Arial"/>
          <w:sz w:val="21"/>
          <w:szCs w:val="21"/>
          <w:lang w:val="es-ES" w:eastAsia="es-ES" w:bidi="es-ES"/>
        </w:rPr>
        <w:t>se integran parcialmente</w:t>
      </w:r>
      <w:bookmarkEnd w:id="22"/>
      <w:r w:rsidRPr="00CC07FD">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CC07FD">
        <w:rPr>
          <w:rFonts w:ascii="Arial" w:hAnsi="Arial" w:eastAsia="Arial" w:cs="Arial"/>
          <w:bCs/>
          <w:sz w:val="21"/>
          <w:szCs w:val="21"/>
          <w:lang w:val="es-ES" w:eastAsia="es-ES" w:bidi="es-ES"/>
        </w:rPr>
        <w:t xml:space="preserve">En cambio, para elecciones en general, excluyendo las correspondientes a </w:t>
      </w:r>
      <w:proofErr w:type="gramStart"/>
      <w:r w:rsidRPr="00CC07FD">
        <w:rPr>
          <w:rFonts w:ascii="Arial" w:hAnsi="Arial" w:eastAsia="Arial" w:cs="Arial"/>
          <w:bCs/>
          <w:sz w:val="21"/>
          <w:szCs w:val="21"/>
          <w:lang w:val="es-ES" w:eastAsia="es-ES" w:bidi="es-ES"/>
        </w:rPr>
        <w:t>Presidente</w:t>
      </w:r>
      <w:proofErr w:type="gramEnd"/>
      <w:r w:rsidRPr="00CC07FD">
        <w:rPr>
          <w:rFonts w:ascii="Arial" w:hAnsi="Arial" w:eastAsia="Arial" w:cs="Arial"/>
          <w:bCs/>
          <w:sz w:val="21"/>
          <w:szCs w:val="21"/>
          <w:lang w:val="es-ES" w:eastAsia="es-ES" w:bidi="es-ES"/>
        </w:rPr>
        <w:t xml:space="preserve"> de la República, a las autoridades territoriales allí mencionadas sólo se aplican las restricciones contenidas en el parágrafo del artículo 38</w:t>
      </w:r>
      <w:r w:rsidRPr="00CC07FD">
        <w:rPr>
          <w:rFonts w:ascii="Arial" w:hAnsi="Arial" w:eastAsia="Arial" w:cs="Arial"/>
          <w:sz w:val="21"/>
          <w:szCs w:val="21"/>
          <w:lang w:val="es-ES" w:eastAsia="es-ES" w:bidi="es-ES"/>
        </w:rPr>
        <w:t>.</w:t>
      </w:r>
      <w:r w:rsidRPr="00CC07FD">
        <w:rPr>
          <w:rFonts w:ascii="Arial" w:hAnsi="Arial" w:eastAsia="Arial" w:cs="Arial"/>
          <w:sz w:val="21"/>
          <w:szCs w:val="21"/>
          <w:vertAlign w:val="superscript"/>
          <w:lang w:val="es-ES" w:eastAsia="es-ES" w:bidi="es-ES"/>
        </w:rPr>
        <w:footnoteReference w:id="10"/>
      </w:r>
    </w:p>
    <w:p w:rsidRPr="00CC07FD" w:rsidR="00E97186" w:rsidP="0072030E" w:rsidRDefault="00E97186" w14:paraId="7620BE40" w14:textId="77777777">
      <w:pPr>
        <w:widowControl w:val="0"/>
        <w:autoSpaceDE w:val="0"/>
        <w:autoSpaceDN w:val="0"/>
        <w:spacing w:after="0" w:line="276" w:lineRule="auto"/>
        <w:contextualSpacing/>
        <w:rPr>
          <w:rFonts w:ascii="Arial" w:hAnsi="Arial" w:eastAsia="Arial" w:cs="Arial"/>
          <w:lang w:val="es-ES" w:eastAsia="es-ES" w:bidi="es-ES"/>
        </w:rPr>
      </w:pPr>
    </w:p>
    <w:p w:rsidRPr="00CC07FD" w:rsidR="00E97186" w:rsidP="0072030E" w:rsidRDefault="00E97186" w14:paraId="612F93B6" w14:textId="77777777">
      <w:pPr>
        <w:spacing w:after="120" w:line="276" w:lineRule="auto"/>
        <w:ind w:firstLine="709"/>
        <w:jc w:val="both"/>
        <w:rPr>
          <w:rFonts w:ascii="Arial" w:hAnsi="Arial" w:eastAsia="Arial" w:cs="Arial"/>
          <w:lang w:val="es-ES" w:eastAsia="es-ES" w:bidi="es-ES"/>
        </w:rPr>
      </w:pPr>
      <w:r w:rsidRPr="00CC07FD">
        <w:rPr>
          <w:rFonts w:ascii="Arial" w:hAnsi="Arial" w:eastAsia="Arial" w:cs="Arial"/>
          <w:lang w:val="es-ES" w:eastAsia="es-ES" w:bidi="es-ES"/>
        </w:rPr>
        <w:t xml:space="preserve">De conformidad con lo anterior, </w:t>
      </w:r>
      <w:bookmarkStart w:name="_Hlk77236420" w:id="23"/>
      <w:bookmarkStart w:name="_Hlk78818435" w:id="24"/>
      <w:bookmarkStart w:name="_Hlk75780333" w:id="25"/>
      <w:r w:rsidRPr="00CC07FD">
        <w:rPr>
          <w:rFonts w:ascii="Arial" w:hAnsi="Arial" w:eastAsia="Arial" w:cs="Arial"/>
          <w:lang w:val="es-ES" w:eastAsia="es-ES" w:bidi="es-ES"/>
        </w:rPr>
        <w:t xml:space="preserve">la Ley 996 de 2005 establece dos (2) tipos de restricciones en materia de contratación, las cuales coinciden parcialmente. </w:t>
      </w:r>
      <w:r w:rsidRPr="00CC07FD">
        <w:rPr>
          <w:rFonts w:ascii="Arial" w:hAnsi="Arial" w:eastAsia="Arial" w:cs="Arial"/>
          <w:i/>
          <w:iCs/>
          <w:lang w:val="es-ES" w:eastAsia="es-ES" w:bidi="es-ES"/>
        </w:rPr>
        <w:t>En primer lugar</w:t>
      </w:r>
      <w:r w:rsidRPr="00CC07FD">
        <w:rPr>
          <w:rFonts w:ascii="Arial" w:hAnsi="Arial" w:eastAsia="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CC07FD">
        <w:rPr>
          <w:rFonts w:ascii="Arial" w:hAnsi="Arial" w:eastAsia="Arial" w:cs="Arial"/>
          <w:i/>
          <w:iCs/>
          <w:lang w:val="es-ES" w:eastAsia="es-ES" w:bidi="es-ES"/>
        </w:rPr>
        <w:t>En segundo lugar</w:t>
      </w:r>
      <w:r w:rsidRPr="00CC07FD">
        <w:rPr>
          <w:rFonts w:ascii="Arial" w:hAnsi="Arial" w:eastAsia="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3"/>
    </w:p>
    <w:bookmarkEnd w:id="24"/>
    <w:p w:rsidRPr="00CC07FD" w:rsidR="00E97186" w:rsidP="0072030E" w:rsidRDefault="00E97186" w14:paraId="79428DB2" w14:textId="77777777">
      <w:pPr>
        <w:spacing w:after="120" w:line="276" w:lineRule="auto"/>
        <w:ind w:firstLine="709"/>
        <w:jc w:val="both"/>
        <w:rPr>
          <w:rFonts w:ascii="Arial" w:hAnsi="Arial" w:eastAsia="Arial" w:cs="Arial"/>
          <w:lang w:val="es-ES" w:eastAsia="es-ES" w:bidi="es-ES"/>
        </w:rPr>
      </w:pPr>
      <w:r w:rsidRPr="00CC07FD">
        <w:rPr>
          <w:rFonts w:ascii="Arial" w:hAnsi="Arial" w:eastAsia="Arial" w:cs="Arial"/>
          <w:lang w:val="es-ES" w:eastAsia="es-ES" w:bidi="es-ES"/>
        </w:rPr>
        <w:t xml:space="preserve">Ambas restricciones no son excluyentes, lo que permite concluir que en el período preelectoral para elección de </w:t>
      </w:r>
      <w:proofErr w:type="gramStart"/>
      <w:r w:rsidRPr="00CC07FD">
        <w:rPr>
          <w:rFonts w:ascii="Arial" w:hAnsi="Arial" w:eastAsia="Arial" w:cs="Arial"/>
          <w:lang w:val="es-ES" w:eastAsia="es-ES" w:bidi="es-ES"/>
        </w:rPr>
        <w:t>Presidente</w:t>
      </w:r>
      <w:proofErr w:type="gramEnd"/>
      <w:r w:rsidRPr="00CC07FD">
        <w:rPr>
          <w:rFonts w:ascii="Arial" w:hAnsi="Arial" w:eastAsia="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CC07FD">
        <w:rPr>
          <w:rFonts w:ascii="Arial" w:hAnsi="Arial" w:eastAsia="Arial" w:cs="Arial"/>
          <w:lang w:val="es-ES" w:eastAsia="es-ES" w:bidi="es-ES"/>
        </w:rPr>
        <w:t>Presidente</w:t>
      </w:r>
      <w:proofErr w:type="gramEnd"/>
      <w:r w:rsidRPr="00CC07FD">
        <w:rPr>
          <w:rFonts w:ascii="Arial" w:hAnsi="Arial" w:eastAsia="Arial" w:cs="Arial"/>
          <w:lang w:val="es-ES" w:eastAsia="es-ES" w:bidi="es-ES"/>
        </w:rPr>
        <w:t xml:space="preserve"> de la República, las autoridades allí mencionadas sólo deben aplicar las restricciones contenidas en el parágrafo del artículo 38.</w:t>
      </w:r>
    </w:p>
    <w:bookmarkEnd w:id="25"/>
    <w:p w:rsidRPr="00CC07FD" w:rsidR="00E97186" w:rsidP="00E97186" w:rsidRDefault="00E97186" w14:paraId="0942EB0A" w14:textId="77777777">
      <w:pPr>
        <w:spacing w:after="0" w:line="276" w:lineRule="auto"/>
        <w:ind w:firstLine="708"/>
        <w:contextualSpacing/>
        <w:jc w:val="both"/>
        <w:rPr>
          <w:rFonts w:ascii="Arial" w:hAnsi="Arial" w:eastAsia="Arial" w:cs="Arial"/>
          <w:lang w:val="es-ES" w:eastAsia="es-ES" w:bidi="es-ES"/>
        </w:rPr>
      </w:pPr>
      <w:r w:rsidRPr="00CC07FD">
        <w:rPr>
          <w:rFonts w:ascii="Arial" w:hAnsi="Arial" w:eastAsia="Arial" w:cs="Arial"/>
          <w:lang w:val="es-ES" w:eastAsia="es-ES" w:bidi="es-ES"/>
        </w:rPr>
        <w:t xml:space="preserve">La Corte Constitucional, en la Sentencia C-1153 del 11 de noviembre de 2005, señaló que, para que la garantía sea plena, era necesario que la prohibición se </w:t>
      </w:r>
      <w:r w:rsidRPr="00CC07FD">
        <w:rPr>
          <w:rFonts w:ascii="Arial" w:hAnsi="Arial" w:eastAsia="Arial" w:cs="Arial"/>
          <w:lang w:val="es-ES" w:eastAsia="es-ES" w:bidi="es-ES"/>
        </w:rPr>
        <w:lastRenderedPageBreak/>
        <w:t xml:space="preserve">aplicara para el </w:t>
      </w:r>
      <w:proofErr w:type="gramStart"/>
      <w:r w:rsidRPr="00CC07FD">
        <w:rPr>
          <w:rFonts w:ascii="Arial" w:hAnsi="Arial" w:eastAsia="Arial" w:cs="Arial"/>
          <w:lang w:val="es-ES" w:eastAsia="es-ES" w:bidi="es-ES"/>
        </w:rPr>
        <w:t>Presidente</w:t>
      </w:r>
      <w:proofErr w:type="gramEnd"/>
      <w:r w:rsidRPr="00CC07FD">
        <w:rPr>
          <w:rFonts w:ascii="Arial" w:hAnsi="Arial" w:eastAsia="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Pr="00CC07FD" w:rsidR="00E97186" w:rsidP="00E97186" w:rsidRDefault="00E97186" w14:paraId="673F9E65" w14:textId="77777777">
      <w:pPr>
        <w:spacing w:after="0" w:line="276" w:lineRule="auto"/>
        <w:contextualSpacing/>
        <w:jc w:val="both"/>
        <w:rPr>
          <w:rFonts w:ascii="Arial" w:hAnsi="Arial" w:eastAsia="Times New Roman" w:cs="Arial"/>
          <w:bCs/>
          <w:lang w:val="es-ES" w:eastAsia="es-CO"/>
        </w:rPr>
      </w:pPr>
    </w:p>
    <w:p w:rsidRPr="00CC07FD" w:rsidR="00E97186" w:rsidP="00E97186" w:rsidRDefault="00E97186" w14:paraId="0EAC78A3" w14:textId="77777777">
      <w:pPr>
        <w:spacing w:after="0" w:line="276" w:lineRule="auto"/>
        <w:contextualSpacing/>
        <w:jc w:val="both"/>
        <w:rPr>
          <w:rFonts w:ascii="Arial" w:hAnsi="Arial" w:eastAsia="Times New Roman" w:cs="Arial"/>
          <w:b/>
          <w:lang w:val="es-ES" w:eastAsia="es-CO"/>
        </w:rPr>
      </w:pPr>
      <w:r w:rsidRPr="00CC07FD">
        <w:rPr>
          <w:rFonts w:ascii="Arial" w:hAnsi="Arial" w:eastAsia="Times New Roman" w:cs="Arial"/>
          <w:b/>
          <w:lang w:val="es-ES" w:eastAsia="es-CO"/>
        </w:rPr>
        <w:t xml:space="preserve">2.2. </w:t>
      </w:r>
      <w:r w:rsidRPr="00CC07FD">
        <w:rPr>
          <w:rFonts w:ascii="Arial" w:hAnsi="Arial" w:eastAsia="Times New Roman" w:cs="Arial"/>
          <w:b/>
          <w:bCs/>
          <w:lang w:val="es-MX" w:eastAsia="es-CO"/>
        </w:rPr>
        <w:t xml:space="preserve">Restricciones en elecciones presidenciales </w:t>
      </w:r>
    </w:p>
    <w:p w:rsidRPr="00CC07FD" w:rsidR="00E97186" w:rsidP="00E97186" w:rsidRDefault="00E97186" w14:paraId="099CC6EE" w14:textId="77777777">
      <w:pPr>
        <w:spacing w:after="0" w:line="276" w:lineRule="auto"/>
        <w:contextualSpacing/>
        <w:jc w:val="both"/>
        <w:rPr>
          <w:rFonts w:ascii="Arial" w:hAnsi="Arial" w:eastAsia="Times New Roman" w:cs="Arial"/>
          <w:bCs/>
          <w:lang w:val="es-MX" w:eastAsia="x-none"/>
        </w:rPr>
      </w:pPr>
    </w:p>
    <w:p w:rsidRPr="00CC07FD" w:rsidR="00E97186" w:rsidP="00E97186" w:rsidRDefault="00E97186" w14:paraId="5E885766" w14:textId="1F3B15E2">
      <w:pPr>
        <w:spacing w:after="0" w:line="276" w:lineRule="auto"/>
        <w:contextualSpacing/>
        <w:jc w:val="both"/>
        <w:rPr>
          <w:rFonts w:ascii="Arial" w:hAnsi="Arial" w:eastAsia="Times New Roman" w:cs="Arial"/>
          <w:bCs/>
          <w:lang w:val="es-MX" w:eastAsia="es-CO"/>
        </w:rPr>
      </w:pPr>
      <w:r w:rsidRPr="00CC07FD">
        <w:rPr>
          <w:rFonts w:ascii="Arial" w:hAnsi="Arial" w:eastAsia="Times New Roman" w:cs="Arial"/>
          <w:bCs/>
          <w:lang w:val="es-MX" w:eastAsia="x-none"/>
        </w:rPr>
        <w:t xml:space="preserve">El ámbito material de la prohibición contenida </w:t>
      </w:r>
      <w:bookmarkStart w:name="_Hlk75628761" w:id="26"/>
      <w:r w:rsidRPr="00CC07FD">
        <w:rPr>
          <w:rFonts w:ascii="Arial" w:hAnsi="Arial" w:eastAsia="Times New Roman" w:cs="Arial"/>
          <w:bCs/>
          <w:lang w:val="es-MX" w:eastAsia="x-none"/>
        </w:rPr>
        <w:t xml:space="preserve">en el artículo 33 de la </w:t>
      </w:r>
      <w:r w:rsidRPr="00CC07FD" w:rsidR="00C6475F">
        <w:rPr>
          <w:rFonts w:ascii="Arial" w:hAnsi="Arial" w:eastAsia="Times New Roman" w:cs="Arial"/>
          <w:bCs/>
          <w:lang w:val="es-MX" w:eastAsia="x-none"/>
        </w:rPr>
        <w:t xml:space="preserve">Ley </w:t>
      </w:r>
      <w:r w:rsidRPr="00CC07FD">
        <w:rPr>
          <w:rFonts w:ascii="Arial" w:hAnsi="Arial" w:eastAsia="Times New Roman" w:cs="Arial"/>
          <w:bCs/>
          <w:lang w:val="es-MX" w:eastAsia="x-none"/>
        </w:rPr>
        <w:t xml:space="preserve">996 de 2005 </w:t>
      </w:r>
      <w:bookmarkEnd w:id="26"/>
      <w:r w:rsidRPr="00CC07FD">
        <w:rPr>
          <w:rFonts w:ascii="Arial" w:hAnsi="Arial" w:eastAsia="Times New Roman" w:cs="Arial"/>
          <w:bCs/>
          <w:lang w:val="es-MX" w:eastAsia="x-none"/>
        </w:rPr>
        <w:t xml:space="preserve">está delimitado por la expresión </w:t>
      </w:r>
      <w:r w:rsidRPr="00CC07FD">
        <w:rPr>
          <w:rFonts w:ascii="Arial" w:hAnsi="Arial" w:eastAsia="Calibri" w:cs="Arial"/>
          <w:bCs/>
          <w:sz w:val="20"/>
          <w:szCs w:val="20"/>
          <w:lang w:val="es-MX"/>
        </w:rPr>
        <w:t>«</w:t>
      </w:r>
      <w:r w:rsidRPr="00CC07FD">
        <w:rPr>
          <w:rFonts w:ascii="Arial" w:hAnsi="Arial" w:eastAsia="Times New Roman" w:cs="Arial"/>
          <w:bCs/>
          <w:lang w:val="es-MX" w:eastAsia="x-none"/>
        </w:rPr>
        <w:t>queda prohibida la contratación directa</w:t>
      </w:r>
      <w:r w:rsidRPr="00CC07FD">
        <w:rPr>
          <w:rFonts w:ascii="Arial" w:hAnsi="Arial" w:eastAsia="Calibri" w:cs="Arial"/>
          <w:sz w:val="20"/>
          <w:szCs w:val="20"/>
          <w:lang w:val="es-MX"/>
        </w:rPr>
        <w:t>»</w:t>
      </w:r>
      <w:r w:rsidRPr="00CC07FD">
        <w:rPr>
          <w:rFonts w:ascii="Arial" w:hAnsi="Arial" w:eastAsia="Times New Roman" w:cs="Arial"/>
          <w:bCs/>
          <w:lang w:val="es-MX" w:eastAsia="x-none"/>
        </w:rPr>
        <w:t>.</w:t>
      </w:r>
      <w:r w:rsidRPr="00CC07FD">
        <w:rPr>
          <w:rFonts w:ascii="Arial" w:hAnsi="Arial" w:eastAsia="Times New Roman" w:cs="Arial"/>
          <w:lang w:val="es-MX" w:eastAsia="es-CO"/>
        </w:rPr>
        <w:t xml:space="preserve"> A propósito de </w:t>
      </w:r>
      <w:r w:rsidRPr="00CC07FD">
        <w:rPr>
          <w:rFonts w:ascii="Arial" w:hAnsi="Arial" w:eastAsia="Times New Roman" w:cs="Arial"/>
          <w:lang w:eastAsia="es-CO"/>
        </w:rPr>
        <w:t>esta restricción de la Ley de Garantías Electorales, la Sala de Consulta y Servicio Civil del Consejo de Estado ha considerado que:</w:t>
      </w:r>
    </w:p>
    <w:p w:rsidRPr="00CC07FD" w:rsidR="00E97186" w:rsidP="00E97186" w:rsidRDefault="00E97186" w14:paraId="2F8DD413" w14:textId="77777777">
      <w:pPr>
        <w:spacing w:after="0" w:line="276" w:lineRule="auto"/>
        <w:ind w:left="708" w:right="709"/>
        <w:contextualSpacing/>
        <w:jc w:val="both"/>
        <w:rPr>
          <w:rFonts w:ascii="Arial" w:hAnsi="Arial" w:eastAsia="Calibri" w:cs="Arial"/>
          <w:sz w:val="21"/>
          <w:szCs w:val="21"/>
          <w:lang w:val="es-MX"/>
        </w:rPr>
      </w:pPr>
    </w:p>
    <w:p w:rsidRPr="00CC07FD" w:rsidR="00E97186" w:rsidP="00E97186" w:rsidRDefault="00E97186" w14:paraId="6F0DA595" w14:textId="77777777">
      <w:pPr>
        <w:spacing w:after="120" w:line="240" w:lineRule="auto"/>
        <w:ind w:left="709" w:right="709"/>
        <w:jc w:val="both"/>
        <w:rPr>
          <w:rFonts w:ascii="Arial" w:hAnsi="Arial" w:eastAsia="Calibri" w:cs="Arial"/>
          <w:sz w:val="21"/>
          <w:szCs w:val="21"/>
          <w:lang w:val="es-MX"/>
        </w:rPr>
      </w:pPr>
      <w:r w:rsidRPr="00CC07FD">
        <w:rPr>
          <w:rFonts w:ascii="Arial" w:hAnsi="Arial" w:eastAsia="Calibri"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CC07FD">
        <w:rPr>
          <w:rFonts w:ascii="Arial" w:hAnsi="Arial" w:eastAsia="Times New Roman" w:cs="Arial"/>
          <w:vertAlign w:val="superscript"/>
          <w:lang w:eastAsia="es-CO"/>
        </w:rPr>
        <w:footnoteReference w:id="11"/>
      </w:r>
      <w:r w:rsidRPr="00CC07FD">
        <w:rPr>
          <w:rFonts w:ascii="Arial" w:hAnsi="Arial" w:eastAsia="Calibri" w:cs="Arial"/>
          <w:sz w:val="21"/>
          <w:szCs w:val="21"/>
          <w:lang w:val="es-MX"/>
        </w:rPr>
        <w:t>.</w:t>
      </w:r>
    </w:p>
    <w:p w:rsidRPr="00CC07FD" w:rsidR="00E97186" w:rsidP="0072030E" w:rsidRDefault="00E97186" w14:paraId="7996264F" w14:textId="4BAC2862">
      <w:pPr>
        <w:spacing w:after="0" w:line="240" w:lineRule="auto"/>
        <w:ind w:left="708" w:right="709"/>
        <w:contextualSpacing/>
        <w:jc w:val="both"/>
        <w:rPr>
          <w:rFonts w:ascii="Arial" w:hAnsi="Arial" w:eastAsia="Calibri" w:cs="Arial"/>
          <w:sz w:val="21"/>
          <w:szCs w:val="21"/>
          <w:lang w:val="es-MX"/>
        </w:rPr>
      </w:pPr>
      <w:r w:rsidRPr="00CC07FD">
        <w:rPr>
          <w:rFonts w:ascii="Arial" w:hAnsi="Arial" w:eastAsia="Calibri" w:cs="Arial"/>
          <w:sz w:val="21"/>
          <w:szCs w:val="21"/>
          <w:lang w:val="es-MX"/>
        </w:rPr>
        <w:t xml:space="preserve">Esta Sala ha entendido </w:t>
      </w:r>
      <w:proofErr w:type="gramStart"/>
      <w:r w:rsidRPr="00CC07FD">
        <w:rPr>
          <w:rFonts w:ascii="Arial" w:hAnsi="Arial" w:eastAsia="Calibri" w:cs="Arial"/>
          <w:sz w:val="21"/>
          <w:szCs w:val="21"/>
          <w:lang w:val="es-MX"/>
        </w:rPr>
        <w:t>que</w:t>
      </w:r>
      <w:proofErr w:type="gramEnd"/>
      <w:r w:rsidRPr="00CC07FD">
        <w:rPr>
          <w:rFonts w:ascii="Arial" w:hAnsi="Arial" w:eastAsia="Calibri" w:cs="Arial"/>
          <w:sz w:val="21"/>
          <w:szCs w:val="21"/>
          <w:lang w:val="es-MX"/>
        </w:rPr>
        <w:t xml:space="preserve"> para los efectos de la ley de garantías, y dada su finalidad, el enunciado ´contratación directa´ es sinónimo </w:t>
      </w:r>
      <w:bookmarkStart w:name="_Hlk75741738" w:id="29"/>
      <w:r w:rsidRPr="00CC07FD">
        <w:rPr>
          <w:rFonts w:ascii="Arial" w:hAnsi="Arial" w:eastAsia="Calibri" w:cs="Arial"/>
          <w:sz w:val="21"/>
          <w:szCs w:val="21"/>
          <w:lang w:val="es-MX"/>
        </w:rPr>
        <w:t xml:space="preserve">de cualquier sistema que no implique convocatoria pública y posibilidad de pluralidad de oferentes, </w:t>
      </w:r>
      <w:bookmarkEnd w:id="29"/>
      <w:r w:rsidRPr="00CC07FD">
        <w:rPr>
          <w:rFonts w:ascii="Arial" w:hAnsi="Arial" w:eastAsia="Calibri" w:cs="Arial"/>
          <w:sz w:val="21"/>
          <w:szCs w:val="21"/>
          <w:lang w:val="es-MX"/>
        </w:rPr>
        <w:t>y que, además, no necesariamente hace referencia al procedimiento especial regulado por la ley de contratación estatal, sino a cualquier otro que prescinda de un proceso de licitación pública o concurso</w:t>
      </w:r>
      <w:r w:rsidRPr="00CC07FD">
        <w:rPr>
          <w:rFonts w:ascii="Arial" w:hAnsi="Arial" w:eastAsia="Times New Roman" w:cs="Arial"/>
          <w:sz w:val="21"/>
          <w:szCs w:val="21"/>
          <w:vertAlign w:val="superscript"/>
          <w:lang w:val="es-MX"/>
        </w:rPr>
        <w:footnoteReference w:id="12"/>
      </w:r>
      <w:r w:rsidRPr="00CC07FD">
        <w:rPr>
          <w:rFonts w:ascii="Arial" w:hAnsi="Arial" w:eastAsia="Times New Roman" w:cs="Arial"/>
          <w:sz w:val="21"/>
          <w:szCs w:val="21"/>
          <w:vertAlign w:val="superscript"/>
          <w:lang w:val="es-MX"/>
        </w:rPr>
        <w:t>.</w:t>
      </w:r>
      <w:r w:rsidRPr="00CC07FD">
        <w:rPr>
          <w:rFonts w:ascii="Arial" w:hAnsi="Arial" w:eastAsia="Calibri"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w:t>
      </w:r>
      <w:r w:rsidRPr="00CC07FD">
        <w:rPr>
          <w:rFonts w:ascii="Arial" w:hAnsi="Arial" w:eastAsia="Calibri" w:cs="Arial"/>
          <w:sz w:val="21"/>
          <w:szCs w:val="21"/>
          <w:lang w:val="es-MX"/>
        </w:rPr>
        <w:lastRenderedPageBreak/>
        <w:t>por la cual en ese periodo preelectoral de que trata la disposición pueden las entidades públicas seguir contratando bajo estos sistemas. [...]</w:t>
      </w:r>
      <w:r w:rsidRPr="00CC07FD">
        <w:rPr>
          <w:rFonts w:ascii="Arial" w:hAnsi="Arial" w:eastAsia="Times New Roman" w:cs="Arial"/>
          <w:vertAlign w:val="superscript"/>
          <w:lang w:eastAsia="es-CO"/>
        </w:rPr>
        <w:footnoteReference w:id="13"/>
      </w:r>
    </w:p>
    <w:p w:rsidRPr="00CC07FD" w:rsidR="00E97186" w:rsidP="0072030E" w:rsidRDefault="00E97186" w14:paraId="1048952B" w14:textId="77777777">
      <w:pPr>
        <w:shd w:val="clear" w:color="auto" w:fill="FFFFFF"/>
        <w:spacing w:after="0" w:line="276" w:lineRule="auto"/>
        <w:ind w:firstLine="709"/>
        <w:contextualSpacing/>
        <w:jc w:val="both"/>
        <w:rPr>
          <w:rFonts w:ascii="Arial" w:hAnsi="Arial" w:eastAsia="Times New Roman" w:cs="Arial"/>
          <w:lang w:eastAsia="x-none"/>
        </w:rPr>
      </w:pPr>
    </w:p>
    <w:p w:rsidRPr="00CC07FD" w:rsidR="00E97186" w:rsidP="00EC5FB3" w:rsidRDefault="00E97186" w14:paraId="4B8F5ED3" w14:textId="77777777">
      <w:pPr>
        <w:spacing w:after="120" w:line="276" w:lineRule="auto"/>
        <w:ind w:firstLine="709"/>
        <w:jc w:val="both"/>
        <w:rPr>
          <w:rFonts w:ascii="Arial" w:hAnsi="Arial" w:eastAsia="Times New Roman" w:cs="Arial"/>
          <w:bCs/>
          <w:lang w:eastAsia="x-none"/>
        </w:rPr>
      </w:pPr>
      <w:bookmarkStart w:name="_Hlk94521748" w:id="31"/>
      <w:r w:rsidRPr="00CC07FD">
        <w:rPr>
          <w:rFonts w:ascii="Arial" w:hAnsi="Arial" w:eastAsia="Times New Roman" w:cs="Arial"/>
          <w:lang w:eastAsia="x-none"/>
        </w:rPr>
        <w:t xml:space="preserve">De conformidad con el citado concepto, </w:t>
      </w:r>
      <w:bookmarkStart w:name="_Hlk78818702" w:id="32"/>
      <w:r w:rsidRPr="00CC07FD">
        <w:rPr>
          <w:rFonts w:ascii="Arial" w:hAnsi="Arial" w:eastAsia="Times New Roman" w:cs="Arial"/>
          <w:lang w:eastAsia="x-none"/>
        </w:rPr>
        <w:t xml:space="preserve">la prohibición del artículo 33 de la Ley de Garantías Electorales se refiere a </w:t>
      </w:r>
      <w:bookmarkStart w:name="_Hlk74294635" w:id="33"/>
      <w:r w:rsidRPr="00CC07FD">
        <w:rPr>
          <w:rFonts w:ascii="Arial" w:hAnsi="Arial" w:eastAsia="Times New Roman" w:cs="Arial"/>
          <w:sz w:val="19"/>
          <w:szCs w:val="19"/>
          <w:lang w:eastAsia="en-GB"/>
        </w:rPr>
        <w:t>«</w:t>
      </w:r>
      <w:bookmarkEnd w:id="33"/>
      <w:r w:rsidRPr="00CC07FD">
        <w:rPr>
          <w:rFonts w:ascii="Arial" w:hAnsi="Arial" w:eastAsia="Times New Roman" w:cs="Arial"/>
          <w:lang w:eastAsia="x-none"/>
        </w:rPr>
        <w:t>cualquier sistema que no implique convocatoria pública y posibilidad de pluralidad de oferentes</w:t>
      </w:r>
      <w:bookmarkStart w:name="_Hlk74404754" w:id="34"/>
      <w:r w:rsidRPr="00CC07FD">
        <w:rPr>
          <w:rFonts w:ascii="Arial" w:hAnsi="Arial" w:eastAsia="Times New Roman" w:cs="Arial"/>
          <w:lang w:eastAsia="en-GB"/>
        </w:rPr>
        <w:t>»</w:t>
      </w:r>
      <w:bookmarkEnd w:id="34"/>
      <w:r w:rsidRPr="00CC07FD">
        <w:rPr>
          <w:rFonts w:ascii="Arial" w:hAnsi="Arial" w:eastAsia="Times New Roman"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Start w:name="_Hlk100050297" w:id="35"/>
      <w:bookmarkEnd w:id="31"/>
      <w:bookmarkEnd w:id="32"/>
      <w:r w:rsidRPr="00CC07FD">
        <w:rPr>
          <w:rFonts w:ascii="Arial" w:hAnsi="Arial" w:eastAsia="Times New Roman" w:cs="Arial"/>
          <w:lang w:eastAsia="x-none"/>
        </w:rPr>
        <w:t>Esta posición es congruente con la expedición de la Ley 1150 de 2007 que, entre otras reformas, introdujo la selección abreviada, rediseñó el concurso de méritos</w:t>
      </w:r>
      <w:r w:rsidRPr="00CC07FD">
        <w:rPr>
          <w:rFonts w:ascii="Arial" w:hAnsi="Arial" w:eastAsia="Times New Roman" w:cs="Arial"/>
          <w:vertAlign w:val="superscript"/>
          <w:lang w:val="en-GB" w:eastAsia="x-none"/>
        </w:rPr>
        <w:footnoteReference w:id="14"/>
      </w:r>
      <w:r w:rsidRPr="00CC07FD">
        <w:rPr>
          <w:rFonts w:ascii="Arial" w:hAnsi="Arial" w:eastAsia="Times New Roman" w:cs="Arial"/>
          <w:lang w:eastAsia="x-none"/>
        </w:rPr>
        <w:t xml:space="preserve"> y sistematizó las causales de contratación directa</w:t>
      </w:r>
      <w:bookmarkEnd w:id="35"/>
      <w:r w:rsidRPr="00CC07FD">
        <w:rPr>
          <w:rFonts w:ascii="Arial" w:hAnsi="Arial" w:eastAsia="Times New Roman" w:cs="Arial"/>
          <w:vertAlign w:val="superscript"/>
          <w:lang w:val="en-GB" w:eastAsia="x-none"/>
        </w:rPr>
        <w:footnoteReference w:id="15"/>
      </w:r>
      <w:r w:rsidRPr="00CC07FD">
        <w:rPr>
          <w:rFonts w:ascii="Arial" w:hAnsi="Arial" w:eastAsia="Times New Roman" w:cs="Arial"/>
          <w:lang w:eastAsia="x-none"/>
        </w:rPr>
        <w:t xml:space="preserve">. </w:t>
      </w:r>
    </w:p>
    <w:p w:rsidRPr="00CC07FD" w:rsidR="00E97186" w:rsidP="00EC5FB3" w:rsidRDefault="00E97186" w14:paraId="56359413" w14:textId="77777777">
      <w:pPr>
        <w:spacing w:after="120" w:line="276" w:lineRule="auto"/>
        <w:ind w:firstLine="709"/>
        <w:jc w:val="both"/>
        <w:rPr>
          <w:rFonts w:ascii="Arial" w:hAnsi="Arial" w:eastAsia="Times New Roman" w:cs="Arial"/>
          <w:lang w:val="es-MX" w:eastAsia="x-none"/>
        </w:rPr>
      </w:pPr>
      <w:r w:rsidRPr="00CC07FD">
        <w:rPr>
          <w:rFonts w:ascii="Arial" w:hAnsi="Arial" w:eastAsia="Times New Roman" w:cs="Arial"/>
          <w:lang w:eastAsia="x-none"/>
        </w:rPr>
        <w:t xml:space="preserve">De esta forma, se ha depurado la noción de </w:t>
      </w:r>
      <w:r w:rsidRPr="00CC07FD">
        <w:rPr>
          <w:rFonts w:ascii="Arial" w:hAnsi="Arial" w:eastAsia="Times New Roman" w:cs="Arial"/>
          <w:sz w:val="19"/>
          <w:szCs w:val="19"/>
          <w:lang w:eastAsia="en-GB"/>
        </w:rPr>
        <w:t>«</w:t>
      </w:r>
      <w:r w:rsidRPr="00CC07FD">
        <w:rPr>
          <w:rFonts w:ascii="Arial" w:hAnsi="Arial" w:eastAsia="Times New Roman" w:cs="Arial"/>
          <w:lang w:eastAsia="x-none"/>
        </w:rPr>
        <w:t>contratación directa</w:t>
      </w:r>
      <w:r w:rsidRPr="00CC07FD">
        <w:rPr>
          <w:rFonts w:ascii="Arial" w:hAnsi="Arial" w:eastAsia="Times New Roman" w:cs="Arial"/>
          <w:lang w:eastAsia="en-GB"/>
        </w:rPr>
        <w:t>»</w:t>
      </w:r>
      <w:r w:rsidRPr="00CC07FD">
        <w:rPr>
          <w:rFonts w:ascii="Arial" w:hAnsi="Arial" w:eastAsia="Times New Roman"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CC07FD">
        <w:rPr>
          <w:rFonts w:ascii="Arial" w:hAnsi="Arial" w:eastAsia="Times New Roman" w:cs="Arial"/>
          <w:vertAlign w:val="superscript"/>
          <w:lang w:val="en-GB" w:eastAsia="x-none"/>
        </w:rPr>
        <w:footnoteReference w:id="16"/>
      </w:r>
      <w:r w:rsidRPr="00CC07FD">
        <w:rPr>
          <w:rFonts w:ascii="Arial" w:hAnsi="Arial" w:eastAsia="Times New Roman" w:cs="Arial"/>
          <w:lang w:eastAsia="x-none"/>
        </w:rPr>
        <w:t>, han establecido sistemas de contratación que implican convocatoria pública y participación de varios oferentes</w:t>
      </w:r>
      <w:r w:rsidRPr="00CC07FD">
        <w:rPr>
          <w:rFonts w:ascii="Arial" w:hAnsi="Arial" w:eastAsia="Times New Roman" w:cs="Arial"/>
          <w:lang w:eastAsia="en-GB"/>
        </w:rPr>
        <w:t>»</w:t>
      </w:r>
      <w:r w:rsidRPr="00CC07FD">
        <w:rPr>
          <w:rFonts w:ascii="Arial" w:hAnsi="Arial" w:eastAsia="Times New Roman" w:cs="Arial"/>
          <w:lang w:eastAsia="x-none"/>
        </w:rPr>
        <w:t xml:space="preserve">. </w:t>
      </w:r>
    </w:p>
    <w:p w:rsidRPr="00CC07FD" w:rsidR="00E97186" w:rsidP="00EC5FB3" w:rsidRDefault="00E97186" w14:paraId="607E8B6B" w14:textId="77777777">
      <w:pPr>
        <w:spacing w:after="120" w:line="276" w:lineRule="auto"/>
        <w:ind w:firstLine="709"/>
        <w:jc w:val="both"/>
        <w:rPr>
          <w:rFonts w:ascii="Arial" w:hAnsi="Arial" w:eastAsia="Times New Roman" w:cs="Arial"/>
          <w:bCs/>
          <w:lang w:val="es-MX" w:eastAsia="es-CO"/>
        </w:rPr>
      </w:pPr>
      <w:r w:rsidRPr="00CC07FD">
        <w:rPr>
          <w:rFonts w:ascii="Arial" w:hAnsi="Arial" w:eastAsia="Times New Roman" w:cs="Arial"/>
          <w:bCs/>
          <w:lang w:val="es-MX" w:eastAsia="x-none"/>
        </w:rPr>
        <w:t>E</w:t>
      </w:r>
      <w:r w:rsidRPr="00CC07FD">
        <w:rPr>
          <w:rFonts w:ascii="Arial" w:hAnsi="Arial" w:eastAsia="Times New Roman" w:cs="Arial"/>
          <w:lang w:eastAsia="x-none"/>
        </w:rPr>
        <w:t xml:space="preserve">n efecto, vale la pena mencionar que, </w:t>
      </w:r>
      <w:bookmarkStart w:name="_Hlk75636073" w:id="37"/>
      <w:r w:rsidRPr="00CC07FD">
        <w:rPr>
          <w:rFonts w:ascii="Arial" w:hAnsi="Arial" w:eastAsia="Times New Roman"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7"/>
      <w:r w:rsidRPr="00CC07FD">
        <w:rPr>
          <w:rFonts w:ascii="Arial" w:hAnsi="Arial" w:eastAsia="Times New Roman" w:cs="Arial"/>
          <w:vertAlign w:val="superscript"/>
          <w:lang w:eastAsia="x-none"/>
        </w:rPr>
        <w:footnoteReference w:id="17"/>
      </w:r>
      <w:r w:rsidRPr="00CC07FD">
        <w:rPr>
          <w:rFonts w:ascii="Arial" w:hAnsi="Arial" w:eastAsia="Times New Roman" w:cs="Arial"/>
          <w:lang w:eastAsia="x-none"/>
        </w:rPr>
        <w:t xml:space="preserve">. </w:t>
      </w:r>
    </w:p>
    <w:p w:rsidRPr="00CC07FD" w:rsidR="00E97186" w:rsidP="00EC5FB3" w:rsidRDefault="00E97186" w14:paraId="71B78500" w14:textId="3B1A35B0">
      <w:pPr>
        <w:spacing w:after="120" w:line="276" w:lineRule="auto"/>
        <w:ind w:firstLine="709"/>
        <w:jc w:val="both"/>
        <w:rPr>
          <w:rFonts w:ascii="Arial" w:hAnsi="Arial" w:eastAsia="Times New Roman" w:cs="Arial"/>
          <w:bCs/>
          <w:lang w:val="es-MX" w:eastAsia="es-CO"/>
        </w:rPr>
      </w:pPr>
      <w:r w:rsidRPr="00CC07FD">
        <w:rPr>
          <w:rFonts w:ascii="Arial" w:hAnsi="Arial" w:eastAsia="Times New Roman" w:cs="Arial"/>
          <w:bCs/>
          <w:lang w:val="es-MX" w:eastAsia="es-CO"/>
        </w:rPr>
        <w:lastRenderedPageBreak/>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Pr="00CC07FD" w:rsidR="003F4EB9">
        <w:rPr>
          <w:rFonts w:ascii="Arial" w:hAnsi="Arial" w:eastAsia="Times New Roman" w:cs="Arial"/>
          <w:bCs/>
          <w:lang w:val="es-MX" w:eastAsia="es-CO"/>
        </w:rPr>
        <w:t xml:space="preserve">General </w:t>
      </w:r>
      <w:r w:rsidRPr="00CC07FD">
        <w:rPr>
          <w:rFonts w:ascii="Arial" w:hAnsi="Arial" w:eastAsia="Times New Roman" w:cs="Arial"/>
          <w:bCs/>
          <w:lang w:val="es-MX" w:eastAsia="es-CO"/>
        </w:rPr>
        <w:t>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rsidRPr="00CC07FD" w:rsidR="00E97186" w:rsidP="00EC5FB3" w:rsidRDefault="00E97186" w14:paraId="287637E1" w14:textId="77777777">
      <w:pPr>
        <w:spacing w:after="120" w:line="276" w:lineRule="auto"/>
        <w:ind w:firstLine="709"/>
        <w:jc w:val="both"/>
        <w:rPr>
          <w:rFonts w:ascii="Arial" w:hAnsi="Arial" w:eastAsia="Times New Roman" w:cs="Arial"/>
          <w:bCs/>
          <w:lang w:val="es-MX" w:eastAsia="x-none"/>
        </w:rPr>
      </w:pPr>
      <w:bookmarkStart w:name="_Hlk78818796" w:id="38"/>
      <w:r w:rsidRPr="00CC07FD">
        <w:rPr>
          <w:rFonts w:ascii="Arial" w:hAnsi="Arial" w:eastAsia="Times New Roman" w:cs="Arial"/>
          <w:bCs/>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C07FD">
        <w:rPr>
          <w:rFonts w:ascii="Arial" w:hAnsi="Arial" w:eastAsia="Times New Roman" w:cs="Arial"/>
          <w:vertAlign w:val="superscript"/>
          <w:lang w:eastAsia="x-none"/>
        </w:rPr>
        <w:footnoteReference w:id="18"/>
      </w:r>
      <w:r w:rsidRPr="00CC07FD">
        <w:rPr>
          <w:rFonts w:ascii="Arial" w:hAnsi="Arial" w:eastAsia="Times New Roman" w:cs="Arial"/>
          <w:bCs/>
          <w:lang w:val="es-MX" w:eastAsia="x-none"/>
        </w:rPr>
        <w:t>.</w:t>
      </w:r>
      <w:r w:rsidRPr="00CC07FD">
        <w:rPr>
          <w:rFonts w:ascii="Arial" w:hAnsi="Arial" w:eastAsia="Times New Roman" w:cs="Arial"/>
          <w:vertAlign w:val="superscript"/>
          <w:lang w:eastAsia="x-none"/>
        </w:rPr>
        <w:t xml:space="preserve"> </w:t>
      </w:r>
    </w:p>
    <w:p w:rsidRPr="00CC07FD" w:rsidR="00E97186" w:rsidP="00EC5FB3" w:rsidRDefault="00E97186" w14:paraId="5A4A7559" w14:textId="77777777">
      <w:pPr>
        <w:spacing w:after="120" w:line="276" w:lineRule="auto"/>
        <w:ind w:firstLine="709"/>
        <w:jc w:val="both"/>
        <w:rPr>
          <w:rFonts w:ascii="Arial" w:hAnsi="Arial" w:eastAsia="Times New Roman" w:cs="Arial"/>
          <w:lang w:eastAsia="x-none"/>
        </w:rPr>
      </w:pPr>
      <w:bookmarkStart w:name="_Hlk100050372" w:id="39"/>
      <w:bookmarkEnd w:id="38"/>
      <w:r w:rsidRPr="00CC07FD">
        <w:rPr>
          <w:rFonts w:ascii="Arial" w:hAnsi="Arial" w:eastAsia="Times New Roman"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CC07FD">
        <w:rPr>
          <w:rFonts w:ascii="Arial" w:hAnsi="Arial" w:eastAsia="Times New Roman"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rsidRPr="00CC07FD" w:rsidR="00E97186" w:rsidP="00EC5FB3" w:rsidRDefault="00E97186" w14:paraId="7584C387" w14:textId="63958B59">
      <w:pPr>
        <w:spacing w:after="120" w:line="276" w:lineRule="auto"/>
        <w:ind w:firstLine="709"/>
        <w:jc w:val="both"/>
        <w:rPr>
          <w:rFonts w:ascii="Arial" w:hAnsi="Arial" w:eastAsia="Times New Roman" w:cs="Arial"/>
          <w:bCs/>
          <w:lang w:val="es-MX" w:eastAsia="es-CO"/>
        </w:rPr>
      </w:pPr>
      <w:bookmarkStart w:name="_Hlk77237094" w:id="40"/>
      <w:bookmarkEnd w:id="39"/>
      <w:r w:rsidRPr="00CC07FD">
        <w:rPr>
          <w:rFonts w:ascii="Arial" w:hAnsi="Arial" w:eastAsia="Times New Roman"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40"/>
    </w:p>
    <w:p w:rsidRPr="00CC07FD" w:rsidR="00E97186" w:rsidP="00EC5FB3" w:rsidRDefault="00E97186" w14:paraId="014DF6FA" w14:textId="04931A94">
      <w:pPr>
        <w:spacing w:after="120" w:line="276" w:lineRule="auto"/>
        <w:ind w:firstLine="709"/>
        <w:jc w:val="both"/>
        <w:rPr>
          <w:rFonts w:ascii="Arial" w:hAnsi="Arial" w:eastAsia="Times New Roman" w:cs="Arial"/>
          <w:bCs/>
          <w:lang w:val="es-MX" w:eastAsia="es-CO"/>
        </w:rPr>
      </w:pPr>
      <w:r w:rsidRPr="00CC07FD">
        <w:rPr>
          <w:rFonts w:ascii="Arial" w:hAnsi="Arial" w:eastAsia="Times New Roman" w:cs="Arial"/>
          <w:bCs/>
          <w:lang w:val="es-MX" w:eastAsia="x-none"/>
        </w:rPr>
        <w:t xml:space="preserve">De otro lado, </w:t>
      </w:r>
      <w:bookmarkStart w:name="_Hlk100050409" w:id="41"/>
      <w:r w:rsidRPr="00CC07FD">
        <w:rPr>
          <w:rFonts w:ascii="Arial" w:hAnsi="Arial" w:eastAsia="Times New Roman" w:cs="Arial"/>
          <w:bCs/>
          <w:lang w:val="es-MX" w:eastAsia="x-none"/>
        </w:rPr>
        <w:t>las excepciones a la restricción prevista en la Ley de Garantías</w:t>
      </w:r>
      <w:r w:rsidRPr="00CC07FD" w:rsidR="005852A2">
        <w:rPr>
          <w:rFonts w:ascii="Arial" w:hAnsi="Arial" w:eastAsia="Times New Roman" w:cs="Arial"/>
          <w:bCs/>
          <w:lang w:val="es-MX" w:eastAsia="x-none"/>
        </w:rPr>
        <w:t xml:space="preserve"> Electorales</w:t>
      </w:r>
      <w:r w:rsidRPr="00CC07FD">
        <w:rPr>
          <w:rFonts w:ascii="Arial" w:hAnsi="Arial" w:eastAsia="Times New Roman" w:cs="Arial"/>
          <w:bCs/>
          <w:lang w:val="es-MX" w:eastAsia="x-none"/>
        </w:rPr>
        <w:t>,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sidRPr="00CC07FD" w:rsidR="005852A2">
        <w:rPr>
          <w:rFonts w:ascii="Arial" w:hAnsi="Arial" w:eastAsia="Times New Roman" w:cs="Arial"/>
          <w:bCs/>
          <w:lang w:val="es-MX" w:eastAsia="x-none"/>
        </w:rPr>
        <w:t>:</w:t>
      </w:r>
      <w:r w:rsidRPr="00CC07FD">
        <w:rPr>
          <w:rFonts w:ascii="Arial" w:hAnsi="Arial" w:eastAsia="Times New Roman" w:cs="Arial"/>
          <w:bCs/>
          <w:lang w:val="es-MX" w:eastAsia="x-none"/>
        </w:rPr>
        <w:t xml:space="preserve"> i) la defensa y seguridad del Estado; </w:t>
      </w:r>
      <w:proofErr w:type="spellStart"/>
      <w:r w:rsidRPr="00CC07FD">
        <w:rPr>
          <w:rFonts w:ascii="Arial" w:hAnsi="Arial" w:eastAsia="Times New Roman" w:cs="Arial"/>
          <w:bCs/>
          <w:lang w:val="es-MX" w:eastAsia="x-none"/>
        </w:rPr>
        <w:t>ii</w:t>
      </w:r>
      <w:proofErr w:type="spellEnd"/>
      <w:r w:rsidRPr="00CC07FD">
        <w:rPr>
          <w:rFonts w:ascii="Arial" w:hAnsi="Arial" w:eastAsia="Times New Roman" w:cs="Arial"/>
          <w:bCs/>
          <w:lang w:val="es-MX" w:eastAsia="x-none"/>
        </w:rPr>
        <w:t xml:space="preserve">) los contratos de crédito público; </w:t>
      </w:r>
      <w:proofErr w:type="spellStart"/>
      <w:r w:rsidRPr="00CC07FD">
        <w:rPr>
          <w:rFonts w:ascii="Arial" w:hAnsi="Arial" w:eastAsia="Times New Roman" w:cs="Arial"/>
          <w:bCs/>
          <w:lang w:val="es-MX" w:eastAsia="x-none"/>
        </w:rPr>
        <w:t>iii</w:t>
      </w:r>
      <w:proofErr w:type="spellEnd"/>
      <w:r w:rsidRPr="00CC07FD">
        <w:rPr>
          <w:rFonts w:ascii="Arial" w:hAnsi="Arial" w:eastAsia="Times New Roman" w:cs="Arial"/>
          <w:bCs/>
          <w:lang w:val="es-MX" w:eastAsia="x-none"/>
        </w:rPr>
        <w:t xml:space="preserve">) los requeridos para cubrir las </w:t>
      </w:r>
      <w:r w:rsidRPr="00CC07FD">
        <w:rPr>
          <w:rFonts w:ascii="Arial" w:hAnsi="Arial" w:eastAsia="Times New Roman" w:cs="Arial"/>
          <w:bCs/>
          <w:lang w:val="es-MX" w:eastAsia="x-none"/>
        </w:rPr>
        <w:lastRenderedPageBreak/>
        <w:t xml:space="preserve">emergencias educativas, sanitarias y desastres; </w:t>
      </w:r>
      <w:proofErr w:type="spellStart"/>
      <w:r w:rsidRPr="00CC07FD">
        <w:rPr>
          <w:rFonts w:ascii="Arial" w:hAnsi="Arial" w:eastAsia="Times New Roman" w:cs="Arial"/>
          <w:bCs/>
          <w:lang w:val="es-MX" w:eastAsia="x-none"/>
        </w:rPr>
        <w:t>iv</w:t>
      </w:r>
      <w:proofErr w:type="spellEnd"/>
      <w:r w:rsidRPr="00CC07FD">
        <w:rPr>
          <w:rFonts w:ascii="Arial" w:hAnsi="Arial" w:eastAsia="Times New Roman"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w:t>
      </w:r>
      <w:r w:rsidRPr="00CC07FD" w:rsidR="00075DE6">
        <w:rPr>
          <w:rFonts w:ascii="Arial" w:hAnsi="Arial" w:eastAsia="Times New Roman" w:cs="Arial"/>
          <w:bCs/>
          <w:lang w:val="es-MX" w:eastAsia="x-none"/>
        </w:rPr>
        <w:t xml:space="preserve"> </w:t>
      </w:r>
      <w:r w:rsidRPr="00CC07FD">
        <w:rPr>
          <w:rFonts w:ascii="Arial" w:hAnsi="Arial" w:eastAsia="Times New Roman" w:cs="Arial"/>
          <w:bCs/>
          <w:lang w:val="es-MX" w:eastAsia="x-none"/>
        </w:rPr>
        <w:t>v) los que deban realizar las entidades sanitarias y hospitalarias.</w:t>
      </w:r>
      <w:r w:rsidRPr="00CC07FD">
        <w:rPr>
          <w:rFonts w:ascii="Arial" w:hAnsi="Arial" w:eastAsia="Times New Roman" w:cs="Arial"/>
          <w:bCs/>
          <w:lang w:val="es-MX" w:eastAsia="es-CO"/>
        </w:rPr>
        <w:t xml:space="preserve"> </w:t>
      </w:r>
      <w:r w:rsidRPr="00CC07FD" w:rsidR="00F91DAD">
        <w:rPr>
          <w:rFonts w:ascii="Arial" w:hAnsi="Arial" w:eastAsia="Times New Roman" w:cs="Arial"/>
          <w:bCs/>
          <w:lang w:val="es-MX" w:eastAsia="es-CO"/>
        </w:rPr>
        <w:t>La misma disposición señala que e</w:t>
      </w:r>
      <w:r w:rsidRPr="00CC07FD">
        <w:rPr>
          <w:rFonts w:ascii="Arial" w:hAnsi="Arial" w:eastAsia="Times New Roman" w:cs="Arial"/>
          <w:bCs/>
          <w:lang w:val="es-MX" w:eastAsia="es-CO"/>
        </w:rPr>
        <w:t>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bookmarkEnd w:id="41"/>
    <w:p w:rsidRPr="00CC07FD" w:rsidR="00B61815" w:rsidP="00EC5FB3" w:rsidRDefault="00E97186" w14:paraId="0C3E45CC" w14:textId="77777777">
      <w:pPr>
        <w:spacing w:after="0" w:line="276" w:lineRule="auto"/>
        <w:ind w:firstLine="709"/>
        <w:contextualSpacing/>
        <w:jc w:val="both"/>
        <w:rPr>
          <w:rFonts w:ascii="Arial" w:hAnsi="Arial" w:eastAsia="Times New Roman" w:cs="Arial"/>
          <w:lang w:val="es-MX" w:eastAsia="es-CO"/>
        </w:rPr>
      </w:pPr>
      <w:r w:rsidRPr="00CC07FD">
        <w:rPr>
          <w:rFonts w:ascii="Arial" w:hAnsi="Arial" w:eastAsia="Times New Roman" w:cs="Arial"/>
          <w:bCs/>
          <w:lang w:val="es-MX" w:eastAsia="x-none"/>
        </w:rPr>
        <w:t>En esta labor es importante tener en cuenta, como lo anotó la Corte Constitucional, en Sentencia C-1153 de noviembre 11 de 2005</w:t>
      </w:r>
      <w:r w:rsidRPr="00CC07FD" w:rsidR="0001754D">
        <w:rPr>
          <w:rFonts w:ascii="Arial" w:hAnsi="Arial" w:eastAsia="Times New Roman" w:cs="Arial"/>
          <w:bCs/>
          <w:lang w:val="es-MX" w:eastAsia="x-none"/>
        </w:rPr>
        <w:t>,</w:t>
      </w:r>
      <w:r w:rsidRPr="00CC07FD">
        <w:rPr>
          <w:rFonts w:ascii="Arial" w:hAnsi="Arial" w:eastAsia="Times New Roman" w:cs="Arial"/>
          <w:bCs/>
          <w:lang w:val="es-MX" w:eastAsia="x-none"/>
        </w:rPr>
        <w:t xml:space="preserve"> </w:t>
      </w:r>
      <w:bookmarkStart w:name="_Hlk74309042" w:id="42"/>
      <w:r w:rsidRPr="00CC07FD">
        <w:rPr>
          <w:rFonts w:ascii="Arial" w:hAnsi="Arial" w:eastAsia="Times New Roman" w:cs="Arial"/>
          <w:bCs/>
          <w:lang w:val="es-MX" w:eastAsia="x-none"/>
        </w:rPr>
        <w:t>que «</w:t>
      </w:r>
      <w:bookmarkEnd w:id="42"/>
      <w:r w:rsidRPr="00CC07FD">
        <w:rPr>
          <w:rFonts w:ascii="Arial" w:hAnsi="Arial" w:eastAsia="Times New Roman" w:cs="Arial"/>
          <w:bCs/>
          <w:lang w:val="es-MX" w:eastAsia="x-none"/>
        </w:rPr>
        <w:t xml:space="preserve">si bien la limitación garantiza la igualdad de condiciones, también es necesario que tal limitación que pretende la igualdad </w:t>
      </w:r>
      <w:bookmarkStart w:name="_Hlk75768308" w:id="43"/>
      <w:r w:rsidRPr="00CC07FD">
        <w:rPr>
          <w:rFonts w:ascii="Arial" w:hAnsi="Arial" w:eastAsia="Times New Roman" w:cs="Arial"/>
          <w:bCs/>
          <w:lang w:val="es-MX" w:eastAsia="x-none"/>
        </w:rPr>
        <w:t>no termine yendo en detrimento de intereses públicos, cuya garantía está en cabeza del ejecutivo, como son los inmersos en las excepciones para la prohibición de contratación</w:t>
      </w:r>
      <w:bookmarkStart w:name="_Hlk74309060" w:id="44"/>
      <w:r w:rsidRPr="00CC07FD">
        <w:rPr>
          <w:rFonts w:ascii="Arial" w:hAnsi="Arial" w:eastAsia="Times New Roman" w:cs="Arial"/>
          <w:bCs/>
          <w:lang w:val="es-MX" w:eastAsia="x-none"/>
        </w:rPr>
        <w:t>»</w:t>
      </w:r>
      <w:bookmarkEnd w:id="44"/>
      <w:r w:rsidRPr="00CC07FD">
        <w:rPr>
          <w:rFonts w:ascii="Arial" w:hAnsi="Arial" w:eastAsia="Calibri" w:cs="Arial"/>
          <w:vertAlign w:val="superscript"/>
          <w:lang w:val="es-MX"/>
        </w:rPr>
        <w:footnoteReference w:id="19"/>
      </w:r>
      <w:r w:rsidRPr="00CC07FD">
        <w:rPr>
          <w:rFonts w:ascii="Arial" w:hAnsi="Arial" w:eastAsia="Times New Roman"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name="_Hlk75783800" w:id="45"/>
      <w:bookmarkEnd w:id="43"/>
      <w:r w:rsidRPr="00CC07FD" w:rsidR="00B61815">
        <w:rPr>
          <w:rFonts w:ascii="Arial" w:hAnsi="Arial" w:eastAsia="Times New Roman" w:cs="Arial"/>
          <w:lang w:val="es-MX" w:eastAsia="es-CO"/>
        </w:rPr>
        <w:t xml:space="preserve"> </w:t>
      </w:r>
    </w:p>
    <w:p w:rsidRPr="00CC07FD" w:rsidR="00E97186" w:rsidP="00EC5FB3" w:rsidRDefault="00E97186" w14:paraId="0B7EB303" w14:textId="77777777">
      <w:pPr>
        <w:spacing w:after="0" w:line="276" w:lineRule="auto"/>
        <w:contextualSpacing/>
        <w:jc w:val="both"/>
        <w:rPr>
          <w:rFonts w:ascii="Arial" w:hAnsi="Arial" w:eastAsia="Times New Roman" w:cs="Arial"/>
          <w:bCs/>
          <w:lang w:val="es-MX" w:eastAsia="x-none"/>
        </w:rPr>
      </w:pPr>
    </w:p>
    <w:p w:rsidRPr="00CC07FD" w:rsidR="00E97186" w:rsidP="00EC5FB3" w:rsidRDefault="00E97186" w14:paraId="16A63A6B" w14:textId="77777777">
      <w:pPr>
        <w:spacing w:after="0" w:line="276" w:lineRule="auto"/>
        <w:contextualSpacing/>
        <w:jc w:val="both"/>
        <w:rPr>
          <w:rFonts w:ascii="Arial" w:hAnsi="Arial" w:eastAsia="Times New Roman" w:cs="Arial"/>
          <w:b/>
          <w:lang w:val="es-MX" w:eastAsia="x-none"/>
        </w:rPr>
      </w:pPr>
      <w:r w:rsidRPr="00CC07FD">
        <w:rPr>
          <w:rFonts w:ascii="Arial" w:hAnsi="Arial" w:eastAsia="Times New Roman" w:cs="Arial"/>
          <w:b/>
          <w:lang w:val="es-MX" w:eastAsia="x-none"/>
        </w:rPr>
        <w:t>2.3.  Destinatarios de la restricción del artículo 33 de la Ley 996 de 2005</w:t>
      </w:r>
    </w:p>
    <w:p w:rsidRPr="00CC07FD" w:rsidR="00E97186" w:rsidP="00EC5FB3" w:rsidRDefault="00E97186" w14:paraId="021BDF2C" w14:textId="77777777">
      <w:pPr>
        <w:spacing w:after="0" w:line="276" w:lineRule="auto"/>
        <w:contextualSpacing/>
        <w:jc w:val="both"/>
        <w:rPr>
          <w:rFonts w:ascii="Arial" w:hAnsi="Arial" w:eastAsia="Times New Roman" w:cs="Arial"/>
          <w:bCs/>
          <w:lang w:val="es-MX" w:eastAsia="x-none"/>
        </w:rPr>
      </w:pPr>
    </w:p>
    <w:p w:rsidRPr="00CC07FD" w:rsidR="00E97186" w:rsidP="00E97186" w:rsidRDefault="00E97186" w14:paraId="024D50F9" w14:textId="77777777">
      <w:pPr>
        <w:spacing w:after="0" w:line="276" w:lineRule="auto"/>
        <w:contextualSpacing/>
        <w:jc w:val="both"/>
        <w:rPr>
          <w:rFonts w:ascii="Arial" w:hAnsi="Arial" w:eastAsia="Times New Roman" w:cs="Arial"/>
          <w:bCs/>
          <w:lang w:val="es-MX" w:eastAsia="x-none"/>
        </w:rPr>
      </w:pPr>
      <w:bookmarkStart w:name="_Hlk100050454" w:id="46"/>
      <w:r w:rsidRPr="00CC07FD">
        <w:rPr>
          <w:rFonts w:ascii="Arial" w:hAnsi="Arial" w:eastAsia="Times New Roman"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C07FD">
        <w:rPr>
          <w:rFonts w:ascii="Calibri" w:hAnsi="Calibri" w:eastAsia="Calibri" w:cs="Times New Roman"/>
          <w:sz w:val="24"/>
          <w:lang w:val="es-MX"/>
        </w:rPr>
        <w:t xml:space="preserve"> </w:t>
      </w:r>
      <w:r w:rsidRPr="00CC07FD">
        <w:rPr>
          <w:rFonts w:ascii="Arial" w:hAnsi="Arial" w:eastAsia="Times New Roman" w:cs="Arial"/>
          <w:bCs/>
          <w:lang w:val="es-MX" w:eastAsia="x-none"/>
        </w:rPr>
        <w:t xml:space="preserve">En efecto, tal como lo ha sostenido el Consejo de Estado, el vocablo </w:t>
      </w:r>
      <w:bookmarkStart w:name="_Hlk75632581" w:id="47"/>
      <w:r w:rsidRPr="00CC07FD">
        <w:rPr>
          <w:rFonts w:ascii="Arial" w:hAnsi="Arial" w:eastAsia="Times New Roman" w:cs="Arial"/>
          <w:bCs/>
          <w:lang w:val="es-MX" w:eastAsia="x-none"/>
        </w:rPr>
        <w:t>«</w:t>
      </w:r>
      <w:bookmarkEnd w:id="47"/>
      <w:r w:rsidRPr="00CC07FD">
        <w:rPr>
          <w:rFonts w:ascii="Arial" w:hAnsi="Arial" w:eastAsia="Times New Roman" w:cs="Arial"/>
          <w:bCs/>
          <w:lang w:val="es-MX" w:eastAsia="x-none"/>
        </w:rPr>
        <w:t>todos» utilizado por el legislador comprende</w:t>
      </w:r>
      <w:r w:rsidRPr="00CC07FD">
        <w:rPr>
          <w:rFonts w:ascii="Calibri" w:hAnsi="Calibri" w:eastAsia="Calibri" w:cs="Times New Roman"/>
          <w:sz w:val="24"/>
          <w:lang w:val="es-MX"/>
        </w:rPr>
        <w:t xml:space="preserve"> </w:t>
      </w:r>
      <w:r w:rsidRPr="00CC07FD">
        <w:rPr>
          <w:rFonts w:ascii="Arial" w:hAnsi="Arial" w:eastAsia="Times New Roman" w:cs="Arial"/>
          <w:bCs/>
          <w:lang w:val="es-MX" w:eastAsia="x-none"/>
        </w:rPr>
        <w:t>a la totalidad de los entes del Estado, sin distinción del régimen jurídico, forma de organización o naturaleza, su pertenencia a una u otra rama del poder público o su autonomía</w:t>
      </w:r>
      <w:bookmarkEnd w:id="45"/>
      <w:r w:rsidRPr="00CC07FD">
        <w:rPr>
          <w:rFonts w:ascii="Arial" w:hAnsi="Arial" w:eastAsia="Times New Roman"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46"/>
      <w:r w:rsidRPr="00CC07FD">
        <w:rPr>
          <w:rFonts w:ascii="Arial" w:hAnsi="Arial" w:eastAsia="Times New Roman" w:cs="Arial"/>
          <w:bCs/>
          <w:lang w:val="es-MX" w:eastAsia="x-none"/>
        </w:rPr>
        <w:t xml:space="preserve">El Consejo de Estado, en Concepto con radicado 1727 de fecha 20 de febrero de 2006, consideró que: </w:t>
      </w:r>
    </w:p>
    <w:p w:rsidRPr="00CC07FD" w:rsidR="00E97186" w:rsidP="00E97186" w:rsidRDefault="00E97186" w14:paraId="6B282235" w14:textId="77777777">
      <w:pPr>
        <w:spacing w:after="0" w:line="276" w:lineRule="auto"/>
        <w:ind w:firstLine="708"/>
        <w:contextualSpacing/>
        <w:jc w:val="both"/>
        <w:rPr>
          <w:rFonts w:ascii="Arial" w:hAnsi="Arial" w:eastAsia="Times New Roman" w:cs="Arial"/>
          <w:bCs/>
          <w:lang w:val="es-MX" w:eastAsia="x-none"/>
        </w:rPr>
      </w:pPr>
    </w:p>
    <w:p w:rsidRPr="00CC07FD" w:rsidR="00E97186" w:rsidP="00E97186" w:rsidRDefault="00E97186" w14:paraId="7DB537DB" w14:textId="77777777">
      <w:pPr>
        <w:spacing w:after="0" w:line="240" w:lineRule="auto"/>
        <w:ind w:left="708" w:right="709"/>
        <w:contextualSpacing/>
        <w:jc w:val="both"/>
        <w:rPr>
          <w:rFonts w:ascii="Arial" w:hAnsi="Arial" w:eastAsia="Times New Roman" w:cs="Arial"/>
          <w:bCs/>
          <w:sz w:val="21"/>
          <w:szCs w:val="21"/>
          <w:lang w:val="es-MX" w:eastAsia="es-CO"/>
        </w:rPr>
      </w:pPr>
      <w:r w:rsidRPr="00CC07FD">
        <w:rPr>
          <w:rFonts w:ascii="Arial" w:hAnsi="Arial" w:eastAsia="Times New Roman" w:cs="Arial"/>
          <w:bCs/>
          <w:sz w:val="21"/>
          <w:szCs w:val="21"/>
          <w:lang w:val="es-MX" w:eastAsia="x-none"/>
        </w:rPr>
        <w:t xml:space="preserve">El artículo 33 de la ley 996 de 2005, </w:t>
      </w:r>
      <w:bookmarkStart w:name="_Hlk75787147" w:id="48"/>
      <w:r w:rsidRPr="00CC07FD">
        <w:rPr>
          <w:rFonts w:ascii="Arial" w:hAnsi="Arial" w:eastAsia="Times New Roman" w:cs="Arial"/>
          <w:bCs/>
          <w:sz w:val="21"/>
          <w:szCs w:val="21"/>
          <w:lang w:val="es-MX" w:eastAsia="x-none"/>
        </w:rPr>
        <w:t xml:space="preserve">efectivamente se aplica </w:t>
      </w:r>
      <w:bookmarkStart w:name="_Hlk76074089" w:id="49"/>
      <w:r w:rsidRPr="00CC07FD">
        <w:rPr>
          <w:rFonts w:ascii="Arial" w:hAnsi="Arial" w:eastAsia="Times New Roman"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49"/>
      <w:r w:rsidRPr="00CC07FD">
        <w:rPr>
          <w:rFonts w:ascii="Arial" w:hAnsi="Arial" w:eastAsia="Times New Roman"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CC07FD">
        <w:rPr>
          <w:rFonts w:ascii="Arial" w:hAnsi="Arial" w:eastAsia="Times New Roman" w:cs="Arial"/>
          <w:bCs/>
          <w:sz w:val="21"/>
          <w:szCs w:val="21"/>
          <w:vertAlign w:val="superscript"/>
          <w:lang w:val="es-MX" w:eastAsia="x-none"/>
        </w:rPr>
        <w:footnoteReference w:id="20"/>
      </w:r>
      <w:r w:rsidRPr="00CC07FD">
        <w:rPr>
          <w:rFonts w:ascii="Arial" w:hAnsi="Arial" w:eastAsia="Times New Roman" w:cs="Arial"/>
          <w:bCs/>
          <w:sz w:val="21"/>
          <w:szCs w:val="21"/>
          <w:lang w:val="es-MX" w:eastAsia="x-none"/>
        </w:rPr>
        <w:t>.</w:t>
      </w:r>
      <w:r w:rsidRPr="00CC07FD">
        <w:rPr>
          <w:rFonts w:ascii="Arial" w:hAnsi="Arial" w:eastAsia="Times New Roman" w:cs="Arial"/>
          <w:bCs/>
          <w:sz w:val="21"/>
          <w:szCs w:val="21"/>
          <w:lang w:val="es-MX" w:eastAsia="es-CO"/>
        </w:rPr>
        <w:t xml:space="preserve"> </w:t>
      </w:r>
    </w:p>
    <w:p w:rsidRPr="00CC07FD" w:rsidR="00E97186" w:rsidP="00E97186" w:rsidRDefault="00E97186" w14:paraId="2C2CBD07" w14:textId="77777777">
      <w:pPr>
        <w:spacing w:after="0" w:line="276" w:lineRule="auto"/>
        <w:ind w:firstLine="708"/>
        <w:contextualSpacing/>
        <w:jc w:val="both"/>
        <w:rPr>
          <w:rFonts w:ascii="Arial" w:hAnsi="Arial" w:eastAsia="Times New Roman" w:cs="Arial"/>
          <w:bCs/>
          <w:lang w:val="es-MX" w:eastAsia="es-CO"/>
        </w:rPr>
      </w:pPr>
    </w:p>
    <w:p w:rsidRPr="00CC07FD" w:rsidR="00E97186" w:rsidP="0072030E" w:rsidRDefault="00E97186" w14:paraId="4B5C81BF" w14:textId="77777777">
      <w:pPr>
        <w:spacing w:after="0" w:line="276" w:lineRule="auto"/>
        <w:ind w:firstLine="708"/>
        <w:contextualSpacing/>
        <w:jc w:val="both"/>
        <w:rPr>
          <w:rFonts w:ascii="Arial" w:hAnsi="Arial" w:eastAsia="Calibri" w:cs="Arial"/>
          <w:lang w:val="es-MX"/>
        </w:rPr>
      </w:pPr>
      <w:r w:rsidRPr="00CC07FD">
        <w:rPr>
          <w:rFonts w:ascii="Arial" w:hAnsi="Arial" w:eastAsia="Times New Roman" w:cs="Arial"/>
          <w:bCs/>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name="_Hlk75635823" w:id="50"/>
      <w:r w:rsidRPr="00CC07FD">
        <w:rPr>
          <w:rFonts w:ascii="Arial" w:hAnsi="Arial" w:eastAsia="Times New Roman" w:cs="Arial"/>
          <w:bCs/>
          <w:lang w:val="es-MX" w:eastAsia="x-none"/>
        </w:rPr>
        <w:t>»</w:t>
      </w:r>
      <w:bookmarkStart w:name="_Hlk75758868" w:id="51"/>
      <w:bookmarkStart w:name="_Hlk75741220" w:id="52"/>
      <w:bookmarkEnd w:id="50"/>
      <w:r w:rsidRPr="00CC07FD">
        <w:rPr>
          <w:rFonts w:ascii="Arial" w:hAnsi="Arial" w:eastAsia="Calibri" w:cs="Arial"/>
          <w:sz w:val="24"/>
          <w:vertAlign w:val="superscript"/>
          <w:lang w:val="es-MX"/>
        </w:rPr>
        <w:footnoteReference w:id="21"/>
      </w:r>
      <w:bookmarkEnd w:id="51"/>
      <w:bookmarkEnd w:id="52"/>
      <w:r w:rsidRPr="00CC07FD">
        <w:rPr>
          <w:rFonts w:ascii="Arial" w:hAnsi="Arial" w:eastAsia="Times New Roman" w:cs="Arial"/>
          <w:bCs/>
          <w:lang w:val="es-MX" w:eastAsia="x-none"/>
        </w:rPr>
        <w:t>.</w:t>
      </w:r>
      <w:r w:rsidRPr="00CC07FD">
        <w:rPr>
          <w:rFonts w:ascii="Arial" w:hAnsi="Arial" w:eastAsia="Calibri" w:cs="Arial"/>
          <w:lang w:val="es-MX"/>
        </w:rPr>
        <w:t xml:space="preserve"> Sin embargo, debe precisarse el siguiente aspecto que distinguió la Sala de Consulta y Servicio Civil:</w:t>
      </w:r>
    </w:p>
    <w:p w:rsidRPr="00CC07FD" w:rsidR="00E97186" w:rsidP="0072030E" w:rsidRDefault="00E97186" w14:paraId="36EA4BD0" w14:textId="77777777">
      <w:pPr>
        <w:spacing w:after="0" w:line="276" w:lineRule="auto"/>
        <w:contextualSpacing/>
        <w:jc w:val="both"/>
        <w:rPr>
          <w:rFonts w:ascii="Arial" w:hAnsi="Arial" w:eastAsia="Calibri" w:cs="Arial"/>
          <w:lang w:val="es-MX"/>
        </w:rPr>
      </w:pPr>
    </w:p>
    <w:p w:rsidRPr="00CC07FD" w:rsidR="00E97186" w:rsidP="0072030E" w:rsidRDefault="00E97186" w14:paraId="556B32B8" w14:textId="77777777">
      <w:pPr>
        <w:spacing w:after="0" w:line="240" w:lineRule="auto"/>
        <w:ind w:left="708" w:right="709"/>
        <w:contextualSpacing/>
        <w:jc w:val="both"/>
        <w:rPr>
          <w:rFonts w:ascii="Arial" w:hAnsi="Arial" w:eastAsia="Calibri" w:cs="Arial"/>
          <w:sz w:val="21"/>
          <w:szCs w:val="21"/>
          <w:lang w:val="es-MX"/>
        </w:rPr>
      </w:pPr>
      <w:bookmarkStart w:name="_Hlk75811446" w:id="54"/>
      <w:r w:rsidRPr="00CC07FD">
        <w:rPr>
          <w:rFonts w:ascii="Arial" w:hAnsi="Arial" w:eastAsia="Calibri" w:cs="Arial"/>
          <w:sz w:val="21"/>
          <w:szCs w:val="21"/>
          <w:lang w:val="es-MX"/>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w:t>
      </w:r>
      <w:r w:rsidRPr="00CC07FD">
        <w:rPr>
          <w:rFonts w:ascii="Arial" w:hAnsi="Arial" w:eastAsia="Calibri" w:cs="Arial"/>
          <w:sz w:val="21"/>
          <w:szCs w:val="21"/>
          <w:lang w:val="es-MX"/>
        </w:rPr>
        <w:lastRenderedPageBreak/>
        <w:t>administración, que incluso podría desconocer los derechos fundamentales</w:t>
      </w:r>
      <w:bookmarkEnd w:id="54"/>
      <w:r w:rsidRPr="00CC07FD">
        <w:rPr>
          <w:rFonts w:ascii="Arial" w:hAnsi="Arial" w:eastAsia="Calibri" w:cs="Arial"/>
          <w:sz w:val="24"/>
          <w:vertAlign w:val="superscript"/>
          <w:lang w:val="es-MX"/>
        </w:rPr>
        <w:footnoteReference w:id="22"/>
      </w:r>
      <w:r w:rsidRPr="00CC07FD">
        <w:rPr>
          <w:rFonts w:ascii="Arial" w:hAnsi="Arial" w:eastAsia="Times New Roman" w:cs="Arial"/>
          <w:bCs/>
          <w:lang w:val="es-MX" w:eastAsia="x-none"/>
        </w:rPr>
        <w:t>.</w:t>
      </w:r>
    </w:p>
    <w:p w:rsidRPr="00CC07FD" w:rsidR="00E97186" w:rsidP="0072030E" w:rsidRDefault="00E97186" w14:paraId="0C85939D" w14:textId="77777777">
      <w:pPr>
        <w:spacing w:after="0" w:line="276" w:lineRule="auto"/>
        <w:contextualSpacing/>
        <w:jc w:val="both"/>
        <w:rPr>
          <w:rFonts w:ascii="Arial" w:hAnsi="Arial" w:eastAsia="Calibri" w:cs="Arial"/>
          <w:lang w:val="es-MX"/>
        </w:rPr>
      </w:pPr>
    </w:p>
    <w:p w:rsidRPr="00CC07FD" w:rsidR="00E97186" w:rsidP="00EC5FB3" w:rsidRDefault="00E97186" w14:paraId="7B7CAE8C" w14:textId="77777777">
      <w:pPr>
        <w:spacing w:after="120" w:line="276" w:lineRule="auto"/>
        <w:ind w:firstLine="709"/>
        <w:jc w:val="both"/>
        <w:rPr>
          <w:rFonts w:ascii="Arial" w:hAnsi="Arial" w:eastAsia="Times New Roman" w:cs="Arial"/>
          <w:bCs/>
          <w:lang w:val="es-MX" w:eastAsia="x-none"/>
        </w:rPr>
      </w:pPr>
      <w:r w:rsidRPr="00CC07FD">
        <w:rPr>
          <w:rFonts w:ascii="Arial" w:hAnsi="Arial" w:eastAsia="Calibri" w:cs="Arial"/>
          <w:lang w:val="es-MX"/>
        </w:rPr>
        <w:t>Aplicando este razonamiento,</w:t>
      </w:r>
      <w:bookmarkStart w:name="_Hlk75811096" w:id="55"/>
      <w:r w:rsidRPr="00CC07FD">
        <w:rPr>
          <w:rFonts w:ascii="Arial" w:hAnsi="Arial" w:eastAsia="Calibri" w:cs="Arial"/>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5"/>
      <w:r w:rsidRPr="00CC07FD">
        <w:rPr>
          <w:rFonts w:ascii="Arial" w:hAnsi="Arial" w:eastAsia="Calibri" w:cs="Arial"/>
          <w:lang w:val="es-MX"/>
        </w:rPr>
        <w:t>»</w:t>
      </w:r>
      <w:r w:rsidRPr="00CC07FD">
        <w:rPr>
          <w:rFonts w:ascii="Arial" w:hAnsi="Arial" w:eastAsia="Calibri" w:cs="Arial"/>
          <w:sz w:val="24"/>
          <w:vertAlign w:val="superscript"/>
          <w:lang w:val="es-MX"/>
        </w:rPr>
        <w:t xml:space="preserve"> </w:t>
      </w:r>
      <w:r w:rsidRPr="00CC07FD">
        <w:rPr>
          <w:rFonts w:ascii="Arial" w:hAnsi="Arial" w:eastAsia="Calibri" w:cs="Arial"/>
          <w:vertAlign w:val="superscript"/>
          <w:lang w:val="es-MX"/>
        </w:rPr>
        <w:footnoteReference w:id="23"/>
      </w:r>
      <w:r w:rsidRPr="00CC07FD">
        <w:rPr>
          <w:rFonts w:ascii="Arial" w:hAnsi="Arial" w:eastAsia="Calibri" w:cs="Arial"/>
          <w:lang w:val="es-MX"/>
        </w:rPr>
        <w:t>.</w:t>
      </w:r>
    </w:p>
    <w:p w:rsidRPr="00CC07FD" w:rsidR="00932B27" w:rsidP="00EC5FB3" w:rsidRDefault="00E97186" w14:paraId="79120CC8" w14:textId="13CA81B3">
      <w:pPr>
        <w:spacing w:after="0" w:line="276" w:lineRule="auto"/>
        <w:ind w:firstLine="709"/>
        <w:contextualSpacing/>
        <w:jc w:val="both"/>
        <w:rPr>
          <w:rFonts w:ascii="Arial" w:hAnsi="Arial" w:eastAsia="Times New Roman" w:cs="Arial"/>
          <w:bCs/>
          <w:lang w:val="es-MX" w:eastAsia="x-none"/>
        </w:rPr>
      </w:pPr>
      <w:bookmarkStart w:name="_Hlk77237229" w:id="56"/>
      <w:bookmarkEnd w:id="48"/>
      <w:r w:rsidRPr="00CC07FD">
        <w:rPr>
          <w:rFonts w:ascii="Arial" w:hAnsi="Arial" w:eastAsia="Calibri" w:cs="Arial"/>
          <w:lang w:val="es-MX"/>
        </w:rPr>
        <w:t>Por lo tanto, la restricción prevista en la Ley 996 de 200</w:t>
      </w:r>
      <w:bookmarkStart w:name="_Hlk75741539" w:id="57"/>
      <w:r w:rsidRPr="00CC07FD">
        <w:rPr>
          <w:rFonts w:ascii="Arial" w:hAnsi="Arial" w:eastAsia="Calibri" w:cs="Arial"/>
          <w:lang w:val="es-MX"/>
        </w:rPr>
        <w:t xml:space="preserve">5, </w:t>
      </w:r>
      <w:r w:rsidRPr="00CC07FD">
        <w:rPr>
          <w:rFonts w:ascii="Arial" w:hAnsi="Arial" w:eastAsia="Times New Roman" w:cs="Arial"/>
          <w:bCs/>
          <w:lang w:val="es-MX" w:eastAsia="x-none"/>
        </w:rPr>
        <w:t xml:space="preserve">teniendo en cuenta la finalidad de la </w:t>
      </w:r>
      <w:r w:rsidRPr="00CC07FD" w:rsidR="00EC25EC">
        <w:rPr>
          <w:rFonts w:ascii="Arial" w:hAnsi="Arial" w:eastAsia="Times New Roman" w:cs="Arial"/>
          <w:bCs/>
          <w:lang w:val="es-MX" w:eastAsia="x-none"/>
        </w:rPr>
        <w:t xml:space="preserve">Ley </w:t>
      </w:r>
      <w:r w:rsidRPr="00CC07FD">
        <w:rPr>
          <w:rFonts w:ascii="Arial" w:hAnsi="Arial" w:eastAsia="Times New Roman" w:cs="Arial"/>
          <w:bCs/>
          <w:lang w:val="es-MX" w:eastAsia="x-none"/>
        </w:rPr>
        <w:t xml:space="preserve">de </w:t>
      </w:r>
      <w:r w:rsidRPr="00CC07FD" w:rsidR="00EC25EC">
        <w:rPr>
          <w:rFonts w:ascii="Arial" w:hAnsi="Arial" w:eastAsia="Times New Roman" w:cs="Arial"/>
          <w:bCs/>
          <w:lang w:val="es-MX" w:eastAsia="x-none"/>
        </w:rPr>
        <w:t>Garantías Electorales</w:t>
      </w:r>
      <w:r w:rsidRPr="00CC07FD">
        <w:rPr>
          <w:rFonts w:ascii="Arial" w:hAnsi="Arial" w:eastAsia="Times New Roman" w:cs="Arial"/>
          <w:bCs/>
          <w:lang w:val="es-MX" w:eastAsia="x-none"/>
        </w:rPr>
        <w:t>, cobija a cualquier ente público que pueda a través de la contratación directa romper el equilibrio entre los partidos y los candidatos en las elecciones presidenciales.</w:t>
      </w:r>
      <w:r w:rsidRPr="00CC07FD" w:rsidR="00EC25EC">
        <w:rPr>
          <w:rFonts w:ascii="Arial" w:hAnsi="Arial" w:eastAsia="Times New Roman" w:cs="Arial"/>
          <w:bCs/>
          <w:lang w:val="es-MX" w:eastAsia="x-none"/>
        </w:rPr>
        <w:t xml:space="preserve"> </w:t>
      </w:r>
      <w:r w:rsidRPr="00CC07FD">
        <w:rPr>
          <w:rFonts w:ascii="Arial" w:hAnsi="Arial" w:eastAsia="Times New Roman" w:cs="Arial"/>
          <w:bCs/>
          <w:lang w:val="es-MX" w:eastAsia="x-none"/>
        </w:rPr>
        <w:t>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56"/>
    <w:bookmarkEnd w:id="57"/>
    <w:p w:rsidRPr="00CC07FD" w:rsidR="004C16B2" w:rsidP="00EC5FB3" w:rsidRDefault="004C16B2" w14:paraId="7742BF99" w14:textId="77777777">
      <w:pPr>
        <w:spacing w:after="0" w:line="276" w:lineRule="auto"/>
        <w:contextualSpacing/>
        <w:jc w:val="both"/>
        <w:rPr>
          <w:rFonts w:ascii="Times New Roman" w:hAnsi="Times New Roman" w:eastAsia="Times New Roman" w:cs="Times New Roman"/>
          <w:sz w:val="24"/>
          <w:szCs w:val="24"/>
          <w:lang w:eastAsia="es-ES_tradnl"/>
        </w:rPr>
      </w:pPr>
    </w:p>
    <w:p w:rsidRPr="00CC07FD" w:rsidR="00E97186" w:rsidP="00EC5FB3" w:rsidRDefault="00E97186" w14:paraId="527F4874" w14:textId="77777777">
      <w:pPr>
        <w:spacing w:after="0" w:line="276" w:lineRule="auto"/>
        <w:contextualSpacing/>
        <w:jc w:val="both"/>
        <w:rPr>
          <w:rFonts w:ascii="Arial" w:hAnsi="Arial" w:eastAsia="Calibri" w:cs="Arial"/>
          <w:b/>
        </w:rPr>
      </w:pPr>
      <w:r w:rsidRPr="00CC07FD">
        <w:rPr>
          <w:rFonts w:ascii="Arial" w:hAnsi="Arial" w:eastAsia="Calibri" w:cs="Arial"/>
          <w:b/>
        </w:rPr>
        <w:t>3. Respuesta</w:t>
      </w:r>
    </w:p>
    <w:p w:rsidRPr="00CC07FD" w:rsidR="004678BF" w:rsidP="00EC5FB3" w:rsidRDefault="004678BF" w14:paraId="0694B73A" w14:textId="1245F0A2">
      <w:pPr>
        <w:spacing w:after="0" w:line="240" w:lineRule="auto"/>
        <w:ind w:left="709" w:right="709"/>
        <w:contextualSpacing/>
        <w:jc w:val="both"/>
        <w:rPr>
          <w:rFonts w:ascii="Arial" w:hAnsi="Arial" w:eastAsia="Times New Roman" w:cs="Arial"/>
          <w:sz w:val="21"/>
          <w:szCs w:val="21"/>
          <w:shd w:val="clear" w:color="auto" w:fill="FFFFFF"/>
          <w:lang w:eastAsia="es-CO"/>
        </w:rPr>
      </w:pPr>
      <w:bookmarkStart w:name="_Hlk57650395" w:id="58"/>
    </w:p>
    <w:p w:rsidRPr="00CC07FD" w:rsidR="004678BF" w:rsidP="00411155" w:rsidRDefault="00411155" w14:paraId="202D320C" w14:textId="6B0E6D69">
      <w:pPr>
        <w:spacing w:after="0" w:line="240" w:lineRule="auto"/>
        <w:ind w:left="709" w:right="709"/>
        <w:contextualSpacing/>
        <w:jc w:val="both"/>
        <w:rPr>
          <w:rFonts w:ascii="Arial" w:hAnsi="Arial" w:eastAsia="Times New Roman" w:cs="Arial"/>
          <w:sz w:val="21"/>
          <w:szCs w:val="21"/>
          <w:shd w:val="clear" w:color="auto" w:fill="FFFFFF"/>
          <w:lang w:eastAsia="es-CO"/>
        </w:rPr>
      </w:pPr>
      <w:r w:rsidRPr="00CC07FD">
        <w:rPr>
          <w:rFonts w:ascii="Arial" w:hAnsi="Arial" w:eastAsia="Times New Roman" w:cs="Arial"/>
          <w:sz w:val="21"/>
          <w:szCs w:val="21"/>
          <w:shd w:val="clear" w:color="auto" w:fill="FFFFFF"/>
          <w:lang w:eastAsia="es-CO"/>
        </w:rPr>
        <w:t xml:space="preserve">Respecto a la prohibición de contratación directa del artículo 33 de la Ley 996 de 2005, </w:t>
      </w:r>
      <w:r w:rsidRPr="00CC07FD">
        <w:rPr>
          <w:rFonts w:ascii="Arial" w:hAnsi="Arial" w:eastAsia="Times New Roman" w:cs="Arial"/>
          <w:sz w:val="21"/>
          <w:szCs w:val="21"/>
          <w:shd w:val="clear" w:color="auto" w:fill="FFFFFF"/>
          <w:lang w:val="es-ES" w:eastAsia="es-CO"/>
        </w:rPr>
        <w:t xml:space="preserve">«El Instituto Colombiano de Bienestar Familiar, por su calidad de Heredero en 5o orden sucesoral, suscribe contratos de participación con los denunciantes de los procesos de Vocación Hereditaria, de conformidad con la RESOLUCION 682 de 2018 ICBF - Por medio de la cual se adopta el procedimiento que debe seguirse en el trámite de las denuncias de bienes vacantes, mostrencos y vocaciones hereditarias. Estos contratos de participación son sin cuantía y por contratación directa. No están contemplados en las excepciones de Ley de Garantías. Pregunta: </w:t>
      </w:r>
      <w:proofErr w:type="gramStart"/>
      <w:r w:rsidRPr="00CC07FD">
        <w:rPr>
          <w:rFonts w:ascii="Arial" w:hAnsi="Arial" w:eastAsia="Times New Roman" w:cs="Arial"/>
          <w:sz w:val="21"/>
          <w:szCs w:val="21"/>
          <w:shd w:val="clear" w:color="auto" w:fill="FFFFFF"/>
          <w:lang w:val="es-ES" w:eastAsia="es-CO"/>
        </w:rPr>
        <w:t>Me confirman por favor, si no se pueden suscribir estos contratos de participación en medio de ley de Garantías?</w:t>
      </w:r>
      <w:proofErr w:type="gramEnd"/>
      <w:r w:rsidRPr="00CC07FD">
        <w:rPr>
          <w:rFonts w:ascii="Arial" w:hAnsi="Arial" w:eastAsia="Times New Roman" w:cs="Arial"/>
          <w:sz w:val="21"/>
          <w:szCs w:val="21"/>
          <w:shd w:val="clear" w:color="auto" w:fill="FFFFFF"/>
          <w:lang w:val="es-ES" w:eastAsia="es-CO"/>
        </w:rPr>
        <w:t xml:space="preserve"> (SIC)»</w:t>
      </w:r>
      <w:r w:rsidRPr="00CC07FD" w:rsidR="004678BF">
        <w:rPr>
          <w:rFonts w:ascii="Arial" w:hAnsi="Arial" w:eastAsia="Times New Roman" w:cs="Arial"/>
          <w:sz w:val="21"/>
          <w:szCs w:val="21"/>
          <w:shd w:val="clear" w:color="auto" w:fill="FFFFFF"/>
          <w:lang w:eastAsia="es-CO"/>
        </w:rPr>
        <w:t>.</w:t>
      </w:r>
    </w:p>
    <w:p w:rsidRPr="00CC07FD" w:rsidR="00E97186" w:rsidP="0072030E" w:rsidRDefault="00E97186" w14:paraId="5ACC9E45" w14:textId="77777777">
      <w:pPr>
        <w:spacing w:after="0" w:line="276" w:lineRule="auto"/>
        <w:ind w:right="709"/>
        <w:contextualSpacing/>
        <w:jc w:val="both"/>
        <w:rPr>
          <w:rFonts w:ascii="Arial" w:hAnsi="Arial" w:eastAsia="Times New Roman" w:cs="Arial"/>
          <w:lang w:eastAsia="es-ES_tradnl"/>
        </w:rPr>
      </w:pPr>
    </w:p>
    <w:p w:rsidRPr="00CC07FD" w:rsidR="002D0D8A" w:rsidP="00CC07FD" w:rsidRDefault="002D0D8A" w14:paraId="56130195" w14:textId="77777777">
      <w:pPr>
        <w:spacing w:after="120" w:line="276" w:lineRule="auto"/>
        <w:jc w:val="both"/>
        <w:rPr>
          <w:rFonts w:ascii="Arial" w:hAnsi="Arial" w:eastAsia="Times New Roman" w:cs="Arial"/>
          <w:bCs/>
          <w:lang w:eastAsia="es-CO"/>
        </w:rPr>
      </w:pPr>
      <w:r w:rsidRPr="00CC07FD">
        <w:rPr>
          <w:rFonts w:ascii="Arial" w:hAnsi="Arial" w:eastAsia="Times New Roman" w:cs="Arial"/>
          <w:bCs/>
          <w:lang w:eastAsia="es-CO"/>
        </w:rPr>
        <w:t>De acuerdo con la interpretación de las normas generales del sistema de compras públicas, haciendo abstracción de cualquier caso concreto y del alcance de reglas ajenas a la contratación estatal, 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Pr="00CC07FD" w:rsidR="002D0D8A" w:rsidP="00CC07FD" w:rsidRDefault="002D0D8A" w14:paraId="32309D8D" w14:textId="77777777">
      <w:pPr>
        <w:spacing w:after="120" w:line="276" w:lineRule="auto"/>
        <w:ind w:firstLine="708"/>
        <w:jc w:val="both"/>
        <w:rPr>
          <w:rFonts w:ascii="Arial" w:hAnsi="Arial" w:eastAsia="Times New Roman" w:cs="Arial"/>
          <w:bCs/>
          <w:lang w:eastAsia="es-CO"/>
        </w:rPr>
      </w:pPr>
      <w:r w:rsidRPr="00CC07FD">
        <w:rPr>
          <w:rFonts w:ascii="Arial" w:hAnsi="Arial" w:eastAsia="Times New Roman" w:cs="Arial"/>
          <w:bCs/>
          <w:lang w:eastAsia="es-CO"/>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C07FD">
        <w:rPr>
          <w:rFonts w:ascii="Arial" w:hAnsi="Arial" w:eastAsia="Times New Roman" w:cs="Arial"/>
          <w:bCs/>
          <w:vertAlign w:val="superscript"/>
          <w:lang w:eastAsia="es-CO"/>
        </w:rPr>
        <w:t xml:space="preserve"> </w:t>
      </w:r>
      <w:r w:rsidRPr="00CC07FD">
        <w:rPr>
          <w:rFonts w:ascii="Arial" w:hAnsi="Arial" w:eastAsia="Times New Roman" w:cs="Arial"/>
          <w:bCs/>
          <w:lang w:eastAsia="es-CO"/>
        </w:rPr>
        <w:t>De lo anterior se desprende que la restricción aplica para celebrar cualquier contrato de forma directa, esto es, sin que exista un proceso abierto y competitivo.</w:t>
      </w:r>
    </w:p>
    <w:p w:rsidRPr="00CC07FD" w:rsidR="002D0D8A" w:rsidP="00CC07FD" w:rsidRDefault="002D0D8A" w14:paraId="0E18FDB2" w14:textId="77777777">
      <w:pPr>
        <w:spacing w:after="120" w:line="276" w:lineRule="auto"/>
        <w:ind w:firstLine="708"/>
        <w:jc w:val="both"/>
        <w:rPr>
          <w:rFonts w:ascii="Arial" w:hAnsi="Arial" w:eastAsia="Times New Roman" w:cs="Arial"/>
          <w:bCs/>
          <w:lang w:eastAsia="es-CO"/>
        </w:rPr>
      </w:pPr>
      <w:r w:rsidRPr="00CC07FD">
        <w:rPr>
          <w:rFonts w:ascii="Arial" w:hAnsi="Arial" w:eastAsia="Times New Roman" w:cs="Arial"/>
          <w:bCs/>
          <w:lang w:eastAsia="es-CO"/>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CC07FD">
        <w:rPr>
          <w:rFonts w:ascii="Arial" w:hAnsi="Arial" w:eastAsia="Times New Roman" w:cs="Arial"/>
          <w:bCs/>
          <w:lang w:eastAsia="es-CO"/>
        </w:rPr>
        <w:t>ii</w:t>
      </w:r>
      <w:proofErr w:type="spellEnd"/>
      <w:r w:rsidRPr="00CC07FD">
        <w:rPr>
          <w:rFonts w:ascii="Arial" w:hAnsi="Arial" w:eastAsia="Times New Roman" w:cs="Arial"/>
          <w:bCs/>
          <w:lang w:eastAsia="es-CO"/>
        </w:rPr>
        <w:t xml:space="preserve">) los contratos de crédito público; </w:t>
      </w:r>
      <w:proofErr w:type="spellStart"/>
      <w:r w:rsidRPr="00CC07FD">
        <w:rPr>
          <w:rFonts w:ascii="Arial" w:hAnsi="Arial" w:eastAsia="Times New Roman" w:cs="Arial"/>
          <w:bCs/>
          <w:lang w:eastAsia="es-CO"/>
        </w:rPr>
        <w:t>iii</w:t>
      </w:r>
      <w:proofErr w:type="spellEnd"/>
      <w:r w:rsidRPr="00CC07FD">
        <w:rPr>
          <w:rFonts w:ascii="Arial" w:hAnsi="Arial" w:eastAsia="Times New Roman" w:cs="Arial"/>
          <w:bCs/>
          <w:lang w:eastAsia="es-CO"/>
        </w:rPr>
        <w:t xml:space="preserve">) los requeridos para cubrir las emergencias educativas, sanitarias y desastres; </w:t>
      </w:r>
      <w:proofErr w:type="spellStart"/>
      <w:r w:rsidRPr="00CC07FD">
        <w:rPr>
          <w:rFonts w:ascii="Arial" w:hAnsi="Arial" w:eastAsia="Times New Roman" w:cs="Arial"/>
          <w:bCs/>
          <w:lang w:eastAsia="es-CO"/>
        </w:rPr>
        <w:t>iv</w:t>
      </w:r>
      <w:proofErr w:type="spellEnd"/>
      <w:r w:rsidRPr="00CC07FD">
        <w:rPr>
          <w:rFonts w:ascii="Arial" w:hAnsi="Arial" w:eastAsia="Times New Roman" w:cs="Arial"/>
          <w:bCs/>
          <w:lang w:eastAsia="es-CO"/>
        </w:rPr>
        <w:t xml:space="preserve">)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w:t>
      </w:r>
    </w:p>
    <w:p w:rsidRPr="00CC07FD" w:rsidR="002D0D8A" w:rsidP="00CC07FD" w:rsidRDefault="002D0D8A" w14:paraId="6FC95679" w14:textId="77777777">
      <w:pPr>
        <w:spacing w:after="0" w:line="276" w:lineRule="auto"/>
        <w:ind w:firstLine="708"/>
        <w:jc w:val="both"/>
        <w:rPr>
          <w:rFonts w:ascii="Arial" w:hAnsi="Arial" w:eastAsia="Times New Roman" w:cs="Arial"/>
          <w:bCs/>
          <w:lang w:eastAsia="es-CO"/>
        </w:rPr>
      </w:pPr>
      <w:r w:rsidRPr="00CC07FD">
        <w:rPr>
          <w:rFonts w:ascii="Arial" w:hAnsi="Arial" w:eastAsia="Times New Roman" w:cs="Arial"/>
          <w:bCs/>
          <w:lang w:eastAsia="es-CO"/>
        </w:rPr>
        <w:t xml:space="preserve">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 </w:t>
      </w:r>
      <w:r w:rsidRPr="00CC07FD">
        <w:rPr>
          <w:rFonts w:ascii="Arial" w:hAnsi="Arial" w:cs="Arial"/>
          <w:lang w:val="es-ES"/>
        </w:rPr>
        <w:t xml:space="preserve">De esta manera, le corresponderá a cada </w:t>
      </w:r>
      <w:r w:rsidRPr="00CC07FD">
        <w:rPr>
          <w:rFonts w:ascii="Arial" w:hAnsi="Arial" w:cs="Arial"/>
          <w:lang w:val="es-ES"/>
        </w:rPr>
        <w:lastRenderedPageBreak/>
        <w:t>entidad definir la viabilidad técnica, jurídica y financiera de celebrar determinado contrato estatal en específico.</w:t>
      </w:r>
    </w:p>
    <w:p w:rsidRPr="00CC07FD" w:rsidR="00E97186" w:rsidP="00CC07FD" w:rsidRDefault="00E97186" w14:paraId="1746D247" w14:textId="77777777">
      <w:pPr>
        <w:spacing w:after="120" w:line="276" w:lineRule="auto"/>
        <w:jc w:val="both"/>
        <w:rPr>
          <w:rFonts w:ascii="Arial" w:hAnsi="Arial" w:eastAsia="Calibri" w:cs="Arial"/>
          <w:bCs/>
          <w:lang w:val="es-ES_tradnl"/>
        </w:rPr>
      </w:pPr>
      <w:r w:rsidRPr="00CC07FD">
        <w:rPr>
          <w:rFonts w:ascii="Arial" w:hAnsi="Arial" w:eastAsia="Calibri" w:cs="Arial"/>
          <w:bCs/>
          <w:lang w:val="es-ES_tradnl"/>
        </w:rPr>
        <w:tab/>
      </w:r>
    </w:p>
    <w:p w:rsidRPr="00CC07FD" w:rsidR="00E97186" w:rsidP="00E97186" w:rsidRDefault="00E97186" w14:paraId="12FDB7FA" w14:textId="77777777">
      <w:pPr>
        <w:spacing w:after="0" w:line="276" w:lineRule="auto"/>
        <w:jc w:val="both"/>
        <w:rPr>
          <w:rFonts w:ascii="Times New Roman" w:hAnsi="Times New Roman" w:eastAsia="Times New Roman" w:cs="Times New Roman"/>
          <w:sz w:val="24"/>
          <w:szCs w:val="24"/>
          <w:lang w:eastAsia="es-ES_tradnl"/>
        </w:rPr>
      </w:pPr>
      <w:r w:rsidRPr="00CC07FD">
        <w:rPr>
          <w:rFonts w:ascii="Arial" w:hAnsi="Arial" w:eastAsia="Calibri" w:cs="Arial"/>
        </w:rPr>
        <w:t>Este concepto tiene el alcance previsto en el artículo 28 del Código de Procedimiento Administrativo y de lo Contencioso Administrativo.</w:t>
      </w:r>
      <w:r w:rsidRPr="00CC07FD">
        <w:rPr>
          <w:rFonts w:ascii="Arial" w:hAnsi="Arial" w:eastAsia="Calibri" w:cs="Arial"/>
          <w:noProof/>
          <w:sz w:val="24"/>
          <w:lang w:eastAsia="es-CO"/>
        </w:rPr>
        <mc:AlternateContent>
          <mc:Choice Requires="wps">
            <w:drawing>
              <wp:anchor distT="0" distB="0" distL="114300" distR="114300" simplePos="0" relativeHeight="251658240" behindDoc="0" locked="0" layoutInCell="1" allowOverlap="1" wp14:anchorId="6DF4F2C9" wp14:editId="691300FA">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47031DBF">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E8AD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w10:wrap anchorx="page"/>
              </v:line>
            </w:pict>
          </mc:Fallback>
        </mc:AlternateContent>
      </w:r>
    </w:p>
    <w:p w:rsidRPr="00CC07FD" w:rsidR="00E97186" w:rsidP="00E97186" w:rsidRDefault="00E97186" w14:paraId="2A879E8E" w14:textId="77777777">
      <w:pPr>
        <w:spacing w:after="0" w:line="276" w:lineRule="auto"/>
        <w:jc w:val="both"/>
        <w:rPr>
          <w:rFonts w:ascii="Times New Roman" w:hAnsi="Times New Roman" w:eastAsia="Times New Roman" w:cs="Times New Roman"/>
          <w:sz w:val="24"/>
          <w:szCs w:val="24"/>
          <w:lang w:eastAsia="es-ES_tradnl"/>
        </w:rPr>
      </w:pPr>
    </w:p>
    <w:p w:rsidRPr="00CC07FD" w:rsidR="00E97186" w:rsidP="00E97186" w:rsidRDefault="00E97186" w14:paraId="2FDA71EC" w14:textId="77777777">
      <w:pPr>
        <w:spacing w:after="200" w:line="276" w:lineRule="auto"/>
        <w:jc w:val="both"/>
        <w:rPr>
          <w:rFonts w:ascii="Arial" w:hAnsi="Arial" w:eastAsia="Times New Roman" w:cs="Arial"/>
          <w:lang w:eastAsia="es-CO"/>
        </w:rPr>
      </w:pPr>
      <w:r w:rsidRPr="00CC07FD">
        <w:rPr>
          <w:rFonts w:ascii="Arial" w:hAnsi="Arial" w:eastAsia="Times New Roman" w:cs="Arial"/>
          <w:lang w:eastAsia="es-CO"/>
        </w:rPr>
        <w:t>Atentamente,</w:t>
      </w:r>
    </w:p>
    <w:p w:rsidRPr="00CC07FD" w:rsidR="000D7437" w:rsidRDefault="00357269" w14:paraId="7BC833E3" w14:textId="07347EFB">
      <w:pPr>
        <w:spacing w:after="200" w:line="276" w:lineRule="auto"/>
        <w:jc w:val="center"/>
        <w:rPr>
          <w:rFonts w:ascii="Arial" w:hAnsi="Arial" w:eastAsia="Times New Roman" w:cs="Arial"/>
          <w:color w:val="FF0000"/>
          <w:sz w:val="18"/>
          <w:szCs w:val="20"/>
          <w:lang w:val="es-MX" w:eastAsia="es-CO"/>
        </w:rPr>
      </w:pPr>
      <w:r w:rsidRPr="009942C8">
        <w:rPr>
          <w:rFonts w:ascii="Arial" w:hAnsi="Arial" w:cs="Arial"/>
          <w:noProof/>
          <w:color w:val="000000" w:themeColor="text1"/>
          <w:lang w:val="es-ES_tradnl"/>
        </w:rPr>
        <w:drawing>
          <wp:inline distT="0" distB="0" distL="0" distR="0" wp14:anchorId="03F807E7" wp14:editId="6C67B67E">
            <wp:extent cx="2676525" cy="1138697"/>
            <wp:effectExtent l="0" t="0" r="0" b="444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0"/>
                    <a:stretch>
                      <a:fillRect/>
                    </a:stretch>
                  </pic:blipFill>
                  <pic:spPr>
                    <a:xfrm>
                      <a:off x="0" y="0"/>
                      <a:ext cx="2686965" cy="1143139"/>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291"/>
      </w:tblGrid>
      <w:tr w:rsidRPr="00CC07FD" w:rsidR="00F51294" w:rsidTr="00E97186" w14:paraId="34905EC4" w14:textId="77777777">
        <w:trPr>
          <w:trHeight w:val="315"/>
        </w:trPr>
        <w:tc>
          <w:tcPr>
            <w:tcW w:w="812" w:type="dxa"/>
            <w:vAlign w:val="center"/>
            <w:hideMark/>
          </w:tcPr>
          <w:p w:rsidRPr="00CC07FD" w:rsidR="00E97186" w:rsidP="00E97186" w:rsidRDefault="00E97186" w14:paraId="48C6A3D6" w14:textId="77777777">
            <w:pPr>
              <w:rPr>
                <w:rFonts w:ascii="Arial" w:hAnsi="Arial" w:eastAsia="Times New Roman" w:cs="Arial"/>
                <w:sz w:val="16"/>
                <w:szCs w:val="16"/>
                <w:lang w:eastAsia="es-ES"/>
              </w:rPr>
            </w:pPr>
            <w:r w:rsidRPr="00CC07FD">
              <w:rPr>
                <w:rFonts w:ascii="Arial" w:hAnsi="Arial" w:eastAsia="Times New Roman" w:cs="Arial"/>
                <w:sz w:val="16"/>
                <w:szCs w:val="16"/>
                <w:lang w:eastAsia="es-ES"/>
              </w:rPr>
              <w:t>Elaboró:</w:t>
            </w:r>
          </w:p>
        </w:tc>
        <w:tc>
          <w:tcPr>
            <w:tcW w:w="4291" w:type="dxa"/>
            <w:tcBorders>
              <w:top w:val="nil"/>
              <w:left w:val="nil"/>
              <w:bottom w:val="dotted" w:color="7F7F7F" w:sz="4" w:space="0"/>
              <w:right w:val="nil"/>
            </w:tcBorders>
            <w:vAlign w:val="center"/>
            <w:hideMark/>
          </w:tcPr>
          <w:p w:rsidRPr="00CC07FD" w:rsidR="00E97186" w:rsidP="00E97186" w:rsidRDefault="00DD0423" w14:paraId="07881E8A" w14:textId="7E0EF028">
            <w:pPr>
              <w:rPr>
                <w:rFonts w:ascii="Arial" w:hAnsi="Arial" w:eastAsia="Times New Roman" w:cs="Arial"/>
                <w:sz w:val="16"/>
                <w:szCs w:val="16"/>
                <w:lang w:eastAsia="es-ES"/>
              </w:rPr>
            </w:pPr>
            <w:r w:rsidRPr="00CC07FD">
              <w:rPr>
                <w:rFonts w:ascii="Arial" w:hAnsi="Arial" w:eastAsia="Times New Roman" w:cs="Arial"/>
                <w:sz w:val="16"/>
                <w:szCs w:val="16"/>
                <w:lang w:eastAsia="es-ES"/>
              </w:rPr>
              <w:t>Diana Lucia Saavedra Castañeda</w:t>
            </w:r>
          </w:p>
          <w:p w:rsidRPr="00CC07FD" w:rsidR="00E97186" w:rsidP="00E97186" w:rsidRDefault="00DD0423" w14:paraId="0C0846CA" w14:textId="0D4D5FAA">
            <w:pPr>
              <w:rPr>
                <w:rFonts w:ascii="Arial" w:hAnsi="Arial" w:eastAsia="Times New Roman" w:cs="Arial"/>
                <w:sz w:val="16"/>
                <w:szCs w:val="16"/>
                <w:lang w:eastAsia="es-ES"/>
              </w:rPr>
            </w:pPr>
            <w:r w:rsidRPr="00CC07FD">
              <w:rPr>
                <w:rFonts w:ascii="Arial" w:hAnsi="Arial" w:eastAsia="Times New Roman" w:cs="Arial"/>
                <w:sz w:val="16"/>
                <w:szCs w:val="16"/>
                <w:lang w:eastAsia="es-ES"/>
              </w:rPr>
              <w:t>Contratista</w:t>
            </w:r>
            <w:r w:rsidRPr="00CC07FD" w:rsidR="00E97186">
              <w:rPr>
                <w:rFonts w:ascii="Arial" w:hAnsi="Arial" w:eastAsia="Times New Roman" w:cs="Arial"/>
                <w:sz w:val="16"/>
                <w:szCs w:val="16"/>
                <w:lang w:eastAsia="es-ES"/>
              </w:rPr>
              <w:t xml:space="preserve"> de la Subdirección de Gestión Contractual</w:t>
            </w:r>
          </w:p>
        </w:tc>
      </w:tr>
      <w:tr w:rsidRPr="00CC07FD" w:rsidR="00F51294" w:rsidTr="00E97186" w14:paraId="413FF075" w14:textId="77777777">
        <w:trPr>
          <w:trHeight w:val="330"/>
        </w:trPr>
        <w:tc>
          <w:tcPr>
            <w:tcW w:w="812" w:type="dxa"/>
            <w:vAlign w:val="center"/>
            <w:hideMark/>
          </w:tcPr>
          <w:p w:rsidRPr="00CC07FD" w:rsidR="00E97186" w:rsidP="00E97186" w:rsidRDefault="00E97186" w14:paraId="21906590" w14:textId="77777777">
            <w:pPr>
              <w:rPr>
                <w:rFonts w:ascii="Arial" w:hAnsi="Arial" w:eastAsia="Times New Roman" w:cs="Arial"/>
                <w:sz w:val="16"/>
                <w:szCs w:val="16"/>
                <w:lang w:eastAsia="es-ES"/>
              </w:rPr>
            </w:pPr>
            <w:r w:rsidRPr="00CC07FD">
              <w:rPr>
                <w:rFonts w:ascii="Arial" w:hAnsi="Arial" w:eastAsia="Times New Roman" w:cs="Arial"/>
                <w:sz w:val="16"/>
                <w:szCs w:val="16"/>
                <w:lang w:eastAsia="es-ES"/>
              </w:rPr>
              <w:t>Revisó:</w:t>
            </w:r>
          </w:p>
        </w:tc>
        <w:tc>
          <w:tcPr>
            <w:tcW w:w="4291" w:type="dxa"/>
            <w:tcBorders>
              <w:top w:val="dotted" w:color="7F7F7F" w:sz="4" w:space="0"/>
              <w:left w:val="nil"/>
              <w:bottom w:val="dotted" w:color="7F7F7F" w:sz="4" w:space="0"/>
              <w:right w:val="nil"/>
            </w:tcBorders>
            <w:vAlign w:val="center"/>
            <w:hideMark/>
          </w:tcPr>
          <w:p w:rsidRPr="00CC07FD" w:rsidR="00E97186" w:rsidP="00E97186" w:rsidRDefault="00E97186" w14:paraId="3B950F6B" w14:textId="77777777">
            <w:pPr>
              <w:rPr>
                <w:rFonts w:ascii="Arial" w:hAnsi="Arial" w:eastAsia="Times New Roman" w:cs="Arial"/>
                <w:sz w:val="16"/>
                <w:szCs w:val="16"/>
                <w:lang w:eastAsia="es-ES"/>
              </w:rPr>
            </w:pPr>
            <w:r w:rsidRPr="00CC07FD">
              <w:rPr>
                <w:rFonts w:ascii="Arial" w:hAnsi="Arial" w:eastAsia="Times New Roman" w:cs="Arial"/>
                <w:sz w:val="16"/>
                <w:szCs w:val="16"/>
                <w:lang w:eastAsia="es-ES"/>
              </w:rPr>
              <w:t>Juan David Montoya Penagos</w:t>
            </w:r>
          </w:p>
          <w:p w:rsidRPr="00CC07FD" w:rsidR="00E97186" w:rsidP="00E97186" w:rsidRDefault="00E97186" w14:paraId="607D47FF" w14:textId="77777777">
            <w:pPr>
              <w:rPr>
                <w:rFonts w:ascii="Arial" w:hAnsi="Arial" w:eastAsia="Times New Roman" w:cs="Arial"/>
                <w:sz w:val="16"/>
                <w:szCs w:val="16"/>
                <w:lang w:eastAsia="es-ES"/>
              </w:rPr>
            </w:pPr>
            <w:r w:rsidRPr="00CC07FD">
              <w:rPr>
                <w:rFonts w:ascii="Arial" w:hAnsi="Arial" w:eastAsia="Times New Roman" w:cs="Arial"/>
                <w:sz w:val="16"/>
                <w:szCs w:val="16"/>
                <w:lang w:eastAsia="es-ES"/>
              </w:rPr>
              <w:t>Gestor T1-15 de la Subdirección de Gestión Contractual</w:t>
            </w:r>
          </w:p>
        </w:tc>
      </w:tr>
      <w:tr w:rsidRPr="00F51294" w:rsidR="00F51294" w:rsidTr="00E97186" w14:paraId="72F0229E" w14:textId="77777777">
        <w:trPr>
          <w:trHeight w:val="300"/>
        </w:trPr>
        <w:tc>
          <w:tcPr>
            <w:tcW w:w="812" w:type="dxa"/>
            <w:vAlign w:val="center"/>
            <w:hideMark/>
          </w:tcPr>
          <w:p w:rsidRPr="00CC07FD" w:rsidR="00E97186" w:rsidP="00E97186" w:rsidRDefault="00E97186" w14:paraId="4CF884C8" w14:textId="77777777">
            <w:pPr>
              <w:rPr>
                <w:rFonts w:ascii="Arial" w:hAnsi="Arial" w:eastAsia="Times New Roman" w:cs="Arial"/>
                <w:sz w:val="16"/>
                <w:szCs w:val="16"/>
                <w:lang w:eastAsia="es-ES"/>
              </w:rPr>
            </w:pPr>
            <w:r w:rsidRPr="00CC07FD">
              <w:rPr>
                <w:rFonts w:ascii="Arial" w:hAnsi="Arial" w:eastAsia="Times New Roman" w:cs="Arial"/>
                <w:sz w:val="16"/>
                <w:szCs w:val="16"/>
                <w:lang w:eastAsia="es-ES"/>
              </w:rPr>
              <w:t>Aprobó:</w:t>
            </w:r>
          </w:p>
        </w:tc>
        <w:tc>
          <w:tcPr>
            <w:tcW w:w="4291" w:type="dxa"/>
            <w:tcBorders>
              <w:top w:val="dotted" w:color="7F7F7F" w:sz="4" w:space="0"/>
              <w:left w:val="nil"/>
              <w:bottom w:val="dotted" w:color="7F7F7F" w:sz="4" w:space="0"/>
              <w:right w:val="nil"/>
            </w:tcBorders>
            <w:vAlign w:val="center"/>
            <w:hideMark/>
          </w:tcPr>
          <w:p w:rsidRPr="00CC07FD" w:rsidR="00974BF9" w:rsidP="00974BF9" w:rsidRDefault="00974BF9" w14:paraId="501039AB" w14:textId="77777777">
            <w:pPr>
              <w:rPr>
                <w:rFonts w:ascii="Arial" w:hAnsi="Arial" w:eastAsia="Times New Roman" w:cs="Arial"/>
                <w:color w:val="000000" w:themeColor="text1"/>
                <w:sz w:val="16"/>
                <w:szCs w:val="16"/>
                <w:lang w:eastAsia="es-ES"/>
              </w:rPr>
            </w:pPr>
            <w:r w:rsidRPr="00CC07FD">
              <w:rPr>
                <w:rFonts w:ascii="Arial" w:hAnsi="Arial" w:eastAsia="Times New Roman" w:cs="Arial"/>
                <w:color w:val="000000" w:themeColor="text1"/>
                <w:sz w:val="16"/>
                <w:szCs w:val="16"/>
                <w:lang w:eastAsia="es-ES"/>
              </w:rPr>
              <w:t xml:space="preserve">Andrés Ricardo Mancipe González </w:t>
            </w:r>
          </w:p>
          <w:p w:rsidRPr="00F51294" w:rsidR="00E97186" w:rsidP="00E97186" w:rsidRDefault="00974BF9" w14:paraId="38E98DC2" w14:textId="2A4D28E1">
            <w:pPr>
              <w:rPr>
                <w:rFonts w:ascii="Arial" w:hAnsi="Arial" w:eastAsia="Times New Roman" w:cs="Arial"/>
                <w:sz w:val="16"/>
                <w:szCs w:val="16"/>
                <w:lang w:eastAsia="es-ES"/>
              </w:rPr>
            </w:pPr>
            <w:r w:rsidRPr="00CC07FD">
              <w:rPr>
                <w:rFonts w:ascii="Arial" w:hAnsi="Arial" w:eastAsia="Times New Roman" w:cs="Arial"/>
                <w:color w:val="000000" w:themeColor="text1"/>
                <w:sz w:val="16"/>
                <w:szCs w:val="16"/>
                <w:lang w:eastAsia="es-ES"/>
              </w:rPr>
              <w:t>Subdirector de Gestión Contractual (E)</w:t>
            </w:r>
          </w:p>
        </w:tc>
      </w:tr>
      <w:bookmarkEnd w:id="8"/>
      <w:bookmarkEnd w:id="58"/>
    </w:tbl>
    <w:p w:rsidRPr="001B78CF" w:rsidR="00D70D4D" w:rsidRDefault="00D70D4D" w14:paraId="6911E952" w14:textId="77777777">
      <w:pPr>
        <w:rPr>
          <w:color w:val="FF0000"/>
        </w:rPr>
      </w:pPr>
    </w:p>
    <w:sectPr w:rsidRPr="001B78CF" w:rsidR="00D70D4D" w:rsidSect="00982669">
      <w:headerReference w:type="default" r:id="rId11"/>
      <w:footerReference w:type="default" r:id="rId12"/>
      <w:pgSz w:w="12240" w:h="15840" w:orient="portrait"/>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7E2A" w:rsidP="00E97186" w:rsidRDefault="002C7E2A" w14:paraId="20757F92" w14:textId="77777777">
      <w:pPr>
        <w:spacing w:after="0" w:line="240" w:lineRule="auto"/>
      </w:pPr>
      <w:r>
        <w:separator/>
      </w:r>
    </w:p>
  </w:endnote>
  <w:endnote w:type="continuationSeparator" w:id="0">
    <w:p w:rsidR="002C7E2A" w:rsidP="00E97186" w:rsidRDefault="002C7E2A" w14:paraId="159AA9E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2669" w:rsidP="00982669" w:rsidRDefault="00982669" w14:paraId="208D9FA0" w14:textId="77777777">
    <w:pPr>
      <w:pStyle w:val="Sinespaciado"/>
      <w:rPr>
        <w:rFonts w:ascii="Arial" w:hAnsi="Arial" w:cs="Arial"/>
        <w:sz w:val="18"/>
        <w:szCs w:val="18"/>
      </w:rPr>
    </w:pPr>
  </w:p>
  <w:p w:rsidR="00982669" w:rsidP="00982669" w:rsidRDefault="00982669" w14:paraId="74318DBF" w14:textId="77777777">
    <w:pPr>
      <w:pStyle w:val="Sinespaciado"/>
      <w:rPr>
        <w:rFonts w:ascii="Arial" w:hAnsi="Arial" w:cs="Arial"/>
        <w:sz w:val="18"/>
        <w:szCs w:val="18"/>
      </w:rPr>
    </w:pPr>
  </w:p>
  <w:p w:rsidRPr="00E97186" w:rsidR="00982669" w:rsidP="00982669" w:rsidRDefault="00982669" w14:paraId="2C17C350" w14:textId="77777777">
    <w:pPr>
      <w:pStyle w:val="Piedepgina"/>
      <w:jc w:val="right"/>
      <w:rPr>
        <w:rFonts w:ascii="Arial" w:hAnsi="Arial" w:cs="Arial"/>
        <w:color w:val="7F7F7F"/>
        <w:sz w:val="16"/>
        <w:szCs w:val="16"/>
      </w:rPr>
    </w:pPr>
    <w:r w:rsidRPr="00E97186">
      <w:rPr>
        <w:rFonts w:ascii="Arial" w:hAnsi="Arial" w:cs="Arial"/>
        <w:bCs/>
        <w:color w:val="7F7F7F"/>
        <w:sz w:val="16"/>
        <w:szCs w:val="16"/>
      </w:rPr>
      <w:t xml:space="preserve">Página </w:t>
    </w:r>
    <w:r w:rsidRPr="00E97186">
      <w:rPr>
        <w:rFonts w:ascii="Arial" w:hAnsi="Arial" w:cs="Arial"/>
        <w:b/>
        <w:bCs/>
        <w:color w:val="7F7F7F"/>
        <w:sz w:val="16"/>
        <w:szCs w:val="16"/>
      </w:rPr>
      <w:fldChar w:fldCharType="begin"/>
    </w:r>
    <w:r w:rsidRPr="00E97186">
      <w:rPr>
        <w:rFonts w:ascii="Arial" w:hAnsi="Arial" w:cs="Arial"/>
        <w:b/>
        <w:bCs/>
        <w:color w:val="7F7F7F"/>
        <w:sz w:val="16"/>
        <w:szCs w:val="16"/>
      </w:rPr>
      <w:instrText>PAGE  \* Arabic  \* MERGEFORMAT</w:instrText>
    </w:r>
    <w:r w:rsidRPr="00E97186">
      <w:rPr>
        <w:rFonts w:ascii="Arial" w:hAnsi="Arial" w:cs="Arial"/>
        <w:b/>
        <w:bCs/>
        <w:color w:val="7F7F7F"/>
        <w:sz w:val="16"/>
        <w:szCs w:val="16"/>
      </w:rPr>
      <w:fldChar w:fldCharType="separate"/>
    </w:r>
    <w:r w:rsidRPr="00E97186">
      <w:rPr>
        <w:rFonts w:ascii="Arial" w:hAnsi="Arial" w:cs="Arial"/>
        <w:b/>
        <w:bCs/>
        <w:noProof/>
        <w:color w:val="7F7F7F"/>
        <w:sz w:val="16"/>
        <w:szCs w:val="16"/>
      </w:rPr>
      <w:t>17</w:t>
    </w:r>
    <w:r w:rsidRPr="00E97186">
      <w:rPr>
        <w:rFonts w:ascii="Arial" w:hAnsi="Arial" w:cs="Arial"/>
        <w:b/>
        <w:bCs/>
        <w:color w:val="7F7F7F"/>
        <w:sz w:val="16"/>
        <w:szCs w:val="16"/>
      </w:rPr>
      <w:fldChar w:fldCharType="end"/>
    </w:r>
    <w:r w:rsidRPr="00E97186">
      <w:rPr>
        <w:rFonts w:ascii="Arial" w:hAnsi="Arial" w:cs="Arial"/>
        <w:color w:val="7F7F7F"/>
        <w:sz w:val="16"/>
        <w:szCs w:val="16"/>
      </w:rPr>
      <w:t xml:space="preserve"> de </w:t>
    </w:r>
    <w:r w:rsidRPr="00E97186">
      <w:rPr>
        <w:rFonts w:ascii="Arial" w:hAnsi="Arial" w:cs="Arial"/>
        <w:b/>
        <w:bCs/>
        <w:color w:val="7F7F7F"/>
        <w:sz w:val="16"/>
        <w:szCs w:val="16"/>
      </w:rPr>
      <w:fldChar w:fldCharType="begin"/>
    </w:r>
    <w:r w:rsidRPr="00E97186">
      <w:rPr>
        <w:rFonts w:ascii="Arial" w:hAnsi="Arial" w:cs="Arial"/>
        <w:b/>
        <w:bCs/>
        <w:color w:val="7F7F7F"/>
        <w:sz w:val="16"/>
        <w:szCs w:val="16"/>
      </w:rPr>
      <w:instrText>NUMPAGES  \* Arabic  \* MERGEFORMAT</w:instrText>
    </w:r>
    <w:r w:rsidRPr="00E97186">
      <w:rPr>
        <w:rFonts w:ascii="Arial" w:hAnsi="Arial" w:cs="Arial"/>
        <w:b/>
        <w:bCs/>
        <w:color w:val="7F7F7F"/>
        <w:sz w:val="16"/>
        <w:szCs w:val="16"/>
      </w:rPr>
      <w:fldChar w:fldCharType="separate"/>
    </w:r>
    <w:r w:rsidRPr="00E97186">
      <w:rPr>
        <w:rFonts w:ascii="Arial" w:hAnsi="Arial" w:cs="Arial"/>
        <w:b/>
        <w:bCs/>
        <w:noProof/>
        <w:color w:val="7F7F7F"/>
        <w:sz w:val="16"/>
        <w:szCs w:val="16"/>
      </w:rPr>
      <w:t>17</w:t>
    </w:r>
    <w:r w:rsidRPr="00E97186">
      <w:rPr>
        <w:rFonts w:ascii="Arial" w:hAnsi="Arial" w:cs="Arial"/>
        <w:b/>
        <w:bCs/>
        <w:color w:val="7F7F7F"/>
        <w:sz w:val="16"/>
        <w:szCs w:val="16"/>
      </w:rPr>
      <w:fldChar w:fldCharType="end"/>
    </w:r>
  </w:p>
  <w:p w:rsidR="00982669" w:rsidP="00982669" w:rsidRDefault="00982669" w14:paraId="26AC8F55" w14:textId="77777777">
    <w:pPr>
      <w:pStyle w:val="Piedepgina"/>
      <w:jc w:val="center"/>
      <w:rPr>
        <w:lang w:val="es-ES"/>
      </w:rPr>
    </w:pPr>
    <w:r>
      <w:rPr>
        <w:noProof/>
        <w:lang w:val="es-CO" w:eastAsia="es-CO"/>
      </w:rPr>
      <w:drawing>
        <wp:inline distT="0" distB="0" distL="0" distR="0" wp14:anchorId="03EC74F1" wp14:editId="214EE18C">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rsidR="00982669" w:rsidP="00982669" w:rsidRDefault="00982669" w14:paraId="45037D5B" w14:textId="77777777">
    <w:pPr>
      <w:pStyle w:val="Piedepgina"/>
      <w:jc w:val="center"/>
      <w:rPr>
        <w:lang w:val="es-ES"/>
      </w:rPr>
    </w:pPr>
  </w:p>
  <w:p w:rsidRPr="007B0854" w:rsidR="00982669" w:rsidP="00982669" w:rsidRDefault="00982669" w14:paraId="31ECDEDB" w14:textId="77777777">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7E2A" w:rsidP="00E97186" w:rsidRDefault="002C7E2A" w14:paraId="6AC8640E" w14:textId="77777777">
      <w:pPr>
        <w:spacing w:after="0" w:line="240" w:lineRule="auto"/>
      </w:pPr>
      <w:r>
        <w:separator/>
      </w:r>
    </w:p>
  </w:footnote>
  <w:footnote w:type="continuationSeparator" w:id="0">
    <w:p w:rsidR="002C7E2A" w:rsidP="00E97186" w:rsidRDefault="002C7E2A" w14:paraId="0F556596" w14:textId="77777777">
      <w:pPr>
        <w:spacing w:after="0" w:line="240" w:lineRule="auto"/>
      </w:pPr>
      <w:r>
        <w:continuationSeparator/>
      </w:r>
    </w:p>
  </w:footnote>
  <w:footnote w:id="1">
    <w:p w:rsidRPr="00947FCF" w:rsidR="007E2182" w:rsidP="00CC07FD" w:rsidRDefault="007E2182" w14:paraId="13E3C485" w14:textId="77777777">
      <w:pPr>
        <w:pStyle w:val="Textonotapie"/>
        <w:spacing w:after="0" w:line="240" w:lineRule="auto"/>
        <w:ind w:firstLine="708"/>
        <w:rPr>
          <w:rFonts w:ascii="Arial" w:hAnsi="Arial" w:cs="Arial"/>
          <w:sz w:val="16"/>
          <w:szCs w:val="16"/>
          <w:lang w:val="es-ES"/>
        </w:rPr>
      </w:pPr>
      <w:r w:rsidRPr="00947FCF">
        <w:rPr>
          <w:rStyle w:val="Refdenotaalpie"/>
          <w:rFonts w:ascii="Arial" w:hAnsi="Arial" w:cs="Arial"/>
          <w:sz w:val="16"/>
          <w:szCs w:val="16"/>
        </w:rPr>
        <w:footnoteRef/>
      </w:r>
      <w:r w:rsidRPr="00947FCF">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47FCF">
        <w:rPr>
          <w:rFonts w:ascii="Arial" w:hAnsi="Arial" w:cs="Arial"/>
          <w:i/>
          <w:iCs/>
          <w:sz w:val="16"/>
          <w:szCs w:val="16"/>
        </w:rPr>
        <w:t xml:space="preserve">ibidem </w:t>
      </w:r>
      <w:r w:rsidRPr="00947FCF">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947FCF">
        <w:rPr>
          <w:rFonts w:ascii="Arial" w:hAnsi="Arial" w:cs="Arial"/>
          <w:sz w:val="16"/>
          <w:szCs w:val="16"/>
        </w:rPr>
        <w:t>bsolver</w:t>
      </w:r>
      <w:proofErr w:type="spellEnd"/>
      <w:r w:rsidRPr="00947FCF">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947FCF">
        <w:rPr>
          <w:rFonts w:ascii="Arial" w:hAnsi="Arial" w:cs="Arial"/>
          <w:sz w:val="16"/>
          <w:szCs w:val="16"/>
        </w:rPr>
        <w:t>bsolver</w:t>
      </w:r>
      <w:proofErr w:type="spellEnd"/>
      <w:r w:rsidRPr="00947FCF">
        <w:rPr>
          <w:rFonts w:ascii="Arial" w:hAnsi="Arial" w:cs="Arial"/>
          <w:sz w:val="16"/>
          <w:szCs w:val="16"/>
        </w:rPr>
        <w:t xml:space="preserve"> consultas sobre la aplicación de normas de carácter general».</w:t>
      </w:r>
    </w:p>
  </w:footnote>
  <w:footnote w:id="2">
    <w:p w:rsidRPr="00947FCF" w:rsidR="00E97186" w:rsidP="000E29D2" w:rsidRDefault="00E97186" w14:paraId="0C37E54E" w14:textId="77777777">
      <w:pPr>
        <w:pStyle w:val="Textonotapie"/>
        <w:spacing w:after="0" w:line="240" w:lineRule="auto"/>
        <w:ind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947FCF" w:rsidR="00E97186" w:rsidP="000E29D2" w:rsidRDefault="00E97186" w14:paraId="57648AEC" w14:textId="77777777">
      <w:pPr>
        <w:pStyle w:val="Textonotapie"/>
        <w:spacing w:after="0" w:line="240" w:lineRule="auto"/>
        <w:ind w:firstLine="709"/>
        <w:rPr>
          <w:rFonts w:ascii="Arial" w:hAnsi="Arial" w:cs="Arial"/>
          <w:sz w:val="16"/>
          <w:szCs w:val="16"/>
        </w:rPr>
      </w:pPr>
      <w:proofErr w:type="gramStart"/>
      <w:r w:rsidRPr="00947FCF">
        <w:rPr>
          <w:rFonts w:ascii="Arial" w:hAnsi="Arial" w:cs="Arial"/>
          <w:sz w:val="16"/>
          <w:szCs w:val="16"/>
        </w:rPr>
        <w:t>»A</w:t>
      </w:r>
      <w:proofErr w:type="gramEnd"/>
      <w:r w:rsidRPr="00947FCF">
        <w:rPr>
          <w:rFonts w:ascii="Arial" w:hAnsi="Arial" w:cs="Arial"/>
          <w:sz w:val="16"/>
          <w:szCs w:val="16"/>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rsidRPr="00947FCF" w:rsidR="00E97186" w:rsidP="000E29D2" w:rsidRDefault="00E97186" w14:paraId="4732524E" w14:textId="77777777">
      <w:pPr>
        <w:pStyle w:val="Textonotapie"/>
        <w:spacing w:after="0" w:line="240" w:lineRule="auto"/>
        <w:ind w:firstLine="709"/>
        <w:rPr>
          <w:rFonts w:ascii="Arial" w:hAnsi="Arial" w:cs="Arial"/>
          <w:sz w:val="16"/>
          <w:szCs w:val="16"/>
        </w:rPr>
      </w:pPr>
    </w:p>
  </w:footnote>
  <w:footnote w:id="3">
    <w:p w:rsidRPr="00947FCF" w:rsidR="00FD546A" w:rsidP="00A51D9A" w:rsidRDefault="00E97186" w14:paraId="4704CC4F" w14:textId="7BD896E7">
      <w:pPr>
        <w:pStyle w:val="Textonotapie"/>
        <w:spacing w:after="0" w:line="240" w:lineRule="auto"/>
        <w:ind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Gaceta del Congreso de la República No. 71 del 2005.</w:t>
      </w:r>
    </w:p>
  </w:footnote>
  <w:footnote w:id="4">
    <w:p w:rsidRPr="00947FCF" w:rsidR="00E97186" w:rsidP="000E29D2" w:rsidRDefault="00E97186" w14:paraId="537D48E6" w14:textId="77777777">
      <w:pPr>
        <w:pStyle w:val="Textonotapie"/>
        <w:spacing w:after="0" w:line="240" w:lineRule="auto"/>
        <w:ind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Corte Constitucional, Sentencia C- 1153 de 2005, M.P. Marco Gerardo Monroy Cabra.</w:t>
      </w:r>
    </w:p>
  </w:footnote>
  <w:footnote w:id="5">
    <w:p w:rsidRPr="00947FCF" w:rsidR="00FD546A" w:rsidP="00A51D9A" w:rsidRDefault="00E97186" w14:paraId="1C9FB292" w14:textId="545D0A18">
      <w:pPr>
        <w:pStyle w:val="Textonotapie"/>
        <w:spacing w:after="0" w:line="240" w:lineRule="auto"/>
        <w:ind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rsidRPr="00947FCF" w:rsidR="00E97186" w:rsidP="000E29D2" w:rsidRDefault="00E97186" w14:paraId="4367F9EB" w14:textId="77777777">
      <w:pPr>
        <w:pStyle w:val="Textonotapie"/>
        <w:spacing w:after="0" w:line="240" w:lineRule="auto"/>
        <w:ind w:firstLine="709"/>
        <w:rPr>
          <w:rFonts w:ascii="Arial" w:hAnsi="Arial" w:cs="Arial"/>
          <w:sz w:val="16"/>
          <w:szCs w:val="16"/>
          <w:lang w:val="es-CO"/>
        </w:rPr>
      </w:pPr>
      <w:r w:rsidRPr="00947FCF">
        <w:rPr>
          <w:rStyle w:val="Refdenotaalpie"/>
          <w:rFonts w:ascii="Arial" w:hAnsi="Arial" w:cs="Arial"/>
          <w:sz w:val="16"/>
          <w:szCs w:val="16"/>
        </w:rPr>
        <w:footnoteRef/>
      </w:r>
      <w:r w:rsidRPr="00947FCF">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rsidRPr="00947FCF" w:rsidR="00E97186" w:rsidP="000E29D2" w:rsidRDefault="00E97186" w14:paraId="06EB7C2C" w14:textId="35923A78">
      <w:pPr>
        <w:pStyle w:val="Textonotapie"/>
        <w:spacing w:after="0" w:line="240" w:lineRule="auto"/>
        <w:ind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Consejo de Estado, Sala de Consulta y Servicio Civil de fecha 24 de julio de 2013, radicado 2166, </w:t>
      </w:r>
      <w:proofErr w:type="gramStart"/>
      <w:r w:rsidRPr="00947FCF">
        <w:rPr>
          <w:rFonts w:ascii="Arial" w:hAnsi="Arial" w:cs="Arial"/>
          <w:sz w:val="16"/>
          <w:szCs w:val="16"/>
        </w:rPr>
        <w:t>Consejero</w:t>
      </w:r>
      <w:proofErr w:type="gramEnd"/>
      <w:r w:rsidRPr="00947FCF">
        <w:rPr>
          <w:rFonts w:ascii="Arial" w:hAnsi="Arial" w:cs="Arial"/>
          <w:sz w:val="16"/>
          <w:szCs w:val="16"/>
        </w:rPr>
        <w:t xml:space="preserve"> Ponente: Álvaro </w:t>
      </w:r>
      <w:proofErr w:type="spellStart"/>
      <w:r w:rsidRPr="00947FCF">
        <w:rPr>
          <w:rFonts w:ascii="Arial" w:hAnsi="Arial" w:cs="Arial"/>
          <w:sz w:val="16"/>
          <w:szCs w:val="16"/>
        </w:rPr>
        <w:t>Namén</w:t>
      </w:r>
      <w:proofErr w:type="spellEnd"/>
      <w:r w:rsidRPr="00947FCF">
        <w:rPr>
          <w:rFonts w:ascii="Arial" w:hAnsi="Arial" w:cs="Arial"/>
          <w:sz w:val="16"/>
          <w:szCs w:val="16"/>
        </w:rPr>
        <w:t xml:space="preserve"> Vargas.  </w:t>
      </w:r>
    </w:p>
  </w:footnote>
  <w:footnote w:id="8">
    <w:p w:rsidRPr="00947FCF" w:rsidR="00E97186" w:rsidP="000E29D2" w:rsidRDefault="00E97186" w14:paraId="1307689F" w14:textId="77777777">
      <w:pPr>
        <w:spacing w:after="0" w:line="240" w:lineRule="auto"/>
        <w:ind w:firstLine="709"/>
        <w:jc w:val="both"/>
        <w:rPr>
          <w:rFonts w:ascii="Arial" w:hAnsi="Arial" w:eastAsia="Times New Roman"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w:t>
      </w:r>
      <w:bookmarkStart w:name="33" w:id="20"/>
      <w:r w:rsidRPr="00947FCF">
        <w:rPr>
          <w:rFonts w:ascii="Arial" w:hAnsi="Arial" w:eastAsia="Calibri" w:cs="Arial"/>
          <w:bCs/>
          <w:sz w:val="16"/>
          <w:szCs w:val="16"/>
        </w:rPr>
        <w:t>«</w:t>
      </w:r>
      <w:r w:rsidRPr="00947FCF">
        <w:rPr>
          <w:rFonts w:ascii="Arial" w:hAnsi="Arial" w:eastAsia="Times New Roman" w:cs="Arial"/>
          <w:sz w:val="16"/>
          <w:szCs w:val="16"/>
        </w:rPr>
        <w:t>Artículo 33. Restricciones a la contratación pública.</w:t>
      </w:r>
      <w:bookmarkEnd w:id="20"/>
      <w:r w:rsidRPr="00947FCF">
        <w:rPr>
          <w:rFonts w:ascii="Arial" w:hAnsi="Arial" w:eastAsia="Times New Roman" w:cs="Arial"/>
          <w:sz w:val="16"/>
          <w:szCs w:val="16"/>
        </w:rPr>
        <w:t> Durante los cuatro (4) meses anteriores a la elección presidencial y hasta la realización de la elección en la segunda vuelta, si fuere el caso, queda prohibida la contratación directa por parte de todos los entes del Estado.</w:t>
      </w:r>
    </w:p>
    <w:p w:rsidRPr="00947FCF" w:rsidR="00FD546A" w:rsidP="00A51D9A" w:rsidRDefault="00E97186" w14:paraId="2792A93B" w14:textId="504CCD8F">
      <w:pPr>
        <w:spacing w:after="0" w:line="240" w:lineRule="auto"/>
        <w:ind w:firstLine="709"/>
        <w:jc w:val="both"/>
        <w:rPr>
          <w:rFonts w:ascii="Arial" w:hAnsi="Arial" w:eastAsia="Times New Roman" w:cs="Arial"/>
          <w:sz w:val="16"/>
          <w:szCs w:val="16"/>
        </w:rPr>
      </w:pPr>
      <w:r w:rsidRPr="00947FCF">
        <w:rPr>
          <w:rFonts w:ascii="Arial" w:hAnsi="Arial" w:eastAsia="Calibri" w:cs="Arial"/>
          <w:bCs/>
          <w:sz w:val="16"/>
          <w:szCs w:val="16"/>
        </w:rPr>
        <w:t>»</w:t>
      </w:r>
      <w:r w:rsidRPr="00947FCF">
        <w:rPr>
          <w:rFonts w:ascii="Arial" w:hAnsi="Arial" w:eastAsia="Times New Roman"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47FCF">
        <w:rPr>
          <w:rFonts w:ascii="Arial" w:hAnsi="Arial" w:eastAsia="Calibri" w:cs="Arial"/>
          <w:bCs/>
          <w:sz w:val="16"/>
          <w:szCs w:val="16"/>
        </w:rPr>
        <w:t>»</w:t>
      </w:r>
      <w:r w:rsidRPr="00947FCF">
        <w:rPr>
          <w:rFonts w:ascii="Arial" w:hAnsi="Arial" w:eastAsia="Times New Roman" w:cs="Arial"/>
          <w:sz w:val="16"/>
          <w:szCs w:val="16"/>
        </w:rPr>
        <w:t>.</w:t>
      </w:r>
    </w:p>
  </w:footnote>
  <w:footnote w:id="9">
    <w:p w:rsidRPr="00947FCF" w:rsidR="00E97186" w:rsidP="000E29D2" w:rsidRDefault="00E97186" w14:paraId="66310F7B" w14:textId="77777777">
      <w:pPr>
        <w:pStyle w:val="NormalWeb"/>
        <w:spacing w:before="0" w:beforeAutospacing="0" w:after="0" w:afterAutospacing="0" w:line="240" w:lineRule="auto"/>
        <w:ind w:firstLine="709"/>
        <w:rPr>
          <w:rFonts w:ascii="Arial" w:hAnsi="Arial" w:cs="Arial"/>
          <w:sz w:val="16"/>
          <w:szCs w:val="16"/>
          <w:lang w:val="es-MX"/>
        </w:rPr>
      </w:pPr>
      <w:r w:rsidRPr="00947FCF">
        <w:rPr>
          <w:rStyle w:val="Refdenotaalpie"/>
          <w:rFonts w:ascii="Arial" w:hAnsi="Arial" w:cs="Arial"/>
          <w:sz w:val="16"/>
          <w:szCs w:val="16"/>
        </w:rPr>
        <w:footnoteRef/>
      </w:r>
      <w:r w:rsidRPr="00947FCF">
        <w:rPr>
          <w:rFonts w:ascii="Arial" w:hAnsi="Arial" w:cs="Arial"/>
          <w:sz w:val="16"/>
          <w:szCs w:val="16"/>
        </w:rPr>
        <w:t xml:space="preserve"> </w:t>
      </w:r>
      <w:bookmarkStart w:name="38" w:id="21"/>
      <w:r w:rsidRPr="00947FCF">
        <w:rPr>
          <w:rFonts w:ascii="Arial" w:hAnsi="Arial" w:eastAsia="Calibri" w:cs="Arial"/>
          <w:bCs/>
          <w:sz w:val="16"/>
          <w:szCs w:val="16"/>
        </w:rPr>
        <w:t>«</w:t>
      </w:r>
      <w:r w:rsidRPr="00947FCF">
        <w:rPr>
          <w:rFonts w:ascii="Arial" w:hAnsi="Arial" w:cs="Arial"/>
          <w:sz w:val="16"/>
          <w:szCs w:val="16"/>
          <w:lang w:val="es-MX"/>
        </w:rPr>
        <w:t>Artículo 38. Prohibiciones para los servidores públicos. A los empleados del Estado les está prohibido:</w:t>
      </w:r>
      <w:bookmarkEnd w:id="21"/>
    </w:p>
    <w:p w:rsidRPr="00947FCF" w:rsidR="00E97186" w:rsidP="000E29D2" w:rsidRDefault="00E97186" w14:paraId="032BDF58" w14:textId="77777777">
      <w:pPr>
        <w:pStyle w:val="NormalWeb"/>
        <w:spacing w:before="0" w:beforeAutospacing="0" w:after="0" w:afterAutospacing="0" w:line="240" w:lineRule="auto"/>
        <w:ind w:firstLine="709"/>
        <w:rPr>
          <w:rFonts w:ascii="Arial" w:hAnsi="Arial" w:cs="Arial"/>
          <w:sz w:val="16"/>
          <w:szCs w:val="16"/>
          <w:lang w:val="es-MX"/>
        </w:rPr>
      </w:pPr>
      <w:r w:rsidRPr="00947FCF">
        <w:rPr>
          <w:rFonts w:ascii="Arial" w:hAnsi="Arial" w:eastAsia="Calibri" w:cs="Arial"/>
          <w:bCs/>
          <w:sz w:val="16"/>
          <w:szCs w:val="16"/>
        </w:rPr>
        <w:t>»</w:t>
      </w:r>
      <w:r w:rsidRPr="00947FCF">
        <w:rPr>
          <w:rFonts w:ascii="Arial" w:hAnsi="Arial" w:cs="Arial"/>
          <w:sz w:val="16"/>
          <w:szCs w:val="16"/>
          <w:lang w:val="es-MX"/>
        </w:rPr>
        <w:t xml:space="preserve"> […]</w:t>
      </w:r>
    </w:p>
    <w:p w:rsidRPr="00947FCF" w:rsidR="00E97186" w:rsidP="000E29D2" w:rsidRDefault="00E97186" w14:paraId="4523D789" w14:textId="4073068A">
      <w:pPr>
        <w:pStyle w:val="NormalWeb"/>
        <w:spacing w:before="0" w:beforeAutospacing="0" w:after="0" w:afterAutospacing="0" w:line="240" w:lineRule="auto"/>
        <w:ind w:firstLine="709"/>
        <w:rPr>
          <w:rFonts w:ascii="Arial" w:hAnsi="Arial" w:cs="Arial"/>
          <w:sz w:val="16"/>
          <w:szCs w:val="16"/>
          <w:lang w:val="es-MX"/>
        </w:rPr>
      </w:pPr>
      <w:r w:rsidRPr="00947FCF">
        <w:rPr>
          <w:rFonts w:ascii="Arial" w:hAnsi="Arial" w:eastAsia="Calibri" w:cs="Arial"/>
          <w:bCs/>
          <w:sz w:val="16"/>
          <w:szCs w:val="16"/>
        </w:rPr>
        <w:t>»</w:t>
      </w:r>
      <w:r w:rsidRPr="00947FCF">
        <w:rPr>
          <w:rStyle w:val="baj"/>
          <w:rFonts w:ascii="Arial" w:hAnsi="Arial" w:cs="Arial"/>
          <w:sz w:val="16"/>
          <w:szCs w:val="16"/>
          <w:lang w:val="es-MX"/>
        </w:rPr>
        <w:t xml:space="preserve"> Parágrafo.</w:t>
      </w:r>
      <w:r w:rsidRPr="00947FCF">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47FCF">
        <w:rPr>
          <w:rFonts w:ascii="Arial" w:hAnsi="Arial" w:eastAsia="Calibri" w:cs="Arial"/>
          <w:bCs/>
          <w:sz w:val="16"/>
          <w:szCs w:val="16"/>
        </w:rPr>
        <w:t>»</w:t>
      </w:r>
      <w:r w:rsidRPr="00947FCF">
        <w:rPr>
          <w:rFonts w:ascii="Arial" w:hAnsi="Arial" w:cs="Arial"/>
          <w:sz w:val="16"/>
          <w:szCs w:val="16"/>
          <w:lang w:val="es-MX"/>
        </w:rPr>
        <w:t>.</w:t>
      </w:r>
    </w:p>
    <w:p w:rsidRPr="00947FCF" w:rsidR="00FD546A" w:rsidP="000E29D2" w:rsidRDefault="00FD546A" w14:paraId="17CEA843" w14:textId="77777777">
      <w:pPr>
        <w:pStyle w:val="NormalWeb"/>
        <w:spacing w:before="0" w:beforeAutospacing="0" w:after="0" w:afterAutospacing="0" w:line="240" w:lineRule="auto"/>
        <w:ind w:firstLine="709"/>
        <w:rPr>
          <w:rFonts w:ascii="Arial" w:hAnsi="Arial" w:cs="Arial"/>
          <w:sz w:val="16"/>
          <w:szCs w:val="16"/>
          <w:lang w:val="es-MX"/>
        </w:rPr>
      </w:pPr>
    </w:p>
  </w:footnote>
  <w:footnote w:id="10">
    <w:p w:rsidRPr="00947FCF" w:rsidR="00E97186" w:rsidP="000E29D2" w:rsidRDefault="00E97186" w14:paraId="0B106ED4" w14:textId="77777777">
      <w:pPr>
        <w:spacing w:after="0" w:line="240" w:lineRule="auto"/>
        <w:ind w:left="100" w:right="244" w:firstLine="709"/>
        <w:jc w:val="both"/>
        <w:rPr>
          <w:rFonts w:ascii="Arial" w:hAnsi="Arial" w:cs="Arial"/>
          <w:sz w:val="16"/>
          <w:szCs w:val="16"/>
          <w:lang w:val="es-ES"/>
        </w:rPr>
      </w:pPr>
      <w:r w:rsidRPr="00947FCF">
        <w:rPr>
          <w:rStyle w:val="Refdenotaalpie"/>
          <w:rFonts w:ascii="Arial" w:hAnsi="Arial" w:cs="Arial"/>
          <w:sz w:val="16"/>
          <w:szCs w:val="16"/>
        </w:rPr>
        <w:footnoteRef/>
      </w:r>
      <w:r w:rsidRPr="00947FCF">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1">
    <w:p w:rsidRPr="00947FCF" w:rsidR="00E97186" w:rsidP="000E29D2" w:rsidRDefault="00E97186" w14:paraId="10786D25" w14:textId="77777777">
      <w:pPr>
        <w:pStyle w:val="Textonotapie"/>
        <w:spacing w:after="0" w:line="240" w:lineRule="auto"/>
        <w:ind w:right="51"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w:t>
      </w:r>
      <w:bookmarkStart w:name="_Hlk74272731" w:id="27"/>
      <w:r w:rsidRPr="00947FCF">
        <w:rPr>
          <w:rFonts w:ascii="Arial" w:hAnsi="Arial" w:cs="Arial"/>
          <w:sz w:val="16"/>
          <w:szCs w:val="16"/>
        </w:rPr>
        <w:t>«</w:t>
      </w:r>
      <w:bookmarkEnd w:id="27"/>
      <w:r w:rsidRPr="00947FCF">
        <w:rPr>
          <w:rFonts w:ascii="Arial" w:hAnsi="Arial" w:cs="Arial"/>
          <w:sz w:val="16"/>
          <w:szCs w:val="16"/>
          <w:lang w:val="es-ES"/>
        </w:rPr>
        <w:t xml:space="preserve">[25] </w:t>
      </w:r>
      <w:r w:rsidRPr="00947FCF">
        <w:rPr>
          <w:rFonts w:ascii="Arial" w:hAnsi="Arial" w:cs="Arial"/>
          <w:sz w:val="16"/>
          <w:szCs w:val="16"/>
        </w:rPr>
        <w:t>Cfr. Consejo de Estado. Sección Tercera. Sentencia de 3 de diciembre de 2007. Radicados: 24.715, 25.206, 25.409, 24.524, 27.834, 25.410, 26.105, 28.244, 31.447 -acumulados-</w:t>
      </w:r>
      <w:bookmarkStart w:name="_Hlk74271358" w:id="28"/>
      <w:r w:rsidRPr="00947FCF">
        <w:rPr>
          <w:rFonts w:ascii="Arial" w:hAnsi="Arial" w:cs="Arial"/>
          <w:sz w:val="16"/>
          <w:szCs w:val="16"/>
        </w:rPr>
        <w:t>»</w:t>
      </w:r>
      <w:bookmarkEnd w:id="28"/>
      <w:r w:rsidRPr="00947FCF">
        <w:rPr>
          <w:rFonts w:ascii="Arial" w:hAnsi="Arial" w:cs="Arial"/>
          <w:sz w:val="16"/>
          <w:szCs w:val="16"/>
        </w:rPr>
        <w:t>.</w:t>
      </w:r>
    </w:p>
  </w:footnote>
  <w:footnote w:id="12">
    <w:p w:rsidRPr="00947FCF" w:rsidR="0011564C" w:rsidP="00451B92" w:rsidRDefault="00E97186" w14:paraId="78C27BB8" w14:textId="1CF13AFF">
      <w:pPr>
        <w:pStyle w:val="Textonotapie"/>
        <w:spacing w:after="0" w:line="240" w:lineRule="auto"/>
        <w:ind w:right="51"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w:t>
      </w:r>
      <w:bookmarkStart w:name="_Hlk74294506" w:id="30"/>
      <w:r w:rsidRPr="00947FCF">
        <w:rPr>
          <w:rFonts w:ascii="Arial" w:hAnsi="Arial" w:cs="Arial"/>
          <w:sz w:val="16"/>
          <w:szCs w:val="16"/>
        </w:rPr>
        <w:t>«</w:t>
      </w:r>
      <w:r w:rsidRPr="00947FCF">
        <w:rPr>
          <w:rFonts w:ascii="Arial" w:hAnsi="Arial" w:cs="Arial"/>
          <w:sz w:val="16"/>
          <w:szCs w:val="16"/>
          <w:lang w:val="es-ES"/>
        </w:rPr>
        <w:t xml:space="preserve">[26] </w:t>
      </w:r>
      <w:bookmarkEnd w:id="30"/>
      <w:r w:rsidRPr="00947FCF">
        <w:rPr>
          <w:rFonts w:ascii="Arial" w:hAnsi="Arial" w:cs="Arial"/>
          <w:sz w:val="16"/>
          <w:szCs w:val="16"/>
        </w:rPr>
        <w:t>Al respecto ver el concepto 1712 de 2 de febrero de 2006. Consejo de Estado Sala de Consulta y Servicio Civil».</w:t>
      </w:r>
    </w:p>
  </w:footnote>
  <w:footnote w:id="13">
    <w:p w:rsidRPr="00947FCF" w:rsidR="0011564C" w:rsidP="00A51D9A" w:rsidRDefault="00E97186" w14:paraId="252605E4" w14:textId="719497FC">
      <w:pPr>
        <w:pStyle w:val="Textonotapie"/>
        <w:spacing w:after="0" w:line="240" w:lineRule="auto"/>
        <w:ind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Consejo de Estado. Sala de Consulta y Servicio Civil. Concepto del 2 de septiembre de 2013. Radicación número: 11001-03-06-000-2013-00412-00 (2168). Consejero Ponente: Álvaro </w:t>
      </w:r>
      <w:proofErr w:type="spellStart"/>
      <w:r w:rsidRPr="00947FCF">
        <w:rPr>
          <w:rFonts w:ascii="Arial" w:hAnsi="Arial" w:cs="Arial"/>
          <w:sz w:val="16"/>
          <w:szCs w:val="16"/>
        </w:rPr>
        <w:t>Namén</w:t>
      </w:r>
      <w:proofErr w:type="spellEnd"/>
      <w:r w:rsidRPr="00947FCF">
        <w:rPr>
          <w:rFonts w:ascii="Arial" w:hAnsi="Arial" w:cs="Arial"/>
          <w:sz w:val="16"/>
          <w:szCs w:val="16"/>
        </w:rPr>
        <w:t xml:space="preserve"> Vargas.</w:t>
      </w:r>
    </w:p>
  </w:footnote>
  <w:footnote w:id="14">
    <w:p w:rsidRPr="00947FCF" w:rsidR="0011564C" w:rsidP="00A51D9A" w:rsidRDefault="00E97186" w14:paraId="68C067F2" w14:textId="48DE3116">
      <w:pPr>
        <w:pStyle w:val="Textonotapie"/>
        <w:spacing w:after="0" w:line="240" w:lineRule="auto"/>
        <w:ind w:firstLine="709"/>
        <w:rPr>
          <w:rFonts w:ascii="Arial" w:hAnsi="Arial" w:cs="Arial"/>
          <w:sz w:val="16"/>
          <w:szCs w:val="16"/>
          <w:lang w:val="es-ES"/>
        </w:rPr>
      </w:pPr>
      <w:r w:rsidRPr="00947FCF">
        <w:rPr>
          <w:rStyle w:val="Refdenotaalpie"/>
          <w:rFonts w:ascii="Arial" w:hAnsi="Arial" w:cs="Arial"/>
          <w:sz w:val="16"/>
          <w:szCs w:val="16"/>
        </w:rPr>
        <w:footnoteRef/>
      </w:r>
      <w:r w:rsidRPr="00947FCF">
        <w:rPr>
          <w:rFonts w:ascii="Arial" w:hAnsi="Arial" w:cs="Arial"/>
          <w:sz w:val="16"/>
          <w:szCs w:val="16"/>
        </w:rPr>
        <w:t xml:space="preserve"> </w:t>
      </w:r>
      <w:r w:rsidRPr="00947FCF">
        <w:rPr>
          <w:rFonts w:ascii="Arial" w:hAnsi="Arial" w:cs="Arial"/>
          <w:sz w:val="16"/>
          <w:szCs w:val="16"/>
          <w:lang w:val="es-ES"/>
        </w:rPr>
        <w:t xml:space="preserve">Artículo 2. </w:t>
      </w:r>
    </w:p>
  </w:footnote>
  <w:footnote w:id="15">
    <w:p w:rsidRPr="00947FCF" w:rsidR="00E97186" w:rsidP="000E29D2" w:rsidRDefault="00E97186" w14:paraId="6E8EF0CB" w14:textId="77777777">
      <w:pPr>
        <w:pStyle w:val="Textonotapie"/>
        <w:spacing w:after="0" w:line="240" w:lineRule="auto"/>
        <w:ind w:firstLine="709"/>
        <w:rPr>
          <w:rFonts w:ascii="Arial" w:hAnsi="Arial" w:cs="Arial"/>
          <w:sz w:val="16"/>
          <w:szCs w:val="16"/>
          <w:lang w:val="es-ES"/>
        </w:rPr>
      </w:pPr>
      <w:r w:rsidRPr="00947FCF">
        <w:rPr>
          <w:rStyle w:val="Refdenotaalpie"/>
          <w:rFonts w:ascii="Arial" w:hAnsi="Arial" w:cs="Arial"/>
          <w:sz w:val="16"/>
          <w:szCs w:val="16"/>
        </w:rPr>
        <w:footnoteRef/>
      </w:r>
      <w:r w:rsidRPr="00947FCF">
        <w:rPr>
          <w:rFonts w:ascii="Arial" w:hAnsi="Arial" w:cs="Arial"/>
          <w:sz w:val="16"/>
          <w:szCs w:val="16"/>
        </w:rPr>
        <w:t xml:space="preserve"> </w:t>
      </w:r>
      <w:r w:rsidRPr="00947FCF">
        <w:rPr>
          <w:rFonts w:ascii="Arial" w:hAnsi="Arial" w:cs="Arial"/>
          <w:i/>
          <w:sz w:val="16"/>
          <w:szCs w:val="16"/>
          <w:lang w:val="es-ES"/>
        </w:rPr>
        <w:t>Ídem</w:t>
      </w:r>
      <w:r w:rsidRPr="00947FCF">
        <w:rPr>
          <w:rFonts w:ascii="Arial" w:hAnsi="Arial" w:cs="Arial"/>
          <w:sz w:val="16"/>
          <w:szCs w:val="16"/>
          <w:lang w:val="es-ES"/>
        </w:rPr>
        <w:t>.</w:t>
      </w:r>
    </w:p>
  </w:footnote>
  <w:footnote w:id="16">
    <w:p w:rsidRPr="00947FCF" w:rsidR="00E97186" w:rsidP="000E29D2" w:rsidRDefault="00E97186" w14:paraId="7CB87D60" w14:textId="5B33579C">
      <w:pPr>
        <w:pStyle w:val="Textonotapie"/>
        <w:spacing w:after="0" w:line="240" w:lineRule="auto"/>
        <w:ind w:firstLine="709"/>
        <w:rPr>
          <w:rFonts w:ascii="Arial" w:hAnsi="Arial" w:cs="Arial"/>
          <w:sz w:val="16"/>
          <w:szCs w:val="16"/>
          <w:lang w:val="es-ES"/>
        </w:rPr>
      </w:pPr>
      <w:r w:rsidRPr="00947FCF">
        <w:rPr>
          <w:rStyle w:val="Refdenotaalpie"/>
          <w:rFonts w:ascii="Arial" w:hAnsi="Arial" w:cs="Arial"/>
          <w:sz w:val="16"/>
          <w:szCs w:val="16"/>
        </w:rPr>
        <w:footnoteRef/>
      </w:r>
      <w:r w:rsidRPr="00947FCF">
        <w:rPr>
          <w:rStyle w:val="Refdenotaalpie"/>
          <w:rFonts w:ascii="Arial" w:hAnsi="Arial" w:cs="Arial"/>
          <w:sz w:val="16"/>
          <w:szCs w:val="16"/>
        </w:rPr>
        <w:t xml:space="preserve"> </w:t>
      </w:r>
      <w:bookmarkStart w:name="_Hlk74297130" w:id="36"/>
      <w:r w:rsidRPr="00947FCF">
        <w:rPr>
          <w:rFonts w:ascii="Arial" w:hAnsi="Arial" w:cs="Arial"/>
          <w:sz w:val="16"/>
          <w:szCs w:val="16"/>
          <w:lang w:val="es-ES"/>
        </w:rPr>
        <w:t>«</w:t>
      </w:r>
      <w:bookmarkEnd w:id="36"/>
      <w:r w:rsidRPr="00947FCF">
        <w:rPr>
          <w:rFonts w:ascii="Arial" w:hAnsi="Arial" w:cs="Arial"/>
          <w:sz w:val="16"/>
          <w:szCs w:val="16"/>
          <w:lang w:val="es-ES"/>
        </w:rPr>
        <w:t xml:space="preserve">[…] A este respecto, cabe recordar que el artículo 860 del Código de Comercio regula la licitación en el derecho privado». </w:t>
      </w:r>
    </w:p>
    <w:p w:rsidRPr="00947FCF" w:rsidR="005E0DF6" w:rsidP="000E29D2" w:rsidRDefault="005E0DF6" w14:paraId="5BB4D73C" w14:textId="77777777">
      <w:pPr>
        <w:pStyle w:val="Textonotapie"/>
        <w:spacing w:after="0" w:line="240" w:lineRule="auto"/>
        <w:ind w:firstLine="709"/>
        <w:rPr>
          <w:rFonts w:ascii="Arial" w:hAnsi="Arial" w:cs="Arial"/>
          <w:sz w:val="16"/>
          <w:szCs w:val="16"/>
          <w:lang w:val="es-ES"/>
        </w:rPr>
      </w:pPr>
    </w:p>
  </w:footnote>
  <w:footnote w:id="17">
    <w:p w:rsidRPr="00947FCF" w:rsidR="005E0DF6" w:rsidP="00A51D9A" w:rsidRDefault="00E97186" w14:paraId="1331AD23" w14:textId="5FC00F90">
      <w:pPr>
        <w:shd w:val="clear" w:color="auto" w:fill="FFFFFF"/>
        <w:spacing w:after="0" w:line="240" w:lineRule="auto"/>
        <w:ind w:firstLine="709"/>
        <w:jc w:val="both"/>
        <w:rPr>
          <w:rFonts w:ascii="Arial" w:hAnsi="Arial" w:cs="Arial"/>
          <w:sz w:val="16"/>
          <w:szCs w:val="16"/>
          <w:lang w:val="es-ES"/>
        </w:rPr>
      </w:pPr>
      <w:r w:rsidRPr="00947FCF">
        <w:rPr>
          <w:rStyle w:val="Refdenotaalpie"/>
          <w:rFonts w:ascii="Arial" w:hAnsi="Arial" w:cs="Arial"/>
          <w:sz w:val="16"/>
          <w:szCs w:val="16"/>
        </w:rPr>
        <w:footnoteRef/>
      </w:r>
      <w:r w:rsidRPr="00947FCF">
        <w:rPr>
          <w:rStyle w:val="Refdenotaalpie"/>
          <w:rFonts w:ascii="Arial" w:hAnsi="Arial" w:cs="Arial"/>
          <w:sz w:val="16"/>
          <w:szCs w:val="16"/>
        </w:rPr>
        <w:t xml:space="preserve"> </w:t>
      </w:r>
      <w:r w:rsidRPr="00947FCF">
        <w:rPr>
          <w:rFonts w:ascii="Arial" w:hAnsi="Arial" w:cs="Arial"/>
          <w:sz w:val="16"/>
          <w:szCs w:val="16"/>
          <w:lang w:val="es-ES"/>
        </w:rPr>
        <w:t xml:space="preserve">Consejo de Estado. Sala de Consulta y Servicio Civil, Concepto de 8 de mayo de 2018. Radicación Número: 11001-03-06-000-2018-00095-00(2382). Consejero Ponente: Álvaro </w:t>
      </w:r>
      <w:proofErr w:type="spellStart"/>
      <w:r w:rsidRPr="00947FCF">
        <w:rPr>
          <w:rFonts w:ascii="Arial" w:hAnsi="Arial" w:cs="Arial"/>
          <w:sz w:val="16"/>
          <w:szCs w:val="16"/>
          <w:lang w:val="es-ES"/>
        </w:rPr>
        <w:t>Namén</w:t>
      </w:r>
      <w:proofErr w:type="spellEnd"/>
      <w:r w:rsidRPr="00947FCF">
        <w:rPr>
          <w:rFonts w:ascii="Arial" w:hAnsi="Arial" w:cs="Arial"/>
          <w:sz w:val="16"/>
          <w:szCs w:val="16"/>
          <w:lang w:val="es-ES"/>
        </w:rPr>
        <w:t xml:space="preserve"> Vargas.</w:t>
      </w:r>
    </w:p>
  </w:footnote>
  <w:footnote w:id="18">
    <w:p w:rsidRPr="00947FCF" w:rsidR="00E97186" w:rsidP="000E29D2" w:rsidRDefault="00E97186" w14:paraId="67008238" w14:textId="77777777">
      <w:pPr>
        <w:pStyle w:val="Textonotapie"/>
        <w:spacing w:after="0" w:line="240" w:lineRule="auto"/>
        <w:ind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Consejo de Estado. Sala de Consulta y Servicio Civil. Concepto del 08 de mayo de 2018. </w:t>
      </w:r>
      <w:proofErr w:type="spellStart"/>
      <w:r w:rsidRPr="00947FCF">
        <w:rPr>
          <w:rFonts w:ascii="Arial" w:hAnsi="Arial" w:cs="Arial"/>
          <w:sz w:val="16"/>
          <w:szCs w:val="16"/>
        </w:rPr>
        <w:t>Exp</w:t>
      </w:r>
      <w:proofErr w:type="spellEnd"/>
      <w:r w:rsidRPr="00947FCF">
        <w:rPr>
          <w:rFonts w:ascii="Arial" w:hAnsi="Arial" w:cs="Arial"/>
          <w:sz w:val="16"/>
          <w:szCs w:val="16"/>
        </w:rPr>
        <w:t xml:space="preserve">. 2.382. C.P. Álvaro </w:t>
      </w:r>
      <w:proofErr w:type="spellStart"/>
      <w:r w:rsidRPr="00947FCF">
        <w:rPr>
          <w:rFonts w:ascii="Arial" w:hAnsi="Arial" w:cs="Arial"/>
          <w:sz w:val="16"/>
          <w:szCs w:val="16"/>
        </w:rPr>
        <w:t>Namén</w:t>
      </w:r>
      <w:proofErr w:type="spellEnd"/>
      <w:r w:rsidRPr="00947FCF">
        <w:rPr>
          <w:rFonts w:ascii="Arial" w:hAnsi="Arial" w:cs="Arial"/>
          <w:sz w:val="16"/>
          <w:szCs w:val="16"/>
        </w:rPr>
        <w:t xml:space="preserve"> Vargas.</w:t>
      </w:r>
    </w:p>
  </w:footnote>
  <w:footnote w:id="19">
    <w:p w:rsidRPr="00947FCF" w:rsidR="00E97186" w:rsidP="000E29D2" w:rsidRDefault="00E97186" w14:paraId="19909662" w14:textId="77777777">
      <w:pPr>
        <w:pStyle w:val="Textonotapie"/>
        <w:spacing w:after="0" w:line="240" w:lineRule="auto"/>
        <w:ind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w:t>
      </w:r>
      <w:proofErr w:type="spellStart"/>
      <w:r w:rsidRPr="00947FCF">
        <w:rPr>
          <w:rFonts w:ascii="Arial" w:hAnsi="Arial" w:cs="Arial"/>
          <w:sz w:val="16"/>
          <w:szCs w:val="16"/>
        </w:rPr>
        <w:t>N°</w:t>
      </w:r>
      <w:proofErr w:type="spellEnd"/>
      <w:r w:rsidRPr="00947FCF">
        <w:rPr>
          <w:rFonts w:ascii="Arial" w:hAnsi="Arial" w:cs="Arial"/>
          <w:sz w:val="16"/>
          <w:szCs w:val="16"/>
        </w:rPr>
        <w:t xml:space="preserve"> 216/05 Senado, </w:t>
      </w:r>
      <w:proofErr w:type="spellStart"/>
      <w:r w:rsidRPr="00947FCF">
        <w:rPr>
          <w:rFonts w:ascii="Arial" w:hAnsi="Arial" w:cs="Arial"/>
          <w:sz w:val="16"/>
          <w:szCs w:val="16"/>
        </w:rPr>
        <w:t>N°</w:t>
      </w:r>
      <w:proofErr w:type="spellEnd"/>
      <w:r w:rsidRPr="00947FCF">
        <w:rPr>
          <w:rFonts w:ascii="Arial" w:hAnsi="Arial" w:cs="Arial"/>
          <w:sz w:val="16"/>
          <w:szCs w:val="16"/>
        </w:rPr>
        <w:t xml:space="preserve"> 235-Cámara que dio lugar a la Ley de Garantías Electorales.</w:t>
      </w:r>
    </w:p>
  </w:footnote>
  <w:footnote w:id="20">
    <w:p w:rsidRPr="00947FCF" w:rsidR="0072030E" w:rsidP="00A51D9A" w:rsidRDefault="00E97186" w14:paraId="209ACDF2" w14:textId="7DCEC4B6">
      <w:pPr>
        <w:spacing w:after="0" w:line="240" w:lineRule="auto"/>
        <w:ind w:firstLine="709"/>
        <w:jc w:val="both"/>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rsidRPr="00947FCF" w:rsidR="00E97186" w:rsidP="000E29D2" w:rsidRDefault="00E97186" w14:paraId="3FE74EB7" w14:textId="599C1E84">
      <w:pPr>
        <w:pStyle w:val="Textonotapie"/>
        <w:spacing w:after="0" w:line="240" w:lineRule="auto"/>
        <w:ind w:right="51" w:firstLine="709"/>
        <w:rPr>
          <w:rFonts w:ascii="Arial" w:hAnsi="Arial" w:eastAsia="Times New Roman" w:cs="Arial"/>
          <w:bCs/>
          <w:sz w:val="16"/>
          <w:szCs w:val="16"/>
          <w:lang w:eastAsia="x-none"/>
        </w:rPr>
      </w:pPr>
      <w:r w:rsidRPr="00947FCF">
        <w:rPr>
          <w:rStyle w:val="Refdenotaalpie"/>
          <w:rFonts w:ascii="Arial" w:hAnsi="Arial" w:cs="Arial"/>
          <w:sz w:val="16"/>
          <w:szCs w:val="16"/>
        </w:rPr>
        <w:footnoteRef/>
      </w:r>
      <w:r w:rsidRPr="00947FCF">
        <w:rPr>
          <w:rFonts w:ascii="Arial" w:hAnsi="Arial" w:cs="Arial"/>
          <w:sz w:val="16"/>
          <w:szCs w:val="16"/>
        </w:rPr>
        <w:t xml:space="preserve"> </w:t>
      </w:r>
      <w:bookmarkStart w:name="_Hlk75633115" w:id="53"/>
      <w:r w:rsidRPr="00947FCF">
        <w:rPr>
          <w:rFonts w:ascii="Arial" w:hAnsi="Arial" w:cs="Arial"/>
          <w:sz w:val="16"/>
          <w:szCs w:val="16"/>
        </w:rPr>
        <w:t xml:space="preserve">Consejo de Estado. Sala de Consulta y Servicio Civil. Concepto </w:t>
      </w:r>
      <w:bookmarkEnd w:id="53"/>
      <w:r w:rsidRPr="00947FCF">
        <w:rPr>
          <w:rFonts w:ascii="Arial" w:hAnsi="Arial" w:cs="Arial"/>
          <w:sz w:val="16"/>
          <w:szCs w:val="16"/>
        </w:rPr>
        <w:t>de 6 de abril de 2006. Radicación Número: 11001-03-06-000-2006-00038-00(1738). Consejero Ponente: Enrique José Arboleda Perdomo:</w:t>
      </w:r>
      <w:r w:rsidRPr="00947FCF">
        <w:rPr>
          <w:rFonts w:ascii="Arial" w:hAnsi="Arial" w:eastAsia="Times New Roman" w:cs="Arial"/>
          <w:bCs/>
          <w:sz w:val="16"/>
          <w:szCs w:val="16"/>
          <w:lang w:eastAsia="x-none"/>
        </w:rPr>
        <w:t xml:space="preserve"> «</w:t>
      </w:r>
      <w:r w:rsidRPr="00947FCF">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947FCF">
        <w:rPr>
          <w:rFonts w:ascii="Arial" w:hAnsi="Arial" w:eastAsia="Times New Roman" w:cs="Arial"/>
          <w:bCs/>
          <w:sz w:val="16"/>
          <w:szCs w:val="16"/>
          <w:lang w:eastAsia="x-none"/>
        </w:rPr>
        <w:t>».</w:t>
      </w:r>
    </w:p>
    <w:p w:rsidRPr="00947FCF" w:rsidR="00512EC2" w:rsidP="000E29D2" w:rsidRDefault="00512EC2" w14:paraId="554B9847" w14:textId="77777777">
      <w:pPr>
        <w:pStyle w:val="Textonotapie"/>
        <w:spacing w:after="0" w:line="240" w:lineRule="auto"/>
        <w:ind w:right="51" w:firstLine="709"/>
        <w:rPr>
          <w:rFonts w:ascii="Arial" w:hAnsi="Arial" w:cs="Arial"/>
          <w:sz w:val="16"/>
          <w:szCs w:val="16"/>
        </w:rPr>
      </w:pPr>
    </w:p>
  </w:footnote>
  <w:footnote w:id="22">
    <w:p w:rsidRPr="00947FCF" w:rsidR="00E97186" w:rsidP="000E29D2" w:rsidRDefault="00E97186" w14:paraId="27C38E3C" w14:textId="77777777">
      <w:pPr>
        <w:pStyle w:val="Textonotapie"/>
        <w:spacing w:after="0" w:line="240" w:lineRule="auto"/>
        <w:ind w:right="51"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footnote>
  <w:footnote w:id="23">
    <w:p w:rsidRPr="00947FCF" w:rsidR="00E97186" w:rsidP="000E29D2" w:rsidRDefault="00E97186" w14:paraId="14345FC7" w14:textId="7CEB7579">
      <w:pPr>
        <w:pStyle w:val="Textonotapie"/>
        <w:spacing w:after="0" w:line="240" w:lineRule="auto"/>
        <w:ind w:right="51" w:firstLine="709"/>
        <w:rPr>
          <w:rFonts w:ascii="Arial" w:hAnsi="Arial" w:cs="Arial"/>
          <w:sz w:val="16"/>
          <w:szCs w:val="16"/>
        </w:rPr>
      </w:pPr>
      <w:r w:rsidRPr="00947FCF">
        <w:rPr>
          <w:rStyle w:val="Refdenotaalpie"/>
          <w:rFonts w:ascii="Arial" w:hAnsi="Arial" w:cs="Arial"/>
          <w:sz w:val="16"/>
          <w:szCs w:val="16"/>
        </w:rPr>
        <w:footnoteRef/>
      </w:r>
      <w:r w:rsidRPr="00947FCF">
        <w:rPr>
          <w:rFonts w:ascii="Arial" w:hAnsi="Arial" w:cs="Arial"/>
          <w:sz w:val="16"/>
          <w:szCs w:val="16"/>
        </w:rPr>
        <w:t xml:space="preserve"> Consejo de Estado. Sala de Consulta y Servicio Civil, ídem.</w:t>
      </w:r>
    </w:p>
    <w:p w:rsidRPr="00947FCF" w:rsidR="00811B32" w:rsidP="000E29D2" w:rsidRDefault="00811B32" w14:paraId="7006ABB3" w14:textId="77777777">
      <w:pPr>
        <w:pStyle w:val="Textonotapie"/>
        <w:spacing w:after="0" w:line="240" w:lineRule="auto"/>
        <w:ind w:right="51" w:firstLine="709"/>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2669" w:rsidRDefault="00982669" w14:paraId="5479E131" w14:textId="77777777">
    <w:pPr>
      <w:pStyle w:val="Encabezado"/>
    </w:pPr>
    <w:r>
      <w:rPr>
        <w:noProof/>
        <w:lang w:val="es-CO" w:eastAsia="es-CO"/>
      </w:rPr>
      <w:drawing>
        <wp:anchor distT="0" distB="0" distL="114300" distR="114300" simplePos="0" relativeHeight="251659264" behindDoc="1" locked="0" layoutInCell="1" allowOverlap="1" wp14:anchorId="754EFABC" wp14:editId="71F5F608">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2669" w:rsidP="00982669" w:rsidRDefault="00982669" w14:paraId="62C10A49" w14:textId="77777777">
    <w:pPr>
      <w:pStyle w:val="Encabezado"/>
      <w:spacing w:after="0"/>
    </w:pPr>
  </w:p>
  <w:p w:rsidR="00982669" w:rsidRDefault="00982669" w14:paraId="22B48B8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hint="default" w:eastAsia="Calibri"/>
        <w:color w:val="000000" w:themeColor="text1"/>
      </w:rPr>
    </w:lvl>
    <w:lvl w:ilvl="2">
      <w:start w:val="1"/>
      <w:numFmt w:val="decimal"/>
      <w:isLgl/>
      <w:lvlText w:val="%1.%2.%3."/>
      <w:lvlJc w:val="left"/>
      <w:pPr>
        <w:ind w:left="1080" w:hanging="720"/>
      </w:pPr>
      <w:rPr>
        <w:rFonts w:hint="default" w:eastAsia="Calibri"/>
        <w:color w:val="000000" w:themeColor="text1"/>
      </w:rPr>
    </w:lvl>
    <w:lvl w:ilvl="3">
      <w:start w:val="1"/>
      <w:numFmt w:val="decimal"/>
      <w:isLgl/>
      <w:lvlText w:val="%1.%2.%3.%4."/>
      <w:lvlJc w:val="left"/>
      <w:pPr>
        <w:ind w:left="1440" w:hanging="1080"/>
      </w:pPr>
      <w:rPr>
        <w:rFonts w:hint="default" w:eastAsia="Calibri"/>
        <w:color w:val="000000" w:themeColor="text1"/>
      </w:rPr>
    </w:lvl>
    <w:lvl w:ilvl="4">
      <w:start w:val="1"/>
      <w:numFmt w:val="decimal"/>
      <w:isLgl/>
      <w:lvlText w:val="%1.%2.%3.%4.%5."/>
      <w:lvlJc w:val="left"/>
      <w:pPr>
        <w:ind w:left="1440" w:hanging="1080"/>
      </w:pPr>
      <w:rPr>
        <w:rFonts w:hint="default" w:eastAsia="Calibri"/>
        <w:color w:val="000000" w:themeColor="text1"/>
      </w:rPr>
    </w:lvl>
    <w:lvl w:ilvl="5">
      <w:start w:val="1"/>
      <w:numFmt w:val="decimal"/>
      <w:isLgl/>
      <w:lvlText w:val="%1.%2.%3.%4.%5.%6."/>
      <w:lvlJc w:val="left"/>
      <w:pPr>
        <w:ind w:left="1800" w:hanging="1440"/>
      </w:pPr>
      <w:rPr>
        <w:rFonts w:hint="default" w:eastAsia="Calibri"/>
        <w:color w:val="000000" w:themeColor="text1"/>
      </w:rPr>
    </w:lvl>
    <w:lvl w:ilvl="6">
      <w:start w:val="1"/>
      <w:numFmt w:val="decimal"/>
      <w:isLgl/>
      <w:lvlText w:val="%1.%2.%3.%4.%5.%6.%7."/>
      <w:lvlJc w:val="left"/>
      <w:pPr>
        <w:ind w:left="1800" w:hanging="1440"/>
      </w:pPr>
      <w:rPr>
        <w:rFonts w:hint="default" w:eastAsia="Calibri"/>
        <w:color w:val="000000" w:themeColor="text1"/>
      </w:rPr>
    </w:lvl>
    <w:lvl w:ilvl="7">
      <w:start w:val="1"/>
      <w:numFmt w:val="decimal"/>
      <w:isLgl/>
      <w:lvlText w:val="%1.%2.%3.%4.%5.%6.%7.%8."/>
      <w:lvlJc w:val="left"/>
      <w:pPr>
        <w:ind w:left="2160" w:hanging="1800"/>
      </w:pPr>
      <w:rPr>
        <w:rFonts w:hint="default" w:eastAsia="Calibri"/>
        <w:color w:val="000000" w:themeColor="text1"/>
      </w:rPr>
    </w:lvl>
    <w:lvl w:ilvl="8">
      <w:start w:val="1"/>
      <w:numFmt w:val="decimal"/>
      <w:isLgl/>
      <w:lvlText w:val="%1.%2.%3.%4.%5.%6.%7.%8.%9."/>
      <w:lvlJc w:val="left"/>
      <w:pPr>
        <w:ind w:left="2160" w:hanging="1800"/>
      </w:pPr>
      <w:rPr>
        <w:rFonts w:hint="default" w:eastAsia="Calibri"/>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cs="Times New Roman"/>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cs="Times New Roman"/>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cs="Times New Roman"/>
      </w:rPr>
    </w:lvl>
    <w:lvl w:ilvl="8" w:tplc="477E1BD4">
      <w:start w:val="1"/>
      <w:numFmt w:val="bullet"/>
      <w:lvlText w:val=""/>
      <w:lvlJc w:val="left"/>
      <w:pPr>
        <w:ind w:left="6480" w:hanging="360"/>
      </w:pPr>
      <w:rPr>
        <w:rFonts w:hint="default" w:ascii="Wingdings" w:hAnsi="Wingdings"/>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rPr>
    </w:lvl>
    <w:lvl w:ilvl="8" w:tplc="477E1BD4">
      <w:start w:val="1"/>
      <w:numFmt w:val="bullet"/>
      <w:lvlText w:val=""/>
      <w:lvlJc w:val="left"/>
      <w:pPr>
        <w:ind w:left="6480" w:hanging="360"/>
      </w:pPr>
      <w:rPr>
        <w:rFonts w:hint="default" w:ascii="Wingdings" w:hAnsi="Wingdings"/>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62609495">
    <w:abstractNumId w:val="11"/>
  </w:num>
  <w:num w:numId="2" w16cid:durableId="610085894">
    <w:abstractNumId w:val="9"/>
  </w:num>
  <w:num w:numId="3" w16cid:durableId="80564515">
    <w:abstractNumId w:val="15"/>
  </w:num>
  <w:num w:numId="4" w16cid:durableId="2017538280">
    <w:abstractNumId w:val="21"/>
  </w:num>
  <w:num w:numId="5" w16cid:durableId="768546363">
    <w:abstractNumId w:val="23"/>
  </w:num>
  <w:num w:numId="6" w16cid:durableId="14889820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9676177">
    <w:abstractNumId w:val="6"/>
  </w:num>
  <w:num w:numId="8" w16cid:durableId="1333145516">
    <w:abstractNumId w:val="24"/>
  </w:num>
  <w:num w:numId="9" w16cid:durableId="1819416755">
    <w:abstractNumId w:val="6"/>
    <w:lvlOverride w:ilvl="0">
      <w:startOverride w:val="1"/>
    </w:lvlOverride>
  </w:num>
  <w:num w:numId="10" w16cid:durableId="2014410154">
    <w:abstractNumId w:val="25"/>
  </w:num>
  <w:num w:numId="11" w16cid:durableId="970672722">
    <w:abstractNumId w:val="7"/>
  </w:num>
  <w:num w:numId="12" w16cid:durableId="2013677245">
    <w:abstractNumId w:val="2"/>
  </w:num>
  <w:num w:numId="13" w16cid:durableId="117532272">
    <w:abstractNumId w:val="4"/>
  </w:num>
  <w:num w:numId="14" w16cid:durableId="1321619528">
    <w:abstractNumId w:val="20"/>
  </w:num>
  <w:num w:numId="15" w16cid:durableId="1514153234">
    <w:abstractNumId w:val="13"/>
  </w:num>
  <w:num w:numId="16" w16cid:durableId="1886335344">
    <w:abstractNumId w:val="10"/>
  </w:num>
  <w:num w:numId="17" w16cid:durableId="1816213089">
    <w:abstractNumId w:val="14"/>
  </w:num>
  <w:num w:numId="18" w16cid:durableId="631985189">
    <w:abstractNumId w:val="16"/>
  </w:num>
  <w:num w:numId="19" w16cid:durableId="1473523979">
    <w:abstractNumId w:val="5"/>
  </w:num>
  <w:num w:numId="20" w16cid:durableId="1045448977">
    <w:abstractNumId w:val="27"/>
  </w:num>
  <w:num w:numId="21" w16cid:durableId="573273155">
    <w:abstractNumId w:val="22"/>
  </w:num>
  <w:num w:numId="22" w16cid:durableId="1552424093">
    <w:abstractNumId w:val="18"/>
  </w:num>
  <w:num w:numId="23" w16cid:durableId="440223816">
    <w:abstractNumId w:val="17"/>
  </w:num>
  <w:num w:numId="24" w16cid:durableId="125895644">
    <w:abstractNumId w:val="8"/>
  </w:num>
  <w:num w:numId="25" w16cid:durableId="707996796">
    <w:abstractNumId w:val="19"/>
  </w:num>
  <w:num w:numId="26" w16cid:durableId="2039768614">
    <w:abstractNumId w:val="1"/>
  </w:num>
  <w:num w:numId="27" w16cid:durableId="1205404447">
    <w:abstractNumId w:val="12"/>
  </w:num>
  <w:num w:numId="28" w16cid:durableId="958878803">
    <w:abstractNumId w:val="26"/>
  </w:num>
  <w:num w:numId="29" w16cid:durableId="12219856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86"/>
    <w:rsid w:val="000056B4"/>
    <w:rsid w:val="00014B6C"/>
    <w:rsid w:val="0001754D"/>
    <w:rsid w:val="0004044A"/>
    <w:rsid w:val="00063B97"/>
    <w:rsid w:val="00075DE6"/>
    <w:rsid w:val="000818B7"/>
    <w:rsid w:val="000829C3"/>
    <w:rsid w:val="00094D51"/>
    <w:rsid w:val="000A25B7"/>
    <w:rsid w:val="000A389C"/>
    <w:rsid w:val="000C5674"/>
    <w:rsid w:val="000D7437"/>
    <w:rsid w:val="000E0022"/>
    <w:rsid w:val="000E29D2"/>
    <w:rsid w:val="000E3728"/>
    <w:rsid w:val="000E7BFD"/>
    <w:rsid w:val="00105B22"/>
    <w:rsid w:val="0011127D"/>
    <w:rsid w:val="0011564C"/>
    <w:rsid w:val="00135D84"/>
    <w:rsid w:val="001457CB"/>
    <w:rsid w:val="00164AFD"/>
    <w:rsid w:val="001854F3"/>
    <w:rsid w:val="00190015"/>
    <w:rsid w:val="001B78CF"/>
    <w:rsid w:val="001C0823"/>
    <w:rsid w:val="001D2B92"/>
    <w:rsid w:val="001D49DC"/>
    <w:rsid w:val="001F20F8"/>
    <w:rsid w:val="001F55AB"/>
    <w:rsid w:val="00212B5E"/>
    <w:rsid w:val="002160B3"/>
    <w:rsid w:val="00237D68"/>
    <w:rsid w:val="00252857"/>
    <w:rsid w:val="0025518A"/>
    <w:rsid w:val="00263166"/>
    <w:rsid w:val="00265B46"/>
    <w:rsid w:val="00284281"/>
    <w:rsid w:val="002C00BF"/>
    <w:rsid w:val="002C238F"/>
    <w:rsid w:val="002C7E2A"/>
    <w:rsid w:val="002D0D8A"/>
    <w:rsid w:val="002E4B4C"/>
    <w:rsid w:val="00312D1E"/>
    <w:rsid w:val="00315E2E"/>
    <w:rsid w:val="00321599"/>
    <w:rsid w:val="00330E7B"/>
    <w:rsid w:val="00357269"/>
    <w:rsid w:val="0036086E"/>
    <w:rsid w:val="003665DC"/>
    <w:rsid w:val="00372E64"/>
    <w:rsid w:val="003A08D7"/>
    <w:rsid w:val="003D78B0"/>
    <w:rsid w:val="003F4EB9"/>
    <w:rsid w:val="00405F1B"/>
    <w:rsid w:val="004076E8"/>
    <w:rsid w:val="00411155"/>
    <w:rsid w:val="00411B73"/>
    <w:rsid w:val="0041778B"/>
    <w:rsid w:val="00425F5B"/>
    <w:rsid w:val="00427C85"/>
    <w:rsid w:val="004433F9"/>
    <w:rsid w:val="004502BA"/>
    <w:rsid w:val="00451444"/>
    <w:rsid w:val="00451B92"/>
    <w:rsid w:val="00452F8C"/>
    <w:rsid w:val="00457DE2"/>
    <w:rsid w:val="00465968"/>
    <w:rsid w:val="004678BF"/>
    <w:rsid w:val="00493123"/>
    <w:rsid w:val="0049418F"/>
    <w:rsid w:val="004C0D59"/>
    <w:rsid w:val="004C16B2"/>
    <w:rsid w:val="004C4741"/>
    <w:rsid w:val="004C6698"/>
    <w:rsid w:val="004D7D48"/>
    <w:rsid w:val="004F7FB7"/>
    <w:rsid w:val="0050051A"/>
    <w:rsid w:val="0050770E"/>
    <w:rsid w:val="00512EC2"/>
    <w:rsid w:val="0053129F"/>
    <w:rsid w:val="00575848"/>
    <w:rsid w:val="00575945"/>
    <w:rsid w:val="005852A2"/>
    <w:rsid w:val="005901D2"/>
    <w:rsid w:val="00592F20"/>
    <w:rsid w:val="005946FC"/>
    <w:rsid w:val="005A13F7"/>
    <w:rsid w:val="005A4CF8"/>
    <w:rsid w:val="005C71EA"/>
    <w:rsid w:val="005D146F"/>
    <w:rsid w:val="005D2EFA"/>
    <w:rsid w:val="005E0DF6"/>
    <w:rsid w:val="00610F5E"/>
    <w:rsid w:val="00613297"/>
    <w:rsid w:val="0061368D"/>
    <w:rsid w:val="00627F00"/>
    <w:rsid w:val="00645C15"/>
    <w:rsid w:val="00651863"/>
    <w:rsid w:val="00654FD4"/>
    <w:rsid w:val="006921F1"/>
    <w:rsid w:val="006A3D34"/>
    <w:rsid w:val="006A418E"/>
    <w:rsid w:val="006A713C"/>
    <w:rsid w:val="006B4CE6"/>
    <w:rsid w:val="006B4E7F"/>
    <w:rsid w:val="006C22C5"/>
    <w:rsid w:val="006C27A1"/>
    <w:rsid w:val="0070392C"/>
    <w:rsid w:val="00703A4A"/>
    <w:rsid w:val="0070472F"/>
    <w:rsid w:val="00706681"/>
    <w:rsid w:val="00717C51"/>
    <w:rsid w:val="0072030E"/>
    <w:rsid w:val="00736C80"/>
    <w:rsid w:val="007410DD"/>
    <w:rsid w:val="00785E29"/>
    <w:rsid w:val="00785FF5"/>
    <w:rsid w:val="00794BAD"/>
    <w:rsid w:val="007A7311"/>
    <w:rsid w:val="007B7275"/>
    <w:rsid w:val="007D2AFE"/>
    <w:rsid w:val="007D4877"/>
    <w:rsid w:val="007E2182"/>
    <w:rsid w:val="007F3427"/>
    <w:rsid w:val="007F5DF5"/>
    <w:rsid w:val="008054E3"/>
    <w:rsid w:val="00811B32"/>
    <w:rsid w:val="008121B2"/>
    <w:rsid w:val="00816385"/>
    <w:rsid w:val="0081676A"/>
    <w:rsid w:val="00827A18"/>
    <w:rsid w:val="0083549D"/>
    <w:rsid w:val="008362BB"/>
    <w:rsid w:val="0083687B"/>
    <w:rsid w:val="0084288A"/>
    <w:rsid w:val="008472D0"/>
    <w:rsid w:val="00847D80"/>
    <w:rsid w:val="00857A8D"/>
    <w:rsid w:val="00875C20"/>
    <w:rsid w:val="00885307"/>
    <w:rsid w:val="00887337"/>
    <w:rsid w:val="008B50C6"/>
    <w:rsid w:val="008E3337"/>
    <w:rsid w:val="008F1ED6"/>
    <w:rsid w:val="008F705F"/>
    <w:rsid w:val="008F7401"/>
    <w:rsid w:val="00906A6F"/>
    <w:rsid w:val="009238C2"/>
    <w:rsid w:val="00932B27"/>
    <w:rsid w:val="00947FCF"/>
    <w:rsid w:val="00962A3F"/>
    <w:rsid w:val="009651E5"/>
    <w:rsid w:val="009652B0"/>
    <w:rsid w:val="00974BF9"/>
    <w:rsid w:val="00982669"/>
    <w:rsid w:val="009A3258"/>
    <w:rsid w:val="009B24F7"/>
    <w:rsid w:val="009E1958"/>
    <w:rsid w:val="009E65FE"/>
    <w:rsid w:val="009F38A7"/>
    <w:rsid w:val="009F6E99"/>
    <w:rsid w:val="009F79CF"/>
    <w:rsid w:val="00A1073F"/>
    <w:rsid w:val="00A17692"/>
    <w:rsid w:val="00A20763"/>
    <w:rsid w:val="00A27C5C"/>
    <w:rsid w:val="00A42789"/>
    <w:rsid w:val="00A51D9A"/>
    <w:rsid w:val="00A56581"/>
    <w:rsid w:val="00A8063A"/>
    <w:rsid w:val="00A87541"/>
    <w:rsid w:val="00A969C1"/>
    <w:rsid w:val="00AB4B8E"/>
    <w:rsid w:val="00AD6929"/>
    <w:rsid w:val="00AF1A1B"/>
    <w:rsid w:val="00AF53B2"/>
    <w:rsid w:val="00B04AF9"/>
    <w:rsid w:val="00B10C77"/>
    <w:rsid w:val="00B2268B"/>
    <w:rsid w:val="00B32F20"/>
    <w:rsid w:val="00B34E07"/>
    <w:rsid w:val="00B45687"/>
    <w:rsid w:val="00B57CF2"/>
    <w:rsid w:val="00B61815"/>
    <w:rsid w:val="00B75FEF"/>
    <w:rsid w:val="00B86698"/>
    <w:rsid w:val="00B9005E"/>
    <w:rsid w:val="00BB34AF"/>
    <w:rsid w:val="00BB38B2"/>
    <w:rsid w:val="00BC3442"/>
    <w:rsid w:val="00BE385A"/>
    <w:rsid w:val="00BE4E38"/>
    <w:rsid w:val="00C00358"/>
    <w:rsid w:val="00C067A3"/>
    <w:rsid w:val="00C22575"/>
    <w:rsid w:val="00C353B4"/>
    <w:rsid w:val="00C353D8"/>
    <w:rsid w:val="00C6475F"/>
    <w:rsid w:val="00C70B5E"/>
    <w:rsid w:val="00CC07FD"/>
    <w:rsid w:val="00CE5C57"/>
    <w:rsid w:val="00D14132"/>
    <w:rsid w:val="00D17E8F"/>
    <w:rsid w:val="00D327DD"/>
    <w:rsid w:val="00D413ED"/>
    <w:rsid w:val="00D62A0D"/>
    <w:rsid w:val="00D63231"/>
    <w:rsid w:val="00D70D4D"/>
    <w:rsid w:val="00D84186"/>
    <w:rsid w:val="00D92DCC"/>
    <w:rsid w:val="00D93771"/>
    <w:rsid w:val="00DB21CD"/>
    <w:rsid w:val="00DC6738"/>
    <w:rsid w:val="00DD0423"/>
    <w:rsid w:val="00DD5476"/>
    <w:rsid w:val="00DD5E8F"/>
    <w:rsid w:val="00DE184F"/>
    <w:rsid w:val="00E038C4"/>
    <w:rsid w:val="00E1789C"/>
    <w:rsid w:val="00E225DF"/>
    <w:rsid w:val="00E2448F"/>
    <w:rsid w:val="00E4620B"/>
    <w:rsid w:val="00E60BC7"/>
    <w:rsid w:val="00E97186"/>
    <w:rsid w:val="00EA23D7"/>
    <w:rsid w:val="00EB734A"/>
    <w:rsid w:val="00EC0418"/>
    <w:rsid w:val="00EC25EC"/>
    <w:rsid w:val="00EC5FB3"/>
    <w:rsid w:val="00ED4DFE"/>
    <w:rsid w:val="00EE08D3"/>
    <w:rsid w:val="00EE6C3A"/>
    <w:rsid w:val="00F176CC"/>
    <w:rsid w:val="00F362AA"/>
    <w:rsid w:val="00F406AD"/>
    <w:rsid w:val="00F409B5"/>
    <w:rsid w:val="00F51294"/>
    <w:rsid w:val="00F5636F"/>
    <w:rsid w:val="00F66487"/>
    <w:rsid w:val="00F81B3F"/>
    <w:rsid w:val="00F85ED0"/>
    <w:rsid w:val="00F91DAD"/>
    <w:rsid w:val="00F945CA"/>
    <w:rsid w:val="00F95737"/>
    <w:rsid w:val="00FA450C"/>
    <w:rsid w:val="00FD546A"/>
    <w:rsid w:val="00FD5B63"/>
    <w:rsid w:val="00FE1ABF"/>
    <w:rsid w:val="00FE7F59"/>
    <w:rsid w:val="72C9A56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878A"/>
  <w15:docId w15:val="{6421EB88-9F10-419A-A528-1B3CF8F709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qFormat/>
    <w:rsid w:val="00E97186"/>
    <w:pPr>
      <w:keepNext/>
      <w:numPr>
        <w:numId w:val="17"/>
      </w:numPr>
      <w:spacing w:before="240" w:after="60" w:line="240" w:lineRule="auto"/>
      <w:outlineLvl w:val="0"/>
    </w:pPr>
    <w:rPr>
      <w:rFonts w:ascii="Arial" w:hAnsi="Arial" w:eastAsia="Times New Roman" w:cs="Arial"/>
      <w:b/>
      <w:bCs/>
      <w:kern w:val="32"/>
      <w:sz w:val="32"/>
      <w:szCs w:val="32"/>
      <w:lang w:val="es-ES" w:eastAsia="es-ES"/>
    </w:rPr>
  </w:style>
  <w:style w:type="paragraph" w:styleId="Ttulo2">
    <w:name w:val="heading 2"/>
    <w:basedOn w:val="Normal"/>
    <w:next w:val="Normal"/>
    <w:link w:val="Ttulo2Car"/>
    <w:qFormat/>
    <w:rsid w:val="00E97186"/>
    <w:pPr>
      <w:keepNext/>
      <w:numPr>
        <w:ilvl w:val="1"/>
        <w:numId w:val="17"/>
      </w:numPr>
      <w:spacing w:before="240" w:after="60" w:line="240" w:lineRule="auto"/>
      <w:outlineLvl w:val="1"/>
    </w:pPr>
    <w:rPr>
      <w:rFonts w:ascii="Arial" w:hAnsi="Arial" w:eastAsia="Times New Roman" w:cs="Arial"/>
      <w:b/>
      <w:bCs/>
      <w:i/>
      <w:iCs/>
      <w:sz w:val="28"/>
      <w:szCs w:val="28"/>
      <w:lang w:val="es-ES" w:eastAsia="es-ES"/>
    </w:rPr>
  </w:style>
  <w:style w:type="paragraph" w:styleId="Ttulo3">
    <w:name w:val="heading 3"/>
    <w:basedOn w:val="Normal"/>
    <w:next w:val="Normal"/>
    <w:link w:val="Ttulo3Car"/>
    <w:qFormat/>
    <w:rsid w:val="00E97186"/>
    <w:pPr>
      <w:keepNext/>
      <w:numPr>
        <w:ilvl w:val="2"/>
        <w:numId w:val="17"/>
      </w:numPr>
      <w:spacing w:before="240" w:after="60" w:line="240" w:lineRule="auto"/>
      <w:outlineLvl w:val="2"/>
    </w:pPr>
    <w:rPr>
      <w:rFonts w:ascii="Arial" w:hAnsi="Arial" w:eastAsia="Times New Roman" w:cs="Arial"/>
      <w:b/>
      <w:bCs/>
      <w:sz w:val="26"/>
      <w:szCs w:val="26"/>
      <w:lang w:val="es-ES" w:eastAsia="es-ES"/>
    </w:rPr>
  </w:style>
  <w:style w:type="paragraph" w:styleId="Ttulo4">
    <w:name w:val="heading 4"/>
    <w:basedOn w:val="Normal"/>
    <w:next w:val="Normal"/>
    <w:link w:val="Ttulo4Car"/>
    <w:qFormat/>
    <w:rsid w:val="00E97186"/>
    <w:pPr>
      <w:keepNext/>
      <w:numPr>
        <w:ilvl w:val="3"/>
        <w:numId w:val="17"/>
      </w:numPr>
      <w:spacing w:before="240" w:after="60" w:line="240" w:lineRule="auto"/>
      <w:outlineLvl w:val="3"/>
    </w:pPr>
    <w:rPr>
      <w:rFonts w:ascii="Times New Roman" w:hAnsi="Times New Roman" w:eastAsia="Times New Roman" w:cs="Times New Roman"/>
      <w:b/>
      <w:bCs/>
      <w:sz w:val="28"/>
      <w:szCs w:val="28"/>
      <w:lang w:val="es-ES" w:eastAsia="es-ES"/>
    </w:rPr>
  </w:style>
  <w:style w:type="paragraph" w:styleId="Ttulo5">
    <w:name w:val="heading 5"/>
    <w:basedOn w:val="Normal"/>
    <w:next w:val="Normal"/>
    <w:link w:val="Ttulo5Car"/>
    <w:qFormat/>
    <w:rsid w:val="00E97186"/>
    <w:pPr>
      <w:numPr>
        <w:ilvl w:val="4"/>
        <w:numId w:val="17"/>
      </w:numPr>
      <w:spacing w:before="240" w:after="60" w:line="240" w:lineRule="auto"/>
      <w:outlineLvl w:val="4"/>
    </w:pPr>
    <w:rPr>
      <w:rFonts w:ascii="Times New Roman" w:hAnsi="Times New Roman" w:eastAsia="Times New Roman" w:cs="Times New Roman"/>
      <w:b/>
      <w:bCs/>
      <w:i/>
      <w:iCs/>
      <w:sz w:val="26"/>
      <w:szCs w:val="26"/>
      <w:lang w:val="es-ES" w:eastAsia="es-ES"/>
    </w:rPr>
  </w:style>
  <w:style w:type="paragraph" w:styleId="Ttulo6">
    <w:name w:val="heading 6"/>
    <w:basedOn w:val="Normal"/>
    <w:next w:val="Normal"/>
    <w:link w:val="Ttulo6Car"/>
    <w:qFormat/>
    <w:rsid w:val="00E97186"/>
    <w:pPr>
      <w:numPr>
        <w:ilvl w:val="5"/>
        <w:numId w:val="17"/>
      </w:numPr>
      <w:spacing w:before="240" w:after="60" w:line="240" w:lineRule="auto"/>
      <w:outlineLvl w:val="5"/>
    </w:pPr>
    <w:rPr>
      <w:rFonts w:ascii="Times New Roman" w:hAnsi="Times New Roman" w:eastAsia="Times New Roman" w:cs="Times New Roman"/>
      <w:b/>
      <w:bCs/>
      <w:lang w:val="es-ES" w:eastAsia="es-ES"/>
    </w:rPr>
  </w:style>
  <w:style w:type="paragraph" w:styleId="Ttulo7">
    <w:name w:val="heading 7"/>
    <w:basedOn w:val="Normal"/>
    <w:next w:val="Normal"/>
    <w:link w:val="Ttulo7Car"/>
    <w:qFormat/>
    <w:rsid w:val="00E97186"/>
    <w:pPr>
      <w:numPr>
        <w:ilvl w:val="6"/>
        <w:numId w:val="17"/>
      </w:numPr>
      <w:spacing w:before="240" w:after="60" w:line="240" w:lineRule="auto"/>
      <w:outlineLvl w:val="6"/>
    </w:pPr>
    <w:rPr>
      <w:rFonts w:ascii="Times New Roman" w:hAnsi="Times New Roman" w:eastAsia="Times New Roman" w:cs="Times New Roman"/>
      <w:sz w:val="24"/>
      <w:szCs w:val="24"/>
      <w:lang w:val="es-ES" w:eastAsia="es-ES"/>
    </w:rPr>
  </w:style>
  <w:style w:type="paragraph" w:styleId="Ttulo8">
    <w:name w:val="heading 8"/>
    <w:basedOn w:val="Normal"/>
    <w:next w:val="Normal"/>
    <w:link w:val="Ttulo8Car"/>
    <w:qFormat/>
    <w:rsid w:val="00E97186"/>
    <w:pPr>
      <w:numPr>
        <w:ilvl w:val="7"/>
        <w:numId w:val="17"/>
      </w:numPr>
      <w:spacing w:before="240" w:after="60" w:line="240" w:lineRule="auto"/>
      <w:outlineLvl w:val="7"/>
    </w:pPr>
    <w:rPr>
      <w:rFonts w:ascii="Times New Roman" w:hAnsi="Times New Roman" w:eastAsia="Times New Roman" w:cs="Times New Roman"/>
      <w:i/>
      <w:iCs/>
      <w:sz w:val="24"/>
      <w:szCs w:val="24"/>
      <w:lang w:val="es-ES" w:eastAsia="es-ES"/>
    </w:rPr>
  </w:style>
  <w:style w:type="paragraph" w:styleId="Ttulo9">
    <w:name w:val="heading 9"/>
    <w:basedOn w:val="Normal"/>
    <w:next w:val="Normal"/>
    <w:link w:val="Ttulo9Car"/>
    <w:qFormat/>
    <w:rsid w:val="00E97186"/>
    <w:pPr>
      <w:numPr>
        <w:ilvl w:val="8"/>
        <w:numId w:val="17"/>
      </w:numPr>
      <w:spacing w:before="240" w:after="60" w:line="240" w:lineRule="auto"/>
      <w:outlineLvl w:val="8"/>
    </w:pPr>
    <w:rPr>
      <w:rFonts w:ascii="Arial" w:hAnsi="Arial" w:eastAsia="Times New Roman" w:cs="Arial"/>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E97186"/>
    <w:rPr>
      <w:rFonts w:ascii="Arial" w:hAnsi="Arial" w:eastAsia="Times New Roman" w:cs="Arial"/>
      <w:b/>
      <w:bCs/>
      <w:kern w:val="32"/>
      <w:sz w:val="32"/>
      <w:szCs w:val="32"/>
      <w:lang w:val="es-ES" w:eastAsia="es-ES"/>
    </w:rPr>
  </w:style>
  <w:style w:type="character" w:styleId="Ttulo2Car" w:customStyle="1">
    <w:name w:val="Título 2 Car"/>
    <w:basedOn w:val="Fuentedeprrafopredeter"/>
    <w:link w:val="Ttulo2"/>
    <w:rsid w:val="00E97186"/>
    <w:rPr>
      <w:rFonts w:ascii="Arial" w:hAnsi="Arial" w:eastAsia="Times New Roman" w:cs="Arial"/>
      <w:b/>
      <w:bCs/>
      <w:i/>
      <w:iCs/>
      <w:sz w:val="28"/>
      <w:szCs w:val="28"/>
      <w:lang w:val="es-ES" w:eastAsia="es-ES"/>
    </w:rPr>
  </w:style>
  <w:style w:type="character" w:styleId="Ttulo3Car" w:customStyle="1">
    <w:name w:val="Título 3 Car"/>
    <w:basedOn w:val="Fuentedeprrafopredeter"/>
    <w:link w:val="Ttulo3"/>
    <w:rsid w:val="00E97186"/>
    <w:rPr>
      <w:rFonts w:ascii="Arial" w:hAnsi="Arial" w:eastAsia="Times New Roman" w:cs="Arial"/>
      <w:b/>
      <w:bCs/>
      <w:sz w:val="26"/>
      <w:szCs w:val="26"/>
      <w:lang w:val="es-ES" w:eastAsia="es-ES"/>
    </w:rPr>
  </w:style>
  <w:style w:type="character" w:styleId="Ttulo4Car" w:customStyle="1">
    <w:name w:val="Título 4 Car"/>
    <w:basedOn w:val="Fuentedeprrafopredeter"/>
    <w:link w:val="Ttulo4"/>
    <w:rsid w:val="00E97186"/>
    <w:rPr>
      <w:rFonts w:ascii="Times New Roman" w:hAnsi="Times New Roman" w:eastAsia="Times New Roman" w:cs="Times New Roman"/>
      <w:b/>
      <w:bCs/>
      <w:sz w:val="28"/>
      <w:szCs w:val="28"/>
      <w:lang w:val="es-ES" w:eastAsia="es-ES"/>
    </w:rPr>
  </w:style>
  <w:style w:type="character" w:styleId="Ttulo5Car" w:customStyle="1">
    <w:name w:val="Título 5 Car"/>
    <w:basedOn w:val="Fuentedeprrafopredeter"/>
    <w:link w:val="Ttulo5"/>
    <w:rsid w:val="00E97186"/>
    <w:rPr>
      <w:rFonts w:ascii="Times New Roman" w:hAnsi="Times New Roman" w:eastAsia="Times New Roman" w:cs="Times New Roman"/>
      <w:b/>
      <w:bCs/>
      <w:i/>
      <w:iCs/>
      <w:sz w:val="26"/>
      <w:szCs w:val="26"/>
      <w:lang w:val="es-ES" w:eastAsia="es-ES"/>
    </w:rPr>
  </w:style>
  <w:style w:type="character" w:styleId="Ttulo6Car" w:customStyle="1">
    <w:name w:val="Título 6 Car"/>
    <w:basedOn w:val="Fuentedeprrafopredeter"/>
    <w:link w:val="Ttulo6"/>
    <w:rsid w:val="00E97186"/>
    <w:rPr>
      <w:rFonts w:ascii="Times New Roman" w:hAnsi="Times New Roman" w:eastAsia="Times New Roman" w:cs="Times New Roman"/>
      <w:b/>
      <w:bCs/>
      <w:lang w:val="es-ES" w:eastAsia="es-ES"/>
    </w:rPr>
  </w:style>
  <w:style w:type="character" w:styleId="Ttulo7Car" w:customStyle="1">
    <w:name w:val="Título 7 Car"/>
    <w:basedOn w:val="Fuentedeprrafopredeter"/>
    <w:link w:val="Ttulo7"/>
    <w:rsid w:val="00E97186"/>
    <w:rPr>
      <w:rFonts w:ascii="Times New Roman" w:hAnsi="Times New Roman" w:eastAsia="Times New Roman" w:cs="Times New Roman"/>
      <w:sz w:val="24"/>
      <w:szCs w:val="24"/>
      <w:lang w:val="es-ES" w:eastAsia="es-ES"/>
    </w:rPr>
  </w:style>
  <w:style w:type="character" w:styleId="Ttulo8Car" w:customStyle="1">
    <w:name w:val="Título 8 Car"/>
    <w:basedOn w:val="Fuentedeprrafopredeter"/>
    <w:link w:val="Ttulo8"/>
    <w:rsid w:val="00E97186"/>
    <w:rPr>
      <w:rFonts w:ascii="Times New Roman" w:hAnsi="Times New Roman" w:eastAsia="Times New Roman" w:cs="Times New Roman"/>
      <w:i/>
      <w:iCs/>
      <w:sz w:val="24"/>
      <w:szCs w:val="24"/>
      <w:lang w:val="es-ES" w:eastAsia="es-ES"/>
    </w:rPr>
  </w:style>
  <w:style w:type="character" w:styleId="Ttulo9Car" w:customStyle="1">
    <w:name w:val="Título 9 Car"/>
    <w:basedOn w:val="Fuentedeprrafopredeter"/>
    <w:link w:val="Ttulo9"/>
    <w:rsid w:val="00E97186"/>
    <w:rPr>
      <w:rFonts w:ascii="Arial" w:hAnsi="Arial" w:eastAsia="Times New Roman" w:cs="Arial"/>
      <w:lang w:val="es-ES" w:eastAsia="es-ES"/>
    </w:rPr>
  </w:style>
  <w:style w:type="numbering" w:styleId="Sinlista1" w:customStyle="1">
    <w:name w:val="Sin lista1"/>
    <w:next w:val="Sinlista"/>
    <w:uiPriority w:val="99"/>
    <w:semiHidden/>
    <w:unhideWhenUsed/>
    <w:rsid w:val="00E97186"/>
  </w:style>
  <w:style w:type="paragraph" w:styleId="Piedepgina">
    <w:name w:val="footer"/>
    <w:basedOn w:val="Normal"/>
    <w:link w:val="PiedepginaCar"/>
    <w:uiPriority w:val="99"/>
    <w:unhideWhenUsed/>
    <w:rsid w:val="00E97186"/>
    <w:pPr>
      <w:tabs>
        <w:tab w:val="center" w:pos="4419"/>
        <w:tab w:val="right" w:pos="8838"/>
      </w:tabs>
      <w:spacing w:after="200" w:line="276" w:lineRule="auto"/>
      <w:jc w:val="both"/>
    </w:pPr>
    <w:rPr>
      <w:sz w:val="24"/>
      <w:lang w:val="es-MX"/>
    </w:rPr>
  </w:style>
  <w:style w:type="character" w:styleId="PiedepginaCar" w:customStyle="1">
    <w:name w:val="Pie de página Car"/>
    <w:basedOn w:val="Fuentedeprrafopredeter"/>
    <w:link w:val="Piedepgina"/>
    <w:uiPriority w:val="99"/>
    <w:rsid w:val="00E97186"/>
    <w:rPr>
      <w:sz w:val="24"/>
      <w:lang w:val="es-MX"/>
    </w:rPr>
  </w:style>
  <w:style w:type="paragraph" w:styleId="Textodeglobo">
    <w:name w:val="Balloon Text"/>
    <w:basedOn w:val="Normal"/>
    <w:link w:val="TextodegloboCar"/>
    <w:uiPriority w:val="99"/>
    <w:semiHidden/>
    <w:unhideWhenUsed/>
    <w:rsid w:val="00E97186"/>
    <w:pPr>
      <w:spacing w:after="200" w:line="276" w:lineRule="auto"/>
      <w:jc w:val="both"/>
    </w:pPr>
    <w:rPr>
      <w:rFonts w:ascii="Tahoma" w:hAnsi="Tahoma" w:cs="Tahoma"/>
      <w:sz w:val="16"/>
      <w:szCs w:val="16"/>
      <w:lang w:val="es-MX"/>
    </w:rPr>
  </w:style>
  <w:style w:type="character" w:styleId="TextodegloboCar" w:customStyle="1">
    <w:name w:val="Texto de globo Car"/>
    <w:basedOn w:val="Fuentedeprrafopredeter"/>
    <w:link w:val="Textodeglobo"/>
    <w:uiPriority w:val="99"/>
    <w:semiHidden/>
    <w:rsid w:val="00E97186"/>
    <w:rPr>
      <w:rFonts w:ascii="Tahoma" w:hAnsi="Tahoma" w:cs="Tahoma"/>
      <w:sz w:val="16"/>
      <w:szCs w:val="16"/>
      <w:lang w:val="es-MX"/>
    </w:rPr>
  </w:style>
  <w:style w:type="paragraph" w:styleId="Encabezado">
    <w:name w:val="header"/>
    <w:basedOn w:val="Normal"/>
    <w:link w:val="EncabezadoCar"/>
    <w:uiPriority w:val="99"/>
    <w:unhideWhenUsed/>
    <w:rsid w:val="00E97186"/>
    <w:pPr>
      <w:tabs>
        <w:tab w:val="center" w:pos="4252"/>
        <w:tab w:val="right" w:pos="8504"/>
      </w:tabs>
      <w:spacing w:after="200" w:line="276" w:lineRule="auto"/>
      <w:jc w:val="both"/>
    </w:pPr>
    <w:rPr>
      <w:sz w:val="24"/>
      <w:lang w:val="es-MX"/>
    </w:rPr>
  </w:style>
  <w:style w:type="character" w:styleId="EncabezadoCar" w:customStyle="1">
    <w:name w:val="Encabezado Car"/>
    <w:basedOn w:val="Fuentedeprrafopredeter"/>
    <w:link w:val="Encabezado"/>
    <w:uiPriority w:val="99"/>
    <w:rsid w:val="00E97186"/>
    <w:rPr>
      <w:sz w:val="24"/>
      <w:lang w:val="es-MX"/>
    </w:rPr>
  </w:style>
  <w:style w:type="table" w:styleId="Tablaconcuadrcula">
    <w:name w:val="Table Grid"/>
    <w:basedOn w:val="Tablanormal"/>
    <w:uiPriority w:val="39"/>
    <w:rsid w:val="00E97186"/>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97186"/>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E97186"/>
    <w:rPr>
      <w:sz w:val="16"/>
      <w:szCs w:val="16"/>
    </w:rPr>
  </w:style>
  <w:style w:type="paragraph" w:styleId="Textocomentario">
    <w:name w:val="annotation text"/>
    <w:basedOn w:val="Normal"/>
    <w:link w:val="TextocomentarioCar"/>
    <w:uiPriority w:val="99"/>
    <w:unhideWhenUsed/>
    <w:rsid w:val="00E97186"/>
    <w:pPr>
      <w:spacing w:after="200" w:line="276" w:lineRule="auto"/>
      <w:jc w:val="both"/>
    </w:pPr>
    <w:rPr>
      <w:sz w:val="20"/>
      <w:szCs w:val="20"/>
      <w:lang w:val="es-MX"/>
    </w:rPr>
  </w:style>
  <w:style w:type="character" w:styleId="TextocomentarioCar" w:customStyle="1">
    <w:name w:val="Texto comentario Car"/>
    <w:basedOn w:val="Fuentedeprrafopredeter"/>
    <w:link w:val="Textocomentario"/>
    <w:uiPriority w:val="99"/>
    <w:rsid w:val="00E9718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97186"/>
    <w:rPr>
      <w:b/>
      <w:bCs/>
    </w:rPr>
  </w:style>
  <w:style w:type="character" w:styleId="AsuntodelcomentarioCar" w:customStyle="1">
    <w:name w:val="Asunto del comentario Car"/>
    <w:basedOn w:val="TextocomentarioCar"/>
    <w:link w:val="Asuntodelcomentario"/>
    <w:uiPriority w:val="99"/>
    <w:semiHidden/>
    <w:rsid w:val="00E97186"/>
    <w:rPr>
      <w:b/>
      <w:bCs/>
      <w:sz w:val="20"/>
      <w:szCs w:val="20"/>
      <w:lang w:val="es-MX"/>
    </w:rPr>
  </w:style>
  <w:style w:type="character" w:styleId="Hipervnculo1" w:customStyle="1">
    <w:name w:val="Hipervínculo1"/>
    <w:basedOn w:val="Fuentedeprrafopredeter"/>
    <w:uiPriority w:val="99"/>
    <w:unhideWhenUsed/>
    <w:rsid w:val="00E97186"/>
    <w:rPr>
      <w:color w:val="F2F2F2"/>
      <w:u w:val="single"/>
    </w:rPr>
  </w:style>
  <w:style w:type="paragraph" w:styleId="NormalWeb">
    <w:name w:val="Normal (Web)"/>
    <w:basedOn w:val="Normal"/>
    <w:link w:val="NormalWebCar"/>
    <w:uiPriority w:val="99"/>
    <w:unhideWhenUsed/>
    <w:rsid w:val="00E97186"/>
    <w:pPr>
      <w:spacing w:before="100" w:beforeAutospacing="1" w:after="100" w:afterAutospacing="1" w:line="276" w:lineRule="auto"/>
      <w:jc w:val="both"/>
    </w:pPr>
    <w:rPr>
      <w:rFonts w:ascii="Times New Roman" w:hAnsi="Times New Roman" w:eastAsia="Times New Roman" w:cs="Times New Roman"/>
      <w:sz w:val="24"/>
      <w:szCs w:val="24"/>
      <w:lang w:eastAsia="es-CO"/>
    </w:rPr>
  </w:style>
  <w:style w:type="paragraph" w:styleId="Sinespaciado">
    <w:name w:val="No Spacing"/>
    <w:uiPriority w:val="1"/>
    <w:qFormat/>
    <w:rsid w:val="00E97186"/>
    <w:pPr>
      <w:spacing w:after="0" w:line="240" w:lineRule="auto"/>
      <w:jc w:val="both"/>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9718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E97186"/>
    <w:pPr>
      <w:spacing w:after="200" w:line="276" w:lineRule="auto"/>
      <w:jc w:val="both"/>
    </w:pPr>
    <w:rPr>
      <w:sz w:val="20"/>
      <w:szCs w:val="20"/>
      <w:lang w:val="es-MX"/>
    </w:rPr>
  </w:style>
  <w:style w:type="character" w:styleId="TextonotapieCar1" w:customStyle="1">
    <w:name w:val="Texto nota pie Car1"/>
    <w:basedOn w:val="Fuentedeprrafopredeter"/>
    <w:uiPriority w:val="99"/>
    <w:semiHidden/>
    <w:rsid w:val="00E97186"/>
    <w:rPr>
      <w:sz w:val="20"/>
      <w:szCs w:val="20"/>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97186"/>
    <w:rPr>
      <w:sz w:val="24"/>
      <w:lang w:val="es-MX"/>
    </w:rPr>
  </w:style>
  <w:style w:type="paragraph" w:styleId="Capitulo1" w:customStyle="1">
    <w:name w:val="Capitulo 1"/>
    <w:basedOn w:val="Normal"/>
    <w:uiPriority w:val="99"/>
    <w:qFormat/>
    <w:rsid w:val="00E97186"/>
    <w:pPr>
      <w:keepNext/>
      <w:spacing w:before="120" w:after="200" w:line="276" w:lineRule="auto"/>
      <w:ind w:left="720" w:hanging="360"/>
      <w:jc w:val="both"/>
      <w:outlineLvl w:val="1"/>
    </w:pPr>
    <w:rPr>
      <w:rFonts w:ascii="Arial" w:hAnsi="Arial" w:eastAsia="Times New Roman"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E97186"/>
    <w:rPr>
      <w:vertAlign w:val="superscript"/>
    </w:rPr>
  </w:style>
  <w:style w:type="paragraph" w:styleId="pa22" w:customStyle="1">
    <w:name w:val="pa22"/>
    <w:basedOn w:val="Normal"/>
    <w:rsid w:val="00E97186"/>
    <w:pPr>
      <w:spacing w:before="100" w:beforeAutospacing="1" w:after="100" w:afterAutospacing="1" w:line="276" w:lineRule="auto"/>
      <w:jc w:val="both"/>
    </w:pPr>
    <w:rPr>
      <w:rFonts w:ascii="Times New Roman" w:hAnsi="Times New Roman" w:eastAsia="Times New Roman" w:cs="Times New Roman"/>
      <w:sz w:val="24"/>
      <w:szCs w:val="24"/>
      <w:lang w:val="es-ES" w:eastAsia="es-ES"/>
    </w:rPr>
  </w:style>
  <w:style w:type="character" w:styleId="Textoennegrita">
    <w:name w:val="Strong"/>
    <w:basedOn w:val="Fuentedeprrafopredeter"/>
    <w:uiPriority w:val="22"/>
    <w:qFormat/>
    <w:rsid w:val="00E97186"/>
    <w:rPr>
      <w:b/>
      <w:bCs/>
    </w:rPr>
  </w:style>
  <w:style w:type="character" w:styleId="nfasis">
    <w:name w:val="Emphasis"/>
    <w:basedOn w:val="Fuentedeprrafopredeter"/>
    <w:uiPriority w:val="20"/>
    <w:qFormat/>
    <w:rsid w:val="00E97186"/>
    <w:rPr>
      <w:i/>
      <w:iCs/>
    </w:rPr>
  </w:style>
  <w:style w:type="character" w:styleId="Mencinsinresolver1" w:customStyle="1">
    <w:name w:val="Mención sin resolver1"/>
    <w:basedOn w:val="Fuentedeprrafopredeter"/>
    <w:uiPriority w:val="99"/>
    <w:semiHidden/>
    <w:unhideWhenUsed/>
    <w:rsid w:val="00E97186"/>
    <w:rPr>
      <w:color w:val="605E5C"/>
      <w:shd w:val="clear" w:color="auto" w:fill="E1DFDD"/>
    </w:rPr>
  </w:style>
  <w:style w:type="paragraph" w:styleId="Capitulo3" w:customStyle="1">
    <w:name w:val="Capitulo 3"/>
    <w:basedOn w:val="Normal"/>
    <w:qFormat/>
    <w:rsid w:val="00E97186"/>
    <w:pPr>
      <w:keepNext/>
      <w:numPr>
        <w:numId w:val="7"/>
      </w:numPr>
      <w:spacing w:before="120" w:after="200" w:line="276" w:lineRule="auto"/>
      <w:jc w:val="both"/>
      <w:outlineLvl w:val="1"/>
    </w:pPr>
    <w:rPr>
      <w:rFonts w:ascii="Arial" w:hAnsi="Arial" w:eastAsia="Times New Roman" w:cs="Arial"/>
      <w:b/>
      <w:color w:val="000000"/>
      <w:sz w:val="20"/>
      <w:szCs w:val="20"/>
      <w:lang w:eastAsia="es-CO"/>
    </w:rPr>
  </w:style>
  <w:style w:type="paragraph" w:styleId="InviasNormal" w:customStyle="1">
    <w:name w:val="Invias Normal"/>
    <w:basedOn w:val="Normal"/>
    <w:link w:val="InviasNormalCar"/>
    <w:qFormat/>
    <w:rsid w:val="00E97186"/>
    <w:pPr>
      <w:tabs>
        <w:tab w:val="left" w:pos="-142"/>
      </w:tabs>
      <w:autoSpaceDE w:val="0"/>
      <w:autoSpaceDN w:val="0"/>
      <w:adjustRightInd w:val="0"/>
      <w:spacing w:before="120" w:after="240" w:line="276" w:lineRule="auto"/>
      <w:jc w:val="both"/>
    </w:pPr>
    <w:rPr>
      <w:rFonts w:ascii="Arial Narrow" w:hAnsi="Arial Narrow" w:eastAsia="Times New Roman" w:cs="Times New Roman"/>
      <w:color w:val="3C3C3C"/>
      <w:sz w:val="24"/>
      <w:szCs w:val="24"/>
      <w:lang w:val="x-none" w:eastAsia="es-ES"/>
    </w:rPr>
  </w:style>
  <w:style w:type="character" w:styleId="InviasNormalCar" w:customStyle="1">
    <w:name w:val="Invias Normal Car"/>
    <w:link w:val="InviasNormal"/>
    <w:locked/>
    <w:rsid w:val="00E97186"/>
    <w:rPr>
      <w:rFonts w:ascii="Arial Narrow" w:hAnsi="Arial Narrow" w:eastAsia="Times New Roman" w:cs="Times New Roman"/>
      <w:color w:val="3C3C3C"/>
      <w:sz w:val="24"/>
      <w:szCs w:val="24"/>
      <w:lang w:val="x-none" w:eastAsia="es-ES"/>
    </w:rPr>
  </w:style>
  <w:style w:type="paragraph" w:styleId="Entidad-Capitulo" w:customStyle="1">
    <w:name w:val="Entidad-Capitulo"/>
    <w:next w:val="Normal"/>
    <w:autoRedefine/>
    <w:uiPriority w:val="99"/>
    <w:qFormat/>
    <w:rsid w:val="00E97186"/>
    <w:pPr>
      <w:keepNext/>
      <w:spacing w:before="240" w:after="0" w:line="240" w:lineRule="auto"/>
      <w:jc w:val="center"/>
      <w:outlineLvl w:val="0"/>
    </w:pPr>
    <w:rPr>
      <w:rFonts w:ascii="Arial" w:hAnsi="Arial" w:eastAsia="Times New Roman" w:cs="Arial"/>
      <w:b/>
      <w:smallCaps/>
      <w:sz w:val="20"/>
      <w:szCs w:val="20"/>
      <w:lang w:eastAsia="es-ES"/>
    </w:rPr>
  </w:style>
  <w:style w:type="paragraph" w:styleId="Revisin">
    <w:name w:val="Revision"/>
    <w:hidden/>
    <w:uiPriority w:val="99"/>
    <w:semiHidden/>
    <w:rsid w:val="00E97186"/>
    <w:pPr>
      <w:spacing w:after="0" w:line="240" w:lineRule="auto"/>
      <w:jc w:val="both"/>
    </w:pPr>
    <w:rPr>
      <w:sz w:val="24"/>
      <w:lang w:val="es-MX"/>
    </w:rPr>
  </w:style>
  <w:style w:type="paragraph" w:styleId="Appelnotedebasde" w:customStyle="1">
    <w:name w:val="Appel note de bas de..."/>
    <w:basedOn w:val="Normal"/>
    <w:link w:val="Refdenotaalpie"/>
    <w:uiPriority w:val="99"/>
    <w:rsid w:val="00E97186"/>
    <w:pPr>
      <w:spacing w:line="240" w:lineRule="exact"/>
      <w:jc w:val="both"/>
    </w:pPr>
    <w:rPr>
      <w:vertAlign w:val="superscript"/>
    </w:rPr>
  </w:style>
  <w:style w:type="character" w:styleId="NormalWebCar" w:customStyle="1">
    <w:name w:val="Normal (Web) Car"/>
    <w:link w:val="NormalWeb"/>
    <w:uiPriority w:val="99"/>
    <w:locked/>
    <w:rsid w:val="00E97186"/>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E97186"/>
  </w:style>
  <w:style w:type="paragraph" w:styleId="Textoindependiente">
    <w:name w:val="Body Text"/>
    <w:basedOn w:val="Normal"/>
    <w:link w:val="TextoindependienteCar"/>
    <w:uiPriority w:val="1"/>
    <w:qFormat/>
    <w:rsid w:val="00E97186"/>
    <w:pPr>
      <w:widowControl w:val="0"/>
      <w:autoSpaceDE w:val="0"/>
      <w:autoSpaceDN w:val="0"/>
      <w:spacing w:after="200" w:line="276" w:lineRule="auto"/>
      <w:jc w:val="both"/>
    </w:pPr>
    <w:rPr>
      <w:rFonts w:ascii="Arial" w:hAnsi="Arial" w:eastAsia="Arial" w:cs="Arial"/>
      <w:lang w:val="es-ES" w:eastAsia="es-ES" w:bidi="es-ES"/>
    </w:rPr>
  </w:style>
  <w:style w:type="character" w:styleId="TextoindependienteCar" w:customStyle="1">
    <w:name w:val="Texto independiente Car"/>
    <w:basedOn w:val="Fuentedeprrafopredeter"/>
    <w:link w:val="Textoindependiente"/>
    <w:uiPriority w:val="1"/>
    <w:rsid w:val="00E97186"/>
    <w:rPr>
      <w:rFonts w:ascii="Arial" w:hAnsi="Arial" w:eastAsia="Arial" w:cs="Arial"/>
      <w:lang w:val="es-ES" w:eastAsia="es-ES" w:bidi="es-ES"/>
    </w:rPr>
  </w:style>
  <w:style w:type="paragraph" w:styleId="Textonotaalfinal">
    <w:name w:val="endnote text"/>
    <w:basedOn w:val="Normal"/>
    <w:link w:val="TextonotaalfinalCar"/>
    <w:uiPriority w:val="99"/>
    <w:semiHidden/>
    <w:unhideWhenUsed/>
    <w:rsid w:val="00E97186"/>
    <w:pPr>
      <w:spacing w:after="200" w:line="276" w:lineRule="auto"/>
      <w:jc w:val="both"/>
    </w:pPr>
    <w:rPr>
      <w:sz w:val="20"/>
      <w:szCs w:val="20"/>
      <w:lang w:val="es-MX"/>
    </w:rPr>
  </w:style>
  <w:style w:type="character" w:styleId="TextonotaalfinalCar" w:customStyle="1">
    <w:name w:val="Texto nota al final Car"/>
    <w:basedOn w:val="Fuentedeprrafopredeter"/>
    <w:link w:val="Textonotaalfinal"/>
    <w:uiPriority w:val="99"/>
    <w:semiHidden/>
    <w:rsid w:val="00E97186"/>
    <w:rPr>
      <w:sz w:val="20"/>
      <w:szCs w:val="20"/>
      <w:lang w:val="es-MX"/>
    </w:rPr>
  </w:style>
  <w:style w:type="character" w:styleId="Refdenotaalfinal">
    <w:name w:val="endnote reference"/>
    <w:basedOn w:val="Fuentedeprrafopredeter"/>
    <w:uiPriority w:val="99"/>
    <w:semiHidden/>
    <w:unhideWhenUsed/>
    <w:rsid w:val="00E97186"/>
    <w:rPr>
      <w:vertAlign w:val="superscript"/>
    </w:rPr>
  </w:style>
  <w:style w:type="table" w:styleId="Tablaconcuadrcula1" w:customStyle="1">
    <w:name w:val="Tabla con cuadrícula1"/>
    <w:basedOn w:val="Tablanormal"/>
    <w:next w:val="Tablaconcuadrcula"/>
    <w:uiPriority w:val="39"/>
    <w:rsid w:val="00E971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E97186"/>
  </w:style>
  <w:style w:type="table" w:styleId="Tablaconcuadrcula2" w:customStyle="1">
    <w:name w:val="Tabla con cuadrícula2"/>
    <w:basedOn w:val="Tablanormal"/>
    <w:next w:val="Tablaconcuadrcula"/>
    <w:uiPriority w:val="39"/>
    <w:rsid w:val="00E97186"/>
    <w:pPr>
      <w:spacing w:before="120"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3" w:customStyle="1">
    <w:name w:val="Tabla con cuadrícula3"/>
    <w:basedOn w:val="Tablanormal"/>
    <w:next w:val="Tablaconcuadrcula"/>
    <w:uiPriority w:val="39"/>
    <w:rsid w:val="00E971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cin">
    <w:name w:val="caption"/>
    <w:basedOn w:val="Normal"/>
    <w:next w:val="Normal"/>
    <w:qFormat/>
    <w:rsid w:val="00E97186"/>
    <w:pPr>
      <w:overflowPunct w:val="0"/>
      <w:autoSpaceDE w:val="0"/>
      <w:autoSpaceDN w:val="0"/>
      <w:adjustRightInd w:val="0"/>
      <w:spacing w:after="0" w:line="240" w:lineRule="auto"/>
      <w:jc w:val="right"/>
      <w:textAlignment w:val="baseline"/>
    </w:pPr>
    <w:rPr>
      <w:rFonts w:ascii="Verdana" w:hAnsi="Verdana" w:eastAsia="Times New Roman" w:cs="Times New Roman"/>
      <w:b/>
      <w:sz w:val="28"/>
      <w:szCs w:val="20"/>
      <w:lang w:val="es-ES_tradnl" w:eastAsia="es-ES"/>
    </w:rPr>
  </w:style>
  <w:style w:type="paragraph" w:styleId="Default" w:customStyle="1">
    <w:name w:val="Default"/>
    <w:rsid w:val="00E97186"/>
    <w:pPr>
      <w:autoSpaceDE w:val="0"/>
      <w:autoSpaceDN w:val="0"/>
      <w:adjustRightInd w:val="0"/>
      <w:spacing w:after="0" w:line="240" w:lineRule="auto"/>
    </w:pPr>
    <w:rPr>
      <w:rFonts w:ascii="Arial" w:hAnsi="Arial" w:cs="Arial"/>
      <w:color w:val="000000"/>
      <w:sz w:val="24"/>
      <w:szCs w:val="24"/>
      <w:lang w:val="es-ES"/>
    </w:rPr>
  </w:style>
  <w:style w:type="paragraph" w:styleId="CM203" w:customStyle="1">
    <w:name w:val="CM203"/>
    <w:basedOn w:val="Normal"/>
    <w:next w:val="Normal"/>
    <w:uiPriority w:val="99"/>
    <w:rsid w:val="00E97186"/>
    <w:pPr>
      <w:widowControl w:val="0"/>
      <w:autoSpaceDE w:val="0"/>
      <w:autoSpaceDN w:val="0"/>
      <w:adjustRightInd w:val="0"/>
      <w:spacing w:after="0" w:line="240" w:lineRule="auto"/>
    </w:pPr>
    <w:rPr>
      <w:rFonts w:ascii="Times New Roman" w:hAnsi="Times New Roman" w:eastAsia="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97186"/>
    <w:pPr>
      <w:spacing w:after="120" w:line="480" w:lineRule="auto"/>
      <w:jc w:val="both"/>
    </w:pPr>
    <w:rPr>
      <w:sz w:val="24"/>
      <w:lang w:val="es-MX"/>
    </w:rPr>
  </w:style>
  <w:style w:type="character" w:styleId="Textoindependiente2Car" w:customStyle="1">
    <w:name w:val="Texto independiente 2 Car"/>
    <w:basedOn w:val="Fuentedeprrafopredeter"/>
    <w:link w:val="Textoindependiente2"/>
    <w:uiPriority w:val="99"/>
    <w:semiHidden/>
    <w:rsid w:val="00E97186"/>
    <w:rPr>
      <w:sz w:val="24"/>
      <w:lang w:val="es-MX"/>
    </w:rPr>
  </w:style>
  <w:style w:type="character" w:styleId="apple-converted-space" w:customStyle="1">
    <w:name w:val="apple-converted-space"/>
    <w:basedOn w:val="Fuentedeprrafopredeter"/>
    <w:rsid w:val="00E97186"/>
  </w:style>
  <w:style w:type="character" w:styleId="Hipervnculo">
    <w:name w:val="Hyperlink"/>
    <w:basedOn w:val="Fuentedeprrafopredeter"/>
    <w:uiPriority w:val="99"/>
    <w:semiHidden/>
    <w:unhideWhenUsed/>
    <w:rsid w:val="00E97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image" Target="media/image3.tiff"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CD3834-F07F-41BA-9586-25B384C16894}">
  <ds:schemaRefs>
    <ds:schemaRef ds:uri="http://schemas.openxmlformats.org/officeDocument/2006/bibliography"/>
  </ds:schemaRefs>
</ds:datastoreItem>
</file>

<file path=customXml/itemProps2.xml><?xml version="1.0" encoding="utf-8"?>
<ds:datastoreItem xmlns:ds="http://schemas.openxmlformats.org/officeDocument/2006/customXml" ds:itemID="{2DD42E12-E196-4889-B15F-B09C83CF550B}"/>
</file>

<file path=customXml/itemProps3.xml><?xml version="1.0" encoding="utf-8"?>
<ds:datastoreItem xmlns:ds="http://schemas.openxmlformats.org/officeDocument/2006/customXml" ds:itemID="{F7AA8B6D-9D8C-40C3-95B3-07EBDF8A107A}"/>
</file>

<file path=customXml/itemProps4.xml><?xml version="1.0" encoding="utf-8"?>
<ds:datastoreItem xmlns:ds="http://schemas.openxmlformats.org/officeDocument/2006/customXml" ds:itemID="{9CE0C847-70A2-437B-B6EF-9F813D0E16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Diana Lucia Saavedra</dc:creator>
  <keywords/>
  <dc:description/>
  <lastModifiedBy>Diana Lucia Saavedra</lastModifiedBy>
  <revision>17</revision>
  <dcterms:created xsi:type="dcterms:W3CDTF">2022-04-05T16:30:00.0000000Z</dcterms:created>
  <dcterms:modified xsi:type="dcterms:W3CDTF">2022-04-06T02:44:25.2556551Z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