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73D9" w14:textId="77777777" w:rsidR="00BD49C8" w:rsidRDefault="00BD49C8" w:rsidP="00BD49C8">
      <w:pPr>
        <w:spacing w:line="276" w:lineRule="auto"/>
        <w:jc w:val="right"/>
        <w:rPr>
          <w:rFonts w:ascii="Arial" w:eastAsia="Calibri" w:hAnsi="Arial" w:cs="Arial"/>
          <w:b/>
          <w:sz w:val="22"/>
        </w:rPr>
      </w:pPr>
      <w:bookmarkStart w:id="0" w:name="_Hlk29890381"/>
      <w:r>
        <w:rPr>
          <w:rFonts w:ascii="Arial" w:eastAsia="Times New Roman" w:hAnsi="Arial" w:cs="Arial"/>
          <w:sz w:val="16"/>
          <w:szCs w:val="16"/>
          <w:lang w:eastAsia="es-ES"/>
        </w:rPr>
        <w:t>CCE-DES-FM-17</w:t>
      </w:r>
    </w:p>
    <w:p w14:paraId="10A4448B" w14:textId="77777777" w:rsidR="00BD49C8" w:rsidRDefault="00BD49C8" w:rsidP="00BD49C8">
      <w:pPr>
        <w:jc w:val="both"/>
        <w:rPr>
          <w:rFonts w:ascii="Arial" w:eastAsia="Calibri" w:hAnsi="Arial" w:cs="Arial"/>
          <w:b/>
          <w:color w:val="000000" w:themeColor="text1"/>
          <w:sz w:val="22"/>
          <w:highlight w:val="yellow"/>
        </w:rPr>
      </w:pPr>
    </w:p>
    <w:p w14:paraId="1EFD18A7" w14:textId="0757D24A" w:rsidR="002550EB" w:rsidRPr="00B042DC" w:rsidRDefault="002550EB" w:rsidP="00BD49C8">
      <w:pPr>
        <w:jc w:val="both"/>
        <w:rPr>
          <w:rFonts w:ascii="Arial" w:eastAsia="Calibri" w:hAnsi="Arial" w:cs="Arial"/>
          <w:b/>
          <w:color w:val="000000" w:themeColor="text1"/>
          <w:sz w:val="22"/>
        </w:rPr>
      </w:pPr>
      <w:r w:rsidRPr="00B042DC">
        <w:rPr>
          <w:rFonts w:ascii="Arial" w:eastAsia="Calibri" w:hAnsi="Arial" w:cs="Arial"/>
          <w:b/>
          <w:color w:val="000000" w:themeColor="text1"/>
          <w:sz w:val="22"/>
        </w:rPr>
        <w:t>COLOMBIA COMPRA EFICIENTE</w:t>
      </w:r>
      <w:r w:rsidR="00F677ED">
        <w:rPr>
          <w:rFonts w:ascii="Arial" w:eastAsia="Calibri" w:hAnsi="Arial" w:cs="Arial"/>
          <w:b/>
          <w:color w:val="000000" w:themeColor="text1"/>
          <w:sz w:val="22"/>
        </w:rPr>
        <w:t xml:space="preserve"> </w:t>
      </w:r>
      <w:r w:rsidRPr="00B042DC">
        <w:rPr>
          <w:rFonts w:ascii="Arial" w:eastAsia="Calibri" w:hAnsi="Arial" w:cs="Arial"/>
          <w:b/>
          <w:color w:val="000000" w:themeColor="text1"/>
          <w:sz w:val="22"/>
        </w:rPr>
        <w:t>– Experiencia – Características</w:t>
      </w:r>
    </w:p>
    <w:p w14:paraId="56D9C1FE" w14:textId="7788AC4D" w:rsidR="002550EB" w:rsidRPr="00B042DC" w:rsidRDefault="002550EB" w:rsidP="00BD49C8">
      <w:pPr>
        <w:jc w:val="both"/>
        <w:rPr>
          <w:rFonts w:ascii="Arial" w:eastAsia="Calibri" w:hAnsi="Arial" w:cs="Arial"/>
          <w:b/>
          <w:color w:val="000000" w:themeColor="text1"/>
          <w:sz w:val="22"/>
        </w:rPr>
      </w:pPr>
    </w:p>
    <w:p w14:paraId="7CB5E529" w14:textId="392EEDC9" w:rsidR="00F8676A" w:rsidRDefault="00F8676A" w:rsidP="00F8676A">
      <w:pPr>
        <w:jc w:val="both"/>
        <w:rPr>
          <w:rFonts w:ascii="Arial" w:eastAsia="Calibri" w:hAnsi="Arial" w:cs="Arial"/>
          <w:bCs/>
          <w:color w:val="000000" w:themeColor="text1"/>
          <w:sz w:val="20"/>
          <w:szCs w:val="20"/>
        </w:rPr>
      </w:pPr>
      <w:r w:rsidRPr="00F8676A">
        <w:rPr>
          <w:rFonts w:ascii="Arial" w:eastAsia="Calibri" w:hAnsi="Arial" w:cs="Arial"/>
          <w:bCs/>
          <w:color w:val="000000" w:themeColor="text1"/>
          <w:sz w:val="20"/>
          <w:szCs w:val="20"/>
        </w:rPr>
        <w:t>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En relación con la experiencia, como requisito habilitante señalado en su consulta, el manual se centra en una de sus cualidades y es que es personal, lo cual significa que la experiencia se adquiere en razón a la participación, con anterioridad, en actividades que le permitieron conocer cómo ejecutar el objeto contractual que la entidad pretende satisfacer con su proceso de contratación.</w:t>
      </w:r>
    </w:p>
    <w:p w14:paraId="071E8708" w14:textId="77777777" w:rsidR="00F8676A" w:rsidRPr="00F8676A" w:rsidRDefault="00F8676A" w:rsidP="00F8676A">
      <w:pPr>
        <w:jc w:val="both"/>
        <w:rPr>
          <w:rFonts w:ascii="Arial" w:eastAsia="Calibri" w:hAnsi="Arial" w:cs="Arial"/>
          <w:bCs/>
          <w:color w:val="000000" w:themeColor="text1"/>
          <w:sz w:val="20"/>
          <w:szCs w:val="20"/>
        </w:rPr>
      </w:pPr>
    </w:p>
    <w:p w14:paraId="3B27A5F3" w14:textId="5865147B" w:rsidR="002550EB" w:rsidRDefault="00F8676A" w:rsidP="00F8676A">
      <w:pPr>
        <w:jc w:val="both"/>
        <w:rPr>
          <w:rFonts w:ascii="Arial" w:eastAsia="Calibri" w:hAnsi="Arial" w:cs="Arial"/>
          <w:bCs/>
          <w:color w:val="000000" w:themeColor="text1"/>
          <w:sz w:val="20"/>
          <w:szCs w:val="20"/>
        </w:rPr>
      </w:pPr>
      <w:r w:rsidRPr="00F8676A">
        <w:rPr>
          <w:rFonts w:ascii="Arial" w:eastAsia="Calibri" w:hAnsi="Arial" w:cs="Arial"/>
          <w:bCs/>
          <w:color w:val="000000" w:themeColor="text1"/>
          <w:sz w:val="20"/>
          <w:szCs w:val="20"/>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pues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w:t>
      </w:r>
      <w:proofErr w:type="gramStart"/>
      <w:r w:rsidRPr="00F8676A">
        <w:rPr>
          <w:rFonts w:ascii="Arial" w:eastAsia="Calibri" w:hAnsi="Arial" w:cs="Arial"/>
          <w:bCs/>
          <w:color w:val="000000" w:themeColor="text1"/>
          <w:sz w:val="20"/>
          <w:szCs w:val="20"/>
        </w:rPr>
        <w:t>personal</w:t>
      </w:r>
      <w:proofErr w:type="gramEnd"/>
      <w:r w:rsidRPr="00F8676A">
        <w:rPr>
          <w:rFonts w:ascii="Arial" w:eastAsia="Calibri" w:hAnsi="Arial" w:cs="Arial"/>
          <w:bCs/>
          <w:color w:val="000000" w:themeColor="text1"/>
          <w:sz w:val="20"/>
          <w:szCs w:val="20"/>
        </w:rPr>
        <w:t xml:space="preserve"> sino que es proporcional a la participación como miembro de un consorcio o unión temporal, donde por ser esquemas asociativos la experiencia es compartida.</w:t>
      </w:r>
    </w:p>
    <w:p w14:paraId="38CF9211" w14:textId="77777777" w:rsidR="00F8676A" w:rsidRPr="00B042DC" w:rsidRDefault="00F8676A" w:rsidP="00F8676A">
      <w:pPr>
        <w:jc w:val="both"/>
        <w:rPr>
          <w:rFonts w:ascii="Arial" w:eastAsia="Calibri" w:hAnsi="Arial" w:cs="Arial"/>
          <w:bCs/>
          <w:color w:val="000000" w:themeColor="text1"/>
          <w:sz w:val="20"/>
          <w:szCs w:val="20"/>
        </w:rPr>
      </w:pPr>
    </w:p>
    <w:p w14:paraId="3BBD0AC6" w14:textId="45203BBC" w:rsidR="002550EB" w:rsidRPr="00B042DC" w:rsidRDefault="00B042DC" w:rsidP="002550EB">
      <w:pPr>
        <w:jc w:val="both"/>
        <w:rPr>
          <w:rFonts w:ascii="Arial" w:eastAsia="Calibri" w:hAnsi="Arial" w:cs="Arial"/>
          <w:b/>
          <w:color w:val="000000" w:themeColor="text1"/>
          <w:sz w:val="22"/>
        </w:rPr>
      </w:pPr>
      <w:r w:rsidRPr="00B042DC">
        <w:rPr>
          <w:rFonts w:ascii="Arial" w:eastAsia="Calibri" w:hAnsi="Arial" w:cs="Arial"/>
          <w:b/>
          <w:color w:val="000000" w:themeColor="text1"/>
          <w:sz w:val="22"/>
        </w:rPr>
        <w:t>EXPERIENCIA</w:t>
      </w:r>
      <w:r w:rsidR="002550EB" w:rsidRPr="00B042DC">
        <w:rPr>
          <w:rFonts w:ascii="Arial" w:eastAsia="Calibri" w:hAnsi="Arial" w:cs="Arial"/>
          <w:b/>
          <w:color w:val="000000" w:themeColor="text1"/>
          <w:sz w:val="22"/>
        </w:rPr>
        <w:t xml:space="preserve"> – </w:t>
      </w:r>
      <w:r w:rsidRPr="00B042DC">
        <w:rPr>
          <w:rFonts w:ascii="Arial" w:eastAsia="Calibri" w:hAnsi="Arial" w:cs="Arial"/>
          <w:b/>
          <w:color w:val="000000" w:themeColor="text1"/>
          <w:sz w:val="22"/>
        </w:rPr>
        <w:t>Sociedades</w:t>
      </w:r>
      <w:r w:rsidR="002550EB" w:rsidRPr="00B042DC">
        <w:rPr>
          <w:rFonts w:ascii="Arial" w:eastAsia="Calibri" w:hAnsi="Arial" w:cs="Arial"/>
          <w:b/>
          <w:color w:val="000000" w:themeColor="text1"/>
          <w:sz w:val="22"/>
        </w:rPr>
        <w:t xml:space="preserve"> – </w:t>
      </w:r>
      <w:r w:rsidRPr="00B042DC">
        <w:rPr>
          <w:rFonts w:ascii="Arial" w:eastAsia="Calibri" w:hAnsi="Arial" w:cs="Arial"/>
          <w:b/>
          <w:color w:val="000000" w:themeColor="text1"/>
          <w:sz w:val="22"/>
        </w:rPr>
        <w:t>Socios</w:t>
      </w:r>
      <w:r w:rsidR="002550EB" w:rsidRPr="00B042DC">
        <w:rPr>
          <w:rFonts w:ascii="Arial" w:eastAsia="Calibri" w:hAnsi="Arial" w:cs="Arial"/>
          <w:b/>
          <w:color w:val="000000" w:themeColor="text1"/>
          <w:sz w:val="22"/>
        </w:rPr>
        <w:t xml:space="preserve"> – </w:t>
      </w:r>
      <w:r w:rsidRPr="00B042DC">
        <w:rPr>
          <w:rFonts w:ascii="Arial" w:eastAsia="Calibri" w:hAnsi="Arial" w:cs="Arial"/>
          <w:b/>
          <w:color w:val="000000" w:themeColor="text1"/>
          <w:sz w:val="22"/>
        </w:rPr>
        <w:t>Acreditación</w:t>
      </w:r>
    </w:p>
    <w:p w14:paraId="5E532718" w14:textId="77777777" w:rsidR="002550EB" w:rsidRPr="00B042DC" w:rsidRDefault="002550EB" w:rsidP="002550EB">
      <w:pPr>
        <w:jc w:val="both"/>
        <w:rPr>
          <w:rFonts w:ascii="Arial" w:eastAsia="Calibri" w:hAnsi="Arial" w:cs="Arial"/>
          <w:b/>
          <w:color w:val="000000" w:themeColor="text1"/>
          <w:sz w:val="22"/>
        </w:rPr>
      </w:pPr>
    </w:p>
    <w:p w14:paraId="3ADDCC1E" w14:textId="2E3354C0" w:rsidR="00F8676A" w:rsidRDefault="00F8676A" w:rsidP="00F8676A">
      <w:pPr>
        <w:jc w:val="both"/>
        <w:rPr>
          <w:rFonts w:ascii="Arial" w:eastAsia="Calibri" w:hAnsi="Arial" w:cs="Arial"/>
          <w:bCs/>
          <w:color w:val="000000" w:themeColor="text1"/>
          <w:sz w:val="20"/>
          <w:szCs w:val="20"/>
        </w:rPr>
      </w:pPr>
      <w:r w:rsidRPr="00F8676A">
        <w:rPr>
          <w:rFonts w:ascii="Arial" w:eastAsia="Calibri" w:hAnsi="Arial" w:cs="Arial"/>
          <w:bCs/>
          <w:color w:val="000000" w:themeColor="text1"/>
          <w:sz w:val="20"/>
          <w:szCs w:val="20"/>
        </w:rPr>
        <w:t xml:space="preserve">Los interesados en inscribirse en el RUP deben acompañar su solicitud con la información prevista en el artículo 2.2.1.1.1.5.2 del Decreto 1082 de 2015. Sin embargo, la interpretación lógica de la norma es que una persona natural no puede certificar su experiencia con los contratos celebrados por las sociedades en las que tenga participación accionaria, salvo que: i) se trate de un contrato de la persona celebrado con la sociedad en la cual tiene o ha tenido participación; o </w:t>
      </w:r>
      <w:proofErr w:type="spellStart"/>
      <w:r w:rsidRPr="00F8676A">
        <w:rPr>
          <w:rFonts w:ascii="Arial" w:eastAsia="Calibri" w:hAnsi="Arial" w:cs="Arial"/>
          <w:bCs/>
          <w:color w:val="000000" w:themeColor="text1"/>
          <w:sz w:val="20"/>
          <w:szCs w:val="20"/>
        </w:rPr>
        <w:t>ii</w:t>
      </w:r>
      <w:proofErr w:type="spellEnd"/>
      <w:r w:rsidRPr="00F8676A">
        <w:rPr>
          <w:rFonts w:ascii="Arial" w:eastAsia="Calibri" w:hAnsi="Arial" w:cs="Arial"/>
          <w:bCs/>
          <w:color w:val="000000" w:themeColor="text1"/>
          <w:sz w:val="20"/>
          <w:szCs w:val="20"/>
        </w:rPr>
        <w:t>) se trate de contratos ejecutados por una sociedad de propósito único, pues se constituye con el objetivo exclusivo de ejecutar un contrato y no tiene vocación de permanencia, razón por la cual la credencial de experiencia es para sus accionistas.</w:t>
      </w:r>
    </w:p>
    <w:p w14:paraId="024708C5" w14:textId="77777777" w:rsidR="00F8676A" w:rsidRPr="00F8676A" w:rsidRDefault="00F8676A" w:rsidP="00F8676A">
      <w:pPr>
        <w:jc w:val="both"/>
        <w:rPr>
          <w:rFonts w:ascii="Arial" w:eastAsia="Calibri" w:hAnsi="Arial" w:cs="Arial"/>
          <w:bCs/>
          <w:color w:val="000000" w:themeColor="text1"/>
          <w:sz w:val="20"/>
          <w:szCs w:val="20"/>
        </w:rPr>
      </w:pPr>
    </w:p>
    <w:p w14:paraId="1F8C9D9E" w14:textId="69EC6D8B" w:rsidR="00B042DC" w:rsidRPr="00B042DC" w:rsidRDefault="00F8676A" w:rsidP="00F8676A">
      <w:pPr>
        <w:jc w:val="both"/>
        <w:rPr>
          <w:rFonts w:ascii="Arial" w:eastAsia="Calibri" w:hAnsi="Arial" w:cs="Arial"/>
          <w:b/>
          <w:color w:val="000000" w:themeColor="text1"/>
          <w:sz w:val="22"/>
        </w:rPr>
      </w:pPr>
      <w:r w:rsidRPr="00F8676A">
        <w:rPr>
          <w:rFonts w:ascii="Arial" w:eastAsia="Calibri" w:hAnsi="Arial" w:cs="Arial"/>
          <w:bCs/>
          <w:color w:val="000000" w:themeColor="text1"/>
          <w:sz w:val="20"/>
          <w:szCs w:val="20"/>
        </w:rPr>
        <w:t>En todo caso, es ilógico entender que una persona natural puede acreditar la experiencia de las sociedades de las cuales es accionista. A manera de ejemplo, realizando un ejercicio argumentativo de reducción al absurdo, no tendría sentido que el titular de 1000 acciones de la empresa Ecopetrol acreditará la experiencia de dicha sociedad en los contratos que ejecuta, pues su calidad de accionista no implica que la empresa mencionada le transfiera su experiencia o conocimiento en la provisión de obras, bienes y servicios.</w:t>
      </w:r>
    </w:p>
    <w:p w14:paraId="6F26E493" w14:textId="77777777" w:rsidR="00F8676A" w:rsidRDefault="00F8676A" w:rsidP="00BD49C8">
      <w:pPr>
        <w:jc w:val="both"/>
        <w:rPr>
          <w:rFonts w:ascii="Arial" w:eastAsia="Calibri" w:hAnsi="Arial" w:cs="Arial"/>
          <w:b/>
          <w:color w:val="000000" w:themeColor="text1"/>
          <w:sz w:val="22"/>
        </w:rPr>
      </w:pPr>
    </w:p>
    <w:p w14:paraId="01D327EE" w14:textId="7A2817D3" w:rsidR="00BD49C8" w:rsidRPr="00B042DC" w:rsidRDefault="00BD49C8" w:rsidP="00BD49C8">
      <w:pPr>
        <w:jc w:val="both"/>
        <w:rPr>
          <w:rFonts w:ascii="Arial" w:eastAsia="Calibri" w:hAnsi="Arial" w:cs="Arial"/>
          <w:b/>
          <w:color w:val="000000" w:themeColor="text1"/>
          <w:sz w:val="22"/>
        </w:rPr>
      </w:pPr>
      <w:r w:rsidRPr="00B042DC">
        <w:rPr>
          <w:rFonts w:ascii="Arial" w:eastAsia="Calibri" w:hAnsi="Arial" w:cs="Arial"/>
          <w:b/>
          <w:color w:val="000000" w:themeColor="text1"/>
          <w:sz w:val="22"/>
        </w:rPr>
        <w:t>DOCUMENTOS TIPO</w:t>
      </w:r>
      <w:r w:rsidRPr="00B042DC">
        <w:rPr>
          <w:rFonts w:ascii="Arial" w:eastAsia="Calibri" w:hAnsi="Arial" w:cs="Arial"/>
          <w:b/>
          <w:color w:val="000000" w:themeColor="text1"/>
          <w:sz w:val="22"/>
        </w:rPr>
        <w:softHyphen/>
        <w:t xml:space="preserve"> – Versión 2 – Capacidad residual – Capacidad organizacional – Estados financieros </w:t>
      </w:r>
      <w:r w:rsidR="00C9510E" w:rsidRPr="00B042DC">
        <w:rPr>
          <w:rFonts w:ascii="Arial" w:eastAsia="Calibri" w:hAnsi="Arial" w:cs="Arial"/>
          <w:b/>
          <w:color w:val="000000" w:themeColor="text1"/>
          <w:sz w:val="22"/>
        </w:rPr>
        <w:t xml:space="preserve">– </w:t>
      </w:r>
      <w:proofErr w:type="spellStart"/>
      <w:r w:rsidR="00C9510E" w:rsidRPr="00B042DC">
        <w:rPr>
          <w:rFonts w:ascii="Arial" w:eastAsia="Calibri" w:hAnsi="Arial" w:cs="Arial"/>
          <w:b/>
          <w:color w:val="000000" w:themeColor="text1"/>
          <w:sz w:val="22"/>
        </w:rPr>
        <w:t>Subsanabilidad</w:t>
      </w:r>
      <w:proofErr w:type="spellEnd"/>
    </w:p>
    <w:p w14:paraId="1CAF7D8D" w14:textId="77777777" w:rsidR="00BD49C8" w:rsidRPr="00B042DC" w:rsidRDefault="00BD49C8" w:rsidP="00BD49C8">
      <w:pPr>
        <w:jc w:val="both"/>
        <w:rPr>
          <w:rFonts w:ascii="Arial" w:eastAsia="Calibri" w:hAnsi="Arial" w:cs="Arial"/>
          <w:color w:val="000000" w:themeColor="text1"/>
          <w:sz w:val="20"/>
          <w:szCs w:val="20"/>
        </w:rPr>
      </w:pPr>
    </w:p>
    <w:p w14:paraId="0BC79D4D" w14:textId="4BF9CE55" w:rsidR="00F8676A" w:rsidRDefault="00F8676A" w:rsidP="00F8676A">
      <w:pPr>
        <w:jc w:val="both"/>
        <w:rPr>
          <w:rFonts w:ascii="Arial" w:eastAsia="Calibri" w:hAnsi="Arial" w:cs="Arial"/>
          <w:color w:val="000000" w:themeColor="text1"/>
          <w:sz w:val="20"/>
          <w:szCs w:val="20"/>
        </w:rPr>
      </w:pPr>
      <w:r w:rsidRPr="00F8676A">
        <w:rPr>
          <w:rFonts w:ascii="Arial" w:eastAsia="Calibri" w:hAnsi="Arial" w:cs="Arial"/>
          <w:color w:val="000000" w:themeColor="text1"/>
          <w:sz w:val="20"/>
          <w:szCs w:val="20"/>
        </w:rPr>
        <w:t xml:space="preserve">Ahora, en virtud del artículo 6 de la Ley 1150 de 2007 las entidades no podrán solicitar documentos que hayan sido incluidos para la inscripción de la información contenida en el RUP. Si bien la capacidad residual, en principio, no se calcula totalmente con la información contenida en el registro, la entidad deberá verificar si con la presentada por el proponente para acreditar los requisitos </w:t>
      </w:r>
      <w:r w:rsidRPr="00F8676A">
        <w:rPr>
          <w:rFonts w:ascii="Arial" w:eastAsia="Calibri" w:hAnsi="Arial" w:cs="Arial"/>
          <w:color w:val="000000" w:themeColor="text1"/>
          <w:sz w:val="20"/>
          <w:szCs w:val="20"/>
        </w:rPr>
        <w:lastRenderedPageBreak/>
        <w:t xml:space="preserve">habilitantes de experiencia, capacidad organizacional, financiera y jurídica se puede calcular la capacidad residual. </w:t>
      </w:r>
    </w:p>
    <w:p w14:paraId="496D6021" w14:textId="77777777" w:rsidR="00F8676A" w:rsidRPr="00F8676A" w:rsidRDefault="00F8676A" w:rsidP="00F8676A">
      <w:pPr>
        <w:jc w:val="both"/>
        <w:rPr>
          <w:rFonts w:ascii="Arial" w:eastAsia="Calibri" w:hAnsi="Arial" w:cs="Arial"/>
          <w:color w:val="000000" w:themeColor="text1"/>
          <w:sz w:val="20"/>
          <w:szCs w:val="20"/>
        </w:rPr>
      </w:pPr>
    </w:p>
    <w:p w14:paraId="0C7A5CF1" w14:textId="03EA3B83" w:rsidR="00E9105C" w:rsidRDefault="00F8676A" w:rsidP="00F8676A">
      <w:pPr>
        <w:jc w:val="both"/>
        <w:rPr>
          <w:rFonts w:ascii="Arial" w:hAnsi="Arial" w:cs="Arial"/>
          <w:sz w:val="22"/>
          <w:szCs w:val="20"/>
        </w:rPr>
      </w:pPr>
      <w:r w:rsidRPr="00F8676A">
        <w:rPr>
          <w:rFonts w:ascii="Arial" w:eastAsia="Calibri" w:hAnsi="Arial" w:cs="Arial"/>
          <w:color w:val="000000" w:themeColor="text1"/>
          <w:sz w:val="20"/>
          <w:szCs w:val="20"/>
        </w:rPr>
        <w:t>En el evento en que la información aportada para inscribirse en el RUP sea la misma para calcular la capacidad residual del proponente, la entidad no deberá requerir dicha información, toda vez que lo contenido en el RUP es plena prueba. Por su parte, si la información aportada para inscribirse en el registro no incluye información que se necesita para calcular la capacidad residual, la entidad podrá solicitarla al proponente para que la aporte a más tardar hasta el término de traslado del informe de evaluación. En todo caso, todos los documentos requeridos para acreditar la capacidad residual son subsanables, por tratarse de un requisito que no otorga puntaje.</w:t>
      </w:r>
      <w:r w:rsidR="00B86125">
        <w:rPr>
          <w:rFonts w:ascii="Arial" w:hAnsi="Arial" w:cs="Arial"/>
          <w:sz w:val="22"/>
          <w:szCs w:val="20"/>
        </w:rPr>
        <w:br w:type="page"/>
      </w:r>
    </w:p>
    <w:p w14:paraId="03A421D5" w14:textId="77777777" w:rsidR="00E9105C" w:rsidRDefault="00E9105C" w:rsidP="00E9105C">
      <w:pPr>
        <w:jc w:val="right"/>
        <w:rPr>
          <w:rFonts w:ascii="Arial" w:hAnsi="Arial" w:cs="Arial"/>
          <w:bCs/>
          <w:sz w:val="16"/>
          <w:szCs w:val="16"/>
          <w:lang w:eastAsia="es-ES"/>
        </w:rPr>
      </w:pPr>
      <w:bookmarkStart w:id="1" w:name="_Hlk34141372"/>
      <w:bookmarkStart w:id="2" w:name="_Hlk29548183"/>
      <w:bookmarkStart w:id="3" w:name="_Hlk28946138"/>
      <w:bookmarkEnd w:id="1"/>
      <w:r>
        <w:rPr>
          <w:rFonts w:ascii="Arial" w:hAnsi="Arial" w:cs="Arial"/>
          <w:bCs/>
          <w:sz w:val="16"/>
          <w:szCs w:val="16"/>
          <w:lang w:eastAsia="es-ES"/>
        </w:rPr>
        <w:lastRenderedPageBreak/>
        <w:t>CCE-DES-FM-17</w:t>
      </w:r>
      <w:bookmarkEnd w:id="2"/>
      <w:bookmarkEnd w:id="3"/>
    </w:p>
    <w:p w14:paraId="022CB771" w14:textId="77777777" w:rsidR="00E9105C" w:rsidRDefault="00E9105C" w:rsidP="00E9105C">
      <w:pPr>
        <w:jc w:val="both"/>
        <w:rPr>
          <w:rFonts w:ascii="Arial" w:hAnsi="Arial" w:cs="Arial"/>
          <w:sz w:val="22"/>
          <w:szCs w:val="20"/>
        </w:rPr>
      </w:pPr>
    </w:p>
    <w:p w14:paraId="1B7B1D7B" w14:textId="7B84D7ED" w:rsidR="00E9105C" w:rsidRDefault="007F0474" w:rsidP="00E9105C">
      <w:pPr>
        <w:jc w:val="both"/>
        <w:rPr>
          <w:rFonts w:ascii="Arial" w:eastAsia="Calibri" w:hAnsi="Arial" w:cs="Arial"/>
          <w:color w:val="000000" w:themeColor="text1"/>
          <w:sz w:val="22"/>
        </w:rPr>
      </w:pPr>
      <w:r>
        <w:rPr>
          <w:rFonts w:ascii="Arial" w:eastAsia="Calibri" w:hAnsi="Arial" w:cs="Arial"/>
          <w:color w:val="000000" w:themeColor="text1"/>
          <w:sz w:val="22"/>
        </w:rPr>
        <w:t>15 de marzo de 2021</w:t>
      </w:r>
    </w:p>
    <w:p w14:paraId="16729A52" w14:textId="3C9176E3" w:rsidR="007F0474" w:rsidRDefault="00314BFB" w:rsidP="00314BFB">
      <w:pPr>
        <w:jc w:val="right"/>
        <w:rPr>
          <w:rFonts w:ascii="Arial" w:eastAsia="Calibri" w:hAnsi="Arial" w:cs="Arial"/>
          <w:color w:val="000000" w:themeColor="text1"/>
          <w:sz w:val="22"/>
        </w:rPr>
      </w:pPr>
      <w:r w:rsidRPr="00314BFB">
        <w:rPr>
          <w:rFonts w:ascii="Arial" w:eastAsia="Calibri" w:hAnsi="Arial" w:cs="Arial"/>
          <w:b/>
          <w:bCs/>
          <w:color w:val="000000" w:themeColor="text1"/>
          <w:sz w:val="22"/>
        </w:rPr>
        <w:drawing>
          <wp:inline distT="0" distB="0" distL="0" distR="0" wp14:anchorId="338AA3E1" wp14:editId="641BB705">
            <wp:extent cx="3057952" cy="828791"/>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57952" cy="828791"/>
                    </a:xfrm>
                    <a:prstGeom prst="rect">
                      <a:avLst/>
                    </a:prstGeom>
                  </pic:spPr>
                </pic:pic>
              </a:graphicData>
            </a:graphic>
          </wp:inline>
        </w:drawing>
      </w:r>
    </w:p>
    <w:p w14:paraId="67A98A8F" w14:textId="77777777" w:rsidR="007F0474" w:rsidRDefault="007F0474" w:rsidP="00E9105C">
      <w:pPr>
        <w:jc w:val="both"/>
        <w:rPr>
          <w:rFonts w:ascii="Arial" w:eastAsia="Calibri" w:hAnsi="Arial" w:cs="Arial"/>
          <w:color w:val="000000" w:themeColor="text1"/>
          <w:sz w:val="22"/>
        </w:rPr>
      </w:pPr>
    </w:p>
    <w:p w14:paraId="0F090047" w14:textId="08861909" w:rsidR="00BD49C8" w:rsidRDefault="00BD49C8" w:rsidP="00E9105C">
      <w:pPr>
        <w:jc w:val="both"/>
        <w:rPr>
          <w:rFonts w:ascii="Arial" w:eastAsia="Calibri" w:hAnsi="Arial" w:cs="Arial"/>
          <w:color w:val="000000" w:themeColor="text1"/>
          <w:sz w:val="22"/>
        </w:rPr>
      </w:pPr>
      <w:bookmarkStart w:id="4" w:name="_Hlk66693924"/>
      <w:r>
        <w:rPr>
          <w:rFonts w:ascii="Arial" w:eastAsia="Calibri" w:hAnsi="Arial" w:cs="Arial"/>
          <w:color w:val="000000" w:themeColor="text1"/>
          <w:sz w:val="22"/>
        </w:rPr>
        <w:t>Señor</w:t>
      </w:r>
    </w:p>
    <w:p w14:paraId="675C5BC3" w14:textId="416B6E19" w:rsidR="00BD49C8" w:rsidRDefault="007B7724" w:rsidP="00BD49C8">
      <w:pPr>
        <w:rPr>
          <w:rFonts w:ascii="Arial" w:eastAsia="Calibri" w:hAnsi="Arial" w:cs="Arial"/>
          <w:b/>
          <w:color w:val="000000" w:themeColor="text1"/>
          <w:sz w:val="22"/>
        </w:rPr>
      </w:pPr>
      <w:r>
        <w:rPr>
          <w:rFonts w:ascii="Arial" w:eastAsia="Calibri" w:hAnsi="Arial" w:cs="Arial"/>
          <w:b/>
          <w:color w:val="000000" w:themeColor="text1"/>
          <w:sz w:val="22"/>
        </w:rPr>
        <w:t xml:space="preserve">William Alexander </w:t>
      </w:r>
      <w:r w:rsidR="0088583B">
        <w:rPr>
          <w:rFonts w:ascii="Arial" w:eastAsia="Calibri" w:hAnsi="Arial" w:cs="Arial"/>
          <w:b/>
          <w:color w:val="000000" w:themeColor="text1"/>
          <w:sz w:val="22"/>
        </w:rPr>
        <w:t>González</w:t>
      </w:r>
      <w:r>
        <w:rPr>
          <w:rFonts w:ascii="Arial" w:eastAsia="Calibri" w:hAnsi="Arial" w:cs="Arial"/>
          <w:b/>
          <w:color w:val="000000" w:themeColor="text1"/>
          <w:sz w:val="22"/>
        </w:rPr>
        <w:t xml:space="preserve"> Gallego </w:t>
      </w:r>
    </w:p>
    <w:p w14:paraId="5D393BFA" w14:textId="421321E2" w:rsidR="00BD49C8" w:rsidRDefault="007B7724" w:rsidP="00BD49C8">
      <w:pPr>
        <w:rPr>
          <w:rFonts w:ascii="Arial" w:eastAsia="Calibri" w:hAnsi="Arial" w:cs="Arial"/>
          <w:color w:val="000000" w:themeColor="text1"/>
          <w:sz w:val="22"/>
        </w:rPr>
      </w:pPr>
      <w:r>
        <w:rPr>
          <w:rFonts w:ascii="Arial" w:eastAsia="Calibri" w:hAnsi="Arial" w:cs="Arial"/>
          <w:color w:val="000000" w:themeColor="text1"/>
          <w:sz w:val="22"/>
        </w:rPr>
        <w:t>San José del Guaviare</w:t>
      </w:r>
      <w:r w:rsidR="00E90F2F">
        <w:rPr>
          <w:rFonts w:ascii="Arial" w:eastAsia="Calibri" w:hAnsi="Arial" w:cs="Arial"/>
          <w:color w:val="000000" w:themeColor="text1"/>
          <w:sz w:val="22"/>
        </w:rPr>
        <w:t xml:space="preserve">, </w:t>
      </w:r>
      <w:r>
        <w:rPr>
          <w:rFonts w:ascii="Arial" w:eastAsia="Calibri" w:hAnsi="Arial" w:cs="Arial"/>
          <w:color w:val="000000" w:themeColor="text1"/>
          <w:sz w:val="22"/>
        </w:rPr>
        <w:t>Guaviare</w:t>
      </w:r>
    </w:p>
    <w:p w14:paraId="77BED47C" w14:textId="77777777" w:rsidR="00BD49C8" w:rsidRDefault="00BD49C8" w:rsidP="00BD49C8">
      <w:pPr>
        <w:rPr>
          <w:rFonts w:ascii="Arial" w:eastAsia="Calibri" w:hAnsi="Arial" w:cs="Arial"/>
          <w:color w:val="000000" w:themeColor="text1"/>
          <w:sz w:val="22"/>
        </w:rPr>
      </w:pPr>
    </w:p>
    <w:p w14:paraId="6EEAA41C" w14:textId="77777777" w:rsidR="00BD49C8" w:rsidRDefault="00BD49C8" w:rsidP="00BD49C8">
      <w:pPr>
        <w:rPr>
          <w:rFonts w:ascii="Arial" w:eastAsia="Calibri" w:hAnsi="Arial" w:cs="Arial"/>
          <w:color w:val="000000" w:themeColor="text1"/>
          <w:sz w:val="22"/>
        </w:rPr>
      </w:pPr>
    </w:p>
    <w:p w14:paraId="3AA6CB2C" w14:textId="47DCEA8A" w:rsidR="00BD49C8" w:rsidRDefault="00BD49C8" w:rsidP="00BD49C8">
      <w:pPr>
        <w:ind w:firstLine="2694"/>
        <w:rPr>
          <w:rFonts w:ascii="Arial" w:eastAsia="Calibri" w:hAnsi="Arial" w:cs="Arial"/>
          <w:b/>
          <w:color w:val="000000" w:themeColor="text1"/>
          <w:sz w:val="22"/>
        </w:rPr>
      </w:pPr>
      <w:r>
        <w:rPr>
          <w:rFonts w:ascii="Arial" w:eastAsia="Calibri" w:hAnsi="Arial" w:cs="Arial"/>
          <w:b/>
          <w:color w:val="000000" w:themeColor="text1"/>
          <w:sz w:val="22"/>
        </w:rPr>
        <w:t xml:space="preserve">Concepto C – </w:t>
      </w:r>
      <w:r w:rsidR="007B7724">
        <w:rPr>
          <w:rFonts w:ascii="Arial" w:eastAsia="Calibri" w:hAnsi="Arial" w:cs="Arial"/>
          <w:b/>
          <w:color w:val="000000" w:themeColor="text1"/>
          <w:sz w:val="22"/>
        </w:rPr>
        <w:t>067</w:t>
      </w:r>
      <w:r>
        <w:rPr>
          <w:rFonts w:ascii="Arial" w:eastAsia="Calibri" w:hAnsi="Arial" w:cs="Arial"/>
          <w:b/>
          <w:color w:val="000000" w:themeColor="text1"/>
          <w:sz w:val="22"/>
        </w:rPr>
        <w:t xml:space="preserve"> de 202</w:t>
      </w:r>
      <w:r w:rsidR="007B7724">
        <w:rPr>
          <w:rFonts w:ascii="Arial" w:eastAsia="Calibri" w:hAnsi="Arial" w:cs="Arial"/>
          <w:b/>
          <w:color w:val="000000" w:themeColor="text1"/>
          <w:sz w:val="22"/>
        </w:rPr>
        <w:t>1</w:t>
      </w:r>
    </w:p>
    <w:p w14:paraId="2BCD1A59" w14:textId="77777777" w:rsidR="00BD49C8" w:rsidRDefault="00BD49C8" w:rsidP="00BD49C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D49C8" w14:paraId="78E48D21" w14:textId="77777777" w:rsidTr="00BD49C8">
        <w:tc>
          <w:tcPr>
            <w:tcW w:w="2689" w:type="dxa"/>
            <w:hideMark/>
          </w:tcPr>
          <w:p w14:paraId="7678871E" w14:textId="77777777" w:rsidR="00BD49C8" w:rsidRDefault="00BD49C8" w:rsidP="001A12A3">
            <w:pPr>
              <w:rPr>
                <w:rFonts w:ascii="Arial" w:eastAsia="Calibri" w:hAnsi="Arial" w:cs="Arial"/>
                <w:color w:val="000000" w:themeColor="text1"/>
                <w:sz w:val="22"/>
              </w:rPr>
            </w:pPr>
            <w:r>
              <w:rPr>
                <w:rFonts w:ascii="Arial" w:eastAsia="Calibri" w:hAnsi="Arial" w:cs="Arial"/>
                <w:b/>
                <w:color w:val="000000" w:themeColor="text1"/>
                <w:sz w:val="22"/>
              </w:rPr>
              <w:t>Temas:</w:t>
            </w:r>
            <w:r>
              <w:rPr>
                <w:rFonts w:ascii="Arial" w:eastAsia="Calibri" w:hAnsi="Arial" w:cs="Arial"/>
                <w:color w:val="000000" w:themeColor="text1"/>
                <w:sz w:val="22"/>
              </w:rPr>
              <w:t xml:space="preserve">           </w:t>
            </w:r>
          </w:p>
          <w:p w14:paraId="08E49259" w14:textId="77777777" w:rsidR="00BD49C8" w:rsidRDefault="00BD49C8" w:rsidP="001A12A3">
            <w:pPr>
              <w:rPr>
                <w:rFonts w:ascii="Arial" w:eastAsia="Calibri" w:hAnsi="Arial" w:cs="Arial"/>
                <w:color w:val="000000" w:themeColor="text1"/>
                <w:sz w:val="22"/>
              </w:rPr>
            </w:pPr>
            <w:r>
              <w:rPr>
                <w:rFonts w:ascii="Arial" w:eastAsia="Calibri" w:hAnsi="Arial" w:cs="Arial"/>
                <w:color w:val="000000" w:themeColor="text1"/>
                <w:sz w:val="22"/>
              </w:rPr>
              <w:t xml:space="preserve">                           </w:t>
            </w:r>
          </w:p>
        </w:tc>
        <w:tc>
          <w:tcPr>
            <w:tcW w:w="6237" w:type="dxa"/>
            <w:hideMark/>
          </w:tcPr>
          <w:p w14:paraId="43CF0AF7" w14:textId="2D08523E" w:rsidR="00BD49C8" w:rsidRDefault="001E24A8" w:rsidP="000C2C67">
            <w:pPr>
              <w:spacing w:after="120"/>
              <w:jc w:val="both"/>
              <w:rPr>
                <w:rFonts w:ascii="Arial" w:eastAsia="Calibri" w:hAnsi="Arial" w:cs="Arial"/>
                <w:bCs/>
                <w:color w:val="000000" w:themeColor="text1"/>
                <w:sz w:val="22"/>
              </w:rPr>
            </w:pPr>
            <w:r w:rsidRPr="001E24A8">
              <w:rPr>
                <w:rFonts w:ascii="Arial" w:eastAsia="Calibri" w:hAnsi="Arial" w:cs="Arial"/>
                <w:bCs/>
                <w:color w:val="000000" w:themeColor="text1"/>
                <w:sz w:val="22"/>
              </w:rPr>
              <w:t xml:space="preserve">COLOMBIA COMPRA EFICIENTE – Recomendaciones – Experiencia – Características / EXPERIENCIA – Sociedades – Socios – Acreditación / </w:t>
            </w:r>
            <w:r w:rsidR="00C9510E" w:rsidRPr="001E24A8">
              <w:rPr>
                <w:rFonts w:ascii="Arial" w:eastAsia="Calibri" w:hAnsi="Arial" w:cs="Arial"/>
                <w:bCs/>
                <w:color w:val="000000" w:themeColor="text1"/>
                <w:sz w:val="22"/>
              </w:rPr>
              <w:t xml:space="preserve">DOCUMENTOS TIPO – Versión 2 – Capacidad residual – Capacidad organizacional – Estados financieros – </w:t>
            </w:r>
            <w:proofErr w:type="spellStart"/>
            <w:r w:rsidR="00C9510E" w:rsidRPr="001E24A8">
              <w:rPr>
                <w:rFonts w:ascii="Arial" w:eastAsia="Calibri" w:hAnsi="Arial" w:cs="Arial"/>
                <w:bCs/>
                <w:color w:val="000000" w:themeColor="text1"/>
                <w:sz w:val="22"/>
              </w:rPr>
              <w:t>Subsanabilidad</w:t>
            </w:r>
            <w:proofErr w:type="spellEnd"/>
          </w:p>
        </w:tc>
      </w:tr>
      <w:tr w:rsidR="00BD49C8" w14:paraId="089B5E1A" w14:textId="77777777" w:rsidTr="007F0474">
        <w:trPr>
          <w:trHeight w:val="180"/>
        </w:trPr>
        <w:tc>
          <w:tcPr>
            <w:tcW w:w="2689" w:type="dxa"/>
            <w:hideMark/>
          </w:tcPr>
          <w:p w14:paraId="73071E4D" w14:textId="77777777" w:rsidR="00BD49C8" w:rsidRDefault="00BD49C8" w:rsidP="001A12A3">
            <w:pPr>
              <w:rPr>
                <w:rFonts w:ascii="Arial" w:eastAsia="Calibri" w:hAnsi="Arial" w:cs="Arial"/>
                <w:b/>
                <w:color w:val="000000" w:themeColor="text1"/>
                <w:sz w:val="22"/>
              </w:rPr>
            </w:pPr>
            <w:r>
              <w:rPr>
                <w:rFonts w:ascii="Arial" w:eastAsia="Calibri" w:hAnsi="Arial" w:cs="Arial"/>
                <w:b/>
                <w:color w:val="000000" w:themeColor="text1"/>
                <w:sz w:val="22"/>
              </w:rPr>
              <w:t>Radicación:</w:t>
            </w:r>
            <w:r>
              <w:rPr>
                <w:rFonts w:ascii="Arial" w:eastAsia="Calibri" w:hAnsi="Arial" w:cs="Arial"/>
                <w:color w:val="000000" w:themeColor="text1"/>
                <w:sz w:val="22"/>
              </w:rPr>
              <w:t xml:space="preserve">                              </w:t>
            </w:r>
          </w:p>
        </w:tc>
        <w:tc>
          <w:tcPr>
            <w:tcW w:w="6237" w:type="dxa"/>
            <w:hideMark/>
          </w:tcPr>
          <w:p w14:paraId="73225ECA" w14:textId="398B0D5D" w:rsidR="00BD49C8" w:rsidRDefault="00BD49C8" w:rsidP="001A12A3">
            <w:pPr>
              <w:jc w:val="both"/>
              <w:rPr>
                <w:rFonts w:ascii="Arial" w:eastAsia="Calibri" w:hAnsi="Arial" w:cs="Arial"/>
                <w:color w:val="000000" w:themeColor="text1"/>
                <w:sz w:val="22"/>
              </w:rPr>
            </w:pPr>
            <w:r>
              <w:rPr>
                <w:rFonts w:ascii="Arial" w:eastAsia="Calibri" w:hAnsi="Arial" w:cs="Arial"/>
                <w:color w:val="000000" w:themeColor="text1"/>
                <w:sz w:val="22"/>
              </w:rPr>
              <w:t xml:space="preserve">Respuesta a consulta </w:t>
            </w:r>
            <w:r w:rsidR="007B7724" w:rsidRPr="007B7724">
              <w:rPr>
                <w:rFonts w:ascii="Arial" w:eastAsia="Calibri" w:hAnsi="Arial" w:cs="Arial"/>
                <w:color w:val="000000" w:themeColor="text1"/>
                <w:sz w:val="22"/>
              </w:rPr>
              <w:t>P20210201000779</w:t>
            </w:r>
          </w:p>
        </w:tc>
      </w:tr>
    </w:tbl>
    <w:p w14:paraId="4B75C284" w14:textId="77777777" w:rsidR="00BD49C8" w:rsidRDefault="00BD49C8" w:rsidP="00BD49C8">
      <w:pPr>
        <w:spacing w:before="120"/>
        <w:jc w:val="both"/>
        <w:rPr>
          <w:rFonts w:ascii="Arial" w:eastAsia="Calibri" w:hAnsi="Arial" w:cs="Arial"/>
          <w:color w:val="000000" w:themeColor="text1"/>
          <w:sz w:val="22"/>
        </w:rPr>
      </w:pPr>
    </w:p>
    <w:p w14:paraId="7FB42F32" w14:textId="77777777" w:rsidR="00BD49C8" w:rsidRDefault="00BD49C8" w:rsidP="00BD49C8">
      <w:pPr>
        <w:jc w:val="both"/>
        <w:rPr>
          <w:rFonts w:ascii="Arial" w:eastAsia="Calibri" w:hAnsi="Arial" w:cs="Arial"/>
          <w:color w:val="000000" w:themeColor="text1"/>
          <w:sz w:val="22"/>
        </w:rPr>
      </w:pPr>
    </w:p>
    <w:p w14:paraId="3E838AEC" w14:textId="516B79CA" w:rsidR="00BD49C8" w:rsidRDefault="00BD49C8" w:rsidP="00BD49C8">
      <w:pPr>
        <w:rPr>
          <w:rFonts w:ascii="Arial" w:eastAsia="Calibri" w:hAnsi="Arial" w:cs="Arial"/>
          <w:color w:val="000000" w:themeColor="text1"/>
          <w:sz w:val="22"/>
        </w:rPr>
      </w:pPr>
      <w:r>
        <w:rPr>
          <w:rFonts w:ascii="Arial" w:eastAsia="Calibri" w:hAnsi="Arial" w:cs="Arial"/>
          <w:color w:val="000000" w:themeColor="text1"/>
          <w:sz w:val="22"/>
        </w:rPr>
        <w:t>Estimad</w:t>
      </w:r>
      <w:r w:rsidR="007B7724">
        <w:rPr>
          <w:rFonts w:ascii="Arial" w:eastAsia="Calibri" w:hAnsi="Arial" w:cs="Arial"/>
          <w:color w:val="000000" w:themeColor="text1"/>
          <w:sz w:val="22"/>
        </w:rPr>
        <w:t xml:space="preserve">o </w:t>
      </w:r>
      <w:r>
        <w:rPr>
          <w:rFonts w:ascii="Arial" w:eastAsia="Calibri" w:hAnsi="Arial" w:cs="Arial"/>
          <w:color w:val="000000" w:themeColor="text1"/>
          <w:sz w:val="22"/>
        </w:rPr>
        <w:t xml:space="preserve">señor </w:t>
      </w:r>
      <w:r w:rsidR="0088583B">
        <w:rPr>
          <w:rFonts w:ascii="Arial" w:eastAsia="Calibri" w:hAnsi="Arial" w:cs="Arial"/>
          <w:color w:val="000000" w:themeColor="text1"/>
          <w:sz w:val="22"/>
        </w:rPr>
        <w:t>González</w:t>
      </w:r>
      <w:r>
        <w:rPr>
          <w:rFonts w:ascii="Arial" w:eastAsia="Calibri" w:hAnsi="Arial" w:cs="Arial"/>
          <w:color w:val="000000" w:themeColor="text1"/>
          <w:sz w:val="22"/>
        </w:rPr>
        <w:t>:</w:t>
      </w:r>
    </w:p>
    <w:p w14:paraId="57756004" w14:textId="77777777" w:rsidR="00BD49C8" w:rsidRDefault="00BD49C8" w:rsidP="00BD49C8">
      <w:pPr>
        <w:rPr>
          <w:rFonts w:ascii="Arial" w:eastAsia="Calibri" w:hAnsi="Arial" w:cs="Arial"/>
          <w:color w:val="000000" w:themeColor="text1"/>
          <w:sz w:val="22"/>
        </w:rPr>
      </w:pPr>
    </w:p>
    <w:p w14:paraId="4CF162F4" w14:textId="150E9410" w:rsidR="00BD49C8" w:rsidRDefault="00BD49C8" w:rsidP="00BD49C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7B7724">
        <w:rPr>
          <w:rFonts w:ascii="Arial" w:eastAsia="Calibri" w:hAnsi="Arial" w:cs="Arial"/>
          <w:color w:val="000000" w:themeColor="text1"/>
          <w:sz w:val="22"/>
        </w:rPr>
        <w:t>1</w:t>
      </w:r>
      <w:r>
        <w:rPr>
          <w:rFonts w:ascii="Arial" w:eastAsia="Calibri" w:hAnsi="Arial" w:cs="Arial"/>
          <w:color w:val="000000" w:themeColor="text1"/>
          <w:sz w:val="22"/>
        </w:rPr>
        <w:t xml:space="preserve"> de </w:t>
      </w:r>
      <w:r w:rsidR="007B7724">
        <w:rPr>
          <w:rFonts w:ascii="Arial" w:eastAsia="Calibri" w:hAnsi="Arial" w:cs="Arial"/>
          <w:color w:val="000000" w:themeColor="text1"/>
          <w:sz w:val="22"/>
        </w:rPr>
        <w:t>febrero</w:t>
      </w:r>
      <w:r>
        <w:rPr>
          <w:rFonts w:ascii="Arial" w:eastAsia="Calibri" w:hAnsi="Arial" w:cs="Arial"/>
          <w:color w:val="000000" w:themeColor="text1"/>
          <w:sz w:val="22"/>
        </w:rPr>
        <w:t xml:space="preserve"> de 202</w:t>
      </w:r>
      <w:r w:rsidR="007B7724">
        <w:rPr>
          <w:rFonts w:ascii="Arial" w:eastAsia="Calibri" w:hAnsi="Arial" w:cs="Arial"/>
          <w:color w:val="000000" w:themeColor="text1"/>
          <w:sz w:val="22"/>
        </w:rPr>
        <w:t>1</w:t>
      </w:r>
      <w:r>
        <w:rPr>
          <w:rFonts w:ascii="Arial" w:eastAsia="Calibri" w:hAnsi="Arial" w:cs="Arial"/>
          <w:color w:val="000000" w:themeColor="text1"/>
          <w:sz w:val="22"/>
        </w:rPr>
        <w:t xml:space="preserve">. </w:t>
      </w:r>
    </w:p>
    <w:p w14:paraId="636DFAE3" w14:textId="77777777" w:rsidR="00BD49C8" w:rsidRDefault="00BD49C8" w:rsidP="00BD49C8">
      <w:pPr>
        <w:spacing w:line="276" w:lineRule="auto"/>
        <w:jc w:val="both"/>
        <w:rPr>
          <w:rFonts w:ascii="Arial" w:eastAsia="Calibri" w:hAnsi="Arial" w:cs="Arial"/>
          <w:color w:val="000000" w:themeColor="text1"/>
          <w:sz w:val="22"/>
        </w:rPr>
      </w:pPr>
    </w:p>
    <w:p w14:paraId="0D3EC4EA" w14:textId="1F3FFB6F" w:rsidR="00BD49C8" w:rsidRDefault="006132CE" w:rsidP="006132CE">
      <w:pPr>
        <w:pStyle w:val="Prrafodelista"/>
        <w:tabs>
          <w:tab w:val="left" w:pos="284"/>
        </w:tabs>
        <w:spacing w:line="276" w:lineRule="auto"/>
        <w:ind w:left="0"/>
        <w:jc w:val="both"/>
        <w:rPr>
          <w:rFonts w:ascii="Arial" w:eastAsia="Calibri" w:hAnsi="Arial" w:cs="Arial"/>
          <w:b/>
          <w:color w:val="000000" w:themeColor="text1"/>
          <w:sz w:val="22"/>
        </w:rPr>
      </w:pPr>
      <w:r>
        <w:rPr>
          <w:rFonts w:ascii="Arial" w:eastAsia="Calibri" w:hAnsi="Arial" w:cs="Arial"/>
          <w:b/>
          <w:color w:val="000000" w:themeColor="text1"/>
          <w:sz w:val="22"/>
        </w:rPr>
        <w:t xml:space="preserve">1. </w:t>
      </w:r>
      <w:r w:rsidR="00BD49C8">
        <w:rPr>
          <w:rFonts w:ascii="Arial" w:eastAsia="Calibri" w:hAnsi="Arial" w:cs="Arial"/>
          <w:b/>
          <w:color w:val="000000" w:themeColor="text1"/>
          <w:sz w:val="22"/>
        </w:rPr>
        <w:t>Problema</w:t>
      </w:r>
      <w:r w:rsidR="0073617B">
        <w:rPr>
          <w:rFonts w:ascii="Arial" w:eastAsia="Calibri" w:hAnsi="Arial" w:cs="Arial"/>
          <w:b/>
          <w:color w:val="000000" w:themeColor="text1"/>
          <w:sz w:val="22"/>
        </w:rPr>
        <w:t>s</w:t>
      </w:r>
      <w:r w:rsidR="00BD49C8">
        <w:rPr>
          <w:rFonts w:ascii="Arial" w:eastAsia="Calibri" w:hAnsi="Arial" w:cs="Arial"/>
          <w:b/>
          <w:color w:val="000000" w:themeColor="text1"/>
          <w:sz w:val="22"/>
        </w:rPr>
        <w:t xml:space="preserve"> planteado</w:t>
      </w:r>
      <w:r w:rsidR="0073617B">
        <w:rPr>
          <w:rFonts w:ascii="Arial" w:eastAsia="Calibri" w:hAnsi="Arial" w:cs="Arial"/>
          <w:b/>
          <w:color w:val="000000" w:themeColor="text1"/>
          <w:sz w:val="22"/>
        </w:rPr>
        <w:t>s</w:t>
      </w:r>
      <w:r w:rsidR="00BD49C8">
        <w:rPr>
          <w:rFonts w:ascii="Arial" w:eastAsia="Calibri" w:hAnsi="Arial" w:cs="Arial"/>
          <w:b/>
          <w:color w:val="000000" w:themeColor="text1"/>
          <w:sz w:val="22"/>
        </w:rPr>
        <w:t xml:space="preserve"> </w:t>
      </w:r>
    </w:p>
    <w:p w14:paraId="3C14EE72" w14:textId="77777777" w:rsidR="00BD49C8" w:rsidRDefault="00BD49C8" w:rsidP="00BD49C8">
      <w:pPr>
        <w:tabs>
          <w:tab w:val="left" w:pos="426"/>
        </w:tabs>
        <w:spacing w:line="276" w:lineRule="auto"/>
        <w:jc w:val="both"/>
        <w:rPr>
          <w:rFonts w:ascii="Arial" w:eastAsia="Calibri" w:hAnsi="Arial" w:cs="Arial"/>
          <w:b/>
          <w:color w:val="000000" w:themeColor="text1"/>
          <w:sz w:val="22"/>
        </w:rPr>
      </w:pPr>
    </w:p>
    <w:p w14:paraId="657018C2" w14:textId="5E3F5298" w:rsidR="0073617B" w:rsidRDefault="00BD49C8" w:rsidP="0073617B">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Usted realiza la</w:t>
      </w:r>
      <w:r w:rsidR="0073617B">
        <w:rPr>
          <w:rFonts w:ascii="Arial" w:eastAsia="Calibri" w:hAnsi="Arial" w:cs="Arial"/>
          <w:color w:val="000000" w:themeColor="text1"/>
          <w:sz w:val="22"/>
        </w:rPr>
        <w:t>s</w:t>
      </w:r>
      <w:r>
        <w:rPr>
          <w:rFonts w:ascii="Arial" w:eastAsia="Calibri" w:hAnsi="Arial" w:cs="Arial"/>
          <w:color w:val="000000" w:themeColor="text1"/>
          <w:sz w:val="22"/>
        </w:rPr>
        <w:t xml:space="preserve"> siguiente</w:t>
      </w:r>
      <w:r w:rsidR="0073617B">
        <w:rPr>
          <w:rFonts w:ascii="Arial" w:eastAsia="Calibri" w:hAnsi="Arial" w:cs="Arial"/>
          <w:color w:val="000000" w:themeColor="text1"/>
          <w:sz w:val="22"/>
        </w:rPr>
        <w:t>s</w:t>
      </w:r>
      <w:r>
        <w:rPr>
          <w:rFonts w:ascii="Arial" w:eastAsia="Calibri" w:hAnsi="Arial" w:cs="Arial"/>
          <w:color w:val="000000" w:themeColor="text1"/>
          <w:sz w:val="22"/>
        </w:rPr>
        <w:t xml:space="preserve"> pregunta</w:t>
      </w:r>
      <w:r w:rsidR="0073617B">
        <w:rPr>
          <w:rFonts w:ascii="Arial" w:eastAsia="Calibri" w:hAnsi="Arial" w:cs="Arial"/>
          <w:color w:val="000000" w:themeColor="text1"/>
          <w:sz w:val="22"/>
        </w:rPr>
        <w:t>s</w:t>
      </w:r>
      <w:r>
        <w:rPr>
          <w:rFonts w:ascii="Arial" w:eastAsia="Calibri" w:hAnsi="Arial" w:cs="Arial"/>
          <w:color w:val="000000" w:themeColor="text1"/>
          <w:sz w:val="22"/>
        </w:rPr>
        <w:t>:</w:t>
      </w:r>
      <w:r w:rsidR="00E6543E">
        <w:rPr>
          <w:rFonts w:ascii="Arial" w:eastAsia="Calibri" w:hAnsi="Arial" w:cs="Arial"/>
          <w:color w:val="000000" w:themeColor="text1"/>
          <w:sz w:val="22"/>
        </w:rPr>
        <w:t xml:space="preserve"> </w:t>
      </w:r>
      <w:bookmarkStart w:id="5" w:name="_Hlk42692076"/>
      <w:r w:rsidR="00F677ED">
        <w:rPr>
          <w:rFonts w:ascii="Arial" w:eastAsia="Calibri" w:hAnsi="Arial" w:cs="Arial"/>
          <w:color w:val="000000" w:themeColor="text1"/>
          <w:sz w:val="22"/>
        </w:rPr>
        <w:t xml:space="preserve">i) </w:t>
      </w:r>
      <w:r w:rsidR="006132CE">
        <w:rPr>
          <w:rFonts w:ascii="Arial" w:eastAsia="Calibri" w:hAnsi="Arial" w:cs="Arial"/>
          <w:color w:val="000000" w:themeColor="text1"/>
          <w:sz w:val="22"/>
        </w:rPr>
        <w:t>«</w:t>
      </w:r>
      <w:r w:rsidR="0073617B" w:rsidRPr="0073617B">
        <w:rPr>
          <w:rFonts w:ascii="Arial" w:eastAsia="Calibri" w:hAnsi="Arial" w:cs="Arial"/>
          <w:color w:val="000000" w:themeColor="text1"/>
          <w:sz w:val="22"/>
        </w:rPr>
        <w:t>¿Cómo se debe calcular la capacidad residual, de un proponente, que sea accionista</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o socio de una empresa, y cuya empresa este ejecutando contratos de obra? A la luz</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del pliego tipo II</w:t>
      </w:r>
      <w:r w:rsidR="00CE0C47">
        <w:rPr>
          <w:rFonts w:ascii="Arial" w:eastAsia="Calibri" w:hAnsi="Arial" w:cs="Arial"/>
          <w:color w:val="000000" w:themeColor="text1"/>
          <w:sz w:val="22"/>
        </w:rPr>
        <w:t xml:space="preserve"> (sic)</w:t>
      </w:r>
      <w:r w:rsidR="0073617B" w:rsidRPr="0073617B">
        <w:rPr>
          <w:rFonts w:ascii="Arial" w:eastAsia="Calibri" w:hAnsi="Arial" w:cs="Arial"/>
          <w:color w:val="000000" w:themeColor="text1"/>
          <w:sz w:val="22"/>
        </w:rPr>
        <w:t xml:space="preserve">, en el numeral 3.11.2 </w:t>
      </w:r>
      <w:proofErr w:type="spellStart"/>
      <w:r w:rsidR="0073617B" w:rsidRPr="0073617B">
        <w:rPr>
          <w:rFonts w:ascii="Arial" w:eastAsia="Calibri" w:hAnsi="Arial" w:cs="Arial"/>
          <w:color w:val="000000" w:themeColor="text1"/>
          <w:sz w:val="22"/>
        </w:rPr>
        <w:t>subnumeral</w:t>
      </w:r>
      <w:proofErr w:type="spellEnd"/>
      <w:r w:rsidR="0073617B" w:rsidRPr="0073617B">
        <w:rPr>
          <w:rFonts w:ascii="Arial" w:eastAsia="Calibri" w:hAnsi="Arial" w:cs="Arial"/>
          <w:color w:val="000000" w:themeColor="text1"/>
          <w:sz w:val="22"/>
        </w:rPr>
        <w:t xml:space="preserve"> E </w:t>
      </w:r>
      <w:r w:rsidR="00CE0C47">
        <w:rPr>
          <w:rFonts w:ascii="Arial" w:eastAsia="Calibri" w:hAnsi="Arial" w:cs="Arial"/>
          <w:color w:val="000000" w:themeColor="text1"/>
          <w:sz w:val="22"/>
        </w:rPr>
        <w:t xml:space="preserve">(sic) </w:t>
      </w:r>
      <w:r w:rsidR="0073617B" w:rsidRPr="0073617B">
        <w:rPr>
          <w:rFonts w:ascii="Arial" w:eastAsia="Calibri" w:hAnsi="Arial" w:cs="Arial"/>
          <w:color w:val="000000" w:themeColor="text1"/>
          <w:sz w:val="22"/>
        </w:rPr>
        <w:t>literal III</w:t>
      </w:r>
      <w:r w:rsidR="00CE0C47">
        <w:rPr>
          <w:rFonts w:ascii="Arial" w:eastAsia="Calibri" w:hAnsi="Arial" w:cs="Arial"/>
          <w:color w:val="000000" w:themeColor="text1"/>
          <w:sz w:val="22"/>
        </w:rPr>
        <w:t xml:space="preserve"> (sic)</w:t>
      </w:r>
      <w:r w:rsidR="0073617B" w:rsidRPr="0073617B">
        <w:rPr>
          <w:rFonts w:ascii="Arial" w:eastAsia="Calibri" w:hAnsi="Arial" w:cs="Arial"/>
          <w:color w:val="000000" w:themeColor="text1"/>
          <w:sz w:val="22"/>
        </w:rPr>
        <w:t xml:space="preserve"> "Se tendrán en cuenta los</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contratos de obras civiles en ejecución suscritos por el Proponente o por sociedades,</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Consorcios o Uniones Temporales en los cuales el Proponente tenga participación"</w:t>
      </w:r>
      <w:r w:rsidR="00F677ED">
        <w:rPr>
          <w:rFonts w:ascii="Arial" w:eastAsia="Calibri" w:hAnsi="Arial" w:cs="Arial"/>
          <w:color w:val="000000" w:themeColor="text1"/>
          <w:sz w:val="22"/>
        </w:rPr>
        <w:t xml:space="preserve">», </w:t>
      </w:r>
      <w:proofErr w:type="spellStart"/>
      <w:r w:rsidR="00F677ED">
        <w:rPr>
          <w:rFonts w:ascii="Arial" w:eastAsia="Calibri" w:hAnsi="Arial" w:cs="Arial"/>
          <w:color w:val="000000" w:themeColor="text1"/>
          <w:sz w:val="22"/>
        </w:rPr>
        <w:t>ii</w:t>
      </w:r>
      <w:proofErr w:type="spellEnd"/>
      <w:r w:rsidR="00F677ED">
        <w:rPr>
          <w:rFonts w:ascii="Arial" w:eastAsia="Calibri" w:hAnsi="Arial" w:cs="Arial"/>
          <w:color w:val="000000" w:themeColor="text1"/>
          <w:sz w:val="22"/>
        </w:rPr>
        <w:t>)</w:t>
      </w:r>
      <w:r w:rsidR="006132CE">
        <w:rPr>
          <w:rFonts w:ascii="Arial" w:eastAsia="Calibri" w:hAnsi="Arial" w:cs="Arial"/>
          <w:color w:val="000000" w:themeColor="text1"/>
          <w:sz w:val="22"/>
        </w:rPr>
        <w:t xml:space="preserve"> </w:t>
      </w:r>
      <w:bookmarkStart w:id="6" w:name="_Hlk45288551"/>
      <w:r w:rsidR="00F677ED">
        <w:rPr>
          <w:rFonts w:ascii="Arial" w:eastAsia="Calibri" w:hAnsi="Arial" w:cs="Arial"/>
          <w:color w:val="000000" w:themeColor="text1"/>
          <w:sz w:val="22"/>
        </w:rPr>
        <w:t>«</w:t>
      </w:r>
      <w:r w:rsidR="0073617B" w:rsidRPr="0073617B">
        <w:rPr>
          <w:rFonts w:ascii="Arial" w:eastAsia="Calibri" w:hAnsi="Arial" w:cs="Arial"/>
          <w:color w:val="000000" w:themeColor="text1"/>
          <w:sz w:val="22"/>
        </w:rPr>
        <w:t xml:space="preserve">Según concepto 027 del 28 de </w:t>
      </w:r>
      <w:r w:rsidR="0073617B">
        <w:rPr>
          <w:rFonts w:ascii="Arial" w:eastAsia="Calibri" w:hAnsi="Arial" w:cs="Arial"/>
          <w:color w:val="000000" w:themeColor="text1"/>
          <w:sz w:val="22"/>
        </w:rPr>
        <w:t>m</w:t>
      </w:r>
      <w:r w:rsidR="0073617B" w:rsidRPr="0073617B">
        <w:rPr>
          <w:rFonts w:ascii="Arial" w:eastAsia="Calibri" w:hAnsi="Arial" w:cs="Arial"/>
          <w:color w:val="000000" w:themeColor="text1"/>
          <w:sz w:val="22"/>
        </w:rPr>
        <w:t>arzo de 2008 de la junta central de contadores y en</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armonía al</w:t>
      </w:r>
      <w:r w:rsidR="0073617B">
        <w:rPr>
          <w:rFonts w:ascii="Arial" w:eastAsia="Calibri" w:hAnsi="Arial" w:cs="Arial"/>
          <w:color w:val="000000" w:themeColor="text1"/>
          <w:sz w:val="22"/>
        </w:rPr>
        <w:t xml:space="preserve"> (sic)</w:t>
      </w:r>
      <w:r w:rsidR="0073617B" w:rsidRPr="0073617B">
        <w:rPr>
          <w:rFonts w:ascii="Arial" w:eastAsia="Calibri" w:hAnsi="Arial" w:cs="Arial"/>
          <w:color w:val="000000" w:themeColor="text1"/>
          <w:sz w:val="22"/>
        </w:rPr>
        <w:t xml:space="preserve"> concepto No. 005/2004 del Consejo Técnico, se ha señalado que los</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estados financieros de los proponentes que participan en procesos superiores a 2000</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SMMLV, deben estar suscritos tanto, por el representante legal, contador y revisor</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fiscal o contador independiente</w:t>
      </w:r>
      <w:r w:rsidR="0073617B">
        <w:rPr>
          <w:rFonts w:ascii="Arial" w:eastAsia="Calibri" w:hAnsi="Arial" w:cs="Arial"/>
          <w:color w:val="000000" w:themeColor="text1"/>
          <w:sz w:val="22"/>
        </w:rPr>
        <w:t>[...]</w:t>
      </w:r>
      <w:r>
        <w:rPr>
          <w:rFonts w:ascii="Arial" w:eastAsia="Calibri" w:hAnsi="Arial" w:cs="Arial"/>
          <w:color w:val="000000" w:themeColor="text1"/>
          <w:sz w:val="22"/>
        </w:rPr>
        <w:t>».</w:t>
      </w:r>
      <w:bookmarkEnd w:id="6"/>
      <w:r w:rsidR="0073617B">
        <w:rPr>
          <w:rFonts w:ascii="Arial" w:eastAsia="Calibri" w:hAnsi="Arial" w:cs="Arial"/>
          <w:color w:val="000000" w:themeColor="text1"/>
          <w:sz w:val="22"/>
        </w:rPr>
        <w:t xml:space="preserve"> El pliego tipo versión 2, respecto de la capacidad de organización y el estado de resultados integral </w:t>
      </w:r>
      <w:r w:rsidR="0073617B">
        <w:rPr>
          <w:rFonts w:ascii="Arial" w:eastAsia="Calibri" w:hAnsi="Arial" w:cs="Arial"/>
          <w:color w:val="000000" w:themeColor="text1"/>
          <w:sz w:val="22"/>
        </w:rPr>
        <w:lastRenderedPageBreak/>
        <w:t>dispone lo mismo.</w:t>
      </w:r>
      <w:r w:rsidR="0073617B" w:rsidRPr="0073617B">
        <w:rPr>
          <w:rFonts w:ascii="Arial" w:eastAsia="Calibri" w:hAnsi="Arial" w:cs="Arial"/>
          <w:color w:val="000000" w:themeColor="text1"/>
          <w:sz w:val="22"/>
        </w:rPr>
        <w:t xml:space="preserve"> </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¿es subsanable que los proponentes, dentro del término de traslado del informe de</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evaluación, reemplacen los estados financieros, incluyendo el contador independiente</w:t>
      </w:r>
      <w:r w:rsidR="0073617B">
        <w:rPr>
          <w:rFonts w:ascii="Arial" w:eastAsia="Calibri" w:hAnsi="Arial" w:cs="Arial"/>
          <w:color w:val="000000" w:themeColor="text1"/>
          <w:sz w:val="22"/>
        </w:rPr>
        <w:t xml:space="preserve"> </w:t>
      </w:r>
      <w:r w:rsidR="0073617B" w:rsidRPr="0073617B">
        <w:rPr>
          <w:rFonts w:ascii="Arial" w:eastAsia="Calibri" w:hAnsi="Arial" w:cs="Arial"/>
          <w:color w:val="000000" w:themeColor="text1"/>
          <w:sz w:val="22"/>
        </w:rPr>
        <w:t xml:space="preserve">en los estados financieros? </w:t>
      </w:r>
      <w:proofErr w:type="gramStart"/>
      <w:r w:rsidR="0073617B" w:rsidRPr="0073617B">
        <w:rPr>
          <w:rFonts w:ascii="Arial" w:eastAsia="Calibri" w:hAnsi="Arial" w:cs="Arial"/>
          <w:color w:val="000000" w:themeColor="text1"/>
          <w:sz w:val="22"/>
        </w:rPr>
        <w:t>O en su efecto, se debe considerar como una mejora?</w:t>
      </w:r>
      <w:proofErr w:type="gramEnd"/>
      <w:r w:rsidR="0073617B">
        <w:rPr>
          <w:rFonts w:ascii="Arial" w:eastAsia="Calibri" w:hAnsi="Arial" w:cs="Arial"/>
          <w:color w:val="000000" w:themeColor="text1"/>
          <w:sz w:val="22"/>
        </w:rPr>
        <w:t>».</w:t>
      </w:r>
    </w:p>
    <w:bookmarkEnd w:id="5"/>
    <w:p w14:paraId="1567C4E3" w14:textId="77777777" w:rsidR="00BD49C8" w:rsidRDefault="00BD49C8" w:rsidP="00BD49C8">
      <w:pPr>
        <w:tabs>
          <w:tab w:val="left" w:pos="709"/>
        </w:tabs>
        <w:spacing w:line="276" w:lineRule="auto"/>
        <w:jc w:val="both"/>
        <w:rPr>
          <w:rFonts w:ascii="Arial" w:eastAsia="Calibri" w:hAnsi="Arial" w:cs="Arial"/>
          <w:color w:val="000000" w:themeColor="text1"/>
          <w:sz w:val="22"/>
        </w:rPr>
      </w:pPr>
    </w:p>
    <w:p w14:paraId="48F8FADA" w14:textId="77777777" w:rsidR="00BD49C8" w:rsidRDefault="00BD49C8" w:rsidP="00BD49C8">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 Consideraciones</w:t>
      </w:r>
    </w:p>
    <w:p w14:paraId="12BC547D" w14:textId="31A0CC65" w:rsidR="00BD49C8" w:rsidRDefault="00BD49C8" w:rsidP="00BD49C8">
      <w:pPr>
        <w:spacing w:line="276" w:lineRule="auto"/>
        <w:jc w:val="both"/>
        <w:rPr>
          <w:rFonts w:ascii="Arial" w:eastAsia="Calibri" w:hAnsi="Arial" w:cs="Arial"/>
          <w:b/>
          <w:bCs/>
          <w:color w:val="000000" w:themeColor="text1"/>
          <w:sz w:val="22"/>
        </w:rPr>
      </w:pPr>
    </w:p>
    <w:p w14:paraId="2B0E2DA0" w14:textId="248BB6C5" w:rsidR="00323B2D" w:rsidRDefault="00323B2D" w:rsidP="000C2C67">
      <w:pPr>
        <w:spacing w:after="120" w:line="276" w:lineRule="auto"/>
        <w:jc w:val="both"/>
        <w:rPr>
          <w:rFonts w:ascii="Arial" w:eastAsia="Calibri" w:hAnsi="Arial" w:cs="Arial"/>
          <w:sz w:val="22"/>
        </w:rPr>
      </w:pPr>
      <w:r w:rsidRPr="00323B2D">
        <w:rPr>
          <w:rFonts w:ascii="Arial" w:eastAsia="Calibri" w:hAnsi="Arial" w:cs="Arial"/>
          <w:sz w:val="22"/>
        </w:rPr>
        <w:t xml:space="preserve">Teniendo en cuenta que la consulta se realiza </w:t>
      </w:r>
      <w:r>
        <w:rPr>
          <w:rFonts w:ascii="Arial" w:eastAsia="Calibri" w:hAnsi="Arial" w:cs="Arial"/>
          <w:sz w:val="22"/>
        </w:rPr>
        <w:t>sobre</w:t>
      </w:r>
      <w:r w:rsidRPr="00323B2D">
        <w:rPr>
          <w:rFonts w:ascii="Arial" w:eastAsia="Calibri" w:hAnsi="Arial" w:cs="Arial"/>
          <w:sz w:val="22"/>
        </w:rPr>
        <w:t xml:space="preserve"> la versión 2 de los documentos tipo para licitación de obra pública de infraestructura de transporte, las consideraciones que se presentan a continuación están relacionadas con el documento base de esta versión.</w:t>
      </w:r>
    </w:p>
    <w:p w14:paraId="2A663DC8" w14:textId="10314AB8" w:rsidR="002F1CCA" w:rsidRDefault="002F1CCA">
      <w:pPr>
        <w:spacing w:line="276" w:lineRule="auto"/>
        <w:ind w:firstLine="709"/>
        <w:jc w:val="both"/>
        <w:rPr>
          <w:rFonts w:ascii="Arial" w:hAnsi="Arial" w:cs="Arial"/>
          <w:color w:val="000000" w:themeColor="text1"/>
          <w:sz w:val="22"/>
        </w:rPr>
      </w:pPr>
      <w:r>
        <w:rPr>
          <w:rFonts w:ascii="Arial" w:eastAsia="Calibri" w:hAnsi="Arial" w:cs="Arial"/>
          <w:sz w:val="22"/>
        </w:rPr>
        <w:t xml:space="preserve">La Agencia </w:t>
      </w:r>
      <w:r>
        <w:rPr>
          <w:rFonts w:ascii="Arial" w:eastAsia="Calibri" w:hAnsi="Arial" w:cs="Arial"/>
          <w:bCs/>
          <w:sz w:val="22"/>
        </w:rPr>
        <w:t>Nacional de Contratación Pública – Colombia Compra Eficiente estudió</w:t>
      </w:r>
      <w:r w:rsidRPr="00506F76">
        <w:rPr>
          <w:rFonts w:ascii="Arial" w:eastAsia="Calibri" w:hAnsi="Arial" w:cs="Arial"/>
          <w:sz w:val="22"/>
        </w:rPr>
        <w:t xml:space="preserve"> los requisitos habilitantes de capacidad residual y experiencia</w:t>
      </w:r>
      <w:r>
        <w:rPr>
          <w:rFonts w:ascii="Arial" w:eastAsia="Calibri" w:hAnsi="Arial" w:cs="Arial"/>
          <w:bCs/>
          <w:sz w:val="22"/>
        </w:rPr>
        <w:t xml:space="preserve"> en los conceptos </w:t>
      </w:r>
      <w:r w:rsidRPr="00506F76">
        <w:rPr>
          <w:rFonts w:ascii="Arial" w:eastAsia="Calibri" w:hAnsi="Arial" w:cs="Arial"/>
          <w:sz w:val="22"/>
        </w:rPr>
        <w:t>No. 4201912000005192 del 9 de septiembre de 2019,</w:t>
      </w:r>
      <w:r>
        <w:rPr>
          <w:rFonts w:ascii="Arial" w:eastAsia="Calibri" w:hAnsi="Arial" w:cs="Arial"/>
          <w:sz w:val="22"/>
        </w:rPr>
        <w:t xml:space="preserve"> </w:t>
      </w:r>
      <w:r w:rsidRPr="00506F76">
        <w:rPr>
          <w:rFonts w:ascii="Arial" w:eastAsia="Calibri" w:hAnsi="Arial" w:cs="Arial"/>
          <w:sz w:val="22"/>
        </w:rPr>
        <w:t xml:space="preserve">4201912000007744 del 12 de febrero de 2020, </w:t>
      </w:r>
      <w:r w:rsidR="00F93CE5">
        <w:rPr>
          <w:rFonts w:ascii="Arial" w:eastAsia="Calibri" w:hAnsi="Arial" w:cs="Arial"/>
          <w:sz w:val="22"/>
        </w:rPr>
        <w:t xml:space="preserve">C-089 del 4 de marzo de 2020, </w:t>
      </w:r>
      <w:r>
        <w:rPr>
          <w:rFonts w:ascii="Arial" w:eastAsia="Calibri" w:hAnsi="Arial" w:cs="Arial"/>
          <w:bCs/>
          <w:sz w:val="22"/>
        </w:rPr>
        <w:t xml:space="preserve">C-383 del 23 de junio de 2020, C-461 del 13 de julio de 2020 y C-742 del 16 de diciembre de 2020. A su vez, esta entidad estudió la </w:t>
      </w:r>
      <w:proofErr w:type="spellStart"/>
      <w:r>
        <w:rPr>
          <w:rFonts w:ascii="Arial" w:eastAsia="Calibri" w:hAnsi="Arial" w:cs="Arial"/>
          <w:bCs/>
          <w:sz w:val="22"/>
        </w:rPr>
        <w:t>subsanabilidad</w:t>
      </w:r>
      <w:proofErr w:type="spellEnd"/>
      <w:r>
        <w:rPr>
          <w:rFonts w:ascii="Arial" w:eastAsia="Calibri" w:hAnsi="Arial" w:cs="Arial"/>
          <w:bCs/>
          <w:sz w:val="22"/>
        </w:rPr>
        <w:t xml:space="preserve"> de la capacidad residual en el concepto No. 4201913000004724 del 21 de agosto de 2019, reiterado y desarrollado en los conceptos No. C-033 del 13 de marzo de 2020</w:t>
      </w:r>
      <w:r w:rsidR="00B5531D">
        <w:rPr>
          <w:rFonts w:ascii="Arial" w:eastAsia="Calibri" w:hAnsi="Arial" w:cs="Arial"/>
          <w:bCs/>
          <w:sz w:val="22"/>
        </w:rPr>
        <w:t>,</w:t>
      </w:r>
      <w:r>
        <w:rPr>
          <w:rFonts w:ascii="Arial" w:eastAsia="Calibri" w:hAnsi="Arial" w:cs="Arial"/>
          <w:bCs/>
          <w:sz w:val="22"/>
        </w:rPr>
        <w:t xml:space="preserve"> C-133 del 30 de marzo de 2020</w:t>
      </w:r>
      <w:r w:rsidR="00EE35A7">
        <w:rPr>
          <w:rFonts w:ascii="Arial" w:eastAsia="Calibri" w:hAnsi="Arial" w:cs="Arial"/>
          <w:bCs/>
          <w:sz w:val="22"/>
        </w:rPr>
        <w:t>,</w:t>
      </w:r>
      <w:r w:rsidR="00F3714F">
        <w:rPr>
          <w:rFonts w:ascii="Arial" w:eastAsia="Calibri" w:hAnsi="Arial" w:cs="Arial"/>
          <w:bCs/>
          <w:sz w:val="22"/>
        </w:rPr>
        <w:t xml:space="preserve"> C-383 del 23 de junio de 2020,</w:t>
      </w:r>
      <w:r w:rsidR="00B5531D">
        <w:rPr>
          <w:rFonts w:ascii="Arial" w:eastAsia="Calibri" w:hAnsi="Arial" w:cs="Arial"/>
          <w:bCs/>
          <w:sz w:val="22"/>
        </w:rPr>
        <w:t xml:space="preserve"> C-391 del 10 de agosto de 2020, C-547 del 21 de agosto de 2020, C-622 y C-640 del 2 de octubre de 2020</w:t>
      </w:r>
      <w:r w:rsidR="000C2C67">
        <w:rPr>
          <w:rFonts w:ascii="Arial" w:eastAsia="Calibri" w:hAnsi="Arial" w:cs="Arial"/>
          <w:bCs/>
          <w:sz w:val="22"/>
        </w:rPr>
        <w:t>, C-042 del 3 de marzo de 2021 y C-045 del 5 de marzo de 2021</w:t>
      </w:r>
      <w:r>
        <w:rPr>
          <w:rFonts w:ascii="Arial" w:eastAsia="Calibri" w:hAnsi="Arial" w:cs="Arial"/>
          <w:bCs/>
          <w:sz w:val="22"/>
        </w:rPr>
        <w:t xml:space="preserve">. </w:t>
      </w:r>
      <w:r>
        <w:rPr>
          <w:rFonts w:ascii="Arial" w:hAnsi="Arial" w:cs="Arial"/>
          <w:sz w:val="22"/>
        </w:rPr>
        <w:t>La tesis desarrollada se expone a continuación</w:t>
      </w:r>
      <w:r>
        <w:rPr>
          <w:rFonts w:ascii="Arial" w:eastAsia="Calibri" w:hAnsi="Arial" w:cs="Arial"/>
          <w:bCs/>
          <w:sz w:val="22"/>
        </w:rPr>
        <w:t>.</w:t>
      </w:r>
    </w:p>
    <w:p w14:paraId="00CE0B33" w14:textId="77777777" w:rsidR="002F1CCA" w:rsidRDefault="002F1CCA" w:rsidP="00052D2C">
      <w:pPr>
        <w:spacing w:line="276" w:lineRule="auto"/>
        <w:jc w:val="both"/>
        <w:rPr>
          <w:rFonts w:ascii="Arial" w:eastAsia="Calibri" w:hAnsi="Arial" w:cs="Arial"/>
          <w:b/>
          <w:bCs/>
          <w:color w:val="000000" w:themeColor="text1"/>
          <w:sz w:val="22"/>
        </w:rPr>
      </w:pPr>
    </w:p>
    <w:p w14:paraId="63EDCBCC" w14:textId="270F5429" w:rsidR="00BD49C8" w:rsidRDefault="00BD49C8" w:rsidP="00052D2C">
      <w:pPr>
        <w:tabs>
          <w:tab w:val="left" w:pos="426"/>
        </w:tabs>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2.1</w:t>
      </w:r>
      <w:r w:rsidR="0037480E">
        <w:rPr>
          <w:rFonts w:ascii="Arial" w:eastAsia="Calibri" w:hAnsi="Arial" w:cs="Arial"/>
          <w:b/>
          <w:bCs/>
          <w:color w:val="000000" w:themeColor="text1"/>
          <w:sz w:val="22"/>
        </w:rPr>
        <w:t>.</w:t>
      </w:r>
      <w:r>
        <w:rPr>
          <w:rFonts w:ascii="Arial" w:eastAsia="Calibri" w:hAnsi="Arial" w:cs="Arial"/>
          <w:b/>
          <w:bCs/>
          <w:sz w:val="22"/>
        </w:rPr>
        <w:t xml:space="preserve"> </w:t>
      </w:r>
      <w:r>
        <w:rPr>
          <w:rFonts w:ascii="Arial" w:eastAsia="Calibri" w:hAnsi="Arial" w:cs="Arial"/>
          <w:b/>
          <w:bCs/>
          <w:color w:val="000000" w:themeColor="text1"/>
          <w:sz w:val="22"/>
        </w:rPr>
        <w:t xml:space="preserve">Capacidad residual: </w:t>
      </w:r>
      <w:r w:rsidR="00927F6E">
        <w:rPr>
          <w:rFonts w:ascii="Arial" w:eastAsia="Calibri" w:hAnsi="Arial" w:cs="Arial"/>
          <w:b/>
          <w:bCs/>
          <w:color w:val="000000" w:themeColor="text1"/>
          <w:sz w:val="22"/>
        </w:rPr>
        <w:t>experiencia</w:t>
      </w:r>
      <w:r>
        <w:rPr>
          <w:rFonts w:ascii="Arial" w:eastAsia="Calibri" w:hAnsi="Arial" w:cs="Arial"/>
          <w:b/>
          <w:bCs/>
          <w:color w:val="000000" w:themeColor="text1"/>
          <w:sz w:val="22"/>
        </w:rPr>
        <w:t xml:space="preserve"> requerida</w:t>
      </w:r>
      <w:r w:rsidR="00C26512">
        <w:rPr>
          <w:rFonts w:ascii="Arial" w:eastAsia="Calibri" w:hAnsi="Arial" w:cs="Arial"/>
          <w:b/>
          <w:bCs/>
          <w:color w:val="000000" w:themeColor="text1"/>
          <w:sz w:val="22"/>
        </w:rPr>
        <w:t xml:space="preserve"> para </w:t>
      </w:r>
      <w:r w:rsidR="00A47B05">
        <w:rPr>
          <w:rFonts w:ascii="Arial" w:eastAsia="Calibri" w:hAnsi="Arial" w:cs="Arial"/>
          <w:b/>
          <w:bCs/>
          <w:color w:val="000000" w:themeColor="text1"/>
          <w:sz w:val="22"/>
        </w:rPr>
        <w:t>su</w:t>
      </w:r>
      <w:r w:rsidR="00C26512">
        <w:rPr>
          <w:rFonts w:ascii="Arial" w:eastAsia="Calibri" w:hAnsi="Arial" w:cs="Arial"/>
          <w:b/>
          <w:bCs/>
          <w:color w:val="000000" w:themeColor="text1"/>
          <w:sz w:val="22"/>
        </w:rPr>
        <w:t xml:space="preserve"> cálculo</w:t>
      </w:r>
    </w:p>
    <w:p w14:paraId="34B04207" w14:textId="77777777" w:rsidR="00BD49C8" w:rsidRDefault="00BD49C8" w:rsidP="00052D2C">
      <w:pPr>
        <w:spacing w:line="276" w:lineRule="auto"/>
        <w:jc w:val="both"/>
        <w:rPr>
          <w:rFonts w:ascii="Arial" w:eastAsia="Calibri" w:hAnsi="Arial" w:cs="Arial"/>
          <w:sz w:val="22"/>
        </w:rPr>
      </w:pPr>
    </w:p>
    <w:p w14:paraId="414568CC" w14:textId="156EDDAE" w:rsidR="00BD49C8" w:rsidRDefault="00BD49C8" w:rsidP="000C2C67">
      <w:pPr>
        <w:spacing w:after="120" w:line="276" w:lineRule="auto"/>
        <w:jc w:val="both"/>
        <w:rPr>
          <w:rFonts w:ascii="Arial" w:hAnsi="Arial" w:cs="Arial"/>
          <w:color w:val="000000" w:themeColor="text1"/>
          <w:sz w:val="22"/>
        </w:rPr>
      </w:pPr>
      <w:r>
        <w:rPr>
          <w:rFonts w:ascii="Arial" w:hAnsi="Arial" w:cs="Arial"/>
          <w:color w:val="000000" w:themeColor="text1"/>
          <w:sz w:val="22"/>
        </w:rPr>
        <w:t>De acuerdo con lo establecido en el artículo 2.2.1.1.1.3.1</w:t>
      </w:r>
      <w:r w:rsidR="00044B79">
        <w:rPr>
          <w:rFonts w:ascii="Arial" w:hAnsi="Arial" w:cs="Arial"/>
          <w:color w:val="000000" w:themeColor="text1"/>
          <w:sz w:val="22"/>
        </w:rPr>
        <w:t>.</w:t>
      </w:r>
      <w:r>
        <w:rPr>
          <w:rFonts w:ascii="Arial" w:hAnsi="Arial" w:cs="Arial"/>
          <w:color w:val="000000" w:themeColor="text1"/>
          <w:sz w:val="22"/>
        </w:rPr>
        <w:t xml:space="preserve"> del Decreto 1082 de 2015, la capacidad residual es la aptitud de los oferentes para cumplir de manera oportuna y a cabalidad el objeto de un contrato de obra, sin que los demás compromisos contractuales que han adquirido afecten su habilidad de cumplir el objeto del contrato que está en proceso de selección</w:t>
      </w:r>
      <w:r>
        <w:rPr>
          <w:rFonts w:ascii="Arial" w:hAnsi="Arial" w:cs="Arial"/>
          <w:color w:val="000000" w:themeColor="text1"/>
          <w:sz w:val="22"/>
          <w:szCs w:val="20"/>
          <w:vertAlign w:val="superscript"/>
        </w:rPr>
        <w:footnoteReference w:id="1"/>
      </w:r>
      <w:r>
        <w:rPr>
          <w:rFonts w:ascii="Arial" w:hAnsi="Arial" w:cs="Arial"/>
          <w:color w:val="000000" w:themeColor="text1"/>
          <w:sz w:val="22"/>
        </w:rPr>
        <w:t xml:space="preserve">. Por su parte, el Consejo de Estado ha definido la capacidad residual como «la diferencia que existe entre el potencial de contratación que se tiene y los compromisos que haya adquirido y que se encuentren en ejecución, para la fecha de presentación de la </w:t>
      </w:r>
      <w:r>
        <w:rPr>
          <w:rFonts w:ascii="Arial" w:hAnsi="Arial" w:cs="Arial"/>
          <w:color w:val="000000" w:themeColor="text1"/>
          <w:sz w:val="22"/>
        </w:rPr>
        <w:lastRenderedPageBreak/>
        <w:t>oferta»</w:t>
      </w:r>
      <w:r>
        <w:rPr>
          <w:rStyle w:val="Refdenotaalpie"/>
          <w:rFonts w:ascii="Arial" w:eastAsia="Calibri" w:hAnsi="Arial" w:cs="Arial"/>
          <w:color w:val="000000" w:themeColor="text1"/>
          <w:sz w:val="22"/>
        </w:rPr>
        <w:footnoteReference w:id="2"/>
      </w:r>
      <w:r>
        <w:rPr>
          <w:rFonts w:ascii="Arial" w:hAnsi="Arial" w:cs="Arial"/>
          <w:color w:val="000000" w:themeColor="text1"/>
          <w:sz w:val="22"/>
        </w:rPr>
        <w:t>.</w:t>
      </w:r>
      <w:r w:rsidR="00C86F30">
        <w:rPr>
          <w:rFonts w:ascii="Arial" w:hAnsi="Arial" w:cs="Arial"/>
          <w:color w:val="000000" w:themeColor="text1"/>
          <w:sz w:val="22"/>
        </w:rPr>
        <w:t xml:space="preserve"> </w:t>
      </w:r>
      <w:r>
        <w:rPr>
          <w:rFonts w:ascii="Arial" w:hAnsi="Arial" w:cs="Arial"/>
          <w:color w:val="000000" w:themeColor="text1"/>
          <w:sz w:val="22"/>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p>
    <w:p w14:paraId="1ED241BD" w14:textId="27B0B060" w:rsidR="00BD49C8" w:rsidRDefault="00BD49C8" w:rsidP="00BD49C8">
      <w:pPr>
        <w:spacing w:line="276" w:lineRule="auto"/>
        <w:ind w:firstLine="708"/>
        <w:jc w:val="both"/>
        <w:rPr>
          <w:rFonts w:ascii="Arial" w:hAnsi="Arial" w:cs="Arial"/>
          <w:color w:val="000000" w:themeColor="text1"/>
          <w:sz w:val="22"/>
        </w:rPr>
      </w:pPr>
      <w:r>
        <w:rPr>
          <w:rFonts w:ascii="Arial" w:hAnsi="Arial" w:cs="Arial"/>
          <w:color w:val="000000" w:themeColor="text1"/>
          <w:sz w:val="22"/>
        </w:rPr>
        <w:t>El artículo 6 de la Ley 1150 de 2007 estableció como condición «para poder participar en los procesos de selección de los contratos de obra, la capacidad residual del proponente o K de contratación»</w:t>
      </w:r>
      <w:r w:rsidR="00F07705">
        <w:rPr>
          <w:rFonts w:ascii="Arial" w:hAnsi="Arial" w:cs="Arial"/>
          <w:color w:val="000000" w:themeColor="text1"/>
          <w:sz w:val="22"/>
        </w:rPr>
        <w:t>. Además,</w:t>
      </w:r>
      <w:r>
        <w:rPr>
          <w:rFonts w:ascii="Arial" w:hAnsi="Arial" w:cs="Arial"/>
          <w:color w:val="000000" w:themeColor="text1"/>
          <w:sz w:val="22"/>
        </w:rPr>
        <w:t xml:space="preserve"> determinó que esta debe ser igual o superior a la </w:t>
      </w:r>
      <w:r w:rsidR="00B86125">
        <w:rPr>
          <w:rFonts w:ascii="Arial" w:hAnsi="Arial" w:cs="Arial"/>
          <w:color w:val="000000" w:themeColor="text1"/>
          <w:sz w:val="22"/>
        </w:rPr>
        <w:t>establecida</w:t>
      </w:r>
      <w:r>
        <w:rPr>
          <w:rFonts w:ascii="Arial" w:hAnsi="Arial" w:cs="Arial"/>
          <w:color w:val="000000" w:themeColor="text1"/>
          <w:sz w:val="22"/>
        </w:rPr>
        <w:t xml:space="preserve"> en los pliegos de condiciones, en los siguientes términos: </w:t>
      </w:r>
    </w:p>
    <w:p w14:paraId="0330AB28" w14:textId="77777777" w:rsidR="00BD49C8" w:rsidRDefault="00BD49C8" w:rsidP="00BD49C8">
      <w:pPr>
        <w:ind w:right="709"/>
        <w:jc w:val="both"/>
        <w:rPr>
          <w:rFonts w:ascii="Arial" w:eastAsia="Calibri" w:hAnsi="Arial" w:cs="Arial"/>
          <w:color w:val="000000" w:themeColor="text1"/>
          <w:sz w:val="21"/>
          <w:szCs w:val="21"/>
        </w:rPr>
      </w:pPr>
    </w:p>
    <w:p w14:paraId="7D22D98C" w14:textId="77777777" w:rsidR="00BD49C8" w:rsidRDefault="00BD49C8" w:rsidP="00BD49C8">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3D00BCA8" w14:textId="77777777" w:rsidR="00BD49C8" w:rsidRDefault="00BD49C8" w:rsidP="00BD49C8">
      <w:pPr>
        <w:ind w:left="708" w:right="709"/>
        <w:jc w:val="both"/>
        <w:rPr>
          <w:rFonts w:ascii="Arial" w:eastAsia="Calibri" w:hAnsi="Arial" w:cs="Arial"/>
          <w:color w:val="000000" w:themeColor="text1"/>
          <w:sz w:val="21"/>
          <w:szCs w:val="21"/>
        </w:rPr>
      </w:pPr>
    </w:p>
    <w:p w14:paraId="6052600E" w14:textId="77777777" w:rsidR="00BD49C8" w:rsidRDefault="00BD49C8" w:rsidP="00BD49C8">
      <w:pPr>
        <w:ind w:left="708"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533BEFEC" w14:textId="77777777" w:rsidR="00BD49C8" w:rsidRDefault="00BD49C8" w:rsidP="00BD49C8">
      <w:pPr>
        <w:spacing w:line="276" w:lineRule="auto"/>
        <w:ind w:right="709"/>
        <w:jc w:val="both"/>
        <w:rPr>
          <w:rFonts w:ascii="Arial" w:eastAsia="Calibri" w:hAnsi="Arial" w:cs="Arial"/>
          <w:color w:val="000000" w:themeColor="text1"/>
          <w:sz w:val="21"/>
          <w:szCs w:val="21"/>
        </w:rPr>
      </w:pPr>
    </w:p>
    <w:p w14:paraId="3D700DB9" w14:textId="6C85BBF7" w:rsidR="00BD49C8" w:rsidRDefault="00BD49C8" w:rsidP="00987B6A">
      <w:pPr>
        <w:spacing w:after="120" w:line="276" w:lineRule="auto"/>
        <w:jc w:val="both"/>
        <w:rPr>
          <w:rFonts w:ascii="Arial" w:hAnsi="Arial" w:cs="Arial"/>
          <w:color w:val="000000" w:themeColor="text1"/>
          <w:sz w:val="22"/>
        </w:rPr>
      </w:pPr>
      <w:r>
        <w:rPr>
          <w:rFonts w:ascii="Arial" w:eastAsia="Calibri" w:hAnsi="Arial" w:cs="Arial"/>
          <w:color w:val="000000" w:themeColor="text1"/>
          <w:sz w:val="21"/>
          <w:szCs w:val="21"/>
        </w:rPr>
        <w:tab/>
      </w:r>
      <w:r>
        <w:rPr>
          <w:rFonts w:ascii="Arial" w:hAnsi="Arial" w:cs="Arial"/>
          <w:color w:val="000000" w:themeColor="text1"/>
          <w:sz w:val="22"/>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987B6A">
        <w:rPr>
          <w:rFonts w:ascii="Arial" w:eastAsia="Calibri" w:hAnsi="Arial" w:cs="Arial"/>
          <w:bCs/>
          <w:color w:val="000000" w:themeColor="text1"/>
          <w:sz w:val="22"/>
        </w:rPr>
        <w:t>Organización</w:t>
      </w:r>
      <w:r>
        <w:rPr>
          <w:rFonts w:ascii="Arial" w:hAnsi="Arial" w:cs="Arial"/>
          <w:color w:val="000000" w:themeColor="text1"/>
          <w:sz w:val="22"/>
        </w:rPr>
        <w:t xml:space="preserve"> –CO–. </w:t>
      </w:r>
    </w:p>
    <w:p w14:paraId="6188E60B" w14:textId="7B977574" w:rsidR="00987B6A" w:rsidRDefault="00987B6A" w:rsidP="00BD49C8">
      <w:pPr>
        <w:spacing w:line="276" w:lineRule="auto"/>
        <w:jc w:val="both"/>
        <w:rPr>
          <w:rFonts w:ascii="Arial" w:hAnsi="Arial" w:cs="Arial"/>
          <w:color w:val="000000" w:themeColor="text1"/>
          <w:sz w:val="22"/>
        </w:rPr>
      </w:pPr>
      <w:r>
        <w:rPr>
          <w:rFonts w:ascii="Arial" w:hAnsi="Arial" w:cs="Arial"/>
          <w:color w:val="000000" w:themeColor="text1"/>
          <w:sz w:val="22"/>
        </w:rPr>
        <w:tab/>
        <w:t xml:space="preserve">Colombia Compra Eficiente expidió la </w:t>
      </w:r>
      <w:r w:rsidRPr="00987B6A">
        <w:rPr>
          <w:rFonts w:ascii="Arial" w:hAnsi="Arial" w:cs="Arial"/>
          <w:color w:val="000000" w:themeColor="text1"/>
          <w:sz w:val="22"/>
        </w:rPr>
        <w:t>Guía para Determinar y Verificar la Capacidad Residual del Proponente en los Procesos de Contratación de Obra Pública</w:t>
      </w:r>
      <w:r>
        <w:rPr>
          <w:rFonts w:ascii="Arial" w:hAnsi="Arial" w:cs="Arial"/>
          <w:color w:val="000000" w:themeColor="text1"/>
          <w:sz w:val="22"/>
        </w:rPr>
        <w:t xml:space="preserve">, de conformidad con el artículo </w:t>
      </w:r>
      <w:r w:rsidRPr="00987B6A">
        <w:rPr>
          <w:rFonts w:ascii="Arial" w:hAnsi="Arial" w:cs="Arial"/>
          <w:color w:val="000000" w:themeColor="text1"/>
          <w:sz w:val="22"/>
        </w:rPr>
        <w:t>2.2.1.2.5.2.</w:t>
      </w:r>
      <w:r>
        <w:rPr>
          <w:rFonts w:ascii="Arial" w:hAnsi="Arial" w:cs="Arial"/>
          <w:color w:val="000000" w:themeColor="text1"/>
          <w:sz w:val="22"/>
        </w:rPr>
        <w:t xml:space="preserve"> del Decreto 1082 de 2015</w:t>
      </w:r>
      <w:r>
        <w:rPr>
          <w:rStyle w:val="Refdenotaalpie"/>
          <w:rFonts w:ascii="Arial" w:hAnsi="Arial" w:cs="Arial"/>
          <w:color w:val="000000" w:themeColor="text1"/>
          <w:sz w:val="22"/>
        </w:rPr>
        <w:footnoteReference w:id="3"/>
      </w:r>
      <w:r w:rsidR="00C26F97">
        <w:rPr>
          <w:rFonts w:ascii="Arial" w:hAnsi="Arial" w:cs="Arial"/>
          <w:color w:val="000000" w:themeColor="text1"/>
          <w:sz w:val="22"/>
        </w:rPr>
        <w:t>. En este documento</w:t>
      </w:r>
      <w:r w:rsidR="004B6DD3">
        <w:rPr>
          <w:rFonts w:ascii="Arial" w:hAnsi="Arial" w:cs="Arial"/>
          <w:color w:val="000000" w:themeColor="text1"/>
          <w:sz w:val="22"/>
        </w:rPr>
        <w:t xml:space="preserve"> se establece que la capacidad residual del proponente se calcula según la siguiente fórmula: </w:t>
      </w:r>
    </w:p>
    <w:p w14:paraId="0F6FDC05" w14:textId="51585B65" w:rsidR="004B6DD3" w:rsidRDefault="004B6DD3" w:rsidP="00BD49C8">
      <w:pPr>
        <w:spacing w:line="276" w:lineRule="auto"/>
        <w:jc w:val="both"/>
        <w:rPr>
          <w:rFonts w:ascii="Arial" w:hAnsi="Arial" w:cs="Arial"/>
          <w:color w:val="000000" w:themeColor="text1"/>
          <w:sz w:val="22"/>
        </w:rPr>
      </w:pPr>
    </w:p>
    <w:p w14:paraId="45B718A5" w14:textId="6127DC63" w:rsidR="004B6DD3" w:rsidRDefault="004B6DD3" w:rsidP="004B6DD3">
      <w:pPr>
        <w:spacing w:line="276" w:lineRule="auto"/>
        <w:jc w:val="center"/>
        <w:rPr>
          <w:rFonts w:ascii="Arial" w:hAnsi="Arial" w:cs="Arial"/>
          <w:color w:val="000000" w:themeColor="text1"/>
          <w:sz w:val="22"/>
        </w:rPr>
      </w:pPr>
      <w:r>
        <w:rPr>
          <w:rFonts w:ascii="Arial" w:hAnsi="Arial" w:cs="Arial"/>
          <w:noProof/>
          <w:color w:val="000000" w:themeColor="text1"/>
          <w:sz w:val="22"/>
        </w:rPr>
        <w:drawing>
          <wp:inline distT="0" distB="0" distL="0" distR="0" wp14:anchorId="0C086019" wp14:editId="4A740D1D">
            <wp:extent cx="4732655" cy="8089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2655" cy="808990"/>
                    </a:xfrm>
                    <a:prstGeom prst="rect">
                      <a:avLst/>
                    </a:prstGeom>
                    <a:noFill/>
                    <a:ln>
                      <a:noFill/>
                    </a:ln>
                  </pic:spPr>
                </pic:pic>
              </a:graphicData>
            </a:graphic>
          </wp:inline>
        </w:drawing>
      </w:r>
    </w:p>
    <w:p w14:paraId="600A2EBA" w14:textId="50A50FC5" w:rsidR="00895FAF" w:rsidRPr="00C56946" w:rsidRDefault="00895FAF" w:rsidP="00895FAF">
      <w:pPr>
        <w:spacing w:after="120" w:line="276" w:lineRule="auto"/>
        <w:ind w:firstLine="709"/>
        <w:jc w:val="both"/>
        <w:rPr>
          <w:rFonts w:ascii="Arial" w:hAnsi="Arial" w:cs="Arial"/>
          <w:sz w:val="22"/>
        </w:rPr>
      </w:pPr>
      <w:r w:rsidRPr="00C56946">
        <w:rPr>
          <w:rFonts w:ascii="Arial" w:hAnsi="Arial" w:cs="Arial"/>
          <w:sz w:val="22"/>
        </w:rPr>
        <w:t>De los factores de la fórmula</w:t>
      </w:r>
      <w:r>
        <w:rPr>
          <w:rFonts w:ascii="Arial" w:hAnsi="Arial" w:cs="Arial"/>
          <w:sz w:val="22"/>
        </w:rPr>
        <w:t xml:space="preserve">, existe una diferencia entre la </w:t>
      </w:r>
      <w:r w:rsidRPr="00C56946">
        <w:rPr>
          <w:rFonts w:ascii="Arial" w:hAnsi="Arial" w:cs="Arial"/>
          <w:sz w:val="22"/>
        </w:rPr>
        <w:t xml:space="preserve">Experiencia </w:t>
      </w:r>
      <w:r w:rsidR="00DF557A">
        <w:rPr>
          <w:rFonts w:ascii="Arial" w:hAnsi="Arial" w:cs="Arial"/>
          <w:sz w:val="22"/>
        </w:rPr>
        <w:t>–</w:t>
      </w:r>
      <w:r w:rsidRPr="00C56946">
        <w:rPr>
          <w:rFonts w:ascii="Arial" w:hAnsi="Arial" w:cs="Arial"/>
          <w:sz w:val="22"/>
        </w:rPr>
        <w:t>E</w:t>
      </w:r>
      <w:r w:rsidR="00DF557A">
        <w:rPr>
          <w:rFonts w:ascii="Arial" w:hAnsi="Arial" w:cs="Arial"/>
          <w:sz w:val="22"/>
        </w:rPr>
        <w:t>–</w:t>
      </w:r>
      <w:r>
        <w:rPr>
          <w:rFonts w:ascii="Arial" w:hAnsi="Arial" w:cs="Arial"/>
          <w:sz w:val="22"/>
        </w:rPr>
        <w:t xml:space="preserve"> y los </w:t>
      </w:r>
      <w:r w:rsidRPr="00506F76">
        <w:rPr>
          <w:rFonts w:ascii="Arial" w:hAnsi="Arial" w:cs="Arial"/>
          <w:sz w:val="21"/>
          <w:szCs w:val="21"/>
        </w:rPr>
        <w:t xml:space="preserve">saldos de los contratos en ejecución </w:t>
      </w:r>
      <w:r w:rsidR="00DF557A">
        <w:rPr>
          <w:rFonts w:ascii="Arial" w:hAnsi="Arial" w:cs="Arial"/>
          <w:sz w:val="21"/>
          <w:szCs w:val="21"/>
        </w:rPr>
        <w:t>–</w:t>
      </w:r>
      <w:r w:rsidRPr="00506F76">
        <w:rPr>
          <w:rFonts w:ascii="Arial" w:hAnsi="Arial" w:cs="Arial"/>
          <w:sz w:val="21"/>
          <w:szCs w:val="21"/>
        </w:rPr>
        <w:t>SCE</w:t>
      </w:r>
      <w:r w:rsidR="00DF557A">
        <w:rPr>
          <w:rFonts w:ascii="Arial" w:hAnsi="Arial" w:cs="Arial"/>
          <w:sz w:val="21"/>
          <w:szCs w:val="21"/>
        </w:rPr>
        <w:t>–</w:t>
      </w:r>
      <w:r>
        <w:rPr>
          <w:rFonts w:ascii="Arial" w:hAnsi="Arial" w:cs="Arial"/>
          <w:sz w:val="21"/>
          <w:szCs w:val="21"/>
        </w:rPr>
        <w:t xml:space="preserve">, ya que a pesar de que ambos se refieren a contratos, como se verá, la experiencia tiene en cuenta los </w:t>
      </w:r>
      <w:r w:rsidRPr="00506F76">
        <w:rPr>
          <w:rFonts w:ascii="Arial" w:hAnsi="Arial" w:cs="Arial"/>
          <w:sz w:val="22"/>
        </w:rPr>
        <w:t>contratos que figuran en el RUP</w:t>
      </w:r>
      <w:r>
        <w:rPr>
          <w:rFonts w:ascii="Arial" w:hAnsi="Arial" w:cs="Arial"/>
          <w:sz w:val="22"/>
        </w:rPr>
        <w:t>, y los saldos son de contratos que no están registrados porque se están ejecutando y pueden haber sido suscritos con entidades públicas o privadas.</w:t>
      </w:r>
    </w:p>
    <w:p w14:paraId="01AF7808" w14:textId="2409FD27" w:rsidR="00895FAF" w:rsidRPr="00506F76" w:rsidRDefault="00895FAF" w:rsidP="00895FAF">
      <w:pPr>
        <w:spacing w:before="120" w:after="120" w:line="276" w:lineRule="auto"/>
        <w:ind w:firstLine="709"/>
        <w:jc w:val="both"/>
        <w:rPr>
          <w:rFonts w:ascii="Arial" w:hAnsi="Arial" w:cs="Arial"/>
          <w:sz w:val="22"/>
        </w:rPr>
      </w:pPr>
      <w:r w:rsidRPr="00506F76">
        <w:rPr>
          <w:rFonts w:ascii="Arial" w:hAnsi="Arial" w:cs="Arial"/>
          <w:sz w:val="22"/>
        </w:rPr>
        <w:t>Sobre la experiencia, la Agencia Nacional de Contratación Pública - Colombia Compra Eficiente, en la Guía para Determinar y Verificar la Capacidad Residual del Proponente en los Procesos de Contratación de Obra Pública</w:t>
      </w:r>
      <w:r w:rsidRPr="00506F76">
        <w:rPr>
          <w:rStyle w:val="Refdenotaalpie"/>
          <w:rFonts w:ascii="Arial" w:hAnsi="Arial" w:cs="Arial"/>
          <w:sz w:val="22"/>
        </w:rPr>
        <w:footnoteReference w:id="4"/>
      </w:r>
      <w:r w:rsidRPr="00506F76">
        <w:rPr>
          <w:rFonts w:ascii="Arial" w:hAnsi="Arial" w:cs="Arial"/>
          <w:sz w:val="22"/>
        </w:rPr>
        <w:t xml:space="preserve">, señala que el factor de experiencia </w:t>
      </w:r>
      <w:r w:rsidR="00DF557A">
        <w:rPr>
          <w:rFonts w:ascii="Arial" w:hAnsi="Arial" w:cs="Arial"/>
          <w:sz w:val="22"/>
        </w:rPr>
        <w:t>–</w:t>
      </w:r>
      <w:r w:rsidRPr="00506F76">
        <w:rPr>
          <w:rFonts w:ascii="Arial" w:hAnsi="Arial" w:cs="Arial"/>
          <w:sz w:val="22"/>
        </w:rPr>
        <w:t>E</w:t>
      </w:r>
      <w:r w:rsidR="00DF557A">
        <w:rPr>
          <w:rFonts w:ascii="Arial" w:hAnsi="Arial" w:cs="Arial"/>
          <w:sz w:val="22"/>
        </w:rPr>
        <w:t>–</w:t>
      </w:r>
      <w:r w:rsidRPr="00506F76">
        <w:rPr>
          <w:rFonts w:ascii="Arial" w:hAnsi="Arial" w:cs="Arial"/>
          <w:sz w:val="22"/>
        </w:rPr>
        <w:t xml:space="preserve"> se obtiene realizando una operación matemática de división entre el valor total en pesos de los contratos que figuran en el RUP y el presupuesto oficial estimado del procedimiento contractual</w:t>
      </w:r>
      <w:r>
        <w:rPr>
          <w:rFonts w:ascii="Arial" w:hAnsi="Arial" w:cs="Arial"/>
          <w:sz w:val="22"/>
        </w:rPr>
        <w:t>:</w:t>
      </w:r>
      <w:r w:rsidRPr="00506F76">
        <w:rPr>
          <w:rFonts w:ascii="Arial" w:hAnsi="Arial" w:cs="Arial"/>
          <w:sz w:val="22"/>
        </w:rPr>
        <w:t xml:space="preserve"> «La relación indica el número de veces que el proponente ha ejecutado contratos equivalentes a la cuantía del Proceso de Contratación objeto de la acreditación de la Capacidad Residual»:</w:t>
      </w:r>
    </w:p>
    <w:p w14:paraId="439C71F2" w14:textId="77777777" w:rsidR="00895FAF" w:rsidRPr="00506F76" w:rsidRDefault="00895FAF" w:rsidP="00895FAF">
      <w:pPr>
        <w:spacing w:line="276" w:lineRule="auto"/>
        <w:jc w:val="both"/>
        <w:rPr>
          <w:rFonts w:ascii="Arial" w:hAnsi="Arial" w:cs="Arial"/>
          <w:sz w:val="20"/>
          <w:szCs w:val="20"/>
        </w:rPr>
      </w:pPr>
    </w:p>
    <w:p w14:paraId="63CC1CBE" w14:textId="77777777" w:rsidR="00895FAF" w:rsidRPr="00506F76" w:rsidRDefault="00895FAF" w:rsidP="00895FAF">
      <w:pPr>
        <w:ind w:left="709" w:right="709"/>
        <w:jc w:val="both"/>
        <w:rPr>
          <w:rFonts w:ascii="Arial" w:hAnsi="Arial" w:cs="Arial"/>
          <w:sz w:val="21"/>
          <w:szCs w:val="21"/>
        </w:rPr>
      </w:pPr>
      <w:r w:rsidRPr="00506F76">
        <w:rPr>
          <w:rFonts w:ascii="Arial" w:hAnsi="Arial" w:cs="Arial"/>
          <w:sz w:val="21"/>
          <w:szCs w:val="21"/>
        </w:rPr>
        <w:t>El puntaje asignado al factor de experiencia (E) se debe asignar con base en la siguiente tabla:</w:t>
      </w:r>
    </w:p>
    <w:p w14:paraId="28778EF9" w14:textId="77777777" w:rsidR="00895FAF" w:rsidRPr="00506F76" w:rsidRDefault="00895FAF" w:rsidP="00895FAF">
      <w:pPr>
        <w:ind w:left="709" w:right="709"/>
        <w:jc w:val="both"/>
        <w:rPr>
          <w:rFonts w:ascii="Arial" w:hAnsi="Arial" w:cs="Arial"/>
          <w:sz w:val="21"/>
          <w:szCs w:val="21"/>
        </w:rPr>
      </w:pPr>
    </w:p>
    <w:tbl>
      <w:tblPr>
        <w:tblStyle w:val="Tablaconcuadrcula"/>
        <w:tblW w:w="0" w:type="auto"/>
        <w:jc w:val="center"/>
        <w:tblLook w:val="04A0" w:firstRow="1" w:lastRow="0" w:firstColumn="1" w:lastColumn="0" w:noHBand="0" w:noVBand="1"/>
      </w:tblPr>
      <w:tblGrid>
        <w:gridCol w:w="2218"/>
        <w:gridCol w:w="2440"/>
        <w:gridCol w:w="2347"/>
      </w:tblGrid>
      <w:tr w:rsidR="00895FAF" w:rsidRPr="00506F76" w14:paraId="5122AC75" w14:textId="77777777" w:rsidTr="008C5596">
        <w:trPr>
          <w:jc w:val="center"/>
        </w:trPr>
        <w:tc>
          <w:tcPr>
            <w:tcW w:w="2218" w:type="dxa"/>
          </w:tcPr>
          <w:p w14:paraId="0DB4BA28"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Mayor a</w:t>
            </w:r>
          </w:p>
        </w:tc>
        <w:tc>
          <w:tcPr>
            <w:tcW w:w="2440" w:type="dxa"/>
          </w:tcPr>
          <w:p w14:paraId="69563FE2"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Menor o igual a</w:t>
            </w:r>
          </w:p>
        </w:tc>
        <w:tc>
          <w:tcPr>
            <w:tcW w:w="236" w:type="dxa"/>
          </w:tcPr>
          <w:p w14:paraId="2CDDB983"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Puntaje</w:t>
            </w:r>
          </w:p>
        </w:tc>
      </w:tr>
      <w:tr w:rsidR="00895FAF" w:rsidRPr="00506F76" w14:paraId="081603F3" w14:textId="77777777" w:rsidTr="008C5596">
        <w:trPr>
          <w:jc w:val="center"/>
        </w:trPr>
        <w:tc>
          <w:tcPr>
            <w:tcW w:w="2218" w:type="dxa"/>
          </w:tcPr>
          <w:p w14:paraId="3A3EE47D"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0</w:t>
            </w:r>
          </w:p>
        </w:tc>
        <w:tc>
          <w:tcPr>
            <w:tcW w:w="2440" w:type="dxa"/>
          </w:tcPr>
          <w:p w14:paraId="19D05D0A"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3</w:t>
            </w:r>
          </w:p>
        </w:tc>
        <w:tc>
          <w:tcPr>
            <w:tcW w:w="236" w:type="dxa"/>
          </w:tcPr>
          <w:p w14:paraId="698E0300"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60</w:t>
            </w:r>
          </w:p>
        </w:tc>
      </w:tr>
      <w:tr w:rsidR="00895FAF" w:rsidRPr="00506F76" w14:paraId="56BAF651" w14:textId="77777777" w:rsidTr="008C5596">
        <w:trPr>
          <w:jc w:val="center"/>
        </w:trPr>
        <w:tc>
          <w:tcPr>
            <w:tcW w:w="2218" w:type="dxa"/>
          </w:tcPr>
          <w:p w14:paraId="4FA238CC"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3</w:t>
            </w:r>
          </w:p>
        </w:tc>
        <w:tc>
          <w:tcPr>
            <w:tcW w:w="2440" w:type="dxa"/>
          </w:tcPr>
          <w:p w14:paraId="1D69DACE"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6</w:t>
            </w:r>
          </w:p>
        </w:tc>
        <w:tc>
          <w:tcPr>
            <w:tcW w:w="236" w:type="dxa"/>
          </w:tcPr>
          <w:p w14:paraId="00FBCB82"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80</w:t>
            </w:r>
          </w:p>
        </w:tc>
      </w:tr>
      <w:tr w:rsidR="00895FAF" w:rsidRPr="00506F76" w14:paraId="7769D35B" w14:textId="77777777" w:rsidTr="008C5596">
        <w:trPr>
          <w:trHeight w:val="209"/>
          <w:jc w:val="center"/>
        </w:trPr>
        <w:tc>
          <w:tcPr>
            <w:tcW w:w="2218" w:type="dxa"/>
          </w:tcPr>
          <w:p w14:paraId="5D887531" w14:textId="77777777" w:rsidR="00895FAF" w:rsidRPr="00506F76" w:rsidRDefault="00895FAF" w:rsidP="008C5596">
            <w:pPr>
              <w:ind w:right="709"/>
              <w:jc w:val="both"/>
              <w:rPr>
                <w:rFonts w:ascii="Arial" w:hAnsi="Arial" w:cs="Arial"/>
                <w:sz w:val="21"/>
                <w:szCs w:val="21"/>
              </w:rPr>
            </w:pPr>
            <w:r>
              <w:rPr>
                <w:rFonts w:ascii="Arial" w:hAnsi="Arial" w:cs="Arial"/>
                <w:sz w:val="21"/>
                <w:szCs w:val="21"/>
              </w:rPr>
              <w:t xml:space="preserve">          </w:t>
            </w:r>
            <w:r w:rsidRPr="00506F76">
              <w:rPr>
                <w:rFonts w:ascii="Arial" w:hAnsi="Arial" w:cs="Arial"/>
                <w:sz w:val="21"/>
                <w:szCs w:val="21"/>
              </w:rPr>
              <w:t xml:space="preserve">  6</w:t>
            </w:r>
          </w:p>
        </w:tc>
        <w:tc>
          <w:tcPr>
            <w:tcW w:w="2440" w:type="dxa"/>
          </w:tcPr>
          <w:p w14:paraId="5704B017"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10</w:t>
            </w:r>
          </w:p>
        </w:tc>
        <w:tc>
          <w:tcPr>
            <w:tcW w:w="236" w:type="dxa"/>
          </w:tcPr>
          <w:p w14:paraId="69E453A5"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100</w:t>
            </w:r>
          </w:p>
        </w:tc>
      </w:tr>
      <w:tr w:rsidR="00895FAF" w:rsidRPr="00506F76" w14:paraId="7F6D08CA" w14:textId="77777777" w:rsidTr="008C5596">
        <w:trPr>
          <w:jc w:val="center"/>
        </w:trPr>
        <w:tc>
          <w:tcPr>
            <w:tcW w:w="2218" w:type="dxa"/>
          </w:tcPr>
          <w:p w14:paraId="31DE31E9"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10</w:t>
            </w:r>
          </w:p>
        </w:tc>
        <w:tc>
          <w:tcPr>
            <w:tcW w:w="2440" w:type="dxa"/>
          </w:tcPr>
          <w:p w14:paraId="342D8832"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Mayores</w:t>
            </w:r>
          </w:p>
        </w:tc>
        <w:tc>
          <w:tcPr>
            <w:tcW w:w="236" w:type="dxa"/>
          </w:tcPr>
          <w:p w14:paraId="51CEA3C1" w14:textId="77777777" w:rsidR="00895FAF" w:rsidRPr="00506F76" w:rsidRDefault="00895FAF" w:rsidP="008C5596">
            <w:pPr>
              <w:ind w:left="709" w:right="709"/>
              <w:jc w:val="both"/>
              <w:rPr>
                <w:rFonts w:ascii="Arial" w:hAnsi="Arial" w:cs="Arial"/>
                <w:sz w:val="21"/>
                <w:szCs w:val="21"/>
              </w:rPr>
            </w:pPr>
            <w:r w:rsidRPr="00506F76">
              <w:rPr>
                <w:rFonts w:ascii="Arial" w:hAnsi="Arial" w:cs="Arial"/>
                <w:sz w:val="21"/>
                <w:szCs w:val="21"/>
              </w:rPr>
              <w:t>120</w:t>
            </w:r>
          </w:p>
        </w:tc>
      </w:tr>
    </w:tbl>
    <w:p w14:paraId="14F719E2" w14:textId="77777777" w:rsidR="00895FAF" w:rsidRPr="00506F76" w:rsidRDefault="00895FAF" w:rsidP="00895FAF">
      <w:pPr>
        <w:spacing w:line="276" w:lineRule="auto"/>
        <w:jc w:val="both"/>
        <w:rPr>
          <w:rFonts w:ascii="Arial" w:hAnsi="Arial" w:cs="Arial"/>
          <w:sz w:val="20"/>
          <w:szCs w:val="20"/>
        </w:rPr>
      </w:pPr>
    </w:p>
    <w:p w14:paraId="66A8A72D" w14:textId="2E41795E" w:rsidR="00895FAF" w:rsidRPr="00506F76" w:rsidRDefault="00895FAF" w:rsidP="000C2C67">
      <w:pPr>
        <w:spacing w:line="276" w:lineRule="auto"/>
        <w:ind w:firstLine="709"/>
        <w:jc w:val="both"/>
        <w:rPr>
          <w:rFonts w:ascii="Arial" w:hAnsi="Arial" w:cs="Arial"/>
          <w:sz w:val="22"/>
        </w:rPr>
      </w:pPr>
      <w:r>
        <w:rPr>
          <w:rFonts w:ascii="Arial" w:hAnsi="Arial" w:cs="Arial"/>
          <w:sz w:val="22"/>
        </w:rPr>
        <w:lastRenderedPageBreak/>
        <w:t xml:space="preserve">Cuando el proponente a quien se le va a calcular la capacidad residual sea un proponente plural, se debe aplicar la fórmula a cada miembro, teniendo en cuenta su participación en la oferta presentada al procedimiento de selección. </w:t>
      </w:r>
      <w:r w:rsidRPr="00506F76">
        <w:rPr>
          <w:rFonts w:ascii="Arial" w:hAnsi="Arial" w:cs="Arial"/>
          <w:sz w:val="22"/>
        </w:rPr>
        <w:t>Ahora bien, para determinar cuáles contratos se tendrán en cuenta para definir la experiencia que se debe reemplazar en la fórmula de la capacidad residual con el puntaje de la tabla anterior, es necesario presentar el siguiente análisis normativo sobre la experiencia</w:t>
      </w:r>
      <w:r>
        <w:rPr>
          <w:rFonts w:ascii="Arial" w:hAnsi="Arial" w:cs="Arial"/>
          <w:sz w:val="22"/>
        </w:rPr>
        <w:t>,</w:t>
      </w:r>
      <w:r w:rsidRPr="00506F76">
        <w:rPr>
          <w:rFonts w:ascii="Arial" w:hAnsi="Arial" w:cs="Arial"/>
          <w:sz w:val="22"/>
        </w:rPr>
        <w:t xml:space="preserve"> que permitirá </w:t>
      </w:r>
      <w:r>
        <w:rPr>
          <w:rFonts w:ascii="Arial" w:hAnsi="Arial" w:cs="Arial"/>
          <w:sz w:val="22"/>
        </w:rPr>
        <w:t>concluir</w:t>
      </w:r>
      <w:r w:rsidRPr="00506F76">
        <w:rPr>
          <w:rFonts w:ascii="Arial" w:hAnsi="Arial" w:cs="Arial"/>
          <w:sz w:val="22"/>
        </w:rPr>
        <w:t xml:space="preserve"> si es posible </w:t>
      </w:r>
      <w:r w:rsidR="005B690A">
        <w:rPr>
          <w:rFonts w:ascii="Arial" w:hAnsi="Arial" w:cs="Arial"/>
          <w:sz w:val="22"/>
        </w:rPr>
        <w:t xml:space="preserve">que una persona natural </w:t>
      </w:r>
      <w:r w:rsidRPr="00506F76">
        <w:rPr>
          <w:rFonts w:ascii="Arial" w:hAnsi="Arial" w:cs="Arial"/>
          <w:sz w:val="22"/>
        </w:rPr>
        <w:t>acredit</w:t>
      </w:r>
      <w:r w:rsidR="005B690A">
        <w:rPr>
          <w:rFonts w:ascii="Arial" w:hAnsi="Arial" w:cs="Arial"/>
          <w:sz w:val="22"/>
        </w:rPr>
        <w:t>e los</w:t>
      </w:r>
      <w:r w:rsidRPr="00506F76">
        <w:rPr>
          <w:rFonts w:ascii="Arial" w:hAnsi="Arial" w:cs="Arial"/>
          <w:sz w:val="22"/>
        </w:rPr>
        <w:t xml:space="preserve"> contratos ejecutados por terceros</w:t>
      </w:r>
      <w:r>
        <w:rPr>
          <w:rFonts w:ascii="Arial" w:hAnsi="Arial" w:cs="Arial"/>
          <w:sz w:val="22"/>
        </w:rPr>
        <w:t>,</w:t>
      </w:r>
      <w:r w:rsidRPr="00506F76">
        <w:rPr>
          <w:rFonts w:ascii="Arial" w:hAnsi="Arial" w:cs="Arial"/>
          <w:sz w:val="22"/>
        </w:rPr>
        <w:t xml:space="preserve"> </w:t>
      </w:r>
      <w:r w:rsidRPr="00F419A2">
        <w:rPr>
          <w:rFonts w:ascii="Arial" w:hAnsi="Arial" w:cs="Arial"/>
          <w:sz w:val="22"/>
        </w:rPr>
        <w:t xml:space="preserve">como </w:t>
      </w:r>
      <w:r w:rsidR="005B690A">
        <w:rPr>
          <w:rFonts w:ascii="Arial" w:hAnsi="Arial" w:cs="Arial"/>
          <w:sz w:val="22"/>
        </w:rPr>
        <w:t>la sociedad de la que es socio.</w:t>
      </w:r>
      <w:r>
        <w:rPr>
          <w:rFonts w:ascii="Arial" w:hAnsi="Arial" w:cs="Arial"/>
          <w:sz w:val="22"/>
        </w:rPr>
        <w:t xml:space="preserve"> En todo caso la Guía señala «p</w:t>
      </w:r>
      <w:r w:rsidRPr="00ED2949">
        <w:rPr>
          <w:rFonts w:ascii="Arial" w:hAnsi="Arial" w:cs="Arial"/>
          <w:sz w:val="22"/>
        </w:rPr>
        <w:t>ara acreditar el factor de experiencia (E), el proponente debe diligenciar el formato correspondiente al</w:t>
      </w:r>
      <w:r>
        <w:rPr>
          <w:rFonts w:ascii="Arial" w:hAnsi="Arial" w:cs="Arial"/>
          <w:sz w:val="22"/>
        </w:rPr>
        <w:t xml:space="preserve"> </w:t>
      </w:r>
      <w:r w:rsidRPr="00ED2949">
        <w:rPr>
          <w:rFonts w:ascii="Arial" w:hAnsi="Arial" w:cs="Arial"/>
          <w:sz w:val="22"/>
        </w:rPr>
        <w:t>Anexo 1</w:t>
      </w:r>
      <w:r>
        <w:rPr>
          <w:rFonts w:ascii="Arial" w:hAnsi="Arial" w:cs="Arial"/>
          <w:sz w:val="22"/>
        </w:rPr>
        <w:t xml:space="preserve"> (de la Guía de la Agencia)</w:t>
      </w:r>
      <w:r w:rsidRPr="00ED2949">
        <w:rPr>
          <w:rFonts w:ascii="Arial" w:hAnsi="Arial" w:cs="Arial"/>
          <w:sz w:val="22"/>
        </w:rPr>
        <w:t>, el cual contiene los contratos inscritos en el segmento 72 y su valor total en pesos colombianos</w:t>
      </w:r>
      <w:r>
        <w:rPr>
          <w:rFonts w:ascii="Arial" w:hAnsi="Arial" w:cs="Arial"/>
          <w:sz w:val="22"/>
        </w:rPr>
        <w:t xml:space="preserve"> </w:t>
      </w:r>
      <w:r w:rsidRPr="00ED2949">
        <w:rPr>
          <w:rFonts w:ascii="Arial" w:hAnsi="Arial" w:cs="Arial"/>
          <w:sz w:val="22"/>
        </w:rPr>
        <w:t>liquidados con el SMMLV</w:t>
      </w:r>
      <w:r>
        <w:rPr>
          <w:rFonts w:ascii="Arial" w:hAnsi="Arial" w:cs="Arial"/>
          <w:sz w:val="22"/>
        </w:rPr>
        <w:t>» (Paréntesis fuera del texto)</w:t>
      </w:r>
      <w:r w:rsidRPr="00ED2949">
        <w:rPr>
          <w:rFonts w:ascii="Arial" w:hAnsi="Arial" w:cs="Arial"/>
          <w:sz w:val="22"/>
        </w:rPr>
        <w:t>.</w:t>
      </w:r>
    </w:p>
    <w:p w14:paraId="6F224C66" w14:textId="77777777" w:rsidR="00895FAF" w:rsidRPr="00506F76" w:rsidRDefault="00895FAF" w:rsidP="00895FAF">
      <w:pPr>
        <w:spacing w:line="276" w:lineRule="auto"/>
        <w:jc w:val="both"/>
        <w:rPr>
          <w:rFonts w:ascii="Arial" w:eastAsia="Calibri" w:hAnsi="Arial" w:cs="Arial"/>
          <w:b/>
          <w:sz w:val="22"/>
        </w:rPr>
      </w:pPr>
    </w:p>
    <w:p w14:paraId="11D9EA35" w14:textId="77777777" w:rsidR="00895FAF" w:rsidRPr="00506F76" w:rsidRDefault="00895FAF" w:rsidP="00895FAF">
      <w:pPr>
        <w:spacing w:line="276" w:lineRule="auto"/>
        <w:jc w:val="both"/>
        <w:rPr>
          <w:rFonts w:ascii="Arial" w:eastAsia="Calibri" w:hAnsi="Arial" w:cs="Arial"/>
          <w:b/>
          <w:sz w:val="22"/>
        </w:rPr>
      </w:pPr>
      <w:r w:rsidRPr="00506F76">
        <w:rPr>
          <w:rFonts w:ascii="Arial" w:eastAsia="Calibri" w:hAnsi="Arial" w:cs="Arial"/>
          <w:b/>
          <w:sz w:val="22"/>
        </w:rPr>
        <w:t>2.2. La experiencia como</w:t>
      </w:r>
      <w:r>
        <w:rPr>
          <w:rFonts w:ascii="Arial" w:eastAsia="Calibri" w:hAnsi="Arial" w:cs="Arial"/>
          <w:b/>
          <w:sz w:val="22"/>
        </w:rPr>
        <w:t xml:space="preserve"> «requisito habilitante» y</w:t>
      </w:r>
      <w:r w:rsidRPr="00506F76">
        <w:rPr>
          <w:rFonts w:ascii="Arial" w:eastAsia="Calibri" w:hAnsi="Arial" w:cs="Arial"/>
          <w:b/>
          <w:sz w:val="22"/>
        </w:rPr>
        <w:t xml:space="preserve"> </w:t>
      </w:r>
      <w:r>
        <w:rPr>
          <w:rFonts w:ascii="Arial" w:eastAsia="Calibri" w:hAnsi="Arial" w:cs="Arial"/>
          <w:b/>
          <w:sz w:val="22"/>
        </w:rPr>
        <w:t>«</w:t>
      </w:r>
      <w:r w:rsidRPr="00506F76">
        <w:rPr>
          <w:rFonts w:ascii="Arial" w:eastAsia="Calibri" w:hAnsi="Arial" w:cs="Arial"/>
          <w:b/>
          <w:sz w:val="22"/>
        </w:rPr>
        <w:t xml:space="preserve">factor de la fórmula </w:t>
      </w:r>
      <w:r>
        <w:rPr>
          <w:rFonts w:ascii="Arial" w:eastAsia="Calibri" w:hAnsi="Arial" w:cs="Arial"/>
          <w:b/>
          <w:sz w:val="22"/>
        </w:rPr>
        <w:t>de</w:t>
      </w:r>
      <w:r w:rsidRPr="00506F76">
        <w:rPr>
          <w:rFonts w:ascii="Arial" w:eastAsia="Calibri" w:hAnsi="Arial" w:cs="Arial"/>
          <w:b/>
          <w:sz w:val="22"/>
        </w:rPr>
        <w:t xml:space="preserve"> la capacidad residual</w:t>
      </w:r>
      <w:r>
        <w:rPr>
          <w:rFonts w:ascii="Arial" w:eastAsia="Calibri" w:hAnsi="Arial" w:cs="Arial"/>
          <w:b/>
          <w:sz w:val="22"/>
        </w:rPr>
        <w:t>»</w:t>
      </w:r>
    </w:p>
    <w:p w14:paraId="6FFA9E2F" w14:textId="77777777" w:rsidR="00895FAF" w:rsidRPr="00506F76" w:rsidRDefault="00895FAF" w:rsidP="00895FAF">
      <w:pPr>
        <w:spacing w:line="276" w:lineRule="auto"/>
        <w:jc w:val="both"/>
        <w:rPr>
          <w:rFonts w:ascii="Arial" w:eastAsia="Calibri" w:hAnsi="Arial" w:cs="Arial"/>
          <w:b/>
          <w:sz w:val="22"/>
        </w:rPr>
      </w:pPr>
      <w:r w:rsidRPr="00506F76">
        <w:rPr>
          <w:rFonts w:ascii="Arial" w:eastAsia="Calibri" w:hAnsi="Arial" w:cs="Arial"/>
          <w:b/>
          <w:sz w:val="22"/>
        </w:rPr>
        <w:t xml:space="preserve"> </w:t>
      </w:r>
    </w:p>
    <w:p w14:paraId="7C937458" w14:textId="5855E5E7" w:rsidR="00895FAF" w:rsidRPr="00506F76" w:rsidRDefault="00895FAF" w:rsidP="000C2C67">
      <w:pPr>
        <w:spacing w:line="276" w:lineRule="auto"/>
        <w:jc w:val="both"/>
        <w:rPr>
          <w:rFonts w:ascii="Arial" w:eastAsia="Calibri" w:hAnsi="Arial" w:cs="Arial"/>
          <w:sz w:val="22"/>
        </w:rPr>
      </w:pPr>
      <w:r w:rsidRPr="00506F76">
        <w:rPr>
          <w:rFonts w:ascii="Arial" w:eastAsia="Calibri" w:hAnsi="Arial" w:cs="Arial"/>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3FE35D2A" w14:textId="105C279A" w:rsidR="00895FAF" w:rsidRPr="00506F76" w:rsidRDefault="00DF557A" w:rsidP="00895FAF">
      <w:pPr>
        <w:spacing w:before="120" w:after="120" w:line="276" w:lineRule="auto"/>
        <w:ind w:firstLine="708"/>
        <w:jc w:val="both"/>
        <w:rPr>
          <w:rFonts w:ascii="Arial" w:eastAsia="Calibri" w:hAnsi="Arial" w:cs="Arial"/>
          <w:sz w:val="22"/>
        </w:rPr>
      </w:pPr>
      <w:r>
        <w:rPr>
          <w:rFonts w:ascii="Arial" w:eastAsia="Calibri" w:hAnsi="Arial" w:cs="Arial"/>
          <w:sz w:val="22"/>
        </w:rPr>
        <w:t>De esta manera</w:t>
      </w:r>
      <w:r w:rsidR="00895FAF" w:rsidRPr="00506F76">
        <w:rPr>
          <w:rFonts w:ascii="Arial" w:eastAsia="Calibri" w:hAnsi="Arial" w:cs="Arial"/>
          <w:sz w:val="22"/>
        </w:rPr>
        <w:t xml:space="preserve">, la normativa </w:t>
      </w:r>
      <w:r w:rsidR="00895FAF">
        <w:rPr>
          <w:rFonts w:ascii="Arial" w:eastAsia="Calibri" w:hAnsi="Arial" w:cs="Arial"/>
          <w:sz w:val="22"/>
        </w:rPr>
        <w:t>contractual</w:t>
      </w:r>
      <w:r w:rsidR="00895FAF" w:rsidRPr="00506F76">
        <w:rPr>
          <w:rFonts w:ascii="Arial" w:eastAsia="Calibri" w:hAnsi="Arial" w:cs="Arial"/>
          <w:sz w:val="22"/>
        </w:rPr>
        <w:t xml:space="preserve"> contiene disposiciones que le indican a la entidad las actividades y documentos que debe desarrollar en sus procedimientos </w:t>
      </w:r>
      <w:r>
        <w:rPr>
          <w:rFonts w:ascii="Arial" w:eastAsia="Calibri" w:hAnsi="Arial" w:cs="Arial"/>
          <w:sz w:val="22"/>
        </w:rPr>
        <w:t>de selección. C</w:t>
      </w:r>
      <w:r w:rsidR="00895FAF" w:rsidRPr="00506F76">
        <w:rPr>
          <w:rFonts w:ascii="Arial" w:eastAsia="Calibri" w:hAnsi="Arial" w:cs="Arial"/>
          <w:sz w:val="22"/>
        </w:rPr>
        <w:t>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w:t>
      </w:r>
      <w:r w:rsidR="00895FAF" w:rsidRPr="00506F76">
        <w:rPr>
          <w:rStyle w:val="Refdenotaalpie"/>
          <w:rFonts w:ascii="Arial" w:eastAsia="Calibri" w:hAnsi="Arial" w:cs="Arial"/>
          <w:sz w:val="22"/>
        </w:rPr>
        <w:footnoteReference w:id="5"/>
      </w:r>
      <w:r w:rsidR="00895FAF" w:rsidRPr="00506F76">
        <w:rPr>
          <w:rFonts w:ascii="Arial" w:eastAsia="Calibri" w:hAnsi="Arial" w:cs="Arial"/>
          <w:sz w:val="22"/>
        </w:rPr>
        <w:t xml:space="preserve">. </w:t>
      </w:r>
    </w:p>
    <w:p w14:paraId="1079DE37" w14:textId="6FA32859" w:rsidR="00895FAF" w:rsidRPr="00506F76" w:rsidRDefault="00895FAF" w:rsidP="00895FAF">
      <w:pPr>
        <w:spacing w:before="120" w:after="120" w:line="276" w:lineRule="auto"/>
        <w:ind w:firstLine="708"/>
        <w:jc w:val="both"/>
        <w:rPr>
          <w:rFonts w:ascii="Arial" w:eastAsia="Calibri" w:hAnsi="Arial" w:cs="Arial"/>
          <w:sz w:val="22"/>
        </w:rPr>
      </w:pPr>
      <w:r w:rsidRPr="00506F76">
        <w:rPr>
          <w:rFonts w:ascii="Arial" w:eastAsia="Calibri" w:hAnsi="Arial" w:cs="Arial"/>
          <w:sz w:val="22"/>
        </w:rPr>
        <w:lastRenderedPageBreak/>
        <w:t>En ese sentido, se debe tener en cuenta que de acuerdo con la Ley 80 de 1993, quienes pueden ser proveedores del Estado son las personas consideradas legalmente capaces, como las personas jurídicas</w:t>
      </w:r>
      <w:r w:rsidRPr="00506F76">
        <w:rPr>
          <w:rStyle w:val="Refdenotaalpie"/>
          <w:rFonts w:ascii="Arial" w:eastAsia="Calibri" w:hAnsi="Arial" w:cs="Arial"/>
          <w:sz w:val="22"/>
        </w:rPr>
        <w:footnoteReference w:id="6"/>
      </w:r>
      <w:r w:rsidRPr="00506F76">
        <w:rPr>
          <w:rFonts w:ascii="Arial" w:eastAsia="Calibri" w:hAnsi="Arial" w:cs="Arial"/>
          <w:sz w:val="22"/>
        </w:rPr>
        <w:t xml:space="preserve">, que de acuerdo con el Código Civil tienen capacidad para ejercer derechos y contraer obligaciones, por </w:t>
      </w:r>
      <w:proofErr w:type="gramStart"/>
      <w:r w:rsidRPr="00506F76">
        <w:rPr>
          <w:rFonts w:ascii="Arial" w:eastAsia="Calibri" w:hAnsi="Arial" w:cs="Arial"/>
          <w:sz w:val="22"/>
        </w:rPr>
        <w:t>ende</w:t>
      </w:r>
      <w:proofErr w:type="gramEnd"/>
      <w:r w:rsidRPr="00506F76">
        <w:rPr>
          <w:rFonts w:ascii="Arial" w:eastAsia="Calibri" w:hAnsi="Arial" w:cs="Arial"/>
          <w:sz w:val="22"/>
        </w:rPr>
        <w:t xml:space="preserve"> tienen capacidad jurídica. Un tipo de persona jurídica son las sociedades comerciales</w:t>
      </w:r>
      <w:r w:rsidRPr="00506F76">
        <w:rPr>
          <w:rStyle w:val="Refdenotaalpie"/>
          <w:rFonts w:ascii="Arial" w:eastAsia="Calibri" w:hAnsi="Arial" w:cs="Arial"/>
          <w:sz w:val="22"/>
        </w:rPr>
        <w:footnoteReference w:id="7"/>
      </w:r>
      <w:r w:rsidRPr="00506F76">
        <w:rPr>
          <w:rFonts w:ascii="Arial" w:eastAsia="Calibri" w:hAnsi="Arial" w:cs="Arial"/>
          <w:sz w:val="22"/>
        </w:rPr>
        <w:t xml:space="preserve"> reguladas, principalmente, en el Código de Comercio</w:t>
      </w:r>
      <w:r w:rsidRPr="00506F76">
        <w:rPr>
          <w:rStyle w:val="Refdenotaalpie"/>
          <w:rFonts w:ascii="Arial" w:eastAsia="Calibri" w:hAnsi="Arial" w:cs="Arial"/>
          <w:sz w:val="22"/>
        </w:rPr>
        <w:footnoteReference w:id="8"/>
      </w:r>
      <w:r w:rsidR="00C201A9">
        <w:rPr>
          <w:rFonts w:ascii="Arial" w:eastAsia="Calibri" w:hAnsi="Arial" w:cs="Arial"/>
          <w:sz w:val="22"/>
        </w:rPr>
        <w:t>.</w:t>
      </w:r>
      <w:r w:rsidRPr="00506F76">
        <w:rPr>
          <w:rFonts w:ascii="Arial" w:eastAsia="Calibri" w:hAnsi="Arial" w:cs="Arial"/>
          <w:sz w:val="22"/>
        </w:rPr>
        <w:t xml:space="preserve"> </w:t>
      </w:r>
    </w:p>
    <w:p w14:paraId="2E4EA22C" w14:textId="3FEE94DD" w:rsidR="00895FAF" w:rsidRPr="00506F76" w:rsidRDefault="00895FAF" w:rsidP="00895FAF">
      <w:pPr>
        <w:spacing w:line="276" w:lineRule="auto"/>
        <w:ind w:firstLine="708"/>
        <w:jc w:val="both"/>
        <w:rPr>
          <w:rFonts w:ascii="Arial" w:eastAsia="Calibri" w:hAnsi="Arial" w:cs="Arial"/>
          <w:sz w:val="22"/>
        </w:rPr>
      </w:pPr>
      <w:r w:rsidRPr="00506F76">
        <w:rPr>
          <w:rFonts w:ascii="Arial" w:eastAsia="Calibri" w:hAnsi="Arial" w:cs="Arial"/>
          <w:sz w:val="22"/>
        </w:rPr>
        <w:t>Por tanto, para resolver su consulta</w:t>
      </w:r>
      <w:r>
        <w:rPr>
          <w:rFonts w:ascii="Arial" w:eastAsia="Calibri" w:hAnsi="Arial" w:cs="Arial"/>
          <w:sz w:val="22"/>
        </w:rPr>
        <w:t>,</w:t>
      </w:r>
      <w:r w:rsidRPr="00506F76">
        <w:rPr>
          <w:rFonts w:ascii="Arial" w:eastAsia="Calibri" w:hAnsi="Arial" w:cs="Arial"/>
          <w:sz w:val="22"/>
        </w:rPr>
        <w:t xml:space="preserve"> relacionada con la</w:t>
      </w:r>
      <w:r>
        <w:rPr>
          <w:rFonts w:ascii="Arial" w:eastAsia="Calibri" w:hAnsi="Arial" w:cs="Arial"/>
          <w:sz w:val="22"/>
        </w:rPr>
        <w:t xml:space="preserve"> </w:t>
      </w:r>
      <w:r w:rsidRPr="00506F76">
        <w:rPr>
          <w:rFonts w:ascii="Arial" w:eastAsia="Calibri" w:hAnsi="Arial" w:cs="Arial"/>
          <w:sz w:val="22"/>
        </w:rPr>
        <w:t>experiencia de l</w:t>
      </w:r>
      <w:r w:rsidR="00C201A9">
        <w:rPr>
          <w:rFonts w:ascii="Arial" w:eastAsia="Calibri" w:hAnsi="Arial" w:cs="Arial"/>
          <w:sz w:val="22"/>
        </w:rPr>
        <w:t xml:space="preserve">os </w:t>
      </w:r>
      <w:r w:rsidRPr="00506F76">
        <w:rPr>
          <w:rFonts w:ascii="Arial" w:eastAsia="Calibri" w:hAnsi="Arial" w:cs="Arial"/>
          <w:sz w:val="22"/>
        </w:rPr>
        <w:t>s</w:t>
      </w:r>
      <w:r w:rsidR="00C201A9">
        <w:rPr>
          <w:rFonts w:ascii="Arial" w:eastAsia="Calibri" w:hAnsi="Arial" w:cs="Arial"/>
          <w:sz w:val="22"/>
        </w:rPr>
        <w:t>ocios de las</w:t>
      </w:r>
      <w:r w:rsidRPr="00506F76">
        <w:rPr>
          <w:rFonts w:ascii="Arial" w:eastAsia="Calibri" w:hAnsi="Arial" w:cs="Arial"/>
          <w:sz w:val="22"/>
        </w:rPr>
        <w:t xml:space="preserve"> </w:t>
      </w:r>
      <w:r>
        <w:rPr>
          <w:rFonts w:ascii="Arial" w:eastAsia="Calibri" w:hAnsi="Arial" w:cs="Arial"/>
          <w:sz w:val="22"/>
        </w:rPr>
        <w:t>personas jurídicas</w:t>
      </w:r>
      <w:r w:rsidR="001D7532">
        <w:rPr>
          <w:rFonts w:ascii="Arial" w:eastAsia="Calibri" w:hAnsi="Arial" w:cs="Arial"/>
          <w:sz w:val="22"/>
        </w:rPr>
        <w:t xml:space="preserve"> –</w:t>
      </w:r>
      <w:r>
        <w:rPr>
          <w:rFonts w:ascii="Arial" w:eastAsia="Calibri" w:hAnsi="Arial" w:cs="Arial"/>
          <w:sz w:val="22"/>
        </w:rPr>
        <w:t>sociedades comerciales</w:t>
      </w:r>
      <w:r w:rsidR="001D7532">
        <w:rPr>
          <w:rFonts w:ascii="Arial" w:eastAsia="Calibri" w:hAnsi="Arial" w:cs="Arial"/>
          <w:sz w:val="22"/>
        </w:rPr>
        <w:t>–</w:t>
      </w:r>
      <w:r>
        <w:rPr>
          <w:rFonts w:ascii="Arial" w:eastAsia="Calibri" w:hAnsi="Arial" w:cs="Arial"/>
          <w:sz w:val="22"/>
        </w:rPr>
        <w:t xml:space="preserve"> cuando </w:t>
      </w:r>
      <w:r w:rsidR="00C201A9">
        <w:rPr>
          <w:rFonts w:ascii="Arial" w:eastAsia="Calibri" w:hAnsi="Arial" w:cs="Arial"/>
          <w:sz w:val="22"/>
        </w:rPr>
        <w:t>estas ejecutan contratos</w:t>
      </w:r>
      <w:r w:rsidRPr="00506F76">
        <w:rPr>
          <w:rFonts w:ascii="Arial" w:eastAsia="Calibri" w:hAnsi="Arial" w:cs="Arial"/>
          <w:sz w:val="22"/>
        </w:rPr>
        <w:t>: i) en primer lugar se citará la regulación sobre experiencia</w:t>
      </w:r>
      <w:r w:rsidR="00C201A9">
        <w:rPr>
          <w:rFonts w:ascii="Arial" w:eastAsia="Calibri" w:hAnsi="Arial" w:cs="Arial"/>
          <w:sz w:val="22"/>
        </w:rPr>
        <w:t xml:space="preserve"> y</w:t>
      </w:r>
      <w:r w:rsidRPr="00506F76">
        <w:rPr>
          <w:rFonts w:ascii="Arial" w:eastAsia="Calibri" w:hAnsi="Arial" w:cs="Arial"/>
          <w:sz w:val="22"/>
        </w:rPr>
        <w:t xml:space="preserve"> </w:t>
      </w:r>
      <w:proofErr w:type="spellStart"/>
      <w:r w:rsidRPr="00506F76">
        <w:rPr>
          <w:rFonts w:ascii="Arial" w:eastAsia="Calibri" w:hAnsi="Arial" w:cs="Arial"/>
          <w:sz w:val="22"/>
        </w:rPr>
        <w:t>ii</w:t>
      </w:r>
      <w:proofErr w:type="spellEnd"/>
      <w:r w:rsidRPr="00506F76">
        <w:rPr>
          <w:rFonts w:ascii="Arial" w:eastAsia="Calibri" w:hAnsi="Arial" w:cs="Arial"/>
          <w:sz w:val="22"/>
        </w:rPr>
        <w:t xml:space="preserve">) después se </w:t>
      </w:r>
      <w:r>
        <w:rPr>
          <w:rFonts w:ascii="Arial" w:eastAsia="Calibri" w:hAnsi="Arial" w:cs="Arial"/>
          <w:sz w:val="22"/>
        </w:rPr>
        <w:t>analiz</w:t>
      </w:r>
      <w:r w:rsidRPr="00506F76">
        <w:rPr>
          <w:rFonts w:ascii="Arial" w:eastAsia="Calibri" w:hAnsi="Arial" w:cs="Arial"/>
          <w:sz w:val="22"/>
        </w:rPr>
        <w:t>ará</w:t>
      </w:r>
      <w:r w:rsidR="00C201A9">
        <w:rPr>
          <w:rFonts w:ascii="Arial" w:eastAsia="Calibri" w:hAnsi="Arial" w:cs="Arial"/>
          <w:sz w:val="22"/>
        </w:rPr>
        <w:t xml:space="preserve"> la experiencia de </w:t>
      </w:r>
      <w:r w:rsidRPr="00506F76">
        <w:rPr>
          <w:rFonts w:ascii="Arial" w:eastAsia="Calibri" w:hAnsi="Arial" w:cs="Arial"/>
          <w:sz w:val="22"/>
        </w:rPr>
        <w:t>las sociedades comerciales</w:t>
      </w:r>
      <w:r w:rsidR="00C201A9">
        <w:rPr>
          <w:rFonts w:ascii="Arial" w:eastAsia="Calibri" w:hAnsi="Arial" w:cs="Arial"/>
          <w:sz w:val="22"/>
        </w:rPr>
        <w:t xml:space="preserve"> que ejecutan contratos y la experiencia de sus socios </w:t>
      </w:r>
      <w:r>
        <w:rPr>
          <w:rFonts w:ascii="Arial" w:eastAsia="Calibri" w:hAnsi="Arial" w:cs="Arial"/>
          <w:sz w:val="22"/>
        </w:rPr>
        <w:t>para calcular su capacidad residual</w:t>
      </w:r>
      <w:r w:rsidRPr="00506F76">
        <w:rPr>
          <w:rFonts w:ascii="Arial" w:eastAsia="Calibri" w:hAnsi="Arial" w:cs="Arial"/>
          <w:sz w:val="22"/>
        </w:rPr>
        <w:t xml:space="preserve">. </w:t>
      </w:r>
    </w:p>
    <w:p w14:paraId="19B042AF" w14:textId="77777777" w:rsidR="00895FAF" w:rsidRPr="00506F76" w:rsidRDefault="00895FAF" w:rsidP="00895FAF">
      <w:pPr>
        <w:spacing w:line="276" w:lineRule="auto"/>
        <w:jc w:val="both"/>
        <w:rPr>
          <w:rFonts w:ascii="Arial" w:eastAsia="Calibri" w:hAnsi="Arial" w:cs="Arial"/>
          <w:sz w:val="22"/>
        </w:rPr>
      </w:pPr>
    </w:p>
    <w:p w14:paraId="19FAFF1B" w14:textId="77777777" w:rsidR="00895FAF" w:rsidRPr="00506F76" w:rsidRDefault="00895FAF" w:rsidP="00895FAF">
      <w:pPr>
        <w:spacing w:line="276" w:lineRule="auto"/>
        <w:jc w:val="both"/>
        <w:rPr>
          <w:rFonts w:ascii="Arial" w:eastAsia="Calibri" w:hAnsi="Arial" w:cs="Arial"/>
          <w:b/>
          <w:sz w:val="22"/>
        </w:rPr>
      </w:pPr>
      <w:r w:rsidRPr="00506F76">
        <w:rPr>
          <w:rFonts w:ascii="Arial" w:eastAsia="Calibri" w:hAnsi="Arial" w:cs="Arial"/>
          <w:b/>
          <w:sz w:val="22"/>
        </w:rPr>
        <w:t>2.2</w:t>
      </w:r>
      <w:r>
        <w:rPr>
          <w:rFonts w:ascii="Arial" w:eastAsia="Calibri" w:hAnsi="Arial" w:cs="Arial"/>
          <w:b/>
          <w:sz w:val="22"/>
        </w:rPr>
        <w:t>.1.</w:t>
      </w:r>
      <w:r w:rsidRPr="00506F76">
        <w:rPr>
          <w:rFonts w:ascii="Arial" w:eastAsia="Calibri" w:hAnsi="Arial" w:cs="Arial"/>
          <w:b/>
          <w:sz w:val="22"/>
        </w:rPr>
        <w:t xml:space="preserve"> Experiencia en la contratación pública: aproximación general al concepto y consideraciones del ente rector de la contratación pública</w:t>
      </w:r>
    </w:p>
    <w:p w14:paraId="4D1965E1" w14:textId="77777777" w:rsidR="00895FAF" w:rsidRPr="00506F76" w:rsidRDefault="00895FAF" w:rsidP="00895FAF">
      <w:pPr>
        <w:spacing w:line="276" w:lineRule="auto"/>
        <w:jc w:val="both"/>
        <w:rPr>
          <w:rFonts w:ascii="Arial" w:eastAsia="Calibri" w:hAnsi="Arial" w:cs="Arial"/>
          <w:b/>
          <w:sz w:val="22"/>
        </w:rPr>
      </w:pPr>
    </w:p>
    <w:p w14:paraId="626655FB" w14:textId="77777777" w:rsidR="00895FAF" w:rsidRPr="00506F76" w:rsidRDefault="00895FAF" w:rsidP="00895FAF">
      <w:pPr>
        <w:spacing w:line="276" w:lineRule="auto"/>
        <w:jc w:val="both"/>
        <w:rPr>
          <w:rFonts w:ascii="Arial" w:eastAsia="Calibri" w:hAnsi="Arial" w:cs="Arial"/>
          <w:b/>
          <w:sz w:val="22"/>
        </w:rPr>
      </w:pPr>
      <w:r w:rsidRPr="00506F76">
        <w:rPr>
          <w:rFonts w:ascii="Arial" w:eastAsia="Calibri" w:hAnsi="Arial" w:cs="Arial"/>
          <w:b/>
          <w:sz w:val="22"/>
        </w:rPr>
        <w:t>a) Norma general</w:t>
      </w:r>
    </w:p>
    <w:p w14:paraId="03FFE322" w14:textId="77777777" w:rsidR="00DF557A" w:rsidRPr="00506F76" w:rsidRDefault="00DF557A">
      <w:pPr>
        <w:spacing w:line="276" w:lineRule="auto"/>
        <w:jc w:val="both"/>
        <w:rPr>
          <w:rFonts w:ascii="Arial" w:eastAsia="Calibri" w:hAnsi="Arial" w:cs="Arial"/>
          <w:b/>
          <w:sz w:val="22"/>
        </w:rPr>
      </w:pPr>
    </w:p>
    <w:p w14:paraId="38EF38C2" w14:textId="31B5B507" w:rsidR="00895FAF" w:rsidRPr="00506F76" w:rsidRDefault="00895FAF" w:rsidP="000C2C67">
      <w:pPr>
        <w:spacing w:after="120" w:line="276" w:lineRule="auto"/>
        <w:jc w:val="both"/>
        <w:rPr>
          <w:rFonts w:ascii="Arial" w:eastAsia="Calibri" w:hAnsi="Arial" w:cs="Arial"/>
          <w:sz w:val="22"/>
          <w:highlight w:val="yellow"/>
        </w:rPr>
      </w:pPr>
      <w:r w:rsidRPr="00506F76">
        <w:rPr>
          <w:rFonts w:ascii="Arial" w:eastAsia="Calibri" w:hAnsi="Arial" w:cs="Arial"/>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506F76">
        <w:rPr>
          <w:rStyle w:val="Refdenotaalpie"/>
          <w:rFonts w:ascii="Arial" w:eastAsia="Calibri" w:hAnsi="Arial" w:cs="Arial"/>
          <w:sz w:val="22"/>
        </w:rPr>
        <w:footnoteReference w:id="9"/>
      </w:r>
      <w:r w:rsidRPr="00506F76">
        <w:rPr>
          <w:rFonts w:ascii="Arial" w:eastAsia="Calibri" w:hAnsi="Arial" w:cs="Arial"/>
          <w:sz w:val="22"/>
        </w:rPr>
        <w:t xml:space="preserve">. En ese </w:t>
      </w:r>
      <w:r w:rsidRPr="00506F76">
        <w:rPr>
          <w:rFonts w:ascii="Arial" w:eastAsia="Calibri" w:hAnsi="Arial" w:cs="Arial"/>
          <w:sz w:val="22"/>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506F76">
        <w:rPr>
          <w:rStyle w:val="Refdenotaalpie"/>
          <w:rFonts w:ascii="Arial" w:eastAsia="Calibri" w:hAnsi="Arial" w:cs="Arial"/>
          <w:sz w:val="22"/>
        </w:rPr>
        <w:footnoteReference w:id="10"/>
      </w:r>
      <w:r w:rsidRPr="00506F76">
        <w:rPr>
          <w:rFonts w:ascii="Arial" w:eastAsia="Calibri" w:hAnsi="Arial" w:cs="Arial"/>
          <w:sz w:val="22"/>
        </w:rPr>
        <w:t>.</w:t>
      </w:r>
    </w:p>
    <w:p w14:paraId="4C614D02" w14:textId="10A9381A" w:rsidR="00895FAF" w:rsidRPr="00506F76" w:rsidRDefault="00895FAF" w:rsidP="00895FAF">
      <w:pPr>
        <w:spacing w:before="120" w:after="120" w:line="276" w:lineRule="auto"/>
        <w:ind w:firstLine="708"/>
        <w:jc w:val="both"/>
        <w:rPr>
          <w:rFonts w:ascii="Arial" w:eastAsia="Calibri" w:hAnsi="Arial" w:cs="Arial"/>
          <w:sz w:val="22"/>
        </w:rPr>
      </w:pPr>
      <w:r w:rsidRPr="00506F76">
        <w:rPr>
          <w:rFonts w:ascii="Arial" w:eastAsia="Calibri" w:hAnsi="Arial" w:cs="Arial"/>
          <w:sz w:val="22"/>
        </w:rPr>
        <w:t xml:space="preserve">La experiencia que se deriva de los contratos que el proponente ha celebrado y ejecutado con diferentes contratantes, sin importar la naturaleza de estos, se verifica con el Registro Único de Proponentes </w:t>
      </w:r>
      <w:r w:rsidR="00DF557A">
        <w:rPr>
          <w:rFonts w:ascii="Arial" w:eastAsia="Calibri" w:hAnsi="Arial" w:cs="Arial"/>
          <w:sz w:val="22"/>
        </w:rPr>
        <w:t>–</w:t>
      </w:r>
      <w:r w:rsidRPr="00506F76">
        <w:rPr>
          <w:rFonts w:ascii="Arial" w:eastAsia="Calibri" w:hAnsi="Arial" w:cs="Arial"/>
          <w:sz w:val="22"/>
        </w:rPr>
        <w:t>RUP</w:t>
      </w:r>
      <w:r w:rsidR="00DF557A">
        <w:rPr>
          <w:rFonts w:ascii="Arial" w:eastAsia="Calibri" w:hAnsi="Arial" w:cs="Arial"/>
          <w:sz w:val="22"/>
        </w:rPr>
        <w:t>–</w:t>
      </w:r>
      <w:r w:rsidRPr="00506F76">
        <w:rPr>
          <w:rStyle w:val="Refdenotaalpie"/>
          <w:rFonts w:ascii="Arial" w:eastAsia="Calibri" w:hAnsi="Arial" w:cs="Arial"/>
          <w:sz w:val="22"/>
        </w:rPr>
        <w:footnoteReference w:id="11"/>
      </w:r>
      <w:r w:rsidRPr="00506F76">
        <w:rPr>
          <w:rFonts w:ascii="Arial" w:eastAsia="Calibri" w:hAnsi="Arial" w:cs="Arial"/>
          <w:sz w:val="22"/>
        </w:rPr>
        <w:t>, cuando este certificado sea exigible de acuerdo con la ley, en el cual constan los requisitos habilitantes</w:t>
      </w:r>
      <w:r>
        <w:rPr>
          <w:rFonts w:ascii="Arial" w:eastAsia="Calibri" w:hAnsi="Arial" w:cs="Arial"/>
          <w:sz w:val="22"/>
        </w:rPr>
        <w:t>,</w:t>
      </w:r>
      <w:r w:rsidRPr="00506F76">
        <w:rPr>
          <w:rFonts w:ascii="Arial" w:eastAsia="Calibri" w:hAnsi="Arial" w:cs="Arial"/>
          <w:sz w:val="22"/>
        </w:rPr>
        <w:t xml:space="preserve"> que se evalúan exclusivamente con este documento, que es su plena prueba, sin que sea posible </w:t>
      </w:r>
      <w:r>
        <w:rPr>
          <w:rFonts w:ascii="Arial" w:eastAsia="Calibri" w:hAnsi="Arial" w:cs="Arial"/>
          <w:sz w:val="22"/>
        </w:rPr>
        <w:t>par</w:t>
      </w:r>
      <w:r w:rsidRPr="00506F76">
        <w:rPr>
          <w:rFonts w:ascii="Arial" w:eastAsia="Calibri" w:hAnsi="Arial" w:cs="Arial"/>
          <w:sz w:val="22"/>
        </w:rPr>
        <w:t xml:space="preserve">a la entidad o </w:t>
      </w:r>
      <w:r>
        <w:rPr>
          <w:rFonts w:ascii="Arial" w:eastAsia="Calibri" w:hAnsi="Arial" w:cs="Arial"/>
          <w:sz w:val="22"/>
        </w:rPr>
        <w:t>e</w:t>
      </w:r>
      <w:r w:rsidRPr="00506F76">
        <w:rPr>
          <w:rFonts w:ascii="Arial" w:eastAsia="Calibri" w:hAnsi="Arial" w:cs="Arial"/>
          <w:sz w:val="22"/>
        </w:rPr>
        <w:t>l proponente solicitar o aportar otra documentación</w:t>
      </w:r>
      <w:r w:rsidRPr="00506F76">
        <w:rPr>
          <w:rStyle w:val="Refdenotaalpie"/>
          <w:rFonts w:ascii="Arial" w:eastAsia="Calibri" w:hAnsi="Arial" w:cs="Arial"/>
          <w:sz w:val="22"/>
        </w:rPr>
        <w:footnoteReference w:id="12"/>
      </w:r>
      <w:r w:rsidRPr="00506F76">
        <w:rPr>
          <w:rFonts w:ascii="Arial" w:eastAsia="Calibri" w:hAnsi="Arial" w:cs="Arial"/>
          <w:sz w:val="22"/>
        </w:rPr>
        <w:t>.</w:t>
      </w:r>
    </w:p>
    <w:p w14:paraId="4BD41A18" w14:textId="0C48D9E6" w:rsidR="00895FAF" w:rsidRDefault="00895FAF" w:rsidP="00895FAF">
      <w:pPr>
        <w:spacing w:before="120" w:after="120" w:line="276" w:lineRule="auto"/>
        <w:ind w:firstLine="709"/>
        <w:jc w:val="both"/>
        <w:rPr>
          <w:rFonts w:ascii="Arial" w:eastAsia="Calibri" w:hAnsi="Arial" w:cs="Arial"/>
          <w:sz w:val="22"/>
        </w:rPr>
      </w:pPr>
      <w:r w:rsidRPr="00506F76">
        <w:rPr>
          <w:rFonts w:ascii="Arial" w:eastAsia="Calibri" w:hAnsi="Arial" w:cs="Arial"/>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506F76">
        <w:rPr>
          <w:rStyle w:val="Refdenotaalpie"/>
          <w:rFonts w:ascii="Arial" w:eastAsia="Calibri" w:hAnsi="Arial" w:cs="Arial"/>
          <w:sz w:val="22"/>
        </w:rPr>
        <w:footnoteReference w:id="13"/>
      </w:r>
      <w:r w:rsidRPr="00506F76">
        <w:rPr>
          <w:rFonts w:ascii="Arial" w:eastAsia="Calibri" w:hAnsi="Arial" w:cs="Arial"/>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22F9F8CA" w14:textId="75E19CDD" w:rsidR="00895FAF" w:rsidRPr="00506F76" w:rsidRDefault="00895FAF" w:rsidP="00895FAF">
      <w:pPr>
        <w:spacing w:line="276" w:lineRule="auto"/>
        <w:ind w:firstLine="709"/>
        <w:jc w:val="both"/>
        <w:rPr>
          <w:rFonts w:ascii="Arial" w:eastAsia="Calibri" w:hAnsi="Arial" w:cs="Arial"/>
          <w:sz w:val="22"/>
        </w:rPr>
      </w:pPr>
      <w:r>
        <w:rPr>
          <w:rFonts w:ascii="Arial" w:eastAsia="Calibri" w:hAnsi="Arial" w:cs="Arial"/>
          <w:sz w:val="22"/>
        </w:rPr>
        <w:t xml:space="preserve">Por último, </w:t>
      </w:r>
      <w:r w:rsidR="00B1184D">
        <w:rPr>
          <w:rFonts w:ascii="Arial" w:eastAsia="Calibri" w:hAnsi="Arial" w:cs="Arial"/>
          <w:sz w:val="22"/>
        </w:rPr>
        <w:t xml:space="preserve">se concluye que </w:t>
      </w:r>
      <w:r>
        <w:rPr>
          <w:rFonts w:ascii="Arial" w:eastAsia="Calibri" w:hAnsi="Arial" w:cs="Arial"/>
          <w:sz w:val="22"/>
        </w:rPr>
        <w:t>el concepto de experiencia, como «requisito habilitante» y como «factor de la fórmula de la capacidad residual»,</w:t>
      </w:r>
      <w:r w:rsidR="00B1184D">
        <w:rPr>
          <w:rFonts w:ascii="Arial" w:eastAsia="Calibri" w:hAnsi="Arial" w:cs="Arial"/>
          <w:sz w:val="22"/>
        </w:rPr>
        <w:t xml:space="preserve"> tienen la misma definición. Lo anterior</w:t>
      </w:r>
      <w:r>
        <w:rPr>
          <w:rFonts w:ascii="Arial" w:eastAsia="Calibri" w:hAnsi="Arial" w:cs="Arial"/>
          <w:sz w:val="22"/>
        </w:rPr>
        <w:t xml:space="preserve"> </w:t>
      </w:r>
      <w:r w:rsidR="00B1184D">
        <w:rPr>
          <w:rFonts w:ascii="Arial" w:eastAsia="Calibri" w:hAnsi="Arial" w:cs="Arial"/>
          <w:sz w:val="22"/>
        </w:rPr>
        <w:t>teniendo en cuenta</w:t>
      </w:r>
      <w:r>
        <w:rPr>
          <w:rFonts w:ascii="Arial" w:eastAsia="Calibri" w:hAnsi="Arial" w:cs="Arial"/>
          <w:sz w:val="22"/>
        </w:rPr>
        <w:t xml:space="preserve"> que el «requisito habilitante» se deriva de los contratos celebrados por el proponente que deben inscribirse en el RUP, y que el «factor de la fórmula de la capacidad residual» </w:t>
      </w:r>
      <w:proofErr w:type="spellStart"/>
      <w:r>
        <w:rPr>
          <w:rFonts w:ascii="Arial" w:eastAsia="Calibri" w:hAnsi="Arial" w:cs="Arial"/>
          <w:sz w:val="22"/>
        </w:rPr>
        <w:t>esta</w:t>
      </w:r>
      <w:proofErr w:type="spellEnd"/>
      <w:r>
        <w:rPr>
          <w:rFonts w:ascii="Arial" w:eastAsia="Calibri" w:hAnsi="Arial" w:cs="Arial"/>
          <w:sz w:val="22"/>
        </w:rPr>
        <w:t xml:space="preserve"> determinado por el valor </w:t>
      </w:r>
      <w:r w:rsidRPr="00506F76">
        <w:rPr>
          <w:rFonts w:ascii="Arial" w:hAnsi="Arial" w:cs="Arial"/>
          <w:sz w:val="22"/>
        </w:rPr>
        <w:t>total en pesos de los contratos que figuran en el RUP</w:t>
      </w:r>
      <w:r w:rsidR="00B1184D">
        <w:rPr>
          <w:rFonts w:ascii="Arial" w:hAnsi="Arial" w:cs="Arial"/>
          <w:sz w:val="22"/>
        </w:rPr>
        <w:t>.</w:t>
      </w:r>
    </w:p>
    <w:p w14:paraId="6ACA30B3" w14:textId="77777777" w:rsidR="00895FAF" w:rsidRPr="00506F76" w:rsidRDefault="00895FAF" w:rsidP="00895FAF">
      <w:pPr>
        <w:spacing w:line="276" w:lineRule="auto"/>
        <w:jc w:val="both"/>
        <w:rPr>
          <w:rFonts w:ascii="Arial" w:eastAsia="Calibri" w:hAnsi="Arial" w:cs="Arial"/>
          <w:sz w:val="22"/>
        </w:rPr>
      </w:pPr>
    </w:p>
    <w:p w14:paraId="69BB42A1" w14:textId="77777777" w:rsidR="00895FAF" w:rsidRPr="00506F76" w:rsidRDefault="00895FAF" w:rsidP="00895FAF">
      <w:pPr>
        <w:spacing w:line="276" w:lineRule="auto"/>
        <w:jc w:val="both"/>
        <w:rPr>
          <w:rFonts w:ascii="Arial" w:eastAsia="Calibri" w:hAnsi="Arial" w:cs="Arial"/>
          <w:b/>
          <w:bCs/>
          <w:sz w:val="22"/>
        </w:rPr>
      </w:pPr>
      <w:r w:rsidRPr="00506F76">
        <w:rPr>
          <w:rFonts w:ascii="Arial" w:eastAsia="Calibri" w:hAnsi="Arial" w:cs="Arial"/>
          <w:b/>
          <w:bCs/>
          <w:sz w:val="22"/>
        </w:rPr>
        <w:t>b) Consideraciones de Colombia Compra Eficiente respecto de la experiencia</w:t>
      </w:r>
    </w:p>
    <w:p w14:paraId="4FF80137" w14:textId="77777777" w:rsidR="00895FAF" w:rsidRPr="00506F76" w:rsidRDefault="00895FAF" w:rsidP="00895FAF">
      <w:pPr>
        <w:spacing w:line="276" w:lineRule="auto"/>
        <w:jc w:val="both"/>
        <w:rPr>
          <w:rFonts w:ascii="Arial" w:eastAsia="Calibri" w:hAnsi="Arial" w:cs="Arial"/>
          <w:b/>
          <w:bCs/>
          <w:sz w:val="22"/>
        </w:rPr>
      </w:pPr>
    </w:p>
    <w:p w14:paraId="785375F1" w14:textId="46D9E575" w:rsidR="00895FAF" w:rsidRPr="00506F76" w:rsidRDefault="00895FAF" w:rsidP="000C2C67">
      <w:pPr>
        <w:spacing w:line="276" w:lineRule="auto"/>
        <w:jc w:val="both"/>
        <w:rPr>
          <w:rFonts w:ascii="Arial" w:eastAsia="Calibri" w:hAnsi="Arial" w:cs="Arial"/>
          <w:sz w:val="22"/>
        </w:rPr>
      </w:pPr>
      <w:r w:rsidRPr="00506F76">
        <w:rPr>
          <w:rFonts w:ascii="Arial" w:eastAsia="Calibri" w:hAnsi="Arial" w:cs="Arial"/>
          <w:sz w:val="22"/>
        </w:rPr>
        <w:t xml:space="preserve">La Agencia Nacional de Contratación Pública </w:t>
      </w:r>
      <w:r w:rsidR="00987B5F">
        <w:rPr>
          <w:rFonts w:ascii="Arial" w:eastAsia="Calibri" w:hAnsi="Arial" w:cs="Arial"/>
          <w:sz w:val="22"/>
        </w:rPr>
        <w:t>–</w:t>
      </w:r>
      <w:r w:rsidRPr="00506F76">
        <w:rPr>
          <w:rFonts w:ascii="Arial" w:eastAsia="Calibri" w:hAnsi="Arial" w:cs="Arial"/>
          <w:sz w:val="22"/>
        </w:rPr>
        <w:t xml:space="preserve">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w:t>
      </w:r>
      <w:r w:rsidR="00C201A9">
        <w:rPr>
          <w:rFonts w:ascii="Arial" w:eastAsia="Calibri" w:hAnsi="Arial" w:cs="Arial"/>
          <w:sz w:val="22"/>
        </w:rPr>
        <w:t>En relación con</w:t>
      </w:r>
      <w:r w:rsidR="00C201A9" w:rsidRPr="00271E9E">
        <w:rPr>
          <w:rFonts w:ascii="Arial" w:eastAsia="Calibri" w:hAnsi="Arial" w:cs="Arial"/>
          <w:sz w:val="22"/>
        </w:rPr>
        <w:t xml:space="preserve"> la experiencia</w:t>
      </w:r>
      <w:r w:rsidR="00C201A9">
        <w:rPr>
          <w:rFonts w:ascii="Arial" w:eastAsia="Calibri" w:hAnsi="Arial" w:cs="Arial"/>
          <w:sz w:val="22"/>
        </w:rPr>
        <w:t>,</w:t>
      </w:r>
      <w:r w:rsidR="00C201A9" w:rsidRPr="00271E9E">
        <w:rPr>
          <w:rFonts w:ascii="Arial" w:eastAsia="Calibri" w:hAnsi="Arial" w:cs="Arial"/>
          <w:sz w:val="22"/>
        </w:rPr>
        <w:t xml:space="preserve"> </w:t>
      </w:r>
      <w:r w:rsidR="00C201A9" w:rsidRPr="00271E9E">
        <w:rPr>
          <w:rFonts w:ascii="Arial" w:eastAsia="Calibri" w:hAnsi="Arial" w:cs="Arial"/>
          <w:sz w:val="22"/>
        </w:rPr>
        <w:lastRenderedPageBreak/>
        <w:t xml:space="preserve">como requisito habilitante señalado en su consulta, el </w:t>
      </w:r>
      <w:r w:rsidR="00C201A9">
        <w:rPr>
          <w:rFonts w:ascii="Arial" w:eastAsia="Calibri" w:hAnsi="Arial" w:cs="Arial"/>
          <w:sz w:val="22"/>
        </w:rPr>
        <w:t>m</w:t>
      </w:r>
      <w:r w:rsidR="00C201A9" w:rsidRPr="00271E9E">
        <w:rPr>
          <w:rFonts w:ascii="Arial" w:eastAsia="Calibri" w:hAnsi="Arial" w:cs="Arial"/>
          <w:sz w:val="22"/>
        </w:rPr>
        <w:t xml:space="preserve">anual se centra en una de sus cualidades y es que es personal, lo cual significa que la experiencia </w:t>
      </w:r>
      <w:r w:rsidR="00C201A9">
        <w:rPr>
          <w:rFonts w:ascii="Arial" w:eastAsia="Calibri" w:hAnsi="Arial" w:cs="Arial"/>
          <w:sz w:val="22"/>
        </w:rPr>
        <w:t xml:space="preserve">se adquiere </w:t>
      </w:r>
      <w:r w:rsidR="00C201A9" w:rsidRPr="00271E9E">
        <w:rPr>
          <w:rFonts w:ascii="Arial" w:eastAsia="Calibri" w:hAnsi="Arial" w:cs="Arial"/>
          <w:sz w:val="22"/>
        </w:rPr>
        <w:t xml:space="preserve">en razón a </w:t>
      </w:r>
      <w:r w:rsidR="00C201A9">
        <w:rPr>
          <w:rFonts w:ascii="Arial" w:eastAsia="Calibri" w:hAnsi="Arial" w:cs="Arial"/>
          <w:sz w:val="22"/>
        </w:rPr>
        <w:t>la</w:t>
      </w:r>
      <w:r w:rsidR="00C201A9" w:rsidRPr="00271E9E">
        <w:rPr>
          <w:rFonts w:ascii="Arial" w:eastAsia="Calibri" w:hAnsi="Arial" w:cs="Arial"/>
          <w:sz w:val="22"/>
        </w:rPr>
        <w:t xml:space="preserve"> participación, con anterioridad, en actividades que le permitieron conocer cómo ejecutar el objeto contractual que la entidad pretende satisfacer </w:t>
      </w:r>
      <w:r w:rsidR="00C201A9">
        <w:rPr>
          <w:rFonts w:ascii="Arial" w:eastAsia="Calibri" w:hAnsi="Arial" w:cs="Arial"/>
          <w:sz w:val="22"/>
        </w:rPr>
        <w:t>con su proceso de contratación</w:t>
      </w:r>
      <w:r w:rsidRPr="00506F76">
        <w:rPr>
          <w:rStyle w:val="Refdenotaalpie"/>
          <w:rFonts w:ascii="Arial" w:eastAsia="Calibri" w:hAnsi="Arial" w:cs="Arial"/>
          <w:sz w:val="22"/>
        </w:rPr>
        <w:footnoteReference w:id="14"/>
      </w:r>
      <w:r w:rsidRPr="00506F76">
        <w:rPr>
          <w:rFonts w:ascii="Arial" w:eastAsia="Calibri" w:hAnsi="Arial" w:cs="Arial"/>
          <w:sz w:val="22"/>
        </w:rPr>
        <w:t>.</w:t>
      </w:r>
    </w:p>
    <w:p w14:paraId="31CF4507" w14:textId="30449332" w:rsidR="00C201A9" w:rsidRDefault="00895FAF" w:rsidP="00895FAF">
      <w:pPr>
        <w:spacing w:before="120" w:after="120" w:line="276" w:lineRule="auto"/>
        <w:ind w:firstLine="708"/>
        <w:jc w:val="both"/>
        <w:rPr>
          <w:rFonts w:ascii="Arial" w:eastAsia="Calibri" w:hAnsi="Arial" w:cs="Arial"/>
          <w:sz w:val="22"/>
        </w:rPr>
      </w:pPr>
      <w:r w:rsidRPr="00506F76">
        <w:rPr>
          <w:rFonts w:ascii="Arial" w:eastAsia="Calibri" w:hAnsi="Arial" w:cs="Arial"/>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w:t>
      </w:r>
      <w:r w:rsidR="003C1C60">
        <w:rPr>
          <w:rFonts w:ascii="Arial" w:eastAsia="Calibri" w:hAnsi="Arial" w:cs="Arial"/>
          <w:sz w:val="22"/>
        </w:rPr>
        <w:t>pues</w:t>
      </w:r>
      <w:r w:rsidRPr="00506F76">
        <w:rPr>
          <w:rFonts w:ascii="Arial" w:eastAsia="Calibri" w:hAnsi="Arial" w:cs="Arial"/>
          <w:sz w:val="22"/>
        </w:rPr>
        <w:t xml:space="preserve"> garantiza que no </w:t>
      </w:r>
      <w:r>
        <w:rPr>
          <w:rFonts w:ascii="Arial" w:eastAsia="Calibri" w:hAnsi="Arial" w:cs="Arial"/>
          <w:sz w:val="22"/>
        </w:rPr>
        <w:t>habr</w:t>
      </w:r>
      <w:r w:rsidRPr="00506F76">
        <w:rPr>
          <w:rFonts w:ascii="Arial" w:eastAsia="Calibri" w:hAnsi="Arial" w:cs="Arial"/>
          <w:sz w:val="22"/>
        </w:rPr>
        <w:t>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w:t>
      </w:r>
      <w:r>
        <w:rPr>
          <w:rFonts w:ascii="Arial" w:eastAsia="Calibri" w:hAnsi="Arial" w:cs="Arial"/>
          <w:sz w:val="22"/>
        </w:rPr>
        <w:t>.</w:t>
      </w:r>
      <w:r w:rsidRPr="00506F76">
        <w:rPr>
          <w:rFonts w:ascii="Arial" w:eastAsia="Calibri" w:hAnsi="Arial" w:cs="Arial"/>
          <w:sz w:val="22"/>
        </w:rPr>
        <w:t xml:space="preserve"> </w:t>
      </w:r>
      <w:r>
        <w:rPr>
          <w:rFonts w:ascii="Arial" w:eastAsia="Calibri" w:hAnsi="Arial" w:cs="Arial"/>
          <w:sz w:val="22"/>
        </w:rPr>
        <w:t>E</w:t>
      </w:r>
      <w:r w:rsidRPr="00506F76">
        <w:rPr>
          <w:rFonts w:ascii="Arial" w:eastAsia="Calibri" w:hAnsi="Arial" w:cs="Arial"/>
          <w:sz w:val="22"/>
        </w:rPr>
        <w:t>n este caso</w:t>
      </w:r>
      <w:r>
        <w:rPr>
          <w:rFonts w:ascii="Arial" w:eastAsia="Calibri" w:hAnsi="Arial" w:cs="Arial"/>
          <w:sz w:val="22"/>
        </w:rPr>
        <w:t>,</w:t>
      </w:r>
      <w:r w:rsidRPr="00506F76">
        <w:rPr>
          <w:rFonts w:ascii="Arial" w:eastAsia="Calibri" w:hAnsi="Arial" w:cs="Arial"/>
          <w:sz w:val="22"/>
        </w:rPr>
        <w:t xml:space="preserve"> la experiencia no deja de ser </w:t>
      </w:r>
      <w:proofErr w:type="gramStart"/>
      <w:r w:rsidRPr="00506F76">
        <w:rPr>
          <w:rFonts w:ascii="Arial" w:eastAsia="Calibri" w:hAnsi="Arial" w:cs="Arial"/>
          <w:sz w:val="22"/>
        </w:rPr>
        <w:t>personal</w:t>
      </w:r>
      <w:proofErr w:type="gramEnd"/>
      <w:r w:rsidRPr="00506F76">
        <w:rPr>
          <w:rFonts w:ascii="Arial" w:eastAsia="Calibri" w:hAnsi="Arial" w:cs="Arial"/>
          <w:sz w:val="22"/>
        </w:rPr>
        <w:t xml:space="preserve"> sino que es proporcional a la participación como miembro de un consorcio o unión temporal, donde por ser esquemas asociativos la experiencia es compartida. </w:t>
      </w:r>
    </w:p>
    <w:p w14:paraId="34E08C06" w14:textId="68E81483" w:rsidR="00895FAF" w:rsidRPr="00506F76" w:rsidRDefault="005C52F4" w:rsidP="005C52F4">
      <w:pPr>
        <w:spacing w:before="120" w:after="120" w:line="276" w:lineRule="auto"/>
        <w:ind w:firstLine="708"/>
        <w:jc w:val="both"/>
        <w:rPr>
          <w:rFonts w:ascii="Arial" w:eastAsia="Calibri" w:hAnsi="Arial" w:cs="Arial"/>
          <w:sz w:val="22"/>
        </w:rPr>
      </w:pPr>
      <w:r w:rsidRPr="00271E9E">
        <w:rPr>
          <w:rFonts w:ascii="Arial" w:eastAsia="Calibri" w:hAnsi="Arial" w:cs="Arial"/>
          <w:sz w:val="22"/>
        </w:rPr>
        <w:t xml:space="preserve">Por otra parte, la Agencia recomienda que la experiencia que se solicite sea proporcional y no igual al objeto que se va a contratar, ya que esto puede limitar la participación de los </w:t>
      </w:r>
      <w:r>
        <w:rPr>
          <w:rFonts w:ascii="Arial" w:eastAsia="Calibri" w:hAnsi="Arial" w:cs="Arial"/>
          <w:sz w:val="22"/>
        </w:rPr>
        <w:t>proponentes</w:t>
      </w:r>
      <w:r w:rsidRPr="00271E9E">
        <w:rPr>
          <w:rFonts w:ascii="Arial" w:eastAsia="Calibri" w:hAnsi="Arial" w:cs="Arial"/>
          <w:sz w:val="22"/>
        </w:rPr>
        <w:t xml:space="preserve"> por no haber ejecutado un objeto igual pero s</w:t>
      </w:r>
      <w:r>
        <w:rPr>
          <w:rFonts w:ascii="Arial" w:eastAsia="Calibri" w:hAnsi="Arial" w:cs="Arial"/>
          <w:sz w:val="22"/>
        </w:rPr>
        <w:t>í</w:t>
      </w:r>
      <w:r w:rsidRPr="00271E9E">
        <w:rPr>
          <w:rFonts w:ascii="Arial" w:eastAsia="Calibri" w:hAnsi="Arial" w:cs="Arial"/>
          <w:sz w:val="22"/>
        </w:rPr>
        <w:t xml:space="preserve"> similar, que puede funcionar para las exigencias de la entidad</w:t>
      </w:r>
      <w:r>
        <w:rPr>
          <w:rFonts w:ascii="Arial" w:eastAsia="Calibri" w:hAnsi="Arial" w:cs="Arial"/>
          <w:sz w:val="22"/>
        </w:rPr>
        <w:t>, permitiendo</w:t>
      </w:r>
      <w:r w:rsidRPr="00271E9E">
        <w:rPr>
          <w:rFonts w:ascii="Arial" w:eastAsia="Calibri" w:hAnsi="Arial" w:cs="Arial"/>
          <w:sz w:val="22"/>
        </w:rPr>
        <w:t xml:space="preserve"> que exista pluralidad de oferentes. </w:t>
      </w:r>
      <w:r w:rsidR="00895FAF" w:rsidRPr="00506F76">
        <w:rPr>
          <w:rFonts w:ascii="Arial" w:eastAsia="Calibri" w:hAnsi="Arial" w:cs="Arial"/>
          <w:sz w:val="22"/>
        </w:rPr>
        <w:t xml:space="preserve">Finalmente, se pueden extraer cuatro conclusiones relevantes para evaluar </w:t>
      </w:r>
      <w:r w:rsidR="00895FAF">
        <w:rPr>
          <w:rFonts w:ascii="Arial" w:eastAsia="Calibri" w:hAnsi="Arial" w:cs="Arial"/>
          <w:sz w:val="22"/>
        </w:rPr>
        <w:t>la</w:t>
      </w:r>
      <w:r>
        <w:rPr>
          <w:rFonts w:ascii="Arial" w:eastAsia="Calibri" w:hAnsi="Arial" w:cs="Arial"/>
          <w:sz w:val="22"/>
        </w:rPr>
        <w:t xml:space="preserve"> experiencia</w:t>
      </w:r>
      <w:r w:rsidR="00895FAF" w:rsidRPr="00506F76">
        <w:rPr>
          <w:rFonts w:ascii="Arial" w:eastAsia="Calibri" w:hAnsi="Arial" w:cs="Arial"/>
          <w:sz w:val="22"/>
        </w:rPr>
        <w:t xml:space="preserve"> de las sociedades comerciales</w:t>
      </w:r>
      <w:r>
        <w:rPr>
          <w:rFonts w:ascii="Arial" w:eastAsia="Calibri" w:hAnsi="Arial" w:cs="Arial"/>
          <w:sz w:val="22"/>
        </w:rPr>
        <w:t xml:space="preserve"> y de sus socios</w:t>
      </w:r>
      <w:r w:rsidR="00895FAF" w:rsidRPr="00506F76">
        <w:rPr>
          <w:rFonts w:ascii="Arial" w:eastAsia="Calibri" w:hAnsi="Arial" w:cs="Arial"/>
          <w:sz w:val="22"/>
        </w:rPr>
        <w:t xml:space="preserve">: </w:t>
      </w:r>
    </w:p>
    <w:p w14:paraId="25688432" w14:textId="77777777" w:rsidR="00895FAF" w:rsidRPr="00506F76" w:rsidRDefault="00895FAF" w:rsidP="00895FAF">
      <w:pPr>
        <w:spacing w:before="120" w:after="120" w:line="276" w:lineRule="auto"/>
        <w:ind w:firstLine="708"/>
        <w:jc w:val="both"/>
        <w:rPr>
          <w:rFonts w:ascii="Arial" w:eastAsia="Calibri" w:hAnsi="Arial" w:cs="Arial"/>
          <w:sz w:val="22"/>
        </w:rPr>
      </w:pPr>
      <w:r w:rsidRPr="00506F76">
        <w:rPr>
          <w:rFonts w:ascii="Arial" w:eastAsia="Calibri" w:hAnsi="Arial" w:cs="Arial"/>
          <w:sz w:val="22"/>
        </w:rPr>
        <w:lastRenderedPageBreak/>
        <w:t>i) La experiencia es personal, esto es, se adquiere participando, directa o indirectamente, sin que sea posible no participar y tener una experiencia que no es propia.</w:t>
      </w:r>
    </w:p>
    <w:p w14:paraId="35A4269D" w14:textId="3FDE8E3C" w:rsidR="00895FAF" w:rsidRPr="00506F76" w:rsidRDefault="00895FAF" w:rsidP="00895FAF">
      <w:pPr>
        <w:spacing w:before="120" w:after="120" w:line="276" w:lineRule="auto"/>
        <w:ind w:firstLine="708"/>
        <w:jc w:val="both"/>
        <w:rPr>
          <w:rFonts w:ascii="Arial" w:eastAsia="Calibri" w:hAnsi="Arial" w:cs="Arial"/>
          <w:sz w:val="22"/>
        </w:rPr>
      </w:pPr>
      <w:proofErr w:type="spellStart"/>
      <w:r w:rsidRPr="00506F76">
        <w:rPr>
          <w:rFonts w:ascii="Arial" w:eastAsia="Calibri" w:hAnsi="Arial" w:cs="Arial"/>
          <w:sz w:val="22"/>
        </w:rPr>
        <w:t>ii</w:t>
      </w:r>
      <w:proofErr w:type="spellEnd"/>
      <w:r w:rsidRPr="00506F76">
        <w:rPr>
          <w:rFonts w:ascii="Arial" w:eastAsia="Calibri" w:hAnsi="Arial" w:cs="Arial"/>
          <w:sz w:val="22"/>
        </w:rPr>
        <w:t>) La experiencia se puede compartir, sin que implique que la que le hayan compartido a una persona se entienda suya, ya que dentro del procedimiento contractual se reflejará que esa persona tiene la experiencia de otra, como es el caso de la que le</w:t>
      </w:r>
      <w:r w:rsidR="00284810">
        <w:rPr>
          <w:rFonts w:ascii="Arial" w:eastAsia="Calibri" w:hAnsi="Arial" w:cs="Arial"/>
          <w:sz w:val="22"/>
        </w:rPr>
        <w:t>s</w:t>
      </w:r>
      <w:r w:rsidRPr="00506F76">
        <w:rPr>
          <w:rFonts w:ascii="Arial" w:eastAsia="Calibri" w:hAnsi="Arial" w:cs="Arial"/>
          <w:sz w:val="22"/>
        </w:rPr>
        <w:t xml:space="preserve"> aportan los socios a las sociedades con menos de 3 años de constitución, lo cual constará en el RUP; o de las figuras </w:t>
      </w:r>
      <w:proofErr w:type="gramStart"/>
      <w:r w:rsidRPr="00506F76">
        <w:rPr>
          <w:rFonts w:ascii="Arial" w:eastAsia="Calibri" w:hAnsi="Arial" w:cs="Arial"/>
          <w:sz w:val="22"/>
        </w:rPr>
        <w:t>asociativas  ̶</w:t>
      </w:r>
      <w:proofErr w:type="gramEnd"/>
      <w:r w:rsidRPr="00506F76">
        <w:rPr>
          <w:rFonts w:ascii="Arial" w:eastAsia="Calibri" w:hAnsi="Arial" w:cs="Arial"/>
          <w:sz w:val="22"/>
        </w:rPr>
        <w:t xml:space="preserve"> consorcios y uniones temporales ̶  que se verificará en el documento privado de constitución.</w:t>
      </w:r>
    </w:p>
    <w:p w14:paraId="756A3491" w14:textId="77777777" w:rsidR="00895FAF" w:rsidRPr="00506F76" w:rsidRDefault="00895FAF" w:rsidP="00895FAF">
      <w:pPr>
        <w:spacing w:before="120" w:after="120" w:line="276" w:lineRule="auto"/>
        <w:ind w:firstLine="708"/>
        <w:jc w:val="both"/>
        <w:rPr>
          <w:rFonts w:ascii="Arial" w:eastAsia="Calibri" w:hAnsi="Arial" w:cs="Arial"/>
          <w:sz w:val="22"/>
        </w:rPr>
      </w:pPr>
      <w:proofErr w:type="spellStart"/>
      <w:r w:rsidRPr="00506F76">
        <w:rPr>
          <w:rFonts w:ascii="Arial" w:eastAsia="Calibri" w:hAnsi="Arial" w:cs="Arial"/>
          <w:sz w:val="22"/>
        </w:rPr>
        <w:t>iii</w:t>
      </w:r>
      <w:proofErr w:type="spellEnd"/>
      <w:r w:rsidRPr="00506F76">
        <w:rPr>
          <w:rFonts w:ascii="Arial" w:eastAsia="Calibri" w:hAnsi="Arial" w:cs="Arial"/>
          <w:sz w:val="22"/>
        </w:rPr>
        <w:t>) La experiencia se puede transferir, y es diferente a compartir, puesto que implica que la experiencia de una persona se traslada a otra, y esta última acredita esa experiencia como propia, lo cual es el caso de</w:t>
      </w:r>
      <w:r>
        <w:rPr>
          <w:rFonts w:ascii="Arial" w:eastAsia="Calibri" w:hAnsi="Arial" w:cs="Arial"/>
          <w:sz w:val="22"/>
        </w:rPr>
        <w:t xml:space="preserve"> las</w:t>
      </w:r>
      <w:r w:rsidRPr="00506F76">
        <w:rPr>
          <w:rFonts w:ascii="Arial" w:eastAsia="Calibri" w:hAnsi="Arial" w:cs="Arial"/>
          <w:sz w:val="22"/>
        </w:rPr>
        <w:t xml:space="preserve"> figuras y reformas estatutarias como </w:t>
      </w:r>
      <w:r>
        <w:rPr>
          <w:rFonts w:ascii="Arial" w:eastAsia="Calibri" w:hAnsi="Arial" w:cs="Arial"/>
          <w:sz w:val="22"/>
        </w:rPr>
        <w:t>transformación, fusión y escisión</w:t>
      </w:r>
      <w:r w:rsidRPr="00506F76">
        <w:rPr>
          <w:rFonts w:ascii="Arial" w:eastAsia="Calibri" w:hAnsi="Arial" w:cs="Arial"/>
          <w:sz w:val="22"/>
        </w:rPr>
        <w:t>.</w:t>
      </w:r>
    </w:p>
    <w:p w14:paraId="066F8F39" w14:textId="77777777" w:rsidR="00895FAF" w:rsidRDefault="00895FAF" w:rsidP="00895FAF">
      <w:pPr>
        <w:spacing w:before="120" w:after="120" w:line="276" w:lineRule="auto"/>
        <w:ind w:firstLine="709"/>
        <w:jc w:val="both"/>
        <w:rPr>
          <w:rFonts w:ascii="Arial" w:eastAsia="Calibri" w:hAnsi="Arial" w:cs="Arial"/>
          <w:sz w:val="22"/>
        </w:rPr>
      </w:pPr>
      <w:proofErr w:type="spellStart"/>
      <w:r w:rsidRPr="00506F76">
        <w:rPr>
          <w:rFonts w:ascii="Arial" w:eastAsia="Calibri" w:hAnsi="Arial" w:cs="Arial"/>
          <w:sz w:val="22"/>
        </w:rPr>
        <w:t>iv</w:t>
      </w:r>
      <w:proofErr w:type="spellEnd"/>
      <w:r w:rsidRPr="00506F76">
        <w:rPr>
          <w:rFonts w:ascii="Arial" w:eastAsia="Calibri" w:hAnsi="Arial" w:cs="Arial"/>
          <w:sz w:val="22"/>
        </w:rPr>
        <w:t xml:space="preserve">) </w:t>
      </w:r>
      <w:r>
        <w:rPr>
          <w:rFonts w:ascii="Arial" w:eastAsia="Calibri" w:hAnsi="Arial" w:cs="Arial"/>
          <w:sz w:val="22"/>
        </w:rPr>
        <w:t xml:space="preserve">Solo es posible transferir o compartir la experiencia de una persona natural o jurídica a otra, en los casos señalados en los numerales anteriores, por lo cual no es posible que se acredite la experiencia adquirida por un </w:t>
      </w:r>
      <w:proofErr w:type="gramStart"/>
      <w:r>
        <w:rPr>
          <w:rFonts w:ascii="Arial" w:eastAsia="Calibri" w:hAnsi="Arial" w:cs="Arial"/>
          <w:sz w:val="22"/>
        </w:rPr>
        <w:t>tercero  ̶</w:t>
      </w:r>
      <w:proofErr w:type="gramEnd"/>
      <w:r>
        <w:rPr>
          <w:rFonts w:ascii="Arial" w:eastAsia="Calibri" w:hAnsi="Arial" w:cs="Arial"/>
          <w:sz w:val="22"/>
        </w:rPr>
        <w:t xml:space="preserve"> que es otra persona diferente a la principal ̶  sin que se relacione con lo establecido, ya que la experiencia es personal, esto es, de quien la adquirió.</w:t>
      </w:r>
    </w:p>
    <w:p w14:paraId="00D62A98" w14:textId="77777777" w:rsidR="00895FAF" w:rsidRDefault="00895FAF" w:rsidP="00895FAF">
      <w:pPr>
        <w:spacing w:before="120" w:line="276" w:lineRule="auto"/>
        <w:ind w:firstLine="709"/>
        <w:jc w:val="both"/>
        <w:rPr>
          <w:rFonts w:ascii="Arial" w:eastAsia="Calibri" w:hAnsi="Arial" w:cs="Arial"/>
          <w:sz w:val="22"/>
        </w:rPr>
      </w:pPr>
      <w:r>
        <w:rPr>
          <w:rFonts w:ascii="Arial" w:eastAsia="Calibri" w:hAnsi="Arial" w:cs="Arial"/>
          <w:sz w:val="22"/>
        </w:rPr>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14:paraId="332CB521" w14:textId="77777777" w:rsidR="00895FAF" w:rsidRDefault="00895FAF" w:rsidP="00895FAF">
      <w:pPr>
        <w:spacing w:line="276" w:lineRule="auto"/>
        <w:jc w:val="both"/>
        <w:rPr>
          <w:rFonts w:ascii="Arial" w:eastAsia="Calibri" w:hAnsi="Arial" w:cs="Arial"/>
          <w:sz w:val="22"/>
        </w:rPr>
      </w:pPr>
    </w:p>
    <w:p w14:paraId="552D7766" w14:textId="51CFA8E6" w:rsidR="00895FAF" w:rsidRDefault="001D7532" w:rsidP="00895FAF">
      <w:pPr>
        <w:spacing w:line="276" w:lineRule="auto"/>
        <w:jc w:val="both"/>
        <w:rPr>
          <w:rFonts w:ascii="Arial" w:eastAsia="Calibri" w:hAnsi="Arial" w:cs="Arial"/>
          <w:b/>
          <w:bCs/>
          <w:sz w:val="22"/>
        </w:rPr>
      </w:pPr>
      <w:r w:rsidRPr="00506F76">
        <w:rPr>
          <w:rFonts w:ascii="Arial" w:eastAsia="Calibri" w:hAnsi="Arial" w:cs="Arial"/>
          <w:b/>
          <w:sz w:val="22"/>
        </w:rPr>
        <w:t>2.2</w:t>
      </w:r>
      <w:r>
        <w:rPr>
          <w:rFonts w:ascii="Arial" w:eastAsia="Calibri" w:hAnsi="Arial" w:cs="Arial"/>
          <w:b/>
          <w:sz w:val="22"/>
        </w:rPr>
        <w:t>.2.</w:t>
      </w:r>
      <w:r w:rsidR="00895FAF" w:rsidRPr="00F80556">
        <w:rPr>
          <w:rFonts w:ascii="Arial" w:eastAsia="Calibri" w:hAnsi="Arial" w:cs="Arial"/>
          <w:b/>
          <w:bCs/>
          <w:sz w:val="22"/>
        </w:rPr>
        <w:t xml:space="preserve"> </w:t>
      </w:r>
      <w:r w:rsidR="00895FAF">
        <w:rPr>
          <w:rFonts w:ascii="Arial" w:eastAsia="Calibri" w:hAnsi="Arial" w:cs="Arial"/>
          <w:b/>
          <w:bCs/>
          <w:sz w:val="22"/>
        </w:rPr>
        <w:t>Experiencia adquirida por una sociedad comercial</w:t>
      </w:r>
      <w:r w:rsidR="00A06C7E">
        <w:rPr>
          <w:rFonts w:ascii="Arial" w:eastAsia="Calibri" w:hAnsi="Arial" w:cs="Arial"/>
          <w:b/>
          <w:bCs/>
          <w:sz w:val="22"/>
        </w:rPr>
        <w:t xml:space="preserve"> respecto de sus socios y su capacidad residual</w:t>
      </w:r>
    </w:p>
    <w:p w14:paraId="4C4A632D" w14:textId="77777777" w:rsidR="00895FAF" w:rsidRDefault="00895FAF" w:rsidP="00895FAF">
      <w:pPr>
        <w:spacing w:line="276" w:lineRule="auto"/>
        <w:jc w:val="both"/>
        <w:rPr>
          <w:rFonts w:ascii="Arial" w:eastAsia="Calibri" w:hAnsi="Arial" w:cs="Arial"/>
          <w:b/>
          <w:bCs/>
          <w:sz w:val="22"/>
        </w:rPr>
      </w:pPr>
    </w:p>
    <w:p w14:paraId="5CCB92B5" w14:textId="65903BE9" w:rsidR="00895FAF" w:rsidRDefault="00895FAF" w:rsidP="000C2C67">
      <w:pPr>
        <w:spacing w:after="120" w:line="276" w:lineRule="auto"/>
        <w:jc w:val="both"/>
        <w:rPr>
          <w:rFonts w:ascii="Arial" w:eastAsia="Calibri" w:hAnsi="Arial" w:cs="Arial"/>
          <w:sz w:val="22"/>
        </w:rPr>
      </w:pPr>
      <w:r>
        <w:rPr>
          <w:rFonts w:ascii="Arial" w:eastAsia="Calibri" w:hAnsi="Arial" w:cs="Arial"/>
          <w:sz w:val="22"/>
        </w:rPr>
        <w:t xml:space="preserve">El </w:t>
      </w:r>
      <w:r w:rsidR="00842AE0">
        <w:rPr>
          <w:rFonts w:ascii="Arial" w:eastAsia="Calibri" w:hAnsi="Arial" w:cs="Arial"/>
          <w:sz w:val="22"/>
        </w:rPr>
        <w:t>Decreto 1082 de 2015</w:t>
      </w:r>
      <w:r w:rsidR="00CF7B21">
        <w:rPr>
          <w:rFonts w:ascii="Arial" w:eastAsia="Calibri" w:hAnsi="Arial" w:cs="Arial"/>
          <w:sz w:val="22"/>
        </w:rPr>
        <w:t>, en su artículo</w:t>
      </w:r>
      <w:r w:rsidR="00CF7B21" w:rsidRPr="00CF7B21">
        <w:rPr>
          <w:rFonts w:ascii="Arial" w:eastAsia="Calibri" w:hAnsi="Arial" w:cs="Arial"/>
          <w:sz w:val="22"/>
        </w:rPr>
        <w:t xml:space="preserve"> 2.2.1.1.1.5.3</w:t>
      </w:r>
      <w:r w:rsidR="0088583B">
        <w:rPr>
          <w:rFonts w:ascii="Arial" w:eastAsia="Calibri" w:hAnsi="Arial" w:cs="Arial"/>
          <w:sz w:val="22"/>
        </w:rPr>
        <w:t xml:space="preserve"> </w:t>
      </w:r>
      <w:r w:rsidR="00CF7B21">
        <w:rPr>
          <w:rFonts w:ascii="Arial" w:eastAsia="Calibri" w:hAnsi="Arial" w:cs="Arial"/>
          <w:sz w:val="22"/>
        </w:rPr>
        <w:t>define la experiencia como los contratos que el proponente ejecutó o que ejecutaron los consorcios, uniones temporales o sociedades en las que aquel tuvo participación</w:t>
      </w:r>
      <w:r w:rsidR="008D14B2">
        <w:rPr>
          <w:rFonts w:ascii="Arial" w:eastAsia="Calibri" w:hAnsi="Arial" w:cs="Arial"/>
          <w:sz w:val="22"/>
        </w:rPr>
        <w:t>. Esta información será verificada y certificada por la cámara de comercio del domicilio principal del proponente como requisito habilitante que quedará registrado en el RUP.</w:t>
      </w:r>
    </w:p>
    <w:p w14:paraId="0734DC43" w14:textId="561077A9" w:rsidR="008D14B2" w:rsidRDefault="008D14B2" w:rsidP="00842AE0">
      <w:pPr>
        <w:spacing w:line="276" w:lineRule="auto"/>
        <w:ind w:firstLine="708"/>
        <w:jc w:val="both"/>
        <w:rPr>
          <w:rFonts w:ascii="Arial" w:eastAsia="Calibri" w:hAnsi="Arial" w:cs="Arial"/>
          <w:sz w:val="22"/>
        </w:rPr>
      </w:pPr>
      <w:r>
        <w:rPr>
          <w:rFonts w:ascii="Arial" w:eastAsia="Calibri" w:hAnsi="Arial" w:cs="Arial"/>
          <w:sz w:val="22"/>
        </w:rPr>
        <w:t xml:space="preserve">Como se </w:t>
      </w:r>
      <w:r w:rsidR="0088583B">
        <w:rPr>
          <w:rFonts w:ascii="Arial" w:eastAsia="Calibri" w:hAnsi="Arial" w:cs="Arial"/>
          <w:sz w:val="22"/>
        </w:rPr>
        <w:t>explicó</w:t>
      </w:r>
      <w:r>
        <w:rPr>
          <w:rFonts w:ascii="Arial" w:eastAsia="Calibri" w:hAnsi="Arial" w:cs="Arial"/>
          <w:sz w:val="22"/>
        </w:rPr>
        <w:t xml:space="preserve">, a partir del RUP </w:t>
      </w:r>
      <w:r w:rsidRPr="00506F76">
        <w:rPr>
          <w:rFonts w:ascii="Arial" w:hAnsi="Arial" w:cs="Arial"/>
          <w:sz w:val="22"/>
        </w:rPr>
        <w:t>se obtiene</w:t>
      </w:r>
      <w:r>
        <w:rPr>
          <w:rFonts w:ascii="Arial" w:hAnsi="Arial" w:cs="Arial"/>
          <w:sz w:val="22"/>
        </w:rPr>
        <w:t xml:space="preserve"> la experiencia para aplicar la fórmula de la capacidad residual,</w:t>
      </w:r>
      <w:r w:rsidRPr="00506F76">
        <w:rPr>
          <w:rFonts w:ascii="Arial" w:hAnsi="Arial" w:cs="Arial"/>
          <w:sz w:val="22"/>
        </w:rPr>
        <w:t xml:space="preserve"> realizando una operación matemática de división entre el valor total en pesos de los contratos que figuran en el RUP y el presupuesto oficial estimado del procedimiento contractual</w:t>
      </w:r>
      <w:r w:rsidR="00D651AA">
        <w:rPr>
          <w:rFonts w:ascii="Arial" w:hAnsi="Arial" w:cs="Arial"/>
          <w:sz w:val="22"/>
        </w:rPr>
        <w:t>. Por tanto, la capacidad residual de una persona natural, accionista de una sociedad comercial, se calcula a partir de la experiencia registrada en el RUP.</w:t>
      </w:r>
    </w:p>
    <w:p w14:paraId="08C81009" w14:textId="1E26EDB2" w:rsidR="00895FAF" w:rsidRDefault="00D651AA" w:rsidP="00895FAF">
      <w:pPr>
        <w:spacing w:before="120" w:after="120" w:line="276" w:lineRule="auto"/>
        <w:ind w:firstLine="709"/>
        <w:jc w:val="both"/>
        <w:rPr>
          <w:rFonts w:ascii="Arial" w:eastAsia="Calibri" w:hAnsi="Arial" w:cs="Arial"/>
          <w:sz w:val="22"/>
        </w:rPr>
      </w:pPr>
      <w:r>
        <w:rPr>
          <w:rFonts w:ascii="Arial" w:eastAsia="Calibri" w:hAnsi="Arial" w:cs="Arial"/>
          <w:sz w:val="22"/>
        </w:rPr>
        <w:t>No obstante, del artículo</w:t>
      </w:r>
      <w:r w:rsidR="00895FAF">
        <w:rPr>
          <w:rFonts w:ascii="Arial" w:eastAsia="Calibri" w:hAnsi="Arial" w:cs="Arial"/>
          <w:sz w:val="22"/>
        </w:rPr>
        <w:t xml:space="preserve"> </w:t>
      </w:r>
      <w:r w:rsidRPr="00CF7B21">
        <w:rPr>
          <w:rFonts w:ascii="Arial" w:eastAsia="Calibri" w:hAnsi="Arial" w:cs="Arial"/>
          <w:sz w:val="22"/>
        </w:rPr>
        <w:t>2.2.1.1.1.5.3.</w:t>
      </w:r>
      <w:r>
        <w:rPr>
          <w:rFonts w:ascii="Arial" w:eastAsia="Calibri" w:hAnsi="Arial" w:cs="Arial"/>
          <w:sz w:val="22"/>
        </w:rPr>
        <w:t xml:space="preserve"> del Decreto 1082 de 2015 </w:t>
      </w:r>
      <w:r w:rsidR="00895FAF">
        <w:rPr>
          <w:rFonts w:ascii="Arial" w:eastAsia="Calibri" w:hAnsi="Arial" w:cs="Arial"/>
          <w:sz w:val="22"/>
        </w:rPr>
        <w:t xml:space="preserve">se destaca que </w:t>
      </w:r>
      <w:r w:rsidR="006F2D53">
        <w:rPr>
          <w:rFonts w:ascii="Arial" w:eastAsia="Calibri" w:hAnsi="Arial" w:cs="Arial"/>
          <w:sz w:val="22"/>
        </w:rPr>
        <w:t xml:space="preserve">a pesar de que allí se indica que </w:t>
      </w:r>
      <w:r w:rsidR="00E43C0F">
        <w:rPr>
          <w:rFonts w:ascii="Arial" w:eastAsia="Calibri" w:hAnsi="Arial" w:cs="Arial"/>
          <w:sz w:val="22"/>
        </w:rPr>
        <w:t xml:space="preserve">la experiencia de un proponente, en parte, se obtiene de </w:t>
      </w:r>
      <w:r w:rsidR="006F2D53">
        <w:rPr>
          <w:rFonts w:ascii="Arial" w:eastAsia="Calibri" w:hAnsi="Arial" w:cs="Arial"/>
          <w:sz w:val="22"/>
        </w:rPr>
        <w:lastRenderedPageBreak/>
        <w:t>«</w:t>
      </w:r>
      <w:r w:rsidR="006F2D53" w:rsidRPr="006F2D53">
        <w:rPr>
          <w:rFonts w:ascii="Arial" w:eastAsia="Calibri" w:hAnsi="Arial" w:cs="Arial"/>
          <w:sz w:val="22"/>
        </w:rPr>
        <w:t>Los contratos celebrados por consorcios, uniones temporales y sociedades en las cuales el interesado tenga o haya tenido participación</w:t>
      </w:r>
      <w:r w:rsidR="006F2D53">
        <w:rPr>
          <w:rFonts w:ascii="Arial" w:eastAsia="Calibri" w:hAnsi="Arial" w:cs="Arial"/>
          <w:sz w:val="22"/>
        </w:rPr>
        <w:t xml:space="preserve"> [...]»</w:t>
      </w:r>
      <w:r w:rsidR="00E43C0F">
        <w:rPr>
          <w:rFonts w:ascii="Arial" w:eastAsia="Calibri" w:hAnsi="Arial" w:cs="Arial"/>
          <w:sz w:val="22"/>
        </w:rPr>
        <w:t>, esto debe entenderse de la forma que explicaremos a continuación</w:t>
      </w:r>
      <w:r w:rsidR="0088583B">
        <w:rPr>
          <w:rFonts w:ascii="Arial" w:eastAsia="Calibri" w:hAnsi="Arial" w:cs="Arial"/>
          <w:sz w:val="22"/>
        </w:rPr>
        <w:t>. Lo anterior en la medida</w:t>
      </w:r>
      <w:r w:rsidR="00E43C0F">
        <w:rPr>
          <w:rFonts w:ascii="Arial" w:eastAsia="Calibri" w:hAnsi="Arial" w:cs="Arial"/>
          <w:sz w:val="22"/>
        </w:rPr>
        <w:t xml:space="preserve"> que en los </w:t>
      </w:r>
      <w:r w:rsidR="0088583B">
        <w:rPr>
          <w:rFonts w:ascii="Arial" w:eastAsia="Calibri" w:hAnsi="Arial" w:cs="Arial"/>
          <w:sz w:val="22"/>
        </w:rPr>
        <w:t>«</w:t>
      </w:r>
      <w:r w:rsidR="00E43C0F">
        <w:rPr>
          <w:rFonts w:ascii="Arial" w:eastAsia="Calibri" w:hAnsi="Arial" w:cs="Arial"/>
          <w:sz w:val="22"/>
        </w:rPr>
        <w:t xml:space="preserve">Documentos Tipo </w:t>
      </w:r>
      <w:r w:rsidR="0088583B">
        <w:rPr>
          <w:rFonts w:ascii="Arial" w:eastAsia="Calibri" w:hAnsi="Arial" w:cs="Arial"/>
          <w:sz w:val="22"/>
        </w:rPr>
        <w:t xml:space="preserve">– </w:t>
      </w:r>
      <w:r w:rsidR="00E43C0F">
        <w:rPr>
          <w:rFonts w:ascii="Arial" w:eastAsia="Calibri" w:hAnsi="Arial" w:cs="Arial"/>
          <w:sz w:val="22"/>
        </w:rPr>
        <w:t>Versión 2</w:t>
      </w:r>
      <w:r w:rsidR="0088583B">
        <w:rPr>
          <w:rFonts w:ascii="Arial" w:eastAsia="Calibri" w:hAnsi="Arial" w:cs="Arial"/>
          <w:sz w:val="22"/>
        </w:rPr>
        <w:t>»</w:t>
      </w:r>
      <w:r w:rsidR="00E43C0F">
        <w:rPr>
          <w:rFonts w:ascii="Arial" w:eastAsia="Calibri" w:hAnsi="Arial" w:cs="Arial"/>
          <w:sz w:val="22"/>
        </w:rPr>
        <w:t xml:space="preserve"> también se retoma esa expresión</w:t>
      </w:r>
      <w:r w:rsidR="006F2E31">
        <w:rPr>
          <w:rFonts w:ascii="Arial" w:eastAsia="Calibri" w:hAnsi="Arial" w:cs="Arial"/>
          <w:sz w:val="22"/>
        </w:rPr>
        <w:t xml:space="preserve">, y esto se explicó en el concepto No. </w:t>
      </w:r>
      <w:r w:rsidR="006F2E31" w:rsidRPr="006F2E31">
        <w:rPr>
          <w:rFonts w:ascii="Arial" w:eastAsia="Calibri" w:hAnsi="Arial" w:cs="Arial"/>
          <w:sz w:val="22"/>
        </w:rPr>
        <w:t>4201714000001520</w:t>
      </w:r>
      <w:r w:rsidR="006F2E31">
        <w:rPr>
          <w:rFonts w:ascii="Arial" w:eastAsia="Calibri" w:hAnsi="Arial" w:cs="Arial"/>
          <w:sz w:val="22"/>
        </w:rPr>
        <w:t xml:space="preserve"> del 3 de abril de 2017</w:t>
      </w:r>
      <w:r w:rsidR="00E43C0F">
        <w:rPr>
          <w:rFonts w:ascii="Arial" w:eastAsia="Calibri" w:hAnsi="Arial" w:cs="Arial"/>
          <w:sz w:val="22"/>
        </w:rPr>
        <w:t>.</w:t>
      </w:r>
    </w:p>
    <w:p w14:paraId="4FD38B9A" w14:textId="731DFCE6" w:rsidR="00E43C0F" w:rsidRDefault="00E43C0F" w:rsidP="00895FAF">
      <w:pPr>
        <w:spacing w:before="120" w:after="120" w:line="276" w:lineRule="auto"/>
        <w:ind w:firstLine="709"/>
        <w:jc w:val="both"/>
        <w:rPr>
          <w:rFonts w:ascii="Arial" w:eastAsia="Calibri" w:hAnsi="Arial" w:cs="Arial"/>
          <w:sz w:val="22"/>
        </w:rPr>
      </w:pPr>
      <w:r w:rsidRPr="00E43C0F">
        <w:rPr>
          <w:rFonts w:ascii="Arial" w:eastAsia="Calibri" w:hAnsi="Arial" w:cs="Arial"/>
          <w:sz w:val="22"/>
        </w:rPr>
        <w:t xml:space="preserve">Los interesados en inscribirse en el RUP deben acompañar su solicitud con la información </w:t>
      </w:r>
      <w:r w:rsidR="0088583B">
        <w:rPr>
          <w:rFonts w:ascii="Arial" w:eastAsia="Calibri" w:hAnsi="Arial" w:cs="Arial"/>
          <w:sz w:val="22"/>
        </w:rPr>
        <w:t>prevista</w:t>
      </w:r>
      <w:r w:rsidR="0088583B" w:rsidRPr="00E43C0F">
        <w:rPr>
          <w:rFonts w:ascii="Arial" w:eastAsia="Calibri" w:hAnsi="Arial" w:cs="Arial"/>
          <w:sz w:val="22"/>
        </w:rPr>
        <w:t xml:space="preserve"> </w:t>
      </w:r>
      <w:r w:rsidRPr="00E43C0F">
        <w:rPr>
          <w:rFonts w:ascii="Arial" w:eastAsia="Calibri" w:hAnsi="Arial" w:cs="Arial"/>
          <w:sz w:val="22"/>
        </w:rPr>
        <w:t xml:space="preserve">en el artículo 2.2.1.1.1.5.2 del Decreto 1082 de 2015. Sin embargo, la interpretación lógica de la norma es que una persona natural no puede certificar su experiencia con los contratos celebrados por las sociedades en las que tenga participación accionaria, salvo que: i) se trate de un contrato de la persona celebrado con la sociedad en la cual tiene o ha tenido participación; o </w:t>
      </w:r>
      <w:proofErr w:type="spellStart"/>
      <w:r w:rsidRPr="00E43C0F">
        <w:rPr>
          <w:rFonts w:ascii="Arial" w:eastAsia="Calibri" w:hAnsi="Arial" w:cs="Arial"/>
          <w:sz w:val="22"/>
        </w:rPr>
        <w:t>ii</w:t>
      </w:r>
      <w:proofErr w:type="spellEnd"/>
      <w:r w:rsidRPr="00E43C0F">
        <w:rPr>
          <w:rFonts w:ascii="Arial" w:eastAsia="Calibri" w:hAnsi="Arial" w:cs="Arial"/>
          <w:sz w:val="22"/>
        </w:rPr>
        <w:t>) se trate de contratos ejecutados por una sociedad de propósito único, pues se constituye con el objetivo exclusivo de ejecutar un contrato y no tiene vocación de permanencia, razón por la cual la credencial de experiencia es para sus accionistas.</w:t>
      </w:r>
    </w:p>
    <w:p w14:paraId="2506A8F8" w14:textId="18754BB8" w:rsidR="00E43C0F" w:rsidRPr="00E43C0F" w:rsidRDefault="00E43C0F" w:rsidP="00E43C0F">
      <w:pPr>
        <w:spacing w:before="120" w:after="120" w:line="276" w:lineRule="auto"/>
        <w:ind w:firstLine="709"/>
        <w:jc w:val="both"/>
        <w:rPr>
          <w:rFonts w:ascii="Arial" w:eastAsia="Calibri" w:hAnsi="Arial" w:cs="Arial"/>
          <w:sz w:val="22"/>
        </w:rPr>
      </w:pPr>
      <w:r w:rsidRPr="00E43C0F">
        <w:rPr>
          <w:rFonts w:ascii="Arial" w:eastAsia="Calibri" w:hAnsi="Arial" w:cs="Arial"/>
          <w:sz w:val="22"/>
        </w:rPr>
        <w:t xml:space="preserve">En todo caso, </w:t>
      </w:r>
      <w:r w:rsidR="00CE104C">
        <w:rPr>
          <w:rFonts w:ascii="Arial" w:eastAsia="Calibri" w:hAnsi="Arial" w:cs="Arial"/>
          <w:sz w:val="22"/>
        </w:rPr>
        <w:t>es i</w:t>
      </w:r>
      <w:r w:rsidRPr="00E43C0F">
        <w:rPr>
          <w:rFonts w:ascii="Arial" w:eastAsia="Calibri" w:hAnsi="Arial" w:cs="Arial"/>
          <w:sz w:val="22"/>
        </w:rPr>
        <w:t>lógico entender que una persona natural puede acreditar la experiencia de las sociedades de las cuales es accionista. A manera de ejemplo</w:t>
      </w:r>
      <w:r w:rsidR="0037480E">
        <w:rPr>
          <w:rFonts w:ascii="Arial" w:eastAsia="Calibri" w:hAnsi="Arial" w:cs="Arial"/>
          <w:sz w:val="22"/>
        </w:rPr>
        <w:t>,</w:t>
      </w:r>
      <w:r w:rsidRPr="00E43C0F">
        <w:rPr>
          <w:rFonts w:ascii="Arial" w:eastAsia="Calibri" w:hAnsi="Arial" w:cs="Arial"/>
          <w:sz w:val="22"/>
        </w:rPr>
        <w:t xml:space="preserve"> realizando un ejercicio argumentativo de reducción al absurdo, no tendría sentido que el titular de 1000 acciones de la empresa Ecopetrol acreditar</w:t>
      </w:r>
      <w:r w:rsidR="00CE104C">
        <w:rPr>
          <w:rFonts w:ascii="Arial" w:eastAsia="Calibri" w:hAnsi="Arial" w:cs="Arial"/>
          <w:sz w:val="22"/>
        </w:rPr>
        <w:t>á</w:t>
      </w:r>
      <w:r w:rsidRPr="00E43C0F">
        <w:rPr>
          <w:rFonts w:ascii="Arial" w:eastAsia="Calibri" w:hAnsi="Arial" w:cs="Arial"/>
          <w:sz w:val="22"/>
        </w:rPr>
        <w:t xml:space="preserve"> la experiencia de dicha sociedad en los contratos que ejecuta, pues su calidad de accionista no implica que la empresa mencionada le transfiera su experiencia o conocimiento en la provisión de obras, bienes y servicios. </w:t>
      </w:r>
    </w:p>
    <w:p w14:paraId="54DBE7BA" w14:textId="367B369B" w:rsidR="00E43C0F" w:rsidRPr="008F5021" w:rsidRDefault="00E43C0F" w:rsidP="00E43C0F">
      <w:pPr>
        <w:spacing w:before="120" w:after="120" w:line="276" w:lineRule="auto"/>
        <w:ind w:firstLine="708"/>
        <w:jc w:val="both"/>
        <w:rPr>
          <w:rFonts w:ascii="Arial" w:eastAsia="Calibri" w:hAnsi="Arial" w:cs="Arial"/>
          <w:sz w:val="22"/>
        </w:rPr>
      </w:pPr>
      <w:r w:rsidRPr="00E43C0F">
        <w:rPr>
          <w:rFonts w:ascii="Arial" w:eastAsia="Calibri" w:hAnsi="Arial" w:cs="Arial"/>
          <w:sz w:val="22"/>
        </w:rPr>
        <w:t xml:space="preserve">Así mismo, </w:t>
      </w:r>
      <w:r w:rsidR="007A5766">
        <w:rPr>
          <w:rFonts w:ascii="Arial" w:eastAsia="Calibri" w:hAnsi="Arial" w:cs="Arial"/>
          <w:sz w:val="22"/>
        </w:rPr>
        <w:t xml:space="preserve">de acuerdo con lo mencionado en párrafos anteriores, </w:t>
      </w:r>
      <w:r w:rsidRPr="00E43C0F">
        <w:rPr>
          <w:rFonts w:ascii="Arial" w:eastAsia="Calibri" w:hAnsi="Arial" w:cs="Arial"/>
          <w:sz w:val="22"/>
        </w:rPr>
        <w:t>el Manual para determinar y verificar los requisitos habilitantes en los Procesos de Contratación de Colombia Compra Eficiente señala que el registro debe contener la experiencia adquirida de forma directa o a través de la participación en proponentes plurales</w:t>
      </w:r>
      <w:r w:rsidR="007A5766">
        <w:rPr>
          <w:rFonts w:ascii="Arial" w:eastAsia="Calibri" w:hAnsi="Arial" w:cs="Arial"/>
          <w:sz w:val="22"/>
        </w:rPr>
        <w:t>, ya que esta debe ser personal</w:t>
      </w:r>
      <w:r w:rsidR="0037480E">
        <w:rPr>
          <w:rFonts w:ascii="Arial" w:eastAsia="Calibri" w:hAnsi="Arial" w:cs="Arial"/>
          <w:sz w:val="22"/>
        </w:rPr>
        <w:t>.</w:t>
      </w:r>
      <w:r w:rsidR="007A5766">
        <w:rPr>
          <w:rFonts w:ascii="Arial" w:eastAsia="Calibri" w:hAnsi="Arial" w:cs="Arial"/>
          <w:sz w:val="22"/>
        </w:rPr>
        <w:t xml:space="preserve"> </w:t>
      </w:r>
      <w:r w:rsidR="0037480E">
        <w:rPr>
          <w:rFonts w:ascii="Arial" w:eastAsia="Calibri" w:hAnsi="Arial" w:cs="Arial"/>
          <w:sz w:val="22"/>
        </w:rPr>
        <w:t>Y</w:t>
      </w:r>
      <w:r w:rsidR="007A5766">
        <w:rPr>
          <w:rFonts w:ascii="Arial" w:eastAsia="Calibri" w:hAnsi="Arial" w:cs="Arial"/>
          <w:sz w:val="22"/>
        </w:rPr>
        <w:t xml:space="preserve"> esto no se cumple respecto de la experiencia que adquiere una sociedad y que pretende ser acreditada por un socio, quien no la adquiere de forma personal y por eso no </w:t>
      </w:r>
      <w:r w:rsidR="007A5766" w:rsidRPr="008F5021">
        <w:rPr>
          <w:rFonts w:ascii="Arial" w:eastAsia="Calibri" w:hAnsi="Arial" w:cs="Arial"/>
          <w:sz w:val="22"/>
        </w:rPr>
        <w:t>puede obtenerla a través de la sociedad de la que hace parte.</w:t>
      </w:r>
    </w:p>
    <w:p w14:paraId="7E1BDA6B" w14:textId="25EBC51C" w:rsidR="00895FAF" w:rsidRPr="00916438" w:rsidRDefault="00895FAF" w:rsidP="00895FAF">
      <w:pPr>
        <w:spacing w:line="276" w:lineRule="auto"/>
        <w:ind w:firstLine="709"/>
        <w:jc w:val="both"/>
        <w:rPr>
          <w:rFonts w:ascii="Arial" w:eastAsia="Calibri" w:hAnsi="Arial" w:cs="Arial"/>
          <w:sz w:val="22"/>
        </w:rPr>
      </w:pPr>
      <w:r w:rsidRPr="008F5021">
        <w:rPr>
          <w:rFonts w:ascii="Arial" w:eastAsia="Calibri" w:hAnsi="Arial" w:cs="Arial"/>
          <w:sz w:val="22"/>
        </w:rPr>
        <w:t xml:space="preserve">Por tanto, </w:t>
      </w:r>
      <w:r w:rsidR="00FD3AB5" w:rsidRPr="008F5021">
        <w:rPr>
          <w:rFonts w:ascii="Arial" w:eastAsia="Calibri" w:hAnsi="Arial" w:cs="Arial"/>
          <w:sz w:val="22"/>
        </w:rPr>
        <w:t xml:space="preserve">el socio </w:t>
      </w:r>
      <w:r w:rsidRPr="008F5021">
        <w:rPr>
          <w:rFonts w:ascii="Arial" w:eastAsia="Calibri" w:hAnsi="Arial" w:cs="Arial"/>
          <w:sz w:val="22"/>
        </w:rPr>
        <w:t>conserva su individualidad</w:t>
      </w:r>
      <w:r w:rsidR="00FD3AB5" w:rsidRPr="008F5021">
        <w:rPr>
          <w:rFonts w:ascii="Arial" w:eastAsia="Calibri" w:hAnsi="Arial" w:cs="Arial"/>
          <w:sz w:val="22"/>
        </w:rPr>
        <w:t xml:space="preserve"> jurídica</w:t>
      </w:r>
      <w:r w:rsidRPr="008F5021">
        <w:rPr>
          <w:rFonts w:ascii="Arial" w:eastAsia="Calibri" w:hAnsi="Arial" w:cs="Arial"/>
          <w:sz w:val="22"/>
        </w:rPr>
        <w:t xml:space="preserve"> respecto de </w:t>
      </w:r>
      <w:r w:rsidR="00FD3AB5" w:rsidRPr="008F5021">
        <w:rPr>
          <w:rFonts w:ascii="Arial" w:eastAsia="Calibri" w:hAnsi="Arial" w:cs="Arial"/>
          <w:sz w:val="22"/>
        </w:rPr>
        <w:t>la sociedad de la que hace parte</w:t>
      </w:r>
      <w:r w:rsidRPr="008F5021">
        <w:rPr>
          <w:rFonts w:ascii="Arial" w:eastAsia="Calibri" w:hAnsi="Arial" w:cs="Arial"/>
          <w:sz w:val="22"/>
        </w:rPr>
        <w:t xml:space="preserve">, y al ser personas diferentes adquieren su experiencia de forma personal e independiente, la cual pueden compartir conformando un proponente plural </w:t>
      </w:r>
      <w:r w:rsidR="0037480E">
        <w:rPr>
          <w:rFonts w:ascii="Arial" w:eastAsia="Calibri" w:hAnsi="Arial" w:cs="Arial"/>
          <w:sz w:val="22"/>
        </w:rPr>
        <w:t>–</w:t>
      </w:r>
      <w:r w:rsidRPr="008F5021">
        <w:rPr>
          <w:rFonts w:ascii="Arial" w:eastAsia="Calibri" w:hAnsi="Arial" w:cs="Arial"/>
          <w:sz w:val="22"/>
        </w:rPr>
        <w:t>unión temporal o consorcio</w:t>
      </w:r>
      <w:r w:rsidR="0037480E">
        <w:rPr>
          <w:rFonts w:ascii="Arial" w:eastAsia="Calibri" w:hAnsi="Arial" w:cs="Arial"/>
          <w:sz w:val="22"/>
        </w:rPr>
        <w:t>–</w:t>
      </w:r>
      <w:r w:rsidRPr="008F5021">
        <w:rPr>
          <w:rFonts w:ascii="Arial" w:eastAsia="Calibri" w:hAnsi="Arial" w:cs="Arial"/>
          <w:sz w:val="22"/>
        </w:rPr>
        <w:t>. Sin embargo,</w:t>
      </w:r>
      <w:r w:rsidR="008F5021" w:rsidRPr="008F5021">
        <w:rPr>
          <w:rFonts w:ascii="Arial" w:eastAsia="Calibri" w:hAnsi="Arial" w:cs="Arial"/>
          <w:sz w:val="22"/>
        </w:rPr>
        <w:t xml:space="preserve"> teniendo en cuenta que una de las cualidades de la experiencia, como requisito habilitante, es que debe ser personal</w:t>
      </w:r>
      <w:r w:rsidRPr="008F5021">
        <w:rPr>
          <w:rFonts w:ascii="Arial" w:eastAsia="Calibri" w:hAnsi="Arial" w:cs="Arial"/>
          <w:sz w:val="22"/>
        </w:rPr>
        <w:t xml:space="preserve">, no es posible que entre una </w:t>
      </w:r>
      <w:r w:rsidR="008F5021" w:rsidRPr="008F5021">
        <w:rPr>
          <w:rFonts w:ascii="Arial" w:eastAsia="Calibri" w:hAnsi="Arial" w:cs="Arial"/>
          <w:sz w:val="22"/>
        </w:rPr>
        <w:t xml:space="preserve">sociedad </w:t>
      </w:r>
      <w:r w:rsidRPr="008F5021">
        <w:rPr>
          <w:rFonts w:ascii="Arial" w:eastAsia="Calibri" w:hAnsi="Arial" w:cs="Arial"/>
          <w:sz w:val="22"/>
        </w:rPr>
        <w:t xml:space="preserve">y sus </w:t>
      </w:r>
      <w:r w:rsidR="008F5021" w:rsidRPr="008F5021">
        <w:rPr>
          <w:rFonts w:ascii="Arial" w:eastAsia="Calibri" w:hAnsi="Arial" w:cs="Arial"/>
          <w:sz w:val="22"/>
        </w:rPr>
        <w:t>socios</w:t>
      </w:r>
      <w:r w:rsidRPr="008F5021">
        <w:rPr>
          <w:rFonts w:ascii="Arial" w:eastAsia="Calibri" w:hAnsi="Arial" w:cs="Arial"/>
          <w:sz w:val="22"/>
        </w:rPr>
        <w:t xml:space="preserve"> se comparta la experiencia</w:t>
      </w:r>
      <w:r w:rsidR="008F5021" w:rsidRPr="008F5021">
        <w:rPr>
          <w:rFonts w:ascii="Arial" w:eastAsia="Calibri" w:hAnsi="Arial" w:cs="Arial"/>
          <w:sz w:val="22"/>
        </w:rPr>
        <w:t xml:space="preserve"> para ser acreditada en el RUP y que con la misma se calcule la capacidad residual. L</w:t>
      </w:r>
      <w:r w:rsidRPr="008F5021">
        <w:rPr>
          <w:rFonts w:ascii="Arial" w:eastAsia="Calibri" w:hAnsi="Arial" w:cs="Arial"/>
          <w:sz w:val="22"/>
        </w:rPr>
        <w:t>a</w:t>
      </w:r>
      <w:r w:rsidR="008F5021" w:rsidRPr="008F5021">
        <w:rPr>
          <w:rFonts w:ascii="Arial" w:eastAsia="Calibri" w:hAnsi="Arial" w:cs="Arial"/>
          <w:sz w:val="22"/>
        </w:rPr>
        <w:t xml:space="preserve"> única</w:t>
      </w:r>
      <w:r w:rsidRPr="008F5021">
        <w:rPr>
          <w:rFonts w:ascii="Arial" w:eastAsia="Calibri" w:hAnsi="Arial" w:cs="Arial"/>
          <w:sz w:val="22"/>
        </w:rPr>
        <w:t xml:space="preserve"> posibilidad que señala la ley </w:t>
      </w:r>
      <w:r w:rsidR="008F5021" w:rsidRPr="008F5021">
        <w:rPr>
          <w:rFonts w:ascii="Arial" w:eastAsia="Calibri" w:hAnsi="Arial" w:cs="Arial"/>
          <w:sz w:val="22"/>
        </w:rPr>
        <w:t xml:space="preserve">es </w:t>
      </w:r>
      <w:r w:rsidRPr="008F5021">
        <w:rPr>
          <w:rFonts w:ascii="Arial" w:eastAsia="Calibri" w:hAnsi="Arial" w:cs="Arial"/>
          <w:sz w:val="22"/>
        </w:rPr>
        <w:t xml:space="preserve">para que los socios aporten su experiencia a las sociedades con menos de 3 años de constitución. </w:t>
      </w:r>
    </w:p>
    <w:p w14:paraId="24D5C0B4" w14:textId="77777777" w:rsidR="00BD49C8" w:rsidRDefault="00BD49C8" w:rsidP="00BD49C8">
      <w:pPr>
        <w:spacing w:line="276" w:lineRule="auto"/>
        <w:jc w:val="both"/>
        <w:rPr>
          <w:rFonts w:ascii="Arial" w:eastAsia="Calibri" w:hAnsi="Arial" w:cs="Arial"/>
          <w:b/>
          <w:color w:val="000000" w:themeColor="text1"/>
          <w:sz w:val="22"/>
        </w:rPr>
      </w:pPr>
    </w:p>
    <w:p w14:paraId="030D61E4" w14:textId="60F5875B" w:rsidR="00BD49C8" w:rsidRDefault="00B86125" w:rsidP="00BD49C8">
      <w:pPr>
        <w:spacing w:line="276" w:lineRule="auto"/>
        <w:jc w:val="both"/>
        <w:rPr>
          <w:rFonts w:ascii="Arial" w:hAnsi="Arial" w:cs="Arial"/>
          <w:b/>
          <w:bCs/>
          <w:color w:val="000000" w:themeColor="text1"/>
          <w:sz w:val="22"/>
        </w:rPr>
      </w:pPr>
      <w:r w:rsidRPr="00F3714F">
        <w:rPr>
          <w:rFonts w:ascii="Arial" w:eastAsia="Calibri" w:hAnsi="Arial" w:cs="Arial"/>
          <w:b/>
          <w:color w:val="000000" w:themeColor="text1"/>
          <w:sz w:val="22"/>
        </w:rPr>
        <w:lastRenderedPageBreak/>
        <w:t>2.</w:t>
      </w:r>
      <w:r w:rsidR="00842AE0" w:rsidRPr="00F3714F">
        <w:rPr>
          <w:rFonts w:ascii="Arial" w:eastAsia="Calibri" w:hAnsi="Arial" w:cs="Arial"/>
          <w:b/>
          <w:color w:val="000000" w:themeColor="text1"/>
          <w:sz w:val="22"/>
        </w:rPr>
        <w:t>3</w:t>
      </w:r>
      <w:r w:rsidRPr="00F3714F">
        <w:rPr>
          <w:rFonts w:ascii="Arial" w:eastAsia="Calibri" w:hAnsi="Arial" w:cs="Arial"/>
          <w:b/>
          <w:color w:val="000000" w:themeColor="text1"/>
          <w:sz w:val="22"/>
        </w:rPr>
        <w:t>.</w:t>
      </w:r>
      <w:r w:rsidR="00BD49C8" w:rsidRPr="00F3714F">
        <w:rPr>
          <w:rFonts w:ascii="Arial" w:eastAsia="Calibri" w:hAnsi="Arial" w:cs="Arial"/>
          <w:b/>
          <w:color w:val="000000" w:themeColor="text1"/>
          <w:sz w:val="22"/>
        </w:rPr>
        <w:t xml:space="preserve"> Acreditación</w:t>
      </w:r>
      <w:r w:rsidR="00BD49C8">
        <w:rPr>
          <w:rFonts w:ascii="Arial" w:eastAsia="Calibri" w:hAnsi="Arial" w:cs="Arial"/>
          <w:b/>
          <w:color w:val="000000" w:themeColor="text1"/>
          <w:sz w:val="22"/>
        </w:rPr>
        <w:t xml:space="preserve"> de la capacidad residual</w:t>
      </w:r>
      <w:r w:rsidR="0037480E">
        <w:rPr>
          <w:rFonts w:ascii="Arial" w:eastAsia="Calibri" w:hAnsi="Arial" w:cs="Arial"/>
          <w:b/>
          <w:color w:val="000000" w:themeColor="text1"/>
          <w:sz w:val="22"/>
        </w:rPr>
        <w:t>:</w:t>
      </w:r>
      <w:r w:rsidR="00BD49C8">
        <w:rPr>
          <w:rFonts w:ascii="Arial" w:eastAsia="Calibri" w:hAnsi="Arial" w:cs="Arial"/>
          <w:b/>
          <w:color w:val="000000" w:themeColor="text1"/>
          <w:sz w:val="22"/>
        </w:rPr>
        <w:t xml:space="preserve"> capacidad de organización –CO– en la segunda versión de los documentos tipo de licitación de obra pública de infraestructura de transporte</w:t>
      </w:r>
    </w:p>
    <w:p w14:paraId="337117EF" w14:textId="77777777" w:rsidR="00BD49C8" w:rsidRDefault="00BD49C8" w:rsidP="00BD49C8">
      <w:pPr>
        <w:spacing w:line="276" w:lineRule="auto"/>
        <w:jc w:val="both"/>
        <w:rPr>
          <w:rFonts w:ascii="Arial" w:hAnsi="Arial" w:cs="Arial"/>
          <w:color w:val="000000" w:themeColor="text1"/>
          <w:sz w:val="22"/>
        </w:rPr>
      </w:pPr>
    </w:p>
    <w:p w14:paraId="14AFF6D5" w14:textId="714785AE" w:rsidR="00BD49C8" w:rsidRDefault="00F3714F" w:rsidP="000C2C67">
      <w:pPr>
        <w:spacing w:after="120" w:line="276" w:lineRule="auto"/>
        <w:jc w:val="both"/>
        <w:rPr>
          <w:rFonts w:ascii="Arial" w:hAnsi="Arial" w:cs="Arial"/>
          <w:color w:val="000000" w:themeColor="text1"/>
          <w:sz w:val="22"/>
        </w:rPr>
      </w:pPr>
      <w:r>
        <w:rPr>
          <w:rFonts w:ascii="Arial" w:hAnsi="Arial" w:cs="Arial"/>
          <w:color w:val="000000" w:themeColor="text1"/>
          <w:sz w:val="22"/>
        </w:rPr>
        <w:t>L</w:t>
      </w:r>
      <w:r w:rsidR="00BD49C8">
        <w:rPr>
          <w:rFonts w:ascii="Arial" w:hAnsi="Arial" w:cs="Arial"/>
          <w:color w:val="000000" w:themeColor="text1"/>
          <w:sz w:val="22"/>
        </w:rPr>
        <w:t xml:space="preserve">a segunda versión de los documentos tipo de licitación de obra pública de infraestructura de transporte regula el requisito habilitante de capacidad residual en el numeral 3.11.  Y, a su vez, en el numeral 3.11.2 indica los documentos que el proponente debe presentar para acreditar la capacidad de organización –CO–. </w:t>
      </w:r>
    </w:p>
    <w:p w14:paraId="3D9D0D0A" w14:textId="09529183" w:rsidR="00BD49C8" w:rsidRDefault="00BD49C8" w:rsidP="00BD49C8">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Al respecto, se indica que los proponentes obligados a tener RUP deben presentar los siguientes documentos: i) el estado de resultados integral </w:t>
      </w:r>
      <w:r w:rsidR="001D7532">
        <w:rPr>
          <w:rFonts w:ascii="Arial" w:hAnsi="Arial" w:cs="Arial"/>
          <w:color w:val="000000" w:themeColor="text1"/>
          <w:sz w:val="22"/>
        </w:rPr>
        <w:t>–</w:t>
      </w:r>
      <w:r>
        <w:rPr>
          <w:rFonts w:ascii="Arial" w:hAnsi="Arial" w:cs="Arial"/>
          <w:color w:val="000000" w:themeColor="text1"/>
          <w:sz w:val="22"/>
        </w:rPr>
        <w:t>estado de resultados o pérdida o ganancias</w:t>
      </w:r>
      <w:r w:rsidR="001D7532">
        <w:rPr>
          <w:rFonts w:ascii="Arial" w:hAnsi="Arial" w:cs="Arial"/>
          <w:color w:val="000000" w:themeColor="text1"/>
          <w:sz w:val="22"/>
        </w:rPr>
        <w:t>–</w:t>
      </w:r>
      <w:r>
        <w:rPr>
          <w:rFonts w:ascii="Arial" w:hAnsi="Arial" w:cs="Arial"/>
          <w:color w:val="000000" w:themeColor="text1"/>
          <w:sz w:val="22"/>
        </w:rPr>
        <w:t xml:space="preserve">, del año en que hayan obtenido el mayor ingreso operacional en los últimos cinco </w:t>
      </w:r>
      <w:r w:rsidR="001D7532">
        <w:rPr>
          <w:rFonts w:ascii="Arial" w:hAnsi="Arial" w:cs="Arial"/>
          <w:color w:val="000000" w:themeColor="text1"/>
          <w:sz w:val="22"/>
        </w:rPr>
        <w:t>–</w:t>
      </w:r>
      <w:r>
        <w:rPr>
          <w:rFonts w:ascii="Arial" w:hAnsi="Arial" w:cs="Arial"/>
          <w:color w:val="000000" w:themeColor="text1"/>
          <w:sz w:val="22"/>
        </w:rPr>
        <w:t>5</w:t>
      </w:r>
      <w:r w:rsidR="001D7532">
        <w:rPr>
          <w:rFonts w:ascii="Arial" w:hAnsi="Arial" w:cs="Arial"/>
          <w:color w:val="000000" w:themeColor="text1"/>
          <w:sz w:val="22"/>
        </w:rPr>
        <w:t>–</w:t>
      </w:r>
      <w:r>
        <w:rPr>
          <w:rFonts w:ascii="Arial" w:hAnsi="Arial" w:cs="Arial"/>
          <w:color w:val="000000" w:themeColor="text1"/>
          <w:sz w:val="22"/>
        </w:rPr>
        <w:t xml:space="preserve"> años, debidamente firmado por el interesado o su representante legal y el revisor fiscal si está obligado a tenerlo, o el auditor o contador si no está obligado a tener revisor fiscal y </w:t>
      </w:r>
      <w:proofErr w:type="spellStart"/>
      <w:r>
        <w:rPr>
          <w:rFonts w:ascii="Arial" w:hAnsi="Arial" w:cs="Arial"/>
          <w:color w:val="000000" w:themeColor="text1"/>
          <w:sz w:val="22"/>
        </w:rPr>
        <w:t>ii</w:t>
      </w:r>
      <w:proofErr w:type="spellEnd"/>
      <w:r>
        <w:rPr>
          <w:rFonts w:ascii="Arial" w:hAnsi="Arial" w:cs="Arial"/>
          <w:color w:val="000000" w:themeColor="text1"/>
          <w:sz w:val="22"/>
        </w:rPr>
        <w:t>) copia de la tarjeta profesional y certificado de antecedentes disciplinarios vigentes de los contadores públicos, revisores fiscales, contadores independientes (externos), quienes suscribieron los documentos señalados en el presente literal.</w:t>
      </w:r>
    </w:p>
    <w:p w14:paraId="78E2CAFE" w14:textId="7BCD7978" w:rsidR="00BD49C8" w:rsidRDefault="00BD49C8" w:rsidP="00F3714F">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De la lectura de estos requisitos, se </w:t>
      </w:r>
      <w:r w:rsidR="00A249F7">
        <w:rPr>
          <w:rFonts w:ascii="Arial" w:hAnsi="Arial" w:cs="Arial"/>
          <w:color w:val="000000" w:themeColor="text1"/>
          <w:sz w:val="22"/>
        </w:rPr>
        <w:t xml:space="preserve">advierte </w:t>
      </w:r>
      <w:r>
        <w:rPr>
          <w:rFonts w:ascii="Arial" w:hAnsi="Arial" w:cs="Arial"/>
          <w:color w:val="000000" w:themeColor="text1"/>
          <w:sz w:val="22"/>
        </w:rPr>
        <w:t xml:space="preserve">que para los proponentes obligados a tener RUP ya no es necesario presentar los siguientes documentos: i) la información financiera auditada y aprobada por el máximo órgano social que pretende acreditar el proponente, </w:t>
      </w:r>
      <w:proofErr w:type="spellStart"/>
      <w:r>
        <w:rPr>
          <w:rFonts w:ascii="Arial" w:hAnsi="Arial" w:cs="Arial"/>
          <w:color w:val="000000" w:themeColor="text1"/>
          <w:sz w:val="22"/>
        </w:rPr>
        <w:t>ii</w:t>
      </w:r>
      <w:proofErr w:type="spellEnd"/>
      <w:r>
        <w:rPr>
          <w:rFonts w:ascii="Arial" w:hAnsi="Arial" w:cs="Arial"/>
          <w:color w:val="000000" w:themeColor="text1"/>
          <w:sz w:val="22"/>
        </w:rPr>
        <w:t>) l</w:t>
      </w:r>
      <w:r w:rsidR="00512472">
        <w:rPr>
          <w:rFonts w:ascii="Arial" w:hAnsi="Arial" w:cs="Arial"/>
          <w:color w:val="000000" w:themeColor="text1"/>
          <w:sz w:val="22"/>
        </w:rPr>
        <w:t>a</w:t>
      </w:r>
      <w:r>
        <w:rPr>
          <w:rFonts w:ascii="Arial" w:hAnsi="Arial" w:cs="Arial"/>
          <w:color w:val="000000" w:themeColor="text1"/>
          <w:sz w:val="22"/>
        </w:rPr>
        <w:t xml:space="preserve"> certificación de los estados financieros de que trata el artículo 37 de la </w:t>
      </w:r>
      <w:r w:rsidR="00F50176">
        <w:rPr>
          <w:rFonts w:ascii="Arial" w:hAnsi="Arial" w:cs="Arial"/>
          <w:color w:val="000000" w:themeColor="text1"/>
          <w:sz w:val="22"/>
        </w:rPr>
        <w:t>L</w:t>
      </w:r>
      <w:r>
        <w:rPr>
          <w:rFonts w:ascii="Arial" w:hAnsi="Arial" w:cs="Arial"/>
          <w:color w:val="000000" w:themeColor="text1"/>
          <w:sz w:val="22"/>
        </w:rPr>
        <w:t>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r w:rsidR="00512472">
        <w:rPr>
          <w:rFonts w:ascii="Arial" w:hAnsi="Arial" w:cs="Arial"/>
          <w:color w:val="000000" w:themeColor="text1"/>
          <w:sz w:val="22"/>
        </w:rPr>
        <w:t>. Y</w:t>
      </w:r>
      <w:r>
        <w:rPr>
          <w:rFonts w:ascii="Arial" w:hAnsi="Arial" w:cs="Arial"/>
          <w:color w:val="000000" w:themeColor="text1"/>
          <w:sz w:val="22"/>
        </w:rPr>
        <w:t xml:space="preserve"> </w:t>
      </w:r>
      <w:proofErr w:type="spellStart"/>
      <w:r>
        <w:rPr>
          <w:rFonts w:ascii="Arial" w:hAnsi="Arial" w:cs="Arial"/>
          <w:color w:val="000000" w:themeColor="text1"/>
          <w:sz w:val="22"/>
        </w:rPr>
        <w:t>iii</w:t>
      </w:r>
      <w:proofErr w:type="spellEnd"/>
      <w:r>
        <w:rPr>
          <w:rFonts w:ascii="Arial" w:hAnsi="Arial" w:cs="Arial"/>
          <w:color w:val="000000" w:themeColor="text1"/>
          <w:sz w:val="22"/>
        </w:rPr>
        <w:t>) el dictamen del revisor fiscal o, a falta de éste, del contador público independiente</w:t>
      </w:r>
      <w:r w:rsidR="00F50176">
        <w:rPr>
          <w:rFonts w:ascii="Arial" w:hAnsi="Arial" w:cs="Arial"/>
          <w:color w:val="000000" w:themeColor="text1"/>
          <w:sz w:val="22"/>
        </w:rPr>
        <w:t>,</w:t>
      </w:r>
      <w:r>
        <w:rPr>
          <w:rFonts w:ascii="Arial" w:hAnsi="Arial" w:cs="Arial"/>
          <w:color w:val="000000" w:themeColor="text1"/>
          <w:sz w:val="22"/>
        </w:rPr>
        <w:t xml:space="preserve"> cuando el </w:t>
      </w:r>
      <w:r w:rsidR="00F50176">
        <w:rPr>
          <w:rFonts w:ascii="Arial" w:hAnsi="Arial" w:cs="Arial"/>
          <w:color w:val="000000" w:themeColor="text1"/>
          <w:sz w:val="22"/>
        </w:rPr>
        <w:t>p</w:t>
      </w:r>
      <w:r>
        <w:rPr>
          <w:rFonts w:ascii="Arial" w:hAnsi="Arial" w:cs="Arial"/>
          <w:color w:val="000000" w:themeColor="text1"/>
          <w:sz w:val="22"/>
        </w:rPr>
        <w:t>roponente esté obligado a ello, del añ</w:t>
      </w:r>
      <w:r w:rsidR="00F50176">
        <w:rPr>
          <w:rFonts w:ascii="Arial" w:hAnsi="Arial" w:cs="Arial"/>
          <w:color w:val="000000" w:themeColor="text1"/>
          <w:sz w:val="22"/>
        </w:rPr>
        <w:t>o</w:t>
      </w:r>
      <w:r>
        <w:rPr>
          <w:rFonts w:ascii="Arial" w:hAnsi="Arial" w:cs="Arial"/>
          <w:color w:val="000000" w:themeColor="text1"/>
          <w:sz w:val="22"/>
        </w:rPr>
        <w:t xml:space="preserve"> en que haya obtenido el mayor ingreso operacional en los últimos cinco (5) años, en los términos descritos en el artículo 38 de la </w:t>
      </w:r>
      <w:r w:rsidR="00F50176">
        <w:rPr>
          <w:rFonts w:ascii="Arial" w:hAnsi="Arial" w:cs="Arial"/>
          <w:color w:val="000000" w:themeColor="text1"/>
          <w:sz w:val="22"/>
        </w:rPr>
        <w:t>L</w:t>
      </w:r>
      <w:r>
        <w:rPr>
          <w:rFonts w:ascii="Arial" w:hAnsi="Arial" w:cs="Arial"/>
          <w:color w:val="000000" w:themeColor="text1"/>
          <w:sz w:val="22"/>
        </w:rPr>
        <w:t xml:space="preserve">ey 222 de 1995. </w:t>
      </w:r>
    </w:p>
    <w:p w14:paraId="2F9267C3" w14:textId="3AF93912" w:rsidR="00BD49C8" w:rsidRDefault="00BD49C8" w:rsidP="00A66E6F">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Las razones para eliminar estos documentos tienen como fundamento lo previsto en el artículo 2.2.1.1.1.6.4</w:t>
      </w:r>
      <w:r w:rsidR="00F50176">
        <w:rPr>
          <w:rFonts w:ascii="Arial" w:hAnsi="Arial" w:cs="Arial"/>
          <w:color w:val="000000" w:themeColor="text1"/>
          <w:sz w:val="22"/>
        </w:rPr>
        <w:t>.</w:t>
      </w:r>
      <w:r>
        <w:rPr>
          <w:rFonts w:ascii="Arial" w:hAnsi="Arial" w:cs="Arial"/>
          <w:color w:val="000000" w:themeColor="text1"/>
          <w:sz w:val="22"/>
        </w:rPr>
        <w:t xml:space="preserve">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w:t>
      </w:r>
      <w:r>
        <w:rPr>
          <w:rFonts w:ascii="Arial" w:hAnsi="Arial" w:cs="Arial"/>
          <w:color w:val="000000" w:themeColor="text1"/>
          <w:sz w:val="22"/>
        </w:rPr>
        <w:lastRenderedPageBreak/>
        <w:t>ingreso operacional en los últimos cinco (5) años»</w:t>
      </w:r>
      <w:r w:rsidR="001D7532">
        <w:rPr>
          <w:rStyle w:val="Refdenotaalpie"/>
          <w:rFonts w:ascii="Arial" w:hAnsi="Arial" w:cs="Arial"/>
          <w:color w:val="000000" w:themeColor="text1"/>
          <w:sz w:val="22"/>
        </w:rPr>
        <w:footnoteReference w:id="15"/>
      </w:r>
      <w:r>
        <w:rPr>
          <w:rFonts w:ascii="Arial" w:hAnsi="Arial" w:cs="Arial"/>
          <w:color w:val="000000" w:themeColor="text1"/>
          <w:sz w:val="22"/>
        </w:rPr>
        <w:t>. En este sentido, el Decreto reglamentario de forma expresa indica los documentos necesarios para acreditar la capacidad residual, sin prever la exigencia de presentar la información financiera</w:t>
      </w:r>
      <w:r w:rsidR="00E6543E">
        <w:rPr>
          <w:rFonts w:ascii="Arial" w:hAnsi="Arial" w:cs="Arial"/>
          <w:color w:val="000000" w:themeColor="text1"/>
          <w:sz w:val="22"/>
        </w:rPr>
        <w:t xml:space="preserve"> auditada,</w:t>
      </w:r>
      <w:r>
        <w:rPr>
          <w:rFonts w:ascii="Arial" w:hAnsi="Arial" w:cs="Arial"/>
          <w:color w:val="000000" w:themeColor="text1"/>
          <w:sz w:val="22"/>
        </w:rPr>
        <w:t xml:space="preserve"> certificada y dictaminada que pretende acreditar el proponente. </w:t>
      </w:r>
    </w:p>
    <w:p w14:paraId="1EA3767D" w14:textId="6E59B6C8" w:rsidR="00BD49C8" w:rsidRDefault="00BD49C8" w:rsidP="00A66E6F">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t>Por otro lado, es importante señalar que, de acuerdo con el artículo 10 de la Ley 43 de 1990, normativa que reglamenta la profesión de contador público, la firma de un contador público en los actos propios de su profesión hará presumir, salvo prueba en contrario, que el acto respectivo se ajusta a los requisitos legales. De igual forma, tratándose de balances, se presumirá además que los saldos se han tomado fielmente de los libros, que estos se ajustan a las normas legales y que las cifras registrad</w:t>
      </w:r>
      <w:r w:rsidR="001808F6">
        <w:rPr>
          <w:rFonts w:ascii="Arial" w:hAnsi="Arial" w:cs="Arial"/>
          <w:color w:val="000000" w:themeColor="text1"/>
          <w:sz w:val="22"/>
        </w:rPr>
        <w:t>a</w:t>
      </w:r>
      <w:r>
        <w:rPr>
          <w:rFonts w:ascii="Arial" w:hAnsi="Arial" w:cs="Arial"/>
          <w:color w:val="000000" w:themeColor="text1"/>
          <w:sz w:val="22"/>
        </w:rPr>
        <w:t>s en ellos reflejan en forma fidedigna la correspondiente situación financiera en la fecha del balance</w:t>
      </w:r>
      <w:r>
        <w:rPr>
          <w:rStyle w:val="Refdenotaalpie"/>
          <w:rFonts w:ascii="Arial" w:hAnsi="Arial" w:cs="Arial"/>
          <w:color w:val="000000" w:themeColor="text1"/>
          <w:sz w:val="22"/>
        </w:rPr>
        <w:footnoteReference w:id="16"/>
      </w:r>
      <w:r>
        <w:rPr>
          <w:rFonts w:ascii="Arial" w:hAnsi="Arial" w:cs="Arial"/>
          <w:color w:val="000000" w:themeColor="text1"/>
          <w:sz w:val="22"/>
        </w:rPr>
        <w:t xml:space="preserve">. </w:t>
      </w:r>
    </w:p>
    <w:p w14:paraId="00055A4D" w14:textId="68F55BA7" w:rsidR="00BD49C8" w:rsidRDefault="00BD49C8" w:rsidP="00BD49C8">
      <w:pPr>
        <w:spacing w:after="200" w:line="276" w:lineRule="auto"/>
        <w:ind w:firstLine="708"/>
        <w:jc w:val="both"/>
        <w:rPr>
          <w:rFonts w:ascii="Arial" w:hAnsi="Arial" w:cs="Arial"/>
          <w:sz w:val="22"/>
        </w:rPr>
      </w:pPr>
      <w:r>
        <w:rPr>
          <w:rFonts w:ascii="Arial" w:hAnsi="Arial" w:cs="Arial"/>
          <w:color w:val="000000" w:themeColor="text1"/>
          <w:sz w:val="22"/>
        </w:rPr>
        <w:t>La Corte Constitucional, en la sentencia C-861 de 2008, reconoce que la profesión de contador público tiene un importante riesgo social en las relaciones económicas entre el Estado y los particulares</w:t>
      </w:r>
      <w:r w:rsidR="001808F6">
        <w:rPr>
          <w:rFonts w:ascii="Arial" w:hAnsi="Arial" w:cs="Arial"/>
          <w:color w:val="000000" w:themeColor="text1"/>
          <w:sz w:val="22"/>
        </w:rPr>
        <w:t>. P</w:t>
      </w:r>
      <w:r>
        <w:rPr>
          <w:rFonts w:ascii="Arial" w:hAnsi="Arial" w:cs="Arial"/>
          <w:color w:val="000000" w:themeColor="text1"/>
          <w:sz w:val="22"/>
        </w:rPr>
        <w:t>or tanto</w:t>
      </w:r>
      <w:r w:rsidR="00A249F7">
        <w:rPr>
          <w:rFonts w:ascii="Arial" w:hAnsi="Arial" w:cs="Arial"/>
          <w:color w:val="000000" w:themeColor="text1"/>
          <w:sz w:val="22"/>
        </w:rPr>
        <w:t>,</w:t>
      </w:r>
      <w:r>
        <w:rPr>
          <w:rFonts w:ascii="Arial" w:hAnsi="Arial" w:cs="Arial"/>
          <w:color w:val="000000" w:themeColor="text1"/>
          <w:sz w:val="22"/>
        </w:rPr>
        <w:t xml:space="preserve"> es necesario que tengan una mayor responsabilidad </w:t>
      </w:r>
      <w:r w:rsidR="00D86063">
        <w:rPr>
          <w:rFonts w:ascii="Arial" w:hAnsi="Arial" w:cs="Arial"/>
          <w:color w:val="000000" w:themeColor="text1"/>
          <w:sz w:val="22"/>
        </w:rPr>
        <w:t xml:space="preserve">frente a </w:t>
      </w:r>
      <w:r>
        <w:rPr>
          <w:rFonts w:ascii="Arial" w:hAnsi="Arial" w:cs="Arial"/>
          <w:color w:val="000000" w:themeColor="text1"/>
          <w:sz w:val="22"/>
        </w:rPr>
        <w:t xml:space="preserve">los documentos que suscriben. Así lo </w:t>
      </w:r>
      <w:r>
        <w:rPr>
          <w:rFonts w:ascii="Arial" w:hAnsi="Arial" w:cs="Arial"/>
          <w:sz w:val="22"/>
        </w:rPr>
        <w:t xml:space="preserve">determinó en los siguientes términos:  </w:t>
      </w:r>
    </w:p>
    <w:p w14:paraId="6865FAFC" w14:textId="77777777" w:rsidR="00BD49C8" w:rsidRDefault="00BD49C8" w:rsidP="00A66E6F">
      <w:pPr>
        <w:tabs>
          <w:tab w:val="left" w:pos="8222"/>
        </w:tabs>
        <w:spacing w:before="120"/>
        <w:ind w:left="709" w:right="709"/>
        <w:jc w:val="both"/>
        <w:rPr>
          <w:rFonts w:ascii="Arial" w:hAnsi="Arial" w:cs="Arial"/>
          <w:sz w:val="21"/>
          <w:szCs w:val="21"/>
          <w:shd w:val="clear" w:color="auto" w:fill="FFFFFF"/>
        </w:rPr>
      </w:pPr>
      <w:r>
        <w:rPr>
          <w:rFonts w:ascii="Arial" w:hAnsi="Arial" w:cs="Arial"/>
          <w:sz w:val="21"/>
          <w:szCs w:val="21"/>
          <w:shd w:val="clear" w:color="auto" w:fill="FFFFFF"/>
        </w:rPr>
        <w:t xml:space="preserve">A los Contadores Públicos por el hecho de dar fe pública se les impone un mayor nivel de responsabilidad, pues con el ejercicio de su actividad pueden ocasionar </w:t>
      </w:r>
      <w:r>
        <w:rPr>
          <w:rFonts w:ascii="Arial" w:hAnsi="Arial" w:cs="Arial"/>
          <w:sz w:val="21"/>
          <w:szCs w:val="21"/>
          <w:shd w:val="clear" w:color="auto" w:fill="FFFFFF"/>
        </w:rPr>
        <w:lastRenderedPageBreak/>
        <w:t xml:space="preserve">un riesgo social al poner en peligro intereses tan importantes como el orden y la seguridad en las relaciones económicas entre el Estado y los particulares, o de éstos entre sí, de manera que se otorga un mayor ámbito de libertad a quienes no causan tal riesgo, evitando con ello una innecesaria y excesiva regulación de la profesión arte u oficio desarrollada por éstos últimos y obedeciendo así a criterios equitativos de equivalencia entre el interés protegido y las limitaciones fijadas. La decisión que adoptó el legislador de conferir una función </w:t>
      </w:r>
      <w:proofErr w:type="spellStart"/>
      <w:r>
        <w:rPr>
          <w:rFonts w:ascii="Arial" w:hAnsi="Arial" w:cs="Arial"/>
          <w:sz w:val="21"/>
          <w:szCs w:val="21"/>
          <w:shd w:val="clear" w:color="auto" w:fill="FFFFFF"/>
        </w:rPr>
        <w:t>fedante</w:t>
      </w:r>
      <w:proofErr w:type="spellEnd"/>
      <w:r>
        <w:rPr>
          <w:rFonts w:ascii="Arial" w:hAnsi="Arial" w:cs="Arial"/>
          <w:sz w:val="21"/>
          <w:szCs w:val="21"/>
          <w:shd w:val="clear" w:color="auto" w:fill="FFFFFF"/>
        </w:rPr>
        <w:t xml:space="preserve"> a los Contadores Públicos, obedece a una finalidad de interés general</w:t>
      </w:r>
      <w:r>
        <w:rPr>
          <w:rStyle w:val="Refdenotaalpie"/>
          <w:rFonts w:ascii="Arial" w:hAnsi="Arial" w:cs="Arial"/>
          <w:sz w:val="21"/>
          <w:szCs w:val="21"/>
          <w:shd w:val="clear" w:color="auto" w:fill="FFFFFF"/>
        </w:rPr>
        <w:footnoteReference w:id="17"/>
      </w:r>
      <w:r>
        <w:rPr>
          <w:rFonts w:ascii="Arial" w:hAnsi="Arial" w:cs="Arial"/>
          <w:sz w:val="21"/>
          <w:szCs w:val="21"/>
          <w:shd w:val="clear" w:color="auto" w:fill="FFFFFF"/>
        </w:rPr>
        <w:t>.</w:t>
      </w:r>
    </w:p>
    <w:p w14:paraId="2B5A8C89" w14:textId="77777777" w:rsidR="00BD49C8" w:rsidRDefault="00BD49C8" w:rsidP="00BD49C8">
      <w:pPr>
        <w:tabs>
          <w:tab w:val="left" w:pos="8222"/>
        </w:tabs>
        <w:ind w:left="709" w:right="709"/>
        <w:jc w:val="both"/>
        <w:rPr>
          <w:rFonts w:ascii="Arial" w:hAnsi="Arial" w:cs="Arial"/>
          <w:color w:val="000000" w:themeColor="text1"/>
          <w:sz w:val="22"/>
        </w:rPr>
      </w:pPr>
      <w:r>
        <w:rPr>
          <w:rFonts w:ascii="Arial" w:hAnsi="Arial" w:cs="Arial"/>
          <w:color w:val="000000" w:themeColor="text1"/>
          <w:sz w:val="22"/>
        </w:rPr>
        <w:tab/>
      </w:r>
    </w:p>
    <w:p w14:paraId="4BCE3631" w14:textId="3C9E1D3C" w:rsidR="00BD49C8" w:rsidRDefault="00BD49C8" w:rsidP="007E5337">
      <w:pPr>
        <w:spacing w:line="276" w:lineRule="auto"/>
        <w:jc w:val="both"/>
        <w:rPr>
          <w:rFonts w:ascii="Arial" w:hAnsi="Arial" w:cs="Arial"/>
          <w:color w:val="000000" w:themeColor="text1"/>
          <w:sz w:val="22"/>
        </w:rPr>
      </w:pPr>
      <w:r>
        <w:rPr>
          <w:rFonts w:ascii="Arial" w:hAnsi="Arial" w:cs="Arial"/>
          <w:color w:val="000000" w:themeColor="text1"/>
          <w:sz w:val="22"/>
        </w:rPr>
        <w:tab/>
        <w:t>De este modo, en virtud de la Ley 49 de 1990, todos los actos firmados por los contadores públicos se presumen estar acordes con los requisitos legales. Sin dejar de lado que los balances generales también se presumen que se han tomado fielmente de los libros y que las cifras registradas en ellos reflejan en forma fidedigna la correspondiente situación financiera en la fecha del balance. En este sentido, todos los documentos suscritos por el contador público dan fe pública de que el documento está acorde con la normativa</w:t>
      </w:r>
      <w:r w:rsidR="003245C9">
        <w:rPr>
          <w:rFonts w:ascii="Arial" w:hAnsi="Arial" w:cs="Arial"/>
          <w:color w:val="000000" w:themeColor="text1"/>
          <w:sz w:val="22"/>
        </w:rPr>
        <w:t>. P</w:t>
      </w:r>
      <w:r>
        <w:rPr>
          <w:rFonts w:ascii="Arial" w:hAnsi="Arial" w:cs="Arial"/>
          <w:color w:val="000000" w:themeColor="text1"/>
          <w:sz w:val="22"/>
        </w:rPr>
        <w:t>or tanto, para que sea válido este documento no se requerirán requisitos adicionales como la certificación o el dictamen</w:t>
      </w:r>
      <w:r w:rsidR="00E6543E">
        <w:rPr>
          <w:rFonts w:ascii="Arial" w:hAnsi="Arial" w:cs="Arial"/>
          <w:color w:val="000000" w:themeColor="text1"/>
          <w:sz w:val="22"/>
        </w:rPr>
        <w:t>, o que sean auditados</w:t>
      </w:r>
      <w:r>
        <w:rPr>
          <w:rFonts w:ascii="Arial" w:hAnsi="Arial" w:cs="Arial"/>
          <w:color w:val="000000" w:themeColor="text1"/>
          <w:sz w:val="22"/>
        </w:rPr>
        <w:t xml:space="preserve">. </w:t>
      </w:r>
    </w:p>
    <w:p w14:paraId="18D45DF1" w14:textId="2624A38B" w:rsidR="00F708EE" w:rsidRDefault="00F708EE" w:rsidP="007E5337">
      <w:pPr>
        <w:spacing w:line="276" w:lineRule="auto"/>
        <w:jc w:val="both"/>
        <w:rPr>
          <w:rFonts w:ascii="Arial" w:hAnsi="Arial" w:cs="Arial"/>
          <w:color w:val="000000" w:themeColor="text1"/>
          <w:sz w:val="22"/>
        </w:rPr>
      </w:pPr>
    </w:p>
    <w:p w14:paraId="7F3632E9" w14:textId="177DFDE6" w:rsidR="00F708EE" w:rsidRDefault="00F708EE" w:rsidP="007E5337">
      <w:pPr>
        <w:tabs>
          <w:tab w:val="left" w:pos="426"/>
        </w:tabs>
        <w:spacing w:line="276" w:lineRule="auto"/>
        <w:jc w:val="both"/>
        <w:rPr>
          <w:rFonts w:ascii="Arial" w:eastAsia="Calibri" w:hAnsi="Arial" w:cs="Arial"/>
          <w:b/>
          <w:sz w:val="22"/>
        </w:rPr>
      </w:pPr>
      <w:r w:rsidRPr="00F708EE">
        <w:rPr>
          <w:rFonts w:ascii="Arial" w:hAnsi="Arial" w:cs="Arial"/>
          <w:b/>
          <w:bCs/>
          <w:color w:val="000000" w:themeColor="text1"/>
          <w:sz w:val="22"/>
        </w:rPr>
        <w:t>2.3.1.</w:t>
      </w:r>
      <w:r>
        <w:rPr>
          <w:rFonts w:ascii="Arial" w:hAnsi="Arial" w:cs="Arial"/>
          <w:b/>
          <w:bCs/>
          <w:color w:val="000000" w:themeColor="text1"/>
          <w:sz w:val="22"/>
        </w:rPr>
        <w:t xml:space="preserve"> </w:t>
      </w:r>
      <w:proofErr w:type="spellStart"/>
      <w:r>
        <w:rPr>
          <w:rFonts w:ascii="Arial" w:eastAsia="Calibri" w:hAnsi="Arial" w:cs="Arial"/>
          <w:b/>
          <w:sz w:val="22"/>
        </w:rPr>
        <w:t>Subsanabilidad</w:t>
      </w:r>
      <w:proofErr w:type="spellEnd"/>
      <w:r>
        <w:rPr>
          <w:rFonts w:ascii="Arial" w:eastAsia="Calibri" w:hAnsi="Arial" w:cs="Arial"/>
          <w:b/>
          <w:sz w:val="22"/>
        </w:rPr>
        <w:t xml:space="preserve"> de l</w:t>
      </w:r>
      <w:r w:rsidR="00E17B1C">
        <w:rPr>
          <w:rFonts w:ascii="Arial" w:eastAsia="Calibri" w:hAnsi="Arial" w:cs="Arial"/>
          <w:b/>
          <w:sz w:val="22"/>
        </w:rPr>
        <w:t>os documentos para acreditar la</w:t>
      </w:r>
      <w:r>
        <w:rPr>
          <w:rFonts w:ascii="Arial" w:eastAsia="Calibri" w:hAnsi="Arial" w:cs="Arial"/>
          <w:b/>
          <w:sz w:val="22"/>
        </w:rPr>
        <w:t xml:space="preserve"> capacidad residual</w:t>
      </w:r>
    </w:p>
    <w:p w14:paraId="39D0082A" w14:textId="77777777" w:rsidR="006E772F" w:rsidRDefault="006E772F" w:rsidP="007E5337">
      <w:pPr>
        <w:tabs>
          <w:tab w:val="left" w:pos="426"/>
        </w:tabs>
        <w:spacing w:line="276" w:lineRule="auto"/>
        <w:ind w:firstLine="709"/>
        <w:jc w:val="both"/>
        <w:rPr>
          <w:rFonts w:ascii="Arial" w:hAnsi="Arial" w:cs="Arial"/>
          <w:sz w:val="22"/>
          <w:szCs w:val="20"/>
        </w:rPr>
      </w:pPr>
    </w:p>
    <w:p w14:paraId="023A9E74" w14:textId="0EF91E32" w:rsidR="00F708EE" w:rsidRDefault="007E5337" w:rsidP="000C2C67">
      <w:pPr>
        <w:tabs>
          <w:tab w:val="left" w:pos="426"/>
        </w:tabs>
        <w:spacing w:line="276" w:lineRule="auto"/>
        <w:jc w:val="both"/>
        <w:rPr>
          <w:rFonts w:ascii="Arial" w:hAnsi="Arial" w:cs="Arial"/>
          <w:sz w:val="22"/>
          <w:szCs w:val="20"/>
        </w:rPr>
      </w:pPr>
      <w:r>
        <w:rPr>
          <w:rFonts w:ascii="Arial" w:hAnsi="Arial" w:cs="Arial"/>
          <w:sz w:val="22"/>
          <w:szCs w:val="20"/>
        </w:rPr>
        <w:t>E</w:t>
      </w:r>
      <w:r w:rsidR="00F708EE">
        <w:rPr>
          <w:rFonts w:ascii="Arial" w:hAnsi="Arial" w:cs="Arial"/>
          <w:sz w:val="22"/>
          <w:szCs w:val="20"/>
        </w:rPr>
        <w:t>l artículo 2.2.1.1.1.1.6.4. del Decreto 1082 de 2015</w:t>
      </w:r>
      <w:r w:rsidR="00F708EE">
        <w:rPr>
          <w:rStyle w:val="Refdenotaalpie"/>
          <w:rFonts w:ascii="Arial" w:hAnsi="Arial" w:cs="Arial"/>
          <w:sz w:val="22"/>
        </w:rPr>
        <w:footnoteReference w:id="18"/>
      </w:r>
      <w:r w:rsidR="00F708EE">
        <w:rPr>
          <w:rFonts w:ascii="Arial" w:hAnsi="Arial" w:cs="Arial"/>
          <w:sz w:val="22"/>
          <w:szCs w:val="20"/>
        </w:rPr>
        <w:t xml:space="preserve">,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00F708EE">
        <w:rPr>
          <w:rFonts w:ascii="Arial" w:hAnsi="Arial" w:cs="Arial"/>
          <w:sz w:val="22"/>
          <w:szCs w:val="20"/>
        </w:rPr>
        <w:t>ii</w:t>
      </w:r>
      <w:proofErr w:type="spellEnd"/>
      <w:r w:rsidR="00F708EE">
        <w:rPr>
          <w:rFonts w:ascii="Arial" w:hAnsi="Arial" w:cs="Arial"/>
          <w:sz w:val="22"/>
          <w:szCs w:val="20"/>
        </w:rPr>
        <w:t xml:space="preserve">) la lista de contratos de obras civiles en ejecución, suscritos por sociedades, consorcios o uniones temporales, en los cuales el proponente tenga participación, con entidades </w:t>
      </w:r>
      <w:r w:rsidR="00F708EE">
        <w:rPr>
          <w:rFonts w:ascii="Arial" w:hAnsi="Arial" w:cs="Arial"/>
          <w:sz w:val="22"/>
          <w:szCs w:val="20"/>
        </w:rPr>
        <w:lastRenderedPageBreak/>
        <w:t xml:space="preserve">estatales y con entidades privadas, y, finalmente, </w:t>
      </w:r>
      <w:proofErr w:type="spellStart"/>
      <w:r w:rsidR="00F708EE">
        <w:rPr>
          <w:rFonts w:ascii="Arial" w:hAnsi="Arial" w:cs="Arial"/>
          <w:sz w:val="22"/>
          <w:szCs w:val="20"/>
        </w:rPr>
        <w:t>iii</w:t>
      </w:r>
      <w:proofErr w:type="spellEnd"/>
      <w:r w:rsidR="00F708EE">
        <w:rPr>
          <w:rFonts w:ascii="Arial" w:hAnsi="Arial" w:cs="Arial"/>
          <w:sz w:val="22"/>
          <w:szCs w:val="20"/>
        </w:rPr>
        <w:t xml:space="preserve">) el balance general auditado del año inmediatamente anterior y estado de resultados auditado del año en que haya obtenido el mayor ingreso operacional en los últimos cinco </w:t>
      </w:r>
      <w:r w:rsidR="00DF23ED">
        <w:rPr>
          <w:rFonts w:ascii="Arial" w:hAnsi="Arial" w:cs="Arial"/>
          <w:sz w:val="22"/>
          <w:szCs w:val="20"/>
        </w:rPr>
        <w:t>–</w:t>
      </w:r>
      <w:r w:rsidR="00F708EE">
        <w:rPr>
          <w:rFonts w:ascii="Arial" w:hAnsi="Arial" w:cs="Arial"/>
          <w:sz w:val="22"/>
          <w:szCs w:val="20"/>
        </w:rPr>
        <w:t>5</w:t>
      </w:r>
      <w:r w:rsidR="00DF23ED">
        <w:rPr>
          <w:rFonts w:ascii="Arial" w:hAnsi="Arial" w:cs="Arial"/>
          <w:sz w:val="22"/>
          <w:szCs w:val="20"/>
        </w:rPr>
        <w:t>–</w:t>
      </w:r>
      <w:r w:rsidR="00F708EE">
        <w:rPr>
          <w:rFonts w:ascii="Arial" w:hAnsi="Arial" w:cs="Arial"/>
          <w:sz w:val="22"/>
          <w:szCs w:val="20"/>
        </w:rPr>
        <w:t xml:space="preserve"> años. </w:t>
      </w:r>
    </w:p>
    <w:p w14:paraId="1DDD86C8" w14:textId="77777777" w:rsidR="00F708EE" w:rsidRDefault="00F708EE" w:rsidP="00F708EE">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El artículo 6 de la Ley 1150 de 2007 establece que todas las personas naturales o extranjeras domiciliadas o con sucursal en Colombia, que aspiren celebrar contratos con entidades, deberán estar inscritas en el registro único de proponentes de la Cámara de Comercio con jurisdicción en su domicilio principal</w:t>
      </w:r>
      <w:r>
        <w:rPr>
          <w:rStyle w:val="Refdenotaalpie"/>
          <w:rFonts w:ascii="Arial" w:hAnsi="Arial" w:cs="Arial"/>
          <w:sz w:val="22"/>
        </w:rPr>
        <w:footnoteReference w:id="19"/>
      </w:r>
      <w:r>
        <w:rPr>
          <w:rFonts w:ascii="Arial" w:hAnsi="Arial" w:cs="Arial"/>
          <w:sz w:val="22"/>
          <w:szCs w:val="20"/>
        </w:rPr>
        <w:t xml:space="preserve">. En dicho registro constará la información relacionada con la experiencia, capacidad jurídica, financiera y de organización del proponente, es decir, la verificación de dichos requisitos habilitantes se demostrará exclusivamente con el respectivo del RUP donde deberán constar dichas condiciones. En consecuencia, las entidades, en los procedimientos de contratación, no podrán exigir, ni los proponentes aportar, documentación que deba utilizarse para efectuar la inscripción del registro. </w:t>
      </w:r>
    </w:p>
    <w:p w14:paraId="56887ACD" w14:textId="00BDB0AC" w:rsidR="00F708EE" w:rsidRDefault="00F708EE" w:rsidP="00F708EE">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 xml:space="preserve">Conforme a lo anterior, la Ley 1150 de 2007 establece que los requisitos habilitantes de experiencia, capacidad jurídica, financiera y de organización se acreditarán conforme a lo contenido en el registro único de proponentes </w:t>
      </w:r>
      <w:r w:rsidR="00DF23ED">
        <w:rPr>
          <w:rFonts w:ascii="Arial" w:hAnsi="Arial" w:cs="Arial"/>
          <w:sz w:val="22"/>
          <w:szCs w:val="20"/>
        </w:rPr>
        <w:t>–</w:t>
      </w:r>
      <w:r>
        <w:rPr>
          <w:rFonts w:ascii="Arial" w:hAnsi="Arial" w:cs="Arial"/>
          <w:sz w:val="22"/>
          <w:szCs w:val="20"/>
        </w:rPr>
        <w:t>RUP</w:t>
      </w:r>
      <w:r w:rsidR="00DF23ED">
        <w:rPr>
          <w:rFonts w:ascii="Arial" w:hAnsi="Arial" w:cs="Arial"/>
          <w:sz w:val="22"/>
          <w:szCs w:val="20"/>
        </w:rPr>
        <w:t>–</w:t>
      </w:r>
      <w:r>
        <w:rPr>
          <w:rFonts w:ascii="Arial" w:hAnsi="Arial" w:cs="Arial"/>
          <w:sz w:val="22"/>
          <w:szCs w:val="20"/>
        </w:rPr>
        <w:t xml:space="preserve">. Con respecto a la acreditación de la capacidad residual, como su acreditación no se realiza conforme al contenido del RUP, las entidades deberán exigir los documentos previstos en el artículo 2.2.1.1.1.6.4. del Decreto 1082 de 2015, siempre y cuando no sea información que el proponente haya aportado, con anterioridad, para la inscripción en el RUP. </w:t>
      </w:r>
    </w:p>
    <w:p w14:paraId="4CDBFAA4" w14:textId="6C03FD84" w:rsidR="00F708EE" w:rsidRDefault="00F708EE" w:rsidP="00F708EE">
      <w:pPr>
        <w:tabs>
          <w:tab w:val="left" w:pos="426"/>
        </w:tabs>
        <w:spacing w:before="120" w:after="120" w:line="276" w:lineRule="auto"/>
        <w:ind w:firstLine="709"/>
        <w:jc w:val="both"/>
        <w:rPr>
          <w:rFonts w:ascii="Arial" w:hAnsi="Arial" w:cs="Arial"/>
          <w:sz w:val="22"/>
          <w:szCs w:val="20"/>
        </w:rPr>
      </w:pPr>
      <w:r>
        <w:rPr>
          <w:rFonts w:ascii="Arial" w:hAnsi="Arial" w:cs="Arial"/>
          <w:sz w:val="22"/>
          <w:szCs w:val="20"/>
        </w:rPr>
        <w:t xml:space="preserve">Explicada la normativa que regula la acreditación de la capacidad residual, </w:t>
      </w:r>
      <w:r w:rsidR="00DF23ED">
        <w:rPr>
          <w:rFonts w:ascii="Arial" w:hAnsi="Arial" w:cs="Arial"/>
          <w:sz w:val="22"/>
          <w:szCs w:val="20"/>
        </w:rPr>
        <w:t>se a</w:t>
      </w:r>
      <w:r w:rsidR="008023B4">
        <w:rPr>
          <w:rFonts w:ascii="Arial" w:hAnsi="Arial" w:cs="Arial"/>
          <w:sz w:val="22"/>
          <w:szCs w:val="20"/>
        </w:rPr>
        <w:t>n</w:t>
      </w:r>
      <w:r w:rsidR="00DF23ED">
        <w:rPr>
          <w:rFonts w:ascii="Arial" w:hAnsi="Arial" w:cs="Arial"/>
          <w:sz w:val="22"/>
          <w:szCs w:val="20"/>
        </w:rPr>
        <w:t>alizará</w:t>
      </w:r>
      <w:r>
        <w:rPr>
          <w:rFonts w:ascii="Arial" w:hAnsi="Arial" w:cs="Arial"/>
          <w:sz w:val="22"/>
          <w:szCs w:val="20"/>
        </w:rPr>
        <w:t xml:space="preserve"> el régimen de </w:t>
      </w:r>
      <w:proofErr w:type="spellStart"/>
      <w:r>
        <w:rPr>
          <w:rFonts w:ascii="Arial" w:hAnsi="Arial" w:cs="Arial"/>
          <w:sz w:val="22"/>
          <w:szCs w:val="20"/>
        </w:rPr>
        <w:t>subsanabilidad</w:t>
      </w:r>
      <w:proofErr w:type="spellEnd"/>
      <w:r>
        <w:rPr>
          <w:rFonts w:ascii="Arial" w:hAnsi="Arial" w:cs="Arial"/>
          <w:sz w:val="22"/>
          <w:szCs w:val="20"/>
        </w:rPr>
        <w:t xml:space="preserve">, de acuerdo con lo previsto por la Ley 1882 de </w:t>
      </w:r>
      <w:r>
        <w:rPr>
          <w:rFonts w:ascii="Arial" w:hAnsi="Arial" w:cs="Arial"/>
          <w:sz w:val="22"/>
          <w:szCs w:val="20"/>
        </w:rPr>
        <w:lastRenderedPageBreak/>
        <w:t>2018</w:t>
      </w:r>
      <w:r w:rsidR="00DF23ED">
        <w:rPr>
          <w:rFonts w:ascii="Arial" w:hAnsi="Arial" w:cs="Arial"/>
          <w:sz w:val="22"/>
          <w:szCs w:val="20"/>
        </w:rPr>
        <w:t>. Esto</w:t>
      </w:r>
      <w:r>
        <w:rPr>
          <w:rFonts w:ascii="Arial" w:hAnsi="Arial" w:cs="Arial"/>
          <w:sz w:val="22"/>
          <w:szCs w:val="20"/>
        </w:rPr>
        <w:t xml:space="preserve"> para determinar si es posible que la entidad </w:t>
      </w:r>
      <w:r w:rsidR="00DF23ED">
        <w:rPr>
          <w:rFonts w:ascii="Arial" w:hAnsi="Arial" w:cs="Arial"/>
          <w:sz w:val="22"/>
          <w:szCs w:val="20"/>
        </w:rPr>
        <w:t>contratante solicite subsanar</w:t>
      </w:r>
      <w:r>
        <w:rPr>
          <w:rFonts w:ascii="Arial" w:hAnsi="Arial" w:cs="Arial"/>
          <w:sz w:val="22"/>
          <w:szCs w:val="20"/>
        </w:rPr>
        <w:t xml:space="preserve"> información errónea o faltante para el cálculo de la capacidad residual.</w:t>
      </w:r>
    </w:p>
    <w:p w14:paraId="2E2B3C32" w14:textId="2BD70ED9" w:rsidR="00F708EE" w:rsidRDefault="00F708EE" w:rsidP="00F708EE">
      <w:pPr>
        <w:tabs>
          <w:tab w:val="left" w:pos="426"/>
        </w:tabs>
        <w:spacing w:before="120" w:after="120" w:line="276" w:lineRule="auto"/>
        <w:ind w:firstLine="709"/>
        <w:jc w:val="both"/>
        <w:rPr>
          <w:rFonts w:ascii="Arial" w:eastAsia="Calibri" w:hAnsi="Arial" w:cs="Arial"/>
          <w:sz w:val="22"/>
        </w:rPr>
      </w:pPr>
      <w:r>
        <w:rPr>
          <w:rFonts w:ascii="Arial" w:hAnsi="Arial" w:cs="Arial"/>
          <w:sz w:val="22"/>
          <w:szCs w:val="20"/>
        </w:rPr>
        <w:t>E</w:t>
      </w:r>
      <w:r>
        <w:rPr>
          <w:rFonts w:ascii="Arial" w:eastAsia="Calibri" w:hAnsi="Arial" w:cs="Arial"/>
          <w:sz w:val="22"/>
        </w:rPr>
        <w:t>l artículo 5 de la Ley 1882 de 2018 modificó el parágrafo 1 del artículo 5 de la Ley 1150 de 2007</w:t>
      </w:r>
      <w:r w:rsidR="00DF23ED">
        <w:rPr>
          <w:rFonts w:ascii="Arial" w:eastAsia="Calibri" w:hAnsi="Arial" w:cs="Arial"/>
          <w:sz w:val="22"/>
        </w:rPr>
        <w:t>.</w:t>
      </w:r>
      <w:r>
        <w:rPr>
          <w:rFonts w:ascii="Arial" w:eastAsia="Calibri" w:hAnsi="Arial" w:cs="Arial"/>
          <w:sz w:val="22"/>
        </w:rPr>
        <w:t xml:space="preserve"> </w:t>
      </w:r>
      <w:r w:rsidR="00DF23ED">
        <w:rPr>
          <w:rFonts w:ascii="Arial" w:eastAsia="Calibri" w:hAnsi="Arial" w:cs="Arial"/>
          <w:sz w:val="22"/>
        </w:rPr>
        <w:t>S</w:t>
      </w:r>
      <w:r>
        <w:rPr>
          <w:rFonts w:ascii="Arial" w:eastAsia="Calibri" w:hAnsi="Arial" w:cs="Arial"/>
          <w:sz w:val="22"/>
        </w:rPr>
        <w:t>in embargo, no cambió sustancialmente el sentido original de la Ley 1150 de 2007, porque mantuvo el criterio para determinar si la falta de un documento o la ausencia de un requisito es o no subsanable, lo que depende de si el requisito afecta la asignación de puntaje</w:t>
      </w:r>
      <w:r w:rsidR="008023B4">
        <w:rPr>
          <w:rFonts w:ascii="Arial" w:eastAsia="Calibri" w:hAnsi="Arial" w:cs="Arial"/>
          <w:sz w:val="22"/>
        </w:rPr>
        <w:t>. En esta medida</w:t>
      </w:r>
      <w:r>
        <w:rPr>
          <w:rFonts w:ascii="Arial" w:eastAsia="Calibri" w:hAnsi="Arial" w:cs="Arial"/>
          <w:sz w:val="22"/>
        </w:rPr>
        <w:t xml:space="preserve"> mantuvo la regla general de que todo es subsanable, salvo los requisitos que inciden en la asignación de puntaje. </w:t>
      </w:r>
    </w:p>
    <w:p w14:paraId="4BB1231B" w14:textId="2824CEE8" w:rsidR="00F708EE" w:rsidRDefault="00F708EE" w:rsidP="00F708EE">
      <w:pPr>
        <w:tabs>
          <w:tab w:val="left" w:pos="426"/>
        </w:tabs>
        <w:spacing w:before="120" w:after="120" w:line="276" w:lineRule="auto"/>
        <w:ind w:firstLine="709"/>
        <w:jc w:val="both"/>
        <w:rPr>
          <w:rFonts w:ascii="Arial" w:eastAsia="Calibri" w:hAnsi="Arial" w:cs="Arial"/>
          <w:sz w:val="22"/>
        </w:rPr>
      </w:pPr>
      <w:r>
        <w:rPr>
          <w:rFonts w:ascii="Arial" w:eastAsia="Calibri" w:hAnsi="Arial" w:cs="Arial"/>
          <w:sz w:val="22"/>
        </w:rPr>
        <w:t>Sin perjuicio de lo anterior, introdujo las siguientes modificaciones: i) cambia el término límite en el cual los proponentes pueden subsanar, y ya no será hasta el momento de la adjudicación del proceso sino hasta el traslado del informe de evaluación, salvo lo dispuesto para el proceso de mínima cuantía</w:t>
      </w:r>
      <w:r>
        <w:rPr>
          <w:rFonts w:ascii="Arial" w:eastAsia="Calibri" w:hAnsi="Arial" w:cs="Arial"/>
          <w:sz w:val="22"/>
          <w:vertAlign w:val="superscript"/>
        </w:rPr>
        <w:footnoteReference w:id="20"/>
      </w:r>
      <w:r>
        <w:rPr>
          <w:rFonts w:ascii="Arial" w:eastAsia="Calibri" w:hAnsi="Arial" w:cs="Arial"/>
          <w:sz w:val="22"/>
        </w:rPr>
        <w:t xml:space="preserve"> y para el proceso de selección a través del sistema de subasta</w:t>
      </w:r>
      <w:r>
        <w:rPr>
          <w:rFonts w:ascii="Arial" w:eastAsia="Calibri" w:hAnsi="Arial" w:cs="Arial"/>
          <w:sz w:val="22"/>
          <w:vertAlign w:val="superscript"/>
        </w:rPr>
        <w:footnoteReference w:id="21"/>
      </w:r>
      <w:r w:rsidR="008023B4">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ii</w:t>
      </w:r>
      <w:proofErr w:type="spellEnd"/>
      <w:r>
        <w:rPr>
          <w:rFonts w:ascii="Arial" w:eastAsia="Calibri" w:hAnsi="Arial" w:cs="Arial"/>
          <w:sz w:val="22"/>
        </w:rPr>
        <w:t>) establece como causal de rechazo el hecho de que los proponentes no suministren la información y la documentación solicitada por la entidad estatal hasta el plazo anteriormente señalado</w:t>
      </w:r>
      <w:r w:rsidR="008023B4">
        <w:rPr>
          <w:rFonts w:ascii="Arial" w:eastAsia="Calibri" w:hAnsi="Arial" w:cs="Arial"/>
          <w:sz w:val="22"/>
        </w:rPr>
        <w:t>;</w:t>
      </w:r>
      <w:r>
        <w:rPr>
          <w:rFonts w:ascii="Arial" w:eastAsia="Calibri" w:hAnsi="Arial" w:cs="Arial"/>
          <w:sz w:val="22"/>
        </w:rPr>
        <w:t xml:space="preserve"> </w:t>
      </w:r>
      <w:proofErr w:type="spellStart"/>
      <w:r>
        <w:rPr>
          <w:rFonts w:ascii="Arial" w:eastAsia="Calibri" w:hAnsi="Arial" w:cs="Arial"/>
          <w:sz w:val="22"/>
        </w:rPr>
        <w:t>iii</w:t>
      </w:r>
      <w:proofErr w:type="spellEnd"/>
      <w:r>
        <w:rPr>
          <w:rFonts w:ascii="Arial" w:eastAsia="Calibri" w:hAnsi="Arial" w:cs="Arial"/>
          <w:sz w:val="22"/>
        </w:rPr>
        <w:t>) establece que los proponentes no podrán acreditar circunstancias ocurridas con posterioridad al cierre del proceso</w:t>
      </w:r>
      <w:r w:rsidR="008023B4">
        <w:rPr>
          <w:rFonts w:ascii="Arial" w:eastAsia="Calibri" w:hAnsi="Arial" w:cs="Arial"/>
          <w:sz w:val="22"/>
        </w:rPr>
        <w:t>;</w:t>
      </w:r>
      <w:r>
        <w:rPr>
          <w:rFonts w:ascii="Arial" w:eastAsia="Calibri" w:hAnsi="Arial" w:cs="Arial"/>
          <w:sz w:val="22"/>
        </w:rPr>
        <w:t xml:space="preserve"> y finalmente </w:t>
      </w:r>
      <w:proofErr w:type="spellStart"/>
      <w:r>
        <w:rPr>
          <w:rFonts w:ascii="Arial" w:eastAsia="Calibri" w:hAnsi="Arial" w:cs="Arial"/>
          <w:sz w:val="22"/>
        </w:rPr>
        <w:t>iv</w:t>
      </w:r>
      <w:proofErr w:type="spellEnd"/>
      <w:r>
        <w:rPr>
          <w:rFonts w:ascii="Arial" w:eastAsia="Calibri" w:hAnsi="Arial" w:cs="Arial"/>
          <w:sz w:val="22"/>
        </w:rPr>
        <w:t>) prescribe que la no entrega de la garantía de seriedad junto con la propuesta no será subsanable y será causal de rechazo de esta</w:t>
      </w:r>
      <w:r>
        <w:rPr>
          <w:rFonts w:ascii="Arial" w:eastAsia="Calibri" w:hAnsi="Arial" w:cs="Arial"/>
          <w:sz w:val="22"/>
          <w:vertAlign w:val="superscript"/>
        </w:rPr>
        <w:footnoteReference w:id="22"/>
      </w:r>
      <w:r>
        <w:rPr>
          <w:rFonts w:ascii="Arial" w:eastAsia="Calibri" w:hAnsi="Arial" w:cs="Arial"/>
          <w:sz w:val="22"/>
        </w:rPr>
        <w:t xml:space="preserve">. </w:t>
      </w:r>
    </w:p>
    <w:p w14:paraId="659C8D96" w14:textId="77777777" w:rsidR="00F708EE" w:rsidRDefault="00F708EE" w:rsidP="00F708EE">
      <w:pPr>
        <w:tabs>
          <w:tab w:val="left" w:pos="426"/>
        </w:tabs>
        <w:spacing w:before="120" w:after="120" w:line="276" w:lineRule="auto"/>
        <w:ind w:firstLine="709"/>
        <w:jc w:val="both"/>
        <w:rPr>
          <w:rFonts w:ascii="Arial" w:eastAsia="Calibri" w:hAnsi="Arial" w:cs="Arial"/>
          <w:sz w:val="22"/>
        </w:rPr>
      </w:pPr>
      <w:r>
        <w:rPr>
          <w:rFonts w:ascii="Arial" w:eastAsia="Calibri" w:hAnsi="Arial" w:cs="Arial"/>
          <w:sz w:val="22"/>
        </w:rPr>
        <w:t xml:space="preserve">El «Documento Base o Pliego Tipo», en el numeral 1.6, «Reglas de </w:t>
      </w:r>
      <w:proofErr w:type="spellStart"/>
      <w:r>
        <w:rPr>
          <w:rFonts w:ascii="Arial" w:eastAsia="Calibri" w:hAnsi="Arial" w:cs="Arial"/>
          <w:sz w:val="22"/>
        </w:rPr>
        <w:t>subsanabilidad</w:t>
      </w:r>
      <w:proofErr w:type="spellEnd"/>
      <w:r>
        <w:rPr>
          <w:rFonts w:ascii="Arial" w:eastAsia="Calibri" w:hAnsi="Arial" w:cs="Arial"/>
          <w:sz w:val="22"/>
        </w:rPr>
        <w:t>»</w:t>
      </w:r>
      <w:r>
        <w:rPr>
          <w:rStyle w:val="Refdenotaalpie"/>
          <w:rFonts w:ascii="Arial" w:eastAsia="Calibri" w:hAnsi="Arial" w:cs="Arial"/>
          <w:sz w:val="22"/>
        </w:rPr>
        <w:footnoteReference w:id="23"/>
      </w:r>
      <w:r>
        <w:rPr>
          <w:rFonts w:ascii="Arial" w:eastAsia="Calibri" w:hAnsi="Arial" w:cs="Arial"/>
          <w:sz w:val="22"/>
        </w:rPr>
        <w:t xml:space="preserve">, reitera lo previsto en el artículo 5 de Ley 1882 de 2018, en el sentido </w:t>
      </w:r>
      <w:r>
        <w:rPr>
          <w:rFonts w:ascii="Arial" w:eastAsia="Calibri" w:hAnsi="Arial" w:cs="Arial"/>
          <w:sz w:val="22"/>
        </w:rPr>
        <w:lastRenderedPageBreak/>
        <w:t>que las entidades deberán solicitar a los proponentes las aclaraciones, precisiones o solicitud de documentos que acreditan requisitos que son subsanables. Además, incluyó que 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w:t>
      </w:r>
    </w:p>
    <w:p w14:paraId="41F097F9" w14:textId="27225866" w:rsidR="00F708EE" w:rsidRDefault="00F708EE" w:rsidP="00F708EE">
      <w:pPr>
        <w:spacing w:before="120" w:after="120" w:line="276" w:lineRule="auto"/>
        <w:ind w:firstLine="708"/>
        <w:jc w:val="both"/>
        <w:rPr>
          <w:rFonts w:ascii="Arial" w:hAnsi="Arial" w:cs="Arial"/>
          <w:sz w:val="22"/>
          <w:szCs w:val="20"/>
          <w:lang w:val="es-CO"/>
        </w:rPr>
      </w:pPr>
      <w:bookmarkStart w:id="31" w:name="_Hlk35001355"/>
      <w:r>
        <w:rPr>
          <w:rFonts w:ascii="Arial" w:hAnsi="Arial" w:cs="Arial"/>
          <w:sz w:val="22"/>
          <w:szCs w:val="20"/>
        </w:rPr>
        <w:t>En el caso de la capacidad residual, el artículo 6 de la Ley 1150 de 2007 lo reconoce como un requisito habilitante, al establecer que «para poder participar en los procesos de selección de los contratos de obra, la capacidad residual del proponente o K de contratación deberá ser igual o superior al que la entidad haya establecido para el efecto en los pliegos de condiciones»</w:t>
      </w:r>
      <w:r w:rsidR="008023B4">
        <w:rPr>
          <w:rFonts w:ascii="Arial" w:hAnsi="Arial" w:cs="Arial"/>
          <w:sz w:val="22"/>
          <w:szCs w:val="20"/>
        </w:rPr>
        <w:t>. A</w:t>
      </w:r>
      <w:r>
        <w:rPr>
          <w:rFonts w:ascii="Arial" w:hAnsi="Arial" w:cs="Arial"/>
          <w:sz w:val="22"/>
          <w:szCs w:val="20"/>
        </w:rPr>
        <w:t>demás, el «</w:t>
      </w:r>
      <w:r>
        <w:rPr>
          <w:rFonts w:ascii="Arial" w:eastAsia="Calibri" w:hAnsi="Arial" w:cs="Arial"/>
          <w:sz w:val="22"/>
        </w:rPr>
        <w:t>Documento Base o Pliego Tipo»</w:t>
      </w:r>
      <w:r>
        <w:rPr>
          <w:rFonts w:ascii="Arial" w:hAnsi="Arial" w:cs="Arial"/>
          <w:sz w:val="22"/>
          <w:szCs w:val="20"/>
        </w:rPr>
        <w:t>, de igual forma lo reconoce como un requisito habilitante, al indicar que «e</w:t>
      </w:r>
      <w:r>
        <w:rPr>
          <w:rFonts w:ascii="Arial" w:hAnsi="Arial" w:cs="Arial"/>
          <w:sz w:val="22"/>
          <w:szCs w:val="20"/>
          <w:lang w:val="es-CO"/>
        </w:rPr>
        <w:t xml:space="preserve">l Proponente será hábil si la capacidad residual del Proponente (CRP) es mayor o igual a la capacidad residual de Proceso de Contratación». En este sentido, como la capacidad residual es un requisito habilitante que </w:t>
      </w:r>
      <w:r>
        <w:rPr>
          <w:rFonts w:ascii="Arial" w:hAnsi="Arial" w:cs="Arial"/>
          <w:i/>
          <w:iCs/>
          <w:sz w:val="22"/>
          <w:szCs w:val="20"/>
          <w:lang w:val="es-CO"/>
        </w:rPr>
        <w:t>no otorga puntaje</w:t>
      </w:r>
      <w:r>
        <w:rPr>
          <w:rFonts w:ascii="Arial" w:hAnsi="Arial" w:cs="Arial"/>
          <w:sz w:val="22"/>
          <w:szCs w:val="20"/>
          <w:lang w:val="es-CO"/>
        </w:rPr>
        <w:t xml:space="preserve"> es susceptible de subsanarse por parte de los proponentes</w:t>
      </w:r>
      <w:bookmarkEnd w:id="31"/>
      <w:r>
        <w:rPr>
          <w:rFonts w:ascii="Arial" w:hAnsi="Arial" w:cs="Arial"/>
          <w:sz w:val="22"/>
          <w:szCs w:val="20"/>
          <w:lang w:val="es-CO"/>
        </w:rPr>
        <w:t xml:space="preserve">. </w:t>
      </w:r>
    </w:p>
    <w:p w14:paraId="132762DF" w14:textId="2EB918BA" w:rsidR="00A66E45" w:rsidRDefault="00F708EE" w:rsidP="00F708EE">
      <w:pPr>
        <w:spacing w:before="120" w:after="120" w:line="276" w:lineRule="auto"/>
        <w:ind w:firstLine="708"/>
        <w:jc w:val="both"/>
        <w:rPr>
          <w:rFonts w:ascii="Arial" w:hAnsi="Arial" w:cs="Arial"/>
          <w:sz w:val="22"/>
          <w:szCs w:val="20"/>
          <w:lang w:val="es-CO"/>
        </w:rPr>
      </w:pPr>
      <w:r>
        <w:rPr>
          <w:rFonts w:ascii="Arial" w:hAnsi="Arial" w:cs="Arial"/>
          <w:sz w:val="22"/>
          <w:szCs w:val="20"/>
          <w:lang w:val="es-CO"/>
        </w:rPr>
        <w:t xml:space="preserve">Ahora, en virtud del artículo 6 de la Ley 1150 de 2007 las entidades no podrán solicitar documentos que hayan sido incluidos para la inscripción de la información contenida en el RUP. Si bien la capacidad residual, en principio, no se calcula totalmente con la información contenida en el </w:t>
      </w:r>
      <w:r w:rsidR="008023B4">
        <w:rPr>
          <w:rFonts w:ascii="Arial" w:hAnsi="Arial" w:cs="Arial"/>
          <w:sz w:val="22"/>
          <w:szCs w:val="20"/>
          <w:lang w:val="es-CO"/>
        </w:rPr>
        <w:t>registro</w:t>
      </w:r>
      <w:r>
        <w:rPr>
          <w:rFonts w:ascii="Arial" w:hAnsi="Arial" w:cs="Arial"/>
          <w:sz w:val="22"/>
          <w:szCs w:val="20"/>
          <w:lang w:val="es-CO"/>
        </w:rPr>
        <w:t xml:space="preserve">, la entidad deberá verificar si con la </w:t>
      </w:r>
      <w:r w:rsidR="008023B4">
        <w:rPr>
          <w:rFonts w:ascii="Arial" w:hAnsi="Arial" w:cs="Arial"/>
          <w:sz w:val="22"/>
          <w:szCs w:val="20"/>
          <w:lang w:val="es-CO"/>
        </w:rPr>
        <w:t xml:space="preserve">presentada por </w:t>
      </w:r>
      <w:r>
        <w:rPr>
          <w:rFonts w:ascii="Arial" w:hAnsi="Arial" w:cs="Arial"/>
          <w:sz w:val="22"/>
          <w:szCs w:val="20"/>
          <w:lang w:val="es-CO"/>
        </w:rPr>
        <w:t xml:space="preserve">el proponente para acreditar los requisitos habilitantes de experiencia, capacidad organizacional, financiera y jurídica se puede calcular la capacidad residual. </w:t>
      </w:r>
    </w:p>
    <w:p w14:paraId="7A850215" w14:textId="3DD07FC7" w:rsidR="00F708EE" w:rsidRDefault="00F708EE" w:rsidP="000C2C67">
      <w:pPr>
        <w:spacing w:before="120" w:after="120" w:line="276" w:lineRule="auto"/>
        <w:ind w:firstLine="708"/>
        <w:jc w:val="both"/>
        <w:rPr>
          <w:rFonts w:ascii="Arial" w:hAnsi="Arial" w:cs="Arial"/>
          <w:sz w:val="22"/>
          <w:szCs w:val="20"/>
        </w:rPr>
      </w:pPr>
      <w:r>
        <w:rPr>
          <w:rFonts w:ascii="Arial" w:hAnsi="Arial" w:cs="Arial"/>
          <w:sz w:val="22"/>
          <w:szCs w:val="20"/>
          <w:lang w:val="es-CO"/>
        </w:rPr>
        <w:t xml:space="preserve">En el evento en que la información aportada para inscribirse en el RUP sea la misma para calcular la capacidad residual del proponente, la entidad no deberá requerir dicha información, toda vez que lo contenido en el RUP es plena prueba. Por su parte, si la información aportada para inscribirse en el </w:t>
      </w:r>
      <w:r w:rsidR="00A66E45">
        <w:rPr>
          <w:rFonts w:ascii="Arial" w:hAnsi="Arial" w:cs="Arial"/>
          <w:sz w:val="22"/>
          <w:szCs w:val="20"/>
          <w:lang w:val="es-CO"/>
        </w:rPr>
        <w:t>registro</w:t>
      </w:r>
      <w:r>
        <w:rPr>
          <w:rFonts w:ascii="Arial" w:hAnsi="Arial" w:cs="Arial"/>
          <w:sz w:val="22"/>
          <w:szCs w:val="20"/>
          <w:lang w:val="es-CO"/>
        </w:rPr>
        <w:t xml:space="preserve"> no incluye información que se necesita para calcular la capacidad residual, la entidad podrá solicitarla al proponente para</w:t>
      </w:r>
      <w:r>
        <w:rPr>
          <w:rFonts w:ascii="Arial" w:hAnsi="Arial" w:cs="Arial"/>
          <w:sz w:val="22"/>
          <w:szCs w:val="20"/>
        </w:rPr>
        <w:t xml:space="preserve"> que la aporte a más tardar hasta el término de traslado del informe de evaluación. En todo caso, </w:t>
      </w:r>
      <w:r>
        <w:rPr>
          <w:rFonts w:ascii="Arial" w:hAnsi="Arial" w:cs="Arial"/>
          <w:sz w:val="22"/>
          <w:szCs w:val="20"/>
        </w:rPr>
        <w:lastRenderedPageBreak/>
        <w:t>todos los documentos requeridos para acreditar la capacidad residual son subsanables, por tratarse de un requisito que no otorga puntaje.</w:t>
      </w:r>
    </w:p>
    <w:p w14:paraId="4101C826" w14:textId="77777777" w:rsidR="00BD49C8" w:rsidRDefault="00BD49C8" w:rsidP="00BD49C8">
      <w:pPr>
        <w:pStyle w:val="Prrafodelista"/>
        <w:tabs>
          <w:tab w:val="left" w:pos="284"/>
        </w:tabs>
        <w:spacing w:line="276" w:lineRule="auto"/>
        <w:ind w:left="0"/>
        <w:rPr>
          <w:rFonts w:ascii="Arial" w:hAnsi="Arial" w:cs="Arial"/>
          <w:b/>
          <w:bCs/>
          <w:color w:val="000000" w:themeColor="text1"/>
          <w:sz w:val="22"/>
          <w:lang w:val="es-CO"/>
        </w:rPr>
      </w:pPr>
    </w:p>
    <w:p w14:paraId="7C68252E" w14:textId="1BCB4CF6" w:rsidR="00BD49C8" w:rsidRDefault="00BD49C8" w:rsidP="00BD49C8">
      <w:pPr>
        <w:pStyle w:val="Prrafodelista"/>
        <w:tabs>
          <w:tab w:val="left" w:pos="284"/>
        </w:tabs>
        <w:spacing w:line="276" w:lineRule="auto"/>
        <w:ind w:left="0"/>
        <w:rPr>
          <w:rFonts w:ascii="Arial" w:hAnsi="Arial" w:cs="Arial"/>
          <w:b/>
          <w:bCs/>
          <w:color w:val="000000" w:themeColor="text1"/>
          <w:sz w:val="22"/>
          <w:lang w:val="es-CO"/>
        </w:rPr>
      </w:pPr>
      <w:r>
        <w:rPr>
          <w:rFonts w:ascii="Arial" w:hAnsi="Arial" w:cs="Arial"/>
          <w:b/>
          <w:bCs/>
          <w:color w:val="000000" w:themeColor="text1"/>
          <w:sz w:val="22"/>
          <w:lang w:val="es-CO"/>
        </w:rPr>
        <w:t>3. Respuesta</w:t>
      </w:r>
      <w:r w:rsidR="0073617B">
        <w:rPr>
          <w:rFonts w:ascii="Arial" w:hAnsi="Arial" w:cs="Arial"/>
          <w:b/>
          <w:bCs/>
          <w:color w:val="000000" w:themeColor="text1"/>
          <w:sz w:val="22"/>
          <w:lang w:val="es-CO"/>
        </w:rPr>
        <w:t>s</w:t>
      </w:r>
    </w:p>
    <w:p w14:paraId="4303C770" w14:textId="77777777" w:rsidR="00BD49C8" w:rsidRDefault="00BD49C8" w:rsidP="00BD49C8">
      <w:pPr>
        <w:spacing w:line="276" w:lineRule="auto"/>
        <w:ind w:firstLine="708"/>
        <w:jc w:val="both"/>
        <w:rPr>
          <w:rFonts w:ascii="Arial" w:hAnsi="Arial" w:cs="Arial"/>
          <w:sz w:val="22"/>
        </w:rPr>
      </w:pPr>
    </w:p>
    <w:p w14:paraId="3C6EED36" w14:textId="77777777" w:rsidR="00D651AA" w:rsidRPr="007B51A8" w:rsidRDefault="00D651AA" w:rsidP="00D651AA">
      <w:pPr>
        <w:ind w:left="708" w:right="709"/>
        <w:jc w:val="both"/>
        <w:rPr>
          <w:rFonts w:ascii="Arial" w:eastAsia="Calibri" w:hAnsi="Arial" w:cs="Arial"/>
          <w:color w:val="000000" w:themeColor="text1"/>
          <w:sz w:val="21"/>
          <w:szCs w:val="21"/>
        </w:rPr>
      </w:pPr>
      <w:r w:rsidRPr="007B51A8">
        <w:rPr>
          <w:rFonts w:ascii="Arial" w:eastAsia="Calibri" w:hAnsi="Arial" w:cs="Arial"/>
          <w:color w:val="000000" w:themeColor="text1"/>
          <w:sz w:val="21"/>
          <w:szCs w:val="21"/>
        </w:rPr>
        <w:t xml:space="preserve">«1. ¿Cómo se debe calcular la capacidad residual, de un proponente, que sea accionista o socio de una empresa, y cuya empresa este ejecutando contratos de obra? A la luz del pliego tipo II (sic), en el numeral 3.11.2 </w:t>
      </w:r>
      <w:proofErr w:type="spellStart"/>
      <w:r w:rsidRPr="007B51A8">
        <w:rPr>
          <w:rFonts w:ascii="Arial" w:eastAsia="Calibri" w:hAnsi="Arial" w:cs="Arial"/>
          <w:color w:val="000000" w:themeColor="text1"/>
          <w:sz w:val="21"/>
          <w:szCs w:val="21"/>
        </w:rPr>
        <w:t>subnumeral</w:t>
      </w:r>
      <w:proofErr w:type="spellEnd"/>
      <w:r w:rsidRPr="007B51A8">
        <w:rPr>
          <w:rFonts w:ascii="Arial" w:eastAsia="Calibri" w:hAnsi="Arial" w:cs="Arial"/>
          <w:color w:val="000000" w:themeColor="text1"/>
          <w:sz w:val="21"/>
          <w:szCs w:val="21"/>
        </w:rPr>
        <w:t xml:space="preserve"> E (sic) literal III (sic) "Se tendrán en cuenta los contratos de obras civiles en ejecución suscritos por el Proponente o por sociedades, Consorcios o Uniones Temporales en los cuales el Proponente tenga participación." </w:t>
      </w:r>
    </w:p>
    <w:p w14:paraId="3ABF3221" w14:textId="77777777" w:rsidR="00BD49C8" w:rsidRDefault="00BD49C8" w:rsidP="00BD49C8">
      <w:pPr>
        <w:jc w:val="both"/>
        <w:rPr>
          <w:rFonts w:ascii="Arial" w:eastAsia="Calibri" w:hAnsi="Arial" w:cs="Arial"/>
          <w:color w:val="000000" w:themeColor="text1"/>
          <w:sz w:val="22"/>
        </w:rPr>
      </w:pPr>
    </w:p>
    <w:p w14:paraId="355DAC7D" w14:textId="282D3450" w:rsidR="00895FAF" w:rsidRDefault="00895FAF" w:rsidP="000C2C67">
      <w:pPr>
        <w:spacing w:after="120" w:line="276" w:lineRule="auto"/>
        <w:jc w:val="both"/>
        <w:rPr>
          <w:rFonts w:ascii="Arial" w:hAnsi="Arial" w:cs="Arial"/>
          <w:sz w:val="22"/>
        </w:rPr>
      </w:pPr>
      <w:r>
        <w:rPr>
          <w:rFonts w:ascii="Arial" w:eastAsia="Calibri" w:hAnsi="Arial" w:cs="Arial"/>
          <w:sz w:val="22"/>
        </w:rPr>
        <w:t xml:space="preserve">Para calcular la capacidad residual de un proponente, la fórmula señalada en el artículo </w:t>
      </w:r>
      <w:r w:rsidRPr="00506F76">
        <w:rPr>
          <w:rFonts w:ascii="Arial" w:hAnsi="Arial" w:cs="Arial"/>
          <w:sz w:val="22"/>
        </w:rPr>
        <w:t>2.2.1.1.1.6.4.</w:t>
      </w:r>
      <w:r>
        <w:rPr>
          <w:rFonts w:ascii="Arial" w:hAnsi="Arial" w:cs="Arial"/>
          <w:sz w:val="22"/>
        </w:rPr>
        <w:t xml:space="preserve"> del Decreto 1082 de 2015 contiene como factor la experiencia </w:t>
      </w:r>
      <w:r w:rsidR="00A66E45">
        <w:rPr>
          <w:rFonts w:ascii="Arial" w:hAnsi="Arial" w:cs="Arial"/>
          <w:sz w:val="22"/>
        </w:rPr>
        <w:t>–</w:t>
      </w:r>
      <w:r>
        <w:rPr>
          <w:rFonts w:ascii="Arial" w:hAnsi="Arial" w:cs="Arial"/>
          <w:sz w:val="22"/>
        </w:rPr>
        <w:t>E</w:t>
      </w:r>
      <w:r w:rsidR="00A66E45">
        <w:rPr>
          <w:rFonts w:ascii="Arial" w:hAnsi="Arial" w:cs="Arial"/>
          <w:sz w:val="22"/>
        </w:rPr>
        <w:t>–. Este factor</w:t>
      </w:r>
      <w:r>
        <w:rPr>
          <w:rFonts w:ascii="Arial" w:hAnsi="Arial" w:cs="Arial"/>
          <w:sz w:val="22"/>
        </w:rPr>
        <w:t xml:space="preserve"> </w:t>
      </w:r>
      <w:r w:rsidR="008F5021">
        <w:rPr>
          <w:rFonts w:ascii="Arial" w:hAnsi="Arial" w:cs="Arial"/>
          <w:sz w:val="22"/>
        </w:rPr>
        <w:t>está</w:t>
      </w:r>
      <w:r>
        <w:rPr>
          <w:rFonts w:ascii="Arial" w:hAnsi="Arial" w:cs="Arial"/>
          <w:sz w:val="22"/>
        </w:rPr>
        <w:t xml:space="preserve"> </w:t>
      </w:r>
      <w:proofErr w:type="gramStart"/>
      <w:r>
        <w:rPr>
          <w:rFonts w:ascii="Arial" w:hAnsi="Arial" w:cs="Arial"/>
          <w:sz w:val="22"/>
        </w:rPr>
        <w:t>determinada</w:t>
      </w:r>
      <w:proofErr w:type="gramEnd"/>
      <w:r>
        <w:rPr>
          <w:rFonts w:ascii="Arial" w:hAnsi="Arial" w:cs="Arial"/>
          <w:sz w:val="22"/>
        </w:rPr>
        <w:t xml:space="preserve"> por el </w:t>
      </w:r>
      <w:r w:rsidRPr="00506F76">
        <w:rPr>
          <w:rFonts w:ascii="Arial" w:hAnsi="Arial" w:cs="Arial"/>
          <w:sz w:val="22"/>
        </w:rPr>
        <w:t>valor total en pesos de los contratos que figuran en el RUP</w:t>
      </w:r>
      <w:r>
        <w:rPr>
          <w:rFonts w:ascii="Arial" w:hAnsi="Arial" w:cs="Arial"/>
          <w:sz w:val="22"/>
        </w:rPr>
        <w:t>, lo cual no es diferente a la experiencia como «requisito habilitante» de la Ley 1150 de 2007, que también se verifica con el</w:t>
      </w:r>
      <w:r w:rsidR="00A66E45">
        <w:rPr>
          <w:rFonts w:ascii="Arial" w:hAnsi="Arial" w:cs="Arial"/>
          <w:sz w:val="22"/>
        </w:rPr>
        <w:t xml:space="preserve"> registro de proponentes</w:t>
      </w:r>
      <w:r>
        <w:rPr>
          <w:rFonts w:ascii="Arial" w:hAnsi="Arial" w:cs="Arial"/>
          <w:sz w:val="22"/>
        </w:rPr>
        <w:t xml:space="preserve">, </w:t>
      </w:r>
      <w:r w:rsidRPr="00506F76">
        <w:rPr>
          <w:rFonts w:ascii="Arial" w:eastAsia="Calibri" w:hAnsi="Arial" w:cs="Arial"/>
          <w:sz w:val="22"/>
        </w:rPr>
        <w:t>cuando este certificado sea exigible de acuerdo con la ley</w:t>
      </w:r>
      <w:r w:rsidR="00A66E45">
        <w:rPr>
          <w:rFonts w:ascii="Arial" w:eastAsia="Calibri" w:hAnsi="Arial" w:cs="Arial"/>
          <w:sz w:val="22"/>
        </w:rPr>
        <w:t xml:space="preserve">. </w:t>
      </w:r>
      <w:r w:rsidR="00A66E45">
        <w:rPr>
          <w:rFonts w:ascii="Arial" w:hAnsi="Arial" w:cs="Arial"/>
          <w:sz w:val="22"/>
        </w:rPr>
        <w:t>En este</w:t>
      </w:r>
      <w:r>
        <w:rPr>
          <w:rFonts w:ascii="Arial" w:hAnsi="Arial" w:cs="Arial"/>
          <w:sz w:val="22"/>
        </w:rPr>
        <w:t xml:space="preserve"> se inscriben los contratos </w:t>
      </w:r>
      <w:r w:rsidRPr="0071463C">
        <w:rPr>
          <w:rFonts w:ascii="Arial" w:hAnsi="Arial" w:cs="Arial"/>
          <w:sz w:val="22"/>
        </w:rPr>
        <w:t>celebrados por el proponente con diferentes contratantes, codifica</w:t>
      </w:r>
      <w:r>
        <w:rPr>
          <w:rFonts w:ascii="Arial" w:hAnsi="Arial" w:cs="Arial"/>
          <w:sz w:val="22"/>
        </w:rPr>
        <w:t>dos</w:t>
      </w:r>
      <w:r w:rsidRPr="0071463C">
        <w:rPr>
          <w:rFonts w:ascii="Arial" w:hAnsi="Arial" w:cs="Arial"/>
          <w:sz w:val="22"/>
        </w:rPr>
        <w:t xml:space="preserve"> con el clasificador de bienes y servicios en el tercer nivel</w:t>
      </w:r>
      <w:r>
        <w:rPr>
          <w:rFonts w:ascii="Arial" w:hAnsi="Arial" w:cs="Arial"/>
          <w:sz w:val="22"/>
        </w:rPr>
        <w:t>.</w:t>
      </w:r>
    </w:p>
    <w:p w14:paraId="7C0C4B4C" w14:textId="693CA59F" w:rsidR="007860B7" w:rsidRDefault="00895FAF" w:rsidP="008E2B59">
      <w:pPr>
        <w:spacing w:after="120" w:line="276" w:lineRule="auto"/>
        <w:jc w:val="both"/>
        <w:rPr>
          <w:rFonts w:ascii="Arial" w:hAnsi="Arial" w:cs="Arial"/>
          <w:sz w:val="22"/>
        </w:rPr>
      </w:pPr>
      <w:r>
        <w:rPr>
          <w:rFonts w:ascii="Arial" w:hAnsi="Arial" w:cs="Arial"/>
          <w:sz w:val="22"/>
        </w:rPr>
        <w:tab/>
        <w:t xml:space="preserve">En consecuencia, a la experiencia como </w:t>
      </w:r>
      <w:r w:rsidRPr="008B2CDD">
        <w:rPr>
          <w:rFonts w:ascii="Arial" w:hAnsi="Arial" w:cs="Arial"/>
          <w:sz w:val="22"/>
        </w:rPr>
        <w:t>«factor de la fórmula de la capacidad residual»</w:t>
      </w:r>
      <w:r>
        <w:rPr>
          <w:rFonts w:ascii="Arial" w:hAnsi="Arial" w:cs="Arial"/>
          <w:sz w:val="22"/>
        </w:rPr>
        <w:t xml:space="preserve"> le aplica la regulación de la experiencia como «requisito habilitante», la cual establece que es</w:t>
      </w:r>
      <w:r w:rsidRPr="003C02E2">
        <w:rPr>
          <w:rFonts w:ascii="Arial" w:hAnsi="Arial" w:cs="Arial"/>
          <w:sz w:val="22"/>
        </w:rPr>
        <w:t xml:space="preserve"> personal</w:t>
      </w:r>
      <w:r w:rsidR="00A66E45">
        <w:rPr>
          <w:rFonts w:ascii="Arial" w:hAnsi="Arial" w:cs="Arial"/>
          <w:sz w:val="22"/>
        </w:rPr>
        <w:t>. Esto</w:t>
      </w:r>
      <w:r w:rsidRPr="003C02E2">
        <w:rPr>
          <w:rFonts w:ascii="Arial" w:hAnsi="Arial" w:cs="Arial"/>
          <w:sz w:val="22"/>
        </w:rPr>
        <w:t xml:space="preserve"> significa que quien tiene la experiencia es en razón a su participación, con anterioridad, en actividades que le permitieron conocer</w:t>
      </w:r>
      <w:r>
        <w:rPr>
          <w:rFonts w:ascii="Arial" w:hAnsi="Arial" w:cs="Arial"/>
          <w:sz w:val="22"/>
        </w:rPr>
        <w:t xml:space="preserve"> directamente</w:t>
      </w:r>
      <w:r w:rsidRPr="003C02E2">
        <w:rPr>
          <w:rFonts w:ascii="Arial" w:hAnsi="Arial" w:cs="Arial"/>
          <w:sz w:val="22"/>
        </w:rPr>
        <w:t xml:space="preserve"> cómo ejecutar el objeto contractual, que la entidad pretende satisfacer ahora</w:t>
      </w:r>
      <w:r>
        <w:rPr>
          <w:rFonts w:ascii="Arial" w:hAnsi="Arial" w:cs="Arial"/>
          <w:sz w:val="22"/>
        </w:rPr>
        <w:t xml:space="preserve">. </w:t>
      </w:r>
    </w:p>
    <w:p w14:paraId="060F3FCA" w14:textId="180CE97F" w:rsidR="00BD49C8" w:rsidRDefault="007860B7" w:rsidP="000C2C67">
      <w:pPr>
        <w:spacing w:after="120" w:line="276" w:lineRule="auto"/>
        <w:ind w:firstLine="708"/>
        <w:jc w:val="both"/>
        <w:rPr>
          <w:rFonts w:ascii="Arial" w:eastAsia="Calibri" w:hAnsi="Arial" w:cs="Arial"/>
          <w:sz w:val="22"/>
        </w:rPr>
      </w:pPr>
      <w:r>
        <w:rPr>
          <w:rFonts w:ascii="Arial" w:hAnsi="Arial" w:cs="Arial"/>
          <w:sz w:val="22"/>
        </w:rPr>
        <w:t xml:space="preserve">Por tanto, no es posible que un socio acredite la experiencia de la sociedad a la que pertenece, salvo que: </w:t>
      </w:r>
      <w:r w:rsidRPr="007860B7">
        <w:rPr>
          <w:rFonts w:ascii="Arial" w:hAnsi="Arial" w:cs="Arial"/>
          <w:sz w:val="22"/>
        </w:rPr>
        <w:t xml:space="preserve">i) la persona natural suscribe contratos con sociedades en las cuales tiene participación y pretende que le validen la experiencia de tales contratos; y </w:t>
      </w:r>
      <w:proofErr w:type="spellStart"/>
      <w:r w:rsidRPr="007860B7">
        <w:rPr>
          <w:rFonts w:ascii="Arial" w:hAnsi="Arial" w:cs="Arial"/>
          <w:sz w:val="22"/>
        </w:rPr>
        <w:t>ii</w:t>
      </w:r>
      <w:proofErr w:type="spellEnd"/>
      <w:r w:rsidRPr="007860B7">
        <w:rPr>
          <w:rFonts w:ascii="Arial" w:hAnsi="Arial" w:cs="Arial"/>
          <w:sz w:val="22"/>
        </w:rPr>
        <w:t>) cuando la sociedad es de propósito único, pues dicha persona jurídica no tiene vocación de permanencia y sólo se constituye para la ejecución de un proyecto y, por ende, un contrato específico.</w:t>
      </w:r>
      <w:r w:rsidR="000A00ED">
        <w:rPr>
          <w:rFonts w:ascii="Arial" w:eastAsia="Calibri" w:hAnsi="Arial" w:cs="Arial"/>
          <w:sz w:val="22"/>
        </w:rPr>
        <w:t xml:space="preserve"> En consecuencia</w:t>
      </w:r>
      <w:r w:rsidRPr="008F5021">
        <w:rPr>
          <w:rFonts w:ascii="Arial" w:eastAsia="Calibri" w:hAnsi="Arial" w:cs="Arial"/>
          <w:sz w:val="22"/>
        </w:rPr>
        <w:t>,</w:t>
      </w:r>
      <w:r>
        <w:rPr>
          <w:rFonts w:ascii="Arial" w:eastAsia="Calibri" w:hAnsi="Arial" w:cs="Arial"/>
          <w:sz w:val="22"/>
        </w:rPr>
        <w:t xml:space="preserve"> como</w:t>
      </w:r>
      <w:r w:rsidRPr="008F5021">
        <w:rPr>
          <w:rFonts w:ascii="Arial" w:eastAsia="Calibri" w:hAnsi="Arial" w:cs="Arial"/>
          <w:sz w:val="22"/>
        </w:rPr>
        <w:t xml:space="preserve"> el socio conserva su individualidad jurídica respecto de la sociedad de la que hace parte,</w:t>
      </w:r>
      <w:r>
        <w:rPr>
          <w:rFonts w:ascii="Arial" w:eastAsia="Calibri" w:hAnsi="Arial" w:cs="Arial"/>
          <w:sz w:val="22"/>
        </w:rPr>
        <w:t xml:space="preserve"> </w:t>
      </w:r>
      <w:r w:rsidRPr="008F5021">
        <w:rPr>
          <w:rFonts w:ascii="Arial" w:eastAsia="Calibri" w:hAnsi="Arial" w:cs="Arial"/>
          <w:sz w:val="22"/>
        </w:rPr>
        <w:t xml:space="preserve">al ser personas diferentes adquieren su experiencia de forma personal e independiente, </w:t>
      </w:r>
      <w:r>
        <w:rPr>
          <w:rFonts w:ascii="Arial" w:eastAsia="Calibri" w:hAnsi="Arial" w:cs="Arial"/>
          <w:sz w:val="22"/>
        </w:rPr>
        <w:t>y la</w:t>
      </w:r>
      <w:r w:rsidRPr="008F5021">
        <w:rPr>
          <w:rFonts w:ascii="Arial" w:eastAsia="Calibri" w:hAnsi="Arial" w:cs="Arial"/>
          <w:sz w:val="22"/>
        </w:rPr>
        <w:t xml:space="preserve"> pueden compartir conformando un proponente </w:t>
      </w:r>
      <w:proofErr w:type="gramStart"/>
      <w:r w:rsidRPr="008F5021">
        <w:rPr>
          <w:rFonts w:ascii="Arial" w:eastAsia="Calibri" w:hAnsi="Arial" w:cs="Arial"/>
          <w:sz w:val="22"/>
        </w:rPr>
        <w:t>plural  ̶</w:t>
      </w:r>
      <w:proofErr w:type="gramEnd"/>
      <w:r w:rsidRPr="008F5021">
        <w:rPr>
          <w:rFonts w:ascii="Arial" w:eastAsia="Calibri" w:hAnsi="Arial" w:cs="Arial"/>
          <w:sz w:val="22"/>
        </w:rPr>
        <w:t xml:space="preserve"> unión temporal o consorcio ̶ .</w:t>
      </w:r>
    </w:p>
    <w:p w14:paraId="760D49F9" w14:textId="77777777" w:rsidR="007860B7" w:rsidRDefault="007860B7" w:rsidP="00BD49C8">
      <w:pPr>
        <w:spacing w:line="276" w:lineRule="auto"/>
        <w:ind w:firstLine="708"/>
        <w:jc w:val="both"/>
        <w:rPr>
          <w:rFonts w:ascii="Arial" w:hAnsi="Arial" w:cs="Arial"/>
          <w:sz w:val="22"/>
        </w:rPr>
      </w:pPr>
    </w:p>
    <w:p w14:paraId="7C57E992" w14:textId="77777777" w:rsidR="008F5021" w:rsidRDefault="008F5021" w:rsidP="008F5021">
      <w:pPr>
        <w:ind w:left="708" w:right="709"/>
        <w:jc w:val="both"/>
        <w:rPr>
          <w:rFonts w:ascii="Arial" w:eastAsia="Calibri" w:hAnsi="Arial" w:cs="Arial"/>
          <w:color w:val="000000" w:themeColor="text1"/>
          <w:sz w:val="21"/>
          <w:szCs w:val="21"/>
        </w:rPr>
      </w:pPr>
      <w:proofErr w:type="gramStart"/>
      <w:r w:rsidRPr="00366A48">
        <w:rPr>
          <w:rFonts w:ascii="Arial" w:eastAsia="Calibri" w:hAnsi="Arial" w:cs="Arial"/>
          <w:color w:val="000000" w:themeColor="text1"/>
          <w:sz w:val="21"/>
          <w:szCs w:val="21"/>
        </w:rPr>
        <w:t>»Según</w:t>
      </w:r>
      <w:proofErr w:type="gramEnd"/>
      <w:r w:rsidRPr="00366A48">
        <w:rPr>
          <w:rFonts w:ascii="Arial" w:eastAsia="Calibri" w:hAnsi="Arial" w:cs="Arial"/>
          <w:color w:val="000000" w:themeColor="text1"/>
          <w:sz w:val="21"/>
          <w:szCs w:val="21"/>
        </w:rPr>
        <w:t xml:space="preserve"> concepto 027 del 28 de marzo de 2008 de la junta central de contadores y en armonía al (sic) concepto No. 005/2004 del Consejo Técnico, se ha señalado que los estados financieros de los proponentes que participan en procesos superiores a 2000 SMMLV, deben estar suscritos tanto, por el representante legal, contador y revisor fiscal o contador independiente[...]». El pliego tipo versión 2, respecto de la capacidad de organización y el estado de </w:t>
      </w:r>
      <w:r w:rsidRPr="00366A48">
        <w:rPr>
          <w:rFonts w:ascii="Arial" w:eastAsia="Calibri" w:hAnsi="Arial" w:cs="Arial"/>
          <w:color w:val="000000" w:themeColor="text1"/>
          <w:sz w:val="21"/>
          <w:szCs w:val="21"/>
        </w:rPr>
        <w:lastRenderedPageBreak/>
        <w:t xml:space="preserve">resultados integral dispone lo mismo. «[…] ¿es subsanable que los proponentes, dentro del término de traslado del informe de evaluación, reemplacen los estados financieros, incluyendo el contador independiente en los estados financieros? </w:t>
      </w:r>
      <w:proofErr w:type="gramStart"/>
      <w:r w:rsidRPr="00366A48">
        <w:rPr>
          <w:rFonts w:ascii="Arial" w:eastAsia="Calibri" w:hAnsi="Arial" w:cs="Arial"/>
          <w:color w:val="000000" w:themeColor="text1"/>
          <w:sz w:val="21"/>
          <w:szCs w:val="21"/>
        </w:rPr>
        <w:t>O en su efecto, se debe considerar como una mejora?</w:t>
      </w:r>
      <w:proofErr w:type="gramEnd"/>
      <w:r w:rsidRPr="00366A48">
        <w:rPr>
          <w:rFonts w:ascii="Arial" w:eastAsia="Calibri" w:hAnsi="Arial" w:cs="Arial"/>
          <w:color w:val="000000" w:themeColor="text1"/>
          <w:sz w:val="21"/>
          <w:szCs w:val="21"/>
        </w:rPr>
        <w:t>»</w:t>
      </w:r>
      <w:r>
        <w:rPr>
          <w:rFonts w:ascii="Arial" w:eastAsia="Calibri" w:hAnsi="Arial" w:cs="Arial"/>
          <w:color w:val="000000" w:themeColor="text1"/>
          <w:sz w:val="21"/>
          <w:szCs w:val="21"/>
        </w:rPr>
        <w:t xml:space="preserve"> </w:t>
      </w:r>
    </w:p>
    <w:p w14:paraId="36FFA61F" w14:textId="25D3756C" w:rsidR="00BD49C8" w:rsidRDefault="00BD49C8" w:rsidP="00BD49C8">
      <w:pPr>
        <w:spacing w:line="276" w:lineRule="auto"/>
        <w:jc w:val="both"/>
        <w:rPr>
          <w:rFonts w:ascii="Arial" w:hAnsi="Arial" w:cs="Arial"/>
          <w:color w:val="000000" w:themeColor="text1"/>
          <w:sz w:val="22"/>
        </w:rPr>
      </w:pPr>
    </w:p>
    <w:p w14:paraId="5943FAB2" w14:textId="472F491E" w:rsidR="007E5337" w:rsidRDefault="007E5337" w:rsidP="000C2C67">
      <w:pPr>
        <w:spacing w:line="276" w:lineRule="auto"/>
        <w:jc w:val="both"/>
        <w:rPr>
          <w:rFonts w:ascii="Arial" w:hAnsi="Arial" w:cs="Arial"/>
          <w:sz w:val="22"/>
        </w:rPr>
      </w:pPr>
      <w:r>
        <w:rPr>
          <w:rFonts w:ascii="Arial" w:hAnsi="Arial" w:cs="Arial"/>
          <w:sz w:val="22"/>
        </w:rPr>
        <w:t xml:space="preserve">De acuerdo con el artículo 6 de la Ley 1150 de 2007 y lo previsto en el numeral 3.10 «CAPACIDAD RESIDUAL» del «Documento Base o Pliego Tipo», la capacidad residual es un requisito habilitante susceptible de </w:t>
      </w:r>
      <w:r w:rsidR="000A00ED">
        <w:rPr>
          <w:rFonts w:ascii="Arial" w:hAnsi="Arial" w:cs="Arial"/>
          <w:sz w:val="22"/>
        </w:rPr>
        <w:t>subsanación</w:t>
      </w:r>
      <w:r>
        <w:rPr>
          <w:rFonts w:ascii="Arial" w:hAnsi="Arial" w:cs="Arial"/>
          <w:sz w:val="22"/>
        </w:rPr>
        <w:t xml:space="preserve">, </w:t>
      </w:r>
      <w:r w:rsidR="000A00ED">
        <w:rPr>
          <w:rFonts w:ascii="Arial" w:hAnsi="Arial" w:cs="Arial"/>
          <w:sz w:val="22"/>
        </w:rPr>
        <w:t>pues</w:t>
      </w:r>
      <w:r>
        <w:rPr>
          <w:rFonts w:ascii="Arial" w:hAnsi="Arial" w:cs="Arial"/>
          <w:sz w:val="22"/>
        </w:rPr>
        <w:t xml:space="preserve"> no afecta la asignación de puntaje del procedimiento de selección. Ahora, la entidad solo podrá requerir información al proponente que no haya sido aportada al momento de la inscripción del registro único de proponentes, y el oferente deberá aportarla a más tardar durante el traslado del informe de evaluación. En el caso de la licitación pública de obra, el término de traslado del informe de evaluación será dentro de los cinco (5) días hábiles siguientes a su expedición</w:t>
      </w:r>
      <w:r>
        <w:rPr>
          <w:rStyle w:val="Refdenotaalpie"/>
          <w:rFonts w:ascii="Arial" w:hAnsi="Arial" w:cs="Arial"/>
          <w:sz w:val="22"/>
        </w:rPr>
        <w:footnoteReference w:id="24"/>
      </w:r>
      <w:r>
        <w:rPr>
          <w:rFonts w:ascii="Arial" w:hAnsi="Arial" w:cs="Arial"/>
          <w:sz w:val="22"/>
        </w:rPr>
        <w:t xml:space="preserve">. </w:t>
      </w:r>
    </w:p>
    <w:p w14:paraId="3C4C8820" w14:textId="5F0F0FEF" w:rsidR="007B51A8" w:rsidRDefault="007B51A8" w:rsidP="00BD49C8">
      <w:pPr>
        <w:spacing w:line="276" w:lineRule="auto"/>
        <w:jc w:val="both"/>
        <w:rPr>
          <w:rFonts w:ascii="Arial" w:hAnsi="Arial" w:cs="Arial"/>
          <w:color w:val="000000" w:themeColor="text1"/>
          <w:sz w:val="22"/>
        </w:rPr>
      </w:pPr>
    </w:p>
    <w:p w14:paraId="5FE33BA2" w14:textId="77777777" w:rsidR="007B51A8" w:rsidRDefault="007B51A8" w:rsidP="00BD49C8">
      <w:pPr>
        <w:spacing w:line="276" w:lineRule="auto"/>
        <w:jc w:val="both"/>
        <w:rPr>
          <w:rFonts w:ascii="Arial" w:hAnsi="Arial" w:cs="Arial"/>
          <w:color w:val="000000" w:themeColor="text1"/>
          <w:sz w:val="22"/>
        </w:rPr>
      </w:pPr>
    </w:p>
    <w:p w14:paraId="0894BC19" w14:textId="77777777" w:rsidR="00BD49C8" w:rsidRDefault="00BD49C8" w:rsidP="00BD49C8">
      <w:pPr>
        <w:spacing w:line="276" w:lineRule="auto"/>
        <w:jc w:val="both"/>
        <w:rPr>
          <w:rFonts w:ascii="Arial" w:hAnsi="Arial" w:cs="Arial"/>
          <w:color w:val="000000" w:themeColor="text1"/>
          <w:sz w:val="22"/>
        </w:rPr>
      </w:pPr>
      <w:r>
        <w:rPr>
          <w:rFonts w:ascii="Arial" w:hAnsi="Arial" w:cs="Arial"/>
          <w:color w:val="000000" w:themeColor="text1"/>
          <w:sz w:val="22"/>
        </w:rPr>
        <w:t>Este concepto tiene el alcance previsto en el artículo 28 del Código de Procedimiento Administrativo y de lo Contencioso Administrativo.</w:t>
      </w:r>
    </w:p>
    <w:p w14:paraId="4D00AD79" w14:textId="77777777" w:rsidR="00BD49C8" w:rsidRDefault="00BD49C8" w:rsidP="00BD49C8">
      <w:pPr>
        <w:ind w:firstLine="709"/>
        <w:jc w:val="both"/>
        <w:rPr>
          <w:rFonts w:ascii="Arial" w:hAnsi="Arial" w:cs="Arial"/>
          <w:color w:val="000000" w:themeColor="text1"/>
          <w:sz w:val="22"/>
        </w:rPr>
      </w:pPr>
    </w:p>
    <w:p w14:paraId="1D5A8F16" w14:textId="77777777" w:rsidR="00EF5EA4" w:rsidRDefault="00EF5EA4" w:rsidP="00EF5EA4">
      <w:pPr>
        <w:textAlignment w:val="baseline"/>
        <w:rPr>
          <w:rFonts w:ascii="Segoe UI" w:eastAsia="Times New Roman" w:hAnsi="Segoe UI" w:cs="Segoe UI"/>
          <w:sz w:val="18"/>
          <w:szCs w:val="18"/>
          <w:lang w:val="es-CO" w:eastAsia="es-CO"/>
        </w:rPr>
      </w:pPr>
      <w:r>
        <w:rPr>
          <w:rFonts w:ascii="Arial" w:eastAsia="Times New Roman" w:hAnsi="Arial" w:cs="Arial"/>
          <w:sz w:val="22"/>
          <w:lang w:eastAsia="es-CO"/>
        </w:rPr>
        <w:t>Atentamente,</w:t>
      </w:r>
      <w:r>
        <w:rPr>
          <w:rFonts w:ascii="Arial" w:eastAsia="Times New Roman" w:hAnsi="Arial" w:cs="Arial"/>
          <w:sz w:val="22"/>
          <w:lang w:val="es-CO" w:eastAsia="es-CO"/>
        </w:rPr>
        <w:t> </w:t>
      </w:r>
    </w:p>
    <w:p w14:paraId="362FF803" w14:textId="77777777" w:rsidR="00EF5EA4" w:rsidRDefault="00EF5EA4" w:rsidP="00EF5EA4">
      <w:pPr>
        <w:textAlignment w:val="baseline"/>
        <w:rPr>
          <w:rFonts w:ascii="Segoe UI" w:eastAsia="Times New Roman" w:hAnsi="Segoe UI" w:cs="Segoe UI"/>
          <w:sz w:val="18"/>
          <w:szCs w:val="18"/>
          <w:lang w:val="es-CO" w:eastAsia="es-CO"/>
        </w:rPr>
      </w:pPr>
      <w:r>
        <w:rPr>
          <w:rFonts w:ascii="Arial" w:eastAsia="Times New Roman" w:hAnsi="Arial" w:cs="Arial"/>
          <w:sz w:val="22"/>
          <w:lang w:val="es-CO" w:eastAsia="es-CO"/>
        </w:rPr>
        <w:t> </w:t>
      </w:r>
    </w:p>
    <w:p w14:paraId="694A6DB1" w14:textId="73ADB5A0" w:rsidR="00EF5EA4" w:rsidRDefault="00191213" w:rsidP="00191213">
      <w:pPr>
        <w:jc w:val="center"/>
        <w:textAlignment w:val="baseline"/>
        <w:rPr>
          <w:rFonts w:ascii="Segoe UI" w:eastAsia="Times New Roman" w:hAnsi="Segoe UI" w:cs="Segoe UI"/>
          <w:sz w:val="18"/>
          <w:szCs w:val="18"/>
          <w:lang w:val="es-CO" w:eastAsia="es-CO"/>
        </w:rPr>
      </w:pPr>
      <w:r>
        <w:rPr>
          <w:noProof/>
        </w:rPr>
        <w:drawing>
          <wp:inline distT="0" distB="0" distL="0" distR="0" wp14:anchorId="1A0DC8E0" wp14:editId="1DDFFC4A">
            <wp:extent cx="2524125" cy="1133475"/>
            <wp:effectExtent l="0" t="0" r="9525" b="9525"/>
            <wp:docPr id="4"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a:picLocks noChangeAspect="1"/>
                    </pic:cNvPicPr>
                  </pic:nvPicPr>
                  <pic:blipFill rotWithShape="1">
                    <a:blip r:embed="rId13"/>
                    <a:srcRect l="52396" t="56163" r="24394" b="24104"/>
                    <a:stretch/>
                  </pic:blipFill>
                  <pic:spPr bwMode="auto">
                    <a:xfrm>
                      <a:off x="0" y="0"/>
                      <a:ext cx="2524125" cy="1133475"/>
                    </a:xfrm>
                    <a:prstGeom prst="rect">
                      <a:avLst/>
                    </a:prstGeom>
                    <a:ln>
                      <a:noFill/>
                    </a:ln>
                    <a:extLst>
                      <a:ext uri="{53640926-AAD7-44D8-BBD7-CCE9431645EC}">
                        <a14:shadowObscured xmlns:a14="http://schemas.microsoft.com/office/drawing/2010/main"/>
                      </a:ext>
                    </a:extLst>
                  </pic:spPr>
                </pic:pic>
              </a:graphicData>
            </a:graphic>
          </wp:inline>
        </w:drawing>
      </w:r>
    </w:p>
    <w:p w14:paraId="675F2100" w14:textId="77777777" w:rsidR="00EF5EA4" w:rsidRDefault="00EF5EA4" w:rsidP="00EF5EA4">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p w14:paraId="4781E6F3" w14:textId="77777777" w:rsidR="00EF5EA4" w:rsidRDefault="00EF5EA4" w:rsidP="00EF5EA4">
      <w:pPr>
        <w:jc w:val="center"/>
        <w:textAlignment w:val="baseline"/>
        <w:rPr>
          <w:rFonts w:ascii="Segoe UI" w:eastAsia="Times New Roman" w:hAnsi="Segoe UI" w:cs="Segoe UI"/>
          <w:sz w:val="18"/>
          <w:szCs w:val="18"/>
          <w:lang w:val="es-CO" w:eastAsia="es-CO"/>
        </w:rPr>
      </w:pPr>
      <w:r>
        <w:rPr>
          <w:rFonts w:ascii="Arial" w:eastAsia="Times New Roman" w:hAnsi="Arial" w:cs="Arial"/>
          <w:sz w:val="18"/>
          <w:szCs w:val="18"/>
          <w:lang w:val="es-CO" w:eastAsia="es-CO"/>
        </w:rPr>
        <w:t> </w:t>
      </w:r>
    </w:p>
    <w:tbl>
      <w:tblPr>
        <w:tblW w:w="5220" w:type="dxa"/>
        <w:tblCellMar>
          <w:left w:w="0" w:type="dxa"/>
          <w:right w:w="0" w:type="dxa"/>
        </w:tblCellMar>
        <w:tblLook w:val="04A0" w:firstRow="1" w:lastRow="0" w:firstColumn="1" w:lastColumn="0" w:noHBand="0" w:noVBand="1"/>
      </w:tblPr>
      <w:tblGrid>
        <w:gridCol w:w="810"/>
        <w:gridCol w:w="4410"/>
      </w:tblGrid>
      <w:tr w:rsidR="00EF5EA4" w14:paraId="3E3A15A2" w14:textId="77777777" w:rsidTr="000C2C67">
        <w:trPr>
          <w:trHeight w:val="315"/>
        </w:trPr>
        <w:tc>
          <w:tcPr>
            <w:tcW w:w="810" w:type="dxa"/>
            <w:vAlign w:val="center"/>
            <w:hideMark/>
          </w:tcPr>
          <w:p w14:paraId="5D85CBF9"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Elaboró:</w:t>
            </w:r>
            <w:r>
              <w:rPr>
                <w:rFonts w:ascii="Arial" w:eastAsia="Times New Roman" w:hAnsi="Arial" w:cs="Arial"/>
                <w:sz w:val="16"/>
                <w:szCs w:val="16"/>
                <w:lang w:val="es-CO" w:eastAsia="es-CO"/>
              </w:rPr>
              <w:t> </w:t>
            </w:r>
          </w:p>
        </w:tc>
        <w:tc>
          <w:tcPr>
            <w:tcW w:w="4410" w:type="dxa"/>
            <w:vAlign w:val="center"/>
            <w:hideMark/>
          </w:tcPr>
          <w:p w14:paraId="70EEE52C"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Ximena Ríos López</w:t>
            </w:r>
            <w:r>
              <w:rPr>
                <w:rFonts w:ascii="Arial" w:eastAsia="Times New Roman" w:hAnsi="Arial" w:cs="Arial"/>
                <w:sz w:val="16"/>
                <w:szCs w:val="16"/>
                <w:lang w:val="es-CO" w:eastAsia="es-CO"/>
              </w:rPr>
              <w:t> </w:t>
            </w:r>
          </w:p>
          <w:p w14:paraId="17DAC166"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Gestor T1-11</w:t>
            </w:r>
            <w:r>
              <w:rPr>
                <w:rFonts w:ascii="Arial" w:eastAsia="Times New Roman" w:hAnsi="Arial" w:cs="Arial"/>
                <w:sz w:val="16"/>
                <w:szCs w:val="16"/>
                <w:lang w:val="es-CO" w:eastAsia="es-CO"/>
              </w:rPr>
              <w:t xml:space="preserve"> de la Subdirección de Gestión Contractual </w:t>
            </w:r>
          </w:p>
        </w:tc>
      </w:tr>
      <w:tr w:rsidR="00EF5EA4" w14:paraId="2A5D1F8B" w14:textId="77777777" w:rsidTr="000C2C67">
        <w:trPr>
          <w:trHeight w:val="315"/>
        </w:trPr>
        <w:tc>
          <w:tcPr>
            <w:tcW w:w="810" w:type="dxa"/>
            <w:vAlign w:val="center"/>
            <w:hideMark/>
          </w:tcPr>
          <w:p w14:paraId="555CCECD"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Revisó:</w:t>
            </w:r>
            <w:r>
              <w:rPr>
                <w:rFonts w:ascii="Arial" w:eastAsia="Times New Roman" w:hAnsi="Arial" w:cs="Arial"/>
                <w:sz w:val="16"/>
                <w:szCs w:val="16"/>
                <w:lang w:val="es-CO" w:eastAsia="es-CO"/>
              </w:rPr>
              <w:t> </w:t>
            </w:r>
          </w:p>
        </w:tc>
        <w:tc>
          <w:tcPr>
            <w:tcW w:w="4410" w:type="dxa"/>
            <w:vAlign w:val="center"/>
            <w:hideMark/>
          </w:tcPr>
          <w:p w14:paraId="64767E57"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Juan David Montoya Penagos</w:t>
            </w:r>
          </w:p>
          <w:p w14:paraId="30D9B0B7"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 xml:space="preserve">Gestor T1-15 </w:t>
            </w:r>
            <w:r>
              <w:rPr>
                <w:rFonts w:ascii="Arial" w:eastAsia="Times New Roman" w:hAnsi="Arial" w:cs="Arial"/>
                <w:sz w:val="16"/>
                <w:szCs w:val="16"/>
                <w:lang w:val="es-CO" w:eastAsia="es-CO"/>
              </w:rPr>
              <w:t>de la Subdirección de Gestión Contractual</w:t>
            </w:r>
          </w:p>
        </w:tc>
      </w:tr>
      <w:tr w:rsidR="00EF5EA4" w14:paraId="7B88E577" w14:textId="77777777" w:rsidTr="000C2C67">
        <w:trPr>
          <w:trHeight w:val="300"/>
        </w:trPr>
        <w:tc>
          <w:tcPr>
            <w:tcW w:w="810" w:type="dxa"/>
            <w:vAlign w:val="center"/>
            <w:hideMark/>
          </w:tcPr>
          <w:p w14:paraId="518FE0C6"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Aprobó:</w:t>
            </w:r>
            <w:r>
              <w:rPr>
                <w:rFonts w:ascii="Arial" w:eastAsia="Times New Roman" w:hAnsi="Arial" w:cs="Arial"/>
                <w:sz w:val="16"/>
                <w:szCs w:val="16"/>
                <w:lang w:val="es-CO" w:eastAsia="es-CO"/>
              </w:rPr>
              <w:t> </w:t>
            </w:r>
          </w:p>
        </w:tc>
        <w:tc>
          <w:tcPr>
            <w:tcW w:w="4410" w:type="dxa"/>
            <w:vAlign w:val="center"/>
            <w:hideMark/>
          </w:tcPr>
          <w:p w14:paraId="17AEFE7F"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Jorge Augusto Tirado Navarro</w:t>
            </w:r>
            <w:r>
              <w:rPr>
                <w:rFonts w:ascii="Arial" w:eastAsia="Times New Roman" w:hAnsi="Arial" w:cs="Arial"/>
                <w:sz w:val="16"/>
                <w:szCs w:val="16"/>
                <w:lang w:val="es-CO" w:eastAsia="es-CO"/>
              </w:rPr>
              <w:t> </w:t>
            </w:r>
          </w:p>
          <w:p w14:paraId="2F661D90" w14:textId="77777777" w:rsidR="00EF5EA4" w:rsidRDefault="00EF5EA4">
            <w:pPr>
              <w:spacing w:line="254" w:lineRule="auto"/>
              <w:textAlignment w:val="baseline"/>
              <w:rPr>
                <w:rFonts w:ascii="Times New Roman" w:eastAsia="Times New Roman" w:hAnsi="Times New Roman" w:cs="Times New Roman"/>
                <w:szCs w:val="24"/>
                <w:lang w:val="es-CO" w:eastAsia="es-CO"/>
              </w:rPr>
            </w:pPr>
            <w:r>
              <w:rPr>
                <w:rFonts w:ascii="Arial" w:eastAsia="Times New Roman" w:hAnsi="Arial" w:cs="Arial"/>
                <w:sz w:val="16"/>
                <w:szCs w:val="16"/>
                <w:lang w:eastAsia="es-CO"/>
              </w:rPr>
              <w:t>Subdirector de Gestión Contractual ANCP – CCE</w:t>
            </w:r>
            <w:r>
              <w:rPr>
                <w:rFonts w:ascii="Arial" w:eastAsia="Times New Roman" w:hAnsi="Arial" w:cs="Arial"/>
                <w:sz w:val="16"/>
                <w:szCs w:val="16"/>
                <w:lang w:val="es-CO" w:eastAsia="es-CO"/>
              </w:rPr>
              <w:t> </w:t>
            </w:r>
          </w:p>
        </w:tc>
      </w:tr>
    </w:tbl>
    <w:p w14:paraId="4D9B84EB" w14:textId="77777777" w:rsidR="00BD49C8" w:rsidRDefault="00BD49C8" w:rsidP="00BD49C8">
      <w:pPr>
        <w:rPr>
          <w:rFonts w:ascii="Arial" w:hAnsi="Arial" w:cs="Arial"/>
          <w:color w:val="000000" w:themeColor="text1"/>
        </w:rPr>
      </w:pPr>
    </w:p>
    <w:bookmarkEnd w:id="0"/>
    <w:bookmarkEnd w:id="4"/>
    <w:p w14:paraId="7EBF297E" w14:textId="77777777" w:rsidR="007B0854" w:rsidRPr="00BD49C8" w:rsidRDefault="007B0854" w:rsidP="00BD49C8"/>
    <w:sectPr w:rsidR="007B0854" w:rsidRPr="00BD49C8"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4DE" w14:textId="77777777" w:rsidR="000E50C7" w:rsidRDefault="000E50C7">
      <w:r>
        <w:separator/>
      </w:r>
    </w:p>
  </w:endnote>
  <w:endnote w:type="continuationSeparator" w:id="0">
    <w:p w14:paraId="5A19EB20" w14:textId="77777777" w:rsidR="000E50C7" w:rsidRDefault="000E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8AFD" w14:textId="77777777" w:rsidR="000E50C7" w:rsidRDefault="000E50C7">
      <w:r>
        <w:separator/>
      </w:r>
    </w:p>
  </w:footnote>
  <w:footnote w:type="continuationSeparator" w:id="0">
    <w:p w14:paraId="589BBF0D" w14:textId="77777777" w:rsidR="000E50C7" w:rsidRDefault="000E50C7">
      <w:r>
        <w:continuationSeparator/>
      </w:r>
    </w:p>
  </w:footnote>
  <w:footnote w:id="1">
    <w:p w14:paraId="74C53F87" w14:textId="77777777" w:rsidR="00BD49C8" w:rsidRPr="00C243E3" w:rsidRDefault="00BD49C8" w:rsidP="00C243E3">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E231E2B" w14:textId="77777777" w:rsidR="00BD49C8" w:rsidRPr="00C243E3" w:rsidRDefault="00BD49C8" w:rsidP="00C243E3">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344948D7" w14:textId="77777777" w:rsidR="00BD49C8" w:rsidRPr="00C243E3" w:rsidRDefault="00BD49C8" w:rsidP="00C243E3">
      <w:pPr>
        <w:pStyle w:val="Textonotapie"/>
        <w:ind w:firstLine="708"/>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7A7C2530" w14:textId="77777777" w:rsidR="00BD49C8" w:rsidRPr="00C243E3" w:rsidRDefault="00BD49C8" w:rsidP="00C243E3">
      <w:pPr>
        <w:pStyle w:val="Textonotapie"/>
        <w:jc w:val="both"/>
        <w:rPr>
          <w:rFonts w:ascii="Arial" w:hAnsi="Arial" w:cs="Arial"/>
          <w:color w:val="000000" w:themeColor="text1"/>
          <w:sz w:val="19"/>
          <w:szCs w:val="19"/>
          <w:lang w:val="es-CO"/>
        </w:rPr>
      </w:pPr>
    </w:p>
  </w:footnote>
  <w:footnote w:id="2">
    <w:p w14:paraId="79C1B909" w14:textId="2B79E428" w:rsidR="0072364C" w:rsidRPr="00C243E3" w:rsidRDefault="00BD49C8" w:rsidP="00C243E3">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3">
    <w:p w14:paraId="6D1427E7" w14:textId="037D5272" w:rsidR="00987B6A" w:rsidRPr="00C243E3" w:rsidRDefault="00987B6A" w:rsidP="00C243E3">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eastAsia="Calibri" w:hAnsi="Arial" w:cs="Arial"/>
          <w:color w:val="000000" w:themeColor="text1"/>
          <w:sz w:val="19"/>
          <w:szCs w:val="19"/>
        </w:rPr>
        <w:t>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394BB677" w14:textId="77777777" w:rsidR="00987B6A" w:rsidRPr="00C243E3" w:rsidRDefault="00987B6A" w:rsidP="00C243E3">
      <w:pPr>
        <w:pStyle w:val="Textonotapie"/>
        <w:ind w:firstLine="708"/>
        <w:jc w:val="both"/>
        <w:rPr>
          <w:rFonts w:ascii="Arial" w:eastAsia="Calibri" w:hAnsi="Arial" w:cs="Arial"/>
          <w:color w:val="000000" w:themeColor="text1"/>
          <w:sz w:val="19"/>
          <w:szCs w:val="19"/>
        </w:rPr>
      </w:pPr>
    </w:p>
    <w:p w14:paraId="28A3BC4A" w14:textId="3CD2533C" w:rsidR="00987B6A" w:rsidRPr="00C243E3" w:rsidRDefault="00987B6A" w:rsidP="00C243E3">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»1. Manuales para el uso de los Acuerdos Marco de Precios.</w:t>
      </w:r>
    </w:p>
    <w:p w14:paraId="2C7B1A2E" w14:textId="77777777" w:rsidR="00987B6A" w:rsidRPr="00C243E3" w:rsidRDefault="00987B6A" w:rsidP="00C243E3">
      <w:pPr>
        <w:pStyle w:val="Textonotapie"/>
        <w:ind w:firstLine="708"/>
        <w:jc w:val="both"/>
        <w:rPr>
          <w:rFonts w:ascii="Arial" w:eastAsia="Calibri" w:hAnsi="Arial" w:cs="Arial"/>
          <w:color w:val="000000" w:themeColor="text1"/>
          <w:sz w:val="19"/>
          <w:szCs w:val="19"/>
        </w:rPr>
      </w:pPr>
    </w:p>
    <w:p w14:paraId="668DE544" w14:textId="2A3F0BC1" w:rsidR="00987B6A" w:rsidRPr="00C243E3" w:rsidRDefault="00987B6A" w:rsidP="00C243E3">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 xml:space="preserve">»2. Manuales y guías para: (a) la identificación y cobertura del Riesgo; (b) la determinación de la Capacidad Residual para los contratos de obra pública dependiendo del valor de </w:t>
      </w:r>
      <w:proofErr w:type="gramStart"/>
      <w:r w:rsidRPr="00C243E3">
        <w:rPr>
          <w:rFonts w:ascii="Arial" w:eastAsia="Calibri" w:hAnsi="Arial" w:cs="Arial"/>
          <w:color w:val="000000" w:themeColor="text1"/>
          <w:sz w:val="19"/>
          <w:szCs w:val="19"/>
        </w:rPr>
        <w:t>los mismos</w:t>
      </w:r>
      <w:proofErr w:type="gramEnd"/>
      <w:r w:rsidRPr="00C243E3">
        <w:rPr>
          <w:rFonts w:ascii="Arial" w:eastAsia="Calibri" w:hAnsi="Arial" w:cs="Arial"/>
          <w:color w:val="000000" w:themeColor="text1"/>
          <w:sz w:val="19"/>
          <w:szCs w:val="19"/>
        </w:rPr>
        <w:t>; (c) la elaboración y actualización del Plan Anual de Adquisiciones; y (d) el uso del Clasificador de Bienes y Servicios.</w:t>
      </w:r>
    </w:p>
    <w:p w14:paraId="041FB266" w14:textId="7E32979D" w:rsidR="00C243E3" w:rsidRPr="00C243E3" w:rsidRDefault="00987B6A" w:rsidP="00C243E3">
      <w:pPr>
        <w:pStyle w:val="Textonotapie"/>
        <w:ind w:firstLine="708"/>
        <w:jc w:val="both"/>
        <w:rPr>
          <w:rFonts w:ascii="Arial" w:hAnsi="Arial" w:cs="Arial"/>
          <w:sz w:val="19"/>
          <w:szCs w:val="19"/>
          <w:lang w:val="es-CO"/>
        </w:rPr>
      </w:pPr>
      <w:r w:rsidRPr="00C243E3">
        <w:rPr>
          <w:rFonts w:ascii="Arial" w:eastAsia="Calibri" w:hAnsi="Arial" w:cs="Arial"/>
          <w:color w:val="000000" w:themeColor="text1"/>
          <w:sz w:val="19"/>
          <w:szCs w:val="19"/>
        </w:rPr>
        <w:t>»[…]».</w:t>
      </w:r>
    </w:p>
  </w:footnote>
  <w:footnote w:id="4">
    <w:p w14:paraId="7EA80F4D"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Expedida de acuerdo con el deber señalado en el 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105FECEB"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4B10B53C"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 xml:space="preserve">»2. Manuales y guías para: (a) la identificación y cobertura del Riesgo; (b) la determinación de la Capacidad Residual para los contratos de obra pública dependiendo del valor de </w:t>
      </w:r>
      <w:proofErr w:type="gramStart"/>
      <w:r w:rsidRPr="000302CF">
        <w:rPr>
          <w:rFonts w:ascii="Arial" w:hAnsi="Arial" w:cs="Arial"/>
          <w:sz w:val="19"/>
          <w:szCs w:val="19"/>
        </w:rPr>
        <w:t>los mismos</w:t>
      </w:r>
      <w:proofErr w:type="gramEnd"/>
      <w:r w:rsidRPr="000302CF">
        <w:rPr>
          <w:rFonts w:ascii="Arial" w:hAnsi="Arial" w:cs="Arial"/>
          <w:sz w:val="19"/>
          <w:szCs w:val="19"/>
        </w:rPr>
        <w:t>; (c) la elaboración y actualización del Plan Anual de Adquisiciones; y (d) el uso del Clasificador de Bienes y Servicios.</w:t>
      </w:r>
    </w:p>
    <w:p w14:paraId="5B058BAC"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7ECC2D42" w14:textId="77777777" w:rsidR="00895FAF" w:rsidRPr="000302CF" w:rsidRDefault="00895FAF" w:rsidP="00895FAF">
      <w:pPr>
        <w:pStyle w:val="Textonotapie"/>
        <w:ind w:firstLine="708"/>
        <w:jc w:val="both"/>
        <w:rPr>
          <w:rFonts w:ascii="Arial" w:hAnsi="Arial" w:cs="Arial"/>
          <w:sz w:val="19"/>
          <w:szCs w:val="19"/>
          <w:lang w:val="es-ES"/>
        </w:rPr>
      </w:pPr>
    </w:p>
  </w:footnote>
  <w:footnote w:id="5">
    <w:p w14:paraId="79F12CC4"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44F5BB5"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637DF602"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»Documentos</w:t>
      </w:r>
      <w:proofErr w:type="gramEnd"/>
      <w:r w:rsidRPr="000302CF">
        <w:rPr>
          <w:rFonts w:ascii="Arial" w:hAnsi="Arial" w:cs="Arial"/>
          <w:sz w:val="19"/>
          <w:szCs w:val="19"/>
        </w:rPr>
        <w:t xml:space="preserve">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7253A0F6"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0D52EF56" w14:textId="77777777" w:rsidR="00895FAF" w:rsidRPr="000302CF" w:rsidRDefault="00895FAF" w:rsidP="00895FAF">
      <w:pPr>
        <w:pStyle w:val="Textonotapie"/>
        <w:jc w:val="both"/>
        <w:rPr>
          <w:rFonts w:ascii="Arial" w:hAnsi="Arial" w:cs="Arial"/>
          <w:sz w:val="19"/>
          <w:szCs w:val="19"/>
          <w:lang w:val="es-ES"/>
        </w:rPr>
      </w:pPr>
    </w:p>
  </w:footnote>
  <w:footnote w:id="6">
    <w:p w14:paraId="41B4745C"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2E0B727"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»Las</w:t>
      </w:r>
      <w:proofErr w:type="gramEnd"/>
      <w:r w:rsidRPr="000302CF">
        <w:rPr>
          <w:rFonts w:ascii="Arial" w:hAnsi="Arial" w:cs="Arial"/>
          <w:sz w:val="19"/>
          <w:szCs w:val="19"/>
        </w:rPr>
        <w:t xml:space="preserve"> personas jurídicas nacionales y extranjeras deberán acreditar que su duración no será inferior a la del plazo del contrato y un año más».</w:t>
      </w:r>
    </w:p>
    <w:p w14:paraId="41DF22D1" w14:textId="77777777" w:rsidR="00895FAF" w:rsidRPr="000302CF" w:rsidRDefault="00895FAF" w:rsidP="00895FAF">
      <w:pPr>
        <w:pStyle w:val="Textonotapie"/>
        <w:jc w:val="both"/>
        <w:rPr>
          <w:rFonts w:ascii="Arial" w:hAnsi="Arial" w:cs="Arial"/>
          <w:sz w:val="19"/>
          <w:szCs w:val="19"/>
          <w:lang w:val="es-CO"/>
        </w:rPr>
      </w:pPr>
      <w:r w:rsidRPr="000302CF">
        <w:rPr>
          <w:rFonts w:ascii="Arial" w:hAnsi="Arial" w:cs="Arial"/>
          <w:sz w:val="19"/>
          <w:szCs w:val="19"/>
        </w:rPr>
        <w:t xml:space="preserve"> </w:t>
      </w:r>
    </w:p>
  </w:footnote>
  <w:footnote w:id="7">
    <w:p w14:paraId="284788FD"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Código Civil: «Artículo 633. Definición de persona jurídica. Se llama persona jurídica, una persona ficticia, capaz de ejercer derechos y contraer obligaciones civiles, y de ser representada judicial y extrajudicialmente.</w:t>
      </w:r>
    </w:p>
    <w:p w14:paraId="5B5F1C50"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»Las</w:t>
      </w:r>
      <w:proofErr w:type="gramEnd"/>
      <w:r w:rsidRPr="000302CF">
        <w:rPr>
          <w:rFonts w:ascii="Arial" w:hAnsi="Arial" w:cs="Arial"/>
          <w:sz w:val="19"/>
          <w:szCs w:val="19"/>
        </w:rPr>
        <w:t xml:space="preserve"> personas jurídicas son de dos especies: corporaciones y fundaciones de beneficencia pública.</w:t>
      </w:r>
    </w:p>
    <w:p w14:paraId="6ACE1110" w14:textId="77777777" w:rsidR="00895FAF" w:rsidRPr="000302CF" w:rsidRDefault="00895FAF" w:rsidP="00895FAF">
      <w:pPr>
        <w:pStyle w:val="Textonotapie"/>
        <w:ind w:firstLine="708"/>
        <w:jc w:val="both"/>
        <w:rPr>
          <w:rFonts w:ascii="Arial" w:hAnsi="Arial" w:cs="Arial"/>
          <w:sz w:val="19"/>
          <w:szCs w:val="19"/>
          <w:lang w:val="es-CO"/>
        </w:rPr>
      </w:pPr>
      <w:proofErr w:type="gramStart"/>
      <w:r w:rsidRPr="000302CF">
        <w:rPr>
          <w:rFonts w:ascii="Arial" w:hAnsi="Arial" w:cs="Arial"/>
          <w:sz w:val="19"/>
          <w:szCs w:val="19"/>
        </w:rPr>
        <w:t>»Hay</w:t>
      </w:r>
      <w:proofErr w:type="gramEnd"/>
      <w:r w:rsidRPr="000302CF">
        <w:rPr>
          <w:rFonts w:ascii="Arial" w:hAnsi="Arial" w:cs="Arial"/>
          <w:sz w:val="19"/>
          <w:szCs w:val="19"/>
        </w:rPr>
        <w:t xml:space="preserve"> personas jurídicas que participan de uno y otro carácter».</w:t>
      </w:r>
    </w:p>
  </w:footnote>
  <w:footnote w:id="8">
    <w:p w14:paraId="7E717125" w14:textId="77777777" w:rsidR="00895FAF" w:rsidRPr="000302CF" w:rsidRDefault="00895FAF" w:rsidP="00895FAF">
      <w:pPr>
        <w:pStyle w:val="Textonotapie"/>
        <w:ind w:firstLine="708"/>
        <w:jc w:val="both"/>
        <w:rPr>
          <w:rFonts w:ascii="Arial" w:hAnsi="Arial" w:cs="Arial"/>
          <w:sz w:val="19"/>
          <w:szCs w:val="19"/>
          <w:lang w:val="es-CO"/>
        </w:rPr>
      </w:pPr>
    </w:p>
    <w:p w14:paraId="610E8CA7"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Código de Comercio: «Artículo 1. Aplicabilidad de la ley comercial. Los comerciantes y los asuntos mercantiles se regirán por las disposiciones de la ley comercial, y los casos no regulados expresamente en ella serán decididos por analogía de sus normas.</w:t>
      </w:r>
    </w:p>
    <w:p w14:paraId="0636D862"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»Artículo</w:t>
      </w:r>
      <w:proofErr w:type="gramEnd"/>
      <w:r w:rsidRPr="000302CF">
        <w:rPr>
          <w:rFonts w:ascii="Arial" w:hAnsi="Arial" w:cs="Arial"/>
          <w:sz w:val="19"/>
          <w:szCs w:val="19"/>
        </w:rPr>
        <w:t xml:space="preserve"> 2. Aplicación de la legislación civil. En las cuestiones comerciales que no pudieren regularse conforme a la regla anterior, se aplicarán las disposiciones de la legislación civil».</w:t>
      </w:r>
    </w:p>
    <w:p w14:paraId="0117E8CB" w14:textId="77777777" w:rsidR="00895FAF" w:rsidRPr="000302CF" w:rsidRDefault="00895FAF" w:rsidP="00895FAF">
      <w:pPr>
        <w:pStyle w:val="Textonotapie"/>
        <w:jc w:val="both"/>
        <w:rPr>
          <w:rFonts w:ascii="Arial" w:hAnsi="Arial" w:cs="Arial"/>
          <w:sz w:val="19"/>
          <w:szCs w:val="19"/>
          <w:lang w:val="es-CO"/>
        </w:rPr>
      </w:pPr>
    </w:p>
  </w:footnote>
  <w:footnote w:id="9">
    <w:p w14:paraId="0D4A6846"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0302CF">
        <w:rPr>
          <w:rFonts w:ascii="Arial" w:hAnsi="Arial" w:cs="Arial"/>
          <w:sz w:val="19"/>
          <w:szCs w:val="19"/>
        </w:rPr>
        <w:t>equivalentes,</w:t>
      </w:r>
      <w:proofErr w:type="gramEnd"/>
      <w:r w:rsidRPr="000302CF">
        <w:rPr>
          <w:rFonts w:ascii="Arial" w:hAnsi="Arial" w:cs="Arial"/>
          <w:sz w:val="19"/>
          <w:szCs w:val="19"/>
        </w:rPr>
        <w:t xml:space="preserve"> tendrán en cuenta los siguientes criterios:</w:t>
      </w:r>
    </w:p>
    <w:p w14:paraId="7A8F0591"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5BD58399"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292666D1" w14:textId="77777777" w:rsidR="00895FAF" w:rsidRPr="000302CF" w:rsidRDefault="00895FAF" w:rsidP="00895FAF">
      <w:pPr>
        <w:pStyle w:val="Textonotapie"/>
        <w:jc w:val="both"/>
        <w:rPr>
          <w:rFonts w:ascii="Arial" w:hAnsi="Arial" w:cs="Arial"/>
          <w:sz w:val="19"/>
          <w:szCs w:val="19"/>
          <w:lang w:val="es-ES"/>
        </w:rPr>
      </w:pPr>
    </w:p>
  </w:footnote>
  <w:footnote w:id="10">
    <w:p w14:paraId="4143186C"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60CBF6D" w14:textId="77777777" w:rsidR="00895FAF" w:rsidRPr="000302CF" w:rsidRDefault="00895FAF" w:rsidP="00895FAF">
      <w:pPr>
        <w:pStyle w:val="Textonotapie"/>
        <w:ind w:firstLine="708"/>
        <w:jc w:val="both"/>
        <w:rPr>
          <w:rFonts w:ascii="Arial" w:hAnsi="Arial" w:cs="Arial"/>
          <w:sz w:val="19"/>
          <w:szCs w:val="19"/>
          <w:lang w:val="es-ES"/>
        </w:rPr>
      </w:pPr>
    </w:p>
  </w:footnote>
  <w:footnote w:id="11">
    <w:p w14:paraId="72188A6B"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2831233"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95DF495"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547CF1F6" w14:textId="77777777" w:rsidR="00895FAF" w:rsidRPr="000302CF" w:rsidRDefault="00895FAF" w:rsidP="00895FAF">
      <w:pPr>
        <w:pStyle w:val="Textonotapie"/>
        <w:ind w:firstLine="708"/>
        <w:jc w:val="both"/>
        <w:rPr>
          <w:rFonts w:ascii="Arial" w:hAnsi="Arial" w:cs="Arial"/>
          <w:sz w:val="19"/>
          <w:szCs w:val="19"/>
          <w:lang w:val="es-ES"/>
        </w:rPr>
      </w:pPr>
    </w:p>
  </w:footnote>
  <w:footnote w:id="12">
    <w:p w14:paraId="585B518B"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2541FE8"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3058DC07"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»El</w:t>
      </w:r>
      <w:proofErr w:type="gramEnd"/>
      <w:r w:rsidRPr="000302CF">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BFDBCBA"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»No</w:t>
      </w:r>
      <w:proofErr w:type="gramEnd"/>
      <w:r w:rsidRPr="000302CF">
        <w:rPr>
          <w:rFonts w:ascii="Arial" w:hAnsi="Arial" w:cs="Arial"/>
          <w:sz w:val="19"/>
          <w:szCs w:val="19"/>
        </w:rPr>
        <w:t xml:space="preserve">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303E10A6" w14:textId="77777777" w:rsidR="00895FAF" w:rsidRPr="000302CF" w:rsidRDefault="00895FAF" w:rsidP="00895FAF">
      <w:pPr>
        <w:pStyle w:val="Textonotapie"/>
        <w:jc w:val="both"/>
        <w:rPr>
          <w:rFonts w:ascii="Arial" w:hAnsi="Arial" w:cs="Arial"/>
          <w:sz w:val="19"/>
          <w:szCs w:val="19"/>
          <w:lang w:val="es-ES"/>
        </w:rPr>
      </w:pPr>
    </w:p>
  </w:footnote>
  <w:footnote w:id="13">
    <w:p w14:paraId="58118B6B"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41E5CEA"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»1. Si es una persona natural:</w:t>
      </w:r>
    </w:p>
    <w:p w14:paraId="0BDF5D12"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»1.1. Bienes, obras y servicios que ofrecerá a las Entidades Estatales, identificados con el Clasificador de Bienes y Servicios en el tercer nivel.</w:t>
      </w:r>
    </w:p>
    <w:p w14:paraId="130229C6" w14:textId="0176C2C2"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5509472D" w14:textId="77777777" w:rsidR="00895FAF" w:rsidRPr="000302CF" w:rsidRDefault="00895FAF" w:rsidP="00895FAF">
      <w:pPr>
        <w:pStyle w:val="Textonotapie"/>
        <w:ind w:firstLine="708"/>
        <w:jc w:val="both"/>
        <w:rPr>
          <w:rFonts w:ascii="Arial" w:hAnsi="Arial" w:cs="Arial"/>
          <w:sz w:val="19"/>
          <w:szCs w:val="19"/>
          <w:lang w:val="es-ES"/>
        </w:rPr>
      </w:pPr>
    </w:p>
  </w:footnote>
  <w:footnote w:id="14">
    <w:p w14:paraId="5FFC76AB" w14:textId="77777777" w:rsidR="00895FAF" w:rsidRPr="000302CF" w:rsidRDefault="00895FAF" w:rsidP="00895FAF">
      <w:pPr>
        <w:pStyle w:val="Textonotapie"/>
        <w:ind w:firstLine="708"/>
        <w:jc w:val="both"/>
        <w:rPr>
          <w:rFonts w:ascii="Arial" w:hAnsi="Arial" w:cs="Arial"/>
          <w:sz w:val="19"/>
          <w:szCs w:val="19"/>
        </w:rPr>
      </w:pPr>
      <w:r w:rsidRPr="000302CF">
        <w:rPr>
          <w:rStyle w:val="Refdenotaalpie"/>
          <w:rFonts w:ascii="Arial" w:hAnsi="Arial" w:cs="Arial"/>
          <w:sz w:val="19"/>
          <w:szCs w:val="19"/>
        </w:rPr>
        <w:footnoteRef/>
      </w:r>
      <w:r w:rsidRPr="000302CF">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7361587B"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»Los</w:t>
      </w:r>
      <w:proofErr w:type="gramEnd"/>
      <w:r w:rsidRPr="000302CF">
        <w:rPr>
          <w:rFonts w:ascii="Arial" w:hAnsi="Arial" w:cs="Arial"/>
          <w:sz w:val="19"/>
          <w:szCs w:val="19"/>
        </w:rPr>
        <w:t xml:space="preserve">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788C6921"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3DAA2055"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»La</w:t>
      </w:r>
      <w:proofErr w:type="gramEnd"/>
      <w:r w:rsidRPr="000302CF">
        <w:rPr>
          <w:rFonts w:ascii="Arial" w:hAnsi="Arial" w:cs="Arial"/>
          <w:sz w:val="19"/>
          <w:szCs w:val="19"/>
        </w:rPr>
        <w:t xml:space="preserve">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2A734C5" w14:textId="77777777" w:rsidR="00895FAF" w:rsidRPr="000302CF" w:rsidRDefault="00895FAF" w:rsidP="00895FAF">
      <w:pPr>
        <w:pStyle w:val="Textonotapie"/>
        <w:ind w:firstLine="708"/>
        <w:jc w:val="both"/>
        <w:rPr>
          <w:rFonts w:ascii="Arial" w:hAnsi="Arial" w:cs="Arial"/>
          <w:sz w:val="19"/>
          <w:szCs w:val="19"/>
        </w:rPr>
      </w:pPr>
      <w:proofErr w:type="gramStart"/>
      <w:r w:rsidRPr="000302CF">
        <w:rPr>
          <w:rFonts w:ascii="Arial" w:hAnsi="Arial" w:cs="Arial"/>
          <w:sz w:val="19"/>
          <w:szCs w:val="19"/>
        </w:rPr>
        <w:t>»La</w:t>
      </w:r>
      <w:proofErr w:type="gramEnd"/>
      <w:r w:rsidRPr="000302CF">
        <w:rPr>
          <w:rFonts w:ascii="Arial" w:hAnsi="Arial" w:cs="Arial"/>
          <w:sz w:val="19"/>
          <w:szCs w:val="19"/>
        </w:rPr>
        <w:t xml:space="preserve">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23A045E1" w14:textId="77777777" w:rsidR="00895FAF" w:rsidRPr="000302CF" w:rsidRDefault="00895FAF" w:rsidP="00895FAF">
      <w:pPr>
        <w:pStyle w:val="Textonotapie"/>
        <w:ind w:firstLine="708"/>
        <w:jc w:val="both"/>
        <w:rPr>
          <w:rFonts w:ascii="Arial" w:hAnsi="Arial" w:cs="Arial"/>
          <w:sz w:val="19"/>
          <w:szCs w:val="19"/>
        </w:rPr>
      </w:pPr>
      <w:r w:rsidRPr="000302CF">
        <w:rPr>
          <w:rFonts w:ascii="Arial" w:hAnsi="Arial" w:cs="Arial"/>
          <w:sz w:val="19"/>
          <w:szCs w:val="19"/>
        </w:rPr>
        <w:t>»[...]».</w:t>
      </w:r>
    </w:p>
    <w:p w14:paraId="56A59A2F" w14:textId="77777777" w:rsidR="00895FAF" w:rsidRPr="000302CF" w:rsidRDefault="00895FAF" w:rsidP="00895FAF">
      <w:pPr>
        <w:pStyle w:val="Textonotapie"/>
        <w:jc w:val="both"/>
        <w:rPr>
          <w:rFonts w:ascii="Arial" w:hAnsi="Arial" w:cs="Arial"/>
          <w:sz w:val="19"/>
          <w:szCs w:val="19"/>
          <w:lang w:val="es-ES"/>
        </w:rPr>
      </w:pPr>
    </w:p>
  </w:footnote>
  <w:footnote w:id="15">
    <w:p w14:paraId="42ED585C" w14:textId="77777777" w:rsidR="001D7532" w:rsidRPr="00C243E3" w:rsidRDefault="001D7532" w:rsidP="001D7532">
      <w:pPr>
        <w:pStyle w:val="NormalWeb"/>
        <w:shd w:val="clear" w:color="auto" w:fill="FFFFFF"/>
        <w:spacing w:before="0" w:beforeAutospacing="0" w:after="150" w:afterAutospacing="0"/>
        <w:ind w:firstLine="708"/>
        <w:jc w:val="both"/>
        <w:rPr>
          <w:rFonts w:ascii="Arial" w:eastAsia="Calibri" w:hAnsi="Arial" w:cs="Arial"/>
          <w:color w:val="000000" w:themeColor="text1"/>
          <w:sz w:val="19"/>
          <w:szCs w:val="19"/>
          <w:lang w:val="es-MX" w:eastAsia="en-US"/>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eastAsia="Calibri" w:hAnsi="Arial" w:cs="Arial"/>
          <w:color w:val="000000" w:themeColor="text1"/>
          <w:sz w:val="19"/>
          <w:szCs w:val="19"/>
          <w:lang w:val="es-MX" w:eastAsia="en-US"/>
        </w:rPr>
        <w:t>Decreto 1082 de 2015. «Artículo 2.2.1.1.1.6.4. Capacidad Residual. El interesado en celebrar contratos de obra pública con Entidades Estatales debe acreditar su Capacidad Residual o K de Contratación con los siguientes documentos:</w:t>
      </w:r>
    </w:p>
    <w:p w14:paraId="2663871B" w14:textId="77777777" w:rsidR="001D7532" w:rsidRPr="00C243E3" w:rsidRDefault="001D7532" w:rsidP="001D7532">
      <w:pPr>
        <w:shd w:val="clear" w:color="auto" w:fill="FFFFFF"/>
        <w:ind w:firstLine="709"/>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5342EDCD" w14:textId="77777777" w:rsidR="001D7532" w:rsidRPr="00C243E3" w:rsidRDefault="001D7532" w:rsidP="001D7532">
      <w:pPr>
        <w:shd w:val="clear" w:color="auto" w:fill="FFFFFF"/>
        <w:ind w:firstLine="709"/>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9A9A6E4" w14:textId="77777777" w:rsidR="001D7532" w:rsidRPr="00C243E3" w:rsidRDefault="001D7532" w:rsidP="001D7532">
      <w:pPr>
        <w:shd w:val="clear" w:color="auto" w:fill="FFFFFF"/>
        <w:spacing w:after="150"/>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6">
    <w:p w14:paraId="5CF03D76" w14:textId="77777777" w:rsidR="00BD49C8" w:rsidRPr="00C243E3" w:rsidRDefault="00BD49C8" w:rsidP="00C243E3">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eastAsia="Calibri" w:hAnsi="Arial" w:cs="Arial"/>
          <w:color w:val="000000" w:themeColor="text1"/>
          <w:sz w:val="19"/>
          <w:szCs w:val="19"/>
        </w:rPr>
        <w:t>Ley 43 de 1990: «Artículo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 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w:t>
      </w:r>
    </w:p>
    <w:p w14:paraId="0772C38B" w14:textId="77777777" w:rsidR="00BD49C8" w:rsidRPr="00C243E3" w:rsidRDefault="00BD49C8" w:rsidP="00C243E3">
      <w:pPr>
        <w:pStyle w:val="Textonotapie"/>
        <w:ind w:firstLine="708"/>
        <w:jc w:val="both"/>
        <w:rPr>
          <w:rFonts w:ascii="Arial" w:eastAsia="Calibri" w:hAnsi="Arial" w:cs="Arial"/>
          <w:color w:val="000000" w:themeColor="text1"/>
          <w:sz w:val="19"/>
          <w:szCs w:val="19"/>
        </w:rPr>
      </w:pPr>
    </w:p>
  </w:footnote>
  <w:footnote w:id="17">
    <w:p w14:paraId="58C45FA5" w14:textId="42ADCBA9" w:rsidR="00BD49C8" w:rsidRDefault="00BD49C8" w:rsidP="00C243E3">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sz w:val="19"/>
          <w:szCs w:val="19"/>
        </w:rPr>
        <w:footnoteRef/>
      </w:r>
      <w:r w:rsidRPr="00C243E3">
        <w:rPr>
          <w:rFonts w:ascii="Arial" w:hAnsi="Arial" w:cs="Arial"/>
          <w:sz w:val="19"/>
          <w:szCs w:val="19"/>
        </w:rPr>
        <w:t xml:space="preserve"> </w:t>
      </w:r>
      <w:r w:rsidRPr="00C243E3">
        <w:rPr>
          <w:rFonts w:ascii="Arial" w:eastAsia="Calibri" w:hAnsi="Arial" w:cs="Arial"/>
          <w:color w:val="000000" w:themeColor="text1"/>
          <w:sz w:val="19"/>
          <w:szCs w:val="19"/>
        </w:rPr>
        <w:t>CORTE CONSTITUCIONAL. Sentencia C- 861 de 2008. M.P: Mauricio González Cuervo</w:t>
      </w:r>
      <w:r w:rsidR="0072364C">
        <w:rPr>
          <w:rFonts w:ascii="Arial" w:eastAsia="Calibri" w:hAnsi="Arial" w:cs="Arial"/>
          <w:color w:val="000000" w:themeColor="text1"/>
          <w:sz w:val="19"/>
          <w:szCs w:val="19"/>
        </w:rPr>
        <w:t>.</w:t>
      </w:r>
    </w:p>
    <w:p w14:paraId="206AF228" w14:textId="77777777" w:rsidR="0072364C" w:rsidRPr="00C243E3" w:rsidRDefault="0072364C" w:rsidP="00C243E3">
      <w:pPr>
        <w:pStyle w:val="Textonotapie"/>
        <w:ind w:firstLine="708"/>
        <w:jc w:val="both"/>
        <w:rPr>
          <w:rFonts w:ascii="Arial" w:eastAsia="Calibri" w:hAnsi="Arial" w:cs="Arial"/>
          <w:color w:val="000000" w:themeColor="text1"/>
          <w:sz w:val="19"/>
          <w:szCs w:val="19"/>
        </w:rPr>
      </w:pPr>
    </w:p>
  </w:footnote>
  <w:footnote w:id="18">
    <w:p w14:paraId="289CC094" w14:textId="77777777" w:rsidR="00F708EE" w:rsidRDefault="00F708EE" w:rsidP="00F708EE">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Pr>
          <w:rStyle w:val="Refdenotaalpie"/>
          <w:rFonts w:ascii="Arial" w:eastAsiaTheme="minorHAnsi" w:hAnsi="Arial" w:cs="Arial"/>
          <w:sz w:val="19"/>
          <w:szCs w:val="19"/>
          <w:lang w:eastAsia="en-US"/>
        </w:rPr>
        <w:footnoteRef/>
      </w:r>
      <w:r>
        <w:rPr>
          <w:rStyle w:val="Refdenotaalpie"/>
          <w:rFonts w:ascii="Arial" w:eastAsiaTheme="minorHAnsi" w:hAnsi="Arial" w:cs="Arial"/>
          <w:sz w:val="19"/>
          <w:szCs w:val="19"/>
          <w:lang w:eastAsia="en-US"/>
        </w:rPr>
        <w:t xml:space="preserve"> </w:t>
      </w:r>
      <w:r>
        <w:rPr>
          <w:rFonts w:ascii="Arial" w:hAnsi="Arial" w:cs="Arial"/>
          <w:sz w:val="19"/>
          <w:szCs w:val="19"/>
        </w:rPr>
        <w:t>«</w:t>
      </w:r>
      <w:r>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2094B0C1" w14:textId="77777777" w:rsidR="00F708EE" w:rsidRDefault="00F708EE" w:rsidP="00F708EE">
      <w:pPr>
        <w:shd w:val="clear" w:color="auto" w:fill="FFFFFF"/>
        <w:ind w:firstLine="708"/>
        <w:jc w:val="both"/>
        <w:rPr>
          <w:rFonts w:ascii="Arial" w:hAnsi="Arial" w:cs="Arial"/>
          <w:sz w:val="19"/>
          <w:szCs w:val="19"/>
          <w:lang w:val="es-CO"/>
        </w:rPr>
      </w:pPr>
      <w:r>
        <w:rPr>
          <w:rFonts w:ascii="Arial" w:hAnsi="Arial" w:cs="Arial"/>
          <w:sz w:val="19"/>
          <w:szCs w:val="19"/>
          <w:lang w:val="es-CO"/>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34D9E6E" w14:textId="77777777" w:rsidR="00F708EE" w:rsidRDefault="00F708EE" w:rsidP="00F708EE">
      <w:pPr>
        <w:shd w:val="clear" w:color="auto" w:fill="FFFFFF"/>
        <w:ind w:firstLine="708"/>
        <w:jc w:val="both"/>
        <w:rPr>
          <w:rFonts w:ascii="Arial" w:hAnsi="Arial" w:cs="Arial"/>
          <w:sz w:val="19"/>
          <w:szCs w:val="19"/>
          <w:lang w:val="es-CO"/>
        </w:rPr>
      </w:pPr>
      <w:r>
        <w:rPr>
          <w:rFonts w:ascii="Arial" w:hAnsi="Arial" w:cs="Arial"/>
          <w:sz w:val="19"/>
          <w:szCs w:val="19"/>
          <w:lang w:val="es-CO"/>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3C38BEB" w14:textId="77777777" w:rsidR="00F708EE" w:rsidRDefault="00F708EE" w:rsidP="00F708EE">
      <w:pPr>
        <w:shd w:val="clear" w:color="auto" w:fill="FFFFFF"/>
        <w:ind w:firstLine="708"/>
        <w:jc w:val="both"/>
        <w:rPr>
          <w:rFonts w:ascii="Arial" w:hAnsi="Arial" w:cs="Arial"/>
          <w:sz w:val="19"/>
          <w:szCs w:val="19"/>
          <w:lang w:val="es-CO"/>
        </w:rPr>
      </w:pPr>
      <w:r>
        <w:rPr>
          <w:rFonts w:ascii="Arial" w:hAnsi="Arial" w:cs="Arial"/>
          <w:sz w:val="19"/>
          <w:szCs w:val="19"/>
          <w:lang w:val="es-CO"/>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0FDBABCA" w14:textId="77777777" w:rsidR="00F708EE" w:rsidRDefault="00F708EE" w:rsidP="00F708EE">
      <w:pPr>
        <w:shd w:val="clear" w:color="auto" w:fill="FFFFFF"/>
        <w:ind w:firstLine="708"/>
        <w:jc w:val="both"/>
        <w:rPr>
          <w:rFonts w:ascii="Arial" w:hAnsi="Arial" w:cs="Arial"/>
          <w:sz w:val="19"/>
          <w:szCs w:val="19"/>
          <w:lang w:val="es-CO"/>
        </w:rPr>
      </w:pPr>
    </w:p>
  </w:footnote>
  <w:footnote w:id="19">
    <w:p w14:paraId="795A20B2" w14:textId="77777777" w:rsidR="00F708EE" w:rsidRDefault="00F708EE" w:rsidP="00F708E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A55556" w14:textId="77777777" w:rsidR="00F708EE" w:rsidRDefault="00F708EE" w:rsidP="00F708EE">
      <w:pPr>
        <w:pStyle w:val="Textonotapie"/>
        <w:jc w:val="both"/>
        <w:rPr>
          <w:rFonts w:ascii="Arial" w:hAnsi="Arial" w:cs="Arial"/>
          <w:sz w:val="19"/>
          <w:szCs w:val="19"/>
          <w:lang w:val="es-CO"/>
        </w:rPr>
      </w:pPr>
      <w:r>
        <w:rPr>
          <w:rFonts w:ascii="Arial" w:hAnsi="Arial" w:cs="Arial"/>
          <w:sz w:val="19"/>
          <w:szCs w:val="19"/>
          <w:lang w:val="es-CO"/>
        </w:rPr>
        <w:tab/>
        <w:t xml:space="preserve">»[…] </w:t>
      </w:r>
    </w:p>
    <w:p w14:paraId="0EC783B6" w14:textId="77777777" w:rsidR="00F708EE" w:rsidRDefault="00F708EE" w:rsidP="00F708EE">
      <w:pPr>
        <w:pStyle w:val="Textonotapie"/>
        <w:ind w:firstLine="708"/>
        <w:jc w:val="both"/>
        <w:rPr>
          <w:rFonts w:ascii="Arial" w:hAnsi="Arial" w:cs="Arial"/>
          <w:sz w:val="19"/>
          <w:szCs w:val="19"/>
        </w:rPr>
      </w:pPr>
      <w:proofErr w:type="gramStart"/>
      <w:r>
        <w:rPr>
          <w:rFonts w:ascii="Arial" w:hAnsi="Arial" w:cs="Arial"/>
          <w:sz w:val="19"/>
          <w:szCs w:val="19"/>
          <w:lang w:val="es-CO"/>
        </w:rPr>
        <w:t>»</w:t>
      </w:r>
      <w:r>
        <w:rPr>
          <w:rFonts w:ascii="Arial" w:hAnsi="Arial" w:cs="Arial"/>
          <w:sz w:val="19"/>
          <w:szCs w:val="19"/>
        </w:rPr>
        <w:t>En</w:t>
      </w:r>
      <w:proofErr w:type="gramEnd"/>
      <w:r>
        <w:rPr>
          <w:rFonts w:ascii="Arial" w:hAnsi="Arial" w:cs="Arial"/>
          <w:sz w:val="19"/>
          <w:szCs w:val="19"/>
        </w:rPr>
        <w:t xml:space="preserve"> dicho registro constará la información relacionada con la experiencia, capacidad jurídica, financiera y de organización del proponente, que se establecerá de conformidad con los factores de calificación y clasificación que defina el reglamento. El puntaje resultante de la calificación de estos factores se entenderá como la capacidad máxima de contratación del inscrito.</w:t>
      </w:r>
    </w:p>
    <w:p w14:paraId="17148AD4" w14:textId="77777777" w:rsidR="00F708EE" w:rsidRDefault="00F708EE" w:rsidP="00F708EE">
      <w:pPr>
        <w:shd w:val="clear" w:color="auto" w:fill="FFFFFF"/>
        <w:ind w:firstLine="708"/>
        <w:jc w:val="both"/>
        <w:rPr>
          <w:rFonts w:ascii="Arial" w:hAnsi="Arial" w:cs="Arial"/>
          <w:sz w:val="19"/>
          <w:szCs w:val="19"/>
        </w:rPr>
      </w:pPr>
      <w:r>
        <w:rPr>
          <w:rFonts w:ascii="Arial" w:hAnsi="Arial" w:cs="Arial"/>
          <w:sz w:val="19"/>
          <w:szCs w:val="19"/>
          <w:lang w:val="es-CO"/>
        </w:rPr>
        <w:t>»</w:t>
      </w:r>
      <w:r>
        <w:rPr>
          <w:rFonts w:ascii="Arial" w:hAnsi="Arial" w:cs="Arial"/>
          <w:sz w:val="19"/>
          <w:szCs w:val="19"/>
        </w:rPr>
        <w:t>6.1. De la calificación y clasificación de los inscritos: Corresponderá a los proponentes calificarse y clasificarse en el registro de conformidad con los documentos aportados. Las cámaras de comercio harán la verificación documental de la información presentada por los interesados al momento de inscribirse en el registro.</w:t>
      </w:r>
    </w:p>
    <w:p w14:paraId="0A1E92DA" w14:textId="77777777" w:rsidR="00F708EE" w:rsidRDefault="00F708EE" w:rsidP="00F708EE">
      <w:pPr>
        <w:shd w:val="clear" w:color="auto" w:fill="FFFFFF"/>
        <w:ind w:firstLine="708"/>
        <w:jc w:val="both"/>
        <w:rPr>
          <w:rFonts w:ascii="Arial" w:hAnsi="Arial" w:cs="Arial"/>
          <w:sz w:val="19"/>
          <w:szCs w:val="19"/>
        </w:rPr>
      </w:pPr>
      <w:proofErr w:type="gramStart"/>
      <w:r>
        <w:rPr>
          <w:rFonts w:ascii="Arial" w:hAnsi="Arial" w:cs="Arial"/>
          <w:sz w:val="19"/>
          <w:szCs w:val="19"/>
          <w:lang w:val="es-CO"/>
        </w:rPr>
        <w:t>»</w:t>
      </w:r>
      <w:r>
        <w:rPr>
          <w:rFonts w:ascii="Arial" w:hAnsi="Arial" w:cs="Arial"/>
          <w:sz w:val="19"/>
          <w:szCs w:val="19"/>
        </w:rPr>
        <w:t>La</w:t>
      </w:r>
      <w:proofErr w:type="gramEnd"/>
      <w:r>
        <w:rPr>
          <w:rFonts w:ascii="Arial" w:hAnsi="Arial" w:cs="Arial"/>
          <w:sz w:val="19"/>
          <w:szCs w:val="19"/>
        </w:rPr>
        <w:t xml:space="preserve"> calificación y clasificación certificada de conformidad con el presente artículo será plena prueba de las circunstancias que en ella se hagan constar.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Pr>
          <w:rFonts w:ascii="Arial" w:hAnsi="Arial" w:cs="Arial"/>
          <w:sz w:val="19"/>
          <w:szCs w:val="19"/>
          <w:lang w:val="es-CO"/>
        </w:rPr>
        <w:t>»</w:t>
      </w:r>
      <w:r>
        <w:rPr>
          <w:rFonts w:ascii="Arial" w:hAnsi="Arial" w:cs="Arial"/>
          <w:sz w:val="19"/>
          <w:szCs w:val="19"/>
        </w:rPr>
        <w:t>.</w:t>
      </w:r>
    </w:p>
    <w:p w14:paraId="51F472A3" w14:textId="77777777" w:rsidR="00F708EE" w:rsidRDefault="00F708EE" w:rsidP="00F708EE">
      <w:pPr>
        <w:pStyle w:val="Textonotapie"/>
        <w:jc w:val="both"/>
        <w:rPr>
          <w:rFonts w:ascii="Arial" w:hAnsi="Arial" w:cs="Arial"/>
          <w:sz w:val="19"/>
          <w:szCs w:val="19"/>
          <w:lang w:val="es-CO"/>
        </w:rPr>
      </w:pPr>
    </w:p>
  </w:footnote>
  <w:footnote w:id="20">
    <w:p w14:paraId="29DEAEF5" w14:textId="77777777" w:rsidR="00F708EE" w:rsidRDefault="00F708EE" w:rsidP="00F708E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Colombia Compra Eficiente, Circular Externa Única, numeral 6.1: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 En el Proceso de subasta el oferente podrá subsanar los requisitos hasta antes de la realización de la subasta».</w:t>
      </w:r>
    </w:p>
  </w:footnote>
  <w:footnote w:id="21">
    <w:p w14:paraId="5EEABB61" w14:textId="77777777" w:rsidR="00F708EE" w:rsidRDefault="00F708EE" w:rsidP="00F708EE">
      <w:pPr>
        <w:pStyle w:val="Textonotapie"/>
        <w:ind w:firstLine="708"/>
        <w:jc w:val="both"/>
        <w:rPr>
          <w:rFonts w:ascii="Arial" w:hAnsi="Arial" w:cs="Arial"/>
          <w:sz w:val="19"/>
          <w:szCs w:val="19"/>
          <w:lang w:val="es-CO"/>
        </w:rPr>
      </w:pPr>
    </w:p>
    <w:p w14:paraId="6E2351ED" w14:textId="77777777" w:rsidR="00F708EE" w:rsidRDefault="00F708EE" w:rsidP="00F708EE">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Style w:val="Refdenotaalpie"/>
          <w:rFonts w:ascii="Arial" w:hAnsi="Arial" w:cs="Arial"/>
          <w:sz w:val="19"/>
          <w:szCs w:val="19"/>
        </w:rPr>
        <w:t xml:space="preserve"> </w:t>
      </w:r>
      <w:r>
        <w:rPr>
          <w:rFonts w:ascii="Arial" w:hAnsi="Arial" w:cs="Arial"/>
          <w:sz w:val="19"/>
          <w:szCs w:val="19"/>
          <w:lang w:val="es-CO"/>
        </w:rPr>
        <w:t>Ley 1150 de 2007, artículo 5, parágrafo 4: «</w:t>
      </w:r>
      <w:r>
        <w:rPr>
          <w:rFonts w:ascii="Arial" w:hAnsi="Arial" w:cs="Arial"/>
          <w:sz w:val="19"/>
          <w:szCs w:val="19"/>
        </w:rPr>
        <w:t>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22">
    <w:p w14:paraId="5C0ADB32" w14:textId="77777777" w:rsidR="00F708EE" w:rsidRDefault="00F708EE" w:rsidP="00F708EE">
      <w:pPr>
        <w:pStyle w:val="Textonotapie"/>
        <w:jc w:val="both"/>
        <w:rPr>
          <w:rFonts w:ascii="Arial" w:hAnsi="Arial" w:cs="Arial"/>
          <w:sz w:val="19"/>
          <w:szCs w:val="19"/>
        </w:rPr>
      </w:pPr>
    </w:p>
    <w:p w14:paraId="2787EECC" w14:textId="77777777" w:rsidR="00F708EE" w:rsidRDefault="00F708EE" w:rsidP="00F708EE">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1150 de 2007, artículo 5. Parágrafo 3: </w:t>
      </w:r>
      <w:r>
        <w:rPr>
          <w:rFonts w:ascii="Arial" w:hAnsi="Arial" w:cs="Arial"/>
          <w:sz w:val="19"/>
          <w:szCs w:val="19"/>
          <w:lang w:val="es-CO"/>
        </w:rPr>
        <w:t>«</w:t>
      </w:r>
      <w:r>
        <w:rPr>
          <w:rFonts w:ascii="Arial" w:hAnsi="Arial" w:cs="Arial"/>
          <w:sz w:val="19"/>
          <w:szCs w:val="19"/>
        </w:rPr>
        <w:t xml:space="preserve">La no entrega de la garantía de seriedad junto con la propuesta no será subsanable y será causal de rechazo de </w:t>
      </w:r>
      <w:proofErr w:type="gramStart"/>
      <w:r>
        <w:rPr>
          <w:rFonts w:ascii="Arial" w:hAnsi="Arial" w:cs="Arial"/>
          <w:sz w:val="19"/>
          <w:szCs w:val="19"/>
        </w:rPr>
        <w:t>la misma</w:t>
      </w:r>
      <w:proofErr w:type="gramEnd"/>
      <w:r>
        <w:rPr>
          <w:rFonts w:ascii="Arial" w:hAnsi="Arial" w:cs="Arial"/>
          <w:sz w:val="19"/>
          <w:szCs w:val="19"/>
        </w:rPr>
        <w:t>».</w:t>
      </w:r>
    </w:p>
    <w:p w14:paraId="24E0D596" w14:textId="77777777" w:rsidR="00F708EE" w:rsidRDefault="00F708EE" w:rsidP="00F708EE">
      <w:pPr>
        <w:pStyle w:val="Textonotapie"/>
        <w:jc w:val="both"/>
        <w:rPr>
          <w:rFonts w:ascii="Arial" w:hAnsi="Arial" w:cs="Arial"/>
          <w:sz w:val="19"/>
          <w:szCs w:val="19"/>
          <w:lang w:val="es-CO"/>
        </w:rPr>
      </w:pPr>
    </w:p>
  </w:footnote>
  <w:footnote w:id="23">
    <w:p w14:paraId="606EAE49" w14:textId="77777777" w:rsidR="00F708EE" w:rsidRDefault="00F708EE" w:rsidP="00F708EE">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«1.6 </w:t>
      </w:r>
      <w:bookmarkStart w:id="7" w:name="_Toc5006124"/>
      <w:bookmarkStart w:id="8" w:name="_Ref5005523"/>
      <w:bookmarkStart w:id="9" w:name="_Ref4939799"/>
      <w:bookmarkStart w:id="10" w:name="_Toc533083693"/>
      <w:bookmarkStart w:id="11" w:name="_Ref531072997"/>
      <w:bookmarkStart w:id="12" w:name="_Toc520317092"/>
      <w:bookmarkStart w:id="13" w:name="_Toc520297827"/>
      <w:bookmarkStart w:id="14" w:name="_Toc520226857"/>
      <w:bookmarkStart w:id="15" w:name="_Toc511924768"/>
      <w:bookmarkStart w:id="16" w:name="_Toc509843860"/>
      <w:bookmarkStart w:id="17" w:name="_Toc508984030"/>
      <w:bookmarkStart w:id="18" w:name="_Toc508648246"/>
      <w:bookmarkStart w:id="19" w:name="_Toc504124487"/>
      <w:bookmarkStart w:id="20" w:name="_Toc424219434"/>
      <w:r>
        <w:rPr>
          <w:rFonts w:ascii="Arial" w:hAnsi="Arial" w:cs="Arial"/>
          <w:sz w:val="19"/>
          <w:szCs w:val="19"/>
        </w:rPr>
        <w:t xml:space="preserve">Reglas de </w:t>
      </w:r>
      <w:proofErr w:type="spellStart"/>
      <w:r>
        <w:rPr>
          <w:rFonts w:ascii="Arial" w:hAnsi="Arial" w:cs="Arial"/>
          <w:sz w:val="19"/>
          <w:szCs w:val="19"/>
        </w:rPr>
        <w:t>subsanabilidad</w:t>
      </w:r>
      <w:bookmarkEnd w:id="7"/>
      <w:bookmarkEnd w:id="8"/>
      <w:bookmarkEnd w:id="9"/>
      <w:bookmarkEnd w:id="10"/>
      <w:bookmarkEnd w:id="11"/>
      <w:bookmarkEnd w:id="12"/>
      <w:bookmarkEnd w:id="13"/>
      <w:bookmarkEnd w:id="14"/>
      <w:bookmarkEnd w:id="15"/>
      <w:bookmarkEnd w:id="16"/>
      <w:bookmarkEnd w:id="17"/>
      <w:bookmarkEnd w:id="18"/>
      <w:bookmarkEnd w:id="19"/>
      <w:bookmarkEnd w:id="20"/>
      <w:proofErr w:type="spellEnd"/>
      <w:r>
        <w:rPr>
          <w:rFonts w:ascii="Arial" w:hAnsi="Arial" w:cs="Arial"/>
          <w:sz w:val="19"/>
          <w:szCs w:val="19"/>
        </w:rPr>
        <w:t>: 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11211BB6" w14:textId="77777777" w:rsidR="00F708EE" w:rsidRDefault="00F708EE" w:rsidP="00F708EE">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caso de ser necesario, la Entidad deberá solicitar a los Proponentes, las aclaraciones, precisiones o solicitud de documentos que puedan ser subsanables. No obstante, los Proponentes no podrán completar, adicionar, modificar o mejorar sus propuestas.</w:t>
      </w:r>
    </w:p>
    <w:p w14:paraId="3E30CBE4" w14:textId="77777777" w:rsidR="00F708EE" w:rsidRDefault="00F708EE" w:rsidP="00F708EE">
      <w:pPr>
        <w:pStyle w:val="Textonotapie"/>
        <w:ind w:firstLine="708"/>
        <w:jc w:val="both"/>
        <w:rPr>
          <w:rFonts w:ascii="Arial" w:hAnsi="Arial" w:cs="Arial"/>
          <w:sz w:val="19"/>
          <w:szCs w:val="19"/>
        </w:rPr>
      </w:pPr>
      <w:proofErr w:type="gramStart"/>
      <w:r>
        <w:rPr>
          <w:rFonts w:ascii="Arial" w:hAnsi="Arial" w:cs="Arial"/>
          <w:sz w:val="19"/>
          <w:szCs w:val="19"/>
        </w:rPr>
        <w:t>»Los</w:t>
      </w:r>
      <w:proofErr w:type="gramEnd"/>
      <w:r>
        <w:rPr>
          <w:rFonts w:ascii="Arial" w:hAnsi="Arial" w:cs="Arial"/>
          <w:sz w:val="19"/>
          <w:szCs w:val="19"/>
        </w:rPr>
        <w:t xml:space="preserve"> Proponentes deberán </w:t>
      </w:r>
      <w:bookmarkStart w:id="21" w:name="_Hlk508011077"/>
      <w:r>
        <w:rPr>
          <w:rFonts w:ascii="Arial" w:hAnsi="Arial" w:cs="Arial"/>
          <w:sz w:val="19"/>
          <w:szCs w:val="19"/>
        </w:rPr>
        <w:t>allegar las aclaraciones o documentos requeridos</w:t>
      </w:r>
      <w:bookmarkEnd w:id="21"/>
      <w:r>
        <w:rPr>
          <w:rFonts w:ascii="Arial" w:hAnsi="Arial" w:cs="Arial"/>
          <w:sz w:val="19"/>
          <w:szCs w:val="19"/>
        </w:rPr>
        <w:t xml:space="preserve"> hasta el término de traslado del informe de evaluación. </w:t>
      </w:r>
    </w:p>
    <w:p w14:paraId="710ABB33" w14:textId="77777777" w:rsidR="00F708EE" w:rsidRDefault="00F708EE" w:rsidP="00F708EE">
      <w:pPr>
        <w:pStyle w:val="Textonotapie"/>
        <w:ind w:firstLine="708"/>
        <w:jc w:val="both"/>
        <w:rPr>
          <w:rFonts w:ascii="Arial" w:hAnsi="Arial" w:cs="Arial"/>
          <w:sz w:val="19"/>
          <w:szCs w:val="19"/>
        </w:rPr>
      </w:pPr>
      <w:proofErr w:type="gramStart"/>
      <w:r>
        <w:rPr>
          <w:rFonts w:ascii="Arial" w:hAnsi="Arial" w:cs="Arial"/>
          <w:sz w:val="19"/>
          <w:szCs w:val="19"/>
        </w:rPr>
        <w:t>»En</w:t>
      </w:r>
      <w:proofErr w:type="gramEnd"/>
      <w:r>
        <w:rPr>
          <w:rFonts w:ascii="Arial" w:hAnsi="Arial" w:cs="Arial"/>
          <w:sz w:val="19"/>
          <w:szCs w:val="19"/>
        </w:rPr>
        <w:t xml:space="preserve">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 </w:t>
      </w:r>
    </w:p>
    <w:p w14:paraId="43BC7768" w14:textId="77777777" w:rsidR="00F708EE" w:rsidRDefault="00F708EE" w:rsidP="00F708EE">
      <w:pPr>
        <w:pStyle w:val="Textonotapie"/>
        <w:ind w:firstLine="708"/>
        <w:jc w:val="both"/>
        <w:rPr>
          <w:rFonts w:ascii="Arial" w:hAnsi="Arial" w:cs="Arial"/>
          <w:sz w:val="19"/>
          <w:szCs w:val="19"/>
        </w:rPr>
      </w:pPr>
      <w:proofErr w:type="gramStart"/>
      <w:r>
        <w:rPr>
          <w:rFonts w:ascii="Arial" w:hAnsi="Arial" w:cs="Arial"/>
          <w:sz w:val="19"/>
          <w:szCs w:val="19"/>
        </w:rPr>
        <w:t>»Todos</w:t>
      </w:r>
      <w:proofErr w:type="gramEnd"/>
      <w:r>
        <w:rPr>
          <w:rFonts w:ascii="Arial" w:hAnsi="Arial" w:cs="Arial"/>
          <w:sz w:val="19"/>
          <w:szCs w:val="19"/>
        </w:rPr>
        <w:t xml:space="preserve"> aquellos requisitos de la oferta que afecten la asignación de puntaje, incluyendo los necesarios para acreditar requisitos de desempate, no son subsanables, por lo que los mismos deben ser aportados por los Proponentes desde la presentación de la oferta.</w:t>
      </w:r>
    </w:p>
    <w:p w14:paraId="303DAF91" w14:textId="77777777" w:rsidR="00F708EE" w:rsidRDefault="00F708EE" w:rsidP="00F708EE">
      <w:pPr>
        <w:pStyle w:val="Textonotapie"/>
        <w:ind w:firstLine="708"/>
        <w:jc w:val="both"/>
        <w:rPr>
          <w:rFonts w:ascii="Arial" w:hAnsi="Arial" w:cs="Arial"/>
          <w:sz w:val="19"/>
          <w:szCs w:val="19"/>
        </w:rPr>
      </w:pPr>
      <w:bookmarkStart w:id="22" w:name="_Toc511375632"/>
      <w:bookmarkStart w:id="23" w:name="_Toc511375810"/>
      <w:bookmarkStart w:id="24" w:name="_Toc511375634"/>
      <w:bookmarkStart w:id="25" w:name="_Toc511375812"/>
      <w:bookmarkStart w:id="26" w:name="_Toc511375635"/>
      <w:bookmarkStart w:id="27" w:name="_Toc511375813"/>
      <w:bookmarkStart w:id="28" w:name="_Toc511375637"/>
      <w:bookmarkStart w:id="29" w:name="_Toc511375815"/>
      <w:bookmarkStart w:id="30" w:name="_Toc511379955"/>
      <w:bookmarkEnd w:id="22"/>
      <w:bookmarkEnd w:id="23"/>
      <w:bookmarkEnd w:id="24"/>
      <w:bookmarkEnd w:id="25"/>
      <w:bookmarkEnd w:id="26"/>
      <w:bookmarkEnd w:id="27"/>
      <w:bookmarkEnd w:id="28"/>
      <w:bookmarkEnd w:id="29"/>
      <w:bookmarkEnd w:id="30"/>
      <w:proofErr w:type="gramStart"/>
      <w:r>
        <w:rPr>
          <w:rFonts w:ascii="Arial" w:hAnsi="Arial" w:cs="Arial"/>
          <w:sz w:val="19"/>
          <w:szCs w:val="19"/>
        </w:rPr>
        <w:t>»En</w:t>
      </w:r>
      <w:proofErr w:type="gramEnd"/>
      <w:r>
        <w:rPr>
          <w:rFonts w:ascii="Arial" w:hAnsi="Arial" w:cs="Arial"/>
          <w:sz w:val="19"/>
          <w:szCs w:val="19"/>
        </w:rPr>
        <w:t xml:space="preserve"> virtud del principio de Buena Fe, los Proponentes que presenten observaciones al proceso o a las ofertas y conductas de los demás oferentes deberán justificar y demostrar la procedencia y oportunidad de estas».</w:t>
      </w:r>
    </w:p>
    <w:p w14:paraId="49851EE6" w14:textId="77777777" w:rsidR="00F708EE" w:rsidRDefault="00F708EE" w:rsidP="00F708EE">
      <w:pPr>
        <w:pStyle w:val="Textonotapie"/>
        <w:ind w:firstLine="708"/>
        <w:jc w:val="both"/>
        <w:rPr>
          <w:rFonts w:ascii="Arial" w:hAnsi="Arial" w:cs="Arial"/>
          <w:sz w:val="19"/>
          <w:szCs w:val="19"/>
        </w:rPr>
      </w:pPr>
    </w:p>
  </w:footnote>
  <w:footnote w:id="24">
    <w:p w14:paraId="1FF56F49" w14:textId="77777777" w:rsidR="007E5337" w:rsidRDefault="007E5337" w:rsidP="007E533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Ley 80 de 1993: «Artículo 30. </w:t>
      </w:r>
      <w:bookmarkStart w:id="32" w:name="30"/>
      <w:r>
        <w:rPr>
          <w:rFonts w:ascii="Arial" w:hAnsi="Arial" w:cs="Arial"/>
          <w:sz w:val="19"/>
          <w:szCs w:val="19"/>
        </w:rPr>
        <w:t>De la estructura de los procedimientos de selección.</w:t>
      </w:r>
      <w:bookmarkEnd w:id="32"/>
      <w:r>
        <w:rPr>
          <w:rFonts w:ascii="Arial" w:hAnsi="Arial" w:cs="Arial"/>
          <w:sz w:val="19"/>
          <w:szCs w:val="19"/>
        </w:rPr>
        <w:t xml:space="preserve"> </w:t>
      </w:r>
    </w:p>
    <w:p w14:paraId="25BAF739" w14:textId="77777777" w:rsidR="007E5337" w:rsidRDefault="007E5337" w:rsidP="007E5337">
      <w:pPr>
        <w:pStyle w:val="Textonotapie"/>
        <w:ind w:firstLine="708"/>
        <w:jc w:val="both"/>
        <w:rPr>
          <w:rFonts w:ascii="Arial" w:hAnsi="Arial" w:cs="Arial"/>
          <w:sz w:val="19"/>
          <w:szCs w:val="19"/>
        </w:rPr>
      </w:pPr>
      <w:r>
        <w:rPr>
          <w:rFonts w:ascii="Arial" w:hAnsi="Arial" w:cs="Arial"/>
          <w:sz w:val="19"/>
          <w:szCs w:val="19"/>
        </w:rPr>
        <w:t>»[…]</w:t>
      </w:r>
    </w:p>
    <w:p w14:paraId="10AB05EC" w14:textId="77777777" w:rsidR="007E5337" w:rsidRDefault="007E5337" w:rsidP="007E5337">
      <w:pPr>
        <w:pStyle w:val="Textonotapie"/>
        <w:ind w:firstLine="708"/>
        <w:jc w:val="both"/>
        <w:rPr>
          <w:rFonts w:ascii="Arial" w:hAnsi="Arial" w:cs="Arial"/>
          <w:sz w:val="19"/>
          <w:szCs w:val="19"/>
        </w:rPr>
      </w:pPr>
      <w:r>
        <w:rPr>
          <w:rFonts w:ascii="Arial" w:hAnsi="Arial" w:cs="Arial"/>
          <w:sz w:val="19"/>
          <w:szCs w:val="19"/>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0C0EFBC4" w14:textId="77777777" w:rsidR="007E5337" w:rsidRDefault="007E5337" w:rsidP="007E5337">
      <w:pPr>
        <w:pStyle w:val="Textonotapie"/>
        <w:ind w:firstLine="708"/>
        <w:jc w:val="both"/>
        <w:rPr>
          <w:rFonts w:ascii="Arial" w:hAnsi="Arial" w:cs="Arial"/>
          <w:sz w:val="19"/>
          <w:szCs w:val="19"/>
        </w:rPr>
      </w:pPr>
      <w:r>
        <w:rPr>
          <w:rFonts w:ascii="Arial" w:hAnsi="Arial" w:cs="Arial"/>
          <w:sz w:val="19"/>
          <w:szCs w:val="19"/>
        </w:rPr>
        <w:t>»[…]».</w:t>
      </w:r>
    </w:p>
    <w:p w14:paraId="35DD3731" w14:textId="77777777" w:rsidR="007E5337" w:rsidRDefault="007E5337" w:rsidP="007E5337">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369914859">
    <w:abstractNumId w:val="2"/>
  </w:num>
  <w:num w:numId="2" w16cid:durableId="996617356">
    <w:abstractNumId w:val="1"/>
  </w:num>
  <w:num w:numId="3" w16cid:durableId="794642591">
    <w:abstractNumId w:val="4"/>
  </w:num>
  <w:num w:numId="4" w16cid:durableId="41637365">
    <w:abstractNumId w:val="5"/>
  </w:num>
  <w:num w:numId="5" w16cid:durableId="66223584">
    <w:abstractNumId w:val="6"/>
  </w:num>
  <w:num w:numId="6" w16cid:durableId="3413174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003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44B79"/>
    <w:rsid w:val="00052D2C"/>
    <w:rsid w:val="000625D8"/>
    <w:rsid w:val="00086449"/>
    <w:rsid w:val="000942EB"/>
    <w:rsid w:val="000A00ED"/>
    <w:rsid w:val="000B103F"/>
    <w:rsid w:val="000C2C67"/>
    <w:rsid w:val="000D662E"/>
    <w:rsid w:val="000E50C7"/>
    <w:rsid w:val="000F14E8"/>
    <w:rsid w:val="00103915"/>
    <w:rsid w:val="00122B23"/>
    <w:rsid w:val="00137FFA"/>
    <w:rsid w:val="0014413A"/>
    <w:rsid w:val="0014523E"/>
    <w:rsid w:val="00166D96"/>
    <w:rsid w:val="001808F6"/>
    <w:rsid w:val="00191213"/>
    <w:rsid w:val="00195E89"/>
    <w:rsid w:val="001A12A3"/>
    <w:rsid w:val="001A6489"/>
    <w:rsid w:val="001D7532"/>
    <w:rsid w:val="001E24A8"/>
    <w:rsid w:val="00234B84"/>
    <w:rsid w:val="0024639B"/>
    <w:rsid w:val="002550EB"/>
    <w:rsid w:val="002757CE"/>
    <w:rsid w:val="00282A6C"/>
    <w:rsid w:val="00284138"/>
    <w:rsid w:val="00284810"/>
    <w:rsid w:val="002B0DB7"/>
    <w:rsid w:val="002B3CC7"/>
    <w:rsid w:val="002F1CCA"/>
    <w:rsid w:val="003033BA"/>
    <w:rsid w:val="00310624"/>
    <w:rsid w:val="00314BFB"/>
    <w:rsid w:val="00323B2D"/>
    <w:rsid w:val="003245C9"/>
    <w:rsid w:val="0034680A"/>
    <w:rsid w:val="00366A48"/>
    <w:rsid w:val="0037480E"/>
    <w:rsid w:val="00386456"/>
    <w:rsid w:val="003A581E"/>
    <w:rsid w:val="003C1C60"/>
    <w:rsid w:val="003C7377"/>
    <w:rsid w:val="003D05E4"/>
    <w:rsid w:val="003E0299"/>
    <w:rsid w:val="003E0F41"/>
    <w:rsid w:val="003F5FBB"/>
    <w:rsid w:val="0044105A"/>
    <w:rsid w:val="004422D6"/>
    <w:rsid w:val="0045486A"/>
    <w:rsid w:val="00463916"/>
    <w:rsid w:val="00474AFD"/>
    <w:rsid w:val="00484A7C"/>
    <w:rsid w:val="00486BD0"/>
    <w:rsid w:val="004A34D2"/>
    <w:rsid w:val="004B6DD3"/>
    <w:rsid w:val="004E1707"/>
    <w:rsid w:val="0051074C"/>
    <w:rsid w:val="00512472"/>
    <w:rsid w:val="00513AF2"/>
    <w:rsid w:val="0054413A"/>
    <w:rsid w:val="005564CA"/>
    <w:rsid w:val="005A79FE"/>
    <w:rsid w:val="005B36ED"/>
    <w:rsid w:val="005B690A"/>
    <w:rsid w:val="005C52F4"/>
    <w:rsid w:val="006132CE"/>
    <w:rsid w:val="00655371"/>
    <w:rsid w:val="00697665"/>
    <w:rsid w:val="006A7FD0"/>
    <w:rsid w:val="006D7687"/>
    <w:rsid w:val="006E0572"/>
    <w:rsid w:val="006E772F"/>
    <w:rsid w:val="006F2D53"/>
    <w:rsid w:val="006F2E31"/>
    <w:rsid w:val="00705631"/>
    <w:rsid w:val="00706009"/>
    <w:rsid w:val="0072364C"/>
    <w:rsid w:val="00734F3B"/>
    <w:rsid w:val="0073617B"/>
    <w:rsid w:val="007415D1"/>
    <w:rsid w:val="00742DD2"/>
    <w:rsid w:val="0075647A"/>
    <w:rsid w:val="007634AD"/>
    <w:rsid w:val="00765A29"/>
    <w:rsid w:val="0078122E"/>
    <w:rsid w:val="007860B7"/>
    <w:rsid w:val="007977F1"/>
    <w:rsid w:val="007A5766"/>
    <w:rsid w:val="007B0854"/>
    <w:rsid w:val="007B51A8"/>
    <w:rsid w:val="007B7724"/>
    <w:rsid w:val="007E5337"/>
    <w:rsid w:val="007F0474"/>
    <w:rsid w:val="007F72CB"/>
    <w:rsid w:val="008023B4"/>
    <w:rsid w:val="0083119B"/>
    <w:rsid w:val="00836EAB"/>
    <w:rsid w:val="00842AE0"/>
    <w:rsid w:val="0085092D"/>
    <w:rsid w:val="00855E2A"/>
    <w:rsid w:val="0088583B"/>
    <w:rsid w:val="00895FAF"/>
    <w:rsid w:val="008C4775"/>
    <w:rsid w:val="008D14B2"/>
    <w:rsid w:val="008E0056"/>
    <w:rsid w:val="008E04D9"/>
    <w:rsid w:val="008E1C15"/>
    <w:rsid w:val="008E2B59"/>
    <w:rsid w:val="008F5021"/>
    <w:rsid w:val="00901015"/>
    <w:rsid w:val="009047C5"/>
    <w:rsid w:val="00927F6E"/>
    <w:rsid w:val="00943CD8"/>
    <w:rsid w:val="009475AA"/>
    <w:rsid w:val="0095385A"/>
    <w:rsid w:val="00987B5F"/>
    <w:rsid w:val="00987B6A"/>
    <w:rsid w:val="009C53A5"/>
    <w:rsid w:val="009F3D39"/>
    <w:rsid w:val="00A00D3F"/>
    <w:rsid w:val="00A06C7E"/>
    <w:rsid w:val="00A24560"/>
    <w:rsid w:val="00A249F7"/>
    <w:rsid w:val="00A34538"/>
    <w:rsid w:val="00A354DA"/>
    <w:rsid w:val="00A47B05"/>
    <w:rsid w:val="00A500F1"/>
    <w:rsid w:val="00A66E45"/>
    <w:rsid w:val="00A66E6F"/>
    <w:rsid w:val="00A71696"/>
    <w:rsid w:val="00A729B1"/>
    <w:rsid w:val="00A758FC"/>
    <w:rsid w:val="00AA442B"/>
    <w:rsid w:val="00AA5446"/>
    <w:rsid w:val="00B042DC"/>
    <w:rsid w:val="00B073D8"/>
    <w:rsid w:val="00B1184D"/>
    <w:rsid w:val="00B22E22"/>
    <w:rsid w:val="00B31997"/>
    <w:rsid w:val="00B525CB"/>
    <w:rsid w:val="00B5531D"/>
    <w:rsid w:val="00B63CB2"/>
    <w:rsid w:val="00B73A6C"/>
    <w:rsid w:val="00B86125"/>
    <w:rsid w:val="00BC2977"/>
    <w:rsid w:val="00BD49C8"/>
    <w:rsid w:val="00BD78FE"/>
    <w:rsid w:val="00BE2F0E"/>
    <w:rsid w:val="00C0653B"/>
    <w:rsid w:val="00C201A9"/>
    <w:rsid w:val="00C243E3"/>
    <w:rsid w:val="00C26512"/>
    <w:rsid w:val="00C26F97"/>
    <w:rsid w:val="00C51694"/>
    <w:rsid w:val="00C628D1"/>
    <w:rsid w:val="00C76B4E"/>
    <w:rsid w:val="00C86F30"/>
    <w:rsid w:val="00C9510E"/>
    <w:rsid w:val="00CA287E"/>
    <w:rsid w:val="00CB7345"/>
    <w:rsid w:val="00CC00CD"/>
    <w:rsid w:val="00CD1882"/>
    <w:rsid w:val="00CE0C47"/>
    <w:rsid w:val="00CE104C"/>
    <w:rsid w:val="00CF6750"/>
    <w:rsid w:val="00CF7B21"/>
    <w:rsid w:val="00D10FB8"/>
    <w:rsid w:val="00D118CC"/>
    <w:rsid w:val="00D14DB9"/>
    <w:rsid w:val="00D16E39"/>
    <w:rsid w:val="00D17700"/>
    <w:rsid w:val="00D24097"/>
    <w:rsid w:val="00D322FC"/>
    <w:rsid w:val="00D651AA"/>
    <w:rsid w:val="00D72E9D"/>
    <w:rsid w:val="00D82CE5"/>
    <w:rsid w:val="00D86063"/>
    <w:rsid w:val="00DA5AB1"/>
    <w:rsid w:val="00DC62E5"/>
    <w:rsid w:val="00DD3B58"/>
    <w:rsid w:val="00DD735D"/>
    <w:rsid w:val="00DE3119"/>
    <w:rsid w:val="00DE3669"/>
    <w:rsid w:val="00DF236B"/>
    <w:rsid w:val="00DF23ED"/>
    <w:rsid w:val="00DF3DB1"/>
    <w:rsid w:val="00DF557A"/>
    <w:rsid w:val="00E05D52"/>
    <w:rsid w:val="00E13AB8"/>
    <w:rsid w:val="00E1532A"/>
    <w:rsid w:val="00E17B1C"/>
    <w:rsid w:val="00E33B62"/>
    <w:rsid w:val="00E42794"/>
    <w:rsid w:val="00E43C0F"/>
    <w:rsid w:val="00E6543E"/>
    <w:rsid w:val="00E90F2F"/>
    <w:rsid w:val="00E9105C"/>
    <w:rsid w:val="00E916FF"/>
    <w:rsid w:val="00EB24FD"/>
    <w:rsid w:val="00EB342F"/>
    <w:rsid w:val="00EE35A7"/>
    <w:rsid w:val="00EF5EA4"/>
    <w:rsid w:val="00F07705"/>
    <w:rsid w:val="00F11B67"/>
    <w:rsid w:val="00F3714F"/>
    <w:rsid w:val="00F50176"/>
    <w:rsid w:val="00F53BED"/>
    <w:rsid w:val="00F677ED"/>
    <w:rsid w:val="00F708EE"/>
    <w:rsid w:val="00F84899"/>
    <w:rsid w:val="00F859F0"/>
    <w:rsid w:val="00F8676A"/>
    <w:rsid w:val="00F86B3F"/>
    <w:rsid w:val="00F93CE5"/>
    <w:rsid w:val="00F96B93"/>
    <w:rsid w:val="00FB11D7"/>
    <w:rsid w:val="00FB6465"/>
    <w:rsid w:val="00FC1897"/>
    <w:rsid w:val="00FD3AB5"/>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805466969">
      <w:bodyDiv w:val="1"/>
      <w:marLeft w:val="0"/>
      <w:marRight w:val="0"/>
      <w:marTop w:val="0"/>
      <w:marBottom w:val="0"/>
      <w:divBdr>
        <w:top w:val="none" w:sz="0" w:space="0" w:color="auto"/>
        <w:left w:val="none" w:sz="0" w:space="0" w:color="auto"/>
        <w:bottom w:val="none" w:sz="0" w:space="0" w:color="auto"/>
        <w:right w:val="none" w:sz="0" w:space="0" w:color="auto"/>
      </w:divBdr>
    </w:div>
    <w:div w:id="1208688635">
      <w:bodyDiv w:val="1"/>
      <w:marLeft w:val="0"/>
      <w:marRight w:val="0"/>
      <w:marTop w:val="0"/>
      <w:marBottom w:val="0"/>
      <w:divBdr>
        <w:top w:val="none" w:sz="0" w:space="0" w:color="auto"/>
        <w:left w:val="none" w:sz="0" w:space="0" w:color="auto"/>
        <w:bottom w:val="none" w:sz="0" w:space="0" w:color="auto"/>
        <w:right w:val="none" w:sz="0" w:space="0" w:color="auto"/>
      </w:divBdr>
    </w:div>
    <w:div w:id="1258901985">
      <w:bodyDiv w:val="1"/>
      <w:marLeft w:val="0"/>
      <w:marRight w:val="0"/>
      <w:marTop w:val="0"/>
      <w:marBottom w:val="0"/>
      <w:divBdr>
        <w:top w:val="none" w:sz="0" w:space="0" w:color="auto"/>
        <w:left w:val="none" w:sz="0" w:space="0" w:color="auto"/>
        <w:bottom w:val="none" w:sz="0" w:space="0" w:color="auto"/>
        <w:right w:val="none" w:sz="0" w:space="0" w:color="auto"/>
      </w:divBdr>
    </w:div>
    <w:div w:id="1538161762">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00AD-3710-4598-9B93-A23BE1AB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17F39-4242-47B6-B0D0-7F5EFE96C9A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21</Pages>
  <Words>6409</Words>
  <Characters>35254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dcterms:created xsi:type="dcterms:W3CDTF">2022-03-31T16:52:00Z</dcterms:created>
  <dcterms:modified xsi:type="dcterms:W3CDTF">2022-04-27T16:04:00Z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