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FC650" w14:textId="77777777" w:rsidR="00885117" w:rsidRPr="00BD595A" w:rsidRDefault="00885117" w:rsidP="00885117">
      <w:pPr>
        <w:spacing w:line="276" w:lineRule="auto"/>
        <w:jc w:val="right"/>
        <w:rPr>
          <w:rFonts w:ascii="Arial" w:eastAsia="Calibri" w:hAnsi="Arial" w:cs="Arial"/>
          <w:b/>
          <w:sz w:val="22"/>
        </w:rPr>
      </w:pPr>
      <w:bookmarkStart w:id="0" w:name="_Hlk29890381"/>
      <w:r w:rsidRPr="00BD595A">
        <w:rPr>
          <w:rFonts w:ascii="Arial" w:eastAsia="Times New Roman" w:hAnsi="Arial" w:cs="Arial"/>
          <w:sz w:val="16"/>
          <w:szCs w:val="16"/>
          <w:lang w:eastAsia="es-ES"/>
        </w:rPr>
        <w:t>CCE-DES-FM-17</w:t>
      </w:r>
    </w:p>
    <w:p w14:paraId="3757B278" w14:textId="77777777" w:rsidR="00885117" w:rsidRPr="00BD595A" w:rsidRDefault="00885117" w:rsidP="00885117">
      <w:pPr>
        <w:jc w:val="both"/>
        <w:rPr>
          <w:rFonts w:ascii="Arial" w:eastAsia="Calibri" w:hAnsi="Arial" w:cs="Arial"/>
          <w:b/>
          <w:sz w:val="22"/>
          <w:highlight w:val="yellow"/>
        </w:rPr>
      </w:pPr>
    </w:p>
    <w:p w14:paraId="660F95D9" w14:textId="77777777" w:rsidR="00885117" w:rsidRPr="00D910A7" w:rsidRDefault="00885117" w:rsidP="00885117">
      <w:pPr>
        <w:pStyle w:val="Prrafodelista"/>
        <w:ind w:left="0"/>
        <w:jc w:val="both"/>
        <w:rPr>
          <w:rFonts w:ascii="Arial" w:eastAsia="Calibri" w:hAnsi="Arial" w:cs="Arial"/>
          <w:b/>
          <w:sz w:val="20"/>
          <w:szCs w:val="20"/>
        </w:rPr>
      </w:pPr>
      <w:r w:rsidRPr="00336F97">
        <w:rPr>
          <w:rFonts w:ascii="Arial" w:eastAsia="Calibri" w:hAnsi="Arial" w:cs="Arial"/>
          <w:b/>
          <w:sz w:val="22"/>
        </w:rPr>
        <w:t>FORMULARIO 1 – Presupuesto oficial – Contenido y obligatoriedad</w:t>
      </w:r>
    </w:p>
    <w:p w14:paraId="7EF49F70" w14:textId="77777777" w:rsidR="00885117" w:rsidRPr="00D910A7" w:rsidRDefault="00885117" w:rsidP="00885117">
      <w:pPr>
        <w:pStyle w:val="Prrafodelista"/>
        <w:ind w:left="0"/>
        <w:jc w:val="both"/>
        <w:rPr>
          <w:rFonts w:ascii="Arial" w:eastAsia="Calibri" w:hAnsi="Arial" w:cs="Arial"/>
          <w:sz w:val="20"/>
          <w:szCs w:val="20"/>
        </w:rPr>
      </w:pPr>
    </w:p>
    <w:p w14:paraId="29F3B00D" w14:textId="2C70375F" w:rsidR="008515E9" w:rsidRDefault="00336F97" w:rsidP="00885117">
      <w:pPr>
        <w:jc w:val="both"/>
        <w:rPr>
          <w:rFonts w:ascii="Arial" w:eastAsia="Calibri" w:hAnsi="Arial" w:cs="Arial"/>
          <w:sz w:val="20"/>
          <w:szCs w:val="20"/>
        </w:rPr>
      </w:pPr>
      <w:r w:rsidRPr="00336F97">
        <w:rPr>
          <w:rFonts w:ascii="Arial" w:eastAsia="Calibri" w:hAnsi="Arial" w:cs="Arial"/>
          <w:sz w:val="20"/>
          <w:szCs w:val="20"/>
        </w:rPr>
        <w:t>La Resolución No. 240 del 27 de noviembre de 2020 «Por la cual se actualizan los Documentos Tipo para los procesos de selección de licitación de obra pública de infraestructura de transporte y se deroga la Resolución 0045 de 2020», define el alcance de los Documentos Tipo y los enlista, señalando que existe un formulario denominado «Formulario 1 - Formulario de Presupuesto Oficial». En este formulario la entidad elabora y presenta el presupuesto oficial, y el proponente estructura la oferta económica. Este formulario lo prepara la entidad, en la etapa de planeación, y le permite definir el valor oficial estimado.</w:t>
      </w:r>
    </w:p>
    <w:p w14:paraId="68091000" w14:textId="77777777" w:rsidR="00336F97" w:rsidRPr="00D910A7" w:rsidRDefault="00336F97" w:rsidP="00885117">
      <w:pPr>
        <w:jc w:val="both"/>
        <w:rPr>
          <w:rFonts w:ascii="Arial" w:hAnsi="Arial" w:cs="Arial"/>
          <w:sz w:val="20"/>
          <w:szCs w:val="20"/>
        </w:rPr>
      </w:pPr>
    </w:p>
    <w:p w14:paraId="15E0AFAD" w14:textId="77777777" w:rsidR="00885117" w:rsidRPr="00D910A7" w:rsidRDefault="00885117" w:rsidP="00885117">
      <w:pPr>
        <w:jc w:val="both"/>
        <w:rPr>
          <w:rFonts w:ascii="Arial" w:eastAsia="Calibri" w:hAnsi="Arial" w:cs="Arial"/>
          <w:b/>
          <w:sz w:val="20"/>
          <w:szCs w:val="20"/>
        </w:rPr>
      </w:pPr>
      <w:r w:rsidRPr="00336F97">
        <w:rPr>
          <w:rFonts w:ascii="Arial" w:eastAsia="Calibri" w:hAnsi="Arial" w:cs="Arial"/>
          <w:b/>
          <w:sz w:val="22"/>
        </w:rPr>
        <w:t>DOCUMENTOS TIPO – Causales de rechazo – Origen legal – Origen en el pliego de condiciones</w:t>
      </w:r>
    </w:p>
    <w:p w14:paraId="67C0465A" w14:textId="77777777" w:rsidR="00885117" w:rsidRPr="00015E30" w:rsidRDefault="00885117" w:rsidP="00885117">
      <w:pPr>
        <w:jc w:val="both"/>
        <w:rPr>
          <w:rFonts w:ascii="Arial" w:hAnsi="Arial" w:cs="Arial"/>
          <w:sz w:val="20"/>
          <w:szCs w:val="20"/>
          <w:highlight w:val="yellow"/>
        </w:rPr>
      </w:pPr>
    </w:p>
    <w:p w14:paraId="25C49457" w14:textId="7FAB53E5" w:rsidR="00336F97" w:rsidRDefault="00336F97" w:rsidP="00336F97">
      <w:pPr>
        <w:jc w:val="both"/>
        <w:rPr>
          <w:rFonts w:ascii="Arial" w:eastAsia="Calibri" w:hAnsi="Arial" w:cs="Arial"/>
          <w:sz w:val="20"/>
          <w:szCs w:val="20"/>
        </w:rPr>
      </w:pPr>
      <w:r w:rsidRPr="00336F97">
        <w:rPr>
          <w:rFonts w:ascii="Arial" w:eastAsia="Calibri" w:hAnsi="Arial" w:cs="Arial"/>
          <w:sz w:val="20"/>
          <w:szCs w:val="20"/>
        </w:rPr>
        <w:t xml:space="preserve">En consecuencia, las causales de rechazo aplicables a los procedimientos de contratación que se adelanten utilizando los Documentos Tipo únicamente son las establecidas directamente en la Ley y las contenidas en el numeral 1.15 del «Documento Base». De esta manera, la entidad estatal debe verificar cuál de los supuestos previstos se configura en la evaluación de las ofertas. </w:t>
      </w:r>
    </w:p>
    <w:p w14:paraId="6ABE64E9" w14:textId="77777777" w:rsidR="00336F97" w:rsidRPr="00336F97" w:rsidRDefault="00336F97" w:rsidP="00336F97">
      <w:pPr>
        <w:jc w:val="both"/>
        <w:rPr>
          <w:rFonts w:ascii="Arial" w:eastAsia="Calibri" w:hAnsi="Arial" w:cs="Arial"/>
          <w:sz w:val="20"/>
          <w:szCs w:val="20"/>
        </w:rPr>
      </w:pPr>
    </w:p>
    <w:p w14:paraId="28E7475A" w14:textId="017BA666" w:rsidR="008515E9" w:rsidRPr="00015E30" w:rsidRDefault="00336F97" w:rsidP="00336F97">
      <w:pPr>
        <w:jc w:val="both"/>
        <w:rPr>
          <w:rFonts w:ascii="Arial" w:eastAsia="Calibri" w:hAnsi="Arial" w:cs="Arial"/>
          <w:sz w:val="20"/>
          <w:szCs w:val="20"/>
          <w:highlight w:val="yellow"/>
        </w:rPr>
      </w:pPr>
      <w:r w:rsidRPr="00336F97">
        <w:rPr>
          <w:rFonts w:ascii="Arial" w:eastAsia="Calibri" w:hAnsi="Arial" w:cs="Arial"/>
          <w:sz w:val="20"/>
          <w:szCs w:val="20"/>
        </w:rPr>
        <w:t>En este sentido, la Administración no tiene la facultad de descalificar una oferta de forma discrecional, toda vez que solo es posible por las causales previamente definidas en la ley o en el pliego de condiciones. Sin embargo, las causales definidas por la entidad deben cumplir los requisitos de razonabilidad y proporcionalidad, so pena de que no sean válidas dentro del procedimiento de contratación.</w:t>
      </w:r>
    </w:p>
    <w:p w14:paraId="12D8A58F" w14:textId="77777777" w:rsidR="00336F97" w:rsidRDefault="00336F97" w:rsidP="00885117">
      <w:pPr>
        <w:jc w:val="both"/>
        <w:rPr>
          <w:rFonts w:ascii="Arial" w:eastAsia="Calibri" w:hAnsi="Arial" w:cs="Arial"/>
          <w:b/>
          <w:sz w:val="22"/>
        </w:rPr>
      </w:pPr>
    </w:p>
    <w:p w14:paraId="7C27A7B8" w14:textId="2532399B" w:rsidR="00885117" w:rsidRPr="00336F97" w:rsidRDefault="00885117" w:rsidP="00885117">
      <w:pPr>
        <w:jc w:val="both"/>
        <w:rPr>
          <w:rFonts w:ascii="Arial" w:eastAsia="Calibri" w:hAnsi="Arial" w:cs="Arial"/>
          <w:b/>
          <w:sz w:val="22"/>
        </w:rPr>
      </w:pPr>
      <w:r w:rsidRPr="00336F97">
        <w:rPr>
          <w:rFonts w:ascii="Arial" w:eastAsia="Calibri" w:hAnsi="Arial" w:cs="Arial"/>
          <w:b/>
          <w:sz w:val="22"/>
        </w:rPr>
        <w:t>DOCUMENTOS TIPO – Causales de rechazo – Oferta económica</w:t>
      </w:r>
    </w:p>
    <w:p w14:paraId="185A4A30" w14:textId="77777777" w:rsidR="00885117" w:rsidRPr="00015E30" w:rsidRDefault="00885117" w:rsidP="00885117">
      <w:pPr>
        <w:jc w:val="both"/>
        <w:rPr>
          <w:rFonts w:ascii="Arial" w:eastAsia="Calibri" w:hAnsi="Arial" w:cs="Arial"/>
          <w:sz w:val="20"/>
          <w:szCs w:val="20"/>
          <w:highlight w:val="yellow"/>
        </w:rPr>
      </w:pPr>
    </w:p>
    <w:p w14:paraId="71E10A81" w14:textId="1722A01D" w:rsidR="00E51201" w:rsidRPr="008B4637" w:rsidRDefault="008B4637" w:rsidP="008B4637">
      <w:pPr>
        <w:tabs>
          <w:tab w:val="left" w:pos="3374"/>
        </w:tabs>
        <w:jc w:val="both"/>
        <w:rPr>
          <w:rFonts w:ascii="Arial" w:eastAsia="Calibri" w:hAnsi="Arial" w:cs="Arial"/>
          <w:sz w:val="20"/>
          <w:szCs w:val="20"/>
        </w:rPr>
      </w:pPr>
      <w:r w:rsidRPr="008B4637">
        <w:rPr>
          <w:rFonts w:ascii="Arial" w:eastAsia="Calibri" w:hAnsi="Arial" w:cs="Arial"/>
          <w:sz w:val="20"/>
          <w:szCs w:val="20"/>
        </w:rPr>
        <w:t>En lo que respecta a las causales de rechazo establecidas en el numeral 1.15 del Documento Base de los «Documentos Tipo – Versión 3», es necesario aclarar que en ninguna de ellas se contempla algún supuesto de hecho consistente en la presentación de la oferta en un documento distinto del Formulario 1 o el formulario que establezca la entidad . Por tanto, ante la imposibilidad de incluir nuevas causales, con fundamento en el principio de inalterabilidad, las entidades estatales deben evaluar en la presentación de la oferta económica la configuración de causales de rechazo del pliego, determinando en cada caso concreto si la situación evidenciada configura en estricto sentido alguno de los supuestos de hecho establecidos en las mismas, sin valerse de interpretaciones extensivas o finalista.</w:t>
      </w:r>
    </w:p>
    <w:p w14:paraId="43C49846" w14:textId="1A1F6A79" w:rsidR="00E51201" w:rsidRDefault="00E51201" w:rsidP="00885117">
      <w:pPr>
        <w:tabs>
          <w:tab w:val="left" w:pos="3374"/>
        </w:tabs>
        <w:rPr>
          <w:rFonts w:ascii="Arial" w:eastAsia="Calibri" w:hAnsi="Arial" w:cs="Arial"/>
          <w:sz w:val="22"/>
        </w:rPr>
      </w:pPr>
    </w:p>
    <w:p w14:paraId="424459AE" w14:textId="53314B1E" w:rsidR="00860D84" w:rsidRDefault="00860D84" w:rsidP="00885117">
      <w:pPr>
        <w:tabs>
          <w:tab w:val="left" w:pos="3374"/>
        </w:tabs>
        <w:rPr>
          <w:rFonts w:ascii="Arial" w:eastAsia="Calibri" w:hAnsi="Arial" w:cs="Arial"/>
          <w:sz w:val="22"/>
        </w:rPr>
      </w:pPr>
    </w:p>
    <w:p w14:paraId="251B8EBF" w14:textId="2D400EDA" w:rsidR="00860D84" w:rsidRDefault="00860D84" w:rsidP="00885117">
      <w:pPr>
        <w:tabs>
          <w:tab w:val="left" w:pos="3374"/>
        </w:tabs>
        <w:rPr>
          <w:rFonts w:ascii="Arial" w:eastAsia="Calibri" w:hAnsi="Arial" w:cs="Arial"/>
          <w:sz w:val="22"/>
        </w:rPr>
      </w:pPr>
    </w:p>
    <w:p w14:paraId="0D869664" w14:textId="7F4441F5" w:rsidR="00860D84" w:rsidRDefault="00860D84" w:rsidP="00885117">
      <w:pPr>
        <w:tabs>
          <w:tab w:val="left" w:pos="3374"/>
        </w:tabs>
        <w:rPr>
          <w:rFonts w:ascii="Arial" w:eastAsia="Calibri" w:hAnsi="Arial" w:cs="Arial"/>
          <w:sz w:val="22"/>
        </w:rPr>
      </w:pPr>
    </w:p>
    <w:p w14:paraId="78A346B7" w14:textId="2ADCDE48" w:rsidR="00860D84" w:rsidRDefault="00860D84" w:rsidP="00885117">
      <w:pPr>
        <w:tabs>
          <w:tab w:val="left" w:pos="3374"/>
        </w:tabs>
        <w:rPr>
          <w:rFonts w:ascii="Arial" w:eastAsia="Calibri" w:hAnsi="Arial" w:cs="Arial"/>
          <w:sz w:val="22"/>
        </w:rPr>
      </w:pPr>
    </w:p>
    <w:p w14:paraId="7648371C" w14:textId="4B772DE6" w:rsidR="00860D84" w:rsidRDefault="00860D84" w:rsidP="00885117">
      <w:pPr>
        <w:tabs>
          <w:tab w:val="left" w:pos="3374"/>
        </w:tabs>
        <w:rPr>
          <w:rFonts w:ascii="Arial" w:eastAsia="Calibri" w:hAnsi="Arial" w:cs="Arial"/>
          <w:sz w:val="22"/>
        </w:rPr>
      </w:pPr>
    </w:p>
    <w:p w14:paraId="3628ACCB" w14:textId="5179B239" w:rsidR="00860D84" w:rsidRDefault="00860D84" w:rsidP="00885117">
      <w:pPr>
        <w:tabs>
          <w:tab w:val="left" w:pos="3374"/>
        </w:tabs>
        <w:rPr>
          <w:rFonts w:ascii="Arial" w:eastAsia="Calibri" w:hAnsi="Arial" w:cs="Arial"/>
          <w:sz w:val="22"/>
        </w:rPr>
      </w:pPr>
    </w:p>
    <w:p w14:paraId="44B723AD" w14:textId="40E07E10" w:rsidR="00860D84" w:rsidRDefault="00860D84" w:rsidP="00885117">
      <w:pPr>
        <w:tabs>
          <w:tab w:val="left" w:pos="3374"/>
        </w:tabs>
        <w:rPr>
          <w:rFonts w:ascii="Arial" w:eastAsia="Calibri" w:hAnsi="Arial" w:cs="Arial"/>
          <w:sz w:val="22"/>
        </w:rPr>
      </w:pPr>
    </w:p>
    <w:p w14:paraId="7F50F9F6" w14:textId="60923D83" w:rsidR="00860D84" w:rsidRDefault="00860D84" w:rsidP="00885117">
      <w:pPr>
        <w:tabs>
          <w:tab w:val="left" w:pos="3374"/>
        </w:tabs>
        <w:rPr>
          <w:rFonts w:ascii="Arial" w:eastAsia="Calibri" w:hAnsi="Arial" w:cs="Arial"/>
          <w:sz w:val="22"/>
        </w:rPr>
      </w:pPr>
    </w:p>
    <w:p w14:paraId="2DA9B342" w14:textId="77777777" w:rsidR="00860D84" w:rsidRDefault="00860D84" w:rsidP="00885117">
      <w:pPr>
        <w:tabs>
          <w:tab w:val="left" w:pos="3374"/>
        </w:tabs>
        <w:rPr>
          <w:rFonts w:ascii="Arial" w:eastAsia="Calibri" w:hAnsi="Arial" w:cs="Arial"/>
          <w:sz w:val="22"/>
        </w:rPr>
      </w:pPr>
    </w:p>
    <w:p w14:paraId="2B9635A9" w14:textId="77777777" w:rsidR="00E51201" w:rsidRDefault="00E51201" w:rsidP="00885117">
      <w:pPr>
        <w:tabs>
          <w:tab w:val="left" w:pos="3374"/>
        </w:tabs>
        <w:rPr>
          <w:rFonts w:ascii="Arial" w:eastAsia="Calibri" w:hAnsi="Arial" w:cs="Arial"/>
          <w:sz w:val="22"/>
        </w:rPr>
      </w:pPr>
    </w:p>
    <w:p w14:paraId="0D716C09" w14:textId="671661CB" w:rsidR="00885117" w:rsidRDefault="00885117" w:rsidP="00885117">
      <w:pPr>
        <w:tabs>
          <w:tab w:val="left" w:pos="3374"/>
        </w:tabs>
        <w:rPr>
          <w:rFonts w:ascii="Arial" w:eastAsia="Calibri" w:hAnsi="Arial" w:cs="Arial"/>
          <w:sz w:val="22"/>
        </w:rPr>
      </w:pPr>
      <w:r w:rsidRPr="00BD595A">
        <w:rPr>
          <w:rFonts w:ascii="Arial" w:eastAsia="Calibri" w:hAnsi="Arial" w:cs="Arial"/>
          <w:sz w:val="22"/>
        </w:rPr>
        <w:tab/>
      </w:r>
    </w:p>
    <w:p w14:paraId="60B29863" w14:textId="0A0B0C6C" w:rsidR="00D910A7" w:rsidRDefault="00F10F95" w:rsidP="00885117">
      <w:pPr>
        <w:tabs>
          <w:tab w:val="left" w:pos="3374"/>
        </w:tabs>
        <w:rPr>
          <w:rFonts w:ascii="Arial" w:eastAsia="Calibri" w:hAnsi="Arial" w:cs="Arial"/>
          <w:sz w:val="22"/>
        </w:rPr>
      </w:pPr>
      <w:r>
        <w:rPr>
          <w:rFonts w:ascii="Arial" w:eastAsia="Calibri" w:hAnsi="Arial" w:cs="Arial"/>
          <w:sz w:val="22"/>
        </w:rPr>
        <w:lastRenderedPageBreak/>
        <w:t>Bogotá D.C., 16 de marzo de 2021</w:t>
      </w:r>
    </w:p>
    <w:p w14:paraId="15960861" w14:textId="5C66F6CB" w:rsidR="00F10F95" w:rsidRDefault="00F10F95" w:rsidP="00885117">
      <w:pPr>
        <w:tabs>
          <w:tab w:val="left" w:pos="3374"/>
        </w:tabs>
        <w:rPr>
          <w:rFonts w:ascii="Arial" w:eastAsia="Calibri" w:hAnsi="Arial" w:cs="Arial"/>
          <w:sz w:val="22"/>
        </w:rPr>
      </w:pPr>
    </w:p>
    <w:p w14:paraId="425A30D5" w14:textId="1910238A" w:rsidR="00D910A7" w:rsidRDefault="00D910A7" w:rsidP="00885117">
      <w:pPr>
        <w:tabs>
          <w:tab w:val="left" w:pos="3374"/>
        </w:tabs>
        <w:rPr>
          <w:rFonts w:ascii="Arial" w:eastAsia="Calibri" w:hAnsi="Arial" w:cs="Arial"/>
          <w:sz w:val="22"/>
        </w:rPr>
      </w:pPr>
    </w:p>
    <w:p w14:paraId="1B30158A" w14:textId="1EB70FA6" w:rsidR="00D910A7" w:rsidRDefault="00D910A7" w:rsidP="00885117">
      <w:pPr>
        <w:tabs>
          <w:tab w:val="left" w:pos="3374"/>
        </w:tabs>
        <w:rPr>
          <w:rFonts w:ascii="Arial" w:eastAsia="Calibri" w:hAnsi="Arial" w:cs="Arial"/>
          <w:sz w:val="22"/>
        </w:rPr>
      </w:pPr>
    </w:p>
    <w:p w14:paraId="6FE015D7" w14:textId="20F1CCA9" w:rsidR="00D910A7" w:rsidRDefault="00860D84" w:rsidP="00860D84">
      <w:pPr>
        <w:tabs>
          <w:tab w:val="left" w:pos="8789"/>
        </w:tabs>
        <w:jc w:val="right"/>
        <w:rPr>
          <w:rFonts w:ascii="Arial" w:eastAsia="Calibri" w:hAnsi="Arial" w:cs="Arial"/>
          <w:sz w:val="22"/>
        </w:rPr>
      </w:pPr>
      <w:r w:rsidRPr="00860D84">
        <w:rPr>
          <w:rFonts w:ascii="Arial" w:eastAsia="Calibri" w:hAnsi="Arial" w:cs="Arial"/>
          <w:b/>
          <w:bCs/>
          <w:sz w:val="22"/>
        </w:rPr>
        <w:drawing>
          <wp:inline distT="0" distB="0" distL="0" distR="0" wp14:anchorId="5F96B79F" wp14:editId="774530E1">
            <wp:extent cx="2554916" cy="708459"/>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1"/>
                    <a:stretch>
                      <a:fillRect/>
                    </a:stretch>
                  </pic:blipFill>
                  <pic:spPr>
                    <a:xfrm>
                      <a:off x="0" y="0"/>
                      <a:ext cx="2567167" cy="711856"/>
                    </a:xfrm>
                    <a:prstGeom prst="rect">
                      <a:avLst/>
                    </a:prstGeom>
                  </pic:spPr>
                </pic:pic>
              </a:graphicData>
            </a:graphic>
          </wp:inline>
        </w:drawing>
      </w:r>
    </w:p>
    <w:p w14:paraId="1E3CAC01" w14:textId="77777777" w:rsidR="00D910A7" w:rsidRPr="00BD595A" w:rsidRDefault="00D910A7" w:rsidP="00885117">
      <w:pPr>
        <w:tabs>
          <w:tab w:val="left" w:pos="3374"/>
        </w:tabs>
        <w:rPr>
          <w:rFonts w:ascii="Arial" w:eastAsia="Calibri" w:hAnsi="Arial" w:cs="Arial"/>
          <w:sz w:val="22"/>
        </w:rPr>
      </w:pPr>
    </w:p>
    <w:p w14:paraId="534A5B8D" w14:textId="7C76D757" w:rsidR="00885117" w:rsidRPr="00BD595A" w:rsidRDefault="00885117" w:rsidP="00885117">
      <w:pPr>
        <w:rPr>
          <w:rFonts w:ascii="Arial" w:eastAsia="Calibri" w:hAnsi="Arial" w:cs="Arial"/>
          <w:sz w:val="22"/>
        </w:rPr>
      </w:pPr>
      <w:bookmarkStart w:id="1" w:name="_Hlk66785854"/>
      <w:r w:rsidRPr="00BD595A">
        <w:rPr>
          <w:rFonts w:ascii="Arial" w:eastAsia="Calibri" w:hAnsi="Arial" w:cs="Arial"/>
          <w:sz w:val="22"/>
        </w:rPr>
        <w:t>Señor</w:t>
      </w:r>
    </w:p>
    <w:p w14:paraId="66A71899" w14:textId="5EA509D3" w:rsidR="00885117" w:rsidRPr="00BD595A" w:rsidRDefault="00E51201" w:rsidP="00885117">
      <w:pPr>
        <w:rPr>
          <w:rFonts w:ascii="Arial" w:eastAsia="Calibri" w:hAnsi="Arial" w:cs="Arial"/>
          <w:b/>
          <w:sz w:val="22"/>
        </w:rPr>
      </w:pPr>
      <w:r>
        <w:rPr>
          <w:rFonts w:ascii="Arial" w:eastAsia="Calibri" w:hAnsi="Arial" w:cs="Arial"/>
          <w:b/>
          <w:sz w:val="22"/>
        </w:rPr>
        <w:t>Alirio Pabón Acosta</w:t>
      </w:r>
    </w:p>
    <w:p w14:paraId="33678065" w14:textId="697CD7A8" w:rsidR="00885117" w:rsidRPr="00BD595A" w:rsidRDefault="00E51201" w:rsidP="00885117">
      <w:pPr>
        <w:rPr>
          <w:rFonts w:ascii="Arial" w:eastAsia="Calibri" w:hAnsi="Arial" w:cs="Arial"/>
          <w:sz w:val="22"/>
        </w:rPr>
      </w:pPr>
      <w:r>
        <w:rPr>
          <w:rFonts w:ascii="Arial" w:eastAsia="Calibri" w:hAnsi="Arial" w:cs="Arial"/>
          <w:sz w:val="22"/>
        </w:rPr>
        <w:t>Girón, Santander</w:t>
      </w:r>
    </w:p>
    <w:p w14:paraId="24B5823A" w14:textId="77777777" w:rsidR="00885117" w:rsidRPr="00BD595A" w:rsidRDefault="00885117" w:rsidP="00885117">
      <w:pPr>
        <w:rPr>
          <w:rFonts w:ascii="Arial" w:eastAsia="Calibri" w:hAnsi="Arial" w:cs="Arial"/>
          <w:sz w:val="22"/>
        </w:rPr>
      </w:pPr>
    </w:p>
    <w:p w14:paraId="6251B53F" w14:textId="3605B270" w:rsidR="00885117" w:rsidRPr="00BD595A" w:rsidRDefault="00885117" w:rsidP="00885117">
      <w:pPr>
        <w:jc w:val="center"/>
        <w:rPr>
          <w:rFonts w:ascii="Arial" w:eastAsia="Calibri" w:hAnsi="Arial" w:cs="Arial"/>
          <w:b/>
          <w:sz w:val="22"/>
        </w:rPr>
      </w:pPr>
      <w:r w:rsidRPr="00BD595A">
        <w:rPr>
          <w:rFonts w:ascii="Arial" w:eastAsia="Calibri" w:hAnsi="Arial" w:cs="Arial"/>
          <w:b/>
          <w:sz w:val="22"/>
        </w:rPr>
        <w:t xml:space="preserve">Concepto C ─ </w:t>
      </w:r>
      <w:r w:rsidR="00E51201">
        <w:rPr>
          <w:rFonts w:ascii="Arial" w:eastAsia="Calibri" w:hAnsi="Arial" w:cs="Arial"/>
          <w:b/>
          <w:sz w:val="22"/>
        </w:rPr>
        <w:t>070</w:t>
      </w:r>
      <w:r w:rsidRPr="00BD595A">
        <w:rPr>
          <w:rFonts w:ascii="Arial" w:eastAsia="Calibri" w:hAnsi="Arial" w:cs="Arial"/>
          <w:b/>
          <w:sz w:val="22"/>
        </w:rPr>
        <w:t xml:space="preserve"> de 202</w:t>
      </w:r>
      <w:r w:rsidR="00E51201">
        <w:rPr>
          <w:rFonts w:ascii="Arial" w:eastAsia="Calibri" w:hAnsi="Arial" w:cs="Arial"/>
          <w:b/>
          <w:sz w:val="22"/>
        </w:rPr>
        <w:t>1</w:t>
      </w:r>
    </w:p>
    <w:p w14:paraId="73A32B58" w14:textId="77777777" w:rsidR="00885117" w:rsidRPr="00BD595A" w:rsidRDefault="00885117" w:rsidP="00885117">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85117" w:rsidRPr="00BD595A" w14:paraId="538BBD44" w14:textId="77777777" w:rsidTr="000255EE">
        <w:tc>
          <w:tcPr>
            <w:tcW w:w="2689" w:type="dxa"/>
            <w:hideMark/>
          </w:tcPr>
          <w:p w14:paraId="55C2B9AA" w14:textId="77777777" w:rsidR="00885117" w:rsidRPr="0099766F" w:rsidRDefault="00885117" w:rsidP="000255EE">
            <w:pPr>
              <w:rPr>
                <w:rFonts w:ascii="Arial" w:eastAsia="Calibri" w:hAnsi="Arial" w:cs="Arial"/>
                <w:sz w:val="22"/>
              </w:rPr>
            </w:pPr>
            <w:r w:rsidRPr="0099766F">
              <w:rPr>
                <w:rFonts w:ascii="Arial" w:eastAsia="Calibri" w:hAnsi="Arial" w:cs="Arial"/>
                <w:b/>
                <w:sz w:val="22"/>
              </w:rPr>
              <w:t>Temas:</w:t>
            </w:r>
            <w:r w:rsidRPr="0099766F">
              <w:rPr>
                <w:rFonts w:ascii="Arial" w:eastAsia="Calibri" w:hAnsi="Arial" w:cs="Arial"/>
                <w:sz w:val="22"/>
              </w:rPr>
              <w:t xml:space="preserve">           </w:t>
            </w:r>
          </w:p>
          <w:p w14:paraId="2A59A1C6" w14:textId="77777777" w:rsidR="00885117" w:rsidRPr="0099766F" w:rsidRDefault="00885117" w:rsidP="000255EE">
            <w:pPr>
              <w:rPr>
                <w:rFonts w:ascii="Arial" w:eastAsia="Calibri" w:hAnsi="Arial" w:cs="Arial"/>
                <w:sz w:val="22"/>
              </w:rPr>
            </w:pPr>
            <w:r w:rsidRPr="0099766F">
              <w:rPr>
                <w:rFonts w:ascii="Arial" w:eastAsia="Calibri" w:hAnsi="Arial" w:cs="Arial"/>
                <w:sz w:val="22"/>
              </w:rPr>
              <w:t xml:space="preserve">                           </w:t>
            </w:r>
          </w:p>
        </w:tc>
        <w:tc>
          <w:tcPr>
            <w:tcW w:w="6237" w:type="dxa"/>
            <w:hideMark/>
          </w:tcPr>
          <w:p w14:paraId="4B9FFBCD" w14:textId="3EB7BDB2" w:rsidR="00885117" w:rsidRPr="0099766F" w:rsidRDefault="00885117" w:rsidP="000255EE">
            <w:pPr>
              <w:jc w:val="both"/>
              <w:rPr>
                <w:rFonts w:ascii="Arial" w:eastAsia="Calibri" w:hAnsi="Arial" w:cs="Arial"/>
                <w:sz w:val="22"/>
              </w:rPr>
            </w:pPr>
            <w:r w:rsidRPr="0099766F">
              <w:rPr>
                <w:rFonts w:ascii="Arial" w:eastAsia="Calibri" w:hAnsi="Arial" w:cs="Arial"/>
                <w:sz w:val="22"/>
              </w:rPr>
              <w:t>FORMULARIO 1 – Presupuesto oficial – Contenido y obligatoriedad</w:t>
            </w:r>
            <w:r w:rsidR="00D910A7" w:rsidRPr="0099766F">
              <w:rPr>
                <w:rFonts w:ascii="Arial" w:eastAsia="Calibri" w:hAnsi="Arial" w:cs="Arial"/>
                <w:sz w:val="22"/>
              </w:rPr>
              <w:t xml:space="preserve"> / DOCUMENTOS TIPO – Causales de rechazo – Origen legal – Origen en el pliego de condiciones / DOCUMENTOS TIPO – Causales de rechazo – Oferta económica </w:t>
            </w:r>
          </w:p>
        </w:tc>
      </w:tr>
      <w:tr w:rsidR="00885117" w:rsidRPr="00BD595A" w14:paraId="09C59738" w14:textId="77777777" w:rsidTr="000255EE">
        <w:tc>
          <w:tcPr>
            <w:tcW w:w="2689" w:type="dxa"/>
          </w:tcPr>
          <w:p w14:paraId="32E8B2B8" w14:textId="77777777" w:rsidR="00885117" w:rsidRPr="00BD595A" w:rsidRDefault="00885117" w:rsidP="000255EE">
            <w:pPr>
              <w:rPr>
                <w:rFonts w:ascii="Arial" w:eastAsia="Calibri" w:hAnsi="Arial" w:cs="Arial"/>
                <w:b/>
                <w:sz w:val="22"/>
              </w:rPr>
            </w:pPr>
            <w:r w:rsidRPr="00BD595A">
              <w:rPr>
                <w:rFonts w:ascii="Arial" w:eastAsia="Calibri" w:hAnsi="Arial" w:cs="Arial"/>
                <w:b/>
                <w:sz w:val="22"/>
              </w:rPr>
              <w:t>Radicación:</w:t>
            </w:r>
            <w:r w:rsidRPr="00BD595A">
              <w:rPr>
                <w:rFonts w:ascii="Arial" w:eastAsia="Calibri" w:hAnsi="Arial" w:cs="Arial"/>
                <w:sz w:val="22"/>
              </w:rPr>
              <w:t xml:space="preserve">                              </w:t>
            </w:r>
          </w:p>
        </w:tc>
        <w:tc>
          <w:tcPr>
            <w:tcW w:w="6237" w:type="dxa"/>
          </w:tcPr>
          <w:p w14:paraId="241D0E98" w14:textId="44B1E86F" w:rsidR="00885117" w:rsidRPr="00BD595A" w:rsidRDefault="00885117" w:rsidP="000255EE">
            <w:pPr>
              <w:jc w:val="both"/>
              <w:rPr>
                <w:rFonts w:ascii="Arial" w:eastAsia="Calibri" w:hAnsi="Arial" w:cs="Arial"/>
                <w:sz w:val="22"/>
              </w:rPr>
            </w:pPr>
            <w:r w:rsidRPr="00BD595A">
              <w:rPr>
                <w:rFonts w:ascii="Arial" w:eastAsia="Calibri" w:hAnsi="Arial" w:cs="Arial"/>
                <w:sz w:val="22"/>
              </w:rPr>
              <w:t xml:space="preserve">Respuesta a consulta # </w:t>
            </w:r>
            <w:r w:rsidR="00E51201" w:rsidRPr="00E51201">
              <w:rPr>
                <w:rFonts w:ascii="Arial" w:eastAsia="Calibri" w:hAnsi="Arial" w:cs="Arial"/>
                <w:sz w:val="22"/>
              </w:rPr>
              <w:t>P20210202000830</w:t>
            </w:r>
          </w:p>
        </w:tc>
      </w:tr>
    </w:tbl>
    <w:p w14:paraId="7C46E315" w14:textId="77777777" w:rsidR="00885117" w:rsidRPr="00BD595A" w:rsidRDefault="00885117" w:rsidP="00885117">
      <w:pPr>
        <w:jc w:val="both"/>
        <w:rPr>
          <w:rFonts w:ascii="Arial" w:eastAsia="Calibri" w:hAnsi="Arial" w:cs="Arial"/>
          <w:sz w:val="22"/>
        </w:rPr>
      </w:pPr>
    </w:p>
    <w:p w14:paraId="46828F1F" w14:textId="77777777" w:rsidR="00885117" w:rsidRPr="00BD595A" w:rsidRDefault="00885117" w:rsidP="00885117">
      <w:pPr>
        <w:tabs>
          <w:tab w:val="left" w:pos="3010"/>
        </w:tabs>
        <w:rPr>
          <w:rFonts w:ascii="Arial" w:eastAsia="Calibri" w:hAnsi="Arial" w:cs="Arial"/>
          <w:sz w:val="22"/>
        </w:rPr>
      </w:pPr>
      <w:r>
        <w:rPr>
          <w:rFonts w:ascii="Arial" w:eastAsia="Calibri" w:hAnsi="Arial" w:cs="Arial"/>
          <w:sz w:val="22"/>
        </w:rPr>
        <w:tab/>
      </w:r>
    </w:p>
    <w:p w14:paraId="19B960B8" w14:textId="516F6559" w:rsidR="00885117" w:rsidRPr="00BD595A" w:rsidRDefault="00885117" w:rsidP="00885117">
      <w:pPr>
        <w:spacing w:line="276" w:lineRule="auto"/>
        <w:rPr>
          <w:rFonts w:ascii="Arial" w:eastAsia="Calibri" w:hAnsi="Arial" w:cs="Arial"/>
          <w:sz w:val="22"/>
        </w:rPr>
      </w:pPr>
      <w:r w:rsidRPr="00BD595A">
        <w:rPr>
          <w:rFonts w:ascii="Arial" w:eastAsia="Calibri" w:hAnsi="Arial" w:cs="Arial"/>
          <w:sz w:val="22"/>
        </w:rPr>
        <w:t>Estimad</w:t>
      </w:r>
      <w:r w:rsidR="00E51201">
        <w:rPr>
          <w:rFonts w:ascii="Arial" w:eastAsia="Calibri" w:hAnsi="Arial" w:cs="Arial"/>
          <w:sz w:val="22"/>
        </w:rPr>
        <w:t>o</w:t>
      </w:r>
      <w:r w:rsidRPr="00BD595A">
        <w:rPr>
          <w:rFonts w:ascii="Arial" w:eastAsia="Calibri" w:hAnsi="Arial" w:cs="Arial"/>
          <w:sz w:val="22"/>
        </w:rPr>
        <w:t xml:space="preserve"> señor </w:t>
      </w:r>
      <w:r w:rsidR="00E51201">
        <w:rPr>
          <w:rFonts w:ascii="Arial" w:eastAsia="Calibri" w:hAnsi="Arial" w:cs="Arial"/>
          <w:sz w:val="22"/>
        </w:rPr>
        <w:t>Pabón</w:t>
      </w:r>
      <w:r w:rsidRPr="00BD595A">
        <w:rPr>
          <w:rFonts w:ascii="Arial" w:eastAsia="Calibri" w:hAnsi="Arial" w:cs="Arial"/>
          <w:sz w:val="22"/>
        </w:rPr>
        <w:t>,</w:t>
      </w:r>
    </w:p>
    <w:p w14:paraId="77C03F1E" w14:textId="77777777" w:rsidR="00885117" w:rsidRPr="00BD595A" w:rsidRDefault="00885117" w:rsidP="00885117">
      <w:pPr>
        <w:spacing w:line="276" w:lineRule="auto"/>
        <w:rPr>
          <w:rFonts w:ascii="Arial" w:eastAsia="Calibri" w:hAnsi="Arial" w:cs="Arial"/>
          <w:sz w:val="22"/>
        </w:rPr>
      </w:pPr>
    </w:p>
    <w:p w14:paraId="25425EA8" w14:textId="13F418EE" w:rsidR="00885117" w:rsidRPr="00BD595A" w:rsidRDefault="00885117" w:rsidP="00885117">
      <w:pPr>
        <w:spacing w:line="276" w:lineRule="auto"/>
        <w:ind w:right="49"/>
        <w:jc w:val="both"/>
        <w:rPr>
          <w:rFonts w:ascii="Arial" w:eastAsia="Calibri" w:hAnsi="Arial" w:cs="Arial"/>
          <w:sz w:val="22"/>
        </w:rPr>
      </w:pPr>
      <w:r w:rsidRPr="00BD595A">
        <w:rPr>
          <w:rFonts w:ascii="Arial" w:eastAsia="Calibri" w:hAnsi="Arial" w:cs="Arial"/>
          <w:sz w:val="22"/>
        </w:rPr>
        <w:t xml:space="preserve">La Agencia Nacional de Contratación Pública - Colombia Compra Eficiente responde su consulta del </w:t>
      </w:r>
      <w:r w:rsidR="00E51201">
        <w:rPr>
          <w:rFonts w:ascii="Arial" w:eastAsia="Calibri" w:hAnsi="Arial" w:cs="Arial"/>
          <w:sz w:val="22"/>
        </w:rPr>
        <w:t>2</w:t>
      </w:r>
      <w:r w:rsidRPr="00BD595A">
        <w:rPr>
          <w:rFonts w:ascii="Arial" w:eastAsia="Calibri" w:hAnsi="Arial" w:cs="Arial"/>
          <w:sz w:val="22"/>
        </w:rPr>
        <w:t xml:space="preserve"> de febrero de 202</w:t>
      </w:r>
      <w:r w:rsidR="00E51201">
        <w:rPr>
          <w:rFonts w:ascii="Arial" w:eastAsia="Calibri" w:hAnsi="Arial" w:cs="Arial"/>
          <w:sz w:val="22"/>
        </w:rPr>
        <w:t>1</w:t>
      </w:r>
      <w:r w:rsidRPr="00BD595A">
        <w:rPr>
          <w:rFonts w:ascii="Arial" w:eastAsia="Calibri" w:hAnsi="Arial" w:cs="Arial"/>
          <w:sz w:val="22"/>
        </w:rPr>
        <w:t xml:space="preserve">, en ejercicio de la competencia otorgada por el numeral 8 del artículo 11 y el numeral 5 del artículo 3 del Decreto Ley 4170 de 2011. </w:t>
      </w:r>
    </w:p>
    <w:p w14:paraId="7E361723" w14:textId="77777777" w:rsidR="00885117" w:rsidRPr="00BD595A" w:rsidRDefault="00885117" w:rsidP="00885117">
      <w:pPr>
        <w:spacing w:line="276" w:lineRule="auto"/>
        <w:jc w:val="both"/>
        <w:rPr>
          <w:rFonts w:ascii="Arial" w:eastAsia="Calibri" w:hAnsi="Arial" w:cs="Arial"/>
          <w:sz w:val="22"/>
        </w:rPr>
      </w:pPr>
    </w:p>
    <w:p w14:paraId="7C229E2F" w14:textId="77777777" w:rsidR="00885117" w:rsidRPr="00BD595A" w:rsidRDefault="00885117" w:rsidP="00885117">
      <w:pPr>
        <w:pStyle w:val="Prrafodelista"/>
        <w:tabs>
          <w:tab w:val="left" w:pos="284"/>
        </w:tabs>
        <w:spacing w:line="276" w:lineRule="auto"/>
        <w:ind w:left="0"/>
        <w:jc w:val="both"/>
        <w:rPr>
          <w:rFonts w:ascii="Arial" w:eastAsia="Calibri" w:hAnsi="Arial" w:cs="Arial"/>
          <w:b/>
          <w:sz w:val="22"/>
        </w:rPr>
      </w:pPr>
      <w:r w:rsidRPr="00BD595A">
        <w:rPr>
          <w:rFonts w:ascii="Arial" w:eastAsia="Calibri" w:hAnsi="Arial" w:cs="Arial"/>
          <w:b/>
          <w:sz w:val="22"/>
        </w:rPr>
        <w:t>1. Problema planteado</w:t>
      </w:r>
    </w:p>
    <w:p w14:paraId="571B76AC" w14:textId="77777777" w:rsidR="00885117" w:rsidRPr="00BD595A" w:rsidRDefault="00885117" w:rsidP="00885117">
      <w:pPr>
        <w:tabs>
          <w:tab w:val="left" w:pos="426"/>
        </w:tabs>
        <w:spacing w:line="276" w:lineRule="auto"/>
        <w:jc w:val="both"/>
        <w:rPr>
          <w:rFonts w:ascii="Arial" w:eastAsia="Calibri" w:hAnsi="Arial" w:cs="Arial"/>
          <w:b/>
          <w:sz w:val="22"/>
        </w:rPr>
      </w:pPr>
    </w:p>
    <w:p w14:paraId="53A4793A" w14:textId="02D7E981" w:rsidR="00885117" w:rsidRPr="00BD595A" w:rsidRDefault="00885117" w:rsidP="000F6E88">
      <w:pPr>
        <w:tabs>
          <w:tab w:val="left" w:pos="426"/>
        </w:tabs>
        <w:spacing w:line="276" w:lineRule="auto"/>
        <w:jc w:val="both"/>
        <w:rPr>
          <w:rFonts w:ascii="Arial" w:eastAsia="Calibri" w:hAnsi="Arial" w:cs="Arial"/>
          <w:sz w:val="22"/>
        </w:rPr>
      </w:pPr>
      <w:r w:rsidRPr="00BD595A">
        <w:rPr>
          <w:rFonts w:ascii="Arial" w:eastAsia="Calibri" w:hAnsi="Arial" w:cs="Arial"/>
          <w:sz w:val="22"/>
        </w:rPr>
        <w:t xml:space="preserve">Usted realiza la siguiente pregunta: </w:t>
      </w:r>
      <w:r w:rsidR="000F6E88">
        <w:rPr>
          <w:rFonts w:ascii="Arial" w:eastAsia="Calibri" w:hAnsi="Arial" w:cs="Arial"/>
          <w:sz w:val="22"/>
        </w:rPr>
        <w:t xml:space="preserve">«[…] </w:t>
      </w:r>
      <w:r w:rsidR="000F6E88" w:rsidRPr="000F6E88">
        <w:rPr>
          <w:rFonts w:ascii="Arial" w:eastAsia="Calibri" w:hAnsi="Arial" w:cs="Arial"/>
          <w:sz w:val="22"/>
        </w:rPr>
        <w:t>Si la entidad publica un formato de presupuesto oficial distinto al formulario 1</w:t>
      </w:r>
      <w:r w:rsidR="000F6E88">
        <w:rPr>
          <w:rFonts w:ascii="Arial" w:eastAsia="Calibri" w:hAnsi="Arial" w:cs="Arial"/>
          <w:sz w:val="22"/>
        </w:rPr>
        <w:t xml:space="preserve"> </w:t>
      </w:r>
      <w:r w:rsidR="000F6E88" w:rsidRPr="000F6E88">
        <w:rPr>
          <w:rFonts w:ascii="Arial" w:eastAsia="Calibri" w:hAnsi="Arial" w:cs="Arial"/>
          <w:sz w:val="22"/>
        </w:rPr>
        <w:t xml:space="preserve">presupuesto oficial de la versión 3 </w:t>
      </w:r>
      <w:proofErr w:type="gramStart"/>
      <w:r w:rsidR="000F6E88" w:rsidRPr="000F6E88">
        <w:rPr>
          <w:rFonts w:ascii="Arial" w:eastAsia="Calibri" w:hAnsi="Arial" w:cs="Arial"/>
          <w:sz w:val="22"/>
        </w:rPr>
        <w:t>de los pliego</w:t>
      </w:r>
      <w:proofErr w:type="gramEnd"/>
      <w:r w:rsidR="000F6E88" w:rsidRPr="000F6E88">
        <w:rPr>
          <w:rFonts w:ascii="Arial" w:eastAsia="Calibri" w:hAnsi="Arial" w:cs="Arial"/>
          <w:sz w:val="22"/>
        </w:rPr>
        <w:t xml:space="preserve"> tipo</w:t>
      </w:r>
      <w:r w:rsidR="000F6E88">
        <w:rPr>
          <w:rFonts w:ascii="Arial" w:eastAsia="Calibri" w:hAnsi="Arial" w:cs="Arial"/>
          <w:sz w:val="22"/>
        </w:rPr>
        <w:t xml:space="preserve"> (sic)</w:t>
      </w:r>
      <w:r w:rsidR="000F6E88" w:rsidRPr="000F6E88">
        <w:rPr>
          <w:rFonts w:ascii="Arial" w:eastAsia="Calibri" w:hAnsi="Arial" w:cs="Arial"/>
          <w:sz w:val="22"/>
        </w:rPr>
        <w:t>, y un proponente presenta su</w:t>
      </w:r>
      <w:r w:rsidR="000F6E88">
        <w:rPr>
          <w:rFonts w:ascii="Arial" w:eastAsia="Calibri" w:hAnsi="Arial" w:cs="Arial"/>
          <w:sz w:val="22"/>
        </w:rPr>
        <w:t xml:space="preserve"> </w:t>
      </w:r>
      <w:r w:rsidR="000F6E88" w:rsidRPr="000F6E88">
        <w:rPr>
          <w:rFonts w:ascii="Arial" w:eastAsia="Calibri" w:hAnsi="Arial" w:cs="Arial"/>
          <w:sz w:val="22"/>
        </w:rPr>
        <w:t>oferta en el formato del formulario 1 presupuesto oficial de la versión 3 de los pliego</w:t>
      </w:r>
      <w:r w:rsidR="000F6E88">
        <w:rPr>
          <w:rFonts w:ascii="Arial" w:eastAsia="Calibri" w:hAnsi="Arial" w:cs="Arial"/>
          <w:sz w:val="22"/>
        </w:rPr>
        <w:t xml:space="preserve"> </w:t>
      </w:r>
      <w:r w:rsidR="000F6E88" w:rsidRPr="000F6E88">
        <w:rPr>
          <w:rFonts w:ascii="Arial" w:eastAsia="Calibri" w:hAnsi="Arial" w:cs="Arial"/>
          <w:sz w:val="22"/>
        </w:rPr>
        <w:t>tipo</w:t>
      </w:r>
      <w:r w:rsidR="000F6E88">
        <w:rPr>
          <w:rFonts w:ascii="Arial" w:eastAsia="Calibri" w:hAnsi="Arial" w:cs="Arial"/>
          <w:sz w:val="22"/>
        </w:rPr>
        <w:t xml:space="preserve"> (sic)</w:t>
      </w:r>
      <w:r w:rsidR="000F6E88" w:rsidRPr="000F6E88">
        <w:rPr>
          <w:rFonts w:ascii="Arial" w:eastAsia="Calibri" w:hAnsi="Arial" w:cs="Arial"/>
          <w:sz w:val="22"/>
        </w:rPr>
        <w:t>, y no en el formato establecido por la entidad. ¿La entidad puede rechazar la oferta</w:t>
      </w:r>
      <w:r w:rsidR="000F6E88">
        <w:rPr>
          <w:rFonts w:ascii="Arial" w:eastAsia="Calibri" w:hAnsi="Arial" w:cs="Arial"/>
          <w:sz w:val="22"/>
        </w:rPr>
        <w:t xml:space="preserve"> </w:t>
      </w:r>
      <w:r w:rsidR="000F6E88" w:rsidRPr="000F6E88">
        <w:rPr>
          <w:rFonts w:ascii="Arial" w:eastAsia="Calibri" w:hAnsi="Arial" w:cs="Arial"/>
          <w:sz w:val="22"/>
        </w:rPr>
        <w:t>por no implementar el formato establecido por ellos?</w:t>
      </w:r>
      <w:r w:rsidR="000F6E88">
        <w:rPr>
          <w:rFonts w:ascii="Arial" w:eastAsia="Calibri" w:hAnsi="Arial" w:cs="Arial"/>
          <w:sz w:val="22"/>
        </w:rPr>
        <w:t>».</w:t>
      </w:r>
    </w:p>
    <w:p w14:paraId="67CB909E" w14:textId="77777777" w:rsidR="00885117" w:rsidRPr="00BD595A" w:rsidRDefault="00885117" w:rsidP="00885117">
      <w:pPr>
        <w:tabs>
          <w:tab w:val="left" w:pos="426"/>
        </w:tabs>
        <w:spacing w:line="276" w:lineRule="auto"/>
        <w:jc w:val="both"/>
        <w:rPr>
          <w:rFonts w:ascii="Arial" w:eastAsia="Calibri" w:hAnsi="Arial" w:cs="Arial"/>
          <w:sz w:val="22"/>
        </w:rPr>
      </w:pPr>
    </w:p>
    <w:p w14:paraId="0777E27B" w14:textId="77777777" w:rsidR="00885117" w:rsidRPr="00BD595A" w:rsidRDefault="00885117" w:rsidP="00885117">
      <w:pPr>
        <w:tabs>
          <w:tab w:val="left" w:pos="426"/>
        </w:tabs>
        <w:spacing w:line="276" w:lineRule="auto"/>
        <w:jc w:val="both"/>
        <w:rPr>
          <w:rFonts w:ascii="Arial" w:eastAsia="Calibri" w:hAnsi="Arial" w:cs="Arial"/>
          <w:b/>
          <w:sz w:val="22"/>
        </w:rPr>
      </w:pPr>
      <w:r w:rsidRPr="00BD595A">
        <w:rPr>
          <w:rFonts w:ascii="Arial" w:eastAsia="Calibri" w:hAnsi="Arial" w:cs="Arial"/>
          <w:b/>
          <w:sz w:val="22"/>
        </w:rPr>
        <w:t>2. Consideraciones</w:t>
      </w:r>
    </w:p>
    <w:p w14:paraId="1D383D70" w14:textId="77777777" w:rsidR="00885117" w:rsidRPr="00BD595A" w:rsidRDefault="00885117" w:rsidP="00885117">
      <w:pPr>
        <w:tabs>
          <w:tab w:val="left" w:pos="426"/>
        </w:tabs>
        <w:spacing w:line="276" w:lineRule="auto"/>
        <w:jc w:val="both"/>
        <w:rPr>
          <w:rFonts w:ascii="Arial" w:eastAsia="Calibri" w:hAnsi="Arial" w:cs="Arial"/>
          <w:b/>
          <w:sz w:val="22"/>
        </w:rPr>
      </w:pPr>
    </w:p>
    <w:p w14:paraId="1199A05F" w14:textId="5549C268" w:rsidR="00885117" w:rsidRPr="00BD595A" w:rsidRDefault="00885117" w:rsidP="00336F97">
      <w:pPr>
        <w:spacing w:after="120" w:line="276" w:lineRule="auto"/>
        <w:jc w:val="both"/>
        <w:rPr>
          <w:rFonts w:ascii="Arial" w:eastAsia="Calibri" w:hAnsi="Arial" w:cs="Arial"/>
          <w:b/>
          <w:sz w:val="22"/>
        </w:rPr>
      </w:pPr>
      <w:r w:rsidRPr="00BD595A">
        <w:rPr>
          <w:rFonts w:ascii="Arial" w:eastAsia="Calibri" w:hAnsi="Arial" w:cs="Arial"/>
          <w:bCs/>
          <w:sz w:val="22"/>
          <w:lang w:val="es-ES_tradnl"/>
        </w:rPr>
        <w:t xml:space="preserve">Teniendo en cuenta que la consulta se realiza </w:t>
      </w:r>
      <w:r>
        <w:rPr>
          <w:rFonts w:ascii="Arial" w:eastAsia="Calibri" w:hAnsi="Arial" w:cs="Arial"/>
          <w:bCs/>
          <w:sz w:val="22"/>
          <w:lang w:val="es-ES_tradnl"/>
        </w:rPr>
        <w:t>en vigencia de</w:t>
      </w:r>
      <w:r w:rsidRPr="00BD595A">
        <w:rPr>
          <w:rFonts w:ascii="Arial" w:eastAsia="Calibri" w:hAnsi="Arial" w:cs="Arial"/>
          <w:bCs/>
          <w:sz w:val="22"/>
          <w:lang w:val="es-ES_tradnl"/>
        </w:rPr>
        <w:t xml:space="preserve"> la versión </w:t>
      </w:r>
      <w:r w:rsidR="00D35877">
        <w:rPr>
          <w:rFonts w:ascii="Arial" w:eastAsia="Calibri" w:hAnsi="Arial" w:cs="Arial"/>
          <w:bCs/>
          <w:sz w:val="22"/>
          <w:lang w:val="es-ES_tradnl"/>
        </w:rPr>
        <w:t>3</w:t>
      </w:r>
      <w:r w:rsidRPr="00BD595A">
        <w:rPr>
          <w:rFonts w:ascii="Arial" w:eastAsia="Calibri" w:hAnsi="Arial" w:cs="Arial"/>
          <w:bCs/>
          <w:sz w:val="22"/>
          <w:lang w:val="es-ES_tradnl"/>
        </w:rPr>
        <w:t xml:space="preserve"> de los Documentos Tipo para licitación de obra pública de infraestructura de transporte, las consideraciones que se presentan a continuación están relacionadas con el </w:t>
      </w:r>
      <w:r>
        <w:rPr>
          <w:rFonts w:ascii="Arial" w:eastAsia="Calibri" w:hAnsi="Arial" w:cs="Arial"/>
          <w:bCs/>
          <w:sz w:val="22"/>
          <w:lang w:val="es-ES_tradnl"/>
        </w:rPr>
        <w:t>F</w:t>
      </w:r>
      <w:r w:rsidRPr="00BD595A">
        <w:rPr>
          <w:rFonts w:ascii="Arial" w:eastAsia="Calibri" w:hAnsi="Arial" w:cs="Arial"/>
          <w:bCs/>
          <w:sz w:val="22"/>
          <w:lang w:val="es-ES_tradnl"/>
        </w:rPr>
        <w:t>or</w:t>
      </w:r>
      <w:r>
        <w:rPr>
          <w:rFonts w:ascii="Arial" w:eastAsia="Calibri" w:hAnsi="Arial" w:cs="Arial"/>
          <w:bCs/>
          <w:sz w:val="22"/>
          <w:lang w:val="es-ES_tradnl"/>
        </w:rPr>
        <w:t>mulario</w:t>
      </w:r>
      <w:r w:rsidRPr="00BD595A">
        <w:rPr>
          <w:rFonts w:ascii="Arial" w:eastAsia="Calibri" w:hAnsi="Arial" w:cs="Arial"/>
          <w:bCs/>
          <w:sz w:val="22"/>
          <w:lang w:val="es-ES_tradnl"/>
        </w:rPr>
        <w:t xml:space="preserve"> </w:t>
      </w:r>
      <w:r>
        <w:rPr>
          <w:rFonts w:ascii="Arial" w:eastAsia="Calibri" w:hAnsi="Arial" w:cs="Arial"/>
          <w:bCs/>
          <w:sz w:val="22"/>
          <w:lang w:val="es-ES_tradnl"/>
        </w:rPr>
        <w:t>1</w:t>
      </w:r>
      <w:r w:rsidRPr="00BD595A">
        <w:rPr>
          <w:rFonts w:ascii="Arial" w:eastAsia="Calibri" w:hAnsi="Arial" w:cs="Arial"/>
          <w:bCs/>
          <w:sz w:val="22"/>
          <w:lang w:val="es-ES_tradnl"/>
        </w:rPr>
        <w:t xml:space="preserve"> </w:t>
      </w:r>
      <w:r>
        <w:rPr>
          <w:rFonts w:ascii="Arial" w:eastAsia="Calibri" w:hAnsi="Arial" w:cs="Arial"/>
          <w:bCs/>
          <w:sz w:val="22"/>
          <w:lang w:val="es-ES_tradnl"/>
        </w:rPr>
        <w:t>–</w:t>
      </w:r>
      <w:r w:rsidRPr="00BD595A">
        <w:rPr>
          <w:rFonts w:ascii="Arial" w:eastAsia="Calibri" w:hAnsi="Arial" w:cs="Arial"/>
          <w:bCs/>
          <w:sz w:val="22"/>
          <w:lang w:val="es-ES_tradnl"/>
        </w:rPr>
        <w:t xml:space="preserve"> </w:t>
      </w:r>
      <w:r>
        <w:rPr>
          <w:rFonts w:ascii="Arial" w:eastAsia="Calibri" w:hAnsi="Arial" w:cs="Arial"/>
          <w:bCs/>
          <w:sz w:val="22"/>
          <w:lang w:val="es-ES_tradnl"/>
        </w:rPr>
        <w:t>Formulario de Presupuesto Oficial</w:t>
      </w:r>
      <w:r w:rsidRPr="00BD595A">
        <w:rPr>
          <w:rFonts w:ascii="Arial" w:eastAsia="Calibri" w:hAnsi="Arial" w:cs="Arial"/>
          <w:bCs/>
          <w:sz w:val="22"/>
          <w:lang w:val="es-ES_tradnl"/>
        </w:rPr>
        <w:t xml:space="preserve"> de estos documentos.</w:t>
      </w:r>
    </w:p>
    <w:p w14:paraId="4DAA1635" w14:textId="44B6530D" w:rsidR="00885117" w:rsidRDefault="00885117" w:rsidP="00A42393">
      <w:pPr>
        <w:spacing w:line="276" w:lineRule="auto"/>
        <w:ind w:firstLine="708"/>
        <w:jc w:val="both"/>
        <w:rPr>
          <w:rFonts w:ascii="Arial" w:eastAsia="Calibri" w:hAnsi="Arial" w:cs="Arial"/>
          <w:sz w:val="22"/>
        </w:rPr>
      </w:pPr>
      <w:r w:rsidRPr="00AA6290">
        <w:rPr>
          <w:rFonts w:ascii="Arial" w:eastAsia="Calibri" w:hAnsi="Arial" w:cs="Arial"/>
          <w:sz w:val="22"/>
        </w:rPr>
        <w:lastRenderedPageBreak/>
        <w:t xml:space="preserve">La Agencia </w:t>
      </w:r>
      <w:r w:rsidRPr="00AA6290">
        <w:rPr>
          <w:rFonts w:ascii="Arial" w:eastAsia="Calibri" w:hAnsi="Arial" w:cs="Arial"/>
          <w:bCs/>
          <w:sz w:val="22"/>
        </w:rPr>
        <w:t>Nacional de Contratación Pública – Colombia Compra Eficiente</w:t>
      </w:r>
      <w:r>
        <w:rPr>
          <w:rFonts w:ascii="Arial" w:eastAsia="Calibri" w:hAnsi="Arial" w:cs="Arial"/>
          <w:bCs/>
          <w:sz w:val="22"/>
        </w:rPr>
        <w:t>,</w:t>
      </w:r>
      <w:r w:rsidRPr="00AA6290">
        <w:t xml:space="preserve"> </w:t>
      </w:r>
      <w:r w:rsidRPr="00AA6290">
        <w:rPr>
          <w:rFonts w:ascii="Arial" w:eastAsia="Calibri" w:hAnsi="Arial" w:cs="Arial"/>
          <w:bCs/>
          <w:sz w:val="22"/>
        </w:rPr>
        <w:t>en el concepto con radicado No. 4201912000004</w:t>
      </w:r>
      <w:r>
        <w:rPr>
          <w:rFonts w:ascii="Arial" w:eastAsia="Calibri" w:hAnsi="Arial" w:cs="Arial"/>
          <w:bCs/>
          <w:sz w:val="22"/>
        </w:rPr>
        <w:t>987</w:t>
      </w:r>
      <w:r w:rsidRPr="00AA6290">
        <w:rPr>
          <w:rFonts w:ascii="Arial" w:eastAsia="Calibri" w:hAnsi="Arial" w:cs="Arial"/>
          <w:bCs/>
          <w:sz w:val="22"/>
        </w:rPr>
        <w:t xml:space="preserve"> del </w:t>
      </w:r>
      <w:r>
        <w:rPr>
          <w:rFonts w:ascii="Arial" w:eastAsia="Calibri" w:hAnsi="Arial" w:cs="Arial"/>
          <w:bCs/>
          <w:sz w:val="22"/>
        </w:rPr>
        <w:t>14</w:t>
      </w:r>
      <w:r w:rsidRPr="00AA6290">
        <w:rPr>
          <w:rFonts w:ascii="Arial" w:eastAsia="Calibri" w:hAnsi="Arial" w:cs="Arial"/>
          <w:bCs/>
          <w:sz w:val="22"/>
        </w:rPr>
        <w:t xml:space="preserve"> de </w:t>
      </w:r>
      <w:r>
        <w:rPr>
          <w:rFonts w:ascii="Arial" w:eastAsia="Calibri" w:hAnsi="Arial" w:cs="Arial"/>
          <w:bCs/>
          <w:sz w:val="22"/>
        </w:rPr>
        <w:t>agost</w:t>
      </w:r>
      <w:r w:rsidRPr="00AA6290">
        <w:rPr>
          <w:rFonts w:ascii="Arial" w:eastAsia="Calibri" w:hAnsi="Arial" w:cs="Arial"/>
          <w:bCs/>
          <w:sz w:val="22"/>
        </w:rPr>
        <w:t xml:space="preserve">o de 2019, reiterado y desarrollado en </w:t>
      </w:r>
      <w:r>
        <w:rPr>
          <w:rFonts w:ascii="Arial" w:eastAsia="Calibri" w:hAnsi="Arial" w:cs="Arial"/>
          <w:bCs/>
          <w:sz w:val="22"/>
        </w:rPr>
        <w:t>los</w:t>
      </w:r>
      <w:r w:rsidRPr="00AA6290">
        <w:rPr>
          <w:rFonts w:ascii="Arial" w:eastAsia="Calibri" w:hAnsi="Arial" w:cs="Arial"/>
          <w:bCs/>
          <w:sz w:val="22"/>
        </w:rPr>
        <w:t xml:space="preserve"> concepto</w:t>
      </w:r>
      <w:r>
        <w:rPr>
          <w:rFonts w:ascii="Arial" w:eastAsia="Calibri" w:hAnsi="Arial" w:cs="Arial"/>
          <w:bCs/>
          <w:sz w:val="22"/>
        </w:rPr>
        <w:t>s</w:t>
      </w:r>
      <w:r w:rsidRPr="00AA6290">
        <w:rPr>
          <w:rFonts w:ascii="Arial" w:eastAsia="Calibri" w:hAnsi="Arial" w:cs="Arial"/>
          <w:bCs/>
          <w:sz w:val="22"/>
        </w:rPr>
        <w:t xml:space="preserve"> No. </w:t>
      </w:r>
      <w:r w:rsidRPr="003408FE">
        <w:rPr>
          <w:rFonts w:ascii="Arial" w:eastAsia="Calibri" w:hAnsi="Arial" w:cs="Arial"/>
          <w:sz w:val="22"/>
        </w:rPr>
        <w:t>420191</w:t>
      </w:r>
      <w:r>
        <w:rPr>
          <w:rFonts w:ascii="Arial" w:eastAsia="Calibri" w:hAnsi="Arial" w:cs="Arial"/>
          <w:sz w:val="22"/>
        </w:rPr>
        <w:t>3</w:t>
      </w:r>
      <w:r w:rsidRPr="003408FE">
        <w:rPr>
          <w:rFonts w:ascii="Arial" w:eastAsia="Calibri" w:hAnsi="Arial" w:cs="Arial"/>
          <w:sz w:val="22"/>
        </w:rPr>
        <w:t>000005</w:t>
      </w:r>
      <w:r>
        <w:rPr>
          <w:rFonts w:ascii="Arial" w:eastAsia="Calibri" w:hAnsi="Arial" w:cs="Arial"/>
          <w:sz w:val="22"/>
        </w:rPr>
        <w:t>6</w:t>
      </w:r>
      <w:r w:rsidRPr="003408FE">
        <w:rPr>
          <w:rFonts w:ascii="Arial" w:eastAsia="Calibri" w:hAnsi="Arial" w:cs="Arial"/>
          <w:sz w:val="22"/>
        </w:rPr>
        <w:t>7</w:t>
      </w:r>
      <w:r>
        <w:rPr>
          <w:rFonts w:ascii="Arial" w:eastAsia="Calibri" w:hAnsi="Arial" w:cs="Arial"/>
          <w:sz w:val="22"/>
        </w:rPr>
        <w:t>5</w:t>
      </w:r>
      <w:r w:rsidRPr="003408FE">
        <w:rPr>
          <w:rFonts w:ascii="Arial" w:eastAsia="Calibri" w:hAnsi="Arial" w:cs="Arial"/>
          <w:sz w:val="22"/>
        </w:rPr>
        <w:t xml:space="preserve"> del </w:t>
      </w:r>
      <w:r>
        <w:rPr>
          <w:rFonts w:ascii="Arial" w:eastAsia="Calibri" w:hAnsi="Arial" w:cs="Arial"/>
          <w:sz w:val="22"/>
        </w:rPr>
        <w:t>25</w:t>
      </w:r>
      <w:r w:rsidRPr="003408FE">
        <w:rPr>
          <w:rFonts w:ascii="Arial" w:eastAsia="Calibri" w:hAnsi="Arial" w:cs="Arial"/>
          <w:sz w:val="22"/>
        </w:rPr>
        <w:t xml:space="preserve"> de </w:t>
      </w:r>
      <w:r>
        <w:rPr>
          <w:rFonts w:ascii="Arial" w:eastAsia="Calibri" w:hAnsi="Arial" w:cs="Arial"/>
          <w:sz w:val="22"/>
        </w:rPr>
        <w:t>septiembre</w:t>
      </w:r>
      <w:r w:rsidRPr="003408FE">
        <w:rPr>
          <w:rFonts w:ascii="Arial" w:eastAsia="Calibri" w:hAnsi="Arial" w:cs="Arial"/>
          <w:sz w:val="22"/>
        </w:rPr>
        <w:t xml:space="preserve"> de 2019</w:t>
      </w:r>
      <w:r w:rsidRPr="00F743B6">
        <w:rPr>
          <w:rFonts w:ascii="Arial" w:eastAsia="Calibri" w:hAnsi="Arial" w:cs="Arial"/>
          <w:sz w:val="22"/>
        </w:rPr>
        <w:t xml:space="preserve">, </w:t>
      </w:r>
      <w:r w:rsidRPr="003408FE">
        <w:rPr>
          <w:rFonts w:ascii="Arial" w:eastAsia="Calibri" w:hAnsi="Arial" w:cs="Arial"/>
          <w:sz w:val="22"/>
        </w:rPr>
        <w:t>420191200000</w:t>
      </w:r>
      <w:r>
        <w:rPr>
          <w:rFonts w:ascii="Arial" w:eastAsia="Calibri" w:hAnsi="Arial" w:cs="Arial"/>
          <w:sz w:val="22"/>
        </w:rPr>
        <w:t>5</w:t>
      </w:r>
      <w:r w:rsidRPr="003408FE">
        <w:rPr>
          <w:rFonts w:ascii="Arial" w:eastAsia="Calibri" w:hAnsi="Arial" w:cs="Arial"/>
          <w:sz w:val="22"/>
        </w:rPr>
        <w:t>8</w:t>
      </w:r>
      <w:r>
        <w:rPr>
          <w:rFonts w:ascii="Arial" w:eastAsia="Calibri" w:hAnsi="Arial" w:cs="Arial"/>
          <w:sz w:val="22"/>
        </w:rPr>
        <w:t>52</w:t>
      </w:r>
      <w:r w:rsidRPr="003408FE">
        <w:rPr>
          <w:rFonts w:ascii="Arial" w:eastAsia="Calibri" w:hAnsi="Arial" w:cs="Arial"/>
          <w:sz w:val="22"/>
        </w:rPr>
        <w:t xml:space="preserve"> del </w:t>
      </w:r>
      <w:r>
        <w:rPr>
          <w:rFonts w:ascii="Arial" w:eastAsia="Calibri" w:hAnsi="Arial" w:cs="Arial"/>
          <w:sz w:val="22"/>
        </w:rPr>
        <w:t>25 de septiembre</w:t>
      </w:r>
      <w:r w:rsidRPr="003408FE">
        <w:rPr>
          <w:rFonts w:ascii="Arial" w:eastAsia="Calibri" w:hAnsi="Arial" w:cs="Arial"/>
          <w:sz w:val="22"/>
        </w:rPr>
        <w:t xml:space="preserve"> de 2019</w:t>
      </w:r>
      <w:r w:rsidRPr="00F743B6">
        <w:rPr>
          <w:rFonts w:ascii="Arial" w:eastAsia="Calibri" w:hAnsi="Arial" w:cs="Arial"/>
          <w:sz w:val="22"/>
        </w:rPr>
        <w:t xml:space="preserve">, </w:t>
      </w:r>
      <w:r w:rsidRPr="003408FE">
        <w:rPr>
          <w:rFonts w:ascii="Arial" w:eastAsia="Calibri" w:hAnsi="Arial" w:cs="Arial"/>
          <w:sz w:val="22"/>
        </w:rPr>
        <w:t>420191200000</w:t>
      </w:r>
      <w:r>
        <w:rPr>
          <w:rFonts w:ascii="Arial" w:eastAsia="Calibri" w:hAnsi="Arial" w:cs="Arial"/>
          <w:sz w:val="22"/>
        </w:rPr>
        <w:t>6447</w:t>
      </w:r>
      <w:r w:rsidRPr="003408FE">
        <w:rPr>
          <w:rFonts w:ascii="Arial" w:eastAsia="Calibri" w:hAnsi="Arial" w:cs="Arial"/>
          <w:sz w:val="22"/>
        </w:rPr>
        <w:t xml:space="preserve"> del </w:t>
      </w:r>
      <w:r>
        <w:rPr>
          <w:rFonts w:ascii="Arial" w:eastAsia="Calibri" w:hAnsi="Arial" w:cs="Arial"/>
          <w:sz w:val="22"/>
        </w:rPr>
        <w:t>10</w:t>
      </w:r>
      <w:r w:rsidRPr="003408FE">
        <w:rPr>
          <w:rFonts w:ascii="Arial" w:eastAsia="Calibri" w:hAnsi="Arial" w:cs="Arial"/>
          <w:sz w:val="22"/>
        </w:rPr>
        <w:t xml:space="preserve"> de </w:t>
      </w:r>
      <w:r>
        <w:rPr>
          <w:rFonts w:ascii="Arial" w:eastAsia="Calibri" w:hAnsi="Arial" w:cs="Arial"/>
          <w:sz w:val="22"/>
        </w:rPr>
        <w:t>octubre</w:t>
      </w:r>
      <w:r w:rsidRPr="003408FE">
        <w:rPr>
          <w:rFonts w:ascii="Arial" w:eastAsia="Calibri" w:hAnsi="Arial" w:cs="Arial"/>
          <w:sz w:val="22"/>
        </w:rPr>
        <w:t xml:space="preserve"> de 2019</w:t>
      </w:r>
      <w:r w:rsidRPr="00F743B6">
        <w:rPr>
          <w:rFonts w:ascii="Arial" w:eastAsia="Calibri" w:hAnsi="Arial" w:cs="Arial"/>
          <w:sz w:val="22"/>
        </w:rPr>
        <w:t xml:space="preserve">, </w:t>
      </w:r>
      <w:r w:rsidRPr="007A1EA2">
        <w:rPr>
          <w:rFonts w:ascii="Arial" w:hAnsi="Arial" w:cs="Arial"/>
          <w:sz w:val="22"/>
        </w:rPr>
        <w:t>42019120000064</w:t>
      </w:r>
      <w:r>
        <w:rPr>
          <w:rFonts w:ascii="Arial" w:hAnsi="Arial" w:cs="Arial"/>
          <w:sz w:val="22"/>
        </w:rPr>
        <w:t>98</w:t>
      </w:r>
      <w:r w:rsidRPr="003408FE">
        <w:rPr>
          <w:rFonts w:ascii="Arial" w:hAnsi="Arial" w:cs="Arial"/>
          <w:sz w:val="22"/>
        </w:rPr>
        <w:t xml:space="preserve"> del </w:t>
      </w:r>
      <w:r>
        <w:rPr>
          <w:rFonts w:ascii="Arial" w:hAnsi="Arial" w:cs="Arial"/>
          <w:sz w:val="22"/>
        </w:rPr>
        <w:t>7</w:t>
      </w:r>
      <w:r w:rsidRPr="003408FE">
        <w:rPr>
          <w:rFonts w:ascii="Arial" w:hAnsi="Arial" w:cs="Arial"/>
          <w:sz w:val="22"/>
        </w:rPr>
        <w:t xml:space="preserve"> de </w:t>
      </w:r>
      <w:r>
        <w:rPr>
          <w:rFonts w:ascii="Arial" w:hAnsi="Arial" w:cs="Arial"/>
          <w:sz w:val="22"/>
        </w:rPr>
        <w:t>octubre</w:t>
      </w:r>
      <w:r w:rsidRPr="003408FE">
        <w:rPr>
          <w:rFonts w:ascii="Arial" w:hAnsi="Arial" w:cs="Arial"/>
          <w:sz w:val="22"/>
        </w:rPr>
        <w:t xml:space="preserve"> de 2019</w:t>
      </w:r>
      <w:r w:rsidRPr="00F743B6">
        <w:rPr>
          <w:rFonts w:ascii="Arial" w:hAnsi="Arial" w:cs="Arial"/>
          <w:sz w:val="22"/>
        </w:rPr>
        <w:t>,</w:t>
      </w:r>
      <w:r w:rsidRPr="00F743B6">
        <w:rPr>
          <w:rFonts w:ascii="Arial" w:eastAsia="Calibri" w:hAnsi="Arial" w:cs="Arial"/>
          <w:sz w:val="22"/>
        </w:rPr>
        <w:t xml:space="preserve"> </w:t>
      </w:r>
      <w:r w:rsidRPr="00963569">
        <w:rPr>
          <w:rFonts w:ascii="Arial" w:eastAsia="Calibri" w:hAnsi="Arial" w:cs="Arial"/>
          <w:sz w:val="22"/>
        </w:rPr>
        <w:t>4201912000007</w:t>
      </w:r>
      <w:r>
        <w:rPr>
          <w:rFonts w:ascii="Arial" w:eastAsia="Calibri" w:hAnsi="Arial" w:cs="Arial"/>
          <w:sz w:val="22"/>
        </w:rPr>
        <w:t>471</w:t>
      </w:r>
      <w:r w:rsidRPr="00963569">
        <w:rPr>
          <w:rFonts w:ascii="Arial" w:eastAsia="Calibri" w:hAnsi="Arial" w:cs="Arial"/>
          <w:sz w:val="22"/>
        </w:rPr>
        <w:t xml:space="preserve"> del </w:t>
      </w:r>
      <w:r>
        <w:rPr>
          <w:rFonts w:ascii="Arial" w:eastAsia="Calibri" w:hAnsi="Arial" w:cs="Arial"/>
          <w:sz w:val="22"/>
        </w:rPr>
        <w:t>13</w:t>
      </w:r>
      <w:r w:rsidRPr="00963569">
        <w:rPr>
          <w:rFonts w:ascii="Arial" w:eastAsia="Calibri" w:hAnsi="Arial" w:cs="Arial"/>
          <w:sz w:val="22"/>
        </w:rPr>
        <w:t xml:space="preserve"> de noviembre de 2019</w:t>
      </w:r>
      <w:r>
        <w:rPr>
          <w:rFonts w:ascii="Arial" w:eastAsia="Calibri" w:hAnsi="Arial" w:cs="Arial"/>
          <w:sz w:val="22"/>
        </w:rPr>
        <w:t>, C – 016 de 2020</w:t>
      </w:r>
      <w:r w:rsidR="00E35E35">
        <w:rPr>
          <w:rFonts w:ascii="Arial" w:eastAsia="Calibri" w:hAnsi="Arial" w:cs="Arial"/>
          <w:sz w:val="22"/>
        </w:rPr>
        <w:t xml:space="preserve"> del 21 de abril de 2020</w:t>
      </w:r>
      <w:r>
        <w:rPr>
          <w:rFonts w:ascii="Arial" w:eastAsia="Calibri" w:hAnsi="Arial" w:cs="Arial"/>
          <w:sz w:val="22"/>
        </w:rPr>
        <w:t>, C – 037 de 2020</w:t>
      </w:r>
      <w:r w:rsidR="00E35E35">
        <w:rPr>
          <w:rFonts w:ascii="Arial" w:eastAsia="Calibri" w:hAnsi="Arial" w:cs="Arial"/>
          <w:sz w:val="22"/>
        </w:rPr>
        <w:t xml:space="preserve"> del 28 de enero de 2020</w:t>
      </w:r>
      <w:r>
        <w:rPr>
          <w:rFonts w:ascii="Arial" w:eastAsia="Calibri" w:hAnsi="Arial" w:cs="Arial"/>
          <w:sz w:val="22"/>
        </w:rPr>
        <w:t>, C – 038 de 2020</w:t>
      </w:r>
      <w:r w:rsidR="00E35E35" w:rsidRPr="00E35E35">
        <w:rPr>
          <w:rFonts w:ascii="Arial" w:eastAsia="Calibri" w:hAnsi="Arial" w:cs="Arial"/>
          <w:sz w:val="22"/>
        </w:rPr>
        <w:t xml:space="preserve"> </w:t>
      </w:r>
      <w:r w:rsidR="00E35E35">
        <w:rPr>
          <w:rFonts w:ascii="Arial" w:eastAsia="Calibri" w:hAnsi="Arial" w:cs="Arial"/>
          <w:sz w:val="22"/>
        </w:rPr>
        <w:t>del 28 de enero de 2020</w:t>
      </w:r>
      <w:r>
        <w:rPr>
          <w:rFonts w:ascii="Arial" w:eastAsia="Calibri" w:hAnsi="Arial" w:cs="Arial"/>
          <w:sz w:val="22"/>
        </w:rPr>
        <w:t>, C – 093 de 2020</w:t>
      </w:r>
      <w:r w:rsidR="00E35E35">
        <w:rPr>
          <w:rFonts w:ascii="Arial" w:eastAsia="Calibri" w:hAnsi="Arial" w:cs="Arial"/>
          <w:sz w:val="22"/>
        </w:rPr>
        <w:t xml:space="preserve"> del 28 de febrero de 2020</w:t>
      </w:r>
      <w:r w:rsidR="00E51201">
        <w:rPr>
          <w:rFonts w:ascii="Arial" w:eastAsia="Calibri" w:hAnsi="Arial" w:cs="Arial"/>
          <w:sz w:val="22"/>
        </w:rPr>
        <w:t>,</w:t>
      </w:r>
      <w:r>
        <w:rPr>
          <w:rFonts w:ascii="Arial" w:eastAsia="Calibri" w:hAnsi="Arial" w:cs="Arial"/>
          <w:sz w:val="22"/>
        </w:rPr>
        <w:t xml:space="preserve"> C</w:t>
      </w:r>
      <w:r w:rsidR="002222B0">
        <w:rPr>
          <w:rFonts w:ascii="Arial" w:eastAsia="Calibri" w:hAnsi="Arial" w:cs="Arial"/>
          <w:sz w:val="22"/>
        </w:rPr>
        <w:t xml:space="preserve"> – </w:t>
      </w:r>
      <w:r>
        <w:rPr>
          <w:rFonts w:ascii="Arial" w:eastAsia="Calibri" w:hAnsi="Arial" w:cs="Arial"/>
          <w:sz w:val="22"/>
        </w:rPr>
        <w:t>133 de</w:t>
      </w:r>
      <w:r w:rsidR="00E35E35">
        <w:rPr>
          <w:rFonts w:ascii="Arial" w:eastAsia="Calibri" w:hAnsi="Arial" w:cs="Arial"/>
          <w:sz w:val="22"/>
        </w:rPr>
        <w:t>l 30 de marzo de</w:t>
      </w:r>
      <w:r>
        <w:rPr>
          <w:rFonts w:ascii="Arial" w:eastAsia="Calibri" w:hAnsi="Arial" w:cs="Arial"/>
          <w:sz w:val="22"/>
        </w:rPr>
        <w:t xml:space="preserve"> 2020</w:t>
      </w:r>
      <w:r w:rsidR="00E51201">
        <w:rPr>
          <w:rFonts w:ascii="Arial" w:eastAsia="Calibri" w:hAnsi="Arial" w:cs="Arial"/>
          <w:sz w:val="22"/>
        </w:rPr>
        <w:t xml:space="preserve"> y C – 153 del 1 de abril de 2020</w:t>
      </w:r>
      <w:r>
        <w:rPr>
          <w:rFonts w:ascii="Arial" w:eastAsia="Calibri" w:hAnsi="Arial" w:cs="Arial"/>
          <w:sz w:val="22"/>
        </w:rPr>
        <w:t xml:space="preserve">, </w:t>
      </w:r>
      <w:r w:rsidRPr="00963569">
        <w:rPr>
          <w:rFonts w:ascii="Arial" w:eastAsia="Calibri" w:hAnsi="Arial" w:cs="Arial"/>
          <w:sz w:val="22"/>
        </w:rPr>
        <w:t xml:space="preserve">se pronunció acerca del </w:t>
      </w:r>
      <w:r w:rsidRPr="00C9016E">
        <w:rPr>
          <w:rFonts w:ascii="Arial" w:eastAsia="Calibri" w:hAnsi="Arial" w:cs="Arial"/>
          <w:sz w:val="22"/>
        </w:rPr>
        <w:t xml:space="preserve">Formulario 1 – </w:t>
      </w:r>
      <w:r>
        <w:rPr>
          <w:rFonts w:ascii="Arial" w:eastAsia="Calibri" w:hAnsi="Arial" w:cs="Arial"/>
          <w:sz w:val="22"/>
        </w:rPr>
        <w:t xml:space="preserve">Formulario de </w:t>
      </w:r>
      <w:r w:rsidRPr="00C9016E">
        <w:rPr>
          <w:rFonts w:ascii="Arial" w:eastAsia="Calibri" w:hAnsi="Arial" w:cs="Arial"/>
          <w:sz w:val="22"/>
        </w:rPr>
        <w:t xml:space="preserve">Presupuesto </w:t>
      </w:r>
      <w:r>
        <w:rPr>
          <w:rFonts w:ascii="Arial" w:eastAsia="Calibri" w:hAnsi="Arial" w:cs="Arial"/>
          <w:sz w:val="22"/>
        </w:rPr>
        <w:t>O</w:t>
      </w:r>
      <w:r w:rsidRPr="00C9016E">
        <w:rPr>
          <w:rFonts w:ascii="Arial" w:eastAsia="Calibri" w:hAnsi="Arial" w:cs="Arial"/>
          <w:sz w:val="22"/>
        </w:rPr>
        <w:t xml:space="preserve">ficial </w:t>
      </w:r>
      <w:r>
        <w:rPr>
          <w:rFonts w:ascii="Arial" w:eastAsia="Calibri" w:hAnsi="Arial" w:cs="Arial"/>
          <w:sz w:val="22"/>
        </w:rPr>
        <w:t>de los</w:t>
      </w:r>
      <w:r w:rsidRPr="00963569">
        <w:rPr>
          <w:rFonts w:ascii="Arial" w:eastAsia="Calibri" w:hAnsi="Arial" w:cs="Arial"/>
          <w:sz w:val="22"/>
        </w:rPr>
        <w:t xml:space="preserve"> Documentos Tipo</w:t>
      </w:r>
      <w:r w:rsidRPr="00F743B6">
        <w:rPr>
          <w:rFonts w:ascii="Arial" w:eastAsia="Calibri" w:hAnsi="Arial" w:cs="Arial"/>
          <w:sz w:val="22"/>
        </w:rPr>
        <w:t xml:space="preserve">. La tesis desarrollada se expone a continuación. </w:t>
      </w:r>
    </w:p>
    <w:p w14:paraId="1122C3DA" w14:textId="77777777" w:rsidR="00885117" w:rsidRPr="00F743B6" w:rsidRDefault="00885117" w:rsidP="00A42393">
      <w:pPr>
        <w:spacing w:line="276" w:lineRule="auto"/>
        <w:ind w:firstLine="708"/>
        <w:jc w:val="both"/>
        <w:rPr>
          <w:rFonts w:ascii="Arial" w:eastAsia="Calibri" w:hAnsi="Arial" w:cs="Arial"/>
          <w:sz w:val="22"/>
        </w:rPr>
      </w:pPr>
    </w:p>
    <w:p w14:paraId="7DC03871" w14:textId="77777777" w:rsidR="00885117" w:rsidRPr="00A738AC" w:rsidRDefault="00885117" w:rsidP="00A42393">
      <w:pPr>
        <w:spacing w:line="276" w:lineRule="auto"/>
        <w:jc w:val="both"/>
        <w:rPr>
          <w:rFonts w:ascii="Arial" w:eastAsia="Calibri" w:hAnsi="Arial" w:cs="Arial"/>
          <w:b/>
          <w:sz w:val="22"/>
        </w:rPr>
      </w:pPr>
      <w:r>
        <w:rPr>
          <w:rFonts w:ascii="Arial" w:eastAsia="Calibri" w:hAnsi="Arial" w:cs="Arial"/>
          <w:b/>
          <w:sz w:val="22"/>
        </w:rPr>
        <w:t xml:space="preserve">2.1. </w:t>
      </w:r>
      <w:r w:rsidRPr="00A738AC">
        <w:rPr>
          <w:rFonts w:ascii="Arial" w:eastAsia="Calibri" w:hAnsi="Arial" w:cs="Arial"/>
          <w:b/>
          <w:sz w:val="22"/>
        </w:rPr>
        <w:t>Presentación de la oferta económica</w:t>
      </w:r>
      <w:r>
        <w:rPr>
          <w:rFonts w:ascii="Arial" w:eastAsia="Calibri" w:hAnsi="Arial" w:cs="Arial"/>
          <w:b/>
          <w:sz w:val="22"/>
        </w:rPr>
        <w:t xml:space="preserve"> y causales de rechazo</w:t>
      </w:r>
      <w:r w:rsidRPr="00A738AC">
        <w:rPr>
          <w:rFonts w:ascii="Arial" w:eastAsia="Calibri" w:hAnsi="Arial" w:cs="Arial"/>
          <w:b/>
          <w:sz w:val="22"/>
        </w:rPr>
        <w:t xml:space="preserve"> en los Documentos Tipo: </w:t>
      </w:r>
      <w:r>
        <w:rPr>
          <w:rFonts w:ascii="Arial" w:eastAsia="Calibri" w:hAnsi="Arial" w:cs="Arial"/>
          <w:b/>
          <w:sz w:val="22"/>
        </w:rPr>
        <w:t>e</w:t>
      </w:r>
      <w:r w:rsidRPr="00A738AC">
        <w:rPr>
          <w:rFonts w:ascii="Arial" w:eastAsia="Calibri" w:hAnsi="Arial" w:cs="Arial"/>
          <w:b/>
          <w:sz w:val="22"/>
        </w:rPr>
        <w:t>l «Formulario 1 - Formulario de Presupuesto Oficial»</w:t>
      </w:r>
    </w:p>
    <w:p w14:paraId="5242345F" w14:textId="77777777" w:rsidR="00885117" w:rsidRDefault="00885117" w:rsidP="00A42393">
      <w:pPr>
        <w:spacing w:line="276" w:lineRule="auto"/>
        <w:jc w:val="both"/>
        <w:rPr>
          <w:rFonts w:ascii="Arial" w:eastAsia="Calibri" w:hAnsi="Arial" w:cs="Arial"/>
          <w:sz w:val="22"/>
        </w:rPr>
      </w:pPr>
    </w:p>
    <w:p w14:paraId="50DFFAF3" w14:textId="0C03D09E" w:rsidR="00885117" w:rsidRDefault="00885117" w:rsidP="00336F97">
      <w:pPr>
        <w:spacing w:line="276" w:lineRule="auto"/>
        <w:jc w:val="both"/>
        <w:rPr>
          <w:rFonts w:ascii="Arial" w:eastAsia="Calibri" w:hAnsi="Arial" w:cs="Arial"/>
          <w:sz w:val="22"/>
        </w:rPr>
      </w:pPr>
      <w:r w:rsidRPr="009237E7">
        <w:rPr>
          <w:rFonts w:ascii="Arial" w:eastAsia="Calibri" w:hAnsi="Arial" w:cs="Arial"/>
          <w:sz w:val="22"/>
        </w:rPr>
        <w:t xml:space="preserve">Los Documentos Tipo, adoptados mediante </w:t>
      </w:r>
      <w:r w:rsidR="001A6118">
        <w:rPr>
          <w:rFonts w:ascii="Arial" w:eastAsia="Arial" w:hAnsi="Arial" w:cs="Arial"/>
          <w:sz w:val="22"/>
        </w:rPr>
        <w:t>la Resolución No. 240 del 27 de noviembre de 2020 «Por la cual se actualizan los Documentos Tipo para los procesos de selección de licitación de obra pública de infraestructura de transporte y se deroga la Resolución 0045 de 2020»</w:t>
      </w:r>
      <w:r>
        <w:rPr>
          <w:rFonts w:ascii="Arial" w:eastAsia="Calibri" w:hAnsi="Arial" w:cs="Arial"/>
          <w:sz w:val="22"/>
        </w:rPr>
        <w:t>,</w:t>
      </w:r>
      <w:r w:rsidRPr="009237E7">
        <w:rPr>
          <w:rFonts w:ascii="Arial" w:eastAsia="Calibri" w:hAnsi="Arial" w:cs="Arial"/>
          <w:sz w:val="22"/>
        </w:rPr>
        <w:t xml:space="preserve"> expedida por la Agencia Nacional de Contratación Pública ─</w:t>
      </w:r>
      <w:r>
        <w:rPr>
          <w:rFonts w:ascii="Arial" w:eastAsia="Calibri" w:hAnsi="Arial" w:cs="Arial"/>
          <w:sz w:val="22"/>
        </w:rPr>
        <w:t xml:space="preserve"> </w:t>
      </w:r>
      <w:r w:rsidRPr="009237E7">
        <w:rPr>
          <w:rFonts w:ascii="Arial" w:eastAsia="Calibri" w:hAnsi="Arial" w:cs="Arial"/>
          <w:sz w:val="22"/>
        </w:rPr>
        <w:t>Colombia Compra Eficiente, establecen las condiciones habilitantes, los factores técnicos y económicos de escogencia, y los sistemas de ponderación de carácter obligatorio para las entidades sometidas al Estatuto General de la Contratación Pública, que adelanten procedimientos de selección de licitación de obra pública de infraestructura de transporte.</w:t>
      </w:r>
    </w:p>
    <w:p w14:paraId="3BAB1F55" w14:textId="5CD24EA7" w:rsidR="00885117" w:rsidRPr="009237E7" w:rsidRDefault="00885117" w:rsidP="00885117">
      <w:pPr>
        <w:spacing w:before="120" w:after="120" w:line="276" w:lineRule="auto"/>
        <w:ind w:firstLine="709"/>
        <w:jc w:val="both"/>
        <w:rPr>
          <w:rFonts w:ascii="Arial" w:eastAsia="Calibri" w:hAnsi="Arial" w:cs="Arial"/>
          <w:sz w:val="22"/>
        </w:rPr>
      </w:pPr>
      <w:r w:rsidRPr="009237E7">
        <w:rPr>
          <w:rFonts w:ascii="Arial" w:eastAsia="Calibri" w:hAnsi="Arial" w:cs="Arial"/>
          <w:sz w:val="22"/>
        </w:rPr>
        <w:t xml:space="preserve">Específicamente, </w:t>
      </w:r>
      <w:r w:rsidR="001A6118">
        <w:rPr>
          <w:rFonts w:ascii="Arial" w:eastAsia="Calibri" w:hAnsi="Arial" w:cs="Arial"/>
          <w:sz w:val="22"/>
        </w:rPr>
        <w:t>frente a</w:t>
      </w:r>
      <w:r w:rsidR="001A6118" w:rsidRPr="009237E7">
        <w:rPr>
          <w:rFonts w:ascii="Arial" w:eastAsia="Calibri" w:hAnsi="Arial" w:cs="Arial"/>
          <w:sz w:val="22"/>
        </w:rPr>
        <w:t xml:space="preserve"> </w:t>
      </w:r>
      <w:r w:rsidRPr="009237E7">
        <w:rPr>
          <w:rFonts w:ascii="Arial" w:eastAsia="Calibri" w:hAnsi="Arial" w:cs="Arial"/>
          <w:sz w:val="22"/>
        </w:rPr>
        <w:t>la propuesta económica, el «Documento Base» de los Documentos Tipo señala que se debe elaborar a partir del contenido del «Formulario 1– Formulario de Presupuesto Oficial», y su forma de presentación est</w:t>
      </w:r>
      <w:r w:rsidR="001A6118">
        <w:rPr>
          <w:rFonts w:ascii="Arial" w:eastAsia="Calibri" w:hAnsi="Arial" w:cs="Arial"/>
          <w:sz w:val="22"/>
        </w:rPr>
        <w:t>á</w:t>
      </w:r>
      <w:r w:rsidRPr="009237E7">
        <w:rPr>
          <w:rFonts w:ascii="Arial" w:eastAsia="Calibri" w:hAnsi="Arial" w:cs="Arial"/>
          <w:sz w:val="22"/>
        </w:rPr>
        <w:t xml:space="preserve"> </w:t>
      </w:r>
      <w:r w:rsidR="001A6118">
        <w:rPr>
          <w:rFonts w:ascii="Arial" w:eastAsia="Calibri" w:hAnsi="Arial" w:cs="Arial"/>
          <w:sz w:val="22"/>
        </w:rPr>
        <w:t>regulada</w:t>
      </w:r>
      <w:r w:rsidR="001A6118" w:rsidRPr="009237E7">
        <w:rPr>
          <w:rFonts w:ascii="Arial" w:eastAsia="Calibri" w:hAnsi="Arial" w:cs="Arial"/>
          <w:sz w:val="22"/>
        </w:rPr>
        <w:t xml:space="preserve"> </w:t>
      </w:r>
      <w:r w:rsidRPr="009237E7">
        <w:rPr>
          <w:rFonts w:ascii="Arial" w:eastAsia="Calibri" w:hAnsi="Arial" w:cs="Arial"/>
          <w:sz w:val="22"/>
        </w:rPr>
        <w:t>en los numerales «2.3. ELABORACIÓN Y PRESENTACIÓN DE LA OFERTA» y «4.1. OFERTA ECONÓMICA».</w:t>
      </w:r>
    </w:p>
    <w:p w14:paraId="2EDDDEAA" w14:textId="19A365A0" w:rsidR="00885117" w:rsidRPr="009237E7" w:rsidRDefault="00885117" w:rsidP="00885117">
      <w:pPr>
        <w:spacing w:line="276" w:lineRule="auto"/>
        <w:ind w:firstLine="709"/>
        <w:jc w:val="both"/>
        <w:rPr>
          <w:rFonts w:ascii="Arial" w:eastAsia="Calibri" w:hAnsi="Arial" w:cs="Arial"/>
          <w:sz w:val="22"/>
        </w:rPr>
      </w:pPr>
      <w:r w:rsidRPr="009237E7">
        <w:rPr>
          <w:rFonts w:ascii="Arial" w:eastAsia="Calibri" w:hAnsi="Arial" w:cs="Arial"/>
          <w:sz w:val="22"/>
        </w:rPr>
        <w:t>Por tanto, para resolver su consulta, relacionada con la oferta económica en los Documentos Tipo</w:t>
      </w:r>
      <w:r w:rsidR="001A6118">
        <w:rPr>
          <w:rFonts w:ascii="Arial" w:eastAsia="Calibri" w:hAnsi="Arial" w:cs="Arial"/>
          <w:sz w:val="22"/>
        </w:rPr>
        <w:t xml:space="preserve"> se analizará</w:t>
      </w:r>
      <w:r w:rsidRPr="009237E7">
        <w:rPr>
          <w:rFonts w:ascii="Arial" w:eastAsia="Calibri" w:hAnsi="Arial" w:cs="Arial"/>
          <w:sz w:val="22"/>
        </w:rPr>
        <w:t xml:space="preserve">: i) </w:t>
      </w:r>
      <w:r w:rsidR="001A6118">
        <w:rPr>
          <w:rFonts w:ascii="Arial" w:eastAsia="Calibri" w:hAnsi="Arial" w:cs="Arial"/>
          <w:sz w:val="22"/>
        </w:rPr>
        <w:t>el</w:t>
      </w:r>
      <w:r>
        <w:rPr>
          <w:rFonts w:ascii="Arial" w:eastAsia="Calibri" w:hAnsi="Arial" w:cs="Arial"/>
          <w:sz w:val="22"/>
        </w:rPr>
        <w:t xml:space="preserve"> </w:t>
      </w:r>
      <w:r w:rsidRPr="009237E7">
        <w:rPr>
          <w:rFonts w:ascii="Arial" w:eastAsia="Calibri" w:hAnsi="Arial" w:cs="Arial"/>
          <w:sz w:val="22"/>
        </w:rPr>
        <w:t xml:space="preserve">documento </w:t>
      </w:r>
      <w:r w:rsidR="001A6118">
        <w:rPr>
          <w:rFonts w:ascii="Arial" w:eastAsia="Calibri" w:hAnsi="Arial" w:cs="Arial"/>
          <w:sz w:val="22"/>
        </w:rPr>
        <w:t>en que los</w:t>
      </w:r>
      <w:r w:rsidR="001A6118" w:rsidRPr="009237E7">
        <w:rPr>
          <w:rFonts w:ascii="Arial" w:eastAsia="Calibri" w:hAnsi="Arial" w:cs="Arial"/>
          <w:sz w:val="22"/>
        </w:rPr>
        <w:t xml:space="preserve"> </w:t>
      </w:r>
      <w:r w:rsidRPr="009237E7">
        <w:rPr>
          <w:rFonts w:ascii="Arial" w:eastAsia="Calibri" w:hAnsi="Arial" w:cs="Arial"/>
          <w:sz w:val="22"/>
        </w:rPr>
        <w:t>proponentes deben diligenciar su oferta económica</w:t>
      </w:r>
      <w:r w:rsidR="009D1CCD">
        <w:rPr>
          <w:rFonts w:ascii="Arial" w:eastAsia="Calibri" w:hAnsi="Arial" w:cs="Arial"/>
          <w:sz w:val="22"/>
        </w:rPr>
        <w:t xml:space="preserve"> </w:t>
      </w:r>
      <w:r w:rsidRPr="009237E7">
        <w:rPr>
          <w:rFonts w:ascii="Arial" w:eastAsia="Calibri" w:hAnsi="Arial" w:cs="Arial"/>
          <w:sz w:val="22"/>
        </w:rPr>
        <w:t>y su contenido</w:t>
      </w:r>
      <w:r w:rsidR="009D1CCD">
        <w:rPr>
          <w:rFonts w:ascii="Arial" w:eastAsia="Calibri" w:hAnsi="Arial" w:cs="Arial"/>
          <w:sz w:val="22"/>
        </w:rPr>
        <w:t>,</w:t>
      </w:r>
      <w:r>
        <w:rPr>
          <w:rFonts w:ascii="Arial" w:eastAsia="Calibri" w:hAnsi="Arial" w:cs="Arial"/>
          <w:sz w:val="22"/>
        </w:rPr>
        <w:t xml:space="preserve"> y</w:t>
      </w:r>
      <w:r w:rsidRPr="009237E7">
        <w:rPr>
          <w:rFonts w:ascii="Arial" w:eastAsia="Calibri" w:hAnsi="Arial" w:cs="Arial"/>
          <w:sz w:val="22"/>
        </w:rPr>
        <w:t xml:space="preserve"> </w:t>
      </w:r>
      <w:proofErr w:type="spellStart"/>
      <w:r w:rsidRPr="009237E7">
        <w:rPr>
          <w:rFonts w:ascii="Arial" w:eastAsia="Calibri" w:hAnsi="Arial" w:cs="Arial"/>
          <w:sz w:val="22"/>
        </w:rPr>
        <w:t>ii</w:t>
      </w:r>
      <w:proofErr w:type="spellEnd"/>
      <w:r w:rsidRPr="009237E7">
        <w:rPr>
          <w:rFonts w:ascii="Arial" w:eastAsia="Calibri" w:hAnsi="Arial" w:cs="Arial"/>
          <w:sz w:val="22"/>
        </w:rPr>
        <w:t xml:space="preserve">) si </w:t>
      </w:r>
      <w:r>
        <w:rPr>
          <w:rFonts w:ascii="Arial" w:eastAsia="Calibri" w:hAnsi="Arial" w:cs="Arial"/>
          <w:sz w:val="22"/>
        </w:rPr>
        <w:t>es posible</w:t>
      </w:r>
      <w:r w:rsidRPr="009237E7">
        <w:rPr>
          <w:rFonts w:ascii="Arial" w:eastAsia="Calibri" w:hAnsi="Arial" w:cs="Arial"/>
          <w:sz w:val="22"/>
        </w:rPr>
        <w:t xml:space="preserve"> </w:t>
      </w:r>
      <w:r>
        <w:rPr>
          <w:rFonts w:ascii="Arial" w:eastAsia="Calibri" w:hAnsi="Arial" w:cs="Arial"/>
          <w:sz w:val="22"/>
        </w:rPr>
        <w:t xml:space="preserve">rechazar la oferta por no usar el formulario dispuesto </w:t>
      </w:r>
      <w:r w:rsidR="00500BFF">
        <w:rPr>
          <w:rFonts w:ascii="Arial" w:eastAsia="Calibri" w:hAnsi="Arial" w:cs="Arial"/>
          <w:sz w:val="22"/>
        </w:rPr>
        <w:t>por la entidad, que es diferente al form</w:t>
      </w:r>
      <w:r w:rsidR="00A97033">
        <w:rPr>
          <w:rFonts w:ascii="Arial" w:eastAsia="Calibri" w:hAnsi="Arial" w:cs="Arial"/>
          <w:sz w:val="22"/>
        </w:rPr>
        <w:t>ulario</w:t>
      </w:r>
      <w:r w:rsidR="00500BFF">
        <w:rPr>
          <w:rFonts w:ascii="Arial" w:eastAsia="Calibri" w:hAnsi="Arial" w:cs="Arial"/>
          <w:sz w:val="22"/>
        </w:rPr>
        <w:t xml:space="preserve"> incluido </w:t>
      </w:r>
      <w:r>
        <w:rPr>
          <w:rFonts w:ascii="Arial" w:eastAsia="Calibri" w:hAnsi="Arial" w:cs="Arial"/>
          <w:sz w:val="22"/>
        </w:rPr>
        <w:t>en los Documentos Tipo</w:t>
      </w:r>
      <w:r w:rsidRPr="009237E7">
        <w:rPr>
          <w:rFonts w:ascii="Arial" w:eastAsia="Calibri" w:hAnsi="Arial" w:cs="Arial"/>
          <w:sz w:val="22"/>
        </w:rPr>
        <w:t>.</w:t>
      </w:r>
    </w:p>
    <w:p w14:paraId="10B3F0FC" w14:textId="77777777" w:rsidR="00885117" w:rsidRPr="00A738AC" w:rsidRDefault="00885117" w:rsidP="00885117">
      <w:pPr>
        <w:spacing w:line="276" w:lineRule="auto"/>
        <w:jc w:val="both"/>
        <w:rPr>
          <w:rFonts w:ascii="Arial" w:eastAsia="Calibri" w:hAnsi="Arial" w:cs="Arial"/>
          <w:sz w:val="22"/>
        </w:rPr>
      </w:pPr>
    </w:p>
    <w:p w14:paraId="6230A320" w14:textId="2C7E607A" w:rsidR="00885117" w:rsidRDefault="001A6118" w:rsidP="00C52143">
      <w:pPr>
        <w:spacing w:line="276" w:lineRule="auto"/>
        <w:jc w:val="both"/>
        <w:rPr>
          <w:rFonts w:ascii="Arial" w:eastAsia="Calibri" w:hAnsi="Arial" w:cs="Arial"/>
          <w:b/>
          <w:sz w:val="22"/>
        </w:rPr>
      </w:pPr>
      <w:r>
        <w:rPr>
          <w:rFonts w:ascii="Arial" w:eastAsia="Calibri" w:hAnsi="Arial" w:cs="Arial"/>
          <w:b/>
          <w:sz w:val="22"/>
        </w:rPr>
        <w:t>2.1.1.</w:t>
      </w:r>
      <w:r w:rsidR="00885117" w:rsidRPr="00A738AC">
        <w:rPr>
          <w:rFonts w:ascii="Arial" w:eastAsia="Calibri" w:hAnsi="Arial" w:cs="Arial"/>
          <w:b/>
          <w:sz w:val="22"/>
        </w:rPr>
        <w:t xml:space="preserve"> Creación y obligatoriedad del</w:t>
      </w:r>
      <w:r w:rsidR="00885117">
        <w:rPr>
          <w:rFonts w:ascii="Arial" w:eastAsia="Calibri" w:hAnsi="Arial" w:cs="Arial"/>
          <w:b/>
          <w:sz w:val="22"/>
        </w:rPr>
        <w:t xml:space="preserve"> uso del</w:t>
      </w:r>
      <w:r w:rsidR="00885117" w:rsidRPr="00A738AC">
        <w:rPr>
          <w:rFonts w:ascii="Arial" w:eastAsia="Calibri" w:hAnsi="Arial" w:cs="Arial"/>
          <w:b/>
          <w:sz w:val="22"/>
        </w:rPr>
        <w:t xml:space="preserve"> «Formulario 1 - Formulario de Presupuesto Oficial»</w:t>
      </w:r>
    </w:p>
    <w:p w14:paraId="155A5CD7" w14:textId="77777777" w:rsidR="00C52143" w:rsidRDefault="00C52143" w:rsidP="00C52143">
      <w:pPr>
        <w:spacing w:line="276" w:lineRule="auto"/>
        <w:jc w:val="both"/>
        <w:rPr>
          <w:rFonts w:ascii="Arial" w:eastAsia="Calibri" w:hAnsi="Arial" w:cs="Arial"/>
          <w:b/>
          <w:sz w:val="22"/>
        </w:rPr>
      </w:pPr>
    </w:p>
    <w:p w14:paraId="250756B7" w14:textId="0747E863" w:rsidR="002A06BE" w:rsidRDefault="009D1CCD" w:rsidP="00336F97">
      <w:pPr>
        <w:pStyle w:val="Textoindependiente"/>
        <w:spacing w:after="120" w:line="276" w:lineRule="auto"/>
        <w:jc w:val="both"/>
      </w:pPr>
      <w:r>
        <w:t>La Resolución No. 240 del 27 de noviembre de 2020 «Por la cual se actualizan los Documentos Tipo para los procesos de selección de licitación de obra pública de infraestructura de transporte y se deroga la Resolución 0045 de 2020»</w:t>
      </w:r>
      <w:r>
        <w:rPr>
          <w:rFonts w:eastAsia="Calibri"/>
        </w:rPr>
        <w:t>,</w:t>
      </w:r>
      <w:r w:rsidR="00885117" w:rsidRPr="009237E7">
        <w:rPr>
          <w:rFonts w:eastAsia="Calibri"/>
        </w:rPr>
        <w:t xml:space="preserve"> define el alcance de los Documentos Tipo y los enlista, señalando que existe un formulario denominado </w:t>
      </w:r>
      <w:r w:rsidR="00885117" w:rsidRPr="009237E7">
        <w:lastRenderedPageBreak/>
        <w:t>«Formulario 1 - Formulario de Presupuesto Oficial</w:t>
      </w:r>
      <w:r w:rsidR="00885117" w:rsidRPr="009237E7">
        <w:rPr>
          <w:rFonts w:eastAsia="Calibri"/>
        </w:rPr>
        <w:t>»</w:t>
      </w:r>
      <w:r w:rsidR="00885117" w:rsidRPr="009237E7">
        <w:t xml:space="preserve">. En este formulario la entidad elabora y presenta el presupuesto oficial, y el proponente estructura </w:t>
      </w:r>
      <w:r w:rsidR="00885117">
        <w:t>la</w:t>
      </w:r>
      <w:r w:rsidR="00885117" w:rsidRPr="009237E7">
        <w:t xml:space="preserve"> oferta económica. Este formulario </w:t>
      </w:r>
      <w:r w:rsidR="00885117">
        <w:t>lo</w:t>
      </w:r>
      <w:r w:rsidR="00885117" w:rsidRPr="009237E7">
        <w:t xml:space="preserve"> prepar</w:t>
      </w:r>
      <w:r w:rsidR="00885117">
        <w:t>a</w:t>
      </w:r>
      <w:r w:rsidR="00885117" w:rsidRPr="009237E7">
        <w:t xml:space="preserve"> la entidad</w:t>
      </w:r>
      <w:r w:rsidR="00885117">
        <w:t>,</w:t>
      </w:r>
      <w:r w:rsidR="00885117" w:rsidRPr="009237E7">
        <w:t xml:space="preserve"> en la etapa de planeación</w:t>
      </w:r>
      <w:r w:rsidR="00885117">
        <w:t>,</w:t>
      </w:r>
      <w:r w:rsidR="00885117" w:rsidRPr="009237E7">
        <w:t xml:space="preserve"> y le permite definir el valor oficial estimado. </w:t>
      </w:r>
    </w:p>
    <w:p w14:paraId="2E839C46" w14:textId="6245A63D" w:rsidR="00885117" w:rsidRPr="009237E7" w:rsidRDefault="00885117" w:rsidP="00C52143">
      <w:pPr>
        <w:pStyle w:val="Textoindependiente"/>
        <w:spacing w:line="276" w:lineRule="auto"/>
        <w:ind w:firstLine="709"/>
        <w:jc w:val="both"/>
      </w:pPr>
      <w:r w:rsidRPr="009237E7">
        <w:t>Por lo tanto, las entidades, para elabora</w:t>
      </w:r>
      <w:r>
        <w:t>rlo</w:t>
      </w:r>
      <w:r w:rsidRPr="009237E7">
        <w:t>, deben tener en cuenta diferentes variables</w:t>
      </w:r>
      <w:r w:rsidRPr="009237E7">
        <w:rPr>
          <w:vertAlign w:val="superscript"/>
        </w:rPr>
        <w:footnoteReference w:id="1"/>
      </w:r>
      <w:r w:rsidRPr="009237E7">
        <w:t>. Por ejemplo, deben considerar el objeto, alcance, obras a ejecutar, actividades, cantidades, particularidades de la zona de ejecución del proyecto,</w:t>
      </w:r>
      <w:r>
        <w:t xml:space="preserve"> </w:t>
      </w:r>
      <w:r w:rsidRPr="009237E7">
        <w:t>disponibilidad y distancia de fuentes de materiales, entre otros, que deben identificarse durante la etapa de planeación del procedimiento de contratación.</w:t>
      </w:r>
    </w:p>
    <w:p w14:paraId="78573547" w14:textId="71EF39AD" w:rsidR="00885117" w:rsidRPr="009237E7" w:rsidRDefault="00885117" w:rsidP="00885117">
      <w:pPr>
        <w:pStyle w:val="Textoindependiente"/>
        <w:spacing w:before="120" w:after="120" w:line="276" w:lineRule="auto"/>
        <w:ind w:firstLine="709"/>
        <w:jc w:val="both"/>
        <w:rPr>
          <w:sz w:val="18"/>
          <w:szCs w:val="18"/>
        </w:rPr>
      </w:pPr>
      <w:r w:rsidRPr="009237E7">
        <w:t xml:space="preserve">En la estructuración de los Documentos Tipo se </w:t>
      </w:r>
      <w:r w:rsidR="00BC5B4D">
        <w:t>estableci</w:t>
      </w:r>
      <w:r w:rsidRPr="009237E7">
        <w:t>ó que el «Formulario 1 - Formulario de Presupuesto Oficial</w:t>
      </w:r>
      <w:r w:rsidRPr="009237E7">
        <w:rPr>
          <w:rFonts w:eastAsia="Calibri"/>
        </w:rPr>
        <w:t>»</w:t>
      </w:r>
      <w:r w:rsidRPr="009237E7">
        <w:t xml:space="preserve"> </w:t>
      </w:r>
      <w:r w:rsidR="00BC5B4D">
        <w:t xml:space="preserve">debía </w:t>
      </w:r>
      <w:r w:rsidRPr="009237E7">
        <w:t>t</w:t>
      </w:r>
      <w:r w:rsidR="00BC5B4D">
        <w:t>ener</w:t>
      </w:r>
      <w:r w:rsidRPr="009237E7">
        <w:t xml:space="preserve"> dos connotaciones o usos en los Documentos Tipo: </w:t>
      </w:r>
      <w:r>
        <w:t xml:space="preserve">i) </w:t>
      </w:r>
      <w:r w:rsidRPr="009237E7">
        <w:t>por un lado, que fuera el formulario sobre el cual la entidad estructura y presenta el presupuesto oficial del procedimiento de contratación; y</w:t>
      </w:r>
      <w:r>
        <w:t xml:space="preserve"> </w:t>
      </w:r>
      <w:proofErr w:type="spellStart"/>
      <w:r>
        <w:t>ii</w:t>
      </w:r>
      <w:proofErr w:type="spellEnd"/>
      <w:r>
        <w:t>)</w:t>
      </w:r>
      <w:r w:rsidRPr="009237E7">
        <w:t xml:space="preserve"> por el otro, </w:t>
      </w:r>
      <w:r>
        <w:t xml:space="preserve">que </w:t>
      </w:r>
      <w:r w:rsidRPr="009237E7">
        <w:t>fuera el formulario sobre el cual los proponentes elaboraran y presentaran su oferta económica. Esta doble connotación fue adoptada</w:t>
      </w:r>
      <w:r w:rsidR="00A97033">
        <w:t xml:space="preserve"> </w:t>
      </w:r>
      <w:r>
        <w:t>para</w:t>
      </w:r>
      <w:r w:rsidRPr="009237E7">
        <w:t xml:space="preserve"> evitar la duplicidad de información y permitir que las propuestas económicas fueran evaluadas con las variables, cantidades, unidades de medida y reglas consideradas por la entidad al estructurar su presupuesto oficial.</w:t>
      </w:r>
    </w:p>
    <w:p w14:paraId="5B7B8013" w14:textId="025972EA" w:rsidR="00885117" w:rsidRPr="009237E7" w:rsidRDefault="008D6F51" w:rsidP="003823DD">
      <w:pPr>
        <w:pStyle w:val="Textoindependiente"/>
        <w:spacing w:before="120" w:after="120" w:line="276" w:lineRule="auto"/>
        <w:ind w:firstLine="709"/>
        <w:jc w:val="both"/>
      </w:pPr>
      <w:r>
        <w:t>No obstante, e</w:t>
      </w:r>
      <w:r w:rsidR="00885117" w:rsidRPr="009237E7">
        <w:t>l «Formulario 1</w:t>
      </w:r>
      <w:r w:rsidR="00885117" w:rsidRPr="009237E7">
        <w:rPr>
          <w:rFonts w:eastAsia="Calibri"/>
        </w:rPr>
        <w:t>»</w:t>
      </w:r>
      <w:r w:rsidR="008145B8">
        <w:rPr>
          <w:rFonts w:eastAsia="Calibri"/>
        </w:rPr>
        <w:t xml:space="preserve"> en su segunda pestaña en Excel, titulada «Formulario 1 propuesta económica»</w:t>
      </w:r>
      <w:r w:rsidR="00885117" w:rsidRPr="009237E7">
        <w:t xml:space="preserve"> señala en la parte superior derecha: </w:t>
      </w:r>
      <w:r w:rsidR="00885117" w:rsidRPr="009D1CCD">
        <w:t>«</w:t>
      </w:r>
      <w:r w:rsidR="003823DD" w:rsidRPr="00336F97">
        <w:rPr>
          <w:highlight w:val="lightGray"/>
        </w:rPr>
        <w:t>[La entidad puede utilizar este formulario de presentación de propuesta económica de forma detallada, sin perjuicio que la entidad pueda modificarlo o establecer la presentación de la oferta económica con un formulario distinto al indicado.]</w:t>
      </w:r>
      <w:r w:rsidR="00885117" w:rsidRPr="00EC0108">
        <w:t>»</w:t>
      </w:r>
      <w:r w:rsidR="00885117" w:rsidRPr="009237E7">
        <w:t xml:space="preserve">. Esta regla indica que las entidades </w:t>
      </w:r>
      <w:r w:rsidR="003823DD">
        <w:t>pueden diseñar un formulario para que los proponentes presenten su oferta económica, sin que sea obligatorio sujetarse al formulario que los Documentos Tipo disponen para el efecto</w:t>
      </w:r>
      <w:r w:rsidR="00885117" w:rsidRPr="009237E7">
        <w:t>.</w:t>
      </w:r>
    </w:p>
    <w:p w14:paraId="10996BE8" w14:textId="43A87289" w:rsidR="00885117" w:rsidRPr="009237E7" w:rsidRDefault="00885117" w:rsidP="00885117">
      <w:pPr>
        <w:pStyle w:val="Textoindependiente"/>
        <w:spacing w:before="120" w:after="120" w:line="276" w:lineRule="auto"/>
        <w:ind w:firstLine="709"/>
        <w:jc w:val="both"/>
      </w:pPr>
      <w:r>
        <w:t>T</w:t>
      </w:r>
      <w:r w:rsidRPr="009237E7">
        <w:t xml:space="preserve">eniendo en cuenta lo señalado </w:t>
      </w:r>
      <w:r>
        <w:t>s</w:t>
      </w:r>
      <w:r w:rsidRPr="009237E7">
        <w:t>obre el «Formulario 1 - Formulario de Presupuesto Oficial</w:t>
      </w:r>
      <w:r w:rsidRPr="009237E7">
        <w:rPr>
          <w:rFonts w:eastAsia="Calibri"/>
        </w:rPr>
        <w:t xml:space="preserve">», </w:t>
      </w:r>
      <w:r w:rsidR="00BC5B4D">
        <w:rPr>
          <w:rFonts w:eastAsia="Calibri"/>
        </w:rPr>
        <w:t>particularmente l</w:t>
      </w:r>
      <w:r w:rsidRPr="009237E7">
        <w:rPr>
          <w:rFonts w:eastAsia="Calibri"/>
        </w:rPr>
        <w:t>a doble función</w:t>
      </w:r>
      <w:r w:rsidR="007A7ABD">
        <w:rPr>
          <w:rFonts w:eastAsia="Calibri"/>
        </w:rPr>
        <w:t xml:space="preserve"> consistente</w:t>
      </w:r>
      <w:r w:rsidRPr="009237E7">
        <w:rPr>
          <w:rFonts w:eastAsia="Calibri"/>
        </w:rPr>
        <w:t xml:space="preserve"> </w:t>
      </w:r>
      <w:r>
        <w:rPr>
          <w:rFonts w:eastAsia="Calibri"/>
        </w:rPr>
        <w:t xml:space="preserve">i) </w:t>
      </w:r>
      <w:r w:rsidR="007A7ABD">
        <w:rPr>
          <w:rFonts w:eastAsia="Calibri"/>
        </w:rPr>
        <w:t>en</w:t>
      </w:r>
      <w:r w:rsidR="000255EE">
        <w:rPr>
          <w:rFonts w:eastAsia="Calibri"/>
        </w:rPr>
        <w:t xml:space="preserve"> que la entidad pueda </w:t>
      </w:r>
      <w:r w:rsidRPr="009237E7">
        <w:rPr>
          <w:rFonts w:eastAsia="Calibri"/>
        </w:rPr>
        <w:t>establec</w:t>
      </w:r>
      <w:r w:rsidR="000255EE">
        <w:rPr>
          <w:rFonts w:eastAsia="Calibri"/>
        </w:rPr>
        <w:t>er</w:t>
      </w:r>
      <w:r w:rsidRPr="009237E7">
        <w:rPr>
          <w:rFonts w:eastAsia="Calibri"/>
        </w:rPr>
        <w:t xml:space="preserve"> el presupuesto oficial como </w:t>
      </w:r>
      <w:proofErr w:type="spellStart"/>
      <w:r>
        <w:rPr>
          <w:rFonts w:eastAsia="Calibri"/>
        </w:rPr>
        <w:t>ii</w:t>
      </w:r>
      <w:proofErr w:type="spellEnd"/>
      <w:r>
        <w:rPr>
          <w:rFonts w:eastAsia="Calibri"/>
        </w:rPr>
        <w:t xml:space="preserve">) </w:t>
      </w:r>
      <w:r w:rsidRPr="009237E7">
        <w:rPr>
          <w:rFonts w:eastAsia="Calibri"/>
        </w:rPr>
        <w:t>para que el proponente presente su oferta económica;</w:t>
      </w:r>
      <w:r w:rsidR="00CA2A29">
        <w:rPr>
          <w:rFonts w:eastAsia="Calibri"/>
        </w:rPr>
        <w:t xml:space="preserve"> </w:t>
      </w:r>
      <w:r w:rsidRPr="009237E7">
        <w:t xml:space="preserve">se concluye que la entidad puede incluir </w:t>
      </w:r>
      <w:r w:rsidR="00CA2A29">
        <w:t>un nuevo formulario que cumpla la segunda función mencionada, si así lo</w:t>
      </w:r>
      <w:r>
        <w:t xml:space="preserve"> consider</w:t>
      </w:r>
      <w:r w:rsidR="00CA2A29">
        <w:t>a</w:t>
      </w:r>
      <w:r w:rsidR="00554413">
        <w:t xml:space="preserve">. </w:t>
      </w:r>
    </w:p>
    <w:p w14:paraId="1B40CF75" w14:textId="5F269874" w:rsidR="00FB7FAF" w:rsidRPr="009237E7" w:rsidRDefault="00FB7FAF" w:rsidP="00885117">
      <w:pPr>
        <w:pStyle w:val="Textoindependiente"/>
        <w:spacing w:line="276" w:lineRule="auto"/>
        <w:ind w:firstLine="709"/>
        <w:jc w:val="both"/>
      </w:pPr>
      <w:r>
        <w:rPr>
          <w:rFonts w:eastAsia="Calibri"/>
        </w:rPr>
        <w:t xml:space="preserve">Finalmente, se debe tener en cuenta que </w:t>
      </w:r>
      <w:r w:rsidRPr="009237E7">
        <w:t xml:space="preserve">el «Formulario 1 </w:t>
      </w:r>
      <w:r w:rsidR="008145B8">
        <w:t>propuesta económica»</w:t>
      </w:r>
      <w:r>
        <w:rPr>
          <w:rFonts w:eastAsia="Calibri"/>
        </w:rPr>
        <w:t xml:space="preserve"> contiene la siguiente observación: </w:t>
      </w:r>
      <w:r w:rsidRPr="00336F97">
        <w:rPr>
          <w:rFonts w:eastAsia="Calibri"/>
          <w:highlight w:val="lightGray"/>
        </w:rPr>
        <w:t>[Los proponentes emplearán el formulario establecido por la entidad para determinar su propuesta económica conforme al Formulario 1 - Presupuesto Oficial publicado por la Entidad]</w:t>
      </w:r>
      <w:r>
        <w:rPr>
          <w:rFonts w:eastAsia="Calibri"/>
        </w:rPr>
        <w:t xml:space="preserve">. </w:t>
      </w:r>
      <w:r w:rsidR="00B5273D">
        <w:rPr>
          <w:rFonts w:eastAsia="Calibri"/>
        </w:rPr>
        <w:t>De acuerdo con lo señalado hasta ahora</w:t>
      </w:r>
      <w:r>
        <w:rPr>
          <w:rFonts w:eastAsia="Calibri"/>
        </w:rPr>
        <w:t xml:space="preserve">, los proponentes deben sujetarse a lo dispuesto por la entidad como rectora y administradora </w:t>
      </w:r>
      <w:r>
        <w:rPr>
          <w:rFonts w:eastAsia="Calibri"/>
        </w:rPr>
        <w:lastRenderedPageBreak/>
        <w:t xml:space="preserve">de sus procesos de contratación, por lo cual, los Documentos Tipo establecieron una regla que le permite a la entidad, en su autonomía, </w:t>
      </w:r>
      <w:r w:rsidR="008145B8">
        <w:rPr>
          <w:rFonts w:eastAsia="Calibri"/>
        </w:rPr>
        <w:t>utilizar el anterior formulario para la presentación de las ofertas económica</w:t>
      </w:r>
      <w:r w:rsidR="00B5273D">
        <w:rPr>
          <w:rFonts w:eastAsia="Calibri"/>
        </w:rPr>
        <w:t>s</w:t>
      </w:r>
      <w:r w:rsidR="008145B8">
        <w:rPr>
          <w:rFonts w:eastAsia="Calibri"/>
        </w:rPr>
        <w:t xml:space="preserve"> o </w:t>
      </w:r>
      <w:r>
        <w:rPr>
          <w:rFonts w:eastAsia="Calibri"/>
        </w:rPr>
        <w:t>definir un formato diferente al formulario mencionado</w:t>
      </w:r>
      <w:r w:rsidR="008145B8">
        <w:rPr>
          <w:rFonts w:eastAsia="Calibri"/>
        </w:rPr>
        <w:t xml:space="preserve">. </w:t>
      </w:r>
    </w:p>
    <w:p w14:paraId="738F3443" w14:textId="77777777" w:rsidR="00885117" w:rsidRPr="00A738AC" w:rsidRDefault="00885117" w:rsidP="00885117">
      <w:pPr>
        <w:pStyle w:val="Textoindependiente"/>
        <w:spacing w:line="276" w:lineRule="auto"/>
        <w:ind w:firstLine="709"/>
        <w:jc w:val="both"/>
      </w:pPr>
    </w:p>
    <w:p w14:paraId="57D4EB9E" w14:textId="1AF09AC0" w:rsidR="00885117" w:rsidRPr="00A738AC" w:rsidRDefault="00B5273D" w:rsidP="00885117">
      <w:pPr>
        <w:pStyle w:val="Textoindependiente"/>
        <w:spacing w:line="276" w:lineRule="auto"/>
        <w:jc w:val="both"/>
        <w:rPr>
          <w:b/>
        </w:rPr>
      </w:pPr>
      <w:r>
        <w:rPr>
          <w:b/>
        </w:rPr>
        <w:t>2.1.2</w:t>
      </w:r>
      <w:r w:rsidR="00885117" w:rsidRPr="00A738AC">
        <w:rPr>
          <w:b/>
        </w:rPr>
        <w:t xml:space="preserve"> </w:t>
      </w:r>
      <w:r w:rsidR="00885117">
        <w:rPr>
          <w:b/>
        </w:rPr>
        <w:t>Presentación de la</w:t>
      </w:r>
      <w:r>
        <w:rPr>
          <w:b/>
        </w:rPr>
        <w:t>s</w:t>
      </w:r>
      <w:r w:rsidR="00885117">
        <w:rPr>
          <w:b/>
        </w:rPr>
        <w:t xml:space="preserve"> oferta</w:t>
      </w:r>
      <w:r>
        <w:rPr>
          <w:b/>
        </w:rPr>
        <w:t>s</w:t>
      </w:r>
      <w:r w:rsidR="00885117">
        <w:rPr>
          <w:b/>
        </w:rPr>
        <w:t xml:space="preserve"> económica</w:t>
      </w:r>
      <w:r>
        <w:rPr>
          <w:b/>
        </w:rPr>
        <w:t>s</w:t>
      </w:r>
      <w:r w:rsidR="00885117" w:rsidRPr="00A738AC">
        <w:rPr>
          <w:b/>
        </w:rPr>
        <w:t xml:space="preserve"> en</w:t>
      </w:r>
      <w:r w:rsidR="00885117">
        <w:rPr>
          <w:b/>
        </w:rPr>
        <w:t xml:space="preserve"> formatos diferentes a</w:t>
      </w:r>
      <w:r w:rsidR="00885117" w:rsidRPr="00A738AC">
        <w:rPr>
          <w:b/>
        </w:rPr>
        <w:t xml:space="preserve"> los </w:t>
      </w:r>
      <w:r>
        <w:rPr>
          <w:b/>
        </w:rPr>
        <w:t xml:space="preserve">establecidos en los documentos tipo y las </w:t>
      </w:r>
      <w:r w:rsidR="00885117">
        <w:rPr>
          <w:b/>
        </w:rPr>
        <w:t>causales de rechazo</w:t>
      </w:r>
    </w:p>
    <w:p w14:paraId="1E600137" w14:textId="77777777" w:rsidR="00885117" w:rsidRPr="00A738AC" w:rsidRDefault="00885117" w:rsidP="00885117">
      <w:pPr>
        <w:pStyle w:val="Textoindependiente"/>
        <w:spacing w:line="276" w:lineRule="auto"/>
        <w:jc w:val="both"/>
        <w:rPr>
          <w:b/>
        </w:rPr>
      </w:pPr>
    </w:p>
    <w:p w14:paraId="641B5546" w14:textId="4BFC6ACA" w:rsidR="00885117" w:rsidRDefault="00B5273D" w:rsidP="009D1CCD">
      <w:pPr>
        <w:pStyle w:val="Textoindependiente"/>
        <w:spacing w:after="120" w:line="276" w:lineRule="auto"/>
        <w:jc w:val="both"/>
      </w:pPr>
      <w:r>
        <w:t>La Resolución No. 240 del 27 de noviembre de 2020 «Por la cual se actualizan los Documentos Tipo para los procesos de selección de licitación de obra pública de infraestructura de transporte y se deroga la Resolución 0045 de 2020»</w:t>
      </w:r>
      <w:r w:rsidR="00885117" w:rsidRPr="009237E7">
        <w:t xml:space="preserve"> enlista los Documentos Tipo que son obligatorios para las entidades sometidas a la Ley 80 de 1993, que tengan como necesidad la contratación de una obra pública de infraestructura de transporte</w:t>
      </w:r>
      <w:r>
        <w:t xml:space="preserve"> mediante una licitación</w:t>
      </w:r>
      <w:r w:rsidR="00885117" w:rsidRPr="009237E7">
        <w:t xml:space="preserve">. Adicionalmente, el artículo </w:t>
      </w:r>
      <w:r>
        <w:t>3</w:t>
      </w:r>
      <w:r w:rsidR="00885117" w:rsidRPr="009237E7">
        <w:t xml:space="preserve"> </w:t>
      </w:r>
      <w:r>
        <w:t>establece</w:t>
      </w:r>
      <w:r w:rsidRPr="009237E7">
        <w:t xml:space="preserve"> </w:t>
      </w:r>
      <w:r w:rsidR="00885117" w:rsidRPr="009237E7">
        <w:t xml:space="preserve">el principio de inalterabilidad de los Documentos Tipo: «Las entidades estatales contratantes no podrán incluir o modificar dentro de los </w:t>
      </w:r>
      <w:r>
        <w:t>d</w:t>
      </w:r>
      <w:r w:rsidR="00885117" w:rsidRPr="009237E7">
        <w:t xml:space="preserve">ocumentos del </w:t>
      </w:r>
      <w:r>
        <w:t>p</w:t>
      </w:r>
      <w:r w:rsidR="00885117" w:rsidRPr="009237E7">
        <w:t xml:space="preserve">roceso </w:t>
      </w:r>
      <w:r>
        <w:t xml:space="preserve">de selección </w:t>
      </w:r>
      <w:r w:rsidR="00885117" w:rsidRPr="009237E7">
        <w:t xml:space="preserve">las condiciones habilitantes, los factores técnicos y económicos de escogencia y los sistemas de ponderación </w:t>
      </w:r>
      <w:r>
        <w:t>que han sido definidos y señaladas en lo</w:t>
      </w:r>
      <w:r w:rsidR="00885117" w:rsidRPr="009237E7">
        <w:t>s Documentos Tipo».</w:t>
      </w:r>
    </w:p>
    <w:p w14:paraId="3E502AF8" w14:textId="683586C0" w:rsidR="00B5273D" w:rsidRPr="009237E7" w:rsidRDefault="00B5273D" w:rsidP="00336F97">
      <w:pPr>
        <w:pStyle w:val="Textoindependiente"/>
        <w:spacing w:after="120" w:line="276" w:lineRule="auto"/>
        <w:jc w:val="both"/>
      </w:pPr>
      <w:r>
        <w:tab/>
      </w:r>
      <w:r w:rsidR="007A7ABD">
        <w:t>Además, l</w:t>
      </w:r>
      <w:r>
        <w:t xml:space="preserve">a regla anterior </w:t>
      </w:r>
      <w:r w:rsidR="007A7ABD">
        <w:t xml:space="preserve">se </w:t>
      </w:r>
      <w:r>
        <w:t>desarrolla y detalla en el «documento base» de estos documentos tipo al establecerse en su introducción que: «</w:t>
      </w:r>
      <w:r w:rsidRPr="005F2F9A">
        <w:rPr>
          <w:highlight w:val="lightGray"/>
          <w:lang w:val="es-MX"/>
        </w:rPr>
        <w:t>[Los aspectos incluidos en corchetes y resaltados en gris deben ser diligenciados por la entidad]</w:t>
      </w:r>
      <w:r>
        <w:rPr>
          <w:lang w:val="es-MX"/>
        </w:rPr>
        <w:t>», además, que «</w:t>
      </w:r>
      <w:r w:rsidRPr="005F2F9A">
        <w:rPr>
          <w:highlight w:val="lightGray"/>
          <w:lang w:val="es-MX"/>
        </w:rPr>
        <w:t>[La entidad no podrá modificar los Formatos, Anexos, Matrices y Formularios, ni solicitar soportes o requisitos adicionales a los establecidos en el documento tipo]</w:t>
      </w:r>
      <w:r>
        <w:rPr>
          <w:lang w:val="es-MX"/>
        </w:rPr>
        <w:t>». En tal sentido, las entidades estatales deben acatar en su integridad el contenido de los documentos tipo, sin perjuicio de que en algunos lugares se permita que la entidad modifique o varí</w:t>
      </w:r>
      <w:r w:rsidR="007A7ABD">
        <w:rPr>
          <w:lang w:val="es-MX"/>
        </w:rPr>
        <w:t>e</w:t>
      </w:r>
      <w:r>
        <w:rPr>
          <w:lang w:val="es-MX"/>
        </w:rPr>
        <w:t xml:space="preserve"> algunos de sus contenidos, lo que usualmente se establece en los apartes entre corchetes y sombreado en gris.</w:t>
      </w:r>
    </w:p>
    <w:p w14:paraId="07A34469" w14:textId="29161C9A" w:rsidR="00885117" w:rsidRDefault="00885117" w:rsidP="00885117">
      <w:pPr>
        <w:pStyle w:val="Textoindependiente"/>
        <w:spacing w:after="120" w:line="276" w:lineRule="auto"/>
        <w:ind w:firstLine="709"/>
        <w:jc w:val="both"/>
      </w:pPr>
      <w:r w:rsidRPr="009237E7">
        <w:rPr>
          <w:rFonts w:eastAsia="Calibri"/>
        </w:rPr>
        <w:t>Lo anterior implica que las entidades</w:t>
      </w:r>
      <w:r>
        <w:rPr>
          <w:rFonts w:eastAsia="Calibri"/>
        </w:rPr>
        <w:t xml:space="preserve"> y los proponentes</w:t>
      </w:r>
      <w:r w:rsidRPr="009237E7">
        <w:rPr>
          <w:rFonts w:eastAsia="Calibri"/>
        </w:rPr>
        <w:t xml:space="preserve"> deben sujetarse a lo señalado en la norma, es decir, no pueden alterar los Documentos Tipo, lo cual quiere decir que tampoco es posible </w:t>
      </w:r>
      <w:r>
        <w:rPr>
          <w:rFonts w:eastAsia="Calibri"/>
        </w:rPr>
        <w:t>crear o utilizar</w:t>
      </w:r>
      <w:r w:rsidRPr="009237E7">
        <w:rPr>
          <w:rFonts w:eastAsia="Calibri"/>
        </w:rPr>
        <w:t xml:space="preserve">: i) documentos, </w:t>
      </w:r>
      <w:proofErr w:type="spellStart"/>
      <w:r w:rsidRPr="009237E7">
        <w:rPr>
          <w:rFonts w:eastAsia="Calibri"/>
        </w:rPr>
        <w:t>ii</w:t>
      </w:r>
      <w:proofErr w:type="spellEnd"/>
      <w:r w:rsidRPr="009237E7">
        <w:rPr>
          <w:rFonts w:eastAsia="Calibri"/>
        </w:rPr>
        <w:t xml:space="preserve">) anexos, </w:t>
      </w:r>
      <w:proofErr w:type="spellStart"/>
      <w:r w:rsidRPr="009237E7">
        <w:rPr>
          <w:rFonts w:eastAsia="Calibri"/>
        </w:rPr>
        <w:t>iii</w:t>
      </w:r>
      <w:proofErr w:type="spellEnd"/>
      <w:r w:rsidRPr="009237E7">
        <w:rPr>
          <w:rFonts w:eastAsia="Calibri"/>
        </w:rPr>
        <w:t xml:space="preserve">) formatos, </w:t>
      </w:r>
      <w:proofErr w:type="spellStart"/>
      <w:r w:rsidRPr="009237E7">
        <w:rPr>
          <w:rFonts w:eastAsia="Calibri"/>
        </w:rPr>
        <w:t>iv</w:t>
      </w:r>
      <w:proofErr w:type="spellEnd"/>
      <w:r w:rsidRPr="009237E7">
        <w:rPr>
          <w:rFonts w:eastAsia="Calibri"/>
        </w:rPr>
        <w:t xml:space="preserve">) matrices o v) formularios adicionales a los enlistados en el </w:t>
      </w:r>
      <w:r w:rsidRPr="009237E7">
        <w:t xml:space="preserve">artículo </w:t>
      </w:r>
      <w:r w:rsidR="00957E66">
        <w:t>1 de la Resolución No. 240 del 27 de noviembre de 2020</w:t>
      </w:r>
      <w:r w:rsidRPr="009237E7">
        <w:t xml:space="preserve">. Esto es así </w:t>
      </w:r>
      <w:r>
        <w:t>por</w:t>
      </w:r>
      <w:r w:rsidRPr="009237E7">
        <w:t>que la</w:t>
      </w:r>
      <w:r w:rsidR="00B87ABE">
        <w:t xml:space="preserve"> Agencia estableció</w:t>
      </w:r>
      <w:r w:rsidRPr="009237E7">
        <w:t xml:space="preserve"> los documentos necesarios para desarroll</w:t>
      </w:r>
      <w:r>
        <w:t>ar</w:t>
      </w:r>
      <w:r w:rsidRPr="009237E7">
        <w:t xml:space="preserve"> el procedimiento de contratación, sin que sea necesario que las entidades</w:t>
      </w:r>
      <w:r>
        <w:t xml:space="preserve"> o los proponentes</w:t>
      </w:r>
      <w:r w:rsidRPr="009237E7">
        <w:t xml:space="preserve"> </w:t>
      </w:r>
      <w:r>
        <w:t>i</w:t>
      </w:r>
      <w:r w:rsidRPr="009237E7">
        <w:t>n</w:t>
      </w:r>
      <w:r>
        <w:t>cluyan</w:t>
      </w:r>
      <w:r w:rsidRPr="009237E7">
        <w:t xml:space="preserve"> formatos adicionales.</w:t>
      </w:r>
    </w:p>
    <w:p w14:paraId="17BC90B2" w14:textId="50541969" w:rsidR="00356810" w:rsidRPr="009237E7" w:rsidRDefault="007A7ABD" w:rsidP="00885117">
      <w:pPr>
        <w:pStyle w:val="Textoindependiente"/>
        <w:spacing w:after="120" w:line="276" w:lineRule="auto"/>
        <w:ind w:firstLine="709"/>
        <w:jc w:val="both"/>
      </w:pPr>
      <w:r>
        <w:t>Así,</w:t>
      </w:r>
      <w:r w:rsidR="00356810">
        <w:t xml:space="preserve"> el principio de inalterabilidad de los Documentos Tipo tiene dos excepciones, en primer lugar, que los mismos Documentos Tipo permitan su modificación o que la entidad pueda crear otro documento, o cuando se incluyen notas o espacios demarcados en gris y corchetes</w:t>
      </w:r>
      <w:r w:rsidR="00AB2E8A">
        <w:t xml:space="preserve"> que se pueden modificar.</w:t>
      </w:r>
    </w:p>
    <w:p w14:paraId="1D842BCA" w14:textId="23C62D05" w:rsidR="00885117" w:rsidRPr="009237E7" w:rsidRDefault="00B87ABE" w:rsidP="00885117">
      <w:pPr>
        <w:tabs>
          <w:tab w:val="left" w:pos="709"/>
        </w:tabs>
        <w:spacing w:line="276" w:lineRule="auto"/>
        <w:ind w:firstLine="709"/>
        <w:jc w:val="both"/>
        <w:rPr>
          <w:rFonts w:ascii="Arial" w:eastAsia="Calibri" w:hAnsi="Arial" w:cs="Arial"/>
          <w:sz w:val="22"/>
        </w:rPr>
      </w:pPr>
      <w:r>
        <w:rPr>
          <w:rFonts w:ascii="Arial" w:eastAsia="Calibri" w:hAnsi="Arial" w:cs="Arial"/>
          <w:sz w:val="22"/>
        </w:rPr>
        <w:lastRenderedPageBreak/>
        <w:t>De otro lado, l</w:t>
      </w:r>
      <w:r w:rsidR="00885117" w:rsidRPr="009237E7">
        <w:rPr>
          <w:rFonts w:ascii="Arial" w:eastAsia="Calibri" w:hAnsi="Arial" w:cs="Arial"/>
          <w:sz w:val="22"/>
        </w:rPr>
        <w:t xml:space="preserve">as causales de rechazo que aplican para los procedimientos de licitación de obra pública de infraestructura de transporte son las establecidas en la Ley y las definidas en el numeral 1.15 del </w:t>
      </w:r>
      <w:r w:rsidR="00885117" w:rsidRPr="009237E7">
        <w:rPr>
          <w:rFonts w:ascii="Arial" w:hAnsi="Arial" w:cs="Arial"/>
          <w:sz w:val="19"/>
          <w:szCs w:val="19"/>
        </w:rPr>
        <w:t>«</w:t>
      </w:r>
      <w:r w:rsidR="00885117" w:rsidRPr="009237E7">
        <w:rPr>
          <w:rFonts w:ascii="Arial" w:eastAsia="Calibri" w:hAnsi="Arial" w:cs="Arial"/>
          <w:sz w:val="22"/>
        </w:rPr>
        <w:t>Documento Base</w:t>
      </w:r>
      <w:r w:rsidR="00885117" w:rsidRPr="009237E7">
        <w:rPr>
          <w:rFonts w:ascii="Arial" w:eastAsia="Calibri" w:hAnsi="Arial" w:cs="Arial"/>
          <w:sz w:val="19"/>
          <w:szCs w:val="19"/>
        </w:rPr>
        <w:t>»</w:t>
      </w:r>
      <w:r w:rsidR="00885117" w:rsidRPr="009237E7">
        <w:rPr>
          <w:rFonts w:ascii="Arial" w:eastAsia="Calibri" w:hAnsi="Arial" w:cs="Arial"/>
          <w:sz w:val="22"/>
        </w:rPr>
        <w:t xml:space="preserve"> de los Documentos Tipo, sin que las entidades puedan establecer</w:t>
      </w:r>
      <w:r w:rsidR="007A7ABD">
        <w:rPr>
          <w:rFonts w:ascii="Arial" w:eastAsia="Calibri" w:hAnsi="Arial" w:cs="Arial"/>
          <w:sz w:val="22"/>
        </w:rPr>
        <w:t xml:space="preserve"> causales adicionales</w:t>
      </w:r>
      <w:r w:rsidR="00885117" w:rsidRPr="009237E7">
        <w:rPr>
          <w:rFonts w:ascii="Arial" w:eastAsia="Calibri" w:hAnsi="Arial" w:cs="Arial"/>
          <w:sz w:val="22"/>
        </w:rPr>
        <w:t xml:space="preserve">. </w:t>
      </w:r>
      <w:r w:rsidR="007A7ABD">
        <w:rPr>
          <w:rFonts w:ascii="Arial" w:eastAsia="Calibri" w:hAnsi="Arial" w:cs="Arial"/>
          <w:sz w:val="22"/>
        </w:rPr>
        <w:t xml:space="preserve">De conformidad </w:t>
      </w:r>
      <w:r w:rsidR="00885117" w:rsidRPr="009237E7">
        <w:rPr>
          <w:rFonts w:ascii="Arial" w:eastAsia="Calibri" w:hAnsi="Arial" w:cs="Arial"/>
          <w:sz w:val="22"/>
        </w:rPr>
        <w:t>con la jurisprudencia del Consejo de Estado, las causales de rechazo son las establecidas en la Ley y las fijadas por la entidad estatal en los pliegos de condiciones</w:t>
      </w:r>
      <w:r>
        <w:rPr>
          <w:rFonts w:ascii="Arial" w:eastAsia="Calibri" w:hAnsi="Arial" w:cs="Arial"/>
          <w:sz w:val="22"/>
        </w:rPr>
        <w:t>;</w:t>
      </w:r>
      <w:r w:rsidR="00885117" w:rsidRPr="009237E7">
        <w:rPr>
          <w:rFonts w:ascii="Arial" w:eastAsia="Calibri" w:hAnsi="Arial" w:cs="Arial"/>
          <w:sz w:val="22"/>
        </w:rPr>
        <w:t xml:space="preserve"> sin embargo, en ejercicio de dicha facultad no le es dable a las entidades fijar causales de rechazo que soslayen o afecten la selección objetiva en la contratación. Sobre el particular, el Consejo de Estado señala:</w:t>
      </w:r>
    </w:p>
    <w:p w14:paraId="7290AE56" w14:textId="77777777" w:rsidR="00885117" w:rsidRPr="009237E7" w:rsidRDefault="00885117" w:rsidP="00885117">
      <w:pPr>
        <w:tabs>
          <w:tab w:val="left" w:pos="709"/>
        </w:tabs>
        <w:spacing w:line="276" w:lineRule="auto"/>
        <w:ind w:firstLine="709"/>
        <w:jc w:val="both"/>
        <w:rPr>
          <w:rFonts w:ascii="Arial" w:eastAsia="Calibri" w:hAnsi="Arial" w:cs="Arial"/>
          <w:sz w:val="22"/>
        </w:rPr>
      </w:pPr>
    </w:p>
    <w:p w14:paraId="337CFDCC" w14:textId="77777777" w:rsidR="00885117" w:rsidRPr="009237E7" w:rsidRDefault="00885117" w:rsidP="00885117">
      <w:pPr>
        <w:tabs>
          <w:tab w:val="left" w:pos="709"/>
        </w:tabs>
        <w:ind w:left="709" w:right="709"/>
        <w:jc w:val="both"/>
        <w:rPr>
          <w:rFonts w:ascii="Arial" w:eastAsia="Calibri" w:hAnsi="Arial" w:cs="Arial"/>
          <w:sz w:val="22"/>
        </w:rPr>
      </w:pPr>
      <w:r w:rsidRPr="009237E7">
        <w:rPr>
          <w:rFonts w:ascii="Arial" w:eastAsia="Calibri" w:hAnsi="Arial" w:cs="Arial"/>
          <w:sz w:val="21"/>
          <w:szCs w:val="21"/>
        </w:rPr>
        <w:t xml:space="preserve">Quiere con esto destacar la Sala que las causales de rechazo de las propuestas pueden ser legales y por lo mismo generan el efecto del descarte o exclusión de la oferta </w:t>
      </w:r>
      <w:proofErr w:type="spellStart"/>
      <w:r w:rsidRPr="009237E7">
        <w:rPr>
          <w:rFonts w:ascii="Arial" w:eastAsia="Calibri" w:hAnsi="Arial" w:cs="Arial"/>
          <w:sz w:val="21"/>
          <w:szCs w:val="21"/>
        </w:rPr>
        <w:t>ope</w:t>
      </w:r>
      <w:proofErr w:type="spellEnd"/>
      <w:r w:rsidRPr="009237E7">
        <w:rPr>
          <w:rFonts w:ascii="Arial" w:eastAsia="Calibri" w:hAnsi="Arial" w:cs="Arial"/>
          <w:sz w:val="21"/>
          <w:szCs w:val="21"/>
        </w:rPr>
        <w:t xml:space="preserve"> </w:t>
      </w:r>
      <w:proofErr w:type="spellStart"/>
      <w:r w:rsidRPr="009237E7">
        <w:rPr>
          <w:rFonts w:ascii="Arial" w:eastAsia="Calibri" w:hAnsi="Arial" w:cs="Arial"/>
          <w:sz w:val="21"/>
          <w:szCs w:val="21"/>
        </w:rPr>
        <w:t>legis</w:t>
      </w:r>
      <w:proofErr w:type="spellEnd"/>
      <w:r w:rsidRPr="009237E7">
        <w:rPr>
          <w:rFonts w:ascii="Arial" w:eastAsia="Calibri" w:hAnsi="Arial" w:cs="Arial"/>
          <w:sz w:val="21"/>
          <w:szCs w:val="21"/>
        </w:rPr>
        <w:t>, sin necesidad de que se haga referencia a las mismas en el pliego de condiciones; o también pueden las causales de rechazo de las propuestas ser establecidas expresamente por la entidad en el respectivo pliego de condiciones. Lo cierto es que, sea que las causales de rechazo de la oferta emanen directamente de la ley o del pliego de condiciones, en uno y en otro caso se refieren a defectos, omisiones o circunstancias impeditivas que permiten deducir que la misma no resulta favorable para los intereses de la entidad y los fines de la contratación y que de soslayarse se comprometería el cumplimiento de los principios de</w:t>
      </w:r>
      <w:r w:rsidRPr="009237E7">
        <w:rPr>
          <w:rFonts w:ascii="Arial" w:eastAsia="Calibri" w:hAnsi="Arial" w:cs="Arial"/>
          <w:sz w:val="22"/>
        </w:rPr>
        <w:t xml:space="preserve"> </w:t>
      </w:r>
      <w:r w:rsidRPr="009237E7">
        <w:rPr>
          <w:rFonts w:ascii="Arial" w:eastAsia="Calibri" w:hAnsi="Arial" w:cs="Arial"/>
          <w:sz w:val="21"/>
          <w:szCs w:val="21"/>
        </w:rPr>
        <w:t>transparencia, economía y responsabilidad, así como el deber de selección objetiva en la contratación</w:t>
      </w:r>
      <w:r w:rsidRPr="009237E7">
        <w:rPr>
          <w:rStyle w:val="Refdenotaalpie"/>
          <w:rFonts w:ascii="Arial" w:eastAsia="Calibri" w:hAnsi="Arial" w:cs="Arial"/>
          <w:sz w:val="21"/>
          <w:szCs w:val="21"/>
        </w:rPr>
        <w:footnoteReference w:id="2"/>
      </w:r>
      <w:r>
        <w:rPr>
          <w:rFonts w:ascii="Arial" w:eastAsia="Calibri" w:hAnsi="Arial" w:cs="Arial"/>
          <w:sz w:val="21"/>
          <w:szCs w:val="21"/>
        </w:rPr>
        <w:t>.</w:t>
      </w:r>
    </w:p>
    <w:p w14:paraId="5D214BF5" w14:textId="77777777" w:rsidR="00885117" w:rsidRPr="009237E7" w:rsidRDefault="00885117" w:rsidP="00885117">
      <w:pPr>
        <w:tabs>
          <w:tab w:val="left" w:pos="709"/>
        </w:tabs>
        <w:spacing w:line="276" w:lineRule="auto"/>
        <w:ind w:firstLine="709"/>
        <w:jc w:val="both"/>
        <w:rPr>
          <w:rFonts w:ascii="Arial" w:eastAsia="Calibri" w:hAnsi="Arial" w:cs="Arial"/>
          <w:sz w:val="22"/>
        </w:rPr>
      </w:pPr>
    </w:p>
    <w:p w14:paraId="7EB5A876" w14:textId="355D05DF" w:rsidR="002A06BE" w:rsidRDefault="00885117" w:rsidP="00885117">
      <w:pPr>
        <w:tabs>
          <w:tab w:val="left" w:pos="709"/>
        </w:tabs>
        <w:spacing w:after="120" w:line="276" w:lineRule="auto"/>
        <w:ind w:firstLine="709"/>
        <w:jc w:val="both"/>
        <w:rPr>
          <w:rFonts w:ascii="Arial" w:eastAsia="Calibri" w:hAnsi="Arial" w:cs="Arial"/>
          <w:sz w:val="22"/>
        </w:rPr>
      </w:pPr>
      <w:r w:rsidRPr="009237E7">
        <w:rPr>
          <w:rFonts w:ascii="Arial" w:eastAsia="Calibri" w:hAnsi="Arial" w:cs="Arial"/>
          <w:sz w:val="22"/>
        </w:rPr>
        <w:t xml:space="preserve">En consecuencia, las causales de rechazo aplicables a los procedimientos de contratación que se adelanten </w:t>
      </w:r>
      <w:r w:rsidR="00B87ABE">
        <w:rPr>
          <w:rFonts w:ascii="Arial" w:eastAsia="Calibri" w:hAnsi="Arial" w:cs="Arial"/>
          <w:sz w:val="22"/>
        </w:rPr>
        <w:t>utilizando los</w:t>
      </w:r>
      <w:r w:rsidRPr="009237E7">
        <w:rPr>
          <w:rFonts w:ascii="Arial" w:eastAsia="Calibri" w:hAnsi="Arial" w:cs="Arial"/>
          <w:sz w:val="22"/>
        </w:rPr>
        <w:t xml:space="preserve"> Documentos Tipo únicamente </w:t>
      </w:r>
      <w:r>
        <w:rPr>
          <w:rFonts w:ascii="Arial" w:eastAsia="Calibri" w:hAnsi="Arial" w:cs="Arial"/>
          <w:sz w:val="22"/>
        </w:rPr>
        <w:t xml:space="preserve">son </w:t>
      </w:r>
      <w:r w:rsidRPr="009237E7">
        <w:rPr>
          <w:rFonts w:ascii="Arial" w:eastAsia="Calibri" w:hAnsi="Arial" w:cs="Arial"/>
          <w:sz w:val="22"/>
        </w:rPr>
        <w:t xml:space="preserve">las establecidas directamente en la Ley y las contenidas en el numeral 1.15 del </w:t>
      </w:r>
      <w:r w:rsidRPr="009237E7">
        <w:rPr>
          <w:rFonts w:ascii="Arial" w:hAnsi="Arial" w:cs="Arial"/>
          <w:sz w:val="19"/>
          <w:szCs w:val="19"/>
        </w:rPr>
        <w:t>«</w:t>
      </w:r>
      <w:r w:rsidRPr="009237E7">
        <w:rPr>
          <w:rFonts w:ascii="Arial" w:eastAsia="Calibri" w:hAnsi="Arial" w:cs="Arial"/>
          <w:sz w:val="22"/>
        </w:rPr>
        <w:t>Documento Base</w:t>
      </w:r>
      <w:r w:rsidRPr="009237E7">
        <w:rPr>
          <w:rFonts w:ascii="Arial" w:eastAsia="Calibri" w:hAnsi="Arial" w:cs="Arial"/>
          <w:sz w:val="19"/>
          <w:szCs w:val="19"/>
        </w:rPr>
        <w:t>»</w:t>
      </w:r>
      <w:r>
        <w:rPr>
          <w:rFonts w:ascii="Arial" w:eastAsia="Calibri" w:hAnsi="Arial" w:cs="Arial"/>
          <w:sz w:val="22"/>
        </w:rPr>
        <w:t>.</w:t>
      </w:r>
      <w:r w:rsidRPr="009237E7">
        <w:rPr>
          <w:rFonts w:ascii="Arial" w:eastAsia="Calibri" w:hAnsi="Arial" w:cs="Arial"/>
          <w:sz w:val="22"/>
        </w:rPr>
        <w:t xml:space="preserve"> </w:t>
      </w:r>
      <w:r w:rsidR="00B87ABE">
        <w:rPr>
          <w:rFonts w:ascii="Arial" w:eastAsia="Calibri" w:hAnsi="Arial" w:cs="Arial"/>
          <w:sz w:val="22"/>
        </w:rPr>
        <w:t>De esta manera,</w:t>
      </w:r>
      <w:r w:rsidR="00B87ABE" w:rsidRPr="009237E7">
        <w:rPr>
          <w:rFonts w:ascii="Arial" w:eastAsia="Calibri" w:hAnsi="Arial" w:cs="Arial"/>
          <w:sz w:val="22"/>
        </w:rPr>
        <w:t xml:space="preserve"> </w:t>
      </w:r>
      <w:r w:rsidRPr="009237E7">
        <w:rPr>
          <w:rFonts w:ascii="Arial" w:eastAsia="Calibri" w:hAnsi="Arial" w:cs="Arial"/>
          <w:sz w:val="22"/>
        </w:rPr>
        <w:t>la entidad estatal debe verificar cuál de los supuestos previstos se configura en la evaluación de las ofertas.</w:t>
      </w:r>
      <w:r w:rsidRPr="00A27876">
        <w:rPr>
          <w:rFonts w:ascii="Arial" w:eastAsia="Calibri" w:hAnsi="Arial" w:cs="Arial"/>
          <w:sz w:val="22"/>
        </w:rPr>
        <w:t xml:space="preserve"> </w:t>
      </w:r>
    </w:p>
    <w:p w14:paraId="616BCF77" w14:textId="74446BCB" w:rsidR="00885117" w:rsidRPr="00D95325" w:rsidRDefault="00885117" w:rsidP="00885117">
      <w:pPr>
        <w:tabs>
          <w:tab w:val="left" w:pos="709"/>
        </w:tabs>
        <w:spacing w:after="120" w:line="276" w:lineRule="auto"/>
        <w:ind w:firstLine="709"/>
        <w:jc w:val="both"/>
        <w:rPr>
          <w:rFonts w:ascii="Arial" w:eastAsia="Calibri" w:hAnsi="Arial" w:cs="Arial"/>
          <w:sz w:val="22"/>
        </w:rPr>
      </w:pPr>
      <w:r w:rsidRPr="00D95325">
        <w:rPr>
          <w:rFonts w:ascii="Arial" w:eastAsia="Calibri" w:hAnsi="Arial" w:cs="Arial"/>
          <w:sz w:val="22"/>
        </w:rPr>
        <w:t>En este sentido, la Administración no tiene la facultad de descalificar una oferta de forma discrecional, toda vez que s</w:t>
      </w:r>
      <w:r>
        <w:rPr>
          <w:rFonts w:ascii="Arial" w:eastAsia="Calibri" w:hAnsi="Arial" w:cs="Arial"/>
          <w:sz w:val="22"/>
        </w:rPr>
        <w:t>o</w:t>
      </w:r>
      <w:r w:rsidRPr="00D95325">
        <w:rPr>
          <w:rFonts w:ascii="Arial" w:eastAsia="Calibri" w:hAnsi="Arial" w:cs="Arial"/>
          <w:sz w:val="22"/>
        </w:rPr>
        <w:t>lo es posible por las causa</w:t>
      </w:r>
      <w:r w:rsidR="007A7ABD">
        <w:rPr>
          <w:rFonts w:ascii="Arial" w:eastAsia="Calibri" w:hAnsi="Arial" w:cs="Arial"/>
          <w:sz w:val="22"/>
        </w:rPr>
        <w:t>le</w:t>
      </w:r>
      <w:r w:rsidRPr="00D95325">
        <w:rPr>
          <w:rFonts w:ascii="Arial" w:eastAsia="Calibri" w:hAnsi="Arial" w:cs="Arial"/>
          <w:sz w:val="22"/>
        </w:rPr>
        <w:t xml:space="preserve">s previamente definidas en la ley o en el pliego de condiciones. Sin embargo, las causales definidas por la entidad deben cumplir los requisitos de razonabilidad y proporcionalidad, so pena de que no sean válidas dentro del procedimiento de contratación. </w:t>
      </w:r>
    </w:p>
    <w:p w14:paraId="6D465A65" w14:textId="3FCF35F9" w:rsidR="00C52776" w:rsidRPr="00654FD4" w:rsidRDefault="00C52776" w:rsidP="00336F97">
      <w:pPr>
        <w:pStyle w:val="Textoindependiente"/>
        <w:spacing w:after="120" w:line="276" w:lineRule="auto"/>
        <w:ind w:firstLine="708"/>
        <w:jc w:val="both"/>
        <w:rPr>
          <w:rFonts w:eastAsia="Calibri"/>
        </w:rPr>
      </w:pPr>
      <w:bookmarkStart w:id="2" w:name="_Hlk35001393"/>
      <w:r w:rsidRPr="00654FD4">
        <w:rPr>
          <w:bCs/>
        </w:rPr>
        <w:t>En lo que respecta a las causales de rechazo establecidas en el numeral 1.15 del Documento Base</w:t>
      </w:r>
      <w:r>
        <w:rPr>
          <w:bCs/>
        </w:rPr>
        <w:t xml:space="preserve"> de los «Documentos Tipo – Versión 3»</w:t>
      </w:r>
      <w:r w:rsidRPr="00654FD4">
        <w:rPr>
          <w:bCs/>
        </w:rPr>
        <w:t xml:space="preserve">, </w:t>
      </w:r>
      <w:r>
        <w:rPr>
          <w:bCs/>
        </w:rPr>
        <w:t xml:space="preserve">es necesario aclarar </w:t>
      </w:r>
      <w:r w:rsidRPr="00654FD4">
        <w:rPr>
          <w:bCs/>
        </w:rPr>
        <w:t>que en ninguna de ellas se contempla algún supuesto de hecho consistente en la presentación de la oferta en un documento distinto del Formulario 1</w:t>
      </w:r>
      <w:r w:rsidR="00BB13D0">
        <w:rPr>
          <w:bCs/>
        </w:rPr>
        <w:t xml:space="preserve"> o el formulario que establezca la entidad</w:t>
      </w:r>
      <w:r>
        <w:rPr>
          <w:rStyle w:val="Refdenotaalpie"/>
          <w:bCs/>
        </w:rPr>
        <w:footnoteReference w:id="3"/>
      </w:r>
      <w:r w:rsidRPr="00654FD4">
        <w:rPr>
          <w:bCs/>
        </w:rPr>
        <w:t xml:space="preserve">. </w:t>
      </w:r>
      <w:r>
        <w:rPr>
          <w:bCs/>
        </w:rPr>
        <w:t>Por tanto,</w:t>
      </w:r>
      <w:r w:rsidRPr="00654FD4">
        <w:rPr>
          <w:rFonts w:eastAsia="Calibri"/>
        </w:rPr>
        <w:t xml:space="preserve"> ante la imposibilidad de incluir nuevas causales</w:t>
      </w:r>
      <w:r w:rsidR="00BB13D0">
        <w:rPr>
          <w:rFonts w:eastAsia="Calibri"/>
        </w:rPr>
        <w:t>,</w:t>
      </w:r>
      <w:r w:rsidRPr="00654FD4">
        <w:rPr>
          <w:rFonts w:eastAsia="Calibri"/>
        </w:rPr>
        <w:t xml:space="preserve"> </w:t>
      </w:r>
      <w:r>
        <w:rPr>
          <w:rFonts w:eastAsia="Calibri"/>
        </w:rPr>
        <w:t xml:space="preserve">con fundamento en </w:t>
      </w:r>
      <w:r w:rsidRPr="00654FD4">
        <w:rPr>
          <w:rFonts w:eastAsia="Calibri"/>
        </w:rPr>
        <w:t xml:space="preserve">el </w:t>
      </w:r>
      <w:r w:rsidRPr="00654FD4">
        <w:rPr>
          <w:rFonts w:eastAsia="Calibri"/>
        </w:rPr>
        <w:lastRenderedPageBreak/>
        <w:t xml:space="preserve">principio de inalterabilidad, las entidades estatales deben evaluar en la presentación de la oferta económica la configuración de causales de rechazo </w:t>
      </w:r>
      <w:r>
        <w:rPr>
          <w:rFonts w:eastAsia="Calibri"/>
        </w:rPr>
        <w:t>del pliego</w:t>
      </w:r>
      <w:r w:rsidRPr="00654FD4">
        <w:rPr>
          <w:rFonts w:eastAsia="Calibri"/>
        </w:rPr>
        <w:t xml:space="preserve">, determinando en </w:t>
      </w:r>
      <w:r>
        <w:rPr>
          <w:rFonts w:eastAsia="Calibri"/>
        </w:rPr>
        <w:t>cada caso concreto</w:t>
      </w:r>
      <w:r w:rsidRPr="00654FD4">
        <w:rPr>
          <w:rFonts w:eastAsia="Calibri"/>
        </w:rPr>
        <w:t xml:space="preserve"> si la situación evidenciada configura en estricto sentido alguno de los supuestos de hecho establecidos en </w:t>
      </w:r>
      <w:r>
        <w:rPr>
          <w:rFonts w:eastAsia="Calibri"/>
        </w:rPr>
        <w:t>las mismas</w:t>
      </w:r>
      <w:r w:rsidRPr="00654FD4">
        <w:rPr>
          <w:rFonts w:eastAsia="Calibri"/>
        </w:rPr>
        <w:t>, sin valerse de interpretaciones extensivas o finalistas</w:t>
      </w:r>
      <w:r w:rsidRPr="00654FD4">
        <w:rPr>
          <w:rStyle w:val="Refdenotaalpie"/>
          <w:rFonts w:eastAsia="Calibri"/>
        </w:rPr>
        <w:footnoteReference w:id="4"/>
      </w:r>
      <w:r w:rsidRPr="00654FD4">
        <w:rPr>
          <w:rFonts w:eastAsia="Calibri"/>
        </w:rPr>
        <w:t xml:space="preserve">. </w:t>
      </w:r>
    </w:p>
    <w:p w14:paraId="3F06C2FC" w14:textId="1DF5832C" w:rsidR="00C52776" w:rsidRPr="00654FD4" w:rsidRDefault="00C52776" w:rsidP="00C52776">
      <w:pPr>
        <w:pStyle w:val="Textoindependiente"/>
        <w:spacing w:after="120" w:line="276" w:lineRule="auto"/>
        <w:jc w:val="both"/>
        <w:rPr>
          <w:rFonts w:eastAsia="Calibri"/>
        </w:rPr>
      </w:pPr>
      <w:r w:rsidRPr="00654FD4">
        <w:rPr>
          <w:rFonts w:eastAsia="Calibri"/>
        </w:rPr>
        <w:tab/>
        <w:t>En todo caso, la posibilidad de evaluar una oferta presentada en un documento distinto de la segunda hoja del Formulario 1</w:t>
      </w:r>
      <w:r w:rsidR="00BB13D0">
        <w:rPr>
          <w:rFonts w:eastAsia="Calibri"/>
        </w:rPr>
        <w:t>, esto es, el «formulario 1 propuesta económica» o el formulario establecido por la entidad para la presentación de las ofertas económicas</w:t>
      </w:r>
      <w:r w:rsidRPr="00654FD4">
        <w:rPr>
          <w:rFonts w:eastAsia="Calibri"/>
        </w:rPr>
        <w:t xml:space="preserve">, deberá tener en cuenta la configuración de causales de rechazo que eventualmente impedirían evaluar la oferta. </w:t>
      </w:r>
      <w:r>
        <w:rPr>
          <w:rFonts w:eastAsia="Calibri"/>
        </w:rPr>
        <w:t>En efecto</w:t>
      </w:r>
      <w:r w:rsidR="00BB13D0">
        <w:rPr>
          <w:rFonts w:eastAsia="Calibri"/>
        </w:rPr>
        <w:t xml:space="preserve">,  </w:t>
      </w:r>
      <w:r w:rsidRPr="00654FD4">
        <w:rPr>
          <w:rFonts w:eastAsia="Calibri"/>
        </w:rPr>
        <w:t>puede suceder</w:t>
      </w:r>
      <w:r w:rsidR="00BB13D0">
        <w:rPr>
          <w:rFonts w:eastAsia="Calibri"/>
        </w:rPr>
        <w:t>, por ejemplo,</w:t>
      </w:r>
      <w:r w:rsidRPr="00654FD4">
        <w:rPr>
          <w:rFonts w:eastAsia="Calibri"/>
        </w:rPr>
        <w:t xml:space="preserve"> que el </w:t>
      </w:r>
      <w:r w:rsidRPr="00654FD4">
        <w:rPr>
          <w:rFonts w:eastAsia="Calibri"/>
        </w:rPr>
        <w:lastRenderedPageBreak/>
        <w:t>oferente, además de errar en el uso del formulario, presente una oferta cuyo total exceda el valor del Presupuesto Oficial</w:t>
      </w:r>
      <w:r w:rsidR="00BB13D0">
        <w:rPr>
          <w:rFonts w:eastAsia="Calibri"/>
        </w:rPr>
        <w:t>,</w:t>
      </w:r>
      <w:r w:rsidRPr="00654FD4">
        <w:rPr>
          <w:rFonts w:eastAsia="Calibri"/>
        </w:rPr>
        <w:t xml:space="preserve"> configurándose la causal de rechazo del literal M</w:t>
      </w:r>
      <w:r w:rsidR="00BB13D0">
        <w:rPr>
          <w:rFonts w:eastAsia="Calibri"/>
        </w:rPr>
        <w:t>; ta</w:t>
      </w:r>
      <w:r w:rsidRPr="00654FD4">
        <w:rPr>
          <w:rFonts w:eastAsia="Calibri"/>
        </w:rPr>
        <w:t>mbién puede ocurrir que no se ofrezca el valor de un precio unitario</w:t>
      </w:r>
      <w:r>
        <w:rPr>
          <w:rFonts w:eastAsia="Calibri"/>
        </w:rPr>
        <w:t xml:space="preserve"> </w:t>
      </w:r>
      <w:r w:rsidRPr="00654FD4">
        <w:rPr>
          <w:rFonts w:eastAsia="Calibri"/>
        </w:rPr>
        <w:t>–causal de rechazo del literal P</w:t>
      </w:r>
      <w:r w:rsidRPr="00654FD4">
        <w:rPr>
          <w:rFonts w:eastAsia="Calibri"/>
        </w:rPr>
        <w:softHyphen/>
        <w:t>– o que se oferte por encima del tope establecido la entidad –literal Q–</w:t>
      </w:r>
      <w:r w:rsidR="00BB13D0">
        <w:rPr>
          <w:rFonts w:eastAsia="Calibri"/>
        </w:rPr>
        <w:t>; o que «</w:t>
      </w:r>
      <w:r w:rsidR="00BB13D0" w:rsidRPr="00C37B03">
        <w:rPr>
          <w:lang w:val="es-MX"/>
        </w:rPr>
        <w:t>el proponente adicione, suprima, cambie, o modifique los ítems, la descripción, las especificaciones, el detalle, las unidades o cantidades</w:t>
      </w:r>
      <w:r w:rsidR="00BB13D0">
        <w:rPr>
          <w:lang w:val="es-MX"/>
        </w:rPr>
        <w:t xml:space="preserve"> […]»,</w:t>
      </w:r>
      <w:r w:rsidRPr="00654FD4">
        <w:rPr>
          <w:rFonts w:eastAsia="Calibri"/>
        </w:rPr>
        <w:t xml:space="preserve"> eventos que ameritarían el rechazo de la oferta</w:t>
      </w:r>
      <w:r w:rsidR="00BB13D0">
        <w:rPr>
          <w:rFonts w:eastAsia="Calibri"/>
        </w:rPr>
        <w:t>.</w:t>
      </w:r>
    </w:p>
    <w:p w14:paraId="017325C7" w14:textId="1302668D" w:rsidR="00C52776" w:rsidRPr="00654FD4" w:rsidRDefault="00C52776" w:rsidP="00C52776">
      <w:pPr>
        <w:pStyle w:val="Textoindependiente"/>
        <w:spacing w:after="120" w:line="276" w:lineRule="auto"/>
        <w:jc w:val="both"/>
        <w:rPr>
          <w:rFonts w:eastAsia="Calibri"/>
        </w:rPr>
      </w:pPr>
      <w:r w:rsidRPr="00654FD4">
        <w:rPr>
          <w:rFonts w:eastAsia="Calibri"/>
          <w:b/>
          <w:bCs/>
        </w:rPr>
        <w:tab/>
      </w:r>
      <w:r w:rsidR="00BB13D0">
        <w:rPr>
          <w:rFonts w:eastAsia="Calibri"/>
        </w:rPr>
        <w:t>Otra de las</w:t>
      </w:r>
      <w:r w:rsidRPr="00654FD4">
        <w:rPr>
          <w:rFonts w:eastAsia="Calibri"/>
        </w:rPr>
        <w:t xml:space="preserve"> situaciones que imposibilitan evaluar la oferta económica presentada, consiste en la inclusión de información de la oferta económica en el sobre que no corresponde, según lo establecido en los parágrafos 2 y 3 del artículo 30 de la Ley 80 de 1993, adicionados por la Ley 1882 de 2018</w:t>
      </w:r>
      <w:r w:rsidRPr="00654FD4">
        <w:rPr>
          <w:rStyle w:val="Refdenotaalpie"/>
          <w:rFonts w:eastAsia="Calibri"/>
        </w:rPr>
        <w:footnoteReference w:id="5"/>
      </w:r>
      <w:r w:rsidRPr="00654FD4">
        <w:rPr>
          <w:rFonts w:eastAsia="Calibri"/>
        </w:rPr>
        <w:t xml:space="preserve">, y regulados en los numerales 2.3, 2.3.1 y 2.3.2 del Documento Base. Esto </w:t>
      </w:r>
      <w:r>
        <w:rPr>
          <w:rFonts w:eastAsia="Calibri"/>
        </w:rPr>
        <w:t>dado</w:t>
      </w:r>
      <w:r w:rsidRPr="00654FD4">
        <w:rPr>
          <w:rFonts w:eastAsia="Calibri"/>
        </w:rPr>
        <w:t xml:space="preserve"> que </w:t>
      </w:r>
      <w:r>
        <w:rPr>
          <w:rFonts w:eastAsia="Calibri"/>
        </w:rPr>
        <w:t>estas</w:t>
      </w:r>
      <w:r w:rsidRPr="00654FD4">
        <w:rPr>
          <w:rFonts w:eastAsia="Calibri"/>
        </w:rPr>
        <w:t xml:space="preserve"> normas exigen que los documentos relacionados con la acreditación de los requisitos habilitantes </w:t>
      </w:r>
      <w:r>
        <w:rPr>
          <w:rFonts w:eastAsia="Calibri"/>
        </w:rPr>
        <w:t>se presenten</w:t>
      </w:r>
      <w:r w:rsidRPr="00654FD4">
        <w:rPr>
          <w:rFonts w:eastAsia="Calibri"/>
        </w:rPr>
        <w:t xml:space="preserve"> en un sobre</w:t>
      </w:r>
      <w:r>
        <w:rPr>
          <w:rFonts w:eastAsia="Calibri"/>
        </w:rPr>
        <w:t xml:space="preserve"> </w:t>
      </w:r>
      <w:r w:rsidRPr="00654FD4">
        <w:rPr>
          <w:rFonts w:eastAsia="Calibri"/>
        </w:rPr>
        <w:t>–Sobre 1–, y la oferta económica se</w:t>
      </w:r>
      <w:r>
        <w:rPr>
          <w:rFonts w:eastAsia="Calibri"/>
        </w:rPr>
        <w:t>a</w:t>
      </w:r>
      <w:r w:rsidRPr="00654FD4">
        <w:rPr>
          <w:rFonts w:eastAsia="Calibri"/>
        </w:rPr>
        <w:t xml:space="preserve"> presentada en otro</w:t>
      </w:r>
      <w:r>
        <w:rPr>
          <w:rFonts w:eastAsia="Calibri"/>
        </w:rPr>
        <w:t xml:space="preserve"> distinto </w:t>
      </w:r>
      <w:r w:rsidRPr="00654FD4">
        <w:rPr>
          <w:rFonts w:eastAsia="Calibri"/>
        </w:rPr>
        <w:t>–Sobre 2</w:t>
      </w:r>
      <w:r w:rsidRPr="00654FD4">
        <w:rPr>
          <w:rFonts w:eastAsia="Calibri"/>
        </w:rPr>
        <w:softHyphen/>
        <w:t>–</w:t>
      </w:r>
      <w:r>
        <w:rPr>
          <w:rFonts w:eastAsia="Calibri"/>
        </w:rPr>
        <w:t>.</w:t>
      </w:r>
      <w:r w:rsidRPr="00654FD4">
        <w:rPr>
          <w:rFonts w:eastAsia="Calibri"/>
        </w:rPr>
        <w:t xml:space="preserve"> </w:t>
      </w:r>
      <w:r>
        <w:rPr>
          <w:rFonts w:eastAsia="Calibri"/>
        </w:rPr>
        <w:t xml:space="preserve">Lo anterior concuerda con </w:t>
      </w:r>
      <w:r w:rsidRPr="00654FD4">
        <w:rPr>
          <w:rFonts w:eastAsia="Calibri"/>
        </w:rPr>
        <w:t xml:space="preserve">la causal del literal </w:t>
      </w:r>
      <w:r w:rsidR="00BB13D0">
        <w:rPr>
          <w:rFonts w:eastAsia="Calibri"/>
        </w:rPr>
        <w:t>V</w:t>
      </w:r>
      <w:r w:rsidRPr="00654FD4">
        <w:rPr>
          <w:rFonts w:eastAsia="Calibri"/>
        </w:rPr>
        <w:t xml:space="preserve"> del numeral 1.15 del Documento Base que sanciona con el rechazo de la oferta el hecho de «Entregar la información de la propuesta económica en el sobre que no corresponda». Conforme a esto, independientemente de que el proponente haya usado o no la segunda hoja del Formulario 1 para elaborar su oferta</w:t>
      </w:r>
      <w:r w:rsidR="007D1AE7">
        <w:rPr>
          <w:rFonts w:eastAsia="Calibri"/>
        </w:rPr>
        <w:t xml:space="preserve"> –o el formulario establecido por la entidad–</w:t>
      </w:r>
      <w:r w:rsidRPr="00654FD4">
        <w:rPr>
          <w:rFonts w:eastAsia="Calibri"/>
        </w:rPr>
        <w:t xml:space="preserve">, si este presenta el documento dentro del Sobre 1, en lugar del Sobre 2, se configurará la causal del literal </w:t>
      </w:r>
      <w:r w:rsidR="00BB13D0">
        <w:rPr>
          <w:rFonts w:eastAsia="Calibri"/>
        </w:rPr>
        <w:t>V</w:t>
      </w:r>
      <w:r w:rsidRPr="00654FD4">
        <w:rPr>
          <w:rFonts w:eastAsia="Calibri"/>
        </w:rPr>
        <w:t>, la cual es objetiva</w:t>
      </w:r>
      <w:r>
        <w:rPr>
          <w:rFonts w:eastAsia="Calibri"/>
        </w:rPr>
        <w:t xml:space="preserve">. </w:t>
      </w:r>
    </w:p>
    <w:p w14:paraId="397CE9CF" w14:textId="4CB6FCF9" w:rsidR="00C52776" w:rsidRPr="00654FD4" w:rsidRDefault="00C52776" w:rsidP="00C52776">
      <w:pPr>
        <w:pStyle w:val="Textoindependiente"/>
        <w:spacing w:after="120" w:line="276" w:lineRule="auto"/>
        <w:jc w:val="both"/>
        <w:rPr>
          <w:rFonts w:eastAsia="Calibri"/>
        </w:rPr>
      </w:pPr>
      <w:r w:rsidRPr="00654FD4">
        <w:rPr>
          <w:rFonts w:eastAsia="Calibri"/>
        </w:rPr>
        <w:tab/>
      </w:r>
      <w:r>
        <w:rPr>
          <w:rFonts w:eastAsia="Calibri"/>
        </w:rPr>
        <w:t>C</w:t>
      </w:r>
      <w:r w:rsidRPr="00654FD4">
        <w:rPr>
          <w:rFonts w:eastAsia="Calibri"/>
        </w:rPr>
        <w:t xml:space="preserve">onforme a las consideraciones anteriormente expuestas en torno al principio de </w:t>
      </w:r>
      <w:r w:rsidRPr="00654FD4">
        <w:rPr>
          <w:rFonts w:eastAsia="Calibri"/>
        </w:rPr>
        <w:lastRenderedPageBreak/>
        <w:t xml:space="preserve">prevalencia del derecho sustancial, la entidad deberá evaluar si la oferta económica, </w:t>
      </w:r>
      <w:r w:rsidR="007D1AE7">
        <w:rPr>
          <w:rFonts w:eastAsia="Calibri"/>
        </w:rPr>
        <w:t>pese a presentarse en un formato o formulario diferente al «formulario 1 propuesta económica» o el formulario establecido por la entidad para la presentación de las ofertas económicas</w:t>
      </w:r>
      <w:r w:rsidRPr="00654FD4">
        <w:rPr>
          <w:rFonts w:eastAsia="Calibri"/>
        </w:rPr>
        <w:t xml:space="preserve">, cumple con todos los requisitos exigibles de la oferta económica en el marco del respectivo proceso de contratación, sin que </w:t>
      </w:r>
      <w:r w:rsidR="007D1AE7">
        <w:rPr>
          <w:rFonts w:eastAsia="Calibri"/>
        </w:rPr>
        <w:t xml:space="preserve">el uso de un formato o formulario distinto sea, </w:t>
      </w:r>
      <w:r w:rsidR="007D1AE7">
        <w:rPr>
          <w:rFonts w:eastAsia="Calibri"/>
          <w:i/>
          <w:iCs/>
        </w:rPr>
        <w:t xml:space="preserve">per se, </w:t>
      </w:r>
      <w:r w:rsidRPr="00654FD4">
        <w:rPr>
          <w:rFonts w:eastAsia="Calibri"/>
        </w:rPr>
        <w:t>un motivo para su rechazo</w:t>
      </w:r>
      <w:r w:rsidR="00B71D1F">
        <w:rPr>
          <w:rFonts w:eastAsia="Calibri"/>
        </w:rPr>
        <w:t>. Lo anterior, considerando</w:t>
      </w:r>
      <w:r w:rsidR="007D1AE7">
        <w:rPr>
          <w:rFonts w:eastAsia="Calibri"/>
        </w:rPr>
        <w:t xml:space="preserve"> que este solo procede en los supuestos establecidos por la Ley o los señalados taxativamente en el numeral 1.15 del documento base.</w:t>
      </w:r>
      <w:r w:rsidRPr="00654FD4">
        <w:rPr>
          <w:rFonts w:eastAsia="Calibri"/>
        </w:rPr>
        <w:t xml:space="preserve">  </w:t>
      </w:r>
    </w:p>
    <w:p w14:paraId="75CAD454" w14:textId="2EFB73CE" w:rsidR="00885117" w:rsidRPr="00ED040F" w:rsidRDefault="00C52776" w:rsidP="00885117">
      <w:pPr>
        <w:pStyle w:val="Textoindependiente"/>
        <w:spacing w:before="120" w:line="276" w:lineRule="auto"/>
        <w:ind w:firstLine="709"/>
        <w:jc w:val="both"/>
        <w:rPr>
          <w:rFonts w:eastAsia="Calibri"/>
        </w:rPr>
      </w:pPr>
      <w:r w:rsidRPr="00336F97">
        <w:rPr>
          <w:rFonts w:eastAsia="Calibri"/>
        </w:rPr>
        <w:t>En conclusión, para presentar ofertas en el marco de procesos de licitación pública de infraestructura de transporte, los oferentes deben usar la segunda hoja del Formulario 1 puesto a disposición en formato Excel por la respectiva entidad, titulada «PROPUESTA ECONÓMICA»</w:t>
      </w:r>
      <w:r w:rsidR="00585589">
        <w:rPr>
          <w:rFonts w:eastAsia="Calibri"/>
        </w:rPr>
        <w:t>, sin perjuicio de que las entidades estatales adapten el contenido de dicho formulario</w:t>
      </w:r>
      <w:r w:rsidRPr="00336F97">
        <w:rPr>
          <w:rFonts w:eastAsia="Calibri"/>
        </w:rPr>
        <w:t xml:space="preserve">. Sin embargo, el hecho de haberse presentado la oferta económica </w:t>
      </w:r>
      <w:r w:rsidR="00585589">
        <w:rPr>
          <w:rFonts w:eastAsia="Calibri"/>
        </w:rPr>
        <w:t>mediante</w:t>
      </w:r>
      <w:r w:rsidRPr="00336F97">
        <w:rPr>
          <w:rFonts w:eastAsia="Calibri"/>
        </w:rPr>
        <w:t xml:space="preserve"> un documento distinto</w:t>
      </w:r>
      <w:r w:rsidR="00585589">
        <w:rPr>
          <w:rFonts w:eastAsia="Calibri"/>
        </w:rPr>
        <w:t xml:space="preserve"> a</w:t>
      </w:r>
      <w:r w:rsidRPr="00336F97">
        <w:rPr>
          <w:rFonts w:eastAsia="Calibri"/>
        </w:rPr>
        <w:t xml:space="preserve"> dicho formulario no constituye en sí mismo un motivo que amerite su rechazo. Por el contrario, corresponde a las entidades aplicar el principio de prevalencia del derecho sustancial, en virtud del cual deberán verificar que la oferta cumpla con todos los requisitos para ser evaluada y que esta no incurra en ninguna causal de rechazo expresamente señalada en la Ley o en el pliego de condiciones.</w:t>
      </w:r>
      <w:bookmarkEnd w:id="2"/>
    </w:p>
    <w:p w14:paraId="014083F2" w14:textId="77777777" w:rsidR="00885117" w:rsidRPr="00B87CB3" w:rsidRDefault="00885117" w:rsidP="00885117">
      <w:pPr>
        <w:spacing w:line="276" w:lineRule="auto"/>
        <w:jc w:val="both"/>
        <w:rPr>
          <w:rFonts w:ascii="Arial" w:eastAsia="Calibri" w:hAnsi="Arial" w:cs="Arial"/>
          <w:b/>
          <w:bCs/>
          <w:sz w:val="22"/>
          <w:lang w:val="es-ES"/>
        </w:rPr>
      </w:pPr>
    </w:p>
    <w:p w14:paraId="23127DE8" w14:textId="77777777" w:rsidR="00885117" w:rsidRPr="00BD595A" w:rsidRDefault="00885117" w:rsidP="00885117">
      <w:pPr>
        <w:pStyle w:val="Prrafodelista"/>
        <w:tabs>
          <w:tab w:val="left" w:pos="284"/>
        </w:tabs>
        <w:spacing w:line="276" w:lineRule="auto"/>
        <w:ind w:left="0"/>
        <w:jc w:val="both"/>
        <w:rPr>
          <w:rFonts w:ascii="Arial" w:eastAsia="Calibri" w:hAnsi="Arial" w:cs="Arial"/>
          <w:sz w:val="22"/>
        </w:rPr>
      </w:pPr>
      <w:r w:rsidRPr="00BD595A">
        <w:rPr>
          <w:rFonts w:ascii="Arial" w:eastAsia="Calibri" w:hAnsi="Arial" w:cs="Arial"/>
          <w:b/>
          <w:sz w:val="22"/>
        </w:rPr>
        <w:t>3. Respuesta</w:t>
      </w:r>
    </w:p>
    <w:p w14:paraId="17750075" w14:textId="77777777" w:rsidR="00885117" w:rsidRPr="00BD595A" w:rsidRDefault="00885117" w:rsidP="00885117">
      <w:pPr>
        <w:spacing w:line="276" w:lineRule="auto"/>
        <w:ind w:left="709" w:right="709"/>
        <w:jc w:val="both"/>
        <w:rPr>
          <w:rFonts w:ascii="Arial" w:eastAsia="Calibri" w:hAnsi="Arial" w:cs="Arial"/>
          <w:i/>
          <w:sz w:val="22"/>
        </w:rPr>
      </w:pPr>
    </w:p>
    <w:p w14:paraId="7E9F38F1" w14:textId="010034A7" w:rsidR="00885117" w:rsidRPr="000F6E88" w:rsidRDefault="000F6E88" w:rsidP="000F6E88">
      <w:pPr>
        <w:ind w:left="709" w:right="709"/>
        <w:jc w:val="both"/>
        <w:rPr>
          <w:rFonts w:ascii="Arial" w:eastAsia="Calibri" w:hAnsi="Arial" w:cs="Arial"/>
          <w:sz w:val="21"/>
          <w:szCs w:val="21"/>
        </w:rPr>
      </w:pPr>
      <w:r w:rsidRPr="000F6E88">
        <w:rPr>
          <w:rFonts w:ascii="Arial" w:eastAsia="Calibri" w:hAnsi="Arial" w:cs="Arial"/>
          <w:sz w:val="21"/>
          <w:szCs w:val="21"/>
        </w:rPr>
        <w:t xml:space="preserve">«[…] Si la entidad publica un formato de presupuesto oficial distinto al formulario 1 presupuesto oficial de la versión 3 </w:t>
      </w:r>
      <w:proofErr w:type="gramStart"/>
      <w:r w:rsidRPr="000F6E88">
        <w:rPr>
          <w:rFonts w:ascii="Arial" w:eastAsia="Calibri" w:hAnsi="Arial" w:cs="Arial"/>
          <w:sz w:val="21"/>
          <w:szCs w:val="21"/>
        </w:rPr>
        <w:t>de los pliego</w:t>
      </w:r>
      <w:proofErr w:type="gramEnd"/>
      <w:r w:rsidRPr="000F6E88">
        <w:rPr>
          <w:rFonts w:ascii="Arial" w:eastAsia="Calibri" w:hAnsi="Arial" w:cs="Arial"/>
          <w:sz w:val="21"/>
          <w:szCs w:val="21"/>
        </w:rPr>
        <w:t xml:space="preserve"> tipo (sic), y un proponente presenta su oferta en el formato del formulario 1 presupuesto oficial de la versión 3 de los pliego tipo (sic), y no en el formato establecido por la entidad. ¿La entidad puede rechazar la oferta por no implementar el formato establecido por ellos?».</w:t>
      </w:r>
    </w:p>
    <w:p w14:paraId="3D587318" w14:textId="77777777" w:rsidR="00885117" w:rsidRPr="009E0A13" w:rsidRDefault="00885117" w:rsidP="00885117">
      <w:pPr>
        <w:spacing w:line="276" w:lineRule="auto"/>
        <w:ind w:left="709" w:right="709"/>
        <w:jc w:val="both"/>
        <w:rPr>
          <w:rFonts w:ascii="Arial" w:eastAsia="Calibri" w:hAnsi="Arial" w:cs="Arial"/>
          <w:sz w:val="22"/>
        </w:rPr>
      </w:pPr>
    </w:p>
    <w:p w14:paraId="7C4A38F1" w14:textId="0DC33A07" w:rsidR="00722E3B" w:rsidRPr="00654FD4" w:rsidRDefault="00722E3B" w:rsidP="00336F97">
      <w:pPr>
        <w:pStyle w:val="Textoindependiente"/>
        <w:spacing w:after="120" w:line="276" w:lineRule="auto"/>
        <w:ind w:firstLine="708"/>
        <w:jc w:val="both"/>
        <w:rPr>
          <w:rFonts w:eastAsia="Times New Roman"/>
          <w:lang w:val="es-CO" w:eastAsia="es-ES_tradnl"/>
        </w:rPr>
      </w:pPr>
      <w:r w:rsidRPr="00654FD4">
        <w:rPr>
          <w:rFonts w:eastAsia="Times New Roman"/>
          <w:lang w:val="es-CO" w:eastAsia="es-ES_tradnl"/>
        </w:rPr>
        <w:t xml:space="preserve">De conformidad con el parágrafo 7 del artículo 2 de la Ley 1150 de 2007, modificado por la </w:t>
      </w:r>
      <w:r>
        <w:rPr>
          <w:rFonts w:eastAsia="Times New Roman"/>
          <w:lang w:val="es-CO" w:eastAsia="es-ES_tradnl"/>
        </w:rPr>
        <w:t xml:space="preserve">Ley </w:t>
      </w:r>
      <w:r w:rsidRPr="00654FD4">
        <w:rPr>
          <w:rFonts w:eastAsia="Times New Roman"/>
          <w:lang w:val="es-CO" w:eastAsia="es-ES_tradnl"/>
        </w:rPr>
        <w:t xml:space="preserve">2022 de 2020, y </w:t>
      </w:r>
      <w:r>
        <w:rPr>
          <w:rFonts w:eastAsia="Times New Roman"/>
          <w:lang w:val="es-CO" w:eastAsia="es-ES_tradnl"/>
        </w:rPr>
        <w:t xml:space="preserve">los artículos 2 y 3 de la </w:t>
      </w:r>
      <w:r>
        <w:t>Resolución No. 240 del 27 de noviembre de 2020</w:t>
      </w:r>
      <w:r w:rsidRPr="00654FD4">
        <w:rPr>
          <w:rFonts w:eastAsia="Times New Roman"/>
          <w:lang w:val="es-CO" w:eastAsia="es-ES_tradnl"/>
        </w:rPr>
        <w:t xml:space="preserve">, </w:t>
      </w:r>
      <w:r>
        <w:rPr>
          <w:rFonts w:eastAsia="Times New Roman"/>
          <w:lang w:val="es-CO" w:eastAsia="es-ES_tradnl"/>
        </w:rPr>
        <w:t xml:space="preserve">expedida por esta Agencia, </w:t>
      </w:r>
      <w:r w:rsidRPr="00654FD4">
        <w:rPr>
          <w:rFonts w:eastAsia="Times New Roman"/>
          <w:lang w:val="es-CO" w:eastAsia="es-ES_tradnl"/>
        </w:rPr>
        <w:t xml:space="preserve">los Documentos Tipo de licitación de obra pública de infraestructura de transporte, contienen parámetros de obligatoria observancia para </w:t>
      </w:r>
      <w:r>
        <w:rPr>
          <w:rFonts w:eastAsia="Times New Roman"/>
          <w:lang w:val="es-CO" w:eastAsia="es-ES_tradnl"/>
        </w:rPr>
        <w:t>l</w:t>
      </w:r>
      <w:r w:rsidRPr="00654FD4">
        <w:rPr>
          <w:rFonts w:eastAsia="Times New Roman"/>
          <w:lang w:val="es-CO" w:eastAsia="es-ES_tradnl"/>
        </w:rPr>
        <w:t xml:space="preserve">as entidades estatales regidas por el Estatuto General de Contratación de la Administración Pública, así como para los proponentes en el desarrollo de procesos de contratación en los que se apliquen dichos documentos. De acuerdo con esto y con la doble connotación del Formulario 1, así como las entidades están obligadas a usar la primera hoja de dicho formulario para estructurar el Presupuesto Oficial de la obra, a los proponentes les corresponde usar la segunda hoja del mismo para presentar su oferta económica. </w:t>
      </w:r>
    </w:p>
    <w:p w14:paraId="0AAA5918" w14:textId="77777777" w:rsidR="00AA0FD3" w:rsidRDefault="00722E3B" w:rsidP="00336F97">
      <w:pPr>
        <w:pStyle w:val="Textoindependiente"/>
        <w:spacing w:after="120" w:line="276" w:lineRule="auto"/>
        <w:ind w:firstLine="708"/>
        <w:jc w:val="both"/>
        <w:rPr>
          <w:rFonts w:eastAsia="Times New Roman"/>
          <w:lang w:val="es-CO" w:eastAsia="es-ES_tradnl"/>
        </w:rPr>
      </w:pPr>
      <w:r w:rsidRPr="00654FD4">
        <w:rPr>
          <w:rFonts w:eastAsia="Times New Roman"/>
          <w:lang w:val="es-CO" w:eastAsia="es-ES_tradnl"/>
        </w:rPr>
        <w:t xml:space="preserve"> Sin embargo, el hecho de que se presente una oferta en un documento distinto de la segunda hoja del archivo</w:t>
      </w:r>
      <w:r>
        <w:rPr>
          <w:rFonts w:eastAsia="Times New Roman"/>
          <w:lang w:val="es-CO" w:eastAsia="es-ES_tradnl"/>
        </w:rPr>
        <w:t xml:space="preserve"> </w:t>
      </w:r>
      <w:r w:rsidRPr="00654FD4">
        <w:rPr>
          <w:rFonts w:eastAsia="Times New Roman"/>
          <w:lang w:val="es-CO" w:eastAsia="es-ES_tradnl"/>
        </w:rPr>
        <w:t>–</w:t>
      </w:r>
      <w:r>
        <w:rPr>
          <w:rFonts w:eastAsia="Times New Roman"/>
          <w:lang w:val="es-CO" w:eastAsia="es-ES_tradnl"/>
        </w:rPr>
        <w:t>propuesta económica</w:t>
      </w:r>
      <w:r w:rsidRPr="00654FD4">
        <w:rPr>
          <w:rFonts w:eastAsia="Times New Roman"/>
          <w:lang w:val="es-CO" w:eastAsia="es-ES_tradnl"/>
        </w:rPr>
        <w:t>– de Excel</w:t>
      </w:r>
      <w:r>
        <w:rPr>
          <w:rFonts w:eastAsia="Times New Roman"/>
          <w:lang w:val="es-CO" w:eastAsia="es-ES_tradnl"/>
        </w:rPr>
        <w:t>,</w:t>
      </w:r>
      <w:r w:rsidRPr="00654FD4">
        <w:rPr>
          <w:rFonts w:eastAsia="Times New Roman"/>
          <w:lang w:val="es-CO" w:eastAsia="es-ES_tradnl"/>
        </w:rPr>
        <w:t xml:space="preserve"> en que consiste el Formulario 1,</w:t>
      </w:r>
      <w:r>
        <w:rPr>
          <w:rFonts w:eastAsia="Times New Roman"/>
          <w:lang w:val="es-CO" w:eastAsia="es-ES_tradnl"/>
        </w:rPr>
        <w:t xml:space="preserve"> de acuerdo con las modificaciones que puede realizar la entidad estatal a </w:t>
      </w:r>
      <w:r>
        <w:rPr>
          <w:rFonts w:eastAsia="Times New Roman"/>
          <w:lang w:val="es-CO" w:eastAsia="es-ES_tradnl"/>
        </w:rPr>
        <w:lastRenderedPageBreak/>
        <w:t>dicho formulario, esto</w:t>
      </w:r>
      <w:r w:rsidRPr="00654FD4">
        <w:rPr>
          <w:rFonts w:eastAsia="Times New Roman"/>
          <w:lang w:val="es-CO" w:eastAsia="es-ES_tradnl"/>
        </w:rPr>
        <w:t xml:space="preserve"> no constituye en sí mismo un motivo para rechazar la oferta. </w:t>
      </w:r>
      <w:r w:rsidR="00AA0FD3">
        <w:rPr>
          <w:rFonts w:eastAsia="Times New Roman"/>
          <w:lang w:val="es-CO" w:eastAsia="es-ES_tradnl"/>
        </w:rPr>
        <w:t xml:space="preserve">En síntesis, presentar la oferta económica en un formato o formulario distinto al establecido por la entidad, </w:t>
      </w:r>
      <w:r w:rsidR="00AA0FD3">
        <w:rPr>
          <w:rFonts w:eastAsia="Times New Roman"/>
          <w:i/>
          <w:iCs/>
          <w:lang w:val="es-CO" w:eastAsia="es-ES_tradnl"/>
        </w:rPr>
        <w:t xml:space="preserve">per se, </w:t>
      </w:r>
      <w:r w:rsidR="00AA0FD3">
        <w:rPr>
          <w:rFonts w:eastAsia="Times New Roman"/>
          <w:lang w:val="es-CO" w:eastAsia="es-ES_tradnl"/>
        </w:rPr>
        <w:t>no da lugar al rechazo de la oferta.</w:t>
      </w:r>
    </w:p>
    <w:p w14:paraId="24753F3A" w14:textId="01AAA83E" w:rsidR="00885117" w:rsidRPr="00E47240" w:rsidRDefault="00AA0FD3" w:rsidP="00AA0FD3">
      <w:pPr>
        <w:pStyle w:val="Textoindependiente"/>
        <w:spacing w:line="276" w:lineRule="auto"/>
        <w:ind w:firstLine="708"/>
        <w:jc w:val="both"/>
        <w:rPr>
          <w:rFonts w:eastAsia="Times New Roman"/>
          <w:lang w:val="es-CO" w:eastAsia="es-ES_tradnl"/>
        </w:rPr>
      </w:pPr>
      <w:r>
        <w:rPr>
          <w:rFonts w:eastAsia="Times New Roman"/>
          <w:lang w:val="es-CO" w:eastAsia="es-ES_tradnl"/>
        </w:rPr>
        <w:t xml:space="preserve"> De esta manera, el rechazo solo procederá en los supuestos en que se verifique la ocurrencia de alguna de las causales de rechazo establecidas en la Ley o en el numeral 1.15 del «documento base», algunas de las cuales, como se desarrolló en las consideraciones, se relacionan con las ofertas económicas.</w:t>
      </w:r>
    </w:p>
    <w:p w14:paraId="4107661E" w14:textId="77777777" w:rsidR="00885117" w:rsidRPr="00BD595A" w:rsidRDefault="00885117" w:rsidP="00885117">
      <w:pPr>
        <w:spacing w:after="120" w:line="276" w:lineRule="auto"/>
        <w:jc w:val="both"/>
        <w:rPr>
          <w:rFonts w:ascii="Arial" w:hAnsi="Arial" w:cs="Arial"/>
          <w:sz w:val="22"/>
        </w:rPr>
      </w:pPr>
      <w:r w:rsidRPr="00BD595A">
        <w:rPr>
          <w:rFonts w:ascii="Arial" w:hAnsi="Arial" w:cs="Arial"/>
          <w:sz w:val="22"/>
        </w:rPr>
        <w:t xml:space="preserve">     </w:t>
      </w:r>
    </w:p>
    <w:p w14:paraId="53E562C4" w14:textId="77777777" w:rsidR="00885117" w:rsidRPr="00BD595A" w:rsidRDefault="00885117" w:rsidP="00885117">
      <w:pPr>
        <w:spacing w:line="276" w:lineRule="auto"/>
        <w:jc w:val="both"/>
        <w:rPr>
          <w:rFonts w:ascii="Arial" w:eastAsia="Calibri" w:hAnsi="Arial" w:cs="Arial"/>
          <w:sz w:val="22"/>
        </w:rPr>
      </w:pPr>
    </w:p>
    <w:p w14:paraId="220AD930" w14:textId="77777777" w:rsidR="00885117" w:rsidRPr="00BD595A" w:rsidRDefault="00885117" w:rsidP="00885117">
      <w:pPr>
        <w:spacing w:line="276" w:lineRule="auto"/>
        <w:jc w:val="both"/>
        <w:rPr>
          <w:rFonts w:ascii="Arial" w:eastAsia="Calibri" w:hAnsi="Arial" w:cs="Arial"/>
          <w:sz w:val="22"/>
        </w:rPr>
      </w:pPr>
      <w:r w:rsidRPr="00BD595A">
        <w:rPr>
          <w:rFonts w:ascii="Arial" w:eastAsia="Calibri" w:hAnsi="Arial" w:cs="Arial"/>
          <w:sz w:val="22"/>
        </w:rPr>
        <w:t>Este concepto tiene el alcance previsto en el artículo 28 del Código de Procedimiento Administrativo y de lo Contencioso Administrativo.</w:t>
      </w:r>
    </w:p>
    <w:p w14:paraId="153AD411" w14:textId="77777777" w:rsidR="00885117" w:rsidRPr="00BD595A" w:rsidRDefault="00885117" w:rsidP="00885117">
      <w:pPr>
        <w:spacing w:line="276" w:lineRule="auto"/>
        <w:jc w:val="both"/>
        <w:rPr>
          <w:rFonts w:ascii="Arial" w:eastAsia="Calibri" w:hAnsi="Arial" w:cs="Arial"/>
          <w:sz w:val="22"/>
        </w:rPr>
      </w:pPr>
    </w:p>
    <w:p w14:paraId="0CE64A8C" w14:textId="77777777" w:rsidR="00885117" w:rsidRPr="00BD595A" w:rsidRDefault="00885117" w:rsidP="00885117">
      <w:pPr>
        <w:jc w:val="both"/>
        <w:rPr>
          <w:rFonts w:ascii="Arial" w:eastAsia="Calibri" w:hAnsi="Arial" w:cs="Arial"/>
          <w:sz w:val="22"/>
        </w:rPr>
      </w:pPr>
      <w:r w:rsidRPr="00BD595A">
        <w:rPr>
          <w:noProof/>
        </w:rPr>
        <mc:AlternateContent>
          <mc:Choice Requires="wps">
            <w:drawing>
              <wp:anchor distT="0" distB="0" distL="114300" distR="114300" simplePos="0" relativeHeight="251659264" behindDoc="0" locked="0" layoutInCell="1" allowOverlap="1" wp14:anchorId="69AA27C3" wp14:editId="3FC45CA0">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92520DF"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17647767" w14:textId="77777777" w:rsidR="00E51201" w:rsidRDefault="00E51201" w:rsidP="00E51201">
      <w:pPr>
        <w:rPr>
          <w:rFonts w:ascii="Arial" w:eastAsia="Times New Roman" w:hAnsi="Arial" w:cs="Arial"/>
          <w:sz w:val="22"/>
          <w:lang w:val="es-CO" w:eastAsia="es-CO"/>
        </w:rPr>
      </w:pPr>
      <w:bookmarkStart w:id="3" w:name="_Hlk50986665"/>
      <w:bookmarkStart w:id="4" w:name="_Hlk55258198"/>
      <w:r>
        <w:rPr>
          <w:rFonts w:ascii="Arial" w:hAnsi="Arial" w:cs="Arial"/>
          <w:sz w:val="22"/>
          <w:lang w:eastAsia="es-CO"/>
        </w:rPr>
        <w:t>Atentamente,</w:t>
      </w:r>
    </w:p>
    <w:p w14:paraId="04455F9F" w14:textId="77777777" w:rsidR="00E51201" w:rsidRDefault="00E51201" w:rsidP="00E51201">
      <w:pPr>
        <w:rPr>
          <w:rFonts w:ascii="Arial" w:hAnsi="Arial" w:cs="Arial"/>
          <w:sz w:val="22"/>
          <w:lang w:eastAsia="es-CO"/>
        </w:rPr>
      </w:pPr>
    </w:p>
    <w:p w14:paraId="747208E3" w14:textId="1B43FA76" w:rsidR="00E51201" w:rsidRDefault="00CA7A42" w:rsidP="00E51201">
      <w:pPr>
        <w:jc w:val="center"/>
        <w:rPr>
          <w:rFonts w:ascii="Arial" w:hAnsi="Arial" w:cs="Arial"/>
          <w:sz w:val="18"/>
          <w:szCs w:val="20"/>
          <w:lang w:eastAsia="es-CO"/>
        </w:rPr>
      </w:pPr>
      <w:r>
        <w:rPr>
          <w:noProof/>
          <w:lang w:val="es-ES" w:eastAsia="es-ES"/>
        </w:rPr>
        <w:drawing>
          <wp:inline distT="0" distB="0" distL="0" distR="0" wp14:anchorId="19EC4DBF" wp14:editId="196F59CD">
            <wp:extent cx="2342661" cy="1038225"/>
            <wp:effectExtent l="0" t="0" r="635"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342661" cy="1038225"/>
                    </a:xfrm>
                    <a:prstGeom prst="rect">
                      <a:avLst/>
                    </a:prstGeom>
                  </pic:spPr>
                </pic:pic>
              </a:graphicData>
            </a:graphic>
          </wp:inline>
        </w:drawing>
      </w:r>
    </w:p>
    <w:p w14:paraId="55CBDA29" w14:textId="77777777" w:rsidR="00E51201" w:rsidRDefault="00E51201" w:rsidP="00E51201">
      <w:pPr>
        <w:jc w:val="center"/>
        <w:rPr>
          <w:rFonts w:ascii="Arial" w:hAnsi="Arial" w:cs="Arial"/>
          <w:sz w:val="18"/>
          <w:szCs w:val="20"/>
          <w:lang w:eastAsia="es-CO"/>
        </w:rPr>
      </w:pPr>
    </w:p>
    <w:p w14:paraId="087D2DBD" w14:textId="77777777" w:rsidR="00E51201" w:rsidRDefault="00E51201" w:rsidP="00E51201">
      <w:pPr>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51201" w14:paraId="7983156B" w14:textId="77777777" w:rsidTr="00E51201">
        <w:trPr>
          <w:trHeight w:val="315"/>
        </w:trPr>
        <w:tc>
          <w:tcPr>
            <w:tcW w:w="488" w:type="dxa"/>
            <w:vAlign w:val="center"/>
            <w:hideMark/>
          </w:tcPr>
          <w:p w14:paraId="45507324" w14:textId="77777777" w:rsidR="00E51201" w:rsidRDefault="00E51201">
            <w:pPr>
              <w:rPr>
                <w:rFonts w:ascii="Arial" w:hAnsi="Arial" w:cs="Arial"/>
                <w:sz w:val="16"/>
                <w:szCs w:val="16"/>
                <w:lang w:eastAsia="es-ES"/>
              </w:rPr>
            </w:pPr>
            <w:r>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A5E10DB" w14:textId="77777777" w:rsidR="00E51201" w:rsidRDefault="00E51201">
            <w:pPr>
              <w:rPr>
                <w:rFonts w:ascii="Arial" w:hAnsi="Arial" w:cs="Arial"/>
                <w:sz w:val="16"/>
                <w:szCs w:val="16"/>
                <w:lang w:eastAsia="es-ES"/>
              </w:rPr>
            </w:pPr>
            <w:r>
              <w:rPr>
                <w:rFonts w:ascii="Arial" w:hAnsi="Arial" w:cs="Arial"/>
                <w:sz w:val="16"/>
                <w:szCs w:val="16"/>
                <w:lang w:eastAsia="es-ES"/>
              </w:rPr>
              <w:t>Ximena Ríos López</w:t>
            </w:r>
          </w:p>
          <w:p w14:paraId="45B98729" w14:textId="77777777" w:rsidR="00E51201" w:rsidRDefault="00E51201">
            <w:pPr>
              <w:rPr>
                <w:rFonts w:ascii="Arial" w:hAnsi="Arial" w:cs="Arial"/>
                <w:sz w:val="16"/>
                <w:szCs w:val="16"/>
                <w:lang w:eastAsia="es-ES"/>
              </w:rPr>
            </w:pPr>
            <w:r>
              <w:rPr>
                <w:rFonts w:ascii="Arial" w:hAnsi="Arial" w:cs="Arial"/>
                <w:sz w:val="16"/>
                <w:szCs w:val="16"/>
                <w:lang w:eastAsia="es-ES"/>
              </w:rPr>
              <w:t>Gestor T1-11 de la Subdirección de Gestión Contractual</w:t>
            </w:r>
          </w:p>
        </w:tc>
      </w:tr>
      <w:tr w:rsidR="00E51201" w14:paraId="2949F687" w14:textId="77777777" w:rsidTr="00E51201">
        <w:trPr>
          <w:trHeight w:val="330"/>
        </w:trPr>
        <w:tc>
          <w:tcPr>
            <w:tcW w:w="488" w:type="dxa"/>
            <w:vAlign w:val="center"/>
            <w:hideMark/>
          </w:tcPr>
          <w:p w14:paraId="34D9AECB" w14:textId="77777777" w:rsidR="00E51201" w:rsidRDefault="00E51201">
            <w:pPr>
              <w:rPr>
                <w:rFonts w:ascii="Arial" w:hAnsi="Arial" w:cs="Arial"/>
                <w:sz w:val="16"/>
                <w:szCs w:val="16"/>
                <w:lang w:eastAsia="es-ES"/>
              </w:rPr>
            </w:pPr>
            <w:r>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E138494" w14:textId="77777777" w:rsidR="00E51201" w:rsidRDefault="00E51201">
            <w:pPr>
              <w:rPr>
                <w:rFonts w:ascii="Arial" w:hAnsi="Arial" w:cs="Arial"/>
                <w:sz w:val="16"/>
                <w:szCs w:val="16"/>
                <w:lang w:eastAsia="es-ES"/>
              </w:rPr>
            </w:pPr>
            <w:r>
              <w:rPr>
                <w:rFonts w:ascii="Arial" w:hAnsi="Arial" w:cs="Arial"/>
                <w:sz w:val="16"/>
                <w:szCs w:val="16"/>
                <w:lang w:eastAsia="es-ES"/>
              </w:rPr>
              <w:t>Sebastián Ramírez Grisales</w:t>
            </w:r>
          </w:p>
          <w:p w14:paraId="6DD1EBA4" w14:textId="77777777" w:rsidR="00E51201" w:rsidRDefault="00E51201">
            <w:pPr>
              <w:rPr>
                <w:rFonts w:ascii="Arial" w:hAnsi="Arial" w:cs="Arial"/>
                <w:sz w:val="16"/>
                <w:szCs w:val="16"/>
                <w:lang w:eastAsia="es-ES"/>
              </w:rPr>
            </w:pPr>
            <w:r>
              <w:rPr>
                <w:rFonts w:ascii="Arial" w:hAnsi="Arial" w:cs="Arial"/>
                <w:sz w:val="16"/>
                <w:szCs w:val="16"/>
                <w:lang w:eastAsia="es-ES"/>
              </w:rPr>
              <w:t>Gestor T1-15 de la Subdirección de Gestión Contractual</w:t>
            </w:r>
          </w:p>
        </w:tc>
      </w:tr>
      <w:tr w:rsidR="00E51201" w14:paraId="62185CB4" w14:textId="77777777" w:rsidTr="00E51201">
        <w:trPr>
          <w:trHeight w:val="300"/>
        </w:trPr>
        <w:tc>
          <w:tcPr>
            <w:tcW w:w="488" w:type="dxa"/>
            <w:vAlign w:val="center"/>
            <w:hideMark/>
          </w:tcPr>
          <w:p w14:paraId="15836DF1" w14:textId="77777777" w:rsidR="00E51201" w:rsidRDefault="00E51201">
            <w:pPr>
              <w:rPr>
                <w:rFonts w:ascii="Arial" w:hAnsi="Arial" w:cs="Arial"/>
                <w:sz w:val="16"/>
                <w:szCs w:val="16"/>
                <w:lang w:eastAsia="es-ES"/>
              </w:rPr>
            </w:pPr>
            <w:r>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E1D624E" w14:textId="77777777" w:rsidR="00E51201" w:rsidRDefault="00E51201">
            <w:pPr>
              <w:rPr>
                <w:rFonts w:ascii="Arial" w:hAnsi="Arial" w:cs="Arial"/>
                <w:sz w:val="16"/>
                <w:szCs w:val="16"/>
                <w:lang w:eastAsia="es-ES"/>
              </w:rPr>
            </w:pPr>
            <w:r>
              <w:rPr>
                <w:rFonts w:ascii="Arial" w:hAnsi="Arial" w:cs="Arial"/>
                <w:sz w:val="16"/>
                <w:szCs w:val="16"/>
                <w:lang w:eastAsia="es-ES"/>
              </w:rPr>
              <w:t>Jorge Augusto Tirado Navarro</w:t>
            </w:r>
          </w:p>
          <w:p w14:paraId="78514D88" w14:textId="77777777" w:rsidR="00E51201" w:rsidRDefault="00E51201">
            <w:pPr>
              <w:rPr>
                <w:rFonts w:ascii="Arial" w:hAnsi="Arial" w:cs="Arial"/>
                <w:sz w:val="16"/>
                <w:szCs w:val="16"/>
                <w:lang w:eastAsia="es-ES"/>
              </w:rPr>
            </w:pPr>
            <w:r>
              <w:rPr>
                <w:rFonts w:ascii="Arial" w:hAnsi="Arial" w:cs="Arial"/>
                <w:sz w:val="16"/>
                <w:szCs w:val="16"/>
                <w:lang w:eastAsia="es-ES"/>
              </w:rPr>
              <w:t>Subdirector de Gestión Contractual</w:t>
            </w:r>
          </w:p>
        </w:tc>
      </w:tr>
      <w:tr w:rsidR="00E51201" w14:paraId="10A41038" w14:textId="77777777" w:rsidTr="00E51201">
        <w:trPr>
          <w:trHeight w:val="300"/>
        </w:trPr>
        <w:tc>
          <w:tcPr>
            <w:tcW w:w="488" w:type="dxa"/>
            <w:vAlign w:val="center"/>
            <w:hideMark/>
          </w:tcPr>
          <w:p w14:paraId="5BA960CC" w14:textId="77777777" w:rsidR="00E51201" w:rsidRDefault="00E51201">
            <w:pPr>
              <w:rPr>
                <w:rFonts w:ascii="Arial" w:hAnsi="Arial" w:cs="Arial"/>
                <w:sz w:val="16"/>
                <w:szCs w:val="16"/>
                <w:lang w:eastAsia="es-ES"/>
              </w:rPr>
            </w:pPr>
            <w:r>
              <w:rPr>
                <w:rFonts w:ascii="Arial" w:hAnsi="Arial" w:cs="Arial"/>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BF3522C" w14:textId="77777777" w:rsidR="00E51201" w:rsidRDefault="00E51201">
            <w:pPr>
              <w:rPr>
                <w:rFonts w:ascii="Arial" w:hAnsi="Arial" w:cs="Arial"/>
                <w:sz w:val="16"/>
                <w:szCs w:val="16"/>
                <w:lang w:eastAsia="es-ES"/>
              </w:rPr>
            </w:pPr>
            <w:r>
              <w:rPr>
                <w:rFonts w:ascii="Arial" w:hAnsi="Arial" w:cs="Arial"/>
                <w:sz w:val="16"/>
                <w:szCs w:val="16"/>
                <w:lang w:eastAsia="es-ES"/>
              </w:rPr>
              <w:t>0</w:t>
            </w:r>
          </w:p>
        </w:tc>
        <w:bookmarkEnd w:id="3"/>
      </w:tr>
      <w:bookmarkEnd w:id="4"/>
    </w:tbl>
    <w:p w14:paraId="010EEA99" w14:textId="77777777" w:rsidR="00E51201" w:rsidRDefault="00E51201" w:rsidP="00E51201">
      <w:pPr>
        <w:jc w:val="both"/>
        <w:rPr>
          <w:rFonts w:ascii="Arial" w:hAnsi="Arial" w:cs="Arial"/>
          <w:sz w:val="22"/>
        </w:rPr>
      </w:pPr>
    </w:p>
    <w:p w14:paraId="3CC19627" w14:textId="77777777" w:rsidR="00885117" w:rsidRPr="00927590" w:rsidRDefault="00885117" w:rsidP="00885117">
      <w:pPr>
        <w:rPr>
          <w:rFonts w:ascii="Arial" w:eastAsia="Calibri" w:hAnsi="Arial" w:cs="Arial"/>
          <w:sz w:val="22"/>
          <w:lang w:val="es-ES"/>
        </w:rPr>
      </w:pPr>
    </w:p>
    <w:bookmarkEnd w:id="0"/>
    <w:bookmarkEnd w:id="1"/>
    <w:p w14:paraId="7EBF297E" w14:textId="77777777" w:rsidR="007B0854" w:rsidRPr="00885117" w:rsidRDefault="007B0854" w:rsidP="00885117"/>
    <w:sectPr w:rsidR="007B0854" w:rsidRPr="00885117"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837E7" w14:textId="77777777" w:rsidR="00CE1FE9" w:rsidRDefault="00CE1FE9">
      <w:r>
        <w:separator/>
      </w:r>
    </w:p>
  </w:endnote>
  <w:endnote w:type="continuationSeparator" w:id="0">
    <w:p w14:paraId="6B5742B5" w14:textId="77777777" w:rsidR="00CE1FE9" w:rsidRDefault="00CE1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F2C9" w14:textId="77777777" w:rsidR="000255EE" w:rsidRDefault="000255EE" w:rsidP="007B0854">
    <w:pPr>
      <w:pStyle w:val="Sinespaciado"/>
      <w:jc w:val="center"/>
      <w:rPr>
        <w:rFonts w:ascii="Arial" w:hAnsi="Arial" w:cs="Arial"/>
        <w:sz w:val="18"/>
        <w:szCs w:val="18"/>
      </w:rPr>
    </w:pPr>
  </w:p>
  <w:p w14:paraId="312C4A14" w14:textId="1CC17C36" w:rsidR="000255EE" w:rsidRPr="005A79FE" w:rsidRDefault="000255E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0255EE" w:rsidRDefault="000255EE" w:rsidP="007B0854">
    <w:pPr>
      <w:pStyle w:val="Piedepgina"/>
      <w:jc w:val="center"/>
      <w:rPr>
        <w:lang w:val="es-ES"/>
      </w:rPr>
    </w:pPr>
    <w:r>
      <w:rPr>
        <w:noProof/>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0255EE" w:rsidRPr="007B0854" w:rsidRDefault="000255E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24213" w14:textId="77777777" w:rsidR="00CE1FE9" w:rsidRDefault="00CE1FE9">
      <w:r>
        <w:separator/>
      </w:r>
    </w:p>
  </w:footnote>
  <w:footnote w:type="continuationSeparator" w:id="0">
    <w:p w14:paraId="683E1475" w14:textId="77777777" w:rsidR="00CE1FE9" w:rsidRDefault="00CE1FE9">
      <w:r>
        <w:continuationSeparator/>
      </w:r>
    </w:p>
  </w:footnote>
  <w:footnote w:id="1">
    <w:p w14:paraId="35B9C3E4" w14:textId="77777777" w:rsidR="000255EE" w:rsidRPr="00C52776" w:rsidRDefault="000255EE" w:rsidP="00C52776">
      <w:pPr>
        <w:ind w:left="810"/>
        <w:jc w:val="both"/>
        <w:rPr>
          <w:rFonts w:ascii="Arial" w:hAnsi="Arial" w:cs="Arial"/>
          <w:sz w:val="19"/>
          <w:szCs w:val="19"/>
        </w:rPr>
      </w:pPr>
      <w:r w:rsidRPr="00C52776">
        <w:rPr>
          <w:rStyle w:val="Refdenotaalpie"/>
          <w:rFonts w:ascii="Arial" w:hAnsi="Arial" w:cs="Arial"/>
          <w:sz w:val="19"/>
          <w:szCs w:val="19"/>
        </w:rPr>
        <w:footnoteRef/>
      </w:r>
      <w:r w:rsidRPr="00C52776">
        <w:rPr>
          <w:rFonts w:ascii="Arial" w:hAnsi="Arial" w:cs="Arial"/>
          <w:sz w:val="19"/>
          <w:szCs w:val="19"/>
        </w:rPr>
        <w:t xml:space="preserve"> Artículo 2.2.1.1.2.1.1. del Decreto 1082 de 2015.</w:t>
      </w:r>
    </w:p>
    <w:p w14:paraId="329CDEE4" w14:textId="77777777" w:rsidR="000255EE" w:rsidRPr="00C52776" w:rsidRDefault="000255EE" w:rsidP="00C52776">
      <w:pPr>
        <w:ind w:left="810"/>
        <w:jc w:val="both"/>
        <w:rPr>
          <w:rFonts w:ascii="Arial" w:hAnsi="Arial" w:cs="Arial"/>
          <w:sz w:val="19"/>
          <w:szCs w:val="19"/>
        </w:rPr>
      </w:pPr>
    </w:p>
  </w:footnote>
  <w:footnote w:id="2">
    <w:p w14:paraId="471F9B3B" w14:textId="2A69B465" w:rsidR="000255EE" w:rsidRPr="00AA0FD3" w:rsidRDefault="000255EE" w:rsidP="00C52776">
      <w:pPr>
        <w:pStyle w:val="Textonotapie"/>
        <w:ind w:firstLine="708"/>
        <w:jc w:val="both"/>
        <w:rPr>
          <w:rFonts w:ascii="Arial" w:eastAsia="Times New Roman" w:hAnsi="Arial" w:cs="Arial"/>
          <w:sz w:val="19"/>
          <w:szCs w:val="19"/>
          <w:lang w:val="es-CO" w:eastAsia="es-CO"/>
        </w:rPr>
      </w:pPr>
      <w:r w:rsidRPr="00C52776">
        <w:rPr>
          <w:rStyle w:val="Refdenotaalpie"/>
          <w:rFonts w:ascii="Arial" w:hAnsi="Arial" w:cs="Arial"/>
          <w:sz w:val="19"/>
          <w:szCs w:val="19"/>
        </w:rPr>
        <w:footnoteRef/>
      </w:r>
      <w:r w:rsidRPr="00C52776">
        <w:rPr>
          <w:rFonts w:ascii="Arial" w:hAnsi="Arial" w:cs="Arial"/>
          <w:sz w:val="19"/>
          <w:szCs w:val="19"/>
        </w:rPr>
        <w:t xml:space="preserve"> </w:t>
      </w:r>
      <w:r w:rsidRPr="00C52776">
        <w:rPr>
          <w:rFonts w:ascii="Arial" w:eastAsia="Times New Roman" w:hAnsi="Arial" w:cs="Arial"/>
          <w:sz w:val="19"/>
          <w:szCs w:val="19"/>
          <w:lang w:val="es-CO" w:eastAsia="es-CO"/>
        </w:rPr>
        <w:t xml:space="preserve">Consejo de Estado. </w:t>
      </w:r>
      <w:r w:rsidRPr="00AA0FD3">
        <w:rPr>
          <w:rFonts w:ascii="Arial" w:eastAsia="Times New Roman" w:hAnsi="Arial" w:cs="Arial"/>
          <w:sz w:val="19"/>
          <w:szCs w:val="19"/>
          <w:lang w:val="es-CO" w:eastAsia="es-CO"/>
        </w:rPr>
        <w:t>Sección Tercera. Sentencia del 27 de abril de 2011. Exp. 18.293. C.P. Ruth Stella Correa Palacio.</w:t>
      </w:r>
    </w:p>
    <w:p w14:paraId="22930E70" w14:textId="77777777" w:rsidR="000255EE" w:rsidRPr="00E460B6" w:rsidRDefault="000255EE" w:rsidP="00AA0FD3">
      <w:pPr>
        <w:pStyle w:val="Textonotapie"/>
        <w:ind w:firstLine="708"/>
        <w:jc w:val="both"/>
        <w:rPr>
          <w:rFonts w:ascii="Arial" w:hAnsi="Arial" w:cs="Arial"/>
          <w:sz w:val="19"/>
          <w:szCs w:val="19"/>
          <w:lang w:val="es-CO"/>
        </w:rPr>
      </w:pPr>
    </w:p>
  </w:footnote>
  <w:footnote w:id="3">
    <w:p w14:paraId="5D99330A" w14:textId="0C7EEB24" w:rsidR="000255EE" w:rsidRPr="00336F97" w:rsidRDefault="000255EE" w:rsidP="00AA0FD3">
      <w:pPr>
        <w:pStyle w:val="Textonotapie"/>
        <w:ind w:firstLine="708"/>
        <w:rPr>
          <w:rFonts w:ascii="Arial" w:hAnsi="Arial" w:cs="Arial"/>
          <w:sz w:val="19"/>
          <w:szCs w:val="19"/>
        </w:rPr>
      </w:pPr>
      <w:r w:rsidRPr="00336F97">
        <w:rPr>
          <w:rStyle w:val="Refdenotaalpie"/>
          <w:rFonts w:ascii="Arial" w:hAnsi="Arial" w:cs="Arial"/>
          <w:sz w:val="19"/>
          <w:szCs w:val="19"/>
        </w:rPr>
        <w:footnoteRef/>
      </w:r>
      <w:r w:rsidRPr="00336F97">
        <w:rPr>
          <w:rFonts w:ascii="Arial" w:hAnsi="Arial" w:cs="Arial"/>
          <w:sz w:val="19"/>
          <w:szCs w:val="19"/>
        </w:rPr>
        <w:t xml:space="preserve"> El numeral 1.15 del documento base establece: «1.15 Causales de rechazo. </w:t>
      </w:r>
    </w:p>
    <w:p w14:paraId="77D4DAFB" w14:textId="77777777" w:rsidR="000255EE" w:rsidRPr="00336F97" w:rsidRDefault="000255EE">
      <w:pPr>
        <w:rPr>
          <w:rFonts w:ascii="Arial" w:hAnsi="Arial" w:cs="Arial"/>
          <w:sz w:val="19"/>
          <w:szCs w:val="19"/>
        </w:rPr>
      </w:pPr>
      <w:r w:rsidRPr="00336F97">
        <w:rPr>
          <w:rFonts w:ascii="Arial" w:hAnsi="Arial" w:cs="Arial"/>
          <w:sz w:val="19"/>
          <w:szCs w:val="19"/>
        </w:rPr>
        <w:t xml:space="preserve">Son causales de rechazo de las propuestas las siguientes </w:t>
      </w:r>
      <w:r w:rsidRPr="00336F97">
        <w:rPr>
          <w:rFonts w:ascii="Arial" w:hAnsi="Arial" w:cs="Arial"/>
          <w:sz w:val="19"/>
          <w:szCs w:val="19"/>
          <w:highlight w:val="lightGray"/>
        </w:rPr>
        <w:t>[Las entidades no podrán incluir causales de rechazo distintas a las señaladas en la presente sección]</w:t>
      </w:r>
      <w:r w:rsidRPr="00336F97">
        <w:rPr>
          <w:rFonts w:ascii="Arial" w:hAnsi="Arial" w:cs="Arial"/>
          <w:sz w:val="19"/>
          <w:szCs w:val="19"/>
        </w:rPr>
        <w:t>:</w:t>
      </w:r>
    </w:p>
    <w:p w14:paraId="3BE1BF34" w14:textId="77777777" w:rsidR="000255EE" w:rsidRPr="00336F97" w:rsidRDefault="000255EE" w:rsidP="00336F97">
      <w:pPr>
        <w:pStyle w:val="Prrafodelista"/>
        <w:numPr>
          <w:ilvl w:val="0"/>
          <w:numId w:val="7"/>
        </w:numPr>
        <w:ind w:left="426" w:hanging="426"/>
        <w:contextualSpacing w:val="0"/>
        <w:jc w:val="both"/>
        <w:rPr>
          <w:rFonts w:ascii="Arial" w:hAnsi="Arial" w:cs="Arial"/>
          <w:sz w:val="19"/>
          <w:szCs w:val="19"/>
        </w:rPr>
      </w:pPr>
      <w:r w:rsidRPr="00336F97">
        <w:rPr>
          <w:rFonts w:ascii="Arial" w:hAnsi="Arial" w:cs="Arial"/>
          <w:sz w:val="19"/>
          <w:szCs w:val="19"/>
        </w:rPr>
        <w:t>Que el proponente o alguno de los integrantes del proponente plural esté incurso en causal de inhabilidad, incompatibilidad o prohibición previstas en la legislación para contratar.</w:t>
      </w:r>
    </w:p>
    <w:p w14:paraId="5E70F6A5" w14:textId="77777777" w:rsidR="000255EE" w:rsidRPr="00336F97" w:rsidRDefault="000255EE" w:rsidP="00336F97">
      <w:pPr>
        <w:pStyle w:val="Prrafodelista"/>
        <w:ind w:left="426"/>
        <w:contextualSpacing w:val="0"/>
        <w:rPr>
          <w:rFonts w:ascii="Arial" w:hAnsi="Arial" w:cs="Arial"/>
          <w:sz w:val="19"/>
          <w:szCs w:val="19"/>
        </w:rPr>
      </w:pPr>
      <w:r w:rsidRPr="00336F97">
        <w:rPr>
          <w:rFonts w:ascii="Arial" w:hAnsi="Arial" w:cs="Arial"/>
          <w:sz w:val="19"/>
          <w:szCs w:val="19"/>
          <w:highlight w:val="lightGray"/>
        </w:rPr>
        <w:t>[Cuando en el mismo proceso de contratación se presentan oferentes en la situación descrita por los literales g) y h) del numeral 1 del artículo 8 de la Ley 80 de 1993, la entidad solo admitirá la oferta presentada primero en el tiempo]</w:t>
      </w:r>
    </w:p>
    <w:p w14:paraId="2EB30018" w14:textId="77777777" w:rsidR="000255EE" w:rsidRPr="00336F97" w:rsidRDefault="000255EE" w:rsidP="00336F97">
      <w:pPr>
        <w:pStyle w:val="Prrafodelista"/>
        <w:numPr>
          <w:ilvl w:val="0"/>
          <w:numId w:val="7"/>
        </w:numPr>
        <w:ind w:left="426" w:hanging="426"/>
        <w:contextualSpacing w:val="0"/>
        <w:jc w:val="both"/>
        <w:rPr>
          <w:rFonts w:ascii="Arial" w:hAnsi="Arial" w:cs="Arial"/>
          <w:sz w:val="19"/>
          <w:szCs w:val="19"/>
        </w:rPr>
      </w:pPr>
      <w:r w:rsidRPr="00336F97">
        <w:rPr>
          <w:rFonts w:ascii="Arial" w:hAnsi="Arial" w:cs="Arial"/>
          <w:sz w:val="19"/>
          <w:szCs w:val="19"/>
        </w:rPr>
        <w:t>Cuando una misma persona natural o jurídica, o integrante de un proponente plural presente o haga parte en más de una propuesta para el presente proceso de contratación.</w:t>
      </w:r>
    </w:p>
    <w:p w14:paraId="24175EA1" w14:textId="77777777" w:rsidR="000255EE" w:rsidRPr="00336F97" w:rsidRDefault="000255EE" w:rsidP="00336F97">
      <w:pPr>
        <w:pStyle w:val="Prrafodelista"/>
        <w:ind w:left="426"/>
        <w:contextualSpacing w:val="0"/>
        <w:rPr>
          <w:rFonts w:ascii="Arial" w:hAnsi="Arial" w:cs="Arial"/>
          <w:sz w:val="19"/>
          <w:szCs w:val="19"/>
        </w:rPr>
      </w:pPr>
      <w:r w:rsidRPr="00336F97">
        <w:rPr>
          <w:rFonts w:ascii="Arial" w:hAnsi="Arial" w:cs="Arial"/>
          <w:sz w:val="19"/>
          <w:szCs w:val="19"/>
          <w:highlight w:val="lightGray"/>
        </w:rPr>
        <w:t>[Reemplazar el texto anterior por el siguiente, cuando el proceso es estructurado por lotes o grupos: Cuando una misma persona natural o jurídica, o integrante de un proponente plural presente o haga parte en más de una propuesta para el mismo lote o grupo del presente proceso de contratación]</w:t>
      </w:r>
      <w:r w:rsidRPr="00336F97">
        <w:rPr>
          <w:rFonts w:ascii="Arial" w:hAnsi="Arial" w:cs="Arial"/>
          <w:sz w:val="19"/>
          <w:szCs w:val="19"/>
        </w:rPr>
        <w:t xml:space="preserve"> </w:t>
      </w:r>
    </w:p>
    <w:p w14:paraId="2F960C06" w14:textId="77777777" w:rsidR="000255EE" w:rsidRPr="00336F97" w:rsidRDefault="000255EE" w:rsidP="00336F97">
      <w:pPr>
        <w:pStyle w:val="Prrafodelista"/>
        <w:numPr>
          <w:ilvl w:val="0"/>
          <w:numId w:val="7"/>
        </w:numPr>
        <w:ind w:left="426" w:hanging="426"/>
        <w:contextualSpacing w:val="0"/>
        <w:jc w:val="both"/>
        <w:rPr>
          <w:rFonts w:ascii="Arial" w:hAnsi="Arial" w:cs="Arial"/>
          <w:sz w:val="19"/>
          <w:szCs w:val="19"/>
        </w:rPr>
      </w:pPr>
      <w:r w:rsidRPr="00336F97">
        <w:rPr>
          <w:rFonts w:ascii="Arial" w:hAnsi="Arial" w:cs="Arial"/>
          <w:sz w:val="19"/>
          <w:szCs w:val="19"/>
        </w:rPr>
        <w:t>Que el proponente o alguno de los integrantes del proponente plural esté reportado en el Boletín de Responsables Fiscales emitido por la Contraloría General de la República.</w:t>
      </w:r>
    </w:p>
    <w:p w14:paraId="2A580B3D" w14:textId="77777777" w:rsidR="000255EE" w:rsidRPr="00336F97" w:rsidRDefault="000255EE" w:rsidP="00336F97">
      <w:pPr>
        <w:pStyle w:val="Prrafodelista"/>
        <w:numPr>
          <w:ilvl w:val="0"/>
          <w:numId w:val="7"/>
        </w:numPr>
        <w:ind w:left="426" w:hanging="426"/>
        <w:contextualSpacing w:val="0"/>
        <w:jc w:val="both"/>
        <w:rPr>
          <w:rFonts w:ascii="Arial" w:hAnsi="Arial" w:cs="Arial"/>
          <w:sz w:val="19"/>
          <w:szCs w:val="19"/>
        </w:rPr>
      </w:pPr>
      <w:r w:rsidRPr="00336F97">
        <w:rPr>
          <w:rFonts w:ascii="Arial" w:hAnsi="Arial" w:cs="Arial"/>
          <w:sz w:val="19"/>
          <w:szCs w:val="19"/>
        </w:rPr>
        <w:t>Que la persona jurídica proponente individual o integrante del proponente plural esté incursa en la situación descrita en el numeral 1 del artículo 38 de la Ley 1116 de 2006.</w:t>
      </w:r>
    </w:p>
    <w:p w14:paraId="0EB3DA76" w14:textId="77777777" w:rsidR="000255EE" w:rsidRPr="00336F97" w:rsidRDefault="000255EE" w:rsidP="00336F97">
      <w:pPr>
        <w:pStyle w:val="Prrafodelista"/>
        <w:numPr>
          <w:ilvl w:val="0"/>
          <w:numId w:val="7"/>
        </w:numPr>
        <w:ind w:left="426" w:hanging="426"/>
        <w:contextualSpacing w:val="0"/>
        <w:jc w:val="both"/>
        <w:rPr>
          <w:rFonts w:ascii="Arial" w:hAnsi="Arial" w:cs="Arial"/>
          <w:sz w:val="19"/>
          <w:szCs w:val="19"/>
        </w:rPr>
      </w:pPr>
      <w:r w:rsidRPr="00336F97">
        <w:rPr>
          <w:rFonts w:ascii="Arial" w:hAnsi="Arial" w:cs="Arial"/>
          <w:sz w:val="19"/>
          <w:szCs w:val="19"/>
        </w:rPr>
        <w:t>Que el proponente no aclare, subsane o aporte documentos necesarios para cumplir un requisito habilitante o aportándolos no lo haga de forma correcta, en los términos establecidos en la sección 1.6.</w:t>
      </w:r>
    </w:p>
    <w:p w14:paraId="24D0964B" w14:textId="77777777" w:rsidR="000255EE" w:rsidRPr="00336F97" w:rsidRDefault="000255EE" w:rsidP="00336F97">
      <w:pPr>
        <w:pStyle w:val="Prrafodelista"/>
        <w:numPr>
          <w:ilvl w:val="0"/>
          <w:numId w:val="7"/>
        </w:numPr>
        <w:ind w:left="426" w:hanging="426"/>
        <w:contextualSpacing w:val="0"/>
        <w:jc w:val="both"/>
        <w:rPr>
          <w:rFonts w:ascii="Arial" w:hAnsi="Arial" w:cs="Arial"/>
          <w:sz w:val="19"/>
          <w:szCs w:val="19"/>
        </w:rPr>
      </w:pPr>
      <w:r w:rsidRPr="00336F97">
        <w:rPr>
          <w:rFonts w:ascii="Arial" w:hAnsi="Arial" w:cs="Arial"/>
          <w:sz w:val="19"/>
          <w:szCs w:val="19"/>
        </w:rPr>
        <w:t>Que la inscripción en el Registro Único de Proponentes (RUP) que realice el proponente, por primera vez o cuando han cesado los efectos y debe volver a inscribirse, no esté en firme en la fecha prevista para el cierre del proceso de contratación.</w:t>
      </w:r>
    </w:p>
    <w:p w14:paraId="71228247" w14:textId="77777777" w:rsidR="000255EE" w:rsidRPr="00336F97" w:rsidRDefault="000255EE" w:rsidP="00336F97">
      <w:pPr>
        <w:pStyle w:val="Prrafodelista"/>
        <w:numPr>
          <w:ilvl w:val="0"/>
          <w:numId w:val="7"/>
        </w:numPr>
        <w:ind w:left="426" w:hanging="426"/>
        <w:contextualSpacing w:val="0"/>
        <w:jc w:val="both"/>
        <w:rPr>
          <w:rFonts w:ascii="Arial" w:hAnsi="Arial" w:cs="Arial"/>
          <w:sz w:val="19"/>
          <w:szCs w:val="19"/>
        </w:rPr>
      </w:pPr>
      <w:r w:rsidRPr="00336F97">
        <w:rPr>
          <w:rFonts w:ascii="Arial" w:hAnsi="Arial" w:cs="Arial"/>
          <w:sz w:val="19"/>
          <w:szCs w:val="19"/>
        </w:rPr>
        <w:t xml:space="preserve">Que el proponente no acredite la presentación de la información para renovar el Registro Único de Proponentes (RUP), a más tardar el quinto día hábil del mes de abril de cada año, o en la fecha que establezca la ley o el reglamento, si fuera una distinta. </w:t>
      </w:r>
    </w:p>
    <w:p w14:paraId="53ECBF20" w14:textId="77777777" w:rsidR="000255EE" w:rsidRPr="00336F97" w:rsidRDefault="000255EE" w:rsidP="00336F97">
      <w:pPr>
        <w:pStyle w:val="Prrafodelista"/>
        <w:numPr>
          <w:ilvl w:val="0"/>
          <w:numId w:val="7"/>
        </w:numPr>
        <w:ind w:left="426" w:hanging="426"/>
        <w:contextualSpacing w:val="0"/>
        <w:jc w:val="both"/>
        <w:rPr>
          <w:rFonts w:ascii="Arial" w:hAnsi="Arial" w:cs="Arial"/>
          <w:sz w:val="19"/>
          <w:szCs w:val="19"/>
        </w:rPr>
      </w:pPr>
      <w:r w:rsidRPr="00336F97">
        <w:rPr>
          <w:rFonts w:ascii="Arial" w:hAnsi="Arial" w:cs="Arial"/>
          <w:sz w:val="19"/>
          <w:szCs w:val="19"/>
        </w:rPr>
        <w:t>Que el proponente aporte información inexacta sobre la cual pueda existir una posible falsedad en los términos de la sección 1.11.</w:t>
      </w:r>
    </w:p>
    <w:p w14:paraId="3C6D06AB" w14:textId="77777777" w:rsidR="000255EE" w:rsidRPr="00336F97" w:rsidRDefault="000255EE" w:rsidP="00336F97">
      <w:pPr>
        <w:pStyle w:val="Prrafodelista"/>
        <w:numPr>
          <w:ilvl w:val="0"/>
          <w:numId w:val="7"/>
        </w:numPr>
        <w:ind w:left="426" w:hanging="426"/>
        <w:contextualSpacing w:val="0"/>
        <w:jc w:val="both"/>
        <w:rPr>
          <w:rFonts w:ascii="Arial" w:hAnsi="Arial" w:cs="Arial"/>
          <w:sz w:val="19"/>
          <w:szCs w:val="19"/>
        </w:rPr>
      </w:pPr>
      <w:r w:rsidRPr="00336F97">
        <w:rPr>
          <w:rFonts w:ascii="Arial" w:hAnsi="Arial" w:cs="Arial"/>
          <w:sz w:val="19"/>
          <w:szCs w:val="19"/>
        </w:rPr>
        <w:t>Que el proponente se encuentre inmerso en un conflicto de interés previsto en una norma de rango constitucional o legal o en la causal prevista en el numeral 1.14 del pliego de condiciones.</w:t>
      </w:r>
    </w:p>
    <w:p w14:paraId="3DA59202" w14:textId="77777777" w:rsidR="000255EE" w:rsidRPr="00336F97" w:rsidRDefault="000255EE" w:rsidP="00336F97">
      <w:pPr>
        <w:pStyle w:val="Prrafodelista"/>
        <w:numPr>
          <w:ilvl w:val="0"/>
          <w:numId w:val="7"/>
        </w:numPr>
        <w:ind w:left="426" w:hanging="426"/>
        <w:contextualSpacing w:val="0"/>
        <w:jc w:val="both"/>
        <w:rPr>
          <w:rFonts w:ascii="Arial" w:hAnsi="Arial" w:cs="Arial"/>
          <w:sz w:val="19"/>
          <w:szCs w:val="19"/>
        </w:rPr>
      </w:pPr>
      <w:r w:rsidRPr="00336F97">
        <w:rPr>
          <w:rFonts w:ascii="Arial" w:hAnsi="Arial" w:cs="Arial"/>
          <w:sz w:val="19"/>
          <w:szCs w:val="19"/>
          <w:highlight w:val="lightGray"/>
        </w:rPr>
        <w:t>[Incluir esta causal cuando las ofertas se presente en el SECOP I]</w:t>
      </w:r>
      <w:r w:rsidRPr="00336F97">
        <w:rPr>
          <w:rFonts w:ascii="Arial" w:hAnsi="Arial" w:cs="Arial"/>
          <w:sz w:val="19"/>
          <w:szCs w:val="19"/>
        </w:rPr>
        <w:t xml:space="preserve"> Que la propuesta económica no se aporte firmada.</w:t>
      </w:r>
    </w:p>
    <w:p w14:paraId="13DF1FEF" w14:textId="77777777" w:rsidR="000255EE" w:rsidRPr="00336F97" w:rsidRDefault="000255EE" w:rsidP="00336F97">
      <w:pPr>
        <w:pStyle w:val="Prrafodelista"/>
        <w:numPr>
          <w:ilvl w:val="0"/>
          <w:numId w:val="7"/>
        </w:numPr>
        <w:ind w:left="426" w:hanging="426"/>
        <w:contextualSpacing w:val="0"/>
        <w:jc w:val="both"/>
        <w:rPr>
          <w:rFonts w:ascii="Arial" w:hAnsi="Arial" w:cs="Arial"/>
          <w:sz w:val="19"/>
          <w:szCs w:val="19"/>
        </w:rPr>
      </w:pPr>
      <w:r w:rsidRPr="00336F97">
        <w:rPr>
          <w:rFonts w:ascii="Arial" w:hAnsi="Arial" w:cs="Arial"/>
          <w:sz w:val="19"/>
          <w:szCs w:val="19"/>
        </w:rPr>
        <w:t>No entregar la Garantía de seriedad de la oferta junto con la propuesta.</w:t>
      </w:r>
    </w:p>
    <w:p w14:paraId="71D8D90E" w14:textId="77777777" w:rsidR="000255EE" w:rsidRPr="00336F97" w:rsidRDefault="000255EE" w:rsidP="00336F97">
      <w:pPr>
        <w:pStyle w:val="Prrafodelista"/>
        <w:numPr>
          <w:ilvl w:val="0"/>
          <w:numId w:val="7"/>
        </w:numPr>
        <w:ind w:left="426" w:hanging="426"/>
        <w:contextualSpacing w:val="0"/>
        <w:jc w:val="both"/>
        <w:rPr>
          <w:rFonts w:ascii="Arial" w:hAnsi="Arial" w:cs="Arial"/>
          <w:sz w:val="19"/>
          <w:szCs w:val="19"/>
        </w:rPr>
      </w:pPr>
      <w:r w:rsidRPr="00336F97">
        <w:rPr>
          <w:rFonts w:ascii="Arial" w:hAnsi="Arial" w:cs="Arial"/>
          <w:sz w:val="19"/>
          <w:szCs w:val="19"/>
        </w:rPr>
        <w:t>Que el objeto social del proponente o el de sus integrantes no le permita ejecutar el objeto del contrato.</w:t>
      </w:r>
    </w:p>
    <w:p w14:paraId="270BE7FF" w14:textId="77777777" w:rsidR="000255EE" w:rsidRPr="00336F97" w:rsidRDefault="000255EE" w:rsidP="00336F97">
      <w:pPr>
        <w:pStyle w:val="Prrafodelista"/>
        <w:numPr>
          <w:ilvl w:val="0"/>
          <w:numId w:val="7"/>
        </w:numPr>
        <w:ind w:left="426" w:hanging="426"/>
        <w:contextualSpacing w:val="0"/>
        <w:jc w:val="both"/>
        <w:rPr>
          <w:rFonts w:ascii="Arial" w:hAnsi="Arial" w:cs="Arial"/>
          <w:sz w:val="19"/>
          <w:szCs w:val="19"/>
        </w:rPr>
      </w:pPr>
      <w:r w:rsidRPr="00336F97">
        <w:rPr>
          <w:rFonts w:ascii="Arial" w:hAnsi="Arial" w:cs="Arial"/>
          <w:sz w:val="19"/>
          <w:szCs w:val="19"/>
        </w:rPr>
        <w:t>Que el valor total de la oferta o aquel revisado en la audiencia efectiva de adjudicación exceda el presupuesto oficial estimado para el proceso de contratación.</w:t>
      </w:r>
    </w:p>
    <w:p w14:paraId="0ECFE97F" w14:textId="77777777" w:rsidR="000255EE" w:rsidRPr="00336F97" w:rsidRDefault="000255EE" w:rsidP="00336F97">
      <w:pPr>
        <w:pStyle w:val="Prrafodelista"/>
        <w:numPr>
          <w:ilvl w:val="0"/>
          <w:numId w:val="7"/>
        </w:numPr>
        <w:ind w:left="426" w:hanging="426"/>
        <w:contextualSpacing w:val="0"/>
        <w:jc w:val="both"/>
        <w:rPr>
          <w:rFonts w:ascii="Arial" w:hAnsi="Arial" w:cs="Arial"/>
          <w:sz w:val="19"/>
          <w:szCs w:val="19"/>
        </w:rPr>
      </w:pPr>
      <w:r w:rsidRPr="00336F97">
        <w:rPr>
          <w:rFonts w:ascii="Arial" w:hAnsi="Arial" w:cs="Arial"/>
          <w:sz w:val="19"/>
          <w:szCs w:val="19"/>
        </w:rPr>
        <w:t>Presentar la oferta con tachaduras o enmendaduras que no estén convalidadas en la forma indicada en la sección 2.3 del pliego de condiciones.</w:t>
      </w:r>
    </w:p>
    <w:p w14:paraId="593D6807" w14:textId="77777777" w:rsidR="000255EE" w:rsidRPr="00336F97" w:rsidRDefault="000255EE" w:rsidP="00336F97">
      <w:pPr>
        <w:pStyle w:val="Prrafodelista"/>
        <w:numPr>
          <w:ilvl w:val="0"/>
          <w:numId w:val="7"/>
        </w:numPr>
        <w:ind w:left="426" w:hanging="426"/>
        <w:contextualSpacing w:val="0"/>
        <w:jc w:val="both"/>
        <w:rPr>
          <w:rFonts w:ascii="Arial" w:hAnsi="Arial" w:cs="Arial"/>
          <w:sz w:val="19"/>
          <w:szCs w:val="19"/>
        </w:rPr>
      </w:pPr>
      <w:r w:rsidRPr="00336F97">
        <w:rPr>
          <w:rFonts w:ascii="Arial" w:hAnsi="Arial" w:cs="Arial"/>
          <w:sz w:val="19"/>
          <w:szCs w:val="19"/>
        </w:rPr>
        <w:t xml:space="preserve">Que el proponente adicione, suprima, cambie, o modifique los ítems, la descripción, las especificaciones, el detalle, las unidades o cantidades señaladas en el Formulario 1 – Formulario de Presupuesto Oficial, de acuerdo con lo exigido por la entidad.. </w:t>
      </w:r>
    </w:p>
    <w:p w14:paraId="23CCCBE8" w14:textId="77777777" w:rsidR="000255EE" w:rsidRPr="00336F97" w:rsidRDefault="000255EE" w:rsidP="00336F97">
      <w:pPr>
        <w:pStyle w:val="Prrafodelista"/>
        <w:numPr>
          <w:ilvl w:val="0"/>
          <w:numId w:val="7"/>
        </w:numPr>
        <w:ind w:left="426" w:hanging="426"/>
        <w:contextualSpacing w:val="0"/>
        <w:jc w:val="both"/>
        <w:rPr>
          <w:rFonts w:ascii="Arial" w:hAnsi="Arial" w:cs="Arial"/>
          <w:sz w:val="19"/>
          <w:szCs w:val="19"/>
        </w:rPr>
      </w:pPr>
      <w:r w:rsidRPr="00336F97">
        <w:rPr>
          <w:rFonts w:ascii="Arial" w:hAnsi="Arial" w:cs="Arial"/>
          <w:sz w:val="19"/>
          <w:szCs w:val="19"/>
          <w:highlight w:val="lightGray"/>
        </w:rPr>
        <w:t>[Incluir solo cuando la forma de pago sea por precios unitarios]</w:t>
      </w:r>
      <w:r w:rsidRPr="00336F97">
        <w:rPr>
          <w:rFonts w:ascii="Arial" w:hAnsi="Arial" w:cs="Arial"/>
          <w:sz w:val="19"/>
          <w:szCs w:val="19"/>
        </w:rPr>
        <w:t xml:space="preserve"> No ofrecer el valor de un precio unitario u ofrecerlo en cero (0) pesos. </w:t>
      </w:r>
    </w:p>
    <w:p w14:paraId="02B74453" w14:textId="77777777" w:rsidR="000255EE" w:rsidRPr="00336F97" w:rsidRDefault="000255EE" w:rsidP="00336F97">
      <w:pPr>
        <w:pStyle w:val="Prrafodelista"/>
        <w:numPr>
          <w:ilvl w:val="0"/>
          <w:numId w:val="7"/>
        </w:numPr>
        <w:ind w:left="426" w:hanging="426"/>
        <w:contextualSpacing w:val="0"/>
        <w:jc w:val="both"/>
        <w:rPr>
          <w:rFonts w:ascii="Arial" w:hAnsi="Arial" w:cs="Arial"/>
          <w:sz w:val="19"/>
          <w:szCs w:val="19"/>
          <w:highlight w:val="lightGray"/>
        </w:rPr>
      </w:pPr>
      <w:r w:rsidRPr="00336F97">
        <w:rPr>
          <w:rFonts w:ascii="Arial" w:hAnsi="Arial" w:cs="Arial"/>
          <w:sz w:val="19"/>
          <w:szCs w:val="19"/>
          <w:highlight w:val="lightGray"/>
        </w:rPr>
        <w:t>[Incluir solo cuando la forma de pago sea por precios unitarios]</w:t>
      </w:r>
      <w:r w:rsidRPr="00336F97">
        <w:rPr>
          <w:rFonts w:ascii="Arial" w:hAnsi="Arial" w:cs="Arial"/>
          <w:sz w:val="19"/>
          <w:szCs w:val="19"/>
        </w:rPr>
        <w:t xml:space="preserve"> Superar el valor unitario de alguno o algunos de los siguientes ítems ofrecidos con respecto al valor establecido para cada ítem del presupuesto oficial: </w:t>
      </w:r>
      <w:r w:rsidRPr="00336F97">
        <w:rPr>
          <w:rFonts w:ascii="Arial" w:hAnsi="Arial" w:cs="Arial"/>
          <w:sz w:val="19"/>
          <w:szCs w:val="19"/>
          <w:highlight w:val="lightGray"/>
        </w:rPr>
        <w:t xml:space="preserve">[La entidad debe incluir esta causal cuando la forma de pago sea por precios unitarios y cuando considere necesario establecer ítems del presupuesto oficial cuyo valor no pueda ser excedido por el proponente. Cuando decida incluirla, identificará en este espacio los ítems frente a los cuales aplicará la causal de rechazo. </w:t>
      </w:r>
    </w:p>
    <w:p w14:paraId="4BC4CABD" w14:textId="77777777" w:rsidR="000255EE" w:rsidRPr="00336F97" w:rsidRDefault="000255EE" w:rsidP="00336F97">
      <w:pPr>
        <w:pStyle w:val="Prrafodelista"/>
        <w:ind w:left="426"/>
        <w:contextualSpacing w:val="0"/>
        <w:rPr>
          <w:rFonts w:ascii="Arial" w:hAnsi="Arial" w:cs="Arial"/>
          <w:sz w:val="19"/>
          <w:szCs w:val="19"/>
        </w:rPr>
      </w:pPr>
      <w:r w:rsidRPr="00336F97">
        <w:rPr>
          <w:rFonts w:ascii="Arial" w:hAnsi="Arial" w:cs="Arial"/>
          <w:sz w:val="19"/>
          <w:szCs w:val="19"/>
          <w:highlight w:val="lightGray"/>
        </w:rPr>
        <w:t>Para la aplicación de esta causal la entidad debe tener en cuenta que el valor unitario establecido en el Formulario 1 – Formulario de Presupuesto Oficial incluye el valor de AIU]</w:t>
      </w:r>
      <w:r w:rsidRPr="00336F97">
        <w:rPr>
          <w:rFonts w:ascii="Arial" w:hAnsi="Arial" w:cs="Arial"/>
          <w:sz w:val="19"/>
          <w:szCs w:val="19"/>
        </w:rPr>
        <w:t xml:space="preserve"> </w:t>
      </w:r>
    </w:p>
    <w:p w14:paraId="57A2A368" w14:textId="77777777" w:rsidR="000255EE" w:rsidRPr="00336F97" w:rsidRDefault="000255EE" w:rsidP="00336F97">
      <w:pPr>
        <w:pStyle w:val="Prrafodelista"/>
        <w:numPr>
          <w:ilvl w:val="0"/>
          <w:numId w:val="7"/>
        </w:numPr>
        <w:ind w:left="426" w:hanging="426"/>
        <w:contextualSpacing w:val="0"/>
        <w:jc w:val="both"/>
        <w:rPr>
          <w:rFonts w:ascii="Arial" w:hAnsi="Arial" w:cs="Arial"/>
          <w:sz w:val="19"/>
          <w:szCs w:val="19"/>
          <w:highlight w:val="lightGray"/>
        </w:rPr>
      </w:pPr>
      <w:r w:rsidRPr="00336F97">
        <w:rPr>
          <w:rFonts w:ascii="Arial" w:hAnsi="Arial" w:cs="Arial"/>
          <w:sz w:val="19"/>
          <w:szCs w:val="19"/>
          <w:highlight w:val="lightGray"/>
        </w:rPr>
        <w:t>[Esta causal aplica de acuerdo con la configuración de la oferta económica por parte de la entidad]</w:t>
      </w:r>
      <w:r w:rsidRPr="00336F97">
        <w:rPr>
          <w:rFonts w:ascii="Arial" w:hAnsi="Arial" w:cs="Arial"/>
          <w:sz w:val="19"/>
          <w:szCs w:val="19"/>
        </w:rPr>
        <w:t xml:space="preserve"> No discriminar en la oferta económica el porcentaje de AIU en la forma como lo establece el Pliego de Condiciones y el Formulario 1 – Formulario de presupuesto oficial. </w:t>
      </w:r>
      <w:r w:rsidRPr="00336F97">
        <w:rPr>
          <w:rFonts w:ascii="Arial" w:hAnsi="Arial" w:cs="Arial"/>
          <w:sz w:val="19"/>
          <w:szCs w:val="19"/>
          <w:highlight w:val="lightGray"/>
        </w:rPr>
        <w:t>[Se entiende que el proponente discrimina en la oferta económica el porcentaje de AIU cuando señala el porcentaje (%) correspondiente a la Administración, los Imprevistos y la Utilidad. En ningún caso la entidad rechazará la oferta por no presentar el desglose del AIU]</w:t>
      </w:r>
    </w:p>
    <w:p w14:paraId="1563A919" w14:textId="0399058F" w:rsidR="000255EE" w:rsidRPr="00336F97" w:rsidRDefault="000255EE" w:rsidP="00336F97">
      <w:pPr>
        <w:pStyle w:val="Prrafodelista"/>
        <w:numPr>
          <w:ilvl w:val="0"/>
          <w:numId w:val="7"/>
        </w:numPr>
        <w:ind w:left="426" w:hanging="426"/>
        <w:contextualSpacing w:val="0"/>
        <w:jc w:val="both"/>
        <w:rPr>
          <w:rFonts w:ascii="Arial" w:hAnsi="Arial" w:cs="Arial"/>
          <w:sz w:val="19"/>
          <w:szCs w:val="19"/>
        </w:rPr>
      </w:pPr>
      <w:r w:rsidRPr="00336F97">
        <w:rPr>
          <w:rFonts w:ascii="Arial" w:hAnsi="Arial" w:cs="Arial"/>
          <w:sz w:val="19"/>
          <w:szCs w:val="19"/>
        </w:rPr>
        <w:t xml:space="preserve">Ofrecer como AIU un porcentaje cuya sumatoria sea superior al establecido por la Entidad en el </w:t>
      </w:r>
      <w:r w:rsidRPr="00336F97">
        <w:rPr>
          <w:rFonts w:ascii="Arial" w:hAnsi="Arial" w:cs="Arial"/>
          <w:sz w:val="19"/>
          <w:szCs w:val="19"/>
        </w:rPr>
        <w:fldChar w:fldCharType="begin"/>
      </w:r>
      <w:r w:rsidRPr="00336F97">
        <w:rPr>
          <w:rFonts w:ascii="Arial" w:hAnsi="Arial" w:cs="Arial"/>
          <w:sz w:val="19"/>
          <w:szCs w:val="19"/>
        </w:rPr>
        <w:instrText xml:space="preserve"> REF _Ref57725061 \h  \* MERGEFORMAT </w:instrText>
      </w:r>
      <w:r w:rsidRPr="00336F97">
        <w:rPr>
          <w:rFonts w:ascii="Arial" w:hAnsi="Arial" w:cs="Arial"/>
          <w:sz w:val="19"/>
          <w:szCs w:val="19"/>
        </w:rPr>
      </w:r>
      <w:r w:rsidRPr="00336F97">
        <w:rPr>
          <w:rFonts w:ascii="Arial" w:hAnsi="Arial" w:cs="Arial"/>
          <w:sz w:val="19"/>
          <w:szCs w:val="19"/>
        </w:rPr>
        <w:fldChar w:fldCharType="separate"/>
      </w:r>
      <w:r w:rsidRPr="00336F97">
        <w:rPr>
          <w:rFonts w:ascii="Arial" w:hAnsi="Arial" w:cs="Arial"/>
          <w:sz w:val="19"/>
          <w:szCs w:val="19"/>
        </w:rPr>
        <w:t>Formulario 1– Formulario de Presupuesto Oficial</w:t>
      </w:r>
      <w:r w:rsidRPr="00336F97">
        <w:rPr>
          <w:rFonts w:ascii="Arial" w:hAnsi="Arial" w:cs="Arial"/>
          <w:sz w:val="19"/>
          <w:szCs w:val="19"/>
        </w:rPr>
        <w:fldChar w:fldCharType="end"/>
      </w:r>
      <w:r w:rsidRPr="00336F97">
        <w:rPr>
          <w:rFonts w:ascii="Arial" w:hAnsi="Arial" w:cs="Arial"/>
          <w:sz w:val="19"/>
          <w:szCs w:val="19"/>
        </w:rPr>
        <w:t>.</w:t>
      </w:r>
    </w:p>
    <w:p w14:paraId="2B5ACF2B" w14:textId="77777777" w:rsidR="000255EE" w:rsidRPr="00336F97" w:rsidRDefault="000255EE" w:rsidP="00336F97">
      <w:pPr>
        <w:pStyle w:val="Prrafodelista"/>
        <w:numPr>
          <w:ilvl w:val="0"/>
          <w:numId w:val="7"/>
        </w:numPr>
        <w:ind w:left="426" w:hanging="426"/>
        <w:contextualSpacing w:val="0"/>
        <w:jc w:val="both"/>
        <w:rPr>
          <w:rFonts w:ascii="Arial" w:hAnsi="Arial" w:cs="Arial"/>
          <w:sz w:val="19"/>
          <w:szCs w:val="19"/>
        </w:rPr>
      </w:pPr>
      <w:r w:rsidRPr="00336F97">
        <w:rPr>
          <w:rFonts w:ascii="Arial" w:hAnsi="Arial" w:cs="Arial"/>
          <w:sz w:val="19"/>
          <w:szCs w:val="19"/>
        </w:rPr>
        <w:t>Cuando se presente propuesta condicionada para la adjudicación del contrato.</w:t>
      </w:r>
    </w:p>
    <w:p w14:paraId="55CA691B" w14:textId="77777777" w:rsidR="000255EE" w:rsidRPr="00336F97" w:rsidRDefault="000255EE" w:rsidP="00336F97">
      <w:pPr>
        <w:pStyle w:val="Prrafodelista"/>
        <w:numPr>
          <w:ilvl w:val="0"/>
          <w:numId w:val="7"/>
        </w:numPr>
        <w:ind w:left="426" w:hanging="426"/>
        <w:contextualSpacing w:val="0"/>
        <w:jc w:val="both"/>
        <w:rPr>
          <w:rFonts w:ascii="Arial" w:hAnsi="Arial" w:cs="Arial"/>
          <w:sz w:val="19"/>
          <w:szCs w:val="19"/>
        </w:rPr>
      </w:pPr>
      <w:r w:rsidRPr="00336F97">
        <w:rPr>
          <w:rFonts w:ascii="Arial" w:hAnsi="Arial" w:cs="Arial"/>
          <w:sz w:val="19"/>
          <w:szCs w:val="19"/>
        </w:rPr>
        <w:t>Presentar la oferta extemporáneamente.</w:t>
      </w:r>
    </w:p>
    <w:p w14:paraId="512F0B65" w14:textId="77777777" w:rsidR="000255EE" w:rsidRPr="00336F97" w:rsidRDefault="000255EE" w:rsidP="00336F97">
      <w:pPr>
        <w:pStyle w:val="Prrafodelista"/>
        <w:numPr>
          <w:ilvl w:val="0"/>
          <w:numId w:val="7"/>
        </w:numPr>
        <w:ind w:left="426" w:hanging="426"/>
        <w:contextualSpacing w:val="0"/>
        <w:jc w:val="both"/>
        <w:rPr>
          <w:rFonts w:ascii="Arial" w:hAnsi="Arial" w:cs="Arial"/>
          <w:sz w:val="19"/>
          <w:szCs w:val="19"/>
        </w:rPr>
      </w:pPr>
      <w:r w:rsidRPr="00336F97">
        <w:rPr>
          <w:rFonts w:ascii="Arial" w:hAnsi="Arial" w:cs="Arial"/>
          <w:sz w:val="19"/>
          <w:szCs w:val="19"/>
        </w:rPr>
        <w:t>No presentar oferta económica. Entregar la información de la propuesta económica en el sobre que no corresponda.</w:t>
      </w:r>
    </w:p>
    <w:p w14:paraId="14D512B0" w14:textId="77777777" w:rsidR="000255EE" w:rsidRPr="00336F97" w:rsidRDefault="000255EE" w:rsidP="00336F97">
      <w:pPr>
        <w:pStyle w:val="Prrafodelista"/>
        <w:numPr>
          <w:ilvl w:val="0"/>
          <w:numId w:val="7"/>
        </w:numPr>
        <w:ind w:left="426" w:hanging="426"/>
        <w:contextualSpacing w:val="0"/>
        <w:jc w:val="both"/>
        <w:rPr>
          <w:rFonts w:ascii="Arial" w:hAnsi="Arial" w:cs="Arial"/>
          <w:sz w:val="19"/>
          <w:szCs w:val="19"/>
          <w:highlight w:val="lightGray"/>
        </w:rPr>
      </w:pPr>
      <w:r w:rsidRPr="00336F97">
        <w:rPr>
          <w:rFonts w:ascii="Arial" w:hAnsi="Arial" w:cs="Arial"/>
          <w:sz w:val="19"/>
          <w:szCs w:val="19"/>
        </w:rPr>
        <w:t xml:space="preserve">Presentar más de una oferta económica con valores distintos en el Sobre 2. </w:t>
      </w:r>
      <w:r w:rsidRPr="00336F97">
        <w:rPr>
          <w:rFonts w:ascii="Arial" w:hAnsi="Arial" w:cs="Arial"/>
          <w:sz w:val="19"/>
          <w:szCs w:val="19"/>
          <w:highlight w:val="lightGray"/>
        </w:rPr>
        <w:t>[Cuando el proceso se estructure por lotes o grupos reemplazar el texto anterior por el siguiente: Presentar más de una oferta económica con valores distintos para el mismo lote o grupo]</w:t>
      </w:r>
    </w:p>
    <w:p w14:paraId="4D3A9A1E" w14:textId="77777777" w:rsidR="000255EE" w:rsidRPr="00336F97" w:rsidRDefault="000255EE" w:rsidP="00336F97">
      <w:pPr>
        <w:pStyle w:val="Prrafodelista"/>
        <w:numPr>
          <w:ilvl w:val="0"/>
          <w:numId w:val="7"/>
        </w:numPr>
        <w:ind w:left="426" w:hanging="426"/>
        <w:contextualSpacing w:val="0"/>
        <w:jc w:val="both"/>
        <w:rPr>
          <w:rFonts w:ascii="Arial" w:hAnsi="Arial" w:cs="Arial"/>
          <w:sz w:val="19"/>
          <w:szCs w:val="19"/>
        </w:rPr>
      </w:pPr>
      <w:r w:rsidRPr="00336F97">
        <w:rPr>
          <w:rFonts w:ascii="Arial" w:hAnsi="Arial" w:cs="Arial"/>
          <w:sz w:val="19"/>
          <w:szCs w:val="19"/>
        </w:rPr>
        <w:t xml:space="preserve">Cuando se determine que el valor total de la oferta es artificialmente bajo, de acuerdo con lo establecido en la sección 4.1.3 </w:t>
      </w:r>
    </w:p>
    <w:p w14:paraId="5C3742DE" w14:textId="77777777" w:rsidR="000255EE" w:rsidRPr="00336F97" w:rsidRDefault="000255EE" w:rsidP="00336F97">
      <w:pPr>
        <w:pStyle w:val="Prrafodelista"/>
        <w:numPr>
          <w:ilvl w:val="0"/>
          <w:numId w:val="7"/>
        </w:numPr>
        <w:ind w:left="426" w:hanging="426"/>
        <w:contextualSpacing w:val="0"/>
        <w:jc w:val="both"/>
        <w:rPr>
          <w:rFonts w:ascii="Arial" w:hAnsi="Arial" w:cs="Arial"/>
          <w:sz w:val="19"/>
          <w:szCs w:val="19"/>
        </w:rPr>
      </w:pPr>
      <w:r w:rsidRPr="00336F97">
        <w:rPr>
          <w:rFonts w:ascii="Arial" w:hAnsi="Arial" w:cs="Arial"/>
          <w:sz w:val="19"/>
          <w:szCs w:val="19"/>
        </w:rPr>
        <w:t>Cuando se presenten propuestas parciales y esta posibilidad no haya sido establecida en el pliego de condiciones.</w:t>
      </w:r>
    </w:p>
    <w:p w14:paraId="4F0D33E9" w14:textId="77777777" w:rsidR="000255EE" w:rsidRPr="00336F97" w:rsidRDefault="000255EE" w:rsidP="00336F97">
      <w:pPr>
        <w:pStyle w:val="Prrafodelista"/>
        <w:numPr>
          <w:ilvl w:val="0"/>
          <w:numId w:val="7"/>
        </w:numPr>
        <w:ind w:left="426" w:hanging="426"/>
        <w:contextualSpacing w:val="0"/>
        <w:jc w:val="both"/>
        <w:rPr>
          <w:rFonts w:ascii="Arial" w:hAnsi="Arial" w:cs="Arial"/>
          <w:sz w:val="19"/>
          <w:szCs w:val="19"/>
        </w:rPr>
      </w:pPr>
      <w:r w:rsidRPr="00336F97">
        <w:rPr>
          <w:rFonts w:ascii="Arial" w:hAnsi="Arial" w:cs="Arial"/>
          <w:sz w:val="19"/>
          <w:szCs w:val="19"/>
        </w:rPr>
        <w:t>No informar todos los contratos que el proponente tenga en ejecución antes del cierre, necesarios para acreditar su capacidad residual conforme a la sección 3.10.</w:t>
      </w:r>
    </w:p>
    <w:p w14:paraId="488D55C0" w14:textId="77777777" w:rsidR="000255EE" w:rsidRPr="00336F97" w:rsidRDefault="000255EE" w:rsidP="00336F97">
      <w:pPr>
        <w:pStyle w:val="Prrafodelista"/>
        <w:numPr>
          <w:ilvl w:val="0"/>
          <w:numId w:val="7"/>
        </w:numPr>
        <w:ind w:left="426" w:hanging="426"/>
        <w:contextualSpacing w:val="0"/>
        <w:jc w:val="both"/>
        <w:rPr>
          <w:rFonts w:ascii="Arial" w:hAnsi="Arial" w:cs="Arial"/>
          <w:sz w:val="19"/>
          <w:szCs w:val="19"/>
        </w:rPr>
      </w:pPr>
      <w:r w:rsidRPr="00336F97">
        <w:rPr>
          <w:rFonts w:ascii="Arial" w:hAnsi="Arial" w:cs="Arial"/>
          <w:sz w:val="19"/>
          <w:szCs w:val="19"/>
        </w:rPr>
        <w:t>Ofrecer un plazo superior al señalado por la entidad en el Anexo 1 – Anexo Técnico.</w:t>
      </w:r>
    </w:p>
    <w:p w14:paraId="711F7400" w14:textId="77777777" w:rsidR="000255EE" w:rsidRPr="00336F97" w:rsidRDefault="000255EE" w:rsidP="00336F97">
      <w:pPr>
        <w:pStyle w:val="Prrafodelista"/>
        <w:numPr>
          <w:ilvl w:val="0"/>
          <w:numId w:val="7"/>
        </w:numPr>
        <w:ind w:left="426" w:hanging="426"/>
        <w:contextualSpacing w:val="0"/>
        <w:jc w:val="both"/>
        <w:rPr>
          <w:rFonts w:ascii="Arial" w:hAnsi="Arial" w:cs="Arial"/>
          <w:sz w:val="19"/>
          <w:szCs w:val="19"/>
        </w:rPr>
      </w:pPr>
      <w:r w:rsidRPr="00336F97">
        <w:rPr>
          <w:rFonts w:ascii="Arial" w:hAnsi="Arial" w:cs="Arial"/>
          <w:sz w:val="19"/>
          <w:szCs w:val="19"/>
        </w:rPr>
        <w:t>Ofrecer condiciones particulares del proyecto de inferior calidad, personal profesional sin los requisitos mínimos; actividades por ejecutar y su alcance, forma de pago, obras provisionales, permisos, licencias y autorizaciones, notas técnicas específicas, y documentos técnicos adicionales, en condiciones diferentes a las establecidas por la Entidad en el Anexo 1 – Anexo Técnico.</w:t>
      </w:r>
    </w:p>
    <w:p w14:paraId="5EB20841" w14:textId="0DA63CC0" w:rsidR="000255EE" w:rsidRPr="00336F97" w:rsidRDefault="000255EE" w:rsidP="00336F97">
      <w:pPr>
        <w:pStyle w:val="Prrafodelista"/>
        <w:numPr>
          <w:ilvl w:val="0"/>
          <w:numId w:val="7"/>
        </w:numPr>
        <w:ind w:left="426" w:hanging="426"/>
        <w:contextualSpacing w:val="0"/>
        <w:jc w:val="both"/>
        <w:rPr>
          <w:rFonts w:ascii="Arial" w:hAnsi="Arial" w:cs="Arial"/>
          <w:sz w:val="19"/>
          <w:szCs w:val="19"/>
        </w:rPr>
      </w:pPr>
      <w:r w:rsidRPr="00336F97">
        <w:rPr>
          <w:rFonts w:ascii="Arial" w:hAnsi="Arial" w:cs="Arial"/>
          <w:sz w:val="19"/>
          <w:szCs w:val="19"/>
        </w:rPr>
        <w:t>Las demás previstas en la ley.</w:t>
      </w:r>
    </w:p>
    <w:p w14:paraId="32FC9A9C" w14:textId="77777777" w:rsidR="000255EE" w:rsidRPr="00336F97" w:rsidRDefault="000255EE" w:rsidP="00336F97">
      <w:pPr>
        <w:pStyle w:val="Textonotapie"/>
        <w:ind w:firstLine="708"/>
        <w:rPr>
          <w:rFonts w:ascii="Arial" w:hAnsi="Arial" w:cs="Arial"/>
          <w:sz w:val="19"/>
          <w:szCs w:val="19"/>
          <w:lang w:val="es-CO"/>
        </w:rPr>
      </w:pPr>
    </w:p>
  </w:footnote>
  <w:footnote w:id="4">
    <w:p w14:paraId="2B873AEE" w14:textId="77777777" w:rsidR="000255EE" w:rsidRPr="00336F97" w:rsidRDefault="000255EE" w:rsidP="00AA0FD3">
      <w:pPr>
        <w:pStyle w:val="Textonotapie"/>
        <w:ind w:firstLine="708"/>
        <w:jc w:val="both"/>
        <w:rPr>
          <w:rFonts w:ascii="Arial" w:hAnsi="Arial" w:cs="Arial"/>
          <w:sz w:val="19"/>
          <w:szCs w:val="19"/>
          <w:lang w:val="es-CO"/>
        </w:rPr>
      </w:pPr>
      <w:r w:rsidRPr="00336F97">
        <w:rPr>
          <w:rStyle w:val="Refdenotaalpie"/>
          <w:rFonts w:ascii="Arial" w:hAnsi="Arial" w:cs="Arial"/>
          <w:sz w:val="19"/>
          <w:szCs w:val="19"/>
        </w:rPr>
        <w:footnoteRef/>
      </w:r>
      <w:r w:rsidRPr="00336F97">
        <w:rPr>
          <w:rFonts w:ascii="Arial" w:hAnsi="Arial" w:cs="Arial"/>
          <w:sz w:val="19"/>
          <w:szCs w:val="19"/>
        </w:rPr>
        <w:t xml:space="preserve"> </w:t>
      </w:r>
      <w:r w:rsidRPr="00336F97">
        <w:rPr>
          <w:rFonts w:ascii="Arial" w:hAnsi="Arial" w:cs="Arial"/>
          <w:sz w:val="19"/>
          <w:szCs w:val="19"/>
          <w:lang w:val="es-CO"/>
        </w:rPr>
        <w:t>Al respecto esta Agencia ha manifestado: «[…] Como se consideró en los conceptos del 25 de septiembre y el 23 de diciembre de 2019 −radicados Nos. 2201913000007117 y 2201913000009538−, las causales de rechazo de ofertas consagradas en los documentos tipo son taxativas, descartándose que la entidad introduzca causales, salvo, que estén contempladas en otras disposiciones normativas. Igualmente, por la naturaleza de las causales de rechazo, su aplicación es estricta, lo que –a juicio de la Agencia Nacional de Contratación Pública– significa que su interpretación gramatical prevalece sobre una interpretación extensiva o de otra índole, mediante la cual se pretenda ampliar su alcance». Concepto C-642 del 30 de octubre de 2020. Radicado de entrada No. 4202013000008306. Radicado de salida No. 2202013000010785.</w:t>
      </w:r>
    </w:p>
    <w:p w14:paraId="7DEC8E94" w14:textId="77777777" w:rsidR="000255EE" w:rsidRPr="00336F97" w:rsidRDefault="000255EE" w:rsidP="00AA0FD3">
      <w:pPr>
        <w:pStyle w:val="Textonotapie"/>
        <w:rPr>
          <w:rFonts w:ascii="Arial" w:hAnsi="Arial" w:cs="Arial"/>
          <w:sz w:val="19"/>
          <w:szCs w:val="19"/>
          <w:lang w:val="es-CO"/>
        </w:rPr>
      </w:pPr>
    </w:p>
  </w:footnote>
  <w:footnote w:id="5">
    <w:p w14:paraId="7726C6F6" w14:textId="77777777" w:rsidR="000255EE" w:rsidRPr="00336F97" w:rsidRDefault="000255EE" w:rsidP="00E460B6">
      <w:pPr>
        <w:pStyle w:val="Textonotapie"/>
        <w:ind w:firstLine="708"/>
        <w:jc w:val="both"/>
        <w:rPr>
          <w:rFonts w:ascii="Arial" w:hAnsi="Arial" w:cs="Arial"/>
          <w:sz w:val="19"/>
          <w:szCs w:val="19"/>
        </w:rPr>
      </w:pPr>
      <w:r w:rsidRPr="00336F97">
        <w:rPr>
          <w:rStyle w:val="Refdenotaalpie"/>
          <w:rFonts w:ascii="Arial" w:hAnsi="Arial" w:cs="Arial"/>
          <w:sz w:val="19"/>
          <w:szCs w:val="19"/>
        </w:rPr>
        <w:footnoteRef/>
      </w:r>
      <w:r w:rsidRPr="00336F97">
        <w:rPr>
          <w:rFonts w:ascii="Arial" w:hAnsi="Arial" w:cs="Arial"/>
          <w:sz w:val="19"/>
          <w:szCs w:val="19"/>
        </w:rPr>
        <w:t xml:space="preserve"> Ley 1882 de 2018 «Artículo 1. Adiciónense los parágrafos 2 y 3 del artículo 30 de la Ley 80 de1993:</w:t>
      </w:r>
    </w:p>
    <w:p w14:paraId="25ABCDAB" w14:textId="77777777" w:rsidR="000255EE" w:rsidRPr="00336F97" w:rsidRDefault="000255EE">
      <w:pPr>
        <w:pStyle w:val="Textonotapie"/>
        <w:ind w:firstLine="708"/>
        <w:jc w:val="both"/>
        <w:rPr>
          <w:rFonts w:ascii="Arial" w:hAnsi="Arial" w:cs="Arial"/>
          <w:sz w:val="19"/>
          <w:szCs w:val="19"/>
        </w:rPr>
      </w:pPr>
      <w:r w:rsidRPr="00336F97">
        <w:rPr>
          <w:rFonts w:ascii="Arial" w:hAnsi="Arial" w:cs="Arial"/>
          <w:sz w:val="19"/>
          <w:szCs w:val="19"/>
        </w:rPr>
        <w:t>» Parágrafo  2. En los procesos de licitación pública para seleccionar contratistas de obra, la oferta estará conformada por dos sobres, un primer sobre en el cual se deberán incluir los documentos relacionados con el cumplimiento de los requisitos habilitantes, así como los requisitos y documentos a los que se les asigne puntaje diferentes a la oferta económica.</w:t>
      </w:r>
    </w:p>
    <w:p w14:paraId="4AFDEE2A" w14:textId="77777777" w:rsidR="000255EE" w:rsidRPr="00336F97" w:rsidRDefault="000255EE">
      <w:pPr>
        <w:pStyle w:val="Textonotapie"/>
        <w:ind w:firstLine="708"/>
        <w:jc w:val="both"/>
        <w:rPr>
          <w:rFonts w:ascii="Arial" w:hAnsi="Arial" w:cs="Arial"/>
          <w:sz w:val="19"/>
          <w:szCs w:val="19"/>
        </w:rPr>
      </w:pPr>
      <w:r w:rsidRPr="00336F97">
        <w:rPr>
          <w:rFonts w:ascii="Arial" w:hAnsi="Arial" w:cs="Arial"/>
          <w:sz w:val="19"/>
          <w:szCs w:val="19"/>
        </w:rPr>
        <w:t>»El segundo sobre deberá incluir únicamente la propuesta económica de conformidad con todos los requisitos exigidos en el pliego de condiciones.</w:t>
      </w:r>
    </w:p>
    <w:p w14:paraId="0AA6A152" w14:textId="77777777" w:rsidR="000255EE" w:rsidRPr="00336F97" w:rsidRDefault="000255EE">
      <w:pPr>
        <w:pStyle w:val="Textonotapie"/>
        <w:ind w:firstLine="708"/>
        <w:jc w:val="both"/>
        <w:rPr>
          <w:rFonts w:ascii="Arial" w:hAnsi="Arial" w:cs="Arial"/>
          <w:sz w:val="19"/>
          <w:szCs w:val="19"/>
        </w:rPr>
      </w:pPr>
      <w:r w:rsidRPr="00336F97">
        <w:rPr>
          <w:rFonts w:ascii="Arial" w:hAnsi="Arial" w:cs="Arial"/>
          <w:sz w:val="19"/>
          <w:szCs w:val="19"/>
        </w:rPr>
        <w:t>»Parágrafo  3. En los procesos de licitación pública para seleccionar contratistas de obra pública, las entidades estatales deberán publicar el informe de evaluación relacionado con los documentos de los requisitos habilitantes y los requisitos que sean objeto de puntuación diferente a la oferta económica incluida en el primer sobre, dentro del plazo establecido en el pliego de condiciones.</w:t>
      </w:r>
    </w:p>
    <w:p w14:paraId="35877505" w14:textId="77777777" w:rsidR="000255EE" w:rsidRPr="00336F97" w:rsidRDefault="000255EE">
      <w:pPr>
        <w:pStyle w:val="Textonotapie"/>
        <w:ind w:firstLine="708"/>
        <w:jc w:val="both"/>
        <w:rPr>
          <w:rFonts w:ascii="Arial" w:hAnsi="Arial" w:cs="Arial"/>
          <w:sz w:val="19"/>
          <w:szCs w:val="19"/>
        </w:rPr>
      </w:pPr>
      <w:r w:rsidRPr="00336F97">
        <w:rPr>
          <w:rFonts w:ascii="Arial" w:hAnsi="Arial" w:cs="Arial"/>
          <w:sz w:val="19"/>
          <w:szCs w:val="19"/>
        </w:rPr>
        <w:t>»En estos procesos el informe permanecerá publicado en el Secop durante cinco (5) días hábiles, termino hasta el cual los proponentes podrán hacer las observaciones que consideren y entregar los documentos y la información solicitada por la entidad estatal. Al finalizar este plazo, la entidad estatal se pronunciara sobre las observaciones y publicará el informe final de evaluación de los requisitos habilitantes y los requisitos objeto de puntuación distintos a la oferta económica.</w:t>
      </w:r>
    </w:p>
    <w:p w14:paraId="28A11D6E" w14:textId="77777777" w:rsidR="000255EE" w:rsidRPr="00336F97" w:rsidRDefault="000255EE">
      <w:pPr>
        <w:pStyle w:val="Textonotapie"/>
        <w:ind w:firstLine="708"/>
        <w:jc w:val="both"/>
        <w:rPr>
          <w:rFonts w:ascii="Arial" w:hAnsi="Arial" w:cs="Arial"/>
          <w:sz w:val="19"/>
          <w:szCs w:val="19"/>
        </w:rPr>
      </w:pPr>
      <w:r w:rsidRPr="00336F97">
        <w:rPr>
          <w:rFonts w:ascii="Arial" w:hAnsi="Arial" w:cs="Arial"/>
          <w:sz w:val="19"/>
          <w:szCs w:val="19"/>
        </w:rPr>
        <w:t xml:space="preserve">»Para estos procesos, el segundo sobre, que contiene la oferta económica, se mantendrá cerrado hasta la audiencia efectiva de adjudicación, momento en el cual se podrán hacer observaciones al informe de evaluación, las cuales se decidirán en la misma. Durante esta audiencia se dará apertura al sobre, se evaluara la oferta económica a través del mecanismo escogido mediante el método aleatorio que se establezca en los pliegos de condiciones, corriendo traslado a los proponentes habilitados en la misma diligencia solo para la revisión del aspecto económico y se establecerá el orden de elegibilidad».  </w:t>
      </w:r>
    </w:p>
    <w:p w14:paraId="47F2CBEB" w14:textId="77777777" w:rsidR="000255EE" w:rsidRPr="00336F97" w:rsidRDefault="000255EE">
      <w:pPr>
        <w:pStyle w:val="Textonotapie"/>
        <w:ind w:firstLine="708"/>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5923" w14:textId="72BD7C0A" w:rsidR="000255EE" w:rsidRDefault="000255EE">
    <w:pPr>
      <w:pStyle w:val="Encabezado"/>
    </w:pPr>
  </w:p>
  <w:p w14:paraId="6A4C7F2C" w14:textId="7D093DBB" w:rsidR="000255EE" w:rsidRDefault="000255EE">
    <w:pPr>
      <w:pStyle w:val="Encabezado"/>
    </w:pPr>
  </w:p>
  <w:p w14:paraId="055F2E1F" w14:textId="0B935ADD" w:rsidR="000255EE" w:rsidRDefault="000255EE">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0255EE" w:rsidRDefault="000255EE">
    <w:pPr>
      <w:pStyle w:val="Encabezado"/>
    </w:pPr>
  </w:p>
  <w:p w14:paraId="3D323BDB" w14:textId="04AF0DE6" w:rsidR="000255EE" w:rsidRDefault="000255EE">
    <w:pPr>
      <w:pStyle w:val="Encabezado"/>
    </w:pPr>
  </w:p>
  <w:p w14:paraId="6520770B" w14:textId="18EB07B5" w:rsidR="000255EE" w:rsidRDefault="000255E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FF56725"/>
    <w:multiLevelType w:val="hybridMultilevel"/>
    <w:tmpl w:val="E2F44826"/>
    <w:lvl w:ilvl="0" w:tplc="6BB0E06A">
      <w:start w:val="1"/>
      <w:numFmt w:val="upperLetter"/>
      <w:lvlText w:val="%1."/>
      <w:lvlJc w:val="left"/>
      <w:pPr>
        <w:ind w:left="710" w:hanging="710"/>
      </w:pPr>
      <w:rPr>
        <w:rFonts w:ascii="Arial" w:hAnsi="Arial" w:cs="Arial" w:hint="default"/>
        <w:sz w:val="19"/>
        <w:szCs w:val="19"/>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15E30"/>
    <w:rsid w:val="000255EE"/>
    <w:rsid w:val="000433CD"/>
    <w:rsid w:val="000942EB"/>
    <w:rsid w:val="000B103F"/>
    <w:rsid w:val="000F14E8"/>
    <w:rsid w:val="000F6E88"/>
    <w:rsid w:val="00103915"/>
    <w:rsid w:val="00122B23"/>
    <w:rsid w:val="00137FFA"/>
    <w:rsid w:val="0017009A"/>
    <w:rsid w:val="00183D08"/>
    <w:rsid w:val="001A6118"/>
    <w:rsid w:val="002222B0"/>
    <w:rsid w:val="00234B84"/>
    <w:rsid w:val="0024223D"/>
    <w:rsid w:val="00247535"/>
    <w:rsid w:val="002A06BE"/>
    <w:rsid w:val="002C1778"/>
    <w:rsid w:val="003033BA"/>
    <w:rsid w:val="00336F97"/>
    <w:rsid w:val="0034680A"/>
    <w:rsid w:val="00356810"/>
    <w:rsid w:val="003823DD"/>
    <w:rsid w:val="00386456"/>
    <w:rsid w:val="003A581E"/>
    <w:rsid w:val="003D42E5"/>
    <w:rsid w:val="004422D6"/>
    <w:rsid w:val="004A34D2"/>
    <w:rsid w:val="00500BFF"/>
    <w:rsid w:val="0051074C"/>
    <w:rsid w:val="00513AF2"/>
    <w:rsid w:val="0054413A"/>
    <w:rsid w:val="00554413"/>
    <w:rsid w:val="005564CA"/>
    <w:rsid w:val="00575C6A"/>
    <w:rsid w:val="00585589"/>
    <w:rsid w:val="005A79FE"/>
    <w:rsid w:val="00655371"/>
    <w:rsid w:val="006664B6"/>
    <w:rsid w:val="006701F5"/>
    <w:rsid w:val="00697665"/>
    <w:rsid w:val="006A29A1"/>
    <w:rsid w:val="006A7FD0"/>
    <w:rsid w:val="006D7687"/>
    <w:rsid w:val="006E0572"/>
    <w:rsid w:val="00705631"/>
    <w:rsid w:val="00722E3B"/>
    <w:rsid w:val="00742DD2"/>
    <w:rsid w:val="0075647A"/>
    <w:rsid w:val="007634AD"/>
    <w:rsid w:val="0078122E"/>
    <w:rsid w:val="007A7ABD"/>
    <w:rsid w:val="007B0854"/>
    <w:rsid w:val="007D1AE7"/>
    <w:rsid w:val="007F72CB"/>
    <w:rsid w:val="008145B8"/>
    <w:rsid w:val="0083119B"/>
    <w:rsid w:val="00836EAB"/>
    <w:rsid w:val="0085092D"/>
    <w:rsid w:val="008515E9"/>
    <w:rsid w:val="00860D84"/>
    <w:rsid w:val="00885117"/>
    <w:rsid w:val="008B4637"/>
    <w:rsid w:val="008C75C1"/>
    <w:rsid w:val="008D6F51"/>
    <w:rsid w:val="008E1C15"/>
    <w:rsid w:val="009047C5"/>
    <w:rsid w:val="00911364"/>
    <w:rsid w:val="0095385A"/>
    <w:rsid w:val="00957E66"/>
    <w:rsid w:val="0099766F"/>
    <w:rsid w:val="009C0C4D"/>
    <w:rsid w:val="009C5E87"/>
    <w:rsid w:val="009D1CCD"/>
    <w:rsid w:val="00A24560"/>
    <w:rsid w:val="00A34538"/>
    <w:rsid w:val="00A42393"/>
    <w:rsid w:val="00A931FA"/>
    <w:rsid w:val="00A97033"/>
    <w:rsid w:val="00AA0FD3"/>
    <w:rsid w:val="00AA442B"/>
    <w:rsid w:val="00AB2E8A"/>
    <w:rsid w:val="00B22E22"/>
    <w:rsid w:val="00B525CB"/>
    <w:rsid w:val="00B5273D"/>
    <w:rsid w:val="00B63CB2"/>
    <w:rsid w:val="00B71D1F"/>
    <w:rsid w:val="00B87ABE"/>
    <w:rsid w:val="00B970D6"/>
    <w:rsid w:val="00BB13D0"/>
    <w:rsid w:val="00BC5B4D"/>
    <w:rsid w:val="00BD78FE"/>
    <w:rsid w:val="00BF2519"/>
    <w:rsid w:val="00C52143"/>
    <w:rsid w:val="00C52776"/>
    <w:rsid w:val="00CA287E"/>
    <w:rsid w:val="00CA2A29"/>
    <w:rsid w:val="00CA7A42"/>
    <w:rsid w:val="00CC00CD"/>
    <w:rsid w:val="00CE1FE9"/>
    <w:rsid w:val="00D16E39"/>
    <w:rsid w:val="00D35877"/>
    <w:rsid w:val="00D72E9D"/>
    <w:rsid w:val="00D82CE5"/>
    <w:rsid w:val="00D910A7"/>
    <w:rsid w:val="00DA5AB1"/>
    <w:rsid w:val="00DC62E5"/>
    <w:rsid w:val="00DD0AC7"/>
    <w:rsid w:val="00DD735D"/>
    <w:rsid w:val="00DE3119"/>
    <w:rsid w:val="00DF236B"/>
    <w:rsid w:val="00E13AB8"/>
    <w:rsid w:val="00E33B62"/>
    <w:rsid w:val="00E35E35"/>
    <w:rsid w:val="00E40F53"/>
    <w:rsid w:val="00E460B6"/>
    <w:rsid w:val="00E51201"/>
    <w:rsid w:val="00E94FA7"/>
    <w:rsid w:val="00EC08EE"/>
    <w:rsid w:val="00EC706D"/>
    <w:rsid w:val="00F10F95"/>
    <w:rsid w:val="00F12B1C"/>
    <w:rsid w:val="00F131C5"/>
    <w:rsid w:val="00F155D2"/>
    <w:rsid w:val="00F34178"/>
    <w:rsid w:val="00F84899"/>
    <w:rsid w:val="00F859F0"/>
    <w:rsid w:val="00FB7FAF"/>
    <w:rsid w:val="00FC70BE"/>
    <w:rsid w:val="00FE141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paragraph" w:styleId="Textoindependiente">
    <w:name w:val="Body Text"/>
    <w:basedOn w:val="Normal"/>
    <w:link w:val="TextoindependienteCar"/>
    <w:uiPriority w:val="1"/>
    <w:qFormat/>
    <w:rsid w:val="00885117"/>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885117"/>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92880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D8B9AD69-935B-4A5C-A541-C2EC89D40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7E9EB1-ED64-4F89-B204-34721214E5D4}">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3077DD99-B888-42C0-A8E5-CBC793907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11</Pages>
  <Words>3352</Words>
  <Characters>18437</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2</cp:revision>
  <dcterms:created xsi:type="dcterms:W3CDTF">2022-03-31T17:02:00Z</dcterms:created>
  <dcterms:modified xsi:type="dcterms:W3CDTF">2022-03-31T17:02:00Z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