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7225" w14:textId="3066CD13" w:rsidR="005A79FE" w:rsidRPr="00821C0C" w:rsidRDefault="005A79FE" w:rsidP="001E053F">
      <w:pPr>
        <w:spacing w:line="276" w:lineRule="auto"/>
        <w:jc w:val="right"/>
        <w:rPr>
          <w:rFonts w:ascii="Arial" w:eastAsia="Calibri" w:hAnsi="Arial" w:cs="Arial"/>
          <w:b/>
          <w:sz w:val="18"/>
          <w:szCs w:val="18"/>
        </w:rPr>
      </w:pPr>
      <w:r w:rsidRPr="00821C0C">
        <w:rPr>
          <w:rFonts w:ascii="Arial" w:hAnsi="Arial" w:cs="Arial"/>
          <w:sz w:val="18"/>
          <w:szCs w:val="18"/>
        </w:rPr>
        <w:t>CCE-DES-FM-17</w:t>
      </w:r>
    </w:p>
    <w:p w14:paraId="06760211" w14:textId="77777777" w:rsidR="00C96108" w:rsidRPr="00821C0C" w:rsidRDefault="00C96108" w:rsidP="00C96108">
      <w:pPr>
        <w:jc w:val="both"/>
        <w:rPr>
          <w:rFonts w:ascii="Arial" w:eastAsia="Calibri" w:hAnsi="Arial" w:cs="Arial"/>
          <w:b/>
          <w:bCs/>
          <w:sz w:val="22"/>
        </w:rPr>
      </w:pPr>
    </w:p>
    <w:p w14:paraId="5C377636" w14:textId="3CCB2EE6" w:rsidR="00C96108" w:rsidRPr="00821C0C" w:rsidRDefault="00C96108" w:rsidP="00C96108">
      <w:pPr>
        <w:jc w:val="both"/>
        <w:rPr>
          <w:rFonts w:ascii="Arial" w:eastAsia="Calibri" w:hAnsi="Arial" w:cs="Arial"/>
          <w:b/>
          <w:bCs/>
          <w:sz w:val="22"/>
        </w:rPr>
      </w:pPr>
      <w:r w:rsidRPr="00821C0C">
        <w:rPr>
          <w:rFonts w:ascii="Arial" w:eastAsia="Calibri" w:hAnsi="Arial" w:cs="Arial"/>
          <w:b/>
          <w:bCs/>
          <w:sz w:val="22"/>
        </w:rPr>
        <w:t xml:space="preserve">DOCUMENTOS TIPO – Matriz 1 – </w:t>
      </w:r>
      <w:r w:rsidR="002922FF" w:rsidRPr="00821C0C">
        <w:rPr>
          <w:rFonts w:ascii="Arial" w:eastAsia="Calibri" w:hAnsi="Arial" w:cs="Arial"/>
          <w:b/>
          <w:bCs/>
          <w:sz w:val="22"/>
        </w:rPr>
        <w:t xml:space="preserve">Actividad </w:t>
      </w:r>
      <w:r w:rsidR="002922FF" w:rsidRPr="00821C0C">
        <w:rPr>
          <w:rFonts w:ascii="Arial" w:eastAsia="Arial" w:hAnsi="Arial" w:cs="Arial"/>
          <w:b/>
          <w:bCs/>
          <w:sz w:val="22"/>
        </w:rPr>
        <w:t xml:space="preserve">– </w:t>
      </w:r>
      <w:r w:rsidRPr="00821C0C">
        <w:rPr>
          <w:rFonts w:ascii="Arial" w:eastAsia="Calibri" w:hAnsi="Arial" w:cs="Arial"/>
          <w:b/>
          <w:bCs/>
          <w:sz w:val="22"/>
        </w:rPr>
        <w:t xml:space="preserve">Experiencia </w:t>
      </w:r>
      <w:r w:rsidRPr="00821C0C">
        <w:rPr>
          <w:rFonts w:ascii="Arial" w:eastAsia="Arial" w:hAnsi="Arial" w:cs="Arial"/>
          <w:b/>
          <w:bCs/>
          <w:sz w:val="22"/>
        </w:rPr>
        <w:t xml:space="preserve">– </w:t>
      </w:r>
      <w:r w:rsidR="002922FF" w:rsidRPr="00821C0C">
        <w:rPr>
          <w:rFonts w:ascii="Arial" w:eastAsia="Arial" w:hAnsi="Arial" w:cs="Arial"/>
          <w:b/>
          <w:bCs/>
          <w:sz w:val="22"/>
        </w:rPr>
        <w:t>Glosario</w:t>
      </w:r>
    </w:p>
    <w:p w14:paraId="56BED72D" w14:textId="77777777" w:rsidR="00C96108" w:rsidRPr="00821C0C" w:rsidRDefault="00C96108" w:rsidP="00C96108">
      <w:pPr>
        <w:jc w:val="both"/>
        <w:rPr>
          <w:rFonts w:ascii="Arial" w:eastAsia="Calibri" w:hAnsi="Arial" w:cs="Arial"/>
          <w:b/>
          <w:sz w:val="20"/>
          <w:szCs w:val="20"/>
        </w:rPr>
      </w:pPr>
    </w:p>
    <w:p w14:paraId="43E0E3C6" w14:textId="233DED29" w:rsidR="00C96108" w:rsidRPr="00821C0C" w:rsidRDefault="00821C0C" w:rsidP="00C96108">
      <w:pPr>
        <w:jc w:val="both"/>
        <w:rPr>
          <w:rFonts w:ascii="Arial" w:eastAsia="Calibri" w:hAnsi="Arial" w:cs="Arial"/>
          <w:sz w:val="20"/>
          <w:szCs w:val="20"/>
        </w:rPr>
      </w:pPr>
      <w:r w:rsidRPr="00821C0C">
        <w:rPr>
          <w:rFonts w:ascii="Arial" w:eastAsia="Calibri" w:hAnsi="Arial" w:cs="Arial"/>
          <w:sz w:val="20"/>
          <w:szCs w:val="20"/>
        </w:rPr>
        <w:t>De esta forma,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 Además, debe tener en cuenta los conceptos propios de la ingeniería civil y los definidos del «Anexo 3 – Glosario», con el fin de verificar si el objeto a contratar se encuentra enmarcado en dichas actividades</w:t>
      </w:r>
      <w:r w:rsidR="00E25414" w:rsidRPr="00821C0C">
        <w:rPr>
          <w:rFonts w:ascii="Arial" w:eastAsia="Calibri" w:hAnsi="Arial" w:cs="Arial"/>
          <w:sz w:val="20"/>
          <w:szCs w:val="20"/>
        </w:rPr>
        <w:t>.</w:t>
      </w:r>
    </w:p>
    <w:p w14:paraId="60F2AE5D" w14:textId="77777777" w:rsidR="002922FF" w:rsidRPr="00821C0C" w:rsidRDefault="002922FF" w:rsidP="00C96108">
      <w:pPr>
        <w:jc w:val="both"/>
        <w:rPr>
          <w:rFonts w:ascii="Arial" w:eastAsia="Calibri" w:hAnsi="Arial" w:cs="Arial"/>
          <w:sz w:val="20"/>
          <w:szCs w:val="20"/>
          <w:lang w:val="es-CO"/>
        </w:rPr>
      </w:pPr>
    </w:p>
    <w:p w14:paraId="258EF248" w14:textId="77777777" w:rsidR="00C96108" w:rsidRPr="00821C0C" w:rsidRDefault="00C96108" w:rsidP="00C96108">
      <w:pPr>
        <w:jc w:val="both"/>
        <w:rPr>
          <w:rFonts w:ascii="Arial" w:eastAsia="Calibri" w:hAnsi="Arial" w:cs="Arial"/>
          <w:b/>
          <w:bCs/>
          <w:sz w:val="22"/>
        </w:rPr>
      </w:pPr>
      <w:r w:rsidRPr="00821C0C">
        <w:rPr>
          <w:rFonts w:ascii="Arial" w:eastAsia="Calibri" w:hAnsi="Arial" w:cs="Arial"/>
          <w:b/>
          <w:bCs/>
          <w:sz w:val="22"/>
        </w:rPr>
        <w:t>INALTERABILIDAD – Documentos tipo – Licitación pública – Fundamento</w:t>
      </w:r>
    </w:p>
    <w:p w14:paraId="77F17557" w14:textId="77777777" w:rsidR="00C96108" w:rsidRPr="00821C0C" w:rsidRDefault="00C96108" w:rsidP="00C96108">
      <w:pPr>
        <w:jc w:val="both"/>
        <w:rPr>
          <w:rFonts w:ascii="Arial" w:eastAsia="Calibri" w:hAnsi="Arial" w:cs="Arial"/>
          <w:sz w:val="20"/>
          <w:szCs w:val="20"/>
        </w:rPr>
      </w:pPr>
    </w:p>
    <w:p w14:paraId="183B42C7" w14:textId="536AA3C1" w:rsidR="00511F0A" w:rsidRPr="00821C0C" w:rsidRDefault="00821C0C" w:rsidP="00EE35BD">
      <w:pPr>
        <w:jc w:val="both"/>
        <w:rPr>
          <w:rFonts w:ascii="Arial" w:hAnsi="Arial" w:cs="Arial"/>
          <w:sz w:val="22"/>
        </w:rPr>
      </w:pPr>
      <w:r w:rsidRPr="00821C0C">
        <w:rPr>
          <w:rFonts w:ascii="Arial" w:eastAsia="Calibri" w:hAnsi="Arial" w:cs="Arial"/>
          <w:bCs/>
          <w:sz w:val="20"/>
          <w:szCs w:val="20"/>
        </w:rPr>
        <w:t xml:space="preserve">Para el procedimiento de licitación pública, el artículo 2.2.1.2.6.1.4 del Decreto 1082 de 2015 y el artículo 3 de las resoluciones 240 y 241, ambas del 27 de noviembre de 2020, </w:t>
      </w:r>
      <w:proofErr w:type="gramStart"/>
      <w:r w:rsidRPr="00821C0C">
        <w:rPr>
          <w:rFonts w:ascii="Arial" w:eastAsia="Calibri" w:hAnsi="Arial" w:cs="Arial"/>
          <w:bCs/>
          <w:sz w:val="20"/>
          <w:szCs w:val="20"/>
        </w:rPr>
        <w:t>establecen  la</w:t>
      </w:r>
      <w:proofErr w:type="gramEnd"/>
      <w:r w:rsidRPr="00821C0C">
        <w:rPr>
          <w:rFonts w:ascii="Arial" w:eastAsia="Calibri" w:hAnsi="Arial" w:cs="Arial"/>
          <w:bCs/>
          <w:sz w:val="20"/>
          <w:szCs w:val="20"/>
        </w:rPr>
        <w:t xml:space="preserve">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w:t>
      </w:r>
    </w:p>
    <w:p w14:paraId="3D5C96D1" w14:textId="77777777" w:rsidR="00B226F6" w:rsidRPr="00821C0C" w:rsidRDefault="00B226F6" w:rsidP="00AB1D78">
      <w:pPr>
        <w:rPr>
          <w:rFonts w:ascii="Arial" w:hAnsi="Arial" w:cs="Arial"/>
          <w:sz w:val="22"/>
        </w:rPr>
      </w:pPr>
    </w:p>
    <w:p w14:paraId="02D2E8B9" w14:textId="77777777" w:rsidR="003C1847" w:rsidRPr="00821C0C" w:rsidRDefault="003C1847" w:rsidP="003C1847">
      <w:pPr>
        <w:jc w:val="both"/>
        <w:rPr>
          <w:rFonts w:ascii="Arial" w:eastAsia="Calibri" w:hAnsi="Arial" w:cs="Arial"/>
          <w:b/>
          <w:sz w:val="22"/>
        </w:rPr>
      </w:pPr>
      <w:r w:rsidRPr="00821C0C">
        <w:rPr>
          <w:rFonts w:ascii="Arial" w:eastAsia="Calibri" w:hAnsi="Arial" w:cs="Arial"/>
          <w:b/>
          <w:sz w:val="22"/>
        </w:rPr>
        <w:t>DOCUMENTOS TIPO – Ponderación oferta económica – TRM</w:t>
      </w:r>
    </w:p>
    <w:p w14:paraId="7036A6F8" w14:textId="77777777" w:rsidR="003C1847" w:rsidRPr="00821C0C" w:rsidRDefault="003C1847" w:rsidP="003C1847">
      <w:pPr>
        <w:jc w:val="both"/>
        <w:rPr>
          <w:rFonts w:ascii="Arial" w:hAnsi="Arial" w:cs="Arial"/>
          <w:sz w:val="20"/>
          <w:szCs w:val="20"/>
        </w:rPr>
      </w:pPr>
    </w:p>
    <w:p w14:paraId="07E90D0A" w14:textId="08983342" w:rsidR="00821C0C" w:rsidRDefault="00821C0C" w:rsidP="00821C0C">
      <w:pPr>
        <w:jc w:val="both"/>
        <w:rPr>
          <w:rFonts w:ascii="Arial" w:eastAsia="Calibri" w:hAnsi="Arial" w:cs="Arial"/>
          <w:sz w:val="20"/>
          <w:szCs w:val="20"/>
        </w:rPr>
      </w:pPr>
      <w:r w:rsidRPr="00821C0C">
        <w:rPr>
          <w:rFonts w:ascii="Arial" w:eastAsia="Calibri" w:hAnsi="Arial" w:cs="Arial"/>
          <w:sz w:val="20"/>
          <w:szCs w:val="20"/>
        </w:rPr>
        <w:t>Además, para saber cuál es la TRM que se tiene en cuenta para determinar el método para la ponderación de las ofertas económicas, es necesario regirse por lo dispuesto en los documentos tipo. Esto es, que la TRM es la del día hábil siguiente al día en que efectivamente sea la apertura del segundo sobre que contiene las ofertas económicas.</w:t>
      </w:r>
    </w:p>
    <w:p w14:paraId="51F328CB" w14:textId="77777777" w:rsidR="00821C0C" w:rsidRPr="00821C0C" w:rsidRDefault="00821C0C" w:rsidP="00821C0C">
      <w:pPr>
        <w:jc w:val="both"/>
        <w:rPr>
          <w:rFonts w:ascii="Arial" w:eastAsia="Calibri" w:hAnsi="Arial" w:cs="Arial"/>
          <w:sz w:val="20"/>
          <w:szCs w:val="20"/>
        </w:rPr>
      </w:pPr>
    </w:p>
    <w:p w14:paraId="31E9CF8B" w14:textId="042E8B07" w:rsidR="00F21E26" w:rsidRPr="004930D7" w:rsidRDefault="00821C0C" w:rsidP="00821C0C">
      <w:pPr>
        <w:jc w:val="both"/>
        <w:rPr>
          <w:rFonts w:ascii="Arial" w:eastAsia="Calibri" w:hAnsi="Arial" w:cs="Arial"/>
          <w:sz w:val="20"/>
          <w:szCs w:val="20"/>
        </w:rPr>
      </w:pPr>
      <w:r w:rsidRPr="00821C0C">
        <w:rPr>
          <w:rFonts w:ascii="Arial" w:eastAsia="Calibri" w:hAnsi="Arial" w:cs="Arial"/>
          <w:sz w:val="20"/>
          <w:szCs w:val="20"/>
        </w:rPr>
        <w:t>Por ende, es del caso precisar, respecto de lo señalado sobre el método para la ponderación de la oferta económica, que la entidad no podrá abrir los sobres económicos conociendo la TRM que regirá al día hábil siguiente, toda vez que la apertura debe realizarse antes de las 3:00 pm. Finalmente, le corresponde a la entidad, de acuerdo con su autonomía para tomar decisiones respecto del proceso de contratación, adelantar las actuaciones que considere necesarias frente a las situaciones particulares que se presenten en su actividad contractual</w:t>
      </w:r>
      <w:r w:rsidR="00F21E26" w:rsidRPr="00821C0C">
        <w:rPr>
          <w:rFonts w:ascii="Arial" w:eastAsia="Calibri" w:hAnsi="Arial" w:cs="Arial"/>
          <w:sz w:val="20"/>
          <w:szCs w:val="20"/>
        </w:rPr>
        <w:t>.</w:t>
      </w:r>
      <w:r w:rsidR="00F21E26" w:rsidRPr="004930D7">
        <w:rPr>
          <w:rFonts w:ascii="Arial" w:eastAsia="Calibri" w:hAnsi="Arial" w:cs="Arial"/>
          <w:sz w:val="20"/>
          <w:szCs w:val="20"/>
        </w:rPr>
        <w:t xml:space="preserve"> </w:t>
      </w:r>
    </w:p>
    <w:p w14:paraId="21F61B1F" w14:textId="1F56706D" w:rsidR="003C1847" w:rsidRPr="004930D7" w:rsidRDefault="003C1847" w:rsidP="003C1847">
      <w:pPr>
        <w:pStyle w:val="Prrafodelista"/>
        <w:ind w:left="0"/>
        <w:jc w:val="both"/>
        <w:rPr>
          <w:rFonts w:ascii="Arial" w:eastAsia="Calibri" w:hAnsi="Arial" w:cs="Arial"/>
          <w:sz w:val="20"/>
          <w:szCs w:val="20"/>
        </w:rPr>
      </w:pPr>
    </w:p>
    <w:p w14:paraId="69DC5033" w14:textId="43FD9689" w:rsidR="003C1847" w:rsidRPr="004930D7" w:rsidRDefault="003C1847" w:rsidP="003C1847">
      <w:pPr>
        <w:pStyle w:val="Prrafodelista"/>
        <w:ind w:left="0"/>
        <w:jc w:val="both"/>
        <w:rPr>
          <w:rFonts w:ascii="Arial" w:eastAsia="Calibri" w:hAnsi="Arial" w:cs="Arial"/>
          <w:sz w:val="20"/>
          <w:szCs w:val="20"/>
        </w:rPr>
      </w:pPr>
    </w:p>
    <w:p w14:paraId="7284CFB9" w14:textId="6FFB6130" w:rsidR="003C1847" w:rsidRDefault="003C1847" w:rsidP="003C1847">
      <w:pPr>
        <w:pStyle w:val="Prrafodelista"/>
        <w:ind w:left="0"/>
        <w:jc w:val="both"/>
        <w:rPr>
          <w:rFonts w:ascii="Arial" w:eastAsia="Calibri" w:hAnsi="Arial" w:cs="Arial"/>
          <w:sz w:val="20"/>
          <w:szCs w:val="20"/>
        </w:rPr>
      </w:pPr>
    </w:p>
    <w:p w14:paraId="19CC57B7" w14:textId="4F4DC2E6" w:rsidR="00E25414" w:rsidRDefault="00E25414" w:rsidP="003C1847">
      <w:pPr>
        <w:pStyle w:val="Prrafodelista"/>
        <w:ind w:left="0"/>
        <w:jc w:val="both"/>
        <w:rPr>
          <w:rFonts w:ascii="Arial" w:eastAsia="Calibri" w:hAnsi="Arial" w:cs="Arial"/>
          <w:sz w:val="20"/>
          <w:szCs w:val="20"/>
        </w:rPr>
      </w:pPr>
    </w:p>
    <w:p w14:paraId="753ACCF7" w14:textId="6BD610A5" w:rsidR="00E25414" w:rsidRDefault="00E25414" w:rsidP="003C1847">
      <w:pPr>
        <w:pStyle w:val="Prrafodelista"/>
        <w:ind w:left="0"/>
        <w:jc w:val="both"/>
        <w:rPr>
          <w:rFonts w:ascii="Arial" w:eastAsia="Calibri" w:hAnsi="Arial" w:cs="Arial"/>
          <w:sz w:val="20"/>
          <w:szCs w:val="20"/>
        </w:rPr>
      </w:pPr>
    </w:p>
    <w:p w14:paraId="0E497FF5" w14:textId="34BE90C7" w:rsidR="00E25414" w:rsidRDefault="00E25414" w:rsidP="003C1847">
      <w:pPr>
        <w:pStyle w:val="Prrafodelista"/>
        <w:ind w:left="0"/>
        <w:jc w:val="both"/>
        <w:rPr>
          <w:rFonts w:ascii="Arial" w:eastAsia="Calibri" w:hAnsi="Arial" w:cs="Arial"/>
          <w:sz w:val="20"/>
          <w:szCs w:val="20"/>
        </w:rPr>
      </w:pPr>
    </w:p>
    <w:p w14:paraId="0DC4F3AB" w14:textId="77777777" w:rsidR="00E25414" w:rsidRPr="004930D7" w:rsidRDefault="00E25414" w:rsidP="003C1847">
      <w:pPr>
        <w:pStyle w:val="Prrafodelista"/>
        <w:ind w:left="0"/>
        <w:jc w:val="both"/>
        <w:rPr>
          <w:rFonts w:ascii="Arial" w:eastAsia="Calibri" w:hAnsi="Arial" w:cs="Arial"/>
          <w:sz w:val="20"/>
          <w:szCs w:val="20"/>
        </w:rPr>
      </w:pPr>
    </w:p>
    <w:p w14:paraId="43247BAF" w14:textId="5F1A03FB" w:rsidR="003C1847" w:rsidRPr="004930D7" w:rsidRDefault="003C1847" w:rsidP="003C1847">
      <w:pPr>
        <w:pStyle w:val="Prrafodelista"/>
        <w:ind w:left="0"/>
        <w:jc w:val="both"/>
        <w:rPr>
          <w:rFonts w:ascii="Arial" w:eastAsia="Calibri" w:hAnsi="Arial" w:cs="Arial"/>
          <w:sz w:val="20"/>
          <w:szCs w:val="20"/>
        </w:rPr>
      </w:pPr>
    </w:p>
    <w:p w14:paraId="0417AD93" w14:textId="77777777" w:rsidR="009A69E3" w:rsidRPr="004930D7" w:rsidRDefault="009A69E3" w:rsidP="003C1847">
      <w:pPr>
        <w:pStyle w:val="Prrafodelista"/>
        <w:ind w:left="0"/>
        <w:jc w:val="both"/>
        <w:rPr>
          <w:rFonts w:ascii="Arial" w:eastAsia="Calibri" w:hAnsi="Arial" w:cs="Arial"/>
          <w:sz w:val="20"/>
          <w:szCs w:val="20"/>
        </w:rPr>
      </w:pPr>
    </w:p>
    <w:p w14:paraId="1D60DDD6" w14:textId="77777777" w:rsidR="002922FF" w:rsidRPr="004930D7" w:rsidRDefault="002922FF" w:rsidP="003C1847">
      <w:pPr>
        <w:pStyle w:val="Prrafodelista"/>
        <w:ind w:left="0"/>
        <w:jc w:val="both"/>
        <w:rPr>
          <w:rFonts w:ascii="Arial" w:eastAsia="Calibri" w:hAnsi="Arial" w:cs="Arial"/>
          <w:sz w:val="20"/>
          <w:szCs w:val="20"/>
        </w:rPr>
      </w:pPr>
    </w:p>
    <w:p w14:paraId="52CFF00A" w14:textId="0E388B0C" w:rsidR="003C1847" w:rsidRPr="004930D7" w:rsidRDefault="003C1847" w:rsidP="003C1847">
      <w:pPr>
        <w:pStyle w:val="Prrafodelista"/>
        <w:ind w:left="0"/>
        <w:jc w:val="both"/>
        <w:rPr>
          <w:rFonts w:ascii="Arial" w:eastAsia="Calibri" w:hAnsi="Arial" w:cs="Arial"/>
          <w:sz w:val="20"/>
          <w:szCs w:val="20"/>
        </w:rPr>
      </w:pPr>
    </w:p>
    <w:p w14:paraId="2A3B15EA" w14:textId="37C48195" w:rsidR="003C1847" w:rsidRPr="004930D7" w:rsidRDefault="003C1847" w:rsidP="003C1847">
      <w:pPr>
        <w:pStyle w:val="Prrafodelista"/>
        <w:ind w:left="0"/>
        <w:jc w:val="both"/>
        <w:rPr>
          <w:rFonts w:ascii="Arial" w:eastAsia="Calibri" w:hAnsi="Arial" w:cs="Arial"/>
          <w:sz w:val="20"/>
          <w:szCs w:val="20"/>
        </w:rPr>
      </w:pPr>
    </w:p>
    <w:p w14:paraId="08AC073A" w14:textId="4A9DE43B" w:rsidR="003C1847" w:rsidRPr="004930D7" w:rsidRDefault="003C1847" w:rsidP="003C1847">
      <w:pPr>
        <w:pStyle w:val="Prrafodelista"/>
        <w:ind w:left="0"/>
        <w:jc w:val="both"/>
        <w:rPr>
          <w:rFonts w:ascii="Arial" w:eastAsia="Calibri" w:hAnsi="Arial" w:cs="Arial"/>
          <w:sz w:val="20"/>
          <w:szCs w:val="20"/>
        </w:rPr>
      </w:pPr>
    </w:p>
    <w:p w14:paraId="26499310" w14:textId="6F9B884E" w:rsidR="003C1847" w:rsidRPr="004930D7" w:rsidRDefault="003C1847" w:rsidP="003C1847">
      <w:pPr>
        <w:pStyle w:val="Prrafodelista"/>
        <w:ind w:left="0"/>
        <w:jc w:val="both"/>
        <w:rPr>
          <w:rFonts w:ascii="Arial" w:eastAsia="Calibri" w:hAnsi="Arial" w:cs="Arial"/>
          <w:sz w:val="20"/>
          <w:szCs w:val="20"/>
        </w:rPr>
      </w:pPr>
    </w:p>
    <w:p w14:paraId="3CC8FAB8" w14:textId="05472B5B" w:rsidR="003C1847" w:rsidRPr="004930D7" w:rsidRDefault="003C1847" w:rsidP="003C1847">
      <w:pPr>
        <w:pStyle w:val="Prrafodelista"/>
        <w:ind w:left="0"/>
        <w:jc w:val="both"/>
        <w:rPr>
          <w:rFonts w:ascii="Arial" w:eastAsia="Calibri" w:hAnsi="Arial" w:cs="Arial"/>
          <w:sz w:val="20"/>
          <w:szCs w:val="20"/>
        </w:rPr>
      </w:pPr>
    </w:p>
    <w:p w14:paraId="1656F29D" w14:textId="77777777" w:rsidR="003C1847" w:rsidRPr="004930D7" w:rsidRDefault="003C1847" w:rsidP="003C1847">
      <w:pPr>
        <w:pStyle w:val="Prrafodelista"/>
        <w:ind w:left="0"/>
        <w:jc w:val="both"/>
        <w:rPr>
          <w:rFonts w:ascii="Arial" w:eastAsia="Calibri" w:hAnsi="Arial" w:cs="Arial"/>
          <w:sz w:val="20"/>
          <w:szCs w:val="20"/>
        </w:rPr>
      </w:pPr>
    </w:p>
    <w:p w14:paraId="088D22D9" w14:textId="77777777" w:rsidR="003C1847" w:rsidRPr="004930D7" w:rsidRDefault="003C1847" w:rsidP="003C1847">
      <w:pPr>
        <w:pStyle w:val="Prrafodelista"/>
        <w:ind w:left="0"/>
        <w:jc w:val="both"/>
        <w:rPr>
          <w:rFonts w:ascii="Arial" w:eastAsia="Calibri" w:hAnsi="Arial" w:cs="Arial"/>
          <w:sz w:val="20"/>
          <w:szCs w:val="20"/>
        </w:rPr>
      </w:pPr>
    </w:p>
    <w:p w14:paraId="6858FE7F" w14:textId="616E329F" w:rsidR="00937E03" w:rsidRPr="00A330E7" w:rsidRDefault="00CC797C" w:rsidP="00352662">
      <w:pPr>
        <w:spacing w:line="276" w:lineRule="auto"/>
        <w:rPr>
          <w:rFonts w:ascii="Arial" w:hAnsi="Arial" w:cs="Arial"/>
          <w:bCs/>
          <w:sz w:val="22"/>
        </w:rPr>
      </w:pPr>
      <w:r w:rsidRPr="00A330E7">
        <w:rPr>
          <w:rFonts w:ascii="Arial" w:hAnsi="Arial" w:cs="Arial"/>
          <w:bCs/>
          <w:sz w:val="22"/>
        </w:rPr>
        <w:t>Bogotá D.C., 17 de marzo de 2021</w:t>
      </w:r>
    </w:p>
    <w:p w14:paraId="2F5D781F" w14:textId="77777777" w:rsidR="006C0D9B" w:rsidRDefault="006C0D9B" w:rsidP="00352662">
      <w:pPr>
        <w:spacing w:line="276" w:lineRule="auto"/>
        <w:rPr>
          <w:rFonts w:ascii="Arial" w:hAnsi="Arial" w:cs="Arial"/>
          <w:b/>
          <w:sz w:val="22"/>
        </w:rPr>
      </w:pPr>
    </w:p>
    <w:p w14:paraId="51F25641" w14:textId="161E9556" w:rsidR="00CC797C" w:rsidRDefault="006C0D9B" w:rsidP="00352662">
      <w:pPr>
        <w:spacing w:line="276" w:lineRule="auto"/>
        <w:rPr>
          <w:rFonts w:ascii="Arial" w:hAnsi="Arial" w:cs="Arial"/>
          <w:b/>
          <w:sz w:val="22"/>
        </w:rPr>
      </w:pPr>
      <w:r>
        <w:rPr>
          <w:rFonts w:ascii="Arial" w:hAnsi="Arial" w:cs="Arial"/>
          <w:b/>
          <w:sz w:val="22"/>
        </w:rPr>
        <w:t xml:space="preserve">                                                                    </w:t>
      </w:r>
      <w:r w:rsidRPr="006C0D9B">
        <w:rPr>
          <w:rFonts w:ascii="Arial" w:hAnsi="Arial" w:cs="Arial"/>
          <w:b/>
          <w:sz w:val="22"/>
        </w:rPr>
        <w:drawing>
          <wp:inline distT="0" distB="0" distL="0" distR="0" wp14:anchorId="0E5B5C00" wp14:editId="2B06CD3F">
            <wp:extent cx="2890696" cy="804035"/>
            <wp:effectExtent l="0" t="0" r="508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2"/>
                    <a:stretch>
                      <a:fillRect/>
                    </a:stretch>
                  </pic:blipFill>
                  <pic:spPr>
                    <a:xfrm>
                      <a:off x="0" y="0"/>
                      <a:ext cx="2913213" cy="810298"/>
                    </a:xfrm>
                    <a:prstGeom prst="rect">
                      <a:avLst/>
                    </a:prstGeom>
                  </pic:spPr>
                </pic:pic>
              </a:graphicData>
            </a:graphic>
          </wp:inline>
        </w:drawing>
      </w:r>
    </w:p>
    <w:p w14:paraId="38EAC485" w14:textId="3819106A" w:rsidR="00CC797C" w:rsidRPr="004930D7" w:rsidRDefault="00CC797C" w:rsidP="00352662">
      <w:pPr>
        <w:spacing w:line="276" w:lineRule="auto"/>
        <w:rPr>
          <w:rFonts w:ascii="Arial" w:hAnsi="Arial" w:cs="Arial"/>
          <w:b/>
          <w:sz w:val="22"/>
        </w:rPr>
      </w:pPr>
    </w:p>
    <w:p w14:paraId="2853595C" w14:textId="77777777" w:rsidR="005A79FE" w:rsidRPr="004930D7" w:rsidRDefault="005A79FE" w:rsidP="005A79FE">
      <w:pPr>
        <w:tabs>
          <w:tab w:val="left" w:pos="3374"/>
        </w:tabs>
        <w:rPr>
          <w:rFonts w:ascii="Arial" w:eastAsia="Calibri" w:hAnsi="Arial" w:cs="Arial"/>
          <w:sz w:val="22"/>
        </w:rPr>
      </w:pPr>
      <w:r w:rsidRPr="004930D7">
        <w:rPr>
          <w:rFonts w:ascii="Arial" w:eastAsia="Calibri" w:hAnsi="Arial" w:cs="Arial"/>
          <w:sz w:val="22"/>
        </w:rPr>
        <w:tab/>
      </w:r>
    </w:p>
    <w:p w14:paraId="2097EFDF" w14:textId="1551739B" w:rsidR="005A79FE" w:rsidRPr="004930D7" w:rsidRDefault="005A79FE" w:rsidP="005A79FE">
      <w:pPr>
        <w:rPr>
          <w:rFonts w:ascii="Arial" w:eastAsia="Calibri" w:hAnsi="Arial" w:cs="Arial"/>
          <w:sz w:val="22"/>
        </w:rPr>
      </w:pPr>
      <w:bookmarkStart w:id="0" w:name="_Hlk66901231"/>
      <w:r w:rsidRPr="004930D7">
        <w:rPr>
          <w:rFonts w:ascii="Arial" w:eastAsia="Calibri" w:hAnsi="Arial" w:cs="Arial"/>
          <w:sz w:val="22"/>
        </w:rPr>
        <w:t>Señor</w:t>
      </w:r>
      <w:r w:rsidR="00BA2767">
        <w:rPr>
          <w:rFonts w:ascii="Arial" w:eastAsia="Calibri" w:hAnsi="Arial" w:cs="Arial"/>
          <w:sz w:val="22"/>
        </w:rPr>
        <w:t>a</w:t>
      </w:r>
    </w:p>
    <w:p w14:paraId="0B266ABF" w14:textId="42BFD27A" w:rsidR="00E62DE4" w:rsidRPr="004930D7" w:rsidRDefault="00BA2767" w:rsidP="005A79FE">
      <w:pPr>
        <w:rPr>
          <w:rFonts w:ascii="Arial" w:eastAsia="Calibri" w:hAnsi="Arial" w:cs="Arial"/>
          <w:b/>
          <w:sz w:val="22"/>
          <w:lang w:val="es-ES"/>
        </w:rPr>
      </w:pPr>
      <w:r>
        <w:rPr>
          <w:rFonts w:ascii="Arial" w:eastAsia="Calibri" w:hAnsi="Arial" w:cs="Arial"/>
          <w:b/>
          <w:sz w:val="22"/>
          <w:lang w:val="es-ES"/>
        </w:rPr>
        <w:t>Claudia Viviana Hernández Lamus</w:t>
      </w:r>
    </w:p>
    <w:p w14:paraId="699E9CB9" w14:textId="7CF684CC" w:rsidR="005A79FE" w:rsidRPr="004930D7" w:rsidRDefault="00DD46B3" w:rsidP="005A79FE">
      <w:pPr>
        <w:rPr>
          <w:rFonts w:ascii="Arial" w:eastAsia="Calibri" w:hAnsi="Arial" w:cs="Arial"/>
          <w:sz w:val="22"/>
        </w:rPr>
      </w:pPr>
      <w:r w:rsidRPr="004930D7">
        <w:rPr>
          <w:rFonts w:ascii="Arial" w:eastAsia="Calibri" w:hAnsi="Arial" w:cs="Arial"/>
          <w:sz w:val="22"/>
        </w:rPr>
        <w:t>B</w:t>
      </w:r>
      <w:r w:rsidR="002D27CC">
        <w:rPr>
          <w:rFonts w:ascii="Arial" w:eastAsia="Calibri" w:hAnsi="Arial" w:cs="Arial"/>
          <w:sz w:val="22"/>
        </w:rPr>
        <w:t>ucaramanga, Santander</w:t>
      </w:r>
    </w:p>
    <w:p w14:paraId="2111D15F" w14:textId="6FC8A947" w:rsidR="00937E03" w:rsidRPr="004930D7" w:rsidRDefault="00937E03" w:rsidP="00937E03">
      <w:pPr>
        <w:rPr>
          <w:rFonts w:ascii="Arial" w:eastAsia="Calibri" w:hAnsi="Arial" w:cs="Arial"/>
          <w:sz w:val="22"/>
        </w:rPr>
      </w:pPr>
      <w:r w:rsidRPr="004930D7">
        <w:rPr>
          <w:rFonts w:ascii="Arial" w:eastAsia="Calibri" w:hAnsi="Arial" w:cs="Arial"/>
          <w:sz w:val="22"/>
        </w:rPr>
        <w:t xml:space="preserve">                                            </w:t>
      </w:r>
    </w:p>
    <w:p w14:paraId="056891EA" w14:textId="77777777" w:rsidR="00937E03" w:rsidRPr="004930D7" w:rsidRDefault="00937E03">
      <w:pPr>
        <w:rPr>
          <w:rFonts w:ascii="Arial" w:eastAsia="Calibri" w:hAnsi="Arial" w:cs="Arial"/>
          <w:sz w:val="22"/>
        </w:rPr>
      </w:pPr>
    </w:p>
    <w:p w14:paraId="04EF5647" w14:textId="57CE3323" w:rsidR="005A79FE" w:rsidRPr="004930D7" w:rsidRDefault="00937E03" w:rsidP="001E053F">
      <w:pPr>
        <w:rPr>
          <w:rFonts w:ascii="Arial" w:eastAsia="Calibri" w:hAnsi="Arial" w:cs="Arial"/>
          <w:b/>
          <w:sz w:val="22"/>
        </w:rPr>
      </w:pPr>
      <w:r w:rsidRPr="004930D7">
        <w:rPr>
          <w:rFonts w:ascii="Arial" w:eastAsia="Calibri" w:hAnsi="Arial" w:cs="Arial"/>
          <w:b/>
          <w:sz w:val="22"/>
        </w:rPr>
        <w:t xml:space="preserve">                                            </w:t>
      </w:r>
      <w:r w:rsidR="005A79FE" w:rsidRPr="004930D7">
        <w:rPr>
          <w:rFonts w:ascii="Arial" w:eastAsia="Calibri" w:hAnsi="Arial" w:cs="Arial"/>
          <w:b/>
          <w:sz w:val="22"/>
        </w:rPr>
        <w:t xml:space="preserve">Concepto C </w:t>
      </w:r>
      <w:r w:rsidRPr="004930D7">
        <w:rPr>
          <w:rFonts w:ascii="Arial" w:eastAsia="Calibri" w:hAnsi="Arial" w:cs="Arial"/>
          <w:b/>
          <w:sz w:val="22"/>
        </w:rPr>
        <w:t>–</w:t>
      </w:r>
      <w:r w:rsidR="005A79FE" w:rsidRPr="004930D7">
        <w:rPr>
          <w:rFonts w:ascii="Arial" w:eastAsia="Calibri" w:hAnsi="Arial" w:cs="Arial"/>
          <w:b/>
          <w:sz w:val="22"/>
        </w:rPr>
        <w:t xml:space="preserve"> </w:t>
      </w:r>
      <w:r w:rsidR="003A0566" w:rsidRPr="004930D7">
        <w:rPr>
          <w:rFonts w:ascii="Arial" w:eastAsia="Calibri" w:hAnsi="Arial" w:cs="Arial"/>
          <w:b/>
          <w:sz w:val="22"/>
        </w:rPr>
        <w:t>0</w:t>
      </w:r>
      <w:r w:rsidR="00BA2767">
        <w:rPr>
          <w:rFonts w:ascii="Arial" w:eastAsia="Calibri" w:hAnsi="Arial" w:cs="Arial"/>
          <w:b/>
          <w:sz w:val="22"/>
        </w:rPr>
        <w:t>7</w:t>
      </w:r>
      <w:r w:rsidR="003A0566" w:rsidRPr="004930D7">
        <w:rPr>
          <w:rFonts w:ascii="Arial" w:eastAsia="Calibri" w:hAnsi="Arial" w:cs="Arial"/>
          <w:b/>
          <w:sz w:val="22"/>
        </w:rPr>
        <w:t>1</w:t>
      </w:r>
      <w:r w:rsidR="005A79FE" w:rsidRPr="004930D7">
        <w:rPr>
          <w:rFonts w:ascii="Arial" w:eastAsia="Calibri" w:hAnsi="Arial" w:cs="Arial"/>
          <w:b/>
          <w:sz w:val="22"/>
        </w:rPr>
        <w:t xml:space="preserve"> de 202</w:t>
      </w:r>
      <w:r w:rsidR="00BA2767">
        <w:rPr>
          <w:rFonts w:ascii="Arial" w:eastAsia="Calibri" w:hAnsi="Arial" w:cs="Arial"/>
          <w:b/>
          <w:sz w:val="22"/>
        </w:rPr>
        <w:t>1</w:t>
      </w:r>
    </w:p>
    <w:p w14:paraId="6CCD98F0" w14:textId="77777777" w:rsidR="005A79FE" w:rsidRPr="004930D7"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A4A28" w:rsidRPr="004930D7" w14:paraId="21699201" w14:textId="77777777" w:rsidTr="00897943">
        <w:tc>
          <w:tcPr>
            <w:tcW w:w="2689" w:type="dxa"/>
            <w:hideMark/>
          </w:tcPr>
          <w:p w14:paraId="26712367" w14:textId="77777777" w:rsidR="005A79FE" w:rsidRPr="00821C0C" w:rsidRDefault="005A79FE" w:rsidP="00897943">
            <w:pPr>
              <w:rPr>
                <w:rFonts w:ascii="Arial" w:eastAsia="Calibri" w:hAnsi="Arial" w:cs="Arial"/>
                <w:sz w:val="22"/>
              </w:rPr>
            </w:pPr>
            <w:r w:rsidRPr="00821C0C">
              <w:rPr>
                <w:rFonts w:ascii="Arial" w:eastAsia="Calibri" w:hAnsi="Arial" w:cs="Arial"/>
                <w:b/>
                <w:sz w:val="22"/>
              </w:rPr>
              <w:t>Temas:</w:t>
            </w:r>
            <w:r w:rsidRPr="00821C0C">
              <w:rPr>
                <w:rFonts w:ascii="Arial" w:eastAsia="Calibri" w:hAnsi="Arial" w:cs="Arial"/>
                <w:sz w:val="22"/>
              </w:rPr>
              <w:t xml:space="preserve">           </w:t>
            </w:r>
          </w:p>
          <w:p w14:paraId="5D67F5C4" w14:textId="77777777" w:rsidR="005A79FE" w:rsidRPr="00821C0C" w:rsidRDefault="005A79FE" w:rsidP="00897943">
            <w:pPr>
              <w:rPr>
                <w:rFonts w:ascii="Arial" w:eastAsia="Calibri" w:hAnsi="Arial" w:cs="Arial"/>
                <w:sz w:val="22"/>
              </w:rPr>
            </w:pPr>
            <w:r w:rsidRPr="00821C0C">
              <w:rPr>
                <w:rFonts w:ascii="Arial" w:eastAsia="Calibri" w:hAnsi="Arial" w:cs="Arial"/>
                <w:sz w:val="22"/>
              </w:rPr>
              <w:t xml:space="preserve">                           </w:t>
            </w:r>
          </w:p>
        </w:tc>
        <w:tc>
          <w:tcPr>
            <w:tcW w:w="6237" w:type="dxa"/>
            <w:hideMark/>
          </w:tcPr>
          <w:p w14:paraId="784C47C0" w14:textId="457E8B72" w:rsidR="005A79FE" w:rsidRPr="00821C0C" w:rsidRDefault="002922FF" w:rsidP="00DD46B3">
            <w:pPr>
              <w:jc w:val="both"/>
              <w:rPr>
                <w:rFonts w:ascii="Arial" w:eastAsia="Calibri" w:hAnsi="Arial" w:cs="Arial"/>
                <w:sz w:val="22"/>
              </w:rPr>
            </w:pPr>
            <w:r w:rsidRPr="00821C0C">
              <w:rPr>
                <w:rFonts w:ascii="Arial" w:hAnsi="Arial" w:cs="Arial"/>
                <w:sz w:val="22"/>
                <w:lang w:val="es-CO"/>
              </w:rPr>
              <w:t xml:space="preserve">DOCUMENTOS TIPO – Matriz 1 – Actividad – Experiencia – Glosario </w:t>
            </w:r>
            <w:r w:rsidR="00C96108" w:rsidRPr="00821C0C">
              <w:rPr>
                <w:rFonts w:ascii="Arial" w:hAnsi="Arial" w:cs="Arial"/>
                <w:sz w:val="22"/>
                <w:lang w:val="es-CO"/>
              </w:rPr>
              <w:t xml:space="preserve">/ INALTERABILIDAD – Documentos tipo – Licitación pública – Fundamento </w:t>
            </w:r>
            <w:r w:rsidR="003C1847" w:rsidRPr="00821C0C">
              <w:rPr>
                <w:rFonts w:ascii="Arial" w:hAnsi="Arial" w:cs="Arial"/>
                <w:sz w:val="22"/>
                <w:lang w:val="es-CO"/>
              </w:rPr>
              <w:t>/ DOCUMENTOS TIPO – Ponderación oferta económica – TRM</w:t>
            </w:r>
          </w:p>
        </w:tc>
      </w:tr>
      <w:tr w:rsidR="00A945C1" w:rsidRPr="004930D7" w14:paraId="7C0A7D18" w14:textId="77777777" w:rsidTr="00897943">
        <w:tc>
          <w:tcPr>
            <w:tcW w:w="2689" w:type="dxa"/>
          </w:tcPr>
          <w:p w14:paraId="6A12F093" w14:textId="77777777" w:rsidR="005A79FE" w:rsidRPr="004930D7" w:rsidRDefault="005A79FE" w:rsidP="00897943">
            <w:pPr>
              <w:rPr>
                <w:rFonts w:ascii="Arial" w:eastAsia="Calibri" w:hAnsi="Arial" w:cs="Arial"/>
                <w:b/>
                <w:sz w:val="22"/>
              </w:rPr>
            </w:pPr>
            <w:r w:rsidRPr="004930D7">
              <w:rPr>
                <w:rFonts w:ascii="Arial" w:eastAsia="Calibri" w:hAnsi="Arial" w:cs="Arial"/>
                <w:b/>
                <w:sz w:val="22"/>
              </w:rPr>
              <w:t>Radicación:</w:t>
            </w:r>
            <w:r w:rsidRPr="004930D7">
              <w:rPr>
                <w:rFonts w:ascii="Arial" w:eastAsia="Calibri" w:hAnsi="Arial" w:cs="Arial"/>
                <w:sz w:val="22"/>
              </w:rPr>
              <w:t xml:space="preserve">                              </w:t>
            </w:r>
          </w:p>
        </w:tc>
        <w:tc>
          <w:tcPr>
            <w:tcW w:w="6237" w:type="dxa"/>
          </w:tcPr>
          <w:p w14:paraId="73A42ACA" w14:textId="78940199" w:rsidR="005A79FE" w:rsidRPr="004930D7" w:rsidRDefault="005A79FE" w:rsidP="00897943">
            <w:pPr>
              <w:jc w:val="both"/>
              <w:rPr>
                <w:rFonts w:ascii="Arial" w:eastAsia="Calibri" w:hAnsi="Arial" w:cs="Arial"/>
                <w:sz w:val="22"/>
              </w:rPr>
            </w:pPr>
            <w:r w:rsidRPr="004930D7">
              <w:rPr>
                <w:rFonts w:ascii="Arial" w:eastAsia="Calibri" w:hAnsi="Arial" w:cs="Arial"/>
                <w:sz w:val="22"/>
              </w:rPr>
              <w:t xml:space="preserve">Respuesta a consulta # </w:t>
            </w:r>
            <w:r w:rsidR="00C17284" w:rsidRPr="00C17284">
              <w:rPr>
                <w:rFonts w:ascii="Arial" w:eastAsia="Calibri" w:hAnsi="Arial" w:cs="Arial"/>
                <w:sz w:val="22"/>
              </w:rPr>
              <w:t>P20210203000839</w:t>
            </w:r>
          </w:p>
        </w:tc>
      </w:tr>
    </w:tbl>
    <w:p w14:paraId="396DE958" w14:textId="77777777" w:rsidR="005A79FE" w:rsidRPr="004930D7" w:rsidRDefault="005A79FE" w:rsidP="005A79FE">
      <w:pPr>
        <w:jc w:val="both"/>
        <w:rPr>
          <w:rFonts w:ascii="Arial" w:eastAsia="Calibri" w:hAnsi="Arial" w:cs="Arial"/>
          <w:sz w:val="22"/>
        </w:rPr>
      </w:pPr>
    </w:p>
    <w:p w14:paraId="489DB6E6" w14:textId="77777777" w:rsidR="005A79FE" w:rsidRPr="004930D7" w:rsidRDefault="005A79FE" w:rsidP="005A79FE">
      <w:pPr>
        <w:rPr>
          <w:rFonts w:ascii="Arial" w:eastAsia="Calibri" w:hAnsi="Arial" w:cs="Arial"/>
          <w:sz w:val="22"/>
        </w:rPr>
      </w:pPr>
    </w:p>
    <w:p w14:paraId="657E7EE7" w14:textId="78C2C9DF" w:rsidR="005A79FE" w:rsidRPr="004930D7" w:rsidRDefault="005A79FE" w:rsidP="005A79FE">
      <w:pPr>
        <w:rPr>
          <w:rFonts w:ascii="Arial" w:eastAsia="Calibri" w:hAnsi="Arial" w:cs="Arial"/>
          <w:sz w:val="22"/>
        </w:rPr>
      </w:pPr>
      <w:r w:rsidRPr="004930D7">
        <w:rPr>
          <w:rFonts w:ascii="Arial" w:eastAsia="Calibri" w:hAnsi="Arial" w:cs="Arial"/>
          <w:sz w:val="22"/>
        </w:rPr>
        <w:t>Estimad</w:t>
      </w:r>
      <w:r w:rsidR="00BA2767">
        <w:rPr>
          <w:rFonts w:ascii="Arial" w:eastAsia="Calibri" w:hAnsi="Arial" w:cs="Arial"/>
          <w:sz w:val="22"/>
        </w:rPr>
        <w:t>a</w:t>
      </w:r>
      <w:r w:rsidRPr="004930D7">
        <w:rPr>
          <w:rFonts w:ascii="Arial" w:eastAsia="Calibri" w:hAnsi="Arial" w:cs="Arial"/>
          <w:sz w:val="22"/>
        </w:rPr>
        <w:t xml:space="preserve"> seño</w:t>
      </w:r>
      <w:r w:rsidR="00E62DE4" w:rsidRPr="004930D7">
        <w:rPr>
          <w:rFonts w:ascii="Arial" w:eastAsia="Calibri" w:hAnsi="Arial" w:cs="Arial"/>
          <w:sz w:val="22"/>
        </w:rPr>
        <w:t>r</w:t>
      </w:r>
      <w:r w:rsidR="00BA2767">
        <w:rPr>
          <w:rFonts w:ascii="Arial" w:eastAsia="Calibri" w:hAnsi="Arial" w:cs="Arial"/>
          <w:sz w:val="22"/>
        </w:rPr>
        <w:t>a</w:t>
      </w:r>
      <w:r w:rsidR="003A0566" w:rsidRPr="004930D7">
        <w:rPr>
          <w:rFonts w:ascii="Arial" w:eastAsia="Calibri" w:hAnsi="Arial" w:cs="Arial"/>
          <w:sz w:val="22"/>
        </w:rPr>
        <w:t xml:space="preserve"> </w:t>
      </w:r>
      <w:r w:rsidR="00BA2767">
        <w:rPr>
          <w:rFonts w:ascii="Arial" w:eastAsia="Calibri" w:hAnsi="Arial" w:cs="Arial"/>
          <w:sz w:val="22"/>
        </w:rPr>
        <w:t>Hernánd</w:t>
      </w:r>
      <w:r w:rsidR="003A0566" w:rsidRPr="004930D7">
        <w:rPr>
          <w:rFonts w:ascii="Arial" w:eastAsia="Calibri" w:hAnsi="Arial" w:cs="Arial"/>
          <w:sz w:val="22"/>
        </w:rPr>
        <w:t>ez</w:t>
      </w:r>
      <w:r w:rsidRPr="004930D7">
        <w:rPr>
          <w:rFonts w:ascii="Arial" w:eastAsia="Calibri" w:hAnsi="Arial" w:cs="Arial"/>
          <w:sz w:val="22"/>
        </w:rPr>
        <w:t>,</w:t>
      </w:r>
    </w:p>
    <w:p w14:paraId="40D74C98" w14:textId="77777777" w:rsidR="005A79FE" w:rsidRPr="004930D7" w:rsidRDefault="005A79FE" w:rsidP="005A79FE">
      <w:pPr>
        <w:rPr>
          <w:rFonts w:ascii="Arial" w:eastAsia="Calibri" w:hAnsi="Arial" w:cs="Arial"/>
          <w:sz w:val="22"/>
        </w:rPr>
      </w:pPr>
    </w:p>
    <w:p w14:paraId="1412627B" w14:textId="2BC3E5BE" w:rsidR="001D20CD" w:rsidRPr="004930D7" w:rsidRDefault="001D20CD" w:rsidP="009A69E3">
      <w:pPr>
        <w:spacing w:line="276" w:lineRule="auto"/>
        <w:jc w:val="both"/>
        <w:rPr>
          <w:rFonts w:ascii="Arial" w:eastAsia="Calibri" w:hAnsi="Arial" w:cs="Arial"/>
          <w:sz w:val="22"/>
        </w:rPr>
      </w:pPr>
      <w:r w:rsidRPr="004930D7">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BA2767">
        <w:rPr>
          <w:rFonts w:ascii="Arial" w:eastAsia="Calibri" w:hAnsi="Arial" w:cs="Arial"/>
          <w:sz w:val="22"/>
        </w:rPr>
        <w:t>3</w:t>
      </w:r>
      <w:r w:rsidRPr="004930D7">
        <w:rPr>
          <w:rFonts w:ascii="Arial" w:eastAsia="Calibri" w:hAnsi="Arial" w:cs="Arial"/>
          <w:sz w:val="22"/>
        </w:rPr>
        <w:t xml:space="preserve"> de </w:t>
      </w:r>
      <w:r w:rsidR="00BA2767">
        <w:rPr>
          <w:rFonts w:ascii="Arial" w:eastAsia="Calibri" w:hAnsi="Arial" w:cs="Arial"/>
          <w:sz w:val="22"/>
        </w:rPr>
        <w:t>febrero</w:t>
      </w:r>
      <w:r w:rsidRPr="004930D7">
        <w:rPr>
          <w:rFonts w:ascii="Arial" w:eastAsia="Calibri" w:hAnsi="Arial" w:cs="Arial"/>
          <w:sz w:val="22"/>
        </w:rPr>
        <w:t xml:space="preserve"> del 202</w:t>
      </w:r>
      <w:r w:rsidR="003A0566" w:rsidRPr="004930D7">
        <w:rPr>
          <w:rFonts w:ascii="Arial" w:eastAsia="Calibri" w:hAnsi="Arial" w:cs="Arial"/>
          <w:sz w:val="22"/>
        </w:rPr>
        <w:t>1</w:t>
      </w:r>
      <w:r w:rsidRPr="004930D7">
        <w:rPr>
          <w:rFonts w:ascii="Arial" w:eastAsia="Calibri" w:hAnsi="Arial" w:cs="Arial"/>
          <w:sz w:val="22"/>
        </w:rPr>
        <w:t>.</w:t>
      </w:r>
    </w:p>
    <w:p w14:paraId="4FA02A8B" w14:textId="77777777" w:rsidR="005A79FE" w:rsidRPr="004930D7" w:rsidRDefault="005A79FE" w:rsidP="009A69E3">
      <w:pPr>
        <w:spacing w:line="276" w:lineRule="auto"/>
        <w:jc w:val="both"/>
        <w:rPr>
          <w:rFonts w:ascii="Arial" w:eastAsia="Calibri" w:hAnsi="Arial" w:cs="Arial"/>
          <w:sz w:val="22"/>
        </w:rPr>
      </w:pPr>
    </w:p>
    <w:p w14:paraId="17A88694" w14:textId="78B8F8D7" w:rsidR="00A945C1" w:rsidRPr="004930D7" w:rsidRDefault="00A945C1" w:rsidP="009A69E3">
      <w:pPr>
        <w:pStyle w:val="Prrafodelista"/>
        <w:tabs>
          <w:tab w:val="left" w:pos="284"/>
        </w:tabs>
        <w:spacing w:line="276" w:lineRule="auto"/>
        <w:ind w:left="0"/>
        <w:jc w:val="both"/>
        <w:rPr>
          <w:rFonts w:ascii="Arial" w:eastAsia="Calibri" w:hAnsi="Arial" w:cs="Arial"/>
          <w:b/>
          <w:sz w:val="22"/>
        </w:rPr>
      </w:pPr>
      <w:bookmarkStart w:id="1" w:name="_Hlk29890381"/>
      <w:r w:rsidRPr="004930D7">
        <w:rPr>
          <w:rFonts w:ascii="Arial" w:eastAsia="Calibri" w:hAnsi="Arial" w:cs="Arial"/>
          <w:b/>
          <w:sz w:val="22"/>
        </w:rPr>
        <w:t>1. Problema</w:t>
      </w:r>
      <w:r w:rsidR="003A0566" w:rsidRPr="004930D7">
        <w:rPr>
          <w:rFonts w:ascii="Arial" w:eastAsia="Calibri" w:hAnsi="Arial" w:cs="Arial"/>
          <w:b/>
          <w:sz w:val="22"/>
        </w:rPr>
        <w:t>s</w:t>
      </w:r>
      <w:r w:rsidRPr="004930D7">
        <w:rPr>
          <w:rFonts w:ascii="Arial" w:eastAsia="Calibri" w:hAnsi="Arial" w:cs="Arial"/>
          <w:b/>
          <w:sz w:val="22"/>
        </w:rPr>
        <w:t xml:space="preserve"> planteado</w:t>
      </w:r>
      <w:r w:rsidR="003A0566" w:rsidRPr="004930D7">
        <w:rPr>
          <w:rFonts w:ascii="Arial" w:eastAsia="Calibri" w:hAnsi="Arial" w:cs="Arial"/>
          <w:b/>
          <w:sz w:val="22"/>
        </w:rPr>
        <w:t>s</w:t>
      </w:r>
    </w:p>
    <w:p w14:paraId="373F8D38" w14:textId="77777777" w:rsidR="00A945C1" w:rsidRPr="004930D7" w:rsidRDefault="00A945C1" w:rsidP="009A69E3">
      <w:pPr>
        <w:tabs>
          <w:tab w:val="left" w:pos="426"/>
        </w:tabs>
        <w:spacing w:line="276" w:lineRule="auto"/>
        <w:jc w:val="both"/>
        <w:rPr>
          <w:rFonts w:ascii="Arial" w:eastAsia="Calibri" w:hAnsi="Arial" w:cs="Arial"/>
          <w:b/>
          <w:sz w:val="22"/>
        </w:rPr>
      </w:pPr>
    </w:p>
    <w:p w14:paraId="0359AC3E" w14:textId="6269DAEA" w:rsidR="00023E6F" w:rsidRDefault="00A945C1" w:rsidP="00E863E3">
      <w:pPr>
        <w:tabs>
          <w:tab w:val="left" w:pos="426"/>
        </w:tabs>
        <w:spacing w:after="120" w:line="276" w:lineRule="auto"/>
        <w:jc w:val="both"/>
        <w:rPr>
          <w:rFonts w:ascii="Arial" w:eastAsia="Calibri" w:hAnsi="Arial" w:cs="Arial"/>
          <w:sz w:val="21"/>
          <w:szCs w:val="21"/>
        </w:rPr>
      </w:pPr>
      <w:r w:rsidRPr="004930D7">
        <w:rPr>
          <w:rFonts w:ascii="Arial" w:eastAsia="Calibri" w:hAnsi="Arial" w:cs="Arial"/>
          <w:sz w:val="22"/>
        </w:rPr>
        <w:t>Usted realiza la</w:t>
      </w:r>
      <w:r w:rsidR="003A0566" w:rsidRPr="004930D7">
        <w:rPr>
          <w:rFonts w:ascii="Arial" w:eastAsia="Calibri" w:hAnsi="Arial" w:cs="Arial"/>
          <w:sz w:val="22"/>
        </w:rPr>
        <w:t>s</w:t>
      </w:r>
      <w:r w:rsidRPr="004930D7">
        <w:rPr>
          <w:rFonts w:ascii="Arial" w:eastAsia="Calibri" w:hAnsi="Arial" w:cs="Arial"/>
          <w:sz w:val="22"/>
        </w:rPr>
        <w:t xml:space="preserve"> siguiente</w:t>
      </w:r>
      <w:r w:rsidR="003A0566" w:rsidRPr="004930D7">
        <w:rPr>
          <w:rFonts w:ascii="Arial" w:eastAsia="Calibri" w:hAnsi="Arial" w:cs="Arial"/>
          <w:sz w:val="22"/>
        </w:rPr>
        <w:t>s</w:t>
      </w:r>
      <w:r w:rsidRPr="004930D7">
        <w:rPr>
          <w:rFonts w:ascii="Arial" w:eastAsia="Calibri" w:hAnsi="Arial" w:cs="Arial"/>
          <w:sz w:val="22"/>
        </w:rPr>
        <w:t xml:space="preserve"> pregunta</w:t>
      </w:r>
      <w:r w:rsidR="003A0566" w:rsidRPr="004930D7">
        <w:rPr>
          <w:rFonts w:ascii="Arial" w:eastAsia="Calibri" w:hAnsi="Arial" w:cs="Arial"/>
          <w:sz w:val="22"/>
        </w:rPr>
        <w:t>s</w:t>
      </w:r>
      <w:r w:rsidRPr="004930D7">
        <w:rPr>
          <w:rFonts w:ascii="Arial" w:eastAsia="Calibri" w:hAnsi="Arial" w:cs="Arial"/>
          <w:sz w:val="22"/>
        </w:rPr>
        <w:t xml:space="preserve">: </w:t>
      </w:r>
      <w:r w:rsidR="009561CB">
        <w:rPr>
          <w:rFonts w:ascii="Arial" w:eastAsia="Calibri" w:hAnsi="Arial" w:cs="Arial"/>
          <w:sz w:val="22"/>
        </w:rPr>
        <w:t>Respecto de la matriz 1 y la experiencia específica de la actividad</w:t>
      </w:r>
      <w:r w:rsidR="007F0022">
        <w:rPr>
          <w:rFonts w:ascii="Arial" w:eastAsia="Calibri" w:hAnsi="Arial" w:cs="Arial"/>
          <w:sz w:val="22"/>
        </w:rPr>
        <w:t xml:space="preserve"> 6.1</w:t>
      </w:r>
      <w:r w:rsidR="009561CB">
        <w:rPr>
          <w:rFonts w:ascii="Arial" w:eastAsia="Calibri" w:hAnsi="Arial" w:cs="Arial"/>
          <w:sz w:val="22"/>
        </w:rPr>
        <w:t xml:space="preserve"> construcción o mejoramiento o rehabilitación de vías urbanas</w:t>
      </w:r>
      <w:r w:rsidR="007F0022">
        <w:rPr>
          <w:rFonts w:ascii="Arial" w:eastAsia="Calibri" w:hAnsi="Arial" w:cs="Arial"/>
          <w:sz w:val="22"/>
        </w:rPr>
        <w:t xml:space="preserve">, </w:t>
      </w:r>
      <w:r w:rsidR="000E4342" w:rsidRPr="004930D7">
        <w:rPr>
          <w:rFonts w:ascii="Arial" w:eastAsia="Calibri" w:hAnsi="Arial" w:cs="Arial"/>
          <w:sz w:val="21"/>
          <w:szCs w:val="21"/>
        </w:rPr>
        <w:t>«</w:t>
      </w:r>
      <w:r w:rsidR="007F0022">
        <w:rPr>
          <w:rFonts w:ascii="Arial" w:eastAsia="Calibri" w:hAnsi="Arial" w:cs="Arial"/>
          <w:sz w:val="21"/>
          <w:szCs w:val="21"/>
        </w:rPr>
        <w:t xml:space="preserve">[…] </w:t>
      </w:r>
      <w:r w:rsidR="00441970" w:rsidRPr="00441970">
        <w:rPr>
          <w:rFonts w:ascii="Arial" w:eastAsia="Calibri" w:hAnsi="Arial" w:cs="Arial"/>
          <w:sz w:val="21"/>
          <w:szCs w:val="21"/>
        </w:rPr>
        <w:t>es v</w:t>
      </w:r>
      <w:r w:rsidR="00441970">
        <w:rPr>
          <w:rFonts w:ascii="Arial" w:eastAsia="Calibri" w:hAnsi="Arial" w:cs="Arial"/>
          <w:sz w:val="21"/>
          <w:szCs w:val="21"/>
        </w:rPr>
        <w:t>á</w:t>
      </w:r>
      <w:r w:rsidR="00441970" w:rsidRPr="00441970">
        <w:rPr>
          <w:rFonts w:ascii="Arial" w:eastAsia="Calibri" w:hAnsi="Arial" w:cs="Arial"/>
          <w:sz w:val="21"/>
          <w:szCs w:val="21"/>
        </w:rPr>
        <w:t>lido presentar</w:t>
      </w:r>
      <w:r w:rsidR="00441970">
        <w:rPr>
          <w:rFonts w:ascii="Arial" w:eastAsia="Calibri" w:hAnsi="Arial" w:cs="Arial"/>
          <w:sz w:val="21"/>
          <w:szCs w:val="21"/>
        </w:rPr>
        <w:t xml:space="preserve"> </w:t>
      </w:r>
      <w:r w:rsidR="00441970" w:rsidRPr="00441970">
        <w:rPr>
          <w:rFonts w:ascii="Arial" w:eastAsia="Calibri" w:hAnsi="Arial" w:cs="Arial"/>
          <w:sz w:val="21"/>
          <w:szCs w:val="21"/>
        </w:rPr>
        <w:t>contrato de reposición de acueducto y/o alcantarillado en el cual se realiz</w:t>
      </w:r>
      <w:r w:rsidR="00441970">
        <w:rPr>
          <w:rFonts w:ascii="Arial" w:eastAsia="Calibri" w:hAnsi="Arial" w:cs="Arial"/>
          <w:sz w:val="21"/>
          <w:szCs w:val="21"/>
        </w:rPr>
        <w:t>ó</w:t>
      </w:r>
      <w:r w:rsidR="00441970" w:rsidRPr="00441970">
        <w:rPr>
          <w:rFonts w:ascii="Arial" w:eastAsia="Calibri" w:hAnsi="Arial" w:cs="Arial"/>
          <w:sz w:val="21"/>
          <w:szCs w:val="21"/>
        </w:rPr>
        <w:t xml:space="preserve"> la</w:t>
      </w:r>
      <w:r w:rsidR="00441970">
        <w:rPr>
          <w:rFonts w:ascii="Arial" w:eastAsia="Calibri" w:hAnsi="Arial" w:cs="Arial"/>
          <w:sz w:val="21"/>
          <w:szCs w:val="21"/>
        </w:rPr>
        <w:t xml:space="preserve"> </w:t>
      </w:r>
      <w:r w:rsidR="00441970" w:rsidRPr="00441970">
        <w:rPr>
          <w:rFonts w:ascii="Arial" w:eastAsia="Calibri" w:hAnsi="Arial" w:cs="Arial"/>
          <w:sz w:val="21"/>
          <w:szCs w:val="21"/>
        </w:rPr>
        <w:t>intervención y reposición de la malla vial</w:t>
      </w:r>
      <w:r w:rsidR="00441970">
        <w:rPr>
          <w:rFonts w:ascii="Arial" w:eastAsia="Calibri" w:hAnsi="Arial" w:cs="Arial"/>
          <w:sz w:val="21"/>
          <w:szCs w:val="21"/>
        </w:rPr>
        <w:t>? (sic)</w:t>
      </w:r>
      <w:r w:rsidR="00441970" w:rsidRPr="00441970">
        <w:rPr>
          <w:rFonts w:ascii="Arial" w:eastAsia="Calibri" w:hAnsi="Arial" w:cs="Arial"/>
          <w:sz w:val="21"/>
          <w:szCs w:val="21"/>
        </w:rPr>
        <w:t>, teniendo en cuenta que el contrato</w:t>
      </w:r>
      <w:r w:rsidR="00441970">
        <w:rPr>
          <w:rFonts w:ascii="Arial" w:eastAsia="Calibri" w:hAnsi="Arial" w:cs="Arial"/>
          <w:sz w:val="21"/>
          <w:szCs w:val="21"/>
        </w:rPr>
        <w:t xml:space="preserve"> </w:t>
      </w:r>
      <w:r w:rsidR="00441970" w:rsidRPr="00441970">
        <w:rPr>
          <w:rFonts w:ascii="Arial" w:eastAsia="Calibri" w:hAnsi="Arial" w:cs="Arial"/>
          <w:sz w:val="21"/>
          <w:szCs w:val="21"/>
        </w:rPr>
        <w:t>resultante del proceso de contratación cuenta con una gran parte de su presupuesto</w:t>
      </w:r>
      <w:r w:rsidR="00441970">
        <w:rPr>
          <w:rFonts w:ascii="Arial" w:eastAsia="Calibri" w:hAnsi="Arial" w:cs="Arial"/>
          <w:sz w:val="21"/>
          <w:szCs w:val="21"/>
        </w:rPr>
        <w:t xml:space="preserve"> </w:t>
      </w:r>
      <w:r w:rsidR="00441970" w:rsidRPr="00441970">
        <w:rPr>
          <w:rFonts w:ascii="Arial" w:eastAsia="Calibri" w:hAnsi="Arial" w:cs="Arial"/>
          <w:sz w:val="21"/>
          <w:szCs w:val="21"/>
        </w:rPr>
        <w:t>dirigido a actividades de reposición de alcantarillado y/o similares</w:t>
      </w:r>
      <w:r w:rsidR="00BC23F4" w:rsidRPr="004930D7">
        <w:rPr>
          <w:rFonts w:ascii="Arial" w:eastAsia="Calibri" w:hAnsi="Arial" w:cs="Arial"/>
          <w:sz w:val="21"/>
          <w:szCs w:val="21"/>
        </w:rPr>
        <w:t>»</w:t>
      </w:r>
      <w:r w:rsidR="00441970" w:rsidRPr="00441970">
        <w:rPr>
          <w:rFonts w:ascii="Arial" w:eastAsia="Calibri" w:hAnsi="Arial" w:cs="Arial"/>
          <w:sz w:val="21"/>
          <w:szCs w:val="21"/>
        </w:rPr>
        <w:t>.</w:t>
      </w:r>
    </w:p>
    <w:p w14:paraId="17519F82" w14:textId="69C30124" w:rsidR="00A945C1" w:rsidRPr="004930D7" w:rsidRDefault="00026489" w:rsidP="00023E6F">
      <w:pPr>
        <w:tabs>
          <w:tab w:val="left" w:pos="426"/>
        </w:tabs>
        <w:spacing w:line="276" w:lineRule="auto"/>
        <w:jc w:val="both"/>
        <w:rPr>
          <w:rFonts w:ascii="Arial" w:eastAsia="Calibri" w:hAnsi="Arial" w:cs="Arial"/>
          <w:sz w:val="21"/>
          <w:szCs w:val="21"/>
        </w:rPr>
      </w:pPr>
      <w:r>
        <w:rPr>
          <w:rFonts w:ascii="Arial" w:eastAsia="Calibri" w:hAnsi="Arial" w:cs="Arial"/>
          <w:sz w:val="21"/>
          <w:szCs w:val="21"/>
        </w:rPr>
        <w:tab/>
      </w:r>
      <w:r>
        <w:rPr>
          <w:rFonts w:ascii="Arial" w:eastAsia="Calibri" w:hAnsi="Arial" w:cs="Arial"/>
          <w:sz w:val="21"/>
          <w:szCs w:val="21"/>
        </w:rPr>
        <w:tab/>
      </w:r>
      <w:r w:rsidR="003A0566" w:rsidRPr="004930D7">
        <w:rPr>
          <w:rFonts w:ascii="Arial" w:eastAsia="Calibri" w:hAnsi="Arial" w:cs="Arial"/>
          <w:sz w:val="21"/>
          <w:szCs w:val="21"/>
        </w:rPr>
        <w:t xml:space="preserve">»2. </w:t>
      </w:r>
      <w:proofErr w:type="gramStart"/>
      <w:r w:rsidR="00023E6F" w:rsidRPr="00023E6F">
        <w:rPr>
          <w:rFonts w:ascii="Arial" w:eastAsia="Calibri" w:hAnsi="Arial" w:cs="Arial"/>
          <w:sz w:val="21"/>
          <w:szCs w:val="21"/>
        </w:rPr>
        <w:t>Para la Audiencia de adjudicación en caso de que la apertura de los sobres</w:t>
      </w:r>
      <w:r w:rsidR="00023E6F">
        <w:rPr>
          <w:rFonts w:ascii="Arial" w:eastAsia="Calibri" w:hAnsi="Arial" w:cs="Arial"/>
          <w:sz w:val="21"/>
          <w:szCs w:val="21"/>
        </w:rPr>
        <w:t xml:space="preserve"> </w:t>
      </w:r>
      <w:r w:rsidR="00023E6F" w:rsidRPr="00023E6F">
        <w:rPr>
          <w:rFonts w:ascii="Arial" w:eastAsia="Calibri" w:hAnsi="Arial" w:cs="Arial"/>
          <w:sz w:val="21"/>
          <w:szCs w:val="21"/>
        </w:rPr>
        <w:t>económicos se inicie antes de las 3 p.m. pero no se finalice antes de esta hora por</w:t>
      </w:r>
      <w:r w:rsidR="00023E6F">
        <w:rPr>
          <w:rFonts w:ascii="Arial" w:eastAsia="Calibri" w:hAnsi="Arial" w:cs="Arial"/>
          <w:sz w:val="21"/>
          <w:szCs w:val="21"/>
        </w:rPr>
        <w:t xml:space="preserve"> </w:t>
      </w:r>
      <w:r w:rsidR="00023E6F" w:rsidRPr="00023E6F">
        <w:rPr>
          <w:rFonts w:ascii="Arial" w:eastAsia="Calibri" w:hAnsi="Arial" w:cs="Arial"/>
          <w:sz w:val="21"/>
          <w:szCs w:val="21"/>
        </w:rPr>
        <w:t xml:space="preserve">cualquier tipo de circunstancia que se pueda presentar </w:t>
      </w:r>
      <w:r w:rsidR="00D86F82">
        <w:rPr>
          <w:rFonts w:ascii="Arial" w:eastAsia="Calibri" w:hAnsi="Arial" w:cs="Arial"/>
          <w:sz w:val="21"/>
          <w:szCs w:val="21"/>
        </w:rPr>
        <w:t xml:space="preserve">(sic) </w:t>
      </w:r>
      <w:r w:rsidR="00023E6F" w:rsidRPr="00023E6F">
        <w:rPr>
          <w:rFonts w:ascii="Arial" w:eastAsia="Calibri" w:hAnsi="Arial" w:cs="Arial"/>
          <w:sz w:val="21"/>
          <w:szCs w:val="21"/>
        </w:rPr>
        <w:t>se debe suspender la</w:t>
      </w:r>
      <w:r w:rsidR="00023E6F">
        <w:rPr>
          <w:rFonts w:ascii="Arial" w:eastAsia="Calibri" w:hAnsi="Arial" w:cs="Arial"/>
          <w:sz w:val="21"/>
          <w:szCs w:val="21"/>
        </w:rPr>
        <w:t xml:space="preserve"> </w:t>
      </w:r>
      <w:r w:rsidR="00023E6F" w:rsidRPr="00023E6F">
        <w:rPr>
          <w:rFonts w:ascii="Arial" w:eastAsia="Calibri" w:hAnsi="Arial" w:cs="Arial"/>
          <w:sz w:val="21"/>
          <w:szCs w:val="21"/>
        </w:rPr>
        <w:t>audiencia?</w:t>
      </w:r>
      <w:proofErr w:type="gramEnd"/>
      <w:r w:rsidR="00023E6F" w:rsidRPr="00023E6F">
        <w:rPr>
          <w:rFonts w:ascii="Arial" w:eastAsia="Calibri" w:hAnsi="Arial" w:cs="Arial"/>
          <w:sz w:val="21"/>
          <w:szCs w:val="21"/>
        </w:rPr>
        <w:t xml:space="preserve"> </w:t>
      </w:r>
      <w:r w:rsidR="00D86F82">
        <w:rPr>
          <w:rFonts w:ascii="Arial" w:eastAsia="Calibri" w:hAnsi="Arial" w:cs="Arial"/>
          <w:sz w:val="21"/>
          <w:szCs w:val="21"/>
        </w:rPr>
        <w:t xml:space="preserve">(sic) </w:t>
      </w:r>
      <w:r w:rsidR="00023E6F" w:rsidRPr="00023E6F">
        <w:rPr>
          <w:rFonts w:ascii="Arial" w:eastAsia="Calibri" w:hAnsi="Arial" w:cs="Arial"/>
          <w:sz w:val="21"/>
          <w:szCs w:val="21"/>
        </w:rPr>
        <w:t>terminar la apertura de los sobres?</w:t>
      </w:r>
      <w:r w:rsidR="00D86F82">
        <w:rPr>
          <w:rFonts w:ascii="Arial" w:eastAsia="Calibri" w:hAnsi="Arial" w:cs="Arial"/>
          <w:sz w:val="21"/>
          <w:szCs w:val="21"/>
        </w:rPr>
        <w:t xml:space="preserve"> (sic)</w:t>
      </w:r>
      <w:r w:rsidR="00023E6F" w:rsidRPr="00023E6F">
        <w:rPr>
          <w:rFonts w:ascii="Arial" w:eastAsia="Calibri" w:hAnsi="Arial" w:cs="Arial"/>
          <w:sz w:val="21"/>
          <w:szCs w:val="21"/>
        </w:rPr>
        <w:t xml:space="preserve"> y cu</w:t>
      </w:r>
      <w:r w:rsidR="00D86F82">
        <w:rPr>
          <w:rFonts w:ascii="Arial" w:eastAsia="Calibri" w:hAnsi="Arial" w:cs="Arial"/>
          <w:sz w:val="21"/>
          <w:szCs w:val="21"/>
        </w:rPr>
        <w:t>á</w:t>
      </w:r>
      <w:r w:rsidR="00023E6F" w:rsidRPr="00023E6F">
        <w:rPr>
          <w:rFonts w:ascii="Arial" w:eastAsia="Calibri" w:hAnsi="Arial" w:cs="Arial"/>
          <w:sz w:val="21"/>
          <w:szCs w:val="21"/>
        </w:rPr>
        <w:t>l TRM aplicaría entonces para la</w:t>
      </w:r>
      <w:r w:rsidR="00023E6F">
        <w:rPr>
          <w:rFonts w:ascii="Arial" w:eastAsia="Calibri" w:hAnsi="Arial" w:cs="Arial"/>
          <w:sz w:val="21"/>
          <w:szCs w:val="21"/>
        </w:rPr>
        <w:t xml:space="preserve"> </w:t>
      </w:r>
      <w:r w:rsidR="00023E6F" w:rsidRPr="00023E6F">
        <w:rPr>
          <w:rFonts w:ascii="Arial" w:eastAsia="Calibri" w:hAnsi="Arial" w:cs="Arial"/>
          <w:sz w:val="21"/>
          <w:szCs w:val="21"/>
        </w:rPr>
        <w:t>elección del método de evaluación?</w:t>
      </w:r>
      <w:r w:rsidR="003A0566" w:rsidRPr="004930D7">
        <w:rPr>
          <w:rFonts w:ascii="Arial" w:eastAsia="Calibri" w:hAnsi="Arial" w:cs="Arial"/>
          <w:sz w:val="21"/>
          <w:szCs w:val="21"/>
        </w:rPr>
        <w:t>».</w:t>
      </w:r>
    </w:p>
    <w:p w14:paraId="48883488" w14:textId="77777777" w:rsidR="00267368" w:rsidRPr="004930D7" w:rsidRDefault="00267368" w:rsidP="009A69E3">
      <w:pPr>
        <w:tabs>
          <w:tab w:val="left" w:pos="426"/>
        </w:tabs>
        <w:ind w:left="709" w:right="709"/>
        <w:jc w:val="both"/>
        <w:rPr>
          <w:rFonts w:ascii="Arial" w:eastAsia="Calibri" w:hAnsi="Arial" w:cs="Arial"/>
          <w:sz w:val="22"/>
        </w:rPr>
      </w:pPr>
    </w:p>
    <w:p w14:paraId="31610256" w14:textId="77777777" w:rsidR="00A945C1" w:rsidRPr="004930D7" w:rsidRDefault="00A945C1" w:rsidP="009A69E3">
      <w:pPr>
        <w:tabs>
          <w:tab w:val="left" w:pos="426"/>
        </w:tabs>
        <w:spacing w:line="276" w:lineRule="auto"/>
        <w:jc w:val="both"/>
        <w:rPr>
          <w:rFonts w:ascii="Arial" w:eastAsia="Calibri" w:hAnsi="Arial" w:cs="Arial"/>
          <w:b/>
          <w:sz w:val="22"/>
        </w:rPr>
      </w:pPr>
      <w:r w:rsidRPr="004930D7">
        <w:rPr>
          <w:rFonts w:ascii="Arial" w:eastAsia="Calibri" w:hAnsi="Arial" w:cs="Arial"/>
          <w:b/>
          <w:sz w:val="22"/>
        </w:rPr>
        <w:t>2. Consideraciones</w:t>
      </w:r>
    </w:p>
    <w:p w14:paraId="71A37B59" w14:textId="77777777" w:rsidR="00A945C1" w:rsidRPr="004930D7" w:rsidRDefault="00A945C1" w:rsidP="009A69E3">
      <w:pPr>
        <w:tabs>
          <w:tab w:val="left" w:pos="426"/>
        </w:tabs>
        <w:spacing w:line="276" w:lineRule="auto"/>
        <w:jc w:val="both"/>
        <w:rPr>
          <w:rFonts w:ascii="Arial" w:eastAsia="Calibri" w:hAnsi="Arial" w:cs="Arial"/>
          <w:b/>
          <w:sz w:val="22"/>
        </w:rPr>
      </w:pPr>
    </w:p>
    <w:p w14:paraId="58AF6101" w14:textId="6A8D6DF0" w:rsidR="00D60E6A" w:rsidRPr="004930D7" w:rsidRDefault="00D60E6A" w:rsidP="00E863E3">
      <w:pPr>
        <w:spacing w:after="120" w:line="276" w:lineRule="auto"/>
        <w:jc w:val="both"/>
        <w:rPr>
          <w:rFonts w:ascii="Arial" w:hAnsi="Arial" w:cs="Arial"/>
          <w:sz w:val="22"/>
        </w:rPr>
      </w:pPr>
      <w:r w:rsidRPr="004930D7">
        <w:rPr>
          <w:rFonts w:ascii="Arial" w:hAnsi="Arial" w:cs="Arial"/>
          <w:sz w:val="22"/>
        </w:rPr>
        <w:t xml:space="preserve">Teniendo en cuenta que su consulta se hace en vigencia de la versión 3 de los documentos tipo para </w:t>
      </w:r>
      <w:r w:rsidR="00026489">
        <w:rPr>
          <w:rFonts w:ascii="Arial" w:hAnsi="Arial" w:cs="Arial"/>
          <w:sz w:val="22"/>
        </w:rPr>
        <w:t>licitaciones,</w:t>
      </w:r>
      <w:r w:rsidRPr="004930D7">
        <w:rPr>
          <w:rFonts w:ascii="Arial" w:hAnsi="Arial" w:cs="Arial"/>
          <w:sz w:val="22"/>
        </w:rPr>
        <w:t xml:space="preserve"> cuyo objeto sean las obras públicas de infraestructura de transporte, se dará respuesta con base en dichos documentos.</w:t>
      </w:r>
    </w:p>
    <w:p w14:paraId="316AFABC" w14:textId="20E82211" w:rsidR="007E5045" w:rsidRPr="004930D7" w:rsidRDefault="00C96108" w:rsidP="007E5045">
      <w:pPr>
        <w:spacing w:after="120" w:line="276" w:lineRule="auto"/>
        <w:ind w:firstLine="709"/>
        <w:jc w:val="both"/>
        <w:rPr>
          <w:rFonts w:ascii="Arial" w:hAnsi="Arial" w:cs="Arial"/>
          <w:sz w:val="22"/>
        </w:rPr>
      </w:pPr>
      <w:r w:rsidRPr="004930D7">
        <w:rPr>
          <w:rFonts w:ascii="Arial" w:hAnsi="Arial" w:cs="Arial"/>
          <w:sz w:val="22"/>
        </w:rPr>
        <w:t xml:space="preserve">La Agencia Nacional de Contratación Pública </w:t>
      </w:r>
      <w:r w:rsidRPr="004930D7">
        <w:rPr>
          <w:rFonts w:ascii="Arial" w:eastAsia="Calibri" w:hAnsi="Arial" w:cs="Arial"/>
          <w:sz w:val="22"/>
        </w:rPr>
        <w:t>–</w:t>
      </w:r>
      <w:r w:rsidRPr="004930D7">
        <w:rPr>
          <w:rFonts w:ascii="Arial" w:hAnsi="Arial" w:cs="Arial"/>
          <w:sz w:val="22"/>
        </w:rPr>
        <w:t xml:space="preserve"> Colombia Compra Eficiente se ha pronunciado en diferentes conceptos sobre la forma de establecer y acreditar la experiencia exigible en procesos de contratación adelantados con documentos tipo,</w:t>
      </w:r>
      <w:r w:rsidR="00C34429" w:rsidRPr="004930D7">
        <w:rPr>
          <w:rFonts w:ascii="Arial" w:hAnsi="Arial" w:cs="Arial"/>
          <w:sz w:val="22"/>
        </w:rPr>
        <w:t xml:space="preserve"> </w:t>
      </w:r>
      <w:r w:rsidR="00D42560" w:rsidRPr="004930D7">
        <w:rPr>
          <w:rFonts w:ascii="Arial" w:hAnsi="Arial" w:cs="Arial"/>
          <w:sz w:val="22"/>
        </w:rPr>
        <w:t>siendo las obras establecidas en la matriz de experiencia frente a los proyectos que aplican estos documentos. En efecto, así se pronunció en los c</w:t>
      </w:r>
      <w:r w:rsidRPr="004930D7">
        <w:rPr>
          <w:rFonts w:ascii="Arial" w:hAnsi="Arial" w:cs="Arial"/>
          <w:sz w:val="22"/>
        </w:rPr>
        <w:t>onceptos C-056 del 8 de enero de 2020, C-069 del 24 de enero de 2020, C-097 del 5 de febrero de 2020, C-198 del 17 de abril de 2020, C</w:t>
      </w:r>
      <w:r w:rsidR="00D42560" w:rsidRPr="004930D7">
        <w:rPr>
          <w:rFonts w:ascii="Arial" w:hAnsi="Arial" w:cs="Arial"/>
          <w:sz w:val="22"/>
        </w:rPr>
        <w:t>-</w:t>
      </w:r>
      <w:r w:rsidRPr="004930D7">
        <w:rPr>
          <w:rFonts w:ascii="Arial" w:hAnsi="Arial" w:cs="Arial"/>
          <w:sz w:val="22"/>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w:t>
      </w:r>
      <w:r w:rsidR="00E644DC" w:rsidRPr="004930D7">
        <w:rPr>
          <w:rFonts w:ascii="Arial" w:hAnsi="Arial" w:cs="Arial"/>
          <w:sz w:val="22"/>
        </w:rPr>
        <w:t>,</w:t>
      </w:r>
      <w:r w:rsidRPr="004930D7">
        <w:rPr>
          <w:rFonts w:ascii="Arial" w:hAnsi="Arial" w:cs="Arial"/>
          <w:sz w:val="22"/>
        </w:rPr>
        <w:t xml:space="preserve"> C-697 del 2 de diciembre de 2020</w:t>
      </w:r>
      <w:r w:rsidR="006119BE">
        <w:rPr>
          <w:rFonts w:ascii="Arial" w:hAnsi="Arial" w:cs="Arial"/>
          <w:sz w:val="22"/>
        </w:rPr>
        <w:t>,</w:t>
      </w:r>
      <w:r w:rsidR="00E644DC" w:rsidRPr="004930D7">
        <w:rPr>
          <w:rFonts w:ascii="Arial" w:hAnsi="Arial" w:cs="Arial"/>
          <w:sz w:val="22"/>
        </w:rPr>
        <w:t xml:space="preserve"> C-773 del 14 de enero de 2021</w:t>
      </w:r>
      <w:r w:rsidR="006119BE">
        <w:rPr>
          <w:rFonts w:ascii="Arial" w:hAnsi="Arial" w:cs="Arial"/>
          <w:sz w:val="22"/>
        </w:rPr>
        <w:t xml:space="preserve"> y C-011 del 17 de febrero</w:t>
      </w:r>
      <w:r w:rsidR="008B220C">
        <w:rPr>
          <w:rFonts w:ascii="Arial" w:hAnsi="Arial" w:cs="Arial"/>
          <w:sz w:val="22"/>
        </w:rPr>
        <w:t xml:space="preserve"> de 2021</w:t>
      </w:r>
      <w:r w:rsidRPr="004930D7">
        <w:rPr>
          <w:rFonts w:ascii="Arial" w:hAnsi="Arial" w:cs="Arial"/>
          <w:sz w:val="22"/>
        </w:rPr>
        <w:t xml:space="preserve">. </w:t>
      </w:r>
    </w:p>
    <w:p w14:paraId="593B2065" w14:textId="0CDC302C" w:rsidR="00C96108" w:rsidRPr="004930D7" w:rsidRDefault="007E5045" w:rsidP="009A69E3">
      <w:pPr>
        <w:spacing w:line="276" w:lineRule="auto"/>
        <w:ind w:firstLine="709"/>
        <w:jc w:val="both"/>
        <w:rPr>
          <w:rFonts w:ascii="Arial" w:hAnsi="Arial" w:cs="Arial"/>
          <w:sz w:val="22"/>
        </w:rPr>
      </w:pPr>
      <w:r w:rsidRPr="004930D7">
        <w:rPr>
          <w:rFonts w:ascii="Arial" w:hAnsi="Arial" w:cs="Arial"/>
          <w:sz w:val="22"/>
        </w:rPr>
        <w:t>Adicionalmente,</w:t>
      </w:r>
      <w:r w:rsidR="009C2C65" w:rsidRPr="004930D7">
        <w:rPr>
          <w:rFonts w:ascii="Arial" w:hAnsi="Arial" w:cs="Arial"/>
          <w:sz w:val="22"/>
        </w:rPr>
        <w:t xml:space="preserve"> sobre la ponderación de la oferta económica en procedimientos contractuales regidos por los documentos tipo, se pronunció en los conceptos No. 4202013000001564 del 18 de marzo de 2020, reiterado y desarrollado en el concepto C-193 del 6 de abril de 2020, C-279 del 18 de mayo de 2020, C-349 del 23 de junio de 2020</w:t>
      </w:r>
      <w:r w:rsidR="008B220C">
        <w:rPr>
          <w:rFonts w:ascii="Arial" w:hAnsi="Arial" w:cs="Arial"/>
          <w:sz w:val="22"/>
        </w:rPr>
        <w:t>,</w:t>
      </w:r>
      <w:r w:rsidR="009C2C65" w:rsidRPr="004930D7">
        <w:rPr>
          <w:rFonts w:ascii="Arial" w:hAnsi="Arial" w:cs="Arial"/>
          <w:sz w:val="22"/>
        </w:rPr>
        <w:t xml:space="preserve"> C-431 del 9 de julio de 2020</w:t>
      </w:r>
      <w:r w:rsidR="008B220C">
        <w:rPr>
          <w:rFonts w:ascii="Arial" w:hAnsi="Arial" w:cs="Arial"/>
          <w:sz w:val="22"/>
        </w:rPr>
        <w:t xml:space="preserve"> y C-011 del 17 de febrero de 2021</w:t>
      </w:r>
      <w:r w:rsidR="009C2C65" w:rsidRPr="004930D7">
        <w:rPr>
          <w:rFonts w:ascii="Arial" w:hAnsi="Arial" w:cs="Arial"/>
          <w:sz w:val="22"/>
        </w:rPr>
        <w:t>.</w:t>
      </w:r>
      <w:r w:rsidR="00CD6D95">
        <w:rPr>
          <w:rFonts w:ascii="Arial" w:hAnsi="Arial" w:cs="Arial"/>
          <w:sz w:val="22"/>
        </w:rPr>
        <w:t xml:space="preserve"> </w:t>
      </w:r>
      <w:r w:rsidR="00C96108" w:rsidRPr="004930D7">
        <w:rPr>
          <w:rFonts w:ascii="Arial" w:hAnsi="Arial" w:cs="Arial"/>
          <w:sz w:val="22"/>
        </w:rPr>
        <w:t>En lo pertinente, la</w:t>
      </w:r>
      <w:r w:rsidR="006F48D3" w:rsidRPr="004930D7">
        <w:rPr>
          <w:rFonts w:ascii="Arial" w:hAnsi="Arial" w:cs="Arial"/>
          <w:sz w:val="22"/>
        </w:rPr>
        <w:t>s</w:t>
      </w:r>
      <w:r w:rsidR="00C96108" w:rsidRPr="004930D7">
        <w:rPr>
          <w:rFonts w:ascii="Arial" w:hAnsi="Arial" w:cs="Arial"/>
          <w:sz w:val="22"/>
        </w:rPr>
        <w:t xml:space="preserve"> tesis expuesta</w:t>
      </w:r>
      <w:r w:rsidR="006F48D3" w:rsidRPr="004930D7">
        <w:rPr>
          <w:rFonts w:ascii="Arial" w:hAnsi="Arial" w:cs="Arial"/>
          <w:sz w:val="22"/>
        </w:rPr>
        <w:t>s</w:t>
      </w:r>
      <w:r w:rsidR="00C96108" w:rsidRPr="004930D7">
        <w:rPr>
          <w:rFonts w:ascii="Arial" w:hAnsi="Arial" w:cs="Arial"/>
          <w:sz w:val="22"/>
        </w:rPr>
        <w:t xml:space="preserve"> en</w:t>
      </w:r>
      <w:r w:rsidR="001371EA" w:rsidRPr="004930D7">
        <w:rPr>
          <w:rFonts w:ascii="Arial" w:hAnsi="Arial" w:cs="Arial"/>
          <w:sz w:val="22"/>
        </w:rPr>
        <w:t xml:space="preserve"> los</w:t>
      </w:r>
      <w:r w:rsidR="00C96108" w:rsidRPr="004930D7">
        <w:rPr>
          <w:rFonts w:ascii="Arial" w:hAnsi="Arial" w:cs="Arial"/>
          <w:sz w:val="22"/>
        </w:rPr>
        <w:t xml:space="preserve"> conceptos</w:t>
      </w:r>
      <w:r w:rsidR="001371EA" w:rsidRPr="004930D7">
        <w:rPr>
          <w:rFonts w:ascii="Arial" w:hAnsi="Arial" w:cs="Arial"/>
          <w:sz w:val="22"/>
        </w:rPr>
        <w:t xml:space="preserve"> mencionados</w:t>
      </w:r>
      <w:r w:rsidR="00C96108" w:rsidRPr="004930D7">
        <w:rPr>
          <w:rFonts w:ascii="Arial" w:hAnsi="Arial" w:cs="Arial"/>
          <w:sz w:val="22"/>
        </w:rPr>
        <w:t xml:space="preserve"> se reitera</w:t>
      </w:r>
      <w:r w:rsidR="006F48D3" w:rsidRPr="004930D7">
        <w:rPr>
          <w:rFonts w:ascii="Arial" w:hAnsi="Arial" w:cs="Arial"/>
          <w:sz w:val="22"/>
        </w:rPr>
        <w:t>n</w:t>
      </w:r>
      <w:r w:rsidR="00C96108" w:rsidRPr="004930D7">
        <w:rPr>
          <w:rFonts w:ascii="Arial" w:hAnsi="Arial" w:cs="Arial"/>
          <w:sz w:val="22"/>
        </w:rPr>
        <w:t xml:space="preserve"> a continuación</w:t>
      </w:r>
      <w:r w:rsidR="00D42560" w:rsidRPr="004930D7">
        <w:rPr>
          <w:rFonts w:ascii="Arial" w:hAnsi="Arial" w:cs="Arial"/>
          <w:sz w:val="22"/>
        </w:rPr>
        <w:t>.</w:t>
      </w:r>
    </w:p>
    <w:p w14:paraId="16AA2EC0" w14:textId="19D03AC4" w:rsidR="00A325FD" w:rsidRPr="004930D7" w:rsidRDefault="00A325FD" w:rsidP="009A69E3">
      <w:pPr>
        <w:spacing w:line="276" w:lineRule="auto"/>
        <w:jc w:val="both"/>
        <w:rPr>
          <w:rFonts w:ascii="Arial" w:eastAsia="Calibri" w:hAnsi="Arial" w:cs="Arial"/>
          <w:bCs/>
          <w:color w:val="0D0D0D" w:themeColor="text1" w:themeTint="F2"/>
          <w:sz w:val="22"/>
        </w:rPr>
      </w:pPr>
    </w:p>
    <w:p w14:paraId="646B41D3" w14:textId="0B216CF1" w:rsidR="00A325FD" w:rsidRPr="004930D7" w:rsidRDefault="00A325FD" w:rsidP="009A69E3">
      <w:pPr>
        <w:spacing w:line="276" w:lineRule="auto"/>
        <w:jc w:val="both"/>
        <w:rPr>
          <w:rFonts w:ascii="Arial" w:eastAsia="Calibri" w:hAnsi="Arial" w:cs="Arial"/>
          <w:b/>
          <w:color w:val="0D0D0D" w:themeColor="text1" w:themeTint="F2"/>
          <w:sz w:val="22"/>
        </w:rPr>
      </w:pPr>
      <w:r w:rsidRPr="004930D7">
        <w:rPr>
          <w:rFonts w:ascii="Arial" w:eastAsia="Calibri" w:hAnsi="Arial" w:cs="Arial"/>
          <w:b/>
          <w:color w:val="0D0D0D" w:themeColor="text1" w:themeTint="F2"/>
          <w:sz w:val="22"/>
        </w:rPr>
        <w:t>2.</w:t>
      </w:r>
      <w:r w:rsidR="006F48D3" w:rsidRPr="004930D7">
        <w:rPr>
          <w:rFonts w:ascii="Arial" w:eastAsia="Calibri" w:hAnsi="Arial" w:cs="Arial"/>
          <w:b/>
          <w:color w:val="0D0D0D" w:themeColor="text1" w:themeTint="F2"/>
          <w:sz w:val="22"/>
        </w:rPr>
        <w:t>1</w:t>
      </w:r>
      <w:r w:rsidRPr="004930D7">
        <w:rPr>
          <w:rFonts w:ascii="Arial" w:eastAsia="Calibri" w:hAnsi="Arial" w:cs="Arial"/>
          <w:b/>
          <w:color w:val="0D0D0D" w:themeColor="text1" w:themeTint="F2"/>
          <w:sz w:val="22"/>
        </w:rPr>
        <w:t>. La experiencia en los documentos tipo</w:t>
      </w:r>
    </w:p>
    <w:p w14:paraId="25AAD322" w14:textId="77777777" w:rsidR="00A325FD" w:rsidRPr="004930D7" w:rsidRDefault="00A325FD" w:rsidP="009A69E3">
      <w:pPr>
        <w:spacing w:line="276" w:lineRule="auto"/>
        <w:jc w:val="both"/>
        <w:rPr>
          <w:rFonts w:ascii="Arial" w:eastAsia="Calibri" w:hAnsi="Arial" w:cs="Arial"/>
          <w:b/>
          <w:color w:val="0D0D0D" w:themeColor="text1" w:themeTint="F2"/>
          <w:sz w:val="22"/>
        </w:rPr>
      </w:pPr>
    </w:p>
    <w:p w14:paraId="67F2BA45" w14:textId="1C5D1186" w:rsidR="00C96108" w:rsidRPr="004930D7" w:rsidRDefault="006F48D3" w:rsidP="00E863E3">
      <w:pPr>
        <w:spacing w:line="276" w:lineRule="auto"/>
        <w:jc w:val="both"/>
        <w:rPr>
          <w:rFonts w:ascii="Arial" w:hAnsi="Arial" w:cs="Arial"/>
          <w:sz w:val="22"/>
        </w:rPr>
      </w:pPr>
      <w:r w:rsidRPr="004930D7">
        <w:rPr>
          <w:rFonts w:ascii="Arial" w:hAnsi="Arial" w:cs="Arial"/>
          <w:sz w:val="22"/>
        </w:rPr>
        <w:t>En relación con los documentos tipo de obra pública de infraestructura de transporte</w:t>
      </w:r>
      <w:r w:rsidR="00C96108" w:rsidRPr="004930D7">
        <w:rPr>
          <w:rFonts w:ascii="Arial" w:hAnsi="Arial" w:cs="Arial"/>
          <w:sz w:val="22"/>
        </w:rPr>
        <w:t xml:space="preserve">, de acuerdo con las condiciones fijadas en los «Documentos Base»,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w:t>
      </w:r>
      <w:r w:rsidR="00C96108" w:rsidRPr="004930D7">
        <w:rPr>
          <w:rFonts w:ascii="Arial" w:hAnsi="Arial" w:cs="Arial"/>
          <w:sz w:val="22"/>
        </w:rPr>
        <w:lastRenderedPageBreak/>
        <w:t xml:space="preserve">obra expresado en SMMLV, cuya verificación se hará de acuerdo </w:t>
      </w:r>
      <w:r w:rsidR="00354B90" w:rsidRPr="004930D7">
        <w:rPr>
          <w:rFonts w:ascii="Arial" w:hAnsi="Arial" w:cs="Arial"/>
          <w:sz w:val="22"/>
        </w:rPr>
        <w:t>con</w:t>
      </w:r>
      <w:r w:rsidR="00C96108" w:rsidRPr="004930D7">
        <w:rPr>
          <w:rFonts w:ascii="Arial" w:hAnsi="Arial" w:cs="Arial"/>
          <w:sz w:val="22"/>
        </w:rPr>
        <w:t xml:space="preserve"> la sumatoria de los valores totales ejecutados de los contratos que cumplan con los requisitos establecidos en el pliego de condiciones. </w:t>
      </w:r>
    </w:p>
    <w:p w14:paraId="65E0E718" w14:textId="6CD3C0E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Para fijar las condiciones que deben cumplir los contratos aportados, en términos de actividades ejecutadas, </w:t>
      </w:r>
      <w:bookmarkStart w:id="2" w:name="_Hlk63048518"/>
      <w:r w:rsidRPr="004930D7">
        <w:rPr>
          <w:rFonts w:ascii="Arial" w:hAnsi="Arial" w:cs="Arial"/>
          <w:sz w:val="22"/>
        </w:rPr>
        <w:t>las</w:t>
      </w:r>
      <w:r w:rsidR="00C03751" w:rsidRPr="004930D7">
        <w:rPr>
          <w:rFonts w:ascii="Arial" w:hAnsi="Arial" w:cs="Arial"/>
          <w:sz w:val="22"/>
        </w:rPr>
        <w:t xml:space="preserve"> </w:t>
      </w:r>
      <w:r w:rsidRPr="004930D7">
        <w:rPr>
          <w:rFonts w:ascii="Arial" w:hAnsi="Arial" w:cs="Arial"/>
          <w:sz w:val="22"/>
        </w:rPr>
        <w:t xml:space="preserve">entidades deben </w:t>
      </w:r>
      <w:r w:rsidR="006F48D3" w:rsidRPr="004930D7">
        <w:rPr>
          <w:rFonts w:ascii="Arial" w:hAnsi="Arial" w:cs="Arial"/>
          <w:sz w:val="22"/>
        </w:rPr>
        <w:t xml:space="preserve">utilizar </w:t>
      </w:r>
      <w:r w:rsidRPr="004930D7">
        <w:rPr>
          <w:rFonts w:ascii="Arial" w:hAnsi="Arial" w:cs="Arial"/>
          <w:sz w:val="22"/>
        </w:rPr>
        <w:t xml:space="preserve">la Matriz 1, documento que estandariza las condiciones de experiencia general y/o experiencia específica que deben requerir las entidades estatales de acuerdo con: i) el tipo de obra de infraestructura de transporte, </w:t>
      </w:r>
      <w:proofErr w:type="spellStart"/>
      <w:r w:rsidRPr="004930D7">
        <w:rPr>
          <w:rFonts w:ascii="Arial" w:hAnsi="Arial" w:cs="Arial"/>
          <w:sz w:val="22"/>
        </w:rPr>
        <w:t>ii</w:t>
      </w:r>
      <w:proofErr w:type="spellEnd"/>
      <w:r w:rsidRPr="004930D7">
        <w:rPr>
          <w:rFonts w:ascii="Arial" w:hAnsi="Arial" w:cs="Arial"/>
          <w:sz w:val="22"/>
        </w:rPr>
        <w:t xml:space="preserve">) la actividad a contratar y </w:t>
      </w:r>
      <w:proofErr w:type="spellStart"/>
      <w:r w:rsidRPr="004930D7">
        <w:rPr>
          <w:rFonts w:ascii="Arial" w:hAnsi="Arial" w:cs="Arial"/>
          <w:sz w:val="22"/>
        </w:rPr>
        <w:t>iii</w:t>
      </w:r>
      <w:proofErr w:type="spellEnd"/>
      <w:r w:rsidRPr="004930D7">
        <w:rPr>
          <w:rFonts w:ascii="Arial" w:hAnsi="Arial" w:cs="Arial"/>
          <w:sz w:val="22"/>
        </w:rPr>
        <w:t>) la cuantía del proceso de contratación.</w:t>
      </w:r>
    </w:p>
    <w:p w14:paraId="000E717E" w14:textId="4EBF8A2C"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En relación con el primer aspecto,</w:t>
      </w:r>
      <w:r w:rsidR="00515142" w:rsidRPr="004930D7">
        <w:rPr>
          <w:rFonts w:ascii="Arial" w:hAnsi="Arial" w:cs="Arial"/>
          <w:sz w:val="22"/>
        </w:rPr>
        <w:t xml:space="preserve"> por ser el objeto de su consulta,</w:t>
      </w:r>
      <w:r w:rsidRPr="004930D7">
        <w:rPr>
          <w:rFonts w:ascii="Arial" w:hAnsi="Arial" w:cs="Arial"/>
          <w:sz w:val="22"/>
        </w:rPr>
        <w:t xml:space="preserve"> la Matriz 1 está constituida por ocho (8) tipos de obras de infraestructura de transporte, identificadas con un número y su descripción, l</w:t>
      </w:r>
      <w:r w:rsidR="00026489">
        <w:rPr>
          <w:rFonts w:ascii="Arial" w:hAnsi="Arial" w:cs="Arial"/>
          <w:sz w:val="22"/>
        </w:rPr>
        <w:t>a</w:t>
      </w:r>
      <w:r w:rsidRPr="004930D7">
        <w:rPr>
          <w:rFonts w:ascii="Arial" w:hAnsi="Arial" w:cs="Arial"/>
          <w:sz w:val="22"/>
        </w:rPr>
        <w:t>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w:t>
      </w:r>
    </w:p>
    <w:p w14:paraId="4524A638" w14:textId="252488BC" w:rsidR="00C96108" w:rsidRPr="004930D7" w:rsidRDefault="00C96108" w:rsidP="004F0B27">
      <w:pPr>
        <w:spacing w:before="120" w:line="276" w:lineRule="auto"/>
        <w:ind w:firstLine="708"/>
        <w:jc w:val="both"/>
        <w:rPr>
          <w:rFonts w:ascii="Arial" w:hAnsi="Arial" w:cs="Arial"/>
          <w:sz w:val="22"/>
        </w:rPr>
      </w:pPr>
      <w:r w:rsidRPr="004930D7">
        <w:rPr>
          <w:rFonts w:ascii="Arial" w:hAnsi="Arial" w:cs="Arial"/>
          <w:sz w:val="22"/>
        </w:rPr>
        <w:t xml:space="preserve">Con respecto a la actividad a contratar, la Matriz 1 establece cuáles son las que corresponden a cada uno de los tipos de infraestructura </w:t>
      </w:r>
      <w:r w:rsidR="00026489">
        <w:rPr>
          <w:rFonts w:ascii="Arial" w:hAnsi="Arial" w:cs="Arial"/>
          <w:sz w:val="22"/>
        </w:rPr>
        <w:t xml:space="preserve">de transporte </w:t>
      </w:r>
      <w:r w:rsidRPr="004930D7">
        <w:rPr>
          <w:rFonts w:ascii="Arial" w:hAnsi="Arial" w:cs="Arial"/>
          <w:sz w:val="22"/>
        </w:rPr>
        <w:t>mencionad</w:t>
      </w:r>
      <w:r w:rsidR="00026489">
        <w:rPr>
          <w:rFonts w:ascii="Arial" w:hAnsi="Arial" w:cs="Arial"/>
          <w:sz w:val="22"/>
        </w:rPr>
        <w:t>a</w:t>
      </w:r>
      <w:r w:rsidRPr="004930D7">
        <w:rPr>
          <w:rFonts w:ascii="Arial" w:hAnsi="Arial" w:cs="Arial"/>
          <w:sz w:val="22"/>
        </w:rPr>
        <w:t xml:space="preserve">s, con el fin de que la entidad identifique aquellas en las cuales puede encuadrarse de mejor forma el objeto que pretende ejecutar y determinar los requisitos de experiencia exigibles. </w:t>
      </w:r>
      <w:bookmarkEnd w:id="2"/>
      <w:r w:rsidRPr="004930D7">
        <w:rPr>
          <w:rFonts w:ascii="Arial" w:hAnsi="Arial" w:cs="Arial"/>
          <w:sz w:val="22"/>
        </w:rPr>
        <w:t>Por ejemplo, para el tipo de infraestructura «</w:t>
      </w:r>
      <w:r w:rsidR="00494919">
        <w:rPr>
          <w:rFonts w:ascii="Arial" w:hAnsi="Arial" w:cs="Arial"/>
          <w:sz w:val="22"/>
        </w:rPr>
        <w:t>6</w:t>
      </w:r>
      <w:r w:rsidR="00515142" w:rsidRPr="004930D7">
        <w:rPr>
          <w:rFonts w:ascii="Arial" w:hAnsi="Arial" w:cs="Arial"/>
          <w:sz w:val="22"/>
        </w:rPr>
        <w:t xml:space="preserve">. </w:t>
      </w:r>
      <w:r w:rsidR="00494919" w:rsidRPr="00494919">
        <w:rPr>
          <w:rFonts w:ascii="Arial" w:hAnsi="Arial" w:cs="Arial"/>
          <w:sz w:val="22"/>
        </w:rPr>
        <w:t>OBRAS DE INFRAESTRUCTURA VIAL URBANA</w:t>
      </w:r>
      <w:r w:rsidRPr="004930D7">
        <w:rPr>
          <w:rFonts w:ascii="Arial" w:hAnsi="Arial" w:cs="Arial"/>
          <w:sz w:val="22"/>
        </w:rPr>
        <w:t>» la entidad podrá verificar la experiencia requerida en su proceso, de acuerdo con la</w:t>
      </w:r>
      <w:r w:rsidR="00B4333C">
        <w:rPr>
          <w:rFonts w:ascii="Arial" w:hAnsi="Arial" w:cs="Arial"/>
          <w:sz w:val="22"/>
        </w:rPr>
        <w:t>s</w:t>
      </w:r>
      <w:r w:rsidRPr="004930D7">
        <w:rPr>
          <w:rFonts w:ascii="Arial" w:hAnsi="Arial" w:cs="Arial"/>
          <w:sz w:val="22"/>
        </w:rPr>
        <w:t xml:space="preserve"> actividades</w:t>
      </w:r>
      <w:r w:rsidR="00A325FD" w:rsidRPr="004930D7">
        <w:rPr>
          <w:rFonts w:ascii="Arial" w:hAnsi="Arial" w:cs="Arial"/>
          <w:sz w:val="22"/>
        </w:rPr>
        <w:t xml:space="preserve">, </w:t>
      </w:r>
      <w:r w:rsidR="00B4333C">
        <w:rPr>
          <w:rFonts w:ascii="Arial" w:hAnsi="Arial" w:cs="Arial"/>
          <w:sz w:val="22"/>
        </w:rPr>
        <w:t>allí descritas</w:t>
      </w:r>
      <w:r w:rsidR="004F0B27" w:rsidRPr="004930D7">
        <w:rPr>
          <w:rFonts w:ascii="Arial" w:hAnsi="Arial" w:cs="Arial"/>
          <w:sz w:val="22"/>
        </w:rPr>
        <w:t>.</w:t>
      </w:r>
    </w:p>
    <w:p w14:paraId="2A099C12" w14:textId="31E91C33" w:rsidR="00C96108" w:rsidRPr="004930D7" w:rsidRDefault="00C96108" w:rsidP="00C96108">
      <w:pPr>
        <w:spacing w:before="120" w:line="276" w:lineRule="auto"/>
        <w:ind w:firstLine="708"/>
        <w:jc w:val="both"/>
        <w:rPr>
          <w:rFonts w:ascii="Arial" w:hAnsi="Arial" w:cs="Arial"/>
          <w:sz w:val="22"/>
        </w:rPr>
      </w:pPr>
      <w:bookmarkStart w:id="3" w:name="_Hlk63048659"/>
      <w:r w:rsidRPr="004930D7">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w:t>
      </w:r>
      <w:r w:rsidR="006F48D3" w:rsidRPr="004930D7">
        <w:rPr>
          <w:rFonts w:ascii="Arial" w:hAnsi="Arial" w:cs="Arial"/>
          <w:sz w:val="22"/>
        </w:rPr>
        <w:t xml:space="preserve">en </w:t>
      </w:r>
      <w:r w:rsidRPr="004930D7">
        <w:rPr>
          <w:rFonts w:ascii="Arial" w:hAnsi="Arial" w:cs="Arial"/>
          <w:sz w:val="22"/>
        </w:rPr>
        <w:t xml:space="preserve">la Ley 1882 de 2018 y </w:t>
      </w:r>
      <w:r w:rsidR="006F48D3" w:rsidRPr="004930D7">
        <w:rPr>
          <w:rFonts w:ascii="Arial" w:hAnsi="Arial" w:cs="Arial"/>
          <w:sz w:val="22"/>
        </w:rPr>
        <w:t>2022 de 2020</w:t>
      </w:r>
      <w:r w:rsidRPr="004930D7">
        <w:rPr>
          <w:rFonts w:ascii="Arial" w:hAnsi="Arial" w:cs="Arial"/>
          <w:sz w:val="22"/>
        </w:rPr>
        <w:t>, conforme a l</w:t>
      </w:r>
      <w:r w:rsidR="006F48D3" w:rsidRPr="004930D7">
        <w:rPr>
          <w:rFonts w:ascii="Arial" w:hAnsi="Arial" w:cs="Arial"/>
          <w:sz w:val="22"/>
        </w:rPr>
        <w:t>a</w:t>
      </w:r>
      <w:r w:rsidRPr="004930D7">
        <w:rPr>
          <w:rFonts w:ascii="Arial" w:hAnsi="Arial" w:cs="Arial"/>
          <w:sz w:val="22"/>
        </w:rPr>
        <w:t xml:space="preserve">s cuales las condiciones habilitantes fijadas en los documentos tipo deben tener en cuenta la naturaleza y cuantía del tipo de intervención. </w:t>
      </w:r>
    </w:p>
    <w:p w14:paraId="4DB52AF7" w14:textId="02DD2641" w:rsidR="00C96108" w:rsidRPr="004930D7" w:rsidRDefault="00FA0C7C" w:rsidP="00C96108">
      <w:pPr>
        <w:spacing w:before="120" w:after="120" w:line="276" w:lineRule="auto"/>
        <w:ind w:firstLine="709"/>
        <w:jc w:val="both"/>
        <w:rPr>
          <w:rFonts w:ascii="Arial" w:hAnsi="Arial" w:cs="Arial"/>
          <w:sz w:val="22"/>
        </w:rPr>
      </w:pPr>
      <w:bookmarkStart w:id="4" w:name="_Hlk63048761"/>
      <w:bookmarkEnd w:id="3"/>
      <w:r w:rsidRPr="004930D7">
        <w:rPr>
          <w:rFonts w:ascii="Arial" w:hAnsi="Arial" w:cs="Arial"/>
          <w:sz w:val="22"/>
        </w:rPr>
        <w:t>Con lo anterior</w:t>
      </w:r>
      <w:r w:rsidR="006F48D3" w:rsidRPr="004930D7">
        <w:rPr>
          <w:rFonts w:ascii="Arial" w:hAnsi="Arial" w:cs="Arial"/>
          <w:sz w:val="22"/>
        </w:rPr>
        <w:t>,</w:t>
      </w:r>
      <w:r w:rsidRPr="004930D7">
        <w:rPr>
          <w:rFonts w:ascii="Arial" w:hAnsi="Arial" w:cs="Arial"/>
          <w:sz w:val="22"/>
        </w:rPr>
        <w:t xml:space="preserve"> es posible determinar las obras relacionadas con los tipos de infraestructura </w:t>
      </w:r>
      <w:r w:rsidR="00C96108" w:rsidRPr="004930D7">
        <w:rPr>
          <w:rFonts w:ascii="Arial" w:hAnsi="Arial" w:cs="Arial"/>
          <w:sz w:val="22"/>
        </w:rPr>
        <w:t>establecido</w:t>
      </w:r>
      <w:r w:rsidRPr="004930D7">
        <w:rPr>
          <w:rFonts w:ascii="Arial" w:hAnsi="Arial" w:cs="Arial"/>
          <w:sz w:val="22"/>
        </w:rPr>
        <w:t>s</w:t>
      </w:r>
      <w:r w:rsidR="00C96108" w:rsidRPr="004930D7">
        <w:rPr>
          <w:rFonts w:ascii="Arial" w:hAnsi="Arial" w:cs="Arial"/>
          <w:sz w:val="22"/>
        </w:rPr>
        <w:t xml:space="preserve"> en los documentos desarrollados por la Agencia Nacional de Contratación Pública – Colombia Compra Eficiente, </w:t>
      </w:r>
      <w:r w:rsidRPr="004930D7">
        <w:rPr>
          <w:rFonts w:ascii="Arial" w:hAnsi="Arial" w:cs="Arial"/>
          <w:sz w:val="22"/>
        </w:rPr>
        <w:t>los cuales están</w:t>
      </w:r>
      <w:r w:rsidR="00C96108" w:rsidRPr="004930D7">
        <w:rPr>
          <w:rFonts w:ascii="Arial" w:hAnsi="Arial" w:cs="Arial"/>
          <w:sz w:val="22"/>
        </w:rPr>
        <w:t xml:space="preserve"> incluido</w:t>
      </w:r>
      <w:r w:rsidRPr="004930D7">
        <w:rPr>
          <w:rFonts w:ascii="Arial" w:hAnsi="Arial" w:cs="Arial"/>
          <w:sz w:val="22"/>
        </w:rPr>
        <w:t>s</w:t>
      </w:r>
      <w:r w:rsidR="00C96108" w:rsidRPr="004930D7">
        <w:rPr>
          <w:rFonts w:ascii="Arial" w:hAnsi="Arial" w:cs="Arial"/>
          <w:sz w:val="22"/>
        </w:rPr>
        <w:t xml:space="preserve"> en la Matriz 1, por lo que son de obligatorio cumplimiento</w:t>
      </w:r>
      <w:r w:rsidR="006F48D3" w:rsidRPr="004930D7">
        <w:rPr>
          <w:rFonts w:ascii="Arial" w:hAnsi="Arial" w:cs="Arial"/>
          <w:sz w:val="22"/>
        </w:rPr>
        <w:t xml:space="preserve"> para todas las entidades sometidas al Estatuto General de Contratación de la Administración Pública, </w:t>
      </w:r>
      <w:r w:rsidR="008D4672" w:rsidRPr="004930D7">
        <w:rPr>
          <w:rFonts w:ascii="Arial" w:hAnsi="Arial" w:cs="Arial"/>
          <w:sz w:val="22"/>
        </w:rPr>
        <w:t>de manera que los documentos tipo</w:t>
      </w:r>
      <w:r w:rsidR="00C96108" w:rsidRPr="004930D7">
        <w:rPr>
          <w:rFonts w:ascii="Arial" w:hAnsi="Arial" w:cs="Arial"/>
          <w:sz w:val="22"/>
        </w:rPr>
        <w:t xml:space="preserve"> no pueden ser alterados, modificados o adicionados en su contenido</w:t>
      </w:r>
      <w:r w:rsidR="008D4672" w:rsidRPr="004930D7">
        <w:rPr>
          <w:rFonts w:ascii="Arial" w:hAnsi="Arial" w:cs="Arial"/>
          <w:sz w:val="22"/>
        </w:rPr>
        <w:t>, salvo cuando estos mismos lo permitan.</w:t>
      </w:r>
    </w:p>
    <w:bookmarkEnd w:id="4"/>
    <w:p w14:paraId="3A3E2A0F"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lastRenderedPageBreak/>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7DE0639A"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14:paraId="245A0934"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b) Definido el tipo de infraestructura, identificar la </w:t>
      </w:r>
      <w:r w:rsidRPr="004930D7">
        <w:rPr>
          <w:rFonts w:ascii="Arial" w:eastAsia="Calibri" w:hAnsi="Arial" w:cs="Arial"/>
          <w:sz w:val="22"/>
        </w:rPr>
        <w:t>«</w:t>
      </w:r>
      <w:r w:rsidRPr="004930D7">
        <w:rPr>
          <w:rFonts w:ascii="Arial" w:hAnsi="Arial" w:cs="Arial"/>
          <w:sz w:val="22"/>
        </w:rPr>
        <w:t>ACTIVIDAD A CONTRATAR</w:t>
      </w:r>
      <w:r w:rsidRPr="004930D7">
        <w:rPr>
          <w:rFonts w:ascii="Arial" w:eastAsia="Calibri" w:hAnsi="Arial" w:cs="Arial"/>
          <w:sz w:val="22"/>
        </w:rPr>
        <w:t>»</w:t>
      </w:r>
      <w:r w:rsidRPr="004930D7">
        <w:rPr>
          <w:rFonts w:ascii="Arial" w:hAnsi="Arial" w:cs="Arial"/>
          <w:sz w:val="22"/>
        </w:rPr>
        <w:t xml:space="preserve"> acorde con la Matriz 1. </w:t>
      </w:r>
    </w:p>
    <w:p w14:paraId="2D1FC5EA"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c) Identificar el rango en el cual se encuentra el Proceso de Contratación de acuerdo con el presupuesto oficial. </w:t>
      </w:r>
    </w:p>
    <w:p w14:paraId="36F87A6D" w14:textId="77777777" w:rsidR="00C96108" w:rsidRPr="004930D7" w:rsidRDefault="00C96108" w:rsidP="00C96108">
      <w:pPr>
        <w:spacing w:before="120" w:line="276" w:lineRule="auto"/>
        <w:ind w:firstLine="708"/>
        <w:jc w:val="both"/>
        <w:rPr>
          <w:rFonts w:ascii="Arial" w:hAnsi="Arial" w:cs="Arial"/>
          <w:sz w:val="22"/>
        </w:rPr>
      </w:pPr>
      <w:r w:rsidRPr="004930D7">
        <w:rPr>
          <w:rFonts w:ascii="Arial" w:hAnsi="Arial" w:cs="Arial"/>
          <w:sz w:val="22"/>
        </w:rPr>
        <w:t xml:space="preserve">d) Identificar la </w:t>
      </w:r>
      <w:r w:rsidRPr="004930D7">
        <w:rPr>
          <w:rFonts w:ascii="Arial" w:eastAsia="Calibri" w:hAnsi="Arial" w:cs="Arial"/>
          <w:sz w:val="22"/>
        </w:rPr>
        <w:t>«</w:t>
      </w:r>
      <w:r w:rsidRPr="004930D7">
        <w:rPr>
          <w:rFonts w:ascii="Arial" w:hAnsi="Arial" w:cs="Arial"/>
          <w:sz w:val="22"/>
        </w:rPr>
        <w:t>experiencia general</w:t>
      </w:r>
      <w:r w:rsidRPr="004930D7">
        <w:rPr>
          <w:rFonts w:ascii="Arial" w:eastAsia="Calibri" w:hAnsi="Arial" w:cs="Arial"/>
          <w:sz w:val="22"/>
        </w:rPr>
        <w:t>»</w:t>
      </w:r>
      <w:r w:rsidRPr="004930D7">
        <w:rPr>
          <w:rFonts w:ascii="Arial" w:hAnsi="Arial" w:cs="Arial"/>
          <w:sz w:val="22"/>
        </w:rPr>
        <w:t xml:space="preserve"> exigible acorde con la Matriz 1 teniendo en cuenta la actividad a contratar y el rango de la cuantía del Proceso de Contratación. </w:t>
      </w:r>
    </w:p>
    <w:p w14:paraId="757D67F5" w14:textId="77777777" w:rsidR="00C96108" w:rsidRPr="004930D7" w:rsidRDefault="00C96108" w:rsidP="00D623A5">
      <w:pPr>
        <w:spacing w:before="120" w:after="120" w:line="276" w:lineRule="auto"/>
        <w:ind w:firstLine="709"/>
        <w:jc w:val="both"/>
        <w:rPr>
          <w:rFonts w:ascii="Arial" w:hAnsi="Arial" w:cs="Arial"/>
          <w:sz w:val="22"/>
        </w:rPr>
      </w:pPr>
      <w:r w:rsidRPr="004930D7">
        <w:rPr>
          <w:rFonts w:ascii="Arial" w:hAnsi="Arial" w:cs="Arial"/>
          <w:sz w:val="22"/>
        </w:rPr>
        <w:t xml:space="preserve">e) Identificar la </w:t>
      </w:r>
      <w:r w:rsidRPr="004930D7">
        <w:rPr>
          <w:rFonts w:ascii="Arial" w:eastAsia="Calibri" w:hAnsi="Arial" w:cs="Arial"/>
          <w:sz w:val="22"/>
        </w:rPr>
        <w:t>«</w:t>
      </w:r>
      <w:r w:rsidRPr="004930D7">
        <w:rPr>
          <w:rFonts w:ascii="Arial" w:hAnsi="Arial" w:cs="Arial"/>
          <w:sz w:val="22"/>
        </w:rPr>
        <w:t>experiencia específica</w:t>
      </w:r>
      <w:r w:rsidRPr="004930D7">
        <w:rPr>
          <w:rFonts w:ascii="Arial" w:eastAsia="Calibri" w:hAnsi="Arial" w:cs="Arial"/>
          <w:sz w:val="22"/>
        </w:rPr>
        <w:t>»</w:t>
      </w:r>
      <w:r w:rsidRPr="004930D7">
        <w:rPr>
          <w:rFonts w:ascii="Arial" w:hAnsi="Arial" w:cs="Arial"/>
          <w:sz w:val="22"/>
        </w:rPr>
        <w:t xml:space="preserve"> exigible y el porcentaje de dimensionamiento que se puede solicitar acorde con la longitud a ejecutar, de acuerdo con la cuantía del proceso de contratación. Cuando en la </w:t>
      </w:r>
      <w:r w:rsidRPr="004930D7">
        <w:rPr>
          <w:rFonts w:ascii="Arial" w:eastAsia="Calibri" w:hAnsi="Arial" w:cs="Arial"/>
          <w:sz w:val="22"/>
        </w:rPr>
        <w:t>«</w:t>
      </w:r>
      <w:r w:rsidRPr="004930D7">
        <w:rPr>
          <w:rFonts w:ascii="Arial" w:hAnsi="Arial" w:cs="Arial"/>
          <w:sz w:val="22"/>
        </w:rPr>
        <w:t>experiencia específica</w:t>
      </w:r>
      <w:r w:rsidRPr="004930D7">
        <w:rPr>
          <w:rFonts w:ascii="Arial" w:eastAsia="Calibri" w:hAnsi="Arial" w:cs="Arial"/>
          <w:sz w:val="22"/>
        </w:rPr>
        <w:t>»</w:t>
      </w:r>
      <w:r w:rsidRPr="004930D7">
        <w:rPr>
          <w:rFonts w:ascii="Arial" w:hAnsi="Arial" w:cs="Arial"/>
          <w:sz w:val="22"/>
        </w:rPr>
        <w:t xml:space="preserve"> se indiquen las siglas </w:t>
      </w:r>
      <w:r w:rsidRPr="004930D7">
        <w:rPr>
          <w:rFonts w:ascii="Arial" w:hAnsi="Arial" w:cs="Arial"/>
          <w:i/>
          <w:iCs/>
          <w:sz w:val="22"/>
        </w:rPr>
        <w:t>N.A</w:t>
      </w:r>
      <w:r w:rsidRPr="004930D7">
        <w:rPr>
          <w:rFonts w:ascii="Arial" w:hAnsi="Arial" w:cs="Arial"/>
          <w:sz w:val="22"/>
        </w:rPr>
        <w:t xml:space="preserve"> significa que la entidad estatal no puede exigir a los proponentes experiencia específica en los procesos de contratación. </w:t>
      </w:r>
    </w:p>
    <w:p w14:paraId="1B44D093" w14:textId="6F6D7EAC" w:rsidR="00C96108" w:rsidRPr="004930D7" w:rsidRDefault="00C96108" w:rsidP="00FA0C7C">
      <w:pPr>
        <w:spacing w:after="120" w:line="276" w:lineRule="auto"/>
        <w:jc w:val="both"/>
        <w:rPr>
          <w:rFonts w:ascii="Arial" w:hAnsi="Arial" w:cs="Arial"/>
          <w:color w:val="000000" w:themeColor="text1"/>
          <w:sz w:val="22"/>
          <w:lang w:val="es-CO"/>
        </w:rPr>
      </w:pPr>
      <w:r w:rsidRPr="004930D7">
        <w:rPr>
          <w:rFonts w:ascii="Arial" w:eastAsia="Calibri" w:hAnsi="Arial" w:cs="Arial"/>
          <w:color w:val="000000" w:themeColor="text1"/>
          <w:sz w:val="22"/>
          <w:lang w:val="es-CO"/>
        </w:rPr>
        <w:tab/>
      </w:r>
      <w:r w:rsidR="00D623A5" w:rsidRPr="004930D7">
        <w:rPr>
          <w:rFonts w:ascii="Arial" w:hAnsi="Arial" w:cs="Arial"/>
          <w:color w:val="000000" w:themeColor="text1"/>
          <w:sz w:val="22"/>
          <w:lang w:val="es-CO"/>
        </w:rPr>
        <w:t>L</w:t>
      </w:r>
      <w:r w:rsidRPr="004930D7">
        <w:rPr>
          <w:rFonts w:ascii="Arial" w:hAnsi="Arial" w:cs="Arial"/>
          <w:color w:val="000000" w:themeColor="text1"/>
          <w:sz w:val="22"/>
          <w:lang w:val="es-CO"/>
        </w:rPr>
        <w:t xml:space="preserve">a </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experiencia general</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 xml:space="preserve"> y la </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experiencia específica</w:t>
      </w:r>
      <w:r w:rsidRPr="004930D7">
        <w:rPr>
          <w:rFonts w:ascii="Arial" w:eastAsia="Calibri" w:hAnsi="Arial" w:cs="Arial"/>
          <w:color w:val="000000" w:themeColor="text1"/>
          <w:sz w:val="22"/>
          <w:lang w:val="es-CO"/>
        </w:rPr>
        <w:t>»</w:t>
      </w:r>
      <w:r w:rsidRPr="004930D7">
        <w:rPr>
          <w:rFonts w:ascii="Arial" w:hAnsi="Arial" w:cs="Arial"/>
          <w:color w:val="000000" w:themeColor="text1"/>
          <w:sz w:val="22"/>
          <w:lang w:val="es-CO"/>
        </w:rPr>
        <w:t xml:space="preserve"> requerida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o restringir a una actividad específica cuando dicho formato determine que la experiencia puede acreditarse mediante una de varias actividades. </w:t>
      </w:r>
    </w:p>
    <w:p w14:paraId="3A024748" w14:textId="4D23B0DD" w:rsidR="00C96108" w:rsidRPr="004930D7" w:rsidRDefault="00C96108" w:rsidP="00A43BAE">
      <w:pPr>
        <w:spacing w:before="120" w:after="120" w:line="276" w:lineRule="auto"/>
        <w:ind w:firstLine="709"/>
        <w:jc w:val="both"/>
        <w:rPr>
          <w:rStyle w:val="normaltextrun"/>
          <w:rFonts w:ascii="Arial" w:hAnsi="Arial" w:cs="Arial"/>
          <w:color w:val="000000"/>
          <w:sz w:val="22"/>
          <w:shd w:val="clear" w:color="auto" w:fill="FFFFFF"/>
          <w:lang w:val="es-ES"/>
        </w:rPr>
      </w:pPr>
      <w:bookmarkStart w:id="5" w:name="_Hlk63048833"/>
      <w:r w:rsidRPr="004930D7">
        <w:rPr>
          <w:rFonts w:ascii="Arial" w:hAnsi="Arial" w:cs="Arial"/>
          <w:color w:val="000000" w:themeColor="text1"/>
          <w:sz w:val="22"/>
          <w:lang w:val="es-CO"/>
        </w:rPr>
        <w:t>De esta forma</w:t>
      </w:r>
      <w:r w:rsidRPr="004930D7">
        <w:rPr>
          <w:rStyle w:val="normaltextrun"/>
          <w:rFonts w:ascii="Arial" w:hAnsi="Arial" w:cs="Arial"/>
          <w:color w:val="000000"/>
          <w:sz w:val="22"/>
          <w:shd w:val="clear" w:color="auto" w:fill="FFFFFF"/>
          <w:lang w:val="es-ES"/>
        </w:rPr>
        <w:t xml:space="preserve">,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w:t>
      </w:r>
      <w:r w:rsidR="00EE7F5E">
        <w:rPr>
          <w:rStyle w:val="normaltextrun"/>
          <w:rFonts w:ascii="Arial" w:hAnsi="Arial" w:cs="Arial"/>
          <w:color w:val="000000"/>
          <w:sz w:val="22"/>
          <w:shd w:val="clear" w:color="auto" w:fill="FFFFFF"/>
          <w:lang w:val="es-ES"/>
        </w:rPr>
        <w:t>con</w:t>
      </w:r>
      <w:r w:rsidRPr="004930D7">
        <w:rPr>
          <w:rStyle w:val="normaltextrun"/>
          <w:rFonts w:ascii="Arial" w:hAnsi="Arial" w:cs="Arial"/>
          <w:color w:val="000000"/>
          <w:sz w:val="22"/>
          <w:shd w:val="clear" w:color="auto" w:fill="FFFFFF"/>
          <w:lang w:val="es-ES"/>
        </w:rPr>
        <w:t xml:space="preserve"> la metodología previamente expuesta. Esta experiencia debe solicitarse en las condiciones allí previstas, con la descripción completa que corresponda a la experiencia general y específica.</w:t>
      </w:r>
      <w:r w:rsidR="00C55D02" w:rsidRPr="004930D7">
        <w:t xml:space="preserve"> </w:t>
      </w:r>
      <w:r w:rsidR="00C55D02" w:rsidRPr="004930D7">
        <w:rPr>
          <w:rStyle w:val="normaltextrun"/>
          <w:rFonts w:ascii="Arial" w:hAnsi="Arial" w:cs="Arial"/>
          <w:color w:val="000000"/>
          <w:sz w:val="22"/>
          <w:shd w:val="clear" w:color="auto" w:fill="FFFFFF"/>
          <w:lang w:val="es-ES"/>
        </w:rPr>
        <w:t xml:space="preserve">Además, debe tener en cuenta los conceptos propios de la ingeniería civil y los definidos </w:t>
      </w:r>
      <w:r w:rsidR="00EE7F5E">
        <w:rPr>
          <w:rStyle w:val="normaltextrun"/>
          <w:rFonts w:ascii="Arial" w:hAnsi="Arial" w:cs="Arial"/>
          <w:color w:val="000000"/>
          <w:sz w:val="22"/>
          <w:shd w:val="clear" w:color="auto" w:fill="FFFFFF"/>
          <w:lang w:val="es-ES"/>
        </w:rPr>
        <w:t>en el</w:t>
      </w:r>
      <w:r w:rsidR="00EE7F5E" w:rsidRPr="004930D7">
        <w:rPr>
          <w:rStyle w:val="normaltextrun"/>
          <w:rFonts w:ascii="Arial" w:hAnsi="Arial" w:cs="Arial"/>
          <w:color w:val="000000"/>
          <w:sz w:val="22"/>
          <w:shd w:val="clear" w:color="auto" w:fill="FFFFFF"/>
          <w:lang w:val="es-ES"/>
        </w:rPr>
        <w:t xml:space="preserve"> </w:t>
      </w:r>
      <w:r w:rsidR="00C55D02" w:rsidRPr="004930D7">
        <w:rPr>
          <w:rStyle w:val="normaltextrun"/>
          <w:rFonts w:ascii="Arial" w:hAnsi="Arial" w:cs="Arial"/>
          <w:color w:val="000000"/>
          <w:sz w:val="22"/>
          <w:shd w:val="clear" w:color="auto" w:fill="FFFFFF"/>
          <w:lang w:val="es-ES"/>
        </w:rPr>
        <w:t>«Anexo 3 – Glosario», con el fin de verificar si el objeto a contratar se encuentra enmarcado en dichas actividades.</w:t>
      </w:r>
    </w:p>
    <w:bookmarkEnd w:id="5"/>
    <w:p w14:paraId="1A0D12F0" w14:textId="20D05759" w:rsidR="00C55D02" w:rsidRDefault="00C96108" w:rsidP="00E863E3">
      <w:pPr>
        <w:spacing w:after="120" w:line="276" w:lineRule="auto"/>
        <w:ind w:firstLine="709"/>
        <w:jc w:val="both"/>
        <w:rPr>
          <w:rFonts w:ascii="Arial" w:hAnsi="Arial" w:cs="Arial"/>
          <w:sz w:val="22"/>
          <w:shd w:val="clear" w:color="auto" w:fill="FFFFFF"/>
        </w:rPr>
      </w:pPr>
      <w:r w:rsidRPr="004930D7">
        <w:rPr>
          <w:rFonts w:ascii="Arial" w:hAnsi="Arial" w:cs="Arial"/>
          <w:sz w:val="22"/>
          <w:shd w:val="clear" w:color="auto" w:fill="FFFFFF"/>
        </w:rPr>
        <w:t xml:space="preserve">Para el procedimiento de licitación pública, </w:t>
      </w:r>
      <w:r w:rsidR="008D4672" w:rsidRPr="004930D7">
        <w:rPr>
          <w:rFonts w:ascii="Arial" w:hAnsi="Arial" w:cs="Arial"/>
          <w:sz w:val="22"/>
          <w:shd w:val="clear" w:color="auto" w:fill="FFFFFF"/>
        </w:rPr>
        <w:t>el artículo 3 de la resoluci</w:t>
      </w:r>
      <w:r w:rsidR="00EE7F5E">
        <w:rPr>
          <w:rFonts w:ascii="Arial" w:hAnsi="Arial" w:cs="Arial"/>
          <w:sz w:val="22"/>
          <w:shd w:val="clear" w:color="auto" w:fill="FFFFFF"/>
        </w:rPr>
        <w:t>ó</w:t>
      </w:r>
      <w:r w:rsidR="008D4672" w:rsidRPr="004930D7">
        <w:rPr>
          <w:rFonts w:ascii="Arial" w:hAnsi="Arial" w:cs="Arial"/>
          <w:sz w:val="22"/>
          <w:shd w:val="clear" w:color="auto" w:fill="FFFFFF"/>
        </w:rPr>
        <w:t>n 240 del 27 de noviembre de 2020 establece</w:t>
      </w:r>
      <w:r w:rsidRPr="004930D7">
        <w:rPr>
          <w:rFonts w:ascii="Arial" w:hAnsi="Arial" w:cs="Arial"/>
          <w:sz w:val="22"/>
          <w:shd w:val="clear" w:color="auto" w:fill="FFFFFF"/>
        </w:rPr>
        <w:t xml:space="preserve"> la inalterabilidad de los Documentos Tipo, </w:t>
      </w:r>
      <w:r w:rsidR="008D4672" w:rsidRPr="004930D7">
        <w:rPr>
          <w:rFonts w:ascii="Arial" w:hAnsi="Arial" w:cs="Arial"/>
          <w:sz w:val="22"/>
          <w:shd w:val="clear" w:color="auto" w:fill="FFFFFF"/>
        </w:rPr>
        <w:t>que</w:t>
      </w:r>
      <w:r w:rsidRPr="004930D7">
        <w:rPr>
          <w:rFonts w:ascii="Arial" w:hAnsi="Arial" w:cs="Arial"/>
          <w:sz w:val="22"/>
          <w:shd w:val="clear" w:color="auto" w:fill="FFFFFF"/>
        </w:rPr>
        <w:t xml:space="preserve"> consiste en que las entidades estatales no pueden incluir o modificar en los </w:t>
      </w:r>
      <w:r w:rsidR="008D4672" w:rsidRPr="004930D7">
        <w:rPr>
          <w:rFonts w:ascii="Arial" w:hAnsi="Arial" w:cs="Arial"/>
          <w:sz w:val="22"/>
          <w:shd w:val="clear" w:color="auto" w:fill="FFFFFF"/>
        </w:rPr>
        <w:t>d</w:t>
      </w:r>
      <w:r w:rsidRPr="004930D7">
        <w:rPr>
          <w:rFonts w:ascii="Arial" w:hAnsi="Arial" w:cs="Arial"/>
          <w:sz w:val="22"/>
          <w:shd w:val="clear" w:color="auto" w:fill="FFFFFF"/>
        </w:rPr>
        <w:t xml:space="preserve">ocumentos del </w:t>
      </w:r>
      <w:r w:rsidR="008D4672" w:rsidRPr="004930D7">
        <w:rPr>
          <w:rFonts w:ascii="Arial" w:hAnsi="Arial" w:cs="Arial"/>
          <w:sz w:val="22"/>
          <w:shd w:val="clear" w:color="auto" w:fill="FFFFFF"/>
        </w:rPr>
        <w:t>p</w:t>
      </w:r>
      <w:r w:rsidRPr="004930D7">
        <w:rPr>
          <w:rFonts w:ascii="Arial" w:hAnsi="Arial" w:cs="Arial"/>
          <w:sz w:val="22"/>
          <w:shd w:val="clear" w:color="auto" w:fill="FFFFFF"/>
        </w:rPr>
        <w:t xml:space="preserve">roceso </w:t>
      </w:r>
      <w:r w:rsidRPr="004930D7">
        <w:rPr>
          <w:rFonts w:ascii="Arial" w:hAnsi="Arial" w:cs="Arial"/>
          <w:sz w:val="22"/>
          <w:shd w:val="clear" w:color="auto" w:fill="FFFFFF"/>
        </w:rPr>
        <w:lastRenderedPageBreak/>
        <w:t xml:space="preserve">las condiciones habilitantes, los factores técnicos y económicos de escogencia y los sistemas de ponderación distintos a los señalados en los Documentos Tipo. </w:t>
      </w:r>
    </w:p>
    <w:p w14:paraId="1C6BBFD7" w14:textId="5287038A" w:rsidR="00C06164" w:rsidRPr="004930D7" w:rsidRDefault="00C06164" w:rsidP="000744B0">
      <w:pPr>
        <w:spacing w:line="276" w:lineRule="auto"/>
        <w:ind w:firstLine="709"/>
        <w:jc w:val="both"/>
        <w:rPr>
          <w:rFonts w:ascii="Arial" w:hAnsi="Arial" w:cs="Arial"/>
          <w:sz w:val="22"/>
          <w:shd w:val="clear" w:color="auto" w:fill="FFFFFF"/>
        </w:rPr>
      </w:pPr>
      <w:r>
        <w:rPr>
          <w:rFonts w:ascii="Arial" w:hAnsi="Arial" w:cs="Arial"/>
          <w:sz w:val="22"/>
          <w:shd w:val="clear" w:color="auto" w:fill="FFFFFF"/>
        </w:rPr>
        <w:t>De acuerdo con los lineamientos anteriores, las entidades estatales, conforme a los parámetros anteriores, al evaluar las ofertas deben verificar, en concreto, si los contratos aportados por los proponentes en los procedimientos de selección, de acuerdo con su alcance particular, se enmarcan en la experiencia general y específica exigida en el pliego de condiciones, el cual se debe elaborar, como se indicó, con estricta sujeción a la Matriz 1 – Experiencia.</w:t>
      </w:r>
    </w:p>
    <w:p w14:paraId="6D276306" w14:textId="484D5674" w:rsidR="00A43BAE" w:rsidRPr="004930D7" w:rsidRDefault="00A43BAE" w:rsidP="009A69E3">
      <w:pPr>
        <w:spacing w:line="276" w:lineRule="auto"/>
        <w:jc w:val="both"/>
        <w:rPr>
          <w:rFonts w:ascii="Arial" w:eastAsia="Calibri" w:hAnsi="Arial" w:cs="Arial"/>
          <w:b/>
          <w:color w:val="0D0D0D" w:themeColor="text1" w:themeTint="F2"/>
          <w:sz w:val="22"/>
        </w:rPr>
      </w:pPr>
    </w:p>
    <w:p w14:paraId="63397AC0" w14:textId="61EF8B85" w:rsidR="00267368" w:rsidRPr="004930D7" w:rsidRDefault="00A43BAE" w:rsidP="009A69E3">
      <w:pPr>
        <w:spacing w:line="276" w:lineRule="auto"/>
        <w:jc w:val="both"/>
        <w:rPr>
          <w:rFonts w:ascii="Arial" w:eastAsia="Calibri" w:hAnsi="Arial" w:cs="Arial"/>
          <w:b/>
          <w:color w:val="0D0D0D" w:themeColor="text1" w:themeTint="F2"/>
          <w:sz w:val="22"/>
        </w:rPr>
      </w:pPr>
      <w:r w:rsidRPr="004930D7">
        <w:rPr>
          <w:rFonts w:ascii="Arial" w:eastAsia="Calibri" w:hAnsi="Arial" w:cs="Arial"/>
          <w:b/>
          <w:color w:val="0D0D0D" w:themeColor="text1" w:themeTint="F2"/>
          <w:sz w:val="22"/>
        </w:rPr>
        <w:t>2.</w:t>
      </w:r>
      <w:r w:rsidR="004259FB" w:rsidRPr="004930D7">
        <w:rPr>
          <w:rFonts w:ascii="Arial" w:eastAsia="Calibri" w:hAnsi="Arial" w:cs="Arial"/>
          <w:b/>
          <w:color w:val="0D0D0D" w:themeColor="text1" w:themeTint="F2"/>
          <w:sz w:val="22"/>
        </w:rPr>
        <w:t>2</w:t>
      </w:r>
      <w:r w:rsidRPr="004930D7">
        <w:rPr>
          <w:rFonts w:ascii="Arial" w:eastAsia="Calibri" w:hAnsi="Arial" w:cs="Arial"/>
          <w:b/>
          <w:color w:val="0D0D0D" w:themeColor="text1" w:themeTint="F2"/>
          <w:sz w:val="22"/>
        </w:rPr>
        <w:t xml:space="preserve">. </w:t>
      </w:r>
      <w:r w:rsidR="00564BBB" w:rsidRPr="004930D7">
        <w:rPr>
          <w:rFonts w:ascii="Arial" w:eastAsia="Calibri" w:hAnsi="Arial" w:cs="Arial"/>
          <w:b/>
          <w:color w:val="0D0D0D" w:themeColor="text1" w:themeTint="F2"/>
          <w:sz w:val="22"/>
        </w:rPr>
        <w:t>Ponderación de la oferta económica en procedimientos contractuales regidos por los documentos tipo</w:t>
      </w:r>
    </w:p>
    <w:p w14:paraId="0D0C6E5C" w14:textId="30F27718" w:rsidR="00643AD2" w:rsidRPr="004930D7" w:rsidRDefault="00643AD2" w:rsidP="009A69E3">
      <w:pPr>
        <w:spacing w:line="276" w:lineRule="auto"/>
        <w:jc w:val="both"/>
        <w:rPr>
          <w:rFonts w:ascii="Arial" w:eastAsia="Calibri" w:hAnsi="Arial" w:cs="Arial"/>
          <w:b/>
          <w:color w:val="0D0D0D" w:themeColor="text1" w:themeTint="F2"/>
          <w:sz w:val="22"/>
        </w:rPr>
      </w:pPr>
    </w:p>
    <w:p w14:paraId="3297E160" w14:textId="3DC85218" w:rsidR="00564BBB" w:rsidRPr="004930D7" w:rsidRDefault="00564BBB" w:rsidP="00E863E3">
      <w:pPr>
        <w:spacing w:after="120" w:line="276" w:lineRule="auto"/>
        <w:jc w:val="both"/>
        <w:rPr>
          <w:rFonts w:ascii="Arial" w:eastAsia="Calibri" w:hAnsi="Arial" w:cs="Arial"/>
          <w:sz w:val="22"/>
        </w:rPr>
      </w:pPr>
      <w:r w:rsidRPr="004930D7">
        <w:rPr>
          <w:rFonts w:ascii="Arial" w:eastAsia="Calibri" w:hAnsi="Arial" w:cs="Arial"/>
          <w:sz w:val="22"/>
        </w:rPr>
        <w:t xml:space="preserve">El numeral 4.1.4. del documento base señala las alternativas para escoger el método de ponderación de la propuesta económica. Estas son las siguientes: i) mediana con valor absoluto, </w:t>
      </w:r>
      <w:proofErr w:type="spellStart"/>
      <w:r w:rsidRPr="004930D7">
        <w:rPr>
          <w:rFonts w:ascii="Arial" w:eastAsia="Calibri" w:hAnsi="Arial" w:cs="Arial"/>
          <w:sz w:val="22"/>
        </w:rPr>
        <w:t>ii</w:t>
      </w:r>
      <w:proofErr w:type="spellEnd"/>
      <w:r w:rsidRPr="004930D7">
        <w:rPr>
          <w:rFonts w:ascii="Arial" w:eastAsia="Calibri" w:hAnsi="Arial" w:cs="Arial"/>
          <w:sz w:val="22"/>
        </w:rPr>
        <w:t xml:space="preserve">) media geométrica, </w:t>
      </w:r>
      <w:proofErr w:type="spellStart"/>
      <w:r w:rsidRPr="004930D7">
        <w:rPr>
          <w:rFonts w:ascii="Arial" w:eastAsia="Calibri" w:hAnsi="Arial" w:cs="Arial"/>
          <w:sz w:val="22"/>
        </w:rPr>
        <w:t>iii</w:t>
      </w:r>
      <w:proofErr w:type="spellEnd"/>
      <w:r w:rsidRPr="004930D7">
        <w:rPr>
          <w:rFonts w:ascii="Arial" w:eastAsia="Calibri" w:hAnsi="Arial" w:cs="Arial"/>
          <w:sz w:val="22"/>
        </w:rPr>
        <w:t xml:space="preserve">) media aritmética baja y </w:t>
      </w:r>
      <w:proofErr w:type="spellStart"/>
      <w:r w:rsidRPr="004930D7">
        <w:rPr>
          <w:rFonts w:ascii="Arial" w:eastAsia="Calibri" w:hAnsi="Arial" w:cs="Arial"/>
          <w:sz w:val="22"/>
        </w:rPr>
        <w:t>iv</w:t>
      </w:r>
      <w:proofErr w:type="spellEnd"/>
      <w:r w:rsidRPr="004930D7">
        <w:rPr>
          <w:rFonts w:ascii="Arial" w:eastAsia="Calibri" w:hAnsi="Arial" w:cs="Arial"/>
          <w:sz w:val="22"/>
        </w:rPr>
        <w:t>) menor valor</w:t>
      </w:r>
      <w:r w:rsidRPr="004930D7">
        <w:rPr>
          <w:rStyle w:val="Refdenotaalpie"/>
          <w:rFonts w:ascii="Arial" w:eastAsia="Calibri" w:hAnsi="Arial" w:cs="Arial"/>
          <w:sz w:val="22"/>
        </w:rPr>
        <w:footnoteReference w:id="1"/>
      </w:r>
      <w:r w:rsidRPr="004930D7">
        <w:rPr>
          <w:rFonts w:ascii="Arial" w:eastAsia="Calibri" w:hAnsi="Arial" w:cs="Arial"/>
          <w:sz w:val="22"/>
        </w:rPr>
        <w:t>.</w:t>
      </w:r>
    </w:p>
    <w:p w14:paraId="07ADDDFF" w14:textId="77777777" w:rsidR="00564BBB" w:rsidRPr="004930D7" w:rsidRDefault="00564BBB" w:rsidP="00564BBB">
      <w:pPr>
        <w:spacing w:line="276" w:lineRule="auto"/>
        <w:ind w:firstLine="708"/>
        <w:jc w:val="both"/>
        <w:rPr>
          <w:rFonts w:ascii="Arial" w:eastAsia="Calibri" w:hAnsi="Arial" w:cs="Arial"/>
          <w:sz w:val="22"/>
        </w:rPr>
      </w:pPr>
      <w:r w:rsidRPr="004930D7">
        <w:rPr>
          <w:rFonts w:ascii="Arial" w:eastAsia="Calibri" w:hAnsi="Arial" w:cs="Arial"/>
          <w:sz w:val="22"/>
        </w:rPr>
        <w:t>La entidad escogerá uno u otro método de ponderación de acuerdo con la Tasa de Cambio Representativa del Mercado –TRM– del día hábil siguiente al día en que efectivamente sea la apertura del segundo sobre que contiene las ofertas económicas. La entidad debe tener en cuenta los centavos de la TRM para definir el método de ponderación de acuerdo con los rangos del siguiente cuadro:</w:t>
      </w:r>
    </w:p>
    <w:p w14:paraId="342A2301" w14:textId="77777777" w:rsidR="00564BBB" w:rsidRPr="004930D7" w:rsidRDefault="00564BBB" w:rsidP="00564BBB">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564BBB" w:rsidRPr="004930D7" w14:paraId="4A63D40A" w14:textId="77777777" w:rsidTr="00BF1C6E">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4F8DAD03" w14:textId="77777777" w:rsidR="00564BBB" w:rsidRPr="004930D7" w:rsidRDefault="00564BBB" w:rsidP="00BF1C6E">
            <w:pPr>
              <w:spacing w:line="276" w:lineRule="auto"/>
              <w:jc w:val="center"/>
              <w:rPr>
                <w:rFonts w:eastAsia="Arial,Calibri" w:cs="Arial"/>
                <w:b/>
                <w:bCs/>
                <w:color w:val="DBDBDB" w:themeColor="background1"/>
                <w:sz w:val="16"/>
                <w:szCs w:val="16"/>
                <w:lang w:val="es-CO"/>
              </w:rPr>
            </w:pPr>
            <w:r w:rsidRPr="004930D7">
              <w:rPr>
                <w:rFonts w:cs="Arial"/>
                <w:b/>
                <w:bCs/>
                <w:color w:val="DBDBDB" w:themeColor="background1"/>
                <w:sz w:val="16"/>
                <w:szCs w:val="16"/>
              </w:rPr>
              <w:t>Rango</w:t>
            </w:r>
            <w:r w:rsidRPr="004930D7">
              <w:rPr>
                <w:rFonts w:eastAsia="Arial,Calibri" w:cs="Arial"/>
                <w:b/>
                <w:bCs/>
                <w:color w:val="DBDBDB" w:themeColor="background1"/>
                <w:sz w:val="16"/>
                <w:szCs w:val="16"/>
              </w:rPr>
              <w:t xml:space="preserve"> </w:t>
            </w:r>
            <w:r w:rsidRPr="004930D7">
              <w:rPr>
                <w:rFonts w:cs="Arial"/>
                <w:b/>
                <w:bCs/>
                <w:color w:val="DBDBDB"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9332928" w14:textId="77777777" w:rsidR="00564BBB" w:rsidRPr="004930D7" w:rsidRDefault="00564BBB" w:rsidP="00BF1C6E">
            <w:pPr>
              <w:spacing w:line="276" w:lineRule="auto"/>
              <w:jc w:val="center"/>
              <w:rPr>
                <w:rFonts w:eastAsia="Arial,Calibri" w:cs="Arial"/>
                <w:b/>
                <w:bCs/>
                <w:color w:val="DBDBDB" w:themeColor="background1"/>
                <w:sz w:val="16"/>
                <w:szCs w:val="16"/>
              </w:rPr>
            </w:pPr>
            <w:r w:rsidRPr="004930D7">
              <w:rPr>
                <w:rFonts w:cs="Arial"/>
                <w:b/>
                <w:bCs/>
                <w:color w:val="DBDBDB"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0ABE8793" w14:textId="77777777" w:rsidR="00564BBB" w:rsidRPr="004930D7" w:rsidRDefault="00564BBB" w:rsidP="00BF1C6E">
            <w:pPr>
              <w:spacing w:line="276" w:lineRule="auto"/>
              <w:jc w:val="center"/>
              <w:rPr>
                <w:rFonts w:eastAsia="Arial,Calibri" w:cs="Arial"/>
                <w:b/>
                <w:bCs/>
                <w:color w:val="DBDBDB" w:themeColor="background1"/>
                <w:sz w:val="16"/>
                <w:szCs w:val="16"/>
              </w:rPr>
            </w:pPr>
            <w:r w:rsidRPr="004930D7">
              <w:rPr>
                <w:rFonts w:cs="Arial"/>
                <w:b/>
                <w:bCs/>
                <w:color w:val="DBDBDB" w:themeColor="background1"/>
                <w:sz w:val="16"/>
                <w:szCs w:val="16"/>
              </w:rPr>
              <w:t>Método</w:t>
            </w:r>
          </w:p>
        </w:tc>
      </w:tr>
      <w:tr w:rsidR="00564BBB" w:rsidRPr="004930D7" w14:paraId="29CB22DF" w14:textId="77777777" w:rsidTr="00BF1C6E">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2CA61F7" w14:textId="77777777" w:rsidR="00564BBB" w:rsidRPr="004930D7" w:rsidRDefault="00564BBB" w:rsidP="00BF1C6E">
            <w:pPr>
              <w:spacing w:line="276" w:lineRule="auto"/>
              <w:jc w:val="center"/>
              <w:rPr>
                <w:rFonts w:cs="Arial"/>
                <w:color w:val="3C3C3C" w:themeColor="background2" w:themeShade="40"/>
                <w:sz w:val="16"/>
                <w:szCs w:val="16"/>
                <w:lang w:val="es-ES" w:eastAsia="es-CO"/>
              </w:rPr>
            </w:pPr>
            <w:r w:rsidRPr="004930D7">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591D34DE"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0821777"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cs="Arial"/>
                <w:sz w:val="16"/>
                <w:szCs w:val="16"/>
                <w:lang w:val="es-ES" w:eastAsia="es-CO"/>
              </w:rPr>
              <w:t>Mediana con valor absoluto</w:t>
            </w:r>
          </w:p>
        </w:tc>
      </w:tr>
      <w:tr w:rsidR="00564BBB" w:rsidRPr="004930D7" w14:paraId="7D5B3C9A" w14:textId="77777777" w:rsidTr="00BF1C6E">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1059B67"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7F27A8D0"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2F843112" w14:textId="77777777" w:rsidR="00564BBB" w:rsidRPr="004930D7" w:rsidRDefault="00564BBB" w:rsidP="00BF1C6E">
            <w:pPr>
              <w:spacing w:line="276" w:lineRule="auto"/>
              <w:jc w:val="center"/>
              <w:rPr>
                <w:rFonts w:eastAsia="Arial,Times New Roman" w:cs="Arial"/>
                <w:sz w:val="16"/>
                <w:szCs w:val="16"/>
                <w:lang w:val="es-ES" w:eastAsia="es-CO"/>
              </w:rPr>
            </w:pPr>
            <w:r w:rsidRPr="004930D7">
              <w:rPr>
                <w:rFonts w:cs="Arial"/>
                <w:sz w:val="16"/>
                <w:szCs w:val="16"/>
                <w:lang w:val="es-ES" w:eastAsia="es-CO"/>
              </w:rPr>
              <w:t>Media geométrica</w:t>
            </w:r>
          </w:p>
        </w:tc>
      </w:tr>
      <w:tr w:rsidR="00564BBB" w:rsidRPr="004930D7" w14:paraId="18C813FB" w14:textId="77777777" w:rsidTr="00BF1C6E">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3030E193"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hideMark/>
          </w:tcPr>
          <w:p w14:paraId="5E4A812B"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B4A345F"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Media aritmética baja</w:t>
            </w:r>
          </w:p>
        </w:tc>
      </w:tr>
      <w:tr w:rsidR="00564BBB" w:rsidRPr="004930D7" w14:paraId="17BDF094" w14:textId="77777777" w:rsidTr="00BF1C6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4EB33436"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4BE6E604"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hideMark/>
          </w:tcPr>
          <w:p w14:paraId="7412FE98" w14:textId="77777777" w:rsidR="00564BBB" w:rsidRPr="004930D7" w:rsidRDefault="00564BBB" w:rsidP="00BF1C6E">
            <w:pPr>
              <w:spacing w:line="276" w:lineRule="auto"/>
              <w:jc w:val="center"/>
              <w:rPr>
                <w:rFonts w:cs="Arial"/>
                <w:sz w:val="16"/>
                <w:szCs w:val="16"/>
                <w:lang w:val="es-ES" w:eastAsia="es-CO"/>
              </w:rPr>
            </w:pPr>
            <w:r w:rsidRPr="004930D7">
              <w:rPr>
                <w:rFonts w:cs="Arial"/>
                <w:sz w:val="16"/>
                <w:szCs w:val="16"/>
                <w:lang w:val="es-ES" w:eastAsia="es-CO"/>
              </w:rPr>
              <w:t>Menor valor</w:t>
            </w:r>
          </w:p>
        </w:tc>
      </w:tr>
    </w:tbl>
    <w:p w14:paraId="6CC30BD8" w14:textId="77777777" w:rsidR="00564BBB" w:rsidRPr="004930D7" w:rsidRDefault="00564BBB" w:rsidP="00564BBB">
      <w:pPr>
        <w:spacing w:line="276" w:lineRule="auto"/>
        <w:jc w:val="both"/>
        <w:rPr>
          <w:rFonts w:ascii="Arial" w:eastAsia="Calibri" w:hAnsi="Arial" w:cs="Arial"/>
          <w:sz w:val="22"/>
        </w:rPr>
      </w:pPr>
    </w:p>
    <w:p w14:paraId="11AA5283" w14:textId="4EEFB7A1" w:rsidR="00564BBB" w:rsidRDefault="004259FB" w:rsidP="00564BBB">
      <w:pPr>
        <w:spacing w:after="120" w:line="276" w:lineRule="auto"/>
        <w:ind w:firstLine="709"/>
        <w:jc w:val="both"/>
        <w:rPr>
          <w:rFonts w:ascii="Arial" w:eastAsia="Times New Roman" w:hAnsi="Arial" w:cs="Arial"/>
          <w:sz w:val="22"/>
        </w:rPr>
      </w:pPr>
      <w:r w:rsidRPr="004930D7">
        <w:rPr>
          <w:rFonts w:ascii="Arial" w:eastAsia="Times New Roman" w:hAnsi="Arial" w:cs="Arial"/>
          <w:sz w:val="22"/>
        </w:rPr>
        <w:lastRenderedPageBreak/>
        <w:t xml:space="preserve">En </w:t>
      </w:r>
      <w:r w:rsidR="00564BBB" w:rsidRPr="004930D7">
        <w:rPr>
          <w:rFonts w:ascii="Arial" w:eastAsia="Times New Roman" w:hAnsi="Arial" w:cs="Arial"/>
          <w:sz w:val="22"/>
        </w:rPr>
        <w:t xml:space="preserve">relación </w:t>
      </w:r>
      <w:r w:rsidRPr="004930D7">
        <w:rPr>
          <w:rFonts w:ascii="Arial" w:eastAsia="Times New Roman" w:hAnsi="Arial" w:cs="Arial"/>
          <w:sz w:val="22"/>
        </w:rPr>
        <w:t>con</w:t>
      </w:r>
      <w:r w:rsidR="00564BBB" w:rsidRPr="004930D7">
        <w:rPr>
          <w:rFonts w:ascii="Arial" w:eastAsia="Times New Roman" w:hAnsi="Arial" w:cs="Arial"/>
          <w:sz w:val="22"/>
        </w:rPr>
        <w:t xml:space="preserve"> los métodos de ponderación aplicables al procedimiento de contratación, en cuanto a la apertura de los sobres No. 2, el documento base señala que «</w:t>
      </w:r>
      <w:r w:rsidR="00D52944" w:rsidRPr="004930D7">
        <w:rPr>
          <w:rFonts w:ascii="Arial" w:eastAsia="Times New Roman" w:hAnsi="Arial" w:cs="Arial"/>
          <w:sz w:val="22"/>
        </w:rPr>
        <w:t>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w:t>
      </w:r>
      <w:r w:rsidR="00564BBB" w:rsidRPr="004930D7">
        <w:rPr>
          <w:rFonts w:ascii="Arial" w:eastAsia="Times New Roman" w:hAnsi="Arial" w:cs="Arial"/>
          <w:sz w:val="22"/>
        </w:rPr>
        <w:t>».</w:t>
      </w:r>
    </w:p>
    <w:p w14:paraId="4E2C1493" w14:textId="07466D77" w:rsidR="00564BBB" w:rsidRPr="004930D7" w:rsidRDefault="00564BBB" w:rsidP="00564BBB">
      <w:pPr>
        <w:spacing w:after="120" w:line="276" w:lineRule="auto"/>
        <w:ind w:firstLine="709"/>
        <w:jc w:val="both"/>
        <w:rPr>
          <w:rFonts w:ascii="Arial" w:eastAsia="Calibri" w:hAnsi="Arial" w:cs="Arial"/>
          <w:sz w:val="22"/>
        </w:rPr>
      </w:pPr>
      <w:r w:rsidRPr="004930D7">
        <w:rPr>
          <w:rFonts w:ascii="Arial" w:eastAsia="Times New Roman" w:hAnsi="Arial" w:cs="Arial"/>
          <w:sz w:val="22"/>
        </w:rPr>
        <w:t>En ese sentido, es necesario observar que la definición del método de ponderación aplicable a la oferta económica, que es la que se presenta en el sobre No. 2, ocurre en la audiencia de adjudicación</w:t>
      </w:r>
      <w:r w:rsidR="00234AEA">
        <w:rPr>
          <w:rFonts w:ascii="Arial" w:eastAsia="Times New Roman" w:hAnsi="Arial" w:cs="Arial"/>
          <w:sz w:val="22"/>
        </w:rPr>
        <w:t>,</w:t>
      </w:r>
      <w:r w:rsidRPr="004930D7">
        <w:rPr>
          <w:rFonts w:ascii="Arial" w:eastAsia="Times New Roman" w:hAnsi="Arial" w:cs="Arial"/>
          <w:sz w:val="22"/>
        </w:rPr>
        <w:t xml:space="preserve"> que tiene dos actividades: i) respuesta a las observaciones del informe de evaluación y </w:t>
      </w:r>
      <w:proofErr w:type="spellStart"/>
      <w:r w:rsidRPr="004930D7">
        <w:rPr>
          <w:rFonts w:ascii="Arial" w:eastAsia="Times New Roman" w:hAnsi="Arial" w:cs="Arial"/>
          <w:sz w:val="22"/>
        </w:rPr>
        <w:t>ii</w:t>
      </w:r>
      <w:proofErr w:type="spellEnd"/>
      <w:r w:rsidRPr="004930D7">
        <w:rPr>
          <w:rFonts w:ascii="Arial" w:eastAsia="Times New Roman" w:hAnsi="Arial" w:cs="Arial"/>
          <w:sz w:val="22"/>
        </w:rPr>
        <w:t xml:space="preserve">) apertura de las ofertas económicas contenidas en los sobres No. 2. La entidad debe desarrollar esta última actividad en un mismo día </w:t>
      </w:r>
      <w:r w:rsidR="00D52944" w:rsidRPr="004930D7">
        <w:rPr>
          <w:rFonts w:ascii="Arial" w:eastAsia="Times New Roman" w:hAnsi="Arial" w:cs="Arial"/>
          <w:sz w:val="22"/>
        </w:rPr>
        <w:t>y antes de las 3:00 p.m.</w:t>
      </w:r>
      <w:r w:rsidR="000448E0">
        <w:rPr>
          <w:rFonts w:ascii="Arial" w:eastAsia="Times New Roman" w:hAnsi="Arial" w:cs="Arial"/>
          <w:sz w:val="22"/>
        </w:rPr>
        <w:t>,</w:t>
      </w:r>
      <w:r w:rsidR="00D52944" w:rsidRPr="004930D7">
        <w:rPr>
          <w:rFonts w:ascii="Arial" w:eastAsia="Times New Roman" w:hAnsi="Arial" w:cs="Arial"/>
          <w:sz w:val="22"/>
        </w:rPr>
        <w:t xml:space="preserve"> </w:t>
      </w:r>
      <w:r w:rsidRPr="004930D7">
        <w:rPr>
          <w:rFonts w:ascii="Arial" w:eastAsia="Times New Roman" w:hAnsi="Arial" w:cs="Arial"/>
          <w:sz w:val="22"/>
        </w:rPr>
        <w:t>como lo indic</w:t>
      </w:r>
      <w:r w:rsidR="004259FB" w:rsidRPr="004930D7">
        <w:rPr>
          <w:rFonts w:ascii="Arial" w:eastAsia="Times New Roman" w:hAnsi="Arial" w:cs="Arial"/>
          <w:sz w:val="22"/>
        </w:rPr>
        <w:t>a</w:t>
      </w:r>
      <w:r w:rsidRPr="004930D7">
        <w:rPr>
          <w:rFonts w:ascii="Arial" w:eastAsia="Times New Roman" w:hAnsi="Arial" w:cs="Arial"/>
          <w:sz w:val="22"/>
        </w:rPr>
        <w:t xml:space="preserve"> el documento base citado</w:t>
      </w:r>
      <w:r w:rsidR="00492DAF">
        <w:rPr>
          <w:rFonts w:ascii="Arial" w:eastAsia="Times New Roman" w:hAnsi="Arial" w:cs="Arial"/>
          <w:sz w:val="22"/>
        </w:rPr>
        <w:t>.</w:t>
      </w:r>
    </w:p>
    <w:p w14:paraId="7D959586" w14:textId="3AC70B45" w:rsidR="00564BBB" w:rsidRDefault="00564BBB" w:rsidP="00830EF9">
      <w:pPr>
        <w:spacing w:after="120" w:line="276" w:lineRule="auto"/>
        <w:ind w:firstLine="709"/>
        <w:jc w:val="both"/>
        <w:rPr>
          <w:rFonts w:ascii="Arial" w:eastAsia="Calibri" w:hAnsi="Arial" w:cs="Arial"/>
          <w:sz w:val="22"/>
        </w:rPr>
      </w:pPr>
      <w:bookmarkStart w:id="6" w:name="_Hlk37983941"/>
      <w:r w:rsidRPr="004930D7">
        <w:rPr>
          <w:rFonts w:ascii="Arial" w:eastAsia="Calibri" w:hAnsi="Arial" w:cs="Arial"/>
          <w:sz w:val="22"/>
        </w:rPr>
        <w:t xml:space="preserve">En el caso señalado en la petición se </w:t>
      </w:r>
      <w:bookmarkEnd w:id="6"/>
      <w:r w:rsidRPr="004930D7">
        <w:rPr>
          <w:rFonts w:ascii="Arial" w:eastAsia="Calibri" w:hAnsi="Arial" w:cs="Arial"/>
          <w:sz w:val="22"/>
        </w:rPr>
        <w:t xml:space="preserve">advierte que </w:t>
      </w:r>
      <w:r w:rsidR="0014732B" w:rsidRPr="004930D7">
        <w:rPr>
          <w:rFonts w:ascii="Arial" w:eastAsia="Calibri" w:hAnsi="Arial" w:cs="Arial"/>
          <w:sz w:val="22"/>
        </w:rPr>
        <w:t>ya había ocurrido</w:t>
      </w:r>
      <w:r w:rsidRPr="004930D7">
        <w:rPr>
          <w:rFonts w:ascii="Arial" w:eastAsia="Calibri" w:hAnsi="Arial" w:cs="Arial"/>
          <w:sz w:val="22"/>
        </w:rPr>
        <w:t xml:space="preserve"> la apertura de los sobres No. 2 que contienen la oferta económica</w:t>
      </w:r>
      <w:r w:rsidR="00830EF9" w:rsidRPr="004930D7">
        <w:rPr>
          <w:rFonts w:ascii="Arial" w:eastAsia="Calibri" w:hAnsi="Arial" w:cs="Arial"/>
          <w:sz w:val="22"/>
        </w:rPr>
        <w:t>,</w:t>
      </w:r>
      <w:r w:rsidRPr="004930D7">
        <w:rPr>
          <w:rFonts w:ascii="Arial" w:eastAsia="Calibri" w:hAnsi="Arial" w:cs="Arial"/>
          <w:sz w:val="22"/>
        </w:rPr>
        <w:t xml:space="preserve"> </w:t>
      </w:r>
      <w:r w:rsidR="00830EF9" w:rsidRPr="004930D7">
        <w:rPr>
          <w:rFonts w:ascii="Arial" w:eastAsia="Calibri" w:hAnsi="Arial" w:cs="Arial"/>
          <w:sz w:val="22"/>
        </w:rPr>
        <w:t xml:space="preserve">y se debió definir el método de ponderación </w:t>
      </w:r>
      <w:r w:rsidR="0014732B" w:rsidRPr="004930D7">
        <w:rPr>
          <w:rFonts w:ascii="Arial" w:eastAsia="Calibri" w:hAnsi="Arial" w:cs="Arial"/>
          <w:sz w:val="22"/>
        </w:rPr>
        <w:t>con la TRM publicada por</w:t>
      </w:r>
      <w:r w:rsidRPr="004930D7">
        <w:rPr>
          <w:rFonts w:ascii="Arial" w:eastAsia="Calibri" w:hAnsi="Arial" w:cs="Arial"/>
          <w:sz w:val="22"/>
        </w:rPr>
        <w:t xml:space="preserve"> la Superintendencia Financiera de Colombia, lo cual</w:t>
      </w:r>
      <w:r w:rsidR="0014732B" w:rsidRPr="004930D7">
        <w:rPr>
          <w:rFonts w:ascii="Arial" w:eastAsia="Calibri" w:hAnsi="Arial" w:cs="Arial"/>
          <w:sz w:val="22"/>
        </w:rPr>
        <w:t>, como se señaló</w:t>
      </w:r>
      <w:r w:rsidR="00E951F4" w:rsidRPr="004930D7">
        <w:rPr>
          <w:rFonts w:ascii="Arial" w:eastAsia="Calibri" w:hAnsi="Arial" w:cs="Arial"/>
          <w:sz w:val="22"/>
        </w:rPr>
        <w:t>,</w:t>
      </w:r>
      <w:r w:rsidR="0014732B" w:rsidRPr="004930D7">
        <w:rPr>
          <w:rFonts w:ascii="Arial" w:eastAsia="Calibri" w:hAnsi="Arial" w:cs="Arial"/>
          <w:sz w:val="22"/>
        </w:rPr>
        <w:t xml:space="preserve"> debe ocurrir en un mismo día hasta antes de las 3:00 p.m.</w:t>
      </w:r>
      <w:r w:rsidR="00E951F4" w:rsidRPr="004930D7">
        <w:rPr>
          <w:rFonts w:ascii="Arial" w:eastAsia="Calibri" w:hAnsi="Arial" w:cs="Arial"/>
          <w:sz w:val="22"/>
        </w:rPr>
        <w:t>;</w:t>
      </w:r>
      <w:r w:rsidR="0014732B" w:rsidRPr="004930D7">
        <w:rPr>
          <w:rFonts w:ascii="Arial" w:eastAsia="Calibri" w:hAnsi="Arial" w:cs="Arial"/>
          <w:sz w:val="22"/>
        </w:rPr>
        <w:t xml:space="preserve"> y </w:t>
      </w:r>
      <w:r w:rsidR="00830EF9" w:rsidRPr="004930D7">
        <w:rPr>
          <w:rFonts w:ascii="Arial" w:eastAsia="Calibri" w:hAnsi="Arial" w:cs="Arial"/>
          <w:sz w:val="22"/>
        </w:rPr>
        <w:t>e</w:t>
      </w:r>
      <w:r w:rsidR="00E951F4" w:rsidRPr="004930D7">
        <w:rPr>
          <w:rFonts w:ascii="Arial" w:eastAsia="Calibri" w:hAnsi="Arial" w:cs="Arial"/>
          <w:sz w:val="22"/>
        </w:rPr>
        <w:t>se</w:t>
      </w:r>
      <w:r w:rsidR="00830EF9" w:rsidRPr="004930D7">
        <w:rPr>
          <w:rFonts w:ascii="Arial" w:eastAsia="Calibri" w:hAnsi="Arial" w:cs="Arial"/>
          <w:sz w:val="22"/>
        </w:rPr>
        <w:t xml:space="preserve"> método definido el día de la apertura del sobre económico seguirá rigiendo aun cuando la entidad deba suspender la audiencia</w:t>
      </w:r>
      <w:r w:rsidR="004259FB" w:rsidRPr="004930D7">
        <w:rPr>
          <w:rFonts w:ascii="Arial" w:eastAsia="Calibri" w:hAnsi="Arial" w:cs="Arial"/>
          <w:sz w:val="22"/>
        </w:rPr>
        <w:t>, conforme la regla establecida en el documento base.</w:t>
      </w:r>
    </w:p>
    <w:p w14:paraId="010836F4" w14:textId="63C16E9E" w:rsidR="00686994" w:rsidRPr="004930D7" w:rsidRDefault="00492DAF" w:rsidP="00830EF9">
      <w:pPr>
        <w:spacing w:after="120" w:line="276" w:lineRule="auto"/>
        <w:ind w:firstLine="709"/>
        <w:jc w:val="both"/>
        <w:rPr>
          <w:rFonts w:ascii="Arial" w:eastAsia="Calibri" w:hAnsi="Arial" w:cs="Arial"/>
          <w:sz w:val="22"/>
        </w:rPr>
      </w:pPr>
      <w:r>
        <w:rPr>
          <w:rFonts w:ascii="Arial" w:eastAsia="Calibri" w:hAnsi="Arial" w:cs="Arial"/>
          <w:sz w:val="22"/>
        </w:rPr>
        <w:t xml:space="preserve">La entidad antes de comenzar la apertura de los </w:t>
      </w:r>
      <w:proofErr w:type="gramStart"/>
      <w:r>
        <w:rPr>
          <w:rFonts w:ascii="Arial" w:eastAsia="Calibri" w:hAnsi="Arial" w:cs="Arial"/>
          <w:sz w:val="22"/>
        </w:rPr>
        <w:t>sobre económicos</w:t>
      </w:r>
      <w:proofErr w:type="gramEnd"/>
      <w:r>
        <w:rPr>
          <w:rFonts w:ascii="Arial" w:eastAsia="Calibri" w:hAnsi="Arial" w:cs="Arial"/>
          <w:sz w:val="22"/>
        </w:rPr>
        <w:t xml:space="preserve"> debe prever razonablemente si alcanzará a ab</w:t>
      </w:r>
      <w:r w:rsidR="00234AEA">
        <w:rPr>
          <w:rFonts w:ascii="Arial" w:eastAsia="Calibri" w:hAnsi="Arial" w:cs="Arial"/>
          <w:sz w:val="22"/>
        </w:rPr>
        <w:t xml:space="preserve">rirlos todos antes de las 3:00 pm., de manera que si considera que no podrá abrirlos todos antes de esa hora, puede optar por suspender la audiencia para reiniciarla otro día, de manera que logre cumplir con la exigencia de iniciar y finalizar </w:t>
      </w:r>
      <w:r w:rsidR="00234AEA" w:rsidRPr="00686994">
        <w:rPr>
          <w:rFonts w:ascii="Arial" w:eastAsia="Calibri" w:hAnsi="Arial" w:cs="Arial"/>
          <w:sz w:val="22"/>
        </w:rPr>
        <w:t xml:space="preserve">la apertura de </w:t>
      </w:r>
      <w:r w:rsidR="00234AEA">
        <w:rPr>
          <w:rFonts w:ascii="Arial" w:eastAsia="Calibri" w:hAnsi="Arial" w:cs="Arial"/>
          <w:sz w:val="22"/>
        </w:rPr>
        <w:t xml:space="preserve">todos </w:t>
      </w:r>
      <w:r w:rsidR="00234AEA" w:rsidRPr="00686994">
        <w:rPr>
          <w:rFonts w:ascii="Arial" w:eastAsia="Calibri" w:hAnsi="Arial" w:cs="Arial"/>
          <w:sz w:val="22"/>
        </w:rPr>
        <w:t>los sobres antes de las 3:00 pm</w:t>
      </w:r>
      <w:r w:rsidR="00234AEA">
        <w:rPr>
          <w:rFonts w:ascii="Arial" w:eastAsia="Calibri" w:hAnsi="Arial" w:cs="Arial"/>
          <w:sz w:val="22"/>
        </w:rPr>
        <w:t>.</w:t>
      </w:r>
      <w:r w:rsidR="00234AEA" w:rsidRPr="00686994">
        <w:rPr>
          <w:rFonts w:ascii="Arial" w:eastAsia="Calibri" w:hAnsi="Arial" w:cs="Arial"/>
          <w:sz w:val="22"/>
        </w:rPr>
        <w:t xml:space="preserve"> del día respectivo</w:t>
      </w:r>
      <w:r w:rsidR="00234AEA">
        <w:rPr>
          <w:rFonts w:ascii="Arial" w:eastAsia="Calibri" w:hAnsi="Arial" w:cs="Arial"/>
          <w:sz w:val="22"/>
        </w:rPr>
        <w:t>. En efecto, el documento base establece esta posibilidad</w:t>
      </w:r>
      <w:r w:rsidR="00686994">
        <w:rPr>
          <w:rFonts w:ascii="Arial" w:eastAsia="Calibri" w:hAnsi="Arial" w:cs="Arial"/>
          <w:sz w:val="22"/>
        </w:rPr>
        <w:t>: «[...]</w:t>
      </w:r>
      <w:r w:rsidR="00686994" w:rsidRPr="00686994">
        <w:t xml:space="preserve"> </w:t>
      </w:r>
      <w:r w:rsidR="00686994" w:rsidRPr="00686994">
        <w:rPr>
          <w:rFonts w:ascii="Arial" w:eastAsia="Calibri" w:hAnsi="Arial" w:cs="Arial"/>
          <w:sz w:val="22"/>
        </w:rPr>
        <w:t>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r w:rsidR="00686994">
        <w:rPr>
          <w:rFonts w:ascii="Arial" w:eastAsia="Calibri" w:hAnsi="Arial" w:cs="Arial"/>
          <w:sz w:val="22"/>
        </w:rPr>
        <w:t>».</w:t>
      </w:r>
    </w:p>
    <w:p w14:paraId="6ADC2386" w14:textId="0EBD9AB0" w:rsidR="00A56C47" w:rsidRPr="004930D7" w:rsidRDefault="00234AEA" w:rsidP="0090648B">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Debe tenerse en cuenta que para definir</w:t>
      </w:r>
      <w:r w:rsidR="00564BBB" w:rsidRPr="004930D7">
        <w:rPr>
          <w:rFonts w:ascii="Arial" w:hAnsi="Arial" w:cs="Arial"/>
          <w:color w:val="000000" w:themeColor="text1"/>
          <w:sz w:val="22"/>
        </w:rPr>
        <w:t xml:space="preserve"> la TRM que se tiene en cuenta para determinar el método para la ponderación de la</w:t>
      </w:r>
      <w:r w:rsidR="00A56C47" w:rsidRPr="004930D7">
        <w:rPr>
          <w:rFonts w:ascii="Arial" w:hAnsi="Arial" w:cs="Arial"/>
          <w:color w:val="000000" w:themeColor="text1"/>
          <w:sz w:val="22"/>
        </w:rPr>
        <w:t xml:space="preserve">s </w:t>
      </w:r>
      <w:r w:rsidR="00564BBB" w:rsidRPr="004930D7">
        <w:rPr>
          <w:rFonts w:ascii="Arial" w:hAnsi="Arial" w:cs="Arial"/>
          <w:color w:val="000000" w:themeColor="text1"/>
          <w:sz w:val="22"/>
        </w:rPr>
        <w:t>oferta</w:t>
      </w:r>
      <w:r w:rsidR="00A56C47" w:rsidRPr="004930D7">
        <w:rPr>
          <w:rFonts w:ascii="Arial" w:hAnsi="Arial" w:cs="Arial"/>
          <w:color w:val="000000" w:themeColor="text1"/>
          <w:sz w:val="22"/>
        </w:rPr>
        <w:t>s</w:t>
      </w:r>
      <w:r w:rsidR="00564BBB" w:rsidRPr="004930D7">
        <w:rPr>
          <w:rFonts w:ascii="Arial" w:hAnsi="Arial" w:cs="Arial"/>
          <w:color w:val="000000" w:themeColor="text1"/>
          <w:sz w:val="22"/>
        </w:rPr>
        <w:t xml:space="preserve"> económica</w:t>
      </w:r>
      <w:r w:rsidR="00A56C47" w:rsidRPr="004930D7">
        <w:rPr>
          <w:rFonts w:ascii="Arial" w:hAnsi="Arial" w:cs="Arial"/>
          <w:color w:val="000000" w:themeColor="text1"/>
          <w:sz w:val="22"/>
        </w:rPr>
        <w:t>s</w:t>
      </w:r>
      <w:r w:rsidR="00564BBB" w:rsidRPr="004930D7">
        <w:rPr>
          <w:rFonts w:ascii="Arial" w:hAnsi="Arial" w:cs="Arial"/>
          <w:color w:val="000000" w:themeColor="text1"/>
          <w:sz w:val="22"/>
        </w:rPr>
        <w:t xml:space="preserve">, es necesario </w:t>
      </w:r>
      <w:r w:rsidR="009420E2" w:rsidRPr="004930D7">
        <w:rPr>
          <w:rFonts w:ascii="Arial" w:hAnsi="Arial" w:cs="Arial"/>
          <w:color w:val="000000" w:themeColor="text1"/>
          <w:sz w:val="22"/>
        </w:rPr>
        <w:t>regirse por</w:t>
      </w:r>
      <w:r w:rsidR="00564BBB" w:rsidRPr="004930D7">
        <w:rPr>
          <w:rFonts w:ascii="Arial" w:hAnsi="Arial" w:cs="Arial"/>
          <w:color w:val="000000" w:themeColor="text1"/>
          <w:sz w:val="22"/>
        </w:rPr>
        <w:t xml:space="preserve"> lo dispuesto en los documentos tipo</w:t>
      </w:r>
      <w:r w:rsidR="00830EF9" w:rsidRPr="004930D7">
        <w:rPr>
          <w:rFonts w:ascii="Arial" w:hAnsi="Arial" w:cs="Arial"/>
          <w:color w:val="000000" w:themeColor="text1"/>
          <w:sz w:val="22"/>
        </w:rPr>
        <w:t>.</w:t>
      </w:r>
      <w:r w:rsidR="00084247" w:rsidRPr="004930D7">
        <w:rPr>
          <w:rFonts w:ascii="Arial" w:hAnsi="Arial" w:cs="Arial"/>
          <w:color w:val="000000" w:themeColor="text1"/>
          <w:sz w:val="22"/>
        </w:rPr>
        <w:t xml:space="preserve"> </w:t>
      </w:r>
      <w:r w:rsidR="00A56C47" w:rsidRPr="004930D7">
        <w:rPr>
          <w:rFonts w:ascii="Arial" w:hAnsi="Arial" w:cs="Arial"/>
          <w:color w:val="000000" w:themeColor="text1"/>
          <w:sz w:val="22"/>
        </w:rPr>
        <w:t xml:space="preserve">Esto es, que la TRM es la del </w:t>
      </w:r>
      <w:r w:rsidR="00A56C47" w:rsidRPr="004930D7">
        <w:rPr>
          <w:rFonts w:ascii="Arial" w:eastAsia="Calibri" w:hAnsi="Arial" w:cs="Arial"/>
          <w:sz w:val="22"/>
        </w:rPr>
        <w:t xml:space="preserve">día hábil siguiente al día en que efectivamente sea la </w:t>
      </w:r>
      <w:r w:rsidR="00A56C47" w:rsidRPr="00E25414">
        <w:rPr>
          <w:rFonts w:ascii="Arial" w:eastAsia="Calibri" w:hAnsi="Arial" w:cs="Arial"/>
          <w:i/>
          <w:iCs/>
          <w:sz w:val="22"/>
        </w:rPr>
        <w:t>apertura</w:t>
      </w:r>
      <w:r w:rsidR="00A56C47" w:rsidRPr="004930D7">
        <w:rPr>
          <w:rFonts w:ascii="Arial" w:eastAsia="Calibri" w:hAnsi="Arial" w:cs="Arial"/>
          <w:sz w:val="22"/>
        </w:rPr>
        <w:t xml:space="preserve"> del segundo sobre que contiene las ofertas económicas.</w:t>
      </w:r>
    </w:p>
    <w:p w14:paraId="73699439" w14:textId="7CA2965A" w:rsidR="00564BBB" w:rsidRPr="004930D7" w:rsidRDefault="00084247" w:rsidP="0090648B">
      <w:pPr>
        <w:spacing w:before="120" w:line="276" w:lineRule="auto"/>
        <w:ind w:firstLine="709"/>
        <w:jc w:val="both"/>
        <w:rPr>
          <w:rFonts w:ascii="Arial" w:hAnsi="Arial" w:cs="Arial"/>
          <w:color w:val="000000" w:themeColor="text1"/>
          <w:sz w:val="22"/>
        </w:rPr>
      </w:pPr>
      <w:r w:rsidRPr="004930D7">
        <w:rPr>
          <w:rFonts w:ascii="Arial" w:hAnsi="Arial" w:cs="Arial"/>
          <w:color w:val="000000" w:themeColor="text1"/>
          <w:sz w:val="22"/>
        </w:rPr>
        <w:t>Por ende, e</w:t>
      </w:r>
      <w:r w:rsidR="00564BBB" w:rsidRPr="004930D7">
        <w:rPr>
          <w:rFonts w:ascii="Arial" w:hAnsi="Arial" w:cs="Arial"/>
          <w:color w:val="000000" w:themeColor="text1"/>
          <w:sz w:val="22"/>
        </w:rPr>
        <w:t>s del caso precisar</w:t>
      </w:r>
      <w:r w:rsidR="00960E34" w:rsidRPr="004930D7">
        <w:rPr>
          <w:rFonts w:ascii="Arial" w:hAnsi="Arial" w:cs="Arial"/>
          <w:color w:val="000000" w:themeColor="text1"/>
          <w:sz w:val="22"/>
        </w:rPr>
        <w:t>,</w:t>
      </w:r>
      <w:r w:rsidR="00564BBB" w:rsidRPr="004930D7">
        <w:rPr>
          <w:rFonts w:ascii="Arial" w:hAnsi="Arial" w:cs="Arial"/>
          <w:color w:val="000000" w:themeColor="text1"/>
          <w:sz w:val="22"/>
        </w:rPr>
        <w:t xml:space="preserve"> respe</w:t>
      </w:r>
      <w:r w:rsidR="00830EF9" w:rsidRPr="004930D7">
        <w:rPr>
          <w:rFonts w:ascii="Arial" w:hAnsi="Arial" w:cs="Arial"/>
          <w:color w:val="000000" w:themeColor="text1"/>
          <w:sz w:val="22"/>
        </w:rPr>
        <w:t>c</w:t>
      </w:r>
      <w:r w:rsidR="00564BBB" w:rsidRPr="004930D7">
        <w:rPr>
          <w:rFonts w:ascii="Arial" w:hAnsi="Arial" w:cs="Arial"/>
          <w:color w:val="000000" w:themeColor="text1"/>
          <w:sz w:val="22"/>
        </w:rPr>
        <w:t xml:space="preserve">to </w:t>
      </w:r>
      <w:r w:rsidR="00830EF9" w:rsidRPr="004930D7">
        <w:rPr>
          <w:rFonts w:ascii="Arial" w:hAnsi="Arial" w:cs="Arial"/>
          <w:color w:val="000000" w:themeColor="text1"/>
          <w:sz w:val="22"/>
        </w:rPr>
        <w:t>de lo señalado sobre e</w:t>
      </w:r>
      <w:r w:rsidR="00564BBB" w:rsidRPr="004930D7">
        <w:rPr>
          <w:rFonts w:ascii="Arial" w:hAnsi="Arial" w:cs="Arial"/>
          <w:color w:val="000000" w:themeColor="text1"/>
          <w:sz w:val="22"/>
        </w:rPr>
        <w:t>l método para la ponderación de la oferta económica</w:t>
      </w:r>
      <w:r w:rsidR="00E951F4" w:rsidRPr="004930D7">
        <w:rPr>
          <w:rFonts w:ascii="Arial" w:hAnsi="Arial" w:cs="Arial"/>
          <w:color w:val="000000" w:themeColor="text1"/>
          <w:sz w:val="22"/>
        </w:rPr>
        <w:t>,</w:t>
      </w:r>
      <w:r w:rsidR="00564BBB" w:rsidRPr="004930D7">
        <w:rPr>
          <w:rFonts w:ascii="Arial" w:hAnsi="Arial" w:cs="Arial"/>
          <w:color w:val="000000" w:themeColor="text1"/>
          <w:sz w:val="22"/>
        </w:rPr>
        <w:t xml:space="preserve"> </w:t>
      </w:r>
      <w:r w:rsidR="00830EF9" w:rsidRPr="004930D7">
        <w:rPr>
          <w:rFonts w:ascii="Arial" w:hAnsi="Arial" w:cs="Arial"/>
          <w:color w:val="000000" w:themeColor="text1"/>
          <w:sz w:val="22"/>
        </w:rPr>
        <w:t xml:space="preserve">que la entidad no podrá abrir los sobres económicos </w:t>
      </w:r>
      <w:r w:rsidR="00035D12" w:rsidRPr="004930D7">
        <w:rPr>
          <w:rFonts w:ascii="Arial" w:hAnsi="Arial" w:cs="Arial"/>
          <w:color w:val="000000" w:themeColor="text1"/>
          <w:sz w:val="22"/>
        </w:rPr>
        <w:t>conociendo</w:t>
      </w:r>
      <w:r w:rsidR="00830EF9" w:rsidRPr="004930D7">
        <w:rPr>
          <w:rFonts w:ascii="Arial" w:hAnsi="Arial" w:cs="Arial"/>
          <w:color w:val="000000" w:themeColor="text1"/>
          <w:sz w:val="22"/>
        </w:rPr>
        <w:t xml:space="preserve"> la TRM que regirá al día hábil siguiente</w:t>
      </w:r>
      <w:r w:rsidR="00035D12" w:rsidRPr="004930D7">
        <w:rPr>
          <w:rFonts w:ascii="Arial" w:hAnsi="Arial" w:cs="Arial"/>
          <w:color w:val="000000" w:themeColor="text1"/>
          <w:sz w:val="22"/>
        </w:rPr>
        <w:t>, toda vez que la apertura debe realizarse antes de las 3:00 pm.</w:t>
      </w:r>
      <w:r w:rsidR="00830EF9" w:rsidRPr="004930D7">
        <w:rPr>
          <w:rFonts w:ascii="Arial" w:hAnsi="Arial" w:cs="Arial"/>
          <w:color w:val="000000" w:themeColor="text1"/>
          <w:sz w:val="22"/>
        </w:rPr>
        <w:t xml:space="preserve"> </w:t>
      </w:r>
      <w:r w:rsidR="00035D12" w:rsidRPr="004930D7">
        <w:rPr>
          <w:rFonts w:ascii="Arial" w:hAnsi="Arial" w:cs="Arial"/>
          <w:color w:val="000000" w:themeColor="text1"/>
          <w:sz w:val="22"/>
        </w:rPr>
        <w:t>Finalmente,</w:t>
      </w:r>
      <w:r w:rsidR="00830EF9" w:rsidRPr="004930D7">
        <w:rPr>
          <w:rFonts w:ascii="Arial" w:hAnsi="Arial" w:cs="Arial"/>
          <w:color w:val="000000" w:themeColor="text1"/>
          <w:sz w:val="22"/>
        </w:rPr>
        <w:t xml:space="preserve"> le corresponde a la entidad, </w:t>
      </w:r>
      <w:r w:rsidRPr="004930D7">
        <w:rPr>
          <w:rFonts w:ascii="Arial" w:hAnsi="Arial" w:cs="Arial"/>
          <w:color w:val="000000" w:themeColor="text1"/>
          <w:sz w:val="22"/>
        </w:rPr>
        <w:t xml:space="preserve">de acuerdo con su autonomía para </w:t>
      </w:r>
      <w:r w:rsidR="00035D12" w:rsidRPr="004930D7">
        <w:rPr>
          <w:rFonts w:ascii="Arial" w:hAnsi="Arial" w:cs="Arial"/>
          <w:color w:val="000000" w:themeColor="text1"/>
          <w:sz w:val="22"/>
        </w:rPr>
        <w:t>tomar</w:t>
      </w:r>
      <w:r w:rsidR="00E951F4" w:rsidRPr="004930D7">
        <w:rPr>
          <w:rFonts w:ascii="Arial" w:hAnsi="Arial" w:cs="Arial"/>
          <w:color w:val="000000" w:themeColor="text1"/>
          <w:sz w:val="22"/>
        </w:rPr>
        <w:t xml:space="preserve"> decisiones respecto del proceso de contratación, adelantar las </w:t>
      </w:r>
      <w:r w:rsidR="00E951F4" w:rsidRPr="004930D7">
        <w:rPr>
          <w:rFonts w:ascii="Arial" w:hAnsi="Arial" w:cs="Arial"/>
          <w:color w:val="000000" w:themeColor="text1"/>
          <w:sz w:val="22"/>
        </w:rPr>
        <w:lastRenderedPageBreak/>
        <w:t xml:space="preserve">actuaciones que considere necesarias </w:t>
      </w:r>
      <w:r w:rsidR="00035D12" w:rsidRPr="004930D7">
        <w:rPr>
          <w:rFonts w:ascii="Arial" w:hAnsi="Arial" w:cs="Arial"/>
          <w:color w:val="000000" w:themeColor="text1"/>
          <w:sz w:val="22"/>
        </w:rPr>
        <w:t>frente a</w:t>
      </w:r>
      <w:r w:rsidR="00A56C47" w:rsidRPr="004930D7">
        <w:rPr>
          <w:rFonts w:ascii="Arial" w:hAnsi="Arial" w:cs="Arial"/>
          <w:color w:val="000000" w:themeColor="text1"/>
          <w:sz w:val="22"/>
        </w:rPr>
        <w:t xml:space="preserve"> las situaciones particulares que se presenten en </w:t>
      </w:r>
      <w:r w:rsidR="00960E34" w:rsidRPr="004930D7">
        <w:rPr>
          <w:rFonts w:ascii="Arial" w:hAnsi="Arial" w:cs="Arial"/>
          <w:color w:val="000000" w:themeColor="text1"/>
          <w:sz w:val="22"/>
        </w:rPr>
        <w:t>su actividad contractual</w:t>
      </w:r>
      <w:r w:rsidR="00A56C47" w:rsidRPr="004930D7">
        <w:rPr>
          <w:rFonts w:ascii="Arial" w:hAnsi="Arial" w:cs="Arial"/>
          <w:color w:val="000000" w:themeColor="text1"/>
          <w:sz w:val="22"/>
        </w:rPr>
        <w:t>.</w:t>
      </w:r>
      <w:r w:rsidR="00E951F4" w:rsidRPr="004930D7">
        <w:rPr>
          <w:rFonts w:ascii="Arial" w:hAnsi="Arial" w:cs="Arial"/>
          <w:color w:val="000000" w:themeColor="text1"/>
          <w:sz w:val="22"/>
        </w:rPr>
        <w:t xml:space="preserve"> </w:t>
      </w:r>
    </w:p>
    <w:p w14:paraId="60CFABFC" w14:textId="77777777" w:rsidR="00643AD2" w:rsidRPr="004930D7" w:rsidRDefault="00643AD2" w:rsidP="00A43BAE">
      <w:pPr>
        <w:spacing w:line="276" w:lineRule="auto"/>
        <w:jc w:val="both"/>
        <w:rPr>
          <w:rFonts w:ascii="Arial" w:eastAsia="Calibri" w:hAnsi="Arial" w:cs="Arial"/>
          <w:b/>
          <w:color w:val="0D0D0D" w:themeColor="text1" w:themeTint="F2"/>
          <w:sz w:val="22"/>
        </w:rPr>
      </w:pPr>
    </w:p>
    <w:p w14:paraId="760E4337" w14:textId="6F8FE7CA" w:rsidR="00A945C1" w:rsidRPr="004930D7" w:rsidRDefault="00A945C1" w:rsidP="00860CDF">
      <w:pPr>
        <w:pStyle w:val="Prrafodelista"/>
        <w:tabs>
          <w:tab w:val="left" w:pos="284"/>
        </w:tabs>
        <w:spacing w:line="276" w:lineRule="auto"/>
        <w:ind w:left="0"/>
        <w:jc w:val="both"/>
        <w:rPr>
          <w:rFonts w:ascii="Arial" w:eastAsia="Calibri" w:hAnsi="Arial" w:cs="Arial"/>
          <w:sz w:val="22"/>
        </w:rPr>
      </w:pPr>
      <w:r w:rsidRPr="004930D7">
        <w:rPr>
          <w:rFonts w:ascii="Arial" w:eastAsia="Calibri" w:hAnsi="Arial" w:cs="Arial"/>
          <w:b/>
          <w:sz w:val="22"/>
        </w:rPr>
        <w:t>3. Respuesta</w:t>
      </w:r>
      <w:r w:rsidR="005A2638" w:rsidRPr="004930D7">
        <w:rPr>
          <w:rFonts w:ascii="Arial" w:eastAsia="Calibri" w:hAnsi="Arial" w:cs="Arial"/>
          <w:b/>
          <w:sz w:val="22"/>
        </w:rPr>
        <w:t>s</w:t>
      </w:r>
    </w:p>
    <w:p w14:paraId="1C3599AE" w14:textId="77777777" w:rsidR="00A945C1" w:rsidRPr="004930D7" w:rsidRDefault="00A945C1" w:rsidP="00A945C1">
      <w:pPr>
        <w:spacing w:line="276" w:lineRule="auto"/>
        <w:ind w:left="709" w:right="709"/>
        <w:jc w:val="both"/>
        <w:rPr>
          <w:rFonts w:ascii="Arial" w:eastAsia="Calibri" w:hAnsi="Arial" w:cs="Arial"/>
          <w:i/>
          <w:sz w:val="22"/>
        </w:rPr>
      </w:pPr>
    </w:p>
    <w:p w14:paraId="4559B7FA" w14:textId="77777777" w:rsidR="004E220F" w:rsidRPr="004E220F" w:rsidRDefault="004E220F" w:rsidP="004E220F">
      <w:pPr>
        <w:ind w:left="709" w:right="709"/>
        <w:jc w:val="both"/>
        <w:rPr>
          <w:rFonts w:ascii="Arial" w:eastAsia="Calibri" w:hAnsi="Arial" w:cs="Arial"/>
          <w:sz w:val="21"/>
          <w:szCs w:val="21"/>
        </w:rPr>
      </w:pPr>
      <w:r w:rsidRPr="004E220F">
        <w:rPr>
          <w:rFonts w:ascii="Arial" w:eastAsia="Calibri" w:hAnsi="Arial" w:cs="Arial"/>
          <w:sz w:val="21"/>
          <w:szCs w:val="21"/>
        </w:rPr>
        <w:t>Respecto de la matriz 1 y la experiencia específica de la actividad 6.1 construcción o mejoramiento o rehabilitación de vías urbanas, «[…] es válido presentar contrato de reposición de acueducto y/o alcantarillado en el cual se realizó la intervención y reposición de la malla vial? (sic), teniendo en cuenta que el contrato resultante del proceso de contratación cuenta con una gran parte de su presupuesto dirigido a actividades de reposición de alcantarillado y/o similares».</w:t>
      </w:r>
    </w:p>
    <w:p w14:paraId="1DF3C7C4" w14:textId="77777777" w:rsidR="004E220F" w:rsidRPr="004E220F" w:rsidRDefault="004E220F" w:rsidP="004E220F">
      <w:pPr>
        <w:ind w:left="709" w:right="709"/>
        <w:jc w:val="both"/>
        <w:rPr>
          <w:rFonts w:ascii="Arial" w:eastAsia="Calibri" w:hAnsi="Arial" w:cs="Arial"/>
          <w:sz w:val="21"/>
          <w:szCs w:val="21"/>
        </w:rPr>
      </w:pPr>
    </w:p>
    <w:p w14:paraId="43EE6861" w14:textId="1AE40C02" w:rsidR="00C50586" w:rsidRPr="0089576F" w:rsidRDefault="00C50586" w:rsidP="00E863E3">
      <w:pPr>
        <w:spacing w:after="120" w:line="276" w:lineRule="auto"/>
        <w:jc w:val="both"/>
        <w:rPr>
          <w:rFonts w:ascii="Arial" w:hAnsi="Arial" w:cs="Arial"/>
          <w:sz w:val="22"/>
        </w:rPr>
      </w:pPr>
      <w:r w:rsidRPr="004930D7">
        <w:rPr>
          <w:rFonts w:ascii="Arial" w:eastAsia="Calibri" w:hAnsi="Arial" w:cs="Arial"/>
          <w:sz w:val="22"/>
        </w:rPr>
        <w:t xml:space="preserve">En los Documentos Tipo aplicables a los procesos de licitación de obra pública de infraestructura de transporte, para definir </w:t>
      </w:r>
      <w:r w:rsidR="00BA1889" w:rsidRPr="004930D7">
        <w:rPr>
          <w:rFonts w:ascii="Arial" w:eastAsia="Calibri" w:hAnsi="Arial" w:cs="Arial"/>
          <w:sz w:val="22"/>
        </w:rPr>
        <w:t xml:space="preserve">la </w:t>
      </w:r>
      <w:r w:rsidR="0089576F">
        <w:rPr>
          <w:rFonts w:ascii="Arial" w:eastAsia="Calibri" w:hAnsi="Arial" w:cs="Arial"/>
          <w:sz w:val="22"/>
        </w:rPr>
        <w:t>experiencia específica</w:t>
      </w:r>
      <w:r w:rsidR="00BA1889" w:rsidRPr="004930D7">
        <w:rPr>
          <w:rFonts w:ascii="Arial" w:eastAsia="Calibri" w:hAnsi="Arial" w:cs="Arial"/>
          <w:sz w:val="22"/>
        </w:rPr>
        <w:t xml:space="preserve"> en </w:t>
      </w:r>
      <w:r w:rsidRPr="004930D7">
        <w:rPr>
          <w:rFonts w:ascii="Arial" w:eastAsia="Calibri" w:hAnsi="Arial" w:cs="Arial"/>
          <w:sz w:val="22"/>
        </w:rPr>
        <w:t>un</w:t>
      </w:r>
      <w:r w:rsidR="0089576F">
        <w:rPr>
          <w:rFonts w:ascii="Arial" w:eastAsia="Calibri" w:hAnsi="Arial" w:cs="Arial"/>
          <w:sz w:val="22"/>
        </w:rPr>
        <w:t>a</w:t>
      </w:r>
      <w:r w:rsidRPr="004930D7">
        <w:rPr>
          <w:rFonts w:ascii="Arial" w:eastAsia="Calibri" w:hAnsi="Arial" w:cs="Arial"/>
          <w:sz w:val="22"/>
        </w:rPr>
        <w:t xml:space="preserve"> </w:t>
      </w:r>
      <w:r w:rsidR="0089576F">
        <w:rPr>
          <w:rFonts w:ascii="Arial" w:eastAsia="Calibri" w:hAnsi="Arial" w:cs="Arial"/>
          <w:sz w:val="22"/>
        </w:rPr>
        <w:t>actividad a contratar</w:t>
      </w:r>
      <w:r w:rsidRPr="004930D7">
        <w:rPr>
          <w:rFonts w:ascii="Arial" w:eastAsia="Calibri" w:hAnsi="Arial" w:cs="Arial"/>
          <w:sz w:val="22"/>
        </w:rPr>
        <w:t xml:space="preserve"> </w:t>
      </w:r>
      <w:r w:rsidR="0089576F">
        <w:rPr>
          <w:rFonts w:ascii="Arial" w:eastAsia="Calibri" w:hAnsi="Arial" w:cs="Arial"/>
          <w:sz w:val="22"/>
        </w:rPr>
        <w:t>y su acreditación</w:t>
      </w:r>
      <w:r w:rsidRPr="004930D7">
        <w:rPr>
          <w:rFonts w:ascii="Arial" w:eastAsia="Calibri" w:hAnsi="Arial" w:cs="Arial"/>
          <w:sz w:val="22"/>
        </w:rPr>
        <w:t>,</w:t>
      </w:r>
      <w:r w:rsidR="00BA1889" w:rsidRPr="004930D7">
        <w:rPr>
          <w:rFonts w:ascii="Arial" w:eastAsia="Calibri" w:hAnsi="Arial" w:cs="Arial"/>
          <w:sz w:val="22"/>
        </w:rPr>
        <w:t xml:space="preserve"> como </w:t>
      </w:r>
      <w:r w:rsidR="0089576F">
        <w:rPr>
          <w:rFonts w:ascii="Arial" w:hAnsi="Arial" w:cs="Arial"/>
          <w:sz w:val="22"/>
        </w:rPr>
        <w:t>la actividad</w:t>
      </w:r>
      <w:r w:rsidR="00BA1889" w:rsidRPr="004930D7">
        <w:rPr>
          <w:rFonts w:ascii="Arial" w:hAnsi="Arial" w:cs="Arial"/>
          <w:sz w:val="22"/>
        </w:rPr>
        <w:t xml:space="preserve"> «</w:t>
      </w:r>
      <w:r w:rsidR="002D27CC" w:rsidRPr="002D27CC">
        <w:rPr>
          <w:rFonts w:ascii="Arial" w:hAnsi="Arial" w:cs="Arial"/>
          <w:sz w:val="22"/>
        </w:rPr>
        <w:t>6.1 construcción o mejoramiento o rehabilitación de vías urbanas</w:t>
      </w:r>
      <w:r w:rsidR="00BA1889" w:rsidRPr="004930D7">
        <w:rPr>
          <w:rFonts w:ascii="Arial" w:hAnsi="Arial" w:cs="Arial"/>
          <w:sz w:val="22"/>
        </w:rPr>
        <w:t>»,</w:t>
      </w:r>
      <w:r w:rsidRPr="004930D7">
        <w:rPr>
          <w:rFonts w:ascii="Arial" w:eastAsia="Calibri" w:hAnsi="Arial" w:cs="Arial"/>
          <w:sz w:val="22"/>
        </w:rPr>
        <w:t xml:space="preserve"> la entidad estatal debe identificar </w:t>
      </w:r>
      <w:r w:rsidR="00BA1889" w:rsidRPr="004930D7">
        <w:rPr>
          <w:rFonts w:ascii="Arial" w:eastAsia="Calibri" w:hAnsi="Arial" w:cs="Arial"/>
          <w:sz w:val="22"/>
        </w:rPr>
        <w:t xml:space="preserve">la </w:t>
      </w:r>
      <w:r w:rsidR="002D27CC">
        <w:rPr>
          <w:rFonts w:ascii="Arial" w:eastAsia="Calibri" w:hAnsi="Arial" w:cs="Arial"/>
          <w:sz w:val="22"/>
        </w:rPr>
        <w:t>experiencia específica</w:t>
      </w:r>
      <w:r w:rsidR="00BA1889" w:rsidRPr="004930D7">
        <w:rPr>
          <w:rFonts w:ascii="Arial" w:eastAsia="Calibri" w:hAnsi="Arial" w:cs="Arial"/>
          <w:sz w:val="22"/>
        </w:rPr>
        <w:t xml:space="preserve"> </w:t>
      </w:r>
      <w:r w:rsidRPr="004930D7">
        <w:rPr>
          <w:rFonts w:ascii="Arial" w:eastAsia="Calibri" w:hAnsi="Arial" w:cs="Arial"/>
          <w:sz w:val="22"/>
        </w:rPr>
        <w:t>definida en la «Matriz 1 – Experiencia»</w:t>
      </w:r>
      <w:r w:rsidR="009403BC" w:rsidRPr="004930D7">
        <w:rPr>
          <w:rFonts w:ascii="Arial" w:eastAsia="Calibri" w:hAnsi="Arial" w:cs="Arial"/>
          <w:sz w:val="22"/>
        </w:rPr>
        <w:t>. Además,</w:t>
      </w:r>
      <w:r w:rsidRPr="004930D7">
        <w:rPr>
          <w:rFonts w:ascii="Arial" w:eastAsia="Calibri" w:hAnsi="Arial" w:cs="Arial"/>
          <w:sz w:val="22"/>
        </w:rPr>
        <w:t xml:space="preserve"> debe tener en cuenta los conceptos propios de la ingeniería civil y los definidos </w:t>
      </w:r>
      <w:r w:rsidR="0041397B">
        <w:rPr>
          <w:rFonts w:ascii="Arial" w:eastAsia="Calibri" w:hAnsi="Arial" w:cs="Arial"/>
          <w:sz w:val="22"/>
        </w:rPr>
        <w:t>en el</w:t>
      </w:r>
      <w:r w:rsidR="0041397B" w:rsidRPr="004930D7">
        <w:rPr>
          <w:rFonts w:ascii="Arial" w:eastAsia="Calibri" w:hAnsi="Arial" w:cs="Arial"/>
          <w:sz w:val="22"/>
        </w:rPr>
        <w:t xml:space="preserve"> </w:t>
      </w:r>
      <w:r w:rsidRPr="004930D7">
        <w:rPr>
          <w:rFonts w:ascii="Arial" w:eastAsia="Calibri" w:hAnsi="Arial" w:cs="Arial"/>
          <w:sz w:val="22"/>
        </w:rPr>
        <w:t xml:space="preserve">«Anexo 3 – Glosario», con el fin de verificar si el objeto </w:t>
      </w:r>
      <w:r w:rsidR="002D27CC">
        <w:rPr>
          <w:rFonts w:ascii="Arial" w:eastAsia="Calibri" w:hAnsi="Arial" w:cs="Arial"/>
          <w:sz w:val="22"/>
        </w:rPr>
        <w:t>del contrato que se presenta como experiencia específica corresponde a lo señalado en dicha matriz.</w:t>
      </w:r>
    </w:p>
    <w:p w14:paraId="4C9FE34C" w14:textId="39AD79CD" w:rsidR="00A154D8" w:rsidRDefault="00A154D8" w:rsidP="00E863E3">
      <w:pPr>
        <w:spacing w:after="120" w:line="276" w:lineRule="auto"/>
        <w:ind w:firstLine="709"/>
        <w:jc w:val="both"/>
        <w:rPr>
          <w:rFonts w:ascii="Arial" w:hAnsi="Arial" w:cs="Arial"/>
          <w:sz w:val="22"/>
          <w:shd w:val="clear" w:color="auto" w:fill="FFFFFF"/>
        </w:rPr>
      </w:pPr>
      <w:r w:rsidRPr="004930D7">
        <w:rPr>
          <w:rFonts w:ascii="Arial" w:eastAsia="Calibri" w:hAnsi="Arial" w:cs="Arial"/>
          <w:sz w:val="22"/>
        </w:rPr>
        <w:t>E</w:t>
      </w:r>
      <w:r w:rsidRPr="004930D7">
        <w:rPr>
          <w:rFonts w:ascii="Arial" w:hAnsi="Arial" w:cs="Arial"/>
          <w:sz w:val="22"/>
          <w:shd w:val="clear" w:color="auto" w:fill="FFFFFF"/>
        </w:rPr>
        <w:t>l «Anexo 3 – Glosario» incluye la siguiente nota:</w:t>
      </w:r>
      <w:r w:rsidRPr="004930D7">
        <w:rPr>
          <w:rStyle w:val="normaltextrun"/>
          <w:rFonts w:ascii="Arial" w:hAnsi="Arial" w:cs="Arial"/>
          <w:color w:val="000000"/>
          <w:sz w:val="22"/>
          <w:shd w:val="clear" w:color="auto" w:fill="FFFFFF"/>
          <w:lang w:val="es-ES"/>
        </w:rPr>
        <w:t xml:space="preserve"> </w:t>
      </w:r>
      <w:r w:rsidRPr="00E863E3">
        <w:rPr>
          <w:rFonts w:ascii="Arial" w:eastAsia="Arial" w:hAnsi="Arial" w:cs="Times New Roman"/>
          <w:sz w:val="22"/>
          <w:highlight w:val="lightGray"/>
          <w:lang w:val="es-CO"/>
        </w:rPr>
        <w:t>[La Entidad deberá incluir en orden alfabético los conceptos adicionales que aplican al proceso de selección que no estén incluidos en el presente anexo, con su respectiva fuente]</w:t>
      </w:r>
      <w:r w:rsidRPr="00E25414">
        <w:rPr>
          <w:rFonts w:ascii="Arial" w:eastAsia="Arial" w:hAnsi="Arial" w:cs="Times New Roman"/>
          <w:sz w:val="22"/>
          <w:lang w:val="es-CO"/>
        </w:rPr>
        <w:t>.</w:t>
      </w:r>
      <w:r w:rsidRPr="004930D7">
        <w:rPr>
          <w:rFonts w:ascii="Arial" w:eastAsia="Arial" w:hAnsi="Arial" w:cs="Times New Roman"/>
          <w:sz w:val="20"/>
          <w:lang w:val="es-CO"/>
        </w:rPr>
        <w:t xml:space="preserve"> </w:t>
      </w:r>
      <w:r w:rsidRPr="004930D7">
        <w:rPr>
          <w:rFonts w:ascii="Arial" w:hAnsi="Arial" w:cs="Arial"/>
          <w:sz w:val="22"/>
          <w:shd w:val="clear" w:color="auto" w:fill="FFFFFF"/>
        </w:rPr>
        <w:t xml:space="preserve">Por tanto, la entidad puede incluir conceptos adicionales para aquellas actividades a contratar no definidas en el glosario, pero si la actividad se encuentra definida, no es posible modificar la </w:t>
      </w:r>
      <w:r w:rsidR="00D9241E">
        <w:rPr>
          <w:rFonts w:ascii="Arial" w:hAnsi="Arial" w:cs="Arial"/>
          <w:sz w:val="22"/>
          <w:shd w:val="clear" w:color="auto" w:fill="FFFFFF"/>
        </w:rPr>
        <w:t>noción</w:t>
      </w:r>
      <w:r w:rsidRPr="004930D7">
        <w:rPr>
          <w:rFonts w:ascii="Arial" w:hAnsi="Arial" w:cs="Arial"/>
          <w:sz w:val="22"/>
          <w:shd w:val="clear" w:color="auto" w:fill="FFFFFF"/>
        </w:rPr>
        <w:t xml:space="preserve">, la cual corresponde con lo señalado en la </w:t>
      </w:r>
      <w:r w:rsidRPr="004930D7">
        <w:rPr>
          <w:rFonts w:ascii="Arial" w:eastAsia="Calibri" w:hAnsi="Arial" w:cs="Arial"/>
          <w:sz w:val="22"/>
        </w:rPr>
        <w:t>«Matriz 1 – Experiencia» con base en la cual se debe verificar la experiencia, y esta tiene concordancia con l</w:t>
      </w:r>
      <w:r w:rsidR="00B9749B" w:rsidRPr="004930D7">
        <w:rPr>
          <w:rFonts w:ascii="Arial" w:eastAsia="Calibri" w:hAnsi="Arial" w:cs="Arial"/>
          <w:sz w:val="22"/>
        </w:rPr>
        <w:t>a</w:t>
      </w:r>
      <w:r w:rsidRPr="004930D7">
        <w:rPr>
          <w:rFonts w:ascii="Arial" w:eastAsia="Calibri" w:hAnsi="Arial" w:cs="Arial"/>
          <w:sz w:val="22"/>
        </w:rPr>
        <w:t xml:space="preserve"> definición dispuesta en el </w:t>
      </w:r>
      <w:r w:rsidRPr="004930D7">
        <w:rPr>
          <w:rFonts w:ascii="Arial" w:hAnsi="Arial" w:cs="Arial"/>
          <w:sz w:val="22"/>
          <w:shd w:val="clear" w:color="auto" w:fill="FFFFFF"/>
        </w:rPr>
        <w:t>«Anexo 3 – Glosario», regido por el principio de inalterabilidad de los documentos tipo.</w:t>
      </w:r>
    </w:p>
    <w:p w14:paraId="36B7D0E7" w14:textId="7CBD75BC" w:rsidR="00D9241E" w:rsidRPr="004930D7" w:rsidRDefault="00D9241E" w:rsidP="00A154D8">
      <w:pPr>
        <w:spacing w:line="276" w:lineRule="auto"/>
        <w:ind w:firstLine="709"/>
        <w:jc w:val="both"/>
        <w:rPr>
          <w:rFonts w:ascii="Arial" w:hAnsi="Arial" w:cs="Arial"/>
          <w:sz w:val="22"/>
          <w:shd w:val="clear" w:color="auto" w:fill="FFFFFF"/>
        </w:rPr>
      </w:pPr>
      <w:r>
        <w:rPr>
          <w:rFonts w:ascii="Arial" w:hAnsi="Arial" w:cs="Arial"/>
          <w:sz w:val="22"/>
          <w:shd w:val="clear" w:color="auto" w:fill="FFFFFF"/>
        </w:rPr>
        <w:t xml:space="preserve">En tal sentido, las entidades estatales, conforme a los parámetros anteriores, deben verificar, en concreto, si los contratos aportados por los proponentes en los procedimientos de selección, de acuerdo con su alcance particular, se enmarcan en la experiencia general y específica exigida en el pliego de condiciones, el cual se debe elaborar con estricta sujeción a la Matriz 1 – Experiencia. </w:t>
      </w:r>
    </w:p>
    <w:p w14:paraId="19E3AC23" w14:textId="77777777" w:rsidR="00A154D8" w:rsidRPr="004930D7" w:rsidRDefault="00A154D8" w:rsidP="009C2C65">
      <w:pPr>
        <w:ind w:left="709" w:right="709"/>
        <w:jc w:val="both"/>
        <w:rPr>
          <w:rFonts w:ascii="Arial" w:eastAsia="Calibri" w:hAnsi="Arial" w:cs="Arial"/>
          <w:sz w:val="21"/>
          <w:szCs w:val="21"/>
        </w:rPr>
      </w:pPr>
    </w:p>
    <w:p w14:paraId="1129A289" w14:textId="68F583D0" w:rsidR="009C2C65" w:rsidRPr="004930D7" w:rsidRDefault="00513B4D" w:rsidP="009C2C65">
      <w:pPr>
        <w:ind w:left="709" w:right="709"/>
        <w:jc w:val="both"/>
        <w:rPr>
          <w:rFonts w:ascii="Arial" w:eastAsia="Calibri" w:hAnsi="Arial" w:cs="Arial"/>
          <w:sz w:val="21"/>
          <w:szCs w:val="21"/>
        </w:rPr>
      </w:pPr>
      <w:r w:rsidRPr="00513B4D">
        <w:rPr>
          <w:rFonts w:ascii="Arial" w:eastAsia="Calibri" w:hAnsi="Arial" w:cs="Arial"/>
          <w:sz w:val="21"/>
          <w:szCs w:val="21"/>
        </w:rPr>
        <w:t xml:space="preserve">»2. </w:t>
      </w:r>
      <w:proofErr w:type="gramStart"/>
      <w:r w:rsidRPr="00513B4D">
        <w:rPr>
          <w:rFonts w:ascii="Arial" w:eastAsia="Calibri" w:hAnsi="Arial" w:cs="Arial"/>
          <w:sz w:val="21"/>
          <w:szCs w:val="21"/>
        </w:rPr>
        <w:t>Para la Audiencia de adjudicación en caso de que la apertura de los sobres económicos se inicie antes de las 3 p.m. pero no se finalice antes de esta hora por cualquier tipo de circunstancia que se pueda presentar (sic) se debe suspender la audiencia?</w:t>
      </w:r>
      <w:proofErr w:type="gramEnd"/>
      <w:r w:rsidRPr="00513B4D">
        <w:rPr>
          <w:rFonts w:ascii="Arial" w:eastAsia="Calibri" w:hAnsi="Arial" w:cs="Arial"/>
          <w:sz w:val="21"/>
          <w:szCs w:val="21"/>
        </w:rPr>
        <w:t xml:space="preserve"> (sic) terminar la apertura de los sobres? (sic) y cuál TRM aplicaría entonces para la elección del método de evaluación?»</w:t>
      </w:r>
    </w:p>
    <w:p w14:paraId="25FF0EF0" w14:textId="44ECD040" w:rsidR="009C2C65" w:rsidRPr="004930D7" w:rsidRDefault="009C2C65" w:rsidP="009C2C65">
      <w:pPr>
        <w:ind w:left="709" w:right="709"/>
        <w:jc w:val="both"/>
        <w:rPr>
          <w:rFonts w:ascii="Arial" w:eastAsia="Calibri" w:hAnsi="Arial" w:cs="Arial"/>
          <w:sz w:val="21"/>
          <w:szCs w:val="21"/>
        </w:rPr>
      </w:pPr>
    </w:p>
    <w:p w14:paraId="27AC8B85" w14:textId="1175B884" w:rsidR="00967AFB" w:rsidRPr="004930D7" w:rsidRDefault="00967AFB" w:rsidP="00E863E3">
      <w:pPr>
        <w:tabs>
          <w:tab w:val="left" w:pos="6663"/>
        </w:tabs>
        <w:spacing w:after="120" w:line="276" w:lineRule="auto"/>
        <w:jc w:val="both"/>
        <w:rPr>
          <w:rFonts w:ascii="Arial" w:eastAsia="Arial" w:hAnsi="Arial" w:cs="Arial"/>
          <w:sz w:val="22"/>
          <w:lang w:val="es-ES" w:eastAsia="es-ES" w:bidi="es-ES"/>
        </w:rPr>
      </w:pPr>
      <w:r w:rsidRPr="004930D7">
        <w:rPr>
          <w:rFonts w:ascii="Arial" w:eastAsia="Arial" w:hAnsi="Arial" w:cs="Arial"/>
          <w:sz w:val="22"/>
          <w:lang w:val="es-ES" w:eastAsia="es-ES" w:bidi="es-ES"/>
        </w:rPr>
        <w:lastRenderedPageBreak/>
        <w:t>Con base en las consideraciones expuestas, se procede a responder la pregunta formulada, recorda</w:t>
      </w:r>
      <w:r w:rsidR="00D03A39">
        <w:rPr>
          <w:rFonts w:ascii="Arial" w:eastAsia="Arial" w:hAnsi="Arial" w:cs="Arial"/>
          <w:sz w:val="22"/>
          <w:lang w:val="es-ES" w:eastAsia="es-ES" w:bidi="es-ES"/>
        </w:rPr>
        <w:t>ndo previamente</w:t>
      </w:r>
      <w:r w:rsidRPr="004930D7">
        <w:rPr>
          <w:rFonts w:ascii="Arial" w:eastAsia="Arial" w:hAnsi="Arial" w:cs="Arial"/>
          <w:sz w:val="22"/>
          <w:lang w:val="es-ES" w:eastAsia="es-ES" w:bidi="es-ES"/>
        </w:rPr>
        <w:t xml:space="preserve"> que los conceptos emitidos por la Agencia Nacional de Contratación Pública –Colombia Compra Eficiente– son orientaciones de carácter general. Por tanto, no suponen la solución directa de controversias específicas o de preguntas que pretendan una asesoría para determinar qué decisiones debe adoptar la entidad contratante o los proponentes</w:t>
      </w:r>
      <w:r w:rsidR="00D03A39">
        <w:rPr>
          <w:rFonts w:ascii="Arial" w:eastAsia="Arial" w:hAnsi="Arial" w:cs="Arial"/>
          <w:sz w:val="22"/>
          <w:lang w:val="es-ES" w:eastAsia="es-ES" w:bidi="es-ES"/>
        </w:rPr>
        <w:t xml:space="preserve"> en casos concretos</w:t>
      </w:r>
      <w:r w:rsidRPr="004930D7">
        <w:rPr>
          <w:rFonts w:ascii="Arial" w:eastAsia="Arial" w:hAnsi="Arial" w:cs="Arial"/>
          <w:sz w:val="22"/>
          <w:lang w:val="es-ES" w:eastAsia="es-ES" w:bidi="es-ES"/>
        </w:rPr>
        <w:t>, lo cual debe ser definido por los participantes de la contratación pública con base en la regulación aplicable.</w:t>
      </w:r>
    </w:p>
    <w:p w14:paraId="10C3084A" w14:textId="71E0D3AC" w:rsidR="00564BBB" w:rsidRDefault="00564BBB" w:rsidP="00564BBB">
      <w:pPr>
        <w:tabs>
          <w:tab w:val="left" w:pos="6663"/>
        </w:tabs>
        <w:spacing w:after="120" w:line="276" w:lineRule="auto"/>
        <w:ind w:firstLine="709"/>
        <w:jc w:val="both"/>
        <w:rPr>
          <w:rFonts w:ascii="Arial" w:eastAsia="Calibri" w:hAnsi="Arial" w:cs="Arial"/>
          <w:sz w:val="22"/>
        </w:rPr>
      </w:pPr>
      <w:r w:rsidRPr="004930D7">
        <w:rPr>
          <w:rFonts w:ascii="Arial" w:eastAsia="Calibri" w:hAnsi="Arial" w:cs="Arial"/>
          <w:sz w:val="22"/>
        </w:rPr>
        <w:t xml:space="preserve">El </w:t>
      </w:r>
      <w:r w:rsidR="00D03A39">
        <w:rPr>
          <w:rFonts w:ascii="Arial" w:eastAsia="Calibri" w:hAnsi="Arial" w:cs="Arial"/>
          <w:sz w:val="22"/>
        </w:rPr>
        <w:t>«d</w:t>
      </w:r>
      <w:r w:rsidRPr="004930D7">
        <w:rPr>
          <w:rFonts w:ascii="Arial" w:eastAsia="Calibri" w:hAnsi="Arial" w:cs="Arial"/>
          <w:sz w:val="22"/>
        </w:rPr>
        <w:t xml:space="preserve">ocumento </w:t>
      </w:r>
      <w:r w:rsidR="00D03A39">
        <w:rPr>
          <w:rFonts w:ascii="Arial" w:eastAsia="Calibri" w:hAnsi="Arial" w:cs="Arial"/>
          <w:sz w:val="22"/>
        </w:rPr>
        <w:t>b</w:t>
      </w:r>
      <w:r w:rsidRPr="004930D7">
        <w:rPr>
          <w:rFonts w:ascii="Arial" w:eastAsia="Calibri" w:hAnsi="Arial" w:cs="Arial"/>
          <w:sz w:val="22"/>
        </w:rPr>
        <w:t>ase</w:t>
      </w:r>
      <w:r w:rsidR="00D03A39">
        <w:rPr>
          <w:rFonts w:ascii="Arial" w:eastAsia="Calibri" w:hAnsi="Arial" w:cs="Arial"/>
          <w:sz w:val="22"/>
        </w:rPr>
        <w:t>»</w:t>
      </w:r>
      <w:r w:rsidRPr="004930D7">
        <w:rPr>
          <w:rFonts w:ascii="Arial" w:eastAsia="Calibri" w:hAnsi="Arial" w:cs="Arial"/>
          <w:sz w:val="22"/>
        </w:rPr>
        <w:t xml:space="preserve"> de los </w:t>
      </w:r>
      <w:r w:rsidR="00D03A39">
        <w:rPr>
          <w:rFonts w:ascii="Arial" w:eastAsia="Calibri" w:hAnsi="Arial" w:cs="Arial"/>
          <w:sz w:val="22"/>
        </w:rPr>
        <w:t>d</w:t>
      </w:r>
      <w:r w:rsidRPr="004930D7">
        <w:rPr>
          <w:rFonts w:ascii="Arial" w:eastAsia="Calibri" w:hAnsi="Arial" w:cs="Arial"/>
          <w:sz w:val="22"/>
        </w:rPr>
        <w:t xml:space="preserve">ocumentos </w:t>
      </w:r>
      <w:r w:rsidR="00D03A39">
        <w:rPr>
          <w:rFonts w:ascii="Arial" w:eastAsia="Calibri" w:hAnsi="Arial" w:cs="Arial"/>
          <w:sz w:val="22"/>
        </w:rPr>
        <w:t>t</w:t>
      </w:r>
      <w:r w:rsidRPr="004930D7">
        <w:rPr>
          <w:rFonts w:ascii="Arial" w:eastAsia="Calibri" w:hAnsi="Arial" w:cs="Arial"/>
          <w:sz w:val="22"/>
        </w:rPr>
        <w:t xml:space="preserve">ipo </w:t>
      </w:r>
      <w:r w:rsidR="00D03A39">
        <w:rPr>
          <w:rFonts w:ascii="Arial" w:eastAsia="Calibri" w:hAnsi="Arial" w:cs="Arial"/>
          <w:sz w:val="22"/>
        </w:rPr>
        <w:t xml:space="preserve">de licitación </w:t>
      </w:r>
      <w:r w:rsidRPr="004930D7">
        <w:rPr>
          <w:rFonts w:ascii="Arial" w:eastAsia="Calibri" w:hAnsi="Arial" w:cs="Arial"/>
          <w:sz w:val="22"/>
        </w:rPr>
        <w:t xml:space="preserve">Versión </w:t>
      </w:r>
      <w:r w:rsidR="00960E34" w:rsidRPr="004930D7">
        <w:rPr>
          <w:rFonts w:ascii="Arial" w:eastAsia="Calibri" w:hAnsi="Arial" w:cs="Arial"/>
          <w:sz w:val="22"/>
        </w:rPr>
        <w:t>3</w:t>
      </w:r>
      <w:r w:rsidRPr="004930D7">
        <w:rPr>
          <w:rFonts w:ascii="Arial" w:eastAsia="Calibri" w:hAnsi="Arial" w:cs="Arial"/>
          <w:sz w:val="22"/>
        </w:rPr>
        <w:t xml:space="preserve"> señala que la entidad debe dar apertura al sobre No. 2 en un mismo día</w:t>
      </w:r>
      <w:r w:rsidR="00960E34" w:rsidRPr="004930D7">
        <w:rPr>
          <w:rFonts w:ascii="Arial" w:eastAsia="Calibri" w:hAnsi="Arial" w:cs="Arial"/>
          <w:sz w:val="22"/>
        </w:rPr>
        <w:t xml:space="preserve"> y hasta antes de las 3:00 p.m.</w:t>
      </w:r>
      <w:r w:rsidRPr="004930D7">
        <w:rPr>
          <w:rFonts w:ascii="Arial" w:eastAsia="Calibri" w:hAnsi="Arial" w:cs="Arial"/>
          <w:sz w:val="22"/>
        </w:rPr>
        <w:t xml:space="preserve">, y también debe definir el método de ponderación de la oferta económica de acuerdo con la TRM </w:t>
      </w:r>
      <w:r w:rsidR="00D03A39">
        <w:rPr>
          <w:rFonts w:ascii="Arial" w:eastAsia="Calibri" w:hAnsi="Arial" w:cs="Arial"/>
          <w:sz w:val="22"/>
        </w:rPr>
        <w:t>que rija el</w:t>
      </w:r>
      <w:r w:rsidR="00D03A39" w:rsidRPr="004930D7">
        <w:rPr>
          <w:rFonts w:ascii="Arial" w:eastAsia="Calibri" w:hAnsi="Arial" w:cs="Arial"/>
          <w:sz w:val="22"/>
        </w:rPr>
        <w:t xml:space="preserve"> </w:t>
      </w:r>
      <w:r w:rsidRPr="004930D7">
        <w:rPr>
          <w:rFonts w:ascii="Arial" w:eastAsia="Calibri" w:hAnsi="Arial" w:cs="Arial"/>
          <w:sz w:val="22"/>
        </w:rPr>
        <w:t>día siguiente a esta actividad</w:t>
      </w:r>
      <w:r w:rsidR="00D03A39">
        <w:rPr>
          <w:rFonts w:ascii="Arial" w:eastAsia="Calibri" w:hAnsi="Arial" w:cs="Arial"/>
          <w:sz w:val="22"/>
        </w:rPr>
        <w:t xml:space="preserve">, </w:t>
      </w:r>
      <w:r w:rsidRPr="004930D7">
        <w:rPr>
          <w:rFonts w:ascii="Arial" w:eastAsia="Calibri" w:hAnsi="Arial" w:cs="Arial"/>
          <w:sz w:val="22"/>
        </w:rPr>
        <w:t>la cual es certificada por la Superintendencia Financiera de Colombia.</w:t>
      </w:r>
    </w:p>
    <w:p w14:paraId="1C8CF16F" w14:textId="1411FC1D" w:rsidR="009C2C65" w:rsidRPr="00E863E3" w:rsidRDefault="00D03A39" w:rsidP="00E863E3">
      <w:pPr>
        <w:tabs>
          <w:tab w:val="left" w:pos="709"/>
        </w:tabs>
        <w:spacing w:after="120" w:line="276" w:lineRule="auto"/>
        <w:jc w:val="both"/>
        <w:rPr>
          <w:rFonts w:ascii="Arial" w:eastAsia="Arial" w:hAnsi="Arial" w:cs="Arial"/>
          <w:sz w:val="22"/>
          <w:lang w:val="es-ES" w:eastAsia="es-ES" w:bidi="es-ES"/>
        </w:rPr>
      </w:pPr>
      <w:r>
        <w:rPr>
          <w:rFonts w:ascii="Arial" w:eastAsia="Calibri" w:hAnsi="Arial" w:cs="Arial"/>
          <w:sz w:val="22"/>
        </w:rPr>
        <w:tab/>
        <w:t xml:space="preserve">La entidad antes de comenzar la apertura de los sobres económicos debe prever razonablemente si alcanzará a abrirlos todos antes de las 3:00 pm., de manera </w:t>
      </w:r>
      <w:proofErr w:type="gramStart"/>
      <w:r>
        <w:rPr>
          <w:rFonts w:ascii="Arial" w:eastAsia="Calibri" w:hAnsi="Arial" w:cs="Arial"/>
          <w:sz w:val="22"/>
        </w:rPr>
        <w:t>que</w:t>
      </w:r>
      <w:proofErr w:type="gramEnd"/>
      <w:r>
        <w:rPr>
          <w:rFonts w:ascii="Arial" w:eastAsia="Calibri" w:hAnsi="Arial" w:cs="Arial"/>
          <w:sz w:val="22"/>
        </w:rPr>
        <w:t xml:space="preserve"> si considera que no podrá abrirlos todos antes de esa hora, puede optar por suspender la audiencia para reiniciarla otro día, de manera que logre cumplir con la exigencia de iniciar y finalizar </w:t>
      </w:r>
      <w:r w:rsidRPr="00686994">
        <w:rPr>
          <w:rFonts w:ascii="Arial" w:eastAsia="Calibri" w:hAnsi="Arial" w:cs="Arial"/>
          <w:sz w:val="22"/>
        </w:rPr>
        <w:t xml:space="preserve">la apertura de </w:t>
      </w:r>
      <w:r>
        <w:rPr>
          <w:rFonts w:ascii="Arial" w:eastAsia="Calibri" w:hAnsi="Arial" w:cs="Arial"/>
          <w:sz w:val="22"/>
        </w:rPr>
        <w:t xml:space="preserve">todos </w:t>
      </w:r>
      <w:r w:rsidRPr="00686994">
        <w:rPr>
          <w:rFonts w:ascii="Arial" w:eastAsia="Calibri" w:hAnsi="Arial" w:cs="Arial"/>
          <w:sz w:val="22"/>
        </w:rPr>
        <w:t>los sobres antes de las 3:00 pm</w:t>
      </w:r>
      <w:r>
        <w:rPr>
          <w:rFonts w:ascii="Arial" w:eastAsia="Calibri" w:hAnsi="Arial" w:cs="Arial"/>
          <w:sz w:val="22"/>
        </w:rPr>
        <w:t>.</w:t>
      </w:r>
      <w:r w:rsidRPr="00686994">
        <w:rPr>
          <w:rFonts w:ascii="Arial" w:eastAsia="Calibri" w:hAnsi="Arial" w:cs="Arial"/>
          <w:sz w:val="22"/>
        </w:rPr>
        <w:t xml:space="preserve"> del día respectivo</w:t>
      </w:r>
      <w:r>
        <w:rPr>
          <w:rFonts w:ascii="Arial" w:eastAsia="Calibri" w:hAnsi="Arial" w:cs="Arial"/>
          <w:sz w:val="22"/>
        </w:rPr>
        <w:t>. En efecto, el documento base establece esta posibilidad: «[...]</w:t>
      </w:r>
      <w:r w:rsidRPr="00686994">
        <w:t xml:space="preserve"> </w:t>
      </w:r>
      <w:r w:rsidRPr="00686994">
        <w:rPr>
          <w:rFonts w:ascii="Arial" w:eastAsia="Calibri" w:hAnsi="Arial" w:cs="Arial"/>
          <w:sz w:val="22"/>
        </w:rPr>
        <w:t>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r w:rsidRPr="00E863E3">
        <w:rPr>
          <w:rFonts w:ascii="Arial" w:eastAsia="Arial" w:hAnsi="Arial" w:cs="Arial"/>
          <w:sz w:val="22"/>
          <w:lang w:val="es-ES" w:eastAsia="es-ES" w:bidi="es-ES"/>
        </w:rPr>
        <w:t>».</w:t>
      </w:r>
      <w:r w:rsidR="008D3E76" w:rsidRPr="00E863E3">
        <w:rPr>
          <w:rFonts w:ascii="Arial" w:eastAsia="Arial" w:hAnsi="Arial" w:cs="Arial"/>
          <w:sz w:val="22"/>
          <w:lang w:val="es-ES" w:eastAsia="es-ES" w:bidi="es-ES"/>
        </w:rPr>
        <w:t xml:space="preserve"> </w:t>
      </w:r>
    </w:p>
    <w:p w14:paraId="1F9E7A68" w14:textId="47D2686B" w:rsidR="00D03A39" w:rsidRPr="00E863E3" w:rsidRDefault="00D03A39" w:rsidP="00E863E3">
      <w:pPr>
        <w:tabs>
          <w:tab w:val="left" w:pos="709"/>
        </w:tabs>
        <w:spacing w:after="120" w:line="276" w:lineRule="auto"/>
        <w:jc w:val="both"/>
        <w:rPr>
          <w:rFonts w:ascii="Arial" w:eastAsia="Arial" w:hAnsi="Arial" w:cs="Arial"/>
          <w:sz w:val="22"/>
          <w:lang w:val="es-ES" w:eastAsia="es-ES" w:bidi="es-ES"/>
        </w:rPr>
      </w:pPr>
      <w:r>
        <w:rPr>
          <w:rFonts w:ascii="Arial" w:eastAsia="Arial" w:hAnsi="Arial" w:cs="Arial"/>
          <w:sz w:val="22"/>
          <w:lang w:val="es-ES" w:eastAsia="es-ES" w:bidi="es-ES"/>
        </w:rPr>
        <w:tab/>
        <w:t xml:space="preserve">Los lineamientos anteriores constituyen la forma adecuada como las entidades deben aplicar la regulación establecida en los documentos tipo, donde se prevén dificultades como la advertida anteriormente; de esta manera, supuestos como el expuesto por la peticionaria no deberían presentarse. En tal sentido, frente a dichas </w:t>
      </w:r>
      <w:r w:rsidR="00B549A2">
        <w:rPr>
          <w:rFonts w:ascii="Arial" w:eastAsia="Arial" w:hAnsi="Arial" w:cs="Arial"/>
          <w:sz w:val="22"/>
          <w:lang w:val="es-ES" w:eastAsia="es-ES" w:bidi="es-ES"/>
        </w:rPr>
        <w:t>problemáticas</w:t>
      </w:r>
      <w:r>
        <w:rPr>
          <w:rFonts w:ascii="Arial" w:eastAsia="Arial" w:hAnsi="Arial" w:cs="Arial"/>
          <w:sz w:val="22"/>
          <w:lang w:val="es-ES" w:eastAsia="es-ES" w:bidi="es-ES"/>
        </w:rPr>
        <w:t xml:space="preserve"> cada entidad estatal debe definir la solución más adecuada de acuerdo con la regulación de los documento</w:t>
      </w:r>
      <w:r w:rsidR="00646D7F">
        <w:rPr>
          <w:rFonts w:ascii="Arial" w:eastAsia="Arial" w:hAnsi="Arial" w:cs="Arial"/>
          <w:sz w:val="22"/>
          <w:lang w:val="es-ES" w:eastAsia="es-ES" w:bidi="es-ES"/>
        </w:rPr>
        <w:t>s</w:t>
      </w:r>
      <w:r>
        <w:rPr>
          <w:rFonts w:ascii="Arial" w:eastAsia="Arial" w:hAnsi="Arial" w:cs="Arial"/>
          <w:sz w:val="22"/>
          <w:lang w:val="es-ES" w:eastAsia="es-ES" w:bidi="es-ES"/>
        </w:rPr>
        <w:t xml:space="preserve"> tipo, donde se establece</w:t>
      </w:r>
      <w:r w:rsidR="00646D7F">
        <w:rPr>
          <w:rFonts w:ascii="Arial" w:eastAsia="Arial" w:hAnsi="Arial" w:cs="Arial"/>
          <w:sz w:val="22"/>
          <w:lang w:val="es-ES" w:eastAsia="es-ES" w:bidi="es-ES"/>
        </w:rPr>
        <w:t xml:space="preserve">, entre otros aspectos, en el numeral 4.1.1. que </w:t>
      </w:r>
      <w:r w:rsidR="00B549A2">
        <w:rPr>
          <w:rFonts w:ascii="Arial" w:eastAsia="Arial" w:hAnsi="Arial" w:cs="Arial"/>
          <w:sz w:val="22"/>
          <w:lang w:val="es-ES" w:eastAsia="es-ES" w:bidi="es-ES"/>
        </w:rPr>
        <w:t>«</w:t>
      </w:r>
      <w:r w:rsidR="00B549A2" w:rsidRPr="00E863E3">
        <w:rPr>
          <w:rFonts w:ascii="Arial" w:eastAsia="Arial" w:hAnsi="Arial" w:cs="Arial"/>
          <w:sz w:val="22"/>
          <w:lang w:val="es-ES" w:eastAsia="es-ES" w:bidi="es-ES"/>
        </w:rPr>
        <w:t xml:space="preserve">El día de la audiencia efectiva de adjudicación, la entidad iniciará respondiendo y resolviendo las observaciones presentadas al informe de evaluación, de conformidad con el numeral 2.6. </w:t>
      </w:r>
      <w:r w:rsidR="00B549A2" w:rsidRPr="00E863E3">
        <w:rPr>
          <w:rFonts w:ascii="Arial" w:eastAsia="Arial" w:hAnsi="Arial" w:cs="Arial"/>
          <w:i/>
          <w:iCs/>
          <w:sz w:val="22"/>
          <w:lang w:val="es-ES" w:eastAsia="es-ES" w:bidi="es-ES"/>
        </w:rPr>
        <w:t>Acto seguido, la entidad iniciará la apertura de los sobres de las ofertas económicas y definirá el método de ponderación de las propuestas de acuerdo con la TRM que rija al día hábil siguiente</w:t>
      </w:r>
      <w:r w:rsidR="00B549A2" w:rsidRPr="00E863E3">
        <w:rPr>
          <w:rFonts w:ascii="Arial" w:eastAsia="Arial" w:hAnsi="Arial" w:cs="Arial"/>
          <w:sz w:val="22"/>
          <w:lang w:val="es-ES" w:eastAsia="es-ES" w:bidi="es-ES"/>
        </w:rPr>
        <w:t xml:space="preserve">; sin embargo, la entidad debe finalizar la apertura de los sobres económicos hasta antes de las 3:00 pm», además, que </w:t>
      </w:r>
      <w:r w:rsidR="00646D7F">
        <w:rPr>
          <w:rFonts w:ascii="Arial" w:eastAsia="Arial" w:hAnsi="Arial" w:cs="Arial"/>
          <w:sz w:val="22"/>
          <w:lang w:val="es-ES" w:eastAsia="es-ES" w:bidi="es-ES"/>
        </w:rPr>
        <w:t>«[…]</w:t>
      </w:r>
      <w:r w:rsidR="00646D7F" w:rsidRPr="00E863E3">
        <w:rPr>
          <w:rFonts w:ascii="Arial" w:eastAsia="Arial" w:hAnsi="Arial" w:cs="Arial"/>
          <w:sz w:val="22"/>
          <w:lang w:val="es-ES" w:eastAsia="es-ES" w:bidi="es-ES"/>
        </w:rPr>
        <w:t xml:space="preserve"> el método definido el día de la apertura del sobre económico seguirá rigiendo aun cuando la entidad deba suspender la audiencia» y</w:t>
      </w:r>
      <w:r w:rsidR="00B549A2">
        <w:rPr>
          <w:rFonts w:ascii="Arial" w:eastAsia="Arial" w:hAnsi="Arial" w:cs="Arial"/>
          <w:sz w:val="22"/>
          <w:lang w:val="es-ES" w:eastAsia="es-ES" w:bidi="es-ES"/>
        </w:rPr>
        <w:t xml:space="preserve">, finalmente, que </w:t>
      </w:r>
      <w:r w:rsidR="00646D7F" w:rsidRPr="00E863E3">
        <w:rPr>
          <w:rFonts w:ascii="Arial" w:eastAsia="Arial" w:hAnsi="Arial" w:cs="Arial"/>
          <w:sz w:val="22"/>
          <w:lang w:val="es-ES" w:eastAsia="es-ES" w:bidi="es-ES"/>
        </w:rPr>
        <w:t>«Para mayor claridad y, de acuerdo con lo indicado, la TRM que la entidad utilizará para determinar el método de ponderación será la que rija el día hábil siguiente del día en que efectivamente sea la apertura del segundo sobre».</w:t>
      </w:r>
    </w:p>
    <w:p w14:paraId="5ECA4799" w14:textId="77777777" w:rsidR="009C2C65" w:rsidRPr="004930D7" w:rsidRDefault="009C2C65" w:rsidP="00A945C1">
      <w:pPr>
        <w:spacing w:line="276" w:lineRule="auto"/>
        <w:jc w:val="both"/>
        <w:rPr>
          <w:rFonts w:ascii="Arial" w:eastAsia="Calibri" w:hAnsi="Arial" w:cs="Arial"/>
          <w:sz w:val="22"/>
        </w:rPr>
      </w:pPr>
    </w:p>
    <w:p w14:paraId="063FF8BF" w14:textId="77777777" w:rsidR="00506910" w:rsidRPr="004930D7" w:rsidRDefault="00506910" w:rsidP="00506910">
      <w:pPr>
        <w:spacing w:line="276" w:lineRule="auto"/>
        <w:jc w:val="both"/>
        <w:rPr>
          <w:rFonts w:ascii="Arial" w:hAnsi="Arial" w:cs="Arial"/>
          <w:noProof/>
          <w:color w:val="000000" w:themeColor="text1"/>
          <w:sz w:val="22"/>
          <w:lang w:val="es-ES_tradnl"/>
        </w:rPr>
      </w:pPr>
      <w:r w:rsidRPr="004930D7">
        <w:rPr>
          <w:rFonts w:ascii="Arial" w:hAnsi="Arial" w:cs="Arial"/>
          <w:noProof/>
          <w:color w:val="000000" w:themeColor="text1"/>
          <w:sz w:val="22"/>
          <w:lang w:val="es-ES_tradnl"/>
        </w:rPr>
        <w:lastRenderedPageBreak/>
        <w:t>Este concepto tiene el alcance previsto en el artículo 28 del Código de Procedimiento Administrativo y de lo Contencioso Administrativo.</w:t>
      </w:r>
    </w:p>
    <w:p w14:paraId="5F367820" w14:textId="77777777" w:rsidR="00506910" w:rsidRPr="004930D7" w:rsidRDefault="00506910" w:rsidP="00506910">
      <w:pPr>
        <w:spacing w:line="276" w:lineRule="auto"/>
        <w:jc w:val="both"/>
        <w:rPr>
          <w:rFonts w:ascii="Arial" w:hAnsi="Arial" w:cs="Arial"/>
          <w:noProof/>
          <w:color w:val="000000" w:themeColor="text1"/>
          <w:sz w:val="22"/>
          <w:lang w:val="es-ES_tradnl"/>
        </w:rPr>
      </w:pPr>
    </w:p>
    <w:p w14:paraId="47AB3B11" w14:textId="77777777" w:rsidR="00506910" w:rsidRPr="004930D7" w:rsidRDefault="00506910" w:rsidP="00506910">
      <w:pPr>
        <w:spacing w:line="276" w:lineRule="auto"/>
        <w:jc w:val="both"/>
        <w:rPr>
          <w:rFonts w:ascii="Arial" w:hAnsi="Arial" w:cs="Arial"/>
          <w:noProof/>
          <w:color w:val="000000" w:themeColor="text1"/>
          <w:sz w:val="22"/>
          <w:lang w:val="es-ES_tradnl"/>
        </w:rPr>
      </w:pPr>
      <w:r w:rsidRPr="004930D7">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6EF7FEEF" wp14:editId="3AFC0F9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8F424A"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0F05D40B" w14:textId="77777777" w:rsidR="00506910" w:rsidRPr="004930D7" w:rsidRDefault="00506910" w:rsidP="00506910">
      <w:pPr>
        <w:rPr>
          <w:rFonts w:ascii="Arial" w:eastAsia="Times New Roman" w:hAnsi="Arial" w:cs="Arial"/>
          <w:sz w:val="22"/>
          <w:lang w:val="es-CO" w:eastAsia="es-CO"/>
        </w:rPr>
      </w:pPr>
      <w:bookmarkStart w:id="7" w:name="_Hlk50986665"/>
      <w:bookmarkStart w:id="8" w:name="_Hlk55258198"/>
      <w:bookmarkStart w:id="9" w:name="_Hlk63048178"/>
      <w:r w:rsidRPr="004930D7">
        <w:rPr>
          <w:rFonts w:ascii="Arial" w:hAnsi="Arial" w:cs="Arial"/>
          <w:sz w:val="22"/>
          <w:lang w:eastAsia="es-CO"/>
        </w:rPr>
        <w:t>Atentamente,</w:t>
      </w:r>
    </w:p>
    <w:p w14:paraId="6DA46DCE" w14:textId="77777777" w:rsidR="00506910" w:rsidRPr="004930D7" w:rsidRDefault="00506910" w:rsidP="00506910">
      <w:pPr>
        <w:rPr>
          <w:rFonts w:ascii="Arial" w:hAnsi="Arial" w:cs="Arial"/>
          <w:sz w:val="22"/>
          <w:lang w:eastAsia="es-CO"/>
        </w:rPr>
      </w:pPr>
    </w:p>
    <w:p w14:paraId="5815606F" w14:textId="77B1B923" w:rsidR="00506910" w:rsidRPr="004930D7" w:rsidRDefault="006C0D9B" w:rsidP="00506910">
      <w:pPr>
        <w:jc w:val="center"/>
        <w:rPr>
          <w:rFonts w:ascii="Arial" w:hAnsi="Arial" w:cs="Arial"/>
          <w:sz w:val="18"/>
          <w:szCs w:val="20"/>
          <w:lang w:eastAsia="es-CO"/>
        </w:rPr>
      </w:pPr>
      <w:r>
        <w:rPr>
          <w:noProof/>
        </w:rPr>
        <w:drawing>
          <wp:inline distT="0" distB="0" distL="0" distR="0" wp14:anchorId="78186DD8" wp14:editId="5C3AFAAB">
            <wp:extent cx="2514600" cy="1114425"/>
            <wp:effectExtent l="0" t="0" r="0" b="0"/>
            <wp:docPr id="2066894487" name="Imagen 20668944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4721720B" w14:textId="77777777" w:rsidR="00506910" w:rsidRPr="004930D7" w:rsidRDefault="00506910" w:rsidP="00506910">
      <w:pPr>
        <w:jc w:val="center"/>
        <w:rPr>
          <w:rFonts w:ascii="Arial" w:hAnsi="Arial" w:cs="Arial"/>
          <w:sz w:val="18"/>
          <w:szCs w:val="20"/>
          <w:lang w:eastAsia="es-CO"/>
        </w:rPr>
      </w:pPr>
    </w:p>
    <w:p w14:paraId="6920E32A" w14:textId="77777777" w:rsidR="00506910" w:rsidRPr="004930D7" w:rsidRDefault="00506910" w:rsidP="00506910">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06910" w:rsidRPr="004930D7" w14:paraId="1A1D70A5" w14:textId="77777777" w:rsidTr="00BF1C6E">
        <w:trPr>
          <w:trHeight w:val="315"/>
        </w:trPr>
        <w:tc>
          <w:tcPr>
            <w:tcW w:w="488" w:type="dxa"/>
            <w:vAlign w:val="center"/>
            <w:hideMark/>
          </w:tcPr>
          <w:p w14:paraId="2DB7B3ED"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B7E53A0"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Ximena Ríos López</w:t>
            </w:r>
          </w:p>
          <w:p w14:paraId="385B1ABC" w14:textId="276FEC45" w:rsidR="00A43BAE" w:rsidRPr="004930D7" w:rsidRDefault="00506910" w:rsidP="00A43BAE">
            <w:pPr>
              <w:rPr>
                <w:rFonts w:ascii="Arial" w:hAnsi="Arial" w:cs="Arial"/>
                <w:sz w:val="16"/>
                <w:szCs w:val="16"/>
                <w:lang w:eastAsia="es-ES"/>
              </w:rPr>
            </w:pPr>
            <w:r w:rsidRPr="004930D7">
              <w:rPr>
                <w:rFonts w:ascii="Arial" w:hAnsi="Arial" w:cs="Arial"/>
                <w:sz w:val="16"/>
                <w:szCs w:val="16"/>
                <w:lang w:eastAsia="es-ES"/>
              </w:rPr>
              <w:t>Gestor T1-11 de la Subdirección de Gestión Contractual</w:t>
            </w:r>
          </w:p>
        </w:tc>
      </w:tr>
      <w:tr w:rsidR="00506910" w:rsidRPr="004930D7" w14:paraId="14C8373F" w14:textId="77777777" w:rsidTr="00BF1C6E">
        <w:trPr>
          <w:trHeight w:val="330"/>
        </w:trPr>
        <w:tc>
          <w:tcPr>
            <w:tcW w:w="488" w:type="dxa"/>
            <w:vAlign w:val="center"/>
            <w:hideMark/>
          </w:tcPr>
          <w:p w14:paraId="76773551"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455A49" w14:textId="3F09B33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Sebastián Ramírez Grisales</w:t>
            </w:r>
          </w:p>
          <w:p w14:paraId="3DA59815" w14:textId="5CA35BCC" w:rsidR="00A43BAE" w:rsidRPr="004930D7" w:rsidRDefault="00506910" w:rsidP="00BF1C6E">
            <w:pPr>
              <w:rPr>
                <w:rFonts w:ascii="Arial" w:hAnsi="Arial" w:cs="Arial"/>
                <w:sz w:val="16"/>
                <w:szCs w:val="16"/>
                <w:lang w:eastAsia="es-ES"/>
              </w:rPr>
            </w:pPr>
            <w:r w:rsidRPr="004930D7">
              <w:rPr>
                <w:rFonts w:ascii="Arial" w:hAnsi="Arial" w:cs="Arial"/>
                <w:sz w:val="16"/>
                <w:szCs w:val="16"/>
                <w:lang w:eastAsia="es-ES"/>
              </w:rPr>
              <w:t>Gestor T1-15 de la Subdirección de Gestión Contractual</w:t>
            </w:r>
          </w:p>
        </w:tc>
      </w:tr>
      <w:tr w:rsidR="00506910" w:rsidRPr="004930D7" w14:paraId="7D38598E" w14:textId="77777777" w:rsidTr="00BF1C6E">
        <w:trPr>
          <w:trHeight w:val="300"/>
        </w:trPr>
        <w:tc>
          <w:tcPr>
            <w:tcW w:w="488" w:type="dxa"/>
            <w:vAlign w:val="center"/>
            <w:hideMark/>
          </w:tcPr>
          <w:p w14:paraId="5FFC28A7"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B0746B"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Jorge Augusto Tirado Navarro</w:t>
            </w:r>
          </w:p>
          <w:p w14:paraId="776F2055"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Subdirector de Gestión Contractual</w:t>
            </w:r>
          </w:p>
        </w:tc>
      </w:tr>
      <w:tr w:rsidR="00506910" w:rsidRPr="00425B43" w14:paraId="6A4E9B6C" w14:textId="77777777" w:rsidTr="00BF1C6E">
        <w:trPr>
          <w:trHeight w:val="300"/>
        </w:trPr>
        <w:tc>
          <w:tcPr>
            <w:tcW w:w="488" w:type="dxa"/>
            <w:vAlign w:val="center"/>
            <w:hideMark/>
          </w:tcPr>
          <w:p w14:paraId="75D0A660" w14:textId="77777777" w:rsidR="00506910" w:rsidRPr="004930D7" w:rsidRDefault="00506910" w:rsidP="00BF1C6E">
            <w:pPr>
              <w:rPr>
                <w:rFonts w:ascii="Arial" w:hAnsi="Arial" w:cs="Arial"/>
                <w:sz w:val="16"/>
                <w:szCs w:val="16"/>
                <w:lang w:eastAsia="es-ES"/>
              </w:rPr>
            </w:pPr>
            <w:r w:rsidRPr="004930D7">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8BB293" w14:textId="77777777" w:rsidR="00506910" w:rsidRPr="00425B43" w:rsidRDefault="00506910" w:rsidP="00BF1C6E">
            <w:pPr>
              <w:rPr>
                <w:rFonts w:ascii="Arial" w:hAnsi="Arial" w:cs="Arial"/>
                <w:sz w:val="16"/>
                <w:szCs w:val="16"/>
                <w:lang w:eastAsia="es-ES"/>
              </w:rPr>
            </w:pPr>
            <w:r w:rsidRPr="004930D7">
              <w:rPr>
                <w:rFonts w:ascii="Arial" w:hAnsi="Arial" w:cs="Arial"/>
                <w:sz w:val="16"/>
                <w:szCs w:val="16"/>
                <w:lang w:eastAsia="es-ES"/>
              </w:rPr>
              <w:t>0</w:t>
            </w:r>
          </w:p>
        </w:tc>
        <w:bookmarkEnd w:id="7"/>
      </w:tr>
      <w:bookmarkEnd w:id="8"/>
    </w:tbl>
    <w:p w14:paraId="64AD7F42" w14:textId="77777777" w:rsidR="00506910" w:rsidRPr="00425B43" w:rsidRDefault="00506910" w:rsidP="00506910">
      <w:pPr>
        <w:jc w:val="both"/>
        <w:rPr>
          <w:rFonts w:ascii="Arial" w:hAnsi="Arial" w:cs="Arial"/>
          <w:sz w:val="22"/>
        </w:rPr>
      </w:pPr>
    </w:p>
    <w:bookmarkEnd w:id="0"/>
    <w:bookmarkEnd w:id="1"/>
    <w:bookmarkEnd w:id="9"/>
    <w:p w14:paraId="7EBF297E" w14:textId="77777777" w:rsidR="007B0854" w:rsidRPr="009A4A28" w:rsidRDefault="007B0854" w:rsidP="00436D70">
      <w:pPr>
        <w:pStyle w:val="Prrafodelista"/>
        <w:tabs>
          <w:tab w:val="left" w:pos="284"/>
        </w:tabs>
        <w:spacing w:line="276" w:lineRule="auto"/>
        <w:ind w:left="0"/>
        <w:jc w:val="both"/>
        <w:rPr>
          <w:rFonts w:ascii="Arial" w:eastAsia="Calibri" w:hAnsi="Arial" w:cs="Arial"/>
          <w:sz w:val="22"/>
        </w:rPr>
      </w:pPr>
    </w:p>
    <w:sectPr w:rsidR="007B0854" w:rsidRPr="009A4A28"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C15F" w14:textId="77777777" w:rsidR="00BB3878" w:rsidRDefault="00BB3878">
      <w:r>
        <w:separator/>
      </w:r>
    </w:p>
  </w:endnote>
  <w:endnote w:type="continuationSeparator" w:id="0">
    <w:p w14:paraId="3CCBD659" w14:textId="77777777" w:rsidR="00BB3878" w:rsidRDefault="00BB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Arial"/>
    <w:charset w:val="00"/>
    <w:family w:val="roman"/>
    <w:pitch w:val="default"/>
  </w:font>
  <w:font w:name="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174A59" w:rsidRDefault="00174A59" w:rsidP="007B0854">
    <w:pPr>
      <w:pStyle w:val="Sinespaciado"/>
      <w:jc w:val="center"/>
      <w:rPr>
        <w:rFonts w:ascii="Arial" w:hAnsi="Arial" w:cs="Arial"/>
        <w:sz w:val="18"/>
        <w:szCs w:val="18"/>
      </w:rPr>
    </w:pPr>
  </w:p>
  <w:p w14:paraId="312C4A14" w14:textId="1CC17C36" w:rsidR="00174A59" w:rsidRPr="005A79FE" w:rsidRDefault="00174A59"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174A59" w:rsidRDefault="00174A59"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174A59" w:rsidRPr="007B0854" w:rsidRDefault="00174A5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3C7A" w14:textId="77777777" w:rsidR="00BB3878" w:rsidRDefault="00BB3878">
      <w:r>
        <w:separator/>
      </w:r>
    </w:p>
  </w:footnote>
  <w:footnote w:type="continuationSeparator" w:id="0">
    <w:p w14:paraId="6C51B0E8" w14:textId="77777777" w:rsidR="00BB3878" w:rsidRDefault="00BB3878">
      <w:r>
        <w:continuationSeparator/>
      </w:r>
    </w:p>
  </w:footnote>
  <w:footnote w:id="1">
    <w:p w14:paraId="34683C67" w14:textId="77777777" w:rsidR="00174A59" w:rsidRPr="009A69E3" w:rsidRDefault="00174A59" w:rsidP="009A69E3">
      <w:pPr>
        <w:pStyle w:val="Textonotapie"/>
        <w:ind w:firstLine="708"/>
        <w:jc w:val="both"/>
        <w:rPr>
          <w:rFonts w:ascii="Arial" w:hAnsi="Arial" w:cs="Arial"/>
          <w:sz w:val="19"/>
          <w:szCs w:val="19"/>
        </w:rPr>
      </w:pPr>
      <w:r w:rsidRPr="009A69E3">
        <w:rPr>
          <w:rStyle w:val="Refdenotaalpie"/>
          <w:rFonts w:ascii="Arial" w:hAnsi="Arial" w:cs="Arial"/>
          <w:sz w:val="19"/>
          <w:szCs w:val="19"/>
        </w:rPr>
        <w:footnoteRef/>
      </w:r>
      <w:r w:rsidRPr="009A69E3">
        <w:rPr>
          <w:rFonts w:ascii="Arial" w:hAnsi="Arial" w:cs="Arial"/>
          <w:sz w:val="19"/>
          <w:szCs w:val="19"/>
        </w:rPr>
        <w:t xml:space="preserve"> Documento Base o Pliego Tipo, numeral 4.1.4 «La Entidad seleccionará el método de ponderación de la propuesta económica de acuerdo con las siguientes alternativas:</w:t>
      </w:r>
    </w:p>
    <w:p w14:paraId="1DE21243" w14:textId="77777777" w:rsidR="00174A59" w:rsidRPr="009A69E3" w:rsidRDefault="00174A59" w:rsidP="009A69E3">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174A59" w:rsidRPr="009A69E3" w14:paraId="25ACADC8" w14:textId="77777777" w:rsidTr="00BF1C6E">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4E35BD3" w14:textId="77777777" w:rsidR="00174A59" w:rsidRPr="009A69E3" w:rsidRDefault="00174A59" w:rsidP="009A69E3">
            <w:pPr>
              <w:jc w:val="both"/>
              <w:rPr>
                <w:rFonts w:ascii="Arial" w:hAnsi="Arial" w:cs="Arial"/>
                <w:b/>
                <w:bCs/>
                <w:color w:val="FFFFFF" w:themeColor="accent2"/>
                <w:sz w:val="19"/>
                <w:szCs w:val="19"/>
                <w:lang w:val="es-CO"/>
              </w:rPr>
            </w:pPr>
            <w:r w:rsidRPr="009A69E3">
              <w:rPr>
                <w:rFonts w:ascii="Arial" w:hAnsi="Arial" w:cs="Arial"/>
                <w:b/>
                <w:bCs/>
                <w:color w:val="FFFFFF" w:themeColor="accent2"/>
                <w:sz w:val="19"/>
                <w:szCs w:val="19"/>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1466C12" w14:textId="77777777" w:rsidR="00174A59" w:rsidRPr="009A69E3" w:rsidRDefault="00174A59" w:rsidP="009A69E3">
            <w:pPr>
              <w:jc w:val="both"/>
              <w:rPr>
                <w:rFonts w:ascii="Arial" w:hAnsi="Arial" w:cs="Arial"/>
                <w:b/>
                <w:bCs/>
                <w:color w:val="FFFFFF" w:themeColor="accent2"/>
                <w:sz w:val="19"/>
                <w:szCs w:val="19"/>
              </w:rPr>
            </w:pPr>
            <w:r w:rsidRPr="009A69E3">
              <w:rPr>
                <w:rFonts w:ascii="Arial" w:hAnsi="Arial" w:cs="Arial"/>
                <w:b/>
                <w:bCs/>
                <w:color w:val="FFFFFF" w:themeColor="accent2"/>
                <w:sz w:val="19"/>
                <w:szCs w:val="19"/>
              </w:rPr>
              <w:t>Método</w:t>
            </w:r>
          </w:p>
        </w:tc>
      </w:tr>
      <w:tr w:rsidR="00174A59" w:rsidRPr="009A69E3" w14:paraId="3038B5AA" w14:textId="77777777" w:rsidTr="00BF1C6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6C9390D2"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427A6D9"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Mediana con valor absoluto</w:t>
            </w:r>
          </w:p>
        </w:tc>
      </w:tr>
      <w:tr w:rsidR="00174A59" w:rsidRPr="009A69E3" w14:paraId="69FEFD2E" w14:textId="77777777" w:rsidTr="00BF1C6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A9E04B7"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6B279EAB"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Media geométrica</w:t>
            </w:r>
          </w:p>
        </w:tc>
      </w:tr>
      <w:tr w:rsidR="00174A59" w:rsidRPr="009A69E3" w14:paraId="1B6A6460" w14:textId="77777777" w:rsidTr="00BF1C6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643BFAD"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01D3441"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Media aritmética baja</w:t>
            </w:r>
          </w:p>
        </w:tc>
      </w:tr>
      <w:tr w:rsidR="00174A59" w:rsidRPr="009A69E3" w14:paraId="487FC66A" w14:textId="77777777" w:rsidTr="00BF1C6E">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5B998AA5"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2C68B8A1" w14:textId="77777777" w:rsidR="00174A59" w:rsidRPr="009A69E3" w:rsidRDefault="00174A59" w:rsidP="009A69E3">
            <w:pPr>
              <w:jc w:val="both"/>
              <w:rPr>
                <w:rFonts w:ascii="Arial" w:hAnsi="Arial" w:cs="Arial"/>
                <w:sz w:val="19"/>
                <w:szCs w:val="19"/>
                <w:lang w:val="es-ES"/>
              </w:rPr>
            </w:pPr>
            <w:r w:rsidRPr="009A69E3">
              <w:rPr>
                <w:rFonts w:ascii="Arial" w:hAnsi="Arial" w:cs="Arial"/>
                <w:sz w:val="19"/>
                <w:szCs w:val="19"/>
                <w:lang w:val="es-ES"/>
              </w:rPr>
              <w:t>Menor Valor</w:t>
            </w:r>
          </w:p>
        </w:tc>
      </w:tr>
    </w:tbl>
    <w:p w14:paraId="68EBA6C0" w14:textId="77777777" w:rsidR="00174A59" w:rsidRPr="009A69E3" w:rsidRDefault="00174A59" w:rsidP="009A69E3">
      <w:pPr>
        <w:pStyle w:val="Textonotapie"/>
        <w:jc w:val="both"/>
        <w:rPr>
          <w:rFonts w:ascii="Arial" w:hAnsi="Arial" w:cs="Arial"/>
          <w:sz w:val="19"/>
          <w:szCs w:val="19"/>
        </w:rPr>
      </w:pPr>
    </w:p>
    <w:p w14:paraId="3368F036" w14:textId="77777777" w:rsidR="00174A59" w:rsidRPr="009A69E3" w:rsidRDefault="00174A59" w:rsidP="009A69E3">
      <w:pPr>
        <w:pStyle w:val="Textonotapie"/>
        <w:jc w:val="both"/>
        <w:rPr>
          <w:rFonts w:ascii="Arial" w:hAnsi="Arial" w:cs="Arial"/>
          <w:sz w:val="19"/>
          <w:szCs w:val="19"/>
        </w:rPr>
      </w:pPr>
      <w:r w:rsidRPr="009A69E3">
        <w:rPr>
          <w:rFonts w:ascii="Arial" w:hAnsi="Arial" w:cs="Arial"/>
          <w:sz w:val="19"/>
          <w:szCs w:val="19"/>
        </w:rPr>
        <w:t xml:space="preserve"> </w:t>
      </w:r>
      <w:proofErr w:type="gramStart"/>
      <w:r w:rsidRPr="009A69E3">
        <w:rPr>
          <w:rFonts w:ascii="Arial" w:hAnsi="Arial" w:cs="Arial"/>
          <w:sz w:val="19"/>
          <w:szCs w:val="19"/>
        </w:rPr>
        <w:t>»Para</w:t>
      </w:r>
      <w:proofErr w:type="gramEnd"/>
      <w:r w:rsidRPr="009A69E3">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5BD42700" w14:textId="77777777" w:rsidR="00174A59" w:rsidRPr="009A69E3" w:rsidRDefault="00174A59" w:rsidP="009A69E3">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174A59" w:rsidRDefault="00174A59">
    <w:pPr>
      <w:pStyle w:val="Encabezado"/>
    </w:pPr>
  </w:p>
  <w:p w14:paraId="6A4C7F2C" w14:textId="7D093DBB" w:rsidR="00174A59" w:rsidRDefault="00174A59">
    <w:pPr>
      <w:pStyle w:val="Encabezado"/>
    </w:pPr>
  </w:p>
  <w:p w14:paraId="055F2E1F" w14:textId="0B935ADD" w:rsidR="00174A59" w:rsidRDefault="00174A59">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74A59" w:rsidRDefault="00174A59">
    <w:pPr>
      <w:pStyle w:val="Encabezado"/>
    </w:pPr>
  </w:p>
  <w:p w14:paraId="3D323BDB" w14:textId="04AF0DE6" w:rsidR="00174A59" w:rsidRDefault="00174A59">
    <w:pPr>
      <w:pStyle w:val="Encabezado"/>
    </w:pPr>
  </w:p>
  <w:p w14:paraId="6520770B" w14:textId="18EB07B5" w:rsidR="00174A59" w:rsidRDefault="00174A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1B3E61EF"/>
    <w:multiLevelType w:val="hybridMultilevel"/>
    <w:tmpl w:val="ACF26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17AC"/>
    <w:rsid w:val="000078AA"/>
    <w:rsid w:val="00007D5B"/>
    <w:rsid w:val="00010979"/>
    <w:rsid w:val="00013D7D"/>
    <w:rsid w:val="000231D8"/>
    <w:rsid w:val="00023E6F"/>
    <w:rsid w:val="00026489"/>
    <w:rsid w:val="00027ABA"/>
    <w:rsid w:val="0003179A"/>
    <w:rsid w:val="00035D12"/>
    <w:rsid w:val="00035FBD"/>
    <w:rsid w:val="00041ECC"/>
    <w:rsid w:val="0004309E"/>
    <w:rsid w:val="000448E0"/>
    <w:rsid w:val="00051242"/>
    <w:rsid w:val="0005679A"/>
    <w:rsid w:val="000616C6"/>
    <w:rsid w:val="000744B0"/>
    <w:rsid w:val="00084247"/>
    <w:rsid w:val="00087C0E"/>
    <w:rsid w:val="000907B8"/>
    <w:rsid w:val="000942EB"/>
    <w:rsid w:val="00095DCC"/>
    <w:rsid w:val="000B103F"/>
    <w:rsid w:val="000D0DB2"/>
    <w:rsid w:val="000D27C4"/>
    <w:rsid w:val="000E0CC8"/>
    <w:rsid w:val="000E1447"/>
    <w:rsid w:val="000E196C"/>
    <w:rsid w:val="000E4342"/>
    <w:rsid w:val="000F14E8"/>
    <w:rsid w:val="000F27E6"/>
    <w:rsid w:val="00103915"/>
    <w:rsid w:val="0010586E"/>
    <w:rsid w:val="00121C2D"/>
    <w:rsid w:val="00122B23"/>
    <w:rsid w:val="00122D9B"/>
    <w:rsid w:val="00123B36"/>
    <w:rsid w:val="00124FC1"/>
    <w:rsid w:val="00125630"/>
    <w:rsid w:val="00131F8A"/>
    <w:rsid w:val="001371EA"/>
    <w:rsid w:val="00137FFA"/>
    <w:rsid w:val="00142106"/>
    <w:rsid w:val="00145E82"/>
    <w:rsid w:val="0014613F"/>
    <w:rsid w:val="0014732B"/>
    <w:rsid w:val="00147429"/>
    <w:rsid w:val="0014743E"/>
    <w:rsid w:val="00163756"/>
    <w:rsid w:val="0017348D"/>
    <w:rsid w:val="001746D4"/>
    <w:rsid w:val="00174A59"/>
    <w:rsid w:val="00191D2F"/>
    <w:rsid w:val="00197327"/>
    <w:rsid w:val="0019793F"/>
    <w:rsid w:val="00197ADD"/>
    <w:rsid w:val="001A1007"/>
    <w:rsid w:val="001B1B5B"/>
    <w:rsid w:val="001B7014"/>
    <w:rsid w:val="001D20CD"/>
    <w:rsid w:val="001D3005"/>
    <w:rsid w:val="001E053F"/>
    <w:rsid w:val="001F0CBE"/>
    <w:rsid w:val="001F49CD"/>
    <w:rsid w:val="00201212"/>
    <w:rsid w:val="00211D02"/>
    <w:rsid w:val="0021591C"/>
    <w:rsid w:val="00224412"/>
    <w:rsid w:val="00234AEA"/>
    <w:rsid w:val="00234B84"/>
    <w:rsid w:val="002351A0"/>
    <w:rsid w:val="0024086E"/>
    <w:rsid w:val="0025225C"/>
    <w:rsid w:val="00256ABA"/>
    <w:rsid w:val="00257BF2"/>
    <w:rsid w:val="002638A9"/>
    <w:rsid w:val="00267368"/>
    <w:rsid w:val="0027135A"/>
    <w:rsid w:val="00275CEE"/>
    <w:rsid w:val="002761E5"/>
    <w:rsid w:val="002811A1"/>
    <w:rsid w:val="002826C0"/>
    <w:rsid w:val="00285AF6"/>
    <w:rsid w:val="002909A5"/>
    <w:rsid w:val="002922FF"/>
    <w:rsid w:val="002A171C"/>
    <w:rsid w:val="002B637D"/>
    <w:rsid w:val="002C05C4"/>
    <w:rsid w:val="002C7489"/>
    <w:rsid w:val="002D27CC"/>
    <w:rsid w:val="002E1D5C"/>
    <w:rsid w:val="002F3515"/>
    <w:rsid w:val="003033BA"/>
    <w:rsid w:val="003132A3"/>
    <w:rsid w:val="003408FE"/>
    <w:rsid w:val="0034412E"/>
    <w:rsid w:val="00345843"/>
    <w:rsid w:val="00346338"/>
    <w:rsid w:val="0034680A"/>
    <w:rsid w:val="00352662"/>
    <w:rsid w:val="00354B90"/>
    <w:rsid w:val="003616B8"/>
    <w:rsid w:val="003620E1"/>
    <w:rsid w:val="00370953"/>
    <w:rsid w:val="003766A6"/>
    <w:rsid w:val="00376712"/>
    <w:rsid w:val="0037725F"/>
    <w:rsid w:val="00386456"/>
    <w:rsid w:val="00387C67"/>
    <w:rsid w:val="003927AA"/>
    <w:rsid w:val="003A0566"/>
    <w:rsid w:val="003A4C3D"/>
    <w:rsid w:val="003A581E"/>
    <w:rsid w:val="003B1A82"/>
    <w:rsid w:val="003C1847"/>
    <w:rsid w:val="003C2D98"/>
    <w:rsid w:val="003D30D3"/>
    <w:rsid w:val="003D5E96"/>
    <w:rsid w:val="003E0AB0"/>
    <w:rsid w:val="003F029F"/>
    <w:rsid w:val="003F5217"/>
    <w:rsid w:val="004015A7"/>
    <w:rsid w:val="004071F5"/>
    <w:rsid w:val="0041235E"/>
    <w:rsid w:val="0041397B"/>
    <w:rsid w:val="004213E6"/>
    <w:rsid w:val="00421516"/>
    <w:rsid w:val="004259FB"/>
    <w:rsid w:val="00436D70"/>
    <w:rsid w:val="00441970"/>
    <w:rsid w:val="004422D6"/>
    <w:rsid w:val="00451CB4"/>
    <w:rsid w:val="00460876"/>
    <w:rsid w:val="00464F10"/>
    <w:rsid w:val="00465C4A"/>
    <w:rsid w:val="00466FE8"/>
    <w:rsid w:val="00487CDF"/>
    <w:rsid w:val="00487D0D"/>
    <w:rsid w:val="00492DAF"/>
    <w:rsid w:val="004930D7"/>
    <w:rsid w:val="004942D3"/>
    <w:rsid w:val="00494919"/>
    <w:rsid w:val="00494D08"/>
    <w:rsid w:val="004A34D2"/>
    <w:rsid w:val="004A5B4D"/>
    <w:rsid w:val="004B13B0"/>
    <w:rsid w:val="004C058E"/>
    <w:rsid w:val="004E220F"/>
    <w:rsid w:val="004F0B27"/>
    <w:rsid w:val="004F0E02"/>
    <w:rsid w:val="004F7273"/>
    <w:rsid w:val="00505631"/>
    <w:rsid w:val="00506910"/>
    <w:rsid w:val="0051074C"/>
    <w:rsid w:val="00511F0A"/>
    <w:rsid w:val="00513AF2"/>
    <w:rsid w:val="00513B4D"/>
    <w:rsid w:val="00515142"/>
    <w:rsid w:val="00523D5F"/>
    <w:rsid w:val="0053204A"/>
    <w:rsid w:val="005342CA"/>
    <w:rsid w:val="00534EBC"/>
    <w:rsid w:val="0054413A"/>
    <w:rsid w:val="0054642B"/>
    <w:rsid w:val="00546D7B"/>
    <w:rsid w:val="00547FF4"/>
    <w:rsid w:val="005564CA"/>
    <w:rsid w:val="00561988"/>
    <w:rsid w:val="00562817"/>
    <w:rsid w:val="00564BBB"/>
    <w:rsid w:val="00566472"/>
    <w:rsid w:val="00567074"/>
    <w:rsid w:val="00577621"/>
    <w:rsid w:val="00581D70"/>
    <w:rsid w:val="00582551"/>
    <w:rsid w:val="005A2638"/>
    <w:rsid w:val="005A79FE"/>
    <w:rsid w:val="005C1EA6"/>
    <w:rsid w:val="005C59C8"/>
    <w:rsid w:val="005D46AC"/>
    <w:rsid w:val="005E1B99"/>
    <w:rsid w:val="005F11D1"/>
    <w:rsid w:val="005F1448"/>
    <w:rsid w:val="005F39A2"/>
    <w:rsid w:val="005F7DF1"/>
    <w:rsid w:val="00601044"/>
    <w:rsid w:val="006119BE"/>
    <w:rsid w:val="006131E1"/>
    <w:rsid w:val="00627FA4"/>
    <w:rsid w:val="006374D2"/>
    <w:rsid w:val="00643AD2"/>
    <w:rsid w:val="006441DA"/>
    <w:rsid w:val="00644D10"/>
    <w:rsid w:val="00646D7F"/>
    <w:rsid w:val="00654542"/>
    <w:rsid w:val="00655371"/>
    <w:rsid w:val="006624FB"/>
    <w:rsid w:val="00664A94"/>
    <w:rsid w:val="006838BB"/>
    <w:rsid w:val="00686994"/>
    <w:rsid w:val="0069051D"/>
    <w:rsid w:val="006908F4"/>
    <w:rsid w:val="00691333"/>
    <w:rsid w:val="006918B3"/>
    <w:rsid w:val="0069236D"/>
    <w:rsid w:val="00696FAD"/>
    <w:rsid w:val="00697665"/>
    <w:rsid w:val="006A1E97"/>
    <w:rsid w:val="006A2FAE"/>
    <w:rsid w:val="006A7FD0"/>
    <w:rsid w:val="006B0E9A"/>
    <w:rsid w:val="006B3BB5"/>
    <w:rsid w:val="006B6FCB"/>
    <w:rsid w:val="006B744B"/>
    <w:rsid w:val="006C0D9B"/>
    <w:rsid w:val="006C62BD"/>
    <w:rsid w:val="006C73E7"/>
    <w:rsid w:val="006D0B81"/>
    <w:rsid w:val="006D3138"/>
    <w:rsid w:val="006D7687"/>
    <w:rsid w:val="006E0572"/>
    <w:rsid w:val="006E1ACE"/>
    <w:rsid w:val="006F48D3"/>
    <w:rsid w:val="006F6EB9"/>
    <w:rsid w:val="00700A94"/>
    <w:rsid w:val="00705631"/>
    <w:rsid w:val="00706DB7"/>
    <w:rsid w:val="00707240"/>
    <w:rsid w:val="007106DA"/>
    <w:rsid w:val="00712060"/>
    <w:rsid w:val="00724FA3"/>
    <w:rsid w:val="00725ECD"/>
    <w:rsid w:val="00727B05"/>
    <w:rsid w:val="007333D0"/>
    <w:rsid w:val="00742DD2"/>
    <w:rsid w:val="0074434B"/>
    <w:rsid w:val="00752701"/>
    <w:rsid w:val="0075647A"/>
    <w:rsid w:val="00757964"/>
    <w:rsid w:val="007634AD"/>
    <w:rsid w:val="0077157E"/>
    <w:rsid w:val="00776C38"/>
    <w:rsid w:val="00777245"/>
    <w:rsid w:val="0078122E"/>
    <w:rsid w:val="007865C2"/>
    <w:rsid w:val="00787D11"/>
    <w:rsid w:val="007976FB"/>
    <w:rsid w:val="007A1EA2"/>
    <w:rsid w:val="007A2272"/>
    <w:rsid w:val="007B0854"/>
    <w:rsid w:val="007B6449"/>
    <w:rsid w:val="007C1187"/>
    <w:rsid w:val="007C147D"/>
    <w:rsid w:val="007C7A5C"/>
    <w:rsid w:val="007D65CC"/>
    <w:rsid w:val="007E2F42"/>
    <w:rsid w:val="007E5045"/>
    <w:rsid w:val="007E689F"/>
    <w:rsid w:val="007E75DE"/>
    <w:rsid w:val="007F0022"/>
    <w:rsid w:val="007F1DD3"/>
    <w:rsid w:val="007F390C"/>
    <w:rsid w:val="007F47C7"/>
    <w:rsid w:val="007F72CB"/>
    <w:rsid w:val="00803BE6"/>
    <w:rsid w:val="0080625A"/>
    <w:rsid w:val="008071A1"/>
    <w:rsid w:val="0080776D"/>
    <w:rsid w:val="00821C0C"/>
    <w:rsid w:val="00822915"/>
    <w:rsid w:val="008243F2"/>
    <w:rsid w:val="00830EF9"/>
    <w:rsid w:val="0083119B"/>
    <w:rsid w:val="008359B9"/>
    <w:rsid w:val="00836EAB"/>
    <w:rsid w:val="00841FF1"/>
    <w:rsid w:val="0085092D"/>
    <w:rsid w:val="008526AF"/>
    <w:rsid w:val="00860CDF"/>
    <w:rsid w:val="0088474C"/>
    <w:rsid w:val="008920F3"/>
    <w:rsid w:val="0089404F"/>
    <w:rsid w:val="0089576F"/>
    <w:rsid w:val="00897943"/>
    <w:rsid w:val="008B1D94"/>
    <w:rsid w:val="008B220C"/>
    <w:rsid w:val="008C3EA5"/>
    <w:rsid w:val="008D193F"/>
    <w:rsid w:val="008D3E76"/>
    <w:rsid w:val="008D4672"/>
    <w:rsid w:val="008D7194"/>
    <w:rsid w:val="008E1C15"/>
    <w:rsid w:val="008E2994"/>
    <w:rsid w:val="008E5456"/>
    <w:rsid w:val="00901EC2"/>
    <w:rsid w:val="009047C5"/>
    <w:rsid w:val="00905E2D"/>
    <w:rsid w:val="0090615F"/>
    <w:rsid w:val="0090648B"/>
    <w:rsid w:val="009307A1"/>
    <w:rsid w:val="0093385A"/>
    <w:rsid w:val="00937E03"/>
    <w:rsid w:val="009403BC"/>
    <w:rsid w:val="00941B4B"/>
    <w:rsid w:val="009420E2"/>
    <w:rsid w:val="009461B4"/>
    <w:rsid w:val="00950379"/>
    <w:rsid w:val="0095385A"/>
    <w:rsid w:val="009561CB"/>
    <w:rsid w:val="00960E34"/>
    <w:rsid w:val="00963569"/>
    <w:rsid w:val="00963784"/>
    <w:rsid w:val="00967AFB"/>
    <w:rsid w:val="00970E87"/>
    <w:rsid w:val="00977F75"/>
    <w:rsid w:val="00983578"/>
    <w:rsid w:val="009962F4"/>
    <w:rsid w:val="009A247F"/>
    <w:rsid w:val="009A42A4"/>
    <w:rsid w:val="009A4A28"/>
    <w:rsid w:val="009A69E3"/>
    <w:rsid w:val="009B41C9"/>
    <w:rsid w:val="009B62DB"/>
    <w:rsid w:val="009C2458"/>
    <w:rsid w:val="009C2C65"/>
    <w:rsid w:val="009C4AC7"/>
    <w:rsid w:val="009D0C84"/>
    <w:rsid w:val="009D0D75"/>
    <w:rsid w:val="009F6C5D"/>
    <w:rsid w:val="00A154D8"/>
    <w:rsid w:val="00A24560"/>
    <w:rsid w:val="00A325FD"/>
    <w:rsid w:val="00A330E7"/>
    <w:rsid w:val="00A34538"/>
    <w:rsid w:val="00A3490D"/>
    <w:rsid w:val="00A34C26"/>
    <w:rsid w:val="00A34DFB"/>
    <w:rsid w:val="00A429B5"/>
    <w:rsid w:val="00A43BAE"/>
    <w:rsid w:val="00A55DD5"/>
    <w:rsid w:val="00A56C47"/>
    <w:rsid w:val="00A6721F"/>
    <w:rsid w:val="00A75945"/>
    <w:rsid w:val="00A84A49"/>
    <w:rsid w:val="00A928E9"/>
    <w:rsid w:val="00A945C1"/>
    <w:rsid w:val="00AA442B"/>
    <w:rsid w:val="00AB1806"/>
    <w:rsid w:val="00AB19AD"/>
    <w:rsid w:val="00AB1D39"/>
    <w:rsid w:val="00AB1D78"/>
    <w:rsid w:val="00AB3BFA"/>
    <w:rsid w:val="00AB7956"/>
    <w:rsid w:val="00AC3FB0"/>
    <w:rsid w:val="00AC6173"/>
    <w:rsid w:val="00AD3AF2"/>
    <w:rsid w:val="00AE2508"/>
    <w:rsid w:val="00B0080A"/>
    <w:rsid w:val="00B2019B"/>
    <w:rsid w:val="00B226F6"/>
    <w:rsid w:val="00B22E22"/>
    <w:rsid w:val="00B4333C"/>
    <w:rsid w:val="00B525CB"/>
    <w:rsid w:val="00B528D4"/>
    <w:rsid w:val="00B539C1"/>
    <w:rsid w:val="00B53F15"/>
    <w:rsid w:val="00B549A2"/>
    <w:rsid w:val="00B55CA4"/>
    <w:rsid w:val="00B63C03"/>
    <w:rsid w:val="00B63CB2"/>
    <w:rsid w:val="00B67F34"/>
    <w:rsid w:val="00B70074"/>
    <w:rsid w:val="00B94685"/>
    <w:rsid w:val="00B95151"/>
    <w:rsid w:val="00B9749B"/>
    <w:rsid w:val="00BA1889"/>
    <w:rsid w:val="00BA2767"/>
    <w:rsid w:val="00BB3878"/>
    <w:rsid w:val="00BC23F4"/>
    <w:rsid w:val="00BC6417"/>
    <w:rsid w:val="00BD2054"/>
    <w:rsid w:val="00BD78FE"/>
    <w:rsid w:val="00BE0980"/>
    <w:rsid w:val="00BE0F97"/>
    <w:rsid w:val="00BE4067"/>
    <w:rsid w:val="00BF0128"/>
    <w:rsid w:val="00BF1C6E"/>
    <w:rsid w:val="00BF215D"/>
    <w:rsid w:val="00C00B91"/>
    <w:rsid w:val="00C03751"/>
    <w:rsid w:val="00C06164"/>
    <w:rsid w:val="00C11860"/>
    <w:rsid w:val="00C13F7D"/>
    <w:rsid w:val="00C145F3"/>
    <w:rsid w:val="00C163A4"/>
    <w:rsid w:val="00C17284"/>
    <w:rsid w:val="00C3439C"/>
    <w:rsid w:val="00C34429"/>
    <w:rsid w:val="00C35089"/>
    <w:rsid w:val="00C36036"/>
    <w:rsid w:val="00C43635"/>
    <w:rsid w:val="00C44FE6"/>
    <w:rsid w:val="00C50586"/>
    <w:rsid w:val="00C55D02"/>
    <w:rsid w:val="00C57BDD"/>
    <w:rsid w:val="00C647D9"/>
    <w:rsid w:val="00C6620F"/>
    <w:rsid w:val="00C74B91"/>
    <w:rsid w:val="00C8140C"/>
    <w:rsid w:val="00C9016E"/>
    <w:rsid w:val="00C9256A"/>
    <w:rsid w:val="00C96108"/>
    <w:rsid w:val="00CA287E"/>
    <w:rsid w:val="00CA3A39"/>
    <w:rsid w:val="00CB00C5"/>
    <w:rsid w:val="00CB2034"/>
    <w:rsid w:val="00CC00CD"/>
    <w:rsid w:val="00CC797C"/>
    <w:rsid w:val="00CD6D95"/>
    <w:rsid w:val="00CD75EC"/>
    <w:rsid w:val="00CF23AE"/>
    <w:rsid w:val="00CF7B1D"/>
    <w:rsid w:val="00D03173"/>
    <w:rsid w:val="00D03A39"/>
    <w:rsid w:val="00D101E9"/>
    <w:rsid w:val="00D11B8B"/>
    <w:rsid w:val="00D15514"/>
    <w:rsid w:val="00D16E39"/>
    <w:rsid w:val="00D16ECC"/>
    <w:rsid w:val="00D2315E"/>
    <w:rsid w:val="00D42560"/>
    <w:rsid w:val="00D43475"/>
    <w:rsid w:val="00D44F8C"/>
    <w:rsid w:val="00D52944"/>
    <w:rsid w:val="00D558D5"/>
    <w:rsid w:val="00D60E6A"/>
    <w:rsid w:val="00D623A5"/>
    <w:rsid w:val="00D72E9D"/>
    <w:rsid w:val="00D73FD3"/>
    <w:rsid w:val="00D766B8"/>
    <w:rsid w:val="00D80503"/>
    <w:rsid w:val="00D80630"/>
    <w:rsid w:val="00D82CE5"/>
    <w:rsid w:val="00D83705"/>
    <w:rsid w:val="00D86F82"/>
    <w:rsid w:val="00D9241E"/>
    <w:rsid w:val="00DA1ACF"/>
    <w:rsid w:val="00DA260B"/>
    <w:rsid w:val="00DA5271"/>
    <w:rsid w:val="00DA5AB1"/>
    <w:rsid w:val="00DA6592"/>
    <w:rsid w:val="00DB6039"/>
    <w:rsid w:val="00DC62E5"/>
    <w:rsid w:val="00DC6A38"/>
    <w:rsid w:val="00DD46B3"/>
    <w:rsid w:val="00DD735D"/>
    <w:rsid w:val="00DE262E"/>
    <w:rsid w:val="00DE29D3"/>
    <w:rsid w:val="00DE2FCE"/>
    <w:rsid w:val="00DE3119"/>
    <w:rsid w:val="00DE73B4"/>
    <w:rsid w:val="00DF236B"/>
    <w:rsid w:val="00DF5F44"/>
    <w:rsid w:val="00E12483"/>
    <w:rsid w:val="00E13AB8"/>
    <w:rsid w:val="00E25414"/>
    <w:rsid w:val="00E325A7"/>
    <w:rsid w:val="00E33B62"/>
    <w:rsid w:val="00E36426"/>
    <w:rsid w:val="00E368D8"/>
    <w:rsid w:val="00E47408"/>
    <w:rsid w:val="00E51E69"/>
    <w:rsid w:val="00E60329"/>
    <w:rsid w:val="00E62AED"/>
    <w:rsid w:val="00E62DE4"/>
    <w:rsid w:val="00E644DC"/>
    <w:rsid w:val="00E71D04"/>
    <w:rsid w:val="00E76DDD"/>
    <w:rsid w:val="00E84881"/>
    <w:rsid w:val="00E863E3"/>
    <w:rsid w:val="00E86F09"/>
    <w:rsid w:val="00E873C4"/>
    <w:rsid w:val="00E951F4"/>
    <w:rsid w:val="00E953AC"/>
    <w:rsid w:val="00E953C5"/>
    <w:rsid w:val="00EA1123"/>
    <w:rsid w:val="00EA7835"/>
    <w:rsid w:val="00EB2EDC"/>
    <w:rsid w:val="00EB643A"/>
    <w:rsid w:val="00EC3DFE"/>
    <w:rsid w:val="00ED5AB4"/>
    <w:rsid w:val="00ED7ECF"/>
    <w:rsid w:val="00EE35BD"/>
    <w:rsid w:val="00EE7F5E"/>
    <w:rsid w:val="00EF4809"/>
    <w:rsid w:val="00EF7D76"/>
    <w:rsid w:val="00F071F7"/>
    <w:rsid w:val="00F0743E"/>
    <w:rsid w:val="00F11F68"/>
    <w:rsid w:val="00F21E26"/>
    <w:rsid w:val="00F2543D"/>
    <w:rsid w:val="00F42BD4"/>
    <w:rsid w:val="00F43169"/>
    <w:rsid w:val="00F5043C"/>
    <w:rsid w:val="00F54D7D"/>
    <w:rsid w:val="00F626AB"/>
    <w:rsid w:val="00F82838"/>
    <w:rsid w:val="00F84899"/>
    <w:rsid w:val="00F859F0"/>
    <w:rsid w:val="00F9101B"/>
    <w:rsid w:val="00F91722"/>
    <w:rsid w:val="00F97EA8"/>
    <w:rsid w:val="00FA0C7C"/>
    <w:rsid w:val="00FA1DA9"/>
    <w:rsid w:val="00FA5084"/>
    <w:rsid w:val="00FA5450"/>
    <w:rsid w:val="00FC11D1"/>
    <w:rsid w:val="00FC269D"/>
    <w:rsid w:val="00FC2F33"/>
    <w:rsid w:val="00FE141E"/>
    <w:rsid w:val="00FF0BEB"/>
    <w:rsid w:val="00FF0C59"/>
    <w:rsid w:val="00FF4F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F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945C1"/>
    <w:rPr>
      <w:rFonts w:ascii="Arial" w:eastAsia="Arial" w:hAnsi="Arial" w:cs="Arial"/>
      <w:lang w:val="es-ES" w:eastAsia="es-ES" w:bidi="es-ES"/>
    </w:rPr>
  </w:style>
  <w:style w:type="character" w:styleId="Textoennegrita">
    <w:name w:val="Strong"/>
    <w:basedOn w:val="Fuentedeprrafopredeter"/>
    <w:uiPriority w:val="22"/>
    <w:qFormat/>
    <w:rsid w:val="005D46AC"/>
    <w:rPr>
      <w:b/>
      <w:bCs/>
    </w:rPr>
  </w:style>
  <w:style w:type="paragraph" w:customStyle="1" w:styleId="Default">
    <w:name w:val="Default"/>
    <w:rsid w:val="006131E1"/>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C96108"/>
    <w:pPr>
      <w:spacing w:after="160" w:line="240" w:lineRule="exact"/>
    </w:pPr>
    <w:rPr>
      <w:sz w:val="22"/>
      <w:vertAlign w:val="superscript"/>
      <w:lang w:val="es-CO"/>
    </w:rPr>
  </w:style>
  <w:style w:type="character" w:customStyle="1" w:styleId="normaltextrun">
    <w:name w:val="normaltextrun"/>
    <w:basedOn w:val="Fuentedeprrafopredeter"/>
    <w:rsid w:val="00C96108"/>
  </w:style>
  <w:style w:type="character" w:styleId="Mencinsinresolver">
    <w:name w:val="Unresolved Mention"/>
    <w:basedOn w:val="Fuentedeprrafopredeter"/>
    <w:uiPriority w:val="99"/>
    <w:semiHidden/>
    <w:unhideWhenUsed/>
    <w:rsid w:val="008E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4635455">
      <w:bodyDiv w:val="1"/>
      <w:marLeft w:val="0"/>
      <w:marRight w:val="0"/>
      <w:marTop w:val="0"/>
      <w:marBottom w:val="0"/>
      <w:divBdr>
        <w:top w:val="none" w:sz="0" w:space="0" w:color="auto"/>
        <w:left w:val="none" w:sz="0" w:space="0" w:color="auto"/>
        <w:bottom w:val="none" w:sz="0" w:space="0" w:color="auto"/>
        <w:right w:val="none" w:sz="0" w:space="0" w:color="auto"/>
      </w:divBdr>
    </w:div>
    <w:div w:id="18221179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17140535">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766121223">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069765558">
      <w:bodyDiv w:val="1"/>
      <w:marLeft w:val="0"/>
      <w:marRight w:val="0"/>
      <w:marTop w:val="0"/>
      <w:marBottom w:val="0"/>
      <w:divBdr>
        <w:top w:val="none" w:sz="0" w:space="0" w:color="auto"/>
        <w:left w:val="none" w:sz="0" w:space="0" w:color="auto"/>
        <w:bottom w:val="none" w:sz="0" w:space="0" w:color="auto"/>
        <w:right w:val="none" w:sz="0" w:space="0" w:color="auto"/>
      </w:divBdr>
    </w:div>
    <w:div w:id="1451630930">
      <w:bodyDiv w:val="1"/>
      <w:marLeft w:val="0"/>
      <w:marRight w:val="0"/>
      <w:marTop w:val="0"/>
      <w:marBottom w:val="0"/>
      <w:divBdr>
        <w:top w:val="none" w:sz="0" w:space="0" w:color="auto"/>
        <w:left w:val="none" w:sz="0" w:space="0" w:color="auto"/>
        <w:bottom w:val="none" w:sz="0" w:space="0" w:color="auto"/>
        <w:right w:val="none" w:sz="0" w:space="0" w:color="auto"/>
      </w:divBdr>
    </w:div>
    <w:div w:id="20062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1F51D93-D91A-48EA-8AE4-A2CA9308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52FBF-D02A-4D84-9B39-4C89ADB89FDA}">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B9DA402E-E218-4093-95E6-C8BB00E3AA6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3665</Words>
  <Characters>20158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2022-03-31T17:05:00Z</dcterms:created>
  <dcterms:modified xsi:type="dcterms:W3CDTF">2022-03-31T17:05:00Z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