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80FF" w14:textId="77777777" w:rsidR="000A5448" w:rsidRPr="009E24D4" w:rsidRDefault="000A5448" w:rsidP="000A5448">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End w:id="0"/>
      <w:r w:rsidRPr="009E24D4">
        <w:rPr>
          <w:rFonts w:ascii="Arial" w:hAnsi="Arial" w:cs="Arial"/>
          <w:bCs/>
          <w:sz w:val="16"/>
          <w:szCs w:val="16"/>
          <w:lang w:eastAsia="es-ES"/>
        </w:rPr>
        <w:t>CCE-DES-FM-17</w:t>
      </w:r>
    </w:p>
    <w:bookmarkEnd w:id="1"/>
    <w:bookmarkEnd w:id="2"/>
    <w:p w14:paraId="59DCA0F5" w14:textId="77777777" w:rsidR="000A5448" w:rsidRPr="009E24D4" w:rsidRDefault="000A5448" w:rsidP="000A5448">
      <w:pPr>
        <w:jc w:val="both"/>
        <w:rPr>
          <w:rFonts w:ascii="Arial" w:eastAsia="Calibri" w:hAnsi="Arial" w:cs="Arial"/>
          <w:sz w:val="20"/>
          <w:szCs w:val="20"/>
          <w:highlight w:val="yellow"/>
          <w:lang w:val="es-ES"/>
        </w:rPr>
      </w:pPr>
    </w:p>
    <w:p w14:paraId="7F34566F" w14:textId="77777777" w:rsidR="00536968" w:rsidRPr="009E24D4" w:rsidRDefault="00536968" w:rsidP="00536968">
      <w:pPr>
        <w:jc w:val="both"/>
        <w:rPr>
          <w:rFonts w:ascii="Arial" w:eastAsia="Calibri" w:hAnsi="Arial" w:cs="Arial"/>
          <w:b/>
          <w:bCs/>
          <w:sz w:val="22"/>
          <w:lang w:val="es-CO"/>
        </w:rPr>
      </w:pPr>
      <w:r w:rsidRPr="009E24D4">
        <w:rPr>
          <w:rFonts w:ascii="Arial" w:eastAsia="Calibri" w:hAnsi="Arial" w:cs="Arial"/>
          <w:b/>
          <w:bCs/>
          <w:sz w:val="22"/>
          <w:lang w:val="es-CO"/>
        </w:rPr>
        <w:t>EMPRESAS DE SERVICIOS PÚBLICOS – Naturaleza jurídica especial</w:t>
      </w:r>
    </w:p>
    <w:p w14:paraId="15E4ECF8" w14:textId="77777777" w:rsidR="00536968" w:rsidRPr="009E24D4" w:rsidRDefault="00536968" w:rsidP="00536968">
      <w:pPr>
        <w:jc w:val="both"/>
        <w:rPr>
          <w:rFonts w:ascii="Arial" w:eastAsia="Calibri" w:hAnsi="Arial" w:cs="Arial"/>
          <w:b/>
          <w:sz w:val="20"/>
          <w:szCs w:val="20"/>
          <w:lang w:val="es-CO"/>
        </w:rPr>
      </w:pPr>
    </w:p>
    <w:p w14:paraId="0A639753" w14:textId="09EEC1F3" w:rsidR="00536968" w:rsidRPr="009E24D4" w:rsidRDefault="00FD2183" w:rsidP="00536968">
      <w:pPr>
        <w:jc w:val="both"/>
        <w:rPr>
          <w:rFonts w:ascii="Arial" w:hAnsi="Arial" w:cs="Arial"/>
          <w:sz w:val="20"/>
          <w:szCs w:val="20"/>
          <w:lang w:val="es-CO"/>
        </w:rPr>
      </w:pPr>
      <w:r w:rsidRPr="00FD2183">
        <w:rPr>
          <w:rFonts w:ascii="Arial" w:hAnsi="Arial" w:cs="Arial"/>
          <w:sz w:val="20"/>
          <w:szCs w:val="20"/>
          <w:lang w:val="es-CO"/>
        </w:rPr>
        <w:t>Así las cosas, es impreciso afirmar que existen empresas de servicios públicos, cuya naturaleza jurídica es de sociedad de economía mixta, toda vez que las empresas de servicios públicos tienen una naturaleza jurídica especial conforme al artículo 356 de la Constitución Política. Por ello,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de conformidad con la jurisprudencia constitucional, sin importar su clasificación, todas hacen parte de la Rama Ejecutiva, del sector descentralizado por servicios</w:t>
      </w:r>
      <w:r w:rsidR="00536968" w:rsidRPr="009E24D4">
        <w:rPr>
          <w:rFonts w:ascii="Arial" w:hAnsi="Arial" w:cs="Arial"/>
          <w:sz w:val="20"/>
          <w:szCs w:val="20"/>
          <w:lang w:val="es-CO"/>
        </w:rPr>
        <w:t xml:space="preserve">. </w:t>
      </w:r>
    </w:p>
    <w:p w14:paraId="7CA0F124" w14:textId="77777777" w:rsidR="00536968" w:rsidRPr="009E24D4" w:rsidRDefault="00536968" w:rsidP="00536968">
      <w:pPr>
        <w:jc w:val="both"/>
        <w:rPr>
          <w:rFonts w:ascii="Arial" w:eastAsia="Calibri" w:hAnsi="Arial" w:cs="Arial"/>
          <w:b/>
          <w:sz w:val="20"/>
          <w:szCs w:val="20"/>
          <w:lang w:val="es-CO"/>
        </w:rPr>
      </w:pPr>
    </w:p>
    <w:p w14:paraId="081681CA" w14:textId="0662BA0C" w:rsidR="00536968" w:rsidRPr="009E24D4" w:rsidRDefault="00536968" w:rsidP="00536968">
      <w:pPr>
        <w:jc w:val="both"/>
        <w:rPr>
          <w:rFonts w:ascii="Arial" w:eastAsia="Calibri" w:hAnsi="Arial" w:cs="Arial"/>
          <w:b/>
          <w:sz w:val="22"/>
          <w:lang w:val="es-CO"/>
        </w:rPr>
      </w:pPr>
      <w:r w:rsidRPr="009E24D4">
        <w:rPr>
          <w:rFonts w:ascii="Arial" w:eastAsia="Calibri" w:hAnsi="Arial" w:cs="Arial"/>
          <w:b/>
          <w:sz w:val="22"/>
          <w:lang w:val="es-CO"/>
        </w:rPr>
        <w:t>EMPRESAS DE SERVICIOS P</w:t>
      </w:r>
      <w:r w:rsidR="009E24D4">
        <w:rPr>
          <w:rFonts w:ascii="Arial" w:eastAsia="Calibri" w:hAnsi="Arial" w:cs="Arial"/>
          <w:b/>
          <w:sz w:val="22"/>
          <w:lang w:val="es-CO"/>
        </w:rPr>
        <w:t>Ú</w:t>
      </w:r>
      <w:r w:rsidRPr="009E24D4">
        <w:rPr>
          <w:rFonts w:ascii="Arial" w:eastAsia="Calibri" w:hAnsi="Arial" w:cs="Arial"/>
          <w:b/>
          <w:sz w:val="22"/>
          <w:lang w:val="es-CO"/>
        </w:rPr>
        <w:t xml:space="preserve">BLICOS – Régimen contractual </w:t>
      </w:r>
    </w:p>
    <w:p w14:paraId="627DE55E" w14:textId="77777777" w:rsidR="00536968" w:rsidRPr="009E24D4" w:rsidRDefault="00536968" w:rsidP="00536968">
      <w:pPr>
        <w:jc w:val="both"/>
        <w:rPr>
          <w:rFonts w:ascii="Arial" w:eastAsia="Calibri" w:hAnsi="Arial" w:cs="Arial"/>
          <w:b/>
          <w:sz w:val="20"/>
          <w:szCs w:val="20"/>
          <w:lang w:val="es-CO"/>
        </w:rPr>
      </w:pPr>
    </w:p>
    <w:p w14:paraId="3BD1635D" w14:textId="77777777" w:rsidR="00FD2183" w:rsidRDefault="00FD2183" w:rsidP="00536968">
      <w:pPr>
        <w:jc w:val="both"/>
        <w:rPr>
          <w:rFonts w:ascii="Arial" w:hAnsi="Arial" w:cs="Arial"/>
          <w:sz w:val="20"/>
          <w:szCs w:val="20"/>
          <w:lang w:val="es-CO"/>
        </w:rPr>
      </w:pPr>
      <w:r w:rsidRPr="00FD2183">
        <w:rPr>
          <w:rFonts w:ascii="Arial" w:hAnsi="Arial" w:cs="Arial"/>
          <w:sz w:val="20"/>
          <w:szCs w:val="20"/>
          <w:lang w:val="es-CO"/>
        </w:rPr>
        <w:t xml:space="preserve">Finalmente, 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Por su parte, siguiendo esa misma lógica, el artículo 32 de la Ley 142 dispone que el régimen de los actos de las empresas prestadoras de servicios públicos domiciliarios es el derecho privado. </w:t>
      </w:r>
    </w:p>
    <w:p w14:paraId="642650C2" w14:textId="1C1F79AC" w:rsidR="000A5448" w:rsidRDefault="002114F7" w:rsidP="000A5448">
      <w:pPr>
        <w:jc w:val="both"/>
        <w:rPr>
          <w:rFonts w:ascii="Arial" w:hAnsi="Arial" w:cs="Arial"/>
          <w:sz w:val="20"/>
          <w:szCs w:val="20"/>
          <w:lang w:val="es-CO"/>
        </w:rPr>
      </w:pPr>
      <w:r w:rsidRPr="009E24D4">
        <w:rPr>
          <w:rFonts w:ascii="Arial" w:hAnsi="Arial" w:cs="Arial"/>
          <w:sz w:val="20"/>
          <w:szCs w:val="20"/>
          <w:lang w:val="es-CO"/>
        </w:rPr>
        <w:t xml:space="preserve">[…] </w:t>
      </w:r>
      <w:r w:rsidR="00B14463" w:rsidRPr="00B14463">
        <w:rPr>
          <w:rFonts w:ascii="Arial" w:hAnsi="Arial" w:cs="Arial"/>
          <w:sz w:val="20"/>
          <w:szCs w:val="20"/>
          <w:lang w:val="es-CO"/>
        </w:rPr>
        <w:t>Por ende,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razón por la cual no están sometidas a la Ley 80 de 1993.</w:t>
      </w:r>
    </w:p>
    <w:p w14:paraId="7E8B8DFA" w14:textId="77777777" w:rsidR="00B14463" w:rsidRPr="009E24D4" w:rsidRDefault="00B14463" w:rsidP="000A5448">
      <w:pPr>
        <w:jc w:val="both"/>
        <w:rPr>
          <w:rFonts w:ascii="Arial" w:eastAsia="Calibri" w:hAnsi="Arial" w:cs="Arial"/>
          <w:b/>
          <w:bCs/>
          <w:sz w:val="22"/>
        </w:rPr>
      </w:pPr>
    </w:p>
    <w:p w14:paraId="4FD15D3B" w14:textId="32853AF1" w:rsidR="009E24D4" w:rsidRPr="009E24D4" w:rsidRDefault="009E24D4" w:rsidP="009E24D4">
      <w:pPr>
        <w:jc w:val="both"/>
        <w:rPr>
          <w:rFonts w:ascii="Arial" w:eastAsia="Calibri" w:hAnsi="Arial" w:cs="Arial"/>
          <w:b/>
          <w:bCs/>
          <w:sz w:val="22"/>
          <w:lang w:val="es-CO"/>
        </w:rPr>
      </w:pPr>
      <w:r>
        <w:rPr>
          <w:rFonts w:ascii="Arial" w:eastAsia="Calibri" w:hAnsi="Arial" w:cs="Arial"/>
          <w:b/>
          <w:bCs/>
          <w:sz w:val="22"/>
          <w:lang w:val="es-CO"/>
        </w:rPr>
        <w:t>DOCUMENTOS TIPO</w:t>
      </w:r>
      <w:r w:rsidRPr="009E24D4">
        <w:rPr>
          <w:rFonts w:ascii="Arial" w:eastAsia="Calibri" w:hAnsi="Arial" w:cs="Arial"/>
          <w:b/>
          <w:bCs/>
          <w:sz w:val="22"/>
          <w:lang w:val="es-CO"/>
        </w:rPr>
        <w:t xml:space="preserve"> – </w:t>
      </w:r>
      <w:r>
        <w:rPr>
          <w:rFonts w:ascii="Arial" w:eastAsia="Calibri" w:hAnsi="Arial" w:cs="Arial"/>
          <w:b/>
          <w:bCs/>
          <w:sz w:val="22"/>
          <w:lang w:val="es-CO"/>
        </w:rPr>
        <w:t xml:space="preserve">Agua potable y saneamiento básico </w:t>
      </w:r>
      <w:r w:rsidRPr="009E24D4">
        <w:rPr>
          <w:rFonts w:ascii="Arial" w:eastAsia="Calibri" w:hAnsi="Arial" w:cs="Arial"/>
          <w:b/>
          <w:bCs/>
          <w:sz w:val="22"/>
          <w:lang w:val="es-CO"/>
        </w:rPr>
        <w:t>–</w:t>
      </w:r>
      <w:r>
        <w:rPr>
          <w:rFonts w:ascii="Arial" w:eastAsia="Calibri" w:hAnsi="Arial" w:cs="Arial"/>
          <w:b/>
          <w:bCs/>
          <w:sz w:val="22"/>
          <w:lang w:val="es-CO"/>
        </w:rPr>
        <w:t xml:space="preserve"> Obligatoriedad </w:t>
      </w:r>
      <w:r w:rsidRPr="009E24D4">
        <w:rPr>
          <w:rFonts w:ascii="Arial" w:eastAsia="Calibri" w:hAnsi="Arial" w:cs="Arial"/>
          <w:b/>
          <w:bCs/>
          <w:sz w:val="22"/>
          <w:lang w:val="es-CO"/>
        </w:rPr>
        <w:t>–</w:t>
      </w:r>
      <w:r>
        <w:rPr>
          <w:rFonts w:ascii="Arial" w:eastAsia="Calibri" w:hAnsi="Arial" w:cs="Arial"/>
          <w:b/>
          <w:bCs/>
          <w:sz w:val="22"/>
          <w:lang w:val="es-CO"/>
        </w:rPr>
        <w:t xml:space="preserve"> Empresas de servicios públicos</w:t>
      </w:r>
    </w:p>
    <w:p w14:paraId="2DF28164" w14:textId="77777777" w:rsidR="009E24D4" w:rsidRPr="009E24D4" w:rsidRDefault="009E24D4" w:rsidP="009E24D4">
      <w:pPr>
        <w:jc w:val="both"/>
        <w:rPr>
          <w:rFonts w:ascii="Arial" w:eastAsia="Calibri" w:hAnsi="Arial" w:cs="Arial"/>
          <w:b/>
          <w:sz w:val="20"/>
          <w:szCs w:val="20"/>
          <w:lang w:val="es-CO"/>
        </w:rPr>
      </w:pPr>
    </w:p>
    <w:p w14:paraId="3DF18E9F" w14:textId="51CBE8D4" w:rsidR="00B14463" w:rsidRDefault="00B14463" w:rsidP="00B14463">
      <w:pPr>
        <w:jc w:val="both"/>
        <w:rPr>
          <w:rFonts w:ascii="Arial" w:hAnsi="Arial" w:cs="Arial"/>
          <w:sz w:val="20"/>
          <w:szCs w:val="20"/>
          <w:lang w:val="es-CO"/>
        </w:rPr>
      </w:pPr>
      <w:r w:rsidRPr="00B14463">
        <w:rPr>
          <w:rFonts w:ascii="Arial" w:hAnsi="Arial" w:cs="Arial"/>
          <w:sz w:val="20"/>
          <w:szCs w:val="20"/>
          <w:lang w:val="es-CO"/>
        </w:rPr>
        <w:t>El artículo 2 de estas resoluciones señala que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Por tanto, se destaca la obligatoriedad de los documentos tipo de infraestructura de agua potable y saneamiento básico, para las entidades regidas por la Ley 80 de 1993 y sus normas complementarias, excluyéndose a las entidades con regímenes especiales de contratación.</w:t>
      </w:r>
    </w:p>
    <w:p w14:paraId="16AFF518" w14:textId="77777777" w:rsidR="00B14463" w:rsidRPr="00B14463" w:rsidRDefault="00B14463" w:rsidP="00B14463">
      <w:pPr>
        <w:jc w:val="both"/>
        <w:rPr>
          <w:rFonts w:ascii="Arial" w:hAnsi="Arial" w:cs="Arial"/>
          <w:sz w:val="20"/>
          <w:szCs w:val="20"/>
          <w:lang w:val="es-CO"/>
        </w:rPr>
      </w:pPr>
    </w:p>
    <w:p w14:paraId="71D78772" w14:textId="76F93750" w:rsidR="009E24D4" w:rsidRPr="009E24D4" w:rsidRDefault="00B14463" w:rsidP="00B14463">
      <w:pPr>
        <w:jc w:val="both"/>
        <w:rPr>
          <w:rFonts w:ascii="Arial" w:eastAsia="Calibri" w:hAnsi="Arial" w:cs="Arial"/>
          <w:b/>
          <w:sz w:val="20"/>
          <w:szCs w:val="20"/>
          <w:lang w:val="es-CO"/>
        </w:rPr>
      </w:pPr>
      <w:r w:rsidRPr="00B14463">
        <w:rPr>
          <w:rFonts w:ascii="Arial" w:hAnsi="Arial" w:cs="Arial"/>
          <w:sz w:val="20"/>
          <w:szCs w:val="20"/>
          <w:lang w:val="es-CO"/>
        </w:rPr>
        <w:t>Así, de acuerdo con lo señalado previamente respecto del régimen de contratación de las empresas de servicios públicos, esto es, que se rigen por el derecho privado de conformidad con los artículos 31 y 32 de la Ley 142 de 1994 citado, los documentos tipo de infraestructura de agua potable y saneamiento básico no son de obligatorio cumplimiento para las empresas de servicios públicos cuando estas adelanten contratos de este tipo de obra pública.</w:t>
      </w:r>
    </w:p>
    <w:p w14:paraId="30F5D4ED" w14:textId="29FF3545" w:rsidR="000A5448" w:rsidRDefault="000A5448" w:rsidP="000A5448">
      <w:pPr>
        <w:rPr>
          <w:rFonts w:ascii="Arial" w:eastAsia="Calibri" w:hAnsi="Arial" w:cs="Arial"/>
          <w:sz w:val="22"/>
          <w:lang w:val="es-CO"/>
        </w:rPr>
      </w:pPr>
    </w:p>
    <w:p w14:paraId="3EAB5B34" w14:textId="4ED6AA23" w:rsidR="00587452" w:rsidRDefault="00587452" w:rsidP="000A5448">
      <w:pPr>
        <w:rPr>
          <w:rFonts w:ascii="Arial" w:eastAsia="Calibri" w:hAnsi="Arial" w:cs="Arial"/>
          <w:sz w:val="22"/>
          <w:lang w:val="es-CO"/>
        </w:rPr>
      </w:pPr>
    </w:p>
    <w:p w14:paraId="1C49EF29" w14:textId="5B68C7B1" w:rsidR="00587452" w:rsidRDefault="00587452" w:rsidP="000A5448">
      <w:pPr>
        <w:rPr>
          <w:rFonts w:ascii="Arial" w:eastAsia="Calibri" w:hAnsi="Arial" w:cs="Arial"/>
          <w:sz w:val="22"/>
          <w:lang w:val="es-CO"/>
        </w:rPr>
      </w:pPr>
    </w:p>
    <w:p w14:paraId="5DC1BC4C" w14:textId="6C619822" w:rsidR="00587452" w:rsidRDefault="00587452" w:rsidP="000A5448">
      <w:pPr>
        <w:rPr>
          <w:rFonts w:ascii="Arial" w:eastAsia="Calibri" w:hAnsi="Arial" w:cs="Arial"/>
          <w:sz w:val="22"/>
          <w:lang w:val="es-CO"/>
        </w:rPr>
      </w:pPr>
    </w:p>
    <w:p w14:paraId="77163919" w14:textId="2A9971E3" w:rsidR="00587452" w:rsidRDefault="00587452" w:rsidP="000A5448">
      <w:pPr>
        <w:rPr>
          <w:rFonts w:ascii="Arial" w:eastAsia="Calibri" w:hAnsi="Arial" w:cs="Arial"/>
          <w:sz w:val="22"/>
          <w:lang w:val="es-CO"/>
        </w:rPr>
      </w:pPr>
    </w:p>
    <w:p w14:paraId="5BB2EA67" w14:textId="77777777" w:rsidR="00587452" w:rsidRPr="009E24D4" w:rsidRDefault="00587452" w:rsidP="000A5448">
      <w:pPr>
        <w:rPr>
          <w:rFonts w:ascii="Arial" w:eastAsia="Calibri" w:hAnsi="Arial" w:cs="Arial"/>
          <w:sz w:val="22"/>
          <w:lang w:val="es-CO"/>
        </w:rPr>
      </w:pPr>
    </w:p>
    <w:p w14:paraId="61F65738" w14:textId="2789BB9D" w:rsidR="000A5448" w:rsidRDefault="0036075C" w:rsidP="000A5448">
      <w:pPr>
        <w:rPr>
          <w:rFonts w:ascii="Arial" w:eastAsia="Calibri" w:hAnsi="Arial" w:cs="Arial"/>
          <w:sz w:val="22"/>
        </w:rPr>
      </w:pPr>
      <w:r>
        <w:rPr>
          <w:rFonts w:ascii="Arial" w:eastAsia="Calibri" w:hAnsi="Arial" w:cs="Arial"/>
          <w:sz w:val="22"/>
        </w:rPr>
        <w:t>Bogotá D.C., 16 de marzo de 2021</w:t>
      </w:r>
    </w:p>
    <w:p w14:paraId="18C0C652" w14:textId="63F6DF42" w:rsidR="0036075C" w:rsidRPr="0036075C" w:rsidRDefault="00F874AF" w:rsidP="0036075C">
      <w:pPr>
        <w:jc w:val="right"/>
        <w:rPr>
          <w:rFonts w:ascii="Arial" w:eastAsia="Calibri" w:hAnsi="Arial" w:cs="Arial"/>
          <w:b/>
          <w:bCs/>
          <w:sz w:val="22"/>
        </w:rPr>
      </w:pPr>
      <w:r w:rsidRPr="00F874AF">
        <w:rPr>
          <w:rFonts w:ascii="Arial" w:eastAsia="Calibri" w:hAnsi="Arial" w:cs="Arial"/>
          <w:b/>
          <w:bCs/>
          <w:sz w:val="22"/>
        </w:rPr>
        <w:drawing>
          <wp:inline distT="0" distB="0" distL="0" distR="0" wp14:anchorId="10DFD832" wp14:editId="593079CE">
            <wp:extent cx="2698675" cy="756582"/>
            <wp:effectExtent l="0" t="0" r="6985" b="571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722861" cy="763363"/>
                    </a:xfrm>
                    <a:prstGeom prst="rect">
                      <a:avLst/>
                    </a:prstGeom>
                  </pic:spPr>
                </pic:pic>
              </a:graphicData>
            </a:graphic>
          </wp:inline>
        </w:drawing>
      </w:r>
    </w:p>
    <w:p w14:paraId="25331E2A" w14:textId="77777777" w:rsidR="00013D8B" w:rsidRDefault="00013D8B" w:rsidP="000A5448">
      <w:pPr>
        <w:rPr>
          <w:rFonts w:ascii="Arial" w:eastAsia="Calibri" w:hAnsi="Arial" w:cs="Arial"/>
          <w:sz w:val="22"/>
        </w:rPr>
      </w:pPr>
    </w:p>
    <w:p w14:paraId="1A394D5F" w14:textId="77777777" w:rsidR="00013D8B" w:rsidRDefault="00013D8B" w:rsidP="000A5448">
      <w:pPr>
        <w:rPr>
          <w:rFonts w:ascii="Arial" w:eastAsia="Calibri" w:hAnsi="Arial" w:cs="Arial"/>
          <w:sz w:val="22"/>
        </w:rPr>
      </w:pPr>
    </w:p>
    <w:p w14:paraId="427CF85A" w14:textId="3518F9F0" w:rsidR="000A5448" w:rsidRPr="009E24D4" w:rsidRDefault="000A5448" w:rsidP="000A5448">
      <w:pPr>
        <w:rPr>
          <w:rFonts w:ascii="Arial" w:eastAsia="Calibri" w:hAnsi="Arial" w:cs="Arial"/>
          <w:sz w:val="22"/>
        </w:rPr>
      </w:pPr>
      <w:bookmarkStart w:id="4" w:name="_Hlk66785125"/>
      <w:r w:rsidRPr="009E24D4">
        <w:rPr>
          <w:rFonts w:ascii="Arial" w:eastAsia="Calibri" w:hAnsi="Arial" w:cs="Arial"/>
          <w:sz w:val="22"/>
        </w:rPr>
        <w:t>Señora</w:t>
      </w:r>
    </w:p>
    <w:p w14:paraId="4F507BF2" w14:textId="0C339EA1" w:rsidR="000A5448" w:rsidRPr="009E24D4" w:rsidRDefault="00536968" w:rsidP="000A5448">
      <w:pPr>
        <w:rPr>
          <w:rFonts w:ascii="Arial" w:eastAsia="Calibri" w:hAnsi="Arial" w:cs="Arial"/>
          <w:b/>
          <w:sz w:val="22"/>
        </w:rPr>
      </w:pPr>
      <w:r w:rsidRPr="009E24D4">
        <w:rPr>
          <w:rFonts w:ascii="Arial" w:eastAsia="Calibri" w:hAnsi="Arial" w:cs="Arial"/>
          <w:b/>
          <w:sz w:val="22"/>
        </w:rPr>
        <w:t>Andrea C</w:t>
      </w:r>
      <w:r w:rsidR="0064757C" w:rsidRPr="009E24D4">
        <w:rPr>
          <w:rFonts w:ascii="Arial" w:eastAsia="Calibri" w:hAnsi="Arial" w:cs="Arial"/>
          <w:b/>
          <w:sz w:val="22"/>
        </w:rPr>
        <w:t xml:space="preserve">edeño </w:t>
      </w:r>
      <w:proofErr w:type="spellStart"/>
      <w:r w:rsidR="0064757C" w:rsidRPr="009E24D4">
        <w:rPr>
          <w:rFonts w:ascii="Arial" w:eastAsia="Calibri" w:hAnsi="Arial" w:cs="Arial"/>
          <w:b/>
          <w:sz w:val="22"/>
        </w:rPr>
        <w:t>Gallardo</w:t>
      </w:r>
      <w:proofErr w:type="spellEnd"/>
    </w:p>
    <w:p w14:paraId="5DAFD84A" w14:textId="5963B925" w:rsidR="000A5448" w:rsidRPr="009E24D4" w:rsidRDefault="009D24D3" w:rsidP="000A5448">
      <w:pPr>
        <w:rPr>
          <w:rFonts w:ascii="Arial" w:eastAsia="Calibri" w:hAnsi="Arial" w:cs="Arial"/>
          <w:sz w:val="22"/>
        </w:rPr>
      </w:pPr>
      <w:r w:rsidRPr="009E24D4">
        <w:rPr>
          <w:rFonts w:ascii="Arial" w:eastAsia="Calibri" w:hAnsi="Arial" w:cs="Arial"/>
          <w:sz w:val="22"/>
        </w:rPr>
        <w:t>Bogotá D.C.</w:t>
      </w:r>
    </w:p>
    <w:p w14:paraId="3E0985DF" w14:textId="77777777" w:rsidR="000A5448" w:rsidRPr="009E24D4" w:rsidRDefault="000A5448" w:rsidP="000A5448">
      <w:pPr>
        <w:rPr>
          <w:rFonts w:ascii="Arial" w:eastAsia="Calibri" w:hAnsi="Arial" w:cs="Arial"/>
          <w:b/>
          <w:bCs/>
          <w:sz w:val="22"/>
        </w:rPr>
      </w:pPr>
    </w:p>
    <w:p w14:paraId="0E618093" w14:textId="77777777" w:rsidR="000A5448" w:rsidRPr="009E24D4" w:rsidRDefault="000A5448" w:rsidP="000A5448">
      <w:pPr>
        <w:rPr>
          <w:rFonts w:ascii="Arial" w:eastAsia="Calibri" w:hAnsi="Arial" w:cs="Arial"/>
          <w:b/>
          <w:bCs/>
          <w:sz w:val="22"/>
        </w:rPr>
      </w:pPr>
    </w:p>
    <w:p w14:paraId="4D8E4298" w14:textId="4E974521" w:rsidR="000A5448" w:rsidRPr="009E24D4" w:rsidRDefault="000A5448" w:rsidP="000A5448">
      <w:pPr>
        <w:rPr>
          <w:rFonts w:ascii="Arial" w:eastAsia="Calibri" w:hAnsi="Arial" w:cs="Arial"/>
          <w:b/>
          <w:bCs/>
          <w:sz w:val="22"/>
        </w:rPr>
      </w:pPr>
      <w:r w:rsidRPr="009E24D4">
        <w:rPr>
          <w:rFonts w:ascii="Arial" w:eastAsia="Calibri" w:hAnsi="Arial" w:cs="Arial"/>
          <w:b/>
          <w:bCs/>
          <w:sz w:val="22"/>
        </w:rPr>
        <w:t xml:space="preserve">                                            Concepto C</w:t>
      </w:r>
      <w:r w:rsidR="00B03933" w:rsidRPr="009E24D4">
        <w:rPr>
          <w:rFonts w:ascii="Arial" w:eastAsia="Calibri" w:hAnsi="Arial" w:cs="Arial"/>
          <w:b/>
          <w:bCs/>
          <w:sz w:val="22"/>
        </w:rPr>
        <w:t xml:space="preserve"> </w:t>
      </w:r>
      <w:r w:rsidRPr="009E24D4">
        <w:rPr>
          <w:rFonts w:ascii="Arial" w:eastAsia="Calibri" w:hAnsi="Arial" w:cs="Arial"/>
          <w:b/>
          <w:bCs/>
          <w:sz w:val="22"/>
        </w:rPr>
        <w:t xml:space="preserve">‒ </w:t>
      </w:r>
      <w:r w:rsidR="0064757C" w:rsidRPr="009E24D4">
        <w:rPr>
          <w:rFonts w:ascii="Arial" w:eastAsia="Calibri" w:hAnsi="Arial" w:cs="Arial"/>
          <w:b/>
          <w:bCs/>
          <w:sz w:val="22"/>
        </w:rPr>
        <w:t>072</w:t>
      </w:r>
      <w:r w:rsidRPr="009E24D4">
        <w:rPr>
          <w:rFonts w:ascii="Arial" w:eastAsia="Calibri" w:hAnsi="Arial" w:cs="Arial"/>
          <w:b/>
          <w:bCs/>
          <w:sz w:val="22"/>
        </w:rPr>
        <w:t xml:space="preserve"> de 202</w:t>
      </w:r>
      <w:r w:rsidR="0064757C" w:rsidRPr="009E24D4">
        <w:rPr>
          <w:rFonts w:ascii="Arial" w:eastAsia="Calibri" w:hAnsi="Arial" w:cs="Arial"/>
          <w:b/>
          <w:bCs/>
          <w:sz w:val="22"/>
        </w:rPr>
        <w:t>1</w:t>
      </w:r>
    </w:p>
    <w:p w14:paraId="659DAE16" w14:textId="77777777" w:rsidR="000A5448" w:rsidRPr="009E24D4" w:rsidRDefault="000A5448" w:rsidP="000A5448">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E24D4" w:rsidRPr="009E24D4" w14:paraId="645B7E8A" w14:textId="77777777" w:rsidTr="000A5448">
        <w:tc>
          <w:tcPr>
            <w:tcW w:w="2689" w:type="dxa"/>
          </w:tcPr>
          <w:p w14:paraId="5F1B6EE1" w14:textId="77777777" w:rsidR="000A5448" w:rsidRPr="009E24D4" w:rsidRDefault="000A5448">
            <w:pPr>
              <w:rPr>
                <w:rFonts w:ascii="Arial" w:eastAsia="Calibri" w:hAnsi="Arial" w:cs="Arial"/>
                <w:sz w:val="22"/>
              </w:rPr>
            </w:pPr>
            <w:r w:rsidRPr="009E24D4">
              <w:rPr>
                <w:rFonts w:ascii="Arial" w:eastAsia="Calibri" w:hAnsi="Arial" w:cs="Arial"/>
                <w:b/>
                <w:sz w:val="22"/>
              </w:rPr>
              <w:t>Temas:</w:t>
            </w:r>
            <w:r w:rsidRPr="009E24D4">
              <w:rPr>
                <w:rFonts w:ascii="Arial" w:eastAsia="Calibri" w:hAnsi="Arial" w:cs="Arial"/>
                <w:sz w:val="22"/>
              </w:rPr>
              <w:t xml:space="preserve">                                      </w:t>
            </w:r>
          </w:p>
        </w:tc>
        <w:tc>
          <w:tcPr>
            <w:tcW w:w="6237" w:type="dxa"/>
            <w:hideMark/>
          </w:tcPr>
          <w:p w14:paraId="3A798E79" w14:textId="54B34DC4" w:rsidR="000A5448" w:rsidRPr="009E24D4" w:rsidRDefault="00536968" w:rsidP="00F41674">
            <w:pPr>
              <w:spacing w:after="120"/>
              <w:jc w:val="both"/>
              <w:rPr>
                <w:rFonts w:ascii="Arial" w:eastAsia="Calibri" w:hAnsi="Arial" w:cs="Arial"/>
                <w:sz w:val="22"/>
                <w:highlight w:val="yellow"/>
              </w:rPr>
            </w:pPr>
            <w:r w:rsidRPr="009E24D4">
              <w:rPr>
                <w:rFonts w:ascii="Arial" w:eastAsia="Calibri" w:hAnsi="Arial" w:cs="Arial"/>
                <w:sz w:val="22"/>
              </w:rPr>
              <w:t>EMPRESAS DE SERVICIOS PÚBLICOS – Naturaleza jurídica especial / EMPRESAS DE SERVICIOS PUBLICOS – Régimen contractual</w:t>
            </w:r>
            <w:r w:rsidR="00587452">
              <w:rPr>
                <w:rFonts w:ascii="Arial" w:eastAsia="Calibri" w:hAnsi="Arial" w:cs="Arial"/>
                <w:sz w:val="22"/>
              </w:rPr>
              <w:t xml:space="preserve"> / </w:t>
            </w:r>
            <w:r w:rsidR="00587452" w:rsidRPr="00587452">
              <w:rPr>
                <w:rFonts w:ascii="Arial" w:eastAsia="Calibri" w:hAnsi="Arial" w:cs="Arial"/>
                <w:sz w:val="22"/>
              </w:rPr>
              <w:t>DOCUMENTOS TIPO – Agua potable y saneamiento básico – Obligatoriedad – Empresas de servicios públicos</w:t>
            </w:r>
          </w:p>
        </w:tc>
      </w:tr>
      <w:tr w:rsidR="000A5448" w:rsidRPr="009E24D4" w14:paraId="4165F079" w14:textId="77777777" w:rsidTr="000A5448">
        <w:tc>
          <w:tcPr>
            <w:tcW w:w="2689" w:type="dxa"/>
            <w:hideMark/>
          </w:tcPr>
          <w:p w14:paraId="25125205" w14:textId="77777777" w:rsidR="000A5448" w:rsidRPr="009E24D4" w:rsidRDefault="000A5448">
            <w:pPr>
              <w:rPr>
                <w:rFonts w:ascii="Arial" w:eastAsia="Calibri" w:hAnsi="Arial" w:cs="Arial"/>
                <w:b/>
                <w:sz w:val="22"/>
              </w:rPr>
            </w:pPr>
            <w:r w:rsidRPr="009E24D4">
              <w:rPr>
                <w:rFonts w:ascii="Arial" w:eastAsia="Calibri" w:hAnsi="Arial" w:cs="Arial"/>
                <w:b/>
                <w:sz w:val="22"/>
              </w:rPr>
              <w:t>Radicación:</w:t>
            </w:r>
            <w:r w:rsidRPr="009E24D4">
              <w:rPr>
                <w:rFonts w:ascii="Arial" w:eastAsia="Calibri" w:hAnsi="Arial" w:cs="Arial"/>
                <w:sz w:val="22"/>
              </w:rPr>
              <w:t xml:space="preserve">                              </w:t>
            </w:r>
          </w:p>
        </w:tc>
        <w:tc>
          <w:tcPr>
            <w:tcW w:w="6237" w:type="dxa"/>
            <w:hideMark/>
          </w:tcPr>
          <w:p w14:paraId="4AE15425" w14:textId="25993D3E" w:rsidR="000A5448" w:rsidRPr="009E24D4" w:rsidRDefault="000A5448">
            <w:pPr>
              <w:jc w:val="both"/>
              <w:rPr>
                <w:rFonts w:ascii="Arial" w:eastAsia="Calibri" w:hAnsi="Arial" w:cs="Arial"/>
                <w:sz w:val="22"/>
              </w:rPr>
            </w:pPr>
            <w:r w:rsidRPr="009E24D4">
              <w:rPr>
                <w:rFonts w:ascii="Arial" w:eastAsia="Calibri" w:hAnsi="Arial" w:cs="Arial"/>
                <w:sz w:val="22"/>
              </w:rPr>
              <w:t xml:space="preserve">Respuesta consulta # </w:t>
            </w:r>
            <w:r w:rsidR="0064757C" w:rsidRPr="009E24D4">
              <w:rPr>
                <w:rFonts w:ascii="Arial" w:eastAsia="Calibri" w:hAnsi="Arial" w:cs="Arial"/>
                <w:sz w:val="22"/>
              </w:rPr>
              <w:t>P20210203000845</w:t>
            </w:r>
          </w:p>
        </w:tc>
      </w:tr>
    </w:tbl>
    <w:p w14:paraId="7EC73469" w14:textId="77777777" w:rsidR="000A5448" w:rsidRPr="009E24D4" w:rsidRDefault="000A5448" w:rsidP="000A5448">
      <w:pPr>
        <w:jc w:val="both"/>
        <w:rPr>
          <w:rFonts w:ascii="Arial" w:eastAsia="Calibri" w:hAnsi="Arial" w:cs="Arial"/>
          <w:b/>
          <w:bCs/>
          <w:sz w:val="22"/>
        </w:rPr>
      </w:pPr>
    </w:p>
    <w:p w14:paraId="3B3293E9" w14:textId="77777777" w:rsidR="000A5448" w:rsidRPr="009E24D4" w:rsidRDefault="000A5448" w:rsidP="000A5448">
      <w:pPr>
        <w:rPr>
          <w:rFonts w:ascii="Arial" w:eastAsia="Calibri" w:hAnsi="Arial" w:cs="Arial"/>
          <w:sz w:val="22"/>
        </w:rPr>
      </w:pPr>
    </w:p>
    <w:p w14:paraId="1E611D8D" w14:textId="7F6E3190" w:rsidR="000A5448" w:rsidRPr="009E24D4" w:rsidRDefault="000A5448" w:rsidP="000A5448">
      <w:pPr>
        <w:spacing w:line="276" w:lineRule="auto"/>
        <w:jc w:val="both"/>
        <w:rPr>
          <w:rFonts w:ascii="Arial" w:eastAsia="Calibri" w:hAnsi="Arial" w:cs="Arial"/>
          <w:sz w:val="22"/>
        </w:rPr>
      </w:pPr>
      <w:r w:rsidRPr="009E24D4">
        <w:rPr>
          <w:rFonts w:ascii="Arial" w:eastAsia="Calibri" w:hAnsi="Arial" w:cs="Arial"/>
          <w:sz w:val="22"/>
        </w:rPr>
        <w:t xml:space="preserve">Estimada señora </w:t>
      </w:r>
      <w:r w:rsidR="0064757C" w:rsidRPr="009E24D4">
        <w:rPr>
          <w:rFonts w:ascii="Arial" w:eastAsia="Calibri" w:hAnsi="Arial" w:cs="Arial"/>
          <w:sz w:val="22"/>
        </w:rPr>
        <w:t>Cedeño</w:t>
      </w:r>
      <w:r w:rsidRPr="009E24D4">
        <w:rPr>
          <w:rFonts w:ascii="Arial" w:eastAsia="Calibri" w:hAnsi="Arial" w:cs="Arial"/>
          <w:sz w:val="22"/>
        </w:rPr>
        <w:t>:</w:t>
      </w:r>
    </w:p>
    <w:p w14:paraId="0EB75DC7" w14:textId="77777777" w:rsidR="000A5448" w:rsidRPr="009E24D4" w:rsidRDefault="000A5448" w:rsidP="000A5448">
      <w:pPr>
        <w:spacing w:line="276" w:lineRule="auto"/>
        <w:jc w:val="both"/>
        <w:rPr>
          <w:rFonts w:ascii="Arial" w:eastAsia="Calibri" w:hAnsi="Arial" w:cs="Arial"/>
          <w:sz w:val="22"/>
        </w:rPr>
      </w:pPr>
    </w:p>
    <w:p w14:paraId="2B954D92" w14:textId="7F2DA5A0" w:rsidR="000A5448" w:rsidRPr="009E24D4" w:rsidRDefault="000A5448" w:rsidP="000A5448">
      <w:pPr>
        <w:spacing w:line="276" w:lineRule="auto"/>
        <w:jc w:val="both"/>
        <w:rPr>
          <w:rFonts w:ascii="Arial" w:eastAsia="Calibri" w:hAnsi="Arial" w:cs="Arial"/>
          <w:sz w:val="22"/>
        </w:rPr>
      </w:pPr>
      <w:r w:rsidRPr="009E24D4">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7F4145" w:rsidRPr="009E24D4">
        <w:rPr>
          <w:rFonts w:ascii="Arial" w:eastAsia="Calibri" w:hAnsi="Arial" w:cs="Arial"/>
          <w:sz w:val="22"/>
        </w:rPr>
        <w:t>–</w:t>
      </w:r>
      <w:r w:rsidRPr="009E24D4">
        <w:rPr>
          <w:rFonts w:ascii="Arial" w:eastAsia="Calibri" w:hAnsi="Arial" w:cs="Arial"/>
          <w:sz w:val="22"/>
        </w:rPr>
        <w:t xml:space="preserve"> Colombia Compra Eficiente responde su consulta </w:t>
      </w:r>
      <w:r w:rsidR="00906A16" w:rsidRPr="009E24D4">
        <w:rPr>
          <w:rFonts w:ascii="Arial" w:eastAsia="Calibri" w:hAnsi="Arial" w:cs="Arial"/>
          <w:sz w:val="22"/>
        </w:rPr>
        <w:t>d</w:t>
      </w:r>
      <w:r w:rsidRPr="009E24D4">
        <w:rPr>
          <w:rFonts w:ascii="Arial" w:eastAsia="Calibri" w:hAnsi="Arial" w:cs="Arial"/>
          <w:sz w:val="22"/>
        </w:rPr>
        <w:t>el</w:t>
      </w:r>
      <w:r w:rsidR="00EE0282" w:rsidRPr="009E24D4">
        <w:rPr>
          <w:rFonts w:ascii="Arial" w:eastAsia="Calibri" w:hAnsi="Arial" w:cs="Arial"/>
          <w:sz w:val="22"/>
        </w:rPr>
        <w:t xml:space="preserve"> </w:t>
      </w:r>
      <w:r w:rsidR="00906A16" w:rsidRPr="009E24D4">
        <w:rPr>
          <w:rFonts w:ascii="Arial" w:eastAsia="Calibri" w:hAnsi="Arial" w:cs="Arial"/>
          <w:sz w:val="22"/>
        </w:rPr>
        <w:t>2</w:t>
      </w:r>
      <w:r w:rsidRPr="009E24D4">
        <w:rPr>
          <w:rFonts w:ascii="Arial" w:eastAsia="Calibri" w:hAnsi="Arial" w:cs="Arial"/>
          <w:sz w:val="22"/>
        </w:rPr>
        <w:t xml:space="preserve"> de </w:t>
      </w:r>
      <w:r w:rsidR="00906A16" w:rsidRPr="009E24D4">
        <w:rPr>
          <w:rFonts w:ascii="Arial" w:eastAsia="Calibri" w:hAnsi="Arial" w:cs="Arial"/>
          <w:sz w:val="22"/>
        </w:rPr>
        <w:t>febrero</w:t>
      </w:r>
      <w:r w:rsidRPr="009E24D4">
        <w:rPr>
          <w:rFonts w:ascii="Arial" w:eastAsia="Calibri" w:hAnsi="Arial" w:cs="Arial"/>
          <w:sz w:val="22"/>
        </w:rPr>
        <w:t xml:space="preserve"> del 202</w:t>
      </w:r>
      <w:r w:rsidR="00906A16" w:rsidRPr="009E24D4">
        <w:rPr>
          <w:rFonts w:ascii="Arial" w:eastAsia="Calibri" w:hAnsi="Arial" w:cs="Arial"/>
          <w:sz w:val="22"/>
        </w:rPr>
        <w:t>1</w:t>
      </w:r>
      <w:r w:rsidR="00536968" w:rsidRPr="009E24D4">
        <w:rPr>
          <w:rFonts w:ascii="Arial" w:eastAsia="Calibri" w:hAnsi="Arial" w:cs="Arial"/>
          <w:sz w:val="22"/>
        </w:rPr>
        <w:t>.</w:t>
      </w:r>
    </w:p>
    <w:p w14:paraId="19CDAF4F" w14:textId="77777777" w:rsidR="000A5448" w:rsidRPr="009E24D4" w:rsidRDefault="000A5448" w:rsidP="000A5448">
      <w:pPr>
        <w:spacing w:line="276" w:lineRule="auto"/>
        <w:jc w:val="both"/>
        <w:rPr>
          <w:rFonts w:ascii="Arial" w:eastAsia="Calibri" w:hAnsi="Arial" w:cs="Arial"/>
          <w:b/>
          <w:sz w:val="22"/>
        </w:rPr>
      </w:pPr>
    </w:p>
    <w:p w14:paraId="02CB384E" w14:textId="76F418B4" w:rsidR="000A5448" w:rsidRPr="009E24D4" w:rsidRDefault="000A5448" w:rsidP="000A5448">
      <w:pPr>
        <w:pStyle w:val="Prrafodelista"/>
        <w:tabs>
          <w:tab w:val="left" w:pos="0"/>
          <w:tab w:val="left" w:pos="142"/>
          <w:tab w:val="left" w:pos="284"/>
        </w:tabs>
        <w:spacing w:line="276" w:lineRule="auto"/>
        <w:ind w:left="0"/>
        <w:jc w:val="both"/>
        <w:rPr>
          <w:rFonts w:ascii="Arial" w:eastAsia="Calibri" w:hAnsi="Arial" w:cs="Arial"/>
          <w:b/>
          <w:sz w:val="22"/>
        </w:rPr>
      </w:pPr>
      <w:r w:rsidRPr="009E24D4">
        <w:rPr>
          <w:rFonts w:ascii="Arial" w:eastAsia="Calibri" w:hAnsi="Arial" w:cs="Arial"/>
          <w:b/>
          <w:sz w:val="22"/>
        </w:rPr>
        <w:t>1. Problema</w:t>
      </w:r>
      <w:r w:rsidR="00536968" w:rsidRPr="009E24D4">
        <w:rPr>
          <w:rFonts w:ascii="Arial" w:eastAsia="Calibri" w:hAnsi="Arial" w:cs="Arial"/>
          <w:b/>
          <w:sz w:val="22"/>
        </w:rPr>
        <w:t xml:space="preserve"> </w:t>
      </w:r>
      <w:r w:rsidRPr="009E24D4">
        <w:rPr>
          <w:rFonts w:ascii="Arial" w:eastAsia="Calibri" w:hAnsi="Arial" w:cs="Arial"/>
          <w:b/>
          <w:sz w:val="22"/>
        </w:rPr>
        <w:t>planteado</w:t>
      </w:r>
    </w:p>
    <w:p w14:paraId="493BAA34" w14:textId="77777777" w:rsidR="000A5448" w:rsidRPr="009E24D4" w:rsidRDefault="000A5448" w:rsidP="000A5448">
      <w:pPr>
        <w:tabs>
          <w:tab w:val="left" w:pos="426"/>
        </w:tabs>
        <w:spacing w:line="276" w:lineRule="auto"/>
        <w:jc w:val="both"/>
        <w:rPr>
          <w:rFonts w:ascii="Arial" w:eastAsia="Calibri" w:hAnsi="Arial" w:cs="Arial"/>
          <w:b/>
          <w:sz w:val="22"/>
        </w:rPr>
      </w:pPr>
    </w:p>
    <w:p w14:paraId="10FD6AA2" w14:textId="7652AABA" w:rsidR="000A5448" w:rsidRPr="009E24D4" w:rsidRDefault="000A5448" w:rsidP="0037392A">
      <w:pPr>
        <w:tabs>
          <w:tab w:val="left" w:pos="426"/>
        </w:tabs>
        <w:spacing w:line="276" w:lineRule="auto"/>
        <w:jc w:val="both"/>
        <w:rPr>
          <w:rFonts w:ascii="Arial" w:eastAsia="Calibri" w:hAnsi="Arial" w:cs="Arial"/>
          <w:sz w:val="22"/>
        </w:rPr>
      </w:pPr>
      <w:bookmarkStart w:id="5" w:name="_Hlk45491920"/>
      <w:r w:rsidRPr="009E24D4">
        <w:rPr>
          <w:rFonts w:ascii="Arial" w:eastAsia="Calibri" w:hAnsi="Arial" w:cs="Arial"/>
          <w:sz w:val="22"/>
        </w:rPr>
        <w:t>Usted formuló la siguiente pregunta:</w:t>
      </w:r>
      <w:r w:rsidR="00FF3AB8" w:rsidRPr="009E24D4">
        <w:rPr>
          <w:rFonts w:ascii="Arial" w:eastAsia="Calibri" w:hAnsi="Arial" w:cs="Arial"/>
          <w:sz w:val="22"/>
        </w:rPr>
        <w:t xml:space="preserve"> «</w:t>
      </w:r>
      <w:r w:rsidR="001628CF" w:rsidRPr="009E24D4">
        <w:rPr>
          <w:rFonts w:ascii="Arial" w:eastAsia="Calibri" w:hAnsi="Arial" w:cs="Arial"/>
          <w:sz w:val="22"/>
        </w:rPr>
        <w:t>¿Frente a la ejecución de los recursos provenientes del Sistema General de Regalías (SGR), aprobados por OCAD, para que su ejecutor sea una entidad con régimen especial (empresa de servicios públicos) y no la entidad territorial, podría la primera, contratar la obra alejándose de la nueva directriz (documentos tipo para los procesos de licitación pública para obras de infraestructura de agua potable y saneamiento básico) y dar aplicación a las reglas adoptadas vía manual de contratación?</w:t>
      </w:r>
      <w:r w:rsidRPr="009E24D4">
        <w:rPr>
          <w:rFonts w:ascii="Arial" w:hAnsi="Arial" w:cs="Arial"/>
          <w:sz w:val="22"/>
        </w:rPr>
        <w:t>»</w:t>
      </w:r>
      <w:bookmarkEnd w:id="5"/>
      <w:r w:rsidRPr="009E24D4">
        <w:rPr>
          <w:rFonts w:ascii="Arial" w:eastAsia="Calibri" w:hAnsi="Arial" w:cs="Arial"/>
          <w:sz w:val="22"/>
        </w:rPr>
        <w:t>.</w:t>
      </w:r>
    </w:p>
    <w:p w14:paraId="64F075E2" w14:textId="77777777" w:rsidR="000A5448" w:rsidRPr="009E24D4" w:rsidRDefault="000A5448" w:rsidP="000A5448">
      <w:pPr>
        <w:tabs>
          <w:tab w:val="left" w:pos="426"/>
        </w:tabs>
        <w:jc w:val="both"/>
        <w:rPr>
          <w:rFonts w:ascii="Arial" w:eastAsia="Calibri" w:hAnsi="Arial" w:cs="Arial"/>
          <w:sz w:val="22"/>
        </w:rPr>
      </w:pPr>
    </w:p>
    <w:p w14:paraId="77E73F4E" w14:textId="77777777" w:rsidR="000A5448" w:rsidRPr="009E24D4" w:rsidRDefault="000A5448" w:rsidP="000A5448">
      <w:pPr>
        <w:pStyle w:val="Prrafodelista"/>
        <w:tabs>
          <w:tab w:val="left" w:pos="0"/>
          <w:tab w:val="left" w:pos="284"/>
        </w:tabs>
        <w:ind w:left="0"/>
        <w:jc w:val="both"/>
        <w:rPr>
          <w:rFonts w:ascii="Arial" w:eastAsia="Calibri" w:hAnsi="Arial" w:cs="Arial"/>
          <w:b/>
          <w:sz w:val="22"/>
        </w:rPr>
      </w:pPr>
      <w:r w:rsidRPr="009E24D4">
        <w:rPr>
          <w:rFonts w:ascii="Arial" w:eastAsia="Calibri" w:hAnsi="Arial" w:cs="Arial"/>
          <w:b/>
          <w:sz w:val="22"/>
        </w:rPr>
        <w:t>2. Consideraciones</w:t>
      </w:r>
    </w:p>
    <w:p w14:paraId="7D749C3A" w14:textId="77777777" w:rsidR="000A5448" w:rsidRPr="0091437B" w:rsidRDefault="000A5448" w:rsidP="000A5448">
      <w:pPr>
        <w:pStyle w:val="Prrafodelista"/>
        <w:tabs>
          <w:tab w:val="left" w:pos="0"/>
          <w:tab w:val="left" w:pos="284"/>
        </w:tabs>
        <w:ind w:left="0"/>
        <w:jc w:val="both"/>
        <w:rPr>
          <w:rFonts w:ascii="Arial" w:eastAsia="Calibri" w:hAnsi="Arial" w:cs="Arial"/>
          <w:b/>
          <w:color w:val="161616" w:themeColor="background1" w:themeShade="1A"/>
          <w:sz w:val="22"/>
        </w:rPr>
      </w:pPr>
    </w:p>
    <w:p w14:paraId="252A217D" w14:textId="1DE9A924" w:rsidR="000A5448" w:rsidRPr="009E24D4" w:rsidRDefault="000A5448" w:rsidP="003266D6">
      <w:pPr>
        <w:spacing w:after="120" w:line="276" w:lineRule="auto"/>
        <w:jc w:val="both"/>
        <w:rPr>
          <w:rFonts w:ascii="Arial" w:eastAsia="Calibri" w:hAnsi="Arial" w:cs="Arial"/>
          <w:sz w:val="22"/>
        </w:rPr>
      </w:pPr>
      <w:r w:rsidRPr="009E24D4">
        <w:rPr>
          <w:rFonts w:ascii="Arial" w:eastAsia="Calibri" w:hAnsi="Arial" w:cs="Arial"/>
          <w:bCs/>
          <w:sz w:val="22"/>
        </w:rPr>
        <w:t>La Agencia Nacional de Contratación Pública estudió este tema en la consulta No. 4201913000005397 del 9 de agosto de 2019 y reiteró la posición en l</w:t>
      </w:r>
      <w:r w:rsidR="00D22EAD" w:rsidRPr="009E24D4">
        <w:rPr>
          <w:rFonts w:ascii="Arial" w:eastAsia="Calibri" w:hAnsi="Arial" w:cs="Arial"/>
          <w:bCs/>
          <w:sz w:val="22"/>
        </w:rPr>
        <w:t>o</w:t>
      </w:r>
      <w:r w:rsidRPr="009E24D4">
        <w:rPr>
          <w:rFonts w:ascii="Arial" w:eastAsia="Calibri" w:hAnsi="Arial" w:cs="Arial"/>
          <w:bCs/>
          <w:sz w:val="22"/>
        </w:rPr>
        <w:t xml:space="preserve">s siguientes conceptos: 4201912000006611 del 25 de septiembre de 2019, </w:t>
      </w:r>
      <w:r w:rsidRPr="009E24D4">
        <w:rPr>
          <w:rFonts w:ascii="Arial" w:hAnsi="Arial" w:cs="Arial"/>
          <w:sz w:val="22"/>
        </w:rPr>
        <w:t xml:space="preserve">4201913000006847 del 4 </w:t>
      </w:r>
      <w:r w:rsidRPr="009E24D4">
        <w:rPr>
          <w:rFonts w:ascii="Arial" w:hAnsi="Arial" w:cs="Arial"/>
          <w:sz w:val="22"/>
        </w:rPr>
        <w:lastRenderedPageBreak/>
        <w:t xml:space="preserve">de octubre de 2019, </w:t>
      </w:r>
      <w:r w:rsidRPr="009E24D4">
        <w:rPr>
          <w:rFonts w:ascii="Arial" w:eastAsia="Calibri" w:hAnsi="Arial" w:cs="Arial"/>
          <w:bCs/>
          <w:sz w:val="22"/>
        </w:rPr>
        <w:t>4201912000007762 del 18 de noviembre de 2019, 4201912000007828 del 13 de noviembre de 2019</w:t>
      </w:r>
      <w:r w:rsidR="00EE0282" w:rsidRPr="009E24D4">
        <w:rPr>
          <w:rFonts w:ascii="Arial" w:eastAsia="Calibri" w:hAnsi="Arial" w:cs="Arial"/>
          <w:bCs/>
          <w:sz w:val="22"/>
        </w:rPr>
        <w:t xml:space="preserve">, </w:t>
      </w:r>
      <w:r w:rsidRPr="009E24D4">
        <w:rPr>
          <w:rFonts w:ascii="Arial" w:eastAsia="Calibri" w:hAnsi="Arial" w:cs="Arial"/>
          <w:bCs/>
          <w:sz w:val="22"/>
        </w:rPr>
        <w:t>CU-003 del 15 de enero de 2020</w:t>
      </w:r>
      <w:r w:rsidR="0043243C" w:rsidRPr="009E24D4">
        <w:rPr>
          <w:rFonts w:ascii="Arial" w:eastAsia="Calibri" w:hAnsi="Arial" w:cs="Arial"/>
          <w:bCs/>
          <w:sz w:val="22"/>
        </w:rPr>
        <w:t>, C-116 del 18 de febrero de 2020</w:t>
      </w:r>
      <w:r w:rsidR="00A75258" w:rsidRPr="009E24D4">
        <w:rPr>
          <w:rFonts w:ascii="Arial" w:eastAsia="Calibri" w:hAnsi="Arial" w:cs="Arial"/>
          <w:bCs/>
          <w:sz w:val="22"/>
        </w:rPr>
        <w:t>, C-468 del 24 de julio de 2020</w:t>
      </w:r>
      <w:r w:rsidR="005668A5" w:rsidRPr="009E24D4">
        <w:rPr>
          <w:rFonts w:ascii="Arial" w:eastAsia="Calibri" w:hAnsi="Arial" w:cs="Arial"/>
          <w:bCs/>
          <w:sz w:val="22"/>
        </w:rPr>
        <w:t xml:space="preserve">, </w:t>
      </w:r>
      <w:r w:rsidR="0043243C" w:rsidRPr="009E24D4">
        <w:rPr>
          <w:rFonts w:ascii="Arial" w:eastAsia="Calibri" w:hAnsi="Arial" w:cs="Arial"/>
          <w:bCs/>
          <w:sz w:val="22"/>
        </w:rPr>
        <w:t>C-449 del 5 de agosto de 2020</w:t>
      </w:r>
      <w:r w:rsidR="005668A5" w:rsidRPr="009E24D4">
        <w:rPr>
          <w:rFonts w:ascii="Arial" w:eastAsia="Calibri" w:hAnsi="Arial" w:cs="Arial"/>
          <w:bCs/>
          <w:sz w:val="22"/>
        </w:rPr>
        <w:t>, C-559 del 25 de agosto de 2020 y C-719 del 3 de febrero de 2021</w:t>
      </w:r>
      <w:r w:rsidRPr="009E24D4">
        <w:rPr>
          <w:rFonts w:ascii="Arial" w:hAnsi="Arial" w:cs="Arial"/>
          <w:sz w:val="22"/>
        </w:rPr>
        <w:t xml:space="preserve">. </w:t>
      </w:r>
      <w:r w:rsidR="00A75258" w:rsidRPr="009E24D4">
        <w:rPr>
          <w:rFonts w:ascii="Arial" w:eastAsia="Calibri" w:hAnsi="Arial" w:cs="Arial"/>
          <w:sz w:val="22"/>
        </w:rPr>
        <w:t>La tesis de estos conceptos</w:t>
      </w:r>
      <w:r w:rsidRPr="009E24D4">
        <w:rPr>
          <w:rFonts w:ascii="Arial" w:eastAsia="Calibri" w:hAnsi="Arial" w:cs="Arial"/>
          <w:sz w:val="22"/>
        </w:rPr>
        <w:t xml:space="preserve"> se reitera a continuación:</w:t>
      </w:r>
      <w:r w:rsidRPr="009E24D4">
        <w:rPr>
          <w:rFonts w:ascii="Arial" w:hAnsi="Arial" w:cs="Arial"/>
          <w:sz w:val="22"/>
        </w:rPr>
        <w:t xml:space="preserve"> </w:t>
      </w:r>
    </w:p>
    <w:p w14:paraId="5784E22C" w14:textId="77777777" w:rsidR="00422317" w:rsidRPr="009E24D4" w:rsidRDefault="00422317" w:rsidP="003266D6">
      <w:pPr>
        <w:spacing w:line="276" w:lineRule="auto"/>
        <w:jc w:val="both"/>
        <w:rPr>
          <w:rFonts w:ascii="Arial" w:hAnsi="Arial" w:cs="Arial"/>
          <w:sz w:val="22"/>
          <w:lang w:val="es-CO"/>
        </w:rPr>
      </w:pPr>
      <w:r w:rsidRPr="009E24D4">
        <w:rPr>
          <w:rFonts w:ascii="Arial" w:hAnsi="Arial" w:cs="Arial"/>
          <w:sz w:val="22"/>
          <w:lang w:val="es-CO"/>
        </w:rPr>
        <w:t xml:space="preserve">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1FE59CE9" w14:textId="77777777" w:rsidR="00422317" w:rsidRPr="009E24D4" w:rsidRDefault="00422317" w:rsidP="00422317">
      <w:pPr>
        <w:spacing w:line="276" w:lineRule="auto"/>
        <w:jc w:val="both"/>
        <w:rPr>
          <w:rFonts w:ascii="Arial" w:hAnsi="Arial" w:cs="Arial"/>
          <w:sz w:val="22"/>
          <w:lang w:val="es-CO"/>
        </w:rPr>
      </w:pPr>
    </w:p>
    <w:p w14:paraId="46C151D6" w14:textId="77777777" w:rsidR="00422317" w:rsidRPr="009E24D4" w:rsidRDefault="00422317" w:rsidP="00422317">
      <w:pPr>
        <w:pStyle w:val="NormalWeb"/>
        <w:spacing w:before="0" w:beforeAutospacing="0" w:after="120" w:afterAutospacing="0"/>
        <w:ind w:left="709" w:right="474"/>
        <w:jc w:val="both"/>
        <w:rPr>
          <w:rFonts w:ascii="Arial" w:hAnsi="Arial" w:cs="Arial"/>
          <w:sz w:val="21"/>
          <w:szCs w:val="21"/>
          <w:lang w:eastAsia="es-ES_tradnl"/>
        </w:rPr>
      </w:pPr>
      <w:r w:rsidRPr="009E24D4">
        <w:rPr>
          <w:rFonts w:ascii="Arial" w:hAnsi="Arial" w:cs="Arial"/>
          <w:sz w:val="21"/>
          <w:szCs w:val="21"/>
          <w:lang w:eastAsia="es-ES_tradnl"/>
        </w:rPr>
        <w:t>14.5. Empresa de servicios públicos oficial. Es aquella en cuyo capital la Nación, las entidades territoriales, o las entidades descentralizadas de aquella o estas tienen el 100% de los aportes.</w:t>
      </w:r>
    </w:p>
    <w:p w14:paraId="016D6B9E" w14:textId="77777777" w:rsidR="00422317" w:rsidRPr="009E24D4" w:rsidRDefault="00422317" w:rsidP="00422317">
      <w:pPr>
        <w:pStyle w:val="NormalWeb"/>
        <w:spacing w:before="120" w:beforeAutospacing="0" w:after="120" w:afterAutospacing="0"/>
        <w:ind w:left="709" w:right="474"/>
        <w:jc w:val="both"/>
        <w:rPr>
          <w:rFonts w:ascii="Arial" w:hAnsi="Arial" w:cs="Arial"/>
          <w:sz w:val="21"/>
          <w:szCs w:val="21"/>
          <w:lang w:eastAsia="es-ES_tradnl"/>
        </w:rPr>
      </w:pPr>
      <w:r w:rsidRPr="009E24D4">
        <w:rPr>
          <w:rFonts w:ascii="Arial" w:hAnsi="Arial" w:cs="Arial"/>
          <w:sz w:val="21"/>
          <w:szCs w:val="21"/>
          <w:lang w:eastAsia="es-ES_tradnl"/>
        </w:rPr>
        <w:t>14.6. Empresa de servicios públicos mixta. Es aquella en cuyo capital la Nación, las entidades territoriales, o las entidades descentralizadas de aquella o éstas tienen aportes iguales o superiores al 50%. </w:t>
      </w:r>
    </w:p>
    <w:p w14:paraId="5DC63CF3" w14:textId="77777777" w:rsidR="00422317" w:rsidRPr="009E24D4" w:rsidRDefault="00422317" w:rsidP="00422317">
      <w:pPr>
        <w:pStyle w:val="NormalWeb"/>
        <w:spacing w:before="120" w:beforeAutospacing="0" w:after="0" w:afterAutospacing="0"/>
        <w:ind w:left="709" w:right="474"/>
        <w:jc w:val="both"/>
        <w:rPr>
          <w:rFonts w:ascii="Arial" w:hAnsi="Arial" w:cs="Arial"/>
          <w:sz w:val="21"/>
          <w:szCs w:val="21"/>
          <w:lang w:eastAsia="es-ES_tradnl"/>
        </w:rPr>
      </w:pPr>
      <w:r w:rsidRPr="009E24D4">
        <w:rPr>
          <w:rFonts w:ascii="Arial" w:hAnsi="Arial" w:cs="Arial"/>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191D2B18" w14:textId="77777777" w:rsidR="00422317" w:rsidRPr="009E24D4" w:rsidRDefault="00422317" w:rsidP="00422317">
      <w:pPr>
        <w:pStyle w:val="NormalWeb"/>
        <w:spacing w:before="0" w:beforeAutospacing="0" w:after="0" w:afterAutospacing="0"/>
        <w:jc w:val="both"/>
        <w:rPr>
          <w:rFonts w:ascii="Arial" w:hAnsi="Arial" w:cs="Arial"/>
          <w:sz w:val="22"/>
          <w:lang w:eastAsia="es-ES_tradnl"/>
        </w:rPr>
      </w:pPr>
    </w:p>
    <w:p w14:paraId="33AB0F48" w14:textId="3111E59E" w:rsidR="00422317" w:rsidRPr="009E24D4" w:rsidRDefault="00422317" w:rsidP="003266D6">
      <w:pPr>
        <w:pStyle w:val="NormalWeb"/>
        <w:spacing w:before="0" w:beforeAutospacing="0" w:after="120" w:afterAutospacing="0" w:line="276" w:lineRule="auto"/>
        <w:ind w:firstLine="708"/>
        <w:jc w:val="both"/>
        <w:rPr>
          <w:rFonts w:ascii="Arial" w:hAnsi="Arial" w:cs="Arial"/>
          <w:sz w:val="22"/>
          <w:lang w:eastAsia="es-ES_tradnl"/>
        </w:rPr>
      </w:pPr>
      <w:r w:rsidRPr="009E24D4">
        <w:rPr>
          <w:rFonts w:ascii="Arial" w:hAnsi="Arial" w:cs="Arial"/>
          <w:sz w:val="22"/>
          <w:lang w:eastAsia="es-ES_tradnl"/>
        </w:rPr>
        <w:t>A su turno, el artículo 17 de la ley citada señala que «las empresas de servicios públicos son sociedades por acciones cuyo objeto es la prestación de los servicios públicos de que trata esta ley». 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w:t>
      </w:r>
      <w:r w:rsidR="00F41674" w:rsidRPr="009E24D4">
        <w:rPr>
          <w:rFonts w:ascii="Arial" w:hAnsi="Arial" w:cs="Arial"/>
          <w:sz w:val="22"/>
          <w:lang w:eastAsia="es-ES_tradnl"/>
        </w:rPr>
        <w:t xml:space="preserve"> </w:t>
      </w:r>
      <w:r w:rsidRPr="009E24D4">
        <w:rPr>
          <w:rFonts w:ascii="Arial" w:hAnsi="Arial" w:cs="Arial"/>
          <w:sz w:val="22"/>
          <w:lang w:eastAsia="es-ES_tradnl"/>
        </w:rPr>
        <w:t>El artículo 68 de esta ley, al listar las entidades descentralizadas del orden nacional, se refirió únicamente a las empresas oficiales de servicios públicos, esto es, aquellas en las que la participación del Estado es del 100%</w:t>
      </w:r>
      <w:r w:rsidRPr="009E24D4">
        <w:rPr>
          <w:rStyle w:val="Refdenotaalpie"/>
          <w:rFonts w:ascii="Arial" w:hAnsi="Arial" w:cs="Arial"/>
          <w:sz w:val="22"/>
          <w:lang w:eastAsia="es-ES_tradnl"/>
        </w:rPr>
        <w:footnoteReference w:id="1"/>
      </w:r>
      <w:r w:rsidRPr="009E24D4">
        <w:rPr>
          <w:rFonts w:ascii="Arial" w:hAnsi="Arial" w:cs="Arial"/>
          <w:sz w:val="22"/>
          <w:lang w:eastAsia="es-ES_tradnl"/>
        </w:rPr>
        <w:t xml:space="preserve">. </w:t>
      </w:r>
    </w:p>
    <w:p w14:paraId="44760E74" w14:textId="0B92AFDC" w:rsidR="00422317" w:rsidRPr="009E24D4" w:rsidRDefault="00422317" w:rsidP="00422317">
      <w:pPr>
        <w:pStyle w:val="NormalWeb"/>
        <w:spacing w:before="120" w:beforeAutospacing="0" w:after="120" w:afterAutospacing="0" w:line="276" w:lineRule="auto"/>
        <w:ind w:firstLine="708"/>
        <w:jc w:val="both"/>
        <w:rPr>
          <w:rFonts w:ascii="Arial" w:hAnsi="Arial" w:cs="Arial"/>
          <w:sz w:val="22"/>
          <w:lang w:eastAsia="es-ES_tradnl"/>
        </w:rPr>
      </w:pPr>
      <w:r w:rsidRPr="009E24D4">
        <w:rPr>
          <w:rFonts w:ascii="Arial" w:hAnsi="Arial" w:cs="Arial"/>
          <w:sz w:val="22"/>
          <w:lang w:eastAsia="es-ES_tradnl"/>
        </w:rPr>
        <w:t xml:space="preserve">Lo anterior llevó a pensar que el legislador </w:t>
      </w:r>
      <w:r w:rsidR="00860942">
        <w:rPr>
          <w:rFonts w:ascii="Arial" w:hAnsi="Arial" w:cs="Arial"/>
          <w:sz w:val="22"/>
          <w:lang w:eastAsia="es-ES_tradnl"/>
        </w:rPr>
        <w:t xml:space="preserve">había </w:t>
      </w:r>
      <w:r w:rsidRPr="009E24D4">
        <w:rPr>
          <w:rFonts w:ascii="Arial" w:hAnsi="Arial" w:cs="Arial"/>
          <w:sz w:val="22"/>
          <w:lang w:eastAsia="es-ES_tradnl"/>
        </w:rPr>
        <w:t>exclu</w:t>
      </w:r>
      <w:r w:rsidR="00860942">
        <w:rPr>
          <w:rFonts w:ascii="Arial" w:hAnsi="Arial" w:cs="Arial"/>
          <w:sz w:val="22"/>
          <w:lang w:eastAsia="es-ES_tradnl"/>
        </w:rPr>
        <w:t>ido</w:t>
      </w:r>
      <w:r w:rsidRPr="009E24D4">
        <w:rPr>
          <w:rFonts w:ascii="Arial" w:hAnsi="Arial" w:cs="Arial"/>
          <w:sz w:val="22"/>
          <w:lang w:eastAsia="es-ES_tradnl"/>
        </w:rPr>
        <w:t xml:space="preserve"> de la Rama Ejecutiva a las empresas de servicios públicos mixta –capital público superior al 50%– y las privadas </w:t>
      </w:r>
      <w:r w:rsidRPr="009E24D4">
        <w:rPr>
          <w:rFonts w:ascii="Arial" w:hAnsi="Arial" w:cs="Arial"/>
          <w:sz w:val="22"/>
          <w:lang w:eastAsia="es-ES_tradnl"/>
        </w:rPr>
        <w:lastRenderedPageBreak/>
        <w:t xml:space="preserve">–capital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60995D0A" w14:textId="3382AF15" w:rsidR="00422317" w:rsidRPr="009E24D4" w:rsidRDefault="00422317" w:rsidP="00F41674">
      <w:pPr>
        <w:pStyle w:val="NormalWeb"/>
        <w:spacing w:before="120" w:beforeAutospacing="0" w:after="120" w:afterAutospacing="0" w:line="276" w:lineRule="auto"/>
        <w:ind w:firstLine="709"/>
        <w:jc w:val="both"/>
        <w:rPr>
          <w:rFonts w:ascii="Arial" w:hAnsi="Arial" w:cs="Arial"/>
          <w:sz w:val="21"/>
          <w:szCs w:val="21"/>
        </w:rPr>
      </w:pPr>
      <w:r w:rsidRPr="009E24D4">
        <w:rPr>
          <w:rFonts w:ascii="Arial" w:hAnsi="Arial" w:cs="Arial"/>
          <w:sz w:val="22"/>
          <w:lang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9E24D4">
        <w:rPr>
          <w:rStyle w:val="Refdenotaalpie"/>
          <w:rFonts w:ascii="Arial" w:hAnsi="Arial" w:cs="Arial"/>
          <w:sz w:val="22"/>
          <w:lang w:eastAsia="es-ES_tradnl"/>
        </w:rPr>
        <w:footnoteReference w:id="2"/>
      </w:r>
      <w:r w:rsidRPr="009E24D4">
        <w:rPr>
          <w:rFonts w:ascii="Arial" w:hAnsi="Arial" w:cs="Arial"/>
          <w:sz w:val="22"/>
          <w:lang w:eastAsia="es-ES_tradnl"/>
        </w:rPr>
        <w:t>.</w:t>
      </w:r>
      <w:r w:rsidR="00F41674" w:rsidRPr="009E24D4">
        <w:rPr>
          <w:rFonts w:ascii="Arial" w:hAnsi="Arial" w:cs="Arial"/>
          <w:sz w:val="22"/>
          <w:lang w:eastAsia="es-ES_tradnl"/>
        </w:rPr>
        <w:t xml:space="preserve"> </w:t>
      </w:r>
      <w:r w:rsidRPr="009E24D4">
        <w:rPr>
          <w:rFonts w:ascii="Arial" w:hAnsi="Arial" w:cs="Arial"/>
          <w:sz w:val="22"/>
          <w:lang w:eastAsia="es-ES_tradnl"/>
        </w:rPr>
        <w:t xml:space="preserve">En esta providencia también aclara que las empresas prestadoras de servicios públicos, de carácter mixto o privado, no son empresas de economía mixta. La anterior conclusión </w:t>
      </w:r>
      <w:r w:rsidR="00122DEE">
        <w:rPr>
          <w:rFonts w:ascii="Arial" w:hAnsi="Arial" w:cs="Arial"/>
          <w:sz w:val="22"/>
          <w:lang w:eastAsia="es-ES_tradnl"/>
        </w:rPr>
        <w:t xml:space="preserve">se </w:t>
      </w:r>
      <w:r w:rsidRPr="009E24D4">
        <w:rPr>
          <w:rFonts w:ascii="Arial" w:hAnsi="Arial" w:cs="Arial"/>
          <w:sz w:val="22"/>
          <w:lang w:eastAsia="es-ES_tradnl"/>
        </w:rPr>
        <w:t>fundament</w:t>
      </w:r>
      <w:r w:rsidR="00122DEE">
        <w:rPr>
          <w:rFonts w:ascii="Arial" w:hAnsi="Arial" w:cs="Arial"/>
          <w:sz w:val="22"/>
          <w:lang w:eastAsia="es-ES_tradnl"/>
        </w:rPr>
        <w:t>ó</w:t>
      </w:r>
      <w:r w:rsidRPr="009E24D4">
        <w:rPr>
          <w:rFonts w:ascii="Arial" w:hAnsi="Arial" w:cs="Arial"/>
          <w:sz w:val="22"/>
          <w:lang w:eastAsia="es-ES_tradnl"/>
        </w:rPr>
        <w:t xml:space="preserve"> e</w:t>
      </w:r>
      <w:r w:rsidR="00122DEE">
        <w:rPr>
          <w:rFonts w:ascii="Arial" w:hAnsi="Arial" w:cs="Arial"/>
          <w:sz w:val="22"/>
          <w:lang w:eastAsia="es-ES_tradnl"/>
        </w:rPr>
        <w:t>n</w:t>
      </w:r>
      <w:r w:rsidRPr="009E24D4">
        <w:rPr>
          <w:rFonts w:ascii="Arial" w:hAnsi="Arial" w:cs="Arial"/>
          <w:sz w:val="22"/>
          <w:lang w:eastAsia="es-ES_tradnl"/>
        </w:rPr>
        <w:t xml:space="preserve"> la idea del carácter o naturaleza especial que la Constitución otorgó a las empresas de servicios públicos</w:t>
      </w:r>
      <w:r w:rsidRPr="009E24D4">
        <w:rPr>
          <w:rStyle w:val="Refdenotaalpie"/>
          <w:rFonts w:ascii="Arial" w:hAnsi="Arial" w:cs="Arial"/>
          <w:sz w:val="21"/>
          <w:szCs w:val="21"/>
        </w:rPr>
        <w:footnoteReference w:id="3"/>
      </w:r>
      <w:r w:rsidRPr="009E24D4">
        <w:rPr>
          <w:rFonts w:ascii="Arial" w:hAnsi="Arial" w:cs="Arial"/>
          <w:sz w:val="21"/>
          <w:szCs w:val="21"/>
        </w:rPr>
        <w:t>.</w:t>
      </w:r>
    </w:p>
    <w:p w14:paraId="0A7815C4" w14:textId="59FAFEAC" w:rsidR="00422317" w:rsidRPr="009E24D4" w:rsidRDefault="00422317" w:rsidP="00422317">
      <w:pPr>
        <w:spacing w:after="120" w:line="276" w:lineRule="auto"/>
        <w:ind w:firstLine="708"/>
        <w:jc w:val="both"/>
        <w:rPr>
          <w:rFonts w:ascii="Arial" w:hAnsi="Arial" w:cs="Arial"/>
          <w:sz w:val="22"/>
          <w:lang w:val="es-CO"/>
        </w:rPr>
      </w:pPr>
      <w:r w:rsidRPr="009E24D4">
        <w:rPr>
          <w:rFonts w:ascii="Arial" w:hAnsi="Arial" w:cs="Arial"/>
          <w:sz w:val="22"/>
          <w:lang w:val="es-CO"/>
        </w:rPr>
        <w:t xml:space="preserve">Así las cosas, es impreciso afirmar que existen empresas de servicios públicos, cuya naturaleza jurídica es de sociedad de economía mixta, toda vez que las empresas de servicios públicos tienen una naturaleza jurídica especial </w:t>
      </w:r>
      <w:r w:rsidR="00013D8B">
        <w:rPr>
          <w:rFonts w:ascii="Arial" w:hAnsi="Arial" w:cs="Arial"/>
          <w:sz w:val="22"/>
          <w:lang w:val="es-CO"/>
        </w:rPr>
        <w:t>conforme</w:t>
      </w:r>
      <w:r w:rsidRPr="009E24D4">
        <w:rPr>
          <w:rFonts w:ascii="Arial" w:hAnsi="Arial" w:cs="Arial"/>
          <w:sz w:val="22"/>
          <w:lang w:val="es-CO"/>
        </w:rPr>
        <w:t xml:space="preserve"> </w:t>
      </w:r>
      <w:r w:rsidR="00013D8B">
        <w:rPr>
          <w:rFonts w:ascii="Arial" w:hAnsi="Arial" w:cs="Arial"/>
          <w:sz w:val="22"/>
          <w:lang w:val="es-CO"/>
        </w:rPr>
        <w:t>a</w:t>
      </w:r>
      <w:r w:rsidRPr="009E24D4">
        <w:rPr>
          <w:rFonts w:ascii="Arial" w:hAnsi="Arial" w:cs="Arial"/>
          <w:sz w:val="22"/>
          <w:lang w:val="es-CO"/>
        </w:rPr>
        <w:t xml:space="preserve">l artículo 356 de la Constitución Política. </w:t>
      </w:r>
      <w:r w:rsidR="00122DEE">
        <w:rPr>
          <w:rFonts w:ascii="Arial" w:hAnsi="Arial" w:cs="Arial"/>
          <w:sz w:val="22"/>
          <w:lang w:val="es-CO"/>
        </w:rPr>
        <w:t xml:space="preserve">Por ello, </w:t>
      </w:r>
      <w:r w:rsidRPr="009E24D4">
        <w:rPr>
          <w:rFonts w:ascii="Arial" w:hAnsi="Arial" w:cs="Arial"/>
          <w:sz w:val="22"/>
          <w:lang w:val="es-CO"/>
        </w:rPr>
        <w:t xml:space="preserve">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w:t>
      </w:r>
      <w:r w:rsidR="00122DEE">
        <w:rPr>
          <w:rFonts w:ascii="Arial" w:hAnsi="Arial" w:cs="Arial"/>
          <w:sz w:val="22"/>
          <w:lang w:val="es-CO"/>
        </w:rPr>
        <w:t xml:space="preserve">de conformidad con la jurisprudencia constitucional, </w:t>
      </w:r>
      <w:r w:rsidRPr="009E24D4">
        <w:rPr>
          <w:rFonts w:ascii="Arial" w:hAnsi="Arial" w:cs="Arial"/>
          <w:sz w:val="22"/>
          <w:lang w:val="es-CO"/>
        </w:rPr>
        <w:t xml:space="preserve">sin importar su clasificación, todas hacen parte de la Rama Ejecutiva, del sector descentralizado por servicios. </w:t>
      </w:r>
    </w:p>
    <w:p w14:paraId="0831836F" w14:textId="0D08F78F" w:rsidR="00E119B8" w:rsidRPr="009E24D4" w:rsidRDefault="00422317" w:rsidP="00422317">
      <w:pPr>
        <w:spacing w:before="120" w:line="276" w:lineRule="auto"/>
        <w:ind w:firstLine="708"/>
        <w:jc w:val="both"/>
        <w:rPr>
          <w:rFonts w:ascii="Arial" w:hAnsi="Arial" w:cs="Arial"/>
          <w:sz w:val="22"/>
          <w:lang w:val="es-CO"/>
        </w:rPr>
      </w:pPr>
      <w:r w:rsidRPr="009E24D4">
        <w:rPr>
          <w:rFonts w:ascii="Arial" w:hAnsi="Arial" w:cs="Arial"/>
          <w:sz w:val="22"/>
          <w:lang w:val="es-CO"/>
        </w:rPr>
        <w:t xml:space="preserve">Finalmente, en cuanto al régimen jurídico de contratación de las empresas de servicios públicos, el inciso primero del artículo 31 de la Ley 142 de 1994 señala que «Los </w:t>
      </w:r>
      <w:r w:rsidRPr="009E24D4">
        <w:rPr>
          <w:rFonts w:ascii="Arial" w:hAnsi="Arial" w:cs="Arial"/>
          <w:sz w:val="22"/>
          <w:lang w:val="es-CO"/>
        </w:rPr>
        <w:lastRenderedPageBreak/>
        <w:t xml:space="preserve">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r w:rsidR="00013D8B" w:rsidRPr="00013D8B">
        <w:rPr>
          <w:rFonts w:ascii="Arial" w:hAnsi="Arial" w:cs="Arial"/>
          <w:sz w:val="22"/>
          <w:lang w:val="es-CO"/>
        </w:rPr>
        <w:t xml:space="preserve">Por su parte, </w:t>
      </w:r>
      <w:r w:rsidR="00122DEE">
        <w:rPr>
          <w:rFonts w:ascii="Arial" w:hAnsi="Arial" w:cs="Arial"/>
          <w:sz w:val="22"/>
          <w:lang w:val="es-CO"/>
        </w:rPr>
        <w:t>siguiendo esa</w:t>
      </w:r>
      <w:r w:rsidR="00013D8B" w:rsidRPr="00013D8B">
        <w:rPr>
          <w:rFonts w:ascii="Arial" w:hAnsi="Arial" w:cs="Arial"/>
          <w:sz w:val="22"/>
          <w:lang w:val="es-CO"/>
        </w:rPr>
        <w:t xml:space="preserve"> misma lógica, el artículo 32 de la Ley 142 dispone que el régimen de los actos de las empresas prestadoras de servicios públicos domiciliarios es el derecho privado</w:t>
      </w:r>
      <w:r w:rsidR="00013D8B">
        <w:rPr>
          <w:rFonts w:ascii="Arial" w:hAnsi="Arial" w:cs="Arial"/>
          <w:sz w:val="22"/>
          <w:lang w:val="es-CO"/>
        </w:rPr>
        <w:t>.</w:t>
      </w:r>
    </w:p>
    <w:p w14:paraId="3BE7A3CB" w14:textId="09A53C55" w:rsidR="00422317" w:rsidRPr="009E24D4" w:rsidRDefault="00712273" w:rsidP="0017779A">
      <w:pPr>
        <w:spacing w:before="120" w:after="120" w:line="276" w:lineRule="auto"/>
        <w:ind w:firstLine="709"/>
        <w:jc w:val="both"/>
        <w:rPr>
          <w:rFonts w:ascii="Arial" w:hAnsi="Arial" w:cs="Arial"/>
          <w:sz w:val="22"/>
          <w:lang w:val="es-CO"/>
        </w:rPr>
      </w:pPr>
      <w:r w:rsidRPr="009E24D4">
        <w:rPr>
          <w:rFonts w:ascii="Arial" w:hAnsi="Arial" w:cs="Arial"/>
          <w:sz w:val="22"/>
          <w:lang w:val="es-CO"/>
        </w:rPr>
        <w:t>Por ende</w:t>
      </w:r>
      <w:r w:rsidR="00422317" w:rsidRPr="009E24D4">
        <w:rPr>
          <w:rFonts w:ascii="Arial" w:hAnsi="Arial" w:cs="Arial"/>
          <w:sz w:val="22"/>
          <w:lang w:val="es-CO"/>
        </w:rPr>
        <w:t>,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w:t>
      </w:r>
      <w:r w:rsidR="004A669B">
        <w:rPr>
          <w:rFonts w:ascii="Arial" w:hAnsi="Arial" w:cs="Arial"/>
          <w:sz w:val="22"/>
          <w:lang w:val="es-CO"/>
        </w:rPr>
        <w:t>, razón por la cual</w:t>
      </w:r>
      <w:r w:rsidR="00422317" w:rsidRPr="009E24D4">
        <w:rPr>
          <w:rFonts w:ascii="Arial" w:hAnsi="Arial" w:cs="Arial"/>
          <w:sz w:val="22"/>
          <w:lang w:val="es-CO"/>
        </w:rPr>
        <w:t xml:space="preserve"> no están sometidas a la Ley 80 de 1993</w:t>
      </w:r>
      <w:r w:rsidR="00422317" w:rsidRPr="009E24D4">
        <w:rPr>
          <w:rStyle w:val="Refdenotaalpie"/>
          <w:rFonts w:ascii="Arial" w:hAnsi="Arial" w:cs="Arial"/>
          <w:sz w:val="22"/>
          <w:lang w:val="es-CO"/>
        </w:rPr>
        <w:footnoteReference w:id="4"/>
      </w:r>
      <w:r w:rsidR="00422317" w:rsidRPr="009E24D4">
        <w:rPr>
          <w:rFonts w:ascii="Arial" w:hAnsi="Arial" w:cs="Arial"/>
          <w:sz w:val="22"/>
          <w:lang w:val="es-CO"/>
        </w:rPr>
        <w:t xml:space="preserve">. </w:t>
      </w:r>
    </w:p>
    <w:p w14:paraId="198AC518" w14:textId="77777777" w:rsidR="0017779A" w:rsidRPr="009E24D4" w:rsidRDefault="0017779A" w:rsidP="0017779A">
      <w:pPr>
        <w:spacing w:after="120" w:line="276" w:lineRule="auto"/>
        <w:ind w:firstLine="708"/>
        <w:jc w:val="both"/>
        <w:rPr>
          <w:rFonts w:ascii="Arial" w:eastAsia="Calibri" w:hAnsi="Arial" w:cs="Arial"/>
          <w:sz w:val="22"/>
        </w:rPr>
      </w:pPr>
      <w:r w:rsidRPr="009E24D4">
        <w:rPr>
          <w:rFonts w:ascii="Arial" w:hAnsi="Arial" w:cs="Arial"/>
          <w:sz w:val="22"/>
          <w:lang w:val="es-CO"/>
        </w:rPr>
        <w:t xml:space="preserve">Por otra parte, respecto de los documentos tipo de infraestructura de agua potable y saneamiento básico, </w:t>
      </w:r>
      <w:r w:rsidRPr="009E24D4">
        <w:rPr>
          <w:rFonts w:ascii="Arial" w:eastAsia="Calibri" w:hAnsi="Arial" w:cs="Arial"/>
          <w:sz w:val="22"/>
        </w:rPr>
        <w:t xml:space="preserve">el 22 de julio de 2020, el Gobierno Nacional sancionó la Ley 2022, llamada la ley de pliegos tipo, que rige a partir de su publicación y cuyo artículo 1 modifica el artículo 4 de la Ley 1882 de 2018 en los siguientes aspectos: i) sujeto encargado de la adopción de los documentos tipo, ya que antes se señalaba al Gobierno Nacional y ahora la entidad encargada es la Agencia Nacional de Contratación Pública – Colombia Compra Eficiente o quien haga sus veces; </w:t>
      </w:r>
      <w:proofErr w:type="spellStart"/>
      <w:r w:rsidRPr="009E24D4">
        <w:rPr>
          <w:rFonts w:ascii="Arial" w:eastAsia="Calibri" w:hAnsi="Arial" w:cs="Arial"/>
          <w:sz w:val="22"/>
        </w:rPr>
        <w:t>ii</w:t>
      </w:r>
      <w:proofErr w:type="spellEnd"/>
      <w:r w:rsidRPr="009E24D4">
        <w:rPr>
          <w:rFonts w:ascii="Arial" w:eastAsia="Calibri" w:hAnsi="Arial" w:cs="Arial"/>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9E24D4">
        <w:rPr>
          <w:rFonts w:ascii="Arial" w:eastAsia="Calibri" w:hAnsi="Arial" w:cs="Arial"/>
          <w:sz w:val="22"/>
        </w:rPr>
        <w:t>iii</w:t>
      </w:r>
      <w:proofErr w:type="spellEnd"/>
      <w:r w:rsidRPr="009E24D4">
        <w:rPr>
          <w:rFonts w:ascii="Arial" w:eastAsia="Calibri" w:hAnsi="Arial" w:cs="Arial"/>
          <w:sz w:val="22"/>
        </w:rPr>
        <w:t xml:space="preserve">) implementación de procesos de capacitación en los municipios para la utilización de los documentos tipo buscando el desarrollo de la economía local; y </w:t>
      </w:r>
      <w:proofErr w:type="spellStart"/>
      <w:r w:rsidRPr="009E24D4">
        <w:rPr>
          <w:rFonts w:ascii="Arial" w:eastAsia="Calibri" w:hAnsi="Arial" w:cs="Arial"/>
          <w:sz w:val="22"/>
        </w:rPr>
        <w:t>iv</w:t>
      </w:r>
      <w:proofErr w:type="spellEnd"/>
      <w:r w:rsidRPr="009E24D4">
        <w:rPr>
          <w:rFonts w:ascii="Arial" w:eastAsia="Calibri" w:hAnsi="Arial" w:cs="Arial"/>
          <w:sz w:val="22"/>
        </w:rPr>
        <w:t>)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01B9C0DB" w14:textId="0F540B88" w:rsidR="00E119B8" w:rsidRPr="009E24D4" w:rsidRDefault="0017779A" w:rsidP="0017779A">
      <w:pPr>
        <w:spacing w:before="120" w:line="276" w:lineRule="auto"/>
        <w:ind w:firstLine="708"/>
        <w:jc w:val="both"/>
        <w:rPr>
          <w:rFonts w:ascii="Arial" w:eastAsia="Calibri" w:hAnsi="Arial" w:cs="Arial"/>
          <w:sz w:val="22"/>
        </w:rPr>
      </w:pPr>
      <w:r w:rsidRPr="009E24D4">
        <w:rPr>
          <w:rFonts w:ascii="Arial" w:eastAsia="Calibri" w:hAnsi="Arial" w:cs="Arial"/>
          <w:sz w:val="22"/>
        </w:rPr>
        <w:t>En ese sentido, teniendo en cuenta que Colombia Compra Eficiente es la entidad encargada de adoptar documentos tipo de obligatorio cumplimiento para las entidades sometidas al Estatuto General de Contratación de la Administración Pública, expidió la</w:t>
      </w:r>
      <w:r w:rsidR="00E912FA">
        <w:rPr>
          <w:rFonts w:ascii="Arial" w:eastAsia="Calibri" w:hAnsi="Arial" w:cs="Arial"/>
          <w:sz w:val="22"/>
        </w:rPr>
        <w:t>s</w:t>
      </w:r>
      <w:r w:rsidRPr="009E24D4">
        <w:rPr>
          <w:rFonts w:ascii="Arial" w:eastAsia="Calibri" w:hAnsi="Arial" w:cs="Arial"/>
          <w:sz w:val="22"/>
        </w:rPr>
        <w:t xml:space="preserve"> Resoluci</w:t>
      </w:r>
      <w:r w:rsidR="00E912FA">
        <w:rPr>
          <w:rFonts w:ascii="Arial" w:eastAsia="Calibri" w:hAnsi="Arial" w:cs="Arial"/>
          <w:sz w:val="22"/>
        </w:rPr>
        <w:t>ones</w:t>
      </w:r>
      <w:r w:rsidRPr="009E24D4">
        <w:rPr>
          <w:rFonts w:ascii="Arial" w:eastAsia="Calibri" w:hAnsi="Arial" w:cs="Arial"/>
          <w:sz w:val="22"/>
        </w:rPr>
        <w:t xml:space="preserve"> No. 248 </w:t>
      </w:r>
      <w:r w:rsidR="00E912FA">
        <w:rPr>
          <w:rFonts w:ascii="Arial" w:eastAsia="Calibri" w:hAnsi="Arial" w:cs="Arial"/>
          <w:sz w:val="22"/>
        </w:rPr>
        <w:t xml:space="preserve">y 249 </w:t>
      </w:r>
      <w:r w:rsidRPr="009E24D4">
        <w:rPr>
          <w:rFonts w:ascii="Arial" w:eastAsia="Calibri" w:hAnsi="Arial" w:cs="Arial"/>
          <w:sz w:val="22"/>
        </w:rPr>
        <w:t>de</w:t>
      </w:r>
      <w:r w:rsidR="001A2637">
        <w:rPr>
          <w:rFonts w:ascii="Arial" w:eastAsia="Calibri" w:hAnsi="Arial" w:cs="Arial"/>
          <w:sz w:val="22"/>
        </w:rPr>
        <w:t>l 1º de diciembre de</w:t>
      </w:r>
      <w:r w:rsidRPr="009E24D4">
        <w:rPr>
          <w:rFonts w:ascii="Arial" w:eastAsia="Calibri" w:hAnsi="Arial" w:cs="Arial"/>
          <w:sz w:val="22"/>
        </w:rPr>
        <w:t xml:space="preserve"> 2020</w:t>
      </w:r>
      <w:r w:rsidR="00712273" w:rsidRPr="009E24D4">
        <w:rPr>
          <w:rFonts w:ascii="Arial" w:eastAsia="Calibri" w:hAnsi="Arial" w:cs="Arial"/>
          <w:sz w:val="22"/>
        </w:rPr>
        <w:t>, mediante la</w:t>
      </w:r>
      <w:r w:rsidR="009D0653">
        <w:rPr>
          <w:rFonts w:ascii="Arial" w:eastAsia="Calibri" w:hAnsi="Arial" w:cs="Arial"/>
          <w:sz w:val="22"/>
        </w:rPr>
        <w:t>s</w:t>
      </w:r>
      <w:r w:rsidR="00712273" w:rsidRPr="009E24D4">
        <w:rPr>
          <w:rFonts w:ascii="Arial" w:eastAsia="Calibri" w:hAnsi="Arial" w:cs="Arial"/>
          <w:sz w:val="22"/>
        </w:rPr>
        <w:t xml:space="preserve"> cual</w:t>
      </w:r>
      <w:r w:rsidR="009D0653">
        <w:rPr>
          <w:rFonts w:ascii="Arial" w:eastAsia="Calibri" w:hAnsi="Arial" w:cs="Arial"/>
          <w:sz w:val="22"/>
        </w:rPr>
        <w:t>es</w:t>
      </w:r>
      <w:r w:rsidR="00712273" w:rsidRPr="009E24D4">
        <w:rPr>
          <w:rFonts w:ascii="Arial" w:eastAsia="Calibri" w:hAnsi="Arial" w:cs="Arial"/>
          <w:sz w:val="22"/>
        </w:rPr>
        <w:t xml:space="preserve"> adopt</w:t>
      </w:r>
      <w:r w:rsidR="009D0653">
        <w:rPr>
          <w:rFonts w:ascii="Arial" w:eastAsia="Calibri" w:hAnsi="Arial" w:cs="Arial"/>
          <w:sz w:val="22"/>
        </w:rPr>
        <w:t>ó</w:t>
      </w:r>
      <w:r w:rsidR="00712273" w:rsidRPr="009E24D4">
        <w:rPr>
          <w:rFonts w:ascii="Arial" w:eastAsia="Calibri" w:hAnsi="Arial" w:cs="Arial"/>
          <w:sz w:val="22"/>
        </w:rPr>
        <w:t xml:space="preserve"> los documentos tipo para los procesos de licitación pública para obras de infraestructura de agua potable y saneamiento básico, debido a la necesidad de aprovechar las grandes inversiones en estos contratos.</w:t>
      </w:r>
    </w:p>
    <w:p w14:paraId="712B3C4D" w14:textId="2A82C88D" w:rsidR="00712273" w:rsidRPr="009E24D4" w:rsidRDefault="001A2637" w:rsidP="00712273">
      <w:pPr>
        <w:spacing w:before="120" w:line="276" w:lineRule="auto"/>
        <w:ind w:firstLine="708"/>
        <w:jc w:val="both"/>
        <w:rPr>
          <w:rFonts w:ascii="Arial" w:hAnsi="Arial" w:cs="Arial"/>
          <w:sz w:val="22"/>
          <w:lang w:val="es-CO"/>
        </w:rPr>
      </w:pPr>
      <w:r>
        <w:rPr>
          <w:rFonts w:ascii="Arial" w:eastAsia="Calibri" w:hAnsi="Arial" w:cs="Arial"/>
          <w:sz w:val="22"/>
        </w:rPr>
        <w:lastRenderedPageBreak/>
        <w:t>El</w:t>
      </w:r>
      <w:r w:rsidR="00712273" w:rsidRPr="009E24D4">
        <w:rPr>
          <w:rFonts w:ascii="Arial" w:eastAsia="Calibri" w:hAnsi="Arial" w:cs="Arial"/>
          <w:sz w:val="22"/>
        </w:rPr>
        <w:t xml:space="preserve"> artículo </w:t>
      </w:r>
      <w:r w:rsidR="00360B4B">
        <w:rPr>
          <w:rFonts w:ascii="Arial" w:eastAsia="Calibri" w:hAnsi="Arial" w:cs="Arial"/>
          <w:sz w:val="22"/>
        </w:rPr>
        <w:t>2</w:t>
      </w:r>
      <w:r w:rsidR="00237C49">
        <w:rPr>
          <w:rFonts w:ascii="Arial" w:eastAsia="Calibri" w:hAnsi="Arial" w:cs="Arial"/>
          <w:sz w:val="22"/>
        </w:rPr>
        <w:t xml:space="preserve"> de estas resoluciones</w:t>
      </w:r>
      <w:r w:rsidR="00712273" w:rsidRPr="009E24D4">
        <w:rPr>
          <w:rFonts w:ascii="Arial" w:eastAsia="Calibri" w:hAnsi="Arial" w:cs="Arial"/>
          <w:sz w:val="22"/>
        </w:rPr>
        <w:t xml:space="preserve"> señala que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Por tanto, se destaca la obligatoriedad de </w:t>
      </w:r>
      <w:r w:rsidR="00712273" w:rsidRPr="009E24D4">
        <w:rPr>
          <w:rFonts w:ascii="Arial" w:hAnsi="Arial" w:cs="Arial"/>
          <w:sz w:val="22"/>
          <w:lang w:val="es-CO"/>
        </w:rPr>
        <w:t>los documentos tipo de infraestructura de agua potable y saneamiento básico, para las entidades regidas por la Ley 80 de 1993 y sus normas complementarias, excluyéndose a las entidades con regímenes especiales de contratación.</w:t>
      </w:r>
    </w:p>
    <w:p w14:paraId="16E65FEE" w14:textId="7654834A" w:rsidR="00712273" w:rsidRDefault="00712273" w:rsidP="00712273">
      <w:pPr>
        <w:spacing w:before="120" w:line="276" w:lineRule="auto"/>
        <w:ind w:firstLine="708"/>
        <w:jc w:val="both"/>
        <w:rPr>
          <w:rFonts w:ascii="Arial" w:hAnsi="Arial" w:cs="Arial"/>
          <w:sz w:val="22"/>
          <w:lang w:val="es-CO"/>
        </w:rPr>
      </w:pPr>
      <w:r w:rsidRPr="009E24D4">
        <w:rPr>
          <w:rFonts w:ascii="Arial" w:eastAsia="Calibri" w:hAnsi="Arial" w:cs="Arial"/>
          <w:sz w:val="22"/>
        </w:rPr>
        <w:t>Así, de acuerdo con lo señalado previamente respecto de</w:t>
      </w:r>
      <w:r w:rsidR="00360B4B">
        <w:rPr>
          <w:rFonts w:ascii="Arial" w:eastAsia="Calibri" w:hAnsi="Arial" w:cs="Arial"/>
          <w:sz w:val="22"/>
        </w:rPr>
        <w:t>l</w:t>
      </w:r>
      <w:r w:rsidRPr="009E24D4">
        <w:rPr>
          <w:rFonts w:ascii="Arial" w:eastAsia="Calibri" w:hAnsi="Arial" w:cs="Arial"/>
          <w:sz w:val="22"/>
        </w:rPr>
        <w:t xml:space="preserve"> régimen de contratación de las empresas de servicios públicos, esto es, que se rigen por el derecho privado de conformidad con </w:t>
      </w:r>
      <w:r w:rsidR="00237C49">
        <w:rPr>
          <w:rFonts w:ascii="Arial" w:eastAsia="Calibri" w:hAnsi="Arial" w:cs="Arial"/>
          <w:sz w:val="22"/>
        </w:rPr>
        <w:t>los</w:t>
      </w:r>
      <w:r w:rsidR="00237C49" w:rsidRPr="009E24D4">
        <w:rPr>
          <w:rFonts w:ascii="Arial" w:eastAsia="Calibri" w:hAnsi="Arial" w:cs="Arial"/>
          <w:sz w:val="22"/>
        </w:rPr>
        <w:t xml:space="preserve"> </w:t>
      </w:r>
      <w:r w:rsidRPr="009E24D4">
        <w:rPr>
          <w:rFonts w:ascii="Arial" w:eastAsia="Calibri" w:hAnsi="Arial" w:cs="Arial"/>
          <w:sz w:val="22"/>
        </w:rPr>
        <w:t>artículo</w:t>
      </w:r>
      <w:r w:rsidR="00237C49">
        <w:rPr>
          <w:rFonts w:ascii="Arial" w:eastAsia="Calibri" w:hAnsi="Arial" w:cs="Arial"/>
          <w:sz w:val="22"/>
        </w:rPr>
        <w:t>s</w:t>
      </w:r>
      <w:r w:rsidRPr="009E24D4">
        <w:rPr>
          <w:rFonts w:ascii="Arial" w:eastAsia="Calibri" w:hAnsi="Arial" w:cs="Arial"/>
          <w:sz w:val="22"/>
        </w:rPr>
        <w:t xml:space="preserve"> 31</w:t>
      </w:r>
      <w:r w:rsidR="00237C49">
        <w:rPr>
          <w:rFonts w:ascii="Arial" w:eastAsia="Calibri" w:hAnsi="Arial" w:cs="Arial"/>
          <w:sz w:val="22"/>
        </w:rPr>
        <w:t xml:space="preserve"> y 32</w:t>
      </w:r>
      <w:r w:rsidRPr="009E24D4">
        <w:rPr>
          <w:rFonts w:ascii="Arial" w:eastAsia="Calibri" w:hAnsi="Arial" w:cs="Arial"/>
          <w:sz w:val="22"/>
        </w:rPr>
        <w:t xml:space="preserve"> de la Ley 142 de 1994 citado, </w:t>
      </w:r>
      <w:r w:rsidR="009E24D4" w:rsidRPr="009E24D4">
        <w:rPr>
          <w:rFonts w:ascii="Arial" w:eastAsia="Calibri" w:hAnsi="Arial" w:cs="Arial"/>
          <w:sz w:val="22"/>
        </w:rPr>
        <w:t xml:space="preserve">los </w:t>
      </w:r>
      <w:r w:rsidR="009E24D4" w:rsidRPr="009E24D4">
        <w:rPr>
          <w:rFonts w:ascii="Arial" w:hAnsi="Arial" w:cs="Arial"/>
          <w:sz w:val="22"/>
          <w:lang w:val="es-CO"/>
        </w:rPr>
        <w:t>documentos tipo de infraestructura de agua potable y saneamiento básico</w:t>
      </w:r>
      <w:r w:rsidR="00587452">
        <w:rPr>
          <w:rFonts w:ascii="Arial" w:hAnsi="Arial" w:cs="Arial"/>
          <w:sz w:val="22"/>
          <w:lang w:val="es-CO"/>
        </w:rPr>
        <w:t xml:space="preserve"> no son de obligatorio cumplimiento para las empresas de servicios públicos cuando estas adelanten contratos de este tipo de obra pública.</w:t>
      </w:r>
    </w:p>
    <w:p w14:paraId="7F265544" w14:textId="63E74BB6" w:rsidR="00712273" w:rsidRDefault="00360B4B" w:rsidP="0017779A">
      <w:pPr>
        <w:spacing w:before="120" w:line="276" w:lineRule="auto"/>
        <w:ind w:firstLine="708"/>
        <w:jc w:val="both"/>
        <w:rPr>
          <w:rFonts w:ascii="Arial" w:hAnsi="Arial" w:cs="Arial"/>
          <w:sz w:val="22"/>
          <w:lang w:val="es-CO"/>
        </w:rPr>
      </w:pPr>
      <w:r>
        <w:rPr>
          <w:rFonts w:ascii="Arial" w:eastAsia="Calibri" w:hAnsi="Arial" w:cs="Arial"/>
          <w:sz w:val="22"/>
        </w:rPr>
        <w:t>No obstante,</w:t>
      </w:r>
      <w:r w:rsidR="002E79D8" w:rsidRPr="002E79D8">
        <w:rPr>
          <w:rFonts w:ascii="Arial" w:eastAsia="Calibri" w:hAnsi="Arial" w:cs="Arial"/>
          <w:sz w:val="22"/>
        </w:rPr>
        <w:t xml:space="preserve"> </w:t>
      </w:r>
      <w:r w:rsidR="00237C49">
        <w:rPr>
          <w:rFonts w:ascii="Arial" w:eastAsia="Calibri" w:hAnsi="Arial" w:cs="Arial"/>
          <w:sz w:val="22"/>
        </w:rPr>
        <w:t>se</w:t>
      </w:r>
      <w:r w:rsidR="002E79D8">
        <w:rPr>
          <w:rFonts w:ascii="Arial" w:hAnsi="Arial" w:cs="Arial"/>
          <w:sz w:val="22"/>
          <w:lang w:val="es-CO"/>
        </w:rPr>
        <w:t xml:space="preserve"> recomienda como buena práctica contractual, que las entidades, sin importar su naturaleza, adopten dichos documentos en sus procedimientos de contratación relacionados con este tipo de obra pública</w:t>
      </w:r>
      <w:r w:rsidR="00237C49">
        <w:rPr>
          <w:rFonts w:ascii="Arial" w:hAnsi="Arial" w:cs="Arial"/>
          <w:sz w:val="22"/>
          <w:lang w:val="es-CO"/>
        </w:rPr>
        <w:t>. Esto en la medida</w:t>
      </w:r>
      <w:r w:rsidR="002E79D8">
        <w:rPr>
          <w:rFonts w:ascii="Arial" w:hAnsi="Arial" w:cs="Arial"/>
          <w:sz w:val="22"/>
          <w:lang w:val="es-CO"/>
        </w:rPr>
        <w:t xml:space="preserve"> que contienen los parámetros y requisitos adecuados y necesarios para que las entidades logren satisfacer su necesidad, optimizando sus recursos, con estándares de calidad y el cumplimiento de la regulación aplicable.</w:t>
      </w:r>
    </w:p>
    <w:p w14:paraId="41819B84" w14:textId="620154A4" w:rsidR="005E043A" w:rsidRDefault="00E9700E" w:rsidP="00A8672D">
      <w:pPr>
        <w:spacing w:before="120" w:line="276" w:lineRule="auto"/>
        <w:ind w:firstLine="708"/>
        <w:jc w:val="both"/>
        <w:rPr>
          <w:rFonts w:ascii="Arial" w:hAnsi="Arial" w:cs="Arial"/>
          <w:sz w:val="22"/>
          <w:lang w:val="es-CO"/>
        </w:rPr>
      </w:pPr>
      <w:r>
        <w:rPr>
          <w:rFonts w:ascii="Arial" w:hAnsi="Arial" w:cs="Arial"/>
          <w:sz w:val="22"/>
          <w:lang w:val="es-CO"/>
        </w:rPr>
        <w:t>De igual forma</w:t>
      </w:r>
      <w:r w:rsidR="007C227C" w:rsidRPr="00A8672D">
        <w:rPr>
          <w:rFonts w:ascii="Arial" w:hAnsi="Arial" w:cs="Arial"/>
          <w:sz w:val="22"/>
          <w:lang w:val="es-CO"/>
        </w:rPr>
        <w:t>, es importante recordar lo dispuesto en la Ley 205</w:t>
      </w:r>
      <w:r w:rsidR="00237C49" w:rsidRPr="00A8672D">
        <w:rPr>
          <w:rFonts w:ascii="Arial" w:hAnsi="Arial" w:cs="Arial"/>
          <w:sz w:val="22"/>
          <w:lang w:val="es-CO"/>
        </w:rPr>
        <w:t>6</w:t>
      </w:r>
      <w:r w:rsidR="007C227C" w:rsidRPr="00A8672D">
        <w:rPr>
          <w:rFonts w:ascii="Arial" w:hAnsi="Arial" w:cs="Arial"/>
          <w:sz w:val="22"/>
          <w:lang w:val="es-CO"/>
        </w:rPr>
        <w:t xml:space="preserve"> de 2020, </w:t>
      </w:r>
      <w:r>
        <w:rPr>
          <w:rFonts w:ascii="Arial" w:hAnsi="Arial" w:cs="Arial"/>
          <w:sz w:val="22"/>
          <w:lang w:val="es-CO"/>
        </w:rPr>
        <w:t xml:space="preserve">debido a </w:t>
      </w:r>
      <w:r w:rsidR="007C227C" w:rsidRPr="00A8672D">
        <w:rPr>
          <w:rFonts w:ascii="Arial" w:hAnsi="Arial" w:cs="Arial"/>
          <w:sz w:val="22"/>
          <w:lang w:val="es-CO"/>
        </w:rPr>
        <w:t xml:space="preserve">que su consulta se relaciona con los </w:t>
      </w:r>
      <w:r w:rsidR="007C227C" w:rsidRPr="00D36A63">
        <w:rPr>
          <w:rFonts w:ascii="Arial" w:hAnsi="Arial" w:cs="Arial"/>
          <w:sz w:val="22"/>
          <w:lang w:val="es-CO"/>
        </w:rPr>
        <w:t>recursos del Sistema General de Regalías</w:t>
      </w:r>
      <w:r w:rsidR="00237C49" w:rsidRPr="00A8672D">
        <w:rPr>
          <w:rFonts w:ascii="Arial" w:hAnsi="Arial" w:cs="Arial"/>
          <w:sz w:val="22"/>
          <w:lang w:val="es-CO"/>
        </w:rPr>
        <w:t xml:space="preserve">. </w:t>
      </w:r>
      <w:r w:rsidR="005F334A">
        <w:rPr>
          <w:rFonts w:ascii="Arial" w:hAnsi="Arial" w:cs="Arial"/>
          <w:sz w:val="22"/>
          <w:lang w:val="es-CO"/>
        </w:rPr>
        <w:t>Así las cosas</w:t>
      </w:r>
      <w:r w:rsidR="00237C49" w:rsidRPr="00A8672D">
        <w:rPr>
          <w:rFonts w:ascii="Arial" w:hAnsi="Arial" w:cs="Arial"/>
          <w:sz w:val="22"/>
          <w:lang w:val="es-CO"/>
        </w:rPr>
        <w:t xml:space="preserve">, </w:t>
      </w:r>
      <w:bookmarkStart w:id="6" w:name="_Hlk66438231"/>
      <w:r w:rsidR="00237C49" w:rsidRPr="00A8672D">
        <w:rPr>
          <w:rFonts w:ascii="Arial" w:hAnsi="Arial" w:cs="Arial"/>
          <w:sz w:val="22"/>
          <w:lang w:val="es-CO"/>
        </w:rPr>
        <w:t xml:space="preserve">conforme a los artículos 85, 99 y 109, cuando </w:t>
      </w:r>
      <w:r w:rsidR="007C227C" w:rsidRPr="00A8672D">
        <w:rPr>
          <w:rFonts w:ascii="Arial" w:hAnsi="Arial" w:cs="Arial"/>
          <w:sz w:val="22"/>
          <w:lang w:val="es-CO"/>
        </w:rPr>
        <w:t xml:space="preserve">dichos recursos sean para proyectos de inversión en i) pueblos y </w:t>
      </w:r>
      <w:bookmarkStart w:id="7" w:name="_Hlk66435016"/>
      <w:r w:rsidR="007C227C" w:rsidRPr="00DF59EC">
        <w:rPr>
          <w:rFonts w:ascii="Arial" w:hAnsi="Arial" w:cs="Arial"/>
          <w:sz w:val="22"/>
          <w:lang w:val="es-CO"/>
        </w:rPr>
        <w:t>comunidades indígenas</w:t>
      </w:r>
      <w:bookmarkEnd w:id="7"/>
      <w:r w:rsidR="007C227C" w:rsidRPr="00DF59EC">
        <w:rPr>
          <w:rFonts w:ascii="Arial" w:hAnsi="Arial" w:cs="Arial"/>
          <w:sz w:val="22"/>
          <w:lang w:val="es-CO"/>
        </w:rPr>
        <w:t xml:space="preserve">, </w:t>
      </w:r>
      <w:proofErr w:type="spellStart"/>
      <w:r w:rsidR="007C227C" w:rsidRPr="00DF59EC">
        <w:rPr>
          <w:rFonts w:ascii="Arial" w:hAnsi="Arial" w:cs="Arial"/>
          <w:sz w:val="22"/>
          <w:lang w:val="es-CO"/>
        </w:rPr>
        <w:t>ii</w:t>
      </w:r>
      <w:proofErr w:type="spellEnd"/>
      <w:r w:rsidR="007C227C" w:rsidRPr="00DF59EC">
        <w:rPr>
          <w:rFonts w:ascii="Arial" w:hAnsi="Arial" w:cs="Arial"/>
          <w:sz w:val="22"/>
          <w:lang w:val="es-CO"/>
        </w:rPr>
        <w:t>)</w:t>
      </w:r>
      <w:r w:rsidR="007C227C" w:rsidRPr="00A8672D">
        <w:t xml:space="preserve"> </w:t>
      </w:r>
      <w:r w:rsidR="007C227C" w:rsidRPr="00A8672D">
        <w:rPr>
          <w:rFonts w:ascii="Arial" w:hAnsi="Arial" w:cs="Arial"/>
          <w:sz w:val="22"/>
          <w:lang w:val="es-CO"/>
        </w:rPr>
        <w:t xml:space="preserve">comunidades </w:t>
      </w:r>
      <w:r w:rsidR="007C227C" w:rsidRPr="00DF59EC">
        <w:rPr>
          <w:rFonts w:ascii="Arial" w:hAnsi="Arial" w:cs="Arial"/>
          <w:sz w:val="22"/>
          <w:lang w:val="es-CO"/>
        </w:rPr>
        <w:t xml:space="preserve">negras, afrocolombiana, raizales y palenqueras y </w:t>
      </w:r>
      <w:proofErr w:type="spellStart"/>
      <w:r w:rsidR="007C227C" w:rsidRPr="00DF59EC">
        <w:rPr>
          <w:rFonts w:ascii="Arial" w:hAnsi="Arial" w:cs="Arial"/>
          <w:sz w:val="22"/>
          <w:lang w:val="es-CO"/>
        </w:rPr>
        <w:t>iii</w:t>
      </w:r>
      <w:proofErr w:type="spellEnd"/>
      <w:r w:rsidR="007C227C" w:rsidRPr="00DF59EC">
        <w:rPr>
          <w:rFonts w:ascii="Arial" w:hAnsi="Arial" w:cs="Arial"/>
          <w:sz w:val="22"/>
          <w:lang w:val="es-CO"/>
        </w:rPr>
        <w:t xml:space="preserve">) el pueblo </w:t>
      </w:r>
      <w:proofErr w:type="spellStart"/>
      <w:r w:rsidR="00C53A02" w:rsidRPr="00A8672D">
        <w:rPr>
          <w:rFonts w:ascii="Arial" w:hAnsi="Arial" w:cs="Arial"/>
          <w:sz w:val="22"/>
          <w:lang w:val="es-CO"/>
        </w:rPr>
        <w:t>R</w:t>
      </w:r>
      <w:r w:rsidR="007C227C" w:rsidRPr="00A8672D">
        <w:rPr>
          <w:rFonts w:ascii="Arial" w:hAnsi="Arial" w:cs="Arial"/>
          <w:sz w:val="22"/>
          <w:lang w:val="es-CO"/>
        </w:rPr>
        <w:t>rom</w:t>
      </w:r>
      <w:proofErr w:type="spellEnd"/>
      <w:r w:rsidR="007C227C" w:rsidRPr="00A8672D">
        <w:rPr>
          <w:rFonts w:ascii="Arial" w:hAnsi="Arial" w:cs="Arial"/>
          <w:sz w:val="22"/>
          <w:lang w:val="es-CO"/>
        </w:rPr>
        <w:t xml:space="preserve"> o gitano, </w:t>
      </w:r>
      <w:r w:rsidR="00A8672D">
        <w:rPr>
          <w:rFonts w:ascii="Arial" w:hAnsi="Arial" w:cs="Arial"/>
          <w:sz w:val="22"/>
          <w:lang w:val="es-CO"/>
        </w:rPr>
        <w:t xml:space="preserve">los </w:t>
      </w:r>
      <w:r w:rsidR="005E043A">
        <w:rPr>
          <w:rFonts w:ascii="Arial" w:hAnsi="Arial" w:cs="Arial"/>
          <w:sz w:val="22"/>
          <w:lang w:val="es-CO"/>
        </w:rPr>
        <w:t>ejecutores «[...]</w:t>
      </w:r>
      <w:r w:rsidR="005E043A" w:rsidRPr="005E043A">
        <w:t xml:space="preserve"> </w:t>
      </w:r>
      <w:r w:rsidR="005E043A" w:rsidRPr="005E043A">
        <w:rPr>
          <w:rFonts w:ascii="Arial" w:hAnsi="Arial" w:cs="Arial"/>
          <w:sz w:val="22"/>
          <w:lang w:val="es-CO"/>
        </w:rPr>
        <w:t>se regirán por las normas presupuestales contenidas en la presente ley, el Estatuto de Contratación Estatal, las normas contables que para este efecto defina la Contaduría General de la Nación y las demás disposiciones complementarias</w:t>
      </w:r>
      <w:r w:rsidR="005E043A">
        <w:rPr>
          <w:rFonts w:ascii="Arial" w:hAnsi="Arial" w:cs="Arial"/>
          <w:sz w:val="22"/>
          <w:lang w:val="es-CO"/>
        </w:rPr>
        <w:t>».</w:t>
      </w:r>
    </w:p>
    <w:bookmarkEnd w:id="6"/>
    <w:p w14:paraId="017455D2" w14:textId="3048A9CC" w:rsidR="00A8672D" w:rsidRPr="009E24D4" w:rsidRDefault="00A8672D">
      <w:pPr>
        <w:spacing w:before="120" w:line="276" w:lineRule="auto"/>
        <w:ind w:firstLine="708"/>
        <w:jc w:val="both"/>
        <w:rPr>
          <w:rFonts w:ascii="Arial" w:hAnsi="Arial" w:cs="Arial"/>
          <w:sz w:val="22"/>
          <w:lang w:val="es-CO"/>
        </w:rPr>
      </w:pPr>
      <w:r>
        <w:rPr>
          <w:rFonts w:ascii="Arial" w:hAnsi="Arial" w:cs="Arial"/>
          <w:sz w:val="22"/>
          <w:lang w:val="es-CO"/>
        </w:rPr>
        <w:t xml:space="preserve">Conforme a los artículos </w:t>
      </w:r>
      <w:r w:rsidR="003D6C43">
        <w:rPr>
          <w:rFonts w:ascii="Arial" w:hAnsi="Arial" w:cs="Arial"/>
          <w:sz w:val="22"/>
          <w:lang w:val="es-CO"/>
        </w:rPr>
        <w:t>83, 98 y 10</w:t>
      </w:r>
      <w:r w:rsidR="00DF59EC">
        <w:rPr>
          <w:rFonts w:ascii="Arial" w:hAnsi="Arial" w:cs="Arial"/>
          <w:sz w:val="22"/>
          <w:lang w:val="es-CO"/>
        </w:rPr>
        <w:t xml:space="preserve">8 de la Ley 2056 de 2020, la designación del ejecutor de los recursos corresponde tanto a las instancias de decisión de las </w:t>
      </w:r>
      <w:r w:rsidR="00DF59EC" w:rsidRPr="00DF59EC">
        <w:rPr>
          <w:rFonts w:ascii="Arial" w:hAnsi="Arial" w:cs="Arial"/>
          <w:sz w:val="22"/>
          <w:lang w:val="es-CO"/>
        </w:rPr>
        <w:t>comunidades indígenas</w:t>
      </w:r>
      <w:r w:rsidR="00DF59EC">
        <w:rPr>
          <w:rFonts w:ascii="Arial" w:hAnsi="Arial" w:cs="Arial"/>
          <w:sz w:val="22"/>
          <w:lang w:val="es-CO"/>
        </w:rPr>
        <w:t xml:space="preserve">, </w:t>
      </w:r>
      <w:r w:rsidR="00DF59EC" w:rsidRPr="00DF59EC">
        <w:rPr>
          <w:rFonts w:ascii="Arial" w:hAnsi="Arial" w:cs="Arial"/>
          <w:sz w:val="22"/>
          <w:lang w:val="es-CO"/>
        </w:rPr>
        <w:t>negras, afrocolombiana, raizales y palenqueras</w:t>
      </w:r>
      <w:r w:rsidR="00DF59EC">
        <w:rPr>
          <w:rFonts w:ascii="Arial" w:hAnsi="Arial" w:cs="Arial"/>
          <w:sz w:val="22"/>
          <w:lang w:val="es-CO"/>
        </w:rPr>
        <w:t xml:space="preserve"> como la </w:t>
      </w:r>
      <w:r w:rsidR="00DF59EC" w:rsidRPr="00DF59EC">
        <w:rPr>
          <w:rFonts w:ascii="Arial" w:hAnsi="Arial" w:cs="Arial"/>
          <w:sz w:val="22"/>
          <w:lang w:val="es-CO"/>
        </w:rPr>
        <w:t xml:space="preserve">Comisión Nacional de Diálogo del Pueblo </w:t>
      </w:r>
      <w:proofErr w:type="spellStart"/>
      <w:r w:rsidR="00DF59EC" w:rsidRPr="00DF59EC">
        <w:rPr>
          <w:rFonts w:ascii="Arial" w:hAnsi="Arial" w:cs="Arial"/>
          <w:sz w:val="22"/>
          <w:lang w:val="es-CO"/>
        </w:rPr>
        <w:t>Rrom</w:t>
      </w:r>
      <w:proofErr w:type="spellEnd"/>
      <w:r w:rsidR="00DF59EC" w:rsidRPr="00DF59EC">
        <w:rPr>
          <w:rFonts w:ascii="Arial" w:hAnsi="Arial" w:cs="Arial"/>
          <w:sz w:val="22"/>
          <w:lang w:val="es-CO"/>
        </w:rPr>
        <w:t xml:space="preserve"> o Gitano</w:t>
      </w:r>
      <w:r w:rsidR="00D36A63">
        <w:rPr>
          <w:rFonts w:ascii="Arial" w:hAnsi="Arial" w:cs="Arial"/>
          <w:sz w:val="22"/>
          <w:lang w:val="es-CO"/>
        </w:rPr>
        <w:t xml:space="preserve">. </w:t>
      </w:r>
      <w:r w:rsidR="006B71F3" w:rsidRPr="006B71F3">
        <w:rPr>
          <w:rFonts w:ascii="Arial" w:hAnsi="Arial" w:cs="Arial"/>
          <w:sz w:val="22"/>
          <w:lang w:val="es-CO"/>
        </w:rPr>
        <w:t xml:space="preserve">Respecto a las normas citadas, sin perjuicio de lo previsto en los artículos 87 y 101 de la Ley 2056 de 2020 para los Proyectos financiables con recursos de la Asignación Directa, lo </w:t>
      </w:r>
      <w:r w:rsidR="00F82AFA">
        <w:rPr>
          <w:rFonts w:ascii="Arial" w:hAnsi="Arial" w:cs="Arial"/>
          <w:sz w:val="22"/>
          <w:lang w:val="es-CO"/>
        </w:rPr>
        <w:t>relevante</w:t>
      </w:r>
      <w:r w:rsidR="006B71F3" w:rsidRPr="006B71F3">
        <w:rPr>
          <w:rFonts w:ascii="Arial" w:hAnsi="Arial" w:cs="Arial"/>
          <w:sz w:val="22"/>
          <w:lang w:val="es-CO"/>
        </w:rPr>
        <w:t xml:space="preserve"> es que dado que la ejecución de los recursos del Sistema General de Regalías está sometida a la Ley 80 de 1993 y sus normas complementarias, los proyectos de agua potable y saneamiento deberán implementar los documentos tipo de licitación pública, adoptados mediante las Resoluciones No. 248 y 249 del 1º de diciembre de 2020. Esto teniendo en cuenta que, </w:t>
      </w:r>
      <w:proofErr w:type="gramStart"/>
      <w:r w:rsidR="006B71F3" w:rsidRPr="006B71F3">
        <w:rPr>
          <w:rFonts w:ascii="Arial" w:hAnsi="Arial" w:cs="Arial"/>
          <w:sz w:val="22"/>
          <w:lang w:val="es-CO"/>
        </w:rPr>
        <w:t>de acuerdo a</w:t>
      </w:r>
      <w:proofErr w:type="gramEnd"/>
      <w:r w:rsidR="006B71F3" w:rsidRPr="006B71F3">
        <w:rPr>
          <w:rFonts w:ascii="Arial" w:hAnsi="Arial" w:cs="Arial"/>
          <w:sz w:val="22"/>
          <w:lang w:val="es-CO"/>
        </w:rPr>
        <w:t xml:space="preserve"> la Ley 2022 de </w:t>
      </w:r>
      <w:r w:rsidR="006B71F3" w:rsidRPr="006B71F3">
        <w:rPr>
          <w:rFonts w:ascii="Arial" w:hAnsi="Arial" w:cs="Arial"/>
          <w:sz w:val="22"/>
          <w:lang w:val="es-CO"/>
        </w:rPr>
        <w:lastRenderedPageBreak/>
        <w:t>2020, los documentos tipo serán de obligatorio cumplimiento en la contratación sometida al Estatuto General de Contratación de la Administración Pública</w:t>
      </w:r>
      <w:r w:rsidR="00494974">
        <w:rPr>
          <w:rFonts w:ascii="Arial" w:eastAsia="Calibri" w:hAnsi="Arial" w:cs="Arial"/>
          <w:sz w:val="22"/>
        </w:rPr>
        <w:t>.</w:t>
      </w:r>
      <w:r w:rsidR="00494974">
        <w:rPr>
          <w:rFonts w:ascii="Arial" w:hAnsi="Arial" w:cs="Arial"/>
          <w:sz w:val="22"/>
          <w:lang w:val="es-CO"/>
        </w:rPr>
        <w:t xml:space="preserve"> </w:t>
      </w:r>
      <w:r w:rsidR="00D36A63">
        <w:rPr>
          <w:rFonts w:ascii="Arial" w:hAnsi="Arial" w:cs="Arial"/>
          <w:sz w:val="22"/>
          <w:lang w:val="es-CO"/>
        </w:rPr>
        <w:t xml:space="preserve">  </w:t>
      </w:r>
      <w:r w:rsidR="00DF59EC">
        <w:rPr>
          <w:rFonts w:ascii="Arial" w:hAnsi="Arial" w:cs="Arial"/>
          <w:sz w:val="22"/>
          <w:lang w:val="es-CO"/>
        </w:rPr>
        <w:t xml:space="preserve"> </w:t>
      </w:r>
    </w:p>
    <w:p w14:paraId="45A017FC" w14:textId="77777777" w:rsidR="000A5448" w:rsidRPr="009E24D4" w:rsidRDefault="000A5448" w:rsidP="000A5448">
      <w:pPr>
        <w:pStyle w:val="Prrafodelista"/>
        <w:spacing w:line="276" w:lineRule="auto"/>
        <w:ind w:left="0"/>
        <w:jc w:val="both"/>
        <w:rPr>
          <w:rFonts w:ascii="Arial" w:eastAsia="Calibri" w:hAnsi="Arial" w:cs="Arial"/>
          <w:sz w:val="22"/>
        </w:rPr>
      </w:pPr>
    </w:p>
    <w:p w14:paraId="29C4EF52" w14:textId="3EBDB975" w:rsidR="000A5448" w:rsidRPr="009E24D4" w:rsidRDefault="000A5448" w:rsidP="000A5448">
      <w:pPr>
        <w:tabs>
          <w:tab w:val="left" w:pos="0"/>
        </w:tabs>
        <w:spacing w:line="276" w:lineRule="auto"/>
        <w:jc w:val="both"/>
        <w:rPr>
          <w:rFonts w:ascii="Arial" w:eastAsia="Calibri" w:hAnsi="Arial" w:cs="Arial"/>
          <w:b/>
          <w:sz w:val="22"/>
          <w:lang w:val="es-ES"/>
        </w:rPr>
      </w:pPr>
      <w:r w:rsidRPr="009E24D4">
        <w:rPr>
          <w:rFonts w:ascii="Arial" w:eastAsia="Calibri" w:hAnsi="Arial" w:cs="Arial"/>
          <w:b/>
          <w:sz w:val="22"/>
          <w:lang w:val="es-ES"/>
        </w:rPr>
        <w:t>3. Respuesta</w:t>
      </w:r>
    </w:p>
    <w:p w14:paraId="031DEF4A" w14:textId="77777777" w:rsidR="000A5448" w:rsidRPr="009E24D4" w:rsidRDefault="000A5448" w:rsidP="000A5448">
      <w:pPr>
        <w:tabs>
          <w:tab w:val="left" w:pos="0"/>
        </w:tabs>
        <w:spacing w:line="276" w:lineRule="auto"/>
        <w:jc w:val="both"/>
        <w:rPr>
          <w:rFonts w:ascii="Arial" w:eastAsia="Calibri" w:hAnsi="Arial" w:cs="Arial"/>
          <w:sz w:val="20"/>
          <w:szCs w:val="20"/>
          <w:lang w:val="es-ES"/>
        </w:rPr>
      </w:pPr>
    </w:p>
    <w:p w14:paraId="2E719CD6" w14:textId="2956B439" w:rsidR="000A5448" w:rsidRPr="009E24D4" w:rsidRDefault="00FF3AB8" w:rsidP="000A5448">
      <w:pPr>
        <w:tabs>
          <w:tab w:val="left" w:pos="426"/>
        </w:tabs>
        <w:ind w:left="709" w:right="709"/>
        <w:jc w:val="both"/>
        <w:rPr>
          <w:rFonts w:ascii="Arial" w:eastAsia="Calibri" w:hAnsi="Arial" w:cs="Arial"/>
          <w:sz w:val="21"/>
          <w:szCs w:val="21"/>
        </w:rPr>
      </w:pPr>
      <w:r w:rsidRPr="009E24D4">
        <w:rPr>
          <w:rFonts w:ascii="Arial" w:eastAsia="Calibri" w:hAnsi="Arial" w:cs="Arial"/>
          <w:sz w:val="21"/>
          <w:szCs w:val="21"/>
        </w:rPr>
        <w:t>«¿Frente a la ejecución de los recursos provenientes del Sistema General de Regalías (SGR), aprobados por OCAD, para que su ejecutor sea una entidad con régimen especial (empresa de servicios públicos) y no la entidad territorial, podría la primera, contratar la obra alejándose de la nueva directriz (documentos tipo para los procesos de licitación pública para obras de infraestructura de agua potable y saneamiento básico) y dar aplicación a las reglas adoptadas vía manual de contratación?»</w:t>
      </w:r>
    </w:p>
    <w:p w14:paraId="579A8500" w14:textId="77777777" w:rsidR="000A5448" w:rsidRPr="009E24D4" w:rsidRDefault="000A5448" w:rsidP="000A5448">
      <w:pPr>
        <w:tabs>
          <w:tab w:val="left" w:pos="426"/>
        </w:tabs>
        <w:ind w:left="709" w:right="709"/>
        <w:jc w:val="both"/>
        <w:rPr>
          <w:rFonts w:ascii="Arial" w:eastAsia="Calibri" w:hAnsi="Arial" w:cs="Arial"/>
          <w:sz w:val="21"/>
          <w:szCs w:val="21"/>
        </w:rPr>
      </w:pPr>
    </w:p>
    <w:p w14:paraId="0BDB1AB6" w14:textId="1708664C" w:rsidR="002E79D8" w:rsidRDefault="00126B51" w:rsidP="003266D6">
      <w:pPr>
        <w:spacing w:after="120" w:line="276" w:lineRule="auto"/>
        <w:ind w:right="51"/>
        <w:jc w:val="both"/>
        <w:rPr>
          <w:rFonts w:ascii="Arial" w:eastAsia="Calibri" w:hAnsi="Arial" w:cs="Arial"/>
          <w:sz w:val="22"/>
        </w:rPr>
      </w:pPr>
      <w:r w:rsidRPr="009E24D4">
        <w:rPr>
          <w:rFonts w:ascii="Arial" w:eastAsia="Calibri" w:hAnsi="Arial" w:cs="Arial"/>
          <w:sz w:val="22"/>
        </w:rPr>
        <w:t>Por regla general,</w:t>
      </w:r>
      <w:r w:rsidR="00B37E7D" w:rsidRPr="009E24D4">
        <w:rPr>
          <w:rFonts w:ascii="Arial" w:eastAsia="Calibri" w:hAnsi="Arial" w:cs="Arial"/>
          <w:sz w:val="22"/>
        </w:rPr>
        <w:t xml:space="preserve"> sin perjuicio de lo dispuesto en el artículo 13 de la Ley 1150 de 2007,</w:t>
      </w:r>
      <w:r w:rsidRPr="009E24D4">
        <w:rPr>
          <w:rFonts w:ascii="Arial" w:eastAsia="Calibri" w:hAnsi="Arial" w:cs="Arial"/>
          <w:sz w:val="22"/>
        </w:rPr>
        <w:t xml:space="preserve"> e</w:t>
      </w:r>
      <w:r w:rsidR="0091437B" w:rsidRPr="009E24D4">
        <w:rPr>
          <w:rFonts w:ascii="Arial" w:eastAsia="Calibri" w:hAnsi="Arial" w:cs="Arial"/>
          <w:sz w:val="22"/>
        </w:rPr>
        <w:t>l régimen jurídico aplicable a los contratos que celebren las empresas de servicios públicos</w:t>
      </w:r>
      <w:r w:rsidR="00B37E7D" w:rsidRPr="009E24D4">
        <w:rPr>
          <w:rFonts w:ascii="Arial" w:eastAsia="Calibri" w:hAnsi="Arial" w:cs="Arial"/>
          <w:sz w:val="22"/>
        </w:rPr>
        <w:t xml:space="preserve"> </w:t>
      </w:r>
      <w:r w:rsidR="0091437B" w:rsidRPr="009E24D4">
        <w:rPr>
          <w:rFonts w:ascii="Arial" w:eastAsia="Calibri" w:hAnsi="Arial" w:cs="Arial"/>
          <w:sz w:val="22"/>
        </w:rPr>
        <w:t xml:space="preserve">es el </w:t>
      </w:r>
      <w:r w:rsidRPr="009E24D4">
        <w:rPr>
          <w:rFonts w:ascii="Arial" w:eastAsia="Calibri" w:hAnsi="Arial" w:cs="Arial"/>
          <w:sz w:val="22"/>
        </w:rPr>
        <w:t>d</w:t>
      </w:r>
      <w:r w:rsidR="0091437B" w:rsidRPr="009E24D4">
        <w:rPr>
          <w:rFonts w:ascii="Arial" w:eastAsia="Calibri" w:hAnsi="Arial" w:cs="Arial"/>
          <w:sz w:val="22"/>
        </w:rPr>
        <w:t>el derecho privado</w:t>
      </w:r>
      <w:r w:rsidR="00B37E7D" w:rsidRPr="009E24D4">
        <w:rPr>
          <w:rFonts w:ascii="Arial" w:eastAsia="Calibri" w:hAnsi="Arial" w:cs="Arial"/>
          <w:sz w:val="22"/>
        </w:rPr>
        <w:t xml:space="preserve">. </w:t>
      </w:r>
      <w:r w:rsidR="002E79D8">
        <w:rPr>
          <w:rFonts w:ascii="Arial" w:eastAsia="Calibri" w:hAnsi="Arial" w:cs="Arial"/>
          <w:sz w:val="22"/>
        </w:rPr>
        <w:t xml:space="preserve">Por tanto, los </w:t>
      </w:r>
      <w:r w:rsidR="002E79D8" w:rsidRPr="009E24D4">
        <w:rPr>
          <w:rFonts w:ascii="Arial" w:hAnsi="Arial" w:cs="Arial"/>
          <w:sz w:val="22"/>
          <w:lang w:val="es-CO"/>
        </w:rPr>
        <w:t>documentos tipo de infraestructura de agua potable y saneamiento básico</w:t>
      </w:r>
      <w:r w:rsidR="002E79D8">
        <w:rPr>
          <w:rFonts w:ascii="Arial" w:hAnsi="Arial" w:cs="Arial"/>
          <w:sz w:val="22"/>
          <w:lang w:val="es-CO"/>
        </w:rPr>
        <w:t xml:space="preserve"> no son de </w:t>
      </w:r>
      <w:r w:rsidR="00E871BC">
        <w:rPr>
          <w:rFonts w:ascii="Arial" w:hAnsi="Arial" w:cs="Arial"/>
          <w:sz w:val="22"/>
          <w:lang w:val="es-CO"/>
        </w:rPr>
        <w:t xml:space="preserve">aplicación </w:t>
      </w:r>
      <w:r w:rsidR="002E79D8">
        <w:rPr>
          <w:rFonts w:ascii="Arial" w:hAnsi="Arial" w:cs="Arial"/>
          <w:sz w:val="22"/>
          <w:lang w:val="es-CO"/>
        </w:rPr>
        <w:t xml:space="preserve">obligatoria </w:t>
      </w:r>
      <w:r w:rsidR="00E871BC">
        <w:rPr>
          <w:rFonts w:ascii="Arial" w:hAnsi="Arial" w:cs="Arial"/>
          <w:sz w:val="22"/>
          <w:lang w:val="es-CO"/>
        </w:rPr>
        <w:t>para estas empresas. Lo anterior considerando que,</w:t>
      </w:r>
      <w:r w:rsidR="002E79D8">
        <w:rPr>
          <w:rFonts w:ascii="Arial" w:hAnsi="Arial" w:cs="Arial"/>
          <w:sz w:val="22"/>
          <w:lang w:val="es-CO"/>
        </w:rPr>
        <w:t xml:space="preserve"> </w:t>
      </w:r>
      <w:r w:rsidR="00E871BC">
        <w:rPr>
          <w:rFonts w:ascii="Arial" w:hAnsi="Arial" w:cs="Arial"/>
          <w:sz w:val="22"/>
          <w:lang w:val="es-CO"/>
        </w:rPr>
        <w:t xml:space="preserve">según </w:t>
      </w:r>
      <w:r w:rsidR="002E79D8">
        <w:rPr>
          <w:rFonts w:ascii="Arial" w:hAnsi="Arial" w:cs="Arial"/>
          <w:sz w:val="22"/>
          <w:lang w:val="es-CO"/>
        </w:rPr>
        <w:t>el artículo 2 de la</w:t>
      </w:r>
      <w:r w:rsidR="00E871BC">
        <w:rPr>
          <w:rFonts w:ascii="Arial" w:hAnsi="Arial" w:cs="Arial"/>
          <w:sz w:val="22"/>
          <w:lang w:val="es-CO"/>
        </w:rPr>
        <w:t>s</w:t>
      </w:r>
      <w:r w:rsidR="002E79D8">
        <w:rPr>
          <w:rFonts w:ascii="Arial" w:hAnsi="Arial" w:cs="Arial"/>
          <w:sz w:val="22"/>
          <w:lang w:val="es-CO"/>
        </w:rPr>
        <w:t xml:space="preserve"> </w:t>
      </w:r>
      <w:r w:rsidR="00E871BC" w:rsidRPr="009E24D4">
        <w:rPr>
          <w:rFonts w:ascii="Arial" w:eastAsia="Calibri" w:hAnsi="Arial" w:cs="Arial"/>
          <w:sz w:val="22"/>
        </w:rPr>
        <w:t>Resoluci</w:t>
      </w:r>
      <w:r w:rsidR="00E871BC">
        <w:rPr>
          <w:rFonts w:ascii="Arial" w:eastAsia="Calibri" w:hAnsi="Arial" w:cs="Arial"/>
          <w:sz w:val="22"/>
        </w:rPr>
        <w:t>ones</w:t>
      </w:r>
      <w:r w:rsidR="00E871BC" w:rsidRPr="009E24D4">
        <w:rPr>
          <w:rFonts w:ascii="Arial" w:eastAsia="Calibri" w:hAnsi="Arial" w:cs="Arial"/>
          <w:sz w:val="22"/>
        </w:rPr>
        <w:t xml:space="preserve"> No. 248 </w:t>
      </w:r>
      <w:r w:rsidR="00E871BC">
        <w:rPr>
          <w:rFonts w:ascii="Arial" w:eastAsia="Calibri" w:hAnsi="Arial" w:cs="Arial"/>
          <w:sz w:val="22"/>
        </w:rPr>
        <w:t xml:space="preserve">y 249 </w:t>
      </w:r>
      <w:r w:rsidR="00E871BC" w:rsidRPr="009E24D4">
        <w:rPr>
          <w:rFonts w:ascii="Arial" w:eastAsia="Calibri" w:hAnsi="Arial" w:cs="Arial"/>
          <w:sz w:val="22"/>
        </w:rPr>
        <w:t>de</w:t>
      </w:r>
      <w:r w:rsidR="00E871BC">
        <w:rPr>
          <w:rFonts w:ascii="Arial" w:eastAsia="Calibri" w:hAnsi="Arial" w:cs="Arial"/>
          <w:sz w:val="22"/>
        </w:rPr>
        <w:t>l 1º de diciembre de</w:t>
      </w:r>
      <w:r w:rsidR="00E871BC" w:rsidRPr="009E24D4">
        <w:rPr>
          <w:rFonts w:ascii="Arial" w:eastAsia="Calibri" w:hAnsi="Arial" w:cs="Arial"/>
          <w:sz w:val="22"/>
        </w:rPr>
        <w:t xml:space="preserve"> 2020</w:t>
      </w:r>
      <w:r w:rsidR="00E871BC">
        <w:rPr>
          <w:rFonts w:ascii="Arial" w:eastAsia="Calibri" w:hAnsi="Arial" w:cs="Arial"/>
          <w:sz w:val="22"/>
        </w:rPr>
        <w:t xml:space="preserve">, estos solo </w:t>
      </w:r>
      <w:r w:rsidR="006B71F3">
        <w:rPr>
          <w:rFonts w:ascii="Arial" w:eastAsia="Calibri" w:hAnsi="Arial" w:cs="Arial"/>
          <w:sz w:val="22"/>
        </w:rPr>
        <w:t xml:space="preserve">son </w:t>
      </w:r>
      <w:r w:rsidR="00E871BC">
        <w:rPr>
          <w:rFonts w:ascii="Arial" w:eastAsia="Calibri" w:hAnsi="Arial" w:cs="Arial"/>
          <w:sz w:val="22"/>
        </w:rPr>
        <w:t>vinculantes para las entidades sometidas a</w:t>
      </w:r>
      <w:r w:rsidR="00E871BC" w:rsidRPr="009E24D4">
        <w:rPr>
          <w:rFonts w:ascii="Arial" w:eastAsia="Calibri" w:hAnsi="Arial" w:cs="Arial"/>
          <w:sz w:val="22"/>
        </w:rPr>
        <w:t>l Estatuto General de Contratación de la Administración Pública</w:t>
      </w:r>
      <w:r w:rsidR="002E79D8">
        <w:rPr>
          <w:rFonts w:ascii="Arial" w:eastAsia="Calibri" w:hAnsi="Arial" w:cs="Arial"/>
          <w:sz w:val="22"/>
        </w:rPr>
        <w:t>.</w:t>
      </w:r>
    </w:p>
    <w:p w14:paraId="24656A09" w14:textId="22CC8C3E" w:rsidR="000A5448" w:rsidRDefault="00322B9F" w:rsidP="009D2581">
      <w:pPr>
        <w:spacing w:after="120" w:line="276" w:lineRule="auto"/>
        <w:ind w:right="51" w:firstLine="709"/>
        <w:jc w:val="both"/>
        <w:rPr>
          <w:rFonts w:ascii="Arial" w:eastAsia="Calibri" w:hAnsi="Arial" w:cs="Arial"/>
          <w:sz w:val="22"/>
        </w:rPr>
      </w:pPr>
      <w:r w:rsidRPr="009E24D4">
        <w:rPr>
          <w:rFonts w:ascii="Arial" w:eastAsia="Calibri" w:hAnsi="Arial" w:cs="Arial"/>
          <w:sz w:val="22"/>
        </w:rPr>
        <w:t xml:space="preserve">Sin embargo, </w:t>
      </w:r>
      <w:r w:rsidR="002E79D8">
        <w:rPr>
          <w:rFonts w:ascii="Arial" w:eastAsia="Calibri" w:hAnsi="Arial" w:cs="Arial"/>
          <w:sz w:val="22"/>
        </w:rPr>
        <w:t>las empresas de servicios públicos</w:t>
      </w:r>
      <w:r w:rsidR="007058AD">
        <w:rPr>
          <w:rFonts w:ascii="Arial" w:eastAsia="Calibri" w:hAnsi="Arial" w:cs="Arial"/>
          <w:sz w:val="22"/>
        </w:rPr>
        <w:t>, como buena práctica contractual, pueden implementar los mencionados documentos tipo en sus procesos de contratación de las obras públicas relacionadas con agua potable y saneamiento básico</w:t>
      </w:r>
      <w:r w:rsidR="00CA776D">
        <w:rPr>
          <w:rFonts w:ascii="Arial" w:eastAsia="Calibri" w:hAnsi="Arial" w:cs="Arial"/>
          <w:sz w:val="22"/>
        </w:rPr>
        <w:t>, ya que estos contienen las mejores prácticas contractuales y coadyuban a la optimización de los recursos dispuestos por las entidades para la satisfacción de sus necesidades</w:t>
      </w:r>
      <w:r w:rsidR="009C79C5">
        <w:rPr>
          <w:rFonts w:ascii="Arial" w:eastAsia="Calibri" w:hAnsi="Arial" w:cs="Arial"/>
          <w:sz w:val="22"/>
        </w:rPr>
        <w:t>.</w:t>
      </w:r>
    </w:p>
    <w:p w14:paraId="444A8856" w14:textId="152B0A55" w:rsidR="009D2581" w:rsidRDefault="00341C29" w:rsidP="003266D6">
      <w:pPr>
        <w:spacing w:after="120" w:line="276" w:lineRule="auto"/>
        <w:ind w:right="51" w:firstLine="709"/>
        <w:jc w:val="both"/>
        <w:rPr>
          <w:rFonts w:ascii="Arial" w:hAnsi="Arial" w:cs="Arial"/>
          <w:sz w:val="22"/>
        </w:rPr>
      </w:pPr>
      <w:r>
        <w:rPr>
          <w:rFonts w:ascii="Arial" w:hAnsi="Arial" w:cs="Arial"/>
          <w:sz w:val="22"/>
        </w:rPr>
        <w:t xml:space="preserve">En todo caso, </w:t>
      </w:r>
      <w:r w:rsidRPr="00341C29">
        <w:rPr>
          <w:rFonts w:ascii="Arial" w:hAnsi="Arial" w:cs="Arial"/>
          <w:sz w:val="22"/>
        </w:rPr>
        <w:t>conforme a los artículos 85, 99 y 109</w:t>
      </w:r>
      <w:r>
        <w:rPr>
          <w:rFonts w:ascii="Arial" w:hAnsi="Arial" w:cs="Arial"/>
          <w:sz w:val="22"/>
        </w:rPr>
        <w:t xml:space="preserve"> de la Ley 2056 de 2020</w:t>
      </w:r>
      <w:r w:rsidRPr="00341C29">
        <w:rPr>
          <w:rFonts w:ascii="Arial" w:hAnsi="Arial" w:cs="Arial"/>
          <w:sz w:val="22"/>
        </w:rPr>
        <w:t xml:space="preserve">, cuando </w:t>
      </w:r>
      <w:r>
        <w:rPr>
          <w:rFonts w:ascii="Arial" w:hAnsi="Arial" w:cs="Arial"/>
          <w:sz w:val="22"/>
        </w:rPr>
        <w:t>los</w:t>
      </w:r>
      <w:r w:rsidRPr="00341C29">
        <w:rPr>
          <w:rFonts w:ascii="Arial" w:hAnsi="Arial" w:cs="Arial"/>
          <w:sz w:val="22"/>
        </w:rPr>
        <w:t xml:space="preserve"> recursos</w:t>
      </w:r>
      <w:r>
        <w:rPr>
          <w:rFonts w:ascii="Arial" w:hAnsi="Arial" w:cs="Arial"/>
          <w:sz w:val="22"/>
        </w:rPr>
        <w:t xml:space="preserve"> del Sistema General de Regalías</w:t>
      </w:r>
      <w:r w:rsidRPr="00341C29">
        <w:rPr>
          <w:rFonts w:ascii="Arial" w:hAnsi="Arial" w:cs="Arial"/>
          <w:sz w:val="22"/>
        </w:rPr>
        <w:t xml:space="preserve"> sean para proyectos de inversión en i) pueblos y comunidades indígenas, </w:t>
      </w:r>
      <w:proofErr w:type="spellStart"/>
      <w:r w:rsidRPr="00341C29">
        <w:rPr>
          <w:rFonts w:ascii="Arial" w:hAnsi="Arial" w:cs="Arial"/>
          <w:sz w:val="22"/>
        </w:rPr>
        <w:t>ii</w:t>
      </w:r>
      <w:proofErr w:type="spellEnd"/>
      <w:r w:rsidRPr="00341C29">
        <w:rPr>
          <w:rFonts w:ascii="Arial" w:hAnsi="Arial" w:cs="Arial"/>
          <w:sz w:val="22"/>
        </w:rPr>
        <w:t xml:space="preserve">) comunidades negras, afrocolombiana, raizales y palenqueras y </w:t>
      </w:r>
      <w:proofErr w:type="spellStart"/>
      <w:r w:rsidRPr="00341C29">
        <w:rPr>
          <w:rFonts w:ascii="Arial" w:hAnsi="Arial" w:cs="Arial"/>
          <w:sz w:val="22"/>
        </w:rPr>
        <w:t>iii</w:t>
      </w:r>
      <w:proofErr w:type="spellEnd"/>
      <w:r w:rsidRPr="00341C29">
        <w:rPr>
          <w:rFonts w:ascii="Arial" w:hAnsi="Arial" w:cs="Arial"/>
          <w:sz w:val="22"/>
        </w:rPr>
        <w:t xml:space="preserve">) el pueblo </w:t>
      </w:r>
      <w:proofErr w:type="spellStart"/>
      <w:r w:rsidRPr="00341C29">
        <w:rPr>
          <w:rFonts w:ascii="Arial" w:hAnsi="Arial" w:cs="Arial"/>
          <w:sz w:val="22"/>
        </w:rPr>
        <w:t>Rrom</w:t>
      </w:r>
      <w:proofErr w:type="spellEnd"/>
      <w:r w:rsidRPr="00341C29">
        <w:rPr>
          <w:rFonts w:ascii="Arial" w:hAnsi="Arial" w:cs="Arial"/>
          <w:sz w:val="22"/>
        </w:rPr>
        <w:t xml:space="preserve"> o gitano, los ejecutores «[...] se regirán por las normas presupuestales contenidas en la presente ley, el Estatuto de Contratación Estatal, las normas contables que para este efecto defina la Contaduría General de la Nación y las demás disposiciones complementarias».</w:t>
      </w:r>
    </w:p>
    <w:p w14:paraId="5E9E2669" w14:textId="7F694408" w:rsidR="00FF3AB8" w:rsidRDefault="00F30045" w:rsidP="003266D6">
      <w:pPr>
        <w:spacing w:after="120" w:line="276" w:lineRule="auto"/>
        <w:ind w:firstLine="708"/>
        <w:jc w:val="both"/>
        <w:rPr>
          <w:rFonts w:ascii="Arial" w:hAnsi="Arial" w:cs="Arial"/>
          <w:sz w:val="22"/>
        </w:rPr>
      </w:pPr>
      <w:bookmarkStart w:id="8" w:name="_Hlk66453064"/>
      <w:r>
        <w:rPr>
          <w:rFonts w:ascii="Arial" w:hAnsi="Arial" w:cs="Arial"/>
          <w:sz w:val="22"/>
          <w:lang w:val="es-CO"/>
        </w:rPr>
        <w:t>Respecto a las normas citadas,</w:t>
      </w:r>
      <w:r w:rsidR="006B71F3">
        <w:rPr>
          <w:rFonts w:ascii="Arial" w:hAnsi="Arial" w:cs="Arial"/>
          <w:sz w:val="22"/>
          <w:lang w:val="es-CO"/>
        </w:rPr>
        <w:t xml:space="preserve"> sin perjuicio de lo previsto en los artículos 87 y 101 de la Ley 2056 de 2020 para los </w:t>
      </w:r>
      <w:r w:rsidR="006B71F3" w:rsidRPr="006B71F3">
        <w:rPr>
          <w:rFonts w:ascii="Arial" w:hAnsi="Arial" w:cs="Arial"/>
          <w:sz w:val="22"/>
          <w:lang w:val="es-CO"/>
        </w:rPr>
        <w:t>Proyectos financiables con recursos de la Asignación Directa</w:t>
      </w:r>
      <w:r w:rsidR="006B71F3">
        <w:rPr>
          <w:rFonts w:ascii="Arial" w:hAnsi="Arial" w:cs="Arial"/>
          <w:sz w:val="22"/>
          <w:lang w:val="es-CO"/>
        </w:rPr>
        <w:t>,</w:t>
      </w:r>
      <w:r>
        <w:rPr>
          <w:rFonts w:ascii="Arial" w:hAnsi="Arial" w:cs="Arial"/>
          <w:sz w:val="22"/>
          <w:lang w:val="es-CO"/>
        </w:rPr>
        <w:t xml:space="preserve"> lo importante es que dado que la ejecución de los </w:t>
      </w:r>
      <w:r w:rsidRPr="00D36A63">
        <w:rPr>
          <w:rFonts w:ascii="Arial" w:hAnsi="Arial" w:cs="Arial"/>
          <w:sz w:val="22"/>
          <w:lang w:val="es-CO"/>
        </w:rPr>
        <w:t>recursos del Sistema General de Regalías</w:t>
      </w:r>
      <w:r>
        <w:rPr>
          <w:rFonts w:ascii="Arial" w:hAnsi="Arial" w:cs="Arial"/>
          <w:sz w:val="22"/>
          <w:lang w:val="es-CO"/>
        </w:rPr>
        <w:t xml:space="preserve"> está sometida a la Ley 80 de 1993 y sus normas complementarias, los proyectos de agua potable y saneamiento deberán implementar los documentos tipo de licitación pública, adoptados mediante las </w:t>
      </w:r>
      <w:r w:rsidRPr="009E24D4">
        <w:rPr>
          <w:rFonts w:ascii="Arial" w:eastAsia="Calibri" w:hAnsi="Arial" w:cs="Arial"/>
          <w:sz w:val="22"/>
        </w:rPr>
        <w:t>Resoluci</w:t>
      </w:r>
      <w:r>
        <w:rPr>
          <w:rFonts w:ascii="Arial" w:eastAsia="Calibri" w:hAnsi="Arial" w:cs="Arial"/>
          <w:sz w:val="22"/>
        </w:rPr>
        <w:t>ones</w:t>
      </w:r>
      <w:r w:rsidRPr="009E24D4">
        <w:rPr>
          <w:rFonts w:ascii="Arial" w:eastAsia="Calibri" w:hAnsi="Arial" w:cs="Arial"/>
          <w:sz w:val="22"/>
        </w:rPr>
        <w:t xml:space="preserve"> No. 248 </w:t>
      </w:r>
      <w:r>
        <w:rPr>
          <w:rFonts w:ascii="Arial" w:eastAsia="Calibri" w:hAnsi="Arial" w:cs="Arial"/>
          <w:sz w:val="22"/>
        </w:rPr>
        <w:t xml:space="preserve">y 249 </w:t>
      </w:r>
      <w:r w:rsidRPr="009E24D4">
        <w:rPr>
          <w:rFonts w:ascii="Arial" w:eastAsia="Calibri" w:hAnsi="Arial" w:cs="Arial"/>
          <w:sz w:val="22"/>
        </w:rPr>
        <w:t>de</w:t>
      </w:r>
      <w:r>
        <w:rPr>
          <w:rFonts w:ascii="Arial" w:eastAsia="Calibri" w:hAnsi="Arial" w:cs="Arial"/>
          <w:sz w:val="22"/>
        </w:rPr>
        <w:t>l 1º de diciembre de</w:t>
      </w:r>
      <w:r w:rsidRPr="009E24D4">
        <w:rPr>
          <w:rFonts w:ascii="Arial" w:eastAsia="Calibri" w:hAnsi="Arial" w:cs="Arial"/>
          <w:sz w:val="22"/>
        </w:rPr>
        <w:t xml:space="preserve"> 2020</w:t>
      </w:r>
      <w:r>
        <w:rPr>
          <w:rFonts w:ascii="Arial" w:eastAsia="Calibri" w:hAnsi="Arial" w:cs="Arial"/>
          <w:sz w:val="22"/>
        </w:rPr>
        <w:t xml:space="preserve">. Esto teniendo en cuenta que, </w:t>
      </w:r>
      <w:proofErr w:type="gramStart"/>
      <w:r>
        <w:rPr>
          <w:rFonts w:ascii="Arial" w:eastAsia="Calibri" w:hAnsi="Arial" w:cs="Arial"/>
          <w:sz w:val="22"/>
        </w:rPr>
        <w:t>de acuerdo a</w:t>
      </w:r>
      <w:proofErr w:type="gramEnd"/>
      <w:r>
        <w:rPr>
          <w:rFonts w:ascii="Arial" w:eastAsia="Calibri" w:hAnsi="Arial" w:cs="Arial"/>
          <w:sz w:val="22"/>
        </w:rPr>
        <w:t xml:space="preserve"> la Ley 2022 de 2020, los </w:t>
      </w:r>
      <w:r w:rsidRPr="00494974">
        <w:rPr>
          <w:rFonts w:ascii="Arial" w:eastAsia="Calibri" w:hAnsi="Arial" w:cs="Arial"/>
          <w:sz w:val="22"/>
        </w:rPr>
        <w:t xml:space="preserve">documentos tipo serán de obligatorio cumplimiento </w:t>
      </w:r>
      <w:r>
        <w:rPr>
          <w:rFonts w:ascii="Arial" w:eastAsia="Calibri" w:hAnsi="Arial" w:cs="Arial"/>
          <w:sz w:val="22"/>
        </w:rPr>
        <w:t>en la contratación sometida al</w:t>
      </w:r>
      <w:r w:rsidRPr="00494974">
        <w:rPr>
          <w:rFonts w:ascii="Arial" w:eastAsia="Calibri" w:hAnsi="Arial" w:cs="Arial"/>
          <w:sz w:val="22"/>
        </w:rPr>
        <w:t xml:space="preserve"> Estatuto General de Contratación de la Administración Pública</w:t>
      </w:r>
      <w:bookmarkEnd w:id="8"/>
      <w:r>
        <w:rPr>
          <w:rFonts w:ascii="Arial" w:eastAsia="Calibri" w:hAnsi="Arial" w:cs="Arial"/>
          <w:sz w:val="22"/>
        </w:rPr>
        <w:t>.</w:t>
      </w:r>
      <w:r>
        <w:rPr>
          <w:rFonts w:ascii="Arial" w:hAnsi="Arial" w:cs="Arial"/>
          <w:sz w:val="22"/>
          <w:lang w:val="es-CO"/>
        </w:rPr>
        <w:t xml:space="preserve">  </w:t>
      </w:r>
    </w:p>
    <w:p w14:paraId="0B40304A" w14:textId="77777777" w:rsidR="00CA776D" w:rsidRPr="009E24D4" w:rsidRDefault="00CA776D" w:rsidP="003266D6">
      <w:pPr>
        <w:spacing w:line="276" w:lineRule="auto"/>
        <w:jc w:val="both"/>
        <w:rPr>
          <w:rFonts w:ascii="Arial" w:hAnsi="Arial" w:cs="Arial"/>
          <w:sz w:val="22"/>
        </w:rPr>
      </w:pPr>
    </w:p>
    <w:bookmarkEnd w:id="3"/>
    <w:p w14:paraId="09B3AEBB" w14:textId="77777777" w:rsidR="00FF3AB8" w:rsidRPr="009E24D4" w:rsidRDefault="00FF3AB8" w:rsidP="00FF3AB8">
      <w:pPr>
        <w:spacing w:line="276" w:lineRule="auto"/>
        <w:jc w:val="both"/>
        <w:rPr>
          <w:rFonts w:ascii="Arial" w:eastAsia="Calibri" w:hAnsi="Arial" w:cs="Arial"/>
          <w:noProof/>
          <w:sz w:val="22"/>
          <w:lang w:val="es-ES_tradnl"/>
        </w:rPr>
      </w:pPr>
      <w:r w:rsidRPr="009E24D4">
        <w:rPr>
          <w:rFonts w:ascii="Arial" w:eastAsia="Calibri" w:hAnsi="Arial" w:cs="Arial"/>
          <w:noProof/>
          <w:sz w:val="22"/>
          <w:lang w:val="es-ES_tradnl"/>
        </w:rPr>
        <w:t>Este concepto tiene el alcance previsto en el artículo 28 del Código de Procedimiento Administrativo y de lo Contencioso Administrativo.</w:t>
      </w:r>
    </w:p>
    <w:p w14:paraId="4D42FACC" w14:textId="77777777" w:rsidR="00FF3AB8" w:rsidRPr="009E24D4" w:rsidRDefault="00FF3AB8" w:rsidP="00FF3AB8">
      <w:pPr>
        <w:spacing w:line="276" w:lineRule="auto"/>
        <w:jc w:val="both"/>
        <w:rPr>
          <w:rFonts w:ascii="Arial" w:eastAsia="Calibri" w:hAnsi="Arial" w:cs="Arial"/>
          <w:noProof/>
          <w:sz w:val="22"/>
          <w:lang w:val="es-ES_tradnl"/>
        </w:rPr>
      </w:pPr>
    </w:p>
    <w:p w14:paraId="1D9C4D29" w14:textId="77777777" w:rsidR="00FF3AB8" w:rsidRPr="009E24D4" w:rsidRDefault="00FF3AB8" w:rsidP="00FF3AB8">
      <w:pPr>
        <w:spacing w:line="276" w:lineRule="auto"/>
        <w:jc w:val="both"/>
        <w:rPr>
          <w:rFonts w:ascii="Arial" w:eastAsia="Calibri" w:hAnsi="Arial" w:cs="Arial"/>
          <w:noProof/>
          <w:sz w:val="22"/>
          <w:lang w:val="es-ES_tradnl"/>
        </w:rPr>
      </w:pPr>
      <w:r w:rsidRPr="009E24D4">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B8DB355" wp14:editId="66259972">
                <wp:simplePos x="0" y="0"/>
                <wp:positionH relativeFrom="page">
                  <wp:posOffset>1514475</wp:posOffset>
                </wp:positionH>
                <wp:positionV relativeFrom="paragraph">
                  <wp:posOffset>10160</wp:posOffset>
                </wp:positionV>
                <wp:extent cx="4686300" cy="0"/>
                <wp:effectExtent l="0" t="0" r="0" b="0"/>
                <wp:wrapNone/>
                <wp:docPr id="2"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2C350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DHDvv+3AQAAWQMAAA4AAAAAAAAAAAAAAAAALgIAAGRycy9lMm9Eb2Mu&#10;eG1sUEsBAi0AFAAGAAgAAAAhANBIUp7ZAAAABwEAAA8AAAAAAAAAAAAAAAAAEQQAAGRycy9kb3du&#10;cmV2LnhtbFBLBQYAAAAABAAEAPMAAAAXBQAAAAA=&#10;" strokecolor="#dbdbdb">
                <w10:wrap anchorx="page"/>
              </v:line>
            </w:pict>
          </mc:Fallback>
        </mc:AlternateContent>
      </w:r>
    </w:p>
    <w:p w14:paraId="1048EAB3" w14:textId="77777777" w:rsidR="00FF3AB8" w:rsidRPr="009E24D4" w:rsidRDefault="00FF3AB8" w:rsidP="00FF3AB8">
      <w:pPr>
        <w:textAlignment w:val="baseline"/>
        <w:rPr>
          <w:rFonts w:ascii="Segoe UI" w:eastAsia="Times New Roman" w:hAnsi="Segoe UI" w:cs="Segoe UI"/>
          <w:sz w:val="18"/>
          <w:szCs w:val="18"/>
          <w:lang w:val="es-CO" w:eastAsia="es-CO"/>
        </w:rPr>
      </w:pPr>
      <w:r w:rsidRPr="009E24D4">
        <w:rPr>
          <w:rFonts w:ascii="Arial" w:eastAsia="Times New Roman" w:hAnsi="Arial" w:cs="Arial"/>
          <w:sz w:val="22"/>
          <w:lang w:eastAsia="es-CO"/>
        </w:rPr>
        <w:t>Atentamente,</w:t>
      </w:r>
      <w:r w:rsidRPr="009E24D4">
        <w:rPr>
          <w:rFonts w:ascii="Arial" w:eastAsia="Times New Roman" w:hAnsi="Arial" w:cs="Arial"/>
          <w:sz w:val="22"/>
          <w:lang w:val="es-CO" w:eastAsia="es-CO"/>
        </w:rPr>
        <w:t> </w:t>
      </w:r>
    </w:p>
    <w:p w14:paraId="58608F78" w14:textId="77777777" w:rsidR="00FF3AB8" w:rsidRPr="009E24D4" w:rsidRDefault="00FF3AB8" w:rsidP="00FF3AB8">
      <w:pPr>
        <w:textAlignment w:val="baseline"/>
        <w:rPr>
          <w:rFonts w:ascii="Segoe UI" w:eastAsia="Times New Roman" w:hAnsi="Segoe UI" w:cs="Segoe UI"/>
          <w:sz w:val="18"/>
          <w:szCs w:val="18"/>
          <w:lang w:val="es-CO" w:eastAsia="es-CO"/>
        </w:rPr>
      </w:pPr>
      <w:r w:rsidRPr="009E24D4">
        <w:rPr>
          <w:rFonts w:ascii="Arial" w:eastAsia="Times New Roman" w:hAnsi="Arial" w:cs="Arial"/>
          <w:sz w:val="22"/>
          <w:lang w:val="es-CO" w:eastAsia="es-CO"/>
        </w:rPr>
        <w:t> </w:t>
      </w:r>
    </w:p>
    <w:p w14:paraId="0B6CE283" w14:textId="637D3AA4" w:rsidR="00FF3AB8" w:rsidRPr="00FF3AB8" w:rsidRDefault="00F874AF" w:rsidP="00FF3AB8">
      <w:pPr>
        <w:jc w:val="center"/>
        <w:textAlignment w:val="baseline"/>
        <w:rPr>
          <w:rFonts w:ascii="Segoe UI" w:eastAsia="Times New Roman" w:hAnsi="Segoe UI" w:cs="Segoe UI"/>
          <w:sz w:val="18"/>
          <w:szCs w:val="18"/>
          <w:lang w:val="es-CO" w:eastAsia="es-CO"/>
        </w:rPr>
      </w:pPr>
      <w:r>
        <w:rPr>
          <w:noProof/>
        </w:rPr>
        <w:drawing>
          <wp:inline distT="0" distB="0" distL="0" distR="0" wp14:anchorId="563F8723" wp14:editId="5E301BAF">
            <wp:extent cx="2514600" cy="1114425"/>
            <wp:effectExtent l="0" t="0" r="0" b="0"/>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FF3AB8" w:rsidRPr="00FF3AB8">
        <w:rPr>
          <w:rFonts w:ascii="Arial" w:eastAsia="Times New Roman" w:hAnsi="Arial" w:cs="Arial"/>
          <w:sz w:val="18"/>
          <w:szCs w:val="18"/>
          <w:lang w:val="es-CO" w:eastAsia="es-CO"/>
        </w:rPr>
        <w:t> </w:t>
      </w:r>
    </w:p>
    <w:p w14:paraId="6B3A6EFD" w14:textId="77777777" w:rsidR="00FF3AB8" w:rsidRPr="00FF3AB8" w:rsidRDefault="00FF3AB8" w:rsidP="00FF3AB8">
      <w:pPr>
        <w:jc w:val="center"/>
        <w:textAlignment w:val="baseline"/>
        <w:rPr>
          <w:rFonts w:ascii="Segoe UI" w:eastAsia="Times New Roman" w:hAnsi="Segoe UI" w:cs="Segoe UI"/>
          <w:sz w:val="18"/>
          <w:szCs w:val="18"/>
          <w:lang w:val="es-CO" w:eastAsia="es-CO"/>
        </w:rPr>
      </w:pPr>
      <w:r w:rsidRPr="00FF3AB8">
        <w:rPr>
          <w:rFonts w:ascii="Arial" w:eastAsia="Times New Roman" w:hAnsi="Arial" w:cs="Arial"/>
          <w:sz w:val="18"/>
          <w:szCs w:val="18"/>
          <w:lang w:val="es-CO" w:eastAsia="es-CO"/>
        </w:rPr>
        <w:t> </w:t>
      </w:r>
    </w:p>
    <w:p w14:paraId="3BC0D0FA" w14:textId="77777777" w:rsidR="00FF3AB8" w:rsidRPr="00FF3AB8" w:rsidRDefault="00FF3AB8" w:rsidP="00FF3AB8">
      <w:pPr>
        <w:jc w:val="center"/>
        <w:textAlignment w:val="baseline"/>
        <w:rPr>
          <w:rFonts w:ascii="Segoe UI" w:eastAsia="Times New Roman" w:hAnsi="Segoe UI" w:cs="Segoe UI"/>
          <w:sz w:val="18"/>
          <w:szCs w:val="18"/>
          <w:lang w:val="es-CO" w:eastAsia="es-CO"/>
        </w:rPr>
      </w:pPr>
      <w:r w:rsidRPr="00FF3AB8">
        <w:rPr>
          <w:rFonts w:ascii="Arial" w:eastAsia="Times New Roman" w:hAnsi="Arial" w:cs="Arial"/>
          <w:sz w:val="18"/>
          <w:szCs w:val="18"/>
          <w:lang w:val="es-CO" w:eastAsia="es-CO"/>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B75B0" w14:paraId="0CF1FAB5" w14:textId="77777777" w:rsidTr="00195643">
        <w:trPr>
          <w:trHeight w:val="315"/>
        </w:trPr>
        <w:tc>
          <w:tcPr>
            <w:tcW w:w="812" w:type="dxa"/>
            <w:vAlign w:val="center"/>
            <w:hideMark/>
          </w:tcPr>
          <w:p w14:paraId="50E869D4" w14:textId="77777777" w:rsidR="00CB75B0" w:rsidRDefault="00CB75B0" w:rsidP="00195643">
            <w:pPr>
              <w:rPr>
                <w:rFonts w:ascii="Arial" w:hAnsi="Arial" w:cs="Arial"/>
                <w:sz w:val="16"/>
                <w:szCs w:val="16"/>
                <w:lang w:eastAsia="es-ES"/>
              </w:rPr>
            </w:pPr>
            <w:r>
              <w:rPr>
                <w:rFonts w:ascii="Arial" w:hAnsi="Arial" w:cs="Arial"/>
                <w:sz w:val="16"/>
                <w:szCs w:val="16"/>
                <w:lang w:eastAsia="es-ES"/>
              </w:rPr>
              <w:t>Elaboró:</w:t>
            </w:r>
          </w:p>
        </w:tc>
        <w:tc>
          <w:tcPr>
            <w:tcW w:w="4413" w:type="dxa"/>
            <w:vAlign w:val="center"/>
            <w:hideMark/>
          </w:tcPr>
          <w:p w14:paraId="7F30D310" w14:textId="77777777" w:rsidR="00CB75B0" w:rsidRDefault="00CB75B0" w:rsidP="00195643">
            <w:pPr>
              <w:rPr>
                <w:rFonts w:ascii="Arial" w:hAnsi="Arial" w:cs="Arial"/>
                <w:sz w:val="16"/>
                <w:szCs w:val="16"/>
                <w:lang w:eastAsia="es-ES"/>
              </w:rPr>
            </w:pPr>
            <w:r>
              <w:rPr>
                <w:rFonts w:ascii="Arial" w:hAnsi="Arial" w:cs="Arial"/>
                <w:sz w:val="16"/>
                <w:szCs w:val="16"/>
                <w:lang w:eastAsia="es-ES"/>
              </w:rPr>
              <w:t>Ximena Ríos López</w:t>
            </w:r>
          </w:p>
          <w:p w14:paraId="0F1DFFFB" w14:textId="77777777" w:rsidR="00CB75B0" w:rsidRDefault="00CB75B0" w:rsidP="00195643">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CB75B0" w14:paraId="1B944F5C" w14:textId="77777777" w:rsidTr="00195643">
        <w:trPr>
          <w:trHeight w:val="330"/>
        </w:trPr>
        <w:tc>
          <w:tcPr>
            <w:tcW w:w="812" w:type="dxa"/>
            <w:vAlign w:val="center"/>
            <w:hideMark/>
          </w:tcPr>
          <w:p w14:paraId="3A2B9FE9" w14:textId="77777777" w:rsidR="00CB75B0" w:rsidRDefault="00CB75B0" w:rsidP="00195643">
            <w:pPr>
              <w:jc w:val="both"/>
              <w:rPr>
                <w:rFonts w:ascii="Arial" w:hAnsi="Arial" w:cs="Arial"/>
                <w:sz w:val="16"/>
                <w:szCs w:val="16"/>
                <w:lang w:eastAsia="es-ES"/>
              </w:rPr>
            </w:pPr>
            <w:r>
              <w:rPr>
                <w:rFonts w:ascii="Arial" w:hAnsi="Arial" w:cs="Arial"/>
                <w:sz w:val="16"/>
                <w:szCs w:val="16"/>
                <w:lang w:eastAsia="es-ES"/>
              </w:rPr>
              <w:t>Revisó:</w:t>
            </w:r>
          </w:p>
        </w:tc>
        <w:tc>
          <w:tcPr>
            <w:tcW w:w="4413" w:type="dxa"/>
            <w:vAlign w:val="center"/>
            <w:hideMark/>
          </w:tcPr>
          <w:p w14:paraId="36A2834A" w14:textId="77777777" w:rsidR="00CB75B0" w:rsidRDefault="00CB75B0" w:rsidP="00195643">
            <w:pPr>
              <w:rPr>
                <w:rFonts w:ascii="Arial" w:hAnsi="Arial" w:cs="Arial"/>
                <w:sz w:val="16"/>
                <w:szCs w:val="16"/>
                <w:lang w:eastAsia="es-ES"/>
              </w:rPr>
            </w:pPr>
            <w:r>
              <w:rPr>
                <w:rFonts w:ascii="Arial" w:hAnsi="Arial" w:cs="Arial"/>
                <w:sz w:val="16"/>
                <w:szCs w:val="16"/>
                <w:lang w:eastAsia="es-ES"/>
              </w:rPr>
              <w:t>Juan David Montoya Penagos</w:t>
            </w:r>
          </w:p>
          <w:p w14:paraId="139378F7" w14:textId="77777777" w:rsidR="00CB75B0" w:rsidRDefault="00CB75B0" w:rsidP="00195643">
            <w:pPr>
              <w:jc w:val="both"/>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CB75B0" w14:paraId="56A8FADB" w14:textId="77777777" w:rsidTr="00195643">
        <w:trPr>
          <w:trHeight w:val="300"/>
        </w:trPr>
        <w:tc>
          <w:tcPr>
            <w:tcW w:w="812" w:type="dxa"/>
            <w:vAlign w:val="center"/>
            <w:hideMark/>
          </w:tcPr>
          <w:p w14:paraId="23B535AB" w14:textId="77777777" w:rsidR="00CB75B0" w:rsidRDefault="00CB75B0" w:rsidP="00195643">
            <w:pPr>
              <w:jc w:val="both"/>
              <w:rPr>
                <w:rFonts w:ascii="Arial" w:hAnsi="Arial" w:cs="Arial"/>
                <w:sz w:val="16"/>
                <w:szCs w:val="16"/>
                <w:lang w:eastAsia="es-ES"/>
              </w:rPr>
            </w:pPr>
            <w:r>
              <w:rPr>
                <w:rFonts w:ascii="Arial" w:hAnsi="Arial" w:cs="Arial"/>
                <w:sz w:val="16"/>
                <w:szCs w:val="16"/>
                <w:lang w:eastAsia="es-ES"/>
              </w:rPr>
              <w:t>Aprobó:</w:t>
            </w:r>
          </w:p>
        </w:tc>
        <w:tc>
          <w:tcPr>
            <w:tcW w:w="4413" w:type="dxa"/>
            <w:vAlign w:val="center"/>
            <w:hideMark/>
          </w:tcPr>
          <w:p w14:paraId="79D8B244" w14:textId="77777777" w:rsidR="00CB75B0" w:rsidRDefault="00CB75B0" w:rsidP="00195643">
            <w:pPr>
              <w:rPr>
                <w:rFonts w:ascii="Arial" w:hAnsi="Arial" w:cs="Arial"/>
                <w:sz w:val="16"/>
                <w:szCs w:val="16"/>
                <w:lang w:eastAsia="es-ES"/>
              </w:rPr>
            </w:pPr>
            <w:r>
              <w:rPr>
                <w:rFonts w:ascii="Arial" w:hAnsi="Arial" w:cs="Arial"/>
                <w:sz w:val="16"/>
                <w:szCs w:val="16"/>
                <w:lang w:eastAsia="es-ES"/>
              </w:rPr>
              <w:t>Jorge Augusto Tirado Navarro</w:t>
            </w:r>
          </w:p>
          <w:p w14:paraId="093BD00B" w14:textId="77777777" w:rsidR="00CB75B0" w:rsidRDefault="00CB75B0" w:rsidP="00195643">
            <w:pPr>
              <w:jc w:val="both"/>
              <w:rPr>
                <w:rFonts w:ascii="Arial" w:hAnsi="Arial" w:cs="Arial"/>
                <w:sz w:val="16"/>
                <w:szCs w:val="16"/>
                <w:lang w:eastAsia="es-ES"/>
              </w:rPr>
            </w:pPr>
            <w:r>
              <w:rPr>
                <w:rFonts w:ascii="Arial" w:hAnsi="Arial" w:cs="Arial"/>
                <w:sz w:val="16"/>
                <w:szCs w:val="16"/>
                <w:lang w:eastAsia="es-ES"/>
              </w:rPr>
              <w:t>Subdirector de Gestión Contractual</w:t>
            </w:r>
          </w:p>
        </w:tc>
      </w:tr>
    </w:tbl>
    <w:p w14:paraId="14F53091" w14:textId="77777777" w:rsidR="00FF3AB8" w:rsidRPr="00FF3AB8" w:rsidRDefault="00FF3AB8" w:rsidP="00FF3AB8">
      <w:pPr>
        <w:jc w:val="both"/>
        <w:rPr>
          <w:rFonts w:ascii="Arial" w:eastAsia="Calibri" w:hAnsi="Arial" w:cs="Arial"/>
          <w:sz w:val="22"/>
        </w:rPr>
      </w:pPr>
    </w:p>
    <w:p w14:paraId="1D54DC22" w14:textId="77777777" w:rsidR="00FF3AB8" w:rsidRPr="00FF3AB8" w:rsidRDefault="00FF3AB8" w:rsidP="00FF3AB8">
      <w:pPr>
        <w:spacing w:line="276" w:lineRule="auto"/>
        <w:jc w:val="both"/>
        <w:rPr>
          <w:rFonts w:ascii="Arial" w:eastAsia="Times New Roman" w:hAnsi="Arial" w:cs="Arial"/>
          <w:noProof/>
          <w:szCs w:val="24"/>
          <w:lang w:val="es-ES_tradnl" w:eastAsia="es-CO"/>
        </w:rPr>
      </w:pPr>
    </w:p>
    <w:bookmarkEnd w:id="4"/>
    <w:p w14:paraId="7EBF297E" w14:textId="77777777" w:rsidR="007B0854" w:rsidRPr="0091437B" w:rsidRDefault="007B0854" w:rsidP="00FF3AB8">
      <w:pPr>
        <w:spacing w:after="120" w:line="276" w:lineRule="auto"/>
        <w:jc w:val="both"/>
        <w:rPr>
          <w:color w:val="161616" w:themeColor="background1" w:themeShade="1A"/>
        </w:rPr>
      </w:pPr>
    </w:p>
    <w:sectPr w:rsidR="007B0854" w:rsidRPr="0091437B"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1059" w14:textId="77777777" w:rsidR="006D5893" w:rsidRDefault="006D5893">
      <w:r>
        <w:separator/>
      </w:r>
    </w:p>
  </w:endnote>
  <w:endnote w:type="continuationSeparator" w:id="0">
    <w:p w14:paraId="50F866BD" w14:textId="77777777" w:rsidR="006D5893" w:rsidRDefault="006D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1A2637" w:rsidRDefault="001A2637" w:rsidP="007B0854">
    <w:pPr>
      <w:pStyle w:val="Sinespaciado"/>
      <w:jc w:val="center"/>
      <w:rPr>
        <w:rFonts w:ascii="Arial" w:hAnsi="Arial" w:cs="Arial"/>
        <w:sz w:val="18"/>
        <w:szCs w:val="18"/>
      </w:rPr>
    </w:pPr>
  </w:p>
  <w:p w14:paraId="312C4A14" w14:textId="1CC17C36" w:rsidR="001A2637" w:rsidRPr="005A79FE" w:rsidRDefault="001A263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1A2637" w:rsidRDefault="001A2637"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1A2637" w:rsidRPr="007B0854" w:rsidRDefault="001A26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2318" w14:textId="77777777" w:rsidR="006D5893" w:rsidRDefault="006D5893">
      <w:r>
        <w:separator/>
      </w:r>
    </w:p>
  </w:footnote>
  <w:footnote w:type="continuationSeparator" w:id="0">
    <w:p w14:paraId="62B6068F" w14:textId="77777777" w:rsidR="006D5893" w:rsidRDefault="006D5893">
      <w:r>
        <w:continuationSeparator/>
      </w:r>
    </w:p>
  </w:footnote>
  <w:footnote w:id="1">
    <w:p w14:paraId="7D8E9754" w14:textId="37B52F3E" w:rsidR="001A2637" w:rsidRDefault="001A2637"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F41674">
        <w:rPr>
          <w:rFonts w:ascii="Arial" w:hAnsi="Arial" w:cs="Arial"/>
          <w:bCs/>
          <w:i/>
          <w:iCs/>
          <w:color w:val="000000" w:themeColor="text1"/>
          <w:sz w:val="19"/>
          <w:szCs w:val="19"/>
        </w:rPr>
        <w:t>las empresas oficiales de servicios públicos</w:t>
      </w:r>
      <w:r w:rsidRPr="00F41674">
        <w:rPr>
          <w:rFonts w:ascii="Arial" w:hAnsi="Arial" w:cs="Arial"/>
          <w:color w:val="000000" w:themeColor="text1"/>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3CE22707" w14:textId="77777777" w:rsidR="001A2637" w:rsidRPr="00F41674" w:rsidRDefault="001A2637" w:rsidP="00F41674">
      <w:pPr>
        <w:pStyle w:val="Textonotapie"/>
        <w:ind w:firstLine="708"/>
        <w:jc w:val="both"/>
        <w:rPr>
          <w:rFonts w:ascii="Arial" w:hAnsi="Arial" w:cs="Arial"/>
          <w:color w:val="000000" w:themeColor="text1"/>
          <w:sz w:val="19"/>
          <w:szCs w:val="19"/>
        </w:rPr>
      </w:pPr>
    </w:p>
  </w:footnote>
  <w:footnote w:id="2">
    <w:p w14:paraId="625066DA" w14:textId="545C61D6" w:rsidR="001A2637" w:rsidRPr="00F41674" w:rsidRDefault="001A2637"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4186A46B" w14:textId="77777777" w:rsidR="001A2637" w:rsidRPr="00F41674" w:rsidRDefault="001A2637" w:rsidP="00F41674">
      <w:pPr>
        <w:pStyle w:val="Textonotapie"/>
        <w:ind w:firstLine="708"/>
        <w:jc w:val="both"/>
        <w:rPr>
          <w:rFonts w:ascii="Arial" w:hAnsi="Arial" w:cs="Arial"/>
          <w:color w:val="000000" w:themeColor="text1"/>
          <w:sz w:val="19"/>
          <w:szCs w:val="19"/>
          <w:lang w:val="es-ES"/>
        </w:rPr>
      </w:pPr>
    </w:p>
  </w:footnote>
  <w:footnote w:id="3">
    <w:p w14:paraId="73929A92" w14:textId="17D0895D" w:rsidR="001A2637" w:rsidRPr="00E90D75" w:rsidRDefault="001A2637" w:rsidP="00E90D75">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i/>
          <w:color w:val="000000" w:themeColor="text1"/>
          <w:sz w:val="19"/>
          <w:szCs w:val="19"/>
        </w:rPr>
        <w:t xml:space="preserve"> </w:t>
      </w:r>
      <w:proofErr w:type="spellStart"/>
      <w:r w:rsidRPr="00F41674">
        <w:rPr>
          <w:rFonts w:ascii="Arial" w:hAnsi="Arial" w:cs="Arial"/>
          <w:i/>
          <w:iCs/>
          <w:color w:val="000000" w:themeColor="text1"/>
          <w:sz w:val="19"/>
          <w:szCs w:val="19"/>
        </w:rPr>
        <w:t>Ibídem</w:t>
      </w:r>
      <w:proofErr w:type="spellEnd"/>
      <w:r w:rsidRPr="00F41674">
        <w:rPr>
          <w:rFonts w:ascii="Arial" w:hAnsi="Arial" w:cs="Arial"/>
          <w:i/>
          <w:iCs/>
          <w:color w:val="000000" w:themeColor="text1"/>
          <w:sz w:val="19"/>
          <w:szCs w:val="19"/>
        </w:rPr>
        <w:t>.</w:t>
      </w:r>
      <w:r w:rsidRPr="00F41674">
        <w:rPr>
          <w:rFonts w:ascii="Arial" w:hAnsi="Arial" w:cs="Arial"/>
          <w:color w:val="000000" w:themeColor="text1"/>
          <w:sz w:val="19"/>
          <w:szCs w:val="19"/>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Pr>
          <w:rFonts w:ascii="Arial" w:hAnsi="Arial" w:cs="Arial"/>
          <w:color w:val="000000" w:themeColor="text1"/>
          <w:sz w:val="19"/>
          <w:szCs w:val="19"/>
        </w:rPr>
        <w:t>.</w:t>
      </w:r>
    </w:p>
  </w:footnote>
  <w:footnote w:id="4">
    <w:p w14:paraId="5A40D1D1" w14:textId="6C94D534" w:rsidR="001A2637" w:rsidRPr="00F41674" w:rsidRDefault="001A2637" w:rsidP="00F41674">
      <w:pPr>
        <w:pStyle w:val="Textonotapie"/>
        <w:ind w:firstLine="708"/>
        <w:jc w:val="both"/>
        <w:rPr>
          <w:rFonts w:ascii="Arial" w:hAnsi="Arial" w:cs="Arial"/>
          <w:sz w:val="19"/>
          <w:szCs w:val="19"/>
        </w:rPr>
      </w:pPr>
      <w:r w:rsidRPr="00F41674">
        <w:rPr>
          <w:rStyle w:val="Refdenotaalpie"/>
          <w:rFonts w:ascii="Arial" w:hAnsi="Arial" w:cs="Arial"/>
          <w:sz w:val="19"/>
          <w:szCs w:val="19"/>
        </w:rPr>
        <w:footnoteRef/>
      </w:r>
      <w:r w:rsidRPr="00F41674">
        <w:rPr>
          <w:rFonts w:ascii="Arial" w:hAnsi="Arial" w:cs="Arial"/>
          <w:sz w:val="19"/>
          <w:szCs w:val="19"/>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4C41278" w14:textId="77777777" w:rsidR="001A2637" w:rsidRPr="00F41674" w:rsidRDefault="001A2637" w:rsidP="00F4167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1A2637" w:rsidRDefault="001A2637">
    <w:pPr>
      <w:pStyle w:val="Encabezado"/>
    </w:pPr>
  </w:p>
  <w:p w14:paraId="6A4C7F2C" w14:textId="7D093DBB" w:rsidR="001A2637" w:rsidRDefault="001A2637">
    <w:pPr>
      <w:pStyle w:val="Encabezado"/>
    </w:pPr>
  </w:p>
  <w:p w14:paraId="055F2E1F" w14:textId="0B935ADD" w:rsidR="001A2637" w:rsidRDefault="001A2637">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A2637" w:rsidRDefault="001A2637">
    <w:pPr>
      <w:pStyle w:val="Encabezado"/>
    </w:pPr>
  </w:p>
  <w:p w14:paraId="3D323BDB" w14:textId="04AF0DE6" w:rsidR="001A2637" w:rsidRDefault="001A2637">
    <w:pPr>
      <w:pStyle w:val="Encabezado"/>
    </w:pPr>
  </w:p>
  <w:p w14:paraId="6520770B" w14:textId="18EB07B5" w:rsidR="001A2637" w:rsidRDefault="001A26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F8"/>
    <w:rsid w:val="00013D8B"/>
    <w:rsid w:val="00020C75"/>
    <w:rsid w:val="000437F8"/>
    <w:rsid w:val="000659D2"/>
    <w:rsid w:val="0007096D"/>
    <w:rsid w:val="000942EB"/>
    <w:rsid w:val="000A5448"/>
    <w:rsid w:val="000B103F"/>
    <w:rsid w:val="000F14E8"/>
    <w:rsid w:val="00103915"/>
    <w:rsid w:val="00122B23"/>
    <w:rsid w:val="00122DEE"/>
    <w:rsid w:val="00126B51"/>
    <w:rsid w:val="00137FFA"/>
    <w:rsid w:val="00143B48"/>
    <w:rsid w:val="00155709"/>
    <w:rsid w:val="001628CF"/>
    <w:rsid w:val="001670DB"/>
    <w:rsid w:val="0017779A"/>
    <w:rsid w:val="001A2637"/>
    <w:rsid w:val="001C1F9A"/>
    <w:rsid w:val="001F2887"/>
    <w:rsid w:val="001F43B2"/>
    <w:rsid w:val="002000DC"/>
    <w:rsid w:val="002114F7"/>
    <w:rsid w:val="00220F08"/>
    <w:rsid w:val="00234B84"/>
    <w:rsid w:val="00234F6A"/>
    <w:rsid w:val="00237C49"/>
    <w:rsid w:val="002547C6"/>
    <w:rsid w:val="00262DD5"/>
    <w:rsid w:val="00282A6C"/>
    <w:rsid w:val="00286754"/>
    <w:rsid w:val="00287EE4"/>
    <w:rsid w:val="002901A0"/>
    <w:rsid w:val="002A1B97"/>
    <w:rsid w:val="002B2434"/>
    <w:rsid w:val="002E79D8"/>
    <w:rsid w:val="002F0696"/>
    <w:rsid w:val="003033BA"/>
    <w:rsid w:val="00322243"/>
    <w:rsid w:val="00322B9F"/>
    <w:rsid w:val="003266D6"/>
    <w:rsid w:val="00334FE7"/>
    <w:rsid w:val="00341C29"/>
    <w:rsid w:val="0034680A"/>
    <w:rsid w:val="00351C4A"/>
    <w:rsid w:val="0036075C"/>
    <w:rsid w:val="00360B4B"/>
    <w:rsid w:val="0037392A"/>
    <w:rsid w:val="00373EE9"/>
    <w:rsid w:val="00381F92"/>
    <w:rsid w:val="00386456"/>
    <w:rsid w:val="003A581E"/>
    <w:rsid w:val="003B17E1"/>
    <w:rsid w:val="003B261E"/>
    <w:rsid w:val="003D1AA8"/>
    <w:rsid w:val="003D6C43"/>
    <w:rsid w:val="00422317"/>
    <w:rsid w:val="0043243C"/>
    <w:rsid w:val="004422D6"/>
    <w:rsid w:val="00447FA0"/>
    <w:rsid w:val="00474AFD"/>
    <w:rsid w:val="0048386E"/>
    <w:rsid w:val="00494974"/>
    <w:rsid w:val="004A34D2"/>
    <w:rsid w:val="004A669B"/>
    <w:rsid w:val="004B55DF"/>
    <w:rsid w:val="004C3B80"/>
    <w:rsid w:val="004E52A6"/>
    <w:rsid w:val="0051074C"/>
    <w:rsid w:val="00513AF2"/>
    <w:rsid w:val="00536968"/>
    <w:rsid w:val="0054413A"/>
    <w:rsid w:val="00555E79"/>
    <w:rsid w:val="005564CA"/>
    <w:rsid w:val="005668A5"/>
    <w:rsid w:val="00585778"/>
    <w:rsid w:val="00587452"/>
    <w:rsid w:val="005A03D2"/>
    <w:rsid w:val="005A79FE"/>
    <w:rsid w:val="005B47EF"/>
    <w:rsid w:val="005C2391"/>
    <w:rsid w:val="005E043A"/>
    <w:rsid w:val="005F334A"/>
    <w:rsid w:val="005F3EDE"/>
    <w:rsid w:val="005F72C8"/>
    <w:rsid w:val="00617E04"/>
    <w:rsid w:val="0064757C"/>
    <w:rsid w:val="00655371"/>
    <w:rsid w:val="00697665"/>
    <w:rsid w:val="006A7FD0"/>
    <w:rsid w:val="006B71F3"/>
    <w:rsid w:val="006D5893"/>
    <w:rsid w:val="006D7687"/>
    <w:rsid w:val="006E0572"/>
    <w:rsid w:val="006E6170"/>
    <w:rsid w:val="006E7D1E"/>
    <w:rsid w:val="00705631"/>
    <w:rsid w:val="007058AD"/>
    <w:rsid w:val="00712273"/>
    <w:rsid w:val="00742DD2"/>
    <w:rsid w:val="0075647A"/>
    <w:rsid w:val="007634AD"/>
    <w:rsid w:val="0078122E"/>
    <w:rsid w:val="007B0854"/>
    <w:rsid w:val="007C227C"/>
    <w:rsid w:val="007E354A"/>
    <w:rsid w:val="007F4145"/>
    <w:rsid w:val="007F72CB"/>
    <w:rsid w:val="00826865"/>
    <w:rsid w:val="008273A9"/>
    <w:rsid w:val="0083119B"/>
    <w:rsid w:val="00836EAB"/>
    <w:rsid w:val="0085092D"/>
    <w:rsid w:val="00860942"/>
    <w:rsid w:val="00880D4C"/>
    <w:rsid w:val="00890B7B"/>
    <w:rsid w:val="008E1C15"/>
    <w:rsid w:val="008F1531"/>
    <w:rsid w:val="009047C5"/>
    <w:rsid w:val="00904CB2"/>
    <w:rsid w:val="00906A16"/>
    <w:rsid w:val="0091437B"/>
    <w:rsid w:val="00947808"/>
    <w:rsid w:val="0095385A"/>
    <w:rsid w:val="00964C51"/>
    <w:rsid w:val="009A3D5E"/>
    <w:rsid w:val="009C79C5"/>
    <w:rsid w:val="009D0653"/>
    <w:rsid w:val="009D0F69"/>
    <w:rsid w:val="009D24D3"/>
    <w:rsid w:val="009D2581"/>
    <w:rsid w:val="009E24D4"/>
    <w:rsid w:val="009E5AE9"/>
    <w:rsid w:val="009E745D"/>
    <w:rsid w:val="00A10C35"/>
    <w:rsid w:val="00A24560"/>
    <w:rsid w:val="00A25558"/>
    <w:rsid w:val="00A27647"/>
    <w:rsid w:val="00A34538"/>
    <w:rsid w:val="00A50F4E"/>
    <w:rsid w:val="00A66584"/>
    <w:rsid w:val="00A71696"/>
    <w:rsid w:val="00A75258"/>
    <w:rsid w:val="00A843BA"/>
    <w:rsid w:val="00A8672D"/>
    <w:rsid w:val="00AA442B"/>
    <w:rsid w:val="00AA730E"/>
    <w:rsid w:val="00AB648C"/>
    <w:rsid w:val="00B03933"/>
    <w:rsid w:val="00B14463"/>
    <w:rsid w:val="00B22E22"/>
    <w:rsid w:val="00B37E7D"/>
    <w:rsid w:val="00B525CB"/>
    <w:rsid w:val="00B63CB2"/>
    <w:rsid w:val="00BD01A5"/>
    <w:rsid w:val="00BD49C8"/>
    <w:rsid w:val="00BD78FE"/>
    <w:rsid w:val="00BE2F0E"/>
    <w:rsid w:val="00BF0D67"/>
    <w:rsid w:val="00C1034B"/>
    <w:rsid w:val="00C31F0C"/>
    <w:rsid w:val="00C3604B"/>
    <w:rsid w:val="00C42DC7"/>
    <w:rsid w:val="00C53A02"/>
    <w:rsid w:val="00C7460D"/>
    <w:rsid w:val="00CA287E"/>
    <w:rsid w:val="00CA776D"/>
    <w:rsid w:val="00CA78F4"/>
    <w:rsid w:val="00CB75B0"/>
    <w:rsid w:val="00CC00CD"/>
    <w:rsid w:val="00CD514E"/>
    <w:rsid w:val="00CE1062"/>
    <w:rsid w:val="00D16E39"/>
    <w:rsid w:val="00D22EAD"/>
    <w:rsid w:val="00D36A63"/>
    <w:rsid w:val="00D60B0D"/>
    <w:rsid w:val="00D72E9D"/>
    <w:rsid w:val="00D82CE5"/>
    <w:rsid w:val="00DA0CE5"/>
    <w:rsid w:val="00DA5AB1"/>
    <w:rsid w:val="00DB5FBB"/>
    <w:rsid w:val="00DC62E5"/>
    <w:rsid w:val="00DD735D"/>
    <w:rsid w:val="00DE3119"/>
    <w:rsid w:val="00DF236B"/>
    <w:rsid w:val="00DF59EC"/>
    <w:rsid w:val="00E119B8"/>
    <w:rsid w:val="00E13AB8"/>
    <w:rsid w:val="00E1532A"/>
    <w:rsid w:val="00E33B62"/>
    <w:rsid w:val="00E42794"/>
    <w:rsid w:val="00E563F6"/>
    <w:rsid w:val="00E871BC"/>
    <w:rsid w:val="00E90D75"/>
    <w:rsid w:val="00E912FA"/>
    <w:rsid w:val="00E9700E"/>
    <w:rsid w:val="00EB3A74"/>
    <w:rsid w:val="00EC708D"/>
    <w:rsid w:val="00EE0282"/>
    <w:rsid w:val="00F1704D"/>
    <w:rsid w:val="00F30045"/>
    <w:rsid w:val="00F41674"/>
    <w:rsid w:val="00F53BED"/>
    <w:rsid w:val="00F70789"/>
    <w:rsid w:val="00F75567"/>
    <w:rsid w:val="00F82AFA"/>
    <w:rsid w:val="00F84899"/>
    <w:rsid w:val="00F859F0"/>
    <w:rsid w:val="00F874AF"/>
    <w:rsid w:val="00FD1B49"/>
    <w:rsid w:val="00FD2183"/>
    <w:rsid w:val="00FE141E"/>
    <w:rsid w:val="00FE5C61"/>
    <w:rsid w:val="00FF3A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5089088">
      <w:bodyDiv w:val="1"/>
      <w:marLeft w:val="0"/>
      <w:marRight w:val="0"/>
      <w:marTop w:val="0"/>
      <w:marBottom w:val="0"/>
      <w:divBdr>
        <w:top w:val="none" w:sz="0" w:space="0" w:color="auto"/>
        <w:left w:val="none" w:sz="0" w:space="0" w:color="auto"/>
        <w:bottom w:val="none" w:sz="0" w:space="0" w:color="auto"/>
        <w:right w:val="none" w:sz="0" w:space="0" w:color="auto"/>
      </w:divBdr>
    </w:div>
    <w:div w:id="437531020">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479157276">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468862885">
      <w:bodyDiv w:val="1"/>
      <w:marLeft w:val="0"/>
      <w:marRight w:val="0"/>
      <w:marTop w:val="0"/>
      <w:marBottom w:val="0"/>
      <w:divBdr>
        <w:top w:val="none" w:sz="0" w:space="0" w:color="auto"/>
        <w:left w:val="none" w:sz="0" w:space="0" w:color="auto"/>
        <w:bottom w:val="none" w:sz="0" w:space="0" w:color="auto"/>
        <w:right w:val="none" w:sz="0" w:space="0" w:color="auto"/>
      </w:divBdr>
    </w:div>
    <w:div w:id="1684552158">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55A6856E-A454-4E7A-A5AC-7A886567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8</Pages>
  <Words>2791</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2022-03-31T17:08:00Z</dcterms:created>
  <dcterms:modified xsi:type="dcterms:W3CDTF">2022-03-31T17:08:00Z</dcterms:modified>
</cp:coreProperties>
</file>