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957B" w14:textId="768D39FC" w:rsidR="0034177C" w:rsidRPr="005C1F67" w:rsidRDefault="0034177C" w:rsidP="00FC6A7E">
      <w:pPr>
        <w:ind w:firstLine="708"/>
        <w:jc w:val="right"/>
        <w:rPr>
          <w:rFonts w:ascii="Arial" w:hAnsi="Arial" w:cs="Arial"/>
          <w:b/>
          <w:bCs/>
          <w:color w:val="000000" w:themeColor="text1"/>
          <w:sz w:val="16"/>
          <w:szCs w:val="16"/>
          <w:lang w:eastAsia="es-ES"/>
        </w:rPr>
      </w:pPr>
      <w:bookmarkStart w:id="0" w:name="_Hlk28946138"/>
      <w:bookmarkStart w:id="1" w:name="_Hlk29548183"/>
      <w:r w:rsidRPr="340A5AE7">
        <w:rPr>
          <w:rFonts w:ascii="Arial" w:hAnsi="Arial" w:cs="Arial"/>
          <w:b/>
          <w:bCs/>
          <w:color w:val="000000" w:themeColor="text1"/>
          <w:sz w:val="16"/>
          <w:szCs w:val="16"/>
          <w:lang w:eastAsia="es-ES"/>
        </w:rPr>
        <w:t>CCE-DES-FM-17</w:t>
      </w:r>
    </w:p>
    <w:p w14:paraId="48083CF0" w14:textId="77777777" w:rsidR="00FE6E33" w:rsidRPr="00F17586" w:rsidRDefault="00FE6E33" w:rsidP="00FE0DC0">
      <w:pPr>
        <w:jc w:val="both"/>
        <w:rPr>
          <w:rFonts w:ascii="Arial" w:eastAsia="Calibri" w:hAnsi="Arial" w:cs="Arial"/>
          <w:b/>
          <w:color w:val="000000" w:themeColor="text1"/>
          <w:sz w:val="16"/>
          <w:szCs w:val="16"/>
        </w:rPr>
      </w:pPr>
    </w:p>
    <w:p w14:paraId="346C7CEF" w14:textId="51ABA08D" w:rsidR="00FE0DC0" w:rsidRPr="005C1F67" w:rsidRDefault="00FE0DC0" w:rsidP="00FE0DC0">
      <w:pPr>
        <w:jc w:val="both"/>
        <w:rPr>
          <w:rFonts w:ascii="Arial" w:eastAsia="Calibri" w:hAnsi="Arial" w:cs="Arial"/>
          <w:b/>
          <w:color w:val="000000" w:themeColor="text1"/>
          <w:sz w:val="22"/>
        </w:rPr>
      </w:pPr>
      <w:r w:rsidRPr="005C1F67">
        <w:rPr>
          <w:rFonts w:ascii="Arial" w:eastAsia="Calibri" w:hAnsi="Arial" w:cs="Arial"/>
          <w:b/>
          <w:color w:val="000000" w:themeColor="text1"/>
          <w:sz w:val="22"/>
        </w:rPr>
        <w:t xml:space="preserve">ADICIÓN, PRÓRROGA Y RENOVACIÓN </w:t>
      </w:r>
      <w:r w:rsidR="008F1EC8" w:rsidRPr="006C15D5">
        <w:rPr>
          <w:rFonts w:ascii="Arial" w:eastAsia="Calibri" w:hAnsi="Arial" w:cs="Arial"/>
          <w:b/>
          <w:color w:val="000000" w:themeColor="text1"/>
          <w:sz w:val="22"/>
        </w:rPr>
        <w:t>–</w:t>
      </w:r>
      <w:r w:rsidRPr="005C1F67">
        <w:rPr>
          <w:rFonts w:ascii="Arial" w:eastAsia="Calibri" w:hAnsi="Arial" w:cs="Arial"/>
          <w:b/>
          <w:color w:val="000000" w:themeColor="text1"/>
          <w:sz w:val="22"/>
        </w:rPr>
        <w:t xml:space="preserve"> Diferencias</w:t>
      </w:r>
    </w:p>
    <w:p w14:paraId="41019CD0" w14:textId="77777777" w:rsidR="00FE0DC0" w:rsidRPr="005C1F67" w:rsidRDefault="00FE0DC0" w:rsidP="00FE0DC0">
      <w:pPr>
        <w:jc w:val="both"/>
        <w:rPr>
          <w:rFonts w:ascii="Arial" w:eastAsia="Calibri" w:hAnsi="Arial" w:cs="Arial"/>
          <w:color w:val="000000" w:themeColor="text1"/>
          <w:sz w:val="20"/>
          <w:szCs w:val="20"/>
        </w:rPr>
      </w:pPr>
    </w:p>
    <w:p w14:paraId="54ECE486" w14:textId="77777777" w:rsidR="00766A16" w:rsidRPr="00766A16" w:rsidRDefault="00C813E0" w:rsidP="00766A16">
      <w:pPr>
        <w:tabs>
          <w:tab w:val="left" w:pos="709"/>
        </w:tabs>
        <w:spacing w:after="120"/>
        <w:jc w:val="both"/>
        <w:rPr>
          <w:rFonts w:ascii="Arial" w:eastAsia="Times New Roman" w:hAnsi="Arial" w:cs="Arial"/>
          <w:color w:val="000000" w:themeColor="text1"/>
          <w:sz w:val="20"/>
          <w:szCs w:val="20"/>
          <w:lang w:eastAsia="es-ES"/>
        </w:rPr>
      </w:pPr>
      <w:r>
        <w:rPr>
          <w:rFonts w:ascii="Arial" w:eastAsia="Times New Roman" w:hAnsi="Arial" w:cs="Arial"/>
          <w:color w:val="000000" w:themeColor="text1"/>
          <w:sz w:val="20"/>
          <w:szCs w:val="20"/>
          <w:lang w:eastAsia="es-ES"/>
        </w:rPr>
        <w:t xml:space="preserve">[…] </w:t>
      </w:r>
      <w:r w:rsidR="00766A16" w:rsidRPr="00766A16">
        <w:rPr>
          <w:rFonts w:ascii="Arial" w:eastAsia="Times New Roman" w:hAnsi="Arial" w:cs="Arial"/>
          <w:color w:val="000000" w:themeColor="text1"/>
          <w:sz w:val="20"/>
          <w:szCs w:val="20"/>
          <w:lang w:eastAsia="es-ES"/>
        </w:rPr>
        <w:t>como los estatutos contractuales no establecen una diferencia clara entre los conceptos propuestos, es necesario recurrir a otras disposiciones y aportes doctrinarios para distinguirlos. Como distinción inicial, se tiene que el concepto prórroga está particularmente ligado con la modificación ―ampliación― del plazo de los contratos; las adiciones con el incremento del valor, debido a la inclusión de nuevas obligaciones, sea por la introducción de nuevas actividades o por la ejecución de una mayor cantidad de las pactadas inicialmente; y la renovación con el nacimiento de un nuevo contrato, en condiciones similares o idénticas al contrato inicial.</w:t>
      </w:r>
    </w:p>
    <w:p w14:paraId="68C3098F" w14:textId="1F07D7E0" w:rsidR="00FE0DC0" w:rsidRPr="005C1F67" w:rsidRDefault="00766A16" w:rsidP="00766A16">
      <w:pPr>
        <w:tabs>
          <w:tab w:val="left" w:pos="709"/>
        </w:tabs>
        <w:spacing w:after="120"/>
        <w:jc w:val="both"/>
        <w:rPr>
          <w:rFonts w:ascii="Arial" w:eastAsia="Times New Roman" w:hAnsi="Arial" w:cs="Arial"/>
          <w:color w:val="000000" w:themeColor="text1"/>
          <w:sz w:val="20"/>
          <w:szCs w:val="20"/>
          <w:lang w:eastAsia="es-ES"/>
        </w:rPr>
      </w:pPr>
      <w:r w:rsidRPr="00766A16">
        <w:rPr>
          <w:rFonts w:ascii="Arial" w:eastAsia="Times New Roman" w:hAnsi="Arial" w:cs="Arial"/>
          <w:color w:val="000000" w:themeColor="text1"/>
          <w:sz w:val="20"/>
          <w:szCs w:val="20"/>
          <w:lang w:eastAsia="es-ES"/>
        </w:rPr>
        <w:t>Estas distinciones guardan relación con el uso común de los conceptos, es decir, no reducido a su significación jurídica. En efecto, el Diccionario de la Lengua Española ―DLE― define la prórroga como: «1. f. Continuación de algo por un tiempo determinado. 2. f. Plazo por el cual se continúa o prorroga algo». Como se observa, la definición indica que la prórroga está asociada a los plazos, lo que implica extender los efectos de algo por un tiempo mayor. Ahora bien, en relación con la adición, el DLE señala que consiste en la acción y efecto de añadir, definiendo añadir como: «1. tr. Agregar, incorporar algo a otra cosa. 2. tr. Aumentar, acrecentar, ampliar». Como se observa, la adición en relación con los contratos implicaría incorporar nuevas obligaciones, lo que en los contratos estatales aparejaría un incremento en la contraprestación, es decir, en el precio. Finalmente, el diccionario indica que la renovación consiste en: «1. tr. Hacer como de nuevo algo, o volverlo a su primer estado 2. tr. Restablecer o reanudar una relación u otra cosa que se había interrumpido (…) 4. tr. Sustituir una cosa vieja, o que ya ha servido, por otra nueva de la misma clase». Como se observa, la renovación consiste en hacer algo de nuevo, de manera que, en principio consistiría en la celebración de un nuevo contrato en condiciones idénticas o similares a un contrato anterior.</w:t>
      </w:r>
    </w:p>
    <w:p w14:paraId="3B6C8C04" w14:textId="328B8445" w:rsidR="00FE0DC0" w:rsidRPr="005C1F67" w:rsidRDefault="00FE0DC0" w:rsidP="00FE0DC0">
      <w:pPr>
        <w:jc w:val="both"/>
        <w:rPr>
          <w:color w:val="000000" w:themeColor="text1"/>
        </w:rPr>
      </w:pPr>
      <w:r w:rsidRPr="005C1F67">
        <w:rPr>
          <w:rFonts w:ascii="Arial" w:eastAsia="Calibri" w:hAnsi="Arial" w:cs="Arial"/>
          <w:b/>
          <w:color w:val="000000" w:themeColor="text1"/>
          <w:sz w:val="22"/>
        </w:rPr>
        <w:t xml:space="preserve">ADICIÓN </w:t>
      </w:r>
      <w:r w:rsidR="008F1EC8" w:rsidRPr="006C15D5">
        <w:rPr>
          <w:rFonts w:ascii="Arial" w:eastAsia="Calibri" w:hAnsi="Arial" w:cs="Arial"/>
          <w:b/>
          <w:color w:val="000000" w:themeColor="text1"/>
          <w:sz w:val="22"/>
        </w:rPr>
        <w:t>–</w:t>
      </w:r>
      <w:r w:rsidRPr="005C1F67">
        <w:rPr>
          <w:rFonts w:ascii="Arial" w:eastAsia="Calibri" w:hAnsi="Arial" w:cs="Arial"/>
          <w:b/>
          <w:color w:val="000000" w:themeColor="text1"/>
          <w:sz w:val="22"/>
        </w:rPr>
        <w:t xml:space="preserve"> </w:t>
      </w:r>
      <w:r w:rsidR="006E4A12" w:rsidRPr="005C1F67">
        <w:rPr>
          <w:rFonts w:ascii="Arial" w:eastAsia="Calibri" w:hAnsi="Arial" w:cs="Arial"/>
          <w:b/>
          <w:color w:val="000000" w:themeColor="text1"/>
          <w:sz w:val="22"/>
        </w:rPr>
        <w:t>C</w:t>
      </w:r>
      <w:r w:rsidRPr="005C1F67">
        <w:rPr>
          <w:rFonts w:ascii="Arial" w:eastAsia="Calibri" w:hAnsi="Arial" w:cs="Arial"/>
          <w:b/>
          <w:color w:val="000000" w:themeColor="text1"/>
          <w:sz w:val="22"/>
        </w:rPr>
        <w:t xml:space="preserve">oncepto </w:t>
      </w:r>
      <w:r w:rsidR="008F1EC8" w:rsidRPr="006C15D5">
        <w:rPr>
          <w:rFonts w:ascii="Arial" w:eastAsia="Calibri" w:hAnsi="Arial" w:cs="Arial"/>
          <w:b/>
          <w:color w:val="000000" w:themeColor="text1"/>
          <w:sz w:val="22"/>
        </w:rPr>
        <w:t>–</w:t>
      </w:r>
      <w:r w:rsidRPr="005C1F67">
        <w:rPr>
          <w:rFonts w:ascii="Arial" w:eastAsia="Calibri" w:hAnsi="Arial" w:cs="Arial"/>
          <w:b/>
          <w:color w:val="000000" w:themeColor="text1"/>
          <w:sz w:val="22"/>
        </w:rPr>
        <w:t xml:space="preserve"> </w:t>
      </w:r>
      <w:r w:rsidR="006E4A12" w:rsidRPr="005C1F67">
        <w:rPr>
          <w:rFonts w:ascii="Arial" w:eastAsia="Calibri" w:hAnsi="Arial" w:cs="Arial"/>
          <w:b/>
          <w:color w:val="000000" w:themeColor="text1"/>
          <w:sz w:val="22"/>
        </w:rPr>
        <w:t>Distintos supuestos</w:t>
      </w:r>
      <w:r w:rsidRPr="005C1F67">
        <w:rPr>
          <w:rFonts w:ascii="Arial" w:eastAsia="Calibri" w:hAnsi="Arial" w:cs="Arial"/>
          <w:b/>
          <w:color w:val="000000" w:themeColor="text1"/>
          <w:sz w:val="22"/>
        </w:rPr>
        <w:t xml:space="preserve"> </w:t>
      </w:r>
      <w:r w:rsidR="008F1EC8" w:rsidRPr="006C15D5">
        <w:rPr>
          <w:rFonts w:ascii="Arial" w:eastAsia="Calibri" w:hAnsi="Arial" w:cs="Arial"/>
          <w:b/>
          <w:color w:val="000000" w:themeColor="text1"/>
          <w:sz w:val="22"/>
        </w:rPr>
        <w:t>–</w:t>
      </w:r>
      <w:r w:rsidR="006E4A12" w:rsidRPr="005C1F67">
        <w:rPr>
          <w:rFonts w:ascii="Arial" w:eastAsia="Calibri" w:hAnsi="Arial" w:cs="Arial"/>
          <w:b/>
          <w:color w:val="000000" w:themeColor="text1"/>
          <w:sz w:val="22"/>
        </w:rPr>
        <w:t xml:space="preserve"> P</w:t>
      </w:r>
      <w:r w:rsidRPr="005C1F67">
        <w:rPr>
          <w:rFonts w:ascii="Arial" w:eastAsia="Calibri" w:hAnsi="Arial" w:cs="Arial"/>
          <w:b/>
          <w:color w:val="000000" w:themeColor="text1"/>
          <w:sz w:val="22"/>
        </w:rPr>
        <w:t>rohibición de adiciona</w:t>
      </w:r>
      <w:r w:rsidR="006E4A12" w:rsidRPr="005C1F67">
        <w:rPr>
          <w:rFonts w:ascii="Arial" w:eastAsia="Calibri" w:hAnsi="Arial" w:cs="Arial"/>
          <w:b/>
          <w:color w:val="000000" w:themeColor="text1"/>
          <w:sz w:val="22"/>
        </w:rPr>
        <w:t>r</w:t>
      </w:r>
      <w:r w:rsidRPr="005C1F67">
        <w:rPr>
          <w:rFonts w:ascii="Arial" w:eastAsia="Calibri" w:hAnsi="Arial" w:cs="Arial"/>
          <w:b/>
          <w:color w:val="000000" w:themeColor="text1"/>
          <w:sz w:val="22"/>
        </w:rPr>
        <w:t xml:space="preserve"> en más del 50%</w:t>
      </w:r>
    </w:p>
    <w:p w14:paraId="36E3EDC7" w14:textId="2A35E3D7" w:rsidR="00FE0DC0" w:rsidRPr="005C1F67" w:rsidRDefault="00FE0DC0" w:rsidP="00FE0DC0">
      <w:pPr>
        <w:spacing w:line="276" w:lineRule="auto"/>
        <w:jc w:val="both"/>
        <w:rPr>
          <w:rFonts w:ascii="Arial" w:eastAsia="Times New Roman" w:hAnsi="Arial" w:cs="Arial"/>
          <w:color w:val="000000" w:themeColor="text1"/>
          <w:sz w:val="20"/>
          <w:szCs w:val="20"/>
          <w:lang w:eastAsia="es-ES"/>
        </w:rPr>
      </w:pPr>
    </w:p>
    <w:p w14:paraId="70726FD7" w14:textId="1E98182B" w:rsidR="00FE0DC0" w:rsidRPr="00A3024D" w:rsidRDefault="00606840" w:rsidP="00FE0DC0">
      <w:pPr>
        <w:tabs>
          <w:tab w:val="left" w:pos="709"/>
        </w:tabs>
        <w:jc w:val="both"/>
        <w:rPr>
          <w:rFonts w:ascii="Arial" w:eastAsia="Times New Roman" w:hAnsi="Arial" w:cs="Arial"/>
          <w:color w:val="000000" w:themeColor="text1"/>
          <w:sz w:val="20"/>
          <w:szCs w:val="20"/>
          <w:lang w:eastAsia="es-ES"/>
        </w:rPr>
      </w:pPr>
      <w:r>
        <w:rPr>
          <w:rFonts w:ascii="Arial" w:eastAsia="Times New Roman" w:hAnsi="Arial" w:cs="Arial"/>
          <w:color w:val="000000" w:themeColor="text1"/>
          <w:sz w:val="20"/>
          <w:szCs w:val="20"/>
          <w:lang w:eastAsia="es-ES"/>
        </w:rPr>
        <w:t xml:space="preserve">[…] </w:t>
      </w:r>
      <w:r w:rsidRPr="00606840">
        <w:rPr>
          <w:rFonts w:ascii="Arial" w:eastAsia="Times New Roman" w:hAnsi="Arial" w:cs="Arial"/>
          <w:color w:val="000000" w:themeColor="text1"/>
          <w:sz w:val="20"/>
          <w:szCs w:val="20"/>
          <w:lang w:eastAsia="es-ES"/>
        </w:rPr>
        <w:t xml:space="preserve">durante la fase de ejecución del contrato las partes identifican alguna de las siguientes situaciones: i) La necesidad de acometer mayores cantidades de los ítems o actividades inicialmente previstos, a lo que en la práctica se le conoce como «mayores cantidades de obra», «obras adicionales» o adición de «ítems contractuales»; y ii)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No obstante, este último término, al igual que los señalados entre comillas ―algunos de ellos usualmente empleados en contratos de obra― son nociones doctrinarias y empleadas en la práctica por las entidades estatales, que actualmente no tienen un fundamento particular en el ordenamiento jurídico, el cual no le asigna efectos específicos a cada uno de ellos. Lo importante, y que se reiterará en distintos lugares de este concepto es que frente a cualquier incremento del valor inicial del contrato, que es lo que implica una adición, por cualquiera de los dos supuesto señalados previamente, e independiente del nombre que se le dé al acuerdo, aplica el límite previsto en el parágrafo del artículo 40 de la Ley 80 de 1993: «Los contratos no podrán adicionarse en más del cincuenta por ciento (50%) de su valor inicial, expresado éste en salarios mínimos legales mensuales». De manera </w:t>
      </w:r>
      <w:proofErr w:type="gramStart"/>
      <w:r w:rsidRPr="00606840">
        <w:rPr>
          <w:rFonts w:ascii="Arial" w:eastAsia="Times New Roman" w:hAnsi="Arial" w:cs="Arial"/>
          <w:color w:val="000000" w:themeColor="text1"/>
          <w:sz w:val="20"/>
          <w:szCs w:val="20"/>
          <w:lang w:eastAsia="es-ES"/>
        </w:rPr>
        <w:t>que</w:t>
      </w:r>
      <w:proofErr w:type="gramEnd"/>
      <w:r w:rsidRPr="00606840">
        <w:rPr>
          <w:rFonts w:ascii="Arial" w:eastAsia="Times New Roman" w:hAnsi="Arial" w:cs="Arial"/>
          <w:color w:val="000000" w:themeColor="text1"/>
          <w:sz w:val="20"/>
          <w:szCs w:val="20"/>
          <w:lang w:eastAsia="es-ES"/>
        </w:rPr>
        <w:t xml:space="preserve"> aunque es posible celebrar todos los tipos de acuerdos indicados, siempre se debe observar esta última disposición</w:t>
      </w:r>
      <w:r w:rsidR="008A145D" w:rsidRPr="00A3024D">
        <w:rPr>
          <w:rFonts w:ascii="Arial" w:eastAsia="Times New Roman" w:hAnsi="Arial" w:cs="Arial"/>
          <w:color w:val="000000" w:themeColor="text1"/>
          <w:sz w:val="20"/>
          <w:szCs w:val="20"/>
          <w:lang w:eastAsia="es-ES"/>
        </w:rPr>
        <w:t>.</w:t>
      </w:r>
      <w:r w:rsidR="00FE0DC0" w:rsidRPr="00A3024D">
        <w:rPr>
          <w:rFonts w:ascii="Arial" w:eastAsia="Times New Roman" w:hAnsi="Arial" w:cs="Arial"/>
          <w:color w:val="000000" w:themeColor="text1"/>
          <w:sz w:val="20"/>
          <w:szCs w:val="20"/>
          <w:lang w:eastAsia="es-ES"/>
        </w:rPr>
        <w:t xml:space="preserve"> </w:t>
      </w:r>
    </w:p>
    <w:p w14:paraId="4E33A17B" w14:textId="2DC6BBB5" w:rsidR="00FE0DC0" w:rsidRPr="00957335" w:rsidRDefault="00FE0DC0" w:rsidP="00FE0DC0">
      <w:pPr>
        <w:spacing w:line="276" w:lineRule="auto"/>
        <w:jc w:val="both"/>
        <w:rPr>
          <w:rFonts w:ascii="Arial" w:hAnsi="Arial" w:cs="Arial"/>
          <w:color w:val="000000" w:themeColor="text1"/>
          <w:sz w:val="20"/>
          <w:szCs w:val="20"/>
        </w:rPr>
      </w:pPr>
    </w:p>
    <w:p w14:paraId="18871D48" w14:textId="6ED84D76" w:rsidR="00E46B53" w:rsidRDefault="00E46B53" w:rsidP="7797FAD1">
      <w:pPr>
        <w:jc w:val="both"/>
        <w:rPr>
          <w:rFonts w:ascii="Arial" w:eastAsia="Calibri" w:hAnsi="Arial" w:cs="Arial"/>
          <w:b/>
          <w:bCs/>
          <w:color w:val="000000" w:themeColor="text1"/>
          <w:sz w:val="22"/>
        </w:rPr>
      </w:pPr>
      <w:r w:rsidRPr="340A5AE7">
        <w:rPr>
          <w:rFonts w:ascii="Arial" w:eastAsia="Calibri" w:hAnsi="Arial" w:cs="Arial"/>
          <w:b/>
          <w:bCs/>
          <w:color w:val="000000" w:themeColor="text1"/>
          <w:sz w:val="22"/>
        </w:rPr>
        <w:t>ADICI</w:t>
      </w:r>
      <w:r w:rsidR="409015F8" w:rsidRPr="340A5AE7">
        <w:rPr>
          <w:rFonts w:ascii="Arial" w:eastAsia="Calibri" w:hAnsi="Arial" w:cs="Arial"/>
          <w:b/>
          <w:bCs/>
          <w:color w:val="000000" w:themeColor="text1"/>
          <w:sz w:val="22"/>
        </w:rPr>
        <w:t>Ó</w:t>
      </w:r>
      <w:r w:rsidRPr="340A5AE7">
        <w:rPr>
          <w:rFonts w:ascii="Arial" w:eastAsia="Calibri" w:hAnsi="Arial" w:cs="Arial"/>
          <w:b/>
          <w:bCs/>
          <w:color w:val="000000" w:themeColor="text1"/>
          <w:sz w:val="22"/>
        </w:rPr>
        <w:t>N – Prohibición – Monto</w:t>
      </w:r>
      <w:r w:rsidR="00FE0DC0" w:rsidRPr="340A5AE7">
        <w:rPr>
          <w:rFonts w:ascii="Arial" w:eastAsia="Calibri" w:hAnsi="Arial" w:cs="Arial"/>
          <w:b/>
          <w:bCs/>
          <w:color w:val="000000" w:themeColor="text1"/>
          <w:sz w:val="22"/>
        </w:rPr>
        <w:t xml:space="preserve"> </w:t>
      </w:r>
      <w:r w:rsidRPr="340A5AE7">
        <w:rPr>
          <w:rFonts w:ascii="Arial" w:eastAsia="Calibri" w:hAnsi="Arial" w:cs="Arial"/>
          <w:b/>
          <w:bCs/>
          <w:color w:val="000000" w:themeColor="text1"/>
          <w:sz w:val="22"/>
        </w:rPr>
        <w:t xml:space="preserve">– </w:t>
      </w:r>
      <w:r w:rsidR="00C813E0" w:rsidRPr="340A5AE7">
        <w:rPr>
          <w:rFonts w:ascii="Arial" w:eastAsia="Calibri" w:hAnsi="Arial" w:cs="Arial"/>
          <w:b/>
          <w:bCs/>
          <w:color w:val="000000" w:themeColor="text1"/>
          <w:sz w:val="22"/>
        </w:rPr>
        <w:t>Cálculo</w:t>
      </w:r>
      <w:r w:rsidR="00FE0DC0" w:rsidRPr="340A5AE7">
        <w:rPr>
          <w:rFonts w:ascii="Arial" w:eastAsia="Calibri" w:hAnsi="Arial" w:cs="Arial"/>
          <w:b/>
          <w:bCs/>
          <w:color w:val="000000" w:themeColor="text1"/>
          <w:sz w:val="22"/>
        </w:rPr>
        <w:t xml:space="preserve"> </w:t>
      </w:r>
      <w:r w:rsidR="008F1EC8" w:rsidRPr="340A5AE7">
        <w:rPr>
          <w:rFonts w:ascii="Arial" w:eastAsia="Calibri" w:hAnsi="Arial" w:cs="Arial"/>
          <w:b/>
          <w:bCs/>
          <w:color w:val="000000" w:themeColor="text1"/>
          <w:sz w:val="22"/>
        </w:rPr>
        <w:t>–</w:t>
      </w:r>
      <w:r w:rsidR="00FE0DC0" w:rsidRPr="340A5AE7">
        <w:rPr>
          <w:rFonts w:ascii="Arial" w:eastAsia="Calibri" w:hAnsi="Arial" w:cs="Arial"/>
          <w:b/>
          <w:bCs/>
          <w:color w:val="000000" w:themeColor="text1"/>
          <w:sz w:val="22"/>
        </w:rPr>
        <w:t xml:space="preserve"> </w:t>
      </w:r>
      <w:r w:rsidR="0F22CD19" w:rsidRPr="340A5AE7">
        <w:rPr>
          <w:rFonts w:ascii="Arial" w:eastAsia="Calibri" w:hAnsi="Arial" w:cs="Arial"/>
          <w:b/>
          <w:bCs/>
          <w:color w:val="000000" w:themeColor="text1"/>
          <w:sz w:val="22"/>
        </w:rPr>
        <w:t xml:space="preserve">Parágrafo artículo 40 – </w:t>
      </w:r>
      <w:r w:rsidR="00FE0DC0" w:rsidRPr="340A5AE7">
        <w:rPr>
          <w:rFonts w:ascii="Arial" w:eastAsia="Calibri" w:hAnsi="Arial" w:cs="Arial"/>
          <w:b/>
          <w:bCs/>
          <w:color w:val="000000" w:themeColor="text1"/>
          <w:sz w:val="22"/>
        </w:rPr>
        <w:t>Ley 80</w:t>
      </w:r>
      <w:r w:rsidR="32339059" w:rsidRPr="340A5AE7">
        <w:rPr>
          <w:rFonts w:ascii="Arial" w:eastAsia="Calibri" w:hAnsi="Arial" w:cs="Arial"/>
          <w:b/>
          <w:bCs/>
          <w:color w:val="000000" w:themeColor="text1"/>
          <w:sz w:val="22"/>
        </w:rPr>
        <w:t xml:space="preserve"> de 1993 </w:t>
      </w:r>
    </w:p>
    <w:p w14:paraId="13968946" w14:textId="77777777" w:rsidR="00FE0DC0" w:rsidRPr="00957335" w:rsidRDefault="00FE0DC0" w:rsidP="00FE0DC0">
      <w:pPr>
        <w:jc w:val="both"/>
        <w:rPr>
          <w:rFonts w:ascii="Arial" w:eastAsia="Calibri" w:hAnsi="Arial" w:cs="Arial"/>
          <w:b/>
          <w:color w:val="000000" w:themeColor="text1"/>
          <w:sz w:val="20"/>
          <w:szCs w:val="20"/>
        </w:rPr>
      </w:pPr>
    </w:p>
    <w:p w14:paraId="5462E897" w14:textId="1D6CB1EE" w:rsidR="00606840" w:rsidRDefault="00606840" w:rsidP="00606840">
      <w:pPr>
        <w:jc w:val="both"/>
        <w:rPr>
          <w:rFonts w:ascii="Arial" w:eastAsia="Times New Roman" w:hAnsi="Arial" w:cs="Arial"/>
          <w:color w:val="000000" w:themeColor="text1"/>
          <w:sz w:val="20"/>
          <w:szCs w:val="20"/>
          <w:lang w:eastAsia="es-ES"/>
        </w:rPr>
      </w:pPr>
      <w:r w:rsidRPr="00606840">
        <w:rPr>
          <w:rFonts w:ascii="Arial" w:eastAsia="Times New Roman" w:hAnsi="Arial" w:cs="Arial"/>
          <w:color w:val="000000" w:themeColor="text1"/>
          <w:sz w:val="20"/>
          <w:szCs w:val="20"/>
          <w:lang w:eastAsia="es-ES"/>
        </w:rPr>
        <w:t xml:space="preserve">Dicha norma además de consagrar una prohibición trae implícita una autorización, consistente en la posibilidad de adicionar los contratos estatales, siempre que no se supere el tope establecido. Ahora bien, teniendo en cuenta que la peticionaria solicita se aclare como debe hacerse el cálculo de la </w:t>
      </w:r>
      <w:r w:rsidRPr="00606840">
        <w:rPr>
          <w:rFonts w:ascii="Arial" w:eastAsia="Times New Roman" w:hAnsi="Arial" w:cs="Arial"/>
          <w:color w:val="000000" w:themeColor="text1"/>
          <w:sz w:val="20"/>
          <w:szCs w:val="20"/>
          <w:lang w:eastAsia="es-ES"/>
        </w:rPr>
        <w:lastRenderedPageBreak/>
        <w:t xml:space="preserve">adición, basta con remitirse a lo dispuesto en el parágrafo del artículo 40 de la Ley 80 de 1993 «Los contratos no podrán adicionarse en más del cincuenta por ciento (50%) de su valor inicial, expresado éste en salarios mínimos legales mensuales». </w:t>
      </w:r>
    </w:p>
    <w:p w14:paraId="6DF2AE3B" w14:textId="77777777" w:rsidR="00606840" w:rsidRPr="00606840" w:rsidRDefault="00606840" w:rsidP="00606840">
      <w:pPr>
        <w:jc w:val="both"/>
        <w:rPr>
          <w:rFonts w:ascii="Arial" w:eastAsia="Times New Roman" w:hAnsi="Arial" w:cs="Arial"/>
          <w:color w:val="000000" w:themeColor="text1"/>
          <w:sz w:val="20"/>
          <w:szCs w:val="20"/>
          <w:lang w:eastAsia="es-ES"/>
        </w:rPr>
      </w:pPr>
    </w:p>
    <w:p w14:paraId="014012ED" w14:textId="7181D8F2" w:rsidR="00CD57C1" w:rsidRPr="00AE3AE4" w:rsidRDefault="00606840" w:rsidP="00606840">
      <w:pPr>
        <w:jc w:val="both"/>
        <w:rPr>
          <w:rFonts w:ascii="Arial" w:hAnsi="Arial" w:cs="Arial"/>
          <w:color w:val="000000" w:themeColor="text1"/>
          <w:sz w:val="22"/>
          <w:lang w:val="es-CO"/>
        </w:rPr>
      </w:pPr>
      <w:r w:rsidRPr="00606840">
        <w:rPr>
          <w:rFonts w:ascii="Arial" w:eastAsia="Times New Roman" w:hAnsi="Arial" w:cs="Arial"/>
          <w:color w:val="000000" w:themeColor="text1"/>
          <w:sz w:val="20"/>
          <w:szCs w:val="20"/>
          <w:lang w:eastAsia="es-ES"/>
        </w:rPr>
        <w:t>En consecuencia, al momento de hacer la adición se debe tener en cuenta que el cálculo del límite debe hacerse en salarios mínimos para efectos de que el cálculo del tope sea preciso; de manera que para adicionar un contrato debe dividirse el valor inicial por el salario mínimo vigente al momento de la suscripción del contrato, y luego dividirlo por 2; el resultado obtenido constituirá el número de SMLMV por los cuales podrá adicionarse el contrato. En este sentido, para evitar equivocaciones, lo ideal es que cada que se efectúe una adición, se estime su valor en salarios mínimos, que se calcularán con base en el vigente al momento de la adición, de manera que se descuenten estos de los salarios mínimos que restan por adicionar, ya que las modificaciones podrían hacerse en diferentes años, porque si el contrato se ejecuta sin existir variación en el valor del salario mínimo la operación sería la misma si se toma el monto en pesos.</w:t>
      </w:r>
    </w:p>
    <w:p w14:paraId="6CA57D03" w14:textId="02D43203" w:rsidR="00ED0B65" w:rsidRDefault="00ED0B65" w:rsidP="00CD57C1">
      <w:pPr>
        <w:spacing w:line="276" w:lineRule="auto"/>
        <w:rPr>
          <w:rFonts w:ascii="Arial" w:eastAsia="Calibri" w:hAnsi="Arial" w:cs="Arial"/>
          <w:sz w:val="22"/>
          <w:szCs w:val="20"/>
        </w:rPr>
      </w:pPr>
    </w:p>
    <w:p w14:paraId="218F5C7B" w14:textId="13DBA7CA" w:rsidR="009C11D1" w:rsidRDefault="009C11D1" w:rsidP="00CD57C1">
      <w:pPr>
        <w:spacing w:line="276" w:lineRule="auto"/>
        <w:rPr>
          <w:rFonts w:ascii="Arial" w:eastAsia="Calibri" w:hAnsi="Arial" w:cs="Arial"/>
          <w:sz w:val="22"/>
          <w:szCs w:val="20"/>
        </w:rPr>
      </w:pPr>
    </w:p>
    <w:p w14:paraId="6CC0B756" w14:textId="38465EF8" w:rsidR="009C11D1" w:rsidRDefault="009C11D1" w:rsidP="00CD57C1">
      <w:pPr>
        <w:spacing w:line="276" w:lineRule="auto"/>
        <w:rPr>
          <w:rFonts w:ascii="Arial" w:eastAsia="Calibri" w:hAnsi="Arial" w:cs="Arial"/>
          <w:sz w:val="22"/>
          <w:szCs w:val="20"/>
        </w:rPr>
      </w:pPr>
    </w:p>
    <w:p w14:paraId="7EB62C54" w14:textId="2DCF835C" w:rsidR="009C11D1" w:rsidRDefault="009C11D1" w:rsidP="00CD57C1">
      <w:pPr>
        <w:spacing w:line="276" w:lineRule="auto"/>
        <w:rPr>
          <w:rFonts w:ascii="Arial" w:eastAsia="Calibri" w:hAnsi="Arial" w:cs="Arial"/>
          <w:sz w:val="22"/>
          <w:szCs w:val="20"/>
        </w:rPr>
      </w:pPr>
    </w:p>
    <w:p w14:paraId="0CEF292E" w14:textId="4E0B8B7F" w:rsidR="009C11D1" w:rsidRDefault="009C11D1" w:rsidP="00CD57C1">
      <w:pPr>
        <w:spacing w:line="276" w:lineRule="auto"/>
        <w:rPr>
          <w:rFonts w:ascii="Arial" w:eastAsia="Calibri" w:hAnsi="Arial" w:cs="Arial"/>
          <w:sz w:val="22"/>
          <w:szCs w:val="20"/>
        </w:rPr>
      </w:pPr>
    </w:p>
    <w:p w14:paraId="2BF37369" w14:textId="359F48AE" w:rsidR="009C11D1" w:rsidRDefault="009C11D1" w:rsidP="00CD57C1">
      <w:pPr>
        <w:spacing w:line="276" w:lineRule="auto"/>
        <w:rPr>
          <w:rFonts w:ascii="Arial" w:eastAsia="Calibri" w:hAnsi="Arial" w:cs="Arial"/>
          <w:sz w:val="22"/>
          <w:szCs w:val="20"/>
        </w:rPr>
      </w:pPr>
    </w:p>
    <w:p w14:paraId="3AB40444" w14:textId="2714825E" w:rsidR="009C11D1" w:rsidRDefault="009C11D1" w:rsidP="00CD57C1">
      <w:pPr>
        <w:spacing w:line="276" w:lineRule="auto"/>
        <w:rPr>
          <w:rFonts w:ascii="Arial" w:eastAsia="Calibri" w:hAnsi="Arial" w:cs="Arial"/>
          <w:sz w:val="22"/>
          <w:szCs w:val="20"/>
        </w:rPr>
      </w:pPr>
    </w:p>
    <w:p w14:paraId="58DA0592" w14:textId="3F149F6F" w:rsidR="009C11D1" w:rsidRDefault="009C11D1" w:rsidP="00CD57C1">
      <w:pPr>
        <w:spacing w:line="276" w:lineRule="auto"/>
        <w:rPr>
          <w:rFonts w:ascii="Arial" w:eastAsia="Calibri" w:hAnsi="Arial" w:cs="Arial"/>
          <w:sz w:val="22"/>
          <w:szCs w:val="20"/>
        </w:rPr>
      </w:pPr>
    </w:p>
    <w:p w14:paraId="153546A9" w14:textId="37E472FF" w:rsidR="009C11D1" w:rsidRDefault="009C11D1" w:rsidP="00CD57C1">
      <w:pPr>
        <w:spacing w:line="276" w:lineRule="auto"/>
        <w:rPr>
          <w:rFonts w:ascii="Arial" w:eastAsia="Calibri" w:hAnsi="Arial" w:cs="Arial"/>
          <w:sz w:val="22"/>
          <w:szCs w:val="20"/>
        </w:rPr>
      </w:pPr>
    </w:p>
    <w:p w14:paraId="521C83EA" w14:textId="2AFD9BB3" w:rsidR="009C11D1" w:rsidRDefault="009C11D1" w:rsidP="00CD57C1">
      <w:pPr>
        <w:spacing w:line="276" w:lineRule="auto"/>
        <w:rPr>
          <w:rFonts w:ascii="Arial" w:eastAsia="Calibri" w:hAnsi="Arial" w:cs="Arial"/>
          <w:sz w:val="22"/>
          <w:szCs w:val="20"/>
        </w:rPr>
      </w:pPr>
    </w:p>
    <w:p w14:paraId="5E4AE6E3" w14:textId="7A886987" w:rsidR="009C11D1" w:rsidRDefault="009C11D1" w:rsidP="00CD57C1">
      <w:pPr>
        <w:spacing w:line="276" w:lineRule="auto"/>
        <w:rPr>
          <w:rFonts w:ascii="Arial" w:eastAsia="Calibri" w:hAnsi="Arial" w:cs="Arial"/>
          <w:sz w:val="22"/>
          <w:szCs w:val="20"/>
        </w:rPr>
      </w:pPr>
    </w:p>
    <w:p w14:paraId="5E4562CB" w14:textId="26EBDE3D" w:rsidR="009C11D1" w:rsidRDefault="009C11D1" w:rsidP="00CD57C1">
      <w:pPr>
        <w:spacing w:line="276" w:lineRule="auto"/>
        <w:rPr>
          <w:rFonts w:ascii="Arial" w:eastAsia="Calibri" w:hAnsi="Arial" w:cs="Arial"/>
          <w:sz w:val="22"/>
          <w:szCs w:val="20"/>
        </w:rPr>
      </w:pPr>
    </w:p>
    <w:p w14:paraId="41B9917E" w14:textId="070F659E" w:rsidR="009C11D1" w:rsidRDefault="009C11D1" w:rsidP="00CD57C1">
      <w:pPr>
        <w:spacing w:line="276" w:lineRule="auto"/>
        <w:rPr>
          <w:rFonts w:ascii="Arial" w:eastAsia="Calibri" w:hAnsi="Arial" w:cs="Arial"/>
          <w:sz w:val="22"/>
          <w:szCs w:val="20"/>
        </w:rPr>
      </w:pPr>
    </w:p>
    <w:p w14:paraId="74BA25E1" w14:textId="244C0D85" w:rsidR="009C11D1" w:rsidRDefault="009C11D1" w:rsidP="00CD57C1">
      <w:pPr>
        <w:spacing w:line="276" w:lineRule="auto"/>
        <w:rPr>
          <w:rFonts w:ascii="Arial" w:eastAsia="Calibri" w:hAnsi="Arial" w:cs="Arial"/>
          <w:sz w:val="22"/>
          <w:szCs w:val="20"/>
        </w:rPr>
      </w:pPr>
    </w:p>
    <w:p w14:paraId="14AF66A2" w14:textId="28011AFC" w:rsidR="009C11D1" w:rsidRDefault="009C11D1" w:rsidP="00CD57C1">
      <w:pPr>
        <w:spacing w:line="276" w:lineRule="auto"/>
        <w:rPr>
          <w:rFonts w:ascii="Arial" w:eastAsia="Calibri" w:hAnsi="Arial" w:cs="Arial"/>
          <w:sz w:val="22"/>
          <w:szCs w:val="20"/>
        </w:rPr>
      </w:pPr>
    </w:p>
    <w:p w14:paraId="4D750FFC" w14:textId="1EF3199B" w:rsidR="009C11D1" w:rsidRDefault="009C11D1" w:rsidP="00CD57C1">
      <w:pPr>
        <w:spacing w:line="276" w:lineRule="auto"/>
        <w:rPr>
          <w:rFonts w:ascii="Arial" w:eastAsia="Calibri" w:hAnsi="Arial" w:cs="Arial"/>
          <w:sz w:val="22"/>
          <w:szCs w:val="20"/>
        </w:rPr>
      </w:pPr>
    </w:p>
    <w:p w14:paraId="6F2A07BA" w14:textId="3A776228" w:rsidR="009C11D1" w:rsidRDefault="009C11D1" w:rsidP="00CD57C1">
      <w:pPr>
        <w:spacing w:line="276" w:lineRule="auto"/>
        <w:rPr>
          <w:rFonts w:ascii="Arial" w:eastAsia="Calibri" w:hAnsi="Arial" w:cs="Arial"/>
          <w:sz w:val="22"/>
          <w:szCs w:val="20"/>
        </w:rPr>
      </w:pPr>
    </w:p>
    <w:p w14:paraId="10FD6E7A" w14:textId="6583FEE8" w:rsidR="009C11D1" w:rsidRDefault="009C11D1" w:rsidP="00CD57C1">
      <w:pPr>
        <w:spacing w:line="276" w:lineRule="auto"/>
        <w:rPr>
          <w:rFonts w:ascii="Arial" w:eastAsia="Calibri" w:hAnsi="Arial" w:cs="Arial"/>
          <w:sz w:val="22"/>
          <w:szCs w:val="20"/>
        </w:rPr>
      </w:pPr>
    </w:p>
    <w:p w14:paraId="13D6FA27" w14:textId="394764EA" w:rsidR="009C11D1" w:rsidRDefault="009C11D1" w:rsidP="00CD57C1">
      <w:pPr>
        <w:spacing w:line="276" w:lineRule="auto"/>
        <w:rPr>
          <w:rFonts w:ascii="Arial" w:eastAsia="Calibri" w:hAnsi="Arial" w:cs="Arial"/>
          <w:sz w:val="22"/>
          <w:szCs w:val="20"/>
        </w:rPr>
      </w:pPr>
    </w:p>
    <w:p w14:paraId="02F72813" w14:textId="5EC903D1" w:rsidR="009C11D1" w:rsidRDefault="009C11D1" w:rsidP="00CD57C1">
      <w:pPr>
        <w:spacing w:line="276" w:lineRule="auto"/>
        <w:rPr>
          <w:rFonts w:ascii="Arial" w:eastAsia="Calibri" w:hAnsi="Arial" w:cs="Arial"/>
          <w:sz w:val="22"/>
          <w:szCs w:val="20"/>
        </w:rPr>
      </w:pPr>
    </w:p>
    <w:p w14:paraId="60A45B7E" w14:textId="1C56D734" w:rsidR="009C11D1" w:rsidRDefault="009C11D1" w:rsidP="00CD57C1">
      <w:pPr>
        <w:spacing w:line="276" w:lineRule="auto"/>
        <w:rPr>
          <w:rFonts w:ascii="Arial" w:eastAsia="Calibri" w:hAnsi="Arial" w:cs="Arial"/>
          <w:sz w:val="22"/>
          <w:szCs w:val="20"/>
        </w:rPr>
      </w:pPr>
    </w:p>
    <w:p w14:paraId="4A8AA4FB" w14:textId="43E808C6" w:rsidR="009C11D1" w:rsidRDefault="009C11D1" w:rsidP="00CD57C1">
      <w:pPr>
        <w:spacing w:line="276" w:lineRule="auto"/>
        <w:rPr>
          <w:rFonts w:ascii="Arial" w:eastAsia="Calibri" w:hAnsi="Arial" w:cs="Arial"/>
          <w:sz w:val="22"/>
          <w:szCs w:val="20"/>
        </w:rPr>
      </w:pPr>
    </w:p>
    <w:p w14:paraId="37A57ABB" w14:textId="626239DD" w:rsidR="009C11D1" w:rsidRDefault="009C11D1" w:rsidP="00CD57C1">
      <w:pPr>
        <w:spacing w:line="276" w:lineRule="auto"/>
        <w:rPr>
          <w:rFonts w:ascii="Arial" w:eastAsia="Calibri" w:hAnsi="Arial" w:cs="Arial"/>
          <w:sz w:val="22"/>
          <w:szCs w:val="20"/>
        </w:rPr>
      </w:pPr>
    </w:p>
    <w:p w14:paraId="6D52BCA2" w14:textId="1A1B7B87" w:rsidR="009C11D1" w:rsidRDefault="009C11D1" w:rsidP="00CD57C1">
      <w:pPr>
        <w:spacing w:line="276" w:lineRule="auto"/>
        <w:rPr>
          <w:rFonts w:ascii="Arial" w:eastAsia="Calibri" w:hAnsi="Arial" w:cs="Arial"/>
          <w:sz w:val="22"/>
          <w:szCs w:val="20"/>
        </w:rPr>
      </w:pPr>
    </w:p>
    <w:p w14:paraId="2B5EBA71" w14:textId="6C235711" w:rsidR="009C11D1" w:rsidRDefault="009C11D1" w:rsidP="00CD57C1">
      <w:pPr>
        <w:spacing w:line="276" w:lineRule="auto"/>
        <w:rPr>
          <w:rFonts w:ascii="Arial" w:eastAsia="Calibri" w:hAnsi="Arial" w:cs="Arial"/>
          <w:sz w:val="22"/>
          <w:szCs w:val="20"/>
        </w:rPr>
      </w:pPr>
    </w:p>
    <w:p w14:paraId="22D01519" w14:textId="23C6258B" w:rsidR="009C11D1" w:rsidRDefault="009C11D1" w:rsidP="00CD57C1">
      <w:pPr>
        <w:spacing w:line="276" w:lineRule="auto"/>
        <w:rPr>
          <w:rFonts w:ascii="Arial" w:eastAsia="Calibri" w:hAnsi="Arial" w:cs="Arial"/>
          <w:sz w:val="22"/>
          <w:szCs w:val="20"/>
        </w:rPr>
      </w:pPr>
    </w:p>
    <w:p w14:paraId="039B0796" w14:textId="6D7EC0E8" w:rsidR="009C11D1" w:rsidRDefault="009C11D1" w:rsidP="00CD57C1">
      <w:pPr>
        <w:spacing w:line="276" w:lineRule="auto"/>
        <w:rPr>
          <w:rFonts w:ascii="Arial" w:eastAsia="Calibri" w:hAnsi="Arial" w:cs="Arial"/>
          <w:sz w:val="22"/>
          <w:szCs w:val="20"/>
        </w:rPr>
      </w:pPr>
    </w:p>
    <w:p w14:paraId="32BB860F" w14:textId="5F12B800" w:rsidR="009C11D1" w:rsidRDefault="009C11D1" w:rsidP="00CD57C1">
      <w:pPr>
        <w:spacing w:line="276" w:lineRule="auto"/>
        <w:rPr>
          <w:rFonts w:ascii="Arial" w:eastAsia="Calibri" w:hAnsi="Arial" w:cs="Arial"/>
          <w:sz w:val="22"/>
          <w:szCs w:val="20"/>
        </w:rPr>
      </w:pPr>
    </w:p>
    <w:p w14:paraId="6C29CDEF" w14:textId="1ACE4648" w:rsidR="009C11D1" w:rsidRDefault="009C11D1" w:rsidP="00CD57C1">
      <w:pPr>
        <w:spacing w:line="276" w:lineRule="auto"/>
        <w:rPr>
          <w:rFonts w:ascii="Arial" w:eastAsia="Calibri" w:hAnsi="Arial" w:cs="Arial"/>
          <w:sz w:val="22"/>
          <w:szCs w:val="20"/>
        </w:rPr>
      </w:pPr>
    </w:p>
    <w:p w14:paraId="766B06C1" w14:textId="02EF08B6" w:rsidR="009C11D1" w:rsidRDefault="009C11D1" w:rsidP="00CD57C1">
      <w:pPr>
        <w:spacing w:line="276" w:lineRule="auto"/>
        <w:rPr>
          <w:rFonts w:ascii="Arial" w:eastAsia="Calibri" w:hAnsi="Arial" w:cs="Arial"/>
          <w:sz w:val="22"/>
          <w:szCs w:val="20"/>
        </w:rPr>
      </w:pPr>
    </w:p>
    <w:p w14:paraId="272DE57E" w14:textId="26C9CF2B" w:rsidR="009C11D1" w:rsidRDefault="009C11D1" w:rsidP="00CD57C1">
      <w:pPr>
        <w:spacing w:line="276" w:lineRule="auto"/>
        <w:rPr>
          <w:rFonts w:ascii="Arial" w:eastAsia="Calibri" w:hAnsi="Arial" w:cs="Arial"/>
          <w:sz w:val="22"/>
          <w:szCs w:val="20"/>
        </w:rPr>
      </w:pPr>
    </w:p>
    <w:p w14:paraId="271D7E89" w14:textId="318C2669" w:rsidR="009C11D1" w:rsidRDefault="009C11D1" w:rsidP="00CD57C1">
      <w:pPr>
        <w:spacing w:line="276" w:lineRule="auto"/>
        <w:rPr>
          <w:rFonts w:ascii="Arial" w:eastAsia="Calibri" w:hAnsi="Arial" w:cs="Arial"/>
          <w:sz w:val="22"/>
          <w:szCs w:val="20"/>
        </w:rPr>
      </w:pPr>
    </w:p>
    <w:p w14:paraId="68AA5F69" w14:textId="6B1B341B" w:rsidR="009C11D1" w:rsidRDefault="009C11D1" w:rsidP="00CD57C1">
      <w:pPr>
        <w:spacing w:line="276" w:lineRule="auto"/>
        <w:rPr>
          <w:rFonts w:ascii="Arial" w:eastAsia="Calibri" w:hAnsi="Arial" w:cs="Arial"/>
          <w:sz w:val="22"/>
          <w:szCs w:val="20"/>
        </w:rPr>
      </w:pPr>
    </w:p>
    <w:p w14:paraId="0DAADE68" w14:textId="77777777" w:rsidR="009C11D1" w:rsidRDefault="009C11D1" w:rsidP="00CD57C1">
      <w:pPr>
        <w:spacing w:line="276" w:lineRule="auto"/>
        <w:rPr>
          <w:rFonts w:ascii="Arial" w:eastAsia="Calibri" w:hAnsi="Arial" w:cs="Arial"/>
          <w:sz w:val="22"/>
          <w:szCs w:val="20"/>
        </w:rPr>
      </w:pPr>
    </w:p>
    <w:p w14:paraId="1222D1B0" w14:textId="605327AB" w:rsidR="00CD57C1" w:rsidRDefault="00CD57C1" w:rsidP="00CD57C1">
      <w:pPr>
        <w:spacing w:line="276" w:lineRule="auto"/>
        <w:rPr>
          <w:rFonts w:ascii="Arial" w:eastAsia="Calibri" w:hAnsi="Arial" w:cs="Arial"/>
          <w:b/>
          <w:sz w:val="22"/>
          <w:szCs w:val="20"/>
        </w:rPr>
      </w:pPr>
      <w:r>
        <w:rPr>
          <w:rFonts w:ascii="Arial" w:eastAsia="Calibri" w:hAnsi="Arial" w:cs="Arial"/>
          <w:sz w:val="22"/>
          <w:szCs w:val="20"/>
        </w:rPr>
        <w:t xml:space="preserve">Bogotá D.C., </w:t>
      </w:r>
      <w:r w:rsidR="00606840">
        <w:rPr>
          <w:rFonts w:ascii="Arial" w:eastAsia="Calibri" w:hAnsi="Arial" w:cs="Arial"/>
          <w:b/>
          <w:sz w:val="22"/>
          <w:szCs w:val="20"/>
        </w:rPr>
        <w:t>16/03/2021</w:t>
      </w:r>
    </w:p>
    <w:p w14:paraId="5CD31144" w14:textId="77777777" w:rsidR="00CD57C1" w:rsidRDefault="00CD57C1" w:rsidP="00CD57C1">
      <w:pPr>
        <w:spacing w:line="276" w:lineRule="auto"/>
        <w:rPr>
          <w:rFonts w:ascii="Arial" w:eastAsia="Calibri" w:hAnsi="Arial" w:cs="Arial"/>
          <w:b/>
          <w:sz w:val="22"/>
          <w:szCs w:val="20"/>
          <w:lang w:val="es-CO"/>
        </w:rPr>
      </w:pPr>
    </w:p>
    <w:p w14:paraId="4BC9451E" w14:textId="419E5FC0" w:rsidR="00FE6E33" w:rsidRPr="005C1F67" w:rsidRDefault="0033011A" w:rsidP="00F75B13">
      <w:pPr>
        <w:tabs>
          <w:tab w:val="left" w:pos="3374"/>
        </w:tabs>
        <w:jc w:val="right"/>
        <w:rPr>
          <w:rFonts w:ascii="Arial" w:eastAsia="Calibri" w:hAnsi="Arial" w:cs="Arial"/>
          <w:color w:val="000000" w:themeColor="text1"/>
          <w:sz w:val="22"/>
        </w:rPr>
      </w:pPr>
      <w:r>
        <w:rPr>
          <w:rFonts w:ascii="Arial" w:eastAsia="Calibri" w:hAnsi="Arial" w:cs="Arial"/>
          <w:b/>
          <w:sz w:val="22"/>
          <w:szCs w:val="20"/>
        </w:rPr>
        <w:t xml:space="preserve">             </w:t>
      </w:r>
      <w:r w:rsidRPr="0033011A">
        <w:rPr>
          <w:rFonts w:ascii="Arial" w:eastAsia="Calibri" w:hAnsi="Arial" w:cs="Arial"/>
          <w:b/>
          <w:sz w:val="22"/>
          <w:szCs w:val="20"/>
        </w:rPr>
        <w:drawing>
          <wp:inline distT="0" distB="0" distL="0" distR="0" wp14:anchorId="73E9CBEC" wp14:editId="594A02BC">
            <wp:extent cx="2998603" cy="791206"/>
            <wp:effectExtent l="0" t="0" r="0" b="9525"/>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1"/>
                    <a:stretch>
                      <a:fillRect/>
                    </a:stretch>
                  </pic:blipFill>
                  <pic:spPr>
                    <a:xfrm>
                      <a:off x="0" y="0"/>
                      <a:ext cx="3014454" cy="795388"/>
                    </a:xfrm>
                    <a:prstGeom prst="rect">
                      <a:avLst/>
                    </a:prstGeom>
                  </pic:spPr>
                </pic:pic>
              </a:graphicData>
            </a:graphic>
          </wp:inline>
        </w:drawing>
      </w:r>
      <w:r w:rsidR="00A37FB6" w:rsidRPr="005C1F67">
        <w:rPr>
          <w:rFonts w:ascii="Arial" w:eastAsia="Calibri" w:hAnsi="Arial" w:cs="Arial"/>
          <w:color w:val="000000" w:themeColor="text1"/>
          <w:sz w:val="22"/>
        </w:rPr>
        <w:tab/>
      </w:r>
    </w:p>
    <w:p w14:paraId="272C907C" w14:textId="77777777" w:rsidR="00FC6A7E" w:rsidRDefault="00FC6A7E" w:rsidP="00D01760">
      <w:pPr>
        <w:rPr>
          <w:rFonts w:ascii="Arial" w:eastAsia="Calibri" w:hAnsi="Arial" w:cs="Arial"/>
          <w:color w:val="000000" w:themeColor="text1"/>
          <w:sz w:val="22"/>
        </w:rPr>
      </w:pPr>
    </w:p>
    <w:p w14:paraId="7559B50C" w14:textId="4222583A" w:rsidR="00AD1B0F" w:rsidRPr="005C1F67" w:rsidRDefault="00E6565C" w:rsidP="00D01760">
      <w:pPr>
        <w:rPr>
          <w:rFonts w:ascii="Arial" w:eastAsia="Calibri" w:hAnsi="Arial" w:cs="Arial"/>
          <w:color w:val="000000" w:themeColor="text1"/>
          <w:sz w:val="22"/>
        </w:rPr>
      </w:pPr>
      <w:r w:rsidRPr="005C1F67">
        <w:rPr>
          <w:rFonts w:ascii="Arial" w:eastAsia="Calibri" w:hAnsi="Arial" w:cs="Arial"/>
          <w:color w:val="000000" w:themeColor="text1"/>
          <w:sz w:val="22"/>
        </w:rPr>
        <w:t>Señor</w:t>
      </w:r>
      <w:r w:rsidR="00CD57C1">
        <w:rPr>
          <w:rFonts w:ascii="Arial" w:eastAsia="Calibri" w:hAnsi="Arial" w:cs="Arial"/>
          <w:color w:val="000000" w:themeColor="text1"/>
          <w:sz w:val="22"/>
        </w:rPr>
        <w:t>a</w:t>
      </w:r>
    </w:p>
    <w:p w14:paraId="16863497" w14:textId="681FB495" w:rsidR="00A37FB6" w:rsidRPr="005C1F67" w:rsidRDefault="00CD57C1" w:rsidP="00D01760">
      <w:pPr>
        <w:rPr>
          <w:rFonts w:ascii="Arial" w:eastAsia="Calibri" w:hAnsi="Arial" w:cs="Arial"/>
          <w:color w:val="000000" w:themeColor="text1"/>
          <w:sz w:val="22"/>
        </w:rPr>
      </w:pPr>
      <w:r>
        <w:rPr>
          <w:rFonts w:ascii="Arial" w:eastAsia="Calibri" w:hAnsi="Arial" w:cs="Arial"/>
          <w:b/>
          <w:color w:val="000000" w:themeColor="text1"/>
          <w:sz w:val="22"/>
        </w:rPr>
        <w:t>Mónica Al</w:t>
      </w:r>
      <w:r w:rsidR="00BE4A55">
        <w:rPr>
          <w:rFonts w:ascii="Arial" w:eastAsia="Calibri" w:hAnsi="Arial" w:cs="Arial"/>
          <w:b/>
          <w:color w:val="000000" w:themeColor="text1"/>
          <w:sz w:val="22"/>
        </w:rPr>
        <w:t>exandra Naranjo Rojas</w:t>
      </w:r>
    </w:p>
    <w:p w14:paraId="359C48BE" w14:textId="3DA49B7F" w:rsidR="00A37FB6" w:rsidRPr="005C1F67" w:rsidRDefault="00BE4A55" w:rsidP="00D01760">
      <w:pPr>
        <w:rPr>
          <w:rFonts w:ascii="Arial" w:eastAsia="Calibri" w:hAnsi="Arial" w:cs="Arial"/>
          <w:color w:val="000000" w:themeColor="text1"/>
          <w:sz w:val="22"/>
        </w:rPr>
      </w:pPr>
      <w:r>
        <w:rPr>
          <w:rFonts w:ascii="Arial" w:eastAsia="Calibri" w:hAnsi="Arial" w:cs="Arial"/>
          <w:color w:val="000000" w:themeColor="text1"/>
          <w:sz w:val="22"/>
        </w:rPr>
        <w:t>Mosquera, Cundinamarca</w:t>
      </w:r>
    </w:p>
    <w:p w14:paraId="0CB12C57" w14:textId="036D6AB7" w:rsidR="00F201B0" w:rsidRPr="005C1F67" w:rsidRDefault="00F201B0" w:rsidP="00D01760">
      <w:pPr>
        <w:rPr>
          <w:rFonts w:ascii="Arial" w:eastAsia="Calibri" w:hAnsi="Arial" w:cs="Arial"/>
          <w:color w:val="000000" w:themeColor="text1"/>
          <w:sz w:val="22"/>
        </w:rPr>
      </w:pPr>
    </w:p>
    <w:p w14:paraId="479F6A3A" w14:textId="7C2A4CEF" w:rsidR="00A37FB6" w:rsidRPr="005C1F67" w:rsidRDefault="00387726" w:rsidP="00D01760">
      <w:pPr>
        <w:jc w:val="center"/>
        <w:rPr>
          <w:rFonts w:ascii="Arial" w:eastAsia="Calibri" w:hAnsi="Arial" w:cs="Arial"/>
          <w:b/>
          <w:color w:val="000000" w:themeColor="text1"/>
          <w:sz w:val="22"/>
        </w:rPr>
      </w:pPr>
      <w:r w:rsidRPr="000362BD">
        <w:rPr>
          <w:rFonts w:ascii="Arial" w:eastAsia="Calibri" w:hAnsi="Arial" w:cs="Arial"/>
          <w:b/>
          <w:color w:val="000000" w:themeColor="text1"/>
          <w:sz w:val="22"/>
        </w:rPr>
        <w:t xml:space="preserve">Concepto C ─ </w:t>
      </w:r>
      <w:r w:rsidR="00CD57C1">
        <w:rPr>
          <w:rFonts w:ascii="Arial" w:eastAsia="Calibri" w:hAnsi="Arial" w:cs="Arial"/>
          <w:b/>
          <w:color w:val="000000" w:themeColor="text1"/>
          <w:sz w:val="22"/>
        </w:rPr>
        <w:t>073</w:t>
      </w:r>
      <w:r w:rsidRPr="000362BD">
        <w:rPr>
          <w:rFonts w:ascii="Arial" w:eastAsia="Calibri" w:hAnsi="Arial" w:cs="Arial"/>
          <w:b/>
          <w:color w:val="000000" w:themeColor="text1"/>
          <w:sz w:val="22"/>
        </w:rPr>
        <w:t xml:space="preserve"> </w:t>
      </w:r>
      <w:r w:rsidR="00A37FB6" w:rsidRPr="000362BD">
        <w:rPr>
          <w:rFonts w:ascii="Arial" w:eastAsia="Calibri" w:hAnsi="Arial" w:cs="Arial"/>
          <w:b/>
          <w:color w:val="000000" w:themeColor="text1"/>
          <w:sz w:val="22"/>
        </w:rPr>
        <w:t>de 202</w:t>
      </w:r>
      <w:r w:rsidR="00CD57C1">
        <w:rPr>
          <w:rFonts w:ascii="Arial" w:eastAsia="Calibri" w:hAnsi="Arial" w:cs="Arial"/>
          <w:b/>
          <w:color w:val="000000" w:themeColor="text1"/>
          <w:sz w:val="22"/>
        </w:rPr>
        <w:t>1</w:t>
      </w:r>
    </w:p>
    <w:p w14:paraId="5895C48C" w14:textId="77777777" w:rsidR="009C11D1" w:rsidRPr="005C1F67" w:rsidRDefault="009C11D1" w:rsidP="00D01760">
      <w:pPr>
        <w:rPr>
          <w:rFonts w:ascii="Arial" w:eastAsia="Calibri" w:hAnsi="Arial" w:cs="Arial"/>
          <w:color w:val="000000" w:themeColor="text1"/>
          <w:sz w:val="22"/>
        </w:rPr>
      </w:pPr>
    </w:p>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383"/>
      </w:tblGrid>
      <w:tr w:rsidR="005C1F67" w:rsidRPr="004A02E2" w14:paraId="20C2FA60" w14:textId="77777777" w:rsidTr="2547E75F">
        <w:tc>
          <w:tcPr>
            <w:tcW w:w="2689" w:type="dxa"/>
            <w:hideMark/>
          </w:tcPr>
          <w:p w14:paraId="2A9459AB" w14:textId="77777777" w:rsidR="00A37FB6" w:rsidRPr="005C1F67" w:rsidRDefault="00A37FB6" w:rsidP="00D01760">
            <w:pPr>
              <w:rPr>
                <w:rFonts w:ascii="Arial" w:eastAsia="Calibri" w:hAnsi="Arial" w:cs="Arial"/>
                <w:color w:val="000000" w:themeColor="text1"/>
                <w:sz w:val="22"/>
              </w:rPr>
            </w:pPr>
            <w:r w:rsidRPr="005C1F67">
              <w:rPr>
                <w:rFonts w:ascii="Arial" w:eastAsia="Calibri" w:hAnsi="Arial" w:cs="Arial"/>
                <w:b/>
                <w:color w:val="000000" w:themeColor="text1"/>
                <w:sz w:val="22"/>
              </w:rPr>
              <w:t>Temas:</w:t>
            </w:r>
            <w:r w:rsidRPr="005C1F67">
              <w:rPr>
                <w:rFonts w:ascii="Arial" w:eastAsia="Calibri" w:hAnsi="Arial" w:cs="Arial"/>
                <w:color w:val="000000" w:themeColor="text1"/>
                <w:sz w:val="22"/>
              </w:rPr>
              <w:t xml:space="preserve">           </w:t>
            </w:r>
          </w:p>
          <w:p w14:paraId="1840BCE8" w14:textId="77777777" w:rsidR="00A37FB6" w:rsidRPr="005C1F67" w:rsidRDefault="00A37FB6" w:rsidP="00D01760">
            <w:pPr>
              <w:rPr>
                <w:rFonts w:ascii="Arial" w:eastAsia="Calibri" w:hAnsi="Arial" w:cs="Arial"/>
                <w:color w:val="000000" w:themeColor="text1"/>
                <w:sz w:val="22"/>
              </w:rPr>
            </w:pPr>
            <w:r w:rsidRPr="005C1F67">
              <w:rPr>
                <w:rFonts w:ascii="Arial" w:eastAsia="Calibri" w:hAnsi="Arial" w:cs="Arial"/>
                <w:color w:val="000000" w:themeColor="text1"/>
                <w:sz w:val="22"/>
              </w:rPr>
              <w:t xml:space="preserve">                           </w:t>
            </w:r>
          </w:p>
        </w:tc>
        <w:tc>
          <w:tcPr>
            <w:tcW w:w="6383" w:type="dxa"/>
            <w:hideMark/>
          </w:tcPr>
          <w:p w14:paraId="069BC436" w14:textId="7F00ACD6" w:rsidR="00FE6E33" w:rsidRPr="005C1F67" w:rsidRDefault="006E4A12" w:rsidP="004A02E2">
            <w:pPr>
              <w:jc w:val="both"/>
              <w:rPr>
                <w:rFonts w:ascii="Arial" w:eastAsia="Calibri" w:hAnsi="Arial" w:cs="Arial"/>
                <w:color w:val="000000" w:themeColor="text1"/>
                <w:sz w:val="22"/>
              </w:rPr>
            </w:pPr>
            <w:r w:rsidRPr="005C1F67">
              <w:rPr>
                <w:rFonts w:ascii="Arial" w:eastAsia="Calibri" w:hAnsi="Arial" w:cs="Arial"/>
                <w:color w:val="000000" w:themeColor="text1"/>
                <w:sz w:val="22"/>
              </w:rPr>
              <w:t xml:space="preserve">ADICIÓN, PRÓRROGA Y RENOVACIÓN ― Diferencias / ADICIÓN ― Concepto ― Distintos supuestos ― Prohibición de adicionar en más del 50% / </w:t>
            </w:r>
            <w:r w:rsidR="004A02E2" w:rsidRPr="004A02E2">
              <w:rPr>
                <w:rFonts w:ascii="Arial" w:eastAsia="Calibri" w:hAnsi="Arial" w:cs="Arial"/>
                <w:color w:val="000000" w:themeColor="text1"/>
                <w:sz w:val="22"/>
              </w:rPr>
              <w:t xml:space="preserve">ADICION – Prohibición – Monto – Contenido – Cálculo del monto – Ley 80 </w:t>
            </w:r>
            <w:r w:rsidR="00BA5E8D">
              <w:rPr>
                <w:rFonts w:ascii="Arial" w:eastAsia="Calibri" w:hAnsi="Arial" w:cs="Arial"/>
                <w:color w:val="000000" w:themeColor="text1"/>
                <w:sz w:val="22"/>
              </w:rPr>
              <w:t xml:space="preserve">– </w:t>
            </w:r>
            <w:r w:rsidR="004A02E2" w:rsidRPr="004A02E2">
              <w:rPr>
                <w:rFonts w:ascii="Arial" w:eastAsia="Calibri" w:hAnsi="Arial" w:cs="Arial"/>
                <w:color w:val="000000" w:themeColor="text1"/>
                <w:sz w:val="22"/>
              </w:rPr>
              <w:t>artículo 40 parágrafo</w:t>
            </w:r>
          </w:p>
        </w:tc>
      </w:tr>
      <w:tr w:rsidR="00A62DC0" w:rsidRPr="005C1F67" w14:paraId="62473A71" w14:textId="77777777" w:rsidTr="2547E75F">
        <w:tc>
          <w:tcPr>
            <w:tcW w:w="2689" w:type="dxa"/>
          </w:tcPr>
          <w:p w14:paraId="730BF589" w14:textId="77777777" w:rsidR="00A37FB6" w:rsidRPr="005C1F67" w:rsidRDefault="00A37FB6" w:rsidP="00D01760">
            <w:pPr>
              <w:rPr>
                <w:rFonts w:ascii="Arial" w:eastAsia="Calibri" w:hAnsi="Arial" w:cs="Arial"/>
                <w:b/>
                <w:color w:val="000000" w:themeColor="text1"/>
                <w:sz w:val="22"/>
              </w:rPr>
            </w:pPr>
            <w:r w:rsidRPr="005C1F67">
              <w:rPr>
                <w:rFonts w:ascii="Arial" w:eastAsia="Calibri" w:hAnsi="Arial" w:cs="Arial"/>
                <w:b/>
                <w:color w:val="000000" w:themeColor="text1"/>
                <w:sz w:val="22"/>
              </w:rPr>
              <w:t>Radicación:</w:t>
            </w:r>
            <w:r w:rsidRPr="005C1F67">
              <w:rPr>
                <w:rFonts w:ascii="Arial" w:eastAsia="Calibri" w:hAnsi="Arial" w:cs="Arial"/>
                <w:color w:val="000000" w:themeColor="text1"/>
                <w:sz w:val="22"/>
              </w:rPr>
              <w:t xml:space="preserve">                              </w:t>
            </w:r>
          </w:p>
        </w:tc>
        <w:tc>
          <w:tcPr>
            <w:tcW w:w="6383" w:type="dxa"/>
          </w:tcPr>
          <w:p w14:paraId="2CD77F9B" w14:textId="3032B618" w:rsidR="00A37FB6" w:rsidRPr="005C1F67" w:rsidRDefault="00AD1B0F" w:rsidP="00FC6A7E">
            <w:pPr>
              <w:spacing w:before="60"/>
              <w:jc w:val="both"/>
              <w:rPr>
                <w:rFonts w:ascii="Arial" w:eastAsia="Calibri" w:hAnsi="Arial" w:cs="Arial"/>
                <w:color w:val="000000" w:themeColor="text1"/>
                <w:sz w:val="22"/>
              </w:rPr>
            </w:pPr>
            <w:r w:rsidRPr="005C1F67">
              <w:rPr>
                <w:rFonts w:ascii="Arial" w:eastAsia="Calibri" w:hAnsi="Arial" w:cs="Arial"/>
                <w:color w:val="000000" w:themeColor="text1"/>
                <w:sz w:val="22"/>
              </w:rPr>
              <w:t xml:space="preserve">Respuesta a consulta </w:t>
            </w:r>
            <w:r w:rsidR="00ED0B65" w:rsidRPr="00ED0B65">
              <w:rPr>
                <w:rFonts w:ascii="Arial" w:eastAsia="Calibri" w:hAnsi="Arial" w:cs="Arial"/>
                <w:color w:val="000000" w:themeColor="text1"/>
                <w:sz w:val="22"/>
              </w:rPr>
              <w:t>P20210203000846</w:t>
            </w:r>
          </w:p>
        </w:tc>
      </w:tr>
    </w:tbl>
    <w:p w14:paraId="73F98900" w14:textId="44009728" w:rsidR="2547E75F" w:rsidRDefault="2547E75F"/>
    <w:p w14:paraId="6AEA1AE6" w14:textId="167D9CE0" w:rsidR="00A37FB6" w:rsidRPr="005C1F67" w:rsidRDefault="00A37FB6" w:rsidP="00817C23">
      <w:pPr>
        <w:spacing w:line="276" w:lineRule="auto"/>
        <w:rPr>
          <w:rFonts w:ascii="Arial" w:eastAsia="Calibri" w:hAnsi="Arial" w:cs="Arial"/>
          <w:color w:val="000000" w:themeColor="text1"/>
          <w:sz w:val="22"/>
        </w:rPr>
      </w:pPr>
    </w:p>
    <w:p w14:paraId="3216C844" w14:textId="351D5794" w:rsidR="00A37FB6" w:rsidRPr="005C1F67" w:rsidRDefault="00DB61B0" w:rsidP="00817C23">
      <w:pPr>
        <w:spacing w:line="276" w:lineRule="auto"/>
        <w:rPr>
          <w:rFonts w:ascii="Arial" w:eastAsia="Calibri" w:hAnsi="Arial" w:cs="Arial"/>
          <w:color w:val="000000" w:themeColor="text1"/>
          <w:sz w:val="22"/>
        </w:rPr>
      </w:pPr>
      <w:r w:rsidRPr="005C1F67">
        <w:rPr>
          <w:rFonts w:ascii="Arial" w:eastAsia="Calibri" w:hAnsi="Arial" w:cs="Arial"/>
          <w:color w:val="000000" w:themeColor="text1"/>
          <w:sz w:val="22"/>
        </w:rPr>
        <w:t>Estimad</w:t>
      </w:r>
      <w:r w:rsidR="00ED0B65">
        <w:rPr>
          <w:rFonts w:ascii="Arial" w:eastAsia="Calibri" w:hAnsi="Arial" w:cs="Arial"/>
          <w:color w:val="000000" w:themeColor="text1"/>
          <w:sz w:val="22"/>
        </w:rPr>
        <w:t>a</w:t>
      </w:r>
      <w:r w:rsidR="00FC6A7E">
        <w:rPr>
          <w:rFonts w:ascii="Arial" w:eastAsia="Calibri" w:hAnsi="Arial" w:cs="Arial"/>
          <w:color w:val="000000" w:themeColor="text1"/>
          <w:sz w:val="22"/>
        </w:rPr>
        <w:t xml:space="preserve"> </w:t>
      </w:r>
      <w:r w:rsidR="00834F2E" w:rsidRPr="005C1F67">
        <w:rPr>
          <w:rFonts w:ascii="Arial" w:eastAsia="Calibri" w:hAnsi="Arial" w:cs="Arial"/>
          <w:color w:val="000000" w:themeColor="text1"/>
          <w:sz w:val="22"/>
        </w:rPr>
        <w:t>señor</w:t>
      </w:r>
      <w:r w:rsidR="00ED0B65">
        <w:rPr>
          <w:rFonts w:ascii="Arial" w:eastAsia="Calibri" w:hAnsi="Arial" w:cs="Arial"/>
          <w:color w:val="000000" w:themeColor="text1"/>
          <w:sz w:val="22"/>
        </w:rPr>
        <w:t>a Naranjo</w:t>
      </w:r>
      <w:r w:rsidR="00A37FB6" w:rsidRPr="005C1F67">
        <w:rPr>
          <w:rFonts w:ascii="Arial" w:eastAsia="Calibri" w:hAnsi="Arial" w:cs="Arial"/>
          <w:color w:val="000000" w:themeColor="text1"/>
          <w:sz w:val="22"/>
        </w:rPr>
        <w:t>,</w:t>
      </w:r>
    </w:p>
    <w:p w14:paraId="44F24B6A" w14:textId="77777777" w:rsidR="009C11D1" w:rsidRDefault="009C11D1" w:rsidP="00817C23">
      <w:pPr>
        <w:spacing w:line="276" w:lineRule="auto"/>
        <w:ind w:right="49"/>
        <w:jc w:val="both"/>
        <w:rPr>
          <w:rFonts w:ascii="Arial" w:eastAsia="Calibri" w:hAnsi="Arial" w:cs="Arial"/>
          <w:color w:val="000000" w:themeColor="text1"/>
          <w:sz w:val="22"/>
        </w:rPr>
      </w:pPr>
    </w:p>
    <w:p w14:paraId="5AB2D95F" w14:textId="7F6AF2D1" w:rsidR="00A26123" w:rsidRDefault="00A37FB6" w:rsidP="00817C23">
      <w:pPr>
        <w:spacing w:line="276" w:lineRule="auto"/>
        <w:ind w:right="49"/>
        <w:jc w:val="both"/>
        <w:rPr>
          <w:rFonts w:ascii="Arial" w:eastAsia="Calibri" w:hAnsi="Arial" w:cs="Arial"/>
          <w:color w:val="000000" w:themeColor="text1"/>
          <w:sz w:val="22"/>
        </w:rPr>
      </w:pPr>
      <w:r w:rsidRPr="005C1F67">
        <w:rPr>
          <w:rFonts w:ascii="Arial" w:eastAsia="Calibri" w:hAnsi="Arial" w:cs="Arial"/>
          <w:color w:val="000000" w:themeColor="text1"/>
          <w:sz w:val="22"/>
        </w:rPr>
        <w:t>La Agencia Nacional de Contratación Pública ―</w:t>
      </w:r>
      <w:r w:rsidR="006237F4" w:rsidRPr="005C1F67">
        <w:rPr>
          <w:rFonts w:ascii="Arial" w:eastAsia="Calibri" w:hAnsi="Arial" w:cs="Arial"/>
          <w:color w:val="000000" w:themeColor="text1"/>
          <w:sz w:val="22"/>
        </w:rPr>
        <w:t xml:space="preserve"> </w:t>
      </w:r>
      <w:r w:rsidRPr="005C1F67">
        <w:rPr>
          <w:rFonts w:ascii="Arial" w:eastAsia="Calibri" w:hAnsi="Arial" w:cs="Arial"/>
          <w:color w:val="000000" w:themeColor="text1"/>
          <w:sz w:val="22"/>
        </w:rPr>
        <w:t xml:space="preserve">Colombia Compra Eficiente responde su consulta </w:t>
      </w:r>
      <w:r w:rsidR="004141CB" w:rsidRPr="005C1F67">
        <w:rPr>
          <w:rFonts w:ascii="Arial" w:eastAsia="Calibri" w:hAnsi="Arial" w:cs="Arial"/>
          <w:color w:val="000000" w:themeColor="text1"/>
          <w:sz w:val="22"/>
        </w:rPr>
        <w:t>del</w:t>
      </w:r>
      <w:r w:rsidR="00ED0B65">
        <w:rPr>
          <w:rFonts w:ascii="Arial" w:eastAsia="Calibri" w:hAnsi="Arial" w:cs="Arial"/>
          <w:color w:val="000000" w:themeColor="text1"/>
          <w:sz w:val="22"/>
        </w:rPr>
        <w:t xml:space="preserve"> 3 de febrero del 2021</w:t>
      </w:r>
      <w:r w:rsidRPr="005C1F67">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7222C7CC" w14:textId="77777777" w:rsidR="00FE6E33" w:rsidRPr="005C1F67" w:rsidRDefault="00FE6E33" w:rsidP="00817C23">
      <w:pPr>
        <w:spacing w:line="276" w:lineRule="auto"/>
        <w:ind w:right="49"/>
        <w:jc w:val="both"/>
        <w:rPr>
          <w:rFonts w:ascii="Arial" w:eastAsia="Calibri" w:hAnsi="Arial" w:cs="Arial"/>
          <w:color w:val="000000" w:themeColor="text1"/>
          <w:sz w:val="22"/>
        </w:rPr>
      </w:pPr>
    </w:p>
    <w:p w14:paraId="737E2623" w14:textId="7F16A5CA" w:rsidR="00A37FB6" w:rsidRPr="005C1F67" w:rsidRDefault="00A37FB6" w:rsidP="00817C23">
      <w:pPr>
        <w:pStyle w:val="Prrafodelista"/>
        <w:numPr>
          <w:ilvl w:val="0"/>
          <w:numId w:val="6"/>
        </w:numPr>
        <w:tabs>
          <w:tab w:val="left" w:pos="284"/>
        </w:tabs>
        <w:spacing w:line="276" w:lineRule="auto"/>
        <w:ind w:left="0" w:firstLine="0"/>
        <w:contextualSpacing w:val="0"/>
        <w:jc w:val="both"/>
        <w:rPr>
          <w:rFonts w:ascii="Arial" w:eastAsia="Calibri" w:hAnsi="Arial" w:cs="Arial"/>
          <w:b/>
          <w:color w:val="000000" w:themeColor="text1"/>
          <w:sz w:val="22"/>
        </w:rPr>
      </w:pPr>
      <w:r w:rsidRPr="005C1F67">
        <w:rPr>
          <w:rFonts w:ascii="Arial" w:eastAsia="Calibri" w:hAnsi="Arial" w:cs="Arial"/>
          <w:b/>
          <w:color w:val="000000" w:themeColor="text1"/>
          <w:sz w:val="22"/>
        </w:rPr>
        <w:t xml:space="preserve">Problemas planteados </w:t>
      </w:r>
    </w:p>
    <w:p w14:paraId="498A026D" w14:textId="77777777" w:rsidR="00A37FB6" w:rsidRPr="005C1F67" w:rsidRDefault="00A37FB6" w:rsidP="00817C23">
      <w:pPr>
        <w:tabs>
          <w:tab w:val="left" w:pos="426"/>
        </w:tabs>
        <w:spacing w:line="276" w:lineRule="auto"/>
        <w:jc w:val="both"/>
        <w:rPr>
          <w:rFonts w:ascii="Arial" w:eastAsia="Calibri" w:hAnsi="Arial" w:cs="Arial"/>
          <w:b/>
          <w:color w:val="000000" w:themeColor="text1"/>
          <w:sz w:val="22"/>
        </w:rPr>
      </w:pPr>
    </w:p>
    <w:p w14:paraId="4E8BF739" w14:textId="780E5887" w:rsidR="00A37FB6" w:rsidRPr="00CD57C1" w:rsidRDefault="00CD57C1" w:rsidP="003F00C7">
      <w:pPr>
        <w:pStyle w:val="xmsonormal"/>
        <w:spacing w:before="0" w:beforeAutospacing="0" w:after="0" w:afterAutospacing="0" w:line="276" w:lineRule="auto"/>
        <w:jc w:val="both"/>
        <w:rPr>
          <w:rFonts w:ascii="Calibri" w:hAnsi="Calibri"/>
          <w:color w:val="000000"/>
          <w:sz w:val="22"/>
          <w:szCs w:val="22"/>
        </w:rPr>
      </w:pPr>
      <w:r>
        <w:rPr>
          <w:rFonts w:ascii="Arial" w:eastAsia="Calibri" w:hAnsi="Arial" w:cs="Arial"/>
          <w:color w:val="000000" w:themeColor="text1"/>
          <w:sz w:val="22"/>
        </w:rPr>
        <w:t>La peticionaria</w:t>
      </w:r>
      <w:r w:rsidR="00A62DC0" w:rsidRPr="003658AC">
        <w:rPr>
          <w:rFonts w:ascii="Arial" w:eastAsia="Calibri" w:hAnsi="Arial" w:cs="Arial"/>
          <w:color w:val="000000" w:themeColor="text1"/>
          <w:sz w:val="22"/>
        </w:rPr>
        <w:t xml:space="preserve"> formuló la</w:t>
      </w:r>
      <w:r w:rsidR="00BF193E" w:rsidRPr="003658AC">
        <w:rPr>
          <w:rFonts w:ascii="Arial" w:eastAsia="Calibri" w:hAnsi="Arial" w:cs="Arial"/>
          <w:color w:val="000000" w:themeColor="text1"/>
          <w:sz w:val="22"/>
        </w:rPr>
        <w:t xml:space="preserve"> </w:t>
      </w:r>
      <w:r w:rsidR="00A62DC0" w:rsidRPr="003658AC">
        <w:rPr>
          <w:rFonts w:ascii="Arial" w:eastAsia="Calibri" w:hAnsi="Arial" w:cs="Arial"/>
          <w:color w:val="000000" w:themeColor="text1"/>
          <w:sz w:val="22"/>
        </w:rPr>
        <w:t>siguiente pregunta sobre la adición de contratos, en</w:t>
      </w:r>
      <w:r w:rsidR="00F96744" w:rsidRPr="003658AC">
        <w:rPr>
          <w:rFonts w:ascii="Arial" w:eastAsia="Calibri" w:hAnsi="Arial" w:cs="Arial"/>
          <w:color w:val="000000" w:themeColor="text1"/>
          <w:sz w:val="22"/>
        </w:rPr>
        <w:t xml:space="preserve"> </w:t>
      </w:r>
      <w:r w:rsidR="00817C23" w:rsidRPr="003658AC">
        <w:rPr>
          <w:rFonts w:ascii="Arial" w:eastAsia="Calibri" w:hAnsi="Arial" w:cs="Arial"/>
          <w:color w:val="000000" w:themeColor="text1"/>
          <w:sz w:val="22"/>
        </w:rPr>
        <w:t xml:space="preserve">el </w:t>
      </w:r>
      <w:r w:rsidR="00F96744" w:rsidRPr="003658AC">
        <w:rPr>
          <w:rFonts w:ascii="Arial" w:eastAsia="Calibri" w:hAnsi="Arial" w:cs="Arial"/>
          <w:color w:val="000000" w:themeColor="text1"/>
          <w:sz w:val="22"/>
        </w:rPr>
        <w:t>régimen actual de contratación estatal</w:t>
      </w:r>
      <w:r w:rsidR="00817C23" w:rsidRPr="003658AC">
        <w:rPr>
          <w:rFonts w:ascii="Arial" w:eastAsia="Calibri" w:hAnsi="Arial" w:cs="Arial"/>
          <w:color w:val="000000" w:themeColor="text1"/>
          <w:sz w:val="22"/>
        </w:rPr>
        <w:t>:</w:t>
      </w:r>
      <w:r w:rsidR="00582208" w:rsidRPr="003658AC">
        <w:rPr>
          <w:rFonts w:ascii="Arial" w:eastAsia="Calibri" w:hAnsi="Arial" w:cs="Arial"/>
          <w:color w:val="000000" w:themeColor="text1"/>
          <w:sz w:val="22"/>
        </w:rPr>
        <w:t xml:space="preserve"> </w:t>
      </w:r>
      <w:r w:rsidR="00933E32">
        <w:rPr>
          <w:rFonts w:ascii="Arial" w:hAnsi="Arial" w:cs="Arial"/>
          <w:color w:val="000000"/>
          <w:sz w:val="22"/>
          <w:szCs w:val="22"/>
        </w:rPr>
        <w:t>«</w:t>
      </w:r>
      <w:r>
        <w:rPr>
          <w:rFonts w:ascii="Arial" w:hAnsi="Arial" w:cs="Arial"/>
          <w:color w:val="000000"/>
          <w:sz w:val="22"/>
          <w:szCs w:val="22"/>
        </w:rPr>
        <w:t xml:space="preserve">¿Cómo se debe realizar el cálculo para la adición de un contrato a la luz de las disposiciones contenidas en el art. 40 de la ley 80 de </w:t>
      </w:r>
      <w:proofErr w:type="gramStart"/>
      <w:r>
        <w:rPr>
          <w:rFonts w:ascii="Arial" w:hAnsi="Arial" w:cs="Arial"/>
          <w:color w:val="000000"/>
          <w:sz w:val="22"/>
          <w:szCs w:val="22"/>
        </w:rPr>
        <w:t>1993?.</w:t>
      </w:r>
      <w:proofErr w:type="gramEnd"/>
      <w:r>
        <w:rPr>
          <w:rFonts w:ascii="Arial" w:hAnsi="Arial" w:cs="Arial"/>
          <w:color w:val="000000"/>
          <w:sz w:val="22"/>
          <w:szCs w:val="22"/>
        </w:rPr>
        <w:t xml:space="preserve"> Por </w:t>
      </w:r>
      <w:proofErr w:type="gramStart"/>
      <w:r>
        <w:rPr>
          <w:rFonts w:ascii="Arial" w:hAnsi="Arial" w:cs="Arial"/>
          <w:color w:val="000000"/>
          <w:sz w:val="22"/>
          <w:szCs w:val="22"/>
        </w:rPr>
        <w:t>ejemplo</w:t>
      </w:r>
      <w:proofErr w:type="gramEnd"/>
      <w:r>
        <w:rPr>
          <w:rFonts w:ascii="Arial" w:hAnsi="Arial" w:cs="Arial"/>
          <w:color w:val="000000"/>
          <w:sz w:val="22"/>
          <w:szCs w:val="22"/>
        </w:rPr>
        <w:t xml:space="preserve"> si en el año 2019 se celebra un contrato por un valor total de $100.000.000, es decir, por un total 120,75 SMMLV, y en el año 2021 se va a adicionar el mismo, el límite de esta es por la suma de $50.000.000 o el límite es de 60,37 SMMLV que para esta ultima vigencia corresponderían a $54.847.714,60</w:t>
      </w:r>
      <w:r w:rsidR="00452D38" w:rsidRPr="003658AC">
        <w:rPr>
          <w:rFonts w:ascii="Arial" w:eastAsia="Calibri" w:hAnsi="Arial" w:cs="Arial"/>
          <w:color w:val="000000" w:themeColor="text1"/>
          <w:sz w:val="22"/>
        </w:rPr>
        <w:t>».</w:t>
      </w:r>
    </w:p>
    <w:p w14:paraId="69E70CD9" w14:textId="70C6F262" w:rsidR="009C11D1" w:rsidRDefault="009C11D1" w:rsidP="009C11D1">
      <w:pPr>
        <w:tabs>
          <w:tab w:val="left" w:pos="426"/>
        </w:tabs>
        <w:jc w:val="both"/>
        <w:rPr>
          <w:rFonts w:ascii="Arial" w:eastAsia="Calibri" w:hAnsi="Arial" w:cs="Arial"/>
          <w:color w:val="000000" w:themeColor="text1"/>
          <w:sz w:val="22"/>
        </w:rPr>
      </w:pPr>
    </w:p>
    <w:p w14:paraId="1B4D9084" w14:textId="09ADD59F" w:rsidR="009C11D1" w:rsidRDefault="009C11D1" w:rsidP="009C11D1">
      <w:pPr>
        <w:tabs>
          <w:tab w:val="left" w:pos="426"/>
        </w:tabs>
        <w:jc w:val="both"/>
        <w:rPr>
          <w:rFonts w:ascii="Arial" w:eastAsia="Calibri" w:hAnsi="Arial" w:cs="Arial"/>
          <w:color w:val="000000" w:themeColor="text1"/>
          <w:sz w:val="22"/>
        </w:rPr>
      </w:pPr>
    </w:p>
    <w:p w14:paraId="6CE8FB0B" w14:textId="40F3BD5F" w:rsidR="009C11D1" w:rsidRDefault="009C11D1" w:rsidP="009C11D1">
      <w:pPr>
        <w:tabs>
          <w:tab w:val="left" w:pos="426"/>
        </w:tabs>
        <w:jc w:val="both"/>
        <w:rPr>
          <w:rFonts w:ascii="Arial" w:eastAsia="Calibri" w:hAnsi="Arial" w:cs="Arial"/>
          <w:color w:val="000000" w:themeColor="text1"/>
          <w:sz w:val="22"/>
        </w:rPr>
      </w:pPr>
    </w:p>
    <w:p w14:paraId="61B4C066" w14:textId="77777777" w:rsidR="009C11D1" w:rsidRPr="005C1F67" w:rsidRDefault="009C11D1" w:rsidP="003F00C7">
      <w:pPr>
        <w:tabs>
          <w:tab w:val="left" w:pos="426"/>
        </w:tabs>
        <w:jc w:val="both"/>
        <w:rPr>
          <w:rFonts w:ascii="Arial" w:eastAsia="Calibri" w:hAnsi="Arial" w:cs="Arial"/>
          <w:color w:val="000000" w:themeColor="text1"/>
          <w:sz w:val="22"/>
        </w:rPr>
      </w:pPr>
    </w:p>
    <w:p w14:paraId="0DAF0046" w14:textId="78485DFA" w:rsidR="00F96744" w:rsidRPr="005C1F67" w:rsidRDefault="00A37FB6" w:rsidP="00817C23">
      <w:pPr>
        <w:pStyle w:val="Prrafodelista"/>
        <w:numPr>
          <w:ilvl w:val="0"/>
          <w:numId w:val="6"/>
        </w:numPr>
        <w:tabs>
          <w:tab w:val="left" w:pos="426"/>
        </w:tabs>
        <w:spacing w:line="276" w:lineRule="auto"/>
        <w:ind w:left="284" w:hanging="284"/>
        <w:contextualSpacing w:val="0"/>
        <w:jc w:val="both"/>
        <w:rPr>
          <w:rFonts w:ascii="Arial" w:eastAsia="Calibri" w:hAnsi="Arial" w:cs="Arial"/>
          <w:b/>
          <w:color w:val="000000" w:themeColor="text1"/>
          <w:sz w:val="22"/>
        </w:rPr>
      </w:pPr>
      <w:r w:rsidRPr="005C1F67">
        <w:rPr>
          <w:rFonts w:ascii="Arial" w:eastAsia="Calibri" w:hAnsi="Arial" w:cs="Arial"/>
          <w:b/>
          <w:color w:val="000000" w:themeColor="text1"/>
          <w:sz w:val="22"/>
        </w:rPr>
        <w:lastRenderedPageBreak/>
        <w:t>Consideraciones</w:t>
      </w:r>
      <w:bookmarkEnd w:id="0"/>
      <w:bookmarkEnd w:id="1"/>
    </w:p>
    <w:p w14:paraId="4A3A14E0" w14:textId="77777777" w:rsidR="00A62DC0" w:rsidRPr="005C1F67" w:rsidRDefault="00A62DC0" w:rsidP="003F00C7">
      <w:pPr>
        <w:pStyle w:val="Prrafodelista"/>
        <w:tabs>
          <w:tab w:val="left" w:pos="426"/>
        </w:tabs>
        <w:ind w:left="284"/>
        <w:contextualSpacing w:val="0"/>
        <w:jc w:val="both"/>
        <w:rPr>
          <w:rFonts w:ascii="Arial" w:eastAsia="Calibri" w:hAnsi="Arial" w:cs="Arial"/>
          <w:b/>
          <w:color w:val="000000" w:themeColor="text1"/>
          <w:sz w:val="22"/>
        </w:rPr>
      </w:pPr>
    </w:p>
    <w:p w14:paraId="2BD34DF0" w14:textId="6E6E6EC8" w:rsidR="00757592" w:rsidRPr="005C1F67" w:rsidRDefault="00757592" w:rsidP="003F00C7">
      <w:pPr>
        <w:spacing w:after="120" w:line="276" w:lineRule="auto"/>
        <w:jc w:val="both"/>
        <w:rPr>
          <w:rFonts w:ascii="Arial" w:hAnsi="Arial" w:cs="Arial"/>
          <w:color w:val="000000" w:themeColor="text1"/>
          <w:sz w:val="22"/>
        </w:rPr>
      </w:pPr>
      <w:r w:rsidRPr="005C1F67">
        <w:rPr>
          <w:rFonts w:ascii="Arial" w:hAnsi="Arial" w:cs="Arial"/>
          <w:color w:val="000000" w:themeColor="text1"/>
          <w:sz w:val="22"/>
        </w:rPr>
        <w:t xml:space="preserve">La Agencia Nacional de Contratación Pública ― Colombia Compra Eficiente, </w:t>
      </w:r>
      <w:r w:rsidRPr="005C1F67">
        <w:rPr>
          <w:rFonts w:ascii="Arial" w:eastAsia="Calibri" w:hAnsi="Arial" w:cs="Arial"/>
          <w:color w:val="000000" w:themeColor="text1"/>
          <w:sz w:val="22"/>
        </w:rPr>
        <w:t xml:space="preserve">en los conceptos con radicado Nos. </w:t>
      </w:r>
      <w:r w:rsidR="000929B3" w:rsidRPr="005C1F67">
        <w:rPr>
          <w:rFonts w:ascii="Arial" w:eastAsia="Calibri" w:hAnsi="Arial" w:cs="Arial"/>
          <w:color w:val="000000" w:themeColor="text1"/>
          <w:sz w:val="22"/>
        </w:rPr>
        <w:t>4201912000007298</w:t>
      </w:r>
      <w:r w:rsidR="00087342" w:rsidRPr="005C1F67">
        <w:rPr>
          <w:rFonts w:ascii="Arial" w:eastAsia="Calibri" w:hAnsi="Arial" w:cs="Arial"/>
          <w:color w:val="000000" w:themeColor="text1"/>
          <w:sz w:val="22"/>
        </w:rPr>
        <w:t xml:space="preserve"> de </w:t>
      </w:r>
      <w:r w:rsidR="008A70A1" w:rsidRPr="005C1F67">
        <w:rPr>
          <w:rFonts w:ascii="Arial" w:eastAsia="Calibri" w:hAnsi="Arial" w:cs="Arial"/>
          <w:color w:val="000000" w:themeColor="text1"/>
          <w:sz w:val="22"/>
        </w:rPr>
        <w:t>23 de octubre de 2019</w:t>
      </w:r>
      <w:r w:rsidR="00A67A27" w:rsidRPr="005C1F67">
        <w:rPr>
          <w:rFonts w:ascii="Arial" w:eastAsia="Calibri" w:hAnsi="Arial" w:cs="Arial"/>
          <w:color w:val="000000" w:themeColor="text1"/>
          <w:sz w:val="22"/>
        </w:rPr>
        <w:t xml:space="preserve">, </w:t>
      </w:r>
      <w:r w:rsidR="000929B3" w:rsidRPr="005C1F67">
        <w:rPr>
          <w:rFonts w:ascii="Arial" w:eastAsia="Calibri" w:hAnsi="Arial" w:cs="Arial"/>
          <w:color w:val="000000" w:themeColor="text1"/>
          <w:sz w:val="22"/>
        </w:rPr>
        <w:t>4201913000006294</w:t>
      </w:r>
      <w:r w:rsidR="008A70A1" w:rsidRPr="005C1F67">
        <w:rPr>
          <w:rFonts w:ascii="Arial" w:eastAsia="Calibri" w:hAnsi="Arial" w:cs="Arial"/>
          <w:color w:val="000000" w:themeColor="text1"/>
          <w:sz w:val="22"/>
        </w:rPr>
        <w:t xml:space="preserve"> de</w:t>
      </w:r>
      <w:r w:rsidR="00BF193E" w:rsidRPr="005C1F67">
        <w:rPr>
          <w:rFonts w:ascii="Arial" w:eastAsia="Calibri" w:hAnsi="Arial" w:cs="Arial"/>
          <w:color w:val="000000" w:themeColor="text1"/>
          <w:sz w:val="22"/>
        </w:rPr>
        <w:t>l</w:t>
      </w:r>
      <w:r w:rsidR="008A70A1" w:rsidRPr="005C1F67">
        <w:rPr>
          <w:rFonts w:ascii="Arial" w:eastAsia="Calibri" w:hAnsi="Arial" w:cs="Arial"/>
          <w:color w:val="000000" w:themeColor="text1"/>
          <w:sz w:val="22"/>
        </w:rPr>
        <w:t xml:space="preserve"> 16 de septiembre de 2019</w:t>
      </w:r>
      <w:r w:rsidR="005531C1">
        <w:rPr>
          <w:rFonts w:ascii="Arial" w:eastAsia="Calibri" w:hAnsi="Arial" w:cs="Arial"/>
          <w:color w:val="000000" w:themeColor="text1"/>
          <w:sz w:val="22"/>
        </w:rPr>
        <w:t xml:space="preserve">, </w:t>
      </w:r>
      <w:r w:rsidR="00A67A27" w:rsidRPr="005C1F67">
        <w:rPr>
          <w:rFonts w:ascii="Arial" w:eastAsia="Calibri" w:hAnsi="Arial" w:cs="Arial"/>
          <w:color w:val="000000" w:themeColor="text1"/>
          <w:sz w:val="22"/>
        </w:rPr>
        <w:t>C</w:t>
      </w:r>
      <w:r w:rsidR="00BE4A55">
        <w:rPr>
          <w:rFonts w:ascii="Arial" w:eastAsia="Calibri" w:hAnsi="Arial" w:cs="Arial"/>
          <w:color w:val="000000" w:themeColor="text1"/>
          <w:sz w:val="22"/>
        </w:rPr>
        <w:t>-</w:t>
      </w:r>
      <w:r w:rsidR="00A67A27" w:rsidRPr="005C1F67">
        <w:rPr>
          <w:rFonts w:ascii="Arial" w:eastAsia="Calibri" w:hAnsi="Arial" w:cs="Arial"/>
          <w:color w:val="000000" w:themeColor="text1"/>
          <w:sz w:val="22"/>
        </w:rPr>
        <w:t>062 del 25 de marzo de 2020</w:t>
      </w:r>
      <w:r w:rsidR="004B5225">
        <w:rPr>
          <w:rFonts w:ascii="Arial" w:eastAsia="Calibri" w:hAnsi="Arial" w:cs="Arial"/>
          <w:color w:val="000000" w:themeColor="text1"/>
          <w:sz w:val="22"/>
        </w:rPr>
        <w:t>,</w:t>
      </w:r>
      <w:r w:rsidR="00BE4A55">
        <w:rPr>
          <w:rFonts w:ascii="Arial" w:eastAsia="Calibri" w:hAnsi="Arial" w:cs="Arial"/>
          <w:color w:val="000000" w:themeColor="text1"/>
          <w:sz w:val="22"/>
        </w:rPr>
        <w:t xml:space="preserve"> C-318 del 25 de mayo de 2020, C-560 del 24 de agosto de 2020 y C-628 del 23 de septiembre del 2020</w:t>
      </w:r>
      <w:r w:rsidR="00E51202">
        <w:rPr>
          <w:rFonts w:ascii="Arial" w:eastAsia="Calibri" w:hAnsi="Arial" w:cs="Arial"/>
          <w:color w:val="000000" w:themeColor="text1"/>
          <w:sz w:val="22"/>
        </w:rPr>
        <w:t>,</w:t>
      </w:r>
      <w:r w:rsidR="00A67A27" w:rsidRPr="005C1F67">
        <w:rPr>
          <w:rFonts w:ascii="Arial" w:eastAsia="Calibri" w:hAnsi="Arial" w:cs="Arial"/>
          <w:color w:val="000000" w:themeColor="text1"/>
          <w:sz w:val="22"/>
        </w:rPr>
        <w:t xml:space="preserve"> estudió </w:t>
      </w:r>
      <w:r w:rsidR="00E51202">
        <w:rPr>
          <w:rFonts w:ascii="Arial" w:eastAsia="Calibri" w:hAnsi="Arial" w:cs="Arial"/>
          <w:color w:val="000000" w:themeColor="text1"/>
          <w:sz w:val="22"/>
        </w:rPr>
        <w:t>temas</w:t>
      </w:r>
      <w:r w:rsidR="00E51202" w:rsidRPr="005C1F67">
        <w:rPr>
          <w:rFonts w:ascii="Arial" w:eastAsia="Calibri" w:hAnsi="Arial" w:cs="Arial"/>
          <w:color w:val="000000" w:themeColor="text1"/>
          <w:sz w:val="22"/>
        </w:rPr>
        <w:t xml:space="preserve"> </w:t>
      </w:r>
      <w:r w:rsidR="00A67A27" w:rsidRPr="005C1F67">
        <w:rPr>
          <w:rFonts w:ascii="Arial" w:eastAsia="Calibri" w:hAnsi="Arial" w:cs="Arial"/>
          <w:color w:val="000000" w:themeColor="text1"/>
          <w:sz w:val="22"/>
        </w:rPr>
        <w:t xml:space="preserve">relacionados con la adición de los </w:t>
      </w:r>
      <w:r w:rsidR="00A67A27" w:rsidRPr="005C1F67">
        <w:rPr>
          <w:rFonts w:ascii="Arial" w:hAnsi="Arial" w:cs="Arial"/>
          <w:color w:val="000000" w:themeColor="text1"/>
          <w:sz w:val="22"/>
        </w:rPr>
        <w:t>contratos estatales.</w:t>
      </w:r>
      <w:r w:rsidR="00E51202">
        <w:rPr>
          <w:rFonts w:ascii="Arial" w:hAnsi="Arial" w:cs="Arial"/>
          <w:color w:val="000000" w:themeColor="text1"/>
          <w:sz w:val="22"/>
        </w:rPr>
        <w:t xml:space="preserve"> La tesis expuesta en estos conceptos se reitera a continuación.</w:t>
      </w:r>
    </w:p>
    <w:p w14:paraId="41241DC0" w14:textId="264BCACE" w:rsidR="00A67A27" w:rsidRPr="005C1F67" w:rsidRDefault="00A67A27" w:rsidP="00A67A27">
      <w:pPr>
        <w:spacing w:line="276" w:lineRule="auto"/>
        <w:jc w:val="both"/>
        <w:rPr>
          <w:rFonts w:ascii="Arial" w:hAnsi="Arial" w:cs="Arial"/>
          <w:color w:val="000000" w:themeColor="text1"/>
          <w:sz w:val="22"/>
        </w:rPr>
      </w:pPr>
      <w:r w:rsidRPr="005C1F67">
        <w:rPr>
          <w:rFonts w:ascii="Arial" w:hAnsi="Arial" w:cs="Arial"/>
          <w:color w:val="000000" w:themeColor="text1"/>
          <w:sz w:val="22"/>
        </w:rPr>
        <w:tab/>
        <w:t>Previo a</w:t>
      </w:r>
      <w:r w:rsidR="00AC7B03" w:rsidRPr="005C1F67">
        <w:rPr>
          <w:rFonts w:ascii="Arial" w:hAnsi="Arial" w:cs="Arial"/>
          <w:color w:val="000000" w:themeColor="text1"/>
          <w:sz w:val="22"/>
        </w:rPr>
        <w:t>l</w:t>
      </w:r>
      <w:r w:rsidRPr="005C1F67">
        <w:rPr>
          <w:rFonts w:ascii="Arial" w:hAnsi="Arial" w:cs="Arial"/>
          <w:color w:val="000000" w:themeColor="text1"/>
          <w:sz w:val="22"/>
        </w:rPr>
        <w:t xml:space="preserve"> an</w:t>
      </w:r>
      <w:r w:rsidR="00AC7B03" w:rsidRPr="005C1F67">
        <w:rPr>
          <w:rFonts w:ascii="Arial" w:hAnsi="Arial" w:cs="Arial"/>
          <w:color w:val="000000" w:themeColor="text1"/>
          <w:sz w:val="22"/>
        </w:rPr>
        <w:t>álisis de</w:t>
      </w:r>
      <w:r w:rsidRPr="005C1F67">
        <w:rPr>
          <w:rFonts w:ascii="Arial" w:hAnsi="Arial" w:cs="Arial"/>
          <w:color w:val="000000" w:themeColor="text1"/>
          <w:sz w:val="22"/>
        </w:rPr>
        <w:t xml:space="preserve"> la </w:t>
      </w:r>
      <w:r w:rsidRPr="003F00C7">
        <w:rPr>
          <w:rFonts w:ascii="Arial" w:hAnsi="Arial" w:cs="Arial"/>
          <w:i/>
          <w:iCs/>
          <w:color w:val="000000" w:themeColor="text1"/>
          <w:sz w:val="22"/>
        </w:rPr>
        <w:t>adición</w:t>
      </w:r>
      <w:r w:rsidRPr="005C1F67">
        <w:rPr>
          <w:rFonts w:ascii="Arial" w:hAnsi="Arial" w:cs="Arial"/>
          <w:color w:val="000000" w:themeColor="text1"/>
          <w:sz w:val="22"/>
        </w:rPr>
        <w:t xml:space="preserve"> de los contratos estatales, se estudiarán otras figuras </w:t>
      </w:r>
      <w:r w:rsidR="008234A4">
        <w:rPr>
          <w:rFonts w:ascii="Arial" w:hAnsi="Arial" w:cs="Arial"/>
          <w:color w:val="000000" w:themeColor="text1"/>
          <w:sz w:val="22"/>
        </w:rPr>
        <w:t xml:space="preserve">tendientes a </w:t>
      </w:r>
      <w:r w:rsidR="00BF193E" w:rsidRPr="005C1F67">
        <w:rPr>
          <w:rFonts w:ascii="Arial" w:hAnsi="Arial" w:cs="Arial"/>
          <w:color w:val="000000" w:themeColor="text1"/>
          <w:sz w:val="22"/>
        </w:rPr>
        <w:t>la modificación de los contratos</w:t>
      </w:r>
      <w:r w:rsidR="00A14719">
        <w:rPr>
          <w:rFonts w:ascii="Arial" w:hAnsi="Arial" w:cs="Arial"/>
          <w:color w:val="000000" w:themeColor="text1"/>
          <w:sz w:val="22"/>
        </w:rPr>
        <w:t>. En primer lugar,</w:t>
      </w:r>
      <w:r w:rsidRPr="005C1F67">
        <w:rPr>
          <w:rFonts w:ascii="Arial" w:hAnsi="Arial" w:cs="Arial"/>
          <w:color w:val="000000" w:themeColor="text1"/>
          <w:sz w:val="22"/>
        </w:rPr>
        <w:t xml:space="preserve"> se </w:t>
      </w:r>
      <w:r w:rsidR="00A14719">
        <w:rPr>
          <w:rFonts w:ascii="Arial" w:hAnsi="Arial" w:cs="Arial"/>
          <w:color w:val="000000" w:themeColor="text1"/>
          <w:sz w:val="22"/>
        </w:rPr>
        <w:t>explicar</w:t>
      </w:r>
      <w:r w:rsidRPr="005C1F67">
        <w:rPr>
          <w:rFonts w:ascii="Arial" w:hAnsi="Arial" w:cs="Arial"/>
          <w:color w:val="000000" w:themeColor="text1"/>
          <w:sz w:val="22"/>
        </w:rPr>
        <w:t xml:space="preserve">án las diferencias entre </w:t>
      </w:r>
      <w:r w:rsidRPr="003F00C7">
        <w:rPr>
          <w:rFonts w:ascii="Arial" w:hAnsi="Arial" w:cs="Arial"/>
          <w:i/>
          <w:iCs/>
          <w:color w:val="000000" w:themeColor="text1"/>
          <w:sz w:val="22"/>
        </w:rPr>
        <w:t>adición</w:t>
      </w:r>
      <w:r w:rsidRPr="005C1F67">
        <w:rPr>
          <w:rFonts w:ascii="Arial" w:hAnsi="Arial" w:cs="Arial"/>
          <w:color w:val="000000" w:themeColor="text1"/>
          <w:sz w:val="22"/>
        </w:rPr>
        <w:t xml:space="preserve">, </w:t>
      </w:r>
      <w:r w:rsidRPr="003F00C7">
        <w:rPr>
          <w:rFonts w:ascii="Arial" w:hAnsi="Arial" w:cs="Arial"/>
          <w:i/>
          <w:iCs/>
          <w:color w:val="000000" w:themeColor="text1"/>
          <w:sz w:val="22"/>
        </w:rPr>
        <w:t>prórroga</w:t>
      </w:r>
      <w:r w:rsidRPr="005C1F67">
        <w:rPr>
          <w:rFonts w:ascii="Arial" w:hAnsi="Arial" w:cs="Arial"/>
          <w:color w:val="000000" w:themeColor="text1"/>
          <w:sz w:val="22"/>
        </w:rPr>
        <w:t xml:space="preserve"> y </w:t>
      </w:r>
      <w:r w:rsidRPr="003F00C7">
        <w:rPr>
          <w:rFonts w:ascii="Arial" w:hAnsi="Arial" w:cs="Arial"/>
          <w:i/>
          <w:iCs/>
          <w:color w:val="000000" w:themeColor="text1"/>
          <w:sz w:val="22"/>
        </w:rPr>
        <w:t>renovación</w:t>
      </w:r>
      <w:r w:rsidR="000E5B35">
        <w:rPr>
          <w:rFonts w:ascii="Arial" w:hAnsi="Arial" w:cs="Arial"/>
          <w:color w:val="000000" w:themeColor="text1"/>
          <w:sz w:val="22"/>
        </w:rPr>
        <w:t>. Luego</w:t>
      </w:r>
      <w:r w:rsidR="00A34268">
        <w:rPr>
          <w:rFonts w:ascii="Arial" w:hAnsi="Arial" w:cs="Arial"/>
          <w:color w:val="000000" w:themeColor="text1"/>
          <w:sz w:val="22"/>
        </w:rPr>
        <w:t xml:space="preserve">, se </w:t>
      </w:r>
      <w:r w:rsidR="00DA5433">
        <w:rPr>
          <w:rFonts w:ascii="Arial" w:hAnsi="Arial" w:cs="Arial"/>
          <w:color w:val="000000" w:themeColor="text1"/>
          <w:sz w:val="22"/>
        </w:rPr>
        <w:t>realizarán</w:t>
      </w:r>
      <w:r w:rsidR="00A34268">
        <w:rPr>
          <w:rFonts w:ascii="Arial" w:hAnsi="Arial" w:cs="Arial"/>
          <w:color w:val="000000" w:themeColor="text1"/>
          <w:sz w:val="22"/>
        </w:rPr>
        <w:t xml:space="preserve"> </w:t>
      </w:r>
      <w:r w:rsidR="00DA5433">
        <w:rPr>
          <w:rFonts w:ascii="Arial" w:hAnsi="Arial" w:cs="Arial"/>
          <w:color w:val="000000" w:themeColor="text1"/>
          <w:sz w:val="22"/>
        </w:rPr>
        <w:t>algu</w:t>
      </w:r>
      <w:r w:rsidR="00A34268">
        <w:rPr>
          <w:rFonts w:ascii="Arial" w:hAnsi="Arial" w:cs="Arial"/>
          <w:color w:val="000000" w:themeColor="text1"/>
          <w:sz w:val="22"/>
        </w:rPr>
        <w:t xml:space="preserve">nas consideraciones sobre la </w:t>
      </w:r>
      <w:r w:rsidR="00A34268" w:rsidRPr="003F00C7">
        <w:rPr>
          <w:rFonts w:ascii="Arial" w:hAnsi="Arial" w:cs="Arial"/>
          <w:i/>
          <w:iCs/>
          <w:color w:val="000000" w:themeColor="text1"/>
          <w:sz w:val="22"/>
        </w:rPr>
        <w:t>adición</w:t>
      </w:r>
      <w:r w:rsidR="009F7697">
        <w:rPr>
          <w:rFonts w:ascii="Arial" w:hAnsi="Arial" w:cs="Arial"/>
          <w:color w:val="000000" w:themeColor="text1"/>
          <w:sz w:val="22"/>
        </w:rPr>
        <w:t xml:space="preserve"> y</w:t>
      </w:r>
      <w:r w:rsidR="00D4467E">
        <w:rPr>
          <w:rFonts w:ascii="Arial" w:hAnsi="Arial" w:cs="Arial"/>
          <w:color w:val="000000" w:themeColor="text1"/>
          <w:sz w:val="22"/>
        </w:rPr>
        <w:t xml:space="preserve"> se explicará cómo debe aplicarse la regla del parágrafo del artículo 40 de la Ley 80 de 1993 sobre </w:t>
      </w:r>
      <w:r w:rsidR="000F6B0C">
        <w:rPr>
          <w:rFonts w:ascii="Arial" w:hAnsi="Arial" w:cs="Arial"/>
          <w:color w:val="000000" w:themeColor="text1"/>
          <w:sz w:val="22"/>
        </w:rPr>
        <w:t>la limitación a la posibilidad de adicionar contratos estatales.</w:t>
      </w:r>
    </w:p>
    <w:p w14:paraId="19C96C8D" w14:textId="77777777" w:rsidR="00A67A27" w:rsidRPr="005C1F67" w:rsidRDefault="00A67A27" w:rsidP="00A67A27">
      <w:pPr>
        <w:spacing w:line="276" w:lineRule="auto"/>
        <w:jc w:val="both"/>
        <w:rPr>
          <w:rFonts w:ascii="Arial" w:hAnsi="Arial" w:cs="Arial"/>
          <w:b/>
          <w:color w:val="000000" w:themeColor="text1"/>
          <w:sz w:val="22"/>
        </w:rPr>
      </w:pPr>
    </w:p>
    <w:p w14:paraId="1A35484C" w14:textId="1546BF6C" w:rsidR="00A67A27" w:rsidRPr="005C1F67" w:rsidRDefault="00A67A27" w:rsidP="00817C23">
      <w:pPr>
        <w:spacing w:line="276" w:lineRule="auto"/>
        <w:jc w:val="both"/>
        <w:rPr>
          <w:rFonts w:ascii="Arial" w:hAnsi="Arial" w:cs="Arial"/>
          <w:b/>
          <w:color w:val="000000" w:themeColor="text1"/>
          <w:sz w:val="22"/>
        </w:rPr>
      </w:pPr>
      <w:r w:rsidRPr="005C1F67">
        <w:rPr>
          <w:rFonts w:ascii="Arial" w:hAnsi="Arial" w:cs="Arial"/>
          <w:b/>
          <w:color w:val="000000" w:themeColor="text1"/>
          <w:sz w:val="22"/>
        </w:rPr>
        <w:t xml:space="preserve">2.1. Diferencias </w:t>
      </w:r>
      <w:r w:rsidRPr="005C1F67">
        <w:rPr>
          <w:rFonts w:ascii="Arial" w:hAnsi="Arial" w:cs="Arial"/>
          <w:b/>
          <w:bCs/>
          <w:iCs/>
          <w:color w:val="000000" w:themeColor="text1"/>
          <w:sz w:val="22"/>
          <w:lang w:eastAsia="es-ES"/>
        </w:rPr>
        <w:t>entre prórroga, adición y renovación de los contratos estatales</w:t>
      </w:r>
      <w:r w:rsidRPr="005C1F67">
        <w:rPr>
          <w:rFonts w:ascii="Arial" w:hAnsi="Arial" w:cs="Arial"/>
          <w:b/>
          <w:color w:val="000000" w:themeColor="text1"/>
          <w:sz w:val="22"/>
        </w:rPr>
        <w:t xml:space="preserve"> </w:t>
      </w:r>
    </w:p>
    <w:p w14:paraId="6CFDE83F" w14:textId="3E47F0DF" w:rsidR="00A67A27" w:rsidRPr="005C1F67" w:rsidRDefault="00A67A27" w:rsidP="00817C23">
      <w:pPr>
        <w:spacing w:line="276" w:lineRule="auto"/>
        <w:jc w:val="both"/>
        <w:rPr>
          <w:rFonts w:ascii="Arial" w:hAnsi="Arial" w:cs="Arial"/>
          <w:b/>
          <w:color w:val="000000" w:themeColor="text1"/>
          <w:sz w:val="22"/>
        </w:rPr>
      </w:pPr>
    </w:p>
    <w:p w14:paraId="72572217" w14:textId="77777777" w:rsidR="001E663F" w:rsidRPr="005C1F67" w:rsidRDefault="001E663F" w:rsidP="001E663F">
      <w:pPr>
        <w:spacing w:after="120" w:line="276" w:lineRule="auto"/>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La confusión entre estos conceptos se debe al uso indistinto o impreciso realizado por la legislación, la doctrina y la jurisprudencia. De esta manera, el artículo 45 del derogado Decreto 150 de 1976</w:t>
      </w:r>
      <w:r w:rsidRPr="005C1F67">
        <w:rPr>
          <w:rStyle w:val="Refdenotaalpie"/>
          <w:rFonts w:ascii="Arial" w:eastAsia="Times New Roman" w:hAnsi="Arial" w:cs="Arial"/>
          <w:color w:val="000000" w:themeColor="text1"/>
          <w:sz w:val="22"/>
          <w:lang w:eastAsia="es-ES"/>
        </w:rPr>
        <w:footnoteReference w:id="1"/>
      </w:r>
      <w:r w:rsidRPr="005C1F67">
        <w:rPr>
          <w:rFonts w:ascii="Arial" w:eastAsia="Times New Roman" w:hAnsi="Arial" w:cs="Arial"/>
          <w:color w:val="000000" w:themeColor="text1"/>
          <w:sz w:val="22"/>
          <w:lang w:eastAsia="es-ES"/>
        </w:rPr>
        <w:t xml:space="preserve">, al ocuparse de los contratos adicionales, estableció que las </w:t>
      </w:r>
      <w:r w:rsidRPr="005C1F67">
        <w:rPr>
          <w:rFonts w:ascii="Arial" w:eastAsia="Times New Roman" w:hAnsi="Arial" w:cs="Arial"/>
          <w:i/>
          <w:color w:val="000000" w:themeColor="text1"/>
          <w:sz w:val="22"/>
          <w:lang w:eastAsia="es-ES"/>
        </w:rPr>
        <w:t>adiciones</w:t>
      </w:r>
      <w:r w:rsidRPr="005C1F67">
        <w:rPr>
          <w:rFonts w:ascii="Arial" w:eastAsia="Times New Roman" w:hAnsi="Arial" w:cs="Arial"/>
          <w:color w:val="000000" w:themeColor="text1"/>
          <w:sz w:val="22"/>
          <w:lang w:eastAsia="es-ES"/>
        </w:rPr>
        <w:t xml:space="preserve"> podían efectuarse en relación con el valor o el plazo, de manera que se desarrolló bajo un mismo concepto la posibilidad de modificar el valor o el plazo de los contratos, esto es, mediante </w:t>
      </w:r>
      <w:r w:rsidRPr="005C1F67">
        <w:rPr>
          <w:rFonts w:ascii="Arial" w:eastAsia="Times New Roman" w:hAnsi="Arial" w:cs="Arial"/>
          <w:i/>
          <w:color w:val="000000" w:themeColor="text1"/>
          <w:sz w:val="22"/>
          <w:lang w:eastAsia="es-ES"/>
        </w:rPr>
        <w:t xml:space="preserve">adiciones. </w:t>
      </w:r>
    </w:p>
    <w:p w14:paraId="13C3CD29" w14:textId="3202DA57" w:rsidR="001E663F" w:rsidRPr="005C1F67" w:rsidRDefault="001E663F" w:rsidP="001E663F">
      <w:pPr>
        <w:tabs>
          <w:tab w:val="left" w:pos="6237"/>
        </w:tabs>
        <w:spacing w:before="120" w:after="120" w:line="276" w:lineRule="auto"/>
        <w:ind w:firstLine="708"/>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El derogado Decreto Ley 222 de 1983 conservó la estructura de la norma anterior, al señalar, en el inciso primero del artículo 58, que: «</w:t>
      </w:r>
      <w:r w:rsidRPr="005C1F67">
        <w:rPr>
          <w:rFonts w:ascii="Arial" w:eastAsia="Times New Roman" w:hAnsi="Arial" w:cs="Arial"/>
          <w:i/>
          <w:color w:val="000000" w:themeColor="text1"/>
          <w:sz w:val="22"/>
          <w:lang w:eastAsia="es-ES"/>
        </w:rPr>
        <w:t>Las adiciones relacionadas con el valor</w:t>
      </w:r>
      <w:r w:rsidRPr="005C1F67">
        <w:rPr>
          <w:rFonts w:ascii="Arial" w:eastAsia="Times New Roman" w:hAnsi="Arial" w:cs="Arial"/>
          <w:color w:val="000000" w:themeColor="text1"/>
          <w:sz w:val="22"/>
          <w:lang w:eastAsia="es-ES"/>
        </w:rPr>
        <w:t xml:space="preserve"> quedarán perfeccionadas una vez suscrito el contrato y efectuado el registro presupuestal. </w:t>
      </w:r>
      <w:r w:rsidRPr="005C1F67">
        <w:rPr>
          <w:rFonts w:ascii="Arial" w:eastAsia="Times New Roman" w:hAnsi="Arial" w:cs="Arial"/>
          <w:i/>
          <w:color w:val="000000" w:themeColor="text1"/>
          <w:sz w:val="22"/>
          <w:lang w:eastAsia="es-ES"/>
        </w:rPr>
        <w:t>Las relacionadas con el plazo</w:t>
      </w:r>
      <w:r w:rsidR="00C959EC">
        <w:rPr>
          <w:rFonts w:ascii="Arial" w:eastAsia="Times New Roman" w:hAnsi="Arial" w:cs="Arial"/>
          <w:i/>
          <w:color w:val="000000" w:themeColor="text1"/>
          <w:sz w:val="22"/>
          <w:lang w:eastAsia="es-ES"/>
        </w:rPr>
        <w:t xml:space="preserve"> </w:t>
      </w:r>
      <w:r w:rsidR="00C959EC" w:rsidRPr="00C959EC">
        <w:rPr>
          <w:rFonts w:ascii="Arial" w:eastAsia="Times New Roman" w:hAnsi="Arial" w:cs="Arial"/>
          <w:i/>
          <w:color w:val="000000" w:themeColor="text1"/>
          <w:sz w:val="22"/>
          <w:lang w:eastAsia="es-ES"/>
        </w:rPr>
        <w:t>sólo requerirán firma del jefe de la entidad contratante y prórroga de las garantías</w:t>
      </w:r>
      <w:r w:rsidR="00C959EC">
        <w:rPr>
          <w:rFonts w:ascii="Arial" w:eastAsia="Times New Roman" w:hAnsi="Arial" w:cs="Arial"/>
          <w:i/>
          <w:color w:val="000000" w:themeColor="text1"/>
          <w:sz w:val="22"/>
          <w:lang w:eastAsia="es-ES"/>
        </w:rPr>
        <w:t xml:space="preserve"> </w:t>
      </w:r>
      <w:r w:rsidRPr="005C1F67">
        <w:rPr>
          <w:rFonts w:ascii="Arial" w:eastAsia="Times New Roman" w:hAnsi="Arial" w:cs="Arial"/>
          <w:iCs/>
          <w:color w:val="000000" w:themeColor="text1"/>
          <w:sz w:val="22"/>
          <w:lang w:eastAsia="es-ES"/>
        </w:rPr>
        <w:t>[…]»</w:t>
      </w:r>
      <w:r w:rsidR="00441244" w:rsidRPr="005C1F67">
        <w:rPr>
          <w:rStyle w:val="Refdenotaalpie"/>
          <w:rFonts w:ascii="Arial" w:eastAsia="Times New Roman" w:hAnsi="Arial" w:cs="Arial"/>
          <w:iCs/>
          <w:color w:val="000000" w:themeColor="text1"/>
          <w:sz w:val="22"/>
          <w:lang w:eastAsia="es-ES"/>
        </w:rPr>
        <w:footnoteReference w:id="2"/>
      </w:r>
      <w:r w:rsidRPr="005C1F67">
        <w:rPr>
          <w:rFonts w:ascii="Arial" w:eastAsia="Times New Roman" w:hAnsi="Arial" w:cs="Arial"/>
          <w:iCs/>
          <w:color w:val="000000" w:themeColor="text1"/>
          <w:sz w:val="22"/>
          <w:lang w:eastAsia="es-ES"/>
        </w:rPr>
        <w:t>.</w:t>
      </w:r>
      <w:r w:rsidRPr="005C1F67">
        <w:rPr>
          <w:rFonts w:ascii="Arial" w:eastAsia="Times New Roman" w:hAnsi="Arial" w:cs="Arial"/>
          <w:color w:val="000000" w:themeColor="text1"/>
          <w:sz w:val="22"/>
          <w:lang w:eastAsia="es-ES"/>
        </w:rPr>
        <w:t xml:space="preserve"> De esta manera, pese a que esta disposición en algunos </w:t>
      </w:r>
      <w:r w:rsidRPr="005C1F67">
        <w:rPr>
          <w:rFonts w:ascii="Arial" w:eastAsia="Times New Roman" w:hAnsi="Arial" w:cs="Arial"/>
          <w:color w:val="000000" w:themeColor="text1"/>
          <w:sz w:val="22"/>
          <w:lang w:eastAsia="es-ES"/>
        </w:rPr>
        <w:lastRenderedPageBreak/>
        <w:t xml:space="preserve">de sus incisos utiliza el concepto prórroga, no contiene una distinción clara entre las adiciones y las prórrogas, en vista de que mediante las </w:t>
      </w:r>
      <w:r w:rsidRPr="005C1F67">
        <w:rPr>
          <w:rFonts w:ascii="Arial" w:eastAsia="Times New Roman" w:hAnsi="Arial" w:cs="Arial"/>
          <w:i/>
          <w:color w:val="000000" w:themeColor="text1"/>
          <w:sz w:val="22"/>
          <w:lang w:eastAsia="es-ES"/>
        </w:rPr>
        <w:t xml:space="preserve">adiciones </w:t>
      </w:r>
      <w:r w:rsidRPr="005C1F67">
        <w:rPr>
          <w:rFonts w:ascii="Arial" w:eastAsia="Times New Roman" w:hAnsi="Arial" w:cs="Arial"/>
          <w:color w:val="000000" w:themeColor="text1"/>
          <w:sz w:val="22"/>
          <w:lang w:eastAsia="es-ES"/>
        </w:rPr>
        <w:t>puede modificarse tanto el plazo como el valor de los contratos, para dichos eventos el artículo indicado señaló que debía suscribirse un «contrato adicional».</w:t>
      </w:r>
    </w:p>
    <w:p w14:paraId="59A25AA9" w14:textId="115C536A" w:rsidR="001E663F" w:rsidRPr="005C1F67" w:rsidRDefault="001E663F" w:rsidP="001E663F">
      <w:pPr>
        <w:spacing w:before="120" w:after="120" w:line="276" w:lineRule="auto"/>
        <w:ind w:firstLine="708"/>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La Ley 80 de 1993 no se refirió en términos generales a la posibilidad de modificar el plazo de los contratos estatales o a la fijación de límites o condiciones de procedencia, como se hizo en los anteriores estatutos de contratación</w:t>
      </w:r>
      <w:r w:rsidR="00D075A9" w:rsidRPr="005C1F67">
        <w:rPr>
          <w:rFonts w:ascii="Arial" w:eastAsia="Times New Roman" w:hAnsi="Arial" w:cs="Arial"/>
          <w:color w:val="000000" w:themeColor="text1"/>
          <w:sz w:val="22"/>
          <w:lang w:eastAsia="es-ES"/>
        </w:rPr>
        <w:t xml:space="preserve">, </w:t>
      </w:r>
      <w:r w:rsidR="00BF5952" w:rsidRPr="005C1F67">
        <w:rPr>
          <w:rFonts w:ascii="Arial" w:eastAsia="Times New Roman" w:hAnsi="Arial" w:cs="Arial"/>
          <w:color w:val="000000" w:themeColor="text1"/>
          <w:sz w:val="22"/>
          <w:lang w:eastAsia="es-ES"/>
        </w:rPr>
        <w:t xml:space="preserve">aunque dicha posibilidad </w:t>
      </w:r>
      <w:r w:rsidR="00D075A9" w:rsidRPr="005C1F67">
        <w:rPr>
          <w:rFonts w:ascii="Arial" w:eastAsia="Times New Roman" w:hAnsi="Arial" w:cs="Arial"/>
          <w:color w:val="000000" w:themeColor="text1"/>
          <w:sz w:val="22"/>
          <w:lang w:eastAsia="es-ES"/>
        </w:rPr>
        <w:t>se desprendería de l</w:t>
      </w:r>
      <w:r w:rsidR="00500D12" w:rsidRPr="005C1F67">
        <w:rPr>
          <w:rFonts w:ascii="Arial" w:eastAsia="Times New Roman" w:hAnsi="Arial" w:cs="Arial"/>
          <w:color w:val="000000" w:themeColor="text1"/>
          <w:sz w:val="22"/>
          <w:lang w:eastAsia="es-ES"/>
        </w:rPr>
        <w:t>o dispuesto en el tercer inciso del artículo 40 de la Ley 80 de 1993, según el cual «En los contratos que celebren las entidades estatales podrán incluirse las modalidades, condiciones y, en general, las cláusulas o estipulaciones que las partes consideren necesarias y convenientes</w:t>
      </w:r>
      <w:r w:rsidR="00472DDB" w:rsidRPr="005C1F67">
        <w:rPr>
          <w:rFonts w:ascii="Arial" w:eastAsia="Times New Roman" w:hAnsi="Arial" w:cs="Arial"/>
          <w:color w:val="000000" w:themeColor="text1"/>
          <w:sz w:val="22"/>
          <w:lang w:eastAsia="es-ES"/>
        </w:rPr>
        <w:t xml:space="preserve"> […]»</w:t>
      </w:r>
      <w:r w:rsidRPr="005C1F67">
        <w:rPr>
          <w:rFonts w:ascii="Arial" w:eastAsia="Times New Roman" w:hAnsi="Arial" w:cs="Arial"/>
          <w:color w:val="000000" w:themeColor="text1"/>
          <w:sz w:val="22"/>
          <w:lang w:eastAsia="es-ES"/>
        </w:rPr>
        <w:t xml:space="preserve">; no obstante, en el inciso segundo del parágrafo del </w:t>
      </w:r>
      <w:r w:rsidR="00472DDB" w:rsidRPr="005C1F67">
        <w:rPr>
          <w:rFonts w:ascii="Arial" w:eastAsia="Times New Roman" w:hAnsi="Arial" w:cs="Arial"/>
          <w:color w:val="000000" w:themeColor="text1"/>
          <w:sz w:val="22"/>
          <w:lang w:eastAsia="es-ES"/>
        </w:rPr>
        <w:t xml:space="preserve">mismo </w:t>
      </w:r>
      <w:r w:rsidRPr="005C1F67">
        <w:rPr>
          <w:rFonts w:ascii="Arial" w:eastAsia="Times New Roman" w:hAnsi="Arial" w:cs="Arial"/>
          <w:color w:val="000000" w:themeColor="text1"/>
          <w:sz w:val="22"/>
          <w:lang w:eastAsia="es-ES"/>
        </w:rPr>
        <w:t xml:space="preserve">artículo estableció límites a la </w:t>
      </w:r>
      <w:r w:rsidRPr="005C1F67">
        <w:rPr>
          <w:rFonts w:ascii="Arial" w:eastAsia="Times New Roman" w:hAnsi="Arial" w:cs="Arial"/>
          <w:i/>
          <w:color w:val="000000" w:themeColor="text1"/>
          <w:sz w:val="22"/>
          <w:lang w:eastAsia="es-ES"/>
        </w:rPr>
        <w:t>adición</w:t>
      </w:r>
      <w:r w:rsidRPr="005C1F67">
        <w:rPr>
          <w:rFonts w:ascii="Arial" w:eastAsia="Times New Roman" w:hAnsi="Arial" w:cs="Arial"/>
          <w:color w:val="000000" w:themeColor="text1"/>
          <w:sz w:val="22"/>
          <w:lang w:eastAsia="es-ES"/>
        </w:rPr>
        <w:t xml:space="preserve"> de los contratos estatales, indicando que «Los contratos no podrán adicionarse en más del cincuenta por ciento (50%) de su valor inicial, expresado éste en salarios mínimos legales mensuales»</w:t>
      </w:r>
      <w:r w:rsidRPr="005C1F67">
        <w:rPr>
          <w:rStyle w:val="Refdenotaalpie"/>
          <w:rFonts w:ascii="Arial" w:eastAsia="Times New Roman" w:hAnsi="Arial" w:cs="Arial"/>
          <w:color w:val="000000" w:themeColor="text1"/>
          <w:sz w:val="22"/>
          <w:lang w:eastAsia="es-ES"/>
        </w:rPr>
        <w:footnoteReference w:id="3"/>
      </w:r>
      <w:r w:rsidRPr="005C1F67">
        <w:rPr>
          <w:rFonts w:ascii="Arial" w:eastAsia="Times New Roman" w:hAnsi="Arial" w:cs="Arial"/>
          <w:color w:val="000000" w:themeColor="text1"/>
          <w:sz w:val="22"/>
          <w:lang w:eastAsia="es-ES"/>
        </w:rPr>
        <w:t>.</w:t>
      </w:r>
    </w:p>
    <w:p w14:paraId="447CEB26" w14:textId="1DF8D6C3" w:rsidR="001E663F" w:rsidRPr="005C1F67" w:rsidRDefault="001E663F" w:rsidP="001E663F">
      <w:pPr>
        <w:tabs>
          <w:tab w:val="left" w:pos="709"/>
        </w:tabs>
        <w:spacing w:before="120" w:after="120" w:line="276" w:lineRule="auto"/>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ab/>
        <w:t xml:space="preserve">Ahora bien, como los estatutos contractuales no establecen una diferencia clara entre los conceptos propuestos, es necesario recurrir a otras disposiciones y aportes doctrinarios para distinguirlos. Como distinción inicial, se tiene que el concepto </w:t>
      </w:r>
      <w:r w:rsidRPr="005C1F67">
        <w:rPr>
          <w:rFonts w:ascii="Arial" w:eastAsia="Times New Roman" w:hAnsi="Arial" w:cs="Arial"/>
          <w:i/>
          <w:color w:val="000000" w:themeColor="text1"/>
          <w:sz w:val="22"/>
          <w:lang w:eastAsia="es-ES"/>
        </w:rPr>
        <w:t>prórroga</w:t>
      </w:r>
      <w:r w:rsidRPr="005C1F67">
        <w:rPr>
          <w:rFonts w:ascii="Arial" w:eastAsia="Times New Roman" w:hAnsi="Arial" w:cs="Arial"/>
          <w:color w:val="000000" w:themeColor="text1"/>
          <w:sz w:val="22"/>
          <w:lang w:eastAsia="es-ES"/>
        </w:rPr>
        <w:t xml:space="preserve"> está particularmente ligado con la modificación ―ampliación― del plazo de los contratos; las </w:t>
      </w:r>
      <w:r w:rsidRPr="005C1F67">
        <w:rPr>
          <w:rFonts w:ascii="Arial" w:eastAsia="Times New Roman" w:hAnsi="Arial" w:cs="Arial"/>
          <w:i/>
          <w:color w:val="000000" w:themeColor="text1"/>
          <w:sz w:val="22"/>
          <w:lang w:eastAsia="es-ES"/>
        </w:rPr>
        <w:t>adiciones</w:t>
      </w:r>
      <w:r w:rsidRPr="005C1F67">
        <w:rPr>
          <w:rFonts w:ascii="Arial" w:eastAsia="Times New Roman" w:hAnsi="Arial" w:cs="Arial"/>
          <w:color w:val="000000" w:themeColor="text1"/>
          <w:sz w:val="22"/>
          <w:lang w:eastAsia="es-ES"/>
        </w:rPr>
        <w:t xml:space="preserve"> con el incremento del valor, debido a la inclusión de nuevas obligaciones, sea por la introducción de nuevas actividades o por la ejecución de una mayor cantidad de las pactadas inicialmente; y la </w:t>
      </w:r>
      <w:r w:rsidRPr="005C1F67">
        <w:rPr>
          <w:rFonts w:ascii="Arial" w:eastAsia="Times New Roman" w:hAnsi="Arial" w:cs="Arial"/>
          <w:i/>
          <w:color w:val="000000" w:themeColor="text1"/>
          <w:sz w:val="22"/>
          <w:lang w:eastAsia="es-ES"/>
        </w:rPr>
        <w:t>renovación</w:t>
      </w:r>
      <w:r w:rsidRPr="005C1F67">
        <w:rPr>
          <w:rFonts w:ascii="Arial" w:eastAsia="Times New Roman" w:hAnsi="Arial" w:cs="Arial"/>
          <w:color w:val="000000" w:themeColor="text1"/>
          <w:sz w:val="22"/>
          <w:lang w:eastAsia="es-ES"/>
        </w:rPr>
        <w:t xml:space="preserve"> con el nacimiento de un nuevo contrato, </w:t>
      </w:r>
      <w:r w:rsidR="002835E0" w:rsidRPr="005C1F67">
        <w:rPr>
          <w:rFonts w:ascii="Arial" w:eastAsia="Times New Roman" w:hAnsi="Arial" w:cs="Arial"/>
          <w:color w:val="000000" w:themeColor="text1"/>
          <w:sz w:val="22"/>
          <w:lang w:eastAsia="es-ES"/>
        </w:rPr>
        <w:t xml:space="preserve">en </w:t>
      </w:r>
      <w:r w:rsidRPr="005C1F67">
        <w:rPr>
          <w:rFonts w:ascii="Arial" w:eastAsia="Times New Roman" w:hAnsi="Arial" w:cs="Arial"/>
          <w:color w:val="000000" w:themeColor="text1"/>
          <w:sz w:val="22"/>
          <w:lang w:eastAsia="es-ES"/>
        </w:rPr>
        <w:t>condiciones similares o idénticas al contrato inicial.</w:t>
      </w:r>
    </w:p>
    <w:p w14:paraId="0755DDE9" w14:textId="77777777" w:rsidR="001E663F" w:rsidRPr="005C1F67" w:rsidRDefault="001E663F" w:rsidP="001E663F">
      <w:pPr>
        <w:spacing w:before="120" w:after="120" w:line="276" w:lineRule="auto"/>
        <w:ind w:firstLine="708"/>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 xml:space="preserve">Estas distinciones guardan relación con el uso común de los conceptos, es decir, no reducido a su significación jurídica. En efecto, el Diccionario de la Lengua Española ―DLE― define la </w:t>
      </w:r>
      <w:r w:rsidRPr="005C1F67">
        <w:rPr>
          <w:rFonts w:ascii="Arial" w:eastAsia="Times New Roman" w:hAnsi="Arial" w:cs="Arial"/>
          <w:i/>
          <w:color w:val="000000" w:themeColor="text1"/>
          <w:sz w:val="22"/>
          <w:lang w:eastAsia="es-ES"/>
        </w:rPr>
        <w:t>prórroga</w:t>
      </w:r>
      <w:r w:rsidRPr="005C1F67">
        <w:rPr>
          <w:rFonts w:ascii="Arial" w:eastAsia="Times New Roman" w:hAnsi="Arial" w:cs="Arial"/>
          <w:color w:val="000000" w:themeColor="text1"/>
          <w:sz w:val="22"/>
          <w:lang w:eastAsia="es-ES"/>
        </w:rPr>
        <w:t xml:space="preserve"> como: «1. f. Continuación de algo por un tiempo determinado. 2. f. Plazo por el cual se continúa o prorroga algo». Como se observa, la definición indica que la prórroga está asociada a los plazos, lo que implica extender los efectos de algo por </w:t>
      </w:r>
      <w:r w:rsidRPr="005C1F67">
        <w:rPr>
          <w:rFonts w:ascii="Arial" w:eastAsia="Times New Roman" w:hAnsi="Arial" w:cs="Arial"/>
          <w:color w:val="000000" w:themeColor="text1"/>
          <w:sz w:val="22"/>
          <w:lang w:eastAsia="es-ES"/>
        </w:rPr>
        <w:lastRenderedPageBreak/>
        <w:t xml:space="preserve">un tiempo mayor. Ahora bien, en relación con la </w:t>
      </w:r>
      <w:r w:rsidRPr="005C1F67">
        <w:rPr>
          <w:rFonts w:ascii="Arial" w:eastAsia="Times New Roman" w:hAnsi="Arial" w:cs="Arial"/>
          <w:i/>
          <w:color w:val="000000" w:themeColor="text1"/>
          <w:sz w:val="22"/>
          <w:lang w:eastAsia="es-ES"/>
        </w:rPr>
        <w:t>adición</w:t>
      </w:r>
      <w:r w:rsidRPr="005C1F67">
        <w:rPr>
          <w:rFonts w:ascii="Arial" w:eastAsia="Times New Roman" w:hAnsi="Arial" w:cs="Arial"/>
          <w:color w:val="000000" w:themeColor="text1"/>
          <w:sz w:val="22"/>
          <w:lang w:eastAsia="es-ES"/>
        </w:rPr>
        <w:t xml:space="preserve">, el DLE señala que consiste en la acción y efecto de añadir, definiendo añadir como: «1. tr. Agregar, incorporar algo a otra cosa. 2. tr. Aumentar, acrecentar, ampliar». Como se observa, la adición en relación con los contratos implicaría incorporar nuevas obligaciones, lo que en los contratos estatales aparejaría un incremento en la contraprestación, es decir, en el precio. Finalmente, el diccionario indica que la </w:t>
      </w:r>
      <w:r w:rsidRPr="005C1F67">
        <w:rPr>
          <w:rFonts w:ascii="Arial" w:eastAsia="Times New Roman" w:hAnsi="Arial" w:cs="Arial"/>
          <w:i/>
          <w:color w:val="000000" w:themeColor="text1"/>
          <w:sz w:val="22"/>
          <w:lang w:eastAsia="es-ES"/>
        </w:rPr>
        <w:t>renovación</w:t>
      </w:r>
      <w:r w:rsidRPr="005C1F67">
        <w:rPr>
          <w:rFonts w:ascii="Arial" w:eastAsia="Times New Roman" w:hAnsi="Arial" w:cs="Arial"/>
          <w:color w:val="000000" w:themeColor="text1"/>
          <w:sz w:val="22"/>
          <w:lang w:eastAsia="es-ES"/>
        </w:rPr>
        <w:t xml:space="preserve"> consiste en: «1. tr. Hacer como de nuevo algo, o volverlo a su primer estado 2. tr. Restablecer o reanudar una relación u otra cosa que se había interrumpido (…) 4. tr. Sustituir una cosa vieja, o que ya ha servido, por otra nueva de la misma clase». Como se observa, la renovación consiste en hacer algo de nuevo, de manera que, en principio consistiría en la celebración de un nuevo contrato en condiciones idénticas o similares a un contrato anterior.</w:t>
      </w:r>
    </w:p>
    <w:p w14:paraId="042EE39A" w14:textId="77777777" w:rsidR="001E663F" w:rsidRPr="005C1F67" w:rsidRDefault="001E663F" w:rsidP="001E663F">
      <w:pPr>
        <w:spacing w:before="120" w:line="276" w:lineRule="auto"/>
        <w:ind w:firstLine="708"/>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 xml:space="preserve">Algunos doctrinantes del contrato estatal se han esforzado en señalar las diferencias entre los conceptos de </w:t>
      </w:r>
      <w:r w:rsidRPr="005C1F67">
        <w:rPr>
          <w:rFonts w:ascii="Arial" w:eastAsia="Times New Roman" w:hAnsi="Arial" w:cs="Arial"/>
          <w:i/>
          <w:color w:val="000000" w:themeColor="text1"/>
          <w:sz w:val="22"/>
          <w:lang w:eastAsia="es-ES"/>
        </w:rPr>
        <w:t>adición</w:t>
      </w:r>
      <w:r w:rsidRPr="005C1F67">
        <w:rPr>
          <w:rFonts w:ascii="Arial" w:eastAsia="Times New Roman" w:hAnsi="Arial" w:cs="Arial"/>
          <w:color w:val="000000" w:themeColor="text1"/>
          <w:sz w:val="22"/>
          <w:lang w:eastAsia="es-ES"/>
        </w:rPr>
        <w:t xml:space="preserve"> y </w:t>
      </w:r>
      <w:r w:rsidRPr="005C1F67">
        <w:rPr>
          <w:rFonts w:ascii="Arial" w:eastAsia="Times New Roman" w:hAnsi="Arial" w:cs="Arial"/>
          <w:i/>
          <w:color w:val="000000" w:themeColor="text1"/>
          <w:sz w:val="22"/>
          <w:lang w:eastAsia="es-ES"/>
        </w:rPr>
        <w:t>prórroga</w:t>
      </w:r>
      <w:r w:rsidRPr="005C1F67">
        <w:rPr>
          <w:rFonts w:ascii="Arial" w:eastAsia="Times New Roman" w:hAnsi="Arial" w:cs="Arial"/>
          <w:color w:val="000000" w:themeColor="text1"/>
          <w:sz w:val="22"/>
          <w:lang w:eastAsia="es-ES"/>
        </w:rPr>
        <w:t xml:space="preserve">, que son comúnmente utilizados en estos contratos; no así en relación con el concepto de </w:t>
      </w:r>
      <w:r w:rsidRPr="005C1F67">
        <w:rPr>
          <w:rFonts w:ascii="Arial" w:eastAsia="Times New Roman" w:hAnsi="Arial" w:cs="Arial"/>
          <w:i/>
          <w:color w:val="000000" w:themeColor="text1"/>
          <w:sz w:val="22"/>
          <w:lang w:eastAsia="es-ES"/>
        </w:rPr>
        <w:t>renovación</w:t>
      </w:r>
      <w:r w:rsidRPr="005C1F67">
        <w:rPr>
          <w:rFonts w:ascii="Arial" w:eastAsia="Times New Roman" w:hAnsi="Arial" w:cs="Arial"/>
          <w:color w:val="000000" w:themeColor="text1"/>
          <w:sz w:val="22"/>
          <w:lang w:eastAsia="es-ES"/>
        </w:rPr>
        <w:t xml:space="preserve">, cuya diferencia con la prórroga es desarrollada por la jurisprudencia y la doctrina del derecho privado, en vista de que aquel concepto es propio de los contratos de arrendamiento, concluyendo que la prórroga consiste en extender los efectos de un contrato por un término mayor, es decir, prorrogar el mismo contrato; mientras que la renovación consiste en la celebración de un nuevo contrato, al indicar que «el renovado es uno nuevo». En efecto, la Corte Suprema de Justicia, en sentencia del 8 de octubre de 1997, exp. 4.818 (M.P. Pedro Lafont Pianetta), indicó: </w:t>
      </w:r>
    </w:p>
    <w:p w14:paraId="15DE4804" w14:textId="77777777" w:rsidR="001E663F" w:rsidRPr="005C1F67" w:rsidRDefault="001E663F" w:rsidP="001E663F">
      <w:pPr>
        <w:jc w:val="both"/>
        <w:rPr>
          <w:rFonts w:ascii="Arial" w:eastAsia="Times New Roman" w:hAnsi="Arial" w:cs="Arial"/>
          <w:color w:val="000000" w:themeColor="text1"/>
          <w:sz w:val="22"/>
          <w:lang w:eastAsia="es-ES"/>
        </w:rPr>
      </w:pPr>
    </w:p>
    <w:p w14:paraId="0B7D765B" w14:textId="77777777" w:rsidR="001E663F" w:rsidRPr="005C1F67" w:rsidRDefault="001E663F" w:rsidP="001E663F">
      <w:pPr>
        <w:ind w:left="709" w:right="709"/>
        <w:jc w:val="both"/>
        <w:rPr>
          <w:rFonts w:ascii="Arial" w:hAnsi="Arial" w:cs="Arial"/>
          <w:color w:val="000000" w:themeColor="text1"/>
          <w:sz w:val="21"/>
          <w:szCs w:val="21"/>
          <w:lang w:val="es-ES"/>
        </w:rPr>
      </w:pPr>
      <w:r w:rsidRPr="005C1F67">
        <w:rPr>
          <w:rFonts w:ascii="Arial" w:hAnsi="Arial" w:cs="Arial"/>
          <w:color w:val="000000" w:themeColor="text1"/>
          <w:sz w:val="21"/>
          <w:szCs w:val="21"/>
          <w:lang w:val="es-ES"/>
        </w:rPr>
        <w:t xml:space="preserve">El derecho a la </w:t>
      </w:r>
      <w:r w:rsidRPr="005C1F67">
        <w:rPr>
          <w:rFonts w:ascii="Arial" w:hAnsi="Arial" w:cs="Arial"/>
          <w:i/>
          <w:color w:val="000000" w:themeColor="text1"/>
          <w:sz w:val="21"/>
          <w:szCs w:val="21"/>
          <w:lang w:val="es-ES"/>
        </w:rPr>
        <w:t>renovación</w:t>
      </w:r>
      <w:r w:rsidRPr="005C1F67">
        <w:rPr>
          <w:rFonts w:ascii="Arial" w:hAnsi="Arial" w:cs="Arial"/>
          <w:color w:val="000000" w:themeColor="text1"/>
          <w:sz w:val="21"/>
          <w:szCs w:val="21"/>
          <w:lang w:val="es-ES"/>
        </w:rPr>
        <w:t xml:space="preserve"> del contrato para el </w:t>
      </w:r>
      <w:hyperlink r:id="rId12" w:history="1">
        <w:r w:rsidRPr="005C1F67">
          <w:rPr>
            <w:rFonts w:ascii="Arial" w:hAnsi="Arial" w:cs="Arial"/>
            <w:color w:val="000000" w:themeColor="text1"/>
            <w:sz w:val="21"/>
            <w:szCs w:val="21"/>
            <w:lang w:val="es-ES"/>
          </w:rPr>
          <w:t>comerciante</w:t>
        </w:r>
      </w:hyperlink>
      <w:r w:rsidRPr="005C1F67">
        <w:rPr>
          <w:rFonts w:ascii="Arial" w:hAnsi="Arial" w:cs="Arial"/>
          <w:color w:val="000000" w:themeColor="text1"/>
          <w:sz w:val="21"/>
          <w:szCs w:val="21"/>
          <w:lang w:val="es-ES"/>
        </w:rPr>
        <w:t xml:space="preserve"> que haya ocupado el inmueble con un mismo establecimiento mercantil por lapso no inferior a dos años consecutivos, derecho este respecto del cual, precisó la Corte en sentencia de su sala Plena proferida el 20 de noviembre de 1971, que no ha de confundirse con la prórroga del contrato, pues </w:t>
      </w:r>
      <w:r w:rsidRPr="005C1F67">
        <w:rPr>
          <w:rFonts w:ascii="Arial" w:hAnsi="Arial" w:cs="Arial"/>
          <w:i/>
          <w:color w:val="000000" w:themeColor="text1"/>
          <w:sz w:val="21"/>
          <w:szCs w:val="21"/>
          <w:lang w:val="es-ES"/>
        </w:rPr>
        <w:t>el renovado es uno nuevo, que puede acordarse o celebrarse con sujeción a las circunstancias especialmente en cuanto a </w:t>
      </w:r>
      <w:hyperlink r:id="rId13" w:history="1">
        <w:r w:rsidRPr="005C1F67">
          <w:rPr>
            <w:rFonts w:ascii="Arial" w:hAnsi="Arial" w:cs="Arial"/>
            <w:i/>
            <w:color w:val="000000" w:themeColor="text1"/>
            <w:sz w:val="21"/>
            <w:szCs w:val="21"/>
            <w:lang w:val="es-ES"/>
          </w:rPr>
          <w:t>precio</w:t>
        </w:r>
      </w:hyperlink>
      <w:r w:rsidRPr="005C1F67">
        <w:rPr>
          <w:rFonts w:ascii="Arial" w:hAnsi="Arial" w:cs="Arial"/>
          <w:i/>
          <w:color w:val="000000" w:themeColor="text1"/>
          <w:sz w:val="21"/>
          <w:szCs w:val="21"/>
          <w:lang w:val="es-ES"/>
        </w:rPr>
        <w:t> y utilización de la cosa arrendada</w:t>
      </w:r>
      <w:r w:rsidRPr="005C1F67">
        <w:rPr>
          <w:rStyle w:val="Refdenotaalpie"/>
          <w:rFonts w:ascii="Arial" w:hAnsi="Arial" w:cs="Arial"/>
          <w:color w:val="000000" w:themeColor="text1"/>
          <w:sz w:val="21"/>
          <w:szCs w:val="21"/>
          <w:lang w:val="es-ES"/>
        </w:rPr>
        <w:footnoteReference w:id="4"/>
      </w:r>
      <w:r w:rsidRPr="005C1F67">
        <w:rPr>
          <w:rFonts w:ascii="Arial" w:hAnsi="Arial" w:cs="Arial"/>
          <w:color w:val="000000" w:themeColor="text1"/>
          <w:sz w:val="21"/>
          <w:szCs w:val="21"/>
          <w:lang w:val="es-ES"/>
        </w:rPr>
        <w:t>. (Cursiva fuera de texto)</w:t>
      </w:r>
    </w:p>
    <w:p w14:paraId="67323DAC" w14:textId="77777777" w:rsidR="001E663F" w:rsidRPr="005C1F67" w:rsidRDefault="001E663F" w:rsidP="001E663F">
      <w:pPr>
        <w:jc w:val="both"/>
        <w:rPr>
          <w:rFonts w:ascii="Arial" w:eastAsia="Times New Roman" w:hAnsi="Arial" w:cs="Arial"/>
          <w:color w:val="000000" w:themeColor="text1"/>
          <w:sz w:val="22"/>
          <w:lang w:eastAsia="es-ES"/>
        </w:rPr>
      </w:pPr>
    </w:p>
    <w:p w14:paraId="0D74EDAB" w14:textId="77777777" w:rsidR="001E663F" w:rsidRPr="005C1F67" w:rsidRDefault="001E663F" w:rsidP="001E663F">
      <w:pPr>
        <w:spacing w:line="276" w:lineRule="auto"/>
        <w:ind w:firstLine="708"/>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 xml:space="preserve">Establecidas las líneas de distinción entre la prórroga y la renovación, es necesario hacer lo propio entre aquel y la adición. Como se indicó, este tema ha tenido gran trascendencia en los contratos estatales, pese a que suelen utilizarse indistintamente, para </w:t>
      </w:r>
      <w:r w:rsidRPr="005C1F67">
        <w:rPr>
          <w:rFonts w:ascii="Arial" w:eastAsia="Times New Roman" w:hAnsi="Arial" w:cs="Arial"/>
          <w:color w:val="000000" w:themeColor="text1"/>
          <w:sz w:val="22"/>
          <w:lang w:eastAsia="es-ES"/>
        </w:rPr>
        <w:lastRenderedPageBreak/>
        <w:t xml:space="preserve">referirse a diferentes modificaciones del contrato estatal. La doctrina sintetiza dicha distinción al indicar que: </w:t>
      </w:r>
    </w:p>
    <w:p w14:paraId="59CE681A" w14:textId="77777777" w:rsidR="001E663F" w:rsidRPr="005C1F67" w:rsidRDefault="001E663F" w:rsidP="001E663F">
      <w:pPr>
        <w:spacing w:before="120" w:after="120"/>
        <w:contextualSpacing/>
        <w:jc w:val="both"/>
        <w:rPr>
          <w:rFonts w:ascii="Arial" w:eastAsia="Times New Roman" w:hAnsi="Arial" w:cs="Arial"/>
          <w:color w:val="000000" w:themeColor="text1"/>
          <w:sz w:val="22"/>
          <w:lang w:eastAsia="es-ES"/>
        </w:rPr>
      </w:pPr>
    </w:p>
    <w:p w14:paraId="5E7C8303" w14:textId="77777777" w:rsidR="001E663F" w:rsidRPr="005C1F67" w:rsidRDefault="001E663F" w:rsidP="001E663F">
      <w:pPr>
        <w:spacing w:before="120" w:after="120"/>
        <w:ind w:left="709" w:right="709"/>
        <w:contextualSpacing/>
        <w:jc w:val="both"/>
        <w:rPr>
          <w:rFonts w:ascii="Arial" w:eastAsia="Times New Roman" w:hAnsi="Arial" w:cs="Arial"/>
          <w:color w:val="000000" w:themeColor="text1"/>
          <w:sz w:val="21"/>
          <w:szCs w:val="21"/>
          <w:lang w:eastAsia="es-ES"/>
        </w:rPr>
      </w:pPr>
      <w:r w:rsidRPr="005C1F67">
        <w:rPr>
          <w:rFonts w:ascii="Arial" w:eastAsia="Times New Roman" w:hAnsi="Arial" w:cs="Arial"/>
          <w:color w:val="000000" w:themeColor="text1"/>
          <w:sz w:val="21"/>
          <w:szCs w:val="21"/>
          <w:lang w:eastAsia="es-ES"/>
        </w:rPr>
        <w:t xml:space="preserve">[…] la norma lo que autoriza es la </w:t>
      </w:r>
      <w:r w:rsidRPr="005C1F67">
        <w:rPr>
          <w:rFonts w:ascii="Arial" w:eastAsia="Times New Roman" w:hAnsi="Arial" w:cs="Arial"/>
          <w:i/>
          <w:color w:val="000000" w:themeColor="text1"/>
          <w:sz w:val="21"/>
          <w:szCs w:val="21"/>
          <w:lang w:eastAsia="es-ES"/>
        </w:rPr>
        <w:t xml:space="preserve">prórroga </w:t>
      </w:r>
      <w:r w:rsidRPr="005C1F67">
        <w:rPr>
          <w:rFonts w:ascii="Arial" w:eastAsia="Times New Roman" w:hAnsi="Arial" w:cs="Arial"/>
          <w:color w:val="000000" w:themeColor="text1"/>
          <w:sz w:val="21"/>
          <w:szCs w:val="21"/>
          <w:lang w:eastAsia="es-ES"/>
        </w:rPr>
        <w:t xml:space="preserve">del contrato de interventoría, cuando simplemente debió decir </w:t>
      </w:r>
      <w:r w:rsidRPr="005C1F67">
        <w:rPr>
          <w:rFonts w:ascii="Arial" w:eastAsia="Times New Roman" w:hAnsi="Arial" w:cs="Arial"/>
          <w:i/>
          <w:color w:val="000000" w:themeColor="text1"/>
          <w:sz w:val="21"/>
          <w:szCs w:val="21"/>
          <w:lang w:eastAsia="es-ES"/>
        </w:rPr>
        <w:t>adición,</w:t>
      </w:r>
      <w:r w:rsidRPr="005C1F67">
        <w:rPr>
          <w:rFonts w:ascii="Arial" w:eastAsia="Times New Roman" w:hAnsi="Arial" w:cs="Arial"/>
          <w:color w:val="000000" w:themeColor="text1"/>
          <w:sz w:val="21"/>
          <w:szCs w:val="21"/>
          <w:lang w:eastAsia="es-ES"/>
        </w:rPr>
        <w:t xml:space="preserve"> porque en sentido jurídico-técnico aquella supone la reproducción de las obligaciones del contrato inicial para un nuevo plazo ―como acontece con el contrato de arrendamiento o el laboral―, mientras que la adición supone agregar obligaciones al contrato principal ―de las mismas pactadas o de otras distintas―, con o sin un nuevo plazo para su ejecución</w:t>
      </w:r>
      <w:r w:rsidRPr="005C1F67">
        <w:rPr>
          <w:rStyle w:val="Refdenotaalpie"/>
          <w:rFonts w:ascii="Arial" w:eastAsia="Times New Roman" w:hAnsi="Arial" w:cs="Arial"/>
          <w:color w:val="000000" w:themeColor="text1"/>
          <w:sz w:val="21"/>
          <w:szCs w:val="21"/>
          <w:lang w:eastAsia="es-ES"/>
        </w:rPr>
        <w:footnoteReference w:id="5"/>
      </w:r>
      <w:r w:rsidRPr="005C1F67">
        <w:rPr>
          <w:rFonts w:ascii="Arial" w:eastAsia="Times New Roman" w:hAnsi="Arial" w:cs="Arial"/>
          <w:color w:val="000000" w:themeColor="text1"/>
          <w:sz w:val="21"/>
          <w:szCs w:val="21"/>
          <w:lang w:eastAsia="es-ES"/>
        </w:rPr>
        <w:t>.</w:t>
      </w:r>
    </w:p>
    <w:p w14:paraId="69BAF490" w14:textId="77777777" w:rsidR="001E663F" w:rsidRPr="005C1F67" w:rsidRDefault="001E663F" w:rsidP="001E663F">
      <w:pPr>
        <w:spacing w:before="120" w:after="120"/>
        <w:contextualSpacing/>
        <w:jc w:val="both"/>
        <w:rPr>
          <w:rFonts w:ascii="Arial" w:eastAsia="Times New Roman" w:hAnsi="Arial" w:cs="Arial"/>
          <w:b/>
          <w:color w:val="000000" w:themeColor="text1"/>
          <w:sz w:val="22"/>
          <w:lang w:eastAsia="es-ES"/>
        </w:rPr>
      </w:pPr>
    </w:p>
    <w:p w14:paraId="4445166C" w14:textId="77777777" w:rsidR="001E663F" w:rsidRPr="005C1F67" w:rsidRDefault="001E663F" w:rsidP="001E663F">
      <w:pPr>
        <w:spacing w:before="120" w:after="120" w:line="276" w:lineRule="auto"/>
        <w:ind w:firstLine="708"/>
        <w:jc w:val="both"/>
        <w:rPr>
          <w:rFonts w:ascii="Arial" w:eastAsia="Times New Roman" w:hAnsi="Arial" w:cs="Arial"/>
          <w:color w:val="000000" w:themeColor="text1"/>
          <w:sz w:val="22"/>
          <w:lang w:eastAsia="es-ES"/>
        </w:rPr>
      </w:pPr>
      <w:r w:rsidRPr="005C1F67">
        <w:rPr>
          <w:rFonts w:ascii="Arial" w:eastAsia="Times New Roman" w:hAnsi="Arial" w:cs="Arial"/>
          <w:color w:val="000000" w:themeColor="text1"/>
          <w:sz w:val="22"/>
          <w:lang w:eastAsia="es-ES"/>
        </w:rPr>
        <w:t>De esta manera, la adición, al estar relacionada con agregar obligaciones al contrato principal, y dado el carácter oneroso de los contratos estatales implica un aumento del valor del contrato y, como se señala en la cita, puede traer como consecuencia que se aumente el plazo del contrato ―esto se debe a que esas obligaciones pueden necesitar un término adicional para ejecutarse―, pero no es necesario que ello ocurra, lo que dependerá del caso concreto. Ahora bien, la prórroga tiene una relación directa con el incremento del plazo del contrato, extendiendo los efectos de aquel por un término diferente.</w:t>
      </w:r>
    </w:p>
    <w:p w14:paraId="2E3E1460" w14:textId="1EF9D203" w:rsidR="004F3082" w:rsidRPr="00466E14" w:rsidRDefault="004F3082" w:rsidP="003F00C7">
      <w:pPr>
        <w:spacing w:before="120" w:line="276" w:lineRule="auto"/>
        <w:ind w:firstLine="708"/>
        <w:jc w:val="both"/>
        <w:rPr>
          <w:rFonts w:ascii="Arial" w:eastAsia="Times New Roman" w:hAnsi="Arial" w:cs="Arial"/>
          <w:color w:val="000000" w:themeColor="text1"/>
          <w:sz w:val="22"/>
          <w:lang w:eastAsia="es-ES"/>
        </w:rPr>
      </w:pPr>
      <w:r w:rsidRPr="00466E14">
        <w:rPr>
          <w:rFonts w:ascii="Arial" w:eastAsia="Times New Roman" w:hAnsi="Arial" w:cs="Arial"/>
          <w:color w:val="000000" w:themeColor="text1"/>
          <w:sz w:val="22"/>
          <w:lang w:eastAsia="es-ES"/>
        </w:rPr>
        <w:t xml:space="preserve">En sentido similar a lo expuesto, DÁVILA VINUEZA vincula la prórroga con el incremento del plazo y señala que no necesariamente implica un aumento en el valor del contrato, aunque podría hacerlo. </w:t>
      </w:r>
      <w:r w:rsidR="00AA515C">
        <w:rPr>
          <w:rFonts w:ascii="Arial" w:eastAsia="Times New Roman" w:hAnsi="Arial" w:cs="Arial"/>
          <w:color w:val="000000" w:themeColor="text1"/>
          <w:sz w:val="22"/>
          <w:lang w:eastAsia="es-ES"/>
        </w:rPr>
        <w:t>Al respecto</w:t>
      </w:r>
      <w:r w:rsidRPr="00466E14">
        <w:rPr>
          <w:rFonts w:ascii="Arial" w:eastAsia="Times New Roman" w:hAnsi="Arial" w:cs="Arial"/>
          <w:color w:val="000000" w:themeColor="text1"/>
          <w:sz w:val="22"/>
          <w:lang w:eastAsia="es-ES"/>
        </w:rPr>
        <w:t xml:space="preserve"> afirma: «</w:t>
      </w:r>
      <w:r w:rsidR="00AA515C">
        <w:rPr>
          <w:rFonts w:ascii="Arial" w:eastAsia="Times New Roman" w:hAnsi="Arial" w:cs="Arial"/>
          <w:color w:val="000000" w:themeColor="text1"/>
          <w:sz w:val="22"/>
          <w:lang w:eastAsia="es-ES"/>
        </w:rPr>
        <w:t>[…] p</w:t>
      </w:r>
      <w:r w:rsidRPr="00466E14">
        <w:rPr>
          <w:rFonts w:ascii="Arial" w:eastAsia="Times New Roman" w:hAnsi="Arial" w:cs="Arial"/>
          <w:color w:val="000000" w:themeColor="text1"/>
          <w:sz w:val="22"/>
          <w:lang w:eastAsia="es-ES"/>
        </w:rPr>
        <w:t>or medio de la prórroga el plazo de cumplimiento de las obligaciones nacidas del contrato se desplaza en el tiempo. Per se no implica aumento de valor ya que el objeto contratado no se altera. Cosa diferente es que el aumento del plazo por razones no imputables al contratista en muchas ocasiones genera un mayor costo que debe ser reconocido, siendo, entonces, el mayor plazo la causa del mayor valor. Este deberá ser aceptado para mantener a salvo la ecuación financiera del contrato»</w:t>
      </w:r>
      <w:r w:rsidRPr="00466E14">
        <w:rPr>
          <w:rStyle w:val="Refdenotaalpie"/>
          <w:rFonts w:ascii="Arial" w:eastAsia="Times New Roman" w:hAnsi="Arial" w:cs="Arial"/>
          <w:color w:val="000000" w:themeColor="text1"/>
          <w:sz w:val="22"/>
          <w:lang w:eastAsia="es-ES"/>
        </w:rPr>
        <w:footnoteReference w:id="6"/>
      </w:r>
      <w:r w:rsidRPr="00466E14">
        <w:rPr>
          <w:rFonts w:ascii="Arial" w:eastAsia="Times New Roman" w:hAnsi="Arial" w:cs="Arial"/>
          <w:color w:val="000000" w:themeColor="text1"/>
          <w:sz w:val="22"/>
          <w:lang w:eastAsia="es-ES"/>
        </w:rPr>
        <w:t xml:space="preserve">.  </w:t>
      </w:r>
    </w:p>
    <w:p w14:paraId="218A8602" w14:textId="1C55C168" w:rsidR="001E663F" w:rsidRPr="005C1F67" w:rsidRDefault="001E663F" w:rsidP="00CF692E">
      <w:pPr>
        <w:jc w:val="both"/>
        <w:rPr>
          <w:rFonts w:ascii="Arial" w:hAnsi="Arial" w:cs="Arial"/>
          <w:b/>
          <w:color w:val="000000" w:themeColor="text1"/>
          <w:sz w:val="22"/>
        </w:rPr>
      </w:pPr>
    </w:p>
    <w:p w14:paraId="44CDB6CE" w14:textId="5518CDEC" w:rsidR="00263051" w:rsidRPr="005C1F67" w:rsidRDefault="00F201B0" w:rsidP="00CF692E">
      <w:pPr>
        <w:jc w:val="both"/>
        <w:rPr>
          <w:rFonts w:ascii="Arial" w:hAnsi="Arial" w:cs="Arial"/>
          <w:b/>
          <w:color w:val="000000" w:themeColor="text1"/>
          <w:sz w:val="22"/>
        </w:rPr>
      </w:pPr>
      <w:r w:rsidRPr="005C1F67">
        <w:rPr>
          <w:rFonts w:ascii="Arial" w:hAnsi="Arial" w:cs="Arial"/>
          <w:b/>
          <w:color w:val="000000" w:themeColor="text1"/>
          <w:sz w:val="22"/>
        </w:rPr>
        <w:t>2.</w:t>
      </w:r>
      <w:r w:rsidR="00137474" w:rsidRPr="005C1F67">
        <w:rPr>
          <w:rFonts w:ascii="Arial" w:hAnsi="Arial" w:cs="Arial"/>
          <w:b/>
          <w:color w:val="000000" w:themeColor="text1"/>
          <w:sz w:val="22"/>
        </w:rPr>
        <w:t>2</w:t>
      </w:r>
      <w:r w:rsidRPr="005C1F67">
        <w:rPr>
          <w:rFonts w:ascii="Arial" w:hAnsi="Arial" w:cs="Arial"/>
          <w:b/>
          <w:color w:val="000000" w:themeColor="text1"/>
          <w:sz w:val="22"/>
        </w:rPr>
        <w:t xml:space="preserve">. </w:t>
      </w:r>
      <w:r w:rsidR="00F96744" w:rsidRPr="005C1F67">
        <w:rPr>
          <w:rFonts w:ascii="Arial" w:hAnsi="Arial" w:cs="Arial"/>
          <w:b/>
          <w:color w:val="000000" w:themeColor="text1"/>
          <w:sz w:val="22"/>
        </w:rPr>
        <w:t>Adici</w:t>
      </w:r>
      <w:r w:rsidR="00A67A27" w:rsidRPr="005C1F67">
        <w:rPr>
          <w:rFonts w:ascii="Arial" w:hAnsi="Arial" w:cs="Arial"/>
          <w:b/>
          <w:color w:val="000000" w:themeColor="text1"/>
          <w:sz w:val="22"/>
        </w:rPr>
        <w:t>ón de los contratos estatales</w:t>
      </w:r>
    </w:p>
    <w:p w14:paraId="3EB59E2E" w14:textId="77777777" w:rsidR="00263051" w:rsidRPr="005C1F67" w:rsidRDefault="00263051">
      <w:pPr>
        <w:jc w:val="both"/>
        <w:rPr>
          <w:rFonts w:ascii="Arial" w:hAnsi="Arial" w:cs="Arial"/>
          <w:b/>
          <w:color w:val="000000" w:themeColor="text1"/>
          <w:sz w:val="22"/>
        </w:rPr>
      </w:pPr>
    </w:p>
    <w:p w14:paraId="3AB6D8DA" w14:textId="363F90AE" w:rsidR="003A5A50" w:rsidRPr="005C1F67" w:rsidRDefault="00A67A27" w:rsidP="003F00C7">
      <w:pPr>
        <w:spacing w:after="120" w:line="276" w:lineRule="auto"/>
        <w:jc w:val="both"/>
        <w:rPr>
          <w:rFonts w:ascii="Arial" w:hAnsi="Arial" w:cs="Arial"/>
          <w:color w:val="000000" w:themeColor="text1"/>
          <w:sz w:val="22"/>
        </w:rPr>
      </w:pPr>
      <w:r w:rsidRPr="005C1F67">
        <w:rPr>
          <w:rFonts w:ascii="Arial" w:hAnsi="Arial" w:cs="Arial"/>
          <w:color w:val="000000" w:themeColor="text1"/>
          <w:sz w:val="22"/>
        </w:rPr>
        <w:t>La</w:t>
      </w:r>
      <w:r w:rsidR="00DB61B0" w:rsidRPr="005C1F67">
        <w:rPr>
          <w:rFonts w:ascii="Arial" w:hAnsi="Arial" w:cs="Arial"/>
          <w:color w:val="000000" w:themeColor="text1"/>
          <w:sz w:val="22"/>
        </w:rPr>
        <w:t xml:space="preserve"> ejecución de los contratos estatales está sujeta a los avatares propios del paso del tiempo. Así, durante la planeación de estos la Administración se enfrentan a la ardua tarea de estimar y determinar las prestaciones que demanda la satisfacción de la necesidad de interés colectivo</w:t>
      </w:r>
      <w:r w:rsidR="00F96744" w:rsidRPr="005C1F67">
        <w:rPr>
          <w:rFonts w:ascii="Arial" w:hAnsi="Arial" w:cs="Arial"/>
          <w:color w:val="000000" w:themeColor="text1"/>
          <w:sz w:val="22"/>
        </w:rPr>
        <w:t>.</w:t>
      </w:r>
      <w:r w:rsidR="00A70FD1" w:rsidRPr="005C1F67">
        <w:rPr>
          <w:rFonts w:ascii="Arial" w:hAnsi="Arial" w:cs="Arial"/>
          <w:color w:val="000000" w:themeColor="text1"/>
          <w:sz w:val="22"/>
        </w:rPr>
        <w:t xml:space="preserve"> No obstante, e</w:t>
      </w:r>
      <w:r w:rsidR="00DB61B0" w:rsidRPr="005C1F67">
        <w:rPr>
          <w:rFonts w:ascii="Arial" w:hAnsi="Arial" w:cs="Arial"/>
          <w:color w:val="000000" w:themeColor="text1"/>
          <w:sz w:val="22"/>
        </w:rPr>
        <w:t>n muchas ocasiones</w:t>
      </w:r>
      <w:r w:rsidR="00CF692E" w:rsidRPr="005C1F67">
        <w:rPr>
          <w:rFonts w:ascii="Arial" w:hAnsi="Arial" w:cs="Arial"/>
          <w:color w:val="000000" w:themeColor="text1"/>
          <w:sz w:val="22"/>
        </w:rPr>
        <w:t>,</w:t>
      </w:r>
      <w:r w:rsidR="00DB61B0" w:rsidRPr="005C1F67">
        <w:rPr>
          <w:rFonts w:ascii="Arial" w:hAnsi="Arial" w:cs="Arial"/>
          <w:color w:val="000000" w:themeColor="text1"/>
          <w:sz w:val="22"/>
        </w:rPr>
        <w:t xml:space="preserve"> durante la fase de ejecución del contrato las partes identifican alguna de las siguientes situaciones:</w:t>
      </w:r>
      <w:r w:rsidR="00F96744" w:rsidRPr="005C1F67">
        <w:rPr>
          <w:rFonts w:ascii="Arial" w:hAnsi="Arial" w:cs="Arial"/>
          <w:color w:val="000000" w:themeColor="text1"/>
          <w:sz w:val="22"/>
        </w:rPr>
        <w:t xml:space="preserve"> </w:t>
      </w:r>
      <w:r w:rsidR="00BF5E36" w:rsidRPr="005C1F67">
        <w:rPr>
          <w:rFonts w:ascii="Arial" w:hAnsi="Arial" w:cs="Arial"/>
          <w:color w:val="000000" w:themeColor="text1"/>
          <w:sz w:val="22"/>
        </w:rPr>
        <w:t>i) La necesidad de acometer mayores cantidades de los ítems o actividades inicialmente previstos, a lo que en la práctica se le conoce como «mayores cantidades de obra», «obras adicionales» o adición de «ítems contractuales»</w:t>
      </w:r>
      <w:r w:rsidR="00993289" w:rsidRPr="005C1F67">
        <w:rPr>
          <w:rFonts w:ascii="Arial" w:hAnsi="Arial" w:cs="Arial"/>
          <w:color w:val="000000" w:themeColor="text1"/>
          <w:sz w:val="22"/>
        </w:rPr>
        <w:t>;</w:t>
      </w:r>
      <w:r w:rsidR="00BF5E36" w:rsidRPr="005C1F67">
        <w:rPr>
          <w:rFonts w:ascii="Arial" w:hAnsi="Arial" w:cs="Arial"/>
          <w:color w:val="000000" w:themeColor="text1"/>
          <w:sz w:val="22"/>
        </w:rPr>
        <w:t xml:space="preserve"> </w:t>
      </w:r>
      <w:r w:rsidR="00993289" w:rsidRPr="005C1F67">
        <w:rPr>
          <w:rFonts w:ascii="Arial" w:hAnsi="Arial" w:cs="Arial"/>
          <w:color w:val="000000" w:themeColor="text1"/>
          <w:sz w:val="22"/>
        </w:rPr>
        <w:t xml:space="preserve">y </w:t>
      </w:r>
      <w:r w:rsidR="00BF5E36" w:rsidRPr="005C1F67">
        <w:rPr>
          <w:rFonts w:ascii="Arial" w:hAnsi="Arial" w:cs="Arial"/>
          <w:color w:val="000000" w:themeColor="text1"/>
          <w:sz w:val="22"/>
        </w:rPr>
        <w:t xml:space="preserve">ii) </w:t>
      </w:r>
      <w:r w:rsidR="00993289" w:rsidRPr="005C1F67">
        <w:rPr>
          <w:rFonts w:ascii="Arial" w:hAnsi="Arial" w:cs="Arial"/>
          <w:color w:val="000000" w:themeColor="text1"/>
          <w:sz w:val="22"/>
        </w:rPr>
        <w:t>l</w:t>
      </w:r>
      <w:r w:rsidR="00BF5E36" w:rsidRPr="005C1F67">
        <w:rPr>
          <w:rFonts w:ascii="Arial" w:hAnsi="Arial" w:cs="Arial"/>
          <w:color w:val="000000" w:themeColor="text1"/>
          <w:sz w:val="22"/>
        </w:rPr>
        <w:t xml:space="preserve">a necesidad de ampliar las prestaciones contractuales, </w:t>
      </w:r>
      <w:r w:rsidR="00BF5E36" w:rsidRPr="005C1F67">
        <w:rPr>
          <w:rFonts w:ascii="Arial" w:hAnsi="Arial" w:cs="Arial"/>
          <w:color w:val="000000" w:themeColor="text1"/>
          <w:sz w:val="22"/>
        </w:rPr>
        <w:lastRenderedPageBreak/>
        <w:t xml:space="preserve">mediante la ejecución de nuevos ítems o actividades, no incluidos en el contrato inicial, para lo que en la práctica las entidades ejecutan «obras extra» o «amplían el alcance» del contrato mediante la celebración de un «contrato adicional». No obstante, este último término, al igual que los señalados entre comillas ―algunos de ellos usualmente empleados en contratos de obra― son nociones doctrinarias y empleadas en la práctica por las entidades estatales, que actualmente no tienen un fundamento particular en el ordenamiento jurídico, el cual no le asigna efectos específicos a cada uno de ellos. Lo importante, y que se reiterará en distintos lugares de este concepto es que frente a cualquier incremento del valor inicial del contrato, que es lo que implica una </w:t>
      </w:r>
      <w:r w:rsidR="00BF5E36" w:rsidRPr="005C1F67">
        <w:rPr>
          <w:rFonts w:ascii="Arial" w:hAnsi="Arial" w:cs="Arial"/>
          <w:i/>
          <w:iCs/>
          <w:color w:val="000000" w:themeColor="text1"/>
          <w:sz w:val="22"/>
        </w:rPr>
        <w:t xml:space="preserve">adición, </w:t>
      </w:r>
      <w:r w:rsidR="00BF5E36" w:rsidRPr="005C1F67">
        <w:rPr>
          <w:rFonts w:ascii="Arial" w:hAnsi="Arial" w:cs="Arial"/>
          <w:color w:val="000000" w:themeColor="text1"/>
          <w:sz w:val="22"/>
        </w:rPr>
        <w:t xml:space="preserve">por cualquiera de los dos supuesto señalados previamente, e independiente del nombre que se le dé al acuerdo, aplica el límite previsto en el parágrafo del artículo 40 de la Ley 80 de 1993: «Los contratos no podrán adicionarse en más del cincuenta por ciento (50%) de su valor inicial, expresado éste en salarios mínimos legales mensuales». De manera </w:t>
      </w:r>
      <w:proofErr w:type="gramStart"/>
      <w:r w:rsidR="00BF5E36" w:rsidRPr="005C1F67">
        <w:rPr>
          <w:rFonts w:ascii="Arial" w:hAnsi="Arial" w:cs="Arial"/>
          <w:color w:val="000000" w:themeColor="text1"/>
          <w:sz w:val="22"/>
        </w:rPr>
        <w:t>que</w:t>
      </w:r>
      <w:proofErr w:type="gramEnd"/>
      <w:r w:rsidR="00BF5E36" w:rsidRPr="005C1F67">
        <w:rPr>
          <w:rFonts w:ascii="Arial" w:hAnsi="Arial" w:cs="Arial"/>
          <w:color w:val="000000" w:themeColor="text1"/>
          <w:sz w:val="22"/>
        </w:rPr>
        <w:t xml:space="preserve"> aunque es posible celebrar todos los tipos de acuerdos indicados, siempre se debe observar esta última disposición</w:t>
      </w:r>
      <w:r w:rsidR="00D075A9" w:rsidRPr="005C1F67">
        <w:rPr>
          <w:rStyle w:val="Refdenotaalpie"/>
          <w:rFonts w:ascii="Arial" w:hAnsi="Arial" w:cs="Arial"/>
          <w:color w:val="000000" w:themeColor="text1"/>
          <w:sz w:val="22"/>
        </w:rPr>
        <w:footnoteReference w:id="7"/>
      </w:r>
      <w:r w:rsidR="00BF5E36" w:rsidRPr="005C1F67">
        <w:rPr>
          <w:rFonts w:ascii="Arial" w:hAnsi="Arial" w:cs="Arial"/>
          <w:color w:val="000000" w:themeColor="text1"/>
          <w:sz w:val="22"/>
        </w:rPr>
        <w:t>.</w:t>
      </w:r>
    </w:p>
    <w:p w14:paraId="1E615EB7" w14:textId="1C952950" w:rsidR="00BE4A55" w:rsidRDefault="003A5A50" w:rsidP="003A5A50">
      <w:pPr>
        <w:spacing w:before="120" w:after="120" w:line="276" w:lineRule="auto"/>
        <w:ind w:firstLine="709"/>
        <w:jc w:val="both"/>
        <w:rPr>
          <w:rFonts w:ascii="Arial" w:hAnsi="Arial" w:cs="Arial"/>
          <w:color w:val="000000" w:themeColor="text1"/>
          <w:sz w:val="22"/>
        </w:rPr>
      </w:pPr>
      <w:r w:rsidRPr="005C1F67">
        <w:rPr>
          <w:rFonts w:ascii="Arial" w:hAnsi="Arial" w:cs="Arial"/>
          <w:color w:val="000000" w:themeColor="text1"/>
          <w:sz w:val="22"/>
        </w:rPr>
        <w:t xml:space="preserve">Dicha norma además de consagrar una prohibición trae implícita una autorización, consistente en la posibilidad de adicionar los contratos estatales, siempre que no se supere el tope establecido. </w:t>
      </w:r>
      <w:r w:rsidR="00BE4A55">
        <w:rPr>
          <w:rFonts w:ascii="Arial" w:hAnsi="Arial" w:cs="Arial"/>
          <w:color w:val="000000" w:themeColor="text1"/>
          <w:sz w:val="22"/>
        </w:rPr>
        <w:t>Ahora bien, teniendo en cuenta que la peticionaria solicita se aclare como debe hacerse el cálculo de la adición, basta con r</w:t>
      </w:r>
      <w:r w:rsidR="00933E32">
        <w:rPr>
          <w:rFonts w:ascii="Arial" w:hAnsi="Arial" w:cs="Arial"/>
          <w:color w:val="000000" w:themeColor="text1"/>
          <w:sz w:val="22"/>
        </w:rPr>
        <w:t xml:space="preserve">emitirse a </w:t>
      </w:r>
      <w:r w:rsidR="00BE4A55">
        <w:rPr>
          <w:rFonts w:ascii="Arial" w:hAnsi="Arial" w:cs="Arial"/>
          <w:color w:val="000000" w:themeColor="text1"/>
          <w:sz w:val="22"/>
        </w:rPr>
        <w:t xml:space="preserve">lo dispuesto en el parágrafo del artículo 40 de la Ley 80 de 1993 </w:t>
      </w:r>
      <w:r w:rsidR="00BE4A55" w:rsidRPr="005C1F67">
        <w:rPr>
          <w:rFonts w:ascii="Arial" w:hAnsi="Arial" w:cs="Arial"/>
          <w:color w:val="000000" w:themeColor="text1"/>
          <w:sz w:val="22"/>
        </w:rPr>
        <w:t>«Los contratos no podrán adicionarse en más del cincuenta por ciento (50%) de su valor inicial, expresado éste en salarios mínimos legales mensuales»</w:t>
      </w:r>
      <w:r w:rsidR="00933E32">
        <w:rPr>
          <w:rFonts w:ascii="Arial" w:hAnsi="Arial" w:cs="Arial"/>
          <w:color w:val="000000" w:themeColor="text1"/>
          <w:sz w:val="22"/>
        </w:rPr>
        <w:t xml:space="preserve">. </w:t>
      </w:r>
    </w:p>
    <w:p w14:paraId="7D008C57" w14:textId="06EB4DFC" w:rsidR="003A5A50" w:rsidRPr="005C1F67" w:rsidRDefault="00933E32" w:rsidP="003A5A50">
      <w:pPr>
        <w:spacing w:before="120" w:after="120" w:line="276" w:lineRule="auto"/>
        <w:ind w:firstLine="709"/>
        <w:jc w:val="both"/>
        <w:rPr>
          <w:rFonts w:ascii="Arial" w:hAnsi="Arial" w:cs="Arial"/>
          <w:color w:val="000000" w:themeColor="text1"/>
          <w:sz w:val="22"/>
        </w:rPr>
      </w:pPr>
      <w:r>
        <w:rPr>
          <w:rFonts w:ascii="Arial" w:hAnsi="Arial" w:cs="Arial"/>
          <w:color w:val="000000" w:themeColor="text1"/>
          <w:sz w:val="22"/>
        </w:rPr>
        <w:t>En consecuencia, al momento de hacer la adición se d</w:t>
      </w:r>
      <w:r w:rsidR="003A5A50" w:rsidRPr="005C1F67">
        <w:rPr>
          <w:rFonts w:ascii="Arial" w:hAnsi="Arial" w:cs="Arial"/>
          <w:color w:val="000000" w:themeColor="text1"/>
          <w:sz w:val="22"/>
        </w:rPr>
        <w:t>ebe tene</w:t>
      </w:r>
      <w:r>
        <w:rPr>
          <w:rFonts w:ascii="Arial" w:hAnsi="Arial" w:cs="Arial"/>
          <w:color w:val="000000" w:themeColor="text1"/>
          <w:sz w:val="22"/>
        </w:rPr>
        <w:t>r</w:t>
      </w:r>
      <w:r w:rsidR="003A5A50" w:rsidRPr="005C1F67">
        <w:rPr>
          <w:rFonts w:ascii="Arial" w:hAnsi="Arial" w:cs="Arial"/>
          <w:color w:val="000000" w:themeColor="text1"/>
          <w:sz w:val="22"/>
        </w:rPr>
        <w:t xml:space="preserve"> en cuenta que el cálculo del límite debe hacerse en salarios mínimos para efectos de que el cálculo del tope sea preciso; de manera que para adicionar un contrato debe dividirse el valor inicial por el salario mínimo vigente al momento de la suscripción del contrato, y luego dividirlo por 2; el resultado obtenido constituirá el número de SMLMV por los cuales podrá adicionarse el contrato. En este sentido, para evitar equivocaciones, lo ideal es que cada que se efectúe una adición, se estime su valor en salarios mínimos, que se calcularán con base en el vigente al momento de la adición, de manera que se descuenten estos de los salarios mínimos que restan por adicionar, ya que las </w:t>
      </w:r>
      <w:r w:rsidR="00BC0BA6" w:rsidRPr="005C1F67">
        <w:rPr>
          <w:rFonts w:ascii="Arial" w:hAnsi="Arial" w:cs="Arial"/>
          <w:color w:val="000000" w:themeColor="text1"/>
          <w:sz w:val="22"/>
        </w:rPr>
        <w:t>modificaciones</w:t>
      </w:r>
      <w:r w:rsidR="003A5A50" w:rsidRPr="005C1F67">
        <w:rPr>
          <w:rFonts w:ascii="Arial" w:hAnsi="Arial" w:cs="Arial"/>
          <w:color w:val="000000" w:themeColor="text1"/>
          <w:sz w:val="22"/>
        </w:rPr>
        <w:t xml:space="preserve"> podrían hacerse en diferentes años</w:t>
      </w:r>
      <w:r w:rsidR="00296479" w:rsidRPr="005C1F67">
        <w:rPr>
          <w:rFonts w:ascii="Arial" w:hAnsi="Arial" w:cs="Arial"/>
          <w:color w:val="000000" w:themeColor="text1"/>
          <w:sz w:val="22"/>
        </w:rPr>
        <w:t xml:space="preserve">, porque si el contrato se ejecuta sin existir variación en el valor del salario mínimo la operación sería la misma si se toma el monto en pesos. </w:t>
      </w:r>
    </w:p>
    <w:p w14:paraId="21FEBA2E" w14:textId="1127F889" w:rsidR="00296479" w:rsidRPr="005C1F67" w:rsidRDefault="00296479" w:rsidP="003F00C7">
      <w:pPr>
        <w:spacing w:before="120" w:line="276" w:lineRule="auto"/>
        <w:ind w:firstLine="709"/>
        <w:jc w:val="both"/>
        <w:rPr>
          <w:rFonts w:ascii="Arial" w:hAnsi="Arial" w:cs="Arial"/>
          <w:color w:val="000000" w:themeColor="text1"/>
          <w:sz w:val="22"/>
        </w:rPr>
      </w:pPr>
      <w:r w:rsidRPr="005C1F67">
        <w:rPr>
          <w:rFonts w:ascii="Arial" w:hAnsi="Arial" w:cs="Arial"/>
          <w:color w:val="000000" w:themeColor="text1"/>
          <w:sz w:val="22"/>
        </w:rPr>
        <w:lastRenderedPageBreak/>
        <w:t>El razonamiento anterior se soporta en la forma como la Ley 80 estableció el tope para las adiciones, acudiendo a una forma de actualización del valor</w:t>
      </w:r>
      <w:r w:rsidR="00BC0BA6" w:rsidRPr="005C1F67">
        <w:rPr>
          <w:rFonts w:ascii="Arial" w:hAnsi="Arial" w:cs="Arial"/>
          <w:color w:val="000000" w:themeColor="text1"/>
          <w:sz w:val="22"/>
        </w:rPr>
        <w:t>,</w:t>
      </w:r>
      <w:r w:rsidRPr="005C1F67">
        <w:rPr>
          <w:rFonts w:ascii="Arial" w:hAnsi="Arial" w:cs="Arial"/>
          <w:color w:val="000000" w:themeColor="text1"/>
          <w:sz w:val="22"/>
        </w:rPr>
        <w:t xml:space="preserve"> </w:t>
      </w:r>
      <w:proofErr w:type="gramStart"/>
      <w:r w:rsidRPr="005C1F67">
        <w:rPr>
          <w:rFonts w:ascii="Arial" w:hAnsi="Arial" w:cs="Arial"/>
          <w:color w:val="000000" w:themeColor="text1"/>
          <w:sz w:val="22"/>
        </w:rPr>
        <w:t>de acuerdo a</w:t>
      </w:r>
      <w:proofErr w:type="gramEnd"/>
      <w:r w:rsidRPr="005C1F67">
        <w:rPr>
          <w:rFonts w:ascii="Arial" w:hAnsi="Arial" w:cs="Arial"/>
          <w:color w:val="000000" w:themeColor="text1"/>
          <w:sz w:val="22"/>
        </w:rPr>
        <w:t xml:space="preserve"> los incrementos que tenga el salario mínimo, lo que resulta especialmente relevante en contratos de larga duración.</w:t>
      </w:r>
    </w:p>
    <w:p w14:paraId="1E2E3D7B" w14:textId="77777777" w:rsidR="007C7806" w:rsidRPr="005C1F67" w:rsidRDefault="007C7806" w:rsidP="00705129">
      <w:pPr>
        <w:spacing w:line="276" w:lineRule="auto"/>
        <w:contextualSpacing/>
        <w:jc w:val="both"/>
        <w:rPr>
          <w:rFonts w:ascii="Arial" w:hAnsi="Arial" w:cs="Arial"/>
          <w:b/>
          <w:color w:val="000000" w:themeColor="text1"/>
          <w:sz w:val="22"/>
        </w:rPr>
      </w:pPr>
    </w:p>
    <w:p w14:paraId="038DD155" w14:textId="348CF20A" w:rsidR="00DB61B0" w:rsidRPr="005C1F67" w:rsidRDefault="00F201B0" w:rsidP="00817C23">
      <w:pPr>
        <w:spacing w:line="276" w:lineRule="auto"/>
        <w:contextualSpacing/>
        <w:jc w:val="both"/>
        <w:rPr>
          <w:rFonts w:ascii="Arial" w:hAnsi="Arial" w:cs="Arial"/>
          <w:b/>
          <w:color w:val="000000" w:themeColor="text1"/>
          <w:sz w:val="22"/>
        </w:rPr>
      </w:pPr>
      <w:r w:rsidRPr="005C1F67">
        <w:rPr>
          <w:rFonts w:ascii="Arial" w:hAnsi="Arial" w:cs="Arial"/>
          <w:b/>
          <w:color w:val="000000" w:themeColor="text1"/>
          <w:sz w:val="22"/>
        </w:rPr>
        <w:t xml:space="preserve">3. </w:t>
      </w:r>
      <w:r w:rsidR="00582208" w:rsidRPr="005C1F67">
        <w:rPr>
          <w:rFonts w:ascii="Arial" w:hAnsi="Arial" w:cs="Arial"/>
          <w:b/>
          <w:color w:val="000000" w:themeColor="text1"/>
          <w:sz w:val="22"/>
        </w:rPr>
        <w:t>Respuesta</w:t>
      </w:r>
    </w:p>
    <w:p w14:paraId="36BF5AA7" w14:textId="77777777" w:rsidR="001B3C91" w:rsidRPr="005C1F67" w:rsidRDefault="001B3C91" w:rsidP="00817C23">
      <w:pPr>
        <w:tabs>
          <w:tab w:val="left" w:pos="426"/>
        </w:tabs>
        <w:spacing w:line="276" w:lineRule="auto"/>
        <w:contextualSpacing/>
        <w:jc w:val="both"/>
        <w:rPr>
          <w:rFonts w:ascii="Arial" w:eastAsia="Calibri" w:hAnsi="Arial" w:cs="Arial"/>
          <w:color w:val="000000" w:themeColor="text1"/>
          <w:sz w:val="22"/>
        </w:rPr>
      </w:pPr>
      <w:r w:rsidRPr="005C1F67">
        <w:rPr>
          <w:rFonts w:ascii="Arial" w:eastAsia="Calibri" w:hAnsi="Arial" w:cs="Arial"/>
          <w:color w:val="000000" w:themeColor="text1"/>
          <w:sz w:val="22"/>
        </w:rPr>
        <w:tab/>
      </w:r>
    </w:p>
    <w:p w14:paraId="52B8E4C3" w14:textId="71C57365" w:rsidR="00933E32" w:rsidRPr="00933E32" w:rsidRDefault="00933E32" w:rsidP="003F00C7">
      <w:pPr>
        <w:tabs>
          <w:tab w:val="left" w:pos="426"/>
        </w:tabs>
        <w:ind w:left="709" w:right="709"/>
        <w:jc w:val="both"/>
        <w:rPr>
          <w:rFonts w:ascii="Arial" w:eastAsia="Calibri" w:hAnsi="Arial" w:cs="Arial"/>
          <w:color w:val="000000" w:themeColor="text1"/>
          <w:sz w:val="21"/>
          <w:szCs w:val="21"/>
          <w:lang w:val="es-CO"/>
        </w:rPr>
      </w:pPr>
      <w:r w:rsidRPr="00933E32">
        <w:rPr>
          <w:rFonts w:ascii="Arial" w:eastAsia="Calibri" w:hAnsi="Arial" w:cs="Arial"/>
          <w:color w:val="000000" w:themeColor="text1"/>
          <w:sz w:val="21"/>
          <w:szCs w:val="21"/>
          <w:lang w:val="es-CO"/>
        </w:rPr>
        <w:t xml:space="preserve">«¿Cómo se debe realizar el cálculo para la adición de un contrato a la luz de las disposiciones contenidas en el art. 40 de la ley 80 de </w:t>
      </w:r>
      <w:proofErr w:type="gramStart"/>
      <w:r w:rsidRPr="00933E32">
        <w:rPr>
          <w:rFonts w:ascii="Arial" w:eastAsia="Calibri" w:hAnsi="Arial" w:cs="Arial"/>
          <w:color w:val="000000" w:themeColor="text1"/>
          <w:sz w:val="21"/>
          <w:szCs w:val="21"/>
          <w:lang w:val="es-CO"/>
        </w:rPr>
        <w:t>1993?.</w:t>
      </w:r>
      <w:proofErr w:type="gramEnd"/>
      <w:r w:rsidRPr="00933E32">
        <w:rPr>
          <w:rFonts w:ascii="Arial" w:eastAsia="Calibri" w:hAnsi="Arial" w:cs="Arial"/>
          <w:color w:val="000000" w:themeColor="text1"/>
          <w:sz w:val="21"/>
          <w:szCs w:val="21"/>
          <w:lang w:val="es-CO"/>
        </w:rPr>
        <w:t xml:space="preserve"> Por </w:t>
      </w:r>
      <w:proofErr w:type="gramStart"/>
      <w:r w:rsidRPr="00933E32">
        <w:rPr>
          <w:rFonts w:ascii="Arial" w:eastAsia="Calibri" w:hAnsi="Arial" w:cs="Arial"/>
          <w:color w:val="000000" w:themeColor="text1"/>
          <w:sz w:val="21"/>
          <w:szCs w:val="21"/>
          <w:lang w:val="es-CO"/>
        </w:rPr>
        <w:t>ejemplo</w:t>
      </w:r>
      <w:proofErr w:type="gramEnd"/>
      <w:r w:rsidRPr="00933E32">
        <w:rPr>
          <w:rFonts w:ascii="Arial" w:eastAsia="Calibri" w:hAnsi="Arial" w:cs="Arial"/>
          <w:color w:val="000000" w:themeColor="text1"/>
          <w:sz w:val="21"/>
          <w:szCs w:val="21"/>
          <w:lang w:val="es-CO"/>
        </w:rPr>
        <w:t xml:space="preserve"> si en el año 2019 se celebra un contrato por un valor total de $100.000.000, es decir, por un total 120,75 SMMLV, y en el año 2021 se va a adicionar el mismo, el límite de esta es por la suma de $50.000.000 o el límite es de 60,37 SMMLV que para esta ultima vigencia corresponderían a $54.847.714,60».</w:t>
      </w:r>
    </w:p>
    <w:p w14:paraId="3EE8CBA0" w14:textId="77777777" w:rsidR="00933E32" w:rsidRPr="00933E32" w:rsidRDefault="00933E32" w:rsidP="00933E32">
      <w:pPr>
        <w:tabs>
          <w:tab w:val="left" w:pos="426"/>
        </w:tabs>
        <w:spacing w:line="276" w:lineRule="auto"/>
        <w:ind w:left="709" w:right="709"/>
        <w:jc w:val="both"/>
        <w:rPr>
          <w:rFonts w:ascii="Arial" w:eastAsia="Calibri" w:hAnsi="Arial" w:cs="Arial"/>
          <w:color w:val="000000" w:themeColor="text1"/>
          <w:sz w:val="22"/>
          <w:lang w:val="es-CO"/>
        </w:rPr>
      </w:pPr>
    </w:p>
    <w:p w14:paraId="0BCD42B3" w14:textId="4DB00DA5" w:rsidR="0054393F" w:rsidRDefault="00933E32" w:rsidP="0054393F">
      <w:pPr>
        <w:spacing w:before="120" w:after="120" w:line="276" w:lineRule="auto"/>
        <w:jc w:val="both"/>
        <w:rPr>
          <w:rFonts w:ascii="Arial" w:hAnsi="Arial" w:cs="Arial"/>
          <w:color w:val="000000" w:themeColor="text1"/>
          <w:sz w:val="22"/>
        </w:rPr>
      </w:pPr>
      <w:r w:rsidRPr="00933E32">
        <w:rPr>
          <w:rFonts w:ascii="Arial" w:hAnsi="Arial" w:cs="Arial"/>
          <w:color w:val="000000" w:themeColor="text1"/>
          <w:sz w:val="22"/>
        </w:rPr>
        <w:t>Para realizar el cálculo para la adición de un contrato sin exceder el límite previsto en el parágrafo del artículo 40 de la ley 80 de 1993, se debe realizar lo siguiente:</w:t>
      </w:r>
      <w:r w:rsidR="00FB3790">
        <w:rPr>
          <w:rFonts w:ascii="Arial" w:hAnsi="Arial" w:cs="Arial"/>
          <w:color w:val="000000" w:themeColor="text1"/>
          <w:sz w:val="22"/>
        </w:rPr>
        <w:t xml:space="preserve"> i) d</w:t>
      </w:r>
      <w:r w:rsidRPr="00933E32">
        <w:rPr>
          <w:rFonts w:ascii="Arial" w:hAnsi="Arial" w:cs="Arial"/>
          <w:color w:val="000000" w:themeColor="text1"/>
          <w:sz w:val="22"/>
        </w:rPr>
        <w:t>ividir el valor inicial del contrato por el salario mínimo vigente al momento de su suscripción, este cálculo sirve para determinar el valor del contrato en SMLMV</w:t>
      </w:r>
      <w:r w:rsidR="00FB3790">
        <w:rPr>
          <w:rFonts w:ascii="Arial" w:hAnsi="Arial" w:cs="Arial"/>
          <w:color w:val="000000" w:themeColor="text1"/>
          <w:sz w:val="22"/>
        </w:rPr>
        <w:t>;</w:t>
      </w:r>
      <w:r w:rsidR="002A3C41">
        <w:rPr>
          <w:rFonts w:ascii="Arial" w:hAnsi="Arial" w:cs="Arial"/>
          <w:color w:val="000000" w:themeColor="text1"/>
          <w:sz w:val="22"/>
        </w:rPr>
        <w:t xml:space="preserve"> </w:t>
      </w:r>
      <w:r w:rsidR="00620ADC">
        <w:rPr>
          <w:rFonts w:ascii="Arial" w:hAnsi="Arial" w:cs="Arial"/>
          <w:color w:val="000000" w:themeColor="text1"/>
          <w:sz w:val="22"/>
        </w:rPr>
        <w:t>ii</w:t>
      </w:r>
      <w:r w:rsidRPr="00933E32">
        <w:rPr>
          <w:rFonts w:ascii="Arial" w:hAnsi="Arial" w:cs="Arial"/>
          <w:color w:val="000000" w:themeColor="text1"/>
          <w:sz w:val="22"/>
        </w:rPr>
        <w:t xml:space="preserve">) </w:t>
      </w:r>
      <w:r w:rsidR="00620ADC">
        <w:rPr>
          <w:rFonts w:ascii="Arial" w:hAnsi="Arial" w:cs="Arial"/>
          <w:color w:val="000000" w:themeColor="text1"/>
          <w:sz w:val="22"/>
        </w:rPr>
        <w:t>u</w:t>
      </w:r>
      <w:r w:rsidRPr="00933E32">
        <w:rPr>
          <w:rFonts w:ascii="Arial" w:hAnsi="Arial" w:cs="Arial"/>
          <w:color w:val="000000" w:themeColor="text1"/>
          <w:sz w:val="22"/>
        </w:rPr>
        <w:t xml:space="preserve">na vez se obtenga este valor se debe dividir en dos, </w:t>
      </w:r>
      <w:r w:rsidR="007659F3">
        <w:rPr>
          <w:rFonts w:ascii="Arial" w:hAnsi="Arial" w:cs="Arial"/>
          <w:color w:val="000000" w:themeColor="text1"/>
          <w:sz w:val="22"/>
        </w:rPr>
        <w:t xml:space="preserve">el </w:t>
      </w:r>
      <w:r w:rsidR="002A3C41">
        <w:rPr>
          <w:rFonts w:ascii="Arial" w:hAnsi="Arial" w:cs="Arial"/>
          <w:color w:val="000000" w:themeColor="text1"/>
          <w:sz w:val="22"/>
        </w:rPr>
        <w:t>cociente de</w:t>
      </w:r>
      <w:r w:rsidR="007659F3">
        <w:rPr>
          <w:rFonts w:ascii="Arial" w:hAnsi="Arial" w:cs="Arial"/>
          <w:color w:val="000000" w:themeColor="text1"/>
          <w:sz w:val="22"/>
        </w:rPr>
        <w:t xml:space="preserve"> esa división constituye </w:t>
      </w:r>
      <w:r w:rsidR="00D84E0F">
        <w:rPr>
          <w:rFonts w:ascii="Arial" w:hAnsi="Arial" w:cs="Arial"/>
          <w:color w:val="000000" w:themeColor="text1"/>
          <w:sz w:val="22"/>
        </w:rPr>
        <w:t>el valor máximo por el que se puede adicionar el contrato expresado en</w:t>
      </w:r>
      <w:r w:rsidRPr="00933E32">
        <w:rPr>
          <w:rFonts w:ascii="Arial" w:hAnsi="Arial" w:cs="Arial"/>
          <w:color w:val="000000" w:themeColor="text1"/>
          <w:sz w:val="22"/>
        </w:rPr>
        <w:t xml:space="preserve"> SMLMV</w:t>
      </w:r>
      <w:r w:rsidR="0054393F">
        <w:rPr>
          <w:rFonts w:ascii="Arial" w:hAnsi="Arial" w:cs="Arial"/>
          <w:color w:val="000000" w:themeColor="text1"/>
          <w:sz w:val="22"/>
        </w:rPr>
        <w:t xml:space="preserve">. </w:t>
      </w:r>
    </w:p>
    <w:p w14:paraId="63C838A1" w14:textId="76084CDA" w:rsidR="0086465C" w:rsidRPr="005C1F67" w:rsidRDefault="00933E32" w:rsidP="003F00C7">
      <w:pPr>
        <w:spacing w:before="120" w:line="276" w:lineRule="auto"/>
        <w:ind w:firstLine="708"/>
        <w:jc w:val="both"/>
        <w:rPr>
          <w:rFonts w:ascii="Arial" w:hAnsi="Arial" w:cs="Arial"/>
          <w:color w:val="000000" w:themeColor="text1"/>
          <w:sz w:val="22"/>
        </w:rPr>
      </w:pPr>
      <w:r w:rsidRPr="00933E32">
        <w:rPr>
          <w:rFonts w:ascii="Arial" w:hAnsi="Arial" w:cs="Arial"/>
          <w:color w:val="000000" w:themeColor="text1"/>
          <w:sz w:val="22"/>
        </w:rPr>
        <w:t xml:space="preserve"> Cada vez que se quiera realizar una adición, se debe pasar el monto de pesos al valor del SMLMV del momento, descontando estos de los salarios mínimos que restan por adicionar, con el fin de no superar el límite previsto en el parágrafo del artículo 40 de la ley 80 de 1993.</w:t>
      </w:r>
    </w:p>
    <w:p w14:paraId="3D10ACF3" w14:textId="77777777" w:rsidR="002A3C41" w:rsidRDefault="002A3C41" w:rsidP="003F00C7">
      <w:pPr>
        <w:spacing w:line="276" w:lineRule="auto"/>
        <w:jc w:val="both"/>
        <w:rPr>
          <w:rFonts w:ascii="Arial" w:eastAsia="Calibri" w:hAnsi="Arial" w:cs="Arial"/>
          <w:color w:val="000000" w:themeColor="text1"/>
          <w:sz w:val="22"/>
        </w:rPr>
      </w:pPr>
    </w:p>
    <w:p w14:paraId="47DEA7AA" w14:textId="5A3EFA2E" w:rsidR="00A37FB6" w:rsidRPr="005C1F67" w:rsidRDefault="00A37FB6" w:rsidP="00817C23">
      <w:pPr>
        <w:spacing w:before="120" w:after="120" w:line="276" w:lineRule="auto"/>
        <w:jc w:val="both"/>
        <w:rPr>
          <w:rFonts w:ascii="Arial" w:hAnsi="Arial" w:cs="Arial"/>
          <w:color w:val="000000" w:themeColor="text1"/>
          <w:sz w:val="22"/>
        </w:rPr>
      </w:pPr>
      <w:r w:rsidRPr="005C1F67">
        <w:rPr>
          <w:rFonts w:ascii="Arial" w:eastAsia="Calibri" w:hAnsi="Arial" w:cs="Arial"/>
          <w:color w:val="000000" w:themeColor="text1"/>
          <w:sz w:val="22"/>
        </w:rPr>
        <w:t>Este concepto tiene el alcance previsto en el artículo 28 del Código de Procedimiento Administrativo y de lo Contencioso Administrativo.</w:t>
      </w:r>
    </w:p>
    <w:p w14:paraId="0F8C901F" w14:textId="270EF88C" w:rsidR="00A37FB6" w:rsidRPr="005C1F67" w:rsidRDefault="00A37FB6" w:rsidP="7C582402">
      <w:pPr>
        <w:spacing w:line="276" w:lineRule="auto"/>
        <w:jc w:val="center"/>
      </w:pPr>
      <w:r w:rsidRPr="005C1F67">
        <w:rPr>
          <w:rFonts w:ascii="Arial" w:hAnsi="Arial" w:cs="Arial"/>
          <w:noProof/>
          <w:color w:val="000000" w:themeColor="text1"/>
          <w:sz w:val="22"/>
          <w:lang w:val="en-US"/>
        </w:rPr>
        <mc:AlternateContent>
          <mc:Choice Requires="wps">
            <w:drawing>
              <wp:anchor distT="0" distB="0" distL="114300" distR="114300" simplePos="0" relativeHeight="251656704"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562645D">
              <v:line id="Conector recto 1"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14E1E8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r w:rsidR="12E2C6FD">
        <w:rPr>
          <w:noProof/>
        </w:rPr>
        <w:drawing>
          <wp:inline distT="0" distB="0" distL="0" distR="0" wp14:anchorId="0699D8EA" wp14:editId="64F57444">
            <wp:extent cx="2981325" cy="1314746"/>
            <wp:effectExtent l="0" t="0" r="0" b="0"/>
            <wp:docPr id="22483996" name="Imagen 22483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981325" cy="1314746"/>
                    </a:xfrm>
                    <a:prstGeom prst="rect">
                      <a:avLst/>
                    </a:prstGeom>
                  </pic:spPr>
                </pic:pic>
              </a:graphicData>
            </a:graphic>
          </wp:inline>
        </w:drawing>
      </w:r>
    </w:p>
    <w:p w14:paraId="202F44DB" w14:textId="19EDAC85" w:rsidR="004B5225" w:rsidRDefault="004B5225" w:rsidP="004B5225">
      <w:pPr>
        <w:spacing w:line="276" w:lineRule="auto"/>
        <w:rPr>
          <w:rFonts w:ascii="Arial" w:hAnsi="Arial" w:cs="Arial"/>
          <w:color w:val="000000" w:themeColor="text1"/>
          <w:sz w:val="22"/>
          <w:lang w:val="es-ES_tradnl" w:eastAsia="es-CO"/>
        </w:rPr>
      </w:pPr>
      <w:r w:rsidRPr="008F73D4">
        <w:rPr>
          <w:rFonts w:ascii="Arial" w:hAnsi="Arial" w:cs="Arial"/>
          <w:color w:val="000000" w:themeColor="text1"/>
          <w:sz w:val="22"/>
          <w:lang w:val="es-ES_tradnl" w:eastAsia="es-CO"/>
        </w:rPr>
        <w:t>Atentamente,</w:t>
      </w:r>
    </w:p>
    <w:p w14:paraId="4E003731" w14:textId="794C44A5" w:rsidR="00ED0B65" w:rsidRDefault="00ED0B65" w:rsidP="004B5225">
      <w:pPr>
        <w:spacing w:line="276" w:lineRule="auto"/>
        <w:rPr>
          <w:rFonts w:ascii="Arial" w:hAnsi="Arial" w:cs="Arial"/>
          <w:color w:val="000000" w:themeColor="text1"/>
          <w:sz w:val="22"/>
          <w:lang w:val="es-ES_tradnl" w:eastAsia="es-CO"/>
        </w:rPr>
      </w:pPr>
    </w:p>
    <w:p w14:paraId="629E0932" w14:textId="66BF9AAA" w:rsidR="00ED0B65" w:rsidRPr="008F73D4" w:rsidRDefault="00ED0B65" w:rsidP="00ED0B65">
      <w:pPr>
        <w:spacing w:line="276" w:lineRule="auto"/>
        <w:jc w:val="center"/>
        <w:rPr>
          <w:rFonts w:ascii="Arial" w:hAnsi="Arial" w:cs="Arial"/>
          <w:color w:val="000000" w:themeColor="text1"/>
          <w:sz w:val="22"/>
          <w:lang w:val="es-ES_tradnl" w:eastAsia="es-CO"/>
        </w:rPr>
      </w:pPr>
    </w:p>
    <w:p w14:paraId="50714506" w14:textId="77777777" w:rsidR="004B5225" w:rsidRPr="008F73D4" w:rsidRDefault="004B5225" w:rsidP="004B5225">
      <w:pPr>
        <w:spacing w:line="276" w:lineRule="auto"/>
        <w:rPr>
          <w:rFonts w:ascii="Arial" w:hAnsi="Arial" w:cs="Arial"/>
          <w:color w:val="000000" w:themeColor="text1"/>
          <w:sz w:val="18"/>
          <w:szCs w:val="20"/>
          <w:lang w:val="es-ES_tradnl" w:eastAsia="es-CO"/>
        </w:rPr>
      </w:pPr>
    </w:p>
    <w:p w14:paraId="2471CB40" w14:textId="0FCECBAF" w:rsidR="004B5225" w:rsidRPr="008F73D4" w:rsidRDefault="004B5225" w:rsidP="004B5225">
      <w:pPr>
        <w:spacing w:line="276" w:lineRule="auto"/>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B5225" w:rsidRPr="008F73D4" w14:paraId="49182F5E" w14:textId="77777777" w:rsidTr="00A71576">
        <w:trPr>
          <w:trHeight w:val="315"/>
        </w:trPr>
        <w:tc>
          <w:tcPr>
            <w:tcW w:w="812" w:type="dxa"/>
            <w:vAlign w:val="center"/>
            <w:hideMark/>
          </w:tcPr>
          <w:p w14:paraId="3C8F2872" w14:textId="77777777" w:rsidR="004B5225" w:rsidRPr="008F73D4" w:rsidRDefault="004B5225" w:rsidP="00A71576">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B0F8138" w14:textId="00E69B9D" w:rsidR="004B5225" w:rsidRPr="008F73D4" w:rsidRDefault="00933E32" w:rsidP="00A71576">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David Torres Rojas</w:t>
            </w:r>
          </w:p>
          <w:p w14:paraId="7CDD1915" w14:textId="77777777" w:rsidR="004B5225" w:rsidRPr="008F73D4" w:rsidRDefault="004B5225" w:rsidP="00A71576">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Contratista de la Subdirección de Gestión Contractual</w:t>
            </w:r>
          </w:p>
        </w:tc>
      </w:tr>
      <w:tr w:rsidR="004B5225" w:rsidRPr="008F73D4" w14:paraId="5A5FF28A" w14:textId="77777777" w:rsidTr="00A71576">
        <w:trPr>
          <w:trHeight w:val="330"/>
        </w:trPr>
        <w:tc>
          <w:tcPr>
            <w:tcW w:w="812" w:type="dxa"/>
            <w:vAlign w:val="center"/>
            <w:hideMark/>
          </w:tcPr>
          <w:p w14:paraId="3FDE02FD" w14:textId="77777777" w:rsidR="004B5225" w:rsidRPr="008F73D4" w:rsidRDefault="004B5225" w:rsidP="00A71576">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lastRenderedPageBreak/>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5705B92" w14:textId="77777777" w:rsidR="004B5225" w:rsidRDefault="002A3C41" w:rsidP="004B5225">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Alejandro Sarmiento Cantillo</w:t>
            </w:r>
          </w:p>
          <w:p w14:paraId="0F1CAE86" w14:textId="1430C184" w:rsidR="002A3C41" w:rsidRPr="008F73D4" w:rsidRDefault="002A3C41" w:rsidP="004B5225">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Gestor T1-11 de la Subdirección de Gestión Contractual</w:t>
            </w:r>
          </w:p>
        </w:tc>
      </w:tr>
      <w:tr w:rsidR="004B5225" w:rsidRPr="000C7C28" w14:paraId="1D927F2A" w14:textId="77777777" w:rsidTr="00A71576">
        <w:trPr>
          <w:trHeight w:val="300"/>
        </w:trPr>
        <w:tc>
          <w:tcPr>
            <w:tcW w:w="812" w:type="dxa"/>
            <w:vAlign w:val="center"/>
            <w:hideMark/>
          </w:tcPr>
          <w:p w14:paraId="2DE88A40" w14:textId="77777777" w:rsidR="004B5225" w:rsidRPr="008F73D4" w:rsidRDefault="004B5225" w:rsidP="00A71576">
            <w:pPr>
              <w:spacing w:line="276" w:lineRule="auto"/>
              <w:rPr>
                <w:rFonts w:ascii="Arial" w:hAnsi="Arial" w:cs="Arial"/>
                <w:color w:val="000000" w:themeColor="text1"/>
                <w:sz w:val="16"/>
                <w:szCs w:val="16"/>
                <w:lang w:val="es-ES_tradnl" w:eastAsia="es-ES"/>
              </w:rPr>
            </w:pPr>
            <w:r w:rsidRPr="008F73D4">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BFBD0B1" w14:textId="77777777" w:rsidR="00ED0B65" w:rsidRDefault="00ED0B65" w:rsidP="00ED0B65">
            <w:pPr>
              <w:rPr>
                <w:rFonts w:ascii="Arial" w:hAnsi="Arial" w:cs="Arial"/>
                <w:sz w:val="16"/>
                <w:szCs w:val="16"/>
                <w:lang w:eastAsia="es-ES"/>
              </w:rPr>
            </w:pPr>
            <w:r>
              <w:rPr>
                <w:rFonts w:ascii="Arial" w:hAnsi="Arial" w:cs="Arial"/>
                <w:sz w:val="16"/>
                <w:szCs w:val="16"/>
                <w:lang w:eastAsia="es-ES"/>
              </w:rPr>
              <w:t>Jorge Augusto Tirado Navarro</w:t>
            </w:r>
          </w:p>
          <w:p w14:paraId="745FE2F3" w14:textId="3681FDC7" w:rsidR="004B5225" w:rsidRPr="000C7C28" w:rsidRDefault="00ED0B65" w:rsidP="00ED0B65">
            <w:pPr>
              <w:spacing w:line="276" w:lineRule="auto"/>
              <w:rPr>
                <w:rFonts w:ascii="Arial" w:hAnsi="Arial" w:cs="Arial"/>
                <w:color w:val="000000" w:themeColor="text1"/>
                <w:sz w:val="16"/>
                <w:szCs w:val="16"/>
                <w:lang w:val="es-ES_tradnl" w:eastAsia="es-ES"/>
              </w:rPr>
            </w:pPr>
            <w:r>
              <w:rPr>
                <w:rFonts w:ascii="Arial" w:hAnsi="Arial" w:cs="Arial"/>
                <w:sz w:val="16"/>
                <w:szCs w:val="16"/>
                <w:lang w:eastAsia="es-ES"/>
              </w:rPr>
              <w:t>Subdirector de Gestión Contractual</w:t>
            </w:r>
          </w:p>
        </w:tc>
      </w:tr>
    </w:tbl>
    <w:p w14:paraId="18251D8A" w14:textId="77777777" w:rsidR="004B5225" w:rsidRPr="008F73D4" w:rsidRDefault="004B5225" w:rsidP="004B5225">
      <w:pPr>
        <w:pStyle w:val="NormalWeb"/>
        <w:spacing w:before="0" w:beforeAutospacing="0" w:after="0" w:afterAutospacing="0" w:line="276" w:lineRule="auto"/>
        <w:jc w:val="both"/>
        <w:rPr>
          <w:lang w:val="es-MX"/>
        </w:rPr>
      </w:pPr>
    </w:p>
    <w:p w14:paraId="62EB0236" w14:textId="77777777" w:rsidR="004B5225" w:rsidRPr="00991668" w:rsidRDefault="004B5225" w:rsidP="004B5225"/>
    <w:p w14:paraId="35B56F46" w14:textId="77777777" w:rsidR="00746E08" w:rsidRPr="005C1F67" w:rsidRDefault="00746E08" w:rsidP="004B5225">
      <w:pPr>
        <w:spacing w:before="120" w:after="120" w:line="276" w:lineRule="auto"/>
        <w:rPr>
          <w:rFonts w:ascii="Arial" w:eastAsia="Times New Roman" w:hAnsi="Arial" w:cs="Arial"/>
          <w:color w:val="000000" w:themeColor="text1"/>
          <w:sz w:val="22"/>
          <w:lang w:eastAsia="es-ES"/>
        </w:rPr>
      </w:pPr>
    </w:p>
    <w:sectPr w:rsidR="00746E08" w:rsidRPr="005C1F67" w:rsidSect="005D791B">
      <w:headerReference w:type="default" r:id="rId15"/>
      <w:footerReference w:type="default" r:id="rId16"/>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C543D" w14:textId="77777777" w:rsidR="00B71796" w:rsidRDefault="00B71796">
      <w:r>
        <w:separator/>
      </w:r>
    </w:p>
  </w:endnote>
  <w:endnote w:type="continuationSeparator" w:id="0">
    <w:p w14:paraId="4DE99DE4" w14:textId="77777777" w:rsidR="00B71796" w:rsidRDefault="00B71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BC0BA6" w:rsidRDefault="00BC0BA6" w:rsidP="00322937">
    <w:pPr>
      <w:pStyle w:val="Sinespaciado"/>
      <w:jc w:val="right"/>
      <w:rPr>
        <w:rFonts w:ascii="Arial" w:hAnsi="Arial" w:cs="Arial"/>
        <w:sz w:val="18"/>
        <w:szCs w:val="18"/>
      </w:rPr>
    </w:pPr>
  </w:p>
  <w:p w14:paraId="7A3785F3" w14:textId="4F059B2A" w:rsidR="00BC0BA6" w:rsidRPr="008217B7" w:rsidRDefault="00BC0BA6"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813E0">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813E0">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48FC6A04" w14:textId="5FD1A7C9" w:rsidR="00BC0BA6" w:rsidRDefault="7C582402" w:rsidP="00322937">
    <w:pPr>
      <w:pStyle w:val="Piedepgina"/>
      <w:jc w:val="center"/>
      <w:rPr>
        <w:lang w:val="es-ES"/>
      </w:rPr>
    </w:pPr>
    <w:r>
      <w:rPr>
        <w:noProof/>
      </w:rPr>
      <w:drawing>
        <wp:inline distT="0" distB="0" distL="0" distR="0" wp14:anchorId="608B196D" wp14:editId="2B02DC45">
          <wp:extent cx="3700130" cy="519139"/>
          <wp:effectExtent l="0" t="0" r="0" b="0"/>
          <wp:docPr id="87309386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C0EFC49" w14:textId="77777777" w:rsidR="00BC0BA6" w:rsidRPr="007B0854" w:rsidRDefault="00BC0BA6" w:rsidP="00814C21">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529EC" w14:textId="77777777" w:rsidR="00B71796" w:rsidRDefault="00B71796">
      <w:r>
        <w:separator/>
      </w:r>
    </w:p>
  </w:footnote>
  <w:footnote w:type="continuationSeparator" w:id="0">
    <w:p w14:paraId="05093B0C" w14:textId="77777777" w:rsidR="00B71796" w:rsidRDefault="00B71796">
      <w:r>
        <w:continuationSeparator/>
      </w:r>
    </w:p>
  </w:footnote>
  <w:footnote w:id="1">
    <w:p w14:paraId="4A3D2C43" w14:textId="77777777" w:rsidR="00BC0BA6" w:rsidRPr="005C1F67" w:rsidRDefault="00BC0BA6" w:rsidP="00441244">
      <w:pPr>
        <w:ind w:firstLine="709"/>
        <w:jc w:val="both"/>
        <w:rPr>
          <w:rFonts w:ascii="Arial" w:hAnsi="Arial" w:cs="Arial"/>
          <w:color w:val="000000" w:themeColor="text1"/>
          <w:sz w:val="19"/>
          <w:szCs w:val="19"/>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«Art. 45. De los contratos adicionales. Cuando por circunstancias especiales haya necesidad de modificar el plazo o el valor convenidos, y no se trate de reajuste de precios previstos en este estatuto, la entidad interesada suscribirá un contrato adicional que no podrá exceder la mitad de la cuantía originalmente pactada más los reajustes que se hubieren efectuado. </w:t>
      </w:r>
      <w:r w:rsidRPr="005C1F67">
        <w:rPr>
          <w:rFonts w:ascii="Arial" w:hAnsi="Arial" w:cs="Arial"/>
          <w:i/>
          <w:color w:val="000000" w:themeColor="text1"/>
          <w:sz w:val="19"/>
          <w:szCs w:val="19"/>
        </w:rPr>
        <w:t>Las adiciones relacionadas con el valor</w:t>
      </w:r>
      <w:r w:rsidRPr="005C1F67">
        <w:rPr>
          <w:rFonts w:ascii="Arial" w:hAnsi="Arial" w:cs="Arial"/>
          <w:color w:val="000000" w:themeColor="text1"/>
          <w:sz w:val="19"/>
          <w:szCs w:val="19"/>
        </w:rPr>
        <w:t xml:space="preserve"> quedarán perfeccionadas con la firma del jefe de la entidad contratante, previo registro presupuestal, adición y prórroga de las garantías otorgadas y pago de los impuestos correspondientes. </w:t>
      </w:r>
      <w:r w:rsidRPr="005C1F67">
        <w:rPr>
          <w:rFonts w:ascii="Arial" w:hAnsi="Arial" w:cs="Arial"/>
          <w:i/>
          <w:color w:val="000000" w:themeColor="text1"/>
          <w:sz w:val="19"/>
          <w:szCs w:val="19"/>
        </w:rPr>
        <w:t>Las relacionadas con el plazo</w:t>
      </w:r>
      <w:r w:rsidRPr="005C1F67">
        <w:rPr>
          <w:rFonts w:ascii="Arial" w:hAnsi="Arial" w:cs="Arial"/>
          <w:color w:val="000000" w:themeColor="text1"/>
          <w:sz w:val="19"/>
          <w:szCs w:val="19"/>
        </w:rPr>
        <w:t xml:space="preserve"> sólo requerirán firma del jefe de la entidad contratante y prórroga de las garantías».</w:t>
      </w:r>
    </w:p>
    <w:p w14:paraId="27D7E9EC" w14:textId="77777777" w:rsidR="00BC0BA6" w:rsidRPr="005C1F67" w:rsidRDefault="00BC0BA6" w:rsidP="00441244">
      <w:pPr>
        <w:ind w:firstLine="709"/>
        <w:jc w:val="both"/>
        <w:rPr>
          <w:rFonts w:ascii="Arial" w:hAnsi="Arial" w:cs="Arial"/>
          <w:color w:val="000000" w:themeColor="text1"/>
          <w:sz w:val="19"/>
          <w:szCs w:val="19"/>
        </w:rPr>
      </w:pPr>
    </w:p>
  </w:footnote>
  <w:footnote w:id="2">
    <w:p w14:paraId="3FEF380F" w14:textId="528C5F36" w:rsidR="00441244" w:rsidRPr="005C1F67" w:rsidRDefault="00441244" w:rsidP="00441244">
      <w:pPr>
        <w:pStyle w:val="NormalWeb"/>
        <w:spacing w:before="0" w:beforeAutospacing="0" w:after="0" w:afterAutospacing="0"/>
        <w:ind w:firstLine="708"/>
        <w:jc w:val="both"/>
        <w:rPr>
          <w:rFonts w:ascii="Arial" w:hAnsi="Arial" w:cs="Arial"/>
          <w:color w:val="000000" w:themeColor="text1"/>
          <w:sz w:val="19"/>
          <w:szCs w:val="19"/>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«Artículo 58. De los contratos adicionales. Salvo lo dispuesto en el título IV, cuando haya necesidad de modificar el plazo o el valor convenido y no se tratare de la revisión de precios prevista en este estatuto, se suscribirá un contrato adicional que no podrá exceder la cifra resultante de sumar la mitad de la cuantía originalmente pactada más el valor de los reajustes que se hubieren efectuado a la fecha de acordarse la suscripción del contrato adicional. </w:t>
      </w:r>
    </w:p>
    <w:p w14:paraId="42BA54EF" w14:textId="7E84AE14" w:rsidR="00441244" w:rsidRPr="005C1F67" w:rsidRDefault="00441244" w:rsidP="00441244">
      <w:pPr>
        <w:ind w:firstLine="708"/>
        <w:jc w:val="both"/>
        <w:rPr>
          <w:rFonts w:ascii="Arial" w:eastAsia="Times New Roman" w:hAnsi="Arial" w:cs="Arial"/>
          <w:color w:val="000000" w:themeColor="text1"/>
          <w:sz w:val="19"/>
          <w:szCs w:val="19"/>
          <w:lang w:val="es-CO" w:eastAsia="es-CO"/>
        </w:rPr>
      </w:pPr>
      <w:proofErr w:type="gramStart"/>
      <w:r w:rsidRPr="005C1F67">
        <w:rPr>
          <w:rFonts w:ascii="Arial" w:eastAsia="Times New Roman" w:hAnsi="Arial" w:cs="Arial"/>
          <w:color w:val="000000" w:themeColor="text1"/>
          <w:sz w:val="19"/>
          <w:szCs w:val="19"/>
          <w:lang w:val="es-CO" w:eastAsia="es-CO"/>
        </w:rPr>
        <w:t>»Las</w:t>
      </w:r>
      <w:proofErr w:type="gramEnd"/>
      <w:r w:rsidRPr="005C1F67">
        <w:rPr>
          <w:rFonts w:ascii="Arial" w:eastAsia="Times New Roman" w:hAnsi="Arial" w:cs="Arial"/>
          <w:color w:val="000000" w:themeColor="text1"/>
          <w:sz w:val="19"/>
          <w:szCs w:val="19"/>
          <w:lang w:val="es-CO" w:eastAsia="es-CO"/>
        </w:rPr>
        <w:t xml:space="preserve"> adiciones relacionadas con el valor quedarán perfeccionadas una vez suscrito el contrato y efectuado el registro presupuestal. Las relaciones con el plazo sólo requerirán firma del jefe de la entidad contratante y prórroga de las garantías. </w:t>
      </w:r>
    </w:p>
    <w:p w14:paraId="573A4C17" w14:textId="43172B5A" w:rsidR="00441244" w:rsidRPr="005C1F67" w:rsidRDefault="00441244" w:rsidP="00441244">
      <w:pPr>
        <w:jc w:val="both"/>
        <w:rPr>
          <w:rFonts w:ascii="Arial" w:eastAsia="Times New Roman" w:hAnsi="Arial" w:cs="Arial"/>
          <w:color w:val="000000" w:themeColor="text1"/>
          <w:sz w:val="19"/>
          <w:szCs w:val="19"/>
          <w:lang w:val="es-CO" w:eastAsia="es-CO"/>
        </w:rPr>
      </w:pPr>
      <w:r w:rsidRPr="005C1F67">
        <w:rPr>
          <w:rFonts w:ascii="Arial" w:eastAsia="Times New Roman" w:hAnsi="Arial" w:cs="Arial"/>
          <w:color w:val="000000" w:themeColor="text1"/>
          <w:sz w:val="19"/>
          <w:szCs w:val="19"/>
          <w:lang w:val="es-CO" w:eastAsia="es-CO"/>
        </w:rPr>
        <w:t>  </w:t>
      </w:r>
      <w:r w:rsidRPr="005C1F67">
        <w:rPr>
          <w:rFonts w:ascii="Arial" w:eastAsia="Times New Roman" w:hAnsi="Arial" w:cs="Arial"/>
          <w:color w:val="000000" w:themeColor="text1"/>
          <w:sz w:val="19"/>
          <w:szCs w:val="19"/>
          <w:lang w:val="es-CO" w:eastAsia="es-CO"/>
        </w:rPr>
        <w:tab/>
      </w:r>
      <w:proofErr w:type="gramStart"/>
      <w:r w:rsidRPr="005C1F67">
        <w:rPr>
          <w:rFonts w:ascii="Arial" w:eastAsia="Times New Roman" w:hAnsi="Arial" w:cs="Arial"/>
          <w:color w:val="000000" w:themeColor="text1"/>
          <w:sz w:val="19"/>
          <w:szCs w:val="19"/>
          <w:lang w:val="es-CO" w:eastAsia="es-CO"/>
        </w:rPr>
        <w:t>»Serán</w:t>
      </w:r>
      <w:proofErr w:type="gramEnd"/>
      <w:r w:rsidRPr="005C1F67">
        <w:rPr>
          <w:rFonts w:ascii="Arial" w:eastAsia="Times New Roman" w:hAnsi="Arial" w:cs="Arial"/>
          <w:color w:val="000000" w:themeColor="text1"/>
          <w:sz w:val="19"/>
          <w:szCs w:val="19"/>
          <w:lang w:val="es-CO" w:eastAsia="es-CO"/>
        </w:rPr>
        <w:t xml:space="preserve"> requisitos para que pueda iniciarse la ejecución del contrato, la adición y prórroga de las garantías y el pago de los impuestos correspondientes. </w:t>
      </w:r>
    </w:p>
    <w:p w14:paraId="17ADB1D8" w14:textId="6AE6FFB9" w:rsidR="00441244" w:rsidRPr="005C1F67" w:rsidRDefault="00441244" w:rsidP="00441244">
      <w:pPr>
        <w:jc w:val="both"/>
        <w:rPr>
          <w:rFonts w:ascii="Arial" w:eastAsia="Times New Roman" w:hAnsi="Arial" w:cs="Arial"/>
          <w:color w:val="000000" w:themeColor="text1"/>
          <w:sz w:val="19"/>
          <w:szCs w:val="19"/>
          <w:lang w:val="es-CO" w:eastAsia="es-CO"/>
        </w:rPr>
      </w:pPr>
      <w:r w:rsidRPr="005C1F67">
        <w:rPr>
          <w:rFonts w:ascii="Arial" w:eastAsia="Times New Roman" w:hAnsi="Arial" w:cs="Arial"/>
          <w:color w:val="000000" w:themeColor="text1"/>
          <w:sz w:val="19"/>
          <w:szCs w:val="19"/>
          <w:lang w:val="es-CO" w:eastAsia="es-CO"/>
        </w:rPr>
        <w:t>  </w:t>
      </w:r>
      <w:r w:rsidRPr="005C1F67">
        <w:rPr>
          <w:rFonts w:ascii="Arial" w:eastAsia="Times New Roman" w:hAnsi="Arial" w:cs="Arial"/>
          <w:color w:val="000000" w:themeColor="text1"/>
          <w:sz w:val="19"/>
          <w:szCs w:val="19"/>
          <w:lang w:val="es-CO" w:eastAsia="es-CO"/>
        </w:rPr>
        <w:tab/>
      </w:r>
      <w:proofErr w:type="gramStart"/>
      <w:r w:rsidRPr="005C1F67">
        <w:rPr>
          <w:rFonts w:ascii="Arial" w:eastAsia="Times New Roman" w:hAnsi="Arial" w:cs="Arial"/>
          <w:color w:val="000000" w:themeColor="text1"/>
          <w:sz w:val="19"/>
          <w:szCs w:val="19"/>
          <w:lang w:val="es-CO" w:eastAsia="es-CO"/>
        </w:rPr>
        <w:t>»Los</w:t>
      </w:r>
      <w:proofErr w:type="gramEnd"/>
      <w:r w:rsidRPr="005C1F67">
        <w:rPr>
          <w:rFonts w:ascii="Arial" w:eastAsia="Times New Roman" w:hAnsi="Arial" w:cs="Arial"/>
          <w:color w:val="000000" w:themeColor="text1"/>
          <w:sz w:val="19"/>
          <w:szCs w:val="19"/>
          <w:lang w:val="es-CO" w:eastAsia="es-CO"/>
        </w:rPr>
        <w:t xml:space="preserve"> contratos de interventoría, administración delegada, y consultoría previstos en este estatuto, podrán adicionarse sin el límite fijado en el presente artículo. </w:t>
      </w:r>
    </w:p>
    <w:p w14:paraId="0EC128F7" w14:textId="3AED48DB" w:rsidR="00441244" w:rsidRPr="005C1F67" w:rsidRDefault="00441244" w:rsidP="00441244">
      <w:pPr>
        <w:jc w:val="both"/>
        <w:rPr>
          <w:rFonts w:ascii="Arial" w:eastAsia="Times New Roman" w:hAnsi="Arial" w:cs="Arial"/>
          <w:color w:val="000000" w:themeColor="text1"/>
          <w:sz w:val="19"/>
          <w:szCs w:val="19"/>
          <w:lang w:val="es-CO" w:eastAsia="es-CO"/>
        </w:rPr>
      </w:pPr>
      <w:r w:rsidRPr="005C1F67">
        <w:rPr>
          <w:rFonts w:ascii="Arial" w:eastAsia="Times New Roman" w:hAnsi="Arial" w:cs="Arial"/>
          <w:color w:val="000000" w:themeColor="text1"/>
          <w:sz w:val="19"/>
          <w:szCs w:val="19"/>
          <w:lang w:val="es-CO" w:eastAsia="es-CO"/>
        </w:rPr>
        <w:t>  </w:t>
      </w:r>
      <w:r w:rsidRPr="005C1F67">
        <w:rPr>
          <w:rFonts w:ascii="Arial" w:eastAsia="Times New Roman" w:hAnsi="Arial" w:cs="Arial"/>
          <w:color w:val="000000" w:themeColor="text1"/>
          <w:sz w:val="19"/>
          <w:szCs w:val="19"/>
          <w:lang w:val="es-CO" w:eastAsia="es-CO"/>
        </w:rPr>
        <w:tab/>
      </w:r>
      <w:proofErr w:type="gramStart"/>
      <w:r w:rsidRPr="005C1F67">
        <w:rPr>
          <w:rFonts w:ascii="Arial" w:eastAsia="Times New Roman" w:hAnsi="Arial" w:cs="Arial"/>
          <w:color w:val="000000" w:themeColor="text1"/>
          <w:sz w:val="19"/>
          <w:szCs w:val="19"/>
          <w:lang w:val="es-CO" w:eastAsia="es-CO"/>
        </w:rPr>
        <w:t>»Las</w:t>
      </w:r>
      <w:proofErr w:type="gramEnd"/>
      <w:r w:rsidRPr="005C1F67">
        <w:rPr>
          <w:rFonts w:ascii="Arial" w:eastAsia="Times New Roman" w:hAnsi="Arial" w:cs="Arial"/>
          <w:color w:val="000000" w:themeColor="text1"/>
          <w:sz w:val="19"/>
          <w:szCs w:val="19"/>
          <w:lang w:val="es-CO" w:eastAsia="es-CO"/>
        </w:rPr>
        <w:t xml:space="preserve"> adiciones deberán publicarse en el Diario oficial. </w:t>
      </w:r>
    </w:p>
    <w:p w14:paraId="68810344" w14:textId="3C10BBB9" w:rsidR="00441244" w:rsidRPr="005C1F67" w:rsidRDefault="00441244" w:rsidP="00441244">
      <w:pPr>
        <w:jc w:val="both"/>
        <w:rPr>
          <w:rFonts w:ascii="Arial" w:eastAsia="Times New Roman" w:hAnsi="Arial" w:cs="Arial"/>
          <w:color w:val="000000" w:themeColor="text1"/>
          <w:sz w:val="19"/>
          <w:szCs w:val="19"/>
          <w:lang w:val="es-CO" w:eastAsia="es-CO"/>
        </w:rPr>
      </w:pPr>
      <w:r w:rsidRPr="005C1F67">
        <w:rPr>
          <w:rFonts w:ascii="Arial" w:eastAsia="Times New Roman" w:hAnsi="Arial" w:cs="Arial"/>
          <w:color w:val="000000" w:themeColor="text1"/>
          <w:sz w:val="19"/>
          <w:szCs w:val="19"/>
          <w:lang w:val="es-CO" w:eastAsia="es-CO"/>
        </w:rPr>
        <w:t>  </w:t>
      </w:r>
      <w:r w:rsidRPr="005C1F67">
        <w:rPr>
          <w:rFonts w:ascii="Arial" w:eastAsia="Times New Roman" w:hAnsi="Arial" w:cs="Arial"/>
          <w:color w:val="000000" w:themeColor="text1"/>
          <w:sz w:val="19"/>
          <w:szCs w:val="19"/>
          <w:lang w:val="es-CO" w:eastAsia="es-CO"/>
        </w:rPr>
        <w:tab/>
      </w:r>
      <w:proofErr w:type="gramStart"/>
      <w:r w:rsidRPr="005C1F67">
        <w:rPr>
          <w:rFonts w:ascii="Arial" w:eastAsia="Times New Roman" w:hAnsi="Arial" w:cs="Arial"/>
          <w:color w:val="000000" w:themeColor="text1"/>
          <w:sz w:val="19"/>
          <w:szCs w:val="19"/>
          <w:lang w:val="es-CO" w:eastAsia="es-CO"/>
        </w:rPr>
        <w:t>»En</w:t>
      </w:r>
      <w:proofErr w:type="gramEnd"/>
      <w:r w:rsidRPr="005C1F67">
        <w:rPr>
          <w:rFonts w:ascii="Arial" w:eastAsia="Times New Roman" w:hAnsi="Arial" w:cs="Arial"/>
          <w:color w:val="000000" w:themeColor="text1"/>
          <w:sz w:val="19"/>
          <w:szCs w:val="19"/>
          <w:lang w:val="es-CO" w:eastAsia="es-CO"/>
        </w:rPr>
        <w:t xml:space="preserve"> ningún caso podrá modificarse el objeto de los contratos, ni prorrogarse su plazo si estuviere vencido, so pretexto de la celebración de contratos adicionales, ni pactarse prórrogas automáticas. </w:t>
      </w:r>
    </w:p>
    <w:p w14:paraId="68A3D5F9" w14:textId="034C2084" w:rsidR="00441244" w:rsidRPr="005C1F67" w:rsidRDefault="00441244" w:rsidP="00441244">
      <w:pPr>
        <w:jc w:val="both"/>
        <w:rPr>
          <w:rFonts w:ascii="Arial" w:eastAsia="Times New Roman" w:hAnsi="Arial" w:cs="Arial"/>
          <w:color w:val="000000" w:themeColor="text1"/>
          <w:sz w:val="19"/>
          <w:szCs w:val="19"/>
          <w:lang w:val="es-CO" w:eastAsia="es-CO"/>
        </w:rPr>
      </w:pPr>
      <w:r w:rsidRPr="005C1F67">
        <w:rPr>
          <w:rFonts w:ascii="Arial" w:eastAsia="Times New Roman" w:hAnsi="Arial" w:cs="Arial"/>
          <w:color w:val="000000" w:themeColor="text1"/>
          <w:sz w:val="19"/>
          <w:szCs w:val="19"/>
          <w:lang w:val="es-CO" w:eastAsia="es-CO"/>
        </w:rPr>
        <w:t>  </w:t>
      </w:r>
      <w:r w:rsidRPr="005C1F67">
        <w:rPr>
          <w:rFonts w:ascii="Arial" w:eastAsia="Times New Roman" w:hAnsi="Arial" w:cs="Arial"/>
          <w:color w:val="000000" w:themeColor="text1"/>
          <w:sz w:val="19"/>
          <w:szCs w:val="19"/>
          <w:lang w:val="es-CO" w:eastAsia="es-CO"/>
        </w:rPr>
        <w:tab/>
      </w:r>
      <w:proofErr w:type="gramStart"/>
      <w:r w:rsidRPr="005C1F67">
        <w:rPr>
          <w:rFonts w:ascii="Arial" w:eastAsia="Times New Roman" w:hAnsi="Arial" w:cs="Arial"/>
          <w:color w:val="000000" w:themeColor="text1"/>
          <w:sz w:val="19"/>
          <w:szCs w:val="19"/>
          <w:lang w:val="es-CO" w:eastAsia="es-CO"/>
        </w:rPr>
        <w:t>»Parágrafo</w:t>
      </w:r>
      <w:proofErr w:type="gramEnd"/>
      <w:r w:rsidRPr="005C1F67">
        <w:rPr>
          <w:rFonts w:ascii="Arial" w:eastAsia="Times New Roman" w:hAnsi="Arial" w:cs="Arial"/>
          <w:color w:val="000000" w:themeColor="text1"/>
          <w:sz w:val="19"/>
          <w:szCs w:val="19"/>
          <w:lang w:val="es-CO" w:eastAsia="es-CO"/>
        </w:rPr>
        <w:t>. Los contratos de empréstito distintos a los créditos de proveedores, no se someterán a lo dispuesto en este artículo».</w:t>
      </w:r>
    </w:p>
    <w:p w14:paraId="4CA7A381" w14:textId="7054B2DB" w:rsidR="00441244" w:rsidRPr="005C1F67" w:rsidRDefault="00441244" w:rsidP="00441244">
      <w:pPr>
        <w:pStyle w:val="Textonotapie"/>
        <w:ind w:firstLine="708"/>
        <w:rPr>
          <w:rFonts w:ascii="Arial" w:hAnsi="Arial" w:cs="Arial"/>
          <w:color w:val="000000" w:themeColor="text1"/>
          <w:sz w:val="19"/>
          <w:szCs w:val="19"/>
        </w:rPr>
      </w:pPr>
    </w:p>
  </w:footnote>
  <w:footnote w:id="3">
    <w:p w14:paraId="2135C593" w14:textId="77777777" w:rsidR="00BC0BA6" w:rsidRPr="005C1F67" w:rsidRDefault="00BC0BA6" w:rsidP="00441244">
      <w:pPr>
        <w:pStyle w:val="Textonotapie"/>
        <w:ind w:firstLine="709"/>
        <w:jc w:val="both"/>
        <w:rPr>
          <w:rFonts w:ascii="Arial" w:hAnsi="Arial" w:cs="Arial"/>
          <w:color w:val="000000" w:themeColor="text1"/>
          <w:sz w:val="19"/>
          <w:szCs w:val="19"/>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Lo anterior sin desconocer: i) que la Ley 80 de 1993 en el artículo 36 y 37 estableció la posibilidad de prorrogar el término de duración de las concesiones para la prestación de los servicios y actividades de telecomunicaciones, al igual que en relación con la concesión de servicios postales; y ii) dicha ley utiliza en varios lugares el concepto prórroga como la posibilidad de ampliar ciertos plazos, referidos a determinadas etapas de la etapa precontractual –arts. 30.4, 30.5 y 30.9-.</w:t>
      </w:r>
    </w:p>
  </w:footnote>
  <w:footnote w:id="4">
    <w:p w14:paraId="26E94CC7" w14:textId="77777777" w:rsidR="00BC0BA6" w:rsidRPr="005C1F67" w:rsidRDefault="00BC0BA6" w:rsidP="00441244">
      <w:pPr>
        <w:pStyle w:val="Textonotapie"/>
        <w:ind w:firstLine="709"/>
        <w:jc w:val="both"/>
        <w:rPr>
          <w:rFonts w:ascii="Arial" w:hAnsi="Arial" w:cs="Arial"/>
          <w:color w:val="000000" w:themeColor="text1"/>
          <w:sz w:val="19"/>
          <w:szCs w:val="19"/>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En igual sentido se pronunció la Corte Suprema de Justicia. Sala de Casación Civil. En Sentencia del 30 de agosto de 2011, M.P. William Namén Vargas. Rad. 1999-01957: «La renovación no se confunde con la prórroga del contrato, ‘el renovado es uno nuevo’ (Corte Suprema de Justicia, Sala Plena, sentencia de 20 de noviembre de 1971, CXXXVIII, 482 y ss; cas. civ. sentencias de 24 de septiembre de 1985 CLXXX, 431; 31 de octubre de 1994, exp. 3868; 7 de julio de 1998, rad. 10825; 8 de octubre de 1997, exp. 4818; 27 de julio de 2001, exp. 5860; 24 de septiembre de 2001, exp. 5876, 14 de abril de 2008, 2001 00082 01), y el prorrogado el mismo. La prórroga mantiene idéntico el contrato, no se presenta más sino por acuerdo anterior al vencimiento del plazo y lo continúa en las condiciones primarias por un período igual (artículos 218 [1], 520, 829, 1425 [“prorrogado por un período igual”], 1510, 1685, 1686, 1712, 1891C. de Co)». (corchetes y paréntesis propios del original). </w:t>
      </w:r>
    </w:p>
    <w:p w14:paraId="5F3346DB" w14:textId="77777777" w:rsidR="00BC0BA6" w:rsidRPr="005C1F67" w:rsidRDefault="00BC0BA6" w:rsidP="00441244">
      <w:pPr>
        <w:pStyle w:val="Textonotapie"/>
        <w:ind w:firstLine="709"/>
        <w:jc w:val="both"/>
        <w:rPr>
          <w:rFonts w:ascii="Arial" w:hAnsi="Arial" w:cs="Arial"/>
          <w:color w:val="000000" w:themeColor="text1"/>
          <w:sz w:val="19"/>
          <w:szCs w:val="19"/>
        </w:rPr>
      </w:pPr>
    </w:p>
  </w:footnote>
  <w:footnote w:id="5">
    <w:p w14:paraId="47A9D53E" w14:textId="77777777" w:rsidR="00EE3D2D" w:rsidRDefault="00BC0BA6" w:rsidP="00441244">
      <w:pPr>
        <w:pStyle w:val="Textonotapie"/>
        <w:ind w:firstLine="709"/>
        <w:jc w:val="both"/>
        <w:rPr>
          <w:rFonts w:ascii="Arial" w:hAnsi="Arial" w:cs="Arial"/>
          <w:color w:val="000000" w:themeColor="text1"/>
          <w:sz w:val="19"/>
          <w:szCs w:val="19"/>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MARÍN CORTÉS, Fabián G. El precio.</w:t>
      </w:r>
      <w:r w:rsidRPr="005C1F67">
        <w:rPr>
          <w:rFonts w:ascii="Arial" w:hAnsi="Arial" w:cs="Arial"/>
          <w:i/>
          <w:color w:val="000000" w:themeColor="text1"/>
          <w:sz w:val="19"/>
          <w:szCs w:val="19"/>
        </w:rPr>
        <w:t xml:space="preserve"> </w:t>
      </w:r>
      <w:r w:rsidRPr="005C1F67">
        <w:rPr>
          <w:rFonts w:ascii="Arial" w:hAnsi="Arial" w:cs="Arial"/>
          <w:color w:val="000000" w:themeColor="text1"/>
          <w:sz w:val="19"/>
          <w:szCs w:val="19"/>
        </w:rPr>
        <w:t>Serie: Las Cláusulas del Contrato Estatal. Medellín: Librería jurídica Sánchez y Centro de Estudios de Derecho Administrativo ―CEDA―, 2012. p. 227 y 228</w:t>
      </w:r>
    </w:p>
    <w:p w14:paraId="4D323439" w14:textId="64DE8539" w:rsidR="00BC0BA6" w:rsidRPr="005C1F67" w:rsidRDefault="00BC0BA6" w:rsidP="00441244">
      <w:pPr>
        <w:pStyle w:val="Textonotapie"/>
        <w:ind w:firstLine="709"/>
        <w:jc w:val="both"/>
        <w:rPr>
          <w:rFonts w:ascii="Arial" w:hAnsi="Arial" w:cs="Arial"/>
          <w:color w:val="000000" w:themeColor="text1"/>
          <w:sz w:val="19"/>
          <w:szCs w:val="19"/>
        </w:rPr>
      </w:pPr>
      <w:r w:rsidRPr="005C1F67">
        <w:rPr>
          <w:rFonts w:ascii="Arial" w:hAnsi="Arial" w:cs="Arial"/>
          <w:color w:val="000000" w:themeColor="text1"/>
          <w:sz w:val="19"/>
          <w:szCs w:val="19"/>
        </w:rPr>
        <w:t>.</w:t>
      </w:r>
    </w:p>
  </w:footnote>
  <w:footnote w:id="6">
    <w:p w14:paraId="1EA068D0" w14:textId="77777777" w:rsidR="004F3082" w:rsidRPr="00466E14" w:rsidRDefault="004F3082" w:rsidP="004F3082">
      <w:pPr>
        <w:pStyle w:val="Textonotapie"/>
        <w:ind w:firstLine="708"/>
        <w:jc w:val="both"/>
        <w:rPr>
          <w:rFonts w:ascii="Arial" w:hAnsi="Arial" w:cs="Arial"/>
          <w:color w:val="000000" w:themeColor="text1"/>
          <w:sz w:val="19"/>
          <w:szCs w:val="19"/>
        </w:rPr>
      </w:pPr>
      <w:r w:rsidRPr="00466E14">
        <w:rPr>
          <w:rStyle w:val="Refdenotaalpie"/>
          <w:rFonts w:ascii="Arial" w:hAnsi="Arial" w:cs="Arial"/>
          <w:color w:val="000000" w:themeColor="text1"/>
          <w:sz w:val="19"/>
          <w:szCs w:val="19"/>
        </w:rPr>
        <w:footnoteRef/>
      </w:r>
      <w:r w:rsidRPr="00466E14">
        <w:rPr>
          <w:rFonts w:ascii="Arial" w:hAnsi="Arial" w:cs="Arial"/>
          <w:color w:val="000000" w:themeColor="text1"/>
          <w:sz w:val="19"/>
          <w:szCs w:val="19"/>
        </w:rPr>
        <w:t xml:space="preserve"> DÁVILA VINUEZA. Luis Guillermo. </w:t>
      </w:r>
      <w:r w:rsidRPr="00466E14">
        <w:rPr>
          <w:rFonts w:ascii="Arial" w:hAnsi="Arial" w:cs="Arial"/>
          <w:iCs/>
          <w:color w:val="000000" w:themeColor="text1"/>
          <w:sz w:val="19"/>
          <w:szCs w:val="19"/>
        </w:rPr>
        <w:t>Régimen jurídico de la contratación estatal. Aproximación crítica a la Ley 80 de 1993.</w:t>
      </w:r>
      <w:r w:rsidRPr="00466E14">
        <w:rPr>
          <w:rFonts w:ascii="Arial" w:hAnsi="Arial" w:cs="Arial"/>
          <w:color w:val="000000" w:themeColor="text1"/>
          <w:sz w:val="19"/>
          <w:szCs w:val="19"/>
        </w:rPr>
        <w:t xml:space="preserve"> 2ª ed. Bogotá: Legis, 2003.</w:t>
      </w:r>
    </w:p>
    <w:p w14:paraId="0AE1C769" w14:textId="77777777" w:rsidR="004F3082" w:rsidRPr="00466E14" w:rsidRDefault="004F3082" w:rsidP="004F3082">
      <w:pPr>
        <w:pStyle w:val="Textonotapie"/>
        <w:ind w:firstLine="708"/>
        <w:jc w:val="both"/>
        <w:rPr>
          <w:rFonts w:ascii="Arial" w:hAnsi="Arial" w:cs="Arial"/>
          <w:color w:val="000000" w:themeColor="text1"/>
          <w:sz w:val="19"/>
          <w:szCs w:val="19"/>
          <w:lang w:val="es-CO"/>
        </w:rPr>
      </w:pPr>
    </w:p>
  </w:footnote>
  <w:footnote w:id="7">
    <w:p w14:paraId="7ADD9406" w14:textId="0016BBCB" w:rsidR="00D075A9" w:rsidRPr="005C1F67" w:rsidRDefault="00D075A9" w:rsidP="00441244">
      <w:pPr>
        <w:pStyle w:val="Textonotapie"/>
        <w:ind w:firstLine="708"/>
        <w:jc w:val="both"/>
        <w:rPr>
          <w:rFonts w:ascii="Arial" w:hAnsi="Arial" w:cs="Arial"/>
          <w:color w:val="000000" w:themeColor="text1"/>
          <w:sz w:val="19"/>
          <w:szCs w:val="19"/>
          <w:lang w:val="es-CO"/>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Lo anterior, sin perjuicio de lo prescrito por la Ley 1474 de 2011, que en su artículo 85, en relación con los contratos de interventoría, excepciona la aplicación de la restricción analizada, de manera que podrán adicionarse sin importar su monto: «Artículo 85. Continuidad de la interventoría. Los contratos de interventoría podrán prorrogarse por el mismo plazo que se haya prorrogado el contrato objeto de vigilancia. En tal caso el valor podrá ajustarse en atención a las obligaciones del objeto de interventoría, sin que resulte aplicable lo dispuesto en el parágrafo del artículo 40 de la Ley 80 de 1993».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BC0BA6" w:rsidRDefault="00BC0BA6">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C52E1320"/>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4502520"/>
    <w:multiLevelType w:val="hybridMultilevel"/>
    <w:tmpl w:val="AB0A199A"/>
    <w:lvl w:ilvl="0" w:tplc="9290192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E52063"/>
    <w:multiLevelType w:val="hybridMultilevel"/>
    <w:tmpl w:val="19AC50DA"/>
    <w:lvl w:ilvl="0" w:tplc="7108DDCA">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740B2061"/>
    <w:multiLevelType w:val="multilevel"/>
    <w:tmpl w:val="EEA85A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5"/>
  </w:num>
  <w:num w:numId="4">
    <w:abstractNumId w:val="6"/>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5419"/>
    <w:rsid w:val="00012DCA"/>
    <w:rsid w:val="00030BF5"/>
    <w:rsid w:val="000362BD"/>
    <w:rsid w:val="000771A3"/>
    <w:rsid w:val="00084B97"/>
    <w:rsid w:val="00087342"/>
    <w:rsid w:val="0009150D"/>
    <w:rsid w:val="000929B3"/>
    <w:rsid w:val="000942EB"/>
    <w:rsid w:val="000B103F"/>
    <w:rsid w:val="000C34DB"/>
    <w:rsid w:val="000D0296"/>
    <w:rsid w:val="000E5B35"/>
    <w:rsid w:val="000F14E8"/>
    <w:rsid w:val="000F6B0C"/>
    <w:rsid w:val="00103915"/>
    <w:rsid w:val="001103D6"/>
    <w:rsid w:val="00122B23"/>
    <w:rsid w:val="00137474"/>
    <w:rsid w:val="001374A8"/>
    <w:rsid w:val="00137FFA"/>
    <w:rsid w:val="00174E30"/>
    <w:rsid w:val="001860FB"/>
    <w:rsid w:val="001B0444"/>
    <w:rsid w:val="001B3C91"/>
    <w:rsid w:val="001D4D14"/>
    <w:rsid w:val="001E663F"/>
    <w:rsid w:val="001E7A7B"/>
    <w:rsid w:val="0020632A"/>
    <w:rsid w:val="002110EB"/>
    <w:rsid w:val="00211338"/>
    <w:rsid w:val="00234B84"/>
    <w:rsid w:val="00247B09"/>
    <w:rsid w:val="00256435"/>
    <w:rsid w:val="0025709D"/>
    <w:rsid w:val="00263051"/>
    <w:rsid w:val="0027028A"/>
    <w:rsid w:val="00275E59"/>
    <w:rsid w:val="002835E0"/>
    <w:rsid w:val="00296479"/>
    <w:rsid w:val="002A3C41"/>
    <w:rsid w:val="002C2585"/>
    <w:rsid w:val="002C4C0C"/>
    <w:rsid w:val="003033BA"/>
    <w:rsid w:val="00317778"/>
    <w:rsid w:val="00322937"/>
    <w:rsid w:val="0033011A"/>
    <w:rsid w:val="003328C7"/>
    <w:rsid w:val="003348AA"/>
    <w:rsid w:val="0034177C"/>
    <w:rsid w:val="0034680A"/>
    <w:rsid w:val="00351D7E"/>
    <w:rsid w:val="00353DD5"/>
    <w:rsid w:val="003658AC"/>
    <w:rsid w:val="0037449A"/>
    <w:rsid w:val="00380584"/>
    <w:rsid w:val="00386456"/>
    <w:rsid w:val="00387726"/>
    <w:rsid w:val="003A0878"/>
    <w:rsid w:val="003A581E"/>
    <w:rsid w:val="003A5A50"/>
    <w:rsid w:val="003C5617"/>
    <w:rsid w:val="003F00C7"/>
    <w:rsid w:val="00407CAB"/>
    <w:rsid w:val="004141CB"/>
    <w:rsid w:val="00414AD7"/>
    <w:rsid w:val="00423F9F"/>
    <w:rsid w:val="00440E6A"/>
    <w:rsid w:val="00441244"/>
    <w:rsid w:val="004422D6"/>
    <w:rsid w:val="00452D38"/>
    <w:rsid w:val="00472DDB"/>
    <w:rsid w:val="0047670D"/>
    <w:rsid w:val="00484851"/>
    <w:rsid w:val="0049241A"/>
    <w:rsid w:val="004A02E2"/>
    <w:rsid w:val="004A10FC"/>
    <w:rsid w:val="004A34D2"/>
    <w:rsid w:val="004A60BE"/>
    <w:rsid w:val="004B5225"/>
    <w:rsid w:val="004C625A"/>
    <w:rsid w:val="004D66FB"/>
    <w:rsid w:val="004F3082"/>
    <w:rsid w:val="00500D12"/>
    <w:rsid w:val="0051074C"/>
    <w:rsid w:val="00510874"/>
    <w:rsid w:val="00512DBC"/>
    <w:rsid w:val="00513AF2"/>
    <w:rsid w:val="0054393F"/>
    <w:rsid w:val="0054413A"/>
    <w:rsid w:val="005531C1"/>
    <w:rsid w:val="005564CA"/>
    <w:rsid w:val="0056182B"/>
    <w:rsid w:val="00571DF4"/>
    <w:rsid w:val="005756AA"/>
    <w:rsid w:val="00581D71"/>
    <w:rsid w:val="00582208"/>
    <w:rsid w:val="00597F07"/>
    <w:rsid w:val="005C08C8"/>
    <w:rsid w:val="005C1F67"/>
    <w:rsid w:val="005C3CAB"/>
    <w:rsid w:val="005D51FA"/>
    <w:rsid w:val="005D791B"/>
    <w:rsid w:val="005F26F4"/>
    <w:rsid w:val="00601B80"/>
    <w:rsid w:val="00606840"/>
    <w:rsid w:val="00606FA4"/>
    <w:rsid w:val="00614817"/>
    <w:rsid w:val="00620ADC"/>
    <w:rsid w:val="006237F4"/>
    <w:rsid w:val="00625D5B"/>
    <w:rsid w:val="00633B99"/>
    <w:rsid w:val="00633DBF"/>
    <w:rsid w:val="00644CFB"/>
    <w:rsid w:val="00655371"/>
    <w:rsid w:val="00697665"/>
    <w:rsid w:val="006A7CB5"/>
    <w:rsid w:val="006A7FD0"/>
    <w:rsid w:val="006B1043"/>
    <w:rsid w:val="006C28A0"/>
    <w:rsid w:val="006C7415"/>
    <w:rsid w:val="006D7687"/>
    <w:rsid w:val="006E0572"/>
    <w:rsid w:val="006E1C95"/>
    <w:rsid w:val="006E4A12"/>
    <w:rsid w:val="006F1068"/>
    <w:rsid w:val="00705129"/>
    <w:rsid w:val="00705631"/>
    <w:rsid w:val="00715EAA"/>
    <w:rsid w:val="00725037"/>
    <w:rsid w:val="00736750"/>
    <w:rsid w:val="00742DD2"/>
    <w:rsid w:val="00746E08"/>
    <w:rsid w:val="00747C96"/>
    <w:rsid w:val="0075094E"/>
    <w:rsid w:val="007522E8"/>
    <w:rsid w:val="007560F0"/>
    <w:rsid w:val="0075647A"/>
    <w:rsid w:val="00757592"/>
    <w:rsid w:val="007634AD"/>
    <w:rsid w:val="007637D0"/>
    <w:rsid w:val="007659F3"/>
    <w:rsid w:val="00766A16"/>
    <w:rsid w:val="00775D41"/>
    <w:rsid w:val="0078122E"/>
    <w:rsid w:val="007843E9"/>
    <w:rsid w:val="00795647"/>
    <w:rsid w:val="007B0854"/>
    <w:rsid w:val="007B58DC"/>
    <w:rsid w:val="007C7806"/>
    <w:rsid w:val="007F6B46"/>
    <w:rsid w:val="007F72CB"/>
    <w:rsid w:val="00812A51"/>
    <w:rsid w:val="00814C21"/>
    <w:rsid w:val="00817C23"/>
    <w:rsid w:val="008217B7"/>
    <w:rsid w:val="008234A4"/>
    <w:rsid w:val="0083119B"/>
    <w:rsid w:val="008345E9"/>
    <w:rsid w:val="00834F2E"/>
    <w:rsid w:val="00836EAB"/>
    <w:rsid w:val="00844F93"/>
    <w:rsid w:val="0085092D"/>
    <w:rsid w:val="00850F79"/>
    <w:rsid w:val="0086465C"/>
    <w:rsid w:val="00896E2E"/>
    <w:rsid w:val="0089774F"/>
    <w:rsid w:val="008A145D"/>
    <w:rsid w:val="008A70A1"/>
    <w:rsid w:val="008B5AC6"/>
    <w:rsid w:val="008C5F02"/>
    <w:rsid w:val="008C6F1E"/>
    <w:rsid w:val="008D6B63"/>
    <w:rsid w:val="008E1C15"/>
    <w:rsid w:val="008F1EC8"/>
    <w:rsid w:val="008F538E"/>
    <w:rsid w:val="009047C5"/>
    <w:rsid w:val="00911F2C"/>
    <w:rsid w:val="00933E32"/>
    <w:rsid w:val="0095385A"/>
    <w:rsid w:val="00956461"/>
    <w:rsid w:val="00957335"/>
    <w:rsid w:val="00965A80"/>
    <w:rsid w:val="00993289"/>
    <w:rsid w:val="009938A1"/>
    <w:rsid w:val="009C11D1"/>
    <w:rsid w:val="009E15AC"/>
    <w:rsid w:val="009E6230"/>
    <w:rsid w:val="009F1F65"/>
    <w:rsid w:val="009F59C2"/>
    <w:rsid w:val="009F7697"/>
    <w:rsid w:val="00A06C13"/>
    <w:rsid w:val="00A14719"/>
    <w:rsid w:val="00A16DE4"/>
    <w:rsid w:val="00A244E5"/>
    <w:rsid w:val="00A24560"/>
    <w:rsid w:val="00A25B36"/>
    <w:rsid w:val="00A26123"/>
    <w:rsid w:val="00A3024D"/>
    <w:rsid w:val="00A31D5A"/>
    <w:rsid w:val="00A34268"/>
    <w:rsid w:val="00A34538"/>
    <w:rsid w:val="00A37FB6"/>
    <w:rsid w:val="00A514A6"/>
    <w:rsid w:val="00A62DC0"/>
    <w:rsid w:val="00A67A27"/>
    <w:rsid w:val="00A70FD1"/>
    <w:rsid w:val="00A96BEA"/>
    <w:rsid w:val="00AA08E7"/>
    <w:rsid w:val="00AA442B"/>
    <w:rsid w:val="00AA515C"/>
    <w:rsid w:val="00AA669D"/>
    <w:rsid w:val="00AC7B03"/>
    <w:rsid w:val="00AD1B0F"/>
    <w:rsid w:val="00AD5A69"/>
    <w:rsid w:val="00AE4A81"/>
    <w:rsid w:val="00B13EC0"/>
    <w:rsid w:val="00B22E22"/>
    <w:rsid w:val="00B326EA"/>
    <w:rsid w:val="00B41272"/>
    <w:rsid w:val="00B525CB"/>
    <w:rsid w:val="00B63872"/>
    <w:rsid w:val="00B63CB2"/>
    <w:rsid w:val="00B64EDB"/>
    <w:rsid w:val="00B71796"/>
    <w:rsid w:val="00B7315F"/>
    <w:rsid w:val="00B7754B"/>
    <w:rsid w:val="00B902A7"/>
    <w:rsid w:val="00B91B8E"/>
    <w:rsid w:val="00BA02F6"/>
    <w:rsid w:val="00BA5E8D"/>
    <w:rsid w:val="00BB0BAB"/>
    <w:rsid w:val="00BB509C"/>
    <w:rsid w:val="00BC0BA6"/>
    <w:rsid w:val="00BC50EA"/>
    <w:rsid w:val="00BD768C"/>
    <w:rsid w:val="00BD78FE"/>
    <w:rsid w:val="00BE4A55"/>
    <w:rsid w:val="00BF098D"/>
    <w:rsid w:val="00BF157B"/>
    <w:rsid w:val="00BF193E"/>
    <w:rsid w:val="00BF5952"/>
    <w:rsid w:val="00BF5E36"/>
    <w:rsid w:val="00C55DBF"/>
    <w:rsid w:val="00C60D83"/>
    <w:rsid w:val="00C63A9C"/>
    <w:rsid w:val="00C813E0"/>
    <w:rsid w:val="00C90B8D"/>
    <w:rsid w:val="00C94B5F"/>
    <w:rsid w:val="00C959EC"/>
    <w:rsid w:val="00CC00CD"/>
    <w:rsid w:val="00CD57C1"/>
    <w:rsid w:val="00CF692E"/>
    <w:rsid w:val="00D01760"/>
    <w:rsid w:val="00D075A9"/>
    <w:rsid w:val="00D16E39"/>
    <w:rsid w:val="00D223B6"/>
    <w:rsid w:val="00D265C5"/>
    <w:rsid w:val="00D4467E"/>
    <w:rsid w:val="00D45120"/>
    <w:rsid w:val="00D60327"/>
    <w:rsid w:val="00D71EA4"/>
    <w:rsid w:val="00D72E9D"/>
    <w:rsid w:val="00D82CE5"/>
    <w:rsid w:val="00D845B3"/>
    <w:rsid w:val="00D84E0F"/>
    <w:rsid w:val="00DA0BA2"/>
    <w:rsid w:val="00DA346E"/>
    <w:rsid w:val="00DA5433"/>
    <w:rsid w:val="00DA5AB1"/>
    <w:rsid w:val="00DB61B0"/>
    <w:rsid w:val="00DC62E5"/>
    <w:rsid w:val="00DC7E2D"/>
    <w:rsid w:val="00DD735D"/>
    <w:rsid w:val="00DE3119"/>
    <w:rsid w:val="00DE75E3"/>
    <w:rsid w:val="00DE7880"/>
    <w:rsid w:val="00DF236B"/>
    <w:rsid w:val="00E03C3E"/>
    <w:rsid w:val="00E12B4C"/>
    <w:rsid w:val="00E13AB8"/>
    <w:rsid w:val="00E17BBC"/>
    <w:rsid w:val="00E25CB3"/>
    <w:rsid w:val="00E33B62"/>
    <w:rsid w:val="00E4143A"/>
    <w:rsid w:val="00E44109"/>
    <w:rsid w:val="00E46B53"/>
    <w:rsid w:val="00E51202"/>
    <w:rsid w:val="00E63AE1"/>
    <w:rsid w:val="00E6565C"/>
    <w:rsid w:val="00E759BB"/>
    <w:rsid w:val="00E81018"/>
    <w:rsid w:val="00EA4959"/>
    <w:rsid w:val="00EB060D"/>
    <w:rsid w:val="00EB3576"/>
    <w:rsid w:val="00EB4FF2"/>
    <w:rsid w:val="00EB62AC"/>
    <w:rsid w:val="00ED0B65"/>
    <w:rsid w:val="00EE3D2D"/>
    <w:rsid w:val="00EE59B5"/>
    <w:rsid w:val="00EF7896"/>
    <w:rsid w:val="00F11377"/>
    <w:rsid w:val="00F17586"/>
    <w:rsid w:val="00F201B0"/>
    <w:rsid w:val="00F34423"/>
    <w:rsid w:val="00F34E06"/>
    <w:rsid w:val="00F43C0D"/>
    <w:rsid w:val="00F75B13"/>
    <w:rsid w:val="00F84899"/>
    <w:rsid w:val="00F859F0"/>
    <w:rsid w:val="00F96744"/>
    <w:rsid w:val="00FB3790"/>
    <w:rsid w:val="00FC6A7E"/>
    <w:rsid w:val="00FE0DC0"/>
    <w:rsid w:val="00FE141E"/>
    <w:rsid w:val="00FE42ED"/>
    <w:rsid w:val="00FE6E33"/>
    <w:rsid w:val="00FE72D2"/>
    <w:rsid w:val="0F22CD19"/>
    <w:rsid w:val="12E2C6FD"/>
    <w:rsid w:val="1D891ED4"/>
    <w:rsid w:val="2547E75F"/>
    <w:rsid w:val="32339059"/>
    <w:rsid w:val="340A5AE7"/>
    <w:rsid w:val="409015F8"/>
    <w:rsid w:val="7797FAD1"/>
    <w:rsid w:val="7C582402"/>
    <w:rsid w:val="7D6D617D"/>
    <w:rsid w:val="7DEBDCD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nhideWhenUsed/>
    <w:rsid w:val="00DA5AB1"/>
    <w:rPr>
      <w:sz w:val="20"/>
      <w:szCs w:val="20"/>
    </w:rPr>
  </w:style>
  <w:style w:type="character" w:customStyle="1" w:styleId="TextocomentarioCar">
    <w:name w:val="Texto comentario Car"/>
    <w:basedOn w:val="Fuentedeprrafopredeter"/>
    <w:link w:val="Textocomentario"/>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link w:val="SinespaciadoCar"/>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No Indent Car"/>
    <w:link w:val="Sinespaciado"/>
    <w:uiPriority w:val="1"/>
    <w:rsid w:val="00F96744"/>
    <w:rPr>
      <w:sz w:val="24"/>
      <w:lang w:val="es-MX"/>
    </w:rPr>
  </w:style>
  <w:style w:type="character" w:styleId="Textoennegrita">
    <w:name w:val="Strong"/>
    <w:basedOn w:val="Fuentedeprrafopredeter"/>
    <w:uiPriority w:val="22"/>
    <w:qFormat/>
    <w:rsid w:val="00441244"/>
    <w:rPr>
      <w:b/>
      <w:bCs/>
    </w:rPr>
  </w:style>
  <w:style w:type="paragraph" w:customStyle="1" w:styleId="Default">
    <w:name w:val="Default"/>
    <w:rsid w:val="00F75B13"/>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rsid w:val="00CD57C1"/>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766A16"/>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57410650">
      <w:bodyDiv w:val="1"/>
      <w:marLeft w:val="0"/>
      <w:marRight w:val="0"/>
      <w:marTop w:val="0"/>
      <w:marBottom w:val="0"/>
      <w:divBdr>
        <w:top w:val="none" w:sz="0" w:space="0" w:color="auto"/>
        <w:left w:val="none" w:sz="0" w:space="0" w:color="auto"/>
        <w:bottom w:val="none" w:sz="0" w:space="0" w:color="auto"/>
        <w:right w:val="none" w:sz="0" w:space="0" w:color="auto"/>
      </w:divBdr>
    </w:div>
    <w:div w:id="6326064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7052950">
      <w:bodyDiv w:val="1"/>
      <w:marLeft w:val="0"/>
      <w:marRight w:val="0"/>
      <w:marTop w:val="0"/>
      <w:marBottom w:val="0"/>
      <w:divBdr>
        <w:top w:val="none" w:sz="0" w:space="0" w:color="auto"/>
        <w:left w:val="none" w:sz="0" w:space="0" w:color="auto"/>
        <w:bottom w:val="none" w:sz="0" w:space="0" w:color="auto"/>
        <w:right w:val="none" w:sz="0" w:space="0" w:color="auto"/>
      </w:divBdr>
    </w:div>
    <w:div w:id="483938788">
      <w:bodyDiv w:val="1"/>
      <w:marLeft w:val="0"/>
      <w:marRight w:val="0"/>
      <w:marTop w:val="0"/>
      <w:marBottom w:val="0"/>
      <w:divBdr>
        <w:top w:val="none" w:sz="0" w:space="0" w:color="auto"/>
        <w:left w:val="none" w:sz="0" w:space="0" w:color="auto"/>
        <w:bottom w:val="none" w:sz="0" w:space="0" w:color="auto"/>
        <w:right w:val="none" w:sz="0" w:space="0" w:color="auto"/>
      </w:divBdr>
    </w:div>
    <w:div w:id="939528774">
      <w:bodyDiv w:val="1"/>
      <w:marLeft w:val="0"/>
      <w:marRight w:val="0"/>
      <w:marTop w:val="0"/>
      <w:marBottom w:val="0"/>
      <w:divBdr>
        <w:top w:val="none" w:sz="0" w:space="0" w:color="auto"/>
        <w:left w:val="none" w:sz="0" w:space="0" w:color="auto"/>
        <w:bottom w:val="none" w:sz="0" w:space="0" w:color="auto"/>
        <w:right w:val="none" w:sz="0" w:space="0" w:color="auto"/>
      </w:divBdr>
    </w:div>
    <w:div w:id="953436912">
      <w:bodyDiv w:val="1"/>
      <w:marLeft w:val="0"/>
      <w:marRight w:val="0"/>
      <w:marTop w:val="0"/>
      <w:marBottom w:val="0"/>
      <w:divBdr>
        <w:top w:val="none" w:sz="0" w:space="0" w:color="auto"/>
        <w:left w:val="none" w:sz="0" w:space="0" w:color="auto"/>
        <w:bottom w:val="none" w:sz="0" w:space="0" w:color="auto"/>
        <w:right w:val="none" w:sz="0" w:space="0" w:color="auto"/>
      </w:divBdr>
    </w:div>
    <w:div w:id="1110392153">
      <w:bodyDiv w:val="1"/>
      <w:marLeft w:val="0"/>
      <w:marRight w:val="0"/>
      <w:marTop w:val="0"/>
      <w:marBottom w:val="0"/>
      <w:divBdr>
        <w:top w:val="none" w:sz="0" w:space="0" w:color="auto"/>
        <w:left w:val="none" w:sz="0" w:space="0" w:color="auto"/>
        <w:bottom w:val="none" w:sz="0" w:space="0" w:color="auto"/>
        <w:right w:val="none" w:sz="0" w:space="0" w:color="auto"/>
      </w:divBdr>
    </w:div>
    <w:div w:id="1206872731">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91731256">
      <w:bodyDiv w:val="1"/>
      <w:marLeft w:val="0"/>
      <w:marRight w:val="0"/>
      <w:marTop w:val="0"/>
      <w:marBottom w:val="0"/>
      <w:divBdr>
        <w:top w:val="none" w:sz="0" w:space="0" w:color="auto"/>
        <w:left w:val="none" w:sz="0" w:space="0" w:color="auto"/>
        <w:bottom w:val="none" w:sz="0" w:space="0" w:color="auto"/>
        <w:right w:val="none" w:sz="0" w:space="0" w:color="auto"/>
      </w:divBdr>
    </w:div>
    <w:div w:id="1454982925">
      <w:bodyDiv w:val="1"/>
      <w:marLeft w:val="0"/>
      <w:marRight w:val="0"/>
      <w:marTop w:val="0"/>
      <w:marBottom w:val="0"/>
      <w:divBdr>
        <w:top w:val="none" w:sz="0" w:space="0" w:color="auto"/>
        <w:left w:val="none" w:sz="0" w:space="0" w:color="auto"/>
        <w:bottom w:val="none" w:sz="0" w:space="0" w:color="auto"/>
        <w:right w:val="none" w:sz="0" w:space="0" w:color="auto"/>
      </w:divBdr>
      <w:divsChild>
        <w:div w:id="1232042899">
          <w:marLeft w:val="0"/>
          <w:marRight w:val="0"/>
          <w:marTop w:val="0"/>
          <w:marBottom w:val="0"/>
          <w:divBdr>
            <w:top w:val="none" w:sz="0" w:space="0" w:color="auto"/>
            <w:left w:val="none" w:sz="0" w:space="0" w:color="auto"/>
            <w:bottom w:val="none" w:sz="0" w:space="0" w:color="auto"/>
            <w:right w:val="none" w:sz="0" w:space="0" w:color="auto"/>
          </w:divBdr>
          <w:divsChild>
            <w:div w:id="446967346">
              <w:marLeft w:val="0"/>
              <w:marRight w:val="0"/>
              <w:marTop w:val="0"/>
              <w:marBottom w:val="0"/>
              <w:divBdr>
                <w:top w:val="none" w:sz="0" w:space="0" w:color="auto"/>
                <w:left w:val="none" w:sz="0" w:space="0" w:color="auto"/>
                <w:bottom w:val="none" w:sz="0" w:space="0" w:color="auto"/>
                <w:right w:val="none" w:sz="0" w:space="0" w:color="auto"/>
              </w:divBdr>
              <w:divsChild>
                <w:div w:id="8133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1884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erencie.com/precio.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erencie.com/quienes-son-comerciante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98C7CE-40B5-4696-898C-F0E87947AD5C}">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78C16616-028F-4D4C-8CB5-741E3AD705B8}">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5988B428-9C5C-4FF7-AA9E-94B4014CF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10</Pages>
  <Words>3241</Words>
  <Characters>17829</Characters>
  <Application>Microsoft Office Word</Application>
  <DocSecurity>0</DocSecurity>
  <Lines>148</Lines>
  <Paragraphs>42</Paragraphs>
  <ScaleCrop>false</ScaleCrop>
  <Company/>
  <LinksUpToDate>false</LinksUpToDate>
  <CharactersWithSpaces>21028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2</cp:revision>
  <cp:lastPrinted>2020-01-30T15:05:00Z</cp:lastPrinted>
  <dcterms:created xsi:type="dcterms:W3CDTF">2022-03-31T17:11:00Z</dcterms:created>
  <dcterms:modified xsi:type="dcterms:W3CDTF">2022-03-31T17:11:00Z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