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E957B" w14:textId="768D39FC" w:rsidR="0034177C" w:rsidRPr="00166CB8" w:rsidRDefault="009F59C2" w:rsidP="0034177C">
      <w:pPr>
        <w:jc w:val="right"/>
        <w:rPr>
          <w:rFonts w:ascii="Arial" w:hAnsi="Arial" w:cs="Arial"/>
          <w:b/>
          <w:sz w:val="16"/>
          <w:szCs w:val="16"/>
          <w:lang w:eastAsia="es-ES"/>
        </w:rPr>
      </w:pPr>
      <w:bookmarkStart w:id="0" w:name="_Hlk65152177"/>
      <w:bookmarkStart w:id="1" w:name="_Hlk28946138"/>
      <w:bookmarkStart w:id="2" w:name="_Hlk29548183"/>
      <w:bookmarkEnd w:id="0"/>
      <w:r w:rsidRPr="00166CB8">
        <w:rPr>
          <w:rFonts w:ascii="Arial" w:hAnsi="Arial" w:cs="Arial"/>
          <w:b/>
          <w:sz w:val="16"/>
          <w:szCs w:val="16"/>
          <w:lang w:eastAsia="es-ES"/>
        </w:rPr>
        <w:tab/>
      </w:r>
      <w:r w:rsidR="0034177C" w:rsidRPr="00166CB8">
        <w:rPr>
          <w:rFonts w:ascii="Arial" w:hAnsi="Arial" w:cs="Arial"/>
          <w:b/>
          <w:sz w:val="16"/>
          <w:szCs w:val="16"/>
          <w:lang w:eastAsia="es-ES"/>
        </w:rPr>
        <w:t>CCE-DES-FM-17</w:t>
      </w:r>
    </w:p>
    <w:p w14:paraId="33FF83A2" w14:textId="77777777" w:rsidR="0034177C" w:rsidRPr="00166CB8" w:rsidRDefault="0034177C" w:rsidP="007F6B46">
      <w:pPr>
        <w:spacing w:line="276" w:lineRule="auto"/>
        <w:jc w:val="both"/>
        <w:rPr>
          <w:rFonts w:ascii="Arial" w:eastAsia="Calibri" w:hAnsi="Arial" w:cs="Arial"/>
          <w:b/>
          <w:sz w:val="16"/>
          <w:szCs w:val="16"/>
        </w:rPr>
      </w:pPr>
    </w:p>
    <w:bookmarkEnd w:id="1"/>
    <w:bookmarkEnd w:id="2"/>
    <w:p w14:paraId="0FCC1044" w14:textId="785AA14D" w:rsidR="00B632B5" w:rsidRPr="00166CB8" w:rsidRDefault="00694D2C" w:rsidP="10328C76">
      <w:pPr>
        <w:jc w:val="both"/>
        <w:rPr>
          <w:rFonts w:ascii="Arial" w:eastAsia="Calibri" w:hAnsi="Arial" w:cs="Arial"/>
          <w:b/>
          <w:bCs/>
          <w:sz w:val="22"/>
        </w:rPr>
      </w:pPr>
      <w:r w:rsidRPr="00166CB8">
        <w:rPr>
          <w:rFonts w:ascii="Arial" w:eastAsia="Calibri" w:hAnsi="Arial" w:cs="Arial"/>
          <w:b/>
          <w:bCs/>
          <w:sz w:val="22"/>
        </w:rPr>
        <w:t>DOCUMENT</w:t>
      </w:r>
      <w:r w:rsidR="00B632B5" w:rsidRPr="00166CB8">
        <w:rPr>
          <w:rFonts w:ascii="Arial" w:eastAsia="Calibri" w:hAnsi="Arial" w:cs="Arial"/>
          <w:b/>
          <w:bCs/>
          <w:sz w:val="22"/>
        </w:rPr>
        <w:t xml:space="preserve">OS TIPO </w:t>
      </w:r>
      <w:r w:rsidR="006C18D9" w:rsidRPr="00166CB8">
        <w:rPr>
          <w:rFonts w:ascii="Arial" w:eastAsia="Calibri" w:hAnsi="Arial" w:cs="Arial"/>
          <w:b/>
          <w:bCs/>
          <w:sz w:val="22"/>
        </w:rPr>
        <w:t>–</w:t>
      </w:r>
      <w:r w:rsidR="00B632B5" w:rsidRPr="00166CB8">
        <w:rPr>
          <w:rFonts w:ascii="Arial" w:eastAsia="Calibri" w:hAnsi="Arial" w:cs="Arial"/>
          <w:b/>
          <w:bCs/>
          <w:sz w:val="22"/>
        </w:rPr>
        <w:t xml:space="preserve"> Inalterabilidad </w:t>
      </w:r>
    </w:p>
    <w:p w14:paraId="2298BBD3" w14:textId="77777777" w:rsidR="00B632B5" w:rsidRPr="00166CB8" w:rsidRDefault="00B632B5" w:rsidP="00B632B5">
      <w:pPr>
        <w:jc w:val="both"/>
        <w:rPr>
          <w:rFonts w:ascii="Arial" w:eastAsia="Calibri" w:hAnsi="Arial" w:cs="Arial"/>
          <w:sz w:val="20"/>
          <w:szCs w:val="20"/>
        </w:rPr>
      </w:pPr>
    </w:p>
    <w:p w14:paraId="73666BE5" w14:textId="04FBBDA3" w:rsidR="00DE1C3E" w:rsidRDefault="00AD008F" w:rsidP="10328C76">
      <w:pPr>
        <w:jc w:val="both"/>
        <w:rPr>
          <w:rFonts w:ascii="Arial" w:eastAsia="Calibri" w:hAnsi="Arial" w:cs="Arial"/>
          <w:bCs/>
          <w:sz w:val="20"/>
          <w:szCs w:val="20"/>
        </w:rPr>
      </w:pPr>
      <w:r w:rsidRPr="00AD008F">
        <w:rPr>
          <w:rFonts w:ascii="Arial" w:eastAsia="Calibri" w:hAnsi="Arial" w:cs="Arial"/>
          <w:bCs/>
          <w:sz w:val="20"/>
          <w:szCs w:val="20"/>
        </w:rPr>
        <w:t xml:space="preserve">Para el procedimiento de licitación pública, el artículo 2.2.1.2.6.1.4. del Decreto 1082 de 2015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adoptados en ejercicio del artículo 4 de la Ley 1882 de 2018, son de obligatorio cumplimiento para las entidades sometidas al Estatuto General de Contratación de la Administración Pública que adelanten procesos que deban regirse por su contenido, por lo que no pueden variarse los requisitos fijados en ellos. </w:t>
      </w:r>
    </w:p>
    <w:p w14:paraId="48A6B9BB" w14:textId="77777777" w:rsidR="00AD008F" w:rsidRDefault="00AD008F" w:rsidP="10328C76">
      <w:pPr>
        <w:jc w:val="both"/>
        <w:rPr>
          <w:rFonts w:ascii="Arial" w:eastAsia="Calibri" w:hAnsi="Arial" w:cs="Arial"/>
          <w:b/>
          <w:bCs/>
          <w:sz w:val="22"/>
        </w:rPr>
      </w:pPr>
    </w:p>
    <w:p w14:paraId="4A3EA52E" w14:textId="48A81625" w:rsidR="00B632B5" w:rsidRPr="00166CB8" w:rsidRDefault="00694D2C" w:rsidP="10328C76">
      <w:pPr>
        <w:jc w:val="both"/>
        <w:rPr>
          <w:rFonts w:ascii="Arial" w:eastAsia="Calibri" w:hAnsi="Arial" w:cs="Arial"/>
          <w:b/>
          <w:bCs/>
          <w:sz w:val="22"/>
        </w:rPr>
      </w:pPr>
      <w:r w:rsidRPr="00166CB8">
        <w:rPr>
          <w:rFonts w:ascii="Arial" w:eastAsia="Calibri" w:hAnsi="Arial" w:cs="Arial"/>
          <w:b/>
          <w:bCs/>
          <w:sz w:val="22"/>
        </w:rPr>
        <w:t>DOCUMENTO</w:t>
      </w:r>
      <w:r w:rsidR="00B632B5" w:rsidRPr="00166CB8">
        <w:rPr>
          <w:rFonts w:ascii="Arial" w:eastAsia="Calibri" w:hAnsi="Arial" w:cs="Arial"/>
          <w:b/>
          <w:bCs/>
          <w:sz w:val="22"/>
        </w:rPr>
        <w:t>S TIPO –</w:t>
      </w:r>
      <w:r w:rsidR="00166CB8" w:rsidRPr="00166CB8">
        <w:rPr>
          <w:rFonts w:ascii="Arial" w:eastAsia="Calibri" w:hAnsi="Arial" w:cs="Arial"/>
          <w:b/>
          <w:bCs/>
          <w:sz w:val="22"/>
        </w:rPr>
        <w:t xml:space="preserve"> </w:t>
      </w:r>
      <w:r w:rsidR="00B632B5" w:rsidRPr="00166CB8">
        <w:rPr>
          <w:rFonts w:ascii="Arial" w:eastAsia="Calibri" w:hAnsi="Arial" w:cs="Arial"/>
          <w:b/>
          <w:bCs/>
          <w:sz w:val="22"/>
        </w:rPr>
        <w:t>Experiencia</w:t>
      </w:r>
      <w:r w:rsidR="00166CB8" w:rsidRPr="00166CB8">
        <w:rPr>
          <w:rFonts w:ascii="Arial" w:eastAsia="Calibri" w:hAnsi="Arial" w:cs="Arial"/>
          <w:b/>
          <w:bCs/>
          <w:sz w:val="22"/>
        </w:rPr>
        <w:t xml:space="preserve"> </w:t>
      </w:r>
      <w:r w:rsidR="7AB3EA79" w:rsidRPr="00166CB8">
        <w:rPr>
          <w:rFonts w:ascii="Arial" w:eastAsia="Arial" w:hAnsi="Arial" w:cs="Arial"/>
          <w:b/>
          <w:bCs/>
          <w:sz w:val="22"/>
        </w:rPr>
        <w:t xml:space="preserve">– </w:t>
      </w:r>
      <w:r w:rsidR="00166CB8" w:rsidRPr="00166CB8">
        <w:rPr>
          <w:rFonts w:ascii="Arial" w:eastAsia="Arial" w:hAnsi="Arial" w:cs="Arial"/>
          <w:b/>
          <w:bCs/>
          <w:sz w:val="22"/>
        </w:rPr>
        <w:t>Acreditación – Número de contratos</w:t>
      </w:r>
    </w:p>
    <w:p w14:paraId="6053B9E4" w14:textId="77777777" w:rsidR="00B632B5" w:rsidRPr="00166CB8" w:rsidRDefault="00B632B5" w:rsidP="00B632B5">
      <w:pPr>
        <w:jc w:val="both"/>
        <w:rPr>
          <w:rFonts w:ascii="Arial" w:eastAsia="Calibri" w:hAnsi="Arial" w:cs="Arial"/>
          <w:b/>
          <w:sz w:val="20"/>
          <w:szCs w:val="20"/>
        </w:rPr>
      </w:pPr>
    </w:p>
    <w:p w14:paraId="2EBEB785" w14:textId="7BD110FD" w:rsidR="00166CB8" w:rsidRDefault="00AD008F" w:rsidP="00B632B5">
      <w:pPr>
        <w:jc w:val="both"/>
        <w:rPr>
          <w:rFonts w:ascii="Arial" w:eastAsia="Calibri" w:hAnsi="Arial" w:cs="Arial"/>
          <w:sz w:val="20"/>
          <w:szCs w:val="20"/>
        </w:rPr>
      </w:pPr>
      <w:r w:rsidRPr="00AD008F">
        <w:rPr>
          <w:rFonts w:ascii="Arial" w:eastAsia="Calibri" w:hAnsi="Arial" w:cs="Arial"/>
          <w:sz w:val="20"/>
          <w:szCs w:val="20"/>
        </w:rPr>
        <w:t>De acuerdo con las condiciones fijadas en el «Documento Base o Pliego Tipo» adoptado por la Resolución No. 240 de 2020, la acreditación del requisito habilitante es abordada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 Experiencia». En segundo lugar, los proponentes deben acreditar el cumplimiento de las condiciones fijadas con mínimo uno –1– y máximo seis –6– contratos, que debieron terminar antes de la fecha de cierre del proceso de contratación.</w:t>
      </w:r>
    </w:p>
    <w:p w14:paraId="1E85C1D5" w14:textId="77777777" w:rsidR="00AD008F" w:rsidRPr="00166CB8" w:rsidRDefault="00AD008F" w:rsidP="00B632B5">
      <w:pPr>
        <w:jc w:val="both"/>
        <w:rPr>
          <w:rFonts w:ascii="Arial" w:eastAsia="Calibri" w:hAnsi="Arial" w:cs="Arial"/>
          <w:sz w:val="20"/>
          <w:szCs w:val="20"/>
        </w:rPr>
      </w:pPr>
    </w:p>
    <w:p w14:paraId="6BB863D4" w14:textId="4C844481" w:rsidR="00B632B5" w:rsidRPr="00166CB8" w:rsidRDefault="00694D2C" w:rsidP="10328C76">
      <w:pPr>
        <w:jc w:val="both"/>
        <w:rPr>
          <w:rFonts w:ascii="Arial" w:eastAsia="Calibri" w:hAnsi="Arial" w:cs="Arial"/>
          <w:b/>
          <w:bCs/>
          <w:sz w:val="22"/>
        </w:rPr>
      </w:pPr>
      <w:r w:rsidRPr="00166CB8">
        <w:rPr>
          <w:rFonts w:ascii="Arial" w:eastAsia="Calibri" w:hAnsi="Arial" w:cs="Arial"/>
          <w:b/>
          <w:bCs/>
          <w:sz w:val="22"/>
        </w:rPr>
        <w:t>DOCUMENTO</w:t>
      </w:r>
      <w:r w:rsidR="00B632B5" w:rsidRPr="00166CB8">
        <w:rPr>
          <w:rFonts w:ascii="Arial" w:eastAsia="Calibri" w:hAnsi="Arial" w:cs="Arial"/>
          <w:b/>
          <w:bCs/>
          <w:sz w:val="22"/>
        </w:rPr>
        <w:t>S TIPO –</w:t>
      </w:r>
      <w:r w:rsidR="00166CB8" w:rsidRPr="00166CB8">
        <w:rPr>
          <w:rFonts w:ascii="Arial" w:eastAsia="Calibri" w:hAnsi="Arial" w:cs="Arial"/>
          <w:b/>
          <w:bCs/>
          <w:sz w:val="22"/>
        </w:rPr>
        <w:t xml:space="preserve"> Experiencia – </w:t>
      </w:r>
      <w:r w:rsidR="006F3E41">
        <w:rPr>
          <w:rFonts w:ascii="Arial" w:eastAsia="Calibri" w:hAnsi="Arial" w:cs="Arial"/>
          <w:b/>
          <w:bCs/>
          <w:sz w:val="22"/>
        </w:rPr>
        <w:t xml:space="preserve">Licitación de obra pública de transporte V3 - </w:t>
      </w:r>
      <w:r w:rsidR="00166CB8" w:rsidRPr="00166CB8">
        <w:rPr>
          <w:rFonts w:ascii="Arial" w:eastAsia="Calibri" w:hAnsi="Arial" w:cs="Arial"/>
          <w:b/>
          <w:bCs/>
          <w:sz w:val="22"/>
        </w:rPr>
        <w:t xml:space="preserve">Número de contratos – Porcentaje del presupuesto oficial – </w:t>
      </w:r>
      <w:proofErr w:type="gramStart"/>
      <w:r w:rsidR="00166CB8" w:rsidRPr="00166CB8">
        <w:rPr>
          <w:rFonts w:ascii="Arial" w:hAnsi="Arial" w:cs="Arial"/>
          <w:b/>
          <w:bCs/>
          <w:sz w:val="22"/>
          <w:lang w:val="es-CO"/>
        </w:rPr>
        <w:t>Aplicación  numeral</w:t>
      </w:r>
      <w:proofErr w:type="gramEnd"/>
      <w:r w:rsidR="00166CB8" w:rsidRPr="00166CB8">
        <w:rPr>
          <w:rFonts w:ascii="Arial" w:hAnsi="Arial" w:cs="Arial"/>
          <w:b/>
          <w:bCs/>
          <w:sz w:val="22"/>
          <w:lang w:val="es-CO"/>
        </w:rPr>
        <w:t xml:space="preserve"> 3.5.</w:t>
      </w:r>
      <w:r w:rsidR="006F3E41">
        <w:rPr>
          <w:rFonts w:ascii="Arial" w:hAnsi="Arial" w:cs="Arial"/>
          <w:b/>
          <w:bCs/>
          <w:sz w:val="22"/>
          <w:lang w:val="es-CO"/>
        </w:rPr>
        <w:t>8</w:t>
      </w:r>
    </w:p>
    <w:p w14:paraId="621C458C" w14:textId="67EF4F1D" w:rsidR="10328C76" w:rsidRPr="00166CB8" w:rsidRDefault="10328C76" w:rsidP="10328C76">
      <w:pPr>
        <w:jc w:val="both"/>
        <w:rPr>
          <w:rFonts w:ascii="Arial" w:eastAsia="Calibri" w:hAnsi="Arial" w:cs="Arial"/>
          <w:b/>
          <w:bCs/>
          <w:sz w:val="22"/>
        </w:rPr>
      </w:pPr>
    </w:p>
    <w:p w14:paraId="54C19776" w14:textId="77777777" w:rsidR="00AD008F" w:rsidRPr="00AD008F" w:rsidRDefault="00166CB8" w:rsidP="00AD008F">
      <w:pPr>
        <w:jc w:val="both"/>
        <w:rPr>
          <w:rFonts w:ascii="Arial" w:eastAsia="Calibri" w:hAnsi="Arial" w:cs="Arial"/>
          <w:sz w:val="20"/>
          <w:szCs w:val="20"/>
        </w:rPr>
      </w:pPr>
      <w:r w:rsidRPr="00166CB8">
        <w:rPr>
          <w:rFonts w:ascii="Arial" w:eastAsia="Calibri" w:hAnsi="Arial" w:cs="Arial"/>
          <w:sz w:val="20"/>
          <w:szCs w:val="20"/>
        </w:rPr>
        <w:t xml:space="preserve">[…] </w:t>
      </w:r>
      <w:r w:rsidR="00AD008F" w:rsidRPr="00AD008F">
        <w:rPr>
          <w:rFonts w:ascii="Arial" w:eastAsia="Calibri" w:hAnsi="Arial" w:cs="Arial"/>
          <w:sz w:val="20"/>
          <w:szCs w:val="20"/>
        </w:rPr>
        <w:t>el número de contratos aportados por el proponente debe certificar un valor mínimo correspondiente a un porcentaje del presupuesto oficial del proceso de obra expresado en SMMLV, cuya verificación se hará con base en la sumatoria de los valores totales ejecutados de los contratos que cumplan con los requisitos establecidos en el pliego de condiciones. Para tales efectos, se establecen unas relaciones entre el número de contratos usados para acreditar la experiencia, los valores ejecutados en estos y un valor porcentual mínimo del presupuesto oficial de la obra ofertada que deben superar para que la experiencia sea válida y, en consecuencia, los proponentes puedan habilitarse en lo que a este requisito se refiere.</w:t>
      </w:r>
    </w:p>
    <w:p w14:paraId="197145F8" w14:textId="77777777" w:rsidR="00AD008F" w:rsidRDefault="00AD008F" w:rsidP="00AD008F">
      <w:pPr>
        <w:jc w:val="both"/>
        <w:rPr>
          <w:rFonts w:ascii="Arial" w:eastAsia="Calibri" w:hAnsi="Arial" w:cs="Arial"/>
          <w:sz w:val="20"/>
          <w:szCs w:val="20"/>
        </w:rPr>
      </w:pPr>
    </w:p>
    <w:p w14:paraId="21DC7EAF" w14:textId="0CAE654F" w:rsidR="00AD008F" w:rsidRPr="00AD008F" w:rsidRDefault="00AD008F" w:rsidP="00AD008F">
      <w:pPr>
        <w:jc w:val="both"/>
        <w:rPr>
          <w:rFonts w:ascii="Arial" w:eastAsia="Calibri" w:hAnsi="Arial" w:cs="Arial"/>
          <w:sz w:val="20"/>
          <w:szCs w:val="20"/>
        </w:rPr>
      </w:pPr>
      <w:r w:rsidRPr="00AD008F">
        <w:rPr>
          <w:rFonts w:ascii="Arial" w:eastAsia="Calibri" w:hAnsi="Arial" w:cs="Arial"/>
          <w:sz w:val="20"/>
          <w:szCs w:val="20"/>
        </w:rPr>
        <w:t xml:space="preserve">De esta manera se determina que para quienes acrediten experiencia mediante 1 o 2 contratos, la sumatoria de los valores ejecutados en estos–-incluido IVA– debe ser superior al 75% del valor del presupuesto oficial. Por otra parte, si la acredita mediante 3 a 4 contratos, la sumatoria de los valores ejecutados debe ser superior al 120% del valor del presupuesto oficial. Finalmente, si la acredita con 5 a 6 contratos, la sumatoria de los valores ejecutados debe ser superior al 150% del valor del presupuesto oficial. </w:t>
      </w:r>
    </w:p>
    <w:p w14:paraId="632DDE92" w14:textId="77777777" w:rsidR="00AD008F" w:rsidRDefault="00AD008F" w:rsidP="00AD008F">
      <w:pPr>
        <w:jc w:val="both"/>
        <w:rPr>
          <w:rFonts w:ascii="Arial" w:eastAsia="Calibri" w:hAnsi="Arial" w:cs="Arial"/>
          <w:sz w:val="20"/>
          <w:szCs w:val="20"/>
        </w:rPr>
      </w:pPr>
    </w:p>
    <w:p w14:paraId="2348AA9C" w14:textId="71C06C31" w:rsidR="00DE1C3E" w:rsidRDefault="00AD008F" w:rsidP="00AD008F">
      <w:pPr>
        <w:jc w:val="both"/>
        <w:rPr>
          <w:rFonts w:ascii="Arial" w:eastAsia="Calibri" w:hAnsi="Arial" w:cs="Arial"/>
          <w:sz w:val="20"/>
          <w:szCs w:val="20"/>
        </w:rPr>
      </w:pPr>
      <w:r w:rsidRPr="00AD008F">
        <w:rPr>
          <w:rFonts w:ascii="Arial" w:eastAsia="Calibri" w:hAnsi="Arial" w:cs="Arial"/>
          <w:sz w:val="20"/>
          <w:szCs w:val="20"/>
        </w:rPr>
        <w:t xml:space="preserve">Conforme a esto, el número de los contratos para acreditar la experiencia condiciona el valor mínimo que deben certificar para el correspondiente requisito habilitante. Si una vez sumados los valores ejecutados de los contratos aportados, el resultado es inferior al valor porcentual aplicable a la cantidad de contratos empleados, no es posible habilitar al proponente.  </w:t>
      </w:r>
    </w:p>
    <w:p w14:paraId="7E0375E1" w14:textId="77777777" w:rsidR="00AD008F" w:rsidRDefault="00AD008F" w:rsidP="00AD008F">
      <w:pPr>
        <w:jc w:val="both"/>
        <w:rPr>
          <w:rFonts w:ascii="Arial" w:hAnsi="Arial" w:cs="Arial"/>
          <w:b/>
          <w:bCs/>
          <w:sz w:val="22"/>
          <w:lang w:val="es-CO"/>
        </w:rPr>
      </w:pPr>
    </w:p>
    <w:p w14:paraId="721FF230" w14:textId="503709A7" w:rsidR="00B749F5" w:rsidRPr="00166CB8" w:rsidRDefault="00B749F5" w:rsidP="00B749F5">
      <w:pPr>
        <w:jc w:val="both"/>
        <w:rPr>
          <w:rFonts w:ascii="Arial" w:hAnsi="Arial" w:cs="Arial"/>
          <w:b/>
          <w:bCs/>
          <w:sz w:val="22"/>
          <w:lang w:val="es-CO"/>
        </w:rPr>
      </w:pPr>
      <w:r w:rsidRPr="00166CB8">
        <w:rPr>
          <w:rFonts w:ascii="Arial" w:hAnsi="Arial" w:cs="Arial"/>
          <w:b/>
          <w:bCs/>
          <w:sz w:val="22"/>
          <w:lang w:val="es-CO"/>
        </w:rPr>
        <w:t xml:space="preserve">DOCUMENTOS TIPO </w:t>
      </w:r>
      <w:r w:rsidR="00166CB8" w:rsidRPr="00166CB8">
        <w:rPr>
          <w:rFonts w:ascii="Arial" w:hAnsi="Arial" w:cs="Arial"/>
          <w:b/>
          <w:bCs/>
          <w:sz w:val="22"/>
          <w:lang w:val="es-CO"/>
        </w:rPr>
        <w:t>– Proponentes plurales – Experiencia – Aporte del cinc</w:t>
      </w:r>
      <w:r w:rsidR="006F3E41">
        <w:rPr>
          <w:rFonts w:ascii="Arial" w:hAnsi="Arial" w:cs="Arial"/>
          <w:b/>
          <w:bCs/>
          <w:sz w:val="22"/>
          <w:lang w:val="es-CO"/>
        </w:rPr>
        <w:t xml:space="preserve">o </w:t>
      </w:r>
      <w:r w:rsidR="00166CB8" w:rsidRPr="00166CB8">
        <w:rPr>
          <w:rFonts w:ascii="Arial" w:hAnsi="Arial" w:cs="Arial"/>
          <w:b/>
          <w:bCs/>
          <w:sz w:val="22"/>
          <w:lang w:val="es-CO"/>
        </w:rPr>
        <w:t>por ciento</w:t>
      </w:r>
    </w:p>
    <w:p w14:paraId="2C38DA17" w14:textId="77777777" w:rsidR="00B749F5" w:rsidRPr="00166CB8" w:rsidRDefault="00B749F5" w:rsidP="00B749F5">
      <w:pPr>
        <w:jc w:val="both"/>
        <w:rPr>
          <w:rFonts w:ascii="Arial" w:hAnsi="Arial" w:cs="Arial"/>
          <w:sz w:val="20"/>
          <w:szCs w:val="20"/>
          <w:lang w:val="es-CO"/>
        </w:rPr>
      </w:pPr>
    </w:p>
    <w:p w14:paraId="56B0D835" w14:textId="6A8DA1BA" w:rsidR="006F3E41" w:rsidRPr="00B175BB" w:rsidRDefault="00DE1C3E" w:rsidP="00B175BB">
      <w:pPr>
        <w:autoSpaceDE w:val="0"/>
        <w:autoSpaceDN w:val="0"/>
        <w:adjustRightInd w:val="0"/>
        <w:jc w:val="both"/>
        <w:rPr>
          <w:rFonts w:ascii="Arial" w:hAnsi="Arial" w:cs="Arial"/>
          <w:sz w:val="20"/>
          <w:szCs w:val="20"/>
          <w:lang w:val="es-CO"/>
        </w:rPr>
      </w:pPr>
      <w:r w:rsidRPr="00B175BB">
        <w:rPr>
          <w:rFonts w:ascii="Arial" w:hAnsi="Arial" w:cs="Arial"/>
          <w:sz w:val="20"/>
          <w:szCs w:val="20"/>
          <w:lang w:val="es-CO"/>
        </w:rPr>
        <w:lastRenderedPageBreak/>
        <w:t xml:space="preserve">[…] </w:t>
      </w:r>
      <w:r w:rsidR="00AD008F" w:rsidRPr="00AD008F">
        <w:rPr>
          <w:rFonts w:ascii="Arial" w:hAnsi="Arial" w:cs="Arial"/>
          <w:sz w:val="20"/>
          <w:szCs w:val="20"/>
          <w:shd w:val="clear" w:color="auto" w:fill="FFFFFF"/>
        </w:rPr>
        <w:t xml:space="preserve">nótese que el literal D del numeral 3.5.3 del Documento Base no establece un umbral máximo de participación cuando uno de los integrantes aporta el 5% de la experiencia, contrario a lo que ocurre en el caso del integrante que no aporta experiencia, evento en el que el Documento Base dispone que su participación en la estructura plural no puede superar el 5%. En consecuencia, al no existir un umbral de participación para el integrante que aporta el 5% de la experiencia, se considera viable que este pueda tener una participación del 50% en la estructura plural.  No </w:t>
      </w:r>
      <w:proofErr w:type="gramStart"/>
      <w:r w:rsidR="00AD008F" w:rsidRPr="00AD008F">
        <w:rPr>
          <w:rFonts w:ascii="Arial" w:hAnsi="Arial" w:cs="Arial"/>
          <w:sz w:val="20"/>
          <w:szCs w:val="20"/>
          <w:shd w:val="clear" w:color="auto" w:fill="FFFFFF"/>
        </w:rPr>
        <w:t>obstante</w:t>
      </w:r>
      <w:proofErr w:type="gramEnd"/>
      <w:r w:rsidR="00AD008F" w:rsidRPr="00AD008F">
        <w:rPr>
          <w:rFonts w:ascii="Arial" w:hAnsi="Arial" w:cs="Arial"/>
          <w:sz w:val="20"/>
          <w:szCs w:val="20"/>
          <w:shd w:val="clear" w:color="auto" w:fill="FFFFFF"/>
        </w:rPr>
        <w:t xml:space="preserve"> para que ello sea posible, es necesario que en dicho proponente plural exista otro proponente que aporte el 50% de la experiencia requerida, en la medida que esta es una de las condiciones establecidas en el referido literal.  </w:t>
      </w:r>
    </w:p>
    <w:p w14:paraId="09C6EBF6" w14:textId="1BA79AD9" w:rsidR="00166CB8" w:rsidRPr="00B175BB" w:rsidRDefault="00166CB8" w:rsidP="00B175BB">
      <w:pPr>
        <w:autoSpaceDE w:val="0"/>
        <w:autoSpaceDN w:val="0"/>
        <w:adjustRightInd w:val="0"/>
        <w:jc w:val="both"/>
        <w:rPr>
          <w:rFonts w:ascii="Arial" w:hAnsi="Arial" w:cs="Arial"/>
          <w:sz w:val="20"/>
          <w:szCs w:val="20"/>
          <w:lang w:val="es-CO"/>
        </w:rPr>
      </w:pPr>
    </w:p>
    <w:p w14:paraId="55ACC674" w14:textId="36415C0A" w:rsidR="00B77C45" w:rsidRDefault="006F3E41" w:rsidP="00AD008F">
      <w:pPr>
        <w:autoSpaceDE w:val="0"/>
        <w:autoSpaceDN w:val="0"/>
        <w:adjustRightInd w:val="0"/>
        <w:jc w:val="both"/>
        <w:rPr>
          <w:rFonts w:ascii="Arial" w:eastAsia="Calibri" w:hAnsi="Arial" w:cs="Arial"/>
          <w:b/>
          <w:sz w:val="22"/>
        </w:rPr>
      </w:pPr>
      <w:r w:rsidRPr="00B175BB">
        <w:rPr>
          <w:rFonts w:ascii="Arial" w:hAnsi="Arial" w:cs="Arial"/>
          <w:sz w:val="20"/>
          <w:szCs w:val="20"/>
          <w:lang w:val="es-CO"/>
        </w:rPr>
        <w:t>[…]</w:t>
      </w:r>
      <w:bookmarkStart w:id="3" w:name="_Hlk54161862"/>
      <w:r w:rsidR="00AD008F">
        <w:rPr>
          <w:rFonts w:ascii="Arial" w:hAnsi="Arial" w:cs="Arial"/>
          <w:sz w:val="20"/>
          <w:szCs w:val="20"/>
          <w:lang w:val="es-CO"/>
        </w:rPr>
        <w:t xml:space="preserve"> </w:t>
      </w:r>
      <w:r w:rsidR="00AD008F" w:rsidRPr="00AD008F">
        <w:rPr>
          <w:rFonts w:ascii="Arial" w:hAnsi="Arial" w:cs="Arial"/>
          <w:sz w:val="20"/>
          <w:szCs w:val="20"/>
          <w:lang w:val="es-CO"/>
        </w:rPr>
        <w:t>se advierte que la evaluación de experiencia debe hacerse en función de un valor porcentual del presupuesto oficial de la obra aplicable al proponente de conformidad con el numeral 3.5.8. del Documento Base de licitación de obra pública de transporte – versión 3. Sobre este punto, se considera necesario precisar que el numeral 3.5.8. dispone que el valor porcentual del presupuesto oficial se debe calcular en SMMLV, descartando la posibilidad que el cálculo de la experiencia se realice con base a otros conceptos como la longitud de obra construida. En el caso que nos ocupa, el 5% de la experiencia requerida se debe calcular – en SMMLV - respecto al porcentaje del presupuesto oficial de acuerdo con el número de contratos aportados para acreditar la experiencia.</w:t>
      </w:r>
    </w:p>
    <w:p w14:paraId="56CE48C4" w14:textId="42CA7AE4" w:rsidR="00256846" w:rsidRDefault="00256846" w:rsidP="006F3E41">
      <w:pPr>
        <w:rPr>
          <w:rFonts w:ascii="Arial" w:eastAsia="Calibri" w:hAnsi="Arial" w:cs="Arial"/>
          <w:b/>
          <w:sz w:val="22"/>
        </w:rPr>
      </w:pPr>
    </w:p>
    <w:p w14:paraId="6CD9680C" w14:textId="6B7991C9" w:rsidR="00256846" w:rsidRDefault="00256846" w:rsidP="006F3E41">
      <w:pPr>
        <w:rPr>
          <w:rFonts w:ascii="Arial" w:eastAsia="Calibri" w:hAnsi="Arial" w:cs="Arial"/>
          <w:b/>
          <w:sz w:val="22"/>
        </w:rPr>
      </w:pPr>
    </w:p>
    <w:p w14:paraId="31DACEEC" w14:textId="3240F3CD" w:rsidR="00256846" w:rsidRDefault="00256846" w:rsidP="006F3E41">
      <w:pPr>
        <w:rPr>
          <w:rFonts w:ascii="Arial" w:eastAsia="Calibri" w:hAnsi="Arial" w:cs="Arial"/>
          <w:b/>
          <w:sz w:val="22"/>
        </w:rPr>
      </w:pPr>
    </w:p>
    <w:p w14:paraId="00D5BE91" w14:textId="22FC71E8" w:rsidR="00256846" w:rsidRDefault="00256846" w:rsidP="006F3E41">
      <w:pPr>
        <w:rPr>
          <w:rFonts w:ascii="Arial" w:eastAsia="Calibri" w:hAnsi="Arial" w:cs="Arial"/>
          <w:b/>
          <w:sz w:val="22"/>
        </w:rPr>
      </w:pPr>
    </w:p>
    <w:p w14:paraId="49AA91B8" w14:textId="2FA52D47" w:rsidR="00256846" w:rsidRDefault="00256846" w:rsidP="006F3E41">
      <w:pPr>
        <w:rPr>
          <w:rFonts w:ascii="Arial" w:eastAsia="Calibri" w:hAnsi="Arial" w:cs="Arial"/>
          <w:b/>
          <w:sz w:val="22"/>
        </w:rPr>
      </w:pPr>
    </w:p>
    <w:p w14:paraId="6EC6CE76" w14:textId="5BEB849E" w:rsidR="00256846" w:rsidRDefault="00256846" w:rsidP="006F3E41">
      <w:pPr>
        <w:rPr>
          <w:rFonts w:ascii="Arial" w:eastAsia="Calibri" w:hAnsi="Arial" w:cs="Arial"/>
          <w:b/>
          <w:sz w:val="22"/>
        </w:rPr>
      </w:pPr>
    </w:p>
    <w:p w14:paraId="754B960F" w14:textId="6FC8B688" w:rsidR="00256846" w:rsidRDefault="00256846" w:rsidP="006F3E41">
      <w:pPr>
        <w:rPr>
          <w:rFonts w:ascii="Arial" w:eastAsia="Calibri" w:hAnsi="Arial" w:cs="Arial"/>
          <w:b/>
          <w:sz w:val="22"/>
        </w:rPr>
      </w:pPr>
    </w:p>
    <w:p w14:paraId="020F6DA1" w14:textId="24ED7475" w:rsidR="00256846" w:rsidRDefault="00256846" w:rsidP="006F3E41">
      <w:pPr>
        <w:rPr>
          <w:rFonts w:ascii="Arial" w:eastAsia="Calibri" w:hAnsi="Arial" w:cs="Arial"/>
          <w:b/>
          <w:sz w:val="22"/>
        </w:rPr>
      </w:pPr>
    </w:p>
    <w:p w14:paraId="44998479" w14:textId="507BE9E0" w:rsidR="00256846" w:rsidRDefault="00256846" w:rsidP="006F3E41">
      <w:pPr>
        <w:rPr>
          <w:rFonts w:ascii="Arial" w:eastAsia="Calibri" w:hAnsi="Arial" w:cs="Arial"/>
          <w:b/>
          <w:sz w:val="22"/>
        </w:rPr>
      </w:pPr>
    </w:p>
    <w:p w14:paraId="3CC82100" w14:textId="64A6C2AE" w:rsidR="00256846" w:rsidRDefault="00256846" w:rsidP="006F3E41">
      <w:pPr>
        <w:rPr>
          <w:rFonts w:ascii="Arial" w:eastAsia="Calibri" w:hAnsi="Arial" w:cs="Arial"/>
          <w:b/>
          <w:sz w:val="22"/>
        </w:rPr>
      </w:pPr>
    </w:p>
    <w:p w14:paraId="6C878A90" w14:textId="26DBB219" w:rsidR="00256846" w:rsidRDefault="00256846" w:rsidP="006F3E41">
      <w:pPr>
        <w:rPr>
          <w:rFonts w:ascii="Arial" w:eastAsia="Calibri" w:hAnsi="Arial" w:cs="Arial"/>
          <w:b/>
          <w:sz w:val="22"/>
        </w:rPr>
      </w:pPr>
    </w:p>
    <w:p w14:paraId="554C1F41" w14:textId="6457E6F7" w:rsidR="00256846" w:rsidRDefault="00256846" w:rsidP="006F3E41">
      <w:pPr>
        <w:rPr>
          <w:rFonts w:ascii="Arial" w:eastAsia="Calibri" w:hAnsi="Arial" w:cs="Arial"/>
          <w:b/>
          <w:sz w:val="22"/>
        </w:rPr>
      </w:pPr>
    </w:p>
    <w:p w14:paraId="1B447038" w14:textId="2B91C9B2" w:rsidR="00256846" w:rsidRDefault="00256846" w:rsidP="006F3E41">
      <w:pPr>
        <w:rPr>
          <w:rFonts w:ascii="Arial" w:eastAsia="Calibri" w:hAnsi="Arial" w:cs="Arial"/>
          <w:b/>
          <w:sz w:val="22"/>
        </w:rPr>
      </w:pPr>
    </w:p>
    <w:p w14:paraId="12F371BB" w14:textId="205ED207" w:rsidR="00256846" w:rsidRDefault="00256846" w:rsidP="006F3E41">
      <w:pPr>
        <w:rPr>
          <w:rFonts w:ascii="Arial" w:eastAsia="Calibri" w:hAnsi="Arial" w:cs="Arial"/>
          <w:b/>
          <w:sz w:val="22"/>
        </w:rPr>
      </w:pPr>
    </w:p>
    <w:p w14:paraId="70AC07C5" w14:textId="12B2F75F" w:rsidR="00256846" w:rsidRDefault="00256846" w:rsidP="006F3E41">
      <w:pPr>
        <w:rPr>
          <w:rFonts w:ascii="Arial" w:eastAsia="Calibri" w:hAnsi="Arial" w:cs="Arial"/>
          <w:b/>
          <w:sz w:val="22"/>
        </w:rPr>
      </w:pPr>
    </w:p>
    <w:p w14:paraId="76C8B314" w14:textId="0C8AEF9E" w:rsidR="00256846" w:rsidRDefault="00256846" w:rsidP="006F3E41">
      <w:pPr>
        <w:rPr>
          <w:rFonts w:ascii="Arial" w:eastAsia="Calibri" w:hAnsi="Arial" w:cs="Arial"/>
          <w:b/>
          <w:sz w:val="22"/>
        </w:rPr>
      </w:pPr>
    </w:p>
    <w:p w14:paraId="491742DC" w14:textId="1C6CD02F" w:rsidR="00256846" w:rsidRDefault="00256846" w:rsidP="006F3E41">
      <w:pPr>
        <w:rPr>
          <w:rFonts w:ascii="Arial" w:eastAsia="Calibri" w:hAnsi="Arial" w:cs="Arial"/>
          <w:b/>
          <w:sz w:val="22"/>
        </w:rPr>
      </w:pPr>
    </w:p>
    <w:p w14:paraId="157B61E2" w14:textId="3966E787" w:rsidR="00256846" w:rsidRDefault="00256846" w:rsidP="006F3E41">
      <w:pPr>
        <w:rPr>
          <w:rFonts w:ascii="Arial" w:eastAsia="Calibri" w:hAnsi="Arial" w:cs="Arial"/>
          <w:b/>
          <w:sz w:val="22"/>
        </w:rPr>
      </w:pPr>
    </w:p>
    <w:p w14:paraId="3BCD0A5F" w14:textId="4413C0AB" w:rsidR="00256846" w:rsidRDefault="00256846" w:rsidP="006F3E41">
      <w:pPr>
        <w:rPr>
          <w:rFonts w:ascii="Arial" w:eastAsia="Calibri" w:hAnsi="Arial" w:cs="Arial"/>
          <w:b/>
          <w:sz w:val="22"/>
        </w:rPr>
      </w:pPr>
    </w:p>
    <w:p w14:paraId="44D33803" w14:textId="7618A766" w:rsidR="00256846" w:rsidRDefault="00256846" w:rsidP="006F3E41">
      <w:pPr>
        <w:rPr>
          <w:rFonts w:ascii="Arial" w:eastAsia="Calibri" w:hAnsi="Arial" w:cs="Arial"/>
          <w:b/>
          <w:sz w:val="22"/>
        </w:rPr>
      </w:pPr>
    </w:p>
    <w:p w14:paraId="2ADAEBDE" w14:textId="2B976836" w:rsidR="00256846" w:rsidRDefault="00256846" w:rsidP="006F3E41">
      <w:pPr>
        <w:rPr>
          <w:rFonts w:ascii="Arial" w:eastAsia="Calibri" w:hAnsi="Arial" w:cs="Arial"/>
          <w:b/>
          <w:sz w:val="22"/>
        </w:rPr>
      </w:pPr>
    </w:p>
    <w:p w14:paraId="6A859ACF" w14:textId="2290E412" w:rsidR="00256846" w:rsidRDefault="00256846" w:rsidP="006F3E41">
      <w:pPr>
        <w:rPr>
          <w:rFonts w:ascii="Arial" w:eastAsia="Calibri" w:hAnsi="Arial" w:cs="Arial"/>
          <w:b/>
          <w:sz w:val="22"/>
        </w:rPr>
      </w:pPr>
    </w:p>
    <w:p w14:paraId="2B8A5D75" w14:textId="76301FF3" w:rsidR="00256846" w:rsidRDefault="00256846" w:rsidP="006F3E41">
      <w:pPr>
        <w:rPr>
          <w:rFonts w:ascii="Arial" w:eastAsia="Calibri" w:hAnsi="Arial" w:cs="Arial"/>
          <w:b/>
          <w:sz w:val="22"/>
        </w:rPr>
      </w:pPr>
    </w:p>
    <w:p w14:paraId="2F46B44D" w14:textId="467FADBD" w:rsidR="00256846" w:rsidRDefault="00256846" w:rsidP="006F3E41">
      <w:pPr>
        <w:rPr>
          <w:rFonts w:ascii="Arial" w:eastAsia="Calibri" w:hAnsi="Arial" w:cs="Arial"/>
          <w:b/>
          <w:sz w:val="22"/>
        </w:rPr>
      </w:pPr>
    </w:p>
    <w:p w14:paraId="2B38F53E" w14:textId="43250D3C" w:rsidR="00256846" w:rsidRDefault="00256846" w:rsidP="006F3E41">
      <w:pPr>
        <w:rPr>
          <w:rFonts w:ascii="Arial" w:eastAsia="Calibri" w:hAnsi="Arial" w:cs="Arial"/>
          <w:b/>
          <w:sz w:val="22"/>
        </w:rPr>
      </w:pPr>
    </w:p>
    <w:p w14:paraId="7F799C19" w14:textId="77665B19" w:rsidR="00256846" w:rsidRDefault="00256846" w:rsidP="006F3E41">
      <w:pPr>
        <w:rPr>
          <w:rFonts w:ascii="Arial" w:eastAsia="Calibri" w:hAnsi="Arial" w:cs="Arial"/>
          <w:b/>
          <w:sz w:val="22"/>
        </w:rPr>
      </w:pPr>
    </w:p>
    <w:p w14:paraId="2CC1BD34" w14:textId="1F8435C1" w:rsidR="00256846" w:rsidRDefault="00256846" w:rsidP="006F3E41">
      <w:pPr>
        <w:rPr>
          <w:rFonts w:ascii="Arial" w:eastAsia="Calibri" w:hAnsi="Arial" w:cs="Arial"/>
          <w:b/>
          <w:sz w:val="22"/>
        </w:rPr>
      </w:pPr>
    </w:p>
    <w:p w14:paraId="2E0EF9FE" w14:textId="0F9946B0" w:rsidR="00256846" w:rsidRDefault="00256846" w:rsidP="006F3E41">
      <w:pPr>
        <w:rPr>
          <w:rFonts w:ascii="Arial" w:eastAsia="Calibri" w:hAnsi="Arial" w:cs="Arial"/>
          <w:b/>
          <w:sz w:val="22"/>
        </w:rPr>
      </w:pPr>
    </w:p>
    <w:p w14:paraId="0639975F" w14:textId="6A70CB49" w:rsidR="00256846" w:rsidRDefault="00256846" w:rsidP="006F3E41">
      <w:pPr>
        <w:rPr>
          <w:rFonts w:ascii="Arial" w:eastAsia="Calibri" w:hAnsi="Arial" w:cs="Arial"/>
          <w:b/>
          <w:sz w:val="22"/>
        </w:rPr>
      </w:pPr>
    </w:p>
    <w:p w14:paraId="04339D12" w14:textId="4B1D5E15" w:rsidR="00256846" w:rsidRDefault="00256846" w:rsidP="006F3E41">
      <w:pPr>
        <w:rPr>
          <w:rFonts w:ascii="Arial" w:eastAsia="Calibri" w:hAnsi="Arial" w:cs="Arial"/>
          <w:b/>
          <w:sz w:val="22"/>
        </w:rPr>
      </w:pPr>
    </w:p>
    <w:p w14:paraId="40AF1B5A" w14:textId="18B92FBA" w:rsidR="00256846" w:rsidRDefault="00256846" w:rsidP="006F3E41">
      <w:pPr>
        <w:rPr>
          <w:rFonts w:ascii="Arial" w:eastAsia="Calibri" w:hAnsi="Arial" w:cs="Arial"/>
          <w:b/>
          <w:sz w:val="22"/>
        </w:rPr>
      </w:pPr>
    </w:p>
    <w:p w14:paraId="1368B8DB" w14:textId="33886B92" w:rsidR="00256846" w:rsidRDefault="00256846" w:rsidP="006F3E41">
      <w:pPr>
        <w:rPr>
          <w:rFonts w:ascii="Arial" w:eastAsia="Calibri" w:hAnsi="Arial" w:cs="Arial"/>
          <w:b/>
          <w:sz w:val="22"/>
        </w:rPr>
      </w:pPr>
    </w:p>
    <w:p w14:paraId="13939ADB" w14:textId="20A87CBB" w:rsidR="00256846" w:rsidRDefault="00256846" w:rsidP="006F3E41">
      <w:pPr>
        <w:rPr>
          <w:rFonts w:ascii="Arial" w:eastAsia="Calibri" w:hAnsi="Arial" w:cs="Arial"/>
          <w:b/>
          <w:sz w:val="22"/>
        </w:rPr>
      </w:pPr>
    </w:p>
    <w:p w14:paraId="7AC5DC1C" w14:textId="139A17A2" w:rsidR="00256846" w:rsidRDefault="00256846" w:rsidP="006F3E41">
      <w:pPr>
        <w:rPr>
          <w:rFonts w:ascii="Arial" w:eastAsia="Calibri" w:hAnsi="Arial" w:cs="Arial"/>
          <w:b/>
          <w:sz w:val="22"/>
        </w:rPr>
      </w:pPr>
    </w:p>
    <w:p w14:paraId="779371C9" w14:textId="66A3E829" w:rsidR="009335AF" w:rsidRDefault="00732287" w:rsidP="00732287">
      <w:pPr>
        <w:jc w:val="right"/>
        <w:rPr>
          <w:rFonts w:ascii="Arial" w:eastAsia="Calibri" w:hAnsi="Arial" w:cs="Arial"/>
          <w:sz w:val="18"/>
          <w:szCs w:val="18"/>
        </w:rPr>
      </w:pPr>
      <w:r w:rsidRPr="009B0F78">
        <w:rPr>
          <w:rFonts w:ascii="Arial" w:eastAsia="Calibri" w:hAnsi="Arial" w:cs="Arial"/>
          <w:sz w:val="18"/>
          <w:szCs w:val="18"/>
        </w:rPr>
        <w:t>CE-DES-FM-17</w:t>
      </w:r>
    </w:p>
    <w:p w14:paraId="2609F110" w14:textId="77777777" w:rsidR="00BE5845" w:rsidRDefault="00BE5845" w:rsidP="00BE5845">
      <w:pPr>
        <w:rPr>
          <w:rFonts w:ascii="Arial" w:hAnsi="Arial" w:cs="Arial"/>
          <w:sz w:val="22"/>
          <w:szCs w:val="20"/>
        </w:rPr>
      </w:pPr>
    </w:p>
    <w:p w14:paraId="3F62139F" w14:textId="581046E5" w:rsidR="00BE5845" w:rsidRPr="00900530" w:rsidRDefault="00BE5845" w:rsidP="00BE5845">
      <w:pPr>
        <w:rPr>
          <w:rFonts w:ascii="Arial" w:eastAsia="Arial" w:hAnsi="Arial" w:cs="Arial"/>
          <w:b/>
          <w:sz w:val="22"/>
        </w:rPr>
      </w:pPr>
      <w:bookmarkStart w:id="4" w:name="_Hlk64030265"/>
      <w:r>
        <w:rPr>
          <w:rFonts w:ascii="Arial" w:hAnsi="Arial" w:cs="Arial"/>
          <w:sz w:val="22"/>
          <w:szCs w:val="20"/>
        </w:rPr>
        <w:t>Bogotá D.C.</w:t>
      </w:r>
      <w:bookmarkEnd w:id="4"/>
      <w:r>
        <w:rPr>
          <w:rFonts w:ascii="Arial" w:hAnsi="Arial" w:cs="Arial"/>
          <w:sz w:val="22"/>
          <w:szCs w:val="20"/>
        </w:rPr>
        <w:t xml:space="preserve">, </w:t>
      </w:r>
      <w:r w:rsidR="00902C8C">
        <w:rPr>
          <w:rFonts w:ascii="Arial" w:eastAsia="Arial" w:hAnsi="Arial" w:cs="Arial"/>
          <w:b/>
          <w:bCs/>
          <w:sz w:val="22"/>
        </w:rPr>
        <w:t>16/03/2021</w:t>
      </w:r>
    </w:p>
    <w:p w14:paraId="30978E02" w14:textId="77777777" w:rsidR="00BE5845" w:rsidRPr="00900530" w:rsidRDefault="00BE5845" w:rsidP="00BE5845">
      <w:pPr>
        <w:widowControl w:val="0"/>
        <w:autoSpaceDE w:val="0"/>
        <w:autoSpaceDN w:val="0"/>
        <w:ind w:left="302"/>
        <w:rPr>
          <w:rFonts w:ascii="Arial" w:eastAsia="Arial" w:hAnsi="Arial" w:cs="Arial"/>
          <w:b/>
          <w:sz w:val="22"/>
        </w:rPr>
      </w:pPr>
    </w:p>
    <w:p w14:paraId="3A073115" w14:textId="05DA6B82" w:rsidR="00732287" w:rsidRPr="009B0F78" w:rsidRDefault="00463ED6" w:rsidP="008138A0">
      <w:pPr>
        <w:rPr>
          <w:rFonts w:ascii="Arial" w:eastAsia="Calibri" w:hAnsi="Arial" w:cs="Arial"/>
          <w:sz w:val="22"/>
        </w:rPr>
      </w:pPr>
      <w:r>
        <w:rPr>
          <w:rFonts w:ascii="Arial" w:eastAsia="Arial" w:hAnsi="Arial" w:cs="Arial"/>
          <w:b/>
          <w:bCs/>
          <w:sz w:val="22"/>
        </w:rPr>
        <w:t xml:space="preserve">                                                                 </w:t>
      </w:r>
      <w:r w:rsidRPr="00463ED6">
        <w:rPr>
          <w:rFonts w:ascii="Arial" w:eastAsia="Arial" w:hAnsi="Arial" w:cs="Arial"/>
          <w:b/>
          <w:bCs/>
          <w:sz w:val="22"/>
        </w:rPr>
        <w:drawing>
          <wp:inline distT="0" distB="0" distL="0" distR="0" wp14:anchorId="39C348CA" wp14:editId="13CC2FD9">
            <wp:extent cx="3067478" cy="847843"/>
            <wp:effectExtent l="0" t="0" r="0" b="952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3067478" cy="847843"/>
                    </a:xfrm>
                    <a:prstGeom prst="rect">
                      <a:avLst/>
                    </a:prstGeom>
                  </pic:spPr>
                </pic:pic>
              </a:graphicData>
            </a:graphic>
          </wp:inline>
        </w:drawing>
      </w:r>
    </w:p>
    <w:p w14:paraId="6E5C7829" w14:textId="77777777" w:rsidR="009B0F78" w:rsidRDefault="009B0F78" w:rsidP="008138A0">
      <w:pPr>
        <w:rPr>
          <w:rFonts w:ascii="Arial" w:eastAsia="Calibri" w:hAnsi="Arial" w:cs="Arial"/>
          <w:sz w:val="22"/>
        </w:rPr>
      </w:pPr>
    </w:p>
    <w:p w14:paraId="3C72F14B" w14:textId="77777777" w:rsidR="009B0F78" w:rsidRDefault="009B0F78" w:rsidP="008138A0">
      <w:pPr>
        <w:rPr>
          <w:rFonts w:ascii="Arial" w:eastAsia="Calibri" w:hAnsi="Arial" w:cs="Arial"/>
          <w:sz w:val="22"/>
        </w:rPr>
      </w:pPr>
    </w:p>
    <w:p w14:paraId="09C7CE16" w14:textId="51D48DF4" w:rsidR="008138A0" w:rsidRPr="00166CB8" w:rsidRDefault="008138A0" w:rsidP="008138A0">
      <w:pPr>
        <w:rPr>
          <w:rFonts w:ascii="Arial" w:eastAsia="Calibri" w:hAnsi="Arial" w:cs="Arial"/>
          <w:sz w:val="22"/>
        </w:rPr>
      </w:pPr>
      <w:r w:rsidRPr="00166CB8">
        <w:rPr>
          <w:rFonts w:ascii="Arial" w:eastAsia="Calibri" w:hAnsi="Arial" w:cs="Arial"/>
          <w:sz w:val="22"/>
        </w:rPr>
        <w:t>Señor</w:t>
      </w:r>
      <w:r w:rsidR="00BE5845">
        <w:rPr>
          <w:rFonts w:ascii="Arial" w:eastAsia="Calibri" w:hAnsi="Arial" w:cs="Arial"/>
          <w:sz w:val="22"/>
        </w:rPr>
        <w:t>a</w:t>
      </w:r>
    </w:p>
    <w:p w14:paraId="31F18AA5" w14:textId="42E80964" w:rsidR="00FC1DD9" w:rsidRPr="00166CB8" w:rsidRDefault="00BE5845" w:rsidP="008138A0">
      <w:pPr>
        <w:rPr>
          <w:rFonts w:ascii="Arial" w:eastAsia="Calibri" w:hAnsi="Arial" w:cs="Arial"/>
          <w:b/>
          <w:sz w:val="22"/>
        </w:rPr>
      </w:pPr>
      <w:r>
        <w:rPr>
          <w:rFonts w:ascii="Arial" w:eastAsia="Calibri" w:hAnsi="Arial" w:cs="Arial"/>
          <w:b/>
          <w:sz w:val="22"/>
        </w:rPr>
        <w:t xml:space="preserve">Nasly Yurley Peña Rojas </w:t>
      </w:r>
    </w:p>
    <w:p w14:paraId="3512337F" w14:textId="681E1FB8" w:rsidR="008138A0" w:rsidRPr="00166CB8" w:rsidRDefault="00BE5845" w:rsidP="008138A0">
      <w:pPr>
        <w:rPr>
          <w:rFonts w:ascii="Arial" w:eastAsia="Calibri" w:hAnsi="Arial" w:cs="Arial"/>
          <w:sz w:val="22"/>
        </w:rPr>
      </w:pPr>
      <w:r>
        <w:rPr>
          <w:rFonts w:ascii="Arial" w:eastAsia="Calibri" w:hAnsi="Arial" w:cs="Arial"/>
          <w:sz w:val="22"/>
        </w:rPr>
        <w:t>Floridablanca</w:t>
      </w:r>
      <w:r w:rsidR="00FC1DD9" w:rsidRPr="00166CB8">
        <w:rPr>
          <w:rFonts w:ascii="Arial" w:eastAsia="Calibri" w:hAnsi="Arial" w:cs="Arial"/>
          <w:sz w:val="22"/>
        </w:rPr>
        <w:t xml:space="preserve">, </w:t>
      </w:r>
      <w:r>
        <w:rPr>
          <w:rFonts w:ascii="Arial" w:eastAsia="Calibri" w:hAnsi="Arial" w:cs="Arial"/>
          <w:sz w:val="22"/>
        </w:rPr>
        <w:t>Santander</w:t>
      </w:r>
    </w:p>
    <w:p w14:paraId="5AECDCF1" w14:textId="4AC5CF44" w:rsidR="00E9608D" w:rsidRPr="00166CB8" w:rsidRDefault="00E9608D" w:rsidP="008138A0">
      <w:pPr>
        <w:rPr>
          <w:rFonts w:ascii="Arial" w:eastAsia="Calibri" w:hAnsi="Arial" w:cs="Arial"/>
          <w:sz w:val="22"/>
        </w:rPr>
      </w:pPr>
    </w:p>
    <w:p w14:paraId="6C36FC47" w14:textId="77777777" w:rsidR="009335AF" w:rsidRPr="00166CB8" w:rsidRDefault="009335AF" w:rsidP="008138A0">
      <w:pPr>
        <w:rPr>
          <w:rFonts w:ascii="Arial" w:eastAsia="Calibri" w:hAnsi="Arial" w:cs="Arial"/>
          <w:sz w:val="22"/>
        </w:rPr>
      </w:pPr>
    </w:p>
    <w:p w14:paraId="164E5F76" w14:textId="737F2547" w:rsidR="008138A0" w:rsidRPr="00166CB8" w:rsidRDefault="005D477C" w:rsidP="0050318F">
      <w:pPr>
        <w:rPr>
          <w:rFonts w:ascii="Arial" w:eastAsia="Calibri" w:hAnsi="Arial" w:cs="Arial"/>
          <w:b/>
          <w:sz w:val="22"/>
        </w:rPr>
      </w:pPr>
      <w:r w:rsidRPr="00166CB8">
        <w:rPr>
          <w:rFonts w:ascii="Arial" w:eastAsia="Calibri" w:hAnsi="Arial" w:cs="Arial"/>
          <w:b/>
          <w:sz w:val="22"/>
        </w:rPr>
        <w:t xml:space="preserve">                                            </w:t>
      </w:r>
      <w:r w:rsidR="008138A0" w:rsidRPr="00166CB8">
        <w:rPr>
          <w:rFonts w:ascii="Arial" w:eastAsia="Calibri" w:hAnsi="Arial" w:cs="Arial"/>
          <w:b/>
          <w:sz w:val="22"/>
        </w:rPr>
        <w:t xml:space="preserve">Concepto C </w:t>
      </w:r>
      <w:r w:rsidR="006D7E42" w:rsidRPr="00166CB8">
        <w:rPr>
          <w:rFonts w:ascii="Arial" w:eastAsia="Calibri" w:hAnsi="Arial" w:cs="Arial"/>
          <w:b/>
          <w:sz w:val="22"/>
        </w:rPr>
        <w:t>–</w:t>
      </w:r>
      <w:r w:rsidR="008138A0" w:rsidRPr="00166CB8">
        <w:rPr>
          <w:rFonts w:ascii="Arial" w:eastAsia="Calibri" w:hAnsi="Arial" w:cs="Arial"/>
          <w:b/>
          <w:sz w:val="22"/>
        </w:rPr>
        <w:t xml:space="preserve"> </w:t>
      </w:r>
      <w:r w:rsidR="00BE5845">
        <w:rPr>
          <w:rFonts w:ascii="Arial" w:eastAsia="Calibri" w:hAnsi="Arial" w:cs="Arial"/>
          <w:b/>
          <w:sz w:val="22"/>
        </w:rPr>
        <w:t>085</w:t>
      </w:r>
      <w:r w:rsidR="00381292" w:rsidRPr="00166CB8">
        <w:rPr>
          <w:rFonts w:ascii="Arial" w:eastAsia="Calibri" w:hAnsi="Arial" w:cs="Arial"/>
          <w:b/>
          <w:sz w:val="22"/>
        </w:rPr>
        <w:t xml:space="preserve"> </w:t>
      </w:r>
      <w:r w:rsidR="008138A0" w:rsidRPr="00166CB8">
        <w:rPr>
          <w:rFonts w:ascii="Arial" w:eastAsia="Calibri" w:hAnsi="Arial" w:cs="Arial"/>
          <w:b/>
          <w:sz w:val="22"/>
        </w:rPr>
        <w:t>de 202</w:t>
      </w:r>
      <w:r w:rsidR="008D0AAF">
        <w:rPr>
          <w:rFonts w:ascii="Arial" w:eastAsia="Calibri" w:hAnsi="Arial" w:cs="Arial"/>
          <w:b/>
          <w:sz w:val="22"/>
        </w:rPr>
        <w:t>1</w:t>
      </w:r>
    </w:p>
    <w:p w14:paraId="5A689651" w14:textId="77777777" w:rsidR="009335AF" w:rsidRPr="00166CB8" w:rsidRDefault="009335AF" w:rsidP="008138A0">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66CB8" w:rsidRPr="00166CB8" w14:paraId="023B8B56" w14:textId="77777777" w:rsidTr="006D7E42">
        <w:trPr>
          <w:trHeight w:val="300"/>
        </w:trPr>
        <w:tc>
          <w:tcPr>
            <w:tcW w:w="2689" w:type="dxa"/>
            <w:hideMark/>
          </w:tcPr>
          <w:p w14:paraId="3C7D030D" w14:textId="77777777" w:rsidR="008138A0" w:rsidRPr="00166CB8" w:rsidRDefault="008138A0" w:rsidP="00ED0D12">
            <w:pPr>
              <w:rPr>
                <w:rFonts w:ascii="Arial" w:eastAsia="Calibri" w:hAnsi="Arial" w:cs="Arial"/>
                <w:sz w:val="22"/>
              </w:rPr>
            </w:pPr>
            <w:r w:rsidRPr="00166CB8">
              <w:rPr>
                <w:rFonts w:ascii="Arial" w:eastAsia="Calibri" w:hAnsi="Arial" w:cs="Arial"/>
                <w:b/>
                <w:sz w:val="22"/>
              </w:rPr>
              <w:t>Temas:</w:t>
            </w:r>
            <w:r w:rsidRPr="00166CB8">
              <w:rPr>
                <w:rFonts w:ascii="Arial" w:eastAsia="Calibri" w:hAnsi="Arial" w:cs="Arial"/>
                <w:sz w:val="22"/>
              </w:rPr>
              <w:t xml:space="preserve">           </w:t>
            </w:r>
          </w:p>
          <w:p w14:paraId="22EACEBC" w14:textId="77777777" w:rsidR="008138A0" w:rsidRPr="00166CB8" w:rsidRDefault="008138A0" w:rsidP="00ED0D12">
            <w:pPr>
              <w:rPr>
                <w:rFonts w:ascii="Arial" w:eastAsia="Calibri" w:hAnsi="Arial" w:cs="Arial"/>
                <w:sz w:val="22"/>
              </w:rPr>
            </w:pPr>
            <w:r w:rsidRPr="00166CB8">
              <w:rPr>
                <w:rFonts w:ascii="Arial" w:eastAsia="Calibri" w:hAnsi="Arial" w:cs="Arial"/>
                <w:sz w:val="22"/>
              </w:rPr>
              <w:t xml:space="preserve">                           </w:t>
            </w:r>
          </w:p>
        </w:tc>
        <w:tc>
          <w:tcPr>
            <w:tcW w:w="6237" w:type="dxa"/>
            <w:hideMark/>
          </w:tcPr>
          <w:p w14:paraId="2509C0F0" w14:textId="52772DF4" w:rsidR="008138A0" w:rsidRPr="00166CB8" w:rsidRDefault="00166CB8" w:rsidP="0050318F">
            <w:pPr>
              <w:spacing w:after="120"/>
              <w:jc w:val="both"/>
              <w:rPr>
                <w:rFonts w:ascii="Arial" w:eastAsia="Calibri" w:hAnsi="Arial" w:cs="Arial"/>
                <w:sz w:val="22"/>
              </w:rPr>
            </w:pPr>
            <w:r w:rsidRPr="00166CB8">
              <w:rPr>
                <w:rFonts w:ascii="Arial" w:eastAsia="Calibri" w:hAnsi="Arial" w:cs="Arial"/>
                <w:sz w:val="22"/>
              </w:rPr>
              <w:t xml:space="preserve">DOCUMENTOS TIPO – Inalterabilidad / DOCUMENTOS TIPO – Experiencia – Acreditación – Número de contratos / </w:t>
            </w:r>
            <w:r w:rsidR="006F3E41" w:rsidRPr="006F3E41">
              <w:rPr>
                <w:rFonts w:ascii="Arial" w:eastAsia="Calibri" w:hAnsi="Arial" w:cs="Arial"/>
                <w:sz w:val="22"/>
              </w:rPr>
              <w:t>DOCUMENTOS TIPO – Experiencia – Licitación de obra pública V3 - Número de contratos – Porcentaje del presupuesto oficial – Aplicación del numeral 3.5.8</w:t>
            </w:r>
            <w:r w:rsidR="006F3E41">
              <w:rPr>
                <w:rFonts w:ascii="Arial" w:eastAsia="Calibri" w:hAnsi="Arial" w:cs="Arial"/>
                <w:sz w:val="22"/>
              </w:rPr>
              <w:t xml:space="preserve"> </w:t>
            </w:r>
            <w:r w:rsidRPr="00166CB8">
              <w:rPr>
                <w:rFonts w:ascii="Arial" w:eastAsia="Calibri" w:hAnsi="Arial" w:cs="Arial"/>
                <w:sz w:val="22"/>
              </w:rPr>
              <w:t>/ DOCUMENTOS TIPO – Proponentes plurales – Experiencia – Aporte del cinc</w:t>
            </w:r>
            <w:r w:rsidR="006F3E41">
              <w:rPr>
                <w:rFonts w:ascii="Arial" w:eastAsia="Calibri" w:hAnsi="Arial" w:cs="Arial"/>
                <w:sz w:val="22"/>
              </w:rPr>
              <w:t>o</w:t>
            </w:r>
            <w:r w:rsidRPr="00166CB8">
              <w:rPr>
                <w:rFonts w:ascii="Arial" w:eastAsia="Calibri" w:hAnsi="Arial" w:cs="Arial"/>
                <w:sz w:val="22"/>
              </w:rPr>
              <w:t xml:space="preserve"> por ciento</w:t>
            </w:r>
          </w:p>
        </w:tc>
      </w:tr>
      <w:tr w:rsidR="00166CB8" w:rsidRPr="00166CB8" w14:paraId="4CC1D054" w14:textId="77777777" w:rsidTr="008E360E">
        <w:trPr>
          <w:trHeight w:val="95"/>
        </w:trPr>
        <w:tc>
          <w:tcPr>
            <w:tcW w:w="2689" w:type="dxa"/>
          </w:tcPr>
          <w:p w14:paraId="415D150B" w14:textId="77777777" w:rsidR="008138A0" w:rsidRPr="00166CB8" w:rsidRDefault="008138A0" w:rsidP="00ED0D12">
            <w:pPr>
              <w:rPr>
                <w:rFonts w:ascii="Arial" w:eastAsia="Calibri" w:hAnsi="Arial" w:cs="Arial"/>
                <w:b/>
                <w:sz w:val="22"/>
              </w:rPr>
            </w:pPr>
            <w:r w:rsidRPr="00166CB8">
              <w:rPr>
                <w:rFonts w:ascii="Arial" w:eastAsia="Calibri" w:hAnsi="Arial" w:cs="Arial"/>
                <w:b/>
                <w:sz w:val="22"/>
              </w:rPr>
              <w:t>Radicación:</w:t>
            </w:r>
            <w:r w:rsidRPr="00166CB8">
              <w:rPr>
                <w:rFonts w:ascii="Arial" w:eastAsia="Calibri" w:hAnsi="Arial" w:cs="Arial"/>
                <w:sz w:val="22"/>
              </w:rPr>
              <w:t xml:space="preserve">                              </w:t>
            </w:r>
          </w:p>
        </w:tc>
        <w:tc>
          <w:tcPr>
            <w:tcW w:w="6237" w:type="dxa"/>
          </w:tcPr>
          <w:p w14:paraId="2AFD26AF" w14:textId="22F7BE90" w:rsidR="008138A0" w:rsidRPr="00166CB8" w:rsidRDefault="008138A0" w:rsidP="00ED0D12">
            <w:pPr>
              <w:jc w:val="both"/>
              <w:rPr>
                <w:rFonts w:ascii="Arial" w:eastAsia="Calibri" w:hAnsi="Arial" w:cs="Arial"/>
                <w:sz w:val="22"/>
              </w:rPr>
            </w:pPr>
            <w:r w:rsidRPr="00166CB8">
              <w:rPr>
                <w:rFonts w:ascii="Arial" w:eastAsia="Calibri" w:hAnsi="Arial" w:cs="Arial"/>
                <w:sz w:val="22"/>
              </w:rPr>
              <w:t xml:space="preserve">Respuesta a consulta # </w:t>
            </w:r>
            <w:r w:rsidR="00BE5845" w:rsidRPr="00BE5845">
              <w:rPr>
                <w:rFonts w:ascii="Arial" w:eastAsia="Calibri" w:hAnsi="Arial" w:cs="Arial"/>
                <w:sz w:val="22"/>
              </w:rPr>
              <w:t>P20210206000973</w:t>
            </w:r>
          </w:p>
        </w:tc>
      </w:tr>
    </w:tbl>
    <w:p w14:paraId="42620EAB" w14:textId="77777777" w:rsidR="008138A0" w:rsidRPr="00166CB8" w:rsidRDefault="008138A0" w:rsidP="008138A0">
      <w:pPr>
        <w:jc w:val="both"/>
        <w:rPr>
          <w:rFonts w:ascii="Arial" w:eastAsia="Calibri" w:hAnsi="Arial" w:cs="Arial"/>
          <w:sz w:val="22"/>
        </w:rPr>
      </w:pPr>
    </w:p>
    <w:p w14:paraId="46D97C07" w14:textId="795B92B7" w:rsidR="008138A0" w:rsidRPr="00166CB8" w:rsidRDefault="008138A0" w:rsidP="008138A0">
      <w:pPr>
        <w:jc w:val="both"/>
        <w:rPr>
          <w:rFonts w:ascii="Arial" w:eastAsia="Calibri" w:hAnsi="Arial" w:cs="Arial"/>
          <w:sz w:val="22"/>
        </w:rPr>
      </w:pPr>
    </w:p>
    <w:p w14:paraId="20780471" w14:textId="5F9D48FD" w:rsidR="008138A0" w:rsidRPr="00166CB8" w:rsidRDefault="008138A0" w:rsidP="008138A0">
      <w:pPr>
        <w:rPr>
          <w:rFonts w:ascii="Arial" w:eastAsia="Calibri" w:hAnsi="Arial" w:cs="Arial"/>
          <w:sz w:val="22"/>
        </w:rPr>
      </w:pPr>
      <w:r w:rsidRPr="00166CB8">
        <w:rPr>
          <w:rFonts w:ascii="Arial" w:eastAsia="Calibri" w:hAnsi="Arial" w:cs="Arial"/>
          <w:sz w:val="22"/>
        </w:rPr>
        <w:t>Estimad</w:t>
      </w:r>
      <w:r w:rsidR="00BE5845">
        <w:rPr>
          <w:rFonts w:ascii="Arial" w:eastAsia="Calibri" w:hAnsi="Arial" w:cs="Arial"/>
          <w:sz w:val="22"/>
        </w:rPr>
        <w:t>a</w:t>
      </w:r>
      <w:r w:rsidRPr="00166CB8">
        <w:rPr>
          <w:rFonts w:ascii="Arial" w:eastAsia="Calibri" w:hAnsi="Arial" w:cs="Arial"/>
          <w:sz w:val="22"/>
        </w:rPr>
        <w:t xml:space="preserve"> señor</w:t>
      </w:r>
      <w:r w:rsidR="00BE5845">
        <w:rPr>
          <w:rFonts w:ascii="Arial" w:eastAsia="Calibri" w:hAnsi="Arial" w:cs="Arial"/>
          <w:sz w:val="22"/>
        </w:rPr>
        <w:t>a</w:t>
      </w:r>
      <w:r w:rsidR="00E126F4" w:rsidRPr="00166CB8">
        <w:rPr>
          <w:rFonts w:ascii="Arial" w:eastAsia="Calibri" w:hAnsi="Arial" w:cs="Arial"/>
          <w:sz w:val="22"/>
        </w:rPr>
        <w:t xml:space="preserve"> </w:t>
      </w:r>
      <w:r w:rsidR="00BE5845">
        <w:rPr>
          <w:rFonts w:ascii="Arial" w:eastAsia="Calibri" w:hAnsi="Arial" w:cs="Arial"/>
          <w:sz w:val="22"/>
        </w:rPr>
        <w:t>Peña Rojas</w:t>
      </w:r>
      <w:r w:rsidR="00B77C45" w:rsidRPr="00166CB8">
        <w:rPr>
          <w:rFonts w:ascii="Arial" w:eastAsia="Calibri" w:hAnsi="Arial" w:cs="Arial"/>
          <w:sz w:val="22"/>
        </w:rPr>
        <w:t>:</w:t>
      </w:r>
    </w:p>
    <w:p w14:paraId="6CF38821" w14:textId="77777777" w:rsidR="009335AF" w:rsidRPr="00166CB8" w:rsidRDefault="009335AF" w:rsidP="008138A0">
      <w:pPr>
        <w:rPr>
          <w:rFonts w:ascii="Arial" w:eastAsia="Calibri" w:hAnsi="Arial" w:cs="Arial"/>
          <w:sz w:val="22"/>
        </w:rPr>
      </w:pPr>
    </w:p>
    <w:p w14:paraId="735BE577" w14:textId="2D607B31" w:rsidR="008138A0" w:rsidRPr="00166CB8" w:rsidRDefault="008138A0" w:rsidP="008138A0">
      <w:pPr>
        <w:spacing w:line="276" w:lineRule="auto"/>
        <w:jc w:val="both"/>
        <w:rPr>
          <w:rFonts w:ascii="Arial" w:eastAsia="Calibri" w:hAnsi="Arial" w:cs="Arial"/>
          <w:sz w:val="22"/>
        </w:rPr>
      </w:pPr>
      <w:r w:rsidRPr="00166CB8">
        <w:rPr>
          <w:rFonts w:ascii="Arial" w:eastAsia="Calibri" w:hAnsi="Arial" w:cs="Arial"/>
          <w:sz w:val="22"/>
        </w:rPr>
        <w:t>En ejercicio de la competencia otorgada por los artículos 11, numeral 8º, y 3º, numeral 5º, del Decreto Ley 4170 de 2011, la Agencia Nacional de Contratación Pública</w:t>
      </w:r>
      <w:r w:rsidR="00891362" w:rsidRPr="00166CB8">
        <w:rPr>
          <w:rFonts w:ascii="Arial" w:eastAsia="Calibri" w:hAnsi="Arial" w:cs="Arial"/>
          <w:sz w:val="22"/>
        </w:rPr>
        <w:t xml:space="preserve"> – </w:t>
      </w:r>
      <w:r w:rsidRPr="00166CB8">
        <w:rPr>
          <w:rFonts w:ascii="Arial" w:eastAsia="Calibri" w:hAnsi="Arial" w:cs="Arial"/>
          <w:sz w:val="22"/>
        </w:rPr>
        <w:t xml:space="preserve">Colombia Compra Eficiente responde su consulta del </w:t>
      </w:r>
      <w:r w:rsidR="00BE5845">
        <w:rPr>
          <w:rFonts w:ascii="Arial" w:eastAsia="Calibri" w:hAnsi="Arial" w:cs="Arial"/>
          <w:sz w:val="22"/>
        </w:rPr>
        <w:t>06</w:t>
      </w:r>
      <w:r w:rsidR="00B77C45" w:rsidRPr="00166CB8">
        <w:rPr>
          <w:rFonts w:ascii="Arial" w:eastAsia="Calibri" w:hAnsi="Arial" w:cs="Arial"/>
          <w:sz w:val="22"/>
        </w:rPr>
        <w:t xml:space="preserve"> </w:t>
      </w:r>
      <w:r w:rsidR="00B34A68" w:rsidRPr="00166CB8">
        <w:rPr>
          <w:rFonts w:ascii="Arial" w:eastAsia="Calibri" w:hAnsi="Arial" w:cs="Arial"/>
          <w:sz w:val="22"/>
        </w:rPr>
        <w:t xml:space="preserve">de </w:t>
      </w:r>
      <w:r w:rsidR="00BE5845">
        <w:rPr>
          <w:rFonts w:ascii="Arial" w:eastAsia="Calibri" w:hAnsi="Arial" w:cs="Arial"/>
          <w:sz w:val="22"/>
        </w:rPr>
        <w:t>febrero</w:t>
      </w:r>
      <w:r w:rsidR="008E360E" w:rsidRPr="00166CB8">
        <w:rPr>
          <w:rFonts w:ascii="Arial" w:eastAsia="Calibri" w:hAnsi="Arial" w:cs="Arial"/>
          <w:sz w:val="22"/>
        </w:rPr>
        <w:t xml:space="preserve"> </w:t>
      </w:r>
      <w:r w:rsidRPr="00166CB8">
        <w:rPr>
          <w:rFonts w:ascii="Arial" w:eastAsia="Calibri" w:hAnsi="Arial" w:cs="Arial"/>
          <w:sz w:val="22"/>
        </w:rPr>
        <w:t>de 202</w:t>
      </w:r>
      <w:r w:rsidR="00BE5845">
        <w:rPr>
          <w:rFonts w:ascii="Arial" w:eastAsia="Calibri" w:hAnsi="Arial" w:cs="Arial"/>
          <w:sz w:val="22"/>
        </w:rPr>
        <w:t>1</w:t>
      </w:r>
      <w:r w:rsidRPr="00166CB8">
        <w:rPr>
          <w:rFonts w:ascii="Arial" w:eastAsia="Calibri" w:hAnsi="Arial" w:cs="Arial"/>
          <w:sz w:val="22"/>
        </w:rPr>
        <w:t xml:space="preserve">. </w:t>
      </w:r>
    </w:p>
    <w:p w14:paraId="277F0862" w14:textId="77777777" w:rsidR="008138A0" w:rsidRPr="00166CB8" w:rsidRDefault="008138A0" w:rsidP="008138A0">
      <w:pPr>
        <w:spacing w:line="276" w:lineRule="auto"/>
        <w:jc w:val="both"/>
        <w:rPr>
          <w:rFonts w:ascii="Arial" w:eastAsia="Calibri" w:hAnsi="Arial" w:cs="Arial"/>
          <w:sz w:val="22"/>
        </w:rPr>
      </w:pPr>
    </w:p>
    <w:p w14:paraId="4F715EB5" w14:textId="77777777" w:rsidR="008138A0" w:rsidRPr="00166CB8" w:rsidRDefault="008138A0" w:rsidP="008138A0">
      <w:pPr>
        <w:pStyle w:val="Prrafodelista"/>
        <w:numPr>
          <w:ilvl w:val="0"/>
          <w:numId w:val="6"/>
        </w:numPr>
        <w:tabs>
          <w:tab w:val="left" w:pos="284"/>
        </w:tabs>
        <w:spacing w:line="276" w:lineRule="auto"/>
        <w:ind w:left="0" w:firstLine="0"/>
        <w:jc w:val="both"/>
        <w:rPr>
          <w:rFonts w:ascii="Arial" w:eastAsia="Calibri" w:hAnsi="Arial" w:cs="Arial"/>
          <w:b/>
          <w:sz w:val="22"/>
        </w:rPr>
      </w:pPr>
      <w:r w:rsidRPr="00166CB8">
        <w:rPr>
          <w:rFonts w:ascii="Arial" w:eastAsia="Calibri" w:hAnsi="Arial" w:cs="Arial"/>
          <w:b/>
          <w:sz w:val="22"/>
        </w:rPr>
        <w:t xml:space="preserve">Problemas planteados </w:t>
      </w:r>
    </w:p>
    <w:p w14:paraId="419C2DEA" w14:textId="77777777" w:rsidR="00BE5845" w:rsidRDefault="00BE5845" w:rsidP="00EA6DF4">
      <w:pPr>
        <w:spacing w:line="276" w:lineRule="auto"/>
        <w:jc w:val="both"/>
        <w:rPr>
          <w:rFonts w:ascii="Arial" w:eastAsia="Calibri" w:hAnsi="Arial" w:cs="Arial"/>
          <w:b/>
          <w:sz w:val="22"/>
        </w:rPr>
      </w:pPr>
      <w:bookmarkStart w:id="5" w:name="_Hlk61963035"/>
    </w:p>
    <w:p w14:paraId="24D8932A" w14:textId="07F55D0F" w:rsidR="00A74228" w:rsidRPr="00166CB8" w:rsidRDefault="00BE5845" w:rsidP="00A74228">
      <w:pPr>
        <w:spacing w:after="120" w:line="276" w:lineRule="auto"/>
        <w:jc w:val="both"/>
        <w:rPr>
          <w:rFonts w:ascii="Arial" w:eastAsia="Calibri" w:hAnsi="Arial" w:cs="Arial"/>
          <w:sz w:val="22"/>
        </w:rPr>
      </w:pPr>
      <w:bookmarkStart w:id="6" w:name="_Hlk64640718"/>
      <w:r>
        <w:rPr>
          <w:rFonts w:ascii="Arial" w:eastAsia="Calibri" w:hAnsi="Arial" w:cs="Arial"/>
          <w:sz w:val="22"/>
        </w:rPr>
        <w:t>La</w:t>
      </w:r>
      <w:r w:rsidR="00FC1DD9" w:rsidRPr="00166CB8">
        <w:rPr>
          <w:rFonts w:ascii="Arial" w:eastAsia="Calibri" w:hAnsi="Arial" w:cs="Arial"/>
          <w:sz w:val="22"/>
        </w:rPr>
        <w:t xml:space="preserve"> peticionari</w:t>
      </w:r>
      <w:r>
        <w:rPr>
          <w:rFonts w:ascii="Arial" w:eastAsia="Calibri" w:hAnsi="Arial" w:cs="Arial"/>
          <w:sz w:val="22"/>
        </w:rPr>
        <w:t>a</w:t>
      </w:r>
      <w:r w:rsidR="00FC1DD9" w:rsidRPr="00166CB8">
        <w:rPr>
          <w:rFonts w:ascii="Arial" w:eastAsia="Calibri" w:hAnsi="Arial" w:cs="Arial"/>
          <w:sz w:val="22"/>
        </w:rPr>
        <w:t xml:space="preserve"> solicita aclar</w:t>
      </w:r>
      <w:r w:rsidR="00A0046E">
        <w:rPr>
          <w:rFonts w:ascii="Arial" w:eastAsia="Calibri" w:hAnsi="Arial" w:cs="Arial"/>
          <w:sz w:val="22"/>
        </w:rPr>
        <w:t>ar</w:t>
      </w:r>
      <w:r w:rsidR="00FC1DD9" w:rsidRPr="00166CB8">
        <w:rPr>
          <w:rFonts w:ascii="Arial" w:eastAsia="Calibri" w:hAnsi="Arial" w:cs="Arial"/>
          <w:sz w:val="22"/>
        </w:rPr>
        <w:t xml:space="preserve"> c</w:t>
      </w:r>
      <w:r w:rsidR="001F34EC">
        <w:rPr>
          <w:rFonts w:ascii="Arial" w:eastAsia="Calibri" w:hAnsi="Arial" w:cs="Arial"/>
          <w:sz w:val="22"/>
        </w:rPr>
        <w:t>ó</w:t>
      </w:r>
      <w:r w:rsidR="00FC1DD9" w:rsidRPr="00166CB8">
        <w:rPr>
          <w:rFonts w:ascii="Arial" w:eastAsia="Calibri" w:hAnsi="Arial" w:cs="Arial"/>
          <w:sz w:val="22"/>
        </w:rPr>
        <w:t xml:space="preserve">mo debe </w:t>
      </w:r>
      <w:r w:rsidR="00A0046E">
        <w:rPr>
          <w:rFonts w:ascii="Arial" w:eastAsia="Calibri" w:hAnsi="Arial" w:cs="Arial"/>
          <w:sz w:val="22"/>
        </w:rPr>
        <w:t>verificarse</w:t>
      </w:r>
      <w:r w:rsidR="00A0046E" w:rsidRPr="00166CB8">
        <w:rPr>
          <w:rFonts w:ascii="Arial" w:eastAsia="Calibri" w:hAnsi="Arial" w:cs="Arial"/>
          <w:sz w:val="22"/>
        </w:rPr>
        <w:t xml:space="preserve"> </w:t>
      </w:r>
      <w:r w:rsidR="00FC1DD9" w:rsidRPr="00166CB8">
        <w:rPr>
          <w:rFonts w:ascii="Arial" w:eastAsia="Calibri" w:hAnsi="Arial" w:cs="Arial"/>
          <w:sz w:val="22"/>
        </w:rPr>
        <w:t>el cumplimiento del requisito establecido para proponentes plurales en el literal D del numeral 3.5.</w:t>
      </w:r>
      <w:r w:rsidR="00597E8D">
        <w:rPr>
          <w:rFonts w:ascii="Arial" w:eastAsia="Calibri" w:hAnsi="Arial" w:cs="Arial"/>
          <w:sz w:val="22"/>
        </w:rPr>
        <w:t>3</w:t>
      </w:r>
      <w:r w:rsidR="00FC1DD9" w:rsidRPr="00166CB8">
        <w:rPr>
          <w:rFonts w:ascii="Arial" w:eastAsia="Calibri" w:hAnsi="Arial" w:cs="Arial"/>
          <w:sz w:val="22"/>
        </w:rPr>
        <w:t xml:space="preserve"> de la Versión </w:t>
      </w:r>
      <w:r w:rsidR="00597E8D">
        <w:rPr>
          <w:rFonts w:ascii="Arial" w:eastAsia="Calibri" w:hAnsi="Arial" w:cs="Arial"/>
          <w:sz w:val="22"/>
        </w:rPr>
        <w:t>3</w:t>
      </w:r>
      <w:r w:rsidR="00FC1DD9" w:rsidRPr="00166CB8">
        <w:rPr>
          <w:rFonts w:ascii="Arial" w:eastAsia="Calibri" w:hAnsi="Arial" w:cs="Arial"/>
          <w:sz w:val="22"/>
        </w:rPr>
        <w:t xml:space="preserve"> del Documento Base de licitación de obra pública de infraestructura de transporte</w:t>
      </w:r>
      <w:r w:rsidR="00256846">
        <w:rPr>
          <w:rFonts w:ascii="Arial" w:eastAsia="Calibri" w:hAnsi="Arial" w:cs="Arial"/>
          <w:sz w:val="22"/>
        </w:rPr>
        <w:t xml:space="preserve">, adoptado por esta Agencia </w:t>
      </w:r>
      <w:r w:rsidR="00380B3D">
        <w:rPr>
          <w:rFonts w:ascii="Arial" w:eastAsia="Calibri" w:hAnsi="Arial" w:cs="Arial"/>
          <w:sz w:val="22"/>
        </w:rPr>
        <w:t xml:space="preserve">mediante la </w:t>
      </w:r>
      <w:r w:rsidR="00FC1DD9" w:rsidRPr="00166CB8">
        <w:rPr>
          <w:rFonts w:ascii="Arial" w:eastAsia="Calibri" w:hAnsi="Arial" w:cs="Arial"/>
          <w:sz w:val="22"/>
        </w:rPr>
        <w:t xml:space="preserve">Resolución No. </w:t>
      </w:r>
      <w:r w:rsidR="003B6606">
        <w:rPr>
          <w:rFonts w:ascii="Arial" w:eastAsia="Calibri" w:hAnsi="Arial" w:cs="Arial"/>
          <w:sz w:val="22"/>
        </w:rPr>
        <w:t>2</w:t>
      </w:r>
      <w:r w:rsidR="00FC1DD9" w:rsidRPr="00166CB8">
        <w:rPr>
          <w:rFonts w:ascii="Arial" w:eastAsia="Calibri" w:hAnsi="Arial" w:cs="Arial"/>
          <w:sz w:val="22"/>
        </w:rPr>
        <w:t>4</w:t>
      </w:r>
      <w:r w:rsidR="003B6606">
        <w:rPr>
          <w:rFonts w:ascii="Arial" w:eastAsia="Calibri" w:hAnsi="Arial" w:cs="Arial"/>
          <w:sz w:val="22"/>
        </w:rPr>
        <w:t>0</w:t>
      </w:r>
      <w:r w:rsidR="00FC1DD9" w:rsidRPr="00166CB8">
        <w:rPr>
          <w:rFonts w:ascii="Arial" w:eastAsia="Calibri" w:hAnsi="Arial" w:cs="Arial"/>
          <w:sz w:val="22"/>
        </w:rPr>
        <w:t xml:space="preserve"> de 2020</w:t>
      </w:r>
      <w:r w:rsidR="003B6606">
        <w:rPr>
          <w:rFonts w:ascii="Arial" w:eastAsia="Calibri" w:hAnsi="Arial" w:cs="Arial"/>
          <w:sz w:val="22"/>
        </w:rPr>
        <w:t>.</w:t>
      </w:r>
      <w:r w:rsidR="00FC1DD9" w:rsidRPr="00166CB8">
        <w:rPr>
          <w:rFonts w:ascii="Arial" w:eastAsia="Calibri" w:hAnsi="Arial" w:cs="Arial"/>
          <w:sz w:val="22"/>
        </w:rPr>
        <w:t xml:space="preserve"> </w:t>
      </w:r>
    </w:p>
    <w:p w14:paraId="41AE5D6B" w14:textId="2260E157" w:rsidR="003B6606" w:rsidRDefault="001422E8" w:rsidP="00EA6DF4">
      <w:pPr>
        <w:spacing w:line="276" w:lineRule="auto"/>
        <w:ind w:firstLine="708"/>
        <w:jc w:val="both"/>
        <w:rPr>
          <w:rFonts w:ascii="Arial" w:eastAsia="Calibri" w:hAnsi="Arial" w:cs="Arial"/>
          <w:sz w:val="22"/>
        </w:rPr>
      </w:pPr>
      <w:r>
        <w:rPr>
          <w:rFonts w:ascii="Arial" w:eastAsia="Calibri" w:hAnsi="Arial" w:cs="Arial"/>
          <w:sz w:val="22"/>
        </w:rPr>
        <w:t>Sobre</w:t>
      </w:r>
      <w:r w:rsidR="00E7237C">
        <w:rPr>
          <w:rFonts w:ascii="Arial" w:eastAsia="Calibri" w:hAnsi="Arial" w:cs="Arial"/>
          <w:sz w:val="22"/>
        </w:rPr>
        <w:t xml:space="preserve"> las reglas establecidas en dicho literal</w:t>
      </w:r>
      <w:r w:rsidR="003B6606">
        <w:rPr>
          <w:rFonts w:ascii="Arial" w:eastAsia="Calibri" w:hAnsi="Arial" w:cs="Arial"/>
          <w:sz w:val="22"/>
        </w:rPr>
        <w:t xml:space="preserve"> la peticionaria pregunta</w:t>
      </w:r>
      <w:r w:rsidR="00E7237C">
        <w:rPr>
          <w:rFonts w:ascii="Arial" w:eastAsia="Calibri" w:hAnsi="Arial" w:cs="Arial"/>
          <w:sz w:val="22"/>
        </w:rPr>
        <w:t>:</w:t>
      </w:r>
      <w:r w:rsidR="003B6606">
        <w:rPr>
          <w:rFonts w:ascii="Arial" w:eastAsia="Calibri" w:hAnsi="Arial" w:cs="Arial"/>
          <w:sz w:val="22"/>
        </w:rPr>
        <w:t xml:space="preserve">  i) </w:t>
      </w:r>
      <w:r w:rsidR="00090F9A">
        <w:rPr>
          <w:rFonts w:ascii="Arial" w:eastAsia="Calibri" w:hAnsi="Arial" w:cs="Arial"/>
          <w:sz w:val="22"/>
        </w:rPr>
        <w:t>¿</w:t>
      </w:r>
      <w:r w:rsidR="003B6606">
        <w:rPr>
          <w:rFonts w:ascii="Arial" w:eastAsia="Calibri" w:hAnsi="Arial" w:cs="Arial"/>
          <w:sz w:val="22"/>
        </w:rPr>
        <w:t>el proponente que aporta el cinco por ciento (5%) de la experiencia puede tener un porcentaje de participación del cincuenta por ciento (50%) en el consorcio</w:t>
      </w:r>
      <w:r w:rsidR="00090F9A">
        <w:rPr>
          <w:rFonts w:ascii="Arial" w:eastAsia="Calibri" w:hAnsi="Arial" w:cs="Arial"/>
          <w:sz w:val="22"/>
        </w:rPr>
        <w:t>?</w:t>
      </w:r>
      <w:r w:rsidR="003B6606">
        <w:rPr>
          <w:rFonts w:ascii="Arial" w:eastAsia="Calibri" w:hAnsi="Arial" w:cs="Arial"/>
          <w:sz w:val="22"/>
        </w:rPr>
        <w:t>; y</w:t>
      </w:r>
      <w:r w:rsidR="003A1DCF">
        <w:rPr>
          <w:rFonts w:ascii="Arial" w:eastAsia="Calibri" w:hAnsi="Arial" w:cs="Arial"/>
          <w:sz w:val="22"/>
        </w:rPr>
        <w:t xml:space="preserve"> </w:t>
      </w:r>
      <w:r w:rsidR="003A1DCF" w:rsidRPr="003A1DCF">
        <w:rPr>
          <w:rFonts w:ascii="Arial" w:eastAsia="Calibri" w:hAnsi="Arial" w:cs="Arial"/>
          <w:sz w:val="22"/>
        </w:rPr>
        <w:t xml:space="preserve">ii) </w:t>
      </w:r>
      <w:r w:rsidR="00090F9A">
        <w:rPr>
          <w:rFonts w:ascii="Arial" w:eastAsia="Calibri" w:hAnsi="Arial" w:cs="Arial"/>
          <w:sz w:val="22"/>
        </w:rPr>
        <w:t>¿</w:t>
      </w:r>
      <w:r w:rsidR="003A1DCF" w:rsidRPr="003A1DCF">
        <w:rPr>
          <w:rFonts w:ascii="Arial" w:eastAsia="Calibri" w:hAnsi="Arial" w:cs="Arial"/>
          <w:sz w:val="22"/>
        </w:rPr>
        <w:t xml:space="preserve">la experiencia del </w:t>
      </w:r>
      <w:r w:rsidR="003A1DCF" w:rsidRPr="003A1DCF">
        <w:rPr>
          <w:rFonts w:ascii="Arial" w:eastAsia="Calibri" w:hAnsi="Arial" w:cs="Arial"/>
          <w:sz w:val="22"/>
        </w:rPr>
        <w:lastRenderedPageBreak/>
        <w:t>integrante que aporta el cinco por ciento (5%) se acredita con el valor de los contratos en SMMLV</w:t>
      </w:r>
      <w:r w:rsidR="00090F9A">
        <w:rPr>
          <w:rFonts w:ascii="Arial" w:eastAsia="Calibri" w:hAnsi="Arial" w:cs="Arial"/>
          <w:sz w:val="22"/>
        </w:rPr>
        <w:t>?</w:t>
      </w:r>
      <w:r w:rsidR="003A1DCF" w:rsidRPr="003A1DCF">
        <w:rPr>
          <w:rFonts w:ascii="Arial" w:eastAsia="Calibri" w:hAnsi="Arial" w:cs="Arial"/>
          <w:sz w:val="22"/>
        </w:rPr>
        <w:t xml:space="preserve"> o </w:t>
      </w:r>
      <w:r w:rsidR="003D5CB5">
        <w:rPr>
          <w:rFonts w:ascii="Arial" w:eastAsia="Calibri" w:hAnsi="Arial" w:cs="Arial"/>
          <w:sz w:val="22"/>
        </w:rPr>
        <w:t>¿</w:t>
      </w:r>
      <w:r w:rsidR="003A1DCF" w:rsidRPr="003A1DCF">
        <w:rPr>
          <w:rFonts w:ascii="Arial" w:eastAsia="Calibri" w:hAnsi="Arial" w:cs="Arial"/>
          <w:sz w:val="22"/>
        </w:rPr>
        <w:t>también</w:t>
      </w:r>
      <w:r w:rsidR="003D5CB5">
        <w:rPr>
          <w:rFonts w:ascii="Arial" w:eastAsia="Calibri" w:hAnsi="Arial" w:cs="Arial"/>
          <w:sz w:val="22"/>
        </w:rPr>
        <w:t xml:space="preserve"> </w:t>
      </w:r>
      <w:r w:rsidR="0014497D">
        <w:rPr>
          <w:rFonts w:ascii="Arial" w:eastAsia="Calibri" w:hAnsi="Arial" w:cs="Arial"/>
          <w:sz w:val="22"/>
        </w:rPr>
        <w:t>se aplica</w:t>
      </w:r>
      <w:r w:rsidR="003A1DCF" w:rsidRPr="003A1DCF">
        <w:rPr>
          <w:rFonts w:ascii="Arial" w:eastAsia="Calibri" w:hAnsi="Arial" w:cs="Arial"/>
          <w:sz w:val="22"/>
        </w:rPr>
        <w:t xml:space="preserve"> </w:t>
      </w:r>
      <w:r w:rsidR="0014497D">
        <w:rPr>
          <w:rFonts w:ascii="Arial" w:eastAsia="Calibri" w:hAnsi="Arial" w:cs="Arial"/>
          <w:sz w:val="22"/>
        </w:rPr>
        <w:t xml:space="preserve">a la </w:t>
      </w:r>
      <w:r w:rsidR="003A1DCF" w:rsidRPr="003A1DCF">
        <w:rPr>
          <w:rFonts w:ascii="Arial" w:eastAsia="Calibri" w:hAnsi="Arial" w:cs="Arial"/>
          <w:sz w:val="22"/>
        </w:rPr>
        <w:t>longitud de obra</w:t>
      </w:r>
      <w:r w:rsidR="0014497D">
        <w:rPr>
          <w:rFonts w:ascii="Arial" w:eastAsia="Calibri" w:hAnsi="Arial" w:cs="Arial"/>
          <w:sz w:val="22"/>
        </w:rPr>
        <w:t xml:space="preserve"> exigida como requisito de experiencia </w:t>
      </w:r>
      <w:proofErr w:type="gramStart"/>
      <w:r w:rsidR="0014497D">
        <w:rPr>
          <w:rFonts w:ascii="Arial" w:eastAsia="Calibri" w:hAnsi="Arial" w:cs="Arial"/>
          <w:sz w:val="22"/>
        </w:rPr>
        <w:t>especifica?</w:t>
      </w:r>
      <w:r w:rsidR="003A1DCF" w:rsidRPr="003A1DCF">
        <w:rPr>
          <w:rFonts w:ascii="Arial" w:eastAsia="Calibri" w:hAnsi="Arial" w:cs="Arial"/>
          <w:sz w:val="22"/>
        </w:rPr>
        <w:t>.</w:t>
      </w:r>
      <w:proofErr w:type="gramEnd"/>
    </w:p>
    <w:bookmarkEnd w:id="6"/>
    <w:p w14:paraId="3B947E45" w14:textId="4E284DA5" w:rsidR="00166CB8" w:rsidRPr="00166CB8" w:rsidRDefault="003B6606" w:rsidP="003B6606">
      <w:pPr>
        <w:jc w:val="both"/>
        <w:rPr>
          <w:rFonts w:ascii="Arial" w:eastAsia="Calibri" w:hAnsi="Arial" w:cs="Arial"/>
          <w:sz w:val="22"/>
        </w:rPr>
      </w:pPr>
      <w:r>
        <w:rPr>
          <w:rFonts w:ascii="Arial" w:eastAsia="Calibri" w:hAnsi="Arial" w:cs="Arial"/>
          <w:sz w:val="22"/>
        </w:rPr>
        <w:tab/>
      </w:r>
      <w:r>
        <w:rPr>
          <w:rFonts w:ascii="Arial" w:eastAsia="Calibri" w:hAnsi="Arial" w:cs="Arial"/>
          <w:sz w:val="22"/>
        </w:rPr>
        <w:tab/>
      </w:r>
      <w:bookmarkEnd w:id="5"/>
    </w:p>
    <w:p w14:paraId="262410B4" w14:textId="77777777" w:rsidR="008138A0" w:rsidRPr="00166CB8" w:rsidRDefault="008138A0" w:rsidP="008138A0">
      <w:pPr>
        <w:pStyle w:val="Prrafodelista"/>
        <w:numPr>
          <w:ilvl w:val="0"/>
          <w:numId w:val="6"/>
        </w:numPr>
        <w:tabs>
          <w:tab w:val="left" w:pos="426"/>
        </w:tabs>
        <w:spacing w:line="276" w:lineRule="auto"/>
        <w:ind w:left="284" w:hanging="284"/>
        <w:jc w:val="both"/>
        <w:rPr>
          <w:rFonts w:ascii="Arial" w:eastAsia="Calibri" w:hAnsi="Arial" w:cs="Arial"/>
          <w:b/>
          <w:sz w:val="22"/>
        </w:rPr>
      </w:pPr>
      <w:r w:rsidRPr="00166CB8">
        <w:rPr>
          <w:rFonts w:ascii="Arial" w:eastAsia="Calibri" w:hAnsi="Arial" w:cs="Arial"/>
          <w:b/>
          <w:sz w:val="22"/>
        </w:rPr>
        <w:t>Consideraciones</w:t>
      </w:r>
    </w:p>
    <w:p w14:paraId="35FFC3A9" w14:textId="77777777" w:rsidR="008A4139" w:rsidRPr="00166CB8" w:rsidRDefault="008A4139" w:rsidP="00166CB8">
      <w:pPr>
        <w:jc w:val="both"/>
        <w:rPr>
          <w:rFonts w:ascii="Arial" w:hAnsi="Arial" w:cs="Arial"/>
          <w:sz w:val="20"/>
          <w:szCs w:val="20"/>
        </w:rPr>
      </w:pPr>
    </w:p>
    <w:p w14:paraId="57D51812" w14:textId="0181215C" w:rsidR="00910FF4" w:rsidRPr="00DE1C3E" w:rsidRDefault="00910FF4">
      <w:pPr>
        <w:spacing w:after="120" w:line="276" w:lineRule="auto"/>
        <w:jc w:val="both"/>
        <w:rPr>
          <w:rFonts w:ascii="Arial" w:eastAsia="Times New Roman" w:hAnsi="Arial" w:cs="Arial"/>
          <w:sz w:val="22"/>
          <w:lang w:eastAsia="es-ES_tradnl"/>
        </w:rPr>
      </w:pPr>
      <w:r w:rsidRPr="00166CB8">
        <w:rPr>
          <w:rFonts w:ascii="Arial" w:hAnsi="Arial" w:cs="Arial"/>
          <w:sz w:val="22"/>
        </w:rPr>
        <w:t xml:space="preserve">Antes </w:t>
      </w:r>
      <w:r>
        <w:rPr>
          <w:rFonts w:ascii="Arial" w:hAnsi="Arial" w:cs="Arial"/>
          <w:sz w:val="22"/>
        </w:rPr>
        <w:t>resolver la</w:t>
      </w:r>
      <w:r w:rsidRPr="00166CB8">
        <w:rPr>
          <w:rFonts w:ascii="Arial" w:hAnsi="Arial" w:cs="Arial"/>
          <w:sz w:val="22"/>
        </w:rPr>
        <w:t xml:space="preserve"> inquietud, </w:t>
      </w:r>
      <w:r>
        <w:rPr>
          <w:rFonts w:ascii="Arial" w:hAnsi="Arial" w:cs="Arial"/>
          <w:sz w:val="22"/>
        </w:rPr>
        <w:t xml:space="preserve">se </w:t>
      </w:r>
      <w:r w:rsidRPr="00166CB8">
        <w:rPr>
          <w:rFonts w:ascii="Arial" w:hAnsi="Arial" w:cs="Arial"/>
          <w:sz w:val="22"/>
        </w:rPr>
        <w:t>aclara que de conformidad con la competencia consultiva otorgada por</w:t>
      </w:r>
      <w:r w:rsidRPr="00166CB8">
        <w:rPr>
          <w:rFonts w:ascii="Arial" w:eastAsia="Times New Roman" w:hAnsi="Arial" w:cs="Arial"/>
          <w:sz w:val="22"/>
          <w:lang w:eastAsia="es-ES_tradnl"/>
        </w:rPr>
        <w:t xml:space="preserve"> el numeral 5 del artículo 3 y el numeral 8 del artículo 11 del Decreto 4170 de 2011, la Agencia Nacional de Contratación Pública tiene competencia para atender consultas relativas a temas contractuales, pero solo para «absolver consultas sobre la aplicación de normas de carácter general»</w:t>
      </w:r>
      <w:r w:rsidRPr="00166CB8">
        <w:rPr>
          <w:rFonts w:ascii="Arial" w:hAnsi="Arial" w:cs="Arial"/>
          <w:sz w:val="22"/>
          <w:vertAlign w:val="superscript"/>
        </w:rPr>
        <w:footnoteReference w:id="1"/>
      </w:r>
      <w:r w:rsidRPr="00166CB8">
        <w:rPr>
          <w:rFonts w:ascii="Arial" w:eastAsia="Times New Roman" w:hAnsi="Arial" w:cs="Arial"/>
          <w:sz w:val="22"/>
          <w:lang w:eastAsia="es-ES_tradnl"/>
        </w:rPr>
        <w:t xml:space="preserve">. En ese orden, esta Agencia no tiene competencia para resolver problemas jurídicos específicos que no surjan de la aplicación de alguna norma contractual, o para resolver casos concretos, por lo que las siguientes líneas se limitan a realizar un análisis de las normas que resultan relevantes para su solicitud, con el alcance establecido en el artículo 28 del Código de Procedimiento Administrativo y de lo Contencioso Administrativo. </w:t>
      </w:r>
    </w:p>
    <w:p w14:paraId="20AEC789" w14:textId="7A0A18A1" w:rsidR="00A65A20" w:rsidRPr="00166CB8" w:rsidRDefault="00910FF4" w:rsidP="00DE1C3E">
      <w:pPr>
        <w:spacing w:after="120" w:line="276" w:lineRule="auto"/>
        <w:ind w:firstLine="708"/>
        <w:jc w:val="both"/>
        <w:rPr>
          <w:rFonts w:ascii="Arial" w:hAnsi="Arial" w:cs="Arial"/>
          <w:sz w:val="22"/>
        </w:rPr>
      </w:pPr>
      <w:r>
        <w:rPr>
          <w:rFonts w:ascii="Arial" w:hAnsi="Arial" w:cs="Arial"/>
          <w:sz w:val="22"/>
        </w:rPr>
        <w:t>Al respecto, l</w:t>
      </w:r>
      <w:r w:rsidR="00A65A20" w:rsidRPr="00166CB8">
        <w:rPr>
          <w:rFonts w:ascii="Arial" w:hAnsi="Arial" w:cs="Arial"/>
          <w:sz w:val="22"/>
        </w:rPr>
        <w:t xml:space="preserve">a Agencia Nacional de Contratación Pública </w:t>
      </w:r>
      <w:r w:rsidR="00A65A20" w:rsidRPr="00166CB8">
        <w:rPr>
          <w:rFonts w:ascii="Arial" w:eastAsia="Calibri" w:hAnsi="Arial" w:cs="Arial"/>
          <w:sz w:val="22"/>
        </w:rPr>
        <w:t>–</w:t>
      </w:r>
      <w:r w:rsidR="00A65A20" w:rsidRPr="00166CB8">
        <w:rPr>
          <w:rFonts w:ascii="Arial" w:hAnsi="Arial" w:cs="Arial"/>
          <w:sz w:val="22"/>
        </w:rPr>
        <w:t xml:space="preserve"> Colombia Compra Eficiente se ha pronunciado en diferentes conceptos sobre la forma de establecer y acreditar la experiencia exigible en procesos de contratación de licitación de obra pública de infraestructura de transporte que aplican documentos tipo, en los conceptos C -056  del 8 de enero de 2020, C-069 del 24 de enero de 2020, C- 097 del 5 de febrero de 2020, C-207 del 13 de abril de 2020, C-259 del 15 de abril de 2020, C-198 del 17 de abril de 2020, C-244 del 27 de abril de 2020, C-325 del 16 de mayo de 2020, C-311 del 20 de mayo de 2020, C-316 del 29 de mayo de 2020, C-411 y C-422 del 30 de junio de 2020, C-405 del 6 de julio de 2020, C-427 del 9 de julio de 2020, C-440 del 13 de julio de 2020, C-429 del 24 de julio de 2020, C-485 y C-510 del 29 de julio de 2020, C-391 y C-487 del 10 de agosto de 2020, C-531 del 21 de agosto de 2020,  C-591 del 31 de agosto de 2020, C-588 y C-597 del 14 de septiembre de 2020, C-618 del 17 de septiembre de 2020, C-630 del 21 de octubre de 2020, C-643 del 26 de octubre de 2020, C-635 del 29 de octubre de 2020, C-653 del 9 </w:t>
      </w:r>
      <w:r w:rsidR="00A65A20" w:rsidRPr="00166CB8">
        <w:rPr>
          <w:rFonts w:ascii="Arial" w:hAnsi="Arial" w:cs="Arial"/>
          <w:sz w:val="22"/>
        </w:rPr>
        <w:lastRenderedPageBreak/>
        <w:t>de noviembre de 2020</w:t>
      </w:r>
      <w:r w:rsidR="00574B18">
        <w:rPr>
          <w:rFonts w:ascii="Arial" w:hAnsi="Arial" w:cs="Arial"/>
          <w:sz w:val="22"/>
        </w:rPr>
        <w:t>,</w:t>
      </w:r>
      <w:r w:rsidR="00A65A20" w:rsidRPr="00166CB8">
        <w:rPr>
          <w:rFonts w:ascii="Arial" w:hAnsi="Arial" w:cs="Arial"/>
          <w:sz w:val="22"/>
        </w:rPr>
        <w:t xml:space="preserve"> C-665 del 11 de noviembre de 2020</w:t>
      </w:r>
      <w:r w:rsidR="00574B18">
        <w:rPr>
          <w:rFonts w:ascii="Arial" w:hAnsi="Arial" w:cs="Arial"/>
          <w:sz w:val="22"/>
        </w:rPr>
        <w:t xml:space="preserve"> y  C-804 del 01 de febrero del 2021</w:t>
      </w:r>
      <w:r w:rsidR="00A65A20" w:rsidRPr="00166CB8">
        <w:rPr>
          <w:rStyle w:val="Refdenotaalpie"/>
          <w:rFonts w:ascii="Arial" w:hAnsi="Arial" w:cs="Arial"/>
          <w:sz w:val="22"/>
        </w:rPr>
        <w:footnoteReference w:id="2"/>
      </w:r>
      <w:r w:rsidR="00A65A20" w:rsidRPr="00166CB8">
        <w:rPr>
          <w:rFonts w:ascii="Arial" w:hAnsi="Arial" w:cs="Arial"/>
          <w:sz w:val="22"/>
        </w:rPr>
        <w:t>.</w:t>
      </w:r>
      <w:r w:rsidR="0035740E">
        <w:rPr>
          <w:rFonts w:ascii="Arial" w:hAnsi="Arial" w:cs="Arial"/>
          <w:sz w:val="22"/>
        </w:rPr>
        <w:t xml:space="preserve"> </w:t>
      </w:r>
      <w:r w:rsidR="00574B18">
        <w:rPr>
          <w:rFonts w:ascii="Arial" w:hAnsi="Arial" w:cs="Arial"/>
          <w:sz w:val="22"/>
        </w:rPr>
        <w:t>En lo pertinente, la</w:t>
      </w:r>
      <w:r w:rsidR="0035740E">
        <w:rPr>
          <w:rFonts w:ascii="Arial" w:hAnsi="Arial" w:cs="Arial"/>
          <w:sz w:val="22"/>
        </w:rPr>
        <w:t xml:space="preserve"> tesis de estos conceptos se reitera a continuación:</w:t>
      </w:r>
    </w:p>
    <w:p w14:paraId="2F5F50E7" w14:textId="2A247424" w:rsidR="00660F20" w:rsidRDefault="00660F20" w:rsidP="00DE1C3E">
      <w:pPr>
        <w:spacing w:before="120" w:line="276" w:lineRule="auto"/>
        <w:ind w:firstLine="709"/>
        <w:jc w:val="both"/>
        <w:rPr>
          <w:rFonts w:ascii="Arial" w:hAnsi="Arial" w:cs="Arial"/>
          <w:sz w:val="22"/>
        </w:rPr>
      </w:pPr>
      <w:r w:rsidRPr="00D805FB">
        <w:rPr>
          <w:rFonts w:ascii="Arial" w:hAnsi="Arial" w:cs="Arial"/>
          <w:sz w:val="22"/>
        </w:rPr>
        <w:t xml:space="preserve">El artículo </w:t>
      </w:r>
      <w:r w:rsidR="0040426D" w:rsidRPr="00D805FB">
        <w:rPr>
          <w:rFonts w:ascii="Arial" w:hAnsi="Arial" w:cs="Arial"/>
          <w:sz w:val="22"/>
        </w:rPr>
        <w:t>parágrafo séptimo del artículo 2 de la Ley 1150 de 2007, adicionado por</w:t>
      </w:r>
      <w:r w:rsidRPr="00D805FB">
        <w:rPr>
          <w:rFonts w:ascii="Arial" w:hAnsi="Arial" w:cs="Arial"/>
          <w:sz w:val="22"/>
        </w:rPr>
        <w:t xml:space="preserve"> la Ley 1882 de 2018</w:t>
      </w:r>
      <w:r w:rsidR="001C51DD">
        <w:rPr>
          <w:rFonts w:ascii="Arial" w:hAnsi="Arial" w:cs="Arial"/>
          <w:sz w:val="22"/>
        </w:rPr>
        <w:t xml:space="preserve"> y</w:t>
      </w:r>
      <w:r w:rsidR="0040426D" w:rsidRPr="00D805FB">
        <w:rPr>
          <w:rFonts w:ascii="Arial" w:hAnsi="Arial" w:cs="Arial"/>
          <w:sz w:val="22"/>
        </w:rPr>
        <w:t xml:space="preserve"> </w:t>
      </w:r>
      <w:r w:rsidR="0035740E" w:rsidRPr="00D805FB">
        <w:rPr>
          <w:rFonts w:ascii="Arial" w:hAnsi="Arial" w:cs="Arial"/>
          <w:sz w:val="22"/>
        </w:rPr>
        <w:t xml:space="preserve">modificado por la Ley 2022 de </w:t>
      </w:r>
      <w:proofErr w:type="gramStart"/>
      <w:r w:rsidR="0035740E" w:rsidRPr="00D805FB">
        <w:rPr>
          <w:rFonts w:ascii="Arial" w:hAnsi="Arial" w:cs="Arial"/>
          <w:sz w:val="22"/>
        </w:rPr>
        <w:t>2020</w:t>
      </w:r>
      <w:r w:rsidR="0040426D" w:rsidRPr="00D805FB">
        <w:rPr>
          <w:rFonts w:ascii="Arial" w:hAnsi="Arial" w:cs="Arial"/>
          <w:sz w:val="22"/>
        </w:rPr>
        <w:t xml:space="preserve">, </w:t>
      </w:r>
      <w:r w:rsidR="0035740E" w:rsidRPr="00D805FB">
        <w:rPr>
          <w:rFonts w:ascii="Arial" w:hAnsi="Arial" w:cs="Arial"/>
          <w:sz w:val="22"/>
        </w:rPr>
        <w:t xml:space="preserve"> </w:t>
      </w:r>
      <w:r w:rsidRPr="00D805FB">
        <w:rPr>
          <w:rFonts w:ascii="Arial" w:hAnsi="Arial" w:cs="Arial"/>
          <w:sz w:val="22"/>
        </w:rPr>
        <w:t>establec</w:t>
      </w:r>
      <w:r w:rsidR="00695D75" w:rsidRPr="00D805FB">
        <w:rPr>
          <w:rFonts w:ascii="Arial" w:hAnsi="Arial" w:cs="Arial"/>
          <w:sz w:val="22"/>
        </w:rPr>
        <w:t>e</w:t>
      </w:r>
      <w:proofErr w:type="gramEnd"/>
      <w:r w:rsidRPr="00D805FB">
        <w:rPr>
          <w:rFonts w:ascii="Arial" w:hAnsi="Arial" w:cs="Arial"/>
          <w:sz w:val="22"/>
        </w:rPr>
        <w:t xml:space="preserve"> que</w:t>
      </w:r>
      <w:r w:rsidR="00695D75" w:rsidRPr="00D805FB">
        <w:rPr>
          <w:rFonts w:ascii="Arial" w:hAnsi="Arial" w:cs="Arial"/>
          <w:sz w:val="22"/>
        </w:rPr>
        <w:t xml:space="preserve"> a</w:t>
      </w:r>
      <w:r w:rsidRPr="00D805FB">
        <w:rPr>
          <w:rFonts w:ascii="Arial" w:hAnsi="Arial" w:cs="Arial"/>
          <w:sz w:val="22"/>
        </w:rPr>
        <w:t xml:space="preserve"> </w:t>
      </w:r>
      <w:r w:rsidR="00695D75" w:rsidRPr="00D805FB">
        <w:rPr>
          <w:rFonts w:ascii="Arial" w:hAnsi="Arial" w:cs="Arial"/>
          <w:sz w:val="22"/>
        </w:rPr>
        <w:t>la Agencia Nacional de Contratación Pública – Colombia Compra Eficiente</w:t>
      </w:r>
      <w:r w:rsidRPr="00D805FB">
        <w:rPr>
          <w:rFonts w:ascii="Arial" w:hAnsi="Arial" w:cs="Arial"/>
          <w:sz w:val="22"/>
        </w:rPr>
        <w:t xml:space="preserve"> le corresponde adoptar los «</w:t>
      </w:r>
      <w:r w:rsidR="00A86258" w:rsidRPr="00D805FB">
        <w:rPr>
          <w:rFonts w:ascii="Arial" w:hAnsi="Arial" w:cs="Arial"/>
          <w:sz w:val="22"/>
        </w:rPr>
        <w:t>[…]</w:t>
      </w:r>
      <w:r w:rsidR="00A86258" w:rsidRPr="00EA6DF4">
        <w:rPr>
          <w:rFonts w:ascii="Arial" w:hAnsi="Arial" w:cs="Arial"/>
          <w:sz w:val="22"/>
        </w:rPr>
        <w:t xml:space="preserve"> doc</w:t>
      </w:r>
      <w:r w:rsidR="00A86258" w:rsidRPr="00D805FB">
        <w:rPr>
          <w:rFonts w:ascii="Arial" w:hAnsi="Arial" w:cs="Arial"/>
          <w:sz w:val="22"/>
        </w:rPr>
        <w:t>umentos tipo que serán de obligatorio cumplimiento en la actividad contractual de todas las entidades sometidas al Estatuto General de Contratación de la Administración Pública</w:t>
      </w:r>
      <w:r w:rsidRPr="00D805FB">
        <w:rPr>
          <w:rFonts w:ascii="Arial" w:hAnsi="Arial" w:cs="Arial"/>
          <w:sz w:val="22"/>
        </w:rPr>
        <w:t>». Adicionalmente señala</w:t>
      </w:r>
      <w:r w:rsidR="0035740E" w:rsidRPr="00D805FB">
        <w:rPr>
          <w:rFonts w:ascii="Arial" w:hAnsi="Arial" w:cs="Arial"/>
          <w:sz w:val="22"/>
        </w:rPr>
        <w:t xml:space="preserve"> </w:t>
      </w:r>
      <w:r w:rsidRPr="00D805FB">
        <w:rPr>
          <w:rFonts w:ascii="Arial" w:hAnsi="Arial" w:cs="Arial"/>
          <w:sz w:val="22"/>
        </w:rPr>
        <w:t>que «</w:t>
      </w:r>
      <w:r w:rsidR="00D805FB" w:rsidRPr="00D805FB">
        <w:rPr>
          <w:rFonts w:ascii="Arial" w:hAnsi="Arial" w:cs="Arial"/>
          <w:sz w:val="22"/>
        </w:rPr>
        <w:t>[…]</w:t>
      </w:r>
      <w:r w:rsidR="00D805FB" w:rsidRPr="00EA6DF4">
        <w:rPr>
          <w:rFonts w:ascii="Arial" w:hAnsi="Arial" w:cs="Arial"/>
          <w:color w:val="000000"/>
          <w:sz w:val="22"/>
        </w:rPr>
        <w:t xml:space="preserve"> 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r w:rsidRPr="00D805FB">
        <w:rPr>
          <w:rFonts w:ascii="Arial" w:hAnsi="Arial" w:cs="Arial"/>
          <w:sz w:val="22"/>
        </w:rPr>
        <w:t>»</w:t>
      </w:r>
      <w:r w:rsidR="00D805FB">
        <w:rPr>
          <w:rStyle w:val="Refdenotaalpie"/>
          <w:rFonts w:ascii="Arial" w:hAnsi="Arial" w:cs="Arial"/>
          <w:sz w:val="22"/>
        </w:rPr>
        <w:footnoteReference w:id="3"/>
      </w:r>
      <w:r w:rsidRPr="00D805FB">
        <w:rPr>
          <w:rFonts w:ascii="Arial" w:hAnsi="Arial" w:cs="Arial"/>
          <w:sz w:val="22"/>
        </w:rPr>
        <w:t>.</w:t>
      </w:r>
    </w:p>
    <w:p w14:paraId="76AF8A87" w14:textId="23829C03" w:rsidR="00660F20" w:rsidRPr="00166CB8" w:rsidRDefault="00426F1A" w:rsidP="00EA6DF4">
      <w:pPr>
        <w:spacing w:before="120" w:line="276" w:lineRule="auto"/>
        <w:ind w:firstLine="709"/>
        <w:jc w:val="both"/>
        <w:rPr>
          <w:rFonts w:ascii="Arial" w:hAnsi="Arial" w:cs="Arial"/>
          <w:sz w:val="22"/>
          <w:shd w:val="clear" w:color="auto" w:fill="FFFFFF"/>
        </w:rPr>
      </w:pPr>
      <w:r w:rsidRPr="00426F1A">
        <w:rPr>
          <w:rFonts w:ascii="Arial" w:hAnsi="Arial" w:cs="Arial"/>
          <w:sz w:val="22"/>
        </w:rPr>
        <w:t>En vigencia de la Ley 1882 de 2018 la competencia para adoptar documentos tipos de obligatoria observancia para las entidades regidas por el EGCAP en los procesos de contratación de obra pública estaba atribuida al Gobierno Nacional. En ejercicio de esta competencia se expidieron los Decretos 342, 2096 de 2019 y 594 de 2020, en los que se adoptaron los documentos tipo de obra pública de infraestructura de transporte para las modalidades de selección de licitación pública, selección abreviada de menor cuantía y mínima cuantía. En dichos decretos además se delegó a esta Agencia la implementación y desarrollo de tales documentos tipo, lo cual se llevó a cabo mediante las Resoluciones</w:t>
      </w:r>
      <w:r>
        <w:rPr>
          <w:rFonts w:ascii="Arial" w:hAnsi="Arial" w:cs="Arial"/>
          <w:sz w:val="22"/>
        </w:rPr>
        <w:t xml:space="preserve"> Nos.</w:t>
      </w:r>
      <w:r w:rsidRPr="00426F1A">
        <w:rPr>
          <w:rFonts w:ascii="Arial" w:hAnsi="Arial" w:cs="Arial"/>
          <w:sz w:val="22"/>
        </w:rPr>
        <w:t xml:space="preserve"> 1798 de 2019, 0044, 0045 y 0094 de 2020.</w:t>
      </w:r>
      <w:r>
        <w:rPr>
          <w:rFonts w:ascii="Arial" w:hAnsi="Arial" w:cs="Arial"/>
          <w:sz w:val="22"/>
        </w:rPr>
        <w:t xml:space="preserve"> Ya </w:t>
      </w:r>
      <w:r w:rsidR="00C835E8">
        <w:rPr>
          <w:rFonts w:ascii="Arial" w:hAnsi="Arial" w:cs="Arial"/>
          <w:sz w:val="22"/>
        </w:rPr>
        <w:t>entrada en vigor la Ley 2022 de 2020</w:t>
      </w:r>
      <w:r w:rsidR="00660F20" w:rsidRPr="00166CB8">
        <w:rPr>
          <w:rFonts w:ascii="Arial" w:hAnsi="Arial" w:cs="Arial"/>
          <w:sz w:val="22"/>
        </w:rPr>
        <w:t xml:space="preserve"> </w:t>
      </w:r>
      <w:r w:rsidR="00AD031C">
        <w:rPr>
          <w:rFonts w:ascii="Arial" w:hAnsi="Arial" w:cs="Arial"/>
          <w:sz w:val="22"/>
        </w:rPr>
        <w:t>esta Agencia</w:t>
      </w:r>
      <w:r w:rsidR="006951AB">
        <w:rPr>
          <w:rFonts w:ascii="Arial" w:hAnsi="Arial" w:cs="Arial"/>
          <w:sz w:val="22"/>
        </w:rPr>
        <w:t xml:space="preserve"> expidió</w:t>
      </w:r>
      <w:r w:rsidR="00C835E8">
        <w:rPr>
          <w:rFonts w:ascii="Arial" w:hAnsi="Arial" w:cs="Arial"/>
          <w:sz w:val="22"/>
        </w:rPr>
        <w:t xml:space="preserve"> documentos tipo de licitación de obra pública de infraestructura de transporte</w:t>
      </w:r>
      <w:r w:rsidR="000E0175">
        <w:rPr>
          <w:rFonts w:ascii="Arial" w:hAnsi="Arial" w:cs="Arial"/>
          <w:sz w:val="22"/>
        </w:rPr>
        <w:t xml:space="preserve"> –</w:t>
      </w:r>
      <w:r w:rsidR="006951AB">
        <w:rPr>
          <w:rFonts w:ascii="Arial" w:hAnsi="Arial" w:cs="Arial"/>
          <w:sz w:val="22"/>
        </w:rPr>
        <w:t xml:space="preserve"> </w:t>
      </w:r>
      <w:r w:rsidR="000E0175">
        <w:rPr>
          <w:rFonts w:ascii="Arial" w:hAnsi="Arial" w:cs="Arial"/>
          <w:sz w:val="22"/>
        </w:rPr>
        <w:t>versión 3</w:t>
      </w:r>
      <w:r w:rsidR="00076BBD">
        <w:rPr>
          <w:rFonts w:ascii="Arial" w:hAnsi="Arial" w:cs="Arial"/>
          <w:sz w:val="22"/>
        </w:rPr>
        <w:t>,</w:t>
      </w:r>
      <w:r w:rsidR="006951AB">
        <w:rPr>
          <w:rFonts w:ascii="Arial" w:hAnsi="Arial" w:cs="Arial"/>
          <w:sz w:val="22"/>
        </w:rPr>
        <w:t xml:space="preserve"> </w:t>
      </w:r>
      <w:r w:rsidR="006951AB">
        <w:rPr>
          <w:rFonts w:ascii="Arial" w:hAnsi="Arial" w:cs="Arial"/>
          <w:sz w:val="22"/>
          <w:shd w:val="clear" w:color="auto" w:fill="FFFFFF"/>
        </w:rPr>
        <w:t xml:space="preserve">mediante la Resolución No. 240 de 2020, aplicable a los procedimientos cuyos avisos de convocatoria se publiquen a partir del 1 de enero de 2021. </w:t>
      </w:r>
    </w:p>
    <w:p w14:paraId="47624A5D" w14:textId="64A7D317" w:rsidR="00660F20" w:rsidRPr="00166CB8" w:rsidRDefault="00A65A20" w:rsidP="00660F20">
      <w:pPr>
        <w:spacing w:before="120" w:line="276" w:lineRule="auto"/>
        <w:ind w:firstLine="708"/>
        <w:jc w:val="both"/>
        <w:rPr>
          <w:rFonts w:ascii="Arial" w:hAnsi="Arial" w:cs="Arial"/>
          <w:sz w:val="22"/>
          <w:shd w:val="clear" w:color="auto" w:fill="FFFFFF"/>
        </w:rPr>
      </w:pPr>
      <w:r w:rsidRPr="00166CB8">
        <w:rPr>
          <w:rFonts w:ascii="Arial" w:hAnsi="Arial" w:cs="Arial"/>
          <w:sz w:val="22"/>
          <w:shd w:val="clear" w:color="auto" w:fill="FFFFFF"/>
        </w:rPr>
        <w:t xml:space="preserve">Para </w:t>
      </w:r>
      <w:r w:rsidR="00637E65">
        <w:rPr>
          <w:rFonts w:ascii="Arial" w:hAnsi="Arial" w:cs="Arial"/>
          <w:sz w:val="22"/>
          <w:shd w:val="clear" w:color="auto" w:fill="FFFFFF"/>
        </w:rPr>
        <w:t>el procedimiento de</w:t>
      </w:r>
      <w:r w:rsidRPr="00166CB8">
        <w:rPr>
          <w:rFonts w:ascii="Arial" w:hAnsi="Arial" w:cs="Arial"/>
          <w:sz w:val="22"/>
          <w:shd w:val="clear" w:color="auto" w:fill="FFFFFF"/>
        </w:rPr>
        <w:t xml:space="preserve"> licitación pública, el </w:t>
      </w:r>
      <w:r w:rsidR="00660F20" w:rsidRPr="00166CB8">
        <w:rPr>
          <w:rFonts w:ascii="Arial" w:hAnsi="Arial" w:cs="Arial"/>
          <w:sz w:val="22"/>
          <w:shd w:val="clear" w:color="auto" w:fill="FFFFFF"/>
        </w:rPr>
        <w:t xml:space="preserve">artículo 2.2.1.2.6.1.4. del Decreto 1082 de 2015 establece la inalterabilidad de los </w:t>
      </w:r>
      <w:r w:rsidR="00EC15D7" w:rsidRPr="00166CB8">
        <w:rPr>
          <w:rFonts w:ascii="Arial" w:hAnsi="Arial" w:cs="Arial"/>
          <w:sz w:val="22"/>
          <w:shd w:val="clear" w:color="auto" w:fill="FFFFFF"/>
        </w:rPr>
        <w:t>documentos tipo</w:t>
      </w:r>
      <w:r w:rsidR="00660F20" w:rsidRPr="00166CB8">
        <w:rPr>
          <w:rFonts w:ascii="Arial" w:hAnsi="Arial" w:cs="Arial"/>
          <w:sz w:val="22"/>
          <w:shd w:val="clear" w:color="auto" w:fill="FFFFFF"/>
        </w:rPr>
        <w:t xml:space="preserve">, que consiste en que las entidades estatales no pueden incluir o modificar en los documentos del proceso las condiciones habilitantes, los factores técnicos y económicos de escogencia y los sistemas </w:t>
      </w:r>
      <w:r w:rsidR="00660F20" w:rsidRPr="00166CB8">
        <w:rPr>
          <w:rFonts w:ascii="Arial" w:hAnsi="Arial" w:cs="Arial"/>
          <w:sz w:val="22"/>
          <w:shd w:val="clear" w:color="auto" w:fill="FFFFFF"/>
        </w:rPr>
        <w:lastRenderedPageBreak/>
        <w:t xml:space="preserve">de ponderación distintos a los señalados en los </w:t>
      </w:r>
      <w:r w:rsidR="00EC15D7" w:rsidRPr="00166CB8">
        <w:rPr>
          <w:rFonts w:ascii="Arial" w:hAnsi="Arial" w:cs="Arial"/>
          <w:sz w:val="22"/>
          <w:shd w:val="clear" w:color="auto" w:fill="FFFFFF"/>
        </w:rPr>
        <w:t>documentos tipo</w:t>
      </w:r>
      <w:r w:rsidR="00660F20" w:rsidRPr="00166CB8">
        <w:rPr>
          <w:rFonts w:ascii="Arial" w:hAnsi="Arial" w:cs="Arial"/>
          <w:sz w:val="22"/>
          <w:shd w:val="clear" w:color="auto" w:fill="FFFFFF"/>
        </w:rPr>
        <w:t xml:space="preserve">. En consecuencia, las condiciones establecidas en los documentos </w:t>
      </w:r>
      <w:r w:rsidR="0035740E">
        <w:rPr>
          <w:rFonts w:ascii="Arial" w:hAnsi="Arial" w:cs="Arial"/>
          <w:sz w:val="22"/>
          <w:shd w:val="clear" w:color="auto" w:fill="FFFFFF"/>
        </w:rPr>
        <w:t>adoptados</w:t>
      </w:r>
      <w:r w:rsidR="00660F20" w:rsidRPr="00166CB8">
        <w:rPr>
          <w:rFonts w:ascii="Arial" w:hAnsi="Arial" w:cs="Arial"/>
          <w:sz w:val="22"/>
          <w:shd w:val="clear" w:color="auto" w:fill="FFFFFF"/>
        </w:rPr>
        <w:t xml:space="preserve"> en ejercicio del artículo 4 de la Ley 1882 de 2018, son de obligatorio cumplimiento para las entidades sometidas al Estatuto General de Contratación de la Administración Pública que adelanten procesos que deban regirse por su contenido, </w:t>
      </w:r>
      <w:r w:rsidR="00702A3A">
        <w:rPr>
          <w:rFonts w:ascii="Arial" w:hAnsi="Arial" w:cs="Arial"/>
          <w:sz w:val="22"/>
          <w:shd w:val="clear" w:color="auto" w:fill="FFFFFF"/>
        </w:rPr>
        <w:t xml:space="preserve">por lo que </w:t>
      </w:r>
      <w:r w:rsidR="00660F20" w:rsidRPr="00166CB8">
        <w:rPr>
          <w:rFonts w:ascii="Arial" w:hAnsi="Arial" w:cs="Arial"/>
          <w:sz w:val="22"/>
          <w:shd w:val="clear" w:color="auto" w:fill="FFFFFF"/>
        </w:rPr>
        <w:t xml:space="preserve">no pueden variarse los requisitos fijados en ellos. </w:t>
      </w:r>
    </w:p>
    <w:p w14:paraId="41B62B3E" w14:textId="50257D09" w:rsidR="001A33D5" w:rsidRPr="00166CB8" w:rsidRDefault="00660F20" w:rsidP="00660F20">
      <w:pPr>
        <w:spacing w:before="120" w:line="276" w:lineRule="auto"/>
        <w:ind w:firstLine="708"/>
        <w:jc w:val="both"/>
        <w:rPr>
          <w:rFonts w:ascii="Arial" w:hAnsi="Arial" w:cs="Arial"/>
          <w:sz w:val="22"/>
        </w:rPr>
      </w:pPr>
      <w:r w:rsidRPr="00166CB8">
        <w:rPr>
          <w:rFonts w:ascii="Arial" w:hAnsi="Arial" w:cs="Arial"/>
          <w:sz w:val="22"/>
        </w:rPr>
        <w:t xml:space="preserve">De acuerdo con las condiciones fijadas en </w:t>
      </w:r>
      <w:r w:rsidR="001C51DD">
        <w:rPr>
          <w:rFonts w:ascii="Arial" w:hAnsi="Arial" w:cs="Arial"/>
          <w:sz w:val="22"/>
        </w:rPr>
        <w:t>el</w:t>
      </w:r>
      <w:r w:rsidRPr="00166CB8">
        <w:rPr>
          <w:rFonts w:ascii="Arial" w:hAnsi="Arial" w:cs="Arial"/>
          <w:sz w:val="22"/>
        </w:rPr>
        <w:t xml:space="preserve"> «Documento Base</w:t>
      </w:r>
      <w:r w:rsidR="001C51DD">
        <w:rPr>
          <w:rFonts w:ascii="Arial" w:hAnsi="Arial" w:cs="Arial"/>
          <w:sz w:val="22"/>
        </w:rPr>
        <w:t xml:space="preserve"> o Pliego Tipo</w:t>
      </w:r>
      <w:r w:rsidRPr="00166CB8">
        <w:rPr>
          <w:rFonts w:ascii="Arial" w:hAnsi="Arial" w:cs="Arial"/>
          <w:sz w:val="22"/>
        </w:rPr>
        <w:t>»</w:t>
      </w:r>
      <w:r w:rsidR="001C51DD">
        <w:rPr>
          <w:rFonts w:ascii="Arial" w:hAnsi="Arial" w:cs="Arial"/>
          <w:sz w:val="22"/>
        </w:rPr>
        <w:t xml:space="preserve"> adoptado por la Resolución No</w:t>
      </w:r>
      <w:r w:rsidR="006B35F0">
        <w:rPr>
          <w:rFonts w:ascii="Arial" w:hAnsi="Arial" w:cs="Arial"/>
          <w:sz w:val="22"/>
        </w:rPr>
        <w:t>. 240 de 2020</w:t>
      </w:r>
      <w:r w:rsidRPr="00166CB8">
        <w:rPr>
          <w:rFonts w:ascii="Arial" w:hAnsi="Arial" w:cs="Arial"/>
          <w:sz w:val="22"/>
        </w:rPr>
        <w:t xml:space="preserve">, la acreditación del requisito habilitante es abordada desde distintos criterios. En primer lugar, los contratos presentados por los proponentes deben corresponder a la actividad o actividades de experiencia general y específica que la entidad exija en el pliego de condiciones de acuerdo con los parámetros señalados en la </w:t>
      </w:r>
      <w:r w:rsidR="006B35F0">
        <w:rPr>
          <w:rFonts w:ascii="Arial" w:hAnsi="Arial" w:cs="Arial"/>
          <w:sz w:val="22"/>
        </w:rPr>
        <w:t>«</w:t>
      </w:r>
      <w:r w:rsidRPr="00166CB8">
        <w:rPr>
          <w:rFonts w:ascii="Arial" w:hAnsi="Arial" w:cs="Arial"/>
          <w:sz w:val="22"/>
        </w:rPr>
        <w:t>Matriz 1</w:t>
      </w:r>
      <w:r w:rsidR="006B35F0">
        <w:rPr>
          <w:rFonts w:ascii="Arial" w:hAnsi="Arial" w:cs="Arial"/>
          <w:sz w:val="22"/>
        </w:rPr>
        <w:t xml:space="preserve"> – Experiencia»</w:t>
      </w:r>
      <w:r w:rsidRPr="00166CB8">
        <w:rPr>
          <w:rFonts w:ascii="Arial" w:hAnsi="Arial" w:cs="Arial"/>
          <w:sz w:val="22"/>
        </w:rPr>
        <w:t xml:space="preserve">. En segundo lugar, los proponentes deben acreditar el cumplimiento de las condiciones fijadas con mínimo uno </w:t>
      </w:r>
      <w:r w:rsidR="0035740E">
        <w:rPr>
          <w:rFonts w:ascii="Arial" w:hAnsi="Arial" w:cs="Arial"/>
          <w:sz w:val="22"/>
        </w:rPr>
        <w:t>–</w:t>
      </w:r>
      <w:r w:rsidRPr="00166CB8">
        <w:rPr>
          <w:rFonts w:ascii="Arial" w:hAnsi="Arial" w:cs="Arial"/>
          <w:sz w:val="22"/>
        </w:rPr>
        <w:t>1</w:t>
      </w:r>
      <w:r w:rsidR="0035740E">
        <w:rPr>
          <w:rFonts w:ascii="Arial" w:hAnsi="Arial" w:cs="Arial"/>
          <w:sz w:val="22"/>
        </w:rPr>
        <w:t>–</w:t>
      </w:r>
      <w:r w:rsidRPr="00166CB8">
        <w:rPr>
          <w:rFonts w:ascii="Arial" w:hAnsi="Arial" w:cs="Arial"/>
          <w:sz w:val="22"/>
        </w:rPr>
        <w:t xml:space="preserve"> y máximo seis </w:t>
      </w:r>
      <w:r w:rsidR="0035740E">
        <w:rPr>
          <w:rFonts w:ascii="Arial" w:hAnsi="Arial" w:cs="Arial"/>
          <w:sz w:val="22"/>
        </w:rPr>
        <w:t>–</w:t>
      </w:r>
      <w:r w:rsidRPr="00166CB8">
        <w:rPr>
          <w:rFonts w:ascii="Arial" w:hAnsi="Arial" w:cs="Arial"/>
          <w:sz w:val="22"/>
        </w:rPr>
        <w:t>6</w:t>
      </w:r>
      <w:r w:rsidR="0035740E">
        <w:rPr>
          <w:rFonts w:ascii="Arial" w:hAnsi="Arial" w:cs="Arial"/>
          <w:sz w:val="22"/>
        </w:rPr>
        <w:t>–</w:t>
      </w:r>
      <w:r w:rsidRPr="00166CB8">
        <w:rPr>
          <w:rFonts w:ascii="Arial" w:hAnsi="Arial" w:cs="Arial"/>
          <w:sz w:val="22"/>
        </w:rPr>
        <w:t xml:space="preserve"> contratos, que debieron terminar antes de la fecha de cierre del proceso de contratación.</w:t>
      </w:r>
      <w:r w:rsidR="001A33D5" w:rsidRPr="00166CB8">
        <w:rPr>
          <w:rFonts w:ascii="Arial" w:hAnsi="Arial" w:cs="Arial"/>
          <w:sz w:val="22"/>
        </w:rPr>
        <w:t xml:space="preserve"> Así se desprende del literal C, del numeral 3.5.</w:t>
      </w:r>
      <w:r w:rsidR="00574B18">
        <w:rPr>
          <w:rFonts w:ascii="Arial" w:hAnsi="Arial" w:cs="Arial"/>
          <w:sz w:val="22"/>
        </w:rPr>
        <w:t>2</w:t>
      </w:r>
      <w:r w:rsidR="001A33D5" w:rsidRPr="00166CB8">
        <w:rPr>
          <w:rFonts w:ascii="Arial" w:hAnsi="Arial" w:cs="Arial"/>
          <w:sz w:val="22"/>
        </w:rPr>
        <w:t xml:space="preserve"> del Documento Base</w:t>
      </w:r>
      <w:r w:rsidR="00AE7CD1">
        <w:rPr>
          <w:rFonts w:ascii="Arial" w:hAnsi="Arial" w:cs="Arial"/>
          <w:sz w:val="22"/>
        </w:rPr>
        <w:t>,</w:t>
      </w:r>
      <w:r w:rsidR="001A33D5" w:rsidRPr="00166CB8">
        <w:rPr>
          <w:rFonts w:ascii="Arial" w:hAnsi="Arial" w:cs="Arial"/>
          <w:sz w:val="22"/>
        </w:rPr>
        <w:t xml:space="preserve"> que indica: </w:t>
      </w:r>
    </w:p>
    <w:p w14:paraId="34BD88CD" w14:textId="77777777" w:rsidR="001A33D5" w:rsidRPr="00166CB8" w:rsidRDefault="001A33D5" w:rsidP="001A33D5">
      <w:pPr>
        <w:spacing w:line="276" w:lineRule="auto"/>
        <w:ind w:left="709" w:right="709"/>
        <w:jc w:val="both"/>
        <w:rPr>
          <w:rFonts w:ascii="Arial" w:hAnsi="Arial" w:cs="Arial"/>
          <w:sz w:val="22"/>
        </w:rPr>
      </w:pPr>
    </w:p>
    <w:p w14:paraId="62B33006" w14:textId="3221FF90" w:rsidR="001A33D5" w:rsidRPr="00166CB8" w:rsidRDefault="001A33D5" w:rsidP="00DE1C3E">
      <w:pPr>
        <w:spacing w:after="120"/>
        <w:ind w:left="709" w:right="709"/>
        <w:jc w:val="both"/>
        <w:rPr>
          <w:rFonts w:ascii="Arial" w:hAnsi="Arial" w:cs="Arial"/>
          <w:sz w:val="21"/>
          <w:szCs w:val="21"/>
        </w:rPr>
      </w:pPr>
      <w:r w:rsidRPr="00166CB8">
        <w:rPr>
          <w:rFonts w:ascii="Arial" w:hAnsi="Arial" w:cs="Arial"/>
          <w:sz w:val="21"/>
          <w:szCs w:val="21"/>
        </w:rPr>
        <w:t>3.5.</w:t>
      </w:r>
      <w:r w:rsidR="00574B18">
        <w:rPr>
          <w:rFonts w:ascii="Arial" w:hAnsi="Arial" w:cs="Arial"/>
          <w:sz w:val="21"/>
          <w:szCs w:val="21"/>
        </w:rPr>
        <w:t>2</w:t>
      </w:r>
      <w:r w:rsidRPr="00166CB8">
        <w:rPr>
          <w:rFonts w:ascii="Arial" w:hAnsi="Arial" w:cs="Arial"/>
          <w:sz w:val="21"/>
          <w:szCs w:val="21"/>
        </w:rPr>
        <w:t>.</w:t>
      </w:r>
      <w:r w:rsidRPr="00166CB8">
        <w:rPr>
          <w:rFonts w:ascii="Arial" w:hAnsi="Arial" w:cs="Arial"/>
          <w:sz w:val="21"/>
          <w:szCs w:val="21"/>
        </w:rPr>
        <w:tab/>
        <w:t xml:space="preserve">CARACTERÍSTICAS DE LOS CONTRATOS PRESENTADOS PARA ACREDITAR LA EXPERIENCIA EXIGIDA </w:t>
      </w:r>
    </w:p>
    <w:p w14:paraId="1810C36A" w14:textId="32BC0563" w:rsidR="001A33D5" w:rsidRPr="00166CB8" w:rsidRDefault="001A33D5" w:rsidP="00DE1C3E">
      <w:pPr>
        <w:ind w:left="709" w:right="709"/>
        <w:jc w:val="both"/>
        <w:rPr>
          <w:rFonts w:ascii="Arial" w:hAnsi="Arial" w:cs="Arial"/>
          <w:sz w:val="21"/>
          <w:szCs w:val="21"/>
        </w:rPr>
      </w:pPr>
      <w:r w:rsidRPr="00166CB8">
        <w:rPr>
          <w:rFonts w:ascii="Arial" w:hAnsi="Arial" w:cs="Arial"/>
          <w:sz w:val="21"/>
          <w:szCs w:val="21"/>
        </w:rPr>
        <w:t>Los contratos para acreditar la experiencia exigida deberán cumplir las siguientes características:</w:t>
      </w:r>
    </w:p>
    <w:p w14:paraId="77457506" w14:textId="7227703E" w:rsidR="001A33D5" w:rsidRPr="00166CB8" w:rsidRDefault="001A33D5" w:rsidP="00DE1C3E">
      <w:pPr>
        <w:spacing w:after="120"/>
        <w:ind w:firstLine="709"/>
        <w:jc w:val="both"/>
        <w:rPr>
          <w:rFonts w:ascii="Arial" w:hAnsi="Arial" w:cs="Arial"/>
          <w:sz w:val="21"/>
          <w:szCs w:val="21"/>
        </w:rPr>
      </w:pPr>
      <w:r w:rsidRPr="00166CB8">
        <w:rPr>
          <w:rFonts w:ascii="Arial" w:hAnsi="Arial" w:cs="Arial"/>
          <w:sz w:val="21"/>
          <w:szCs w:val="21"/>
        </w:rPr>
        <w:t>[…]</w:t>
      </w:r>
    </w:p>
    <w:p w14:paraId="1A34CD69" w14:textId="69E77EEA" w:rsidR="001A33D5" w:rsidRPr="00166CB8" w:rsidRDefault="001A33D5" w:rsidP="00EA0A25">
      <w:pPr>
        <w:ind w:left="709" w:right="709"/>
        <w:jc w:val="both"/>
        <w:rPr>
          <w:rFonts w:ascii="Arial" w:hAnsi="Arial" w:cs="Arial"/>
          <w:sz w:val="21"/>
          <w:szCs w:val="21"/>
        </w:rPr>
      </w:pPr>
      <w:r w:rsidRPr="00166CB8">
        <w:rPr>
          <w:rFonts w:ascii="Arial" w:hAnsi="Arial" w:cs="Arial"/>
          <w:sz w:val="21"/>
          <w:szCs w:val="21"/>
        </w:rPr>
        <w:t>C.</w:t>
      </w:r>
      <w:r w:rsidRPr="00166CB8">
        <w:rPr>
          <w:rFonts w:ascii="Arial" w:hAnsi="Arial" w:cs="Arial"/>
          <w:sz w:val="21"/>
          <w:szCs w:val="21"/>
        </w:rPr>
        <w:tab/>
        <w:t>El Proponente podrá acreditar la experiencia con mínimo uno (1) y máximo seis (6) contratos, los cuales serán evaluados teniendo en cuenta la tabla establecida en el numeral 3.5.7</w:t>
      </w:r>
      <w:r w:rsidR="00574B18">
        <w:rPr>
          <w:rFonts w:ascii="Arial" w:hAnsi="Arial" w:cs="Arial"/>
          <w:sz w:val="21"/>
          <w:szCs w:val="21"/>
        </w:rPr>
        <w:t xml:space="preserve"> [3.5.8]</w:t>
      </w:r>
      <w:r w:rsidRPr="00166CB8">
        <w:rPr>
          <w:rFonts w:ascii="Arial" w:hAnsi="Arial" w:cs="Arial"/>
          <w:sz w:val="21"/>
          <w:szCs w:val="21"/>
        </w:rPr>
        <w:t xml:space="preserve"> del Pliego de Condiciones, así como el contenido establecido en la Matriz 1 – Experiencia. [En los Procesos estructurados por lotes, el Proponente podrá aportar mínimo uno (1) y máximo seis (6) contratos para cada uno de los lotes o podrá aportar los mismos para todos los lotes]</w:t>
      </w:r>
    </w:p>
    <w:p w14:paraId="5266D158" w14:textId="77777777" w:rsidR="001A33D5" w:rsidRPr="00DE1C3E" w:rsidRDefault="001A33D5" w:rsidP="00DE1C3E">
      <w:pPr>
        <w:spacing w:line="276" w:lineRule="auto"/>
        <w:ind w:firstLine="708"/>
        <w:jc w:val="both"/>
        <w:rPr>
          <w:rFonts w:ascii="Arial" w:hAnsi="Arial" w:cs="Arial"/>
          <w:sz w:val="22"/>
        </w:rPr>
      </w:pPr>
    </w:p>
    <w:p w14:paraId="5B8F2747" w14:textId="47A39C95" w:rsidR="001A33D5" w:rsidRPr="00166CB8" w:rsidRDefault="003E2883" w:rsidP="00EA0A25">
      <w:pPr>
        <w:spacing w:line="276" w:lineRule="auto"/>
        <w:ind w:firstLine="708"/>
        <w:jc w:val="both"/>
        <w:rPr>
          <w:rFonts w:ascii="Arial" w:hAnsi="Arial" w:cs="Arial"/>
          <w:sz w:val="22"/>
        </w:rPr>
      </w:pPr>
      <w:r>
        <w:rPr>
          <w:rFonts w:ascii="Arial" w:hAnsi="Arial" w:cs="Arial"/>
          <w:sz w:val="22"/>
        </w:rPr>
        <w:t>En esta medida</w:t>
      </w:r>
      <w:r w:rsidR="00EA0A25" w:rsidRPr="00166CB8">
        <w:rPr>
          <w:rFonts w:ascii="Arial" w:hAnsi="Arial" w:cs="Arial"/>
          <w:sz w:val="22"/>
        </w:rPr>
        <w:t xml:space="preserve">, </w:t>
      </w:r>
      <w:r>
        <w:rPr>
          <w:rFonts w:ascii="Arial" w:hAnsi="Arial" w:cs="Arial"/>
          <w:sz w:val="22"/>
        </w:rPr>
        <w:t>para efectos de la</w:t>
      </w:r>
      <w:r w:rsidR="00EA0A25" w:rsidRPr="00166CB8">
        <w:rPr>
          <w:rFonts w:ascii="Arial" w:hAnsi="Arial" w:cs="Arial"/>
          <w:sz w:val="22"/>
        </w:rPr>
        <w:t xml:space="preserve"> </w:t>
      </w:r>
      <w:r>
        <w:rPr>
          <w:rFonts w:ascii="Arial" w:hAnsi="Arial" w:cs="Arial"/>
          <w:sz w:val="22"/>
        </w:rPr>
        <w:t>v</w:t>
      </w:r>
      <w:r w:rsidR="00EA0A25" w:rsidRPr="00166CB8">
        <w:rPr>
          <w:rFonts w:ascii="Arial" w:hAnsi="Arial" w:cs="Arial"/>
          <w:sz w:val="22"/>
        </w:rPr>
        <w:t xml:space="preserve">ersión </w:t>
      </w:r>
      <w:r>
        <w:rPr>
          <w:rFonts w:ascii="Arial" w:hAnsi="Arial" w:cs="Arial"/>
          <w:sz w:val="22"/>
        </w:rPr>
        <w:t>3</w:t>
      </w:r>
      <w:r w:rsidR="00EA0A25" w:rsidRPr="00166CB8">
        <w:rPr>
          <w:rFonts w:ascii="Arial" w:hAnsi="Arial" w:cs="Arial"/>
          <w:sz w:val="22"/>
        </w:rPr>
        <w:t xml:space="preserve"> de los documentos tipo de licitación de obra pública de infraestructura de transporte, los proponentes deben acreditar el requisito de experiencia </w:t>
      </w:r>
      <w:r w:rsidR="00702A3A">
        <w:rPr>
          <w:rFonts w:ascii="Arial" w:hAnsi="Arial" w:cs="Arial"/>
          <w:sz w:val="22"/>
        </w:rPr>
        <w:t>presentando entre</w:t>
      </w:r>
      <w:r w:rsidR="00EA0A25" w:rsidRPr="00166CB8">
        <w:rPr>
          <w:rFonts w:ascii="Arial" w:hAnsi="Arial" w:cs="Arial"/>
          <w:sz w:val="22"/>
        </w:rPr>
        <w:t xml:space="preserve"> uno y seis contratos</w:t>
      </w:r>
      <w:r w:rsidR="00E6465A" w:rsidRPr="00166CB8">
        <w:rPr>
          <w:rStyle w:val="Refdenotaalpie"/>
          <w:rFonts w:ascii="Arial" w:hAnsi="Arial" w:cs="Arial"/>
          <w:sz w:val="22"/>
        </w:rPr>
        <w:footnoteReference w:id="4"/>
      </w:r>
      <w:r w:rsidR="00EA0A25" w:rsidRPr="00166CB8">
        <w:rPr>
          <w:rFonts w:ascii="Arial" w:hAnsi="Arial" w:cs="Arial"/>
          <w:sz w:val="22"/>
        </w:rPr>
        <w:t xml:space="preserve">. </w:t>
      </w:r>
    </w:p>
    <w:p w14:paraId="1AA355A9" w14:textId="2D7D33F0" w:rsidR="00EA0A25" w:rsidRPr="00166CB8" w:rsidRDefault="00660F20" w:rsidP="00660F20">
      <w:pPr>
        <w:spacing w:before="120" w:line="276" w:lineRule="auto"/>
        <w:ind w:firstLine="708"/>
        <w:jc w:val="both"/>
        <w:rPr>
          <w:rFonts w:ascii="Arial" w:hAnsi="Arial" w:cs="Arial"/>
          <w:sz w:val="22"/>
        </w:rPr>
      </w:pPr>
      <w:r w:rsidRPr="00166CB8">
        <w:rPr>
          <w:rFonts w:ascii="Arial" w:hAnsi="Arial" w:cs="Arial"/>
          <w:sz w:val="22"/>
        </w:rPr>
        <w:t xml:space="preserve"> </w:t>
      </w:r>
      <w:r w:rsidR="00EA0A25" w:rsidRPr="00166CB8">
        <w:rPr>
          <w:rFonts w:ascii="Arial" w:hAnsi="Arial" w:cs="Arial"/>
          <w:sz w:val="22"/>
        </w:rPr>
        <w:t>Ahora bien</w:t>
      </w:r>
      <w:r w:rsidRPr="00166CB8">
        <w:rPr>
          <w:rFonts w:ascii="Arial" w:hAnsi="Arial" w:cs="Arial"/>
          <w:sz w:val="22"/>
        </w:rPr>
        <w:t>,</w:t>
      </w:r>
      <w:r w:rsidR="00EA0A25" w:rsidRPr="00166CB8">
        <w:rPr>
          <w:rFonts w:ascii="Arial" w:hAnsi="Arial" w:cs="Arial"/>
          <w:sz w:val="22"/>
        </w:rPr>
        <w:t xml:space="preserve"> conforme indica el literal transcrito, los contratos aportados por los proponentes deberán evalua</w:t>
      </w:r>
      <w:r w:rsidR="003E2883">
        <w:rPr>
          <w:rFonts w:ascii="Arial" w:hAnsi="Arial" w:cs="Arial"/>
          <w:sz w:val="22"/>
        </w:rPr>
        <w:t>rse</w:t>
      </w:r>
      <w:r w:rsidR="00EA0A25" w:rsidRPr="00166CB8">
        <w:rPr>
          <w:rFonts w:ascii="Arial" w:hAnsi="Arial" w:cs="Arial"/>
          <w:sz w:val="22"/>
        </w:rPr>
        <w:t xml:space="preserve"> conform</w:t>
      </w:r>
      <w:r w:rsidR="00A953E3" w:rsidRPr="00166CB8">
        <w:rPr>
          <w:rFonts w:ascii="Arial" w:hAnsi="Arial" w:cs="Arial"/>
          <w:sz w:val="22"/>
        </w:rPr>
        <w:t>e</w:t>
      </w:r>
      <w:r w:rsidR="00EA0A25" w:rsidRPr="00166CB8">
        <w:rPr>
          <w:rFonts w:ascii="Arial" w:hAnsi="Arial" w:cs="Arial"/>
          <w:sz w:val="22"/>
        </w:rPr>
        <w:t xml:space="preserve"> a la tabla del numeral 3.5.</w:t>
      </w:r>
      <w:r w:rsidR="00574B18">
        <w:rPr>
          <w:rFonts w:ascii="Arial" w:hAnsi="Arial" w:cs="Arial"/>
          <w:sz w:val="22"/>
        </w:rPr>
        <w:t>8</w:t>
      </w:r>
      <w:r w:rsidR="00EA0A25" w:rsidRPr="00166CB8">
        <w:rPr>
          <w:rFonts w:ascii="Arial" w:hAnsi="Arial" w:cs="Arial"/>
          <w:sz w:val="22"/>
        </w:rPr>
        <w:t xml:space="preserve">. Dicho numeral, en </w:t>
      </w:r>
      <w:r w:rsidR="00EA0A25" w:rsidRPr="00166CB8">
        <w:rPr>
          <w:rFonts w:ascii="Arial" w:hAnsi="Arial" w:cs="Arial"/>
          <w:sz w:val="22"/>
        </w:rPr>
        <w:lastRenderedPageBreak/>
        <w:t xml:space="preserve">la Versión </w:t>
      </w:r>
      <w:r w:rsidR="00574B18">
        <w:rPr>
          <w:rFonts w:ascii="Arial" w:hAnsi="Arial" w:cs="Arial"/>
          <w:sz w:val="22"/>
        </w:rPr>
        <w:t>3</w:t>
      </w:r>
      <w:r w:rsidR="00EA0A25" w:rsidRPr="00166CB8">
        <w:rPr>
          <w:rFonts w:ascii="Arial" w:hAnsi="Arial" w:cs="Arial"/>
          <w:sz w:val="22"/>
        </w:rPr>
        <w:t xml:space="preserve"> del Documento Base de licitación de obra pública de infraestructura de transporte</w:t>
      </w:r>
      <w:r w:rsidR="003E2883">
        <w:rPr>
          <w:rFonts w:ascii="Arial" w:hAnsi="Arial" w:cs="Arial"/>
          <w:sz w:val="22"/>
        </w:rPr>
        <w:t xml:space="preserve"> dispone lo siguiente</w:t>
      </w:r>
      <w:r w:rsidR="00EA0A25" w:rsidRPr="00166CB8">
        <w:rPr>
          <w:rFonts w:ascii="Arial" w:hAnsi="Arial" w:cs="Arial"/>
          <w:sz w:val="22"/>
        </w:rPr>
        <w:t xml:space="preserve">: </w:t>
      </w:r>
    </w:p>
    <w:p w14:paraId="2B6D60FB" w14:textId="77777777" w:rsidR="00EA0A25" w:rsidRPr="00166CB8" w:rsidRDefault="00EA0A25" w:rsidP="00EA0A25">
      <w:pPr>
        <w:spacing w:line="276" w:lineRule="auto"/>
        <w:ind w:firstLine="708"/>
        <w:jc w:val="both"/>
        <w:rPr>
          <w:rFonts w:ascii="Arial" w:hAnsi="Arial" w:cs="Arial"/>
          <w:sz w:val="22"/>
        </w:rPr>
      </w:pPr>
    </w:p>
    <w:p w14:paraId="2AA990CB" w14:textId="6DB296FD" w:rsidR="00EA0A25" w:rsidRPr="00166CB8" w:rsidRDefault="00EA0A25" w:rsidP="00EA0A25">
      <w:pPr>
        <w:pStyle w:val="InviasNormal"/>
        <w:spacing w:before="0"/>
        <w:ind w:left="709" w:right="709"/>
        <w:outlineLvl w:val="2"/>
        <w:rPr>
          <w:rFonts w:ascii="Arial" w:eastAsia="Arial" w:hAnsi="Arial" w:cs="Arial"/>
          <w:color w:val="auto"/>
          <w:sz w:val="21"/>
          <w:szCs w:val="21"/>
          <w:lang w:val="es-CO"/>
        </w:rPr>
      </w:pPr>
      <w:bookmarkStart w:id="7" w:name="_Ref533083945"/>
      <w:bookmarkStart w:id="8" w:name="_Toc49416222"/>
      <w:r w:rsidRPr="00166CB8">
        <w:rPr>
          <w:rFonts w:ascii="Arial" w:eastAsia="Arial" w:hAnsi="Arial" w:cs="Arial"/>
          <w:color w:val="auto"/>
          <w:sz w:val="21"/>
          <w:szCs w:val="21"/>
          <w:lang w:val="es-CO"/>
        </w:rPr>
        <w:t>3.5.</w:t>
      </w:r>
      <w:r w:rsidR="00574B18">
        <w:rPr>
          <w:rFonts w:ascii="Arial" w:eastAsia="Arial" w:hAnsi="Arial" w:cs="Arial"/>
          <w:color w:val="auto"/>
          <w:sz w:val="21"/>
          <w:szCs w:val="21"/>
          <w:lang w:val="es-CO"/>
        </w:rPr>
        <w:t>8</w:t>
      </w:r>
      <w:r w:rsidRPr="00166CB8">
        <w:rPr>
          <w:rFonts w:ascii="Arial" w:eastAsia="Arial" w:hAnsi="Arial" w:cs="Arial"/>
          <w:color w:val="auto"/>
          <w:sz w:val="21"/>
          <w:szCs w:val="21"/>
          <w:lang w:val="es-CO"/>
        </w:rPr>
        <w:t>. RELACIÓN DE LOS CONTRATOS FRENTE AL PRESUPUESTO OFICIAL</w:t>
      </w:r>
      <w:bookmarkEnd w:id="7"/>
      <w:bookmarkEnd w:id="8"/>
      <w:r w:rsidRPr="00166CB8">
        <w:rPr>
          <w:rFonts w:ascii="Arial" w:eastAsia="Arial" w:hAnsi="Arial" w:cs="Arial"/>
          <w:color w:val="auto"/>
          <w:sz w:val="21"/>
          <w:szCs w:val="21"/>
          <w:lang w:val="es-CO"/>
        </w:rPr>
        <w:t xml:space="preserve"> </w:t>
      </w:r>
    </w:p>
    <w:p w14:paraId="4624755E" w14:textId="77777777" w:rsidR="00EA0A25" w:rsidRPr="00166CB8" w:rsidRDefault="00EA0A25" w:rsidP="00EA0A25">
      <w:pPr>
        <w:ind w:left="709" w:right="709"/>
        <w:jc w:val="both"/>
        <w:rPr>
          <w:rFonts w:ascii="Arial" w:eastAsia="Arial" w:hAnsi="Arial" w:cs="Arial"/>
          <w:sz w:val="21"/>
          <w:szCs w:val="21"/>
          <w:lang w:val="es-ES"/>
        </w:rPr>
      </w:pPr>
      <w:r w:rsidRPr="00166CB8">
        <w:rPr>
          <w:rFonts w:ascii="Arial" w:hAnsi="Arial" w:cs="Arial"/>
          <w:sz w:val="21"/>
          <w:szCs w:val="21"/>
          <w:lang w:val="es-ES"/>
        </w:rPr>
        <w:t>La</w:t>
      </w:r>
      <w:r w:rsidRPr="00166CB8">
        <w:rPr>
          <w:rFonts w:ascii="Arial" w:eastAsia="Arial" w:hAnsi="Arial" w:cs="Arial"/>
          <w:sz w:val="21"/>
          <w:szCs w:val="21"/>
          <w:lang w:val="es-ES"/>
        </w:rPr>
        <w:t xml:space="preserve"> </w:t>
      </w:r>
      <w:r w:rsidRPr="00166CB8">
        <w:rPr>
          <w:rFonts w:ascii="Arial" w:hAnsi="Arial" w:cs="Arial"/>
          <w:sz w:val="21"/>
          <w:szCs w:val="21"/>
          <w:lang w:val="es-ES"/>
        </w:rPr>
        <w:t>verificación del número de contratos para acreditar la experiencia</w:t>
      </w:r>
      <w:r w:rsidRPr="00166CB8">
        <w:rPr>
          <w:rFonts w:ascii="Arial" w:eastAsia="Arial" w:hAnsi="Arial" w:cs="Arial"/>
          <w:sz w:val="21"/>
          <w:szCs w:val="21"/>
          <w:lang w:val="es-ES"/>
        </w:rPr>
        <w:t xml:space="preserve"> </w:t>
      </w:r>
      <w:r w:rsidRPr="00166CB8">
        <w:rPr>
          <w:rFonts w:ascii="Arial" w:hAnsi="Arial" w:cs="Arial"/>
          <w:sz w:val="21"/>
          <w:szCs w:val="21"/>
          <w:lang w:val="es-ES"/>
        </w:rPr>
        <w:t>se</w:t>
      </w:r>
      <w:r w:rsidRPr="00166CB8">
        <w:rPr>
          <w:rFonts w:ascii="Arial" w:eastAsia="Arial" w:hAnsi="Arial" w:cs="Arial"/>
          <w:sz w:val="21"/>
          <w:szCs w:val="21"/>
          <w:lang w:val="es-ES"/>
        </w:rPr>
        <w:t xml:space="preserve"> </w:t>
      </w:r>
      <w:r w:rsidRPr="00166CB8">
        <w:rPr>
          <w:rFonts w:ascii="Arial" w:hAnsi="Arial" w:cs="Arial"/>
          <w:sz w:val="21"/>
          <w:szCs w:val="21"/>
          <w:lang w:val="es-ES"/>
        </w:rPr>
        <w:t>realizará</w:t>
      </w:r>
      <w:r w:rsidRPr="00166CB8">
        <w:rPr>
          <w:rFonts w:ascii="Arial" w:eastAsia="Arial" w:hAnsi="Arial" w:cs="Arial"/>
          <w:sz w:val="21"/>
          <w:szCs w:val="21"/>
          <w:lang w:val="es-ES"/>
        </w:rPr>
        <w:t xml:space="preserve"> </w:t>
      </w:r>
      <w:r w:rsidRPr="00166CB8">
        <w:rPr>
          <w:rFonts w:ascii="Arial" w:hAnsi="Arial" w:cs="Arial"/>
          <w:sz w:val="21"/>
          <w:szCs w:val="21"/>
          <w:lang w:val="es-ES"/>
        </w:rPr>
        <w:t>de</w:t>
      </w:r>
      <w:r w:rsidRPr="00166CB8">
        <w:rPr>
          <w:rFonts w:ascii="Arial" w:eastAsia="Arial" w:hAnsi="Arial" w:cs="Arial"/>
          <w:sz w:val="21"/>
          <w:szCs w:val="21"/>
          <w:lang w:val="es-ES"/>
        </w:rPr>
        <w:t xml:space="preserve"> </w:t>
      </w:r>
      <w:r w:rsidRPr="00166CB8">
        <w:rPr>
          <w:rFonts w:ascii="Arial" w:hAnsi="Arial" w:cs="Arial"/>
          <w:sz w:val="21"/>
          <w:szCs w:val="21"/>
          <w:lang w:val="es-ES"/>
        </w:rPr>
        <w:t>la</w:t>
      </w:r>
      <w:r w:rsidRPr="00166CB8">
        <w:rPr>
          <w:rFonts w:ascii="Arial" w:eastAsia="Arial" w:hAnsi="Arial" w:cs="Arial"/>
          <w:sz w:val="21"/>
          <w:szCs w:val="21"/>
          <w:lang w:val="es-ES"/>
        </w:rPr>
        <w:t xml:space="preserve"> </w:t>
      </w:r>
      <w:r w:rsidRPr="00166CB8">
        <w:rPr>
          <w:rFonts w:ascii="Arial" w:hAnsi="Arial" w:cs="Arial"/>
          <w:sz w:val="21"/>
          <w:szCs w:val="21"/>
          <w:lang w:val="es-ES"/>
        </w:rPr>
        <w:t>siguiente</w:t>
      </w:r>
      <w:r w:rsidRPr="00166CB8">
        <w:rPr>
          <w:rFonts w:ascii="Arial" w:eastAsia="Arial" w:hAnsi="Arial" w:cs="Arial"/>
          <w:sz w:val="21"/>
          <w:szCs w:val="21"/>
          <w:lang w:val="es-ES"/>
        </w:rPr>
        <w:t xml:space="preserve"> </w:t>
      </w:r>
      <w:r w:rsidRPr="00166CB8">
        <w:rPr>
          <w:rFonts w:ascii="Arial" w:hAnsi="Arial" w:cs="Arial"/>
          <w:sz w:val="21"/>
          <w:szCs w:val="21"/>
          <w:lang w:val="es-ES"/>
        </w:rPr>
        <w:t>manera:</w:t>
      </w:r>
    </w:p>
    <w:p w14:paraId="7FB764C5" w14:textId="77777777" w:rsidR="00EA0A25" w:rsidRPr="00166CB8" w:rsidRDefault="00EA0A25" w:rsidP="00EA0A25">
      <w:pPr>
        <w:ind w:left="709" w:right="709"/>
        <w:jc w:val="both"/>
        <w:rPr>
          <w:rFonts w:ascii="Arial" w:hAnsi="Arial" w:cs="Arial"/>
          <w:sz w:val="21"/>
          <w:szCs w:val="21"/>
          <w:lang w:val="es-ES_tradnl"/>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574B18" w:rsidRPr="00574B18" w14:paraId="2D3CDF32" w14:textId="77777777" w:rsidTr="00574B18">
        <w:trPr>
          <w:trHeight w:val="737"/>
          <w:tblHeader/>
        </w:trPr>
        <w:tc>
          <w:tcPr>
            <w:tcW w:w="3055" w:type="dxa"/>
            <w:tcBorders>
              <w:top w:val="double" w:sz="4" w:space="0" w:color="auto"/>
              <w:left w:val="double" w:sz="4" w:space="0" w:color="auto"/>
              <w:bottom w:val="single" w:sz="4" w:space="0" w:color="000000"/>
              <w:right w:val="single" w:sz="4" w:space="0" w:color="000000"/>
            </w:tcBorders>
            <w:shd w:val="clear" w:color="auto" w:fill="404040"/>
            <w:vAlign w:val="center"/>
            <w:hideMark/>
          </w:tcPr>
          <w:p w14:paraId="25B5320F" w14:textId="77777777" w:rsidR="00574B18" w:rsidRPr="00574B18" w:rsidRDefault="00574B18" w:rsidP="00574B18">
            <w:pPr>
              <w:spacing w:line="276" w:lineRule="auto"/>
              <w:jc w:val="center"/>
              <w:rPr>
                <w:rFonts w:ascii="Arial" w:eastAsia="Arial" w:hAnsi="Arial" w:cs="Arial"/>
                <w:b/>
                <w:bCs/>
                <w:color w:val="FFFFFF"/>
                <w:sz w:val="20"/>
                <w:szCs w:val="20"/>
                <w:lang w:val="es-ES"/>
              </w:rPr>
            </w:pPr>
            <w:r w:rsidRPr="00574B18">
              <w:rPr>
                <w:rFonts w:ascii="Arial" w:eastAsia="Calibri" w:hAnsi="Arial" w:cs="Arial"/>
                <w:b/>
                <w:bCs/>
                <w:color w:val="FFFFFF"/>
                <w:sz w:val="20"/>
                <w:szCs w:val="20"/>
                <w:lang w:val="es-ES"/>
              </w:rPr>
              <w:t>Número</w:t>
            </w:r>
            <w:r w:rsidRPr="00574B18">
              <w:rPr>
                <w:rFonts w:ascii="Arial" w:eastAsia="Arial" w:hAnsi="Arial" w:cs="Arial"/>
                <w:b/>
                <w:bCs/>
                <w:color w:val="FFFFFF"/>
                <w:sz w:val="20"/>
                <w:szCs w:val="20"/>
                <w:lang w:val="es-ES"/>
              </w:rPr>
              <w:t xml:space="preserve"> </w:t>
            </w:r>
            <w:r w:rsidRPr="00574B18">
              <w:rPr>
                <w:rFonts w:ascii="Arial" w:eastAsia="Calibri" w:hAnsi="Arial" w:cs="Arial"/>
                <w:b/>
                <w:bCs/>
                <w:color w:val="FFFFFF"/>
                <w:sz w:val="20"/>
                <w:szCs w:val="20"/>
                <w:lang w:val="es-ES"/>
              </w:rPr>
              <w:t>de</w:t>
            </w:r>
            <w:r w:rsidRPr="00574B18">
              <w:rPr>
                <w:rFonts w:ascii="Arial" w:eastAsia="Arial" w:hAnsi="Arial" w:cs="Arial"/>
                <w:b/>
                <w:bCs/>
                <w:color w:val="FFFFFF"/>
                <w:sz w:val="20"/>
                <w:szCs w:val="20"/>
                <w:lang w:val="es-ES"/>
              </w:rPr>
              <w:t xml:space="preserve"> </w:t>
            </w:r>
            <w:r w:rsidRPr="00574B18">
              <w:rPr>
                <w:rFonts w:ascii="Arial" w:eastAsia="Calibri" w:hAnsi="Arial" w:cs="Arial"/>
                <w:b/>
                <w:bCs/>
                <w:color w:val="FFFFFF"/>
                <w:sz w:val="20"/>
                <w:szCs w:val="20"/>
                <w:lang w:val="es-ES"/>
              </w:rPr>
              <w:t>contratos</w:t>
            </w:r>
            <w:r w:rsidRPr="00574B18">
              <w:rPr>
                <w:rFonts w:ascii="Arial" w:eastAsia="Arial" w:hAnsi="Arial" w:cs="Arial"/>
                <w:b/>
                <w:bCs/>
                <w:color w:val="FFFFFF"/>
                <w:sz w:val="20"/>
                <w:szCs w:val="20"/>
                <w:lang w:val="es-ES"/>
              </w:rPr>
              <w:t xml:space="preserve"> </w:t>
            </w:r>
            <w:r w:rsidRPr="00574B18">
              <w:rPr>
                <w:rFonts w:ascii="Arial" w:eastAsia="Calibri" w:hAnsi="Arial" w:cs="Arial"/>
                <w:b/>
                <w:bCs/>
                <w:color w:val="FFFFFF"/>
                <w:sz w:val="20"/>
                <w:szCs w:val="20"/>
                <w:lang w:val="es-ES"/>
              </w:rPr>
              <w:t>con</w:t>
            </w:r>
            <w:r w:rsidRPr="00574B18">
              <w:rPr>
                <w:rFonts w:ascii="Arial" w:eastAsia="Arial" w:hAnsi="Arial" w:cs="Arial"/>
                <w:b/>
                <w:bCs/>
                <w:color w:val="FFFFFF"/>
                <w:sz w:val="20"/>
                <w:szCs w:val="20"/>
                <w:lang w:val="es-ES"/>
              </w:rPr>
              <w:t xml:space="preserve"> </w:t>
            </w:r>
            <w:r w:rsidRPr="00574B18">
              <w:rPr>
                <w:rFonts w:ascii="Arial" w:eastAsia="Calibri" w:hAnsi="Arial" w:cs="Arial"/>
                <w:b/>
                <w:bCs/>
                <w:color w:val="FFFFFF"/>
                <w:sz w:val="20"/>
                <w:szCs w:val="20"/>
                <w:lang w:val="es-ES"/>
              </w:rPr>
              <w:t>los</w:t>
            </w:r>
            <w:r w:rsidRPr="00574B18">
              <w:rPr>
                <w:rFonts w:ascii="Arial" w:eastAsia="Arial" w:hAnsi="Arial" w:cs="Arial"/>
                <w:b/>
                <w:bCs/>
                <w:color w:val="FFFFFF"/>
                <w:sz w:val="20"/>
                <w:szCs w:val="20"/>
                <w:lang w:val="es-ES"/>
              </w:rPr>
              <w:t xml:space="preserve"> </w:t>
            </w:r>
            <w:r w:rsidRPr="00574B18">
              <w:rPr>
                <w:rFonts w:ascii="Arial" w:eastAsia="Calibri" w:hAnsi="Arial" w:cs="Arial"/>
                <w:b/>
                <w:bCs/>
                <w:color w:val="FFFFFF"/>
                <w:sz w:val="20"/>
                <w:szCs w:val="20"/>
                <w:lang w:val="es-ES"/>
              </w:rPr>
              <w:t>cuales</w:t>
            </w:r>
            <w:r w:rsidRPr="00574B18">
              <w:rPr>
                <w:rFonts w:ascii="Arial" w:eastAsia="Arial" w:hAnsi="Arial" w:cs="Arial"/>
                <w:b/>
                <w:bCs/>
                <w:color w:val="FFFFFF"/>
                <w:sz w:val="20"/>
                <w:szCs w:val="20"/>
                <w:lang w:val="es-ES"/>
              </w:rPr>
              <w:t xml:space="preserve"> </w:t>
            </w:r>
            <w:r w:rsidRPr="00574B18">
              <w:rPr>
                <w:rFonts w:ascii="Arial" w:eastAsia="Calibri" w:hAnsi="Arial" w:cs="Arial"/>
                <w:b/>
                <w:bCs/>
                <w:color w:val="FFFFFF"/>
                <w:sz w:val="20"/>
                <w:szCs w:val="20"/>
                <w:lang w:val="es-ES"/>
              </w:rPr>
              <w:t>el</w:t>
            </w:r>
            <w:r w:rsidRPr="00574B18">
              <w:rPr>
                <w:rFonts w:ascii="Arial" w:eastAsia="Arial" w:hAnsi="Arial" w:cs="Arial"/>
                <w:b/>
                <w:bCs/>
                <w:color w:val="FFFFFF"/>
                <w:sz w:val="20"/>
                <w:szCs w:val="20"/>
                <w:lang w:val="es-ES"/>
              </w:rPr>
              <w:t xml:space="preserve"> </w:t>
            </w:r>
            <w:r w:rsidRPr="00574B18">
              <w:rPr>
                <w:rFonts w:ascii="Arial" w:eastAsia="Calibri" w:hAnsi="Arial" w:cs="Arial"/>
                <w:b/>
                <w:bCs/>
                <w:color w:val="FFFFFF"/>
                <w:sz w:val="20"/>
                <w:szCs w:val="20"/>
                <w:lang w:val="es-ES"/>
              </w:rPr>
              <w:t>Proponente</w:t>
            </w:r>
            <w:r w:rsidRPr="00574B18">
              <w:rPr>
                <w:rFonts w:ascii="Arial" w:eastAsia="Arial" w:hAnsi="Arial" w:cs="Arial"/>
                <w:b/>
                <w:bCs/>
                <w:color w:val="FFFFFF"/>
                <w:sz w:val="20"/>
                <w:szCs w:val="20"/>
                <w:lang w:val="es-ES"/>
              </w:rPr>
              <w:t xml:space="preserve"> </w:t>
            </w:r>
            <w:r w:rsidRPr="00574B18">
              <w:rPr>
                <w:rFonts w:ascii="Arial" w:eastAsia="Calibri" w:hAnsi="Arial" w:cs="Arial"/>
                <w:b/>
                <w:bCs/>
                <w:color w:val="FFFFFF"/>
                <w:sz w:val="20"/>
                <w:szCs w:val="20"/>
                <w:lang w:val="es-ES"/>
              </w:rPr>
              <w:t>cumple</w:t>
            </w:r>
            <w:r w:rsidRPr="00574B18">
              <w:rPr>
                <w:rFonts w:ascii="Arial" w:eastAsia="Arial" w:hAnsi="Arial" w:cs="Arial"/>
                <w:b/>
                <w:bCs/>
                <w:color w:val="FFFFFF"/>
                <w:sz w:val="20"/>
                <w:szCs w:val="20"/>
                <w:lang w:val="es-ES"/>
              </w:rPr>
              <w:t xml:space="preserve"> </w:t>
            </w:r>
            <w:r w:rsidRPr="00574B18">
              <w:rPr>
                <w:rFonts w:ascii="Arial" w:eastAsia="Calibri" w:hAnsi="Arial" w:cs="Arial"/>
                <w:b/>
                <w:bCs/>
                <w:color w:val="FFFFFF"/>
                <w:sz w:val="20"/>
                <w:szCs w:val="20"/>
                <w:lang w:val="es-ES"/>
              </w:rPr>
              <w:t>la</w:t>
            </w:r>
            <w:r w:rsidRPr="00574B18">
              <w:rPr>
                <w:rFonts w:ascii="Arial" w:eastAsia="Arial" w:hAnsi="Arial" w:cs="Arial"/>
                <w:b/>
                <w:bCs/>
                <w:color w:val="FFFFFF"/>
                <w:sz w:val="20"/>
                <w:szCs w:val="20"/>
                <w:lang w:val="es-ES"/>
              </w:rPr>
              <w:t xml:space="preserve"> </w:t>
            </w:r>
            <w:r w:rsidRPr="00574B18">
              <w:rPr>
                <w:rFonts w:ascii="Arial" w:eastAsia="Calibri" w:hAnsi="Arial" w:cs="Arial"/>
                <w:b/>
                <w:bCs/>
                <w:color w:val="FFFFFF"/>
                <w:sz w:val="20"/>
                <w:szCs w:val="20"/>
                <w:lang w:val="es-ES"/>
              </w:rPr>
              <w:t>experiencia</w:t>
            </w:r>
            <w:r w:rsidRPr="00574B18">
              <w:rPr>
                <w:rFonts w:ascii="Arial" w:eastAsia="Arial" w:hAnsi="Arial" w:cs="Arial"/>
                <w:b/>
                <w:bCs/>
                <w:color w:val="FFFFFF"/>
                <w:sz w:val="20"/>
                <w:szCs w:val="20"/>
                <w:lang w:val="es-ES"/>
              </w:rPr>
              <w:t xml:space="preserve"> </w:t>
            </w:r>
            <w:r w:rsidRPr="00574B18">
              <w:rPr>
                <w:rFonts w:ascii="Arial" w:eastAsia="Calibri" w:hAnsi="Arial" w:cs="Arial"/>
                <w:b/>
                <w:bCs/>
                <w:color w:val="FFFFFF"/>
                <w:sz w:val="20"/>
                <w:szCs w:val="20"/>
                <w:lang w:val="es-ES"/>
              </w:rPr>
              <w:t>acreditada</w:t>
            </w:r>
          </w:p>
        </w:tc>
        <w:tc>
          <w:tcPr>
            <w:tcW w:w="4192" w:type="dxa"/>
            <w:tcBorders>
              <w:top w:val="double" w:sz="4" w:space="0" w:color="auto"/>
              <w:left w:val="single" w:sz="4" w:space="0" w:color="000000"/>
              <w:bottom w:val="single" w:sz="4" w:space="0" w:color="000000"/>
              <w:right w:val="double" w:sz="4" w:space="0" w:color="auto"/>
            </w:tcBorders>
            <w:shd w:val="clear" w:color="auto" w:fill="404040"/>
            <w:vAlign w:val="center"/>
            <w:hideMark/>
          </w:tcPr>
          <w:p w14:paraId="334E3FEB" w14:textId="77777777" w:rsidR="00574B18" w:rsidRPr="00574B18" w:rsidRDefault="00574B18" w:rsidP="00574B18">
            <w:pPr>
              <w:spacing w:line="276" w:lineRule="auto"/>
              <w:jc w:val="center"/>
              <w:rPr>
                <w:rFonts w:ascii="Arial" w:eastAsia="Arial" w:hAnsi="Arial" w:cs="Arial"/>
                <w:b/>
                <w:bCs/>
                <w:color w:val="FFFFFF"/>
                <w:sz w:val="20"/>
                <w:szCs w:val="20"/>
                <w:lang w:val="es-ES"/>
              </w:rPr>
            </w:pPr>
            <w:r w:rsidRPr="00574B18">
              <w:rPr>
                <w:rFonts w:ascii="Arial" w:eastAsia="Calibri" w:hAnsi="Arial" w:cs="Arial"/>
                <w:b/>
                <w:bCs/>
                <w:color w:val="FFFFFF"/>
                <w:sz w:val="20"/>
                <w:szCs w:val="20"/>
                <w:lang w:val="es-ES"/>
              </w:rPr>
              <w:t>Valor</w:t>
            </w:r>
            <w:r w:rsidRPr="00574B18">
              <w:rPr>
                <w:rFonts w:ascii="Arial" w:eastAsia="Arial" w:hAnsi="Arial" w:cs="Arial"/>
                <w:b/>
                <w:bCs/>
                <w:color w:val="FFFFFF"/>
                <w:sz w:val="20"/>
                <w:szCs w:val="20"/>
                <w:lang w:val="es-ES"/>
              </w:rPr>
              <w:t xml:space="preserve"> </w:t>
            </w:r>
            <w:r w:rsidRPr="00574B18">
              <w:rPr>
                <w:rFonts w:ascii="Arial" w:eastAsia="Calibri" w:hAnsi="Arial" w:cs="Arial"/>
                <w:b/>
                <w:bCs/>
                <w:color w:val="FFFFFF"/>
                <w:sz w:val="20"/>
                <w:szCs w:val="20"/>
                <w:lang w:val="es-ES"/>
              </w:rPr>
              <w:t>mínimo</w:t>
            </w:r>
            <w:r w:rsidRPr="00574B18">
              <w:rPr>
                <w:rFonts w:ascii="Arial" w:eastAsia="Arial" w:hAnsi="Arial" w:cs="Arial"/>
                <w:b/>
                <w:bCs/>
                <w:color w:val="FFFFFF"/>
                <w:sz w:val="20"/>
                <w:szCs w:val="20"/>
                <w:lang w:val="es-ES"/>
              </w:rPr>
              <w:t xml:space="preserve"> </w:t>
            </w:r>
            <w:r w:rsidRPr="00574B18">
              <w:rPr>
                <w:rFonts w:ascii="Arial" w:eastAsia="Calibri" w:hAnsi="Arial" w:cs="Arial"/>
                <w:b/>
                <w:bCs/>
                <w:color w:val="FFFFFF"/>
                <w:sz w:val="20"/>
                <w:szCs w:val="20"/>
                <w:lang w:val="es-ES"/>
              </w:rPr>
              <w:t>a</w:t>
            </w:r>
            <w:r w:rsidRPr="00574B18">
              <w:rPr>
                <w:rFonts w:ascii="Arial" w:eastAsia="Arial" w:hAnsi="Arial" w:cs="Arial"/>
                <w:b/>
                <w:bCs/>
                <w:color w:val="FFFFFF"/>
                <w:sz w:val="20"/>
                <w:szCs w:val="20"/>
                <w:lang w:val="es-ES"/>
              </w:rPr>
              <w:t xml:space="preserve"> </w:t>
            </w:r>
            <w:r w:rsidRPr="00574B18">
              <w:rPr>
                <w:rFonts w:ascii="Arial" w:eastAsia="Calibri" w:hAnsi="Arial" w:cs="Arial"/>
                <w:b/>
                <w:bCs/>
                <w:color w:val="FFFFFF"/>
                <w:sz w:val="20"/>
                <w:szCs w:val="20"/>
                <w:lang w:val="es-ES"/>
              </w:rPr>
              <w:t>certificar</w:t>
            </w:r>
          </w:p>
          <w:p w14:paraId="5BF6FC60" w14:textId="77777777" w:rsidR="00574B18" w:rsidRPr="00574B18" w:rsidRDefault="00574B18" w:rsidP="00574B18">
            <w:pPr>
              <w:spacing w:line="276" w:lineRule="auto"/>
              <w:jc w:val="center"/>
              <w:rPr>
                <w:rFonts w:ascii="Arial" w:eastAsia="Arial" w:hAnsi="Arial" w:cs="Arial"/>
                <w:b/>
                <w:bCs/>
                <w:color w:val="FFFFFF"/>
                <w:sz w:val="20"/>
                <w:szCs w:val="20"/>
                <w:lang w:val="es-ES"/>
              </w:rPr>
            </w:pPr>
            <w:r w:rsidRPr="00574B18">
              <w:rPr>
                <w:rFonts w:ascii="Arial" w:eastAsia="Calibri" w:hAnsi="Arial" w:cs="Arial"/>
                <w:b/>
                <w:bCs/>
                <w:color w:val="FFFFFF"/>
                <w:sz w:val="20"/>
                <w:szCs w:val="20"/>
                <w:lang w:val="es-ES"/>
              </w:rPr>
              <w:t>(como</w:t>
            </w:r>
            <w:r w:rsidRPr="00574B18">
              <w:rPr>
                <w:rFonts w:ascii="Arial" w:eastAsia="Arial" w:hAnsi="Arial" w:cs="Arial"/>
                <w:b/>
                <w:bCs/>
                <w:color w:val="FFFFFF"/>
                <w:sz w:val="20"/>
                <w:szCs w:val="20"/>
                <w:lang w:val="es-ES"/>
              </w:rPr>
              <w:t xml:space="preserve"> % </w:t>
            </w:r>
            <w:r w:rsidRPr="00574B18">
              <w:rPr>
                <w:rFonts w:ascii="Arial" w:eastAsia="Calibri" w:hAnsi="Arial" w:cs="Arial"/>
                <w:b/>
                <w:bCs/>
                <w:color w:val="FFFFFF"/>
                <w:sz w:val="20"/>
                <w:szCs w:val="20"/>
                <w:lang w:val="es-ES"/>
              </w:rPr>
              <w:t>del</w:t>
            </w:r>
            <w:r w:rsidRPr="00574B18">
              <w:rPr>
                <w:rFonts w:ascii="Arial" w:eastAsia="Arial" w:hAnsi="Arial" w:cs="Arial"/>
                <w:b/>
                <w:bCs/>
                <w:color w:val="FFFFFF"/>
                <w:sz w:val="20"/>
                <w:szCs w:val="20"/>
                <w:lang w:val="es-ES"/>
              </w:rPr>
              <w:t xml:space="preserve"> </w:t>
            </w:r>
            <w:r w:rsidRPr="00574B18">
              <w:rPr>
                <w:rFonts w:ascii="Arial" w:eastAsia="Calibri" w:hAnsi="Arial" w:cs="Arial"/>
                <w:b/>
                <w:bCs/>
                <w:color w:val="FFFFFF"/>
                <w:sz w:val="20"/>
                <w:szCs w:val="20"/>
                <w:lang w:val="es-ES"/>
              </w:rPr>
              <w:t>Presupuesto</w:t>
            </w:r>
            <w:r w:rsidRPr="00574B18">
              <w:rPr>
                <w:rFonts w:ascii="Arial" w:eastAsia="Arial" w:hAnsi="Arial" w:cs="Arial"/>
                <w:b/>
                <w:bCs/>
                <w:color w:val="FFFFFF"/>
                <w:sz w:val="20"/>
                <w:szCs w:val="20"/>
                <w:lang w:val="es-ES"/>
              </w:rPr>
              <w:t xml:space="preserve"> </w:t>
            </w:r>
            <w:r w:rsidRPr="00574B18">
              <w:rPr>
                <w:rFonts w:ascii="Arial" w:eastAsia="Calibri" w:hAnsi="Arial" w:cs="Arial"/>
                <w:b/>
                <w:bCs/>
                <w:color w:val="FFFFFF"/>
                <w:sz w:val="20"/>
                <w:szCs w:val="20"/>
                <w:lang w:val="es-ES"/>
              </w:rPr>
              <w:t>Oficial</w:t>
            </w:r>
            <w:r w:rsidRPr="00574B18">
              <w:rPr>
                <w:rFonts w:ascii="Arial" w:eastAsia="Arial" w:hAnsi="Arial" w:cs="Arial"/>
                <w:b/>
                <w:bCs/>
                <w:color w:val="FFFFFF"/>
                <w:sz w:val="20"/>
                <w:szCs w:val="20"/>
                <w:lang w:val="es-ES"/>
              </w:rPr>
              <w:t xml:space="preserve"> </w:t>
            </w:r>
            <w:r w:rsidRPr="00574B18">
              <w:rPr>
                <w:rFonts w:ascii="Arial" w:eastAsia="Calibri" w:hAnsi="Arial" w:cs="Arial"/>
                <w:b/>
                <w:bCs/>
                <w:color w:val="FFFFFF"/>
                <w:sz w:val="20"/>
                <w:szCs w:val="20"/>
                <w:lang w:val="es-ES"/>
              </w:rPr>
              <w:t>de</w:t>
            </w:r>
            <w:r w:rsidRPr="00574B18">
              <w:rPr>
                <w:rFonts w:ascii="Arial" w:eastAsia="Arial" w:hAnsi="Arial" w:cs="Arial"/>
                <w:b/>
                <w:bCs/>
                <w:color w:val="FFFFFF"/>
                <w:sz w:val="20"/>
                <w:szCs w:val="20"/>
                <w:lang w:val="es-ES"/>
              </w:rPr>
              <w:t xml:space="preserve"> </w:t>
            </w:r>
            <w:r w:rsidRPr="00574B18">
              <w:rPr>
                <w:rFonts w:ascii="Arial" w:eastAsia="Calibri" w:hAnsi="Arial" w:cs="Arial"/>
                <w:b/>
                <w:bCs/>
                <w:color w:val="FFFFFF"/>
                <w:sz w:val="20"/>
                <w:szCs w:val="20"/>
                <w:lang w:val="es-ES"/>
              </w:rPr>
              <w:t>obra</w:t>
            </w:r>
            <w:r w:rsidRPr="00574B18">
              <w:rPr>
                <w:rFonts w:ascii="Arial" w:eastAsia="Arial" w:hAnsi="Arial" w:cs="Arial"/>
                <w:b/>
                <w:bCs/>
                <w:color w:val="FFFFFF"/>
                <w:sz w:val="20"/>
                <w:szCs w:val="20"/>
                <w:lang w:val="es-ES"/>
              </w:rPr>
              <w:t xml:space="preserve"> </w:t>
            </w:r>
            <w:r w:rsidRPr="00574B18">
              <w:rPr>
                <w:rFonts w:ascii="Arial" w:eastAsia="Calibri" w:hAnsi="Arial" w:cs="Arial"/>
                <w:b/>
                <w:bCs/>
                <w:color w:val="FFFFFF"/>
                <w:sz w:val="20"/>
                <w:szCs w:val="20"/>
                <w:lang w:val="es-ES"/>
              </w:rPr>
              <w:t>expresado</w:t>
            </w:r>
            <w:r w:rsidRPr="00574B18">
              <w:rPr>
                <w:rFonts w:ascii="Arial" w:eastAsia="Arial" w:hAnsi="Arial" w:cs="Arial"/>
                <w:b/>
                <w:bCs/>
                <w:color w:val="FFFFFF"/>
                <w:sz w:val="20"/>
                <w:szCs w:val="20"/>
                <w:lang w:val="es-ES"/>
              </w:rPr>
              <w:t xml:space="preserve"> </w:t>
            </w:r>
            <w:r w:rsidRPr="00574B18">
              <w:rPr>
                <w:rFonts w:ascii="Arial" w:eastAsia="Calibri" w:hAnsi="Arial" w:cs="Arial"/>
                <w:b/>
                <w:bCs/>
                <w:color w:val="FFFFFF"/>
                <w:sz w:val="20"/>
                <w:szCs w:val="20"/>
                <w:lang w:val="es-ES"/>
              </w:rPr>
              <w:t>en</w:t>
            </w:r>
            <w:r w:rsidRPr="00574B18">
              <w:rPr>
                <w:rFonts w:ascii="Arial" w:eastAsia="Arial" w:hAnsi="Arial" w:cs="Arial"/>
                <w:b/>
                <w:bCs/>
                <w:color w:val="FFFFFF"/>
                <w:sz w:val="20"/>
                <w:szCs w:val="20"/>
                <w:lang w:val="es-ES"/>
              </w:rPr>
              <w:t xml:space="preserve"> </w:t>
            </w:r>
            <w:r w:rsidRPr="00574B18">
              <w:rPr>
                <w:rFonts w:ascii="Arial" w:eastAsia="Calibri" w:hAnsi="Arial" w:cs="Arial"/>
                <w:b/>
                <w:bCs/>
                <w:color w:val="FFFFFF"/>
                <w:sz w:val="20"/>
                <w:szCs w:val="20"/>
                <w:lang w:val="es-ES"/>
              </w:rPr>
              <w:t>SMMLV)</w:t>
            </w:r>
          </w:p>
        </w:tc>
      </w:tr>
      <w:tr w:rsidR="00574B18" w:rsidRPr="00574B18" w14:paraId="156F1C02" w14:textId="77777777" w:rsidTr="00574B18">
        <w:tc>
          <w:tcPr>
            <w:tcW w:w="3055" w:type="dxa"/>
            <w:tcBorders>
              <w:top w:val="single" w:sz="4" w:space="0" w:color="000000"/>
              <w:left w:val="double" w:sz="4" w:space="0" w:color="auto"/>
              <w:bottom w:val="single" w:sz="4" w:space="0" w:color="000000"/>
              <w:right w:val="single" w:sz="4" w:space="0" w:color="000000"/>
            </w:tcBorders>
            <w:vAlign w:val="center"/>
            <w:hideMark/>
          </w:tcPr>
          <w:p w14:paraId="134B3F5C" w14:textId="77777777" w:rsidR="00574B18" w:rsidRPr="00574B18" w:rsidRDefault="00574B18" w:rsidP="00574B18">
            <w:pPr>
              <w:spacing w:line="276" w:lineRule="auto"/>
              <w:jc w:val="center"/>
              <w:rPr>
                <w:rFonts w:ascii="Arial" w:eastAsia="Arial" w:hAnsi="Arial" w:cs="Arial"/>
                <w:sz w:val="20"/>
                <w:szCs w:val="20"/>
                <w:lang w:val="es-ES"/>
              </w:rPr>
            </w:pPr>
            <w:r w:rsidRPr="00574B18">
              <w:rPr>
                <w:rFonts w:ascii="Arial" w:eastAsia="Calibri" w:hAnsi="Arial" w:cs="Arial"/>
                <w:sz w:val="20"/>
                <w:szCs w:val="20"/>
                <w:lang w:val="es-ES"/>
              </w:rPr>
              <w:t>De</w:t>
            </w:r>
            <w:r w:rsidRPr="00574B18">
              <w:rPr>
                <w:rFonts w:ascii="Arial" w:eastAsia="Arial" w:hAnsi="Arial" w:cs="Arial"/>
                <w:sz w:val="20"/>
                <w:szCs w:val="20"/>
                <w:lang w:val="es-ES"/>
              </w:rPr>
              <w:t xml:space="preserve"> </w:t>
            </w:r>
            <w:r w:rsidRPr="00574B18">
              <w:rPr>
                <w:rFonts w:ascii="Arial" w:eastAsia="Calibri" w:hAnsi="Arial" w:cs="Arial"/>
                <w:sz w:val="20"/>
                <w:szCs w:val="20"/>
                <w:lang w:val="es-ES"/>
              </w:rPr>
              <w:t>1</w:t>
            </w:r>
            <w:r w:rsidRPr="00574B18">
              <w:rPr>
                <w:rFonts w:ascii="Arial" w:eastAsia="Arial" w:hAnsi="Arial" w:cs="Arial"/>
                <w:sz w:val="20"/>
                <w:szCs w:val="20"/>
                <w:lang w:val="es-ES"/>
              </w:rPr>
              <w:t xml:space="preserve"> </w:t>
            </w:r>
            <w:r w:rsidRPr="00574B18">
              <w:rPr>
                <w:rFonts w:ascii="Arial" w:eastAsia="Calibri" w:hAnsi="Arial" w:cs="Arial"/>
                <w:sz w:val="20"/>
                <w:szCs w:val="20"/>
                <w:lang w:val="es-ES"/>
              </w:rPr>
              <w:t>hasta</w:t>
            </w:r>
            <w:r w:rsidRPr="00574B18">
              <w:rPr>
                <w:rFonts w:ascii="Arial" w:eastAsia="Arial" w:hAnsi="Arial" w:cs="Arial"/>
                <w:sz w:val="20"/>
                <w:szCs w:val="20"/>
                <w:lang w:val="es-ES"/>
              </w:rPr>
              <w:t xml:space="preserve"> </w:t>
            </w:r>
            <w:r w:rsidRPr="00574B18">
              <w:rPr>
                <w:rFonts w:ascii="Arial" w:eastAsia="Calibri" w:hAnsi="Arial" w:cs="Arial"/>
                <w:sz w:val="20"/>
                <w:szCs w:val="20"/>
                <w:lang w:val="es-ES"/>
              </w:rPr>
              <w:t>2</w:t>
            </w:r>
          </w:p>
        </w:tc>
        <w:tc>
          <w:tcPr>
            <w:tcW w:w="4192" w:type="dxa"/>
            <w:tcBorders>
              <w:top w:val="single" w:sz="4" w:space="0" w:color="000000"/>
              <w:left w:val="single" w:sz="4" w:space="0" w:color="000000"/>
              <w:bottom w:val="single" w:sz="4" w:space="0" w:color="000000"/>
              <w:right w:val="double" w:sz="4" w:space="0" w:color="auto"/>
            </w:tcBorders>
            <w:vAlign w:val="center"/>
            <w:hideMark/>
          </w:tcPr>
          <w:p w14:paraId="48CA56C2" w14:textId="77777777" w:rsidR="00574B18" w:rsidRPr="00574B18" w:rsidRDefault="00574B18" w:rsidP="00574B18">
            <w:pPr>
              <w:spacing w:line="276" w:lineRule="auto"/>
              <w:jc w:val="center"/>
              <w:rPr>
                <w:rFonts w:ascii="Arial" w:eastAsia="Arial" w:hAnsi="Arial" w:cs="Arial"/>
                <w:sz w:val="20"/>
                <w:szCs w:val="20"/>
                <w:lang w:val="es-ES"/>
              </w:rPr>
            </w:pPr>
            <w:r w:rsidRPr="00574B18">
              <w:rPr>
                <w:rFonts w:ascii="Arial" w:eastAsia="Calibri" w:hAnsi="Arial" w:cs="Arial"/>
                <w:sz w:val="20"/>
                <w:szCs w:val="20"/>
                <w:lang w:val="es-ES"/>
              </w:rPr>
              <w:t>75%</w:t>
            </w:r>
          </w:p>
        </w:tc>
      </w:tr>
      <w:tr w:rsidR="00574B18" w:rsidRPr="00574B18" w14:paraId="513B8074" w14:textId="77777777" w:rsidTr="00574B18">
        <w:tc>
          <w:tcPr>
            <w:tcW w:w="3055" w:type="dxa"/>
            <w:tcBorders>
              <w:top w:val="single" w:sz="4" w:space="0" w:color="000000"/>
              <w:left w:val="double" w:sz="4" w:space="0" w:color="auto"/>
              <w:bottom w:val="single" w:sz="4" w:space="0" w:color="000000"/>
              <w:right w:val="single" w:sz="4" w:space="0" w:color="000000"/>
            </w:tcBorders>
            <w:vAlign w:val="center"/>
            <w:hideMark/>
          </w:tcPr>
          <w:p w14:paraId="62922FCC" w14:textId="77777777" w:rsidR="00574B18" w:rsidRPr="00574B18" w:rsidRDefault="00574B18" w:rsidP="00574B18">
            <w:pPr>
              <w:spacing w:line="276" w:lineRule="auto"/>
              <w:jc w:val="center"/>
              <w:rPr>
                <w:rFonts w:ascii="Arial" w:eastAsia="Arial" w:hAnsi="Arial" w:cs="Arial"/>
                <w:sz w:val="20"/>
                <w:szCs w:val="20"/>
                <w:lang w:val="es-ES"/>
              </w:rPr>
            </w:pPr>
            <w:r w:rsidRPr="00574B18">
              <w:rPr>
                <w:rFonts w:ascii="Arial" w:eastAsia="Calibri" w:hAnsi="Arial" w:cs="Arial"/>
                <w:sz w:val="20"/>
                <w:szCs w:val="20"/>
                <w:lang w:val="es-ES"/>
              </w:rPr>
              <w:t>De</w:t>
            </w:r>
            <w:r w:rsidRPr="00574B18">
              <w:rPr>
                <w:rFonts w:ascii="Arial" w:eastAsia="Arial" w:hAnsi="Arial" w:cs="Arial"/>
                <w:sz w:val="20"/>
                <w:szCs w:val="20"/>
                <w:lang w:val="es-ES"/>
              </w:rPr>
              <w:t xml:space="preserve"> </w:t>
            </w:r>
            <w:r w:rsidRPr="00574B18">
              <w:rPr>
                <w:rFonts w:ascii="Arial" w:eastAsia="Calibri" w:hAnsi="Arial" w:cs="Arial"/>
                <w:sz w:val="20"/>
                <w:szCs w:val="20"/>
                <w:lang w:val="es-ES"/>
              </w:rPr>
              <w:t>3</w:t>
            </w:r>
            <w:r w:rsidRPr="00574B18">
              <w:rPr>
                <w:rFonts w:ascii="Arial" w:eastAsia="Arial" w:hAnsi="Arial" w:cs="Arial"/>
                <w:sz w:val="20"/>
                <w:szCs w:val="20"/>
                <w:lang w:val="es-ES"/>
              </w:rPr>
              <w:t xml:space="preserve"> </w:t>
            </w:r>
            <w:r w:rsidRPr="00574B18">
              <w:rPr>
                <w:rFonts w:ascii="Arial" w:eastAsia="Calibri" w:hAnsi="Arial" w:cs="Arial"/>
                <w:sz w:val="20"/>
                <w:szCs w:val="20"/>
                <w:lang w:val="es-ES"/>
              </w:rPr>
              <w:t>hasta</w:t>
            </w:r>
            <w:r w:rsidRPr="00574B18">
              <w:rPr>
                <w:rFonts w:ascii="Arial" w:eastAsia="Arial" w:hAnsi="Arial" w:cs="Arial"/>
                <w:sz w:val="20"/>
                <w:szCs w:val="20"/>
                <w:lang w:val="es-ES"/>
              </w:rPr>
              <w:t xml:space="preserve"> </w:t>
            </w:r>
            <w:r w:rsidRPr="00574B18">
              <w:rPr>
                <w:rFonts w:ascii="Arial" w:eastAsia="Calibri" w:hAnsi="Arial" w:cs="Arial"/>
                <w:sz w:val="20"/>
                <w:szCs w:val="20"/>
                <w:lang w:val="es-ES"/>
              </w:rPr>
              <w:t>4</w:t>
            </w:r>
          </w:p>
        </w:tc>
        <w:tc>
          <w:tcPr>
            <w:tcW w:w="4192" w:type="dxa"/>
            <w:tcBorders>
              <w:top w:val="single" w:sz="4" w:space="0" w:color="000000"/>
              <w:left w:val="single" w:sz="4" w:space="0" w:color="000000"/>
              <w:bottom w:val="single" w:sz="4" w:space="0" w:color="000000"/>
              <w:right w:val="double" w:sz="4" w:space="0" w:color="auto"/>
            </w:tcBorders>
            <w:vAlign w:val="center"/>
            <w:hideMark/>
          </w:tcPr>
          <w:p w14:paraId="1D40925B" w14:textId="77777777" w:rsidR="00574B18" w:rsidRPr="00574B18" w:rsidRDefault="00574B18" w:rsidP="00574B18">
            <w:pPr>
              <w:spacing w:line="276" w:lineRule="auto"/>
              <w:jc w:val="center"/>
              <w:rPr>
                <w:rFonts w:ascii="Arial" w:eastAsia="Arial" w:hAnsi="Arial" w:cs="Arial"/>
                <w:sz w:val="20"/>
                <w:szCs w:val="20"/>
                <w:lang w:val="es-ES"/>
              </w:rPr>
            </w:pPr>
            <w:r w:rsidRPr="00574B18">
              <w:rPr>
                <w:rFonts w:ascii="Arial" w:eastAsia="Calibri" w:hAnsi="Arial" w:cs="Arial"/>
                <w:sz w:val="20"/>
                <w:szCs w:val="20"/>
                <w:lang w:val="es-ES"/>
              </w:rPr>
              <w:t>120%</w:t>
            </w:r>
          </w:p>
        </w:tc>
      </w:tr>
      <w:tr w:rsidR="00574B18" w:rsidRPr="00574B18" w14:paraId="49A99CBB" w14:textId="77777777" w:rsidTr="00574B18">
        <w:tc>
          <w:tcPr>
            <w:tcW w:w="3055" w:type="dxa"/>
            <w:tcBorders>
              <w:top w:val="single" w:sz="4" w:space="0" w:color="000000"/>
              <w:left w:val="double" w:sz="4" w:space="0" w:color="auto"/>
              <w:bottom w:val="double" w:sz="4" w:space="0" w:color="auto"/>
              <w:right w:val="single" w:sz="4" w:space="0" w:color="000000"/>
            </w:tcBorders>
            <w:vAlign w:val="center"/>
            <w:hideMark/>
          </w:tcPr>
          <w:p w14:paraId="72BBC259" w14:textId="77777777" w:rsidR="00574B18" w:rsidRPr="00574B18" w:rsidRDefault="00574B18" w:rsidP="00574B18">
            <w:pPr>
              <w:spacing w:line="276" w:lineRule="auto"/>
              <w:jc w:val="center"/>
              <w:rPr>
                <w:rFonts w:ascii="Arial" w:eastAsia="Arial" w:hAnsi="Arial" w:cs="Arial"/>
                <w:sz w:val="20"/>
                <w:szCs w:val="20"/>
                <w:lang w:val="es-ES"/>
              </w:rPr>
            </w:pPr>
            <w:r w:rsidRPr="00574B18">
              <w:rPr>
                <w:rFonts w:ascii="Arial" w:eastAsia="Calibri" w:hAnsi="Arial" w:cs="Arial"/>
                <w:sz w:val="20"/>
                <w:szCs w:val="20"/>
                <w:lang w:val="es-ES"/>
              </w:rPr>
              <w:t>De</w:t>
            </w:r>
            <w:r w:rsidRPr="00574B18">
              <w:rPr>
                <w:rFonts w:ascii="Arial" w:eastAsia="Arial" w:hAnsi="Arial" w:cs="Arial"/>
                <w:sz w:val="20"/>
                <w:szCs w:val="20"/>
                <w:lang w:val="es-ES"/>
              </w:rPr>
              <w:t xml:space="preserve"> </w:t>
            </w:r>
            <w:r w:rsidRPr="00574B18">
              <w:rPr>
                <w:rFonts w:ascii="Arial" w:eastAsia="Calibri" w:hAnsi="Arial" w:cs="Arial"/>
                <w:sz w:val="20"/>
                <w:szCs w:val="20"/>
                <w:lang w:val="es-ES"/>
              </w:rPr>
              <w:t>5</w:t>
            </w:r>
            <w:r w:rsidRPr="00574B18">
              <w:rPr>
                <w:rFonts w:ascii="Arial" w:eastAsia="Arial" w:hAnsi="Arial" w:cs="Arial"/>
                <w:sz w:val="20"/>
                <w:szCs w:val="20"/>
                <w:lang w:val="es-ES"/>
              </w:rPr>
              <w:t xml:space="preserve"> </w:t>
            </w:r>
            <w:r w:rsidRPr="00574B18">
              <w:rPr>
                <w:rFonts w:ascii="Arial" w:eastAsia="Calibri" w:hAnsi="Arial" w:cs="Arial"/>
                <w:sz w:val="20"/>
                <w:szCs w:val="20"/>
                <w:lang w:val="es-ES"/>
              </w:rPr>
              <w:t>hasta</w:t>
            </w:r>
            <w:r w:rsidRPr="00574B18">
              <w:rPr>
                <w:rFonts w:ascii="Arial" w:eastAsia="Arial" w:hAnsi="Arial" w:cs="Arial"/>
                <w:sz w:val="20"/>
                <w:szCs w:val="20"/>
                <w:lang w:val="es-ES"/>
              </w:rPr>
              <w:t xml:space="preserve"> </w:t>
            </w:r>
            <w:r w:rsidRPr="00574B18">
              <w:rPr>
                <w:rFonts w:ascii="Arial" w:eastAsia="Calibri" w:hAnsi="Arial" w:cs="Arial"/>
                <w:sz w:val="20"/>
                <w:szCs w:val="20"/>
                <w:lang w:val="es-ES"/>
              </w:rPr>
              <w:t>6</w:t>
            </w:r>
          </w:p>
        </w:tc>
        <w:tc>
          <w:tcPr>
            <w:tcW w:w="4192" w:type="dxa"/>
            <w:tcBorders>
              <w:top w:val="single" w:sz="4" w:space="0" w:color="000000"/>
              <w:left w:val="single" w:sz="4" w:space="0" w:color="000000"/>
              <w:bottom w:val="double" w:sz="4" w:space="0" w:color="auto"/>
              <w:right w:val="double" w:sz="4" w:space="0" w:color="auto"/>
            </w:tcBorders>
            <w:vAlign w:val="center"/>
            <w:hideMark/>
          </w:tcPr>
          <w:p w14:paraId="281BB2DD" w14:textId="77777777" w:rsidR="00574B18" w:rsidRPr="00574B18" w:rsidRDefault="00574B18" w:rsidP="00574B18">
            <w:pPr>
              <w:spacing w:line="276" w:lineRule="auto"/>
              <w:jc w:val="center"/>
              <w:rPr>
                <w:rFonts w:ascii="Arial" w:eastAsia="Arial" w:hAnsi="Arial" w:cs="Arial"/>
                <w:sz w:val="20"/>
                <w:szCs w:val="20"/>
                <w:lang w:val="es-ES"/>
              </w:rPr>
            </w:pPr>
            <w:r w:rsidRPr="00574B18">
              <w:rPr>
                <w:rFonts w:ascii="Arial" w:eastAsia="Calibri" w:hAnsi="Arial" w:cs="Arial"/>
                <w:sz w:val="20"/>
                <w:szCs w:val="20"/>
                <w:lang w:val="es-ES"/>
              </w:rPr>
              <w:t>150%</w:t>
            </w:r>
          </w:p>
        </w:tc>
      </w:tr>
    </w:tbl>
    <w:p w14:paraId="4D1AD5A6" w14:textId="77777777" w:rsidR="00EA0A25" w:rsidRPr="00166CB8" w:rsidRDefault="00EA0A25" w:rsidP="00EA0A25">
      <w:pPr>
        <w:ind w:left="709" w:right="709"/>
        <w:jc w:val="both"/>
        <w:rPr>
          <w:rFonts w:ascii="Arial" w:hAnsi="Arial" w:cs="Arial"/>
          <w:sz w:val="21"/>
          <w:szCs w:val="21"/>
          <w:lang w:val="es-ES_tradnl"/>
        </w:rPr>
      </w:pPr>
    </w:p>
    <w:p w14:paraId="48BB6012" w14:textId="77777777" w:rsidR="00574B18" w:rsidRDefault="00574B18" w:rsidP="00574B18">
      <w:pPr>
        <w:spacing w:after="160" w:line="259" w:lineRule="auto"/>
        <w:ind w:left="709" w:right="709"/>
        <w:jc w:val="both"/>
        <w:rPr>
          <w:rFonts w:ascii="Arial" w:eastAsia="Calibri" w:hAnsi="Arial" w:cs="Times New Roman"/>
          <w:color w:val="000000"/>
          <w:sz w:val="20"/>
        </w:rPr>
      </w:pPr>
      <w:r w:rsidRPr="00574B18">
        <w:rPr>
          <w:rFonts w:ascii="Arial" w:eastAsia="Calibri" w:hAnsi="Arial" w:cs="Times New Roman"/>
          <w:color w:val="000000"/>
          <w:sz w:val="20"/>
        </w:rPr>
        <w:t>La verificación se hará con base en la sumatoria de los valores totales ejecutados (incluido IVA) en SMMLV de los contratos que cumplan con los requisitos establecidos en este pliego de condiciones.</w:t>
      </w:r>
    </w:p>
    <w:p w14:paraId="4B0238B9" w14:textId="77777777" w:rsidR="00574B18" w:rsidRDefault="00574B18" w:rsidP="00574B18">
      <w:pPr>
        <w:spacing w:after="160" w:line="259" w:lineRule="auto"/>
        <w:ind w:left="709" w:right="709"/>
        <w:jc w:val="both"/>
        <w:rPr>
          <w:rFonts w:ascii="Arial" w:eastAsia="Calibri" w:hAnsi="Arial" w:cs="Times New Roman"/>
          <w:color w:val="000000"/>
          <w:sz w:val="20"/>
        </w:rPr>
      </w:pPr>
      <w:r w:rsidRPr="00574B18">
        <w:rPr>
          <w:rFonts w:ascii="Arial" w:eastAsia="Calibri" w:hAnsi="Arial" w:cs="Times New Roman"/>
          <w:color w:val="000000"/>
          <w:sz w:val="20"/>
        </w:rPr>
        <w:t>El proponente cumple el requisito de experiencia si la sumatoria de los valores totales ejecutados (incluido IVA) de los contratos expresados en SMMLV es mayor o igual al valor mínimo a certificar establecido en la tabla anterior.</w:t>
      </w:r>
    </w:p>
    <w:p w14:paraId="7DDDA9AE" w14:textId="77777777" w:rsidR="00574B18" w:rsidRDefault="00574B18" w:rsidP="00574B18">
      <w:pPr>
        <w:spacing w:after="160" w:line="259" w:lineRule="auto"/>
        <w:ind w:left="709" w:right="709"/>
        <w:jc w:val="both"/>
        <w:rPr>
          <w:rFonts w:ascii="Arial" w:eastAsia="Calibri" w:hAnsi="Arial" w:cs="Times New Roman"/>
          <w:color w:val="000000"/>
          <w:sz w:val="20"/>
        </w:rPr>
      </w:pPr>
      <w:r w:rsidRPr="00574B18">
        <w:rPr>
          <w:rFonts w:ascii="Arial" w:eastAsia="Calibri" w:hAnsi="Arial" w:cs="Times New Roman"/>
          <w:color w:val="000000"/>
          <w:sz w:val="20"/>
        </w:rPr>
        <w:t>En caso de que el número de contratos con los cuales el proponente acredita la experiencia no satisfaga el porcentaje mínimo a certificar establecido en la tabla anterior, se calificará la propuesta como no hábil y el proponente podrá subsanarla en los términos establecidos en la sección 1.6.</w:t>
      </w:r>
    </w:p>
    <w:p w14:paraId="655F9A20" w14:textId="56F86E25" w:rsidR="00EA0A25" w:rsidRDefault="00574B18" w:rsidP="00AE7CD1">
      <w:pPr>
        <w:spacing w:line="259" w:lineRule="auto"/>
        <w:ind w:left="709" w:right="709"/>
        <w:jc w:val="both"/>
        <w:rPr>
          <w:rFonts w:ascii="Arial" w:eastAsia="Calibri" w:hAnsi="Arial" w:cs="Times New Roman"/>
          <w:color w:val="000000"/>
          <w:sz w:val="20"/>
        </w:rPr>
      </w:pPr>
      <w:r w:rsidRPr="00574B18">
        <w:rPr>
          <w:rFonts w:ascii="Arial" w:eastAsia="Calibri" w:hAnsi="Arial" w:cs="Times New Roman"/>
          <w:color w:val="000000"/>
          <w:sz w:val="20"/>
        </w:rPr>
        <w:t>En los procesos estructurados por lotes, el valor mínimo a certificar debe ser con relación al valor del presupuesto oficial del respectivo lote expresado en SMMLV</w:t>
      </w:r>
    </w:p>
    <w:p w14:paraId="13A659DC" w14:textId="77777777" w:rsidR="00AE7CD1" w:rsidRPr="00D8567D" w:rsidRDefault="00AE7CD1" w:rsidP="00EA6DF4">
      <w:pPr>
        <w:spacing w:line="259" w:lineRule="auto"/>
        <w:ind w:left="709" w:right="709"/>
        <w:jc w:val="both"/>
        <w:rPr>
          <w:rFonts w:ascii="Arial" w:eastAsia="Calibri" w:hAnsi="Arial" w:cs="Times New Roman"/>
          <w:color w:val="000000"/>
          <w:sz w:val="20"/>
        </w:rPr>
      </w:pPr>
    </w:p>
    <w:p w14:paraId="59C41F5B" w14:textId="1101B264" w:rsidR="00253F44" w:rsidRPr="00166CB8" w:rsidRDefault="00EA0A25" w:rsidP="00253F44">
      <w:pPr>
        <w:spacing w:after="120" w:line="276" w:lineRule="auto"/>
        <w:ind w:firstLine="709"/>
        <w:jc w:val="both"/>
        <w:rPr>
          <w:rFonts w:ascii="Arial" w:hAnsi="Arial" w:cs="Arial"/>
          <w:sz w:val="22"/>
          <w:shd w:val="clear" w:color="auto" w:fill="FFFFFF"/>
        </w:rPr>
      </w:pPr>
      <w:r w:rsidRPr="00166CB8">
        <w:rPr>
          <w:rFonts w:ascii="Arial" w:hAnsi="Arial" w:cs="Arial"/>
          <w:sz w:val="22"/>
        </w:rPr>
        <w:t xml:space="preserve">Como se </w:t>
      </w:r>
      <w:r w:rsidR="003E2883">
        <w:rPr>
          <w:rFonts w:ascii="Arial" w:hAnsi="Arial" w:cs="Arial"/>
          <w:sz w:val="22"/>
        </w:rPr>
        <w:t>observa</w:t>
      </w:r>
      <w:r w:rsidRPr="00166CB8">
        <w:rPr>
          <w:rFonts w:ascii="Arial" w:hAnsi="Arial" w:cs="Arial"/>
          <w:sz w:val="22"/>
        </w:rPr>
        <w:t xml:space="preserve">, </w:t>
      </w:r>
      <w:r w:rsidR="00660F20" w:rsidRPr="00166CB8">
        <w:rPr>
          <w:rFonts w:ascii="Arial" w:hAnsi="Arial" w:cs="Arial"/>
          <w:sz w:val="22"/>
        </w:rPr>
        <w:t xml:space="preserve">el número de contratos aportados por el proponente debe certificar un valor mínimo correspondiente a un porcentaje del presupuesto oficial del proceso de obra expresado en SMMLV, cuya verificación se hará con base en la sumatoria de los valores totales ejecutados de los contratos que cumplan con los requisitos establecidos en el pliego de condiciones. </w:t>
      </w:r>
      <w:r w:rsidR="00253F44" w:rsidRPr="00166CB8">
        <w:rPr>
          <w:rFonts w:ascii="Arial" w:hAnsi="Arial" w:cs="Arial"/>
          <w:sz w:val="22"/>
        </w:rPr>
        <w:t xml:space="preserve">Para tales efectos, se </w:t>
      </w:r>
      <w:r w:rsidR="00253F44" w:rsidRPr="00166CB8">
        <w:rPr>
          <w:rFonts w:ascii="Arial" w:hAnsi="Arial" w:cs="Arial"/>
          <w:sz w:val="22"/>
          <w:shd w:val="clear" w:color="auto" w:fill="FFFFFF"/>
        </w:rPr>
        <w:t>establecen unas relaciones entre el número de contratos usados para acreditar la experiencia, los valores ejecutados en estos y un valor porcentual mínimo del presupuesto oficial de la obra ofertada que deben superar para que la experiencia sea válida y</w:t>
      </w:r>
      <w:r w:rsidR="003E2883">
        <w:rPr>
          <w:rFonts w:ascii="Arial" w:hAnsi="Arial" w:cs="Arial"/>
          <w:sz w:val="22"/>
          <w:shd w:val="clear" w:color="auto" w:fill="FFFFFF"/>
        </w:rPr>
        <w:t>,</w:t>
      </w:r>
      <w:r w:rsidR="00253F44" w:rsidRPr="00166CB8">
        <w:rPr>
          <w:rFonts w:ascii="Arial" w:hAnsi="Arial" w:cs="Arial"/>
          <w:sz w:val="22"/>
          <w:shd w:val="clear" w:color="auto" w:fill="FFFFFF"/>
        </w:rPr>
        <w:t xml:space="preserve"> en consecuencia, los proponentes puedan habilitarse en lo que a este requisito se refiere.</w:t>
      </w:r>
    </w:p>
    <w:p w14:paraId="4A01619F" w14:textId="159203DE" w:rsidR="00253F44" w:rsidRPr="00166CB8" w:rsidRDefault="00253F44" w:rsidP="00253F44">
      <w:pPr>
        <w:tabs>
          <w:tab w:val="left" w:pos="426"/>
        </w:tabs>
        <w:spacing w:after="120" w:line="276" w:lineRule="auto"/>
        <w:jc w:val="both"/>
        <w:rPr>
          <w:rFonts w:ascii="Arial" w:hAnsi="Arial" w:cs="Arial"/>
          <w:sz w:val="22"/>
          <w:shd w:val="clear" w:color="auto" w:fill="FFFFFF"/>
        </w:rPr>
      </w:pPr>
      <w:r w:rsidRPr="00166CB8">
        <w:rPr>
          <w:rFonts w:ascii="Arial" w:hAnsi="Arial" w:cs="Arial"/>
          <w:sz w:val="22"/>
          <w:shd w:val="clear" w:color="auto" w:fill="FFFFFF"/>
        </w:rPr>
        <w:tab/>
      </w:r>
      <w:r w:rsidRPr="00166CB8">
        <w:rPr>
          <w:rFonts w:ascii="Arial" w:hAnsi="Arial" w:cs="Arial"/>
          <w:sz w:val="22"/>
          <w:shd w:val="clear" w:color="auto" w:fill="FFFFFF"/>
        </w:rPr>
        <w:tab/>
        <w:t>De esta manera se determina que para quienes acrediten experiencia mediante 1 o 2 contratos, la sumatoria de los valores ejecutados en estos–-incluido IVA– debe ser superior al 75% del valor del presupuesto oficial</w:t>
      </w:r>
      <w:r w:rsidR="00B42975">
        <w:rPr>
          <w:rFonts w:ascii="Arial" w:hAnsi="Arial" w:cs="Arial"/>
          <w:sz w:val="22"/>
          <w:shd w:val="clear" w:color="auto" w:fill="FFFFFF"/>
        </w:rPr>
        <w:t>. Por otra parte, si la acredita mediante</w:t>
      </w:r>
      <w:r w:rsidRPr="00166CB8">
        <w:rPr>
          <w:rFonts w:ascii="Arial" w:hAnsi="Arial" w:cs="Arial"/>
          <w:sz w:val="22"/>
          <w:shd w:val="clear" w:color="auto" w:fill="FFFFFF"/>
        </w:rPr>
        <w:t xml:space="preserve"> 3 a 4 contratos, </w:t>
      </w:r>
      <w:r w:rsidR="003E2883">
        <w:rPr>
          <w:rFonts w:ascii="Arial" w:hAnsi="Arial" w:cs="Arial"/>
          <w:sz w:val="22"/>
          <w:shd w:val="clear" w:color="auto" w:fill="FFFFFF"/>
        </w:rPr>
        <w:t>l</w:t>
      </w:r>
      <w:r w:rsidRPr="00166CB8">
        <w:rPr>
          <w:rFonts w:ascii="Arial" w:hAnsi="Arial" w:cs="Arial"/>
          <w:sz w:val="22"/>
          <w:shd w:val="clear" w:color="auto" w:fill="FFFFFF"/>
        </w:rPr>
        <w:t xml:space="preserve">a sumatoria de los valores ejecutados debe ser superior al 120% del valor del </w:t>
      </w:r>
      <w:r w:rsidRPr="00166CB8">
        <w:rPr>
          <w:rFonts w:ascii="Arial" w:hAnsi="Arial" w:cs="Arial"/>
          <w:sz w:val="22"/>
          <w:shd w:val="clear" w:color="auto" w:fill="FFFFFF"/>
        </w:rPr>
        <w:lastRenderedPageBreak/>
        <w:t>presupuesto oficial</w:t>
      </w:r>
      <w:r w:rsidR="00B42975">
        <w:rPr>
          <w:rFonts w:ascii="Arial" w:hAnsi="Arial" w:cs="Arial"/>
          <w:sz w:val="22"/>
          <w:shd w:val="clear" w:color="auto" w:fill="FFFFFF"/>
        </w:rPr>
        <w:t>. Finalmente, si la acredita con</w:t>
      </w:r>
      <w:r w:rsidRPr="00166CB8">
        <w:rPr>
          <w:rFonts w:ascii="Arial" w:hAnsi="Arial" w:cs="Arial"/>
          <w:sz w:val="22"/>
          <w:shd w:val="clear" w:color="auto" w:fill="FFFFFF"/>
        </w:rPr>
        <w:t xml:space="preserve"> 5 a 6 contratos</w:t>
      </w:r>
      <w:r w:rsidR="003E2883">
        <w:rPr>
          <w:rFonts w:ascii="Arial" w:hAnsi="Arial" w:cs="Arial"/>
          <w:sz w:val="22"/>
          <w:shd w:val="clear" w:color="auto" w:fill="FFFFFF"/>
        </w:rPr>
        <w:t>,</w:t>
      </w:r>
      <w:r w:rsidRPr="00166CB8">
        <w:rPr>
          <w:rFonts w:ascii="Arial" w:hAnsi="Arial" w:cs="Arial"/>
          <w:sz w:val="22"/>
          <w:shd w:val="clear" w:color="auto" w:fill="FFFFFF"/>
        </w:rPr>
        <w:t xml:space="preserve"> </w:t>
      </w:r>
      <w:r w:rsidR="00B42975">
        <w:rPr>
          <w:rFonts w:ascii="Arial" w:hAnsi="Arial" w:cs="Arial"/>
          <w:sz w:val="22"/>
          <w:shd w:val="clear" w:color="auto" w:fill="FFFFFF"/>
        </w:rPr>
        <w:t>l</w:t>
      </w:r>
      <w:r w:rsidR="00B42975" w:rsidRPr="00166CB8">
        <w:rPr>
          <w:rFonts w:ascii="Arial" w:hAnsi="Arial" w:cs="Arial"/>
          <w:sz w:val="22"/>
          <w:shd w:val="clear" w:color="auto" w:fill="FFFFFF"/>
        </w:rPr>
        <w:t>a sumatoria de los valores ejecutados</w:t>
      </w:r>
      <w:r w:rsidR="00B42975" w:rsidRPr="00166CB8" w:rsidDel="00B42975">
        <w:rPr>
          <w:rFonts w:ascii="Arial" w:hAnsi="Arial" w:cs="Arial"/>
          <w:sz w:val="22"/>
          <w:shd w:val="clear" w:color="auto" w:fill="FFFFFF"/>
        </w:rPr>
        <w:t xml:space="preserve"> </w:t>
      </w:r>
      <w:r w:rsidRPr="00166CB8">
        <w:rPr>
          <w:rFonts w:ascii="Arial" w:hAnsi="Arial" w:cs="Arial"/>
          <w:sz w:val="22"/>
          <w:shd w:val="clear" w:color="auto" w:fill="FFFFFF"/>
        </w:rPr>
        <w:t xml:space="preserve">debe ser superior al 150% del valor del presupuesto oficial. </w:t>
      </w:r>
    </w:p>
    <w:p w14:paraId="68DF5BB8" w14:textId="37C73F87" w:rsidR="00253F44" w:rsidRPr="00166CB8" w:rsidRDefault="00253F44" w:rsidP="00253F44">
      <w:pPr>
        <w:tabs>
          <w:tab w:val="left" w:pos="426"/>
        </w:tabs>
        <w:spacing w:after="120" w:line="276" w:lineRule="auto"/>
        <w:jc w:val="both"/>
        <w:rPr>
          <w:rFonts w:ascii="Arial" w:hAnsi="Arial" w:cs="Arial"/>
          <w:sz w:val="22"/>
          <w:shd w:val="clear" w:color="auto" w:fill="FFFFFF"/>
        </w:rPr>
      </w:pPr>
      <w:r w:rsidRPr="00166CB8">
        <w:rPr>
          <w:rFonts w:ascii="Arial" w:hAnsi="Arial" w:cs="Arial"/>
          <w:sz w:val="22"/>
          <w:shd w:val="clear" w:color="auto" w:fill="FFFFFF"/>
        </w:rPr>
        <w:tab/>
      </w:r>
      <w:r w:rsidRPr="00166CB8">
        <w:rPr>
          <w:rFonts w:ascii="Arial" w:hAnsi="Arial" w:cs="Arial"/>
          <w:sz w:val="22"/>
          <w:shd w:val="clear" w:color="auto" w:fill="FFFFFF"/>
        </w:rPr>
        <w:tab/>
        <w:t xml:space="preserve">Conforme a esto, el número de los contratos para acreditar la experiencia condiciona el valor mínimo que deben </w:t>
      </w:r>
      <w:r w:rsidR="00B42975">
        <w:rPr>
          <w:rFonts w:ascii="Arial" w:hAnsi="Arial" w:cs="Arial"/>
          <w:sz w:val="22"/>
          <w:shd w:val="clear" w:color="auto" w:fill="FFFFFF"/>
        </w:rPr>
        <w:t>certificar</w:t>
      </w:r>
      <w:r w:rsidRPr="00166CB8">
        <w:rPr>
          <w:rFonts w:ascii="Arial" w:hAnsi="Arial" w:cs="Arial"/>
          <w:sz w:val="22"/>
          <w:shd w:val="clear" w:color="auto" w:fill="FFFFFF"/>
        </w:rPr>
        <w:t xml:space="preserve"> para el correspondiente requisito </w:t>
      </w:r>
      <w:r w:rsidR="00B42975">
        <w:rPr>
          <w:rFonts w:ascii="Arial" w:hAnsi="Arial" w:cs="Arial"/>
          <w:sz w:val="22"/>
          <w:shd w:val="clear" w:color="auto" w:fill="FFFFFF"/>
        </w:rPr>
        <w:t>habilitante</w:t>
      </w:r>
      <w:r w:rsidRPr="00166CB8">
        <w:rPr>
          <w:rFonts w:ascii="Arial" w:hAnsi="Arial" w:cs="Arial"/>
          <w:sz w:val="22"/>
          <w:shd w:val="clear" w:color="auto" w:fill="FFFFFF"/>
        </w:rPr>
        <w:t xml:space="preserve">. Si una vez sumados los valores ejecutados de los contratos aportados, el resultado es inferior al valor porcentual aplicable a la cantidad de contratos empleados, no </w:t>
      </w:r>
      <w:r w:rsidR="00B42975">
        <w:rPr>
          <w:rFonts w:ascii="Arial" w:hAnsi="Arial" w:cs="Arial"/>
          <w:sz w:val="22"/>
          <w:shd w:val="clear" w:color="auto" w:fill="FFFFFF"/>
        </w:rPr>
        <w:t>es</w:t>
      </w:r>
      <w:r w:rsidRPr="00166CB8">
        <w:rPr>
          <w:rFonts w:ascii="Arial" w:hAnsi="Arial" w:cs="Arial"/>
          <w:sz w:val="22"/>
          <w:shd w:val="clear" w:color="auto" w:fill="FFFFFF"/>
        </w:rPr>
        <w:t xml:space="preserve"> posible habilitar al proponente.  </w:t>
      </w:r>
    </w:p>
    <w:p w14:paraId="671091D0" w14:textId="77777777" w:rsidR="006F3E41" w:rsidRDefault="001B34BA" w:rsidP="00253F44">
      <w:pPr>
        <w:tabs>
          <w:tab w:val="left" w:pos="426"/>
        </w:tabs>
        <w:spacing w:after="120" w:line="276" w:lineRule="auto"/>
        <w:jc w:val="both"/>
        <w:rPr>
          <w:rFonts w:ascii="Arial" w:hAnsi="Arial" w:cs="Arial"/>
          <w:sz w:val="22"/>
          <w:shd w:val="clear" w:color="auto" w:fill="FFFFFF"/>
        </w:rPr>
      </w:pPr>
      <w:r w:rsidRPr="00166CB8">
        <w:rPr>
          <w:rFonts w:ascii="Arial" w:hAnsi="Arial" w:cs="Arial"/>
          <w:sz w:val="22"/>
          <w:shd w:val="clear" w:color="auto" w:fill="FFFFFF"/>
        </w:rPr>
        <w:tab/>
      </w:r>
      <w:r w:rsidR="006F2E13" w:rsidRPr="00166CB8">
        <w:rPr>
          <w:rFonts w:ascii="Arial" w:hAnsi="Arial" w:cs="Arial"/>
          <w:sz w:val="22"/>
          <w:shd w:val="clear" w:color="auto" w:fill="FFFFFF"/>
        </w:rPr>
        <w:tab/>
      </w:r>
      <w:r w:rsidRPr="00166CB8">
        <w:rPr>
          <w:rFonts w:ascii="Arial" w:hAnsi="Arial" w:cs="Arial"/>
          <w:sz w:val="22"/>
          <w:shd w:val="clear" w:color="auto" w:fill="FFFFFF"/>
        </w:rPr>
        <w:t>Ahora bien, como apunta l</w:t>
      </w:r>
      <w:r w:rsidR="006F3E41">
        <w:rPr>
          <w:rFonts w:ascii="Arial" w:hAnsi="Arial" w:cs="Arial"/>
          <w:sz w:val="22"/>
          <w:shd w:val="clear" w:color="auto" w:fill="FFFFFF"/>
        </w:rPr>
        <w:t>a</w:t>
      </w:r>
      <w:r w:rsidRPr="00166CB8">
        <w:rPr>
          <w:rFonts w:ascii="Arial" w:hAnsi="Arial" w:cs="Arial"/>
          <w:sz w:val="22"/>
          <w:shd w:val="clear" w:color="auto" w:fill="FFFFFF"/>
        </w:rPr>
        <w:t xml:space="preserve"> peticionari</w:t>
      </w:r>
      <w:r w:rsidR="006F3E41">
        <w:rPr>
          <w:rFonts w:ascii="Arial" w:hAnsi="Arial" w:cs="Arial"/>
          <w:sz w:val="22"/>
          <w:shd w:val="clear" w:color="auto" w:fill="FFFFFF"/>
        </w:rPr>
        <w:t>a</w:t>
      </w:r>
      <w:r w:rsidRPr="00166CB8">
        <w:rPr>
          <w:rFonts w:ascii="Arial" w:hAnsi="Arial" w:cs="Arial"/>
          <w:sz w:val="22"/>
          <w:shd w:val="clear" w:color="auto" w:fill="FFFFFF"/>
        </w:rPr>
        <w:t xml:space="preserve">, </w:t>
      </w:r>
      <w:r w:rsidR="00D8567D">
        <w:rPr>
          <w:rFonts w:ascii="Arial" w:hAnsi="Arial" w:cs="Arial"/>
          <w:sz w:val="22"/>
          <w:shd w:val="clear" w:color="auto" w:fill="FFFFFF"/>
        </w:rPr>
        <w:t xml:space="preserve">el documento base de </w:t>
      </w:r>
      <w:r w:rsidR="00B42975" w:rsidRPr="00166CB8">
        <w:rPr>
          <w:rFonts w:ascii="Arial" w:hAnsi="Arial" w:cs="Arial"/>
          <w:sz w:val="22"/>
          <w:shd w:val="clear" w:color="auto" w:fill="FFFFFF"/>
        </w:rPr>
        <w:t>la Versión 3</w:t>
      </w:r>
      <w:r w:rsidR="00B42975">
        <w:rPr>
          <w:rFonts w:ascii="Arial" w:hAnsi="Arial" w:cs="Arial"/>
          <w:sz w:val="22"/>
          <w:shd w:val="clear" w:color="auto" w:fill="FFFFFF"/>
        </w:rPr>
        <w:t xml:space="preserve"> </w:t>
      </w:r>
      <w:r w:rsidR="00B42975" w:rsidRPr="00166CB8">
        <w:rPr>
          <w:rFonts w:ascii="Arial" w:hAnsi="Arial" w:cs="Arial"/>
          <w:sz w:val="22"/>
          <w:shd w:val="clear" w:color="auto" w:fill="FFFFFF"/>
        </w:rPr>
        <w:t>–literal D, numeral 3.5.3</w:t>
      </w:r>
      <w:r w:rsidR="00B42975" w:rsidRPr="00166CB8">
        <w:rPr>
          <w:rStyle w:val="Refdenotaalpie"/>
          <w:rFonts w:ascii="Arial" w:hAnsi="Arial" w:cs="Arial"/>
          <w:sz w:val="22"/>
          <w:shd w:val="clear" w:color="auto" w:fill="FFFFFF"/>
        </w:rPr>
        <w:footnoteReference w:id="5"/>
      </w:r>
      <w:r w:rsidR="00B42975" w:rsidRPr="00166CB8">
        <w:rPr>
          <w:rFonts w:ascii="Arial" w:hAnsi="Arial" w:cs="Arial"/>
          <w:sz w:val="22"/>
          <w:shd w:val="clear" w:color="auto" w:fill="FFFFFF"/>
        </w:rPr>
        <w:t>–</w:t>
      </w:r>
      <w:r w:rsidR="00B42975">
        <w:rPr>
          <w:rFonts w:ascii="Arial" w:hAnsi="Arial" w:cs="Arial"/>
          <w:sz w:val="22"/>
          <w:shd w:val="clear" w:color="auto" w:fill="FFFFFF"/>
        </w:rPr>
        <w:t xml:space="preserve"> </w:t>
      </w:r>
      <w:r w:rsidRPr="00166CB8">
        <w:rPr>
          <w:rFonts w:ascii="Arial" w:hAnsi="Arial" w:cs="Arial"/>
          <w:sz w:val="22"/>
          <w:shd w:val="clear" w:color="auto" w:fill="FFFFFF"/>
        </w:rPr>
        <w:t xml:space="preserve">de los documentos tipo de licitación de obra </w:t>
      </w:r>
      <w:r w:rsidR="003C14EA" w:rsidRPr="00166CB8">
        <w:rPr>
          <w:rFonts w:ascii="Arial" w:hAnsi="Arial" w:cs="Arial"/>
          <w:sz w:val="22"/>
          <w:shd w:val="clear" w:color="auto" w:fill="FFFFFF"/>
        </w:rPr>
        <w:t xml:space="preserve">pública de infraestructura de transporte, </w:t>
      </w:r>
      <w:r w:rsidR="00B42975">
        <w:rPr>
          <w:rFonts w:ascii="Arial" w:hAnsi="Arial" w:cs="Arial"/>
          <w:sz w:val="22"/>
          <w:shd w:val="clear" w:color="auto" w:fill="FFFFFF"/>
        </w:rPr>
        <w:t>dispone que cuando se trate de proponentes plurales</w:t>
      </w:r>
      <w:r w:rsidR="00D8567D">
        <w:rPr>
          <w:rFonts w:ascii="Arial" w:hAnsi="Arial" w:cs="Arial"/>
          <w:sz w:val="22"/>
          <w:shd w:val="clear" w:color="auto" w:fill="FFFFFF"/>
        </w:rPr>
        <w:t xml:space="preserve"> i)</w:t>
      </w:r>
      <w:r w:rsidR="00B42975">
        <w:rPr>
          <w:rFonts w:ascii="Arial" w:hAnsi="Arial" w:cs="Arial"/>
          <w:sz w:val="22"/>
          <w:shd w:val="clear" w:color="auto" w:fill="FFFFFF"/>
        </w:rPr>
        <w:t xml:space="preserve"> uno de sus integrantes</w:t>
      </w:r>
      <w:r w:rsidR="003C14EA" w:rsidRPr="00166CB8">
        <w:rPr>
          <w:rFonts w:ascii="Arial" w:hAnsi="Arial" w:cs="Arial"/>
          <w:sz w:val="22"/>
          <w:shd w:val="clear" w:color="auto" w:fill="FFFFFF"/>
        </w:rPr>
        <w:t xml:space="preserve"> deberá</w:t>
      </w:r>
      <w:r w:rsidR="006F2E13" w:rsidRPr="00166CB8">
        <w:rPr>
          <w:rFonts w:ascii="Arial" w:hAnsi="Arial" w:cs="Arial"/>
          <w:sz w:val="22"/>
          <w:shd w:val="clear" w:color="auto" w:fill="FFFFFF"/>
        </w:rPr>
        <w:t xml:space="preserve"> aport</w:t>
      </w:r>
      <w:r w:rsidR="00B42975">
        <w:rPr>
          <w:rFonts w:ascii="Arial" w:hAnsi="Arial" w:cs="Arial"/>
          <w:sz w:val="22"/>
          <w:shd w:val="clear" w:color="auto" w:fill="FFFFFF"/>
        </w:rPr>
        <w:t>ar</w:t>
      </w:r>
      <w:r w:rsidR="006F2E13" w:rsidRPr="00166CB8">
        <w:rPr>
          <w:rFonts w:ascii="Arial" w:hAnsi="Arial" w:cs="Arial"/>
          <w:sz w:val="22"/>
          <w:shd w:val="clear" w:color="auto" w:fill="FFFFFF"/>
        </w:rPr>
        <w:t xml:space="preserve"> como mínimo el 50% de la experiencia requerida</w:t>
      </w:r>
      <w:r w:rsidR="00D8567D">
        <w:rPr>
          <w:rFonts w:ascii="Arial" w:hAnsi="Arial" w:cs="Arial"/>
          <w:sz w:val="22"/>
          <w:shd w:val="clear" w:color="auto" w:fill="FFFFFF"/>
        </w:rPr>
        <w:t>; ii) los demás integrante deban acreditar por lo menos el 5% de la experiencia exigida: y iii) sin perjuicio de lo anterior solo uno de los integrantes, podrá no acreditar experiencia, siempre y cuando el porcentaje de participación de este último no supere el 5%</w:t>
      </w:r>
      <w:r w:rsidR="006F2E13" w:rsidRPr="00166CB8">
        <w:rPr>
          <w:rFonts w:ascii="Arial" w:hAnsi="Arial" w:cs="Arial"/>
          <w:sz w:val="22"/>
          <w:shd w:val="clear" w:color="auto" w:fill="FFFFFF"/>
        </w:rPr>
        <w:t xml:space="preserve">. </w:t>
      </w:r>
    </w:p>
    <w:p w14:paraId="22AAE503" w14:textId="493AB4AF" w:rsidR="000D3114" w:rsidRDefault="006F2E13" w:rsidP="006F3E41">
      <w:pPr>
        <w:tabs>
          <w:tab w:val="left" w:pos="426"/>
        </w:tabs>
        <w:spacing w:after="120" w:line="276" w:lineRule="auto"/>
        <w:ind w:firstLine="709"/>
        <w:jc w:val="both"/>
        <w:rPr>
          <w:rFonts w:ascii="Arial" w:hAnsi="Arial" w:cs="Arial"/>
          <w:sz w:val="22"/>
          <w:shd w:val="clear" w:color="auto" w:fill="FFFFFF"/>
        </w:rPr>
      </w:pPr>
      <w:r w:rsidRPr="00166CB8">
        <w:rPr>
          <w:rFonts w:ascii="Arial" w:hAnsi="Arial" w:cs="Arial"/>
          <w:sz w:val="22"/>
          <w:shd w:val="clear" w:color="auto" w:fill="FFFFFF"/>
        </w:rPr>
        <w:t xml:space="preserve">Sobre el particular se indaga </w:t>
      </w:r>
      <w:r w:rsidR="00D8567D">
        <w:rPr>
          <w:rFonts w:ascii="Arial" w:hAnsi="Arial" w:cs="Arial"/>
          <w:sz w:val="22"/>
          <w:shd w:val="clear" w:color="auto" w:fill="FFFFFF"/>
        </w:rPr>
        <w:t xml:space="preserve">si es posible que uno de los integrantes que aporta el 5% de la experiencia requerida, pueda tener una participación del 50% en la estructura plural. </w:t>
      </w:r>
      <w:r w:rsidR="00AE7CD1">
        <w:rPr>
          <w:rFonts w:ascii="Arial" w:hAnsi="Arial" w:cs="Arial"/>
          <w:sz w:val="22"/>
          <w:shd w:val="clear" w:color="auto" w:fill="FFFFFF"/>
        </w:rPr>
        <w:t>Ante</w:t>
      </w:r>
      <w:r w:rsidR="00D8567D">
        <w:rPr>
          <w:rFonts w:ascii="Arial" w:hAnsi="Arial" w:cs="Arial"/>
          <w:sz w:val="22"/>
          <w:shd w:val="clear" w:color="auto" w:fill="FFFFFF"/>
        </w:rPr>
        <w:t xml:space="preserve"> este evento, nótese que el literal D del numeral 3.5.3 del Documento Base</w:t>
      </w:r>
      <w:r w:rsidR="000D3114">
        <w:rPr>
          <w:rFonts w:ascii="Arial" w:hAnsi="Arial" w:cs="Arial"/>
          <w:sz w:val="22"/>
          <w:shd w:val="clear" w:color="auto" w:fill="FFFFFF"/>
        </w:rPr>
        <w:t xml:space="preserve"> no</w:t>
      </w:r>
      <w:r w:rsidR="00D8567D">
        <w:rPr>
          <w:rFonts w:ascii="Arial" w:hAnsi="Arial" w:cs="Arial"/>
          <w:sz w:val="22"/>
          <w:shd w:val="clear" w:color="auto" w:fill="FFFFFF"/>
        </w:rPr>
        <w:t xml:space="preserve"> </w:t>
      </w:r>
      <w:r w:rsidR="000D3114">
        <w:rPr>
          <w:rFonts w:ascii="Arial" w:hAnsi="Arial" w:cs="Arial"/>
          <w:sz w:val="22"/>
          <w:shd w:val="clear" w:color="auto" w:fill="FFFFFF"/>
        </w:rPr>
        <w:t xml:space="preserve">establece un umbral máximo de participación cuando uno de los integrantes aporta el 5% de la experiencia, contrario a lo que ocurre en el caso del integrante que no aporta experiencia, evento en el que el Documento Base dispone que su participación en la estructura plural no puede superar el 5%. En consecuencia, al no existir un umbral de participación para el integrante que aporta el 5% de la experiencia, se considera viable que este pueda tener una participación del 50% en la estructura plural. </w:t>
      </w:r>
      <w:r w:rsidR="00111BD7">
        <w:rPr>
          <w:rFonts w:ascii="Arial" w:hAnsi="Arial" w:cs="Arial"/>
          <w:sz w:val="22"/>
          <w:shd w:val="clear" w:color="auto" w:fill="FFFFFF"/>
        </w:rPr>
        <w:t xml:space="preserve"> No </w:t>
      </w:r>
      <w:proofErr w:type="gramStart"/>
      <w:r w:rsidR="00111BD7">
        <w:rPr>
          <w:rFonts w:ascii="Arial" w:hAnsi="Arial" w:cs="Arial"/>
          <w:sz w:val="22"/>
          <w:shd w:val="clear" w:color="auto" w:fill="FFFFFF"/>
        </w:rPr>
        <w:t>obstante</w:t>
      </w:r>
      <w:proofErr w:type="gramEnd"/>
      <w:r w:rsidR="00111BD7">
        <w:rPr>
          <w:rFonts w:ascii="Arial" w:hAnsi="Arial" w:cs="Arial"/>
          <w:sz w:val="22"/>
          <w:shd w:val="clear" w:color="auto" w:fill="FFFFFF"/>
        </w:rPr>
        <w:t xml:space="preserve"> para que ello sea posible</w:t>
      </w:r>
      <w:r w:rsidR="00D7500E">
        <w:rPr>
          <w:rFonts w:ascii="Arial" w:hAnsi="Arial" w:cs="Arial"/>
          <w:sz w:val="22"/>
          <w:shd w:val="clear" w:color="auto" w:fill="FFFFFF"/>
        </w:rPr>
        <w:t>, es necesario que</w:t>
      </w:r>
      <w:r w:rsidR="00F0339E">
        <w:rPr>
          <w:rFonts w:ascii="Arial" w:hAnsi="Arial" w:cs="Arial"/>
          <w:sz w:val="22"/>
          <w:shd w:val="clear" w:color="auto" w:fill="FFFFFF"/>
        </w:rPr>
        <w:t xml:space="preserve"> en dicho proponente plural exista</w:t>
      </w:r>
      <w:r w:rsidR="00701ED9">
        <w:rPr>
          <w:rFonts w:ascii="Arial" w:hAnsi="Arial" w:cs="Arial"/>
          <w:sz w:val="22"/>
          <w:shd w:val="clear" w:color="auto" w:fill="FFFFFF"/>
        </w:rPr>
        <w:t xml:space="preserve"> otro proponente que aporte el 50% de la experiencia requerida, en la medida que esta es una de las condiciones establecidas en el referido literal.  </w:t>
      </w:r>
    </w:p>
    <w:p w14:paraId="209E296B" w14:textId="1B972E22" w:rsidR="000D3114" w:rsidRPr="00166CB8" w:rsidRDefault="000D3114" w:rsidP="006F3E41">
      <w:pPr>
        <w:tabs>
          <w:tab w:val="left" w:pos="426"/>
        </w:tabs>
        <w:spacing w:after="120" w:line="276" w:lineRule="auto"/>
        <w:ind w:firstLine="709"/>
        <w:jc w:val="both"/>
        <w:rPr>
          <w:rFonts w:ascii="Arial" w:hAnsi="Arial" w:cs="Arial"/>
          <w:sz w:val="22"/>
          <w:shd w:val="clear" w:color="auto" w:fill="FFFFFF"/>
        </w:rPr>
      </w:pPr>
      <w:r>
        <w:rPr>
          <w:rFonts w:ascii="Arial" w:hAnsi="Arial" w:cs="Arial"/>
          <w:sz w:val="22"/>
          <w:shd w:val="clear" w:color="auto" w:fill="FFFFFF"/>
        </w:rPr>
        <w:t>Por otro lado, la peticionaria pregunta si el cálculo del porcentaje de</w:t>
      </w:r>
      <w:r w:rsidR="00EA10C4">
        <w:rPr>
          <w:rFonts w:ascii="Arial" w:hAnsi="Arial" w:cs="Arial"/>
          <w:sz w:val="22"/>
          <w:shd w:val="clear" w:color="auto" w:fill="FFFFFF"/>
        </w:rPr>
        <w:t>l 5% de la</w:t>
      </w:r>
      <w:r>
        <w:rPr>
          <w:rFonts w:ascii="Arial" w:hAnsi="Arial" w:cs="Arial"/>
          <w:sz w:val="22"/>
          <w:shd w:val="clear" w:color="auto" w:fill="FFFFFF"/>
        </w:rPr>
        <w:t xml:space="preserve"> experiencia exigida para</w:t>
      </w:r>
      <w:r w:rsidR="00EA10C4">
        <w:rPr>
          <w:rFonts w:ascii="Arial" w:hAnsi="Arial" w:cs="Arial"/>
          <w:sz w:val="22"/>
          <w:shd w:val="clear" w:color="auto" w:fill="FFFFFF"/>
        </w:rPr>
        <w:t xml:space="preserve"> uno de los integrantes</w:t>
      </w:r>
      <w:r>
        <w:rPr>
          <w:rFonts w:ascii="Arial" w:hAnsi="Arial" w:cs="Arial"/>
          <w:sz w:val="22"/>
          <w:shd w:val="clear" w:color="auto" w:fill="FFFFFF"/>
        </w:rPr>
        <w:t xml:space="preserve"> </w:t>
      </w:r>
      <w:r w:rsidR="00EA10C4">
        <w:rPr>
          <w:rFonts w:ascii="Arial" w:hAnsi="Arial" w:cs="Arial"/>
          <w:sz w:val="22"/>
          <w:shd w:val="clear" w:color="auto" w:fill="FFFFFF"/>
        </w:rPr>
        <w:t xml:space="preserve">del </w:t>
      </w:r>
      <w:r>
        <w:rPr>
          <w:rFonts w:ascii="Arial" w:hAnsi="Arial" w:cs="Arial"/>
          <w:sz w:val="22"/>
          <w:shd w:val="clear" w:color="auto" w:fill="FFFFFF"/>
        </w:rPr>
        <w:t xml:space="preserve">proponente plural debe realizarse en SMMLV o si también debe incluirse la cantidad de longitud exigida para dicho cálculo. Sobre </w:t>
      </w:r>
      <w:r>
        <w:rPr>
          <w:rFonts w:ascii="Arial" w:hAnsi="Arial" w:cs="Arial"/>
          <w:sz w:val="22"/>
          <w:shd w:val="clear" w:color="auto" w:fill="FFFFFF"/>
        </w:rPr>
        <w:lastRenderedPageBreak/>
        <w:t xml:space="preserve">esto, </w:t>
      </w:r>
      <w:r w:rsidR="00701ED9">
        <w:rPr>
          <w:rFonts w:ascii="Arial" w:hAnsi="Arial" w:cs="Arial"/>
          <w:sz w:val="22"/>
          <w:shd w:val="clear" w:color="auto" w:fill="FFFFFF"/>
        </w:rPr>
        <w:t xml:space="preserve">se advierte </w:t>
      </w:r>
      <w:r>
        <w:rPr>
          <w:rFonts w:ascii="Arial" w:hAnsi="Arial" w:cs="Arial"/>
          <w:sz w:val="22"/>
          <w:shd w:val="clear" w:color="auto" w:fill="FFFFFF"/>
        </w:rPr>
        <w:t xml:space="preserve">que la evaluación de experiencia debe hacerse en función de un valor porcentual del presupuesto oficial de la obra aplicable al proponente de conformidad con el numeral 3.5.8. del Documento Base de </w:t>
      </w:r>
      <w:r w:rsidR="00701ED9">
        <w:rPr>
          <w:rFonts w:ascii="Arial" w:hAnsi="Arial" w:cs="Arial"/>
          <w:sz w:val="22"/>
          <w:shd w:val="clear" w:color="auto" w:fill="FFFFFF"/>
        </w:rPr>
        <w:t>l</w:t>
      </w:r>
      <w:r>
        <w:rPr>
          <w:rFonts w:ascii="Arial" w:hAnsi="Arial" w:cs="Arial"/>
          <w:sz w:val="22"/>
          <w:shd w:val="clear" w:color="auto" w:fill="FFFFFF"/>
        </w:rPr>
        <w:t>icitación de obra pública de transporte</w:t>
      </w:r>
      <w:r w:rsidR="00701ED9">
        <w:rPr>
          <w:rFonts w:ascii="Arial" w:hAnsi="Arial" w:cs="Arial"/>
          <w:sz w:val="22"/>
          <w:shd w:val="clear" w:color="auto" w:fill="FFFFFF"/>
        </w:rPr>
        <w:t xml:space="preserve"> –</w:t>
      </w:r>
      <w:r>
        <w:rPr>
          <w:rFonts w:ascii="Arial" w:hAnsi="Arial" w:cs="Arial"/>
          <w:sz w:val="22"/>
          <w:shd w:val="clear" w:color="auto" w:fill="FFFFFF"/>
        </w:rPr>
        <w:t xml:space="preserve"> </w:t>
      </w:r>
      <w:r w:rsidR="00701ED9">
        <w:rPr>
          <w:rFonts w:ascii="Arial" w:hAnsi="Arial" w:cs="Arial"/>
          <w:sz w:val="22"/>
          <w:shd w:val="clear" w:color="auto" w:fill="FFFFFF"/>
        </w:rPr>
        <w:t>versión 3</w:t>
      </w:r>
      <w:r w:rsidR="00EA10C4">
        <w:rPr>
          <w:rFonts w:ascii="Arial" w:hAnsi="Arial" w:cs="Arial"/>
          <w:sz w:val="22"/>
          <w:shd w:val="clear" w:color="auto" w:fill="FFFFFF"/>
        </w:rPr>
        <w:t>. Sobre este punto, se considera necesario precisar que el numeral 3.5.8. dispone que el valor porcentual del presupuesto oficial se debe calcular en SMMLV, descartando la posibilidad que el cálculo de la experiencia se realice con base a otros conceptos como la longitud de obra construida</w:t>
      </w:r>
      <w:r w:rsidR="003A1DCF">
        <w:rPr>
          <w:rFonts w:ascii="Arial" w:hAnsi="Arial" w:cs="Arial"/>
          <w:sz w:val="22"/>
          <w:shd w:val="clear" w:color="auto" w:fill="FFFFFF"/>
        </w:rPr>
        <w:t xml:space="preserve">. </w:t>
      </w:r>
      <w:r w:rsidR="00EA10C4">
        <w:rPr>
          <w:rFonts w:ascii="Arial" w:hAnsi="Arial" w:cs="Arial"/>
          <w:sz w:val="22"/>
          <w:shd w:val="clear" w:color="auto" w:fill="FFFFFF"/>
        </w:rPr>
        <w:t>E</w:t>
      </w:r>
      <w:r w:rsidR="003A1DCF">
        <w:rPr>
          <w:rFonts w:ascii="Arial" w:hAnsi="Arial" w:cs="Arial"/>
          <w:sz w:val="22"/>
          <w:shd w:val="clear" w:color="auto" w:fill="FFFFFF"/>
        </w:rPr>
        <w:t>n el caso que nos ocupa</w:t>
      </w:r>
      <w:r w:rsidR="00EA10C4">
        <w:rPr>
          <w:rFonts w:ascii="Arial" w:hAnsi="Arial" w:cs="Arial"/>
          <w:sz w:val="22"/>
          <w:shd w:val="clear" w:color="auto" w:fill="FFFFFF"/>
        </w:rPr>
        <w:t>, el 5% de la experiencia requerida se debe calcular</w:t>
      </w:r>
      <w:r w:rsidR="003A1DCF">
        <w:rPr>
          <w:rFonts w:ascii="Arial" w:hAnsi="Arial" w:cs="Arial"/>
          <w:sz w:val="22"/>
          <w:shd w:val="clear" w:color="auto" w:fill="FFFFFF"/>
        </w:rPr>
        <w:t xml:space="preserve"> – en SMMLV -</w:t>
      </w:r>
      <w:r w:rsidR="00EA10C4">
        <w:rPr>
          <w:rFonts w:ascii="Arial" w:hAnsi="Arial" w:cs="Arial"/>
          <w:sz w:val="22"/>
          <w:shd w:val="clear" w:color="auto" w:fill="FFFFFF"/>
        </w:rPr>
        <w:t xml:space="preserve"> respecto al porcentaje del presupuesto oficial de acuerdo con el número de contratos aportados para acreditar la experiencia.</w:t>
      </w:r>
    </w:p>
    <w:p w14:paraId="765676C1" w14:textId="77777777" w:rsidR="00EA10C4" w:rsidRDefault="006F2E13" w:rsidP="00EA10C4">
      <w:pPr>
        <w:pStyle w:val="xmsonormal"/>
        <w:spacing w:after="120" w:line="276" w:lineRule="auto"/>
        <w:jc w:val="both"/>
      </w:pPr>
      <w:r w:rsidRPr="00166CB8">
        <w:rPr>
          <w:rFonts w:ascii="Arial" w:hAnsi="Arial" w:cs="Arial"/>
          <w:sz w:val="22"/>
          <w:shd w:val="clear" w:color="auto" w:fill="FFFFFF"/>
        </w:rPr>
        <w:tab/>
      </w:r>
      <w:r w:rsidR="00EA10C4">
        <w:rPr>
          <w:rFonts w:ascii="Arial" w:hAnsi="Arial" w:cs="Arial"/>
          <w:color w:val="000000"/>
          <w:sz w:val="22"/>
          <w:szCs w:val="22"/>
          <w:shd w:val="clear" w:color="auto" w:fill="FFFFFF"/>
          <w:lang w:val="es-ES"/>
        </w:rPr>
        <w:t xml:space="preserve">Por ejemplo, si un proponente plural conformado por dos integrantes aporta 1 o 2 contratos en una licitación con un presupuesto oficial de 100 SMMLV, se debe acreditar un valor ejecutado superior a 75 SMMLV, siendo el integrante que aporta el 5% de la experiencia el que deba acreditar un valor ejecutado superior a 3.75 SMMLV y el otro integrante deba acreditar un valor ejecutado de 71,25 SMMLV para poder cumplir con la experiencia requerida. </w:t>
      </w:r>
    </w:p>
    <w:p w14:paraId="06F1C005" w14:textId="11D189D9" w:rsidR="00E6465A" w:rsidRPr="003A1DCF" w:rsidRDefault="00EA10C4" w:rsidP="003A1DCF">
      <w:pPr>
        <w:pStyle w:val="xmsonormal"/>
        <w:spacing w:after="120" w:line="276" w:lineRule="auto"/>
        <w:ind w:firstLine="708"/>
        <w:jc w:val="both"/>
      </w:pPr>
      <w:r>
        <w:rPr>
          <w:rFonts w:ascii="Arial" w:hAnsi="Arial" w:cs="Arial"/>
          <w:color w:val="000000"/>
          <w:sz w:val="22"/>
          <w:szCs w:val="22"/>
          <w:shd w:val="clear" w:color="auto" w:fill="FFFFFF"/>
          <w:lang w:val="es-ES"/>
        </w:rPr>
        <w:t>No obstante,</w:t>
      </w:r>
      <w:r w:rsidR="003A1DCF">
        <w:rPr>
          <w:rFonts w:ascii="Arial" w:hAnsi="Arial" w:cs="Arial"/>
          <w:color w:val="000000"/>
          <w:sz w:val="22"/>
          <w:szCs w:val="22"/>
          <w:shd w:val="clear" w:color="auto" w:fill="FFFFFF"/>
          <w:lang w:val="es-ES"/>
        </w:rPr>
        <w:t xml:space="preserve"> es necesario recordar que</w:t>
      </w:r>
      <w:r>
        <w:rPr>
          <w:rFonts w:ascii="Arial" w:hAnsi="Arial" w:cs="Arial"/>
          <w:color w:val="000000"/>
          <w:sz w:val="22"/>
          <w:szCs w:val="22"/>
          <w:shd w:val="clear" w:color="auto" w:fill="FFFFFF"/>
          <w:lang w:val="es-ES"/>
        </w:rPr>
        <w:t xml:space="preserve"> los contratos que se aporten deben cumplir con las especificaciones de experiencia determinadas por la entidad estatal en la Matriz 1- Experiencia, pues de lo contrario, estos contratos no podrán ser valorados por la entidad estatal para establecer si cumple con el valor mínimo exigible del numeral 3.5.8 del Documento Base</w:t>
      </w:r>
      <w:r w:rsidR="003A1DCF">
        <w:rPr>
          <w:rFonts w:ascii="Arial" w:hAnsi="Arial" w:cs="Arial"/>
          <w:color w:val="000000"/>
          <w:sz w:val="22"/>
          <w:szCs w:val="22"/>
          <w:shd w:val="clear" w:color="auto" w:fill="FFFFFF"/>
          <w:lang w:val="es-ES"/>
        </w:rPr>
        <w:t xml:space="preserve"> de los Documentos Tipo de licitación de obra pública de infraestructura de transporte </w:t>
      </w:r>
      <w:r w:rsidR="009B68E5">
        <w:rPr>
          <w:rFonts w:ascii="Arial" w:hAnsi="Arial" w:cs="Arial"/>
          <w:color w:val="000000"/>
          <w:sz w:val="22"/>
          <w:szCs w:val="22"/>
          <w:shd w:val="clear" w:color="auto" w:fill="FFFFFF"/>
          <w:lang w:val="es-ES"/>
        </w:rPr>
        <w:t>– versión 3</w:t>
      </w:r>
      <w:r w:rsidR="003A1DCF">
        <w:rPr>
          <w:rFonts w:ascii="Arial" w:hAnsi="Arial" w:cs="Arial"/>
          <w:color w:val="000000"/>
          <w:sz w:val="22"/>
          <w:szCs w:val="22"/>
          <w:shd w:val="clear" w:color="auto" w:fill="FFFFFF"/>
          <w:lang w:val="es-ES"/>
        </w:rPr>
        <w:t>.</w:t>
      </w:r>
    </w:p>
    <w:p w14:paraId="6B0FEA3B" w14:textId="77777777" w:rsidR="008138A0" w:rsidRPr="00166CB8" w:rsidRDefault="008138A0" w:rsidP="00D62DFA">
      <w:pPr>
        <w:pStyle w:val="Prrafodelista"/>
        <w:numPr>
          <w:ilvl w:val="0"/>
          <w:numId w:val="6"/>
        </w:numPr>
        <w:tabs>
          <w:tab w:val="left" w:pos="284"/>
        </w:tabs>
        <w:ind w:left="0" w:firstLine="0"/>
        <w:rPr>
          <w:rFonts w:ascii="Arial" w:hAnsi="Arial" w:cs="Arial"/>
          <w:b/>
          <w:bCs/>
          <w:sz w:val="22"/>
          <w:lang w:val="es-CO"/>
        </w:rPr>
      </w:pPr>
      <w:r w:rsidRPr="00166CB8">
        <w:rPr>
          <w:rFonts w:ascii="Arial" w:hAnsi="Arial" w:cs="Arial"/>
          <w:b/>
          <w:bCs/>
          <w:sz w:val="22"/>
          <w:lang w:val="es-CO"/>
        </w:rPr>
        <w:t xml:space="preserve">Respuesta </w:t>
      </w:r>
    </w:p>
    <w:p w14:paraId="01D15F76" w14:textId="75020A9E" w:rsidR="00D62DFA" w:rsidRDefault="00D62DFA" w:rsidP="00D62DFA">
      <w:pPr>
        <w:spacing w:line="276" w:lineRule="auto"/>
        <w:ind w:right="51"/>
        <w:jc w:val="both"/>
        <w:rPr>
          <w:rFonts w:ascii="Arial" w:eastAsia="Calibri" w:hAnsi="Arial" w:cs="Arial"/>
          <w:sz w:val="22"/>
          <w:lang w:val="es-ES"/>
        </w:rPr>
      </w:pPr>
    </w:p>
    <w:p w14:paraId="7121004C" w14:textId="0C7ECD43" w:rsidR="009B68E5" w:rsidRPr="003A1DCF" w:rsidRDefault="009B68E5">
      <w:pPr>
        <w:spacing w:after="120"/>
        <w:ind w:left="709" w:right="709"/>
        <w:jc w:val="both"/>
        <w:rPr>
          <w:rFonts w:ascii="Arial" w:eastAsia="Calibri" w:hAnsi="Arial" w:cs="Arial"/>
          <w:sz w:val="21"/>
          <w:szCs w:val="21"/>
          <w:lang w:val="es-ES"/>
        </w:rPr>
      </w:pPr>
      <w:r w:rsidRPr="009B68E5">
        <w:rPr>
          <w:rFonts w:ascii="Arial" w:eastAsia="Calibri" w:hAnsi="Arial" w:cs="Arial"/>
          <w:sz w:val="21"/>
          <w:szCs w:val="21"/>
          <w:lang w:val="es-ES"/>
        </w:rPr>
        <w:t xml:space="preserve">i) ¿el proponente que aporta el cinco por ciento (5%) de la experiencia puede tener un porcentaje de participación del cincuenta por ciento (50%) en el consorcio?; y ii) ¿la experiencia del integrante que aporta el cinco por ciento (5%) se acredita con el valor de los contratos en SMMLV? o ¿también se aplica a la longitud de obra exigida como requisito de experiencia </w:t>
      </w:r>
      <w:proofErr w:type="gramStart"/>
      <w:r w:rsidRPr="009B68E5">
        <w:rPr>
          <w:rFonts w:ascii="Arial" w:eastAsia="Calibri" w:hAnsi="Arial" w:cs="Arial"/>
          <w:sz w:val="21"/>
          <w:szCs w:val="21"/>
          <w:lang w:val="es-ES"/>
        </w:rPr>
        <w:t>especifica?.</w:t>
      </w:r>
      <w:proofErr w:type="gramEnd"/>
    </w:p>
    <w:p w14:paraId="1D87923E" w14:textId="77777777" w:rsidR="001F34EC" w:rsidRPr="00166CB8" w:rsidRDefault="001F34EC" w:rsidP="00EA6DF4">
      <w:pPr>
        <w:ind w:left="709" w:right="709"/>
        <w:jc w:val="both"/>
        <w:rPr>
          <w:rFonts w:ascii="Arial" w:eastAsia="Calibri" w:hAnsi="Arial" w:cs="Arial"/>
          <w:sz w:val="22"/>
          <w:lang w:val="es-ES"/>
        </w:rPr>
      </w:pPr>
    </w:p>
    <w:p w14:paraId="5B76A6B4" w14:textId="4CC1191D" w:rsidR="004B7051" w:rsidRDefault="009B68E5" w:rsidP="00B821D0">
      <w:pPr>
        <w:spacing w:after="120" w:line="276" w:lineRule="auto"/>
        <w:jc w:val="both"/>
        <w:rPr>
          <w:rFonts w:ascii="Arial" w:eastAsia="Calibri" w:hAnsi="Arial" w:cs="Arial"/>
          <w:sz w:val="22"/>
          <w:lang w:val="es-ES"/>
        </w:rPr>
      </w:pPr>
      <w:r>
        <w:rPr>
          <w:rFonts w:ascii="Arial" w:eastAsia="Calibri" w:hAnsi="Arial" w:cs="Arial"/>
          <w:sz w:val="22"/>
          <w:lang w:val="es-ES"/>
        </w:rPr>
        <w:t>Conforme a lo expuesto</w:t>
      </w:r>
      <w:r w:rsidR="004B7051">
        <w:rPr>
          <w:rFonts w:ascii="Arial" w:eastAsia="Calibri" w:hAnsi="Arial" w:cs="Arial"/>
          <w:sz w:val="22"/>
          <w:lang w:val="es-ES"/>
        </w:rPr>
        <w:t>, el literal D del numeral 3.5.3. del Documento Base de licitación de obra pública de transporte</w:t>
      </w:r>
      <w:r>
        <w:rPr>
          <w:rFonts w:ascii="Arial" w:eastAsia="Calibri" w:hAnsi="Arial" w:cs="Arial"/>
          <w:sz w:val="22"/>
          <w:lang w:val="es-ES"/>
        </w:rPr>
        <w:t xml:space="preserve"> – versión 3</w:t>
      </w:r>
      <w:r w:rsidR="004B7051">
        <w:rPr>
          <w:rFonts w:ascii="Arial" w:eastAsia="Calibri" w:hAnsi="Arial" w:cs="Arial"/>
          <w:sz w:val="22"/>
          <w:lang w:val="es-ES"/>
        </w:rPr>
        <w:t xml:space="preserve">, no establece un umbral máximo de participación en el proponente plural para el integrante que pretende acreditar el 5% de la experiencia requerida. Esto implica que es viable que un integrante de un proponente plural pueda tener un porcentaje de participación del 50% siempre que acredite el mínimo de experiencia requerida. </w:t>
      </w:r>
    </w:p>
    <w:p w14:paraId="01C0F69B" w14:textId="786D78D2" w:rsidR="00597E8D" w:rsidRPr="00166CB8" w:rsidRDefault="004B7051" w:rsidP="00EA6DF4">
      <w:pPr>
        <w:spacing w:after="120" w:line="276" w:lineRule="auto"/>
        <w:ind w:firstLine="708"/>
        <w:jc w:val="both"/>
        <w:rPr>
          <w:rFonts w:ascii="Arial" w:eastAsia="Calibri" w:hAnsi="Arial" w:cs="Arial"/>
          <w:sz w:val="22"/>
          <w:lang w:val="es-ES"/>
        </w:rPr>
      </w:pPr>
      <w:r>
        <w:rPr>
          <w:rFonts w:ascii="Arial" w:eastAsia="Calibri" w:hAnsi="Arial" w:cs="Arial"/>
          <w:sz w:val="22"/>
          <w:lang w:val="es-ES"/>
        </w:rPr>
        <w:t>Por otro lado, l</w:t>
      </w:r>
      <w:r w:rsidR="00B821D0" w:rsidRPr="00166CB8">
        <w:rPr>
          <w:rFonts w:ascii="Arial" w:eastAsia="Calibri" w:hAnsi="Arial" w:cs="Arial"/>
          <w:sz w:val="22"/>
          <w:lang w:val="es-ES"/>
        </w:rPr>
        <w:t xml:space="preserve">a exigencia </w:t>
      </w:r>
      <w:r w:rsidR="001F34EC">
        <w:rPr>
          <w:rFonts w:ascii="Arial" w:eastAsia="Calibri" w:hAnsi="Arial" w:cs="Arial"/>
          <w:sz w:val="22"/>
          <w:lang w:val="es-ES"/>
        </w:rPr>
        <w:t>d</w:t>
      </w:r>
      <w:r w:rsidR="00B821D0" w:rsidRPr="00166CB8">
        <w:rPr>
          <w:rFonts w:ascii="Arial" w:eastAsia="Calibri" w:hAnsi="Arial" w:cs="Arial"/>
          <w:sz w:val="22"/>
          <w:lang w:val="es-ES"/>
        </w:rPr>
        <w:t>el literal D del numeral «3.5.</w:t>
      </w:r>
      <w:r w:rsidR="00597E8D">
        <w:rPr>
          <w:rFonts w:ascii="Arial" w:eastAsia="Calibri" w:hAnsi="Arial" w:cs="Arial"/>
          <w:sz w:val="22"/>
          <w:lang w:val="es-ES"/>
        </w:rPr>
        <w:t>3</w:t>
      </w:r>
      <w:r w:rsidR="00B821D0" w:rsidRPr="00166CB8">
        <w:rPr>
          <w:rFonts w:ascii="Arial" w:eastAsia="Calibri" w:hAnsi="Arial" w:cs="Arial"/>
          <w:sz w:val="22"/>
          <w:lang w:val="es-ES"/>
        </w:rPr>
        <w:t>. Consideraciones para la validez de la experiencia requerida» del Documento Base de licitación de obra pública de infraestructura de transporte</w:t>
      </w:r>
      <w:r w:rsidR="007E78DB">
        <w:rPr>
          <w:rFonts w:ascii="Arial" w:eastAsia="Calibri" w:hAnsi="Arial" w:cs="Arial"/>
          <w:sz w:val="22"/>
          <w:lang w:val="es-ES"/>
        </w:rPr>
        <w:t xml:space="preserve"> –</w:t>
      </w:r>
      <w:r w:rsidR="00B821D0" w:rsidRPr="00166CB8">
        <w:rPr>
          <w:rFonts w:ascii="Arial" w:eastAsia="Calibri" w:hAnsi="Arial" w:cs="Arial"/>
          <w:sz w:val="22"/>
          <w:lang w:val="es-ES"/>
        </w:rPr>
        <w:t xml:space="preserve"> </w:t>
      </w:r>
      <w:r w:rsidR="007E78DB">
        <w:rPr>
          <w:rFonts w:ascii="Arial" w:eastAsia="Calibri" w:hAnsi="Arial" w:cs="Arial"/>
          <w:sz w:val="22"/>
          <w:lang w:val="es-ES"/>
        </w:rPr>
        <w:t>v</w:t>
      </w:r>
      <w:r w:rsidR="00B821D0" w:rsidRPr="00166CB8">
        <w:rPr>
          <w:rFonts w:ascii="Arial" w:eastAsia="Calibri" w:hAnsi="Arial" w:cs="Arial"/>
          <w:sz w:val="22"/>
          <w:lang w:val="es-ES"/>
        </w:rPr>
        <w:t xml:space="preserve">ersión </w:t>
      </w:r>
      <w:r w:rsidR="00597E8D">
        <w:rPr>
          <w:rFonts w:ascii="Arial" w:eastAsia="Calibri" w:hAnsi="Arial" w:cs="Arial"/>
          <w:sz w:val="22"/>
          <w:lang w:val="es-ES"/>
        </w:rPr>
        <w:t>3</w:t>
      </w:r>
      <w:r w:rsidR="00B821D0" w:rsidRPr="00166CB8">
        <w:rPr>
          <w:rFonts w:ascii="Arial" w:eastAsia="Calibri" w:hAnsi="Arial" w:cs="Arial"/>
          <w:sz w:val="22"/>
          <w:lang w:val="es-ES"/>
        </w:rPr>
        <w:t>–, relativa a que, tratándose de proponentes plurales, uno de</w:t>
      </w:r>
      <w:r w:rsidR="00597E8D">
        <w:rPr>
          <w:rFonts w:ascii="Arial" w:eastAsia="Calibri" w:hAnsi="Arial" w:cs="Arial"/>
          <w:sz w:val="22"/>
          <w:lang w:val="es-ES"/>
        </w:rPr>
        <w:t xml:space="preserve"> los</w:t>
      </w:r>
      <w:r w:rsidR="00B821D0" w:rsidRPr="00166CB8">
        <w:rPr>
          <w:rFonts w:ascii="Arial" w:eastAsia="Calibri" w:hAnsi="Arial" w:cs="Arial"/>
          <w:sz w:val="22"/>
          <w:lang w:val="es-ES"/>
        </w:rPr>
        <w:t xml:space="preserve"> </w:t>
      </w:r>
      <w:r w:rsidR="00DE3414">
        <w:rPr>
          <w:rFonts w:ascii="Arial" w:eastAsia="Calibri" w:hAnsi="Arial" w:cs="Arial"/>
          <w:sz w:val="22"/>
          <w:lang w:val="es-ES"/>
        </w:rPr>
        <w:t xml:space="preserve">integrantes debe </w:t>
      </w:r>
      <w:r w:rsidR="00B821D0" w:rsidRPr="00166CB8">
        <w:rPr>
          <w:rFonts w:ascii="Arial" w:eastAsia="Calibri" w:hAnsi="Arial" w:cs="Arial"/>
          <w:sz w:val="22"/>
          <w:lang w:val="es-ES"/>
        </w:rPr>
        <w:t>aportar por lo menos 50% de la experiencia exigida</w:t>
      </w:r>
      <w:r w:rsidR="00597E8D">
        <w:rPr>
          <w:rFonts w:ascii="Arial" w:eastAsia="Calibri" w:hAnsi="Arial" w:cs="Arial"/>
          <w:sz w:val="22"/>
          <w:lang w:val="es-ES"/>
        </w:rPr>
        <w:t xml:space="preserve"> y los demás mínimo el 5% de la experiencia, sin perjuicio de que uno de los integrantes no </w:t>
      </w:r>
      <w:r w:rsidR="00597E8D">
        <w:rPr>
          <w:rFonts w:ascii="Arial" w:eastAsia="Calibri" w:hAnsi="Arial" w:cs="Arial"/>
          <w:sz w:val="22"/>
          <w:lang w:val="es-ES"/>
        </w:rPr>
        <w:lastRenderedPageBreak/>
        <w:t>acredite experiencia cuando su participación en la estructura plural no supera el 5%,</w:t>
      </w:r>
      <w:r w:rsidR="00B821D0" w:rsidRPr="00166CB8">
        <w:rPr>
          <w:rFonts w:ascii="Arial" w:eastAsia="Calibri" w:hAnsi="Arial" w:cs="Arial"/>
          <w:sz w:val="22"/>
          <w:lang w:val="es-ES"/>
        </w:rPr>
        <w:t xml:space="preserve"> debe interpretarse de acuerdo </w:t>
      </w:r>
      <w:r w:rsidR="00597E8D">
        <w:rPr>
          <w:rFonts w:ascii="Arial" w:eastAsia="Calibri" w:hAnsi="Arial" w:cs="Arial"/>
          <w:sz w:val="22"/>
          <w:lang w:val="es-ES"/>
        </w:rPr>
        <w:t>con</w:t>
      </w:r>
      <w:r w:rsidR="00B821D0" w:rsidRPr="00166CB8">
        <w:rPr>
          <w:rFonts w:ascii="Arial" w:eastAsia="Calibri" w:hAnsi="Arial" w:cs="Arial"/>
          <w:sz w:val="22"/>
          <w:lang w:val="es-ES"/>
        </w:rPr>
        <w:t xml:space="preserve"> literal C </w:t>
      </w:r>
      <w:r w:rsidR="00597E8D">
        <w:rPr>
          <w:rFonts w:ascii="Arial" w:eastAsia="Calibri" w:hAnsi="Arial" w:cs="Arial"/>
          <w:sz w:val="22"/>
          <w:lang w:val="es-ES"/>
        </w:rPr>
        <w:t>del numeral</w:t>
      </w:r>
      <w:r w:rsidR="00B821D0" w:rsidRPr="00166CB8">
        <w:rPr>
          <w:rFonts w:ascii="Arial" w:eastAsia="Calibri" w:hAnsi="Arial" w:cs="Arial"/>
          <w:sz w:val="22"/>
          <w:lang w:val="es-ES"/>
        </w:rPr>
        <w:t xml:space="preserve"> 3.5.2 de est</w:t>
      </w:r>
      <w:r w:rsidR="00597E8D">
        <w:rPr>
          <w:rFonts w:ascii="Arial" w:eastAsia="Calibri" w:hAnsi="Arial" w:cs="Arial"/>
          <w:sz w:val="22"/>
          <w:lang w:val="es-ES"/>
        </w:rPr>
        <w:t>e</w:t>
      </w:r>
      <w:r w:rsidR="00B821D0" w:rsidRPr="00166CB8">
        <w:rPr>
          <w:rFonts w:ascii="Arial" w:eastAsia="Calibri" w:hAnsi="Arial" w:cs="Arial"/>
          <w:sz w:val="22"/>
          <w:lang w:val="es-ES"/>
        </w:rPr>
        <w:t xml:space="preserve"> document</w:t>
      </w:r>
      <w:r w:rsidR="00597E8D">
        <w:rPr>
          <w:rFonts w:ascii="Arial" w:eastAsia="Calibri" w:hAnsi="Arial" w:cs="Arial"/>
          <w:sz w:val="22"/>
          <w:lang w:val="es-ES"/>
        </w:rPr>
        <w:t>o</w:t>
      </w:r>
      <w:r w:rsidR="00B821D0" w:rsidRPr="00166CB8">
        <w:rPr>
          <w:rFonts w:ascii="Arial" w:eastAsia="Calibri" w:hAnsi="Arial" w:cs="Arial"/>
          <w:sz w:val="22"/>
          <w:lang w:val="es-ES"/>
        </w:rPr>
        <w:t>.</w:t>
      </w:r>
    </w:p>
    <w:p w14:paraId="6A4947F2" w14:textId="665B489E" w:rsidR="004B7051" w:rsidRDefault="001A736A" w:rsidP="00EA6DF4">
      <w:pPr>
        <w:spacing w:after="120" w:line="276" w:lineRule="auto"/>
        <w:ind w:firstLine="708"/>
        <w:jc w:val="both"/>
        <w:rPr>
          <w:rFonts w:ascii="Arial" w:eastAsia="Calibri" w:hAnsi="Arial" w:cs="Arial"/>
          <w:sz w:val="22"/>
          <w:lang w:val="es-ES"/>
        </w:rPr>
      </w:pPr>
      <w:r>
        <w:rPr>
          <w:rFonts w:ascii="Arial" w:eastAsia="Calibri" w:hAnsi="Arial" w:cs="Arial"/>
          <w:sz w:val="22"/>
          <w:lang w:val="es-ES"/>
        </w:rPr>
        <w:t>En consecuencia</w:t>
      </w:r>
      <w:r w:rsidR="00B821D0" w:rsidRPr="00166CB8">
        <w:rPr>
          <w:rFonts w:ascii="Arial" w:eastAsia="Calibri" w:hAnsi="Arial" w:cs="Arial"/>
          <w:sz w:val="22"/>
          <w:lang w:val="es-ES"/>
        </w:rPr>
        <w:t xml:space="preserve">, cuando </w:t>
      </w:r>
      <w:r w:rsidR="00597E8D">
        <w:rPr>
          <w:rFonts w:ascii="Arial" w:eastAsia="Calibri" w:hAnsi="Arial" w:cs="Arial"/>
          <w:sz w:val="22"/>
          <w:lang w:val="es-ES"/>
        </w:rPr>
        <w:t>el literal</w:t>
      </w:r>
      <w:r w:rsidR="00B821D0" w:rsidRPr="00166CB8">
        <w:rPr>
          <w:rFonts w:ascii="Arial" w:eastAsia="Calibri" w:hAnsi="Arial" w:cs="Arial"/>
          <w:sz w:val="22"/>
          <w:lang w:val="es-ES"/>
        </w:rPr>
        <w:t xml:space="preserve"> D de</w:t>
      </w:r>
      <w:r w:rsidR="00597E8D">
        <w:rPr>
          <w:rFonts w:ascii="Arial" w:eastAsia="Calibri" w:hAnsi="Arial" w:cs="Arial"/>
          <w:sz w:val="22"/>
          <w:lang w:val="es-ES"/>
        </w:rPr>
        <w:t>l numeral</w:t>
      </w:r>
      <w:r w:rsidR="00B821D0" w:rsidRPr="00166CB8">
        <w:rPr>
          <w:rFonts w:ascii="Arial" w:eastAsia="Calibri" w:hAnsi="Arial" w:cs="Arial"/>
          <w:sz w:val="22"/>
          <w:lang w:val="es-ES"/>
        </w:rPr>
        <w:t xml:space="preserve"> 3.5.3 </w:t>
      </w:r>
      <w:r>
        <w:rPr>
          <w:rFonts w:ascii="Arial" w:eastAsia="Calibri" w:hAnsi="Arial" w:cs="Arial"/>
          <w:sz w:val="22"/>
          <w:lang w:val="es-ES"/>
        </w:rPr>
        <w:t>se</w:t>
      </w:r>
      <w:r w:rsidRPr="00166CB8">
        <w:rPr>
          <w:rFonts w:ascii="Arial" w:eastAsia="Calibri" w:hAnsi="Arial" w:cs="Arial"/>
          <w:sz w:val="22"/>
          <w:lang w:val="es-ES"/>
        </w:rPr>
        <w:t xml:space="preserve"> ref</w:t>
      </w:r>
      <w:r>
        <w:rPr>
          <w:rFonts w:ascii="Arial" w:eastAsia="Calibri" w:hAnsi="Arial" w:cs="Arial"/>
          <w:sz w:val="22"/>
          <w:lang w:val="es-ES"/>
        </w:rPr>
        <w:t>iere</w:t>
      </w:r>
      <w:r w:rsidRPr="00166CB8">
        <w:rPr>
          <w:rFonts w:ascii="Arial" w:eastAsia="Calibri" w:hAnsi="Arial" w:cs="Arial"/>
          <w:sz w:val="22"/>
          <w:lang w:val="es-ES"/>
        </w:rPr>
        <w:t xml:space="preserve"> </w:t>
      </w:r>
      <w:r w:rsidR="00B821D0" w:rsidRPr="00166CB8">
        <w:rPr>
          <w:rFonts w:ascii="Arial" w:eastAsia="Calibri" w:hAnsi="Arial" w:cs="Arial"/>
          <w:sz w:val="22"/>
          <w:lang w:val="es-ES"/>
        </w:rPr>
        <w:t>al 5% de la experiencia exigida, est</w:t>
      </w:r>
      <w:r w:rsidR="0099306D">
        <w:rPr>
          <w:rFonts w:ascii="Arial" w:eastAsia="Calibri" w:hAnsi="Arial" w:cs="Arial"/>
          <w:sz w:val="22"/>
          <w:lang w:val="es-ES"/>
        </w:rPr>
        <w:t>a</w:t>
      </w:r>
      <w:r w:rsidR="00B821D0" w:rsidRPr="00166CB8">
        <w:rPr>
          <w:rFonts w:ascii="Arial" w:eastAsia="Calibri" w:hAnsi="Arial" w:cs="Arial"/>
          <w:sz w:val="22"/>
          <w:lang w:val="es-ES"/>
        </w:rPr>
        <w:t xml:space="preserve"> debe calcularse respecto de la equivalencia del valor porcentual del presupuesto oficial</w:t>
      </w:r>
      <w:r w:rsidR="004B7051">
        <w:rPr>
          <w:rFonts w:ascii="Arial" w:eastAsia="Calibri" w:hAnsi="Arial" w:cs="Arial"/>
          <w:sz w:val="22"/>
          <w:lang w:val="es-ES"/>
        </w:rPr>
        <w:t xml:space="preserve"> -expresado en SMMLV-</w:t>
      </w:r>
      <w:r w:rsidR="00B821D0" w:rsidRPr="00166CB8">
        <w:rPr>
          <w:rFonts w:ascii="Arial" w:eastAsia="Calibri" w:hAnsi="Arial" w:cs="Arial"/>
          <w:sz w:val="22"/>
          <w:lang w:val="es-ES"/>
        </w:rPr>
        <w:t xml:space="preserve">, que conforme al número de contratos aportados para acreditar la experiencia es aplicable al respectivo proponente. </w:t>
      </w:r>
      <w:r w:rsidR="00615EE8">
        <w:rPr>
          <w:rFonts w:ascii="Arial" w:eastAsia="Calibri" w:hAnsi="Arial" w:cs="Arial"/>
          <w:sz w:val="22"/>
          <w:lang w:val="es-ES"/>
        </w:rPr>
        <w:t>En ese sentido, los porcentajes a los que se refiere el literal D del numeral 3.5.3 del Documento Base, deben calcularse sobre la experiencia tasada en SMM</w:t>
      </w:r>
      <w:r w:rsidR="0006082D">
        <w:rPr>
          <w:rFonts w:ascii="Arial" w:eastAsia="Calibri" w:hAnsi="Arial" w:cs="Arial"/>
          <w:sz w:val="22"/>
          <w:lang w:val="es-ES"/>
        </w:rPr>
        <w:t>LV</w:t>
      </w:r>
      <w:r w:rsidR="00615EE8">
        <w:rPr>
          <w:rFonts w:ascii="Arial" w:eastAsia="Calibri" w:hAnsi="Arial" w:cs="Arial"/>
          <w:sz w:val="22"/>
          <w:lang w:val="es-ES"/>
        </w:rPr>
        <w:t xml:space="preserve"> que le corresponda acreditar al proponente</w:t>
      </w:r>
      <w:r w:rsidR="00D25A16">
        <w:rPr>
          <w:rFonts w:ascii="Arial" w:eastAsia="Calibri" w:hAnsi="Arial" w:cs="Arial"/>
          <w:sz w:val="22"/>
          <w:lang w:val="es-ES"/>
        </w:rPr>
        <w:t xml:space="preserve"> de acuerdo con el numeral 3.5.8 del Documento Base</w:t>
      </w:r>
      <w:r w:rsidR="00615EE8">
        <w:rPr>
          <w:rFonts w:ascii="Arial" w:eastAsia="Calibri" w:hAnsi="Arial" w:cs="Arial"/>
          <w:sz w:val="22"/>
          <w:lang w:val="es-ES"/>
        </w:rPr>
        <w:t xml:space="preserve"> en función de la cantidad de contratos que emplee para cumplir el requisito</w:t>
      </w:r>
      <w:r w:rsidR="00D25A16">
        <w:rPr>
          <w:rFonts w:ascii="Arial" w:eastAsia="Calibri" w:hAnsi="Arial" w:cs="Arial"/>
          <w:sz w:val="22"/>
          <w:lang w:val="es-ES"/>
        </w:rPr>
        <w:t xml:space="preserve"> de experiencia general.</w:t>
      </w:r>
      <w:r w:rsidR="00615EE8">
        <w:rPr>
          <w:rFonts w:ascii="Arial" w:eastAsia="Calibri" w:hAnsi="Arial" w:cs="Arial"/>
          <w:sz w:val="22"/>
          <w:lang w:val="es-ES"/>
        </w:rPr>
        <w:t xml:space="preserve"> </w:t>
      </w:r>
      <w:r w:rsidR="00E62E17">
        <w:rPr>
          <w:rFonts w:ascii="Arial" w:eastAsia="Calibri" w:hAnsi="Arial" w:cs="Arial"/>
          <w:sz w:val="22"/>
          <w:lang w:val="es-ES"/>
        </w:rPr>
        <w:t xml:space="preserve">Tales </w:t>
      </w:r>
      <w:r w:rsidR="00D25A16">
        <w:rPr>
          <w:rFonts w:ascii="Arial" w:eastAsia="Calibri" w:hAnsi="Arial" w:cs="Arial"/>
          <w:sz w:val="22"/>
          <w:lang w:val="es-ES"/>
        </w:rPr>
        <w:t>porcentaje</w:t>
      </w:r>
      <w:r w:rsidR="00E62E17">
        <w:rPr>
          <w:rFonts w:ascii="Arial" w:eastAsia="Calibri" w:hAnsi="Arial" w:cs="Arial"/>
          <w:sz w:val="22"/>
          <w:lang w:val="es-ES"/>
        </w:rPr>
        <w:t>s</w:t>
      </w:r>
      <w:r w:rsidR="00D25A16">
        <w:rPr>
          <w:rFonts w:ascii="Arial" w:eastAsia="Calibri" w:hAnsi="Arial" w:cs="Arial"/>
          <w:sz w:val="22"/>
          <w:lang w:val="es-ES"/>
        </w:rPr>
        <w:t xml:space="preserve"> </w:t>
      </w:r>
      <w:r w:rsidR="0006082D">
        <w:rPr>
          <w:rFonts w:ascii="Arial" w:eastAsia="Calibri" w:hAnsi="Arial" w:cs="Arial"/>
          <w:sz w:val="22"/>
          <w:lang w:val="es-ES"/>
        </w:rPr>
        <w:t xml:space="preserve">no </w:t>
      </w:r>
      <w:r w:rsidR="00E62E17">
        <w:rPr>
          <w:rFonts w:ascii="Arial" w:eastAsia="Calibri" w:hAnsi="Arial" w:cs="Arial"/>
          <w:sz w:val="22"/>
          <w:lang w:val="es-ES"/>
        </w:rPr>
        <w:t>aplican para</w:t>
      </w:r>
      <w:r w:rsidR="0006082D">
        <w:rPr>
          <w:rFonts w:ascii="Arial" w:eastAsia="Calibri" w:hAnsi="Arial" w:cs="Arial"/>
          <w:sz w:val="22"/>
          <w:lang w:val="es-ES"/>
        </w:rPr>
        <w:t xml:space="preserve"> la longitud que </w:t>
      </w:r>
      <w:r w:rsidR="00E74FD3">
        <w:rPr>
          <w:rFonts w:ascii="Arial" w:eastAsia="Calibri" w:hAnsi="Arial" w:cs="Arial"/>
          <w:sz w:val="22"/>
          <w:lang w:val="es-ES"/>
        </w:rPr>
        <w:t xml:space="preserve">deba </w:t>
      </w:r>
      <w:r w:rsidR="0006082D">
        <w:rPr>
          <w:rFonts w:ascii="Arial" w:eastAsia="Calibri" w:hAnsi="Arial" w:cs="Arial"/>
          <w:sz w:val="22"/>
          <w:lang w:val="es-ES"/>
        </w:rPr>
        <w:t>acreditar</w:t>
      </w:r>
      <w:r w:rsidR="00D25A16">
        <w:rPr>
          <w:rFonts w:ascii="Arial" w:eastAsia="Calibri" w:hAnsi="Arial" w:cs="Arial"/>
          <w:sz w:val="22"/>
          <w:lang w:val="es-ES"/>
        </w:rPr>
        <w:t xml:space="preserve"> </w:t>
      </w:r>
      <w:r w:rsidR="00E74FD3">
        <w:rPr>
          <w:rFonts w:ascii="Arial" w:eastAsia="Calibri" w:hAnsi="Arial" w:cs="Arial"/>
          <w:sz w:val="22"/>
          <w:lang w:val="es-ES"/>
        </w:rPr>
        <w:t>el</w:t>
      </w:r>
      <w:r w:rsidR="00D25A16">
        <w:rPr>
          <w:rFonts w:ascii="Arial" w:eastAsia="Calibri" w:hAnsi="Arial" w:cs="Arial"/>
          <w:sz w:val="22"/>
          <w:lang w:val="es-ES"/>
        </w:rPr>
        <w:t xml:space="preserve"> proponente</w:t>
      </w:r>
      <w:r w:rsidR="0006082D">
        <w:rPr>
          <w:rFonts w:ascii="Arial" w:eastAsia="Calibri" w:hAnsi="Arial" w:cs="Arial"/>
          <w:sz w:val="22"/>
          <w:lang w:val="es-ES"/>
        </w:rPr>
        <w:t xml:space="preserve"> como requisito de experiencia especifica. </w:t>
      </w:r>
    </w:p>
    <w:p w14:paraId="71C645B3" w14:textId="5E6CDFA8" w:rsidR="004B7051" w:rsidRDefault="004B7051" w:rsidP="00B821D0">
      <w:pPr>
        <w:spacing w:line="276" w:lineRule="auto"/>
        <w:ind w:firstLine="708"/>
        <w:jc w:val="both"/>
        <w:rPr>
          <w:rFonts w:ascii="Arial" w:eastAsia="Calibri" w:hAnsi="Arial" w:cs="Arial"/>
          <w:sz w:val="22"/>
          <w:lang w:val="es-ES"/>
        </w:rPr>
      </w:pPr>
    </w:p>
    <w:p w14:paraId="51B1C204" w14:textId="77777777" w:rsidR="00B749F5" w:rsidRPr="00166CB8" w:rsidRDefault="00B749F5" w:rsidP="00B749F5">
      <w:pPr>
        <w:spacing w:line="276" w:lineRule="auto"/>
        <w:jc w:val="both"/>
        <w:rPr>
          <w:rFonts w:ascii="Arial" w:eastAsia="Calibri" w:hAnsi="Arial" w:cs="Arial"/>
          <w:sz w:val="22"/>
        </w:rPr>
      </w:pPr>
      <w:r w:rsidRPr="00166CB8">
        <w:rPr>
          <w:rFonts w:ascii="Arial" w:eastAsia="Calibri" w:hAnsi="Arial" w:cs="Arial"/>
          <w:sz w:val="22"/>
        </w:rPr>
        <w:t>Este concepto tiene el alcance previsto en el artículo 28 del Código de Procedimiento Administrativo y de lo Contencioso Administrativo.</w:t>
      </w:r>
    </w:p>
    <w:p w14:paraId="2B6CF66F" w14:textId="77777777" w:rsidR="00B749F5" w:rsidRPr="00166CB8" w:rsidRDefault="00B749F5" w:rsidP="00B749F5">
      <w:pPr>
        <w:spacing w:line="276" w:lineRule="auto"/>
        <w:ind w:firstLine="708"/>
        <w:jc w:val="both"/>
        <w:rPr>
          <w:rFonts w:ascii="Arial" w:eastAsia="Calibri" w:hAnsi="Arial" w:cs="Arial"/>
          <w:sz w:val="22"/>
        </w:rPr>
      </w:pPr>
    </w:p>
    <w:p w14:paraId="0E36D825" w14:textId="3AE744EE" w:rsidR="00B749F5" w:rsidRPr="00166CB8" w:rsidRDefault="00B749F5" w:rsidP="00B749F5">
      <w:pPr>
        <w:spacing w:line="276" w:lineRule="auto"/>
        <w:jc w:val="both"/>
        <w:rPr>
          <w:rFonts w:ascii="Arial" w:eastAsia="Times New Roman" w:hAnsi="Arial" w:cs="Arial"/>
          <w:lang w:eastAsia="es-CO"/>
        </w:rPr>
      </w:pPr>
      <w:bookmarkStart w:id="9" w:name="_Hlk50370367"/>
      <w:r w:rsidRPr="54D660B6">
        <w:rPr>
          <w:rFonts w:ascii="Arial" w:eastAsia="Times New Roman" w:hAnsi="Arial" w:cs="Arial"/>
          <w:sz w:val="22"/>
          <w:lang w:eastAsia="es-CO"/>
        </w:rPr>
        <w:t>Atentamente</w:t>
      </w:r>
      <w:r w:rsidRPr="54D660B6">
        <w:rPr>
          <w:rFonts w:ascii="Arial" w:eastAsia="Times New Roman" w:hAnsi="Arial" w:cs="Arial"/>
          <w:lang w:eastAsia="es-CO"/>
        </w:rPr>
        <w:t>,</w:t>
      </w:r>
    </w:p>
    <w:bookmarkEnd w:id="9"/>
    <w:p w14:paraId="145AAFD4" w14:textId="53BE3090" w:rsidR="00B749F5" w:rsidRPr="00166CB8" w:rsidRDefault="00B749F5" w:rsidP="0050318F">
      <w:pPr>
        <w:spacing w:line="276" w:lineRule="auto"/>
        <w:jc w:val="center"/>
      </w:pPr>
    </w:p>
    <w:p w14:paraId="59681C21" w14:textId="27DA086C" w:rsidR="00B749F5" w:rsidRPr="00166CB8" w:rsidRDefault="4453F9DC" w:rsidP="54D660B6">
      <w:pPr>
        <w:spacing w:line="276" w:lineRule="auto"/>
        <w:jc w:val="center"/>
      </w:pPr>
      <w:r>
        <w:rPr>
          <w:noProof/>
          <w:lang w:val="en-US"/>
        </w:rPr>
        <w:drawing>
          <wp:inline distT="0" distB="0" distL="0" distR="0" wp14:anchorId="190C69D6" wp14:editId="10F6DB6B">
            <wp:extent cx="2829462" cy="1247775"/>
            <wp:effectExtent l="0" t="0" r="0" b="0"/>
            <wp:docPr id="131163614" name="Imagen 131163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829462" cy="1247775"/>
                    </a:xfrm>
                    <a:prstGeom prst="rect">
                      <a:avLst/>
                    </a:prstGeom>
                  </pic:spPr>
                </pic:pic>
              </a:graphicData>
            </a:graphic>
          </wp:inline>
        </w:drawing>
      </w:r>
    </w:p>
    <w:tbl>
      <w:tblPr>
        <w:tblStyle w:val="Tablaconcuadrcula1"/>
        <w:tblpPr w:leftFromText="141" w:rightFromText="141" w:vertAnchor="text" w:horzAnchor="margin" w:tblpY="11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003"/>
      </w:tblGrid>
      <w:tr w:rsidR="00166CB8" w:rsidRPr="00166CB8" w14:paraId="204310BC" w14:textId="77777777" w:rsidTr="00B04F47">
        <w:trPr>
          <w:trHeight w:val="286"/>
        </w:trPr>
        <w:tc>
          <w:tcPr>
            <w:tcW w:w="817" w:type="dxa"/>
            <w:vAlign w:val="center"/>
            <w:hideMark/>
          </w:tcPr>
          <w:p w14:paraId="6C5014B3" w14:textId="77777777" w:rsidR="00B04F47" w:rsidRPr="00166CB8" w:rsidRDefault="00B04F47" w:rsidP="00B04F47">
            <w:pPr>
              <w:rPr>
                <w:rFonts w:ascii="Arial" w:eastAsia="Times New Roman" w:hAnsi="Arial" w:cs="Arial"/>
                <w:sz w:val="14"/>
                <w:szCs w:val="14"/>
                <w:lang w:eastAsia="es-ES"/>
              </w:rPr>
            </w:pPr>
            <w:r w:rsidRPr="00166CB8">
              <w:rPr>
                <w:rFonts w:ascii="Arial" w:eastAsia="Times New Roman" w:hAnsi="Arial" w:cs="Arial"/>
                <w:sz w:val="14"/>
                <w:szCs w:val="14"/>
                <w:lang w:eastAsia="es-ES"/>
              </w:rPr>
              <w:t>Elaboró:</w:t>
            </w:r>
          </w:p>
        </w:tc>
        <w:tc>
          <w:tcPr>
            <w:tcW w:w="4003" w:type="dxa"/>
            <w:tcBorders>
              <w:top w:val="nil"/>
              <w:left w:val="nil"/>
              <w:bottom w:val="dotted" w:sz="4" w:space="0" w:color="7F7F7F"/>
              <w:right w:val="nil"/>
            </w:tcBorders>
            <w:vAlign w:val="center"/>
            <w:hideMark/>
          </w:tcPr>
          <w:p w14:paraId="67E2E842" w14:textId="44AFD381" w:rsidR="00B04F47" w:rsidRDefault="00F858D2" w:rsidP="00E6465A">
            <w:pPr>
              <w:rPr>
                <w:rFonts w:ascii="Arial" w:eastAsia="Times New Roman" w:hAnsi="Arial" w:cs="Arial"/>
                <w:sz w:val="14"/>
                <w:szCs w:val="14"/>
                <w:lang w:eastAsia="es-ES"/>
              </w:rPr>
            </w:pPr>
            <w:r>
              <w:rPr>
                <w:rFonts w:ascii="Arial" w:eastAsia="Times New Roman" w:hAnsi="Arial" w:cs="Arial"/>
                <w:sz w:val="14"/>
                <w:szCs w:val="14"/>
                <w:lang w:eastAsia="es-ES"/>
              </w:rPr>
              <w:t>David Torres Rojas</w:t>
            </w:r>
          </w:p>
          <w:p w14:paraId="4E9AB5F3" w14:textId="7DFFCBD1" w:rsidR="00F858D2" w:rsidRPr="00166CB8" w:rsidRDefault="00F858D2" w:rsidP="00E6465A">
            <w:pPr>
              <w:rPr>
                <w:rFonts w:ascii="Arial" w:eastAsia="Times New Roman" w:hAnsi="Arial" w:cs="Arial"/>
                <w:sz w:val="14"/>
                <w:szCs w:val="14"/>
                <w:lang w:eastAsia="es-ES"/>
              </w:rPr>
            </w:pPr>
            <w:r>
              <w:rPr>
                <w:rFonts w:ascii="Arial" w:eastAsia="Times New Roman" w:hAnsi="Arial" w:cs="Arial"/>
                <w:sz w:val="14"/>
                <w:szCs w:val="14"/>
                <w:lang w:eastAsia="es-ES"/>
              </w:rPr>
              <w:t xml:space="preserve">Contratista de la Subdirección de Gestión Contractual </w:t>
            </w:r>
          </w:p>
        </w:tc>
      </w:tr>
      <w:tr w:rsidR="00166CB8" w:rsidRPr="00166CB8" w14:paraId="743CF462" w14:textId="77777777" w:rsidTr="00B04F47">
        <w:trPr>
          <w:trHeight w:val="299"/>
        </w:trPr>
        <w:tc>
          <w:tcPr>
            <w:tcW w:w="817" w:type="dxa"/>
            <w:vAlign w:val="center"/>
            <w:hideMark/>
          </w:tcPr>
          <w:p w14:paraId="47E5AD86" w14:textId="77777777" w:rsidR="00B04F47" w:rsidRPr="00166CB8" w:rsidRDefault="00B04F47" w:rsidP="00B04F47">
            <w:pPr>
              <w:rPr>
                <w:rFonts w:ascii="Arial" w:eastAsia="Times New Roman" w:hAnsi="Arial" w:cs="Arial"/>
                <w:sz w:val="14"/>
                <w:szCs w:val="14"/>
                <w:lang w:eastAsia="es-ES"/>
              </w:rPr>
            </w:pPr>
            <w:r w:rsidRPr="00166CB8">
              <w:rPr>
                <w:rFonts w:ascii="Arial" w:eastAsia="Times New Roman" w:hAnsi="Arial" w:cs="Arial"/>
                <w:sz w:val="14"/>
                <w:szCs w:val="14"/>
                <w:lang w:eastAsia="es-ES"/>
              </w:rPr>
              <w:t>Revisó:</w:t>
            </w:r>
          </w:p>
        </w:tc>
        <w:tc>
          <w:tcPr>
            <w:tcW w:w="4003" w:type="dxa"/>
            <w:tcBorders>
              <w:top w:val="dotted" w:sz="4" w:space="0" w:color="7F7F7F"/>
              <w:left w:val="nil"/>
              <w:bottom w:val="dotted" w:sz="4" w:space="0" w:color="7F7F7F"/>
              <w:right w:val="nil"/>
            </w:tcBorders>
            <w:vAlign w:val="center"/>
            <w:hideMark/>
          </w:tcPr>
          <w:p w14:paraId="7C77A6A7" w14:textId="77777777" w:rsidR="00F858D2" w:rsidRPr="00166CB8" w:rsidRDefault="00F858D2" w:rsidP="00F858D2">
            <w:pPr>
              <w:rPr>
                <w:rFonts w:ascii="Arial" w:eastAsia="Times New Roman" w:hAnsi="Arial" w:cs="Arial"/>
                <w:sz w:val="14"/>
                <w:szCs w:val="14"/>
                <w:lang w:eastAsia="es-ES"/>
              </w:rPr>
            </w:pPr>
            <w:r w:rsidRPr="00166CB8">
              <w:rPr>
                <w:rFonts w:ascii="Arial" w:eastAsia="Times New Roman" w:hAnsi="Arial" w:cs="Arial"/>
                <w:sz w:val="14"/>
                <w:szCs w:val="14"/>
                <w:lang w:eastAsia="es-ES"/>
              </w:rPr>
              <w:t>Alejandro Sarmiento Cantillo</w:t>
            </w:r>
          </w:p>
          <w:p w14:paraId="726A549D" w14:textId="15414DD4" w:rsidR="00B04F47" w:rsidRPr="00166CB8" w:rsidRDefault="00F858D2" w:rsidP="00F858D2">
            <w:pPr>
              <w:rPr>
                <w:rFonts w:ascii="Arial" w:eastAsia="Times New Roman" w:hAnsi="Arial" w:cs="Arial"/>
                <w:sz w:val="14"/>
                <w:szCs w:val="14"/>
                <w:lang w:eastAsia="es-ES"/>
              </w:rPr>
            </w:pPr>
            <w:r w:rsidRPr="00166CB8">
              <w:rPr>
                <w:rFonts w:ascii="Arial" w:eastAsia="Times New Roman" w:hAnsi="Arial" w:cs="Arial"/>
                <w:sz w:val="14"/>
                <w:szCs w:val="14"/>
                <w:lang w:eastAsia="es-ES"/>
              </w:rPr>
              <w:t>Gestor T1-11 de la Subdirección de Gestión Contractual</w:t>
            </w:r>
          </w:p>
        </w:tc>
      </w:tr>
      <w:tr w:rsidR="00166CB8" w:rsidRPr="00166CB8" w14:paraId="630E7940" w14:textId="77777777" w:rsidTr="00B04F47">
        <w:trPr>
          <w:trHeight w:val="193"/>
        </w:trPr>
        <w:tc>
          <w:tcPr>
            <w:tcW w:w="817" w:type="dxa"/>
            <w:vAlign w:val="center"/>
            <w:hideMark/>
          </w:tcPr>
          <w:p w14:paraId="61783C6D" w14:textId="77777777" w:rsidR="00B04F47" w:rsidRPr="00166CB8" w:rsidRDefault="00B04F47" w:rsidP="00B04F47">
            <w:pPr>
              <w:rPr>
                <w:rFonts w:ascii="Arial" w:eastAsia="Times New Roman" w:hAnsi="Arial" w:cs="Arial"/>
                <w:sz w:val="14"/>
                <w:szCs w:val="14"/>
                <w:lang w:eastAsia="es-ES"/>
              </w:rPr>
            </w:pPr>
            <w:r w:rsidRPr="00166CB8">
              <w:rPr>
                <w:rFonts w:ascii="Arial" w:eastAsia="Times New Roman" w:hAnsi="Arial" w:cs="Arial"/>
                <w:sz w:val="14"/>
                <w:szCs w:val="14"/>
                <w:lang w:eastAsia="es-ES"/>
              </w:rPr>
              <w:t>Aprobó:</w:t>
            </w:r>
          </w:p>
        </w:tc>
        <w:tc>
          <w:tcPr>
            <w:tcW w:w="4003" w:type="dxa"/>
            <w:tcBorders>
              <w:top w:val="dotted" w:sz="4" w:space="0" w:color="7F7F7F"/>
              <w:left w:val="nil"/>
              <w:bottom w:val="dotted" w:sz="4" w:space="0" w:color="7F7F7F"/>
              <w:right w:val="nil"/>
            </w:tcBorders>
            <w:vAlign w:val="center"/>
            <w:hideMark/>
          </w:tcPr>
          <w:p w14:paraId="5CB2FFEE" w14:textId="77777777" w:rsidR="00B04F47" w:rsidRPr="00166CB8" w:rsidRDefault="00B04F47" w:rsidP="00B04F47">
            <w:pPr>
              <w:rPr>
                <w:rFonts w:ascii="Arial" w:eastAsia="Times New Roman" w:hAnsi="Arial" w:cs="Arial"/>
                <w:sz w:val="14"/>
                <w:szCs w:val="14"/>
                <w:lang w:eastAsia="es-ES"/>
              </w:rPr>
            </w:pPr>
            <w:r w:rsidRPr="00166CB8">
              <w:rPr>
                <w:rFonts w:ascii="Arial" w:eastAsia="Times New Roman" w:hAnsi="Arial" w:cs="Arial"/>
                <w:sz w:val="14"/>
                <w:szCs w:val="14"/>
                <w:lang w:eastAsia="es-ES"/>
              </w:rPr>
              <w:t>Jorge Augusto Tirado Navarro</w:t>
            </w:r>
          </w:p>
          <w:p w14:paraId="5A114199" w14:textId="51A39228" w:rsidR="00B04F47" w:rsidRPr="00166CB8" w:rsidRDefault="00B04F47" w:rsidP="00B04F47">
            <w:pPr>
              <w:rPr>
                <w:rFonts w:ascii="Arial" w:eastAsia="Times New Roman" w:hAnsi="Arial" w:cs="Arial"/>
                <w:sz w:val="14"/>
                <w:szCs w:val="14"/>
                <w:lang w:eastAsia="es-ES"/>
              </w:rPr>
            </w:pPr>
            <w:r w:rsidRPr="00166CB8">
              <w:rPr>
                <w:rFonts w:ascii="Arial" w:eastAsia="Times New Roman" w:hAnsi="Arial" w:cs="Arial"/>
                <w:sz w:val="14"/>
                <w:szCs w:val="14"/>
                <w:lang w:eastAsia="es-ES"/>
              </w:rPr>
              <w:t xml:space="preserve">Subdirector de Gestión Contractual </w:t>
            </w:r>
            <w:r w:rsidR="0099306D">
              <w:rPr>
                <w:rFonts w:ascii="Arial" w:eastAsia="Times New Roman" w:hAnsi="Arial" w:cs="Arial"/>
                <w:sz w:val="14"/>
                <w:szCs w:val="14"/>
                <w:lang w:eastAsia="es-ES"/>
              </w:rPr>
              <w:t>ANCP – CCE</w:t>
            </w:r>
          </w:p>
        </w:tc>
      </w:tr>
      <w:bookmarkEnd w:id="3"/>
    </w:tbl>
    <w:p w14:paraId="7EBF297E" w14:textId="19EB4FB7" w:rsidR="007B0854" w:rsidRPr="00166CB8" w:rsidRDefault="007B0854">
      <w:pPr>
        <w:spacing w:line="276" w:lineRule="auto"/>
        <w:jc w:val="both"/>
        <w:rPr>
          <w:rFonts w:ascii="Arial" w:eastAsia="Times New Roman" w:hAnsi="Arial" w:cs="Arial"/>
          <w:sz w:val="18"/>
          <w:szCs w:val="18"/>
          <w:lang w:val="es-ES_tradnl" w:eastAsia="es-CO"/>
        </w:rPr>
      </w:pPr>
    </w:p>
    <w:sectPr w:rsidR="007B0854" w:rsidRPr="00166CB8"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93158" w14:textId="77777777" w:rsidR="00E02E9B" w:rsidRDefault="00E02E9B">
      <w:r>
        <w:separator/>
      </w:r>
    </w:p>
  </w:endnote>
  <w:endnote w:type="continuationSeparator" w:id="0">
    <w:p w14:paraId="46373390" w14:textId="77777777" w:rsidR="00E02E9B" w:rsidRDefault="00E0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3064" w14:textId="77777777" w:rsidR="00320DE3" w:rsidRDefault="00320DE3" w:rsidP="00320DE3">
    <w:pPr>
      <w:pStyle w:val="Sinespaciado"/>
      <w:jc w:val="center"/>
      <w:rPr>
        <w:rFonts w:ascii="Arial" w:hAnsi="Arial" w:cs="Arial"/>
        <w:sz w:val="18"/>
        <w:szCs w:val="18"/>
      </w:rPr>
    </w:pPr>
  </w:p>
  <w:p w14:paraId="7A3785F3" w14:textId="73DECBD7"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9D3A93">
      <w:rPr>
        <w:rFonts w:ascii="Arial" w:hAnsi="Arial" w:cs="Arial"/>
        <w:b/>
        <w:bCs/>
        <w:noProof/>
        <w:color w:val="7F7F7F" w:themeColor="text1" w:themeTint="80"/>
        <w:sz w:val="16"/>
        <w:szCs w:val="16"/>
      </w:rPr>
      <w:t>4</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9D3A93">
      <w:rPr>
        <w:rFonts w:ascii="Arial" w:hAnsi="Arial" w:cs="Arial"/>
        <w:b/>
        <w:bCs/>
        <w:noProof/>
        <w:color w:val="7F7F7F" w:themeColor="text1" w:themeTint="80"/>
        <w:sz w:val="16"/>
        <w:szCs w:val="16"/>
      </w:rPr>
      <w:t>10</w:t>
    </w:r>
    <w:r w:rsidR="00FE42ED" w:rsidRPr="00084B97">
      <w:rPr>
        <w:rFonts w:ascii="Arial" w:hAnsi="Arial" w:cs="Arial"/>
        <w:b/>
        <w:bCs/>
        <w:color w:val="7F7F7F" w:themeColor="text1" w:themeTint="80"/>
        <w:sz w:val="16"/>
        <w:szCs w:val="16"/>
      </w:rPr>
      <w:fldChar w:fldCharType="end"/>
    </w:r>
  </w:p>
  <w:p w14:paraId="48FC6A04" w14:textId="5FD1A7C9" w:rsidR="009047C5" w:rsidRDefault="54D660B6" w:rsidP="00322937">
    <w:pPr>
      <w:pStyle w:val="Piedepgina"/>
      <w:jc w:val="center"/>
      <w:rPr>
        <w:lang w:val="es-ES"/>
      </w:rPr>
    </w:pPr>
    <w:r>
      <w:rPr>
        <w:noProof/>
        <w:lang w:val="en-US"/>
      </w:rPr>
      <w:drawing>
        <wp:inline distT="0" distB="0" distL="0" distR="0" wp14:anchorId="608B196D" wp14:editId="38F05962">
          <wp:extent cx="3700130" cy="519139"/>
          <wp:effectExtent l="0" t="0" r="0" b="0"/>
          <wp:docPr id="159817079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36DB2BFF" w14:textId="77777777" w:rsidR="00320DE3" w:rsidRDefault="00320DE3" w:rsidP="00320DE3">
    <w:pPr>
      <w:pStyle w:val="Sinespaciado"/>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3EE1E" w14:textId="77777777" w:rsidR="00E02E9B" w:rsidRDefault="00E02E9B">
      <w:r>
        <w:separator/>
      </w:r>
    </w:p>
  </w:footnote>
  <w:footnote w:type="continuationSeparator" w:id="0">
    <w:p w14:paraId="7D5F209C" w14:textId="77777777" w:rsidR="00E02E9B" w:rsidRDefault="00E02E9B">
      <w:r>
        <w:continuationSeparator/>
      </w:r>
    </w:p>
  </w:footnote>
  <w:footnote w:id="1">
    <w:p w14:paraId="71431B61" w14:textId="77777777" w:rsidR="00910FF4" w:rsidRPr="00166CB8" w:rsidRDefault="00910FF4" w:rsidP="00910FF4">
      <w:pPr>
        <w:pStyle w:val="Textonotapie"/>
        <w:ind w:firstLine="708"/>
        <w:jc w:val="both"/>
        <w:rPr>
          <w:rFonts w:ascii="Arial" w:hAnsi="Arial" w:cs="Arial"/>
          <w:sz w:val="19"/>
          <w:szCs w:val="19"/>
        </w:rPr>
      </w:pPr>
      <w:r w:rsidRPr="00166CB8">
        <w:rPr>
          <w:rStyle w:val="Refdenotaalpie"/>
          <w:rFonts w:ascii="Arial" w:hAnsi="Arial" w:cs="Arial"/>
          <w:sz w:val="19"/>
          <w:szCs w:val="19"/>
        </w:rPr>
        <w:footnoteRef/>
      </w:r>
      <w:r w:rsidRPr="00166CB8">
        <w:rPr>
          <w:rFonts w:ascii="Arial" w:hAnsi="Arial" w:cs="Arial"/>
          <w:sz w:val="19"/>
          <w:szCs w:val="19"/>
        </w:rPr>
        <w:t xml:space="preserve"> Decreto 4170 de 2011: «Artículo 3°. Funciones. La Agencia Nacional de Contratación Pública –Colombia Compra Eficiente– ejercerá las siguientes funciones: </w:t>
      </w:r>
    </w:p>
    <w:p w14:paraId="367E4F86" w14:textId="77777777" w:rsidR="00910FF4" w:rsidRPr="00166CB8" w:rsidRDefault="00910FF4" w:rsidP="00910FF4">
      <w:pPr>
        <w:pStyle w:val="Textonotapie"/>
        <w:ind w:firstLine="708"/>
        <w:jc w:val="both"/>
        <w:rPr>
          <w:rFonts w:ascii="Arial" w:hAnsi="Arial" w:cs="Arial"/>
          <w:sz w:val="19"/>
          <w:szCs w:val="19"/>
          <w:lang w:val="es-ES"/>
        </w:rPr>
      </w:pPr>
      <w:r w:rsidRPr="00166CB8">
        <w:rPr>
          <w:rFonts w:ascii="Arial" w:hAnsi="Arial" w:cs="Arial"/>
          <w:sz w:val="19"/>
          <w:szCs w:val="19"/>
          <w:lang w:val="es-ES"/>
        </w:rPr>
        <w:t xml:space="preserve">[...] </w:t>
      </w:r>
    </w:p>
    <w:p w14:paraId="26BDA81D" w14:textId="77777777" w:rsidR="00910FF4" w:rsidRPr="00166CB8" w:rsidRDefault="00910FF4" w:rsidP="00910FF4">
      <w:pPr>
        <w:pStyle w:val="Textonotapie"/>
        <w:ind w:firstLine="708"/>
        <w:jc w:val="both"/>
        <w:rPr>
          <w:rFonts w:ascii="Arial" w:hAnsi="Arial" w:cs="Arial"/>
          <w:sz w:val="19"/>
          <w:szCs w:val="19"/>
          <w:lang w:val="es-ES"/>
        </w:rPr>
      </w:pPr>
      <w:r w:rsidRPr="00166CB8">
        <w:rPr>
          <w:rFonts w:ascii="Arial" w:hAnsi="Arial" w:cs="Arial"/>
          <w:sz w:val="19"/>
          <w:szCs w:val="19"/>
          <w:lang w:val="es-ES"/>
        </w:rPr>
        <w:t>» 5. Absolver consultas sobre la aplicación de normas de carácter general y expedir circulares externas en materia de compras y contratación pública».</w:t>
      </w:r>
    </w:p>
    <w:p w14:paraId="54E7319B" w14:textId="77777777" w:rsidR="00910FF4" w:rsidRPr="00166CB8" w:rsidRDefault="00910FF4" w:rsidP="00910FF4">
      <w:pPr>
        <w:pStyle w:val="Textonotapie"/>
        <w:ind w:firstLine="708"/>
        <w:jc w:val="both"/>
        <w:rPr>
          <w:rFonts w:ascii="Arial" w:hAnsi="Arial" w:cs="Arial"/>
          <w:sz w:val="19"/>
          <w:szCs w:val="19"/>
          <w:lang w:val="es-ES"/>
        </w:rPr>
      </w:pPr>
      <w:r w:rsidRPr="00166CB8">
        <w:rPr>
          <w:rFonts w:ascii="Arial" w:hAnsi="Arial" w:cs="Arial"/>
          <w:sz w:val="19"/>
          <w:szCs w:val="19"/>
          <w:lang w:val="es-ES"/>
        </w:rPr>
        <w:t>[..]</w:t>
      </w:r>
    </w:p>
    <w:p w14:paraId="4466F5AE" w14:textId="77777777" w:rsidR="00910FF4" w:rsidRPr="00166CB8" w:rsidRDefault="00910FF4" w:rsidP="00910FF4">
      <w:pPr>
        <w:pStyle w:val="Textonotapie"/>
        <w:ind w:firstLine="708"/>
        <w:jc w:val="both"/>
        <w:rPr>
          <w:rFonts w:ascii="Arial" w:hAnsi="Arial" w:cs="Arial"/>
          <w:sz w:val="19"/>
          <w:szCs w:val="19"/>
          <w:lang w:val="es-ES"/>
        </w:rPr>
      </w:pPr>
      <w:proofErr w:type="gramStart"/>
      <w:r w:rsidRPr="00166CB8">
        <w:rPr>
          <w:rFonts w:ascii="Arial" w:eastAsia="Times New Roman" w:hAnsi="Arial" w:cs="Arial"/>
          <w:sz w:val="19"/>
          <w:szCs w:val="19"/>
          <w:lang w:val="es-CO" w:eastAsia="es-ES_tradnl"/>
        </w:rPr>
        <w:t>»</w:t>
      </w:r>
      <w:r w:rsidRPr="00166CB8">
        <w:rPr>
          <w:rFonts w:ascii="Arial" w:hAnsi="Arial" w:cs="Arial"/>
          <w:sz w:val="19"/>
          <w:szCs w:val="19"/>
          <w:lang w:val="es-ES"/>
        </w:rPr>
        <w:t>Artículo</w:t>
      </w:r>
      <w:proofErr w:type="gramEnd"/>
      <w:r w:rsidRPr="00166CB8">
        <w:rPr>
          <w:rFonts w:ascii="Arial" w:hAnsi="Arial" w:cs="Arial"/>
          <w:sz w:val="19"/>
          <w:szCs w:val="19"/>
          <w:lang w:val="es-ES"/>
        </w:rPr>
        <w:t xml:space="preserve"> 11. Subdirección de Gestión Contractual. Son funciones de la Subdirección de Gestión Contractual las siguientes: </w:t>
      </w:r>
    </w:p>
    <w:p w14:paraId="3CEBDD0B" w14:textId="77777777" w:rsidR="00910FF4" w:rsidRPr="00166CB8" w:rsidRDefault="00910FF4" w:rsidP="00910FF4">
      <w:pPr>
        <w:pStyle w:val="Textonotapie"/>
        <w:ind w:firstLine="708"/>
        <w:jc w:val="both"/>
        <w:rPr>
          <w:rFonts w:ascii="Arial" w:hAnsi="Arial" w:cs="Arial"/>
          <w:sz w:val="19"/>
          <w:szCs w:val="19"/>
          <w:lang w:val="es-ES"/>
        </w:rPr>
      </w:pPr>
      <w:r w:rsidRPr="00166CB8">
        <w:rPr>
          <w:rFonts w:ascii="Arial" w:hAnsi="Arial" w:cs="Arial"/>
          <w:sz w:val="19"/>
          <w:szCs w:val="19"/>
          <w:lang w:val="es-ES"/>
        </w:rPr>
        <w:t xml:space="preserve">[...] </w:t>
      </w:r>
    </w:p>
    <w:p w14:paraId="3F8BB7C0" w14:textId="1EC5FA0E" w:rsidR="00910FF4" w:rsidRDefault="00910FF4" w:rsidP="00910FF4">
      <w:pPr>
        <w:pStyle w:val="Textonotapie"/>
        <w:ind w:firstLine="708"/>
        <w:jc w:val="both"/>
        <w:rPr>
          <w:rFonts w:ascii="Arial" w:hAnsi="Arial" w:cs="Arial"/>
          <w:sz w:val="19"/>
          <w:szCs w:val="19"/>
          <w:lang w:val="es-ES"/>
        </w:rPr>
      </w:pPr>
      <w:r w:rsidRPr="00166CB8">
        <w:rPr>
          <w:rFonts w:ascii="Arial" w:eastAsia="Times New Roman" w:hAnsi="Arial" w:cs="Arial"/>
          <w:sz w:val="19"/>
          <w:szCs w:val="19"/>
          <w:lang w:val="es-CO" w:eastAsia="es-ES_tradnl"/>
        </w:rPr>
        <w:t>»</w:t>
      </w:r>
      <w:r w:rsidRPr="00166CB8">
        <w:rPr>
          <w:rFonts w:ascii="Arial" w:hAnsi="Arial" w:cs="Arial"/>
          <w:sz w:val="19"/>
          <w:szCs w:val="19"/>
          <w:lang w:val="es-ES"/>
        </w:rPr>
        <w:t xml:space="preserve">8. Absolver consultas sobre la aplicación de normas de carácter general». </w:t>
      </w:r>
    </w:p>
    <w:p w14:paraId="2C16BAE3" w14:textId="77777777" w:rsidR="0035740E" w:rsidRPr="00166CB8" w:rsidRDefault="0035740E" w:rsidP="00910FF4">
      <w:pPr>
        <w:pStyle w:val="Textonotapie"/>
        <w:ind w:firstLine="708"/>
        <w:jc w:val="both"/>
        <w:rPr>
          <w:rFonts w:ascii="Arial" w:hAnsi="Arial" w:cs="Arial"/>
          <w:sz w:val="19"/>
          <w:szCs w:val="19"/>
          <w:lang w:val="es-ES"/>
        </w:rPr>
      </w:pPr>
    </w:p>
  </w:footnote>
  <w:footnote w:id="2">
    <w:p w14:paraId="1B580E60" w14:textId="34FDBEDD" w:rsidR="00A65A20" w:rsidRPr="00166CB8" w:rsidRDefault="00A65A20" w:rsidP="00166CB8">
      <w:pPr>
        <w:pStyle w:val="Textonotapie"/>
        <w:ind w:firstLine="708"/>
        <w:jc w:val="both"/>
        <w:rPr>
          <w:rFonts w:ascii="Arial" w:hAnsi="Arial" w:cs="Arial"/>
          <w:sz w:val="19"/>
          <w:szCs w:val="19"/>
        </w:rPr>
      </w:pPr>
      <w:r w:rsidRPr="00166CB8">
        <w:rPr>
          <w:rStyle w:val="Refdenotaalpie"/>
          <w:rFonts w:ascii="Arial" w:hAnsi="Arial" w:cs="Arial"/>
          <w:sz w:val="19"/>
          <w:szCs w:val="19"/>
        </w:rPr>
        <w:footnoteRef/>
      </w:r>
      <w:r w:rsidRPr="00166CB8">
        <w:rPr>
          <w:rFonts w:ascii="Arial" w:hAnsi="Arial" w:cs="Arial"/>
          <w:sz w:val="19"/>
          <w:szCs w:val="19"/>
        </w:rPr>
        <w:t xml:space="preserve"> Esta Agencia</w:t>
      </w:r>
      <w:r w:rsidR="00166CB8" w:rsidRPr="00166CB8">
        <w:rPr>
          <w:rFonts w:ascii="Arial" w:hAnsi="Arial" w:cs="Arial"/>
          <w:sz w:val="19"/>
          <w:szCs w:val="19"/>
        </w:rPr>
        <w:t>,</w:t>
      </w:r>
      <w:r w:rsidRPr="00166CB8">
        <w:rPr>
          <w:rFonts w:ascii="Arial" w:hAnsi="Arial" w:cs="Arial"/>
          <w:sz w:val="19"/>
          <w:szCs w:val="19"/>
        </w:rPr>
        <w:t xml:space="preserve"> durante el 2019</w:t>
      </w:r>
      <w:r w:rsidR="00166CB8" w:rsidRPr="00166CB8">
        <w:rPr>
          <w:rFonts w:ascii="Arial" w:hAnsi="Arial" w:cs="Arial"/>
          <w:sz w:val="19"/>
          <w:szCs w:val="19"/>
        </w:rPr>
        <w:t>,</w:t>
      </w:r>
      <w:r w:rsidRPr="00166CB8">
        <w:rPr>
          <w:rFonts w:ascii="Arial" w:hAnsi="Arial" w:cs="Arial"/>
          <w:sz w:val="19"/>
          <w:szCs w:val="19"/>
        </w:rPr>
        <w:t xml:space="preserve"> también estudió particularidades de </w:t>
      </w:r>
      <w:r w:rsidR="00166CB8" w:rsidRPr="00166CB8">
        <w:rPr>
          <w:rFonts w:ascii="Arial" w:hAnsi="Arial" w:cs="Arial"/>
          <w:sz w:val="19"/>
          <w:szCs w:val="19"/>
        </w:rPr>
        <w:t>la acreditación y configuración del requisito de experiencia en procedimientos adelantados con documentos tipo de infraestructura de transporte, particularmente en los conceptos 4201912000004262 del 25 de junio de 2019, 4201912000004426 del 3 de julio de 2019, 4201912000005320 del 6 de agosto de 2019, 4201912000005416 del 10 de agosto de 2019, 4201912000005609 del 16 de agosto de 2019, 4201912000005809 del 27 de agosto de 2019, 4201912000005394 del 9 de agosto de 2019, 4201912000005548 del 15 de agosto de 2019, 2201913000006581 del 5 de septiembre de 2019, 4201912000006151 del 9 de septiembre de 2019, 4201912000007034 del 11 de octubre de 2019, 4201912000007124 del 17 de octubre de 2019, entre otros.</w:t>
      </w:r>
      <w:r w:rsidRPr="00166CB8">
        <w:rPr>
          <w:rFonts w:ascii="Arial" w:hAnsi="Arial" w:cs="Arial"/>
          <w:sz w:val="19"/>
          <w:szCs w:val="19"/>
        </w:rPr>
        <w:t xml:space="preserve"> </w:t>
      </w:r>
    </w:p>
    <w:p w14:paraId="64A19463" w14:textId="409E7E17" w:rsidR="00A65A20" w:rsidRPr="00915DA5" w:rsidRDefault="00A65A20" w:rsidP="00EA6DF4">
      <w:pPr>
        <w:pStyle w:val="Textonotapie"/>
        <w:ind w:firstLine="708"/>
        <w:jc w:val="both"/>
        <w:rPr>
          <w:rFonts w:ascii="Arial" w:hAnsi="Arial" w:cs="Arial"/>
          <w:sz w:val="19"/>
          <w:szCs w:val="19"/>
          <w:lang w:val="es-CO"/>
        </w:rPr>
      </w:pPr>
      <w:r w:rsidRPr="00915DA5">
        <w:rPr>
          <w:rFonts w:ascii="Arial" w:hAnsi="Arial" w:cs="Arial"/>
          <w:sz w:val="19"/>
          <w:szCs w:val="19"/>
        </w:rPr>
        <w:t xml:space="preserve"> </w:t>
      </w:r>
    </w:p>
  </w:footnote>
  <w:footnote w:id="3">
    <w:p w14:paraId="68294DEE" w14:textId="4D15E647" w:rsidR="0005205D" w:rsidRPr="00EA6DF4" w:rsidRDefault="00D805FB">
      <w:pPr>
        <w:pStyle w:val="Textonotapie"/>
        <w:ind w:firstLine="708"/>
        <w:jc w:val="both"/>
        <w:rPr>
          <w:rFonts w:ascii="Arial" w:hAnsi="Arial" w:cs="Arial"/>
          <w:sz w:val="19"/>
          <w:szCs w:val="19"/>
        </w:rPr>
      </w:pPr>
      <w:r w:rsidRPr="00EA6DF4">
        <w:rPr>
          <w:rStyle w:val="Refdenotaalpie"/>
          <w:rFonts w:ascii="Arial" w:hAnsi="Arial" w:cs="Arial"/>
          <w:sz w:val="19"/>
          <w:szCs w:val="19"/>
        </w:rPr>
        <w:footnoteRef/>
      </w:r>
      <w:r w:rsidRPr="00EA6DF4">
        <w:rPr>
          <w:rFonts w:ascii="Arial" w:hAnsi="Arial" w:cs="Arial"/>
          <w:sz w:val="19"/>
          <w:szCs w:val="19"/>
        </w:rPr>
        <w:t xml:space="preserve"> </w:t>
      </w:r>
    </w:p>
    <w:p w14:paraId="32E92FE9" w14:textId="1689EF2A" w:rsidR="00D805FB" w:rsidRPr="00EA6DF4" w:rsidRDefault="00F91676">
      <w:pPr>
        <w:pStyle w:val="Textonotapie"/>
        <w:ind w:firstLine="708"/>
        <w:jc w:val="both"/>
        <w:rPr>
          <w:rFonts w:ascii="Arial" w:hAnsi="Arial" w:cs="Arial"/>
          <w:sz w:val="19"/>
          <w:szCs w:val="19"/>
        </w:rPr>
      </w:pPr>
      <w:r w:rsidRPr="00EA6DF4">
        <w:rPr>
          <w:rFonts w:ascii="Arial" w:hAnsi="Arial" w:cs="Arial"/>
          <w:sz w:val="19"/>
          <w:szCs w:val="19"/>
        </w:rPr>
        <w:t xml:space="preserve"> Esto cambió con la expedición de la Ley 2022 de 2020, que no solo atribuyó a Colombia Compra Eficiente la compe</w:t>
      </w:r>
      <w:r w:rsidR="0005205D" w:rsidRPr="00EA6DF4">
        <w:rPr>
          <w:rFonts w:ascii="Arial" w:hAnsi="Arial" w:cs="Arial"/>
          <w:sz w:val="19"/>
          <w:szCs w:val="19"/>
        </w:rPr>
        <w:t xml:space="preserve">tencia </w:t>
      </w:r>
      <w:r w:rsidR="00303B1E" w:rsidRPr="00EA6DF4">
        <w:rPr>
          <w:rFonts w:ascii="Arial" w:hAnsi="Arial" w:cs="Arial"/>
          <w:sz w:val="19"/>
          <w:szCs w:val="19"/>
        </w:rPr>
        <w:t>para expedir documentos tipo, sino que se amplió, al removerse la limitación referente al ámbito de la obra pública</w:t>
      </w:r>
      <w:r w:rsidR="00925338" w:rsidRPr="00EA6DF4">
        <w:rPr>
          <w:rFonts w:ascii="Arial" w:hAnsi="Arial" w:cs="Arial"/>
          <w:sz w:val="19"/>
          <w:szCs w:val="19"/>
        </w:rPr>
        <w:t>.</w:t>
      </w:r>
    </w:p>
    <w:p w14:paraId="2C512045" w14:textId="77777777" w:rsidR="00303B1E" w:rsidRPr="00EA6DF4" w:rsidRDefault="00303B1E" w:rsidP="00EA6DF4">
      <w:pPr>
        <w:pStyle w:val="Textonotapie"/>
        <w:ind w:firstLine="708"/>
        <w:jc w:val="both"/>
        <w:rPr>
          <w:lang w:val="es-CO"/>
        </w:rPr>
      </w:pPr>
    </w:p>
  </w:footnote>
  <w:footnote w:id="4">
    <w:p w14:paraId="5F65C52D" w14:textId="06EAD975" w:rsidR="00E6465A" w:rsidRPr="00166CB8" w:rsidRDefault="00E6465A" w:rsidP="00E6465A">
      <w:pPr>
        <w:pStyle w:val="Textonotapie"/>
        <w:ind w:firstLine="708"/>
        <w:jc w:val="both"/>
        <w:rPr>
          <w:rFonts w:ascii="Arial" w:hAnsi="Arial" w:cs="Arial"/>
          <w:sz w:val="19"/>
          <w:szCs w:val="19"/>
          <w:lang w:val="es-CO"/>
        </w:rPr>
      </w:pPr>
      <w:r w:rsidRPr="00166CB8">
        <w:rPr>
          <w:rStyle w:val="Refdenotaalpie"/>
          <w:rFonts w:ascii="Arial" w:hAnsi="Arial" w:cs="Arial"/>
          <w:sz w:val="19"/>
          <w:szCs w:val="19"/>
        </w:rPr>
        <w:footnoteRef/>
      </w:r>
      <w:r w:rsidRPr="00166CB8">
        <w:rPr>
          <w:rFonts w:ascii="Arial" w:hAnsi="Arial" w:cs="Arial"/>
          <w:sz w:val="19"/>
          <w:szCs w:val="19"/>
        </w:rPr>
        <w:t xml:space="preserve"> Se aprovecha la oportunidad para precisar que, en el literal D del numeral 3.5.2 de la Versión 3 del Documento Base de licitación de obra pública de infraestructura de transporte, adoptado por la Resolución No. 240 de 2020, se incurrió en una imprecisión al hacer referencia al numeral 3.5.7– referente a subcontratos– en la medida que en dicho numeral se quiso aludir al numeral 3.5.8 relativo a la «RELACIÓN DE LOS CONTRATOS FRENTE AL PRESUPUESTO OFICIAL». Dicho error se atribuye a una reproducción del contenido del literal D del numeral 3.5.1 de la Versión 2 de dicho Documento Base, cuyo contenido se quiso mantener en el marco de la implementación de la Versión 3, pero incurriendo en la referida imprecisión, además generada por la inclusión de un sub-numeral adicional el numeral 3 de la última versión que t</w:t>
      </w:r>
      <w:r w:rsidR="008B5346">
        <w:rPr>
          <w:rFonts w:ascii="Arial" w:hAnsi="Arial" w:cs="Arial"/>
          <w:sz w:val="19"/>
          <w:szCs w:val="19"/>
        </w:rPr>
        <w:t>er</w:t>
      </w:r>
      <w:r w:rsidRPr="00166CB8">
        <w:rPr>
          <w:rFonts w:ascii="Arial" w:hAnsi="Arial" w:cs="Arial"/>
          <w:sz w:val="19"/>
          <w:szCs w:val="19"/>
        </w:rPr>
        <w:t>min</w:t>
      </w:r>
      <w:r w:rsidR="008B5346">
        <w:rPr>
          <w:rFonts w:ascii="Arial" w:hAnsi="Arial" w:cs="Arial"/>
          <w:sz w:val="19"/>
          <w:szCs w:val="19"/>
        </w:rPr>
        <w:t>ó</w:t>
      </w:r>
      <w:r w:rsidRPr="00166CB8">
        <w:rPr>
          <w:rFonts w:ascii="Arial" w:hAnsi="Arial" w:cs="Arial"/>
          <w:sz w:val="19"/>
          <w:szCs w:val="19"/>
        </w:rPr>
        <w:t xml:space="preserve"> corriendo la «RELACIÓN DE LOS CONTRATOS FRENTE AL PRESUPUESTO OFICIAL» al numeral 3.5.8.</w:t>
      </w:r>
    </w:p>
  </w:footnote>
  <w:footnote w:id="5">
    <w:p w14:paraId="2076B1E2" w14:textId="77777777" w:rsidR="00B42975" w:rsidRPr="00166CB8" w:rsidRDefault="00B42975" w:rsidP="00B42975">
      <w:pPr>
        <w:pStyle w:val="Textonotapie"/>
        <w:rPr>
          <w:rFonts w:ascii="Arial" w:hAnsi="Arial" w:cs="Arial"/>
          <w:sz w:val="19"/>
          <w:szCs w:val="19"/>
        </w:rPr>
      </w:pPr>
    </w:p>
    <w:p w14:paraId="0492FCA1" w14:textId="77777777" w:rsidR="00B42975" w:rsidRPr="00166CB8" w:rsidRDefault="00B42975" w:rsidP="00B42975">
      <w:pPr>
        <w:pStyle w:val="Textonotapie"/>
        <w:ind w:firstLine="708"/>
        <w:jc w:val="both"/>
        <w:rPr>
          <w:rFonts w:ascii="Arial" w:hAnsi="Arial" w:cs="Arial"/>
          <w:sz w:val="19"/>
          <w:szCs w:val="19"/>
          <w:lang w:val="es-CO"/>
        </w:rPr>
      </w:pPr>
      <w:r w:rsidRPr="00166CB8">
        <w:rPr>
          <w:rStyle w:val="Refdenotaalpie"/>
          <w:rFonts w:ascii="Arial" w:hAnsi="Arial" w:cs="Arial"/>
          <w:sz w:val="19"/>
          <w:szCs w:val="19"/>
        </w:rPr>
        <w:footnoteRef/>
      </w:r>
      <w:r w:rsidRPr="00166CB8">
        <w:rPr>
          <w:rFonts w:ascii="Arial" w:hAnsi="Arial" w:cs="Arial"/>
          <w:sz w:val="19"/>
          <w:szCs w:val="19"/>
        </w:rPr>
        <w:t xml:space="preserve"> </w:t>
      </w:r>
      <w:r w:rsidRPr="00166CB8">
        <w:rPr>
          <w:rFonts w:ascii="Arial" w:hAnsi="Arial" w:cs="Arial"/>
          <w:sz w:val="19"/>
          <w:szCs w:val="19"/>
          <w:lang w:val="es-CO"/>
        </w:rPr>
        <w:t>Agencia Nacional de Contratación Pública – Colombia Compra Eficiente. Resolución No. 240 de 2020. Documento Base: «</w:t>
      </w:r>
      <w:r w:rsidRPr="00166CB8">
        <w:rPr>
          <w:rFonts w:ascii="Arial" w:hAnsi="Arial" w:cs="Arial"/>
          <w:sz w:val="19"/>
          <w:szCs w:val="19"/>
        </w:rPr>
        <w:t xml:space="preserve"> </w:t>
      </w:r>
      <w:r w:rsidRPr="00166CB8">
        <w:rPr>
          <w:rFonts w:ascii="Arial" w:hAnsi="Arial" w:cs="Arial"/>
          <w:sz w:val="19"/>
          <w:szCs w:val="19"/>
          <w:lang w:val="es-CO"/>
        </w:rPr>
        <w:t>3.5.3.</w:t>
      </w:r>
      <w:r w:rsidRPr="00166CB8">
        <w:rPr>
          <w:rFonts w:ascii="Arial" w:hAnsi="Arial" w:cs="Arial"/>
          <w:sz w:val="19"/>
          <w:szCs w:val="19"/>
          <w:lang w:val="es-CO"/>
        </w:rPr>
        <w:tab/>
        <w:t xml:space="preserve">CONSIDERACIONES PARA LA VALIDEZ DE LA EXPERIENCIA REQUERIDA </w:t>
      </w:r>
    </w:p>
    <w:p w14:paraId="15F25195" w14:textId="77777777" w:rsidR="00B42975" w:rsidRPr="00166CB8" w:rsidRDefault="00B42975" w:rsidP="00B42975">
      <w:pPr>
        <w:pStyle w:val="Textonotapie"/>
        <w:ind w:firstLine="708"/>
        <w:jc w:val="both"/>
        <w:rPr>
          <w:rFonts w:ascii="Arial" w:hAnsi="Arial" w:cs="Arial"/>
          <w:sz w:val="19"/>
          <w:szCs w:val="19"/>
          <w:lang w:val="es-CO"/>
        </w:rPr>
      </w:pPr>
      <w:r w:rsidRPr="00166CB8">
        <w:rPr>
          <w:rFonts w:ascii="Arial" w:hAnsi="Arial" w:cs="Arial"/>
          <w:sz w:val="19"/>
          <w:szCs w:val="19"/>
          <w:lang w:val="es-CO"/>
        </w:rPr>
        <w:t xml:space="preserve">La entidad tendrá en cuenta los siguientes aspectos para analizar la experiencia acreditada y que la misma sea válida como experiencia requerida: </w:t>
      </w:r>
    </w:p>
    <w:p w14:paraId="0C30713D" w14:textId="77777777" w:rsidR="00B42975" w:rsidRPr="00166CB8" w:rsidRDefault="00B42975" w:rsidP="00B42975">
      <w:pPr>
        <w:pStyle w:val="Textonotapie"/>
        <w:ind w:firstLine="708"/>
        <w:jc w:val="both"/>
        <w:rPr>
          <w:rFonts w:ascii="Arial" w:hAnsi="Arial" w:cs="Arial"/>
          <w:sz w:val="19"/>
          <w:szCs w:val="19"/>
          <w:lang w:val="es-CO"/>
        </w:rPr>
      </w:pPr>
      <w:r w:rsidRPr="00166CB8">
        <w:rPr>
          <w:rFonts w:ascii="Arial" w:hAnsi="Arial" w:cs="Arial"/>
          <w:sz w:val="19"/>
          <w:szCs w:val="19"/>
          <w:lang w:val="es-CO"/>
        </w:rPr>
        <w:t>[…]</w:t>
      </w:r>
    </w:p>
    <w:p w14:paraId="3974D5CD" w14:textId="77777777" w:rsidR="00B42975" w:rsidRPr="00166CB8" w:rsidRDefault="00B42975" w:rsidP="00B42975">
      <w:pPr>
        <w:pStyle w:val="Textonotapie"/>
        <w:ind w:firstLine="708"/>
        <w:jc w:val="both"/>
        <w:rPr>
          <w:rFonts w:ascii="Arial" w:hAnsi="Arial" w:cs="Arial"/>
          <w:sz w:val="19"/>
          <w:szCs w:val="19"/>
          <w:lang w:val="es-CO"/>
        </w:rPr>
      </w:pPr>
      <w:proofErr w:type="gramStart"/>
      <w:r w:rsidRPr="00166CB8">
        <w:rPr>
          <w:rFonts w:ascii="Arial" w:hAnsi="Arial" w:cs="Arial"/>
          <w:sz w:val="19"/>
          <w:szCs w:val="19"/>
          <w:lang w:val="es-CO"/>
        </w:rPr>
        <w:t>»D.</w:t>
      </w:r>
      <w:proofErr w:type="gramEnd"/>
      <w:r w:rsidRPr="00166CB8">
        <w:rPr>
          <w:rFonts w:ascii="Arial" w:hAnsi="Arial" w:cs="Arial"/>
          <w:sz w:val="19"/>
          <w:szCs w:val="19"/>
          <w:lang w:val="es-CO"/>
        </w:rPr>
        <w:tab/>
        <w:t>Tratándose de proponentes plurales se tendrá en cuenta lo siguiente: i) uno de los integrantes debe aportar como mínimo el cincuenta por ciento (50%) de la experiencia exigida; ii) los demás integrantes deben acreditar al menos el cinco por ciento (5%) de la experiencia requerida; y iii) sin perjuicio de lo anterior, solo uno de los integrantes, si así lo considera pertinente, podrá no acreditar experiencia. En este último caso, el porcentaje de participación del integrante que no aporta experiencia en la estructura plural no podrá superar el cinco por ciento (5%)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7B0854" w:rsidRDefault="007B0854">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8598BB9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E2C8E"/>
    <w:multiLevelType w:val="hybridMultilevel"/>
    <w:tmpl w:val="516AD534"/>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6F10D53"/>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6153"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570829"/>
    <w:multiLevelType w:val="hybridMultilevel"/>
    <w:tmpl w:val="477A90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572"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F0D103E"/>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15" w15:restartNumberingAfterBreak="0">
    <w:nsid w:val="716D1FFB"/>
    <w:multiLevelType w:val="multilevel"/>
    <w:tmpl w:val="399A4B3A"/>
    <w:lvl w:ilvl="0">
      <w:start w:val="2"/>
      <w:numFmt w:val="decimal"/>
      <w:lvlText w:val="%1"/>
      <w:lvlJc w:val="left"/>
      <w:pPr>
        <w:ind w:left="360" w:hanging="360"/>
      </w:p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6"/>
  </w:num>
  <w:num w:numId="2">
    <w:abstractNumId w:val="5"/>
  </w:num>
  <w:num w:numId="3">
    <w:abstractNumId w:val="9"/>
  </w:num>
  <w:num w:numId="4">
    <w:abstractNumId w:val="10"/>
  </w:num>
  <w:num w:numId="5">
    <w:abstractNumId w:val="13"/>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num>
  <w:num w:numId="9">
    <w:abstractNumId w:val="12"/>
  </w:num>
  <w:num w:numId="10">
    <w:abstractNumId w:val="4"/>
  </w:num>
  <w:num w:numId="11">
    <w:abstractNumId w:val="14"/>
  </w:num>
  <w:num w:numId="12">
    <w:abstractNumId w:val="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
  </w:num>
  <w:num w:numId="1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A7C"/>
    <w:rsid w:val="00000B2B"/>
    <w:rsid w:val="00003696"/>
    <w:rsid w:val="00010175"/>
    <w:rsid w:val="00020400"/>
    <w:rsid w:val="00024990"/>
    <w:rsid w:val="00026B8F"/>
    <w:rsid w:val="00031135"/>
    <w:rsid w:val="00044CF2"/>
    <w:rsid w:val="0005205D"/>
    <w:rsid w:val="0005532C"/>
    <w:rsid w:val="00055BD6"/>
    <w:rsid w:val="0006082D"/>
    <w:rsid w:val="0007371D"/>
    <w:rsid w:val="00076BBD"/>
    <w:rsid w:val="000812D8"/>
    <w:rsid w:val="0008182D"/>
    <w:rsid w:val="0008280E"/>
    <w:rsid w:val="00084B97"/>
    <w:rsid w:val="00090F9A"/>
    <w:rsid w:val="000942EB"/>
    <w:rsid w:val="000A003D"/>
    <w:rsid w:val="000A3C9C"/>
    <w:rsid w:val="000B0231"/>
    <w:rsid w:val="000B103F"/>
    <w:rsid w:val="000B4100"/>
    <w:rsid w:val="000B6260"/>
    <w:rsid w:val="000C0248"/>
    <w:rsid w:val="000C0BF4"/>
    <w:rsid w:val="000C121F"/>
    <w:rsid w:val="000D3114"/>
    <w:rsid w:val="000D3DF7"/>
    <w:rsid w:val="000D526D"/>
    <w:rsid w:val="000E0175"/>
    <w:rsid w:val="000E2756"/>
    <w:rsid w:val="000F100E"/>
    <w:rsid w:val="000F14E8"/>
    <w:rsid w:val="000F7FEC"/>
    <w:rsid w:val="00103915"/>
    <w:rsid w:val="0010460F"/>
    <w:rsid w:val="00111BD7"/>
    <w:rsid w:val="001134BE"/>
    <w:rsid w:val="001149F9"/>
    <w:rsid w:val="00122B23"/>
    <w:rsid w:val="001365AA"/>
    <w:rsid w:val="00137FFA"/>
    <w:rsid w:val="001422E8"/>
    <w:rsid w:val="0014497D"/>
    <w:rsid w:val="00144D74"/>
    <w:rsid w:val="00155CAB"/>
    <w:rsid w:val="00157A9B"/>
    <w:rsid w:val="00166CB8"/>
    <w:rsid w:val="0017593C"/>
    <w:rsid w:val="00175D3A"/>
    <w:rsid w:val="00176066"/>
    <w:rsid w:val="00185116"/>
    <w:rsid w:val="00186E9B"/>
    <w:rsid w:val="001905D4"/>
    <w:rsid w:val="00193B3A"/>
    <w:rsid w:val="00196633"/>
    <w:rsid w:val="001A33D5"/>
    <w:rsid w:val="001A736A"/>
    <w:rsid w:val="001B0444"/>
    <w:rsid w:val="001B09B2"/>
    <w:rsid w:val="001B1B06"/>
    <w:rsid w:val="001B1B07"/>
    <w:rsid w:val="001B20F0"/>
    <w:rsid w:val="001B34BA"/>
    <w:rsid w:val="001C51DD"/>
    <w:rsid w:val="001C58A1"/>
    <w:rsid w:val="001D021D"/>
    <w:rsid w:val="001D195A"/>
    <w:rsid w:val="001D3B19"/>
    <w:rsid w:val="001D5FDD"/>
    <w:rsid w:val="001D6BE2"/>
    <w:rsid w:val="001E19A3"/>
    <w:rsid w:val="001E1CB7"/>
    <w:rsid w:val="001E4BD4"/>
    <w:rsid w:val="001E696D"/>
    <w:rsid w:val="001F34EC"/>
    <w:rsid w:val="001F4DBB"/>
    <w:rsid w:val="00205456"/>
    <w:rsid w:val="00205BEB"/>
    <w:rsid w:val="0020632A"/>
    <w:rsid w:val="002063DE"/>
    <w:rsid w:val="002068E9"/>
    <w:rsid w:val="002110EB"/>
    <w:rsid w:val="00211338"/>
    <w:rsid w:val="00216359"/>
    <w:rsid w:val="002216A0"/>
    <w:rsid w:val="002235E6"/>
    <w:rsid w:val="00225605"/>
    <w:rsid w:val="00226747"/>
    <w:rsid w:val="00227E05"/>
    <w:rsid w:val="00231C21"/>
    <w:rsid w:val="00233CD8"/>
    <w:rsid w:val="00234225"/>
    <w:rsid w:val="00234B84"/>
    <w:rsid w:val="00236805"/>
    <w:rsid w:val="00251946"/>
    <w:rsid w:val="00251F97"/>
    <w:rsid w:val="002525BA"/>
    <w:rsid w:val="00253107"/>
    <w:rsid w:val="00253F44"/>
    <w:rsid w:val="00253F7F"/>
    <w:rsid w:val="00256846"/>
    <w:rsid w:val="00260A7E"/>
    <w:rsid w:val="00261C17"/>
    <w:rsid w:val="00261ED7"/>
    <w:rsid w:val="00261F87"/>
    <w:rsid w:val="002647DD"/>
    <w:rsid w:val="00265F3B"/>
    <w:rsid w:val="00266151"/>
    <w:rsid w:val="00277DF1"/>
    <w:rsid w:val="0028521F"/>
    <w:rsid w:val="00285ABC"/>
    <w:rsid w:val="00291A3E"/>
    <w:rsid w:val="00296F4D"/>
    <w:rsid w:val="002A4DD5"/>
    <w:rsid w:val="002B5F2B"/>
    <w:rsid w:val="002C1D26"/>
    <w:rsid w:val="002C440B"/>
    <w:rsid w:val="002C4C0C"/>
    <w:rsid w:val="002D3714"/>
    <w:rsid w:val="002D4A29"/>
    <w:rsid w:val="002E016A"/>
    <w:rsid w:val="002E040C"/>
    <w:rsid w:val="002E06AB"/>
    <w:rsid w:val="002E3F7F"/>
    <w:rsid w:val="003033BA"/>
    <w:rsid w:val="00303B1E"/>
    <w:rsid w:val="00306F36"/>
    <w:rsid w:val="00317010"/>
    <w:rsid w:val="00320DE3"/>
    <w:rsid w:val="00322166"/>
    <w:rsid w:val="00322937"/>
    <w:rsid w:val="003302E7"/>
    <w:rsid w:val="00340C95"/>
    <w:rsid w:val="0034177C"/>
    <w:rsid w:val="003447F8"/>
    <w:rsid w:val="0034680A"/>
    <w:rsid w:val="00346D4F"/>
    <w:rsid w:val="0035354C"/>
    <w:rsid w:val="00353DD5"/>
    <w:rsid w:val="003556D9"/>
    <w:rsid w:val="0035740E"/>
    <w:rsid w:val="00360E4A"/>
    <w:rsid w:val="0037313F"/>
    <w:rsid w:val="00380B3D"/>
    <w:rsid w:val="00381292"/>
    <w:rsid w:val="003849D1"/>
    <w:rsid w:val="00386456"/>
    <w:rsid w:val="00387086"/>
    <w:rsid w:val="0038787A"/>
    <w:rsid w:val="00390BF5"/>
    <w:rsid w:val="00391097"/>
    <w:rsid w:val="003917F3"/>
    <w:rsid w:val="00392EFD"/>
    <w:rsid w:val="00394451"/>
    <w:rsid w:val="003A0878"/>
    <w:rsid w:val="003A1B4E"/>
    <w:rsid w:val="003A1DCF"/>
    <w:rsid w:val="003A581E"/>
    <w:rsid w:val="003A7FDF"/>
    <w:rsid w:val="003B6606"/>
    <w:rsid w:val="003B7CC2"/>
    <w:rsid w:val="003C14EA"/>
    <w:rsid w:val="003C7AEB"/>
    <w:rsid w:val="003D2279"/>
    <w:rsid w:val="003D5CB5"/>
    <w:rsid w:val="003D6181"/>
    <w:rsid w:val="003E2883"/>
    <w:rsid w:val="003F2755"/>
    <w:rsid w:val="003F2F8A"/>
    <w:rsid w:val="003F5990"/>
    <w:rsid w:val="0040426D"/>
    <w:rsid w:val="0040567A"/>
    <w:rsid w:val="004116BA"/>
    <w:rsid w:val="004204AB"/>
    <w:rsid w:val="00423BED"/>
    <w:rsid w:val="00423F9F"/>
    <w:rsid w:val="00424FBA"/>
    <w:rsid w:val="00426F1A"/>
    <w:rsid w:val="004338C2"/>
    <w:rsid w:val="00437CA3"/>
    <w:rsid w:val="00437F4B"/>
    <w:rsid w:val="0044197C"/>
    <w:rsid w:val="004422D6"/>
    <w:rsid w:val="0044435B"/>
    <w:rsid w:val="00454786"/>
    <w:rsid w:val="00463ED6"/>
    <w:rsid w:val="00464FB4"/>
    <w:rsid w:val="0046600C"/>
    <w:rsid w:val="00473F3A"/>
    <w:rsid w:val="00474E1B"/>
    <w:rsid w:val="00476FB3"/>
    <w:rsid w:val="00480571"/>
    <w:rsid w:val="0048068E"/>
    <w:rsid w:val="00483370"/>
    <w:rsid w:val="0049241A"/>
    <w:rsid w:val="004A34D2"/>
    <w:rsid w:val="004A39F5"/>
    <w:rsid w:val="004A7360"/>
    <w:rsid w:val="004B0F88"/>
    <w:rsid w:val="004B7051"/>
    <w:rsid w:val="004C2980"/>
    <w:rsid w:val="004C7BDF"/>
    <w:rsid w:val="004D1644"/>
    <w:rsid w:val="004D1EDC"/>
    <w:rsid w:val="004D2913"/>
    <w:rsid w:val="004D5E56"/>
    <w:rsid w:val="004E0A7C"/>
    <w:rsid w:val="004E155F"/>
    <w:rsid w:val="004E55BD"/>
    <w:rsid w:val="004F0E77"/>
    <w:rsid w:val="004F51F1"/>
    <w:rsid w:val="0050201F"/>
    <w:rsid w:val="0050318F"/>
    <w:rsid w:val="00505884"/>
    <w:rsid w:val="0051074C"/>
    <w:rsid w:val="00512477"/>
    <w:rsid w:val="00513AF2"/>
    <w:rsid w:val="005227FE"/>
    <w:rsid w:val="005242F5"/>
    <w:rsid w:val="00524CD8"/>
    <w:rsid w:val="00525C92"/>
    <w:rsid w:val="00531F3C"/>
    <w:rsid w:val="00535DE4"/>
    <w:rsid w:val="00543B27"/>
    <w:rsid w:val="0054413A"/>
    <w:rsid w:val="0054554C"/>
    <w:rsid w:val="0055231D"/>
    <w:rsid w:val="005524EE"/>
    <w:rsid w:val="00554EBC"/>
    <w:rsid w:val="005564CA"/>
    <w:rsid w:val="0055654C"/>
    <w:rsid w:val="00557EE3"/>
    <w:rsid w:val="0056182B"/>
    <w:rsid w:val="0056775B"/>
    <w:rsid w:val="00570E49"/>
    <w:rsid w:val="00574B18"/>
    <w:rsid w:val="005756AA"/>
    <w:rsid w:val="00575AA0"/>
    <w:rsid w:val="0058447F"/>
    <w:rsid w:val="0059415D"/>
    <w:rsid w:val="005962C7"/>
    <w:rsid w:val="00597E8D"/>
    <w:rsid w:val="005A4D2B"/>
    <w:rsid w:val="005B27BE"/>
    <w:rsid w:val="005B4834"/>
    <w:rsid w:val="005D477C"/>
    <w:rsid w:val="005D51FA"/>
    <w:rsid w:val="005D580F"/>
    <w:rsid w:val="005D791B"/>
    <w:rsid w:val="005E01B5"/>
    <w:rsid w:val="005F341C"/>
    <w:rsid w:val="005F4906"/>
    <w:rsid w:val="005F611B"/>
    <w:rsid w:val="006057EE"/>
    <w:rsid w:val="00607D9A"/>
    <w:rsid w:val="006146EA"/>
    <w:rsid w:val="00614817"/>
    <w:rsid w:val="00615EE8"/>
    <w:rsid w:val="00622E5D"/>
    <w:rsid w:val="00630365"/>
    <w:rsid w:val="00633DBF"/>
    <w:rsid w:val="006355B9"/>
    <w:rsid w:val="00635B7B"/>
    <w:rsid w:val="00637E65"/>
    <w:rsid w:val="00655371"/>
    <w:rsid w:val="00660F20"/>
    <w:rsid w:val="0067015F"/>
    <w:rsid w:val="006767F9"/>
    <w:rsid w:val="00680FAB"/>
    <w:rsid w:val="006873AF"/>
    <w:rsid w:val="00691F16"/>
    <w:rsid w:val="00694D2C"/>
    <w:rsid w:val="006951AB"/>
    <w:rsid w:val="00695D75"/>
    <w:rsid w:val="00697665"/>
    <w:rsid w:val="0069781D"/>
    <w:rsid w:val="00697EDA"/>
    <w:rsid w:val="006A003D"/>
    <w:rsid w:val="006A0E30"/>
    <w:rsid w:val="006A234D"/>
    <w:rsid w:val="006A367D"/>
    <w:rsid w:val="006A4683"/>
    <w:rsid w:val="006A7CB5"/>
    <w:rsid w:val="006A7FD0"/>
    <w:rsid w:val="006B35F0"/>
    <w:rsid w:val="006B5AF7"/>
    <w:rsid w:val="006B6FE9"/>
    <w:rsid w:val="006C04A6"/>
    <w:rsid w:val="006C18D9"/>
    <w:rsid w:val="006D7687"/>
    <w:rsid w:val="006D7E42"/>
    <w:rsid w:val="006E0572"/>
    <w:rsid w:val="006E1C9B"/>
    <w:rsid w:val="006F215F"/>
    <w:rsid w:val="006F2E13"/>
    <w:rsid w:val="006F3E41"/>
    <w:rsid w:val="007012D4"/>
    <w:rsid w:val="00701ED9"/>
    <w:rsid w:val="00702A3A"/>
    <w:rsid w:val="007051A9"/>
    <w:rsid w:val="00705631"/>
    <w:rsid w:val="00707CCA"/>
    <w:rsid w:val="00710CDA"/>
    <w:rsid w:val="00710E01"/>
    <w:rsid w:val="00715EAA"/>
    <w:rsid w:val="007160F4"/>
    <w:rsid w:val="00720AB4"/>
    <w:rsid w:val="00725460"/>
    <w:rsid w:val="00725507"/>
    <w:rsid w:val="00732287"/>
    <w:rsid w:val="007362E0"/>
    <w:rsid w:val="007408BC"/>
    <w:rsid w:val="00742255"/>
    <w:rsid w:val="00742DD2"/>
    <w:rsid w:val="00747C96"/>
    <w:rsid w:val="0075094E"/>
    <w:rsid w:val="007522E8"/>
    <w:rsid w:val="007547F1"/>
    <w:rsid w:val="0075647A"/>
    <w:rsid w:val="007634AD"/>
    <w:rsid w:val="007651DD"/>
    <w:rsid w:val="007709AB"/>
    <w:rsid w:val="00773A32"/>
    <w:rsid w:val="00775632"/>
    <w:rsid w:val="00780517"/>
    <w:rsid w:val="0078122E"/>
    <w:rsid w:val="007831FF"/>
    <w:rsid w:val="00790F46"/>
    <w:rsid w:val="00793BC5"/>
    <w:rsid w:val="007943F5"/>
    <w:rsid w:val="00795647"/>
    <w:rsid w:val="007A056E"/>
    <w:rsid w:val="007B0854"/>
    <w:rsid w:val="007B2E4A"/>
    <w:rsid w:val="007B396F"/>
    <w:rsid w:val="007C7FDA"/>
    <w:rsid w:val="007E78DB"/>
    <w:rsid w:val="007F1AC5"/>
    <w:rsid w:val="007F63DD"/>
    <w:rsid w:val="007F6B46"/>
    <w:rsid w:val="007F72CB"/>
    <w:rsid w:val="00811420"/>
    <w:rsid w:val="008138A0"/>
    <w:rsid w:val="008217B7"/>
    <w:rsid w:val="0083119B"/>
    <w:rsid w:val="008312A8"/>
    <w:rsid w:val="00832D19"/>
    <w:rsid w:val="00832D23"/>
    <w:rsid w:val="00834D4D"/>
    <w:rsid w:val="00836EAB"/>
    <w:rsid w:val="00837CDB"/>
    <w:rsid w:val="00840C83"/>
    <w:rsid w:val="00843A9B"/>
    <w:rsid w:val="0084721C"/>
    <w:rsid w:val="0085092D"/>
    <w:rsid w:val="00850F79"/>
    <w:rsid w:val="00853A7E"/>
    <w:rsid w:val="00861244"/>
    <w:rsid w:val="00863BBF"/>
    <w:rsid w:val="008657ED"/>
    <w:rsid w:val="00876E55"/>
    <w:rsid w:val="008862F7"/>
    <w:rsid w:val="00891362"/>
    <w:rsid w:val="0089774F"/>
    <w:rsid w:val="008A4139"/>
    <w:rsid w:val="008B21A3"/>
    <w:rsid w:val="008B4420"/>
    <w:rsid w:val="008B5346"/>
    <w:rsid w:val="008B5493"/>
    <w:rsid w:val="008B5AFD"/>
    <w:rsid w:val="008B624C"/>
    <w:rsid w:val="008D0AAF"/>
    <w:rsid w:val="008D4F28"/>
    <w:rsid w:val="008E1C15"/>
    <w:rsid w:val="008E360E"/>
    <w:rsid w:val="008E4819"/>
    <w:rsid w:val="008E580B"/>
    <w:rsid w:val="008E62E9"/>
    <w:rsid w:val="008F538E"/>
    <w:rsid w:val="00902C8C"/>
    <w:rsid w:val="00902E00"/>
    <w:rsid w:val="0090301F"/>
    <w:rsid w:val="0090345B"/>
    <w:rsid w:val="009047C5"/>
    <w:rsid w:val="009056C7"/>
    <w:rsid w:val="00910FF4"/>
    <w:rsid w:val="00911926"/>
    <w:rsid w:val="009140E7"/>
    <w:rsid w:val="00914A8A"/>
    <w:rsid w:val="00915DA5"/>
    <w:rsid w:val="00916D98"/>
    <w:rsid w:val="00925338"/>
    <w:rsid w:val="00927077"/>
    <w:rsid w:val="00927878"/>
    <w:rsid w:val="00932576"/>
    <w:rsid w:val="009335AF"/>
    <w:rsid w:val="00933AC6"/>
    <w:rsid w:val="00934C1C"/>
    <w:rsid w:val="00935651"/>
    <w:rsid w:val="00936478"/>
    <w:rsid w:val="00942C37"/>
    <w:rsid w:val="00944C42"/>
    <w:rsid w:val="0095385A"/>
    <w:rsid w:val="00953D0A"/>
    <w:rsid w:val="00957190"/>
    <w:rsid w:val="00960730"/>
    <w:rsid w:val="00964B34"/>
    <w:rsid w:val="00964EB1"/>
    <w:rsid w:val="00966FDE"/>
    <w:rsid w:val="00971516"/>
    <w:rsid w:val="009739D8"/>
    <w:rsid w:val="00980FCD"/>
    <w:rsid w:val="00981CB1"/>
    <w:rsid w:val="00982320"/>
    <w:rsid w:val="0099306D"/>
    <w:rsid w:val="00994E63"/>
    <w:rsid w:val="009955D9"/>
    <w:rsid w:val="009A51B0"/>
    <w:rsid w:val="009B0F78"/>
    <w:rsid w:val="009B41C7"/>
    <w:rsid w:val="009B4797"/>
    <w:rsid w:val="009B5012"/>
    <w:rsid w:val="009B68E5"/>
    <w:rsid w:val="009B75DC"/>
    <w:rsid w:val="009C6BBC"/>
    <w:rsid w:val="009D3A93"/>
    <w:rsid w:val="009D475B"/>
    <w:rsid w:val="009D6AD1"/>
    <w:rsid w:val="009E2F73"/>
    <w:rsid w:val="009E3619"/>
    <w:rsid w:val="009F59C2"/>
    <w:rsid w:val="00A0046E"/>
    <w:rsid w:val="00A03447"/>
    <w:rsid w:val="00A05EEE"/>
    <w:rsid w:val="00A13F96"/>
    <w:rsid w:val="00A17105"/>
    <w:rsid w:val="00A17369"/>
    <w:rsid w:val="00A23EB2"/>
    <w:rsid w:val="00A241D7"/>
    <w:rsid w:val="00A24560"/>
    <w:rsid w:val="00A337D3"/>
    <w:rsid w:val="00A34521"/>
    <w:rsid w:val="00A34538"/>
    <w:rsid w:val="00A35C49"/>
    <w:rsid w:val="00A363A7"/>
    <w:rsid w:val="00A37FB6"/>
    <w:rsid w:val="00A50B8D"/>
    <w:rsid w:val="00A6123F"/>
    <w:rsid w:val="00A63ECE"/>
    <w:rsid w:val="00A65A20"/>
    <w:rsid w:val="00A6620E"/>
    <w:rsid w:val="00A673A2"/>
    <w:rsid w:val="00A74228"/>
    <w:rsid w:val="00A86258"/>
    <w:rsid w:val="00A91366"/>
    <w:rsid w:val="00A92C47"/>
    <w:rsid w:val="00A953E3"/>
    <w:rsid w:val="00AA08E7"/>
    <w:rsid w:val="00AA3342"/>
    <w:rsid w:val="00AA442B"/>
    <w:rsid w:val="00AA669D"/>
    <w:rsid w:val="00AB08B7"/>
    <w:rsid w:val="00AB0EE5"/>
    <w:rsid w:val="00AB6338"/>
    <w:rsid w:val="00AC3ED6"/>
    <w:rsid w:val="00AC66F8"/>
    <w:rsid w:val="00AC6D39"/>
    <w:rsid w:val="00AD008F"/>
    <w:rsid w:val="00AD031C"/>
    <w:rsid w:val="00AD5387"/>
    <w:rsid w:val="00AE7CD1"/>
    <w:rsid w:val="00AF0E19"/>
    <w:rsid w:val="00AF6AC7"/>
    <w:rsid w:val="00B0031B"/>
    <w:rsid w:val="00B01112"/>
    <w:rsid w:val="00B0389A"/>
    <w:rsid w:val="00B04F47"/>
    <w:rsid w:val="00B13EC0"/>
    <w:rsid w:val="00B16EF2"/>
    <w:rsid w:val="00B175BB"/>
    <w:rsid w:val="00B20A61"/>
    <w:rsid w:val="00B22E22"/>
    <w:rsid w:val="00B24FBC"/>
    <w:rsid w:val="00B34A68"/>
    <w:rsid w:val="00B35DC6"/>
    <w:rsid w:val="00B35E3B"/>
    <w:rsid w:val="00B37B2B"/>
    <w:rsid w:val="00B42975"/>
    <w:rsid w:val="00B50303"/>
    <w:rsid w:val="00B525CB"/>
    <w:rsid w:val="00B54733"/>
    <w:rsid w:val="00B6148E"/>
    <w:rsid w:val="00B632B5"/>
    <w:rsid w:val="00B63872"/>
    <w:rsid w:val="00B63CB2"/>
    <w:rsid w:val="00B64EDB"/>
    <w:rsid w:val="00B749F5"/>
    <w:rsid w:val="00B77C45"/>
    <w:rsid w:val="00B821D0"/>
    <w:rsid w:val="00B91B8E"/>
    <w:rsid w:val="00B92E70"/>
    <w:rsid w:val="00B9337B"/>
    <w:rsid w:val="00B94B8B"/>
    <w:rsid w:val="00BA2647"/>
    <w:rsid w:val="00BB403F"/>
    <w:rsid w:val="00BB5941"/>
    <w:rsid w:val="00BB702E"/>
    <w:rsid w:val="00BC14F0"/>
    <w:rsid w:val="00BC2A36"/>
    <w:rsid w:val="00BC2EDE"/>
    <w:rsid w:val="00BC5ABB"/>
    <w:rsid w:val="00BC6790"/>
    <w:rsid w:val="00BC693E"/>
    <w:rsid w:val="00BC6F34"/>
    <w:rsid w:val="00BD1A87"/>
    <w:rsid w:val="00BD2276"/>
    <w:rsid w:val="00BD3341"/>
    <w:rsid w:val="00BD3751"/>
    <w:rsid w:val="00BD78FE"/>
    <w:rsid w:val="00BE37A4"/>
    <w:rsid w:val="00BE5845"/>
    <w:rsid w:val="00BE7228"/>
    <w:rsid w:val="00BF5C56"/>
    <w:rsid w:val="00C0714C"/>
    <w:rsid w:val="00C14D4E"/>
    <w:rsid w:val="00C17782"/>
    <w:rsid w:val="00C27448"/>
    <w:rsid w:val="00C27B1D"/>
    <w:rsid w:val="00C318D1"/>
    <w:rsid w:val="00C33549"/>
    <w:rsid w:val="00C33F03"/>
    <w:rsid w:val="00C4161D"/>
    <w:rsid w:val="00C559E5"/>
    <w:rsid w:val="00C57418"/>
    <w:rsid w:val="00C61DDC"/>
    <w:rsid w:val="00C6486F"/>
    <w:rsid w:val="00C75CCC"/>
    <w:rsid w:val="00C835E8"/>
    <w:rsid w:val="00C90631"/>
    <w:rsid w:val="00C950CE"/>
    <w:rsid w:val="00C9589B"/>
    <w:rsid w:val="00C96EA7"/>
    <w:rsid w:val="00CA2F09"/>
    <w:rsid w:val="00CB1FEE"/>
    <w:rsid w:val="00CB2124"/>
    <w:rsid w:val="00CC00CD"/>
    <w:rsid w:val="00CD029C"/>
    <w:rsid w:val="00CE2D35"/>
    <w:rsid w:val="00CE399E"/>
    <w:rsid w:val="00CE67A7"/>
    <w:rsid w:val="00CF26C1"/>
    <w:rsid w:val="00CF3CC7"/>
    <w:rsid w:val="00D01760"/>
    <w:rsid w:val="00D05259"/>
    <w:rsid w:val="00D1065C"/>
    <w:rsid w:val="00D10698"/>
    <w:rsid w:val="00D11270"/>
    <w:rsid w:val="00D15AF6"/>
    <w:rsid w:val="00D16E39"/>
    <w:rsid w:val="00D21E9A"/>
    <w:rsid w:val="00D21EB9"/>
    <w:rsid w:val="00D223B6"/>
    <w:rsid w:val="00D25A16"/>
    <w:rsid w:val="00D316F2"/>
    <w:rsid w:val="00D46068"/>
    <w:rsid w:val="00D50CAA"/>
    <w:rsid w:val="00D52EE2"/>
    <w:rsid w:val="00D53B26"/>
    <w:rsid w:val="00D60327"/>
    <w:rsid w:val="00D62DFA"/>
    <w:rsid w:val="00D72E9D"/>
    <w:rsid w:val="00D7500E"/>
    <w:rsid w:val="00D8010E"/>
    <w:rsid w:val="00D805FB"/>
    <w:rsid w:val="00D82CE5"/>
    <w:rsid w:val="00D8567D"/>
    <w:rsid w:val="00D87535"/>
    <w:rsid w:val="00D8799F"/>
    <w:rsid w:val="00D91CE8"/>
    <w:rsid w:val="00D920A3"/>
    <w:rsid w:val="00D954DB"/>
    <w:rsid w:val="00D979F7"/>
    <w:rsid w:val="00DA153B"/>
    <w:rsid w:val="00DA1FA8"/>
    <w:rsid w:val="00DA5AB1"/>
    <w:rsid w:val="00DA5BD4"/>
    <w:rsid w:val="00DB3253"/>
    <w:rsid w:val="00DB3DC1"/>
    <w:rsid w:val="00DB5056"/>
    <w:rsid w:val="00DC62E5"/>
    <w:rsid w:val="00DD32E5"/>
    <w:rsid w:val="00DD4248"/>
    <w:rsid w:val="00DD56D9"/>
    <w:rsid w:val="00DD735D"/>
    <w:rsid w:val="00DD7469"/>
    <w:rsid w:val="00DE1C3E"/>
    <w:rsid w:val="00DE3119"/>
    <w:rsid w:val="00DE3414"/>
    <w:rsid w:val="00DE6035"/>
    <w:rsid w:val="00DE7990"/>
    <w:rsid w:val="00DE7C82"/>
    <w:rsid w:val="00DF231B"/>
    <w:rsid w:val="00DF236B"/>
    <w:rsid w:val="00DF3C4C"/>
    <w:rsid w:val="00E02CDA"/>
    <w:rsid w:val="00E02E9B"/>
    <w:rsid w:val="00E0384A"/>
    <w:rsid w:val="00E0385F"/>
    <w:rsid w:val="00E06817"/>
    <w:rsid w:val="00E12437"/>
    <w:rsid w:val="00E126F4"/>
    <w:rsid w:val="00E13A73"/>
    <w:rsid w:val="00E13AB8"/>
    <w:rsid w:val="00E17F43"/>
    <w:rsid w:val="00E2173C"/>
    <w:rsid w:val="00E219B6"/>
    <w:rsid w:val="00E220B8"/>
    <w:rsid w:val="00E25CB3"/>
    <w:rsid w:val="00E25DB9"/>
    <w:rsid w:val="00E25E87"/>
    <w:rsid w:val="00E33B62"/>
    <w:rsid w:val="00E40A7B"/>
    <w:rsid w:val="00E4143A"/>
    <w:rsid w:val="00E41AB5"/>
    <w:rsid w:val="00E5054C"/>
    <w:rsid w:val="00E55BA9"/>
    <w:rsid w:val="00E62E17"/>
    <w:rsid w:val="00E6465A"/>
    <w:rsid w:val="00E655E1"/>
    <w:rsid w:val="00E7237C"/>
    <w:rsid w:val="00E74FD3"/>
    <w:rsid w:val="00E947C6"/>
    <w:rsid w:val="00E9608D"/>
    <w:rsid w:val="00EA0A25"/>
    <w:rsid w:val="00EA10C4"/>
    <w:rsid w:val="00EA3C33"/>
    <w:rsid w:val="00EA6DF4"/>
    <w:rsid w:val="00EC15C7"/>
    <w:rsid w:val="00EC15D7"/>
    <w:rsid w:val="00EC2D02"/>
    <w:rsid w:val="00EC56BD"/>
    <w:rsid w:val="00ED003C"/>
    <w:rsid w:val="00ED4297"/>
    <w:rsid w:val="00ED7F2B"/>
    <w:rsid w:val="00EE2167"/>
    <w:rsid w:val="00EE4791"/>
    <w:rsid w:val="00EE59B5"/>
    <w:rsid w:val="00EE7A59"/>
    <w:rsid w:val="00F0327A"/>
    <w:rsid w:val="00F0339E"/>
    <w:rsid w:val="00F03C96"/>
    <w:rsid w:val="00F13DFC"/>
    <w:rsid w:val="00F2317D"/>
    <w:rsid w:val="00F31B03"/>
    <w:rsid w:val="00F31DE4"/>
    <w:rsid w:val="00F33500"/>
    <w:rsid w:val="00F45D17"/>
    <w:rsid w:val="00F53968"/>
    <w:rsid w:val="00F5424F"/>
    <w:rsid w:val="00F5676A"/>
    <w:rsid w:val="00F60C66"/>
    <w:rsid w:val="00F66AE0"/>
    <w:rsid w:val="00F73738"/>
    <w:rsid w:val="00F76196"/>
    <w:rsid w:val="00F77536"/>
    <w:rsid w:val="00F821CC"/>
    <w:rsid w:val="00F84899"/>
    <w:rsid w:val="00F858D2"/>
    <w:rsid w:val="00F859F0"/>
    <w:rsid w:val="00F87563"/>
    <w:rsid w:val="00F913F2"/>
    <w:rsid w:val="00F91676"/>
    <w:rsid w:val="00FA10C5"/>
    <w:rsid w:val="00FA771E"/>
    <w:rsid w:val="00FC1DD9"/>
    <w:rsid w:val="00FC3673"/>
    <w:rsid w:val="00FD5740"/>
    <w:rsid w:val="00FD57E1"/>
    <w:rsid w:val="00FD7704"/>
    <w:rsid w:val="00FE141E"/>
    <w:rsid w:val="00FE42ED"/>
    <w:rsid w:val="00FE6CFF"/>
    <w:rsid w:val="00FF5E30"/>
    <w:rsid w:val="10328C76"/>
    <w:rsid w:val="277B6C2B"/>
    <w:rsid w:val="3B6D2889"/>
    <w:rsid w:val="4453F9DC"/>
    <w:rsid w:val="54D660B6"/>
    <w:rsid w:val="7AB3EA7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viasNormal">
    <w:name w:val="Invias Normal"/>
    <w:basedOn w:val="Normal"/>
    <w:link w:val="InviasNormalCar"/>
    <w:qFormat/>
    <w:rsid w:val="008138A0"/>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8138A0"/>
    <w:rPr>
      <w:rFonts w:ascii="Arial Narrow" w:eastAsia="Times New Roman" w:hAnsi="Arial Narrow" w:cs="Times New Roman"/>
      <w:color w:val="3C3C3C" w:themeColor="background2" w:themeShade="40"/>
      <w:sz w:val="24"/>
      <w:szCs w:val="24"/>
      <w:lang w:val="x-none" w:eastAsia="es-ES"/>
    </w:rPr>
  </w:style>
  <w:style w:type="paragraph" w:customStyle="1" w:styleId="Default">
    <w:name w:val="Default"/>
    <w:rsid w:val="003D2279"/>
    <w:pPr>
      <w:autoSpaceDE w:val="0"/>
      <w:autoSpaceDN w:val="0"/>
      <w:adjustRightInd w:val="0"/>
      <w:spacing w:after="0" w:line="240" w:lineRule="auto"/>
    </w:pPr>
    <w:rPr>
      <w:rFonts w:ascii="Arial" w:hAnsi="Arial" w:cs="Arial"/>
      <w:color w:val="000000"/>
      <w:sz w:val="24"/>
      <w:szCs w:val="24"/>
    </w:rPr>
  </w:style>
  <w:style w:type="paragraph" w:customStyle="1" w:styleId="j">
    <w:name w:val="j"/>
    <w:basedOn w:val="Normal"/>
    <w:rsid w:val="00423BED"/>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acep">
    <w:name w:val="n_acep"/>
    <w:basedOn w:val="Fuentedeprrafopredeter"/>
    <w:rsid w:val="00423BED"/>
  </w:style>
  <w:style w:type="paragraph" w:customStyle="1" w:styleId="xmsonormal">
    <w:name w:val="x_msonormal"/>
    <w:basedOn w:val="Normal"/>
    <w:rsid w:val="00EA10C4"/>
    <w:rPr>
      <w:rFonts w:ascii="Calibri" w:hAnsi="Calibri" w:cs="Calibri"/>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08551190">
      <w:bodyDiv w:val="1"/>
      <w:marLeft w:val="0"/>
      <w:marRight w:val="0"/>
      <w:marTop w:val="0"/>
      <w:marBottom w:val="0"/>
      <w:divBdr>
        <w:top w:val="none" w:sz="0" w:space="0" w:color="auto"/>
        <w:left w:val="none" w:sz="0" w:space="0" w:color="auto"/>
        <w:bottom w:val="none" w:sz="0" w:space="0" w:color="auto"/>
        <w:right w:val="none" w:sz="0" w:space="0" w:color="auto"/>
      </w:divBdr>
    </w:div>
    <w:div w:id="113525748">
      <w:bodyDiv w:val="1"/>
      <w:marLeft w:val="0"/>
      <w:marRight w:val="0"/>
      <w:marTop w:val="0"/>
      <w:marBottom w:val="0"/>
      <w:divBdr>
        <w:top w:val="none" w:sz="0" w:space="0" w:color="auto"/>
        <w:left w:val="none" w:sz="0" w:space="0" w:color="auto"/>
        <w:bottom w:val="none" w:sz="0" w:space="0" w:color="auto"/>
        <w:right w:val="none" w:sz="0" w:space="0" w:color="auto"/>
      </w:divBdr>
    </w:div>
    <w:div w:id="118766121">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53784409">
      <w:bodyDiv w:val="1"/>
      <w:marLeft w:val="0"/>
      <w:marRight w:val="0"/>
      <w:marTop w:val="0"/>
      <w:marBottom w:val="0"/>
      <w:divBdr>
        <w:top w:val="none" w:sz="0" w:space="0" w:color="auto"/>
        <w:left w:val="none" w:sz="0" w:space="0" w:color="auto"/>
        <w:bottom w:val="none" w:sz="0" w:space="0" w:color="auto"/>
        <w:right w:val="none" w:sz="0" w:space="0" w:color="auto"/>
      </w:divBdr>
    </w:div>
    <w:div w:id="637613382">
      <w:bodyDiv w:val="1"/>
      <w:marLeft w:val="0"/>
      <w:marRight w:val="0"/>
      <w:marTop w:val="0"/>
      <w:marBottom w:val="0"/>
      <w:divBdr>
        <w:top w:val="none" w:sz="0" w:space="0" w:color="auto"/>
        <w:left w:val="none" w:sz="0" w:space="0" w:color="auto"/>
        <w:bottom w:val="none" w:sz="0" w:space="0" w:color="auto"/>
        <w:right w:val="none" w:sz="0" w:space="0" w:color="auto"/>
      </w:divBdr>
    </w:div>
    <w:div w:id="666326323">
      <w:bodyDiv w:val="1"/>
      <w:marLeft w:val="0"/>
      <w:marRight w:val="0"/>
      <w:marTop w:val="0"/>
      <w:marBottom w:val="0"/>
      <w:divBdr>
        <w:top w:val="none" w:sz="0" w:space="0" w:color="auto"/>
        <w:left w:val="none" w:sz="0" w:space="0" w:color="auto"/>
        <w:bottom w:val="none" w:sz="0" w:space="0" w:color="auto"/>
        <w:right w:val="none" w:sz="0" w:space="0" w:color="auto"/>
      </w:divBdr>
    </w:div>
    <w:div w:id="705566845">
      <w:bodyDiv w:val="1"/>
      <w:marLeft w:val="0"/>
      <w:marRight w:val="0"/>
      <w:marTop w:val="0"/>
      <w:marBottom w:val="0"/>
      <w:divBdr>
        <w:top w:val="none" w:sz="0" w:space="0" w:color="auto"/>
        <w:left w:val="none" w:sz="0" w:space="0" w:color="auto"/>
        <w:bottom w:val="none" w:sz="0" w:space="0" w:color="auto"/>
        <w:right w:val="none" w:sz="0" w:space="0" w:color="auto"/>
      </w:divBdr>
      <w:divsChild>
        <w:div w:id="1338271095">
          <w:marLeft w:val="0"/>
          <w:marRight w:val="0"/>
          <w:marTop w:val="0"/>
          <w:marBottom w:val="0"/>
          <w:divBdr>
            <w:top w:val="none" w:sz="0" w:space="0" w:color="auto"/>
            <w:left w:val="none" w:sz="0" w:space="0" w:color="auto"/>
            <w:bottom w:val="none" w:sz="0" w:space="0" w:color="auto"/>
            <w:right w:val="none" w:sz="0" w:space="0" w:color="auto"/>
          </w:divBdr>
        </w:div>
      </w:divsChild>
    </w:div>
    <w:div w:id="848329974">
      <w:bodyDiv w:val="1"/>
      <w:marLeft w:val="0"/>
      <w:marRight w:val="0"/>
      <w:marTop w:val="0"/>
      <w:marBottom w:val="0"/>
      <w:divBdr>
        <w:top w:val="none" w:sz="0" w:space="0" w:color="auto"/>
        <w:left w:val="none" w:sz="0" w:space="0" w:color="auto"/>
        <w:bottom w:val="none" w:sz="0" w:space="0" w:color="auto"/>
        <w:right w:val="none" w:sz="0" w:space="0" w:color="auto"/>
      </w:divBdr>
    </w:div>
    <w:div w:id="942422348">
      <w:bodyDiv w:val="1"/>
      <w:marLeft w:val="0"/>
      <w:marRight w:val="0"/>
      <w:marTop w:val="0"/>
      <w:marBottom w:val="0"/>
      <w:divBdr>
        <w:top w:val="none" w:sz="0" w:space="0" w:color="auto"/>
        <w:left w:val="none" w:sz="0" w:space="0" w:color="auto"/>
        <w:bottom w:val="none" w:sz="0" w:space="0" w:color="auto"/>
        <w:right w:val="none" w:sz="0" w:space="0" w:color="auto"/>
      </w:divBdr>
    </w:div>
    <w:div w:id="959455616">
      <w:bodyDiv w:val="1"/>
      <w:marLeft w:val="0"/>
      <w:marRight w:val="0"/>
      <w:marTop w:val="0"/>
      <w:marBottom w:val="0"/>
      <w:divBdr>
        <w:top w:val="none" w:sz="0" w:space="0" w:color="auto"/>
        <w:left w:val="none" w:sz="0" w:space="0" w:color="auto"/>
        <w:bottom w:val="none" w:sz="0" w:space="0" w:color="auto"/>
        <w:right w:val="none" w:sz="0" w:space="0" w:color="auto"/>
      </w:divBdr>
    </w:div>
    <w:div w:id="1111316638">
      <w:bodyDiv w:val="1"/>
      <w:marLeft w:val="0"/>
      <w:marRight w:val="0"/>
      <w:marTop w:val="0"/>
      <w:marBottom w:val="0"/>
      <w:divBdr>
        <w:top w:val="none" w:sz="0" w:space="0" w:color="auto"/>
        <w:left w:val="none" w:sz="0" w:space="0" w:color="auto"/>
        <w:bottom w:val="none" w:sz="0" w:space="0" w:color="auto"/>
        <w:right w:val="none" w:sz="0" w:space="0" w:color="auto"/>
      </w:divBdr>
    </w:div>
    <w:div w:id="1322810621">
      <w:bodyDiv w:val="1"/>
      <w:marLeft w:val="0"/>
      <w:marRight w:val="0"/>
      <w:marTop w:val="0"/>
      <w:marBottom w:val="0"/>
      <w:divBdr>
        <w:top w:val="none" w:sz="0" w:space="0" w:color="auto"/>
        <w:left w:val="none" w:sz="0" w:space="0" w:color="auto"/>
        <w:bottom w:val="none" w:sz="0" w:space="0" w:color="auto"/>
        <w:right w:val="none" w:sz="0" w:space="0" w:color="auto"/>
      </w:divBdr>
    </w:div>
    <w:div w:id="1343118561">
      <w:bodyDiv w:val="1"/>
      <w:marLeft w:val="0"/>
      <w:marRight w:val="0"/>
      <w:marTop w:val="0"/>
      <w:marBottom w:val="0"/>
      <w:divBdr>
        <w:top w:val="none" w:sz="0" w:space="0" w:color="auto"/>
        <w:left w:val="none" w:sz="0" w:space="0" w:color="auto"/>
        <w:bottom w:val="none" w:sz="0" w:space="0" w:color="auto"/>
        <w:right w:val="none" w:sz="0" w:space="0" w:color="auto"/>
      </w:divBdr>
    </w:div>
    <w:div w:id="1721588054">
      <w:bodyDiv w:val="1"/>
      <w:marLeft w:val="0"/>
      <w:marRight w:val="0"/>
      <w:marTop w:val="0"/>
      <w:marBottom w:val="0"/>
      <w:divBdr>
        <w:top w:val="none" w:sz="0" w:space="0" w:color="auto"/>
        <w:left w:val="none" w:sz="0" w:space="0" w:color="auto"/>
        <w:bottom w:val="none" w:sz="0" w:space="0" w:color="auto"/>
        <w:right w:val="none" w:sz="0" w:space="0" w:color="auto"/>
      </w:divBdr>
    </w:div>
    <w:div w:id="2031639719">
      <w:bodyDiv w:val="1"/>
      <w:marLeft w:val="0"/>
      <w:marRight w:val="0"/>
      <w:marTop w:val="0"/>
      <w:marBottom w:val="0"/>
      <w:divBdr>
        <w:top w:val="none" w:sz="0" w:space="0" w:color="auto"/>
        <w:left w:val="none" w:sz="0" w:space="0" w:color="auto"/>
        <w:bottom w:val="none" w:sz="0" w:space="0" w:color="auto"/>
        <w:right w:val="none" w:sz="0" w:space="0" w:color="auto"/>
      </w:divBdr>
    </w:div>
    <w:div w:id="205437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0B14867-9F10-4CAA-B632-5D2E887510F3}">
  <ds:schemaRefs>
    <ds:schemaRef ds:uri="http://schemas.openxmlformats.org/officeDocument/2006/bibliography"/>
  </ds:schemaRefs>
</ds:datastoreItem>
</file>

<file path=customXml/itemProps2.xml><?xml version="1.0" encoding="utf-8"?>
<ds:datastoreItem xmlns:ds="http://schemas.openxmlformats.org/officeDocument/2006/customXml" ds:itemID="{E627334F-1381-4C06-B2A3-F314F574F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A83E0804-B47B-4445-97DF-8F57F9C47D2C}">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3505</Words>
  <Characters>19279</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2</cp:revision>
  <cp:lastPrinted>2020-03-03T23:20:00Z</cp:lastPrinted>
  <dcterms:created xsi:type="dcterms:W3CDTF">2022-04-05T15:27:00Z</dcterms:created>
  <dcterms:modified xsi:type="dcterms:W3CDTF">2022-04-05T15:27:00Z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