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73D9" w14:textId="77777777" w:rsidR="00BD49C8" w:rsidRPr="006A71B3" w:rsidRDefault="00BD49C8" w:rsidP="00BD49C8">
      <w:pPr>
        <w:spacing w:line="276" w:lineRule="auto"/>
        <w:jc w:val="right"/>
        <w:rPr>
          <w:rFonts w:ascii="Arial" w:eastAsia="Calibri" w:hAnsi="Arial" w:cs="Arial"/>
          <w:b/>
          <w:sz w:val="22"/>
        </w:rPr>
      </w:pPr>
      <w:bookmarkStart w:id="0" w:name="_Hlk29890381"/>
      <w:r w:rsidRPr="006A71B3">
        <w:rPr>
          <w:rFonts w:ascii="Arial" w:eastAsia="Times New Roman" w:hAnsi="Arial" w:cs="Arial"/>
          <w:sz w:val="16"/>
          <w:szCs w:val="16"/>
          <w:lang w:eastAsia="es-ES"/>
        </w:rPr>
        <w:t>CCE-DES-FM-17</w:t>
      </w:r>
    </w:p>
    <w:p w14:paraId="10A4448B" w14:textId="77777777" w:rsidR="00BD49C8" w:rsidRPr="00F94DBD" w:rsidRDefault="00BD49C8" w:rsidP="00BD49C8">
      <w:pPr>
        <w:jc w:val="both"/>
        <w:rPr>
          <w:rFonts w:ascii="Arial" w:eastAsia="Calibri" w:hAnsi="Arial" w:cs="Arial"/>
          <w:b/>
          <w:sz w:val="22"/>
          <w:highlight w:val="yellow"/>
        </w:rPr>
      </w:pPr>
      <w:bookmarkStart w:id="1" w:name="_Hlk34141372"/>
      <w:bookmarkEnd w:id="1"/>
    </w:p>
    <w:p w14:paraId="669E322A" w14:textId="77777777" w:rsidR="00611F94" w:rsidRPr="006A71B3" w:rsidRDefault="00611F94" w:rsidP="00611F94">
      <w:pPr>
        <w:jc w:val="both"/>
        <w:rPr>
          <w:rFonts w:ascii="Arial" w:eastAsia="Calibri" w:hAnsi="Arial" w:cs="Arial"/>
          <w:b/>
          <w:bCs/>
          <w:sz w:val="22"/>
          <w:lang w:val="es-CO" w:eastAsia="es-ES_tradnl"/>
        </w:rPr>
      </w:pPr>
      <w:r w:rsidRPr="006A71B3">
        <w:rPr>
          <w:rFonts w:ascii="Arial" w:eastAsia="Calibri" w:hAnsi="Arial" w:cs="Arial"/>
          <w:b/>
          <w:bCs/>
          <w:sz w:val="22"/>
          <w:lang w:val="es-CO" w:eastAsia="es-ES_tradnl"/>
        </w:rPr>
        <w:t>CAPACIDAD RESIDUAL – Definición</w:t>
      </w:r>
    </w:p>
    <w:p w14:paraId="5DF76114" w14:textId="77777777" w:rsidR="00611F94" w:rsidRPr="006A71B3" w:rsidRDefault="00611F94" w:rsidP="00611F94">
      <w:pPr>
        <w:jc w:val="both"/>
        <w:rPr>
          <w:rFonts w:ascii="Arial" w:eastAsia="Calibri" w:hAnsi="Arial" w:cs="Arial"/>
          <w:b/>
          <w:sz w:val="20"/>
          <w:szCs w:val="20"/>
          <w:lang w:val="es-CO" w:eastAsia="es-ES_tradnl"/>
        </w:rPr>
      </w:pPr>
    </w:p>
    <w:p w14:paraId="26DEC46F" w14:textId="1254DCA2" w:rsidR="00F94DBD" w:rsidRDefault="00F94DBD" w:rsidP="00F94DBD">
      <w:pPr>
        <w:jc w:val="both"/>
        <w:rPr>
          <w:rFonts w:ascii="Arial" w:eastAsia="Calibri" w:hAnsi="Arial" w:cs="Arial"/>
          <w:bCs/>
          <w:sz w:val="20"/>
          <w:szCs w:val="20"/>
          <w:lang w:val="es-CO" w:eastAsia="es-ES_tradnl"/>
        </w:rPr>
      </w:pPr>
      <w:r w:rsidRPr="00F94DBD">
        <w:rPr>
          <w:rFonts w:ascii="Arial" w:eastAsia="Calibri" w:hAnsi="Arial" w:cs="Arial"/>
          <w:bCs/>
          <w:sz w:val="20"/>
          <w:szCs w:val="20"/>
          <w:lang w:val="es-CO" w:eastAsia="es-ES_tradnl"/>
        </w:rPr>
        <w:t xml:space="preserve">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 </w:t>
      </w:r>
    </w:p>
    <w:p w14:paraId="66EFA334" w14:textId="77777777" w:rsidR="00F94DBD" w:rsidRPr="00F94DBD" w:rsidRDefault="00F94DBD" w:rsidP="00F94DBD">
      <w:pPr>
        <w:jc w:val="both"/>
        <w:rPr>
          <w:rFonts w:ascii="Arial" w:eastAsia="Calibri" w:hAnsi="Arial" w:cs="Arial"/>
          <w:bCs/>
          <w:sz w:val="20"/>
          <w:szCs w:val="20"/>
          <w:lang w:val="es-CO" w:eastAsia="es-ES_tradnl"/>
        </w:rPr>
      </w:pPr>
    </w:p>
    <w:p w14:paraId="765424B6" w14:textId="07DC45D6" w:rsidR="00611F94" w:rsidRPr="006A71B3" w:rsidRDefault="00F94DBD" w:rsidP="00F94DBD">
      <w:pPr>
        <w:jc w:val="both"/>
        <w:rPr>
          <w:rFonts w:ascii="Arial" w:eastAsia="Calibri" w:hAnsi="Arial" w:cs="Arial"/>
          <w:bCs/>
          <w:sz w:val="20"/>
          <w:szCs w:val="20"/>
          <w:lang w:val="es-CO" w:eastAsia="es-ES_tradnl"/>
        </w:rPr>
      </w:pPr>
      <w:r w:rsidRPr="00F94DBD">
        <w:rPr>
          <w:rFonts w:ascii="Arial" w:eastAsia="Calibri" w:hAnsi="Arial" w:cs="Arial"/>
          <w:bCs/>
          <w:sz w:val="20"/>
          <w:szCs w:val="20"/>
          <w:lang w:val="es-CO" w:eastAsia="es-ES_tradnl"/>
        </w:rPr>
        <w:t>Por su parte, el Consejo de Estado ha definido la capacidad residual como «[…] la diferencia que existe entre el potencial de contratación que se tiene y los compromisos que haya adquirido y que se encuentren en ejecución, para la fecha de presentación de la oferta» . Teniendo en cuenta lo dicho antes,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simultáneamente</w:t>
      </w:r>
      <w:r w:rsidR="00611F94" w:rsidRPr="006A71B3">
        <w:rPr>
          <w:rFonts w:ascii="Arial" w:eastAsia="Calibri" w:hAnsi="Arial" w:cs="Arial"/>
          <w:bCs/>
          <w:sz w:val="20"/>
          <w:szCs w:val="20"/>
          <w:lang w:val="es-CO" w:eastAsia="es-ES_tradnl"/>
        </w:rPr>
        <w:t>.</w:t>
      </w:r>
    </w:p>
    <w:p w14:paraId="15116244" w14:textId="77777777" w:rsidR="00611F94" w:rsidRPr="006A71B3" w:rsidRDefault="00611F94" w:rsidP="00611F94">
      <w:pPr>
        <w:jc w:val="both"/>
        <w:rPr>
          <w:rFonts w:ascii="Arial" w:eastAsia="Calibri" w:hAnsi="Arial" w:cs="Arial"/>
          <w:bCs/>
          <w:sz w:val="20"/>
          <w:szCs w:val="20"/>
          <w:lang w:val="es-CO" w:eastAsia="es-ES_tradnl"/>
        </w:rPr>
      </w:pPr>
    </w:p>
    <w:p w14:paraId="56F37FD4" w14:textId="77777777" w:rsidR="00611F94" w:rsidRPr="006A71B3" w:rsidRDefault="00611F94" w:rsidP="00611F94">
      <w:pPr>
        <w:jc w:val="both"/>
        <w:rPr>
          <w:rFonts w:ascii="Arial" w:eastAsia="Calibri" w:hAnsi="Arial" w:cs="Arial"/>
          <w:b/>
          <w:sz w:val="22"/>
          <w:szCs w:val="24"/>
          <w:lang w:val="es-CO" w:eastAsia="es-ES_tradnl"/>
        </w:rPr>
      </w:pPr>
      <w:r w:rsidRPr="0024421A">
        <w:rPr>
          <w:rFonts w:ascii="Arial" w:eastAsia="Calibri" w:hAnsi="Arial" w:cs="Arial"/>
          <w:b/>
          <w:sz w:val="22"/>
          <w:szCs w:val="24"/>
          <w:lang w:val="es-CO" w:eastAsia="es-ES_tradnl"/>
        </w:rPr>
        <w:t>CAPACIDAD RESIDUAL – Cálculo – Factores</w:t>
      </w:r>
    </w:p>
    <w:p w14:paraId="567BB989" w14:textId="77777777" w:rsidR="00611F94" w:rsidRPr="006A71B3" w:rsidRDefault="00611F94" w:rsidP="00611F94">
      <w:pPr>
        <w:jc w:val="both"/>
        <w:rPr>
          <w:rFonts w:ascii="Arial" w:eastAsia="Calibri" w:hAnsi="Arial" w:cs="Arial"/>
          <w:b/>
          <w:sz w:val="20"/>
          <w:szCs w:val="20"/>
          <w:lang w:val="es-CO" w:eastAsia="es-ES_tradnl"/>
        </w:rPr>
      </w:pPr>
    </w:p>
    <w:p w14:paraId="6389AE95" w14:textId="69827784" w:rsidR="00611F94" w:rsidRPr="006A71B3" w:rsidRDefault="0024421A" w:rsidP="00611F94">
      <w:pPr>
        <w:spacing w:after="120"/>
        <w:jc w:val="both"/>
        <w:rPr>
          <w:rFonts w:ascii="Arial" w:eastAsia="Calibri" w:hAnsi="Arial" w:cs="Arial"/>
          <w:bCs/>
          <w:sz w:val="20"/>
          <w:szCs w:val="20"/>
          <w:lang w:val="es-CO" w:eastAsia="es-ES_tradnl"/>
        </w:rPr>
      </w:pPr>
      <w:r w:rsidRPr="0024421A">
        <w:rPr>
          <w:rFonts w:ascii="Arial" w:eastAsia="Calibri" w:hAnsi="Arial" w:cs="Arial"/>
          <w:bCs/>
          <w:sz w:val="20"/>
          <w:szCs w:val="20"/>
          <w:lang w:val="es-CO" w:eastAsia="es-ES_tradnl"/>
        </w:rPr>
        <w:t xml:space="preserve">El artículo 6 de la Ley 1150 de 2007 estableció como condición «[…] para poder participar en los procesos de selección de los contratos de obra, la capacidad residual del proponente o K de contratación». Además, determinó que esta debe ser igual o superior a la establecida en los pliegos de condiciones </w:t>
      </w:r>
      <w:r w:rsidR="00611F94" w:rsidRPr="006A71B3">
        <w:rPr>
          <w:rFonts w:ascii="Arial" w:eastAsia="Calibri" w:hAnsi="Arial" w:cs="Arial"/>
          <w:bCs/>
          <w:sz w:val="20"/>
          <w:szCs w:val="20"/>
          <w:lang w:val="es-CO" w:eastAsia="es-ES_tradnl"/>
        </w:rPr>
        <w:t>[…].</w:t>
      </w:r>
      <w:r>
        <w:rPr>
          <w:rFonts w:ascii="Arial" w:eastAsia="Calibri" w:hAnsi="Arial" w:cs="Arial"/>
          <w:bCs/>
          <w:sz w:val="20"/>
          <w:szCs w:val="20"/>
          <w:lang w:val="es-CO" w:eastAsia="es-ES_tradnl"/>
        </w:rPr>
        <w:t xml:space="preserve"> </w:t>
      </w:r>
      <w:r w:rsidRPr="0024421A">
        <w:rPr>
          <w:rFonts w:ascii="Arial" w:eastAsia="Calibri" w:hAnsi="Arial" w:cs="Arial"/>
          <w:bCs/>
          <w:sz w:val="20"/>
          <w:szCs w:val="20"/>
          <w:lang w:val="es-CO" w:eastAsia="es-ES_tradnl"/>
        </w:rPr>
        <w:t xml:space="preserve">El artículo 2.2.1.1.1.6.4 del Decreto 1082 de 2015, por su parte, establece que las entidades estatales deben calcular la capacidad residual conforme a la metodología definida por Colombia Compre Eficiente y precisó que, para tales fines, resulta necesario tener en cuenta los factores de: i) experiencia; </w:t>
      </w:r>
      <w:proofErr w:type="spellStart"/>
      <w:r w:rsidRPr="0024421A">
        <w:rPr>
          <w:rFonts w:ascii="Arial" w:eastAsia="Calibri" w:hAnsi="Arial" w:cs="Arial"/>
          <w:bCs/>
          <w:sz w:val="20"/>
          <w:szCs w:val="20"/>
          <w:lang w:val="es-CO" w:eastAsia="es-ES_tradnl"/>
        </w:rPr>
        <w:t>ii</w:t>
      </w:r>
      <w:proofErr w:type="spellEnd"/>
      <w:r w:rsidRPr="0024421A">
        <w:rPr>
          <w:rFonts w:ascii="Arial" w:eastAsia="Calibri" w:hAnsi="Arial" w:cs="Arial"/>
          <w:bCs/>
          <w:sz w:val="20"/>
          <w:szCs w:val="20"/>
          <w:lang w:val="es-CO" w:eastAsia="es-ES_tradnl"/>
        </w:rPr>
        <w:t xml:space="preserve">) capacidad financiera; </w:t>
      </w:r>
      <w:proofErr w:type="spellStart"/>
      <w:r w:rsidRPr="0024421A">
        <w:rPr>
          <w:rFonts w:ascii="Arial" w:eastAsia="Calibri" w:hAnsi="Arial" w:cs="Arial"/>
          <w:bCs/>
          <w:sz w:val="20"/>
          <w:szCs w:val="20"/>
          <w:lang w:val="es-CO" w:eastAsia="es-ES_tradnl"/>
        </w:rPr>
        <w:t>iii</w:t>
      </w:r>
      <w:proofErr w:type="spellEnd"/>
      <w:r w:rsidRPr="0024421A">
        <w:rPr>
          <w:rFonts w:ascii="Arial" w:eastAsia="Calibri" w:hAnsi="Arial" w:cs="Arial"/>
          <w:bCs/>
          <w:sz w:val="20"/>
          <w:szCs w:val="20"/>
          <w:lang w:val="es-CO" w:eastAsia="es-ES_tradnl"/>
        </w:rPr>
        <w:t xml:space="preserve">) capacidad técnica; </w:t>
      </w:r>
      <w:proofErr w:type="spellStart"/>
      <w:r w:rsidRPr="0024421A">
        <w:rPr>
          <w:rFonts w:ascii="Arial" w:eastAsia="Calibri" w:hAnsi="Arial" w:cs="Arial"/>
          <w:bCs/>
          <w:sz w:val="20"/>
          <w:szCs w:val="20"/>
          <w:lang w:val="es-CO" w:eastAsia="es-ES_tradnl"/>
        </w:rPr>
        <w:t>iv</w:t>
      </w:r>
      <w:proofErr w:type="spellEnd"/>
      <w:r w:rsidRPr="0024421A">
        <w:rPr>
          <w:rFonts w:ascii="Arial" w:eastAsia="Calibri" w:hAnsi="Arial" w:cs="Arial"/>
          <w:bCs/>
          <w:sz w:val="20"/>
          <w:szCs w:val="20"/>
          <w:lang w:val="es-CO" w:eastAsia="es-ES_tradnl"/>
        </w:rPr>
        <w:t>) capacidad de organización; y v) los saldos de los contratos en ejecución</w:t>
      </w:r>
      <w:r>
        <w:rPr>
          <w:rFonts w:ascii="Arial" w:eastAsia="Calibri" w:hAnsi="Arial" w:cs="Arial"/>
          <w:bCs/>
          <w:sz w:val="20"/>
          <w:szCs w:val="20"/>
          <w:lang w:val="es-CO" w:eastAsia="es-ES_tradnl"/>
        </w:rPr>
        <w:t xml:space="preserve"> </w:t>
      </w:r>
      <w:r w:rsidRPr="0024421A">
        <w:rPr>
          <w:rFonts w:ascii="Arial" w:eastAsia="Calibri" w:hAnsi="Arial" w:cs="Arial"/>
          <w:bCs/>
          <w:sz w:val="20"/>
          <w:szCs w:val="20"/>
          <w:lang w:val="es-CO" w:eastAsia="es-ES_tradnl"/>
        </w:rPr>
        <w:t>[…]</w:t>
      </w:r>
      <w:r w:rsidR="00611F94" w:rsidRPr="006A71B3">
        <w:rPr>
          <w:rFonts w:ascii="Arial" w:eastAsia="Calibri" w:hAnsi="Arial" w:cs="Arial"/>
          <w:bCs/>
          <w:sz w:val="20"/>
          <w:szCs w:val="20"/>
          <w:lang w:val="es-CO" w:eastAsia="es-ES_tradnl"/>
        </w:rPr>
        <w:t>.</w:t>
      </w:r>
    </w:p>
    <w:p w14:paraId="33FB86F6" w14:textId="4E4E198E" w:rsidR="00611F94" w:rsidRPr="006A71B3" w:rsidRDefault="0024421A" w:rsidP="00611F94">
      <w:pPr>
        <w:spacing w:after="120"/>
        <w:jc w:val="both"/>
        <w:rPr>
          <w:rFonts w:ascii="Arial" w:eastAsia="Calibri" w:hAnsi="Arial" w:cs="Arial"/>
          <w:bCs/>
          <w:sz w:val="20"/>
          <w:szCs w:val="20"/>
          <w:lang w:val="es-CO" w:eastAsia="es-ES_tradnl"/>
        </w:rPr>
      </w:pPr>
      <w:r w:rsidRPr="0024421A">
        <w:rPr>
          <w:rFonts w:ascii="Arial" w:eastAsia="Calibri" w:hAnsi="Arial" w:cs="Arial"/>
          <w:bCs/>
          <w:sz w:val="20"/>
          <w:szCs w:val="20"/>
          <w:lang w:val="es-CO" w:eastAsia="es-ES_tradnl"/>
        </w:rPr>
        <w:t>Atendiendo la normatividad citada, Colombia Compra Eficiente expidió la Guía para Determinar y Verificar la Capacidad Residual del Proponente en los Procesos de Contratación de Obra Pública, de conformidad con el artículo 2.2.1.2.5.2. del Decreto 1082 de 2015</w:t>
      </w:r>
      <w:r>
        <w:rPr>
          <w:rFonts w:ascii="Arial" w:eastAsia="Calibri" w:hAnsi="Arial" w:cs="Arial"/>
          <w:bCs/>
          <w:sz w:val="20"/>
          <w:szCs w:val="20"/>
          <w:lang w:val="es-CO" w:eastAsia="es-ES_tradnl"/>
        </w:rPr>
        <w:t xml:space="preserve">. </w:t>
      </w:r>
      <w:r w:rsidR="00611F94" w:rsidRPr="006A71B3">
        <w:rPr>
          <w:rFonts w:ascii="Arial" w:eastAsia="Calibri" w:hAnsi="Arial" w:cs="Arial"/>
          <w:bCs/>
          <w:sz w:val="20"/>
          <w:szCs w:val="20"/>
          <w:lang w:val="es-CO" w:eastAsia="es-ES_tradnl"/>
        </w:rPr>
        <w:t>[…]</w:t>
      </w:r>
    </w:p>
    <w:p w14:paraId="5375565F" w14:textId="77777777" w:rsidR="00611F94" w:rsidRPr="006A71B3" w:rsidRDefault="00611F94" w:rsidP="00611F94">
      <w:pPr>
        <w:jc w:val="both"/>
        <w:rPr>
          <w:rFonts w:ascii="Arial" w:eastAsia="Calibri" w:hAnsi="Arial" w:cs="Arial"/>
          <w:bCs/>
          <w:sz w:val="20"/>
          <w:szCs w:val="20"/>
          <w:lang w:val="es-CO" w:eastAsia="es-ES_tradnl"/>
        </w:rPr>
      </w:pPr>
    </w:p>
    <w:p w14:paraId="2F9F253B" w14:textId="4B500FB7" w:rsidR="00611F94" w:rsidRPr="006A71B3" w:rsidRDefault="00611F94" w:rsidP="00611F94">
      <w:pPr>
        <w:autoSpaceDE w:val="0"/>
        <w:autoSpaceDN w:val="0"/>
        <w:adjustRightInd w:val="0"/>
        <w:jc w:val="both"/>
        <w:rPr>
          <w:rFonts w:ascii="Arial" w:eastAsia="Calibri" w:hAnsi="Arial" w:cs="Arial"/>
          <w:b/>
          <w:bCs/>
          <w:sz w:val="22"/>
          <w:lang w:val="es-CO" w:eastAsia="es-ES_tradnl"/>
        </w:rPr>
      </w:pPr>
      <w:r w:rsidRPr="006A71B3">
        <w:rPr>
          <w:rFonts w:ascii="Arial" w:eastAsia="Calibri" w:hAnsi="Arial" w:cs="Arial"/>
          <w:b/>
          <w:bCs/>
          <w:sz w:val="22"/>
          <w:lang w:val="es-CO" w:eastAsia="es-ES_tradnl"/>
        </w:rPr>
        <w:t>CAPACIDAD RESIDUAL – Proponente</w:t>
      </w:r>
      <w:r w:rsidR="00EB5B3E" w:rsidRPr="006A71B3">
        <w:rPr>
          <w:rFonts w:ascii="Arial" w:eastAsia="Calibri" w:hAnsi="Arial" w:cs="Arial"/>
          <w:b/>
          <w:bCs/>
          <w:sz w:val="22"/>
          <w:lang w:val="es-CO" w:eastAsia="es-ES_tradnl"/>
        </w:rPr>
        <w:t xml:space="preserve"> </w:t>
      </w:r>
      <w:r w:rsidRPr="006A71B3">
        <w:rPr>
          <w:rFonts w:ascii="Arial" w:eastAsia="Calibri" w:hAnsi="Arial" w:cs="Arial"/>
          <w:b/>
          <w:bCs/>
          <w:sz w:val="22"/>
          <w:lang w:val="es-CO" w:eastAsia="es-ES_tradnl"/>
        </w:rPr>
        <w:t xml:space="preserve">– Contratos en Ejecución </w:t>
      </w:r>
      <w:r w:rsidR="00EB5B3E" w:rsidRPr="006A71B3">
        <w:rPr>
          <w:rFonts w:ascii="Arial" w:eastAsia="Calibri" w:hAnsi="Arial" w:cs="Arial"/>
          <w:b/>
          <w:bCs/>
          <w:sz w:val="22"/>
          <w:lang w:val="es-CO" w:eastAsia="es-ES_tradnl"/>
        </w:rPr>
        <w:t>– Anticipo – Pago Anticipado</w:t>
      </w:r>
    </w:p>
    <w:p w14:paraId="07641816" w14:textId="77777777" w:rsidR="00611F94" w:rsidRPr="006A71B3" w:rsidRDefault="00611F94" w:rsidP="00611F94">
      <w:pPr>
        <w:autoSpaceDE w:val="0"/>
        <w:autoSpaceDN w:val="0"/>
        <w:adjustRightInd w:val="0"/>
        <w:jc w:val="both"/>
        <w:rPr>
          <w:rFonts w:ascii="Arial" w:eastAsia="Calibri" w:hAnsi="Arial" w:cs="Arial"/>
          <w:b/>
          <w:sz w:val="22"/>
          <w:szCs w:val="24"/>
          <w:lang w:val="es-CO" w:eastAsia="es-ES_tradnl"/>
        </w:rPr>
      </w:pPr>
    </w:p>
    <w:p w14:paraId="23818698" w14:textId="3784924B" w:rsidR="0024421A" w:rsidRDefault="0024421A" w:rsidP="0024421A">
      <w:pPr>
        <w:ind w:right="49"/>
        <w:jc w:val="both"/>
        <w:rPr>
          <w:rFonts w:ascii="Arial" w:eastAsia="Arial," w:hAnsi="Arial" w:cs="Arial"/>
          <w:sz w:val="20"/>
          <w:szCs w:val="20"/>
          <w:lang w:val="es-CO" w:eastAsia="es-ES_tradnl"/>
        </w:rPr>
      </w:pPr>
      <w:r w:rsidRPr="0024421A">
        <w:rPr>
          <w:rFonts w:ascii="Arial" w:eastAsia="Arial," w:hAnsi="Arial" w:cs="Arial"/>
          <w:sz w:val="20"/>
          <w:szCs w:val="20"/>
          <w:lang w:val="es-CO" w:eastAsia="es-ES_tradnl"/>
        </w:rPr>
        <w:t xml:space="preserve">Para facilitar la aplicación de la metodología para el cálculo de la capacidad residual, Colombia Compra Eficiente ha puesto a disposición de la ciudadanía una «Aplicación para establecer la Capacidad Residual», que sirve para calcular la capacidad residual en los procesos de selección, a la cual se puede acceder mediante el enlace incluido en la siguiente notal al pie . </w:t>
      </w:r>
    </w:p>
    <w:p w14:paraId="73ED07AE" w14:textId="77777777" w:rsidR="0024421A" w:rsidRPr="0024421A" w:rsidRDefault="0024421A" w:rsidP="0024421A">
      <w:pPr>
        <w:ind w:right="49"/>
        <w:jc w:val="both"/>
        <w:rPr>
          <w:rFonts w:ascii="Arial" w:eastAsia="Arial," w:hAnsi="Arial" w:cs="Arial"/>
          <w:sz w:val="20"/>
          <w:szCs w:val="20"/>
          <w:lang w:val="es-CO" w:eastAsia="es-ES_tradnl"/>
        </w:rPr>
      </w:pPr>
    </w:p>
    <w:p w14:paraId="5523CEFF" w14:textId="3B15344F" w:rsidR="00EB5B3E" w:rsidRPr="006A71B3" w:rsidRDefault="0024421A" w:rsidP="0024421A">
      <w:pPr>
        <w:ind w:right="49"/>
        <w:jc w:val="both"/>
        <w:rPr>
          <w:rFonts w:ascii="Arial" w:eastAsia="Arial," w:hAnsi="Arial" w:cs="Arial"/>
          <w:sz w:val="20"/>
          <w:szCs w:val="20"/>
          <w:lang w:val="es-CO" w:eastAsia="es-ES_tradnl"/>
        </w:rPr>
      </w:pPr>
      <w:r w:rsidRPr="0024421A">
        <w:rPr>
          <w:rFonts w:ascii="Arial" w:eastAsia="Arial," w:hAnsi="Arial" w:cs="Arial"/>
          <w:sz w:val="20"/>
          <w:szCs w:val="20"/>
          <w:lang w:val="es-CO" w:eastAsia="es-ES_tradnl"/>
        </w:rPr>
        <w:t xml:space="preserve">El aplicativo, respecto de los contratos en ejecución, solicita, en primer lugar, el número de contratos en ejecución, y después de dar clic en el botón «Guardar información» despliega una tabla con una fila para cada contrato, cada una de las cuales consta de cinco columnas en las que se debe indicar: i) Valor en pesos colombianos del contrato; </w:t>
      </w:r>
      <w:proofErr w:type="spellStart"/>
      <w:r w:rsidRPr="0024421A">
        <w:rPr>
          <w:rFonts w:ascii="Arial" w:eastAsia="Arial," w:hAnsi="Arial" w:cs="Arial"/>
          <w:sz w:val="20"/>
          <w:szCs w:val="20"/>
          <w:lang w:val="es-CO" w:eastAsia="es-ES_tradnl"/>
        </w:rPr>
        <w:t>ii</w:t>
      </w:r>
      <w:proofErr w:type="spellEnd"/>
      <w:r w:rsidRPr="0024421A">
        <w:rPr>
          <w:rFonts w:ascii="Arial" w:eastAsia="Arial," w:hAnsi="Arial" w:cs="Arial"/>
          <w:sz w:val="20"/>
          <w:szCs w:val="20"/>
          <w:lang w:val="es-CO" w:eastAsia="es-ES_tradnl"/>
        </w:rPr>
        <w:t xml:space="preserve">) la fecha inicio; </w:t>
      </w:r>
      <w:proofErr w:type="spellStart"/>
      <w:r w:rsidRPr="0024421A">
        <w:rPr>
          <w:rFonts w:ascii="Arial" w:eastAsia="Arial," w:hAnsi="Arial" w:cs="Arial"/>
          <w:sz w:val="20"/>
          <w:szCs w:val="20"/>
          <w:lang w:val="es-CO" w:eastAsia="es-ES_tradnl"/>
        </w:rPr>
        <w:t>iii</w:t>
      </w:r>
      <w:proofErr w:type="spellEnd"/>
      <w:r w:rsidRPr="0024421A">
        <w:rPr>
          <w:rFonts w:ascii="Arial" w:eastAsia="Arial," w:hAnsi="Arial" w:cs="Arial"/>
          <w:sz w:val="20"/>
          <w:szCs w:val="20"/>
          <w:lang w:val="es-CO" w:eastAsia="es-ES_tradnl"/>
        </w:rPr>
        <w:t xml:space="preserve">) el plazo expresado en meses;  </w:t>
      </w:r>
      <w:proofErr w:type="spellStart"/>
      <w:r w:rsidRPr="0024421A">
        <w:rPr>
          <w:rFonts w:ascii="Arial" w:eastAsia="Arial," w:hAnsi="Arial" w:cs="Arial"/>
          <w:sz w:val="20"/>
          <w:szCs w:val="20"/>
          <w:lang w:val="es-CO" w:eastAsia="es-ES_tradnl"/>
        </w:rPr>
        <w:t>iv</w:t>
      </w:r>
      <w:proofErr w:type="spellEnd"/>
      <w:r w:rsidRPr="0024421A">
        <w:rPr>
          <w:rFonts w:ascii="Arial" w:eastAsia="Arial," w:hAnsi="Arial" w:cs="Arial"/>
          <w:sz w:val="20"/>
          <w:szCs w:val="20"/>
          <w:lang w:val="es-CO" w:eastAsia="es-ES_tradnl"/>
        </w:rPr>
        <w:t xml:space="preserve">) establecer si trata o no de un contrato ejecutado por un contratista plural; v) el porcentaje de participación en la ejecución del contrato; vi) indicar si el contrato se encuentra suspendido o no; y </w:t>
      </w:r>
      <w:proofErr w:type="spellStart"/>
      <w:r w:rsidRPr="0024421A">
        <w:rPr>
          <w:rFonts w:ascii="Arial" w:eastAsia="Arial," w:hAnsi="Arial" w:cs="Arial"/>
          <w:sz w:val="20"/>
          <w:szCs w:val="20"/>
          <w:lang w:val="es-CO" w:eastAsia="es-ES_tradnl"/>
        </w:rPr>
        <w:t>vii</w:t>
      </w:r>
      <w:proofErr w:type="spellEnd"/>
      <w:r w:rsidRPr="0024421A">
        <w:rPr>
          <w:rFonts w:ascii="Arial" w:eastAsia="Arial," w:hAnsi="Arial" w:cs="Arial"/>
          <w:sz w:val="20"/>
          <w:szCs w:val="20"/>
          <w:lang w:val="es-CO" w:eastAsia="es-ES_tradnl"/>
        </w:rPr>
        <w:t>) la fecha de suspensión</w:t>
      </w:r>
      <w:r w:rsidR="00EB5B3E" w:rsidRPr="006A71B3">
        <w:rPr>
          <w:rFonts w:ascii="Arial" w:eastAsia="Arial," w:hAnsi="Arial" w:cs="Arial"/>
          <w:sz w:val="20"/>
          <w:szCs w:val="20"/>
          <w:lang w:val="es-CO" w:eastAsia="es-ES_tradnl"/>
        </w:rPr>
        <w:t xml:space="preserve">. </w:t>
      </w:r>
    </w:p>
    <w:p w14:paraId="2EE054A7" w14:textId="77777777" w:rsidR="00EB5B3E" w:rsidRPr="006A71B3" w:rsidRDefault="00EB5B3E" w:rsidP="00EB5B3E">
      <w:pPr>
        <w:ind w:right="49"/>
        <w:jc w:val="both"/>
        <w:rPr>
          <w:rFonts w:ascii="Arial" w:eastAsia="Arial," w:hAnsi="Arial" w:cs="Arial"/>
          <w:sz w:val="20"/>
          <w:szCs w:val="20"/>
          <w:lang w:val="es-CO" w:eastAsia="es-ES_tradnl"/>
        </w:rPr>
      </w:pPr>
    </w:p>
    <w:p w14:paraId="692C09A9" w14:textId="7D8AEFBC" w:rsidR="00611F94" w:rsidRPr="006A71B3" w:rsidRDefault="0024421A" w:rsidP="00EB5B3E">
      <w:pPr>
        <w:ind w:right="49"/>
        <w:jc w:val="both"/>
        <w:rPr>
          <w:rFonts w:ascii="Arial" w:eastAsia="Arial," w:hAnsi="Arial" w:cs="Arial"/>
          <w:sz w:val="20"/>
          <w:szCs w:val="20"/>
          <w:lang w:val="es-CO" w:eastAsia="es-ES_tradnl"/>
        </w:rPr>
      </w:pPr>
      <w:r w:rsidRPr="0024421A">
        <w:rPr>
          <w:rFonts w:ascii="Arial" w:eastAsia="Arial," w:hAnsi="Arial" w:cs="Arial"/>
          <w:sz w:val="20"/>
          <w:szCs w:val="20"/>
          <w:lang w:val="es-CO" w:eastAsia="es-ES_tradnl"/>
        </w:rPr>
        <w:t xml:space="preserve">Conforme a lo anterior, la metodología para el cálculo de la CRPC exige tener en el anticipo que se contemple en el respectivo proceso. Por el contrario, ni la metodología establecida en la guía, ni el aplicativo, consideran para el cálculo de la CRP los anticipos de los contratos en ejecución. Esto no </w:t>
      </w:r>
      <w:r w:rsidRPr="0024421A">
        <w:rPr>
          <w:rFonts w:ascii="Arial" w:eastAsia="Arial," w:hAnsi="Arial" w:cs="Arial"/>
          <w:sz w:val="20"/>
          <w:szCs w:val="20"/>
          <w:lang w:val="es-CO" w:eastAsia="es-ES_tradnl"/>
        </w:rPr>
        <w:lastRenderedPageBreak/>
        <w:t>se debe a un error como lo señala el peticionario, sino que tiene que ver con razones conceptuales asociadas a la naturaleza del anticipo, la cual tiene consecuencias prácticas en la evaluación de la capacidad residual</w:t>
      </w:r>
      <w:r w:rsidR="00EB5B3E" w:rsidRPr="006A71B3">
        <w:rPr>
          <w:rFonts w:ascii="Arial" w:eastAsia="Arial," w:hAnsi="Arial" w:cs="Arial"/>
          <w:sz w:val="20"/>
          <w:szCs w:val="20"/>
          <w:lang w:val="es-CO" w:eastAsia="es-ES_tradnl"/>
        </w:rPr>
        <w:t>.</w:t>
      </w:r>
    </w:p>
    <w:p w14:paraId="2AE1D399" w14:textId="77777777" w:rsidR="00EB5B3E" w:rsidRPr="006A71B3" w:rsidRDefault="00EB5B3E" w:rsidP="00EB5B3E">
      <w:pPr>
        <w:ind w:right="49"/>
        <w:jc w:val="both"/>
        <w:rPr>
          <w:rFonts w:ascii="Arial" w:eastAsia="Times New Roman" w:hAnsi="Arial" w:cs="Arial"/>
          <w:sz w:val="20"/>
          <w:szCs w:val="20"/>
          <w:lang w:val="es-CO" w:eastAsia="es-ES_tradnl"/>
        </w:rPr>
      </w:pPr>
    </w:p>
    <w:p w14:paraId="597B8C9B" w14:textId="77777777" w:rsidR="00611F94" w:rsidRPr="006A71B3" w:rsidRDefault="00611F94" w:rsidP="00611F94">
      <w:pPr>
        <w:ind w:right="49"/>
        <w:jc w:val="both"/>
        <w:rPr>
          <w:rFonts w:ascii="Arial" w:eastAsia="Times New Roman" w:hAnsi="Arial" w:cs="Arial"/>
          <w:sz w:val="20"/>
          <w:szCs w:val="20"/>
          <w:lang w:val="es-CO" w:eastAsia="es-ES_tradnl"/>
        </w:rPr>
      </w:pPr>
      <w:r w:rsidRPr="006A71B3">
        <w:rPr>
          <w:rFonts w:ascii="Arial" w:eastAsia="Calibri" w:hAnsi="Arial" w:cs="Arial"/>
          <w:b/>
          <w:bCs/>
          <w:sz w:val="22"/>
          <w:lang w:val="es-CO" w:eastAsia="es-ES_tradnl"/>
        </w:rPr>
        <w:t>CAPACIDAD RESIDUAL –Cálculo – Metodología – Guía – Aplicativo – Obligatoriedad</w:t>
      </w:r>
    </w:p>
    <w:p w14:paraId="73CE0BF1" w14:textId="77777777" w:rsidR="00611F94" w:rsidRPr="006A71B3" w:rsidRDefault="00611F94" w:rsidP="00611F94">
      <w:pPr>
        <w:ind w:right="49"/>
        <w:jc w:val="both"/>
        <w:rPr>
          <w:rFonts w:ascii="Arial" w:eastAsia="Times New Roman" w:hAnsi="Arial" w:cs="Arial"/>
          <w:sz w:val="20"/>
          <w:szCs w:val="20"/>
          <w:lang w:val="es-CO" w:eastAsia="es-ES_tradnl"/>
        </w:rPr>
      </w:pPr>
    </w:p>
    <w:p w14:paraId="17A503CE" w14:textId="18A56197" w:rsidR="0024421A" w:rsidRDefault="0024421A" w:rsidP="0024421A">
      <w:pPr>
        <w:jc w:val="both"/>
        <w:rPr>
          <w:rFonts w:ascii="Arial" w:eastAsia="Times New Roman" w:hAnsi="Arial" w:cs="Arial"/>
          <w:sz w:val="20"/>
          <w:szCs w:val="20"/>
          <w:lang w:val="es-CO" w:eastAsia="es-ES_tradnl"/>
        </w:rPr>
      </w:pPr>
      <w:r w:rsidRPr="0024421A">
        <w:rPr>
          <w:rFonts w:ascii="Arial" w:eastAsia="Times New Roman" w:hAnsi="Arial" w:cs="Arial"/>
          <w:sz w:val="20"/>
          <w:szCs w:val="20"/>
          <w:lang w:val="es-CO" w:eastAsia="es-ES_tradnl"/>
        </w:rPr>
        <w:t>Por otra parte, conforme con lo expuesto, el artículo 2.2.1.1.1.6.4 del Decreto 1082 de 2015 facultó a la Agencia Nacional de Contratación Pública – Colombia Compra Eficiente para establecer la metodología para el cálculo de la capacidad residual. Dicha competencia fue ejercida mediante la expedición de la Guía para Determinar y Verificar la Capacidad Residual del Proponente en los Procesos de Contratación de Obra Pública, en la que se desarrolla una metodología que tiene en cuenta lo dispuesto en el parágrafo 1 del artículo 6 de la Ley 1150 de 2007 y el artículo 2.2.1.1.1.6.4 del Decreto 1082 de 2015, la cual resulta de obligatoria observancia tanto para las entidades como para los oferentes en los procesos de selección de obra pública.</w:t>
      </w:r>
    </w:p>
    <w:p w14:paraId="1B9D97B4" w14:textId="0832CDB3" w:rsidR="0024421A" w:rsidRDefault="0024421A" w:rsidP="0024421A">
      <w:pPr>
        <w:jc w:val="both"/>
        <w:rPr>
          <w:rFonts w:ascii="Arial" w:eastAsia="Times New Roman" w:hAnsi="Arial" w:cs="Arial"/>
          <w:sz w:val="20"/>
          <w:szCs w:val="20"/>
          <w:lang w:val="es-CO" w:eastAsia="es-ES_tradnl"/>
        </w:rPr>
      </w:pPr>
      <w:r w:rsidRPr="0024421A">
        <w:rPr>
          <w:rFonts w:ascii="Arial" w:eastAsia="Times New Roman" w:hAnsi="Arial" w:cs="Arial"/>
          <w:sz w:val="20"/>
          <w:szCs w:val="20"/>
          <w:lang w:val="es-CO" w:eastAsia="es-ES_tradnl"/>
        </w:rPr>
        <w:t>[…]</w:t>
      </w:r>
    </w:p>
    <w:p w14:paraId="0DA39252" w14:textId="77777777" w:rsidR="0024421A" w:rsidRPr="0024421A" w:rsidRDefault="0024421A" w:rsidP="0024421A">
      <w:pPr>
        <w:jc w:val="both"/>
        <w:rPr>
          <w:rFonts w:ascii="Arial" w:eastAsia="Times New Roman" w:hAnsi="Arial" w:cs="Arial"/>
          <w:sz w:val="20"/>
          <w:szCs w:val="20"/>
          <w:lang w:val="es-CO" w:eastAsia="es-ES_tradnl"/>
        </w:rPr>
      </w:pPr>
    </w:p>
    <w:p w14:paraId="5D4BA2C4" w14:textId="37386C3B" w:rsidR="0024421A" w:rsidRDefault="0024421A" w:rsidP="0024421A">
      <w:pPr>
        <w:jc w:val="both"/>
        <w:rPr>
          <w:rFonts w:ascii="Arial" w:eastAsia="Times New Roman" w:hAnsi="Arial" w:cs="Arial"/>
          <w:sz w:val="20"/>
          <w:szCs w:val="20"/>
          <w:lang w:val="es-CO" w:eastAsia="es-ES_tradnl"/>
        </w:rPr>
      </w:pPr>
      <w:r w:rsidRPr="0024421A">
        <w:rPr>
          <w:rFonts w:ascii="Arial" w:eastAsia="Times New Roman" w:hAnsi="Arial" w:cs="Arial"/>
          <w:sz w:val="20"/>
          <w:szCs w:val="20"/>
          <w:lang w:val="es-CO" w:eastAsia="es-ES_tradnl"/>
        </w:rPr>
        <w:t xml:space="preserve">En consecuencia, se aclara que el aplicativo desarrollado por Colombia Compra Eficiente no presenta un error en su desarrollo al no exigir que se discriminen los valores de los anticipos respecto del factor de saldos de contratos en ejecución. El aplicativo desarrollado por esta Agencia solicita la información de los valores en pesos colombianos a los que equivalen tales saldos (SCE), dentro de los cuales estarán considerados los valores de los anticipos pendientes de amortizar en el marco de los contratos en ejecución. </w:t>
      </w:r>
    </w:p>
    <w:p w14:paraId="0A9CF0DF" w14:textId="77777777" w:rsidR="0024421A" w:rsidRPr="0024421A" w:rsidRDefault="0024421A" w:rsidP="0024421A">
      <w:pPr>
        <w:jc w:val="both"/>
        <w:rPr>
          <w:rFonts w:ascii="Arial" w:eastAsia="Times New Roman" w:hAnsi="Arial" w:cs="Arial"/>
          <w:sz w:val="20"/>
          <w:szCs w:val="20"/>
          <w:lang w:val="es-CO" w:eastAsia="es-ES_tradnl"/>
        </w:rPr>
      </w:pPr>
    </w:p>
    <w:p w14:paraId="0C7A5CF1" w14:textId="41D161E5" w:rsidR="00E9105C" w:rsidRPr="006A71B3" w:rsidRDefault="0024421A" w:rsidP="0024421A">
      <w:pPr>
        <w:jc w:val="both"/>
        <w:rPr>
          <w:rFonts w:ascii="Arial" w:hAnsi="Arial" w:cs="Arial"/>
          <w:sz w:val="22"/>
          <w:szCs w:val="20"/>
        </w:rPr>
      </w:pPr>
      <w:r w:rsidRPr="0024421A">
        <w:rPr>
          <w:rFonts w:ascii="Arial" w:eastAsia="Times New Roman" w:hAnsi="Arial" w:cs="Arial"/>
          <w:sz w:val="20"/>
          <w:szCs w:val="20"/>
          <w:lang w:val="es-CO" w:eastAsia="es-ES_tradnl"/>
        </w:rPr>
        <w:t>Sin perjuicio de lo anterior, no sobra agregar,  conforme a lo establecido en el numeral 7 de la Circular Externa Única de Colombia Compra Eficiente, que el mencionado aplicativo es un instrumento de apoyo que no exime a las entidades estatales y a los proponentes de realizar el cálculo de la capacidad residual en los términos de la guía.</w:t>
      </w:r>
      <w:r w:rsidR="00B86125" w:rsidRPr="006A71B3">
        <w:rPr>
          <w:rFonts w:ascii="Arial" w:hAnsi="Arial" w:cs="Arial"/>
          <w:sz w:val="22"/>
          <w:szCs w:val="20"/>
        </w:rPr>
        <w:br w:type="page"/>
      </w:r>
    </w:p>
    <w:p w14:paraId="03A421D5" w14:textId="77777777" w:rsidR="00E9105C" w:rsidRPr="006A71B3" w:rsidRDefault="00E9105C" w:rsidP="00E9105C">
      <w:pPr>
        <w:jc w:val="right"/>
        <w:rPr>
          <w:rFonts w:ascii="Arial" w:hAnsi="Arial" w:cs="Arial"/>
          <w:bCs/>
          <w:sz w:val="16"/>
          <w:szCs w:val="16"/>
          <w:lang w:eastAsia="es-ES"/>
        </w:rPr>
      </w:pPr>
      <w:bookmarkStart w:id="2" w:name="_Hlk29548183"/>
      <w:bookmarkStart w:id="3" w:name="_Hlk28946138"/>
      <w:r w:rsidRPr="006A71B3">
        <w:rPr>
          <w:rFonts w:ascii="Arial" w:hAnsi="Arial" w:cs="Arial"/>
          <w:bCs/>
          <w:sz w:val="16"/>
          <w:szCs w:val="16"/>
          <w:lang w:eastAsia="es-ES"/>
        </w:rPr>
        <w:lastRenderedPageBreak/>
        <w:t>CCE-DES-FM-17</w:t>
      </w:r>
      <w:bookmarkEnd w:id="2"/>
      <w:bookmarkEnd w:id="3"/>
    </w:p>
    <w:p w14:paraId="022CB771" w14:textId="77777777" w:rsidR="00E9105C" w:rsidRPr="006A71B3" w:rsidRDefault="00E9105C" w:rsidP="00E9105C">
      <w:pPr>
        <w:jc w:val="both"/>
        <w:rPr>
          <w:rFonts w:ascii="Arial" w:hAnsi="Arial" w:cs="Arial"/>
          <w:sz w:val="22"/>
          <w:szCs w:val="20"/>
        </w:rPr>
      </w:pPr>
    </w:p>
    <w:p w14:paraId="1B7B1D7B" w14:textId="198C0C57" w:rsidR="00E9105C" w:rsidRDefault="007D26C7" w:rsidP="00E9105C">
      <w:pPr>
        <w:jc w:val="both"/>
        <w:rPr>
          <w:rFonts w:ascii="Arial" w:eastAsia="Calibri" w:hAnsi="Arial" w:cs="Arial"/>
          <w:sz w:val="22"/>
        </w:rPr>
      </w:pPr>
      <w:r>
        <w:rPr>
          <w:rFonts w:ascii="Arial" w:eastAsia="Calibri" w:hAnsi="Arial" w:cs="Arial"/>
          <w:sz w:val="22"/>
        </w:rPr>
        <w:t>Bogotá D.C., 31 de marzo de 2021</w:t>
      </w:r>
    </w:p>
    <w:p w14:paraId="2CC22273" w14:textId="39E06F85" w:rsidR="007D26C7" w:rsidRPr="00584A5C" w:rsidRDefault="007D26C7" w:rsidP="00584A5C">
      <w:pPr>
        <w:jc w:val="right"/>
        <w:rPr>
          <w:rFonts w:ascii="Arial" w:eastAsia="Calibri" w:hAnsi="Arial" w:cs="Arial"/>
          <w:b/>
          <w:bCs/>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6F28E4" w:rsidRPr="006F28E4">
        <w:rPr>
          <w:rFonts w:ascii="Arial" w:eastAsia="Calibri" w:hAnsi="Arial" w:cs="Arial"/>
          <w:b/>
          <w:bCs/>
          <w:sz w:val="22"/>
        </w:rPr>
        <w:drawing>
          <wp:inline distT="0" distB="0" distL="0" distR="0" wp14:anchorId="72230B7E" wp14:editId="54A1D24B">
            <wp:extent cx="2821173" cy="754664"/>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852452" cy="763031"/>
                    </a:xfrm>
                    <a:prstGeom prst="rect">
                      <a:avLst/>
                    </a:prstGeom>
                  </pic:spPr>
                </pic:pic>
              </a:graphicData>
            </a:graphic>
          </wp:inline>
        </w:drawing>
      </w:r>
    </w:p>
    <w:p w14:paraId="24CA2700" w14:textId="77777777" w:rsidR="007D26C7" w:rsidRPr="00F94DBD" w:rsidRDefault="007D26C7" w:rsidP="00E9105C">
      <w:pPr>
        <w:jc w:val="both"/>
        <w:rPr>
          <w:rFonts w:ascii="Arial" w:eastAsia="Calibri" w:hAnsi="Arial" w:cs="Arial"/>
          <w:sz w:val="22"/>
        </w:rPr>
      </w:pPr>
    </w:p>
    <w:p w14:paraId="0F090047" w14:textId="08861909" w:rsidR="00BD49C8" w:rsidRPr="00F94DBD" w:rsidRDefault="00BD49C8" w:rsidP="00E9105C">
      <w:pPr>
        <w:jc w:val="both"/>
        <w:rPr>
          <w:rFonts w:ascii="Arial" w:eastAsia="Calibri" w:hAnsi="Arial" w:cs="Arial"/>
          <w:sz w:val="22"/>
        </w:rPr>
      </w:pPr>
      <w:r w:rsidRPr="00F94DBD">
        <w:rPr>
          <w:rFonts w:ascii="Arial" w:eastAsia="Calibri" w:hAnsi="Arial" w:cs="Arial"/>
          <w:sz w:val="22"/>
        </w:rPr>
        <w:t>Señor</w:t>
      </w:r>
    </w:p>
    <w:p w14:paraId="675C5BC3" w14:textId="3332BD82" w:rsidR="00BD49C8" w:rsidRPr="00F94DBD" w:rsidRDefault="001D2184" w:rsidP="00BD49C8">
      <w:pPr>
        <w:rPr>
          <w:rFonts w:ascii="Arial" w:eastAsia="Calibri" w:hAnsi="Arial" w:cs="Arial"/>
          <w:b/>
          <w:sz w:val="22"/>
        </w:rPr>
      </w:pPr>
      <w:r w:rsidRPr="00F94DBD">
        <w:rPr>
          <w:rFonts w:ascii="Arial" w:eastAsia="Calibri" w:hAnsi="Arial" w:cs="Arial"/>
          <w:b/>
          <w:sz w:val="22"/>
        </w:rPr>
        <w:t>Alejandro Quiroz Marín</w:t>
      </w:r>
    </w:p>
    <w:p w14:paraId="5D393BFA" w14:textId="5018473E" w:rsidR="00BD49C8" w:rsidRPr="00F94DBD" w:rsidRDefault="001D2184" w:rsidP="00BD49C8">
      <w:pPr>
        <w:rPr>
          <w:rFonts w:ascii="Arial" w:eastAsia="Calibri" w:hAnsi="Arial" w:cs="Arial"/>
          <w:sz w:val="22"/>
        </w:rPr>
      </w:pPr>
      <w:r w:rsidRPr="00F94DBD">
        <w:rPr>
          <w:rFonts w:ascii="Arial" w:eastAsia="Calibri" w:hAnsi="Arial" w:cs="Arial"/>
          <w:sz w:val="22"/>
        </w:rPr>
        <w:t>Bello, Antioquia</w:t>
      </w:r>
    </w:p>
    <w:p w14:paraId="77BED47C" w14:textId="77777777" w:rsidR="00BD49C8" w:rsidRPr="00F94DBD" w:rsidRDefault="00BD49C8" w:rsidP="00BD49C8">
      <w:pPr>
        <w:rPr>
          <w:rFonts w:ascii="Arial" w:eastAsia="Calibri" w:hAnsi="Arial" w:cs="Arial"/>
          <w:sz w:val="22"/>
        </w:rPr>
      </w:pPr>
    </w:p>
    <w:p w14:paraId="6EEAA41C" w14:textId="77777777" w:rsidR="00BD49C8" w:rsidRPr="00F94DBD" w:rsidRDefault="00BD49C8" w:rsidP="00BD49C8">
      <w:pPr>
        <w:rPr>
          <w:rFonts w:ascii="Arial" w:eastAsia="Calibri" w:hAnsi="Arial" w:cs="Arial"/>
          <w:sz w:val="22"/>
        </w:rPr>
      </w:pPr>
    </w:p>
    <w:p w14:paraId="3AA6CB2C" w14:textId="5801E462" w:rsidR="00BD49C8" w:rsidRPr="00F94DBD" w:rsidRDefault="00BD49C8" w:rsidP="00BD49C8">
      <w:pPr>
        <w:ind w:firstLine="2694"/>
        <w:rPr>
          <w:rFonts w:ascii="Arial" w:eastAsia="Calibri" w:hAnsi="Arial" w:cs="Arial"/>
          <w:b/>
          <w:sz w:val="22"/>
        </w:rPr>
      </w:pPr>
      <w:r w:rsidRPr="00F94DBD">
        <w:rPr>
          <w:rFonts w:ascii="Arial" w:eastAsia="Calibri" w:hAnsi="Arial" w:cs="Arial"/>
          <w:b/>
          <w:sz w:val="22"/>
        </w:rPr>
        <w:t xml:space="preserve">Concepto C – </w:t>
      </w:r>
      <w:r w:rsidR="001D2184" w:rsidRPr="00F94DBD">
        <w:rPr>
          <w:rFonts w:ascii="Arial" w:eastAsia="Calibri" w:hAnsi="Arial" w:cs="Arial"/>
          <w:b/>
          <w:sz w:val="22"/>
        </w:rPr>
        <w:t>121</w:t>
      </w:r>
      <w:r w:rsidRPr="00F94DBD">
        <w:rPr>
          <w:rFonts w:ascii="Arial" w:eastAsia="Calibri" w:hAnsi="Arial" w:cs="Arial"/>
          <w:b/>
          <w:sz w:val="22"/>
        </w:rPr>
        <w:t xml:space="preserve"> de 202</w:t>
      </w:r>
      <w:r w:rsidR="007B7724" w:rsidRPr="00F94DBD">
        <w:rPr>
          <w:rFonts w:ascii="Arial" w:eastAsia="Calibri" w:hAnsi="Arial" w:cs="Arial"/>
          <w:b/>
          <w:sz w:val="22"/>
        </w:rPr>
        <w:t>1</w:t>
      </w:r>
    </w:p>
    <w:p w14:paraId="2BCD1A59" w14:textId="77777777" w:rsidR="00BD49C8" w:rsidRPr="00F94DBD" w:rsidRDefault="00BD49C8" w:rsidP="00BD49C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71B3" w:rsidRPr="006A71B3" w14:paraId="78E48D21" w14:textId="77777777" w:rsidTr="00BD49C8">
        <w:tc>
          <w:tcPr>
            <w:tcW w:w="2689" w:type="dxa"/>
            <w:hideMark/>
          </w:tcPr>
          <w:p w14:paraId="7678871E" w14:textId="77777777" w:rsidR="00BD49C8" w:rsidRPr="00F94DBD" w:rsidRDefault="00BD49C8" w:rsidP="001A12A3">
            <w:pPr>
              <w:rPr>
                <w:rFonts w:ascii="Arial" w:eastAsia="Calibri" w:hAnsi="Arial" w:cs="Arial"/>
                <w:sz w:val="22"/>
              </w:rPr>
            </w:pPr>
            <w:r w:rsidRPr="00F94DBD">
              <w:rPr>
                <w:rFonts w:ascii="Arial" w:eastAsia="Calibri" w:hAnsi="Arial" w:cs="Arial"/>
                <w:b/>
                <w:sz w:val="22"/>
              </w:rPr>
              <w:t>Temas:</w:t>
            </w:r>
            <w:r w:rsidRPr="00F94DBD">
              <w:rPr>
                <w:rFonts w:ascii="Arial" w:eastAsia="Calibri" w:hAnsi="Arial" w:cs="Arial"/>
                <w:sz w:val="22"/>
              </w:rPr>
              <w:t xml:space="preserve">           </w:t>
            </w:r>
          </w:p>
          <w:p w14:paraId="08E49259" w14:textId="77777777" w:rsidR="00BD49C8" w:rsidRPr="00F94DBD" w:rsidRDefault="00BD49C8" w:rsidP="001A12A3">
            <w:pPr>
              <w:rPr>
                <w:rFonts w:ascii="Arial" w:eastAsia="Calibri" w:hAnsi="Arial" w:cs="Arial"/>
                <w:sz w:val="22"/>
              </w:rPr>
            </w:pPr>
            <w:r w:rsidRPr="00F94DBD">
              <w:rPr>
                <w:rFonts w:ascii="Arial" w:eastAsia="Calibri" w:hAnsi="Arial" w:cs="Arial"/>
                <w:sz w:val="22"/>
              </w:rPr>
              <w:t xml:space="preserve">                           </w:t>
            </w:r>
          </w:p>
        </w:tc>
        <w:tc>
          <w:tcPr>
            <w:tcW w:w="6237" w:type="dxa"/>
            <w:hideMark/>
          </w:tcPr>
          <w:p w14:paraId="43CF0AF7" w14:textId="1753CBC5" w:rsidR="00BD49C8" w:rsidRPr="006A71B3" w:rsidRDefault="00611F94" w:rsidP="001A12A3">
            <w:pPr>
              <w:jc w:val="both"/>
              <w:rPr>
                <w:rFonts w:ascii="Arial" w:eastAsia="Calibri" w:hAnsi="Arial" w:cs="Arial"/>
                <w:sz w:val="22"/>
                <w:szCs w:val="24"/>
                <w:highlight w:val="yellow"/>
                <w:lang w:val="es-CO" w:eastAsia="es-ES_tradnl"/>
              </w:rPr>
            </w:pPr>
            <w:r w:rsidRPr="006A71B3">
              <w:rPr>
                <w:rFonts w:ascii="Arial" w:eastAsia="Calibri" w:hAnsi="Arial" w:cs="Arial"/>
                <w:bCs/>
                <w:sz w:val="22"/>
                <w:szCs w:val="24"/>
                <w:lang w:val="es-CO" w:eastAsia="es-ES_tradnl"/>
              </w:rPr>
              <w:t xml:space="preserve">CAPACIDAD RESIDUAL – Definición / CAPACIDAD RESIDUAL – Cálculo – Factores / </w:t>
            </w:r>
            <w:r w:rsidR="007410D2" w:rsidRPr="006A71B3">
              <w:rPr>
                <w:rFonts w:ascii="Arial" w:eastAsia="Calibri" w:hAnsi="Arial" w:cs="Arial"/>
                <w:bCs/>
                <w:sz w:val="22"/>
                <w:szCs w:val="24"/>
                <w:lang w:val="es-CO" w:eastAsia="es-ES_tradnl"/>
              </w:rPr>
              <w:t xml:space="preserve">CAPACIDAD RESIDUAL – Proponente – Contratos en Ejecución – Anticipo – Pago Anticipado </w:t>
            </w:r>
            <w:r w:rsidRPr="006A71B3">
              <w:rPr>
                <w:rFonts w:ascii="Arial" w:eastAsia="Calibri" w:hAnsi="Arial" w:cs="Arial"/>
                <w:bCs/>
                <w:sz w:val="22"/>
                <w:szCs w:val="24"/>
                <w:lang w:val="es-CO" w:eastAsia="es-ES_tradnl"/>
              </w:rPr>
              <w:t>/ CAPACIDAD RESIDUAL –Cálculo – Metodología – Guía – Aplicativo – Obligatoriedad</w:t>
            </w:r>
          </w:p>
        </w:tc>
      </w:tr>
      <w:tr w:rsidR="00BD49C8" w:rsidRPr="006A71B3" w14:paraId="089B5E1A" w14:textId="77777777" w:rsidTr="00BD49C8">
        <w:tc>
          <w:tcPr>
            <w:tcW w:w="2689" w:type="dxa"/>
            <w:hideMark/>
          </w:tcPr>
          <w:p w14:paraId="73071E4D" w14:textId="77777777" w:rsidR="00BD49C8" w:rsidRPr="00F94DBD" w:rsidRDefault="00BD49C8" w:rsidP="001A12A3">
            <w:pPr>
              <w:rPr>
                <w:rFonts w:ascii="Arial" w:eastAsia="Calibri" w:hAnsi="Arial" w:cs="Arial"/>
                <w:b/>
                <w:sz w:val="22"/>
              </w:rPr>
            </w:pPr>
            <w:r w:rsidRPr="00F94DBD">
              <w:rPr>
                <w:rFonts w:ascii="Arial" w:eastAsia="Calibri" w:hAnsi="Arial" w:cs="Arial"/>
                <w:b/>
                <w:sz w:val="22"/>
              </w:rPr>
              <w:t>Radicación:</w:t>
            </w:r>
            <w:r w:rsidRPr="00F94DBD">
              <w:rPr>
                <w:rFonts w:ascii="Arial" w:eastAsia="Calibri" w:hAnsi="Arial" w:cs="Arial"/>
                <w:sz w:val="22"/>
              </w:rPr>
              <w:t xml:space="preserve">                              </w:t>
            </w:r>
          </w:p>
        </w:tc>
        <w:tc>
          <w:tcPr>
            <w:tcW w:w="6237" w:type="dxa"/>
            <w:hideMark/>
          </w:tcPr>
          <w:p w14:paraId="73225ECA" w14:textId="17561703" w:rsidR="00BD49C8" w:rsidRPr="00F94DBD" w:rsidRDefault="00BD49C8" w:rsidP="001A12A3">
            <w:pPr>
              <w:jc w:val="both"/>
              <w:rPr>
                <w:rFonts w:ascii="Arial" w:eastAsia="Calibri" w:hAnsi="Arial" w:cs="Arial"/>
                <w:sz w:val="22"/>
              </w:rPr>
            </w:pPr>
            <w:r w:rsidRPr="00F94DBD">
              <w:rPr>
                <w:rFonts w:ascii="Arial" w:eastAsia="Calibri" w:hAnsi="Arial" w:cs="Arial"/>
                <w:sz w:val="22"/>
              </w:rPr>
              <w:t xml:space="preserve">Respuesta a consulta </w:t>
            </w:r>
            <w:r w:rsidR="001D2184" w:rsidRPr="00F94DBD">
              <w:rPr>
                <w:rFonts w:ascii="Arial" w:eastAsia="Calibri" w:hAnsi="Arial" w:cs="Arial"/>
                <w:sz w:val="22"/>
              </w:rPr>
              <w:t>P20210210001103</w:t>
            </w:r>
          </w:p>
        </w:tc>
      </w:tr>
    </w:tbl>
    <w:p w14:paraId="4B75C284" w14:textId="77777777" w:rsidR="00BD49C8" w:rsidRPr="00F94DBD" w:rsidRDefault="00BD49C8" w:rsidP="00BD49C8">
      <w:pPr>
        <w:spacing w:before="120"/>
        <w:jc w:val="both"/>
        <w:rPr>
          <w:rFonts w:ascii="Arial" w:eastAsia="Calibri" w:hAnsi="Arial" w:cs="Arial"/>
          <w:sz w:val="22"/>
        </w:rPr>
      </w:pPr>
    </w:p>
    <w:p w14:paraId="7FB42F32" w14:textId="77777777" w:rsidR="00BD49C8" w:rsidRPr="00F94DBD" w:rsidRDefault="00BD49C8" w:rsidP="00BD49C8">
      <w:pPr>
        <w:jc w:val="both"/>
        <w:rPr>
          <w:rFonts w:ascii="Arial" w:eastAsia="Calibri" w:hAnsi="Arial" w:cs="Arial"/>
          <w:sz w:val="22"/>
        </w:rPr>
      </w:pPr>
    </w:p>
    <w:p w14:paraId="3E838AEC" w14:textId="3FAF9B2C" w:rsidR="00BD49C8" w:rsidRPr="00F94DBD" w:rsidRDefault="00BD49C8" w:rsidP="00BD49C8">
      <w:pPr>
        <w:rPr>
          <w:rFonts w:ascii="Arial" w:eastAsia="Calibri" w:hAnsi="Arial" w:cs="Arial"/>
          <w:sz w:val="22"/>
        </w:rPr>
      </w:pPr>
      <w:r w:rsidRPr="00F94DBD">
        <w:rPr>
          <w:rFonts w:ascii="Arial" w:eastAsia="Calibri" w:hAnsi="Arial" w:cs="Arial"/>
          <w:sz w:val="22"/>
        </w:rPr>
        <w:t>Estimad</w:t>
      </w:r>
      <w:r w:rsidR="007B7724" w:rsidRPr="00F94DBD">
        <w:rPr>
          <w:rFonts w:ascii="Arial" w:eastAsia="Calibri" w:hAnsi="Arial" w:cs="Arial"/>
          <w:sz w:val="22"/>
        </w:rPr>
        <w:t xml:space="preserve">o </w:t>
      </w:r>
      <w:r w:rsidRPr="00F94DBD">
        <w:rPr>
          <w:rFonts w:ascii="Arial" w:eastAsia="Calibri" w:hAnsi="Arial" w:cs="Arial"/>
          <w:sz w:val="22"/>
        </w:rPr>
        <w:t xml:space="preserve">señor </w:t>
      </w:r>
      <w:r w:rsidR="001D2184" w:rsidRPr="00F94DBD">
        <w:rPr>
          <w:rFonts w:ascii="Arial" w:eastAsia="Calibri" w:hAnsi="Arial" w:cs="Arial"/>
          <w:sz w:val="22"/>
        </w:rPr>
        <w:t>Quiro</w:t>
      </w:r>
      <w:r w:rsidR="007B7724" w:rsidRPr="00F94DBD">
        <w:rPr>
          <w:rFonts w:ascii="Arial" w:eastAsia="Calibri" w:hAnsi="Arial" w:cs="Arial"/>
          <w:sz w:val="22"/>
        </w:rPr>
        <w:t>z</w:t>
      </w:r>
      <w:r w:rsidRPr="00F94DBD">
        <w:rPr>
          <w:rFonts w:ascii="Arial" w:eastAsia="Calibri" w:hAnsi="Arial" w:cs="Arial"/>
          <w:sz w:val="22"/>
        </w:rPr>
        <w:t>:</w:t>
      </w:r>
    </w:p>
    <w:p w14:paraId="57756004" w14:textId="77777777" w:rsidR="00BD49C8" w:rsidRPr="00F94DBD" w:rsidRDefault="00BD49C8" w:rsidP="00BD49C8">
      <w:pPr>
        <w:rPr>
          <w:rFonts w:ascii="Arial" w:eastAsia="Calibri" w:hAnsi="Arial" w:cs="Arial"/>
          <w:sz w:val="22"/>
        </w:rPr>
      </w:pPr>
    </w:p>
    <w:p w14:paraId="4CF162F4" w14:textId="4E71FA9A" w:rsidR="00BD49C8" w:rsidRPr="00F94DBD" w:rsidRDefault="00BD49C8" w:rsidP="00BD49C8">
      <w:pPr>
        <w:spacing w:line="276" w:lineRule="auto"/>
        <w:jc w:val="both"/>
        <w:rPr>
          <w:rFonts w:ascii="Arial" w:eastAsia="Calibri" w:hAnsi="Arial" w:cs="Arial"/>
          <w:sz w:val="22"/>
        </w:rPr>
      </w:pPr>
      <w:r w:rsidRPr="00F94DB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7B7724" w:rsidRPr="00F94DBD">
        <w:rPr>
          <w:rFonts w:ascii="Arial" w:eastAsia="Calibri" w:hAnsi="Arial" w:cs="Arial"/>
          <w:sz w:val="22"/>
        </w:rPr>
        <w:t>1</w:t>
      </w:r>
      <w:r w:rsidR="001D2184" w:rsidRPr="00F94DBD">
        <w:rPr>
          <w:rFonts w:ascii="Arial" w:eastAsia="Calibri" w:hAnsi="Arial" w:cs="Arial"/>
          <w:sz w:val="22"/>
        </w:rPr>
        <w:t>0</w:t>
      </w:r>
      <w:r w:rsidRPr="00F94DBD">
        <w:rPr>
          <w:rFonts w:ascii="Arial" w:eastAsia="Calibri" w:hAnsi="Arial" w:cs="Arial"/>
          <w:sz w:val="22"/>
        </w:rPr>
        <w:t xml:space="preserve"> de </w:t>
      </w:r>
      <w:r w:rsidR="007B7724" w:rsidRPr="00F94DBD">
        <w:rPr>
          <w:rFonts w:ascii="Arial" w:eastAsia="Calibri" w:hAnsi="Arial" w:cs="Arial"/>
          <w:sz w:val="22"/>
        </w:rPr>
        <w:t>febrero</w:t>
      </w:r>
      <w:r w:rsidRPr="00F94DBD">
        <w:rPr>
          <w:rFonts w:ascii="Arial" w:eastAsia="Calibri" w:hAnsi="Arial" w:cs="Arial"/>
          <w:sz w:val="22"/>
        </w:rPr>
        <w:t xml:space="preserve"> de 202</w:t>
      </w:r>
      <w:r w:rsidR="007B7724" w:rsidRPr="00F94DBD">
        <w:rPr>
          <w:rFonts w:ascii="Arial" w:eastAsia="Calibri" w:hAnsi="Arial" w:cs="Arial"/>
          <w:sz w:val="22"/>
        </w:rPr>
        <w:t>1</w:t>
      </w:r>
      <w:r w:rsidRPr="00F94DBD">
        <w:rPr>
          <w:rFonts w:ascii="Arial" w:eastAsia="Calibri" w:hAnsi="Arial" w:cs="Arial"/>
          <w:sz w:val="22"/>
        </w:rPr>
        <w:t xml:space="preserve">. </w:t>
      </w:r>
    </w:p>
    <w:p w14:paraId="636DFAE3" w14:textId="77777777" w:rsidR="00BD49C8" w:rsidRPr="00F94DBD" w:rsidRDefault="00BD49C8" w:rsidP="00BD49C8">
      <w:pPr>
        <w:spacing w:line="276" w:lineRule="auto"/>
        <w:jc w:val="both"/>
        <w:rPr>
          <w:rFonts w:ascii="Arial" w:eastAsia="Calibri" w:hAnsi="Arial" w:cs="Arial"/>
          <w:sz w:val="22"/>
        </w:rPr>
      </w:pPr>
    </w:p>
    <w:p w14:paraId="0D3EC4EA" w14:textId="51510F5F" w:rsidR="00BD49C8" w:rsidRPr="00F94DBD" w:rsidRDefault="006132CE" w:rsidP="006132CE">
      <w:pPr>
        <w:pStyle w:val="Prrafodelista"/>
        <w:tabs>
          <w:tab w:val="left" w:pos="284"/>
        </w:tabs>
        <w:spacing w:line="276" w:lineRule="auto"/>
        <w:ind w:left="0"/>
        <w:jc w:val="both"/>
        <w:rPr>
          <w:rFonts w:ascii="Arial" w:eastAsia="Calibri" w:hAnsi="Arial" w:cs="Arial"/>
          <w:b/>
          <w:sz w:val="22"/>
        </w:rPr>
      </w:pPr>
      <w:r w:rsidRPr="00F94DBD">
        <w:rPr>
          <w:rFonts w:ascii="Arial" w:eastAsia="Calibri" w:hAnsi="Arial" w:cs="Arial"/>
          <w:b/>
          <w:sz w:val="22"/>
        </w:rPr>
        <w:t xml:space="preserve">1. </w:t>
      </w:r>
      <w:r w:rsidR="00BD49C8" w:rsidRPr="00F94DBD">
        <w:rPr>
          <w:rFonts w:ascii="Arial" w:eastAsia="Calibri" w:hAnsi="Arial" w:cs="Arial"/>
          <w:b/>
          <w:sz w:val="22"/>
        </w:rPr>
        <w:t xml:space="preserve">Problema planteado </w:t>
      </w:r>
    </w:p>
    <w:p w14:paraId="3C14EE72" w14:textId="77777777" w:rsidR="00BD49C8" w:rsidRPr="00F94DBD" w:rsidRDefault="00BD49C8" w:rsidP="00BD49C8">
      <w:pPr>
        <w:tabs>
          <w:tab w:val="left" w:pos="426"/>
        </w:tabs>
        <w:spacing w:line="276" w:lineRule="auto"/>
        <w:jc w:val="both"/>
        <w:rPr>
          <w:rFonts w:ascii="Arial" w:eastAsia="Calibri" w:hAnsi="Arial" w:cs="Arial"/>
          <w:b/>
          <w:sz w:val="22"/>
        </w:rPr>
      </w:pPr>
    </w:p>
    <w:p w14:paraId="39623A54" w14:textId="5FEFC85A" w:rsidR="0073617B" w:rsidRPr="00F94DBD" w:rsidRDefault="00BD49C8" w:rsidP="00423790">
      <w:pPr>
        <w:tabs>
          <w:tab w:val="left" w:pos="426"/>
        </w:tabs>
        <w:spacing w:line="276" w:lineRule="auto"/>
        <w:jc w:val="both"/>
        <w:rPr>
          <w:rFonts w:ascii="Arial" w:eastAsia="Calibri" w:hAnsi="Arial" w:cs="Arial"/>
          <w:sz w:val="22"/>
        </w:rPr>
      </w:pPr>
      <w:r w:rsidRPr="00F94DBD">
        <w:rPr>
          <w:rFonts w:ascii="Arial" w:eastAsia="Calibri" w:hAnsi="Arial" w:cs="Arial"/>
          <w:sz w:val="22"/>
        </w:rPr>
        <w:t>Usted realiza la siguiente pregunta:</w:t>
      </w:r>
      <w:r w:rsidR="00E6543E" w:rsidRPr="00F94DBD">
        <w:rPr>
          <w:rFonts w:ascii="Arial" w:eastAsia="Calibri" w:hAnsi="Arial" w:cs="Arial"/>
          <w:sz w:val="22"/>
        </w:rPr>
        <w:t xml:space="preserve"> </w:t>
      </w:r>
      <w:bookmarkStart w:id="4" w:name="_Hlk42692076"/>
      <w:r w:rsidR="006132CE" w:rsidRPr="00F94DBD">
        <w:rPr>
          <w:rFonts w:ascii="Arial" w:eastAsia="Calibri" w:hAnsi="Arial" w:cs="Arial"/>
          <w:sz w:val="22"/>
        </w:rPr>
        <w:t>«</w:t>
      </w:r>
      <w:r w:rsidR="00423790" w:rsidRPr="00F94DBD">
        <w:rPr>
          <w:rFonts w:ascii="Arial" w:eastAsia="Calibri" w:hAnsi="Arial" w:cs="Arial"/>
          <w:sz w:val="22"/>
        </w:rPr>
        <w:t>[…] Solicito que se revise la forma de calcular la capacidad residual pues considero que se está haciendo de forma errónea»</w:t>
      </w:r>
      <w:r w:rsidR="002B6FFA" w:rsidRPr="00F94DBD">
        <w:rPr>
          <w:rFonts w:ascii="Arial" w:eastAsia="Calibri" w:hAnsi="Arial" w:cs="Arial"/>
          <w:sz w:val="22"/>
        </w:rPr>
        <w:t xml:space="preserve">, en el aplicativo de Colombia Compra Eficiente y en procesos de contratación como los de INVÍAS, ya que </w:t>
      </w:r>
      <w:r w:rsidR="00423790" w:rsidRPr="00F94DBD">
        <w:rPr>
          <w:rFonts w:ascii="Arial" w:eastAsia="Calibri" w:hAnsi="Arial" w:cs="Arial"/>
          <w:sz w:val="22"/>
        </w:rPr>
        <w:t>«[…] para ello deberá diligenciar un formato donde debe mostrar los contratos que tiene en ejecución, en este formato no se tiene en cuenta el valor de anticipo de cada proyecto que este ejecutando el proponente y es aquí donde considero que se presenta el error[…]», teniendo en cuenta que ese anticipo afecta la capacidad residual, por ende «[…]solicitamos a la entidad, que se realicen las correcciones del caso y enviar la recomendación a todas las entidades públicas en caso en que debe aplicarse la corrección pertinente».</w:t>
      </w:r>
    </w:p>
    <w:bookmarkEnd w:id="4"/>
    <w:p w14:paraId="1567C4E3" w14:textId="77777777" w:rsidR="00BD49C8" w:rsidRPr="00F94DBD" w:rsidRDefault="00BD49C8" w:rsidP="00BD49C8">
      <w:pPr>
        <w:tabs>
          <w:tab w:val="left" w:pos="709"/>
        </w:tabs>
        <w:spacing w:line="276" w:lineRule="auto"/>
        <w:jc w:val="both"/>
        <w:rPr>
          <w:rFonts w:ascii="Arial" w:eastAsia="Calibri" w:hAnsi="Arial" w:cs="Arial"/>
          <w:sz w:val="22"/>
        </w:rPr>
      </w:pPr>
    </w:p>
    <w:p w14:paraId="48F8FADA" w14:textId="77777777" w:rsidR="00BD49C8" w:rsidRPr="00F94DBD" w:rsidRDefault="00BD49C8" w:rsidP="00BD49C8">
      <w:pPr>
        <w:spacing w:line="276" w:lineRule="auto"/>
        <w:jc w:val="both"/>
        <w:rPr>
          <w:rFonts w:ascii="Arial" w:eastAsia="Calibri" w:hAnsi="Arial" w:cs="Arial"/>
          <w:b/>
          <w:bCs/>
          <w:sz w:val="22"/>
        </w:rPr>
      </w:pPr>
      <w:r w:rsidRPr="00F94DBD">
        <w:rPr>
          <w:rFonts w:ascii="Arial" w:eastAsia="Calibri" w:hAnsi="Arial" w:cs="Arial"/>
          <w:b/>
          <w:bCs/>
          <w:sz w:val="22"/>
        </w:rPr>
        <w:lastRenderedPageBreak/>
        <w:t>2. Consideraciones</w:t>
      </w:r>
    </w:p>
    <w:p w14:paraId="12BC547D" w14:textId="31A0CC65" w:rsidR="00BD49C8" w:rsidRPr="00F94DBD" w:rsidRDefault="00BD49C8" w:rsidP="00BD49C8">
      <w:pPr>
        <w:spacing w:line="276" w:lineRule="auto"/>
        <w:jc w:val="both"/>
        <w:rPr>
          <w:rFonts w:ascii="Arial" w:eastAsia="Calibri" w:hAnsi="Arial" w:cs="Arial"/>
          <w:b/>
          <w:bCs/>
          <w:sz w:val="22"/>
        </w:rPr>
      </w:pPr>
    </w:p>
    <w:p w14:paraId="2A663DC8" w14:textId="616D72DC" w:rsidR="002F1CCA" w:rsidRPr="006A71B3" w:rsidRDefault="002F1CCA" w:rsidP="00F94DBD">
      <w:pPr>
        <w:spacing w:after="120" w:line="276" w:lineRule="auto"/>
        <w:jc w:val="both"/>
        <w:rPr>
          <w:rFonts w:ascii="Arial" w:eastAsia="Calibri" w:hAnsi="Arial" w:cs="Arial"/>
          <w:bCs/>
          <w:sz w:val="22"/>
        </w:rPr>
      </w:pPr>
      <w:r w:rsidRPr="006A71B3">
        <w:rPr>
          <w:rFonts w:ascii="Arial" w:eastAsia="Calibri" w:hAnsi="Arial" w:cs="Arial"/>
          <w:sz w:val="22"/>
        </w:rPr>
        <w:t xml:space="preserve">La Agencia </w:t>
      </w:r>
      <w:r w:rsidRPr="006A71B3">
        <w:rPr>
          <w:rFonts w:ascii="Arial" w:eastAsia="Calibri" w:hAnsi="Arial" w:cs="Arial"/>
          <w:bCs/>
          <w:sz w:val="22"/>
        </w:rPr>
        <w:t>Nacional de Contratación Pública – Colombia Compra Eficiente estudió</w:t>
      </w:r>
      <w:r w:rsidRPr="006A71B3">
        <w:rPr>
          <w:rFonts w:ascii="Arial" w:eastAsia="Calibri" w:hAnsi="Arial" w:cs="Arial"/>
          <w:sz w:val="22"/>
        </w:rPr>
        <w:t xml:space="preserve"> </w:t>
      </w:r>
      <w:r w:rsidR="006B28EE" w:rsidRPr="006A71B3">
        <w:rPr>
          <w:rFonts w:ascii="Arial" w:eastAsia="Calibri" w:hAnsi="Arial" w:cs="Arial"/>
          <w:sz w:val="22"/>
        </w:rPr>
        <w:t xml:space="preserve">temas relativos a </w:t>
      </w:r>
      <w:r w:rsidR="001D2184" w:rsidRPr="006A71B3">
        <w:rPr>
          <w:rFonts w:ascii="Arial" w:eastAsia="Calibri" w:hAnsi="Arial" w:cs="Arial"/>
          <w:sz w:val="22"/>
        </w:rPr>
        <w:t>la</w:t>
      </w:r>
      <w:r w:rsidRPr="006A71B3">
        <w:rPr>
          <w:rFonts w:ascii="Arial" w:eastAsia="Calibri" w:hAnsi="Arial" w:cs="Arial"/>
          <w:sz w:val="22"/>
        </w:rPr>
        <w:t xml:space="preserve"> capacidad residual </w:t>
      </w:r>
      <w:r w:rsidRPr="006A71B3">
        <w:rPr>
          <w:rFonts w:ascii="Arial" w:eastAsia="Calibri" w:hAnsi="Arial" w:cs="Arial"/>
          <w:bCs/>
          <w:sz w:val="22"/>
        </w:rPr>
        <w:t xml:space="preserve">en los conceptos </w:t>
      </w:r>
      <w:r w:rsidRPr="006A71B3">
        <w:rPr>
          <w:rFonts w:ascii="Arial" w:eastAsia="Calibri" w:hAnsi="Arial" w:cs="Arial"/>
          <w:sz w:val="22"/>
        </w:rPr>
        <w:t xml:space="preserve">No. </w:t>
      </w:r>
      <w:r w:rsidR="004031DE" w:rsidRPr="006A71B3">
        <w:rPr>
          <w:rFonts w:ascii="Arial" w:eastAsia="Calibri" w:hAnsi="Arial" w:cs="Arial"/>
          <w:sz w:val="22"/>
        </w:rPr>
        <w:t xml:space="preserve">2201913000006275 del 27 de agosto de 2019, </w:t>
      </w:r>
      <w:r w:rsidRPr="006A71B3">
        <w:rPr>
          <w:rFonts w:ascii="Arial" w:eastAsia="Calibri" w:hAnsi="Arial" w:cs="Arial"/>
          <w:sz w:val="22"/>
        </w:rPr>
        <w:t>4201912000005192 del 9 de septiembre de 2019,</w:t>
      </w:r>
      <w:r w:rsidR="004031DE" w:rsidRPr="006A71B3">
        <w:rPr>
          <w:rFonts w:ascii="Arial" w:eastAsia="Calibri" w:hAnsi="Arial" w:cs="Arial"/>
          <w:sz w:val="22"/>
        </w:rPr>
        <w:t xml:space="preserve"> 2201913000009465 del 20 de diciembre de 2019, 2201913000009642 y 2201913000009640 del 26 de diciembre de 2019, </w:t>
      </w:r>
      <w:r w:rsidRPr="006A71B3">
        <w:rPr>
          <w:rFonts w:ascii="Arial" w:eastAsia="Calibri" w:hAnsi="Arial" w:cs="Arial"/>
          <w:sz w:val="22"/>
        </w:rPr>
        <w:t xml:space="preserve">4201912000007744 del 12 de febrero de 2020, </w:t>
      </w:r>
      <w:r w:rsidR="004031DE" w:rsidRPr="006A71B3">
        <w:rPr>
          <w:rFonts w:ascii="Arial" w:eastAsia="Calibri" w:hAnsi="Arial" w:cs="Arial"/>
          <w:sz w:val="22"/>
        </w:rPr>
        <w:t xml:space="preserve">C-022 del 20 de febrero de 2020, </w:t>
      </w:r>
      <w:r w:rsidR="00F93CE5" w:rsidRPr="006A71B3">
        <w:rPr>
          <w:rFonts w:ascii="Arial" w:eastAsia="Calibri" w:hAnsi="Arial" w:cs="Arial"/>
          <w:sz w:val="22"/>
        </w:rPr>
        <w:t xml:space="preserve">C-089 del 4 de marzo de 2020, </w:t>
      </w:r>
      <w:r w:rsidR="004031DE" w:rsidRPr="006A71B3">
        <w:rPr>
          <w:rFonts w:ascii="Arial" w:eastAsia="Calibri" w:hAnsi="Arial" w:cs="Arial"/>
          <w:sz w:val="22"/>
        </w:rPr>
        <w:t xml:space="preserve">C-112 del 16 de marzo de 2020, </w:t>
      </w:r>
      <w:r w:rsidR="004031DE" w:rsidRPr="006A71B3">
        <w:rPr>
          <w:rFonts w:ascii="Arial" w:eastAsia="Calibri" w:hAnsi="Arial" w:cs="Arial"/>
          <w:sz w:val="22"/>
          <w:lang w:val="es-CO"/>
        </w:rPr>
        <w:t>C–133 del 30 de marzo de 2020, C-194 del 21 de abril de 2020, C-222 del 29 de marzo de 2020, C</w:t>
      </w:r>
      <w:r w:rsidR="006B28EE" w:rsidRPr="006A71B3">
        <w:rPr>
          <w:rFonts w:ascii="Arial" w:eastAsia="Calibri" w:hAnsi="Arial" w:cs="Arial"/>
          <w:sz w:val="22"/>
          <w:lang w:val="es-CO"/>
        </w:rPr>
        <w:t>-</w:t>
      </w:r>
      <w:r w:rsidR="004031DE" w:rsidRPr="006A71B3">
        <w:rPr>
          <w:rFonts w:ascii="Arial" w:eastAsia="Calibri" w:hAnsi="Arial" w:cs="Arial"/>
          <w:sz w:val="22"/>
          <w:lang w:val="es-CO"/>
        </w:rPr>
        <w:t xml:space="preserve">326 del 9 de junio de 2020, </w:t>
      </w:r>
      <w:r w:rsidRPr="006A71B3">
        <w:rPr>
          <w:rFonts w:ascii="Arial" w:eastAsia="Calibri" w:hAnsi="Arial" w:cs="Arial"/>
          <w:bCs/>
          <w:sz w:val="22"/>
        </w:rPr>
        <w:t xml:space="preserve">C-383 del 23 de junio de 2020, </w:t>
      </w:r>
      <w:r w:rsidR="004031DE" w:rsidRPr="006A71B3">
        <w:rPr>
          <w:rFonts w:ascii="Arial" w:eastAsia="Calibri" w:hAnsi="Arial" w:cs="Arial"/>
          <w:sz w:val="22"/>
          <w:lang w:val="es-CO"/>
        </w:rPr>
        <w:t xml:space="preserve">C-446 del 6 de julio de 2020, </w:t>
      </w:r>
      <w:r w:rsidRPr="006A71B3">
        <w:rPr>
          <w:rFonts w:ascii="Arial" w:eastAsia="Calibri" w:hAnsi="Arial" w:cs="Arial"/>
          <w:bCs/>
          <w:sz w:val="22"/>
        </w:rPr>
        <w:t>C-461 del 13 de julio de 2020</w:t>
      </w:r>
      <w:r w:rsidR="001D2184" w:rsidRPr="006A71B3">
        <w:rPr>
          <w:rFonts w:ascii="Arial" w:eastAsia="Calibri" w:hAnsi="Arial" w:cs="Arial"/>
          <w:bCs/>
          <w:sz w:val="22"/>
        </w:rPr>
        <w:t>,</w:t>
      </w:r>
      <w:r w:rsidRPr="006A71B3">
        <w:rPr>
          <w:rFonts w:ascii="Arial" w:eastAsia="Calibri" w:hAnsi="Arial" w:cs="Arial"/>
          <w:bCs/>
          <w:sz w:val="22"/>
        </w:rPr>
        <w:t xml:space="preserve"> C-742 del 16 de diciembre de 2020</w:t>
      </w:r>
      <w:r w:rsidR="001D2184" w:rsidRPr="006A71B3">
        <w:rPr>
          <w:rFonts w:ascii="Arial" w:eastAsia="Calibri" w:hAnsi="Arial" w:cs="Arial"/>
          <w:bCs/>
          <w:sz w:val="22"/>
        </w:rPr>
        <w:t>, C-045 del 5 de marzo de 2021 y C-067 del 15 de marzo de 2021</w:t>
      </w:r>
      <w:r w:rsidRPr="006A71B3">
        <w:rPr>
          <w:rFonts w:ascii="Arial" w:eastAsia="Calibri" w:hAnsi="Arial" w:cs="Arial"/>
          <w:bCs/>
          <w:sz w:val="22"/>
        </w:rPr>
        <w:t xml:space="preserve">. </w:t>
      </w:r>
      <w:r w:rsidRPr="006A71B3">
        <w:rPr>
          <w:rFonts w:ascii="Arial" w:hAnsi="Arial" w:cs="Arial"/>
          <w:sz w:val="22"/>
        </w:rPr>
        <w:t>La tesis desarrollada se expone a continuación</w:t>
      </w:r>
      <w:r w:rsidRPr="006A71B3">
        <w:rPr>
          <w:rFonts w:ascii="Arial" w:eastAsia="Calibri" w:hAnsi="Arial" w:cs="Arial"/>
          <w:bCs/>
          <w:sz w:val="22"/>
        </w:rPr>
        <w:t>.</w:t>
      </w:r>
    </w:p>
    <w:p w14:paraId="43285201" w14:textId="19779C4E" w:rsidR="00F93CE5" w:rsidRPr="00F94DBD" w:rsidRDefault="00BD49C8" w:rsidP="00F94DBD">
      <w:pPr>
        <w:spacing w:after="120" w:line="276" w:lineRule="auto"/>
        <w:ind w:firstLine="708"/>
        <w:jc w:val="both"/>
        <w:rPr>
          <w:rFonts w:ascii="Arial" w:hAnsi="Arial" w:cs="Arial"/>
          <w:sz w:val="22"/>
        </w:rPr>
      </w:pPr>
      <w:r w:rsidRPr="00F94DBD">
        <w:rPr>
          <w:rFonts w:ascii="Arial" w:hAnsi="Arial" w:cs="Arial"/>
          <w:sz w:val="22"/>
        </w:rPr>
        <w:t>De acuerdo con lo establecido en el artículo 2.2.1.1.1.3.1</w:t>
      </w:r>
      <w:r w:rsidR="00044B79" w:rsidRPr="00F94DBD">
        <w:rPr>
          <w:rFonts w:ascii="Arial" w:hAnsi="Arial" w:cs="Arial"/>
          <w:sz w:val="22"/>
        </w:rPr>
        <w:t>.</w:t>
      </w:r>
      <w:r w:rsidRPr="00F94DBD">
        <w:rPr>
          <w:rFonts w:ascii="Arial" w:hAnsi="Arial" w:cs="Arial"/>
          <w:sz w:val="22"/>
        </w:rPr>
        <w:t xml:space="preserve">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sidRPr="00F94DBD">
        <w:rPr>
          <w:rFonts w:ascii="Arial" w:hAnsi="Arial" w:cs="Arial"/>
          <w:sz w:val="22"/>
          <w:szCs w:val="20"/>
          <w:vertAlign w:val="superscript"/>
        </w:rPr>
        <w:footnoteReference w:id="1"/>
      </w:r>
      <w:r w:rsidRPr="00F94DBD">
        <w:rPr>
          <w:rFonts w:ascii="Arial" w:hAnsi="Arial" w:cs="Arial"/>
          <w:sz w:val="22"/>
        </w:rPr>
        <w:t xml:space="preserve">. </w:t>
      </w:r>
    </w:p>
    <w:p w14:paraId="483E0B7D" w14:textId="389CA515" w:rsidR="00A53C24" w:rsidRPr="006A71B3" w:rsidRDefault="00BD49C8">
      <w:pPr>
        <w:spacing w:after="120" w:line="276" w:lineRule="auto"/>
        <w:ind w:firstLine="709"/>
        <w:jc w:val="both"/>
        <w:rPr>
          <w:rFonts w:ascii="Arial" w:eastAsia="Arial" w:hAnsi="Arial" w:cs="Arial"/>
          <w:sz w:val="22"/>
          <w:szCs w:val="24"/>
          <w:lang w:val="es-CO" w:eastAsia="es-ES" w:bidi="es-ES"/>
        </w:rPr>
      </w:pPr>
      <w:r w:rsidRPr="00F94DBD">
        <w:rPr>
          <w:rFonts w:ascii="Arial" w:hAnsi="Arial" w:cs="Arial"/>
          <w:sz w:val="22"/>
        </w:rPr>
        <w:t>Por su parte, el Consejo de Estado ha definido la capacidad residual como «</w:t>
      </w:r>
      <w:r w:rsidR="006B28EE" w:rsidRPr="00F94DBD">
        <w:rPr>
          <w:rFonts w:ascii="Arial" w:hAnsi="Arial" w:cs="Arial"/>
          <w:sz w:val="22"/>
        </w:rPr>
        <w:t xml:space="preserve">[…] </w:t>
      </w:r>
      <w:r w:rsidRPr="00F94DBD">
        <w:rPr>
          <w:rFonts w:ascii="Arial" w:hAnsi="Arial" w:cs="Arial"/>
          <w:sz w:val="22"/>
        </w:rPr>
        <w:t>la diferencia que existe entre el potencial de contratación que se tiene y los compromisos que haya adquirido y que se encuentren en ejecución, para la fecha de presentación de la oferta»</w:t>
      </w:r>
      <w:r w:rsidRPr="00F94DBD">
        <w:rPr>
          <w:rStyle w:val="Refdenotaalpie"/>
          <w:rFonts w:ascii="Arial" w:eastAsia="Calibri" w:hAnsi="Arial" w:cs="Arial"/>
          <w:sz w:val="22"/>
        </w:rPr>
        <w:footnoteReference w:id="2"/>
      </w:r>
      <w:r w:rsidRPr="00F94DBD">
        <w:rPr>
          <w:rFonts w:ascii="Arial" w:hAnsi="Arial" w:cs="Arial"/>
          <w:sz w:val="22"/>
        </w:rPr>
        <w:t>.</w:t>
      </w:r>
      <w:r w:rsidR="006B28EE" w:rsidRPr="006A71B3">
        <w:rPr>
          <w:rFonts w:ascii="Arial" w:eastAsia="Arial" w:hAnsi="Arial" w:cs="Arial"/>
          <w:sz w:val="22"/>
          <w:szCs w:val="24"/>
          <w:lang w:val="es-CO" w:eastAsia="es-ES" w:bidi="es-ES"/>
        </w:rPr>
        <w:t xml:space="preserve"> </w:t>
      </w:r>
      <w:r w:rsidR="00A53C24" w:rsidRPr="006A71B3">
        <w:rPr>
          <w:rFonts w:ascii="Arial" w:eastAsia="Arial" w:hAnsi="Arial" w:cs="Arial"/>
          <w:sz w:val="22"/>
          <w:szCs w:val="24"/>
          <w:lang w:val="es-CO" w:eastAsia="es-ES" w:bidi="es-ES"/>
        </w:rPr>
        <w:t xml:space="preserve">Teniendo en cuenta lo dicho antes,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w:t>
      </w:r>
      <w:r w:rsidR="00A53C24" w:rsidRPr="00F94DBD">
        <w:rPr>
          <w:rFonts w:ascii="Arial" w:hAnsi="Arial" w:cs="Arial"/>
          <w:sz w:val="22"/>
        </w:rPr>
        <w:t>simultáneamente</w:t>
      </w:r>
      <w:r w:rsidR="00A53C24" w:rsidRPr="006A71B3">
        <w:rPr>
          <w:rFonts w:ascii="Arial" w:eastAsia="Arial" w:hAnsi="Arial" w:cs="Arial"/>
          <w:sz w:val="22"/>
          <w:szCs w:val="24"/>
          <w:lang w:val="es-CO" w:eastAsia="es-ES" w:bidi="es-ES"/>
        </w:rPr>
        <w:t>.</w:t>
      </w:r>
    </w:p>
    <w:p w14:paraId="1ED241BD" w14:textId="3DBDE9DB" w:rsidR="00BD49C8" w:rsidRPr="00F94DBD" w:rsidRDefault="00BD49C8" w:rsidP="00BD49C8">
      <w:pPr>
        <w:spacing w:line="276" w:lineRule="auto"/>
        <w:ind w:firstLine="708"/>
        <w:jc w:val="both"/>
        <w:rPr>
          <w:rFonts w:ascii="Arial" w:hAnsi="Arial" w:cs="Arial"/>
          <w:sz w:val="22"/>
        </w:rPr>
      </w:pPr>
      <w:r w:rsidRPr="00F94DBD">
        <w:rPr>
          <w:rFonts w:ascii="Arial" w:hAnsi="Arial" w:cs="Arial"/>
          <w:sz w:val="22"/>
        </w:rPr>
        <w:t>El artículo 6 de la Ley 1150 de 2007 estableció como condición «</w:t>
      </w:r>
      <w:r w:rsidR="006B28EE" w:rsidRPr="00F94DBD">
        <w:rPr>
          <w:rFonts w:ascii="Arial" w:hAnsi="Arial" w:cs="Arial"/>
          <w:sz w:val="22"/>
        </w:rPr>
        <w:t xml:space="preserve">[…] </w:t>
      </w:r>
      <w:r w:rsidRPr="00F94DBD">
        <w:rPr>
          <w:rFonts w:ascii="Arial" w:hAnsi="Arial" w:cs="Arial"/>
          <w:sz w:val="22"/>
        </w:rPr>
        <w:t>para poder participar en los procesos de selección de los contratos de obra, la capacidad residual del proponente o K de contratación»</w:t>
      </w:r>
      <w:r w:rsidR="00F07705" w:rsidRPr="00F94DBD">
        <w:rPr>
          <w:rFonts w:ascii="Arial" w:hAnsi="Arial" w:cs="Arial"/>
          <w:sz w:val="22"/>
        </w:rPr>
        <w:t>. Además,</w:t>
      </w:r>
      <w:r w:rsidRPr="00F94DBD">
        <w:rPr>
          <w:rFonts w:ascii="Arial" w:hAnsi="Arial" w:cs="Arial"/>
          <w:sz w:val="22"/>
        </w:rPr>
        <w:t xml:space="preserve"> determinó que esta debe ser igual o superior a la </w:t>
      </w:r>
      <w:r w:rsidR="00B86125" w:rsidRPr="00F94DBD">
        <w:rPr>
          <w:rFonts w:ascii="Arial" w:hAnsi="Arial" w:cs="Arial"/>
          <w:sz w:val="22"/>
        </w:rPr>
        <w:t>establecida</w:t>
      </w:r>
      <w:r w:rsidRPr="00F94DBD">
        <w:rPr>
          <w:rFonts w:ascii="Arial" w:hAnsi="Arial" w:cs="Arial"/>
          <w:sz w:val="22"/>
        </w:rPr>
        <w:t xml:space="preserve"> en los pliegos de condiciones, en los siguientes términos: </w:t>
      </w:r>
    </w:p>
    <w:p w14:paraId="0330AB28" w14:textId="77777777" w:rsidR="00BD49C8" w:rsidRPr="00F94DBD" w:rsidRDefault="00BD49C8" w:rsidP="00BD49C8">
      <w:pPr>
        <w:ind w:right="709"/>
        <w:jc w:val="both"/>
        <w:rPr>
          <w:rFonts w:ascii="Arial" w:eastAsia="Calibri" w:hAnsi="Arial" w:cs="Arial"/>
          <w:sz w:val="21"/>
          <w:szCs w:val="21"/>
        </w:rPr>
      </w:pPr>
    </w:p>
    <w:p w14:paraId="7D22D98C" w14:textId="77777777" w:rsidR="00BD49C8" w:rsidRPr="00F94DBD" w:rsidRDefault="00BD49C8" w:rsidP="00BD49C8">
      <w:pPr>
        <w:ind w:left="708" w:right="709"/>
        <w:jc w:val="both"/>
        <w:rPr>
          <w:rFonts w:ascii="Arial" w:eastAsia="Calibri" w:hAnsi="Arial" w:cs="Arial"/>
          <w:sz w:val="21"/>
          <w:szCs w:val="21"/>
        </w:rPr>
      </w:pPr>
      <w:r w:rsidRPr="00F94DBD">
        <w:rPr>
          <w:rFonts w:ascii="Arial" w:eastAsia="Calibri" w:hAnsi="Arial" w:cs="Arial"/>
          <w:sz w:val="21"/>
          <w:szCs w:val="21"/>
        </w:rPr>
        <w:lastRenderedPageBreak/>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D00BCA8" w14:textId="77777777" w:rsidR="00BD49C8" w:rsidRPr="00F94DBD" w:rsidRDefault="00BD49C8" w:rsidP="00BD49C8">
      <w:pPr>
        <w:ind w:left="708" w:right="709"/>
        <w:jc w:val="both"/>
        <w:rPr>
          <w:rFonts w:ascii="Arial" w:eastAsia="Calibri" w:hAnsi="Arial" w:cs="Arial"/>
          <w:sz w:val="21"/>
          <w:szCs w:val="21"/>
        </w:rPr>
      </w:pPr>
    </w:p>
    <w:p w14:paraId="6052600E" w14:textId="77777777" w:rsidR="00BD49C8" w:rsidRPr="00F94DBD" w:rsidRDefault="00BD49C8" w:rsidP="00BD49C8">
      <w:pPr>
        <w:ind w:left="708" w:right="709"/>
        <w:jc w:val="both"/>
        <w:rPr>
          <w:rFonts w:ascii="Arial" w:eastAsia="Calibri" w:hAnsi="Arial" w:cs="Arial"/>
          <w:sz w:val="21"/>
          <w:szCs w:val="21"/>
        </w:rPr>
      </w:pPr>
      <w:r w:rsidRPr="00F94DBD">
        <w:rPr>
          <w:rFonts w:ascii="Arial" w:eastAsia="Calibri" w:hAnsi="Arial" w:cs="Arial"/>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33BEFEC" w14:textId="77777777" w:rsidR="00BD49C8" w:rsidRPr="00F94DBD" w:rsidRDefault="00BD49C8" w:rsidP="00BD49C8">
      <w:pPr>
        <w:spacing w:line="276" w:lineRule="auto"/>
        <w:ind w:right="709"/>
        <w:jc w:val="both"/>
        <w:rPr>
          <w:rFonts w:ascii="Arial" w:eastAsia="Calibri" w:hAnsi="Arial" w:cs="Arial"/>
          <w:sz w:val="21"/>
          <w:szCs w:val="21"/>
        </w:rPr>
      </w:pPr>
    </w:p>
    <w:p w14:paraId="3D700DB9" w14:textId="571E8F5A" w:rsidR="00BD49C8" w:rsidRPr="00F94DBD" w:rsidRDefault="00BD49C8" w:rsidP="00987B6A">
      <w:pPr>
        <w:spacing w:after="120" w:line="276" w:lineRule="auto"/>
        <w:jc w:val="both"/>
        <w:rPr>
          <w:rFonts w:ascii="Arial" w:hAnsi="Arial" w:cs="Arial"/>
          <w:sz w:val="22"/>
        </w:rPr>
      </w:pPr>
      <w:r w:rsidRPr="00F94DBD">
        <w:rPr>
          <w:rFonts w:ascii="Arial" w:eastAsia="Calibri" w:hAnsi="Arial" w:cs="Arial"/>
          <w:sz w:val="21"/>
          <w:szCs w:val="21"/>
        </w:rPr>
        <w:tab/>
      </w:r>
      <w:r w:rsidRPr="00F94DBD">
        <w:rPr>
          <w:rFonts w:ascii="Arial" w:hAnsi="Arial" w:cs="Arial"/>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F94DBD">
        <w:rPr>
          <w:rFonts w:ascii="Arial" w:eastAsia="Calibri" w:hAnsi="Arial" w:cs="Arial"/>
          <w:bCs/>
          <w:sz w:val="22"/>
        </w:rPr>
        <w:t>Organización</w:t>
      </w:r>
      <w:r w:rsidRPr="00F94DBD">
        <w:rPr>
          <w:rFonts w:ascii="Arial" w:hAnsi="Arial" w:cs="Arial"/>
          <w:sz w:val="22"/>
        </w:rPr>
        <w:t xml:space="preserve"> –CO–. </w:t>
      </w:r>
    </w:p>
    <w:p w14:paraId="04D400BA" w14:textId="77777777" w:rsidR="00A53C24" w:rsidRPr="006A71B3" w:rsidRDefault="00A53C24" w:rsidP="00A53C24">
      <w:pPr>
        <w:widowControl w:val="0"/>
        <w:autoSpaceDE w:val="0"/>
        <w:autoSpaceDN w:val="0"/>
        <w:spacing w:before="120" w:line="276" w:lineRule="auto"/>
        <w:ind w:right="51" w:firstLine="709"/>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 xml:space="preserve">El artículo 2.2.1.1.1.6.4 del Decreto 1082 de 2015, por su parte, establece que las entidades estatales deben calcular la capacidad residual conforme a la metodología definida por Colombia Compre Eficiente y precisó que, para tales fines, resulta necesario tener en cuenta los factores de: i) experiencia; </w:t>
      </w:r>
      <w:proofErr w:type="spellStart"/>
      <w:r w:rsidRPr="006A71B3">
        <w:rPr>
          <w:rFonts w:ascii="Arial" w:eastAsia="Arial" w:hAnsi="Arial" w:cs="Arial"/>
          <w:sz w:val="22"/>
          <w:szCs w:val="24"/>
          <w:lang w:val="es-CO" w:eastAsia="es-ES" w:bidi="es-ES"/>
        </w:rPr>
        <w:t>ii</w:t>
      </w:r>
      <w:proofErr w:type="spellEnd"/>
      <w:r w:rsidRPr="006A71B3">
        <w:rPr>
          <w:rFonts w:ascii="Arial" w:eastAsia="Arial" w:hAnsi="Arial" w:cs="Arial"/>
          <w:sz w:val="22"/>
          <w:szCs w:val="24"/>
          <w:lang w:val="es-CO" w:eastAsia="es-ES" w:bidi="es-ES"/>
        </w:rPr>
        <w:t xml:space="preserve">) capacidad financiera; </w:t>
      </w:r>
      <w:proofErr w:type="spellStart"/>
      <w:r w:rsidRPr="006A71B3">
        <w:rPr>
          <w:rFonts w:ascii="Arial" w:eastAsia="Arial" w:hAnsi="Arial" w:cs="Arial"/>
          <w:sz w:val="22"/>
          <w:szCs w:val="24"/>
          <w:lang w:val="es-CO" w:eastAsia="es-ES" w:bidi="es-ES"/>
        </w:rPr>
        <w:t>iii</w:t>
      </w:r>
      <w:proofErr w:type="spellEnd"/>
      <w:r w:rsidRPr="006A71B3">
        <w:rPr>
          <w:rFonts w:ascii="Arial" w:eastAsia="Arial" w:hAnsi="Arial" w:cs="Arial"/>
          <w:sz w:val="22"/>
          <w:szCs w:val="24"/>
          <w:lang w:val="es-CO" w:eastAsia="es-ES" w:bidi="es-ES"/>
        </w:rPr>
        <w:t xml:space="preserve">) capacidad técnica; </w:t>
      </w:r>
      <w:proofErr w:type="spellStart"/>
      <w:r w:rsidRPr="006A71B3">
        <w:rPr>
          <w:rFonts w:ascii="Arial" w:eastAsia="Arial" w:hAnsi="Arial" w:cs="Arial"/>
          <w:sz w:val="22"/>
          <w:szCs w:val="24"/>
          <w:lang w:val="es-CO" w:eastAsia="es-ES" w:bidi="es-ES"/>
        </w:rPr>
        <w:t>iv</w:t>
      </w:r>
      <w:proofErr w:type="spellEnd"/>
      <w:r w:rsidRPr="006A71B3">
        <w:rPr>
          <w:rFonts w:ascii="Arial" w:eastAsia="Arial" w:hAnsi="Arial" w:cs="Arial"/>
          <w:sz w:val="22"/>
          <w:szCs w:val="24"/>
          <w:lang w:val="es-CO" w:eastAsia="es-ES" w:bidi="es-ES"/>
        </w:rPr>
        <w:t>) capacidad de organización; y v) los saldos de los contratos en ejecución, así:</w:t>
      </w:r>
    </w:p>
    <w:p w14:paraId="542C98E4" w14:textId="77777777" w:rsidR="00A53C24" w:rsidRPr="006A71B3" w:rsidRDefault="00A53C24" w:rsidP="00A53C24">
      <w:pPr>
        <w:widowControl w:val="0"/>
        <w:autoSpaceDE w:val="0"/>
        <w:autoSpaceDN w:val="0"/>
        <w:spacing w:before="8"/>
        <w:ind w:right="49"/>
        <w:rPr>
          <w:rFonts w:ascii="Arial" w:eastAsia="Arial" w:hAnsi="Arial" w:cs="Arial"/>
          <w:sz w:val="21"/>
          <w:szCs w:val="24"/>
          <w:lang w:val="es-CO" w:eastAsia="es-ES" w:bidi="es-ES"/>
        </w:rPr>
      </w:pPr>
    </w:p>
    <w:p w14:paraId="4DF23AF1" w14:textId="77777777" w:rsidR="00A53C24" w:rsidRPr="006A71B3" w:rsidRDefault="00A53C24" w:rsidP="00A53C24">
      <w:pPr>
        <w:widowControl w:val="0"/>
        <w:autoSpaceDE w:val="0"/>
        <w:autoSpaceDN w:val="0"/>
        <w:ind w:left="709" w:right="760" w:firstLine="2"/>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Artículo 2.2.1.1.1.6.4. Capacidad Residual. El interesado en celebrar contratos de obra pública con Entidades Estatales debe acreditar su Capacidad Residual o K de Contratación con los siguientes documentos: (…)</w:t>
      </w:r>
    </w:p>
    <w:p w14:paraId="60CC20C4" w14:textId="77777777" w:rsidR="00A53C24" w:rsidRPr="006A71B3" w:rsidRDefault="00A53C24" w:rsidP="00A53C24">
      <w:pPr>
        <w:widowControl w:val="0"/>
        <w:autoSpaceDE w:val="0"/>
        <w:autoSpaceDN w:val="0"/>
        <w:ind w:left="709" w:right="760"/>
        <w:rPr>
          <w:rFonts w:ascii="Arial" w:eastAsia="Arial" w:hAnsi="Arial" w:cs="Arial"/>
          <w:sz w:val="21"/>
          <w:szCs w:val="21"/>
          <w:lang w:val="es-CO" w:eastAsia="es-ES" w:bidi="es-ES"/>
        </w:rPr>
      </w:pPr>
    </w:p>
    <w:p w14:paraId="1211EAA7" w14:textId="77777777" w:rsidR="00A53C24" w:rsidRPr="006A71B3" w:rsidRDefault="00A53C24" w:rsidP="00A53C24">
      <w:pPr>
        <w:widowControl w:val="0"/>
        <w:autoSpaceDE w:val="0"/>
        <w:autoSpaceDN w:val="0"/>
        <w:ind w:left="709" w:right="760" w:firstLine="2"/>
        <w:jc w:val="both"/>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53BFA164" w14:textId="77777777" w:rsidR="00A53C24" w:rsidRPr="00F94DBD" w:rsidRDefault="00A53C24" w:rsidP="00BD49C8">
      <w:pPr>
        <w:spacing w:line="276" w:lineRule="auto"/>
        <w:jc w:val="both"/>
        <w:rPr>
          <w:rFonts w:ascii="Arial" w:hAnsi="Arial" w:cs="Arial"/>
          <w:sz w:val="22"/>
        </w:rPr>
      </w:pPr>
    </w:p>
    <w:p w14:paraId="2365A4B4" w14:textId="6C75E24E" w:rsidR="00A53C24" w:rsidRPr="006A71B3" w:rsidRDefault="00973D23" w:rsidP="00A53C24">
      <w:pPr>
        <w:pStyle w:val="Textoindependiente"/>
        <w:spacing w:line="276" w:lineRule="auto"/>
        <w:ind w:right="49" w:firstLine="709"/>
        <w:jc w:val="both"/>
        <w:rPr>
          <w:rFonts w:ascii="Arial" w:eastAsia="Arial" w:hAnsi="Arial" w:cs="Arial"/>
          <w:sz w:val="22"/>
          <w:szCs w:val="24"/>
          <w:lang w:val="es-CO" w:eastAsia="es-ES" w:bidi="es-ES"/>
        </w:rPr>
      </w:pPr>
      <w:r>
        <w:rPr>
          <w:rFonts w:ascii="Arial" w:hAnsi="Arial" w:cs="Arial"/>
          <w:sz w:val="22"/>
        </w:rPr>
        <w:t xml:space="preserve">Atendiendo la normatividad citada, </w:t>
      </w:r>
      <w:r w:rsidR="00987B6A" w:rsidRPr="00F94DBD">
        <w:rPr>
          <w:rFonts w:ascii="Arial" w:hAnsi="Arial" w:cs="Arial"/>
          <w:sz w:val="22"/>
        </w:rPr>
        <w:t xml:space="preserve">Colombia Compra Eficiente expidió la </w:t>
      </w:r>
      <w:r w:rsidR="00987B6A" w:rsidRPr="00F94DBD">
        <w:rPr>
          <w:rFonts w:ascii="Arial" w:hAnsi="Arial" w:cs="Arial"/>
          <w:i/>
          <w:iCs/>
          <w:sz w:val="22"/>
        </w:rPr>
        <w:t>Guía para Determinar y Verificar la Capacidad Residual del Proponente en los Procesos de Contratación de Obra Pública</w:t>
      </w:r>
      <w:r w:rsidR="00987B6A" w:rsidRPr="00F94DBD">
        <w:rPr>
          <w:rFonts w:ascii="Arial" w:hAnsi="Arial" w:cs="Arial"/>
          <w:sz w:val="22"/>
        </w:rPr>
        <w:t>, de conformidad con el artículo 2.2.1.2.5.2. del Decreto 1082 de 2015</w:t>
      </w:r>
      <w:r w:rsidR="00987B6A" w:rsidRPr="00F94DBD">
        <w:rPr>
          <w:rStyle w:val="Refdenotaalpie"/>
          <w:rFonts w:ascii="Arial" w:hAnsi="Arial" w:cs="Arial"/>
          <w:sz w:val="22"/>
        </w:rPr>
        <w:footnoteReference w:id="3"/>
      </w:r>
      <w:r w:rsidR="00C26F97" w:rsidRPr="00F94DBD">
        <w:rPr>
          <w:rFonts w:ascii="Arial" w:hAnsi="Arial" w:cs="Arial"/>
          <w:sz w:val="22"/>
        </w:rPr>
        <w:t xml:space="preserve">. </w:t>
      </w:r>
      <w:r w:rsidR="00A53C24" w:rsidRPr="006A71B3">
        <w:rPr>
          <w:rFonts w:ascii="Arial" w:eastAsia="Arial" w:hAnsi="Arial" w:cs="Arial"/>
          <w:sz w:val="22"/>
          <w:szCs w:val="24"/>
          <w:lang w:val="es-CO" w:eastAsia="es-ES" w:bidi="es-ES"/>
        </w:rPr>
        <w:t xml:space="preserve">Este documento establece, entre otras cuestiones, que a la entidad contratante </w:t>
      </w:r>
      <w:r w:rsidR="00A53C24" w:rsidRPr="006A71B3">
        <w:rPr>
          <w:rFonts w:ascii="Arial" w:eastAsia="Arial" w:hAnsi="Arial" w:cs="Arial"/>
          <w:sz w:val="22"/>
          <w:szCs w:val="24"/>
          <w:lang w:val="es-CO" w:eastAsia="es-ES" w:bidi="es-ES"/>
        </w:rPr>
        <w:lastRenderedPageBreak/>
        <w:t>corresponde, primero, establecer la capacidad residual del proceso de contratación «</w:t>
      </w:r>
      <w:r w:rsidR="00A53C24" w:rsidRPr="00F94DBD">
        <w:rPr>
          <w:rFonts w:ascii="Arial" w:eastAsia="Arial" w:hAnsi="Arial" w:cs="Arial"/>
          <w:i/>
          <w:iCs/>
          <w:sz w:val="22"/>
          <w:szCs w:val="24"/>
          <w:lang w:val="es-CO" w:eastAsia="es-ES" w:bidi="es-ES"/>
        </w:rPr>
        <w:t>CRPC</w:t>
      </w:r>
      <w:r w:rsidR="00A53C24" w:rsidRPr="006A71B3">
        <w:rPr>
          <w:rFonts w:ascii="Arial" w:eastAsia="Arial" w:hAnsi="Arial" w:cs="Arial"/>
          <w:sz w:val="22"/>
          <w:szCs w:val="24"/>
          <w:lang w:val="es-CO" w:eastAsia="es-ES" w:bidi="es-ES"/>
        </w:rPr>
        <w:t>» y, segundo, determinar si los proponentes cumplen con la capacidad residual del proceso de contratación, teniendo en cuenta la siguiente información aportada por el proponente:</w:t>
      </w:r>
    </w:p>
    <w:p w14:paraId="0D6C467D" w14:textId="77777777" w:rsidR="00A53C24" w:rsidRPr="006A71B3" w:rsidRDefault="00A53C24" w:rsidP="00A53C24">
      <w:pPr>
        <w:widowControl w:val="0"/>
        <w:autoSpaceDE w:val="0"/>
        <w:autoSpaceDN w:val="0"/>
        <w:ind w:left="709" w:right="760"/>
        <w:jc w:val="both"/>
        <w:rPr>
          <w:rFonts w:ascii="Arial" w:eastAsia="Arial" w:hAnsi="Arial" w:cs="Arial"/>
          <w:sz w:val="21"/>
          <w:szCs w:val="21"/>
          <w:lang w:val="es-CO" w:eastAsia="es-ES" w:bidi="es-ES"/>
        </w:rPr>
      </w:pPr>
    </w:p>
    <w:p w14:paraId="0DD8ECA0" w14:textId="77777777" w:rsidR="00A53C24" w:rsidRPr="006A71B3" w:rsidRDefault="00A53C24" w:rsidP="00A53C24">
      <w:pPr>
        <w:widowControl w:val="0"/>
        <w:numPr>
          <w:ilvl w:val="0"/>
          <w:numId w:val="8"/>
        </w:numPr>
        <w:tabs>
          <w:tab w:val="left" w:pos="993"/>
        </w:tabs>
        <w:autoSpaceDE w:val="0"/>
        <w:autoSpaceDN w:val="0"/>
        <w:ind w:left="709" w:right="760" w:firstLine="0"/>
        <w:jc w:val="both"/>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La lista de los Contratos en Ejecución, así como el valor y plazo de tales contratos.</w:t>
      </w:r>
    </w:p>
    <w:p w14:paraId="55FA66FA" w14:textId="77777777" w:rsidR="00A53C24" w:rsidRPr="006A71B3" w:rsidRDefault="00A53C24" w:rsidP="00A53C24">
      <w:pPr>
        <w:widowControl w:val="0"/>
        <w:tabs>
          <w:tab w:val="left" w:pos="993"/>
        </w:tabs>
        <w:autoSpaceDE w:val="0"/>
        <w:autoSpaceDN w:val="0"/>
        <w:ind w:left="709" w:right="760"/>
        <w:jc w:val="both"/>
        <w:rPr>
          <w:rFonts w:ascii="Arial" w:eastAsia="Arial" w:hAnsi="Arial" w:cs="Arial"/>
          <w:sz w:val="21"/>
          <w:szCs w:val="21"/>
          <w:lang w:val="es-CO" w:eastAsia="es-ES" w:bidi="es-ES"/>
        </w:rPr>
      </w:pPr>
    </w:p>
    <w:p w14:paraId="024D6F26" w14:textId="77777777" w:rsidR="00A53C24" w:rsidRPr="006A71B3" w:rsidRDefault="00A53C24" w:rsidP="00A53C24">
      <w:pPr>
        <w:widowControl w:val="0"/>
        <w:numPr>
          <w:ilvl w:val="0"/>
          <w:numId w:val="8"/>
        </w:numPr>
        <w:tabs>
          <w:tab w:val="left" w:pos="993"/>
        </w:tabs>
        <w:autoSpaceDE w:val="0"/>
        <w:autoSpaceDN w:val="0"/>
        <w:ind w:left="709" w:right="760" w:firstLine="0"/>
        <w:jc w:val="both"/>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La lista de los Contratos en Ejecución, suscritos por sociedades, consorcios o uniones temporales, en los cuales el proponente tenga participación, así como el valor y plazo de tales contratos.</w:t>
      </w:r>
    </w:p>
    <w:p w14:paraId="6FADAE9D" w14:textId="77777777" w:rsidR="00A53C24" w:rsidRPr="006A71B3" w:rsidRDefault="00A53C24" w:rsidP="00A53C24">
      <w:pPr>
        <w:widowControl w:val="0"/>
        <w:tabs>
          <w:tab w:val="left" w:pos="993"/>
        </w:tabs>
        <w:autoSpaceDE w:val="0"/>
        <w:autoSpaceDN w:val="0"/>
        <w:ind w:right="760"/>
        <w:jc w:val="both"/>
        <w:rPr>
          <w:rFonts w:ascii="Arial" w:eastAsia="Arial" w:hAnsi="Arial" w:cs="Arial"/>
          <w:sz w:val="21"/>
          <w:szCs w:val="21"/>
          <w:lang w:val="es-CO" w:eastAsia="es-ES" w:bidi="es-ES"/>
        </w:rPr>
      </w:pPr>
    </w:p>
    <w:p w14:paraId="7510A483" w14:textId="77777777" w:rsidR="00A53C24" w:rsidRPr="006A71B3" w:rsidRDefault="00A53C24" w:rsidP="00A53C24">
      <w:pPr>
        <w:widowControl w:val="0"/>
        <w:numPr>
          <w:ilvl w:val="0"/>
          <w:numId w:val="8"/>
        </w:numPr>
        <w:tabs>
          <w:tab w:val="left" w:pos="993"/>
        </w:tabs>
        <w:autoSpaceDE w:val="0"/>
        <w:autoSpaceDN w:val="0"/>
        <w:ind w:left="709" w:right="760" w:firstLine="0"/>
        <w:jc w:val="both"/>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A842084" w14:textId="77777777" w:rsidR="00A53C24" w:rsidRPr="006A71B3" w:rsidRDefault="00A53C24"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p>
    <w:p w14:paraId="59E02338" w14:textId="6882C5D4" w:rsidR="00A53C24" w:rsidRPr="006A71B3" w:rsidRDefault="00A53C24"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 xml:space="preserve">Ahora bien, para lo primero, esto es, para establecer la capacidad residual del proceso de contratación </w:t>
      </w:r>
      <w:r w:rsidRPr="00F94DBD">
        <w:rPr>
          <w:rFonts w:ascii="Arial" w:eastAsia="Arial" w:hAnsi="Arial" w:cs="Arial"/>
          <w:i/>
          <w:iCs/>
          <w:sz w:val="22"/>
          <w:szCs w:val="24"/>
          <w:lang w:val="es-CO" w:eastAsia="es-ES" w:bidi="es-ES"/>
        </w:rPr>
        <w:t xml:space="preserve">CRPC, </w:t>
      </w:r>
      <w:r w:rsidRPr="006A71B3">
        <w:rPr>
          <w:rFonts w:ascii="Arial" w:eastAsia="Arial" w:hAnsi="Arial" w:cs="Arial"/>
          <w:sz w:val="22"/>
          <w:szCs w:val="24"/>
          <w:lang w:val="es-CO" w:eastAsia="es-ES" w:bidi="es-ES"/>
        </w:rPr>
        <w:t xml:space="preserve">se debe determinar si el plazo del contrato es superior a doce meses. Si no lo es, la </w:t>
      </w:r>
      <w:r w:rsidRPr="00F94DBD">
        <w:rPr>
          <w:rFonts w:ascii="Arial" w:eastAsia="Arial" w:hAnsi="Arial" w:cs="Arial"/>
          <w:i/>
          <w:iCs/>
          <w:sz w:val="22"/>
          <w:szCs w:val="24"/>
          <w:lang w:val="es-CO" w:eastAsia="es-ES" w:bidi="es-ES"/>
        </w:rPr>
        <w:t>CRPC</w:t>
      </w:r>
      <w:r w:rsidRPr="006A71B3">
        <w:rPr>
          <w:rFonts w:ascii="Arial" w:eastAsia="Arial" w:hAnsi="Arial" w:cs="Arial"/>
          <w:sz w:val="22"/>
          <w:szCs w:val="24"/>
          <w:lang w:val="es-CO" w:eastAsia="es-ES" w:bidi="es-ES"/>
        </w:rPr>
        <w:t xml:space="preserve"> equivale al presupuesto oficial estimado del Proceso de Contratación menos el anticipo o pago anticipado cuando haya lugar. Si lo es, equivale a la proporción lineal de 12 meses del presupuesto oficial estimado menos el anticipo o pago anticipado.</w:t>
      </w:r>
      <w:r w:rsidR="00DB65E8" w:rsidRPr="006A71B3">
        <w:rPr>
          <w:rFonts w:ascii="Arial" w:eastAsia="Arial" w:hAnsi="Arial" w:cs="Arial"/>
          <w:sz w:val="22"/>
          <w:szCs w:val="24"/>
          <w:lang w:val="es-CO" w:eastAsia="es-ES" w:bidi="es-ES"/>
        </w:rPr>
        <w:t xml:space="preserve"> En ese sentido, si </w:t>
      </w:r>
      <w:r w:rsidR="00973D23">
        <w:rPr>
          <w:rFonts w:ascii="Arial" w:eastAsia="Arial" w:hAnsi="Arial" w:cs="Arial"/>
          <w:sz w:val="22"/>
          <w:szCs w:val="24"/>
          <w:lang w:val="es-CO" w:eastAsia="es-ES" w:bidi="es-ES"/>
        </w:rPr>
        <w:t xml:space="preserve">el </w:t>
      </w:r>
      <w:r w:rsidR="00DB65E8" w:rsidRPr="006A71B3">
        <w:rPr>
          <w:rFonts w:ascii="Arial" w:eastAsia="Arial" w:hAnsi="Arial" w:cs="Arial"/>
          <w:sz w:val="22"/>
          <w:szCs w:val="24"/>
          <w:lang w:val="es-CO" w:eastAsia="es-ES" w:bidi="es-ES"/>
        </w:rPr>
        <w:t>plazo del contrato es inferior a 12 meses, se debe aplicar la siguiente formula:</w:t>
      </w:r>
    </w:p>
    <w:p w14:paraId="7AB20C23" w14:textId="7BA5A7B2" w:rsidR="00DB65E8" w:rsidRPr="006A71B3" w:rsidRDefault="00DB65E8"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p>
    <w:p w14:paraId="1D1F5579" w14:textId="0EA1B816" w:rsidR="00DB65E8" w:rsidRPr="006A71B3" w:rsidRDefault="00DB65E8"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9D4C11">
        <w:rPr>
          <w:rFonts w:ascii="Arial" w:eastAsia="Arial" w:hAnsi="Arial" w:cs="Arial"/>
          <w:noProof/>
          <w:sz w:val="22"/>
          <w:szCs w:val="24"/>
          <w:lang w:val="es-CO" w:eastAsia="es-ES" w:bidi="es-ES"/>
        </w:rPr>
        <w:drawing>
          <wp:inline distT="0" distB="0" distL="0" distR="0" wp14:anchorId="79697482" wp14:editId="3171EDAB">
            <wp:extent cx="4914900" cy="7050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818" cy="709441"/>
                    </a:xfrm>
                    <a:prstGeom prst="rect">
                      <a:avLst/>
                    </a:prstGeom>
                    <a:noFill/>
                    <a:ln>
                      <a:noFill/>
                    </a:ln>
                  </pic:spPr>
                </pic:pic>
              </a:graphicData>
            </a:graphic>
          </wp:inline>
        </w:drawing>
      </w:r>
    </w:p>
    <w:p w14:paraId="5FA6BDFB" w14:textId="6E9C31ED" w:rsidR="00DB65E8" w:rsidRPr="006A71B3" w:rsidRDefault="00DB65E8"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9D4C11">
        <w:rPr>
          <w:rFonts w:ascii="Arial" w:eastAsia="Arial" w:hAnsi="Arial" w:cs="Arial"/>
          <w:noProof/>
          <w:sz w:val="22"/>
          <w:szCs w:val="24"/>
          <w:lang w:val="es-CO" w:eastAsia="es-ES" w:bidi="es-ES"/>
        </w:rPr>
        <w:drawing>
          <wp:anchor distT="0" distB="0" distL="114300" distR="114300" simplePos="0" relativeHeight="251658240" behindDoc="0" locked="0" layoutInCell="1" allowOverlap="1" wp14:anchorId="208A5E70" wp14:editId="4291D31D">
            <wp:simplePos x="0" y="0"/>
            <wp:positionH relativeFrom="column">
              <wp:posOffset>481965</wp:posOffset>
            </wp:positionH>
            <wp:positionV relativeFrom="paragraph">
              <wp:posOffset>490220</wp:posOffset>
            </wp:positionV>
            <wp:extent cx="4838700" cy="466541"/>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466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1B3">
        <w:rPr>
          <w:rFonts w:ascii="Arial" w:eastAsia="Arial" w:hAnsi="Arial" w:cs="Arial"/>
          <w:sz w:val="22"/>
          <w:szCs w:val="24"/>
          <w:lang w:val="es-CO" w:eastAsia="es-ES" w:bidi="es-ES"/>
        </w:rPr>
        <w:t xml:space="preserve">Si el plazo es superior a 12 meses para el cálculo de la </w:t>
      </w:r>
      <w:r w:rsidRPr="00F94DBD">
        <w:rPr>
          <w:rFonts w:ascii="Arial" w:eastAsia="Arial" w:hAnsi="Arial" w:cs="Arial"/>
          <w:i/>
          <w:iCs/>
          <w:sz w:val="22"/>
          <w:szCs w:val="24"/>
          <w:lang w:val="es-CO" w:eastAsia="es-ES" w:bidi="es-ES"/>
        </w:rPr>
        <w:t>CPRC</w:t>
      </w:r>
      <w:r w:rsidRPr="006A71B3">
        <w:rPr>
          <w:rFonts w:ascii="Arial" w:eastAsia="Arial" w:hAnsi="Arial" w:cs="Arial"/>
          <w:i/>
          <w:iCs/>
          <w:sz w:val="22"/>
          <w:szCs w:val="24"/>
          <w:lang w:val="es-CO" w:eastAsia="es-ES" w:bidi="es-ES"/>
        </w:rPr>
        <w:t xml:space="preserve">, </w:t>
      </w:r>
      <w:r w:rsidRPr="006A71B3">
        <w:rPr>
          <w:rFonts w:ascii="Arial" w:eastAsia="Arial" w:hAnsi="Arial" w:cs="Arial"/>
          <w:sz w:val="22"/>
          <w:szCs w:val="24"/>
          <w:lang w:val="es-CO" w:eastAsia="es-ES" w:bidi="es-ES"/>
        </w:rPr>
        <w:t>se debe aplicar la siguiente formula:</w:t>
      </w:r>
    </w:p>
    <w:p w14:paraId="5C30A40D" w14:textId="77777777" w:rsidR="00EE62F8" w:rsidRPr="006A71B3" w:rsidRDefault="00EE62F8" w:rsidP="00A53C24">
      <w:pPr>
        <w:widowControl w:val="0"/>
        <w:autoSpaceDE w:val="0"/>
        <w:autoSpaceDN w:val="0"/>
        <w:spacing w:before="120" w:line="276" w:lineRule="auto"/>
        <w:ind w:right="51" w:firstLine="709"/>
        <w:jc w:val="both"/>
        <w:rPr>
          <w:rFonts w:ascii="Arial" w:eastAsia="Arial" w:hAnsi="Arial" w:cs="Arial"/>
          <w:sz w:val="22"/>
          <w:szCs w:val="24"/>
          <w:lang w:val="es-CO" w:eastAsia="es-ES" w:bidi="es-ES"/>
        </w:rPr>
      </w:pPr>
    </w:p>
    <w:p w14:paraId="06B40F30" w14:textId="7437E18A" w:rsidR="00A53C24" w:rsidRPr="006A71B3" w:rsidRDefault="00A53C24" w:rsidP="00F94DBD">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 xml:space="preserve">Para lo segundo, es decir, verificar que cada proponente cumple con la CRPC, la entidad pública debe verificar que la capacidad residual del proponente </w:t>
      </w:r>
      <w:r w:rsidR="00DB65E8" w:rsidRPr="006A71B3">
        <w:rPr>
          <w:rFonts w:ascii="Arial" w:eastAsia="Arial" w:hAnsi="Arial" w:cs="Arial"/>
          <w:sz w:val="22"/>
          <w:szCs w:val="24"/>
          <w:lang w:val="es-CO" w:eastAsia="es-ES" w:bidi="es-ES"/>
        </w:rPr>
        <w:t>-</w:t>
      </w:r>
      <w:r w:rsidRPr="00F94DBD">
        <w:rPr>
          <w:rFonts w:ascii="Arial" w:eastAsia="Arial" w:hAnsi="Arial" w:cs="Arial"/>
          <w:i/>
          <w:iCs/>
          <w:sz w:val="22"/>
          <w:szCs w:val="24"/>
          <w:lang w:val="es-CO" w:eastAsia="es-ES" w:bidi="es-ES"/>
        </w:rPr>
        <w:t>CRP</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xml:space="preserve"> sea igual o superior a la capacidad referida en el párrafo precedente. De todas formas, previamente debe establecer la </w:t>
      </w:r>
      <w:r w:rsidRPr="00F94DBD">
        <w:rPr>
          <w:rFonts w:ascii="Arial" w:eastAsia="Arial" w:hAnsi="Arial" w:cs="Arial"/>
          <w:i/>
          <w:iCs/>
          <w:sz w:val="22"/>
          <w:szCs w:val="24"/>
          <w:lang w:val="es-CO" w:eastAsia="es-ES" w:bidi="es-ES"/>
        </w:rPr>
        <w:t>CRP</w:t>
      </w:r>
      <w:r w:rsidRPr="006A71B3">
        <w:rPr>
          <w:rFonts w:ascii="Arial" w:eastAsia="Arial" w:hAnsi="Arial" w:cs="Arial"/>
          <w:sz w:val="22"/>
          <w:szCs w:val="24"/>
          <w:lang w:val="es-CO" w:eastAsia="es-ES" w:bidi="es-ES"/>
        </w:rPr>
        <w:t xml:space="preserve">, con fundamento en los siguientes factores: i) experiencia </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E</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xml:space="preserve">; </w:t>
      </w:r>
      <w:proofErr w:type="spellStart"/>
      <w:r w:rsidRPr="006A71B3">
        <w:rPr>
          <w:rFonts w:ascii="Arial" w:eastAsia="Arial" w:hAnsi="Arial" w:cs="Arial"/>
          <w:sz w:val="22"/>
          <w:szCs w:val="24"/>
          <w:lang w:val="es-CO" w:eastAsia="es-ES" w:bidi="es-ES"/>
        </w:rPr>
        <w:t>ii</w:t>
      </w:r>
      <w:proofErr w:type="spellEnd"/>
      <w:r w:rsidRPr="006A71B3">
        <w:rPr>
          <w:rFonts w:ascii="Arial" w:eastAsia="Arial" w:hAnsi="Arial" w:cs="Arial"/>
          <w:sz w:val="22"/>
          <w:szCs w:val="24"/>
          <w:lang w:val="es-CO" w:eastAsia="es-ES" w:bidi="es-ES"/>
        </w:rPr>
        <w:t xml:space="preserve">) capacidad financiera </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CF</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xml:space="preserve">; </w:t>
      </w:r>
      <w:proofErr w:type="spellStart"/>
      <w:r w:rsidRPr="006A71B3">
        <w:rPr>
          <w:rFonts w:ascii="Arial" w:eastAsia="Arial" w:hAnsi="Arial" w:cs="Arial"/>
          <w:sz w:val="22"/>
          <w:szCs w:val="24"/>
          <w:lang w:val="es-CO" w:eastAsia="es-ES" w:bidi="es-ES"/>
        </w:rPr>
        <w:t>iii</w:t>
      </w:r>
      <w:proofErr w:type="spellEnd"/>
      <w:r w:rsidRPr="006A71B3">
        <w:rPr>
          <w:rFonts w:ascii="Arial" w:eastAsia="Arial" w:hAnsi="Arial" w:cs="Arial"/>
          <w:sz w:val="22"/>
          <w:szCs w:val="24"/>
          <w:lang w:val="es-CO" w:eastAsia="es-ES" w:bidi="es-ES"/>
        </w:rPr>
        <w:t xml:space="preserve">) capacidad técnica </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CT</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xml:space="preserve"> </w:t>
      </w:r>
      <w:proofErr w:type="spellStart"/>
      <w:r w:rsidRPr="006A71B3">
        <w:rPr>
          <w:rFonts w:ascii="Arial" w:eastAsia="Arial" w:hAnsi="Arial" w:cs="Arial"/>
          <w:sz w:val="22"/>
          <w:szCs w:val="24"/>
          <w:lang w:val="es-CO" w:eastAsia="es-ES" w:bidi="es-ES"/>
        </w:rPr>
        <w:t>iv</w:t>
      </w:r>
      <w:proofErr w:type="spellEnd"/>
      <w:r w:rsidRPr="006A71B3">
        <w:rPr>
          <w:rFonts w:ascii="Arial" w:eastAsia="Arial" w:hAnsi="Arial" w:cs="Arial"/>
          <w:sz w:val="22"/>
          <w:szCs w:val="24"/>
          <w:lang w:val="es-CO" w:eastAsia="es-ES" w:bidi="es-ES"/>
        </w:rPr>
        <w:t xml:space="preserve">) capacidad de organización </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CO</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xml:space="preserve">; y v) los saldos de los contratos en ejecución </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SCE</w:t>
      </w:r>
      <w:r w:rsidR="00DB65E8" w:rsidRPr="006A71B3">
        <w:rPr>
          <w:rFonts w:ascii="Arial" w:eastAsia="Arial" w:hAnsi="Arial" w:cs="Arial"/>
          <w:sz w:val="22"/>
          <w:szCs w:val="24"/>
          <w:lang w:val="es-CO" w:eastAsia="es-ES" w:bidi="es-ES"/>
        </w:rPr>
        <w:t>)</w:t>
      </w:r>
      <w:r w:rsidRPr="006A71B3">
        <w:rPr>
          <w:rFonts w:ascii="Arial" w:eastAsia="Arial" w:hAnsi="Arial" w:cs="Arial"/>
          <w:sz w:val="22"/>
          <w:szCs w:val="24"/>
          <w:lang w:val="es-CO" w:eastAsia="es-ES" w:bidi="es-ES"/>
        </w:rPr>
        <w:t>, y según la siguiente fórmula:</w:t>
      </w:r>
    </w:p>
    <w:p w14:paraId="6188E60B" w14:textId="44B750DF" w:rsidR="00987B6A" w:rsidRPr="00F94DBD" w:rsidRDefault="00987B6A" w:rsidP="00BD49C8">
      <w:pPr>
        <w:spacing w:line="276" w:lineRule="auto"/>
        <w:jc w:val="both"/>
        <w:rPr>
          <w:rFonts w:ascii="Arial" w:hAnsi="Arial" w:cs="Arial"/>
          <w:sz w:val="22"/>
          <w:lang w:val="es-CO"/>
        </w:rPr>
      </w:pPr>
    </w:p>
    <w:p w14:paraId="45B718A5" w14:textId="46FC8C01" w:rsidR="004B6DD3" w:rsidRPr="00F94DBD" w:rsidRDefault="004B6DD3" w:rsidP="004B6DD3">
      <w:pPr>
        <w:spacing w:line="276" w:lineRule="auto"/>
        <w:jc w:val="center"/>
        <w:rPr>
          <w:rFonts w:ascii="Arial" w:hAnsi="Arial" w:cs="Arial"/>
          <w:sz w:val="22"/>
        </w:rPr>
      </w:pPr>
      <w:r w:rsidRPr="00F94DBD">
        <w:rPr>
          <w:rFonts w:ascii="Arial" w:hAnsi="Arial" w:cs="Arial"/>
          <w:noProof/>
          <w:sz w:val="22"/>
        </w:rPr>
        <w:drawing>
          <wp:inline distT="0" distB="0" distL="0" distR="0" wp14:anchorId="0C086019" wp14:editId="4A740D1D">
            <wp:extent cx="4732655" cy="808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655" cy="808990"/>
                    </a:xfrm>
                    <a:prstGeom prst="rect">
                      <a:avLst/>
                    </a:prstGeom>
                    <a:noFill/>
                    <a:ln>
                      <a:noFill/>
                    </a:ln>
                  </pic:spPr>
                </pic:pic>
              </a:graphicData>
            </a:graphic>
          </wp:inline>
        </w:drawing>
      </w:r>
    </w:p>
    <w:p w14:paraId="5929836C" w14:textId="3A1224E8" w:rsidR="00A53C24" w:rsidRPr="006A71B3" w:rsidRDefault="00895FAF" w:rsidP="00A53C24">
      <w:pPr>
        <w:widowControl w:val="0"/>
        <w:autoSpaceDE w:val="0"/>
        <w:autoSpaceDN w:val="0"/>
        <w:spacing w:before="120" w:line="276" w:lineRule="auto"/>
        <w:ind w:right="51" w:firstLine="709"/>
        <w:jc w:val="both"/>
        <w:rPr>
          <w:rFonts w:ascii="Arial" w:eastAsia="Arial" w:hAnsi="Arial" w:cs="Arial"/>
          <w:sz w:val="22"/>
          <w:szCs w:val="24"/>
          <w:lang w:val="es-CO" w:eastAsia="es-ES" w:bidi="es-ES"/>
        </w:rPr>
      </w:pPr>
      <w:r w:rsidRPr="006A71B3">
        <w:rPr>
          <w:rFonts w:ascii="Arial" w:hAnsi="Arial" w:cs="Arial"/>
          <w:sz w:val="22"/>
        </w:rPr>
        <w:t xml:space="preserve">De los factores de la fórmula, </w:t>
      </w:r>
      <w:r w:rsidR="00110906" w:rsidRPr="006A71B3">
        <w:rPr>
          <w:rFonts w:ascii="Arial" w:hAnsi="Arial" w:cs="Arial"/>
          <w:sz w:val="22"/>
        </w:rPr>
        <w:t xml:space="preserve">sobre </w:t>
      </w:r>
      <w:r w:rsidRPr="006A71B3">
        <w:rPr>
          <w:rFonts w:ascii="Arial" w:hAnsi="Arial" w:cs="Arial"/>
          <w:sz w:val="22"/>
        </w:rPr>
        <w:t>los saldos de los contratos en ejecución (SCE),</w:t>
      </w:r>
      <w:r w:rsidR="00C35F40" w:rsidRPr="006A71B3">
        <w:rPr>
          <w:rFonts w:ascii="Arial" w:hAnsi="Arial" w:cs="Arial"/>
          <w:sz w:val="22"/>
        </w:rPr>
        <w:t xml:space="preserve"> por ser el objeto de su consulta,</w:t>
      </w:r>
      <w:r w:rsidR="00110906" w:rsidRPr="006A71B3">
        <w:rPr>
          <w:rFonts w:ascii="Arial" w:hAnsi="Arial" w:cs="Arial"/>
          <w:sz w:val="22"/>
        </w:rPr>
        <w:t xml:space="preserve"> </w:t>
      </w:r>
      <w:r w:rsidRPr="006A71B3">
        <w:rPr>
          <w:rFonts w:ascii="Arial" w:hAnsi="Arial" w:cs="Arial"/>
          <w:sz w:val="22"/>
        </w:rPr>
        <w:t>la Agencia Nacional de Contratación Pública - Colombia Compra Eficiente, en la G</w:t>
      </w:r>
      <w:r w:rsidRPr="00F94DBD">
        <w:rPr>
          <w:rFonts w:ascii="Arial" w:hAnsi="Arial" w:cs="Arial"/>
          <w:i/>
          <w:iCs/>
          <w:sz w:val="22"/>
        </w:rPr>
        <w:t>uía para Determinar y Verificar la Capacidad Residual del Proponente en los Procesos de Contratación de Obra Pública</w:t>
      </w:r>
      <w:r w:rsidRPr="006A71B3">
        <w:rPr>
          <w:rFonts w:ascii="Arial" w:hAnsi="Arial" w:cs="Arial"/>
          <w:sz w:val="22"/>
        </w:rPr>
        <w:t xml:space="preserve">, señala que el factor de </w:t>
      </w:r>
      <w:r w:rsidR="0043064C" w:rsidRPr="006A71B3">
        <w:rPr>
          <w:rFonts w:ascii="Arial" w:hAnsi="Arial" w:cs="Arial"/>
          <w:sz w:val="22"/>
        </w:rPr>
        <w:t xml:space="preserve">saldos de los contratos en ejecución </w:t>
      </w:r>
      <w:r w:rsidRPr="006A71B3">
        <w:rPr>
          <w:rFonts w:ascii="Arial" w:hAnsi="Arial" w:cs="Arial"/>
          <w:sz w:val="22"/>
        </w:rPr>
        <w:t>(</w:t>
      </w:r>
      <w:r w:rsidR="0043064C" w:rsidRPr="006A71B3">
        <w:rPr>
          <w:rFonts w:ascii="Arial" w:hAnsi="Arial" w:cs="Arial"/>
          <w:sz w:val="22"/>
        </w:rPr>
        <w:t>SC</w:t>
      </w:r>
      <w:r w:rsidRPr="006A71B3">
        <w:rPr>
          <w:rFonts w:ascii="Arial" w:hAnsi="Arial" w:cs="Arial"/>
          <w:sz w:val="22"/>
        </w:rPr>
        <w:t xml:space="preserve">E) </w:t>
      </w:r>
      <w:r w:rsidR="00A53C24" w:rsidRPr="006A71B3">
        <w:rPr>
          <w:rFonts w:ascii="Arial" w:hAnsi="Arial" w:cs="Arial"/>
          <w:sz w:val="22"/>
        </w:rPr>
        <w:t>debe hacerse linealmente y calculando una «ejecución diaria equivalente al valor del contrato dividido por el plazo del contrato expresado</w:t>
      </w:r>
      <w:r w:rsidR="00A53C24" w:rsidRPr="006A71B3">
        <w:rPr>
          <w:rFonts w:ascii="Arial" w:eastAsia="Arial" w:hAnsi="Arial" w:cs="Arial"/>
          <w:sz w:val="22"/>
          <w:szCs w:val="24"/>
          <w:lang w:val="es-CO" w:eastAsia="es-ES" w:bidi="es-ES"/>
        </w:rPr>
        <w:t xml:space="preserve"> en días». El resultado obtenido se debe multiplicar por el número de días pendientes para cumplir el plazo del contrato. Si el número de días por ejecutar un contrato es superior a 360 días, solo se tendrá en cuenta la proporción lineal de 12 meses.</w:t>
      </w:r>
    </w:p>
    <w:p w14:paraId="6429D2F8" w14:textId="0F77EB72" w:rsidR="00A53C24" w:rsidRPr="006A71B3" w:rsidRDefault="00A53C24" w:rsidP="00F94DBD">
      <w:pPr>
        <w:widowControl w:val="0"/>
        <w:autoSpaceDE w:val="0"/>
        <w:autoSpaceDN w:val="0"/>
        <w:spacing w:before="120" w:after="120" w:line="276" w:lineRule="auto"/>
        <w:ind w:right="51" w:firstLine="709"/>
        <w:jc w:val="both"/>
        <w:rPr>
          <w:rFonts w:ascii="Arial" w:eastAsia="Arial" w:hAnsi="Arial" w:cs="Arial"/>
          <w:sz w:val="21"/>
          <w:szCs w:val="21"/>
          <w:lang w:val="es-CO" w:eastAsia="es-ES" w:bidi="es-ES"/>
        </w:rPr>
      </w:pPr>
      <w:r w:rsidRPr="006A71B3">
        <w:rPr>
          <w:rFonts w:ascii="Arial" w:eastAsia="Arial" w:hAnsi="Arial" w:cs="Arial"/>
          <w:sz w:val="22"/>
          <w:szCs w:val="24"/>
          <w:lang w:val="es-CO" w:eastAsia="es-ES" w:bidi="es-ES"/>
        </w:rPr>
        <w:t xml:space="preserve">Resulta del caso precisar que si bien es cierto que la entidad estatal </w:t>
      </w:r>
      <w:r w:rsidR="005028C2">
        <w:rPr>
          <w:rFonts w:ascii="Arial" w:eastAsia="Arial" w:hAnsi="Arial" w:cs="Arial"/>
          <w:sz w:val="22"/>
          <w:szCs w:val="24"/>
          <w:lang w:val="es-CO" w:eastAsia="es-ES" w:bidi="es-ES"/>
        </w:rPr>
        <w:t xml:space="preserve">es </w:t>
      </w:r>
      <w:r w:rsidRPr="006A71B3">
        <w:rPr>
          <w:rFonts w:ascii="Arial" w:eastAsia="Arial" w:hAnsi="Arial" w:cs="Arial"/>
          <w:sz w:val="22"/>
          <w:szCs w:val="24"/>
          <w:lang w:val="es-CO" w:eastAsia="es-ES" w:bidi="es-ES"/>
        </w:rPr>
        <w:t>la que debe calcular la capacidad residual de los proponentes, también lo es que estos últimos, como ya se dijo, tienen como carga aportar los documentos para acreditar su capacidad residual</w:t>
      </w:r>
      <w:r w:rsidRPr="006A71B3">
        <w:rPr>
          <w:rFonts w:ascii="Arial" w:eastAsia="Arial" w:hAnsi="Arial" w:cs="Arial"/>
          <w:sz w:val="22"/>
          <w:szCs w:val="24"/>
          <w:vertAlign w:val="superscript"/>
          <w:lang w:val="es-CO" w:eastAsia="es-ES" w:bidi="es-ES"/>
        </w:rPr>
        <w:footnoteReference w:id="4"/>
      </w:r>
      <w:r w:rsidRPr="006A71B3">
        <w:rPr>
          <w:rFonts w:ascii="Arial" w:eastAsia="Arial" w:hAnsi="Arial" w:cs="Arial"/>
          <w:sz w:val="22"/>
          <w:szCs w:val="24"/>
          <w:lang w:val="es-CO" w:eastAsia="es-ES" w:bidi="es-ES"/>
        </w:rPr>
        <w:t xml:space="preserve">. </w:t>
      </w:r>
    </w:p>
    <w:p w14:paraId="1EE69662" w14:textId="3185020B" w:rsidR="00A53C24" w:rsidRPr="006A71B3" w:rsidRDefault="00A53C24" w:rsidP="00A53C24">
      <w:pPr>
        <w:spacing w:after="120" w:line="276" w:lineRule="auto"/>
        <w:ind w:firstLine="709"/>
        <w:jc w:val="both"/>
        <w:rPr>
          <w:rFonts w:ascii="Arial" w:eastAsia="Times New Roman" w:hAnsi="Arial" w:cs="Arial"/>
          <w:sz w:val="22"/>
          <w:lang w:val="es-CO" w:eastAsia="es-ES_tradnl"/>
        </w:rPr>
      </w:pPr>
      <w:r w:rsidRPr="006A71B3">
        <w:rPr>
          <w:rFonts w:ascii="Arial" w:eastAsia="Times New Roman" w:hAnsi="Arial" w:cs="Arial"/>
          <w:sz w:val="22"/>
          <w:lang w:val="es-CO" w:eastAsia="es-ES_tradnl"/>
        </w:rPr>
        <w:lastRenderedPageBreak/>
        <w:t>Para acreditar el factor  «Saldos contratos en ejecución»</w:t>
      </w:r>
      <w:r w:rsidR="006B28EE" w:rsidRPr="006A71B3">
        <w:rPr>
          <w:rFonts w:ascii="Arial" w:eastAsia="Times New Roman" w:hAnsi="Arial" w:cs="Arial"/>
          <w:sz w:val="22"/>
          <w:lang w:val="es-CO" w:eastAsia="es-ES_tradnl"/>
        </w:rPr>
        <w:t xml:space="preserve"> (SCE)</w:t>
      </w:r>
      <w:r w:rsidRPr="006A71B3">
        <w:rPr>
          <w:rFonts w:ascii="Arial" w:eastAsia="Times New Roman" w:hAnsi="Arial" w:cs="Arial"/>
          <w:sz w:val="22"/>
          <w:lang w:val="es-CO" w:eastAsia="es-ES_tradnl"/>
        </w:rPr>
        <w:t xml:space="preserve">, como lo establece la </w:t>
      </w:r>
      <w:r w:rsidR="006B28EE" w:rsidRPr="006A71B3">
        <w:rPr>
          <w:rFonts w:ascii="Arial" w:eastAsia="Times New Roman" w:hAnsi="Arial" w:cs="Arial"/>
          <w:sz w:val="22"/>
          <w:lang w:val="es-CO" w:eastAsia="es-ES_tradnl"/>
        </w:rPr>
        <w:t>guía</w:t>
      </w:r>
      <w:r w:rsidRPr="006A71B3">
        <w:rPr>
          <w:rFonts w:ascii="Arial" w:eastAsia="Times New Roman" w:hAnsi="Arial" w:cs="Arial"/>
          <w:sz w:val="22"/>
          <w:lang w:val="es-CO" w:eastAsia="es-ES_tradnl"/>
        </w:rPr>
        <w:t>, el proponente debe presentar la lista de Contratos en ejecución, tanto a nivel nacional como internacional señalando (i) el valor del contrato; (</w:t>
      </w:r>
      <w:proofErr w:type="spellStart"/>
      <w:r w:rsidRPr="006A71B3">
        <w:rPr>
          <w:rFonts w:ascii="Arial" w:eastAsia="Times New Roman" w:hAnsi="Arial" w:cs="Arial"/>
          <w:sz w:val="22"/>
          <w:lang w:val="es-CO" w:eastAsia="es-ES_tradnl"/>
        </w:rPr>
        <w:t>ii</w:t>
      </w:r>
      <w:proofErr w:type="spellEnd"/>
      <w:r w:rsidRPr="006A71B3">
        <w:rPr>
          <w:rFonts w:ascii="Arial" w:eastAsia="Times New Roman" w:hAnsi="Arial" w:cs="Arial"/>
          <w:sz w:val="22"/>
          <w:lang w:val="es-CO" w:eastAsia="es-ES_tradnl"/>
        </w:rPr>
        <w:t>) el plazo del contrato en meses; (</w:t>
      </w:r>
      <w:proofErr w:type="spellStart"/>
      <w:r w:rsidRPr="006A71B3">
        <w:rPr>
          <w:rFonts w:ascii="Arial" w:eastAsia="Times New Roman" w:hAnsi="Arial" w:cs="Arial"/>
          <w:sz w:val="22"/>
          <w:lang w:val="es-CO" w:eastAsia="es-ES_tradnl"/>
        </w:rPr>
        <w:t>iii</w:t>
      </w:r>
      <w:proofErr w:type="spellEnd"/>
      <w:r w:rsidRPr="006A71B3">
        <w:rPr>
          <w:rFonts w:ascii="Arial" w:eastAsia="Times New Roman" w:hAnsi="Arial" w:cs="Arial"/>
          <w:sz w:val="22"/>
          <w:lang w:val="es-CO" w:eastAsia="es-ES_tradnl"/>
        </w:rPr>
        <w:t>) la fecha de inicio de las obras objeto del contrato, día, mes, año; (</w:t>
      </w:r>
      <w:proofErr w:type="spellStart"/>
      <w:r w:rsidRPr="006A71B3">
        <w:rPr>
          <w:rFonts w:ascii="Arial" w:eastAsia="Times New Roman" w:hAnsi="Arial" w:cs="Arial"/>
          <w:sz w:val="22"/>
          <w:lang w:val="es-CO" w:eastAsia="es-ES_tradnl"/>
        </w:rPr>
        <w:t>iv</w:t>
      </w:r>
      <w:proofErr w:type="spellEnd"/>
      <w:r w:rsidRPr="006A71B3">
        <w:rPr>
          <w:rFonts w:ascii="Arial" w:eastAsia="Times New Roman" w:hAnsi="Arial" w:cs="Arial"/>
          <w:sz w:val="22"/>
          <w:lang w:val="es-CO" w:eastAsia="es-ES_tradnl"/>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0F23E726" w14:textId="267BCC34" w:rsidR="00A53C24" w:rsidRPr="006A71B3" w:rsidRDefault="00A53C24" w:rsidP="00A53C24">
      <w:pPr>
        <w:spacing w:line="276" w:lineRule="auto"/>
        <w:ind w:firstLine="709"/>
        <w:jc w:val="both"/>
        <w:rPr>
          <w:rFonts w:ascii="Arial" w:eastAsia="Times New Roman" w:hAnsi="Arial" w:cs="Arial"/>
          <w:i/>
          <w:iCs/>
          <w:sz w:val="22"/>
          <w:lang w:val="es-ES" w:eastAsia="es-ES_tradnl"/>
        </w:rPr>
      </w:pPr>
      <w:r w:rsidRPr="006A71B3">
        <w:rPr>
          <w:rFonts w:ascii="Arial" w:eastAsia="Times New Roman" w:hAnsi="Arial" w:cs="Arial"/>
          <w:sz w:val="22"/>
          <w:lang w:val="es-CO" w:eastAsia="es-ES_tradnl"/>
        </w:rPr>
        <w:t xml:space="preserve">La </w:t>
      </w:r>
      <w:r w:rsidRPr="00F94DBD">
        <w:rPr>
          <w:rFonts w:ascii="Arial" w:eastAsia="Times New Roman" w:hAnsi="Arial" w:cs="Arial"/>
          <w:i/>
          <w:iCs/>
          <w:sz w:val="22"/>
          <w:lang w:val="es-ES" w:eastAsia="es-ES_tradnl"/>
        </w:rPr>
        <w:t>Guía para Determinar y Verificar la Capacidad Residual del Proponente en los Procesos de Contratación de Obra Pública</w:t>
      </w:r>
      <w:r w:rsidRPr="006A71B3">
        <w:rPr>
          <w:rFonts w:ascii="Arial" w:eastAsia="Times New Roman" w:hAnsi="Arial" w:cs="Arial"/>
          <w:i/>
          <w:iCs/>
          <w:sz w:val="22"/>
          <w:lang w:val="es-ES" w:eastAsia="es-ES_tradnl"/>
        </w:rPr>
        <w:t xml:space="preserve"> </w:t>
      </w:r>
      <w:r w:rsidRPr="006A71B3">
        <w:rPr>
          <w:rFonts w:ascii="Arial" w:eastAsia="Times New Roman" w:hAnsi="Arial" w:cs="Arial"/>
          <w:sz w:val="22"/>
          <w:lang w:val="es-ES" w:eastAsia="es-ES_tradnl"/>
        </w:rPr>
        <w:t xml:space="preserve">sobre la definición de </w:t>
      </w:r>
      <w:r w:rsidRPr="006A71B3">
        <w:rPr>
          <w:rFonts w:ascii="Arial" w:eastAsia="Times New Roman" w:hAnsi="Arial" w:cs="Arial"/>
          <w:i/>
          <w:iCs/>
          <w:sz w:val="22"/>
          <w:lang w:val="es-ES" w:eastAsia="es-ES_tradnl"/>
        </w:rPr>
        <w:t>Contratos en ejecución</w:t>
      </w:r>
      <w:r w:rsidRPr="006A71B3">
        <w:rPr>
          <w:rFonts w:ascii="Arial" w:eastAsia="Times New Roman" w:hAnsi="Arial" w:cs="Arial"/>
          <w:sz w:val="22"/>
          <w:lang w:val="es-ES" w:eastAsia="es-ES_tradnl"/>
        </w:rPr>
        <w:t xml:space="preserve"> establece:</w:t>
      </w:r>
      <w:r w:rsidRPr="006A71B3">
        <w:rPr>
          <w:rFonts w:ascii="Arial" w:eastAsia="Times New Roman" w:hAnsi="Arial" w:cs="Arial"/>
          <w:i/>
          <w:iCs/>
          <w:sz w:val="22"/>
          <w:lang w:val="es-ES" w:eastAsia="es-ES_tradnl"/>
        </w:rPr>
        <w:t xml:space="preserve"> </w:t>
      </w:r>
    </w:p>
    <w:p w14:paraId="6F676376" w14:textId="77777777" w:rsidR="00A53C24" w:rsidRPr="006A71B3" w:rsidRDefault="00A53C24" w:rsidP="00A53C24">
      <w:pPr>
        <w:ind w:left="709" w:right="709"/>
        <w:jc w:val="both"/>
        <w:rPr>
          <w:rFonts w:ascii="Arial" w:eastAsia="Times New Roman" w:hAnsi="Arial" w:cs="Arial"/>
          <w:sz w:val="21"/>
          <w:szCs w:val="21"/>
          <w:lang w:val="es-ES" w:eastAsia="es-ES_tradnl"/>
        </w:rPr>
      </w:pPr>
    </w:p>
    <w:p w14:paraId="6C5F8AB8" w14:textId="3F6E9689" w:rsidR="00A53C24" w:rsidRPr="006A71B3" w:rsidRDefault="00A53C24" w:rsidP="00A53C24">
      <w:pPr>
        <w:ind w:left="709" w:right="709"/>
        <w:jc w:val="both"/>
        <w:rPr>
          <w:rFonts w:ascii="Arial" w:eastAsia="Times New Roman" w:hAnsi="Arial" w:cs="Arial"/>
          <w:sz w:val="21"/>
          <w:szCs w:val="21"/>
          <w:lang w:val="es-ES" w:eastAsia="es-ES_tradnl"/>
        </w:rPr>
      </w:pPr>
      <w:r w:rsidRPr="006A71B3">
        <w:rPr>
          <w:rFonts w:ascii="Arial" w:eastAsia="Times New Roman" w:hAnsi="Arial" w:cs="Arial"/>
          <w:sz w:val="21"/>
          <w:szCs w:val="21"/>
          <w:lang w:val="es-ES" w:eastAsia="es-ES_tradnl"/>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Pr="006A71B3">
        <w:rPr>
          <w:rFonts w:ascii="Arial" w:eastAsia="Times New Roman" w:hAnsi="Arial" w:cs="Arial"/>
          <w:sz w:val="21"/>
          <w:szCs w:val="21"/>
          <w:vertAlign w:val="superscript"/>
          <w:lang w:val="es-ES" w:eastAsia="es-ES_tradnl"/>
        </w:rPr>
        <w:footnoteReference w:id="5"/>
      </w:r>
      <w:r w:rsidR="00BE6963" w:rsidRPr="006A71B3">
        <w:rPr>
          <w:rFonts w:ascii="Arial" w:eastAsia="Times New Roman" w:hAnsi="Arial" w:cs="Arial"/>
          <w:sz w:val="21"/>
          <w:szCs w:val="21"/>
          <w:lang w:val="es-ES" w:eastAsia="es-ES_tradnl"/>
        </w:rPr>
        <w:t>.</w:t>
      </w:r>
    </w:p>
    <w:p w14:paraId="2859A191" w14:textId="77777777" w:rsidR="00A53C24" w:rsidRPr="006A71B3" w:rsidRDefault="00A53C24" w:rsidP="00A53C24">
      <w:pPr>
        <w:ind w:left="709" w:right="709"/>
        <w:jc w:val="both"/>
        <w:rPr>
          <w:rFonts w:ascii="Arial" w:eastAsia="Times New Roman" w:hAnsi="Arial" w:cs="Arial"/>
          <w:sz w:val="21"/>
          <w:szCs w:val="21"/>
          <w:lang w:val="es-CO" w:eastAsia="es-ES_tradnl"/>
        </w:rPr>
      </w:pPr>
    </w:p>
    <w:p w14:paraId="02D35471" w14:textId="77777777" w:rsidR="0071574B" w:rsidRPr="006A71B3" w:rsidRDefault="00A53C24" w:rsidP="00A53C24">
      <w:pPr>
        <w:spacing w:after="120" w:line="276" w:lineRule="auto"/>
        <w:ind w:firstLine="709"/>
        <w:jc w:val="both"/>
        <w:rPr>
          <w:rFonts w:ascii="Arial" w:eastAsia="Arial" w:hAnsi="Arial" w:cs="Arial"/>
          <w:sz w:val="22"/>
          <w:szCs w:val="24"/>
          <w:lang w:val="es-CO" w:eastAsia="es-ES" w:bidi="es-ES"/>
        </w:rPr>
      </w:pPr>
      <w:bookmarkStart w:id="5" w:name="_Hlk67450125"/>
      <w:r w:rsidRPr="006A71B3">
        <w:rPr>
          <w:rFonts w:ascii="Arial" w:eastAsia="Arial," w:hAnsi="Arial" w:cs="Arial"/>
          <w:sz w:val="22"/>
          <w:lang w:val="es-CO" w:eastAsia="es-ES_tradnl"/>
        </w:rPr>
        <w:t xml:space="preserve">Para facilitar la aplicación de la metodología para el cálculo de la capacidad residual, Colombia Compra Eficiente ha puesto a disposición de la ciudadanía una «Aplicación para establecer la Capacidad Residual», que sirve para calcular la capacidad residual en los procesos de selección, a la cual se puede acceder mediante el </w:t>
      </w:r>
      <w:r w:rsidRPr="006A71B3">
        <w:rPr>
          <w:rFonts w:ascii="Arial" w:eastAsia="Arial" w:hAnsi="Arial" w:cs="Arial"/>
          <w:sz w:val="22"/>
          <w:szCs w:val="24"/>
          <w:lang w:val="es-CO" w:eastAsia="es-ES" w:bidi="es-ES"/>
        </w:rPr>
        <w:t>enlace incluido en la siguiente notal al pie</w:t>
      </w:r>
      <w:r w:rsidRPr="006A71B3">
        <w:rPr>
          <w:rFonts w:ascii="Arial" w:eastAsia="Arial" w:hAnsi="Arial" w:cs="Arial"/>
          <w:sz w:val="22"/>
          <w:vertAlign w:val="superscript"/>
          <w:lang w:val="es-ES" w:eastAsia="es-ES" w:bidi="es-ES"/>
        </w:rPr>
        <w:footnoteReference w:id="6"/>
      </w:r>
      <w:r w:rsidRPr="006A71B3">
        <w:rPr>
          <w:rFonts w:ascii="Arial" w:eastAsia="Arial" w:hAnsi="Arial" w:cs="Arial"/>
          <w:sz w:val="22"/>
          <w:szCs w:val="24"/>
          <w:lang w:val="es-CO" w:eastAsia="es-ES" w:bidi="es-ES"/>
        </w:rPr>
        <w:t xml:space="preserve">. </w:t>
      </w:r>
    </w:p>
    <w:p w14:paraId="5A22D5AD" w14:textId="4476B5A0" w:rsidR="00A53C24" w:rsidRPr="006A71B3" w:rsidRDefault="00A53C24" w:rsidP="00A53C24">
      <w:pPr>
        <w:spacing w:after="120" w:line="276" w:lineRule="auto"/>
        <w:ind w:firstLine="709"/>
        <w:jc w:val="both"/>
        <w:rPr>
          <w:rFonts w:ascii="Arial" w:eastAsia="Arial," w:hAnsi="Arial" w:cs="Arial"/>
          <w:sz w:val="22"/>
          <w:lang w:val="es-CO" w:eastAsia="es-ES_tradnl"/>
        </w:rPr>
      </w:pPr>
      <w:r w:rsidRPr="006A71B3">
        <w:rPr>
          <w:rFonts w:ascii="Arial" w:eastAsia="Arial" w:hAnsi="Arial" w:cs="Arial"/>
          <w:sz w:val="22"/>
          <w:szCs w:val="24"/>
          <w:lang w:val="es-CO" w:eastAsia="es-ES" w:bidi="es-ES"/>
        </w:rPr>
        <w:t>E</w:t>
      </w:r>
      <w:r w:rsidR="006F5D02" w:rsidRPr="006A71B3">
        <w:rPr>
          <w:rFonts w:ascii="Arial" w:eastAsia="Arial" w:hAnsi="Arial" w:cs="Arial"/>
          <w:sz w:val="22"/>
          <w:szCs w:val="24"/>
          <w:lang w:val="es-CO" w:eastAsia="es-ES" w:bidi="es-ES"/>
        </w:rPr>
        <w:t>l aplicativo</w:t>
      </w:r>
      <w:r w:rsidRPr="006A71B3">
        <w:rPr>
          <w:rFonts w:ascii="Arial" w:eastAsia="Arial" w:hAnsi="Arial" w:cs="Arial"/>
          <w:sz w:val="22"/>
          <w:szCs w:val="24"/>
          <w:lang w:val="es-CO" w:eastAsia="es-ES" w:bidi="es-ES"/>
        </w:rPr>
        <w:t xml:space="preserve">, respecto de </w:t>
      </w:r>
      <w:r w:rsidR="0071574B" w:rsidRPr="006A71B3">
        <w:rPr>
          <w:rFonts w:ascii="Arial" w:eastAsia="Arial" w:hAnsi="Arial" w:cs="Arial"/>
          <w:sz w:val="22"/>
          <w:szCs w:val="24"/>
          <w:lang w:val="es-CO" w:eastAsia="es-ES" w:bidi="es-ES"/>
        </w:rPr>
        <w:t>los contratos en ejecución</w:t>
      </w:r>
      <w:r w:rsidRPr="006A71B3">
        <w:rPr>
          <w:rFonts w:ascii="Arial" w:eastAsia="Arial" w:hAnsi="Arial" w:cs="Arial"/>
          <w:sz w:val="22"/>
          <w:szCs w:val="24"/>
          <w:lang w:val="es-CO" w:eastAsia="es-ES" w:bidi="es-ES"/>
        </w:rPr>
        <w:t xml:space="preserve">, </w:t>
      </w:r>
      <w:r w:rsidR="0071574B" w:rsidRPr="006A71B3">
        <w:rPr>
          <w:rFonts w:ascii="Arial" w:eastAsia="Arial" w:hAnsi="Arial" w:cs="Arial"/>
          <w:sz w:val="22"/>
          <w:szCs w:val="24"/>
          <w:lang w:val="es-CO" w:eastAsia="es-ES" w:bidi="es-ES"/>
        </w:rPr>
        <w:t>solicita</w:t>
      </w:r>
      <w:r w:rsidRPr="006A71B3">
        <w:rPr>
          <w:rFonts w:ascii="Arial" w:eastAsia="Arial" w:hAnsi="Arial" w:cs="Arial"/>
          <w:sz w:val="22"/>
          <w:szCs w:val="24"/>
          <w:lang w:val="es-CO" w:eastAsia="es-ES" w:bidi="es-ES"/>
        </w:rPr>
        <w:t xml:space="preserve">, en primer lugar, el número de contratos en ejecución, y </w:t>
      </w:r>
      <w:r w:rsidR="006F5D02" w:rsidRPr="006A71B3">
        <w:rPr>
          <w:rFonts w:ascii="Arial" w:eastAsia="Arial" w:hAnsi="Arial" w:cs="Arial"/>
          <w:sz w:val="22"/>
          <w:szCs w:val="24"/>
          <w:lang w:val="es-CO" w:eastAsia="es-ES" w:bidi="es-ES"/>
        </w:rPr>
        <w:t>después de</w:t>
      </w:r>
      <w:r w:rsidRPr="006A71B3">
        <w:rPr>
          <w:rFonts w:ascii="Arial" w:eastAsia="Arial" w:hAnsi="Arial" w:cs="Arial"/>
          <w:sz w:val="22"/>
          <w:szCs w:val="24"/>
          <w:lang w:val="es-CO" w:eastAsia="es-ES" w:bidi="es-ES"/>
        </w:rPr>
        <w:t xml:space="preserve"> dar clic en el botón «Guardar información» despliega una tabla con una fila para cada contrato, cada una de las cuales consta de cinco columnas en las que se debe indicar: i) Valor en pesos colombianos del contrato; </w:t>
      </w:r>
      <w:proofErr w:type="spellStart"/>
      <w:r w:rsidRPr="006A71B3">
        <w:rPr>
          <w:rFonts w:ascii="Arial" w:eastAsia="Arial" w:hAnsi="Arial" w:cs="Arial"/>
          <w:sz w:val="22"/>
          <w:szCs w:val="24"/>
          <w:lang w:val="es-CO" w:eastAsia="es-ES" w:bidi="es-ES"/>
        </w:rPr>
        <w:t>ii</w:t>
      </w:r>
      <w:proofErr w:type="spellEnd"/>
      <w:r w:rsidRPr="006A71B3">
        <w:rPr>
          <w:rFonts w:ascii="Arial" w:eastAsia="Arial" w:hAnsi="Arial" w:cs="Arial"/>
          <w:sz w:val="22"/>
          <w:szCs w:val="24"/>
          <w:lang w:val="es-CO" w:eastAsia="es-ES" w:bidi="es-ES"/>
        </w:rPr>
        <w:t xml:space="preserve">) la fecha inicio; </w:t>
      </w:r>
      <w:proofErr w:type="spellStart"/>
      <w:r w:rsidRPr="006A71B3">
        <w:rPr>
          <w:rFonts w:ascii="Arial" w:eastAsia="Arial" w:hAnsi="Arial" w:cs="Arial"/>
          <w:sz w:val="22"/>
          <w:szCs w:val="24"/>
          <w:lang w:val="es-CO" w:eastAsia="es-ES" w:bidi="es-ES"/>
        </w:rPr>
        <w:t>iii</w:t>
      </w:r>
      <w:proofErr w:type="spellEnd"/>
      <w:r w:rsidRPr="006A71B3">
        <w:rPr>
          <w:rFonts w:ascii="Arial" w:eastAsia="Arial" w:hAnsi="Arial" w:cs="Arial"/>
          <w:sz w:val="22"/>
          <w:szCs w:val="24"/>
          <w:lang w:val="es-CO" w:eastAsia="es-ES" w:bidi="es-ES"/>
        </w:rPr>
        <w:t xml:space="preserve">) el plazo expresado en meses;  </w:t>
      </w:r>
      <w:proofErr w:type="spellStart"/>
      <w:r w:rsidRPr="006A71B3">
        <w:rPr>
          <w:rFonts w:ascii="Arial" w:eastAsia="Arial" w:hAnsi="Arial" w:cs="Arial"/>
          <w:sz w:val="22"/>
          <w:szCs w:val="24"/>
          <w:lang w:val="es-CO" w:eastAsia="es-ES" w:bidi="es-ES"/>
        </w:rPr>
        <w:t>iv</w:t>
      </w:r>
      <w:proofErr w:type="spellEnd"/>
      <w:r w:rsidRPr="006A71B3">
        <w:rPr>
          <w:rFonts w:ascii="Arial" w:eastAsia="Arial" w:hAnsi="Arial" w:cs="Arial"/>
          <w:sz w:val="22"/>
          <w:szCs w:val="24"/>
          <w:lang w:val="es-CO" w:eastAsia="es-ES" w:bidi="es-ES"/>
        </w:rPr>
        <w:t xml:space="preserve">) establecer si trata o no de un contrato ejecutado por un contratista plural; v) el porcentaje de participación en la ejecución del contrato; vi) indicar si el contrato se encuentra suspendido o no; y </w:t>
      </w:r>
      <w:proofErr w:type="spellStart"/>
      <w:r w:rsidRPr="006A71B3">
        <w:rPr>
          <w:rFonts w:ascii="Arial" w:eastAsia="Arial" w:hAnsi="Arial" w:cs="Arial"/>
          <w:sz w:val="22"/>
          <w:szCs w:val="24"/>
          <w:lang w:val="es-CO" w:eastAsia="es-ES" w:bidi="es-ES"/>
        </w:rPr>
        <w:t>vii</w:t>
      </w:r>
      <w:proofErr w:type="spellEnd"/>
      <w:r w:rsidRPr="006A71B3">
        <w:rPr>
          <w:rFonts w:ascii="Arial" w:eastAsia="Arial" w:hAnsi="Arial" w:cs="Arial"/>
          <w:sz w:val="22"/>
          <w:szCs w:val="24"/>
          <w:lang w:val="es-CO" w:eastAsia="es-ES" w:bidi="es-ES"/>
        </w:rPr>
        <w:t>) la fecha de suspensión.</w:t>
      </w:r>
      <w:r w:rsidRPr="006A71B3">
        <w:rPr>
          <w:rFonts w:ascii="Arial" w:eastAsia="Arial," w:hAnsi="Arial" w:cs="Arial"/>
          <w:sz w:val="22"/>
          <w:lang w:val="es-CO" w:eastAsia="es-ES_tradnl"/>
        </w:rPr>
        <w:t xml:space="preserve"> </w:t>
      </w:r>
    </w:p>
    <w:p w14:paraId="56DD22EA" w14:textId="029C8C4B" w:rsidR="00EE62F8" w:rsidRPr="006A71B3" w:rsidRDefault="0071574B" w:rsidP="00A53C24">
      <w:pPr>
        <w:spacing w:after="120" w:line="276" w:lineRule="auto"/>
        <w:ind w:firstLine="709"/>
        <w:jc w:val="both"/>
        <w:rPr>
          <w:rFonts w:ascii="Arial" w:eastAsia="Arial," w:hAnsi="Arial" w:cs="Arial"/>
          <w:sz w:val="22"/>
          <w:lang w:val="es-CO" w:eastAsia="es-ES_tradnl"/>
        </w:rPr>
      </w:pPr>
      <w:r w:rsidRPr="006A71B3">
        <w:rPr>
          <w:rFonts w:ascii="Arial" w:eastAsia="Arial," w:hAnsi="Arial" w:cs="Arial"/>
          <w:sz w:val="22"/>
          <w:lang w:val="es-CO" w:eastAsia="es-ES_tradnl"/>
        </w:rPr>
        <w:t xml:space="preserve">Conforme a lo anterior, la metodología para el cálculo de la </w:t>
      </w:r>
      <w:r w:rsidRPr="00F94DBD">
        <w:rPr>
          <w:rFonts w:ascii="Arial" w:eastAsia="Arial," w:hAnsi="Arial" w:cs="Arial"/>
          <w:i/>
          <w:iCs/>
          <w:sz w:val="22"/>
          <w:lang w:val="es-CO" w:eastAsia="es-ES_tradnl"/>
        </w:rPr>
        <w:t>CRPC</w:t>
      </w:r>
      <w:r w:rsidR="00EE62F8" w:rsidRPr="006A71B3">
        <w:rPr>
          <w:rFonts w:ascii="Arial" w:eastAsia="Arial" w:hAnsi="Arial" w:cs="Arial"/>
          <w:sz w:val="22"/>
          <w:szCs w:val="24"/>
          <w:lang w:val="es-CO" w:eastAsia="es-ES" w:bidi="es-ES"/>
        </w:rPr>
        <w:t xml:space="preserve"> </w:t>
      </w:r>
      <w:r w:rsidRPr="006A71B3">
        <w:rPr>
          <w:rFonts w:ascii="Arial" w:eastAsia="Arial," w:hAnsi="Arial" w:cs="Arial"/>
          <w:sz w:val="22"/>
          <w:lang w:val="es-CO" w:eastAsia="es-ES_tradnl"/>
        </w:rPr>
        <w:t>exige tener</w:t>
      </w:r>
      <w:r w:rsidR="00DB65E8" w:rsidRPr="006A71B3">
        <w:rPr>
          <w:rFonts w:ascii="Arial" w:eastAsia="Arial," w:hAnsi="Arial" w:cs="Arial"/>
          <w:sz w:val="22"/>
          <w:lang w:val="es-CO" w:eastAsia="es-ES_tradnl"/>
        </w:rPr>
        <w:t xml:space="preserve"> en </w:t>
      </w:r>
      <w:r w:rsidR="00EE62F8" w:rsidRPr="006A71B3">
        <w:rPr>
          <w:rFonts w:ascii="Arial" w:eastAsia="Arial," w:hAnsi="Arial" w:cs="Arial"/>
          <w:sz w:val="22"/>
          <w:lang w:val="es-CO" w:eastAsia="es-ES_tradnl"/>
        </w:rPr>
        <w:t xml:space="preserve">el anticipo que se contemple en el respectivo proceso. Por el contrario, ni la metodología establecida en la guía, ni el aplicativo, consideran para el cálculo de la </w:t>
      </w:r>
      <w:r w:rsidR="00EE62F8" w:rsidRPr="00F94DBD">
        <w:rPr>
          <w:rFonts w:ascii="Arial" w:eastAsia="Arial," w:hAnsi="Arial" w:cs="Arial"/>
          <w:i/>
          <w:iCs/>
          <w:sz w:val="22"/>
          <w:lang w:val="es-CO" w:eastAsia="es-ES_tradnl"/>
        </w:rPr>
        <w:t>CRP</w:t>
      </w:r>
      <w:r w:rsidR="00EE62F8" w:rsidRPr="006A71B3">
        <w:rPr>
          <w:rFonts w:ascii="Arial" w:eastAsia="Arial," w:hAnsi="Arial" w:cs="Arial"/>
          <w:i/>
          <w:iCs/>
          <w:sz w:val="22"/>
          <w:lang w:val="es-CO" w:eastAsia="es-ES_tradnl"/>
        </w:rPr>
        <w:t xml:space="preserve"> </w:t>
      </w:r>
      <w:r w:rsidR="00EE62F8" w:rsidRPr="006A71B3">
        <w:rPr>
          <w:rFonts w:ascii="Arial" w:eastAsia="Arial," w:hAnsi="Arial" w:cs="Arial"/>
          <w:sz w:val="22"/>
          <w:lang w:val="es-CO" w:eastAsia="es-ES_tradnl"/>
        </w:rPr>
        <w:t xml:space="preserve">los anticipos </w:t>
      </w:r>
      <w:r w:rsidR="00EE62F8" w:rsidRPr="006A71B3">
        <w:rPr>
          <w:rFonts w:ascii="Arial" w:eastAsia="Arial," w:hAnsi="Arial" w:cs="Arial"/>
          <w:sz w:val="22"/>
          <w:lang w:val="es-CO" w:eastAsia="es-ES_tradnl"/>
        </w:rPr>
        <w:lastRenderedPageBreak/>
        <w:t xml:space="preserve">de los contratos en ejecución. Esto no se debe a un error como lo señala el peticionario, sino que tiene que ver con razones conceptuales asociadas a la naturaleza del anticipo, la cual tiene consecuencias </w:t>
      </w:r>
      <w:r w:rsidR="0024421A" w:rsidRPr="006A71B3">
        <w:rPr>
          <w:rFonts w:ascii="Arial" w:eastAsia="Arial," w:hAnsi="Arial" w:cs="Arial"/>
          <w:sz w:val="22"/>
          <w:lang w:val="es-CO" w:eastAsia="es-ES_tradnl"/>
        </w:rPr>
        <w:t>prácticas</w:t>
      </w:r>
      <w:r w:rsidR="00EE62F8" w:rsidRPr="006A71B3">
        <w:rPr>
          <w:rFonts w:ascii="Arial" w:eastAsia="Arial," w:hAnsi="Arial" w:cs="Arial"/>
          <w:sz w:val="22"/>
          <w:lang w:val="es-CO" w:eastAsia="es-ES_tradnl"/>
        </w:rPr>
        <w:t xml:space="preserve"> en la evaluación de la capacidad residual. </w:t>
      </w:r>
    </w:p>
    <w:p w14:paraId="7C9161FE" w14:textId="19229125" w:rsidR="00EE62F8" w:rsidRPr="006A71B3" w:rsidRDefault="00EE62F8" w:rsidP="00EE62F8">
      <w:pPr>
        <w:spacing w:before="120" w:line="276" w:lineRule="auto"/>
        <w:ind w:firstLine="709"/>
        <w:jc w:val="both"/>
        <w:rPr>
          <w:rFonts w:ascii="Arial" w:eastAsia="Calibri" w:hAnsi="Arial" w:cs="Arial"/>
          <w:sz w:val="22"/>
        </w:rPr>
      </w:pPr>
      <w:r w:rsidRPr="006A71B3">
        <w:rPr>
          <w:rFonts w:ascii="Arial" w:eastAsia="Arial," w:hAnsi="Arial" w:cs="Arial"/>
          <w:sz w:val="22"/>
          <w:lang w:val="es-CO" w:eastAsia="es-ES_tradnl"/>
        </w:rPr>
        <w:t>Al respecto conviene recordar</w:t>
      </w:r>
      <w:r w:rsidRPr="006A71B3">
        <w:rPr>
          <w:rFonts w:ascii="Arial" w:eastAsia="Calibri" w:hAnsi="Arial" w:cs="Arial"/>
          <w:sz w:val="22"/>
        </w:rPr>
        <w:t xml:space="preserve"> lo manifestado por la Sala Plena de lo Contencioso Administrativo del Consejo de Estado en torno a la naturaleza y alcance del concepto de anticipo</w:t>
      </w:r>
      <w:r w:rsidR="005028C2">
        <w:rPr>
          <w:rFonts w:ascii="Arial" w:eastAsia="Calibri" w:hAnsi="Arial" w:cs="Arial"/>
          <w:sz w:val="22"/>
        </w:rPr>
        <w:t>,</w:t>
      </w:r>
      <w:r w:rsidRPr="006A71B3">
        <w:rPr>
          <w:rFonts w:ascii="Arial" w:eastAsia="Calibri" w:hAnsi="Arial" w:cs="Arial"/>
          <w:sz w:val="22"/>
        </w:rPr>
        <w:t xml:space="preserve"> a partir de la definición realizada por la Sección Tercera de esa misma corporación judicial</w:t>
      </w:r>
      <w:r w:rsidR="005028C2">
        <w:rPr>
          <w:rFonts w:ascii="Arial" w:eastAsia="Calibri" w:hAnsi="Arial" w:cs="Arial"/>
          <w:sz w:val="22"/>
        </w:rPr>
        <w:t>. Sobre el particular señaló lo siguiente</w:t>
      </w:r>
      <w:r w:rsidRPr="006A71B3">
        <w:rPr>
          <w:rStyle w:val="Refdenotaalpie"/>
          <w:rFonts w:ascii="Arial" w:eastAsia="Calibri" w:hAnsi="Arial" w:cs="Arial"/>
          <w:sz w:val="22"/>
        </w:rPr>
        <w:footnoteReference w:id="7"/>
      </w:r>
      <w:r w:rsidRPr="006A71B3">
        <w:rPr>
          <w:rFonts w:ascii="Arial" w:eastAsia="Calibri" w:hAnsi="Arial" w:cs="Arial"/>
          <w:sz w:val="22"/>
        </w:rPr>
        <w:t>:</w:t>
      </w:r>
    </w:p>
    <w:p w14:paraId="70693832" w14:textId="77777777" w:rsidR="00EE62F8" w:rsidRPr="006A71B3" w:rsidRDefault="00EE62F8" w:rsidP="00EE62F8">
      <w:pPr>
        <w:ind w:firstLine="709"/>
        <w:jc w:val="both"/>
        <w:rPr>
          <w:rFonts w:ascii="Arial" w:eastAsia="Calibri" w:hAnsi="Arial" w:cs="Arial"/>
          <w:sz w:val="22"/>
        </w:rPr>
      </w:pPr>
    </w:p>
    <w:p w14:paraId="0F9DB7CD" w14:textId="77777777" w:rsidR="00EE62F8" w:rsidRPr="006A71B3" w:rsidRDefault="00EE62F8" w:rsidP="00EE62F8">
      <w:pPr>
        <w:ind w:left="709" w:right="709"/>
        <w:jc w:val="both"/>
        <w:rPr>
          <w:rFonts w:ascii="Arial" w:eastAsia="Calibri" w:hAnsi="Arial" w:cs="Arial"/>
          <w:sz w:val="21"/>
          <w:szCs w:val="21"/>
        </w:rPr>
      </w:pPr>
      <w:r w:rsidRPr="006A71B3">
        <w:rPr>
          <w:rFonts w:ascii="Arial" w:eastAsia="Calibri" w:hAnsi="Arial" w:cs="Arial"/>
          <w:sz w:val="21"/>
          <w:szCs w:val="21"/>
        </w:rPr>
        <w:t xml:space="preserve">La jurisprudencia de la Sección Tercera ha definido el anticipo en los siguientes términos: </w:t>
      </w:r>
    </w:p>
    <w:p w14:paraId="30A0DAA9" w14:textId="77777777" w:rsidR="00EE62F8" w:rsidRPr="006A71B3" w:rsidRDefault="00EE62F8" w:rsidP="00EE62F8">
      <w:pPr>
        <w:ind w:left="709" w:right="709"/>
        <w:jc w:val="both"/>
        <w:rPr>
          <w:rFonts w:ascii="Arial" w:eastAsia="Calibri" w:hAnsi="Arial" w:cs="Arial"/>
          <w:sz w:val="21"/>
          <w:szCs w:val="21"/>
        </w:rPr>
      </w:pPr>
    </w:p>
    <w:p w14:paraId="25F15F29" w14:textId="77777777" w:rsidR="00EE62F8" w:rsidRPr="006A71B3" w:rsidRDefault="00EE62F8" w:rsidP="00EE62F8">
      <w:pPr>
        <w:ind w:left="709" w:right="709"/>
        <w:jc w:val="both"/>
        <w:rPr>
          <w:rFonts w:ascii="Arial" w:eastAsia="Calibri" w:hAnsi="Arial" w:cs="Arial"/>
          <w:sz w:val="21"/>
          <w:szCs w:val="21"/>
        </w:rPr>
      </w:pPr>
      <w:r w:rsidRPr="006A71B3">
        <w:rPr>
          <w:rFonts w:ascii="Arial" w:eastAsia="Calibri" w:hAnsi="Arial" w:cs="Arial"/>
          <w:sz w:val="21"/>
          <w:szCs w:val="21"/>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6A71B3">
        <w:rPr>
          <w:rFonts w:ascii="Arial" w:eastAsia="Calibri" w:hAnsi="Arial" w:cs="Arial"/>
          <w:sz w:val="21"/>
          <w:szCs w:val="21"/>
        </w:rPr>
        <w:t>etc</w:t>
      </w:r>
      <w:proofErr w:type="spellEnd"/>
      <w:r w:rsidRPr="006A71B3">
        <w:rPr>
          <w:rFonts w:ascii="Arial" w:eastAsia="Calibri" w:hAnsi="Arial" w:cs="Arial"/>
          <w:sz w:val="21"/>
          <w:szCs w:val="21"/>
        </w:rPr>
        <w:t xml:space="preserve">). En segunda instancia el anticipo, en su resultado, constituye una obligación del contratista y un derecho del contratante, en los siguientes aspectos: </w:t>
      </w:r>
      <w:r w:rsidRPr="006A71B3">
        <w:rPr>
          <w:rFonts w:ascii="Arial" w:eastAsia="Calibri" w:hAnsi="Arial" w:cs="Arial"/>
          <w:i/>
          <w:iCs/>
          <w:sz w:val="21"/>
          <w:szCs w:val="21"/>
        </w:rPr>
        <w:t>-De inversión en los objetos determinados en el contrato y de pago por amortización, por parte del contratista.</w:t>
      </w:r>
      <w:r w:rsidRPr="006A71B3">
        <w:rPr>
          <w:rFonts w:ascii="Arial" w:eastAsia="Calibri" w:hAnsi="Arial" w:cs="Arial"/>
          <w:sz w:val="21"/>
          <w:szCs w:val="21"/>
        </w:rPr>
        <w:t xml:space="preserve"> -De recibir, por amortización, y/o hacer efectiva la garantía de anticipo, o de cumplimiento, según el Estatuto de Contratación vigente, por parte del contratante</w:t>
      </w:r>
      <w:r w:rsidRPr="006A71B3">
        <w:rPr>
          <w:rFonts w:ascii="Arial" w:eastAsia="Calibri" w:hAnsi="Arial" w:cs="Arial"/>
          <w:b/>
          <w:bCs/>
          <w:sz w:val="21"/>
          <w:szCs w:val="21"/>
        </w:rPr>
        <w:t xml:space="preserve">, </w:t>
      </w:r>
      <w:r w:rsidRPr="006A71B3">
        <w:rPr>
          <w:rFonts w:ascii="Arial" w:eastAsia="Calibri" w:hAnsi="Arial" w:cs="Arial"/>
          <w:i/>
          <w:iCs/>
          <w:sz w:val="21"/>
          <w:szCs w:val="21"/>
        </w:rPr>
        <w:t>por hechos del contratista que impliquen mal manejo o incorrecta inversión de los dineros de propiedad pública</w:t>
      </w:r>
      <w:r w:rsidRPr="006A71B3">
        <w:rPr>
          <w:rFonts w:ascii="Arial" w:eastAsia="Calibri" w:hAnsi="Arial" w:cs="Arial"/>
          <w:sz w:val="21"/>
          <w:szCs w:val="21"/>
        </w:rPr>
        <w:t>. Las partes contratantes, acuerdan además en el contrato, las condiciones de efectividad, la proporción con el valor del contrato, la oportunidad en que debe entregarse, la vigilancia Estatal sobre las sumas y las amortizaciones». (Cursiva fuera del original).</w:t>
      </w:r>
    </w:p>
    <w:p w14:paraId="37DC7299" w14:textId="347C2441" w:rsidR="00EE62F8" w:rsidRPr="006A71B3" w:rsidRDefault="00EE62F8" w:rsidP="00EE62F8">
      <w:pPr>
        <w:ind w:left="709" w:right="709"/>
        <w:jc w:val="both"/>
        <w:rPr>
          <w:rFonts w:ascii="Arial" w:eastAsia="Calibri" w:hAnsi="Arial" w:cs="Arial"/>
          <w:sz w:val="21"/>
          <w:szCs w:val="21"/>
        </w:rPr>
      </w:pPr>
      <w:r w:rsidRPr="006A71B3">
        <w:rPr>
          <w:rFonts w:ascii="Arial" w:eastAsia="Calibri" w:hAnsi="Arial" w:cs="Arial"/>
          <w:sz w:val="21"/>
          <w:szCs w:val="21"/>
        </w:rPr>
        <w:t xml:space="preserve"> </w:t>
      </w:r>
    </w:p>
    <w:p w14:paraId="03EEDCA5" w14:textId="04FADE03" w:rsidR="008E71FD" w:rsidRPr="006A71B3" w:rsidRDefault="008E71FD" w:rsidP="008E71FD">
      <w:pPr>
        <w:ind w:left="709" w:right="709"/>
        <w:jc w:val="both"/>
        <w:rPr>
          <w:rFonts w:ascii="Arial" w:eastAsia="Calibri" w:hAnsi="Arial" w:cs="Arial"/>
          <w:sz w:val="22"/>
        </w:rPr>
      </w:pPr>
      <w:r w:rsidRPr="006A71B3">
        <w:rPr>
          <w:rFonts w:ascii="Arial" w:eastAsia="Calibri" w:hAnsi="Arial" w:cs="Arial"/>
          <w:sz w:val="21"/>
          <w:szCs w:val="21"/>
        </w:rPr>
        <w:t>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favor del congresista demandado, tal como se acreditó en el proceso, configura la causal de pérdida de investidura de congresista prevista en el artículo 183.4 de la Constitución Nacional y artículo  296.4  de la Ley 5 de 1992.</w:t>
      </w:r>
      <w:r w:rsidRPr="006A71B3">
        <w:rPr>
          <w:rStyle w:val="Refdenotaalpie"/>
          <w:rFonts w:ascii="Arial" w:eastAsia="Arial" w:hAnsi="Arial" w:cs="Arial"/>
          <w:sz w:val="22"/>
          <w:szCs w:val="24"/>
          <w:lang w:val="es-CO" w:eastAsia="es-ES" w:bidi="es-ES"/>
        </w:rPr>
        <w:footnoteReference w:id="8"/>
      </w:r>
    </w:p>
    <w:p w14:paraId="5E46B931" w14:textId="29F949C6" w:rsidR="008E71FD" w:rsidRPr="006A71B3" w:rsidRDefault="008E71FD" w:rsidP="008E71FD">
      <w:pPr>
        <w:widowControl w:val="0"/>
        <w:autoSpaceDE w:val="0"/>
        <w:autoSpaceDN w:val="0"/>
        <w:spacing w:line="276" w:lineRule="auto"/>
        <w:ind w:right="51" w:firstLine="709"/>
        <w:jc w:val="both"/>
        <w:rPr>
          <w:rFonts w:ascii="Arial" w:eastAsia="Arial," w:hAnsi="Arial" w:cs="Arial"/>
          <w:sz w:val="22"/>
          <w:lang w:val="es-CO" w:eastAsia="es-ES_tradnl"/>
        </w:rPr>
      </w:pPr>
    </w:p>
    <w:p w14:paraId="5B8FEDEC" w14:textId="5E26FFFF" w:rsidR="008E71FD" w:rsidRPr="006A71B3" w:rsidRDefault="005028C2" w:rsidP="008E71FD">
      <w:pPr>
        <w:widowControl w:val="0"/>
        <w:autoSpaceDE w:val="0"/>
        <w:autoSpaceDN w:val="0"/>
        <w:spacing w:line="276" w:lineRule="auto"/>
        <w:ind w:right="51" w:firstLine="709"/>
        <w:jc w:val="both"/>
        <w:rPr>
          <w:rFonts w:ascii="Arial" w:eastAsia="Arial," w:hAnsi="Arial" w:cs="Arial"/>
          <w:sz w:val="22"/>
          <w:lang w:val="es-CO" w:eastAsia="es-ES_tradnl"/>
        </w:rPr>
      </w:pPr>
      <w:r>
        <w:rPr>
          <w:rFonts w:ascii="Arial" w:eastAsia="Arial," w:hAnsi="Arial" w:cs="Arial"/>
          <w:sz w:val="22"/>
          <w:lang w:val="es-CO" w:eastAsia="es-ES_tradnl"/>
        </w:rPr>
        <w:t>De acuerdo con lo explicado</w:t>
      </w:r>
      <w:r w:rsidR="008E71FD" w:rsidRPr="006A71B3">
        <w:rPr>
          <w:rFonts w:ascii="Arial" w:eastAsia="Arial," w:hAnsi="Arial" w:cs="Arial"/>
          <w:sz w:val="22"/>
          <w:lang w:val="es-CO" w:eastAsia="es-ES_tradnl"/>
        </w:rPr>
        <w:t xml:space="preserve">, en atención a las consideraciones del Consejo de Estado, en ejercicio de la función consultiva, esta Agencia ha definido el anticipo en los siguientes términos: </w:t>
      </w:r>
    </w:p>
    <w:p w14:paraId="3DE9F5E7" w14:textId="77777777" w:rsidR="008E71FD" w:rsidRPr="006A71B3" w:rsidRDefault="008E71FD" w:rsidP="008E71FD">
      <w:pPr>
        <w:widowControl w:val="0"/>
        <w:autoSpaceDE w:val="0"/>
        <w:autoSpaceDN w:val="0"/>
        <w:spacing w:line="276" w:lineRule="auto"/>
        <w:ind w:right="51" w:firstLine="709"/>
        <w:jc w:val="both"/>
        <w:rPr>
          <w:rFonts w:ascii="Arial" w:eastAsia="Arial," w:hAnsi="Arial" w:cs="Arial"/>
          <w:sz w:val="22"/>
          <w:lang w:val="es-CO" w:eastAsia="es-ES_tradnl"/>
        </w:rPr>
      </w:pPr>
    </w:p>
    <w:p w14:paraId="475ABFDE" w14:textId="490EEB91" w:rsidR="008E71FD" w:rsidRPr="00F94DBD" w:rsidRDefault="008E71FD" w:rsidP="00F94DBD">
      <w:pPr>
        <w:ind w:left="709" w:right="709"/>
        <w:jc w:val="both"/>
        <w:rPr>
          <w:rFonts w:ascii="Arial" w:eastAsia="Calibri" w:hAnsi="Arial" w:cs="Arial"/>
          <w:sz w:val="21"/>
          <w:szCs w:val="21"/>
        </w:rPr>
      </w:pPr>
      <w:r w:rsidRPr="00F94DBD">
        <w:rPr>
          <w:rFonts w:ascii="Arial" w:eastAsia="Calibri" w:hAnsi="Arial" w:cs="Arial"/>
          <w:sz w:val="21"/>
          <w:szCs w:val="21"/>
        </w:rPr>
        <w:t>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w:t>
      </w:r>
      <w:r w:rsidRPr="006A71B3">
        <w:rPr>
          <w:rStyle w:val="Refdenotaalpie"/>
          <w:rFonts w:ascii="Arial" w:eastAsia="Calibri" w:hAnsi="Arial" w:cs="Arial"/>
          <w:sz w:val="21"/>
          <w:szCs w:val="21"/>
        </w:rPr>
        <w:footnoteReference w:id="9"/>
      </w:r>
      <w:r w:rsidRPr="00F94DBD">
        <w:rPr>
          <w:rFonts w:ascii="Arial" w:eastAsia="Calibri" w:hAnsi="Arial" w:cs="Arial"/>
          <w:sz w:val="21"/>
          <w:szCs w:val="21"/>
        </w:rPr>
        <w:t>.</w:t>
      </w:r>
    </w:p>
    <w:p w14:paraId="119FB6FD" w14:textId="373BD490" w:rsidR="008E71FD" w:rsidRPr="006A71B3" w:rsidRDefault="008E71FD" w:rsidP="008E71FD">
      <w:pPr>
        <w:widowControl w:val="0"/>
        <w:autoSpaceDE w:val="0"/>
        <w:autoSpaceDN w:val="0"/>
        <w:spacing w:line="276" w:lineRule="auto"/>
        <w:ind w:right="51" w:firstLine="709"/>
        <w:jc w:val="both"/>
        <w:rPr>
          <w:rFonts w:ascii="Arial" w:eastAsia="Arial," w:hAnsi="Arial" w:cs="Arial"/>
          <w:sz w:val="22"/>
          <w:lang w:val="es-CO" w:eastAsia="es-ES_tradnl"/>
        </w:rPr>
      </w:pPr>
    </w:p>
    <w:p w14:paraId="09A93493" w14:textId="0B9C2216" w:rsidR="00853B97" w:rsidRPr="006A71B3" w:rsidRDefault="008E71FD" w:rsidP="00853B97">
      <w:pPr>
        <w:widowControl w:val="0"/>
        <w:autoSpaceDE w:val="0"/>
        <w:autoSpaceDN w:val="0"/>
        <w:spacing w:after="120" w:line="276" w:lineRule="auto"/>
        <w:ind w:right="51"/>
        <w:jc w:val="both"/>
        <w:rPr>
          <w:rFonts w:ascii="Arial" w:eastAsia="Arial," w:hAnsi="Arial" w:cs="Arial"/>
          <w:sz w:val="22"/>
          <w:lang w:val="es-CO" w:eastAsia="es-ES_tradnl"/>
        </w:rPr>
      </w:pPr>
      <w:r w:rsidRPr="006A71B3">
        <w:rPr>
          <w:rFonts w:ascii="Arial" w:eastAsia="Arial," w:hAnsi="Arial" w:cs="Arial"/>
          <w:sz w:val="22"/>
          <w:lang w:val="es-CO" w:eastAsia="es-ES_tradnl"/>
        </w:rPr>
        <w:tab/>
      </w:r>
      <w:r w:rsidR="005028C2">
        <w:rPr>
          <w:rFonts w:ascii="Arial" w:eastAsia="Arial," w:hAnsi="Arial" w:cs="Arial"/>
          <w:sz w:val="22"/>
          <w:lang w:val="es-CO" w:eastAsia="es-ES_tradnl"/>
        </w:rPr>
        <w:t>Así las cosas</w:t>
      </w:r>
      <w:r w:rsidRPr="006A71B3">
        <w:rPr>
          <w:rFonts w:ascii="Arial" w:eastAsia="Arial," w:hAnsi="Arial" w:cs="Arial"/>
          <w:sz w:val="22"/>
          <w:lang w:val="es-CO" w:eastAsia="es-ES_tradnl"/>
        </w:rPr>
        <w:t>, el anticipo es un adelanto del precio del contrato girado por la entidad al contratista para apalancar el desarrollo de la correspondiente obra, el cual no entra al patrimonio del contratista hasta que no sea amortizado mediante la ejecución de actividades</w:t>
      </w:r>
      <w:r w:rsidR="00853B97" w:rsidRPr="006A71B3">
        <w:rPr>
          <w:rFonts w:ascii="Arial" w:eastAsia="Arial," w:hAnsi="Arial" w:cs="Arial"/>
          <w:sz w:val="22"/>
          <w:lang w:val="es-CO" w:eastAsia="es-ES_tradnl"/>
        </w:rPr>
        <w:t xml:space="preserve"> que hacen parte del objeto contractual. En ese sentido, el valor de los anticipos de los contratos que tiene en ejecución el proponente, en sí no es un valor que afecte su capacidad residual en la medida que este no entra a su patrimonio hasta que no sea amortizado, por lo que el valor de dicho anticipo hará parte del saldo pendiente de ejecutar del respectivo contrato. </w:t>
      </w:r>
    </w:p>
    <w:p w14:paraId="52518CCD" w14:textId="4CF09311" w:rsidR="00853B97" w:rsidRPr="006A71B3" w:rsidRDefault="00853B97" w:rsidP="00F94DBD">
      <w:pPr>
        <w:widowControl w:val="0"/>
        <w:autoSpaceDE w:val="0"/>
        <w:autoSpaceDN w:val="0"/>
        <w:spacing w:after="120" w:line="276" w:lineRule="auto"/>
        <w:ind w:right="51" w:firstLine="708"/>
        <w:jc w:val="both"/>
        <w:rPr>
          <w:rFonts w:ascii="Arial" w:eastAsia="Arial," w:hAnsi="Arial" w:cs="Arial"/>
          <w:sz w:val="22"/>
          <w:lang w:val="es-CO" w:eastAsia="es-ES_tradnl"/>
        </w:rPr>
      </w:pPr>
      <w:r w:rsidRPr="006A71B3">
        <w:rPr>
          <w:rFonts w:ascii="Arial" w:eastAsia="Arial," w:hAnsi="Arial" w:cs="Arial"/>
          <w:sz w:val="22"/>
          <w:lang w:val="es-CO" w:eastAsia="es-ES_tradnl"/>
        </w:rPr>
        <w:t xml:space="preserve">Debido a esto, la metodología determinada por Colombia Compra Eficiente en la aludida guía y aplicativo, no exige que se discriminen los valores de los anticipos de los contratos en ejecución, lo que no quiere decir que los valores de los mismos no sean considerados cuando estos </w:t>
      </w:r>
      <w:proofErr w:type="spellStart"/>
      <w:r w:rsidRPr="006A71B3">
        <w:rPr>
          <w:rFonts w:ascii="Arial" w:eastAsia="Arial," w:hAnsi="Arial" w:cs="Arial"/>
          <w:sz w:val="22"/>
          <w:lang w:val="es-CO" w:eastAsia="es-ES_tradnl"/>
        </w:rPr>
        <w:t>aun</w:t>
      </w:r>
      <w:proofErr w:type="spellEnd"/>
      <w:r w:rsidRPr="006A71B3">
        <w:rPr>
          <w:rFonts w:ascii="Arial" w:eastAsia="Arial," w:hAnsi="Arial" w:cs="Arial"/>
          <w:sz w:val="22"/>
          <w:lang w:val="es-CO" w:eastAsia="es-ES_tradnl"/>
        </w:rPr>
        <w:t xml:space="preserve"> no han sido amortizados. Esto comoquiera que</w:t>
      </w:r>
      <w:r w:rsidR="00B11C88" w:rsidRPr="006A71B3">
        <w:rPr>
          <w:rFonts w:ascii="Arial" w:eastAsia="Arial," w:hAnsi="Arial" w:cs="Arial"/>
          <w:sz w:val="22"/>
          <w:lang w:val="es-CO" w:eastAsia="es-ES_tradnl"/>
        </w:rPr>
        <w:t>,</w:t>
      </w:r>
      <w:r w:rsidRPr="006A71B3">
        <w:rPr>
          <w:rFonts w:ascii="Arial" w:eastAsia="Arial," w:hAnsi="Arial" w:cs="Arial"/>
          <w:sz w:val="22"/>
          <w:lang w:val="es-CO" w:eastAsia="es-ES_tradnl"/>
        </w:rPr>
        <w:t xml:space="preserve"> en este evento, el valor del anticipo o el saldo de este por amortizar hace</w:t>
      </w:r>
      <w:r w:rsidR="00B11C88" w:rsidRPr="006A71B3">
        <w:rPr>
          <w:rFonts w:ascii="Arial" w:eastAsia="Arial," w:hAnsi="Arial" w:cs="Arial"/>
          <w:sz w:val="22"/>
          <w:lang w:val="es-CO" w:eastAsia="es-ES_tradnl"/>
        </w:rPr>
        <w:t>n</w:t>
      </w:r>
      <w:r w:rsidRPr="006A71B3">
        <w:rPr>
          <w:rFonts w:ascii="Arial" w:eastAsia="Arial," w:hAnsi="Arial" w:cs="Arial"/>
          <w:sz w:val="22"/>
          <w:lang w:val="es-CO" w:eastAsia="es-ES_tradnl"/>
        </w:rPr>
        <w:t xml:space="preserve"> parte de los saldos de contratos en ejecución o factor </w:t>
      </w:r>
      <w:r w:rsidRPr="00F94DBD">
        <w:rPr>
          <w:rFonts w:ascii="Arial" w:eastAsia="Arial," w:hAnsi="Arial" w:cs="Arial"/>
          <w:i/>
          <w:iCs/>
          <w:sz w:val="22"/>
          <w:lang w:val="es-CO" w:eastAsia="es-ES_tradnl"/>
        </w:rPr>
        <w:t>SCE</w:t>
      </w:r>
      <w:r w:rsidRPr="006A71B3">
        <w:rPr>
          <w:rFonts w:ascii="Arial" w:eastAsia="Arial," w:hAnsi="Arial" w:cs="Arial"/>
          <w:i/>
          <w:iCs/>
          <w:sz w:val="22"/>
          <w:lang w:val="es-CO" w:eastAsia="es-ES_tradnl"/>
        </w:rPr>
        <w:t>.</w:t>
      </w:r>
    </w:p>
    <w:p w14:paraId="0D566B30" w14:textId="7FD46587" w:rsidR="008E71FD" w:rsidRPr="006A71B3" w:rsidRDefault="00853B97" w:rsidP="00F94DBD">
      <w:pPr>
        <w:widowControl w:val="0"/>
        <w:autoSpaceDE w:val="0"/>
        <w:autoSpaceDN w:val="0"/>
        <w:spacing w:after="120" w:line="276" w:lineRule="auto"/>
        <w:ind w:right="51"/>
        <w:jc w:val="both"/>
        <w:rPr>
          <w:rFonts w:ascii="Arial" w:eastAsia="Arial," w:hAnsi="Arial" w:cs="Arial"/>
          <w:sz w:val="22"/>
          <w:lang w:val="es-CO" w:eastAsia="es-ES_tradnl"/>
        </w:rPr>
      </w:pPr>
      <w:r w:rsidRPr="006A71B3">
        <w:rPr>
          <w:rFonts w:ascii="Arial" w:eastAsia="Arial," w:hAnsi="Arial" w:cs="Arial"/>
          <w:sz w:val="22"/>
          <w:lang w:val="es-CO" w:eastAsia="es-ES_tradnl"/>
        </w:rPr>
        <w:tab/>
        <w:t xml:space="preserve"> Por el contrario, en el caso del </w:t>
      </w:r>
      <w:r w:rsidRPr="00F94DBD">
        <w:rPr>
          <w:rFonts w:ascii="Arial" w:eastAsia="Arial," w:hAnsi="Arial" w:cs="Arial"/>
          <w:i/>
          <w:iCs/>
          <w:sz w:val="22"/>
          <w:lang w:val="es-CO" w:eastAsia="es-ES_tradnl"/>
        </w:rPr>
        <w:t>CRPC</w:t>
      </w:r>
      <w:r w:rsidRPr="006A71B3">
        <w:rPr>
          <w:rFonts w:ascii="Arial" w:eastAsia="Arial," w:hAnsi="Arial" w:cs="Arial"/>
          <w:i/>
          <w:iCs/>
          <w:sz w:val="22"/>
          <w:lang w:val="es-CO" w:eastAsia="es-ES_tradnl"/>
        </w:rPr>
        <w:t xml:space="preserve">, </w:t>
      </w:r>
      <w:r w:rsidRPr="006A71B3">
        <w:rPr>
          <w:rFonts w:ascii="Arial" w:eastAsia="Arial," w:hAnsi="Arial" w:cs="Arial"/>
          <w:sz w:val="22"/>
          <w:lang w:val="es-CO" w:eastAsia="es-ES_tradnl"/>
        </w:rPr>
        <w:t>la metodología s</w:t>
      </w:r>
      <w:r w:rsidR="001D4C28">
        <w:rPr>
          <w:rFonts w:ascii="Arial" w:eastAsia="Arial," w:hAnsi="Arial" w:cs="Arial"/>
          <w:sz w:val="22"/>
          <w:lang w:val="es-CO" w:eastAsia="es-ES_tradnl"/>
        </w:rPr>
        <w:t>í</w:t>
      </w:r>
      <w:r w:rsidRPr="006A71B3">
        <w:rPr>
          <w:rFonts w:ascii="Arial" w:eastAsia="Arial," w:hAnsi="Arial" w:cs="Arial"/>
          <w:sz w:val="22"/>
          <w:lang w:val="es-CO" w:eastAsia="es-ES_tradnl"/>
        </w:rPr>
        <w:t xml:space="preserve"> precisa que se considere el valor discriminado del anticipo del proceso ofertado, en la medida en que, siendo este un</w:t>
      </w:r>
      <w:r w:rsidR="00AF2403" w:rsidRPr="006A71B3">
        <w:rPr>
          <w:rFonts w:ascii="Arial" w:eastAsia="Arial," w:hAnsi="Arial" w:cs="Arial"/>
          <w:sz w:val="22"/>
          <w:lang w:val="es-CO" w:eastAsia="es-ES_tradnl"/>
        </w:rPr>
        <w:t xml:space="preserve"> valor monetario</w:t>
      </w:r>
      <w:r w:rsidRPr="006A71B3">
        <w:rPr>
          <w:rFonts w:ascii="Arial" w:eastAsia="Arial," w:hAnsi="Arial" w:cs="Arial"/>
          <w:sz w:val="22"/>
          <w:lang w:val="es-CO" w:eastAsia="es-ES_tradnl"/>
        </w:rPr>
        <w:t xml:space="preserve"> imputable al precio que la entidad </w:t>
      </w:r>
      <w:r w:rsidR="00AF2403" w:rsidRPr="006A71B3">
        <w:rPr>
          <w:rFonts w:ascii="Arial" w:eastAsia="Arial," w:hAnsi="Arial" w:cs="Arial"/>
          <w:sz w:val="22"/>
          <w:lang w:val="es-CO" w:eastAsia="es-ES_tradnl"/>
        </w:rPr>
        <w:t xml:space="preserve">entrega anticipadamente </w:t>
      </w:r>
      <w:r w:rsidR="00B11C88" w:rsidRPr="006A71B3">
        <w:rPr>
          <w:rFonts w:ascii="Arial" w:eastAsia="Arial," w:hAnsi="Arial" w:cs="Arial"/>
          <w:sz w:val="22"/>
          <w:lang w:val="es-CO" w:eastAsia="es-ES_tradnl"/>
        </w:rPr>
        <w:t>al contratista</w:t>
      </w:r>
      <w:r w:rsidRPr="006A71B3">
        <w:rPr>
          <w:rFonts w:ascii="Arial" w:eastAsia="Arial," w:hAnsi="Arial" w:cs="Arial"/>
          <w:sz w:val="22"/>
          <w:lang w:val="es-CO" w:eastAsia="es-ES_tradnl"/>
        </w:rPr>
        <w:t xml:space="preserve"> </w:t>
      </w:r>
      <w:r w:rsidR="00AF2403" w:rsidRPr="006A71B3">
        <w:rPr>
          <w:rFonts w:ascii="Arial" w:eastAsia="Arial," w:hAnsi="Arial" w:cs="Arial"/>
          <w:sz w:val="22"/>
          <w:lang w:val="es-CO" w:eastAsia="es-ES_tradnl"/>
        </w:rPr>
        <w:t>con el fin de</w:t>
      </w:r>
      <w:r w:rsidRPr="006A71B3">
        <w:rPr>
          <w:rFonts w:ascii="Arial" w:eastAsia="Arial," w:hAnsi="Arial" w:cs="Arial"/>
          <w:sz w:val="22"/>
          <w:lang w:val="es-CO" w:eastAsia="es-ES_tradnl"/>
        </w:rPr>
        <w:t xml:space="preserve"> apalancar el cumplimiento del objeto contractual,</w:t>
      </w:r>
      <w:r w:rsidR="00AF2403" w:rsidRPr="006A71B3">
        <w:rPr>
          <w:rFonts w:ascii="Arial" w:eastAsia="Arial," w:hAnsi="Arial" w:cs="Arial"/>
          <w:sz w:val="22"/>
          <w:lang w:val="es-CO" w:eastAsia="es-ES_tradnl"/>
        </w:rPr>
        <w:t xml:space="preserve"> este corresponde a una suma de dinero que no tendrá que aportar el contratista con su patrimonio para financiar la ejecución del contrato. Debido a esto, las </w:t>
      </w:r>
      <w:proofErr w:type="spellStart"/>
      <w:r w:rsidR="00AF2403" w:rsidRPr="006A71B3">
        <w:rPr>
          <w:rFonts w:ascii="Arial" w:eastAsia="Arial," w:hAnsi="Arial" w:cs="Arial"/>
          <w:sz w:val="22"/>
          <w:lang w:val="es-CO" w:eastAsia="es-ES_tradnl"/>
        </w:rPr>
        <w:t>formulas</w:t>
      </w:r>
      <w:proofErr w:type="spellEnd"/>
      <w:r w:rsidR="00AF2403" w:rsidRPr="006A71B3">
        <w:rPr>
          <w:rFonts w:ascii="Arial" w:eastAsia="Arial," w:hAnsi="Arial" w:cs="Arial"/>
          <w:sz w:val="22"/>
          <w:lang w:val="es-CO" w:eastAsia="es-ES_tradnl"/>
        </w:rPr>
        <w:t xml:space="preserve"> para el cálculo de la </w:t>
      </w:r>
      <w:r w:rsidR="00AF2403" w:rsidRPr="00F94DBD">
        <w:rPr>
          <w:rFonts w:ascii="Arial" w:eastAsia="Arial," w:hAnsi="Arial" w:cs="Arial"/>
          <w:i/>
          <w:iCs/>
          <w:sz w:val="22"/>
          <w:lang w:val="es-CO" w:eastAsia="es-ES_tradnl"/>
        </w:rPr>
        <w:t>CRPC</w:t>
      </w:r>
      <w:r w:rsidR="00AF2403" w:rsidRPr="006A71B3">
        <w:rPr>
          <w:rFonts w:ascii="Arial" w:eastAsia="Arial," w:hAnsi="Arial" w:cs="Arial"/>
          <w:i/>
          <w:iCs/>
          <w:sz w:val="22"/>
          <w:lang w:val="es-CO" w:eastAsia="es-ES_tradnl"/>
        </w:rPr>
        <w:t xml:space="preserve"> </w:t>
      </w:r>
      <w:r w:rsidR="00B11C88" w:rsidRPr="006A71B3">
        <w:rPr>
          <w:rFonts w:ascii="Arial" w:eastAsia="Arial," w:hAnsi="Arial" w:cs="Arial"/>
          <w:sz w:val="22"/>
          <w:lang w:val="es-CO" w:eastAsia="es-ES_tradnl"/>
        </w:rPr>
        <w:t>sustraen</w:t>
      </w:r>
      <w:r w:rsidR="00AF2403" w:rsidRPr="006A71B3">
        <w:rPr>
          <w:rFonts w:ascii="Arial" w:eastAsia="Arial," w:hAnsi="Arial" w:cs="Arial"/>
          <w:sz w:val="22"/>
          <w:lang w:val="es-CO" w:eastAsia="es-ES_tradnl"/>
        </w:rPr>
        <w:t xml:space="preserve"> el valor del anticipo del presupuesto oficial, en la medida que siendo este una suma aportada por la </w:t>
      </w:r>
      <w:r w:rsidR="00F44FCC" w:rsidRPr="006A71B3">
        <w:rPr>
          <w:rFonts w:ascii="Arial" w:eastAsia="Arial," w:hAnsi="Arial" w:cs="Arial"/>
          <w:sz w:val="22"/>
          <w:lang w:val="es-CO" w:eastAsia="es-ES_tradnl"/>
        </w:rPr>
        <w:t>entidad</w:t>
      </w:r>
      <w:r w:rsidR="00AF2403" w:rsidRPr="006A71B3">
        <w:rPr>
          <w:rFonts w:ascii="Arial" w:eastAsia="Arial," w:hAnsi="Arial" w:cs="Arial"/>
          <w:sz w:val="22"/>
          <w:lang w:val="es-CO" w:eastAsia="es-ES_tradnl"/>
        </w:rPr>
        <w:t xml:space="preserve"> no es necesario que los proponentes acrediten capacidad residual sobre dicha porción del presupuesto oficial.</w:t>
      </w:r>
    </w:p>
    <w:bookmarkEnd w:id="5"/>
    <w:p w14:paraId="2304680C" w14:textId="19380CC7" w:rsidR="00A53C24" w:rsidRPr="006A71B3" w:rsidRDefault="00A53C24" w:rsidP="00F94DBD">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 xml:space="preserve">Sin perjuicio de lo anterior, sobre el uso del aplicativo y la acreditación de los </w:t>
      </w:r>
      <w:r w:rsidRPr="006A71B3">
        <w:rPr>
          <w:rFonts w:ascii="Arial" w:eastAsia="Arial" w:hAnsi="Arial" w:cs="Arial"/>
          <w:sz w:val="22"/>
          <w:szCs w:val="24"/>
          <w:lang w:val="es-CO" w:eastAsia="es-ES" w:bidi="es-ES"/>
        </w:rPr>
        <w:lastRenderedPageBreak/>
        <w:t>factores necesarios para calcular la capacidad residual, la Circular Externa Única de Colombia Compra Eficiente, en el punto 7, establece lo siguiente:</w:t>
      </w:r>
    </w:p>
    <w:p w14:paraId="7B186AAC" w14:textId="77777777" w:rsidR="00A53C24" w:rsidRPr="006A71B3" w:rsidRDefault="00A53C24" w:rsidP="00A53C24">
      <w:pPr>
        <w:widowControl w:val="0"/>
        <w:autoSpaceDE w:val="0"/>
        <w:autoSpaceDN w:val="0"/>
        <w:spacing w:line="276" w:lineRule="auto"/>
        <w:ind w:right="51" w:firstLine="709"/>
        <w:jc w:val="both"/>
        <w:rPr>
          <w:rFonts w:ascii="Arial" w:eastAsia="Arial" w:hAnsi="Arial" w:cs="Arial"/>
          <w:sz w:val="22"/>
          <w:szCs w:val="24"/>
          <w:lang w:val="es-CO" w:eastAsia="es-ES" w:bidi="es-ES"/>
        </w:rPr>
      </w:pPr>
    </w:p>
    <w:p w14:paraId="72C15246" w14:textId="77777777" w:rsidR="00A53C24" w:rsidRPr="006A71B3" w:rsidRDefault="00A53C24" w:rsidP="00A53C24">
      <w:pPr>
        <w:widowControl w:val="0"/>
        <w:autoSpaceDE w:val="0"/>
        <w:autoSpaceDN w:val="0"/>
        <w:ind w:left="709" w:right="760"/>
        <w:jc w:val="both"/>
        <w:rPr>
          <w:rFonts w:ascii="Arial" w:eastAsia="Arial" w:hAnsi="Arial" w:cs="Arial"/>
          <w:sz w:val="21"/>
          <w:szCs w:val="21"/>
          <w:lang w:val="es-CO" w:eastAsia="es-ES" w:bidi="es-ES"/>
        </w:rPr>
      </w:pPr>
      <w:r w:rsidRPr="006A71B3">
        <w:rPr>
          <w:rFonts w:ascii="Arial" w:eastAsia="Arial" w:hAnsi="Arial" w:cs="Arial"/>
          <w:sz w:val="21"/>
          <w:szCs w:val="21"/>
          <w:lang w:val="es-CO" w:eastAsia="es-ES" w:bidi="es-ES"/>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14:paraId="7D7E4921" w14:textId="77777777" w:rsidR="00A53C24" w:rsidRPr="006A71B3" w:rsidRDefault="00A53C24" w:rsidP="00A53C24">
      <w:pPr>
        <w:widowControl w:val="0"/>
        <w:autoSpaceDE w:val="0"/>
        <w:autoSpaceDN w:val="0"/>
        <w:ind w:left="709" w:right="760"/>
        <w:jc w:val="both"/>
        <w:rPr>
          <w:rFonts w:ascii="Arial" w:eastAsia="Arial" w:hAnsi="Arial" w:cs="Arial"/>
          <w:sz w:val="21"/>
          <w:szCs w:val="21"/>
          <w:lang w:val="es-CO" w:eastAsia="es-ES" w:bidi="es-ES"/>
        </w:rPr>
      </w:pPr>
    </w:p>
    <w:p w14:paraId="70C86102" w14:textId="0FB1113A" w:rsidR="00A53C24" w:rsidRPr="006A71B3" w:rsidRDefault="001D4C28" w:rsidP="00A53C24">
      <w:pPr>
        <w:spacing w:line="276" w:lineRule="auto"/>
        <w:ind w:right="49" w:firstLine="709"/>
        <w:jc w:val="both"/>
        <w:rPr>
          <w:rFonts w:ascii="Arial" w:eastAsia="Arial," w:hAnsi="Arial" w:cs="Arial"/>
          <w:sz w:val="22"/>
          <w:lang w:val="es-CO" w:eastAsia="es-ES_tradnl"/>
        </w:rPr>
      </w:pPr>
      <w:r>
        <w:rPr>
          <w:rFonts w:ascii="Arial" w:eastAsia="Arial," w:hAnsi="Arial" w:cs="Arial"/>
          <w:sz w:val="22"/>
          <w:lang w:val="es-CO" w:eastAsia="es-ES_tradnl"/>
        </w:rPr>
        <w:t>Por tanto</w:t>
      </w:r>
      <w:r w:rsidR="00A53C24" w:rsidRPr="006A71B3">
        <w:rPr>
          <w:rFonts w:ascii="Arial" w:eastAsia="Arial," w:hAnsi="Arial" w:cs="Arial"/>
          <w:sz w:val="22"/>
          <w:lang w:val="es-CO" w:eastAsia="es-ES_tradnl"/>
        </w:rPr>
        <w:t>, si bien el aplicativo de Excel desarrollado por esta entidad constituye una herramienta que facilita la implementación de la metodología establecida en la guía, su uso no exime del deber de aplicar lo dispuesto en la guía.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 En todo caso, se reitera, lo que tiene fuerza vinculante es la guía, por tanto, son sus disposiciones las que deben seguirse para la determinación de la capacidad residual.</w:t>
      </w:r>
    </w:p>
    <w:p w14:paraId="4101C826" w14:textId="77777777" w:rsidR="00BD49C8" w:rsidRPr="00F94DBD" w:rsidRDefault="00BD49C8" w:rsidP="00BD49C8">
      <w:pPr>
        <w:pStyle w:val="Prrafodelista"/>
        <w:tabs>
          <w:tab w:val="left" w:pos="284"/>
        </w:tabs>
        <w:spacing w:line="276" w:lineRule="auto"/>
        <w:ind w:left="0"/>
        <w:rPr>
          <w:rFonts w:ascii="Arial" w:hAnsi="Arial" w:cs="Arial"/>
          <w:b/>
          <w:bCs/>
          <w:sz w:val="22"/>
          <w:lang w:val="es-CO"/>
        </w:rPr>
      </w:pPr>
    </w:p>
    <w:p w14:paraId="7C68252E" w14:textId="58976502" w:rsidR="00BD49C8" w:rsidRPr="00F94DBD" w:rsidRDefault="00BD49C8" w:rsidP="00BD49C8">
      <w:pPr>
        <w:pStyle w:val="Prrafodelista"/>
        <w:tabs>
          <w:tab w:val="left" w:pos="284"/>
        </w:tabs>
        <w:spacing w:line="276" w:lineRule="auto"/>
        <w:ind w:left="0"/>
        <w:rPr>
          <w:rFonts w:ascii="Arial" w:hAnsi="Arial" w:cs="Arial"/>
          <w:b/>
          <w:bCs/>
          <w:sz w:val="22"/>
          <w:lang w:val="es-CO"/>
        </w:rPr>
      </w:pPr>
      <w:r w:rsidRPr="00F94DBD">
        <w:rPr>
          <w:rFonts w:ascii="Arial" w:hAnsi="Arial" w:cs="Arial"/>
          <w:b/>
          <w:bCs/>
          <w:sz w:val="22"/>
          <w:lang w:val="es-CO"/>
        </w:rPr>
        <w:t>3. Respuesta</w:t>
      </w:r>
    </w:p>
    <w:p w14:paraId="4303C770" w14:textId="77777777" w:rsidR="00BD49C8" w:rsidRPr="006A71B3" w:rsidRDefault="00BD49C8" w:rsidP="00BD49C8">
      <w:pPr>
        <w:spacing w:line="276" w:lineRule="auto"/>
        <w:ind w:firstLine="708"/>
        <w:jc w:val="both"/>
        <w:rPr>
          <w:rFonts w:ascii="Arial" w:hAnsi="Arial" w:cs="Arial"/>
          <w:sz w:val="22"/>
        </w:rPr>
      </w:pPr>
    </w:p>
    <w:p w14:paraId="3C6EED36" w14:textId="7BCCFA1F" w:rsidR="00D651AA" w:rsidRPr="00F94DBD" w:rsidRDefault="005023D6" w:rsidP="00D651AA">
      <w:pPr>
        <w:ind w:left="708" w:right="709"/>
        <w:jc w:val="both"/>
        <w:rPr>
          <w:rFonts w:ascii="Arial" w:eastAsia="Calibri" w:hAnsi="Arial" w:cs="Arial"/>
          <w:sz w:val="21"/>
          <w:szCs w:val="21"/>
        </w:rPr>
      </w:pPr>
      <w:r w:rsidRPr="00F94DBD">
        <w:rPr>
          <w:rFonts w:ascii="Arial" w:eastAsia="Calibri" w:hAnsi="Arial" w:cs="Arial"/>
          <w:sz w:val="21"/>
          <w:szCs w:val="21"/>
        </w:rPr>
        <w:t>«[…] Solicito que se revise la forma de calcular la capacidad residual pues considero que se está haciendo de forma errónea»</w:t>
      </w:r>
      <w:bookmarkStart w:id="6" w:name="_Hlk67449367"/>
      <w:r w:rsidRPr="00F94DBD">
        <w:rPr>
          <w:rFonts w:ascii="Arial" w:eastAsia="Calibri" w:hAnsi="Arial" w:cs="Arial"/>
          <w:sz w:val="21"/>
          <w:szCs w:val="21"/>
        </w:rPr>
        <w:t>,</w:t>
      </w:r>
      <w:r w:rsidR="002B6FFA" w:rsidRPr="00F94DBD">
        <w:rPr>
          <w:rFonts w:ascii="Arial" w:eastAsia="Calibri" w:hAnsi="Arial" w:cs="Arial"/>
          <w:sz w:val="21"/>
          <w:szCs w:val="21"/>
        </w:rPr>
        <w:t xml:space="preserve"> en el aplicativo de Colombia Compra Eficiente y en procesos de contratación como los de INVÍAS,</w:t>
      </w:r>
      <w:r w:rsidRPr="00F94DBD">
        <w:rPr>
          <w:rFonts w:ascii="Arial" w:eastAsia="Calibri" w:hAnsi="Arial" w:cs="Arial"/>
          <w:sz w:val="21"/>
          <w:szCs w:val="21"/>
        </w:rPr>
        <w:t xml:space="preserve"> ya que </w:t>
      </w:r>
      <w:bookmarkEnd w:id="6"/>
      <w:r w:rsidRPr="00F94DBD">
        <w:rPr>
          <w:rFonts w:ascii="Arial" w:eastAsia="Calibri" w:hAnsi="Arial" w:cs="Arial"/>
          <w:sz w:val="21"/>
          <w:szCs w:val="21"/>
        </w:rPr>
        <w:t>«[…] para ello deberá diligenciar un formato donde debe mostrar los contratos que tiene en ejecución, en este formato no se tiene en cuenta el valor de anticipo de cada proyecto que este ejecutando el proponente y es aquí donde considero que se presenta el error[…]», teniendo en cuenta que ese anticipo afecta la capacidad residual, por ende «[…]solicitamos a la entidad, que se realicen las correcciones del caso y enviar la recomendación a todas las entidades públicas en caso en que debe aplicarse la corrección pertinente».</w:t>
      </w:r>
      <w:r w:rsidR="00D651AA" w:rsidRPr="00F94DBD">
        <w:rPr>
          <w:rFonts w:ascii="Arial" w:eastAsia="Calibri" w:hAnsi="Arial" w:cs="Arial"/>
          <w:sz w:val="21"/>
          <w:szCs w:val="21"/>
        </w:rPr>
        <w:t xml:space="preserve"> </w:t>
      </w:r>
    </w:p>
    <w:p w14:paraId="3ABF3221" w14:textId="77777777" w:rsidR="00BD49C8" w:rsidRPr="00F94DBD" w:rsidRDefault="00BD49C8" w:rsidP="00BD49C8">
      <w:pPr>
        <w:jc w:val="both"/>
        <w:rPr>
          <w:rFonts w:ascii="Arial" w:eastAsia="Calibri" w:hAnsi="Arial" w:cs="Arial"/>
          <w:sz w:val="22"/>
        </w:rPr>
      </w:pPr>
    </w:p>
    <w:p w14:paraId="1878F2BB" w14:textId="5E79AC6E" w:rsidR="002B6FFA" w:rsidRPr="006A71B3" w:rsidRDefault="002B6FFA" w:rsidP="00F94DBD">
      <w:pPr>
        <w:widowControl w:val="0"/>
        <w:autoSpaceDE w:val="0"/>
        <w:autoSpaceDN w:val="0"/>
        <w:spacing w:after="120" w:line="276" w:lineRule="auto"/>
        <w:ind w:right="51"/>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 xml:space="preserve">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respecto de actuaciones contractuales específicas y, por ende, no es posible determinar si existen errores en la forma de calcular la capacidad residual por parte de </w:t>
      </w:r>
      <w:r w:rsidR="00FD77E4" w:rsidRPr="006A71B3">
        <w:rPr>
          <w:rFonts w:ascii="Arial" w:eastAsia="Arial" w:hAnsi="Arial" w:cs="Arial"/>
          <w:sz w:val="22"/>
          <w:szCs w:val="24"/>
          <w:lang w:val="es-CO" w:eastAsia="es-ES" w:bidi="es-ES"/>
        </w:rPr>
        <w:t>otras entidades estatales</w:t>
      </w:r>
      <w:r w:rsidRPr="006A71B3">
        <w:rPr>
          <w:rFonts w:ascii="Arial" w:eastAsia="Arial" w:hAnsi="Arial" w:cs="Arial"/>
          <w:sz w:val="22"/>
          <w:szCs w:val="24"/>
          <w:lang w:val="es-CO" w:eastAsia="es-ES" w:bidi="es-ES"/>
        </w:rPr>
        <w:t xml:space="preserve">, </w:t>
      </w:r>
      <w:r w:rsidR="00FD77E4" w:rsidRPr="006A71B3">
        <w:rPr>
          <w:rFonts w:ascii="Arial" w:eastAsia="Arial" w:hAnsi="Arial" w:cs="Arial"/>
          <w:sz w:val="22"/>
          <w:szCs w:val="24"/>
          <w:lang w:val="es-CO" w:eastAsia="es-ES" w:bidi="es-ES"/>
        </w:rPr>
        <w:t>ni para validar o corregir actuaciones de otras</w:t>
      </w:r>
      <w:r w:rsidRPr="006A71B3">
        <w:rPr>
          <w:rFonts w:ascii="Arial" w:eastAsia="Arial" w:hAnsi="Arial" w:cs="Arial"/>
          <w:sz w:val="22"/>
          <w:szCs w:val="24"/>
          <w:lang w:val="es-CO" w:eastAsia="es-ES" w:bidi="es-ES"/>
        </w:rPr>
        <w:t xml:space="preserve"> entidades estatales,</w:t>
      </w:r>
      <w:r w:rsidR="00FD77E4" w:rsidRPr="006A71B3">
        <w:rPr>
          <w:rFonts w:ascii="Arial" w:eastAsia="Arial" w:hAnsi="Arial" w:cs="Arial"/>
          <w:sz w:val="22"/>
          <w:szCs w:val="24"/>
          <w:lang w:val="es-CO" w:eastAsia="es-ES" w:bidi="es-ES"/>
        </w:rPr>
        <w:t xml:space="preserve"> diferentes de las establecidas</w:t>
      </w:r>
      <w:r w:rsidRPr="006A71B3">
        <w:rPr>
          <w:rFonts w:ascii="Arial" w:eastAsia="Arial" w:hAnsi="Arial" w:cs="Arial"/>
          <w:sz w:val="22"/>
          <w:szCs w:val="24"/>
          <w:lang w:val="es-CO" w:eastAsia="es-ES" w:bidi="es-ES"/>
        </w:rPr>
        <w:t xml:space="preserve"> en la </w:t>
      </w:r>
      <w:r w:rsidR="00FD77E4" w:rsidRPr="006A71B3">
        <w:rPr>
          <w:rFonts w:ascii="Arial" w:eastAsia="Times New Roman" w:hAnsi="Arial" w:cs="Arial"/>
          <w:i/>
          <w:iCs/>
          <w:sz w:val="22"/>
          <w:lang w:val="es-ES" w:eastAsia="es-ES_tradnl"/>
        </w:rPr>
        <w:t xml:space="preserve">Guía para Determinar y Verificar la Capacidad Residual del Proponente en los Procesos de Contratación de Obra Pública </w:t>
      </w:r>
      <w:r w:rsidRPr="006A71B3">
        <w:rPr>
          <w:rFonts w:ascii="Arial" w:eastAsia="Arial" w:hAnsi="Arial" w:cs="Arial"/>
          <w:sz w:val="22"/>
          <w:szCs w:val="24"/>
          <w:lang w:val="es-CO" w:eastAsia="es-ES" w:bidi="es-ES"/>
        </w:rPr>
        <w:t xml:space="preserve"> </w:t>
      </w:r>
      <w:r w:rsidRPr="006A71B3">
        <w:rPr>
          <w:rFonts w:ascii="Arial" w:eastAsia="Arial" w:hAnsi="Arial" w:cs="Arial"/>
          <w:sz w:val="22"/>
          <w:szCs w:val="24"/>
          <w:lang w:val="es-CO" w:eastAsia="es-ES" w:bidi="es-ES"/>
        </w:rPr>
        <w:lastRenderedPageBreak/>
        <w:t>expedida sobre el tema</w:t>
      </w:r>
      <w:r w:rsidR="006F1CF5" w:rsidRPr="006A71B3">
        <w:rPr>
          <w:rFonts w:ascii="Arial" w:eastAsia="Arial" w:hAnsi="Arial" w:cs="Arial"/>
          <w:sz w:val="22"/>
          <w:szCs w:val="24"/>
          <w:lang w:val="es-CO" w:eastAsia="es-ES" w:bidi="es-ES"/>
        </w:rPr>
        <w:t xml:space="preserve">, </w:t>
      </w:r>
      <w:r w:rsidR="00504C6F">
        <w:rPr>
          <w:rFonts w:ascii="Arial" w:eastAsia="Arial" w:hAnsi="Arial" w:cs="Arial"/>
          <w:sz w:val="22"/>
          <w:szCs w:val="24"/>
          <w:lang w:val="es-CO" w:eastAsia="es-ES" w:bidi="es-ES"/>
        </w:rPr>
        <w:t>pues</w:t>
      </w:r>
      <w:r w:rsidR="006F1CF5" w:rsidRPr="006A71B3">
        <w:rPr>
          <w:rFonts w:ascii="Arial" w:eastAsia="Arial" w:hAnsi="Arial" w:cs="Arial"/>
          <w:sz w:val="22"/>
          <w:szCs w:val="24"/>
          <w:lang w:val="es-CO" w:eastAsia="es-ES" w:bidi="es-ES"/>
        </w:rPr>
        <w:t xml:space="preserve"> ellas son autónomas y responsables de su actividad contractual</w:t>
      </w:r>
      <w:r w:rsidRPr="006A71B3">
        <w:rPr>
          <w:rFonts w:ascii="Arial" w:eastAsia="Arial" w:hAnsi="Arial" w:cs="Arial"/>
          <w:sz w:val="22"/>
          <w:szCs w:val="24"/>
          <w:lang w:val="es-CO" w:eastAsia="es-ES" w:bidi="es-ES"/>
        </w:rPr>
        <w:t>.</w:t>
      </w:r>
    </w:p>
    <w:p w14:paraId="6C6B0887" w14:textId="24EFB768" w:rsidR="00A53C24" w:rsidRPr="006A71B3" w:rsidRDefault="00FC7C7E" w:rsidP="00A53C24">
      <w:pPr>
        <w:widowControl w:val="0"/>
        <w:autoSpaceDE w:val="0"/>
        <w:autoSpaceDN w:val="0"/>
        <w:spacing w:after="120" w:line="276" w:lineRule="auto"/>
        <w:ind w:right="51" w:firstLine="708"/>
        <w:jc w:val="both"/>
        <w:rPr>
          <w:rFonts w:ascii="Arial" w:eastAsia="Arial" w:hAnsi="Arial" w:cs="Arial"/>
          <w:sz w:val="22"/>
          <w:szCs w:val="24"/>
          <w:lang w:val="es-CO" w:eastAsia="es-ES" w:bidi="es-ES"/>
        </w:rPr>
      </w:pPr>
      <w:r w:rsidRPr="006A71B3">
        <w:rPr>
          <w:rFonts w:ascii="Arial" w:eastAsia="Arial" w:hAnsi="Arial" w:cs="Arial"/>
          <w:sz w:val="22"/>
          <w:szCs w:val="24"/>
          <w:lang w:val="es-CO" w:eastAsia="es-ES" w:bidi="es-ES"/>
        </w:rPr>
        <w:t>Por otra parte, c</w:t>
      </w:r>
      <w:r w:rsidR="00A53C24" w:rsidRPr="006A71B3">
        <w:rPr>
          <w:rFonts w:ascii="Arial" w:eastAsia="Arial" w:hAnsi="Arial" w:cs="Arial"/>
          <w:sz w:val="22"/>
          <w:szCs w:val="24"/>
          <w:lang w:val="es-CO" w:eastAsia="es-ES" w:bidi="es-ES"/>
        </w:rPr>
        <w:t>onforme con lo expuesto,</w:t>
      </w:r>
      <w:r w:rsidR="00A53C24" w:rsidRPr="006A71B3">
        <w:rPr>
          <w:rFonts w:ascii="Arial" w:eastAsia="Arial" w:hAnsi="Arial" w:cs="Arial"/>
          <w:sz w:val="22"/>
          <w:lang w:val="es-CO" w:eastAsia="es-ES" w:bidi="es-ES"/>
        </w:rPr>
        <w:t xml:space="preserve"> el artículo 2.2.1.1.1.6.4 del Decreto 1082 de 2015 facultó a la Agencia Nacional de Contratación Pública – Colombia Compra Eficiente para establecer la metodología para el cálculo de la capacidad residual. Dicha competencia fue ejercida mediante la expedición de la </w:t>
      </w:r>
      <w:r w:rsidR="00A53C24" w:rsidRPr="00F94DBD">
        <w:rPr>
          <w:rFonts w:ascii="Arial" w:eastAsia="Arial" w:hAnsi="Arial" w:cs="Arial"/>
          <w:i/>
          <w:iCs/>
          <w:sz w:val="22"/>
          <w:lang w:val="es-ES" w:eastAsia="es-ES" w:bidi="es-ES"/>
        </w:rPr>
        <w:t>Guía para Determinar y Verificar la Capacidad Residual del Proponente en los Procesos de Contratación de Obra Pública</w:t>
      </w:r>
      <w:r w:rsidR="00A53C24" w:rsidRPr="006A71B3">
        <w:rPr>
          <w:rFonts w:ascii="Arial" w:eastAsia="Arial" w:hAnsi="Arial" w:cs="Arial"/>
          <w:sz w:val="22"/>
          <w:lang w:val="es-ES" w:eastAsia="es-ES" w:bidi="es-ES"/>
        </w:rPr>
        <w:t>, en la que se desarrolla una metodología que tiene en cuenta lo dispuesto en el parágrafo 1 del artículo 6 de la Ley 1150 de 2007 y el artículo 2.2.1.1.1.6.4 del Decreto 1082 de 2015, la cual resulta de obligatoria observancia tanto para las entidades como para los oferentes en los procesos de selección de obra pública.</w:t>
      </w:r>
    </w:p>
    <w:p w14:paraId="5C256E7E" w14:textId="23CE0170" w:rsidR="002E654F" w:rsidRPr="00F94DBD" w:rsidRDefault="002E654F" w:rsidP="002B6FFA">
      <w:pPr>
        <w:widowControl w:val="0"/>
        <w:autoSpaceDE w:val="0"/>
        <w:autoSpaceDN w:val="0"/>
        <w:spacing w:after="120" w:line="276" w:lineRule="auto"/>
        <w:ind w:right="51" w:firstLine="708"/>
        <w:jc w:val="both"/>
        <w:rPr>
          <w:rFonts w:ascii="Arial" w:eastAsia="Arial" w:hAnsi="Arial" w:cs="Arial"/>
          <w:sz w:val="22"/>
          <w:szCs w:val="24"/>
          <w:lang w:val="es-CO" w:eastAsia="es-ES" w:bidi="es-ES"/>
        </w:rPr>
      </w:pPr>
      <w:r w:rsidRPr="00F94DBD">
        <w:rPr>
          <w:rFonts w:ascii="Arial" w:eastAsia="Arial" w:hAnsi="Arial" w:cs="Arial"/>
          <w:sz w:val="22"/>
          <w:szCs w:val="24"/>
          <w:lang w:val="es-CO" w:eastAsia="es-ES" w:bidi="es-ES"/>
        </w:rPr>
        <w:t xml:space="preserve">Conforme a lo expuesto, la </w:t>
      </w:r>
      <w:r w:rsidR="000708AE" w:rsidRPr="00F94DBD">
        <w:rPr>
          <w:rFonts w:ascii="Arial" w:eastAsia="Arial" w:hAnsi="Arial" w:cs="Arial"/>
          <w:sz w:val="22"/>
          <w:szCs w:val="24"/>
          <w:lang w:val="es-CO" w:eastAsia="es-ES" w:bidi="es-ES"/>
        </w:rPr>
        <w:t xml:space="preserve">metodología establecida en la mencionada </w:t>
      </w:r>
      <w:r w:rsidR="002F13CF" w:rsidRPr="00F94DBD">
        <w:rPr>
          <w:rFonts w:ascii="Arial" w:eastAsia="Arial" w:hAnsi="Arial" w:cs="Arial"/>
          <w:sz w:val="22"/>
          <w:szCs w:val="24"/>
          <w:lang w:val="es-CO" w:eastAsia="es-ES" w:bidi="es-ES"/>
        </w:rPr>
        <w:t xml:space="preserve">guía para el </w:t>
      </w:r>
      <w:r w:rsidR="0024421A" w:rsidRPr="00F94DBD">
        <w:rPr>
          <w:rFonts w:ascii="Arial" w:eastAsia="Arial" w:hAnsi="Arial" w:cs="Arial"/>
          <w:sz w:val="22"/>
          <w:szCs w:val="24"/>
          <w:lang w:val="es-CO" w:eastAsia="es-ES" w:bidi="es-ES"/>
        </w:rPr>
        <w:t>cálculo</w:t>
      </w:r>
      <w:r w:rsidR="002F13CF" w:rsidRPr="00F94DBD">
        <w:rPr>
          <w:rFonts w:ascii="Arial" w:eastAsia="Arial" w:hAnsi="Arial" w:cs="Arial"/>
          <w:sz w:val="22"/>
          <w:szCs w:val="24"/>
          <w:lang w:val="es-CO" w:eastAsia="es-ES" w:bidi="es-ES"/>
        </w:rPr>
        <w:t xml:space="preserve"> de la Capacidad Residual del Proceso de Contratación (CPRC)</w:t>
      </w:r>
      <w:r w:rsidR="006D56F9" w:rsidRPr="00F94DBD">
        <w:rPr>
          <w:rFonts w:ascii="Arial" w:eastAsia="Arial" w:hAnsi="Arial" w:cs="Arial"/>
          <w:sz w:val="22"/>
          <w:szCs w:val="24"/>
          <w:lang w:val="es-CO" w:eastAsia="es-ES" w:bidi="es-ES"/>
        </w:rPr>
        <w:t xml:space="preserve">, requiere que se discrimine el valor correspondiente al anticipo contemplado para el contrato ofertado, </w:t>
      </w:r>
      <w:r w:rsidR="008B3FC7" w:rsidRPr="00F94DBD">
        <w:rPr>
          <w:rFonts w:ascii="Arial" w:eastAsia="Arial" w:hAnsi="Arial" w:cs="Arial"/>
          <w:sz w:val="22"/>
          <w:szCs w:val="24"/>
          <w:lang w:val="es-CO" w:eastAsia="es-ES" w:bidi="es-ES"/>
        </w:rPr>
        <w:t>a efectos de que sea sustraído del presupuesto oficial</w:t>
      </w:r>
      <w:r w:rsidR="00D85836" w:rsidRPr="00F94DBD">
        <w:rPr>
          <w:rFonts w:ascii="Arial" w:eastAsia="Arial" w:hAnsi="Arial" w:cs="Arial"/>
          <w:sz w:val="22"/>
          <w:szCs w:val="24"/>
          <w:lang w:val="es-CO" w:eastAsia="es-ES" w:bidi="es-ES"/>
        </w:rPr>
        <w:t>,</w:t>
      </w:r>
      <w:r w:rsidR="008B3FC7" w:rsidRPr="00F94DBD">
        <w:rPr>
          <w:rFonts w:ascii="Arial" w:eastAsia="Arial" w:hAnsi="Arial" w:cs="Arial"/>
          <w:sz w:val="22"/>
          <w:szCs w:val="24"/>
          <w:lang w:val="es-CO" w:eastAsia="es-ES" w:bidi="es-ES"/>
        </w:rPr>
        <w:t xml:space="preserve"> de acuerdo con las </w:t>
      </w:r>
      <w:r w:rsidR="0024421A" w:rsidRPr="00F94DBD">
        <w:rPr>
          <w:rFonts w:ascii="Arial" w:eastAsia="Arial" w:hAnsi="Arial" w:cs="Arial"/>
          <w:sz w:val="22"/>
          <w:szCs w:val="24"/>
          <w:lang w:val="es-CO" w:eastAsia="es-ES" w:bidi="es-ES"/>
        </w:rPr>
        <w:t>fórmulas</w:t>
      </w:r>
      <w:r w:rsidR="008B3FC7" w:rsidRPr="00F94DBD">
        <w:rPr>
          <w:rFonts w:ascii="Arial" w:eastAsia="Arial" w:hAnsi="Arial" w:cs="Arial"/>
          <w:sz w:val="22"/>
          <w:szCs w:val="24"/>
          <w:lang w:val="es-CO" w:eastAsia="es-ES" w:bidi="es-ES"/>
        </w:rPr>
        <w:t xml:space="preserve"> establecidas en la guía. </w:t>
      </w:r>
      <w:r w:rsidR="005B2434" w:rsidRPr="00F94DBD">
        <w:rPr>
          <w:rFonts w:ascii="Arial" w:eastAsia="Arial" w:hAnsi="Arial" w:cs="Arial"/>
          <w:sz w:val="22"/>
          <w:szCs w:val="24"/>
          <w:lang w:val="es-CO" w:eastAsia="es-ES" w:bidi="es-ES"/>
        </w:rPr>
        <w:t xml:space="preserve">Esto en la medida en que, siendo el anticipo un valor a girarse por la entidad contratante </w:t>
      </w:r>
      <w:r w:rsidR="00FA2AAD" w:rsidRPr="00F94DBD">
        <w:rPr>
          <w:rFonts w:ascii="Arial" w:eastAsia="Arial" w:hAnsi="Arial" w:cs="Arial"/>
          <w:sz w:val="22"/>
          <w:szCs w:val="24"/>
          <w:lang w:val="es-CO" w:eastAsia="es-ES" w:bidi="es-ES"/>
        </w:rPr>
        <w:t xml:space="preserve">al contratista para apalancar la ejecución del contrato, no </w:t>
      </w:r>
      <w:r w:rsidR="00794B0E" w:rsidRPr="00F94DBD">
        <w:rPr>
          <w:rFonts w:ascii="Arial" w:eastAsia="Arial" w:hAnsi="Arial" w:cs="Arial"/>
          <w:sz w:val="22"/>
          <w:szCs w:val="24"/>
          <w:lang w:val="es-CO" w:eastAsia="es-ES" w:bidi="es-ES"/>
        </w:rPr>
        <w:t>es</w:t>
      </w:r>
      <w:r w:rsidR="00FA2AAD" w:rsidRPr="00F94DBD">
        <w:rPr>
          <w:rFonts w:ascii="Arial" w:eastAsia="Arial" w:hAnsi="Arial" w:cs="Arial"/>
          <w:sz w:val="22"/>
          <w:szCs w:val="24"/>
          <w:lang w:val="es-CO" w:eastAsia="es-ES" w:bidi="es-ES"/>
        </w:rPr>
        <w:t xml:space="preserve"> </w:t>
      </w:r>
      <w:r w:rsidR="00794B0E" w:rsidRPr="00F94DBD">
        <w:rPr>
          <w:rFonts w:ascii="Arial" w:eastAsia="Arial" w:hAnsi="Arial" w:cs="Arial"/>
          <w:sz w:val="22"/>
          <w:szCs w:val="24"/>
          <w:lang w:val="es-CO" w:eastAsia="es-ES" w:bidi="es-ES"/>
        </w:rPr>
        <w:t>necesario</w:t>
      </w:r>
      <w:r w:rsidR="00FA2AAD" w:rsidRPr="00F94DBD">
        <w:rPr>
          <w:rFonts w:ascii="Arial" w:eastAsia="Arial" w:hAnsi="Arial" w:cs="Arial"/>
          <w:sz w:val="22"/>
          <w:szCs w:val="24"/>
          <w:lang w:val="es-CO" w:eastAsia="es-ES" w:bidi="es-ES"/>
        </w:rPr>
        <w:t xml:space="preserve"> que el contratista acredite capacidad residual con relación a dicho valor</w:t>
      </w:r>
      <w:r w:rsidR="003A50AF" w:rsidRPr="00F94DBD">
        <w:rPr>
          <w:rFonts w:ascii="Arial" w:eastAsia="Arial" w:hAnsi="Arial" w:cs="Arial"/>
          <w:sz w:val="22"/>
          <w:szCs w:val="24"/>
          <w:lang w:val="es-CO" w:eastAsia="es-ES" w:bidi="es-ES"/>
        </w:rPr>
        <w:t xml:space="preserve">, en la medida que al no tener que aportarlo con su patrimonio, no se alterará </w:t>
      </w:r>
      <w:r w:rsidR="00EB1DD8" w:rsidRPr="00F94DBD">
        <w:rPr>
          <w:rFonts w:ascii="Arial" w:eastAsia="Arial" w:hAnsi="Arial" w:cs="Arial"/>
          <w:sz w:val="22"/>
          <w:szCs w:val="24"/>
          <w:lang w:val="es-CO" w:eastAsia="es-ES" w:bidi="es-ES"/>
        </w:rPr>
        <w:t>la</w:t>
      </w:r>
      <w:r w:rsidR="003A50AF" w:rsidRPr="00F94DBD">
        <w:rPr>
          <w:rFonts w:ascii="Arial" w:eastAsia="Arial" w:hAnsi="Arial" w:cs="Arial"/>
          <w:sz w:val="22"/>
          <w:szCs w:val="24"/>
          <w:lang w:val="es-CO" w:eastAsia="es-ES" w:bidi="es-ES"/>
        </w:rPr>
        <w:t xml:space="preserve"> capacidad </w:t>
      </w:r>
      <w:r w:rsidR="00EB1DD8" w:rsidRPr="00F94DBD">
        <w:rPr>
          <w:rFonts w:ascii="Arial" w:eastAsia="Arial" w:hAnsi="Arial" w:cs="Arial"/>
          <w:sz w:val="22"/>
          <w:szCs w:val="24"/>
          <w:lang w:val="es-CO" w:eastAsia="es-ES" w:bidi="es-ES"/>
        </w:rPr>
        <w:t xml:space="preserve">del contratista </w:t>
      </w:r>
      <w:r w:rsidR="003A50AF" w:rsidRPr="00F94DBD">
        <w:rPr>
          <w:rFonts w:ascii="Arial" w:eastAsia="Arial" w:hAnsi="Arial" w:cs="Arial"/>
          <w:sz w:val="22"/>
          <w:szCs w:val="24"/>
          <w:lang w:val="es-CO" w:eastAsia="es-ES" w:bidi="es-ES"/>
        </w:rPr>
        <w:t xml:space="preserve">para atender los compromisos contractuales </w:t>
      </w:r>
      <w:r w:rsidR="00EB1DD8" w:rsidRPr="00F94DBD">
        <w:rPr>
          <w:rFonts w:ascii="Arial" w:eastAsia="Arial" w:hAnsi="Arial" w:cs="Arial"/>
          <w:sz w:val="22"/>
          <w:szCs w:val="24"/>
          <w:lang w:val="es-CO" w:eastAsia="es-ES" w:bidi="es-ES"/>
        </w:rPr>
        <w:t xml:space="preserve">por cuenta de la suma equivalente al anticipo. </w:t>
      </w:r>
      <w:r w:rsidR="00FA2AAD" w:rsidRPr="00F94DBD">
        <w:rPr>
          <w:rFonts w:ascii="Arial" w:eastAsia="Arial" w:hAnsi="Arial" w:cs="Arial"/>
          <w:sz w:val="22"/>
          <w:szCs w:val="24"/>
          <w:lang w:val="es-CO" w:eastAsia="es-ES" w:bidi="es-ES"/>
        </w:rPr>
        <w:t xml:space="preserve"> </w:t>
      </w:r>
    </w:p>
    <w:p w14:paraId="3DE62D94" w14:textId="429A81FC" w:rsidR="002E654F" w:rsidRPr="00F94DBD" w:rsidRDefault="00EB1DD8" w:rsidP="002B6FFA">
      <w:pPr>
        <w:widowControl w:val="0"/>
        <w:autoSpaceDE w:val="0"/>
        <w:autoSpaceDN w:val="0"/>
        <w:spacing w:after="120" w:line="276" w:lineRule="auto"/>
        <w:ind w:right="51" w:firstLine="708"/>
        <w:jc w:val="both"/>
        <w:rPr>
          <w:rFonts w:ascii="Arial" w:eastAsia="Arial" w:hAnsi="Arial" w:cs="Arial"/>
          <w:sz w:val="22"/>
          <w:szCs w:val="24"/>
          <w:lang w:val="es-CO" w:eastAsia="es-ES" w:bidi="es-ES"/>
        </w:rPr>
      </w:pPr>
      <w:r w:rsidRPr="00F94DBD">
        <w:rPr>
          <w:rFonts w:ascii="Arial" w:eastAsia="Arial" w:hAnsi="Arial" w:cs="Arial"/>
          <w:sz w:val="22"/>
          <w:szCs w:val="24"/>
          <w:lang w:val="es-CO" w:eastAsia="es-ES" w:bidi="es-ES"/>
        </w:rPr>
        <w:t xml:space="preserve">Por el contrario, la formula establecida en </w:t>
      </w:r>
      <w:r w:rsidR="00F849B4" w:rsidRPr="00F94DBD">
        <w:rPr>
          <w:rFonts w:ascii="Arial" w:eastAsia="Arial" w:hAnsi="Arial" w:cs="Arial"/>
          <w:sz w:val="22"/>
          <w:szCs w:val="24"/>
          <w:lang w:val="es-CO" w:eastAsia="es-ES" w:bidi="es-ES"/>
        </w:rPr>
        <w:t xml:space="preserve">la </w:t>
      </w:r>
      <w:r w:rsidRPr="00F94DBD">
        <w:rPr>
          <w:rFonts w:ascii="Arial" w:eastAsia="Arial" w:hAnsi="Arial" w:cs="Arial"/>
          <w:sz w:val="22"/>
          <w:szCs w:val="24"/>
          <w:lang w:val="es-CO" w:eastAsia="es-ES" w:bidi="es-ES"/>
        </w:rPr>
        <w:t xml:space="preserve">guía </w:t>
      </w:r>
      <w:r w:rsidR="0002758A" w:rsidRPr="00F94DBD">
        <w:rPr>
          <w:rFonts w:ascii="Arial" w:eastAsia="Arial" w:hAnsi="Arial" w:cs="Arial"/>
          <w:sz w:val="22"/>
          <w:szCs w:val="24"/>
          <w:lang w:val="es-CO" w:eastAsia="es-ES" w:bidi="es-ES"/>
        </w:rPr>
        <w:t>para c</w:t>
      </w:r>
      <w:r w:rsidR="00F849B4" w:rsidRPr="00F94DBD">
        <w:rPr>
          <w:rFonts w:ascii="Arial" w:eastAsia="Arial" w:hAnsi="Arial" w:cs="Arial"/>
          <w:sz w:val="22"/>
          <w:szCs w:val="24"/>
          <w:lang w:val="es-CO" w:eastAsia="es-ES" w:bidi="es-ES"/>
        </w:rPr>
        <w:t>á</w:t>
      </w:r>
      <w:r w:rsidR="0002758A" w:rsidRPr="00F94DBD">
        <w:rPr>
          <w:rFonts w:ascii="Arial" w:eastAsia="Arial" w:hAnsi="Arial" w:cs="Arial"/>
          <w:sz w:val="22"/>
          <w:szCs w:val="24"/>
          <w:lang w:val="es-CO" w:eastAsia="es-ES" w:bidi="es-ES"/>
        </w:rPr>
        <w:t>lculo de la Capacidad Residual del Proponente (CRP)</w:t>
      </w:r>
      <w:r w:rsidR="0067046F" w:rsidRPr="00F94DBD">
        <w:rPr>
          <w:rFonts w:ascii="Arial" w:eastAsia="Arial" w:hAnsi="Arial" w:cs="Arial"/>
          <w:sz w:val="22"/>
          <w:szCs w:val="24"/>
          <w:lang w:val="es-CO" w:eastAsia="es-ES" w:bidi="es-ES"/>
        </w:rPr>
        <w:t>, no exige que se discrimine</w:t>
      </w:r>
      <w:r w:rsidR="007961C7" w:rsidRPr="00F94DBD">
        <w:rPr>
          <w:rFonts w:ascii="Arial" w:eastAsia="Arial" w:hAnsi="Arial" w:cs="Arial"/>
          <w:sz w:val="22"/>
          <w:szCs w:val="24"/>
          <w:lang w:val="es-CO" w:eastAsia="es-ES" w:bidi="es-ES"/>
        </w:rPr>
        <w:t>n</w:t>
      </w:r>
      <w:r w:rsidR="0067046F" w:rsidRPr="00F94DBD">
        <w:rPr>
          <w:rFonts w:ascii="Arial" w:eastAsia="Arial" w:hAnsi="Arial" w:cs="Arial"/>
          <w:sz w:val="22"/>
          <w:szCs w:val="24"/>
          <w:lang w:val="es-CO" w:eastAsia="es-ES" w:bidi="es-ES"/>
        </w:rPr>
        <w:t xml:space="preserve"> l</w:t>
      </w:r>
      <w:r w:rsidR="007961C7" w:rsidRPr="00F94DBD">
        <w:rPr>
          <w:rFonts w:ascii="Arial" w:eastAsia="Arial" w:hAnsi="Arial" w:cs="Arial"/>
          <w:sz w:val="22"/>
          <w:szCs w:val="24"/>
          <w:lang w:val="es-CO" w:eastAsia="es-ES" w:bidi="es-ES"/>
        </w:rPr>
        <w:t>os</w:t>
      </w:r>
      <w:r w:rsidR="0067046F" w:rsidRPr="00F94DBD">
        <w:rPr>
          <w:rFonts w:ascii="Arial" w:eastAsia="Arial" w:hAnsi="Arial" w:cs="Arial"/>
          <w:sz w:val="22"/>
          <w:szCs w:val="24"/>
          <w:lang w:val="es-CO" w:eastAsia="es-ES" w:bidi="es-ES"/>
        </w:rPr>
        <w:t xml:space="preserve"> valor</w:t>
      </w:r>
      <w:r w:rsidR="007961C7" w:rsidRPr="00F94DBD">
        <w:rPr>
          <w:rFonts w:ascii="Arial" w:eastAsia="Arial" w:hAnsi="Arial" w:cs="Arial"/>
          <w:sz w:val="22"/>
          <w:szCs w:val="24"/>
          <w:lang w:val="es-CO" w:eastAsia="es-ES" w:bidi="es-ES"/>
        </w:rPr>
        <w:t>es</w:t>
      </w:r>
      <w:r w:rsidR="0067046F" w:rsidRPr="00F94DBD">
        <w:rPr>
          <w:rFonts w:ascii="Arial" w:eastAsia="Arial" w:hAnsi="Arial" w:cs="Arial"/>
          <w:sz w:val="22"/>
          <w:szCs w:val="24"/>
          <w:lang w:val="es-CO" w:eastAsia="es-ES" w:bidi="es-ES"/>
        </w:rPr>
        <w:t xml:space="preserve"> de los anticipos de los </w:t>
      </w:r>
      <w:r w:rsidR="00F849B4" w:rsidRPr="00F94DBD">
        <w:rPr>
          <w:rFonts w:ascii="Arial" w:eastAsia="Arial" w:hAnsi="Arial" w:cs="Arial"/>
          <w:sz w:val="22"/>
          <w:szCs w:val="24"/>
          <w:lang w:val="es-CO" w:eastAsia="es-ES" w:bidi="es-ES"/>
        </w:rPr>
        <w:t xml:space="preserve">contratos en ejecución, </w:t>
      </w:r>
      <w:r w:rsidR="003F1379" w:rsidRPr="00F94DBD">
        <w:rPr>
          <w:rFonts w:ascii="Arial" w:eastAsia="Arial" w:hAnsi="Arial" w:cs="Arial"/>
          <w:sz w:val="22"/>
          <w:szCs w:val="24"/>
          <w:lang w:val="es-CO" w:eastAsia="es-ES" w:bidi="es-ES"/>
        </w:rPr>
        <w:t>lo que no quiere decir que no los considere, ya que estos hacen parte del factor Saldo de Contratos en Ejecución (SCE)</w:t>
      </w:r>
      <w:r w:rsidR="00C729B8" w:rsidRPr="00F94DBD">
        <w:rPr>
          <w:rFonts w:ascii="Arial" w:eastAsia="Arial" w:hAnsi="Arial" w:cs="Arial"/>
          <w:sz w:val="22"/>
          <w:szCs w:val="24"/>
          <w:lang w:val="es-CO" w:eastAsia="es-ES" w:bidi="es-ES"/>
        </w:rPr>
        <w:t>. Esto comoquiera que, el valor del anticipo, al hacer parte del precio</w:t>
      </w:r>
      <w:r w:rsidR="00E217EA" w:rsidRPr="00F94DBD">
        <w:rPr>
          <w:rFonts w:ascii="Arial" w:eastAsia="Arial" w:hAnsi="Arial" w:cs="Arial"/>
          <w:sz w:val="22"/>
          <w:szCs w:val="24"/>
          <w:lang w:val="es-CO" w:eastAsia="es-ES" w:bidi="es-ES"/>
        </w:rPr>
        <w:t xml:space="preserve"> del respectivo contrato,</w:t>
      </w:r>
      <w:r w:rsidR="00C729B8" w:rsidRPr="00F94DBD">
        <w:rPr>
          <w:rFonts w:ascii="Arial" w:eastAsia="Arial" w:hAnsi="Arial" w:cs="Arial"/>
          <w:sz w:val="22"/>
          <w:szCs w:val="24"/>
          <w:lang w:val="es-CO" w:eastAsia="es-ES" w:bidi="es-ES"/>
        </w:rPr>
        <w:t xml:space="preserve"> en tanto no haya sido amortizado por el contratista</w:t>
      </w:r>
      <w:r w:rsidR="0023724C" w:rsidRPr="00F94DBD">
        <w:rPr>
          <w:rFonts w:ascii="Arial" w:eastAsia="Arial" w:hAnsi="Arial" w:cs="Arial"/>
          <w:sz w:val="22"/>
          <w:szCs w:val="24"/>
          <w:lang w:val="es-CO" w:eastAsia="es-ES" w:bidi="es-ES"/>
        </w:rPr>
        <w:t xml:space="preserve">, estará incluido dentro del </w:t>
      </w:r>
      <w:r w:rsidR="003A3302" w:rsidRPr="00F94DBD">
        <w:rPr>
          <w:rFonts w:ascii="Arial" w:eastAsia="Arial" w:hAnsi="Arial" w:cs="Arial"/>
          <w:sz w:val="22"/>
          <w:szCs w:val="24"/>
          <w:lang w:val="es-CO" w:eastAsia="es-ES" w:bidi="es-ES"/>
        </w:rPr>
        <w:t>factor SCE.</w:t>
      </w:r>
      <w:r w:rsidR="006443A9" w:rsidRPr="00F94DBD">
        <w:rPr>
          <w:rFonts w:ascii="Arial" w:eastAsia="Arial" w:hAnsi="Arial" w:cs="Arial"/>
          <w:sz w:val="22"/>
          <w:szCs w:val="24"/>
          <w:lang w:val="es-CO" w:eastAsia="es-ES" w:bidi="es-ES"/>
        </w:rPr>
        <w:t xml:space="preserve"> </w:t>
      </w:r>
    </w:p>
    <w:p w14:paraId="1AC3805D" w14:textId="213CDA85" w:rsidR="000E1CAD" w:rsidRPr="00F94DBD" w:rsidRDefault="000E1CAD" w:rsidP="00F94DBD">
      <w:pPr>
        <w:widowControl w:val="0"/>
        <w:autoSpaceDE w:val="0"/>
        <w:autoSpaceDN w:val="0"/>
        <w:spacing w:before="120" w:after="120" w:line="276" w:lineRule="auto"/>
        <w:ind w:right="51" w:firstLine="709"/>
        <w:jc w:val="both"/>
        <w:rPr>
          <w:rFonts w:ascii="Arial" w:eastAsia="Arial" w:hAnsi="Arial" w:cs="Arial"/>
          <w:sz w:val="22"/>
          <w:szCs w:val="24"/>
          <w:lang w:val="es-CO" w:eastAsia="es-ES" w:bidi="es-ES"/>
        </w:rPr>
      </w:pPr>
      <w:r w:rsidRPr="00F94DBD">
        <w:rPr>
          <w:rFonts w:ascii="Arial" w:eastAsia="Arial" w:hAnsi="Arial" w:cs="Arial"/>
          <w:sz w:val="22"/>
          <w:szCs w:val="24"/>
          <w:lang w:val="es-CO" w:eastAsia="es-ES" w:bidi="es-ES"/>
        </w:rPr>
        <w:t xml:space="preserve">En consecuencia, se aclara que el aplicativo desarrollado por Colombia Compra Eficiente no presenta un error en su desarrollo al no </w:t>
      </w:r>
      <w:r w:rsidR="003023E8" w:rsidRPr="00F94DBD">
        <w:rPr>
          <w:rFonts w:ascii="Arial" w:eastAsia="Arial" w:hAnsi="Arial" w:cs="Arial"/>
          <w:sz w:val="22"/>
          <w:szCs w:val="24"/>
          <w:lang w:val="es-CO" w:eastAsia="es-ES" w:bidi="es-ES"/>
        </w:rPr>
        <w:t xml:space="preserve">exigir que se </w:t>
      </w:r>
      <w:r w:rsidRPr="00F94DBD">
        <w:rPr>
          <w:rFonts w:ascii="Arial" w:eastAsia="Arial" w:hAnsi="Arial" w:cs="Arial"/>
          <w:sz w:val="22"/>
          <w:szCs w:val="24"/>
          <w:lang w:val="es-CO" w:eastAsia="es-ES" w:bidi="es-ES"/>
        </w:rPr>
        <w:t>discrimin</w:t>
      </w:r>
      <w:r w:rsidR="003023E8" w:rsidRPr="00F94DBD">
        <w:rPr>
          <w:rFonts w:ascii="Arial" w:eastAsia="Arial" w:hAnsi="Arial" w:cs="Arial"/>
          <w:sz w:val="22"/>
          <w:szCs w:val="24"/>
          <w:lang w:val="es-CO" w:eastAsia="es-ES" w:bidi="es-ES"/>
        </w:rPr>
        <w:t>en</w:t>
      </w:r>
      <w:r w:rsidRPr="00F94DBD">
        <w:rPr>
          <w:rFonts w:ascii="Arial" w:eastAsia="Arial" w:hAnsi="Arial" w:cs="Arial"/>
          <w:sz w:val="22"/>
          <w:szCs w:val="24"/>
          <w:lang w:val="es-CO" w:eastAsia="es-ES" w:bidi="es-ES"/>
        </w:rPr>
        <w:t xml:space="preserve"> los valores de</w:t>
      </w:r>
      <w:r w:rsidR="003023E8" w:rsidRPr="00F94DBD">
        <w:rPr>
          <w:rFonts w:ascii="Arial" w:eastAsia="Arial" w:hAnsi="Arial" w:cs="Arial"/>
          <w:sz w:val="22"/>
          <w:szCs w:val="24"/>
          <w:lang w:val="es-CO" w:eastAsia="es-ES" w:bidi="es-ES"/>
        </w:rPr>
        <w:t xml:space="preserve"> </w:t>
      </w:r>
      <w:r w:rsidRPr="00F94DBD">
        <w:rPr>
          <w:rFonts w:ascii="Arial" w:eastAsia="Arial" w:hAnsi="Arial" w:cs="Arial"/>
          <w:sz w:val="22"/>
          <w:szCs w:val="24"/>
          <w:lang w:val="es-CO" w:eastAsia="es-ES" w:bidi="es-ES"/>
        </w:rPr>
        <w:t>l</w:t>
      </w:r>
      <w:r w:rsidR="003023E8" w:rsidRPr="00F94DBD">
        <w:rPr>
          <w:rFonts w:ascii="Arial" w:eastAsia="Arial" w:hAnsi="Arial" w:cs="Arial"/>
          <w:sz w:val="22"/>
          <w:szCs w:val="24"/>
          <w:lang w:val="es-CO" w:eastAsia="es-ES" w:bidi="es-ES"/>
        </w:rPr>
        <w:t>os</w:t>
      </w:r>
      <w:r w:rsidRPr="00F94DBD">
        <w:rPr>
          <w:rFonts w:ascii="Arial" w:eastAsia="Arial" w:hAnsi="Arial" w:cs="Arial"/>
          <w:sz w:val="22"/>
          <w:szCs w:val="24"/>
          <w:lang w:val="es-CO" w:eastAsia="es-ES" w:bidi="es-ES"/>
        </w:rPr>
        <w:t xml:space="preserve"> anticipo</w:t>
      </w:r>
      <w:r w:rsidR="003023E8" w:rsidRPr="00F94DBD">
        <w:rPr>
          <w:rFonts w:ascii="Arial" w:eastAsia="Arial" w:hAnsi="Arial" w:cs="Arial"/>
          <w:sz w:val="22"/>
          <w:szCs w:val="24"/>
          <w:lang w:val="es-CO" w:eastAsia="es-ES" w:bidi="es-ES"/>
        </w:rPr>
        <w:t>s</w:t>
      </w:r>
      <w:r w:rsidRPr="00F94DBD">
        <w:rPr>
          <w:rFonts w:ascii="Arial" w:eastAsia="Arial" w:hAnsi="Arial" w:cs="Arial"/>
          <w:sz w:val="22"/>
          <w:szCs w:val="24"/>
          <w:lang w:val="es-CO" w:eastAsia="es-ES" w:bidi="es-ES"/>
        </w:rPr>
        <w:t xml:space="preserve"> respecto del factor de saldos de contratos en ejecución</w:t>
      </w:r>
      <w:r w:rsidR="003023E8" w:rsidRPr="00F94DBD">
        <w:rPr>
          <w:rFonts w:ascii="Arial" w:eastAsia="Arial" w:hAnsi="Arial" w:cs="Arial"/>
          <w:sz w:val="22"/>
          <w:szCs w:val="24"/>
          <w:lang w:val="es-CO" w:eastAsia="es-ES" w:bidi="es-ES"/>
        </w:rPr>
        <w:t>.</w:t>
      </w:r>
      <w:r w:rsidRPr="00F94DBD">
        <w:rPr>
          <w:rFonts w:ascii="Arial" w:eastAsia="Arial" w:hAnsi="Arial" w:cs="Arial"/>
          <w:sz w:val="22"/>
          <w:szCs w:val="24"/>
          <w:lang w:val="es-CO" w:eastAsia="es-ES" w:bidi="es-ES"/>
        </w:rPr>
        <w:t xml:space="preserve"> </w:t>
      </w:r>
      <w:r w:rsidR="00D35834" w:rsidRPr="00F94DBD">
        <w:rPr>
          <w:rFonts w:ascii="Arial" w:eastAsia="Arial" w:hAnsi="Arial" w:cs="Arial"/>
          <w:sz w:val="22"/>
          <w:szCs w:val="24"/>
          <w:lang w:val="es-CO" w:eastAsia="es-ES" w:bidi="es-ES"/>
        </w:rPr>
        <w:t>El aplicativo desarrollado por esta Agencia</w:t>
      </w:r>
      <w:r w:rsidRPr="00F94DBD">
        <w:rPr>
          <w:rFonts w:ascii="Arial" w:eastAsia="Arial" w:hAnsi="Arial" w:cs="Arial"/>
          <w:sz w:val="22"/>
          <w:szCs w:val="24"/>
          <w:lang w:val="es-CO" w:eastAsia="es-ES" w:bidi="es-ES"/>
        </w:rPr>
        <w:t xml:space="preserve"> solicita la información de</w:t>
      </w:r>
      <w:r w:rsidR="005063AF" w:rsidRPr="00F94DBD">
        <w:rPr>
          <w:rFonts w:ascii="Arial" w:eastAsia="Arial" w:hAnsi="Arial" w:cs="Arial"/>
          <w:sz w:val="22"/>
          <w:szCs w:val="24"/>
          <w:lang w:val="es-CO" w:eastAsia="es-ES" w:bidi="es-ES"/>
        </w:rPr>
        <w:t xml:space="preserve"> </w:t>
      </w:r>
      <w:r w:rsidRPr="00F94DBD">
        <w:rPr>
          <w:rFonts w:ascii="Arial" w:eastAsia="Arial" w:hAnsi="Arial" w:cs="Arial"/>
          <w:sz w:val="22"/>
          <w:szCs w:val="24"/>
          <w:lang w:val="es-CO" w:eastAsia="es-ES" w:bidi="es-ES"/>
        </w:rPr>
        <w:t>l</w:t>
      </w:r>
      <w:r w:rsidR="005063AF" w:rsidRPr="00F94DBD">
        <w:rPr>
          <w:rFonts w:ascii="Arial" w:eastAsia="Arial" w:hAnsi="Arial" w:cs="Arial"/>
          <w:sz w:val="22"/>
          <w:szCs w:val="24"/>
          <w:lang w:val="es-CO" w:eastAsia="es-ES" w:bidi="es-ES"/>
        </w:rPr>
        <w:t>os</w:t>
      </w:r>
      <w:r w:rsidRPr="00F94DBD">
        <w:rPr>
          <w:rFonts w:ascii="Arial" w:eastAsia="Arial" w:hAnsi="Arial" w:cs="Arial"/>
          <w:sz w:val="22"/>
          <w:szCs w:val="24"/>
          <w:lang w:val="es-CO" w:eastAsia="es-ES" w:bidi="es-ES"/>
        </w:rPr>
        <w:t xml:space="preserve"> valor</w:t>
      </w:r>
      <w:r w:rsidR="005063AF" w:rsidRPr="00F94DBD">
        <w:rPr>
          <w:rFonts w:ascii="Arial" w:eastAsia="Arial" w:hAnsi="Arial" w:cs="Arial"/>
          <w:sz w:val="22"/>
          <w:szCs w:val="24"/>
          <w:lang w:val="es-CO" w:eastAsia="es-ES" w:bidi="es-ES"/>
        </w:rPr>
        <w:t>es</w:t>
      </w:r>
      <w:r w:rsidRPr="00F94DBD">
        <w:rPr>
          <w:rFonts w:ascii="Arial" w:eastAsia="Arial" w:hAnsi="Arial" w:cs="Arial"/>
          <w:sz w:val="22"/>
          <w:szCs w:val="24"/>
          <w:lang w:val="es-CO" w:eastAsia="es-ES" w:bidi="es-ES"/>
        </w:rPr>
        <w:t xml:space="preserve"> en pesos colombianos</w:t>
      </w:r>
      <w:r w:rsidR="005063AF" w:rsidRPr="00F94DBD">
        <w:rPr>
          <w:rFonts w:ascii="Arial" w:eastAsia="Arial" w:hAnsi="Arial" w:cs="Arial"/>
          <w:sz w:val="22"/>
          <w:szCs w:val="24"/>
          <w:lang w:val="es-CO" w:eastAsia="es-ES" w:bidi="es-ES"/>
        </w:rPr>
        <w:t xml:space="preserve"> a los que equivalen tales saldos</w:t>
      </w:r>
      <w:r w:rsidR="00264BD4" w:rsidRPr="00F94DBD">
        <w:rPr>
          <w:rFonts w:ascii="Arial" w:eastAsia="Arial" w:hAnsi="Arial" w:cs="Arial"/>
          <w:sz w:val="22"/>
          <w:szCs w:val="24"/>
          <w:lang w:val="es-CO" w:eastAsia="es-ES" w:bidi="es-ES"/>
        </w:rPr>
        <w:t xml:space="preserve"> (SCE)</w:t>
      </w:r>
      <w:r w:rsidRPr="00F94DBD">
        <w:rPr>
          <w:rFonts w:ascii="Arial" w:eastAsia="Arial" w:hAnsi="Arial" w:cs="Arial"/>
          <w:sz w:val="22"/>
          <w:szCs w:val="24"/>
          <w:lang w:val="es-CO" w:eastAsia="es-ES" w:bidi="es-ES"/>
        </w:rPr>
        <w:t xml:space="preserve">, </w:t>
      </w:r>
      <w:r w:rsidR="006F3641" w:rsidRPr="00F94DBD">
        <w:rPr>
          <w:rFonts w:ascii="Arial" w:eastAsia="Arial" w:hAnsi="Arial" w:cs="Arial"/>
          <w:sz w:val="22"/>
          <w:szCs w:val="24"/>
          <w:lang w:val="es-CO" w:eastAsia="es-ES" w:bidi="es-ES"/>
        </w:rPr>
        <w:t xml:space="preserve">dentro de los cuales </w:t>
      </w:r>
      <w:r w:rsidR="00D162BD" w:rsidRPr="00F94DBD">
        <w:rPr>
          <w:rFonts w:ascii="Arial" w:eastAsia="Arial" w:hAnsi="Arial" w:cs="Arial"/>
          <w:sz w:val="22"/>
          <w:szCs w:val="24"/>
          <w:lang w:val="es-CO" w:eastAsia="es-ES" w:bidi="es-ES"/>
        </w:rPr>
        <w:t xml:space="preserve">estarán considerados los </w:t>
      </w:r>
      <w:r w:rsidRPr="00F94DBD">
        <w:rPr>
          <w:rFonts w:ascii="Arial" w:eastAsia="Arial" w:hAnsi="Arial" w:cs="Arial"/>
          <w:sz w:val="22"/>
          <w:szCs w:val="24"/>
          <w:lang w:val="es-CO" w:eastAsia="es-ES" w:bidi="es-ES"/>
        </w:rPr>
        <w:t>valor</w:t>
      </w:r>
      <w:r w:rsidR="00D162BD" w:rsidRPr="00F94DBD">
        <w:rPr>
          <w:rFonts w:ascii="Arial" w:eastAsia="Arial" w:hAnsi="Arial" w:cs="Arial"/>
          <w:sz w:val="22"/>
          <w:szCs w:val="24"/>
          <w:lang w:val="es-CO" w:eastAsia="es-ES" w:bidi="es-ES"/>
        </w:rPr>
        <w:t>es</w:t>
      </w:r>
      <w:r w:rsidRPr="00F94DBD">
        <w:rPr>
          <w:rFonts w:ascii="Arial" w:eastAsia="Arial" w:hAnsi="Arial" w:cs="Arial"/>
          <w:sz w:val="22"/>
          <w:szCs w:val="24"/>
          <w:lang w:val="es-CO" w:eastAsia="es-ES" w:bidi="es-ES"/>
        </w:rPr>
        <w:t xml:space="preserve"> de</w:t>
      </w:r>
      <w:r w:rsidR="00D162BD" w:rsidRPr="00F94DBD">
        <w:rPr>
          <w:rFonts w:ascii="Arial" w:eastAsia="Arial" w:hAnsi="Arial" w:cs="Arial"/>
          <w:sz w:val="22"/>
          <w:szCs w:val="24"/>
          <w:lang w:val="es-CO" w:eastAsia="es-ES" w:bidi="es-ES"/>
        </w:rPr>
        <w:t xml:space="preserve"> </w:t>
      </w:r>
      <w:r w:rsidRPr="00F94DBD">
        <w:rPr>
          <w:rFonts w:ascii="Arial" w:eastAsia="Arial" w:hAnsi="Arial" w:cs="Arial"/>
          <w:sz w:val="22"/>
          <w:szCs w:val="24"/>
          <w:lang w:val="es-CO" w:eastAsia="es-ES" w:bidi="es-ES"/>
        </w:rPr>
        <w:t>l</w:t>
      </w:r>
      <w:r w:rsidR="00D162BD" w:rsidRPr="00F94DBD">
        <w:rPr>
          <w:rFonts w:ascii="Arial" w:eastAsia="Arial" w:hAnsi="Arial" w:cs="Arial"/>
          <w:sz w:val="22"/>
          <w:szCs w:val="24"/>
          <w:lang w:val="es-CO" w:eastAsia="es-ES" w:bidi="es-ES"/>
        </w:rPr>
        <w:t>os</w:t>
      </w:r>
      <w:r w:rsidRPr="00F94DBD">
        <w:rPr>
          <w:rFonts w:ascii="Arial" w:eastAsia="Arial" w:hAnsi="Arial" w:cs="Arial"/>
          <w:sz w:val="22"/>
          <w:szCs w:val="24"/>
          <w:lang w:val="es-CO" w:eastAsia="es-ES" w:bidi="es-ES"/>
        </w:rPr>
        <w:t xml:space="preserve"> anticipo</w:t>
      </w:r>
      <w:r w:rsidR="00D162BD" w:rsidRPr="00F94DBD">
        <w:rPr>
          <w:rFonts w:ascii="Arial" w:eastAsia="Arial" w:hAnsi="Arial" w:cs="Arial"/>
          <w:sz w:val="22"/>
          <w:szCs w:val="24"/>
          <w:lang w:val="es-CO" w:eastAsia="es-ES" w:bidi="es-ES"/>
        </w:rPr>
        <w:t>s</w:t>
      </w:r>
      <w:r w:rsidRPr="00F94DBD">
        <w:rPr>
          <w:rFonts w:ascii="Arial" w:eastAsia="Arial" w:hAnsi="Arial" w:cs="Arial"/>
          <w:sz w:val="22"/>
          <w:szCs w:val="24"/>
          <w:lang w:val="es-CO" w:eastAsia="es-ES" w:bidi="es-ES"/>
        </w:rPr>
        <w:t xml:space="preserve"> </w:t>
      </w:r>
      <w:r w:rsidR="00C661CD" w:rsidRPr="00F94DBD">
        <w:rPr>
          <w:rFonts w:ascii="Arial" w:eastAsia="Arial" w:hAnsi="Arial" w:cs="Arial"/>
          <w:sz w:val="22"/>
          <w:szCs w:val="24"/>
          <w:lang w:val="es-CO" w:eastAsia="es-ES" w:bidi="es-ES"/>
        </w:rPr>
        <w:t xml:space="preserve">pendientes de amortizar en el marco de los contratos en ejecución. </w:t>
      </w:r>
    </w:p>
    <w:p w14:paraId="6133221F" w14:textId="4848C90F" w:rsidR="00A53C24" w:rsidRPr="006A71B3" w:rsidRDefault="00A705E2" w:rsidP="00F94DBD">
      <w:pPr>
        <w:widowControl w:val="0"/>
        <w:autoSpaceDE w:val="0"/>
        <w:autoSpaceDN w:val="0"/>
        <w:spacing w:line="276" w:lineRule="auto"/>
        <w:ind w:right="51" w:firstLine="708"/>
        <w:jc w:val="both"/>
        <w:rPr>
          <w:rFonts w:ascii="Arial" w:eastAsia="Arial" w:hAnsi="Arial" w:cs="Arial"/>
          <w:sz w:val="22"/>
          <w:szCs w:val="24"/>
          <w:lang w:val="es-CO" w:eastAsia="es-ES" w:bidi="es-ES"/>
        </w:rPr>
      </w:pPr>
      <w:r w:rsidRPr="00F94DBD">
        <w:rPr>
          <w:rFonts w:ascii="Arial" w:eastAsia="Arial" w:hAnsi="Arial" w:cs="Arial"/>
          <w:sz w:val="22"/>
          <w:szCs w:val="24"/>
          <w:lang w:val="es-CO" w:eastAsia="es-ES" w:bidi="es-ES"/>
        </w:rPr>
        <w:t xml:space="preserve">Sin perjuicio de lo anterior, no sobra agregar, </w:t>
      </w:r>
      <w:r w:rsidR="00A53C24" w:rsidRPr="006A71B3">
        <w:rPr>
          <w:rFonts w:ascii="Arial" w:eastAsia="Arial" w:hAnsi="Arial" w:cs="Arial"/>
          <w:sz w:val="22"/>
          <w:szCs w:val="24"/>
          <w:lang w:val="es-CO" w:eastAsia="es-ES" w:bidi="es-ES"/>
        </w:rPr>
        <w:t xml:space="preserve"> conforme a lo establecido en el numeral 7 de la Circular Externa Única de Colombia Compra Eficiente, </w:t>
      </w:r>
      <w:r w:rsidR="004A0ABD" w:rsidRPr="00F94DBD">
        <w:rPr>
          <w:rFonts w:ascii="Arial" w:eastAsia="Arial" w:hAnsi="Arial" w:cs="Arial"/>
          <w:sz w:val="22"/>
          <w:szCs w:val="24"/>
          <w:lang w:val="es-CO" w:eastAsia="es-ES" w:bidi="es-ES"/>
        </w:rPr>
        <w:t xml:space="preserve">que </w:t>
      </w:r>
      <w:r w:rsidR="00A53C24" w:rsidRPr="006A71B3">
        <w:rPr>
          <w:rFonts w:ascii="Arial" w:eastAsia="Arial" w:hAnsi="Arial" w:cs="Arial"/>
          <w:sz w:val="22"/>
          <w:szCs w:val="24"/>
          <w:lang w:val="es-CO" w:eastAsia="es-ES" w:bidi="es-ES"/>
        </w:rPr>
        <w:t xml:space="preserve">el mencionado aplicativo es un instrumento de apoyo que no exime a las entidades estatales y a los proponentes de realizar el cálculo de la capacidad residual </w:t>
      </w:r>
      <w:r w:rsidR="00A53C24" w:rsidRPr="006A71B3">
        <w:rPr>
          <w:rFonts w:ascii="Arial" w:eastAsia="Arial" w:hAnsi="Arial" w:cs="Arial"/>
          <w:sz w:val="22"/>
          <w:lang w:val="es-ES" w:eastAsia="es-ES" w:bidi="es-ES"/>
        </w:rPr>
        <w:t>en</w:t>
      </w:r>
      <w:r w:rsidR="00A53C24" w:rsidRPr="006A71B3">
        <w:rPr>
          <w:rFonts w:ascii="Arial" w:eastAsia="Arial" w:hAnsi="Arial" w:cs="Arial"/>
          <w:sz w:val="22"/>
          <w:szCs w:val="24"/>
          <w:lang w:val="es-CO" w:eastAsia="es-ES" w:bidi="es-ES"/>
        </w:rPr>
        <w:t xml:space="preserve"> los términos de la guía.</w:t>
      </w:r>
    </w:p>
    <w:p w14:paraId="3C4C8820" w14:textId="5F0F0FEF" w:rsidR="007B51A8" w:rsidRPr="00F94DBD" w:rsidRDefault="007B51A8" w:rsidP="00BD49C8">
      <w:pPr>
        <w:spacing w:line="276" w:lineRule="auto"/>
        <w:jc w:val="both"/>
        <w:rPr>
          <w:rFonts w:ascii="Arial" w:hAnsi="Arial" w:cs="Arial"/>
          <w:sz w:val="22"/>
        </w:rPr>
      </w:pPr>
    </w:p>
    <w:p w14:paraId="0894BC19" w14:textId="77777777" w:rsidR="00BD49C8" w:rsidRPr="00F94DBD" w:rsidRDefault="00BD49C8" w:rsidP="00BD49C8">
      <w:pPr>
        <w:spacing w:line="276" w:lineRule="auto"/>
        <w:jc w:val="both"/>
        <w:rPr>
          <w:rFonts w:ascii="Arial" w:hAnsi="Arial" w:cs="Arial"/>
          <w:sz w:val="22"/>
        </w:rPr>
      </w:pPr>
      <w:r w:rsidRPr="00F94DBD">
        <w:rPr>
          <w:rFonts w:ascii="Arial" w:hAnsi="Arial" w:cs="Arial"/>
          <w:sz w:val="22"/>
        </w:rPr>
        <w:lastRenderedPageBreak/>
        <w:t>Este concepto tiene el alcance previsto en el artículo 28 del Código de Procedimiento Administrativo y de lo Contencioso Administrativo.</w:t>
      </w:r>
    </w:p>
    <w:p w14:paraId="4D00AD79" w14:textId="77777777" w:rsidR="00BD49C8" w:rsidRPr="00F94DBD" w:rsidRDefault="00BD49C8" w:rsidP="00BD49C8">
      <w:pPr>
        <w:ind w:firstLine="709"/>
        <w:jc w:val="both"/>
        <w:rPr>
          <w:rFonts w:ascii="Arial" w:hAnsi="Arial" w:cs="Arial"/>
          <w:sz w:val="22"/>
        </w:rPr>
      </w:pPr>
    </w:p>
    <w:p w14:paraId="1D5A8F16" w14:textId="77777777" w:rsidR="00EF5EA4" w:rsidRPr="006A71B3" w:rsidRDefault="00EF5EA4" w:rsidP="00EF5EA4">
      <w:pPr>
        <w:textAlignment w:val="baseline"/>
        <w:rPr>
          <w:rFonts w:ascii="Segoe UI" w:eastAsia="Times New Roman" w:hAnsi="Segoe UI" w:cs="Segoe UI"/>
          <w:sz w:val="18"/>
          <w:szCs w:val="18"/>
          <w:lang w:val="es-CO" w:eastAsia="es-CO"/>
        </w:rPr>
      </w:pPr>
      <w:r w:rsidRPr="006A71B3">
        <w:rPr>
          <w:rFonts w:ascii="Arial" w:eastAsia="Times New Roman" w:hAnsi="Arial" w:cs="Arial"/>
          <w:sz w:val="22"/>
          <w:lang w:eastAsia="es-CO"/>
        </w:rPr>
        <w:t>Atentamente,</w:t>
      </w:r>
      <w:r w:rsidRPr="006A71B3">
        <w:rPr>
          <w:rFonts w:ascii="Arial" w:eastAsia="Times New Roman" w:hAnsi="Arial" w:cs="Arial"/>
          <w:sz w:val="22"/>
          <w:lang w:val="es-CO" w:eastAsia="es-CO"/>
        </w:rPr>
        <w:t> </w:t>
      </w:r>
    </w:p>
    <w:p w14:paraId="362FF803" w14:textId="77777777" w:rsidR="00EF5EA4" w:rsidRPr="006A71B3" w:rsidRDefault="00EF5EA4" w:rsidP="00EF5EA4">
      <w:pPr>
        <w:textAlignment w:val="baseline"/>
        <w:rPr>
          <w:rFonts w:ascii="Segoe UI" w:eastAsia="Times New Roman" w:hAnsi="Segoe UI" w:cs="Segoe UI"/>
          <w:sz w:val="18"/>
          <w:szCs w:val="18"/>
          <w:lang w:val="es-CO" w:eastAsia="es-CO"/>
        </w:rPr>
      </w:pPr>
      <w:r w:rsidRPr="006A71B3">
        <w:rPr>
          <w:rFonts w:ascii="Arial" w:eastAsia="Times New Roman" w:hAnsi="Arial" w:cs="Arial"/>
          <w:sz w:val="22"/>
          <w:lang w:val="es-CO" w:eastAsia="es-CO"/>
        </w:rPr>
        <w:t> </w:t>
      </w:r>
    </w:p>
    <w:p w14:paraId="694A6DB1" w14:textId="61EB39A4" w:rsidR="00EF5EA4" w:rsidRPr="006A71B3" w:rsidRDefault="006F28E4" w:rsidP="00EF5EA4">
      <w:pPr>
        <w:jc w:val="center"/>
        <w:textAlignment w:val="baseline"/>
        <w:rPr>
          <w:rFonts w:ascii="Segoe UI" w:eastAsia="Times New Roman" w:hAnsi="Segoe UI" w:cs="Segoe UI"/>
          <w:sz w:val="18"/>
          <w:szCs w:val="18"/>
          <w:lang w:val="es-CO" w:eastAsia="es-CO"/>
        </w:rPr>
      </w:pPr>
      <w:r>
        <w:rPr>
          <w:rFonts w:ascii="Arial" w:hAnsi="Arial" w:cs="Arial"/>
          <w:noProof/>
          <w:color w:val="000000" w:themeColor="text1"/>
          <w:sz w:val="18"/>
          <w:szCs w:val="20"/>
        </w:rPr>
        <w:drawing>
          <wp:inline distT="0" distB="0" distL="0" distR="0" wp14:anchorId="180F3A79" wp14:editId="1B42EB08">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r w:rsidR="00EF5EA4" w:rsidRPr="006A71B3">
        <w:rPr>
          <w:rFonts w:ascii="Arial" w:eastAsia="Times New Roman" w:hAnsi="Arial" w:cs="Arial"/>
          <w:sz w:val="18"/>
          <w:szCs w:val="18"/>
          <w:lang w:val="es-CO" w:eastAsia="es-CO"/>
        </w:rPr>
        <w:t> </w:t>
      </w:r>
    </w:p>
    <w:p w14:paraId="675F2100" w14:textId="77777777" w:rsidR="00EF5EA4" w:rsidRPr="006A71B3" w:rsidRDefault="00EF5EA4" w:rsidP="00EF5EA4">
      <w:pPr>
        <w:jc w:val="center"/>
        <w:textAlignment w:val="baseline"/>
        <w:rPr>
          <w:rFonts w:ascii="Segoe UI" w:eastAsia="Times New Roman" w:hAnsi="Segoe UI" w:cs="Segoe UI"/>
          <w:sz w:val="18"/>
          <w:szCs w:val="18"/>
          <w:lang w:val="es-CO" w:eastAsia="es-CO"/>
        </w:rPr>
      </w:pPr>
      <w:r w:rsidRPr="006A71B3">
        <w:rPr>
          <w:rFonts w:ascii="Arial" w:eastAsia="Times New Roman" w:hAnsi="Arial" w:cs="Arial"/>
          <w:sz w:val="18"/>
          <w:szCs w:val="18"/>
          <w:lang w:val="es-CO" w:eastAsia="es-CO"/>
        </w:rPr>
        <w:t> </w:t>
      </w:r>
    </w:p>
    <w:p w14:paraId="4781E6F3" w14:textId="77777777" w:rsidR="00EF5EA4" w:rsidRPr="006A71B3" w:rsidRDefault="00EF5EA4" w:rsidP="00EF5EA4">
      <w:pPr>
        <w:jc w:val="center"/>
        <w:textAlignment w:val="baseline"/>
        <w:rPr>
          <w:rFonts w:ascii="Segoe UI" w:eastAsia="Times New Roman" w:hAnsi="Segoe UI" w:cs="Segoe UI"/>
          <w:sz w:val="18"/>
          <w:szCs w:val="18"/>
          <w:lang w:val="es-CO" w:eastAsia="es-CO"/>
        </w:rPr>
      </w:pPr>
      <w:r w:rsidRPr="006A71B3">
        <w:rPr>
          <w:rFonts w:ascii="Arial" w:eastAsia="Times New Roman" w:hAnsi="Arial" w:cs="Arial"/>
          <w:sz w:val="18"/>
          <w:szCs w:val="18"/>
          <w:lang w:val="es-CO" w:eastAsia="es-CO"/>
        </w:rPr>
        <w:t> </w:t>
      </w:r>
    </w:p>
    <w:tbl>
      <w:tblPr>
        <w:tblW w:w="5220" w:type="dxa"/>
        <w:tblCellMar>
          <w:left w:w="0" w:type="dxa"/>
          <w:right w:w="0" w:type="dxa"/>
        </w:tblCellMar>
        <w:tblLook w:val="04A0" w:firstRow="1" w:lastRow="0" w:firstColumn="1" w:lastColumn="0" w:noHBand="0" w:noVBand="1"/>
      </w:tblPr>
      <w:tblGrid>
        <w:gridCol w:w="810"/>
        <w:gridCol w:w="4410"/>
      </w:tblGrid>
      <w:tr w:rsidR="006A71B3" w:rsidRPr="006A71B3" w14:paraId="3E3A15A2" w14:textId="77777777" w:rsidTr="00264BD4">
        <w:trPr>
          <w:trHeight w:val="315"/>
        </w:trPr>
        <w:tc>
          <w:tcPr>
            <w:tcW w:w="810" w:type="dxa"/>
            <w:vAlign w:val="center"/>
            <w:hideMark/>
          </w:tcPr>
          <w:p w14:paraId="5D85CBF9"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Elaboró:</w:t>
            </w:r>
            <w:r w:rsidRPr="006A71B3">
              <w:rPr>
                <w:rFonts w:ascii="Arial" w:eastAsia="Times New Roman" w:hAnsi="Arial" w:cs="Arial"/>
                <w:sz w:val="16"/>
                <w:szCs w:val="16"/>
                <w:lang w:val="es-CO" w:eastAsia="es-CO"/>
              </w:rPr>
              <w:t> </w:t>
            </w:r>
          </w:p>
        </w:tc>
        <w:tc>
          <w:tcPr>
            <w:tcW w:w="4410" w:type="dxa"/>
            <w:tcBorders>
              <w:bottom w:val="dotted" w:sz="4" w:space="0" w:color="auto"/>
            </w:tcBorders>
            <w:vAlign w:val="center"/>
            <w:hideMark/>
          </w:tcPr>
          <w:p w14:paraId="70EEE52C"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Ximena Ríos López</w:t>
            </w:r>
            <w:r w:rsidRPr="006A71B3">
              <w:rPr>
                <w:rFonts w:ascii="Arial" w:eastAsia="Times New Roman" w:hAnsi="Arial" w:cs="Arial"/>
                <w:sz w:val="16"/>
                <w:szCs w:val="16"/>
                <w:lang w:val="es-CO" w:eastAsia="es-CO"/>
              </w:rPr>
              <w:t> </w:t>
            </w:r>
          </w:p>
          <w:p w14:paraId="17DAC166"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Gestor T1-11</w:t>
            </w:r>
            <w:r w:rsidRPr="006A71B3">
              <w:rPr>
                <w:rFonts w:ascii="Arial" w:eastAsia="Times New Roman" w:hAnsi="Arial" w:cs="Arial"/>
                <w:sz w:val="16"/>
                <w:szCs w:val="16"/>
                <w:lang w:val="es-CO" w:eastAsia="es-CO"/>
              </w:rPr>
              <w:t xml:space="preserve"> de la Subdirección de Gestión Contractual </w:t>
            </w:r>
          </w:p>
        </w:tc>
      </w:tr>
      <w:tr w:rsidR="006A71B3" w:rsidRPr="006A71B3" w14:paraId="2A5D1F8B" w14:textId="77777777" w:rsidTr="00264BD4">
        <w:trPr>
          <w:trHeight w:val="315"/>
        </w:trPr>
        <w:tc>
          <w:tcPr>
            <w:tcW w:w="810" w:type="dxa"/>
            <w:vMerge w:val="restart"/>
            <w:vAlign w:val="center"/>
            <w:hideMark/>
          </w:tcPr>
          <w:p w14:paraId="555CCECD" w14:textId="64D05001" w:rsidR="00264BD4" w:rsidRPr="006A71B3" w:rsidRDefault="00264BD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Revisaron:</w:t>
            </w:r>
            <w:r w:rsidRPr="006A71B3">
              <w:rPr>
                <w:rFonts w:ascii="Arial" w:eastAsia="Times New Roman" w:hAnsi="Arial" w:cs="Arial"/>
                <w:sz w:val="16"/>
                <w:szCs w:val="16"/>
                <w:lang w:val="es-CO" w:eastAsia="es-CO"/>
              </w:rPr>
              <w:t> </w:t>
            </w:r>
          </w:p>
        </w:tc>
        <w:tc>
          <w:tcPr>
            <w:tcW w:w="4410" w:type="dxa"/>
            <w:tcBorders>
              <w:top w:val="dotted" w:sz="4" w:space="0" w:color="auto"/>
              <w:bottom w:val="dotted" w:sz="4" w:space="0" w:color="auto"/>
            </w:tcBorders>
            <w:vAlign w:val="center"/>
            <w:hideMark/>
          </w:tcPr>
          <w:p w14:paraId="64767E57" w14:textId="5B7956E2" w:rsidR="00264BD4" w:rsidRPr="006A71B3" w:rsidRDefault="00264BD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Alejandro Sarmiento Cantillo</w:t>
            </w:r>
          </w:p>
          <w:p w14:paraId="30D9B0B7" w14:textId="70DABE69" w:rsidR="00264BD4" w:rsidRPr="006A71B3" w:rsidRDefault="00264BD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 xml:space="preserve">Gestor T1-11 </w:t>
            </w:r>
            <w:r w:rsidRPr="006A71B3">
              <w:rPr>
                <w:rFonts w:ascii="Arial" w:eastAsia="Times New Roman" w:hAnsi="Arial" w:cs="Arial"/>
                <w:sz w:val="16"/>
                <w:szCs w:val="16"/>
                <w:lang w:val="es-CO" w:eastAsia="es-CO"/>
              </w:rPr>
              <w:t>de la Subdirección de Gestión Contractual</w:t>
            </w:r>
          </w:p>
        </w:tc>
      </w:tr>
      <w:tr w:rsidR="006A71B3" w:rsidRPr="006A71B3" w14:paraId="6533C907" w14:textId="77777777" w:rsidTr="00264BD4">
        <w:trPr>
          <w:trHeight w:val="315"/>
        </w:trPr>
        <w:tc>
          <w:tcPr>
            <w:tcW w:w="810" w:type="dxa"/>
            <w:vMerge/>
            <w:vAlign w:val="center"/>
          </w:tcPr>
          <w:p w14:paraId="2317445E" w14:textId="77777777" w:rsidR="00264BD4" w:rsidRPr="006A71B3" w:rsidRDefault="00264BD4">
            <w:pPr>
              <w:spacing w:line="254" w:lineRule="auto"/>
              <w:textAlignment w:val="baseline"/>
              <w:rPr>
                <w:rFonts w:ascii="Arial" w:eastAsia="Times New Roman" w:hAnsi="Arial" w:cs="Arial"/>
                <w:sz w:val="16"/>
                <w:szCs w:val="16"/>
                <w:lang w:eastAsia="es-CO"/>
              </w:rPr>
            </w:pPr>
          </w:p>
        </w:tc>
        <w:tc>
          <w:tcPr>
            <w:tcW w:w="4410" w:type="dxa"/>
            <w:tcBorders>
              <w:top w:val="dotted" w:sz="4" w:space="0" w:color="auto"/>
              <w:bottom w:val="dotted" w:sz="4" w:space="0" w:color="auto"/>
            </w:tcBorders>
            <w:vAlign w:val="center"/>
          </w:tcPr>
          <w:p w14:paraId="7B6AB10D" w14:textId="77777777" w:rsidR="00264BD4" w:rsidRPr="006A71B3" w:rsidRDefault="00264BD4">
            <w:pPr>
              <w:spacing w:line="254" w:lineRule="auto"/>
              <w:textAlignment w:val="baseline"/>
              <w:rPr>
                <w:rFonts w:ascii="Arial" w:eastAsia="Times New Roman" w:hAnsi="Arial" w:cs="Arial"/>
                <w:sz w:val="16"/>
                <w:szCs w:val="16"/>
                <w:lang w:eastAsia="es-CO"/>
              </w:rPr>
            </w:pPr>
            <w:r w:rsidRPr="006A71B3">
              <w:rPr>
                <w:rFonts w:ascii="Arial" w:eastAsia="Times New Roman" w:hAnsi="Arial" w:cs="Arial"/>
                <w:sz w:val="16"/>
                <w:szCs w:val="16"/>
                <w:lang w:eastAsia="es-CO"/>
              </w:rPr>
              <w:t>Karlo Fernández Cala</w:t>
            </w:r>
          </w:p>
          <w:p w14:paraId="4EA68471" w14:textId="20D4AB58" w:rsidR="00264BD4" w:rsidRPr="006A71B3" w:rsidRDefault="00264BD4">
            <w:pPr>
              <w:spacing w:line="254" w:lineRule="auto"/>
              <w:textAlignment w:val="baseline"/>
              <w:rPr>
                <w:rFonts w:ascii="Arial" w:eastAsia="Times New Roman" w:hAnsi="Arial" w:cs="Arial"/>
                <w:sz w:val="16"/>
                <w:szCs w:val="16"/>
                <w:lang w:eastAsia="es-CO"/>
              </w:rPr>
            </w:pPr>
            <w:r w:rsidRPr="006A71B3">
              <w:rPr>
                <w:rFonts w:ascii="Arial" w:eastAsia="Times New Roman" w:hAnsi="Arial" w:cs="Arial"/>
                <w:sz w:val="16"/>
                <w:szCs w:val="16"/>
                <w:lang w:eastAsia="es-CO"/>
              </w:rPr>
              <w:t xml:space="preserve">Gestor T1-15 </w:t>
            </w:r>
            <w:r w:rsidRPr="006A71B3">
              <w:rPr>
                <w:rFonts w:ascii="Arial" w:eastAsia="Times New Roman" w:hAnsi="Arial" w:cs="Arial"/>
                <w:sz w:val="16"/>
                <w:szCs w:val="16"/>
                <w:lang w:val="es-CO" w:eastAsia="es-CO"/>
              </w:rPr>
              <w:t>de la Dirección General</w:t>
            </w:r>
          </w:p>
        </w:tc>
      </w:tr>
      <w:tr w:rsidR="006A71B3" w:rsidRPr="006A71B3" w14:paraId="7B88E577" w14:textId="77777777" w:rsidTr="00264BD4">
        <w:trPr>
          <w:trHeight w:val="300"/>
        </w:trPr>
        <w:tc>
          <w:tcPr>
            <w:tcW w:w="810" w:type="dxa"/>
            <w:vAlign w:val="center"/>
            <w:hideMark/>
          </w:tcPr>
          <w:p w14:paraId="518FE0C6"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Aprobó:</w:t>
            </w:r>
            <w:r w:rsidRPr="006A71B3">
              <w:rPr>
                <w:rFonts w:ascii="Arial" w:eastAsia="Times New Roman" w:hAnsi="Arial" w:cs="Arial"/>
                <w:sz w:val="16"/>
                <w:szCs w:val="16"/>
                <w:lang w:val="es-CO" w:eastAsia="es-CO"/>
              </w:rPr>
              <w:t> </w:t>
            </w:r>
          </w:p>
        </w:tc>
        <w:tc>
          <w:tcPr>
            <w:tcW w:w="4410" w:type="dxa"/>
            <w:tcBorders>
              <w:top w:val="dotted" w:sz="4" w:space="0" w:color="auto"/>
              <w:bottom w:val="dotted" w:sz="4" w:space="0" w:color="auto"/>
            </w:tcBorders>
            <w:vAlign w:val="center"/>
            <w:hideMark/>
          </w:tcPr>
          <w:p w14:paraId="17AEFE7F"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Jorge Augusto Tirado Navarro</w:t>
            </w:r>
            <w:r w:rsidRPr="006A71B3">
              <w:rPr>
                <w:rFonts w:ascii="Arial" w:eastAsia="Times New Roman" w:hAnsi="Arial" w:cs="Arial"/>
                <w:sz w:val="16"/>
                <w:szCs w:val="16"/>
                <w:lang w:val="es-CO" w:eastAsia="es-CO"/>
              </w:rPr>
              <w:t> </w:t>
            </w:r>
          </w:p>
          <w:p w14:paraId="2F661D90"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Subdirector de Gestión Contractual ANCP – CCE</w:t>
            </w:r>
            <w:r w:rsidRPr="006A71B3">
              <w:rPr>
                <w:rFonts w:ascii="Arial" w:eastAsia="Times New Roman" w:hAnsi="Arial" w:cs="Arial"/>
                <w:sz w:val="16"/>
                <w:szCs w:val="16"/>
                <w:lang w:val="es-CO" w:eastAsia="es-CO"/>
              </w:rPr>
              <w:t> </w:t>
            </w:r>
          </w:p>
        </w:tc>
      </w:tr>
      <w:tr w:rsidR="006A71B3" w:rsidRPr="006A71B3" w14:paraId="3FC15740" w14:textId="77777777" w:rsidTr="00264BD4">
        <w:trPr>
          <w:trHeight w:val="300"/>
        </w:trPr>
        <w:tc>
          <w:tcPr>
            <w:tcW w:w="810" w:type="dxa"/>
            <w:vAlign w:val="center"/>
            <w:hideMark/>
          </w:tcPr>
          <w:p w14:paraId="4DD8035C"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Anexo:</w:t>
            </w:r>
            <w:r w:rsidRPr="006A71B3">
              <w:rPr>
                <w:rFonts w:ascii="Arial" w:eastAsia="Times New Roman" w:hAnsi="Arial" w:cs="Arial"/>
                <w:sz w:val="16"/>
                <w:szCs w:val="16"/>
                <w:lang w:val="es-CO" w:eastAsia="es-CO"/>
              </w:rPr>
              <w:t> </w:t>
            </w:r>
          </w:p>
        </w:tc>
        <w:tc>
          <w:tcPr>
            <w:tcW w:w="4410" w:type="dxa"/>
            <w:tcBorders>
              <w:top w:val="dotted" w:sz="4" w:space="0" w:color="auto"/>
            </w:tcBorders>
            <w:vAlign w:val="center"/>
            <w:hideMark/>
          </w:tcPr>
          <w:p w14:paraId="7305C772" w14:textId="77777777" w:rsidR="00EF5EA4" w:rsidRPr="006A71B3" w:rsidRDefault="00EF5EA4">
            <w:pPr>
              <w:spacing w:line="254" w:lineRule="auto"/>
              <w:textAlignment w:val="baseline"/>
              <w:rPr>
                <w:rFonts w:ascii="Times New Roman" w:eastAsia="Times New Roman" w:hAnsi="Times New Roman" w:cs="Times New Roman"/>
                <w:szCs w:val="24"/>
                <w:lang w:val="es-CO" w:eastAsia="es-CO"/>
              </w:rPr>
            </w:pPr>
            <w:r w:rsidRPr="006A71B3">
              <w:rPr>
                <w:rFonts w:ascii="Arial" w:eastAsia="Times New Roman" w:hAnsi="Arial" w:cs="Arial"/>
                <w:sz w:val="16"/>
                <w:szCs w:val="16"/>
                <w:lang w:eastAsia="es-CO"/>
              </w:rPr>
              <w:t>0</w:t>
            </w:r>
            <w:r w:rsidRPr="006A71B3">
              <w:rPr>
                <w:rFonts w:ascii="Arial" w:eastAsia="Times New Roman" w:hAnsi="Arial" w:cs="Arial"/>
                <w:sz w:val="16"/>
                <w:szCs w:val="16"/>
                <w:lang w:val="es-CO" w:eastAsia="es-CO"/>
              </w:rPr>
              <w:t> </w:t>
            </w:r>
          </w:p>
        </w:tc>
      </w:tr>
      <w:bookmarkEnd w:id="0"/>
    </w:tbl>
    <w:p w14:paraId="4D9B84EB" w14:textId="77777777" w:rsidR="00BD49C8" w:rsidRPr="00F94DBD" w:rsidRDefault="00BD49C8" w:rsidP="00322320">
      <w:pPr>
        <w:rPr>
          <w:rFonts w:ascii="Arial" w:hAnsi="Arial" w:cs="Arial"/>
        </w:rPr>
      </w:pPr>
    </w:p>
    <w:sectPr w:rsidR="00BD49C8" w:rsidRPr="00F94DBD" w:rsidSect="005A79FE">
      <w:headerReference w:type="default" r:id="rId16"/>
      <w:footerReference w:type="defaul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A437" w14:textId="77777777" w:rsidR="00E946CB" w:rsidRDefault="00E946CB">
      <w:r>
        <w:separator/>
      </w:r>
    </w:p>
  </w:endnote>
  <w:endnote w:type="continuationSeparator" w:id="0">
    <w:p w14:paraId="236BCD8C" w14:textId="77777777" w:rsidR="00E946CB" w:rsidRDefault="00E9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34B9" w14:textId="77777777" w:rsidR="00E946CB" w:rsidRDefault="00E946CB">
      <w:r>
        <w:separator/>
      </w:r>
    </w:p>
  </w:footnote>
  <w:footnote w:type="continuationSeparator" w:id="0">
    <w:p w14:paraId="633F089F" w14:textId="77777777" w:rsidR="00E946CB" w:rsidRDefault="00E946CB">
      <w:r>
        <w:continuationSeparator/>
      </w:r>
    </w:p>
  </w:footnote>
  <w:footnote w:id="1">
    <w:p w14:paraId="74C53F87" w14:textId="77777777" w:rsidR="00BD49C8" w:rsidRPr="008D0F08" w:rsidRDefault="00BD49C8" w:rsidP="008D0F08">
      <w:pPr>
        <w:pStyle w:val="Textonotapie"/>
        <w:ind w:firstLine="708"/>
        <w:jc w:val="both"/>
        <w:rPr>
          <w:rFonts w:ascii="Arial" w:eastAsia="Calibri" w:hAnsi="Arial" w:cs="Arial"/>
          <w:sz w:val="19"/>
          <w:szCs w:val="19"/>
        </w:rPr>
      </w:pPr>
      <w:r w:rsidRPr="008D0F08">
        <w:rPr>
          <w:rStyle w:val="Refdenotaalpie"/>
          <w:rFonts w:ascii="Arial" w:hAnsi="Arial" w:cs="Arial"/>
          <w:sz w:val="19"/>
          <w:szCs w:val="19"/>
        </w:rPr>
        <w:footnoteRef/>
      </w:r>
      <w:r w:rsidRPr="008D0F08">
        <w:rPr>
          <w:rFonts w:ascii="Arial" w:hAnsi="Arial" w:cs="Arial"/>
          <w:sz w:val="19"/>
          <w:szCs w:val="19"/>
        </w:rPr>
        <w:t xml:space="preserve"> </w:t>
      </w:r>
      <w:r w:rsidRPr="008D0F08">
        <w:rPr>
          <w:rFonts w:ascii="Arial" w:eastAsia="Calibri" w:hAnsi="Arial" w:cs="Arial"/>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E231E2B" w14:textId="77777777" w:rsidR="00BD49C8" w:rsidRPr="008D0F08" w:rsidRDefault="00BD49C8" w:rsidP="008D0F08">
      <w:pPr>
        <w:pStyle w:val="Textonotapie"/>
        <w:ind w:firstLine="708"/>
        <w:jc w:val="both"/>
        <w:rPr>
          <w:rFonts w:ascii="Arial" w:eastAsia="Calibri" w:hAnsi="Arial" w:cs="Arial"/>
          <w:sz w:val="19"/>
          <w:szCs w:val="19"/>
        </w:rPr>
      </w:pPr>
      <w:r w:rsidRPr="008D0F08">
        <w:rPr>
          <w:rFonts w:ascii="Arial" w:eastAsia="Calibri" w:hAnsi="Arial" w:cs="Arial"/>
          <w:sz w:val="19"/>
          <w:szCs w:val="19"/>
        </w:rPr>
        <w:t>[…]</w:t>
      </w:r>
    </w:p>
    <w:p w14:paraId="344948D7" w14:textId="77777777" w:rsidR="00BD49C8" w:rsidRPr="008D0F08" w:rsidRDefault="00BD49C8" w:rsidP="008D0F08">
      <w:pPr>
        <w:pStyle w:val="Textonotapie"/>
        <w:ind w:firstLine="708"/>
        <w:jc w:val="both"/>
        <w:rPr>
          <w:rFonts w:ascii="Arial" w:hAnsi="Arial" w:cs="Arial"/>
          <w:sz w:val="19"/>
          <w:szCs w:val="19"/>
          <w:lang w:val="es-CO"/>
        </w:rPr>
      </w:pPr>
      <w:r w:rsidRPr="008D0F08">
        <w:rPr>
          <w:rFonts w:ascii="Arial" w:eastAsia="Calibri" w:hAnsi="Arial" w:cs="Arial"/>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8D0F08">
        <w:rPr>
          <w:rFonts w:ascii="Arial" w:hAnsi="Arial" w:cs="Arial"/>
          <w:sz w:val="19"/>
          <w:szCs w:val="19"/>
          <w:lang w:val="es-CO"/>
        </w:rPr>
        <w:t xml:space="preserve"> </w:t>
      </w:r>
    </w:p>
    <w:p w14:paraId="7A7C2530" w14:textId="77777777" w:rsidR="00BD49C8" w:rsidRPr="008D0F08" w:rsidRDefault="00BD49C8" w:rsidP="008D0F08">
      <w:pPr>
        <w:pStyle w:val="Textonotapie"/>
        <w:jc w:val="both"/>
        <w:rPr>
          <w:rFonts w:ascii="Arial" w:hAnsi="Arial" w:cs="Arial"/>
          <w:sz w:val="19"/>
          <w:szCs w:val="19"/>
          <w:lang w:val="es-CO"/>
        </w:rPr>
      </w:pPr>
    </w:p>
  </w:footnote>
  <w:footnote w:id="2">
    <w:p w14:paraId="79C1B909" w14:textId="2B79E428" w:rsidR="0072364C" w:rsidRPr="008D0F08" w:rsidRDefault="00BD49C8" w:rsidP="008D0F08">
      <w:pPr>
        <w:pStyle w:val="Textonotapie"/>
        <w:ind w:firstLine="708"/>
        <w:jc w:val="both"/>
        <w:rPr>
          <w:rFonts w:ascii="Arial" w:hAnsi="Arial" w:cs="Arial"/>
          <w:sz w:val="19"/>
          <w:szCs w:val="19"/>
          <w:lang w:val="es-CO"/>
        </w:rPr>
      </w:pPr>
      <w:r w:rsidRPr="008D0F08">
        <w:rPr>
          <w:rFonts w:ascii="Arial" w:eastAsia="Calibri" w:hAnsi="Arial" w:cs="Arial"/>
          <w:sz w:val="19"/>
          <w:szCs w:val="19"/>
          <w:vertAlign w:val="superscript"/>
        </w:rPr>
        <w:footnoteRef/>
      </w:r>
      <w:r w:rsidRPr="008D0F08">
        <w:rPr>
          <w:rFonts w:ascii="Arial" w:eastAsia="Calibri" w:hAnsi="Arial" w:cs="Arial"/>
          <w:sz w:val="19"/>
          <w:szCs w:val="19"/>
          <w:vertAlign w:val="superscript"/>
        </w:rPr>
        <w:t xml:space="preserve"> </w:t>
      </w:r>
      <w:r w:rsidRPr="008D0F08">
        <w:rPr>
          <w:rFonts w:ascii="Arial" w:eastAsia="Calibri" w:hAnsi="Arial" w:cs="Arial"/>
          <w:sz w:val="19"/>
          <w:szCs w:val="19"/>
        </w:rPr>
        <w:t xml:space="preserve">CONSEJO DE ESTADO. Sección Tercera. Sentencia del 26 de junio de 2003. Rad. 13.354. C.P: María Elena Giraldo Gómez. </w:t>
      </w:r>
    </w:p>
  </w:footnote>
  <w:footnote w:id="3">
    <w:p w14:paraId="6D1427E7" w14:textId="037D5272" w:rsidR="00987B6A" w:rsidRPr="008D0F08" w:rsidRDefault="00987B6A" w:rsidP="008D0F08">
      <w:pPr>
        <w:pStyle w:val="Textonotapie"/>
        <w:ind w:firstLine="708"/>
        <w:jc w:val="both"/>
        <w:rPr>
          <w:rFonts w:ascii="Arial" w:eastAsia="Calibri" w:hAnsi="Arial" w:cs="Arial"/>
          <w:sz w:val="19"/>
          <w:szCs w:val="19"/>
        </w:rPr>
      </w:pPr>
      <w:r w:rsidRPr="008D0F08">
        <w:rPr>
          <w:rStyle w:val="Refdenotaalpie"/>
          <w:rFonts w:ascii="Arial" w:hAnsi="Arial" w:cs="Arial"/>
          <w:sz w:val="19"/>
          <w:szCs w:val="19"/>
        </w:rPr>
        <w:footnoteRef/>
      </w:r>
      <w:r w:rsidRPr="008D0F08">
        <w:rPr>
          <w:rFonts w:ascii="Arial" w:hAnsi="Arial" w:cs="Arial"/>
          <w:sz w:val="19"/>
          <w:szCs w:val="19"/>
        </w:rPr>
        <w:t xml:space="preserve"> </w:t>
      </w:r>
      <w:r w:rsidRPr="008D0F08">
        <w:rPr>
          <w:rFonts w:ascii="Arial" w:eastAsia="Calibri" w:hAnsi="Arial" w:cs="Arial"/>
          <w:sz w:val="19"/>
          <w:szCs w:val="19"/>
        </w:rPr>
        <w:t>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394BB677" w14:textId="77777777" w:rsidR="00987B6A" w:rsidRPr="008D0F08" w:rsidRDefault="00987B6A" w:rsidP="008D0F08">
      <w:pPr>
        <w:pStyle w:val="Textonotapie"/>
        <w:ind w:firstLine="708"/>
        <w:jc w:val="both"/>
        <w:rPr>
          <w:rFonts w:ascii="Arial" w:eastAsia="Calibri" w:hAnsi="Arial" w:cs="Arial"/>
          <w:sz w:val="19"/>
          <w:szCs w:val="19"/>
        </w:rPr>
      </w:pPr>
    </w:p>
    <w:p w14:paraId="28A3BC4A" w14:textId="3CD2533C" w:rsidR="00987B6A" w:rsidRPr="008D0F08" w:rsidRDefault="00987B6A" w:rsidP="008D0F08">
      <w:pPr>
        <w:pStyle w:val="Textonotapie"/>
        <w:ind w:firstLine="708"/>
        <w:jc w:val="both"/>
        <w:rPr>
          <w:rFonts w:ascii="Arial" w:eastAsia="Calibri" w:hAnsi="Arial" w:cs="Arial"/>
          <w:sz w:val="19"/>
          <w:szCs w:val="19"/>
        </w:rPr>
      </w:pPr>
      <w:r w:rsidRPr="008D0F08">
        <w:rPr>
          <w:rFonts w:ascii="Arial" w:eastAsia="Calibri" w:hAnsi="Arial" w:cs="Arial"/>
          <w:sz w:val="19"/>
          <w:szCs w:val="19"/>
        </w:rPr>
        <w:t>»1. Manuales para el uso de los Acuerdos Marco de Precios.</w:t>
      </w:r>
    </w:p>
    <w:p w14:paraId="2C7B1A2E" w14:textId="77777777" w:rsidR="00987B6A" w:rsidRPr="008D0F08" w:rsidRDefault="00987B6A" w:rsidP="008D0F08">
      <w:pPr>
        <w:pStyle w:val="Textonotapie"/>
        <w:ind w:firstLine="708"/>
        <w:jc w:val="both"/>
        <w:rPr>
          <w:rFonts w:ascii="Arial" w:eastAsia="Calibri" w:hAnsi="Arial" w:cs="Arial"/>
          <w:sz w:val="19"/>
          <w:szCs w:val="19"/>
        </w:rPr>
      </w:pPr>
    </w:p>
    <w:p w14:paraId="668DE544" w14:textId="2A3F0BC1" w:rsidR="00987B6A" w:rsidRPr="008D0F08" w:rsidRDefault="00987B6A" w:rsidP="008D0F08">
      <w:pPr>
        <w:pStyle w:val="Textonotapie"/>
        <w:ind w:firstLine="708"/>
        <w:jc w:val="both"/>
        <w:rPr>
          <w:rFonts w:ascii="Arial" w:eastAsia="Calibri" w:hAnsi="Arial" w:cs="Arial"/>
          <w:sz w:val="19"/>
          <w:szCs w:val="19"/>
        </w:rPr>
      </w:pPr>
      <w:r w:rsidRPr="008D0F08">
        <w:rPr>
          <w:rFonts w:ascii="Arial" w:eastAsia="Calibri"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14:paraId="041FB266" w14:textId="7E32979D" w:rsidR="00C243E3" w:rsidRPr="008D0F08" w:rsidRDefault="00987B6A" w:rsidP="008D0F08">
      <w:pPr>
        <w:pStyle w:val="Textonotapie"/>
        <w:ind w:firstLine="708"/>
        <w:jc w:val="both"/>
        <w:rPr>
          <w:rFonts w:ascii="Arial" w:hAnsi="Arial" w:cs="Arial"/>
          <w:sz w:val="19"/>
          <w:szCs w:val="19"/>
          <w:lang w:val="es-CO"/>
        </w:rPr>
      </w:pPr>
      <w:r w:rsidRPr="008D0F08">
        <w:rPr>
          <w:rFonts w:ascii="Arial" w:eastAsia="Calibri" w:hAnsi="Arial" w:cs="Arial"/>
          <w:sz w:val="19"/>
          <w:szCs w:val="19"/>
        </w:rPr>
        <w:t>»[…]».</w:t>
      </w:r>
    </w:p>
  </w:footnote>
  <w:footnote w:id="4">
    <w:p w14:paraId="523E8AD4" w14:textId="77777777" w:rsidR="00A53C24" w:rsidRPr="008D0F08" w:rsidRDefault="00A53C24" w:rsidP="008D0F08">
      <w:pPr>
        <w:ind w:right="49" w:firstLine="708"/>
        <w:jc w:val="both"/>
        <w:rPr>
          <w:rFonts w:ascii="Arial" w:hAnsi="Arial" w:cs="Arial"/>
          <w:sz w:val="19"/>
          <w:szCs w:val="19"/>
        </w:rPr>
      </w:pPr>
      <w:r w:rsidRPr="008D0F08">
        <w:rPr>
          <w:rStyle w:val="Refdenotaalpie"/>
          <w:rFonts w:ascii="Arial" w:hAnsi="Arial" w:cs="Arial"/>
          <w:sz w:val="19"/>
          <w:szCs w:val="19"/>
        </w:rPr>
        <w:footnoteRef/>
      </w:r>
      <w:r w:rsidRPr="008D0F08">
        <w:rPr>
          <w:rFonts w:ascii="Arial" w:hAnsi="Arial" w:cs="Arial"/>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8D0F08">
        <w:rPr>
          <w:rFonts w:ascii="Arial" w:hAnsi="Arial" w:cs="Arial"/>
          <w:spacing w:val="-3"/>
          <w:sz w:val="19"/>
          <w:szCs w:val="19"/>
        </w:rPr>
        <w:t xml:space="preserve"> </w:t>
      </w:r>
      <w:r w:rsidRPr="008D0F08">
        <w:rPr>
          <w:rFonts w:ascii="Arial" w:hAnsi="Arial" w:cs="Arial"/>
          <w:sz w:val="19"/>
          <w:szCs w:val="19"/>
        </w:rPr>
        <w:t>documentos:</w:t>
      </w:r>
    </w:p>
    <w:p w14:paraId="4460BFA8" w14:textId="77777777" w:rsidR="00A53C24" w:rsidRPr="008D0F08" w:rsidRDefault="00A53C24" w:rsidP="008D0F08">
      <w:pPr>
        <w:ind w:right="49" w:firstLine="708"/>
        <w:jc w:val="both"/>
        <w:rPr>
          <w:rFonts w:ascii="Arial" w:hAnsi="Arial" w:cs="Arial"/>
          <w:sz w:val="19"/>
          <w:szCs w:val="19"/>
        </w:rPr>
      </w:pPr>
      <w:r w:rsidRPr="008D0F08">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8D0F08">
        <w:rPr>
          <w:rFonts w:ascii="Arial" w:hAnsi="Arial" w:cs="Arial"/>
          <w:spacing w:val="-4"/>
          <w:sz w:val="19"/>
          <w:szCs w:val="19"/>
        </w:rPr>
        <w:t xml:space="preserve"> </w:t>
      </w:r>
      <w:r w:rsidRPr="008D0F08">
        <w:rPr>
          <w:rFonts w:ascii="Arial" w:hAnsi="Arial" w:cs="Arial"/>
          <w:sz w:val="19"/>
          <w:szCs w:val="19"/>
        </w:rPr>
        <w:t>concesionarios.</w:t>
      </w:r>
    </w:p>
    <w:p w14:paraId="4EA5654D" w14:textId="77777777" w:rsidR="00A53C24" w:rsidRPr="008D0F08" w:rsidRDefault="00A53C24" w:rsidP="008D0F08">
      <w:pPr>
        <w:ind w:right="49" w:firstLine="708"/>
        <w:jc w:val="both"/>
        <w:rPr>
          <w:rFonts w:ascii="Arial" w:hAnsi="Arial" w:cs="Arial"/>
          <w:sz w:val="19"/>
          <w:szCs w:val="19"/>
        </w:rPr>
      </w:pPr>
      <w:r w:rsidRPr="008D0F08">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A2C0993" w14:textId="77777777" w:rsidR="00A53C24" w:rsidRPr="008D0F08" w:rsidRDefault="00A53C24" w:rsidP="008D0F08">
      <w:pPr>
        <w:ind w:right="49" w:firstLine="708"/>
        <w:jc w:val="both"/>
        <w:rPr>
          <w:rFonts w:ascii="Arial" w:hAnsi="Arial" w:cs="Arial"/>
          <w:sz w:val="19"/>
          <w:szCs w:val="19"/>
        </w:rPr>
      </w:pPr>
      <w:r w:rsidRPr="008D0F08">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467814A2" w14:textId="77777777" w:rsidR="00A53C24" w:rsidRPr="008D0F08" w:rsidRDefault="00A53C24" w:rsidP="008D0F08">
      <w:pPr>
        <w:pStyle w:val="Textonotapie"/>
        <w:ind w:right="49"/>
        <w:jc w:val="both"/>
        <w:rPr>
          <w:rFonts w:ascii="Arial" w:hAnsi="Arial" w:cs="Arial"/>
          <w:sz w:val="19"/>
          <w:szCs w:val="19"/>
        </w:rPr>
      </w:pPr>
    </w:p>
  </w:footnote>
  <w:footnote w:id="5">
    <w:p w14:paraId="07BC6897" w14:textId="07BC653D" w:rsidR="00A53C24" w:rsidRDefault="00A53C24" w:rsidP="008D0F08">
      <w:pPr>
        <w:pStyle w:val="Textonotapie"/>
        <w:ind w:firstLine="708"/>
        <w:jc w:val="both"/>
        <w:rPr>
          <w:rFonts w:ascii="Arial" w:hAnsi="Arial" w:cs="Arial"/>
          <w:sz w:val="19"/>
          <w:szCs w:val="19"/>
        </w:rPr>
      </w:pPr>
      <w:r w:rsidRPr="008D0F08">
        <w:rPr>
          <w:rStyle w:val="Refdenotaalpie"/>
          <w:rFonts w:ascii="Arial" w:hAnsi="Arial" w:cs="Arial"/>
          <w:sz w:val="19"/>
          <w:szCs w:val="19"/>
        </w:rPr>
        <w:footnoteRef/>
      </w:r>
      <w:r w:rsidRPr="008D0F08">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w:t>
      </w:r>
      <w:proofErr w:type="spellStart"/>
      <w:r w:rsidRPr="008D0F08">
        <w:rPr>
          <w:rFonts w:ascii="Arial" w:hAnsi="Arial" w:cs="Arial"/>
          <w:sz w:val="19"/>
          <w:szCs w:val="19"/>
        </w:rPr>
        <w:t>Pág</w:t>
      </w:r>
      <w:proofErr w:type="spellEnd"/>
      <w:r w:rsidRPr="008D0F08">
        <w:rPr>
          <w:rFonts w:ascii="Arial" w:hAnsi="Arial" w:cs="Arial"/>
          <w:sz w:val="19"/>
          <w:szCs w:val="19"/>
        </w:rPr>
        <w:t xml:space="preserve"> 4. Disponible en: </w:t>
      </w:r>
      <w:hyperlink r:id="rId1" w:history="1">
        <w:r w:rsidRPr="008D0F08">
          <w:rPr>
            <w:rStyle w:val="Hipervnculo"/>
            <w:rFonts w:ascii="Arial" w:hAnsi="Arial" w:cs="Arial"/>
            <w:color w:val="auto"/>
            <w:sz w:val="19"/>
            <w:szCs w:val="19"/>
          </w:rPr>
          <w:t>https://colombiacompra.gov.co/sites/cce_public/files/cce_documents/cce_guia_capacidad_residual.pdf</w:t>
        </w:r>
      </w:hyperlink>
      <w:r w:rsidRPr="008D0F08">
        <w:rPr>
          <w:rFonts w:ascii="Arial" w:hAnsi="Arial" w:cs="Arial"/>
          <w:sz w:val="19"/>
          <w:szCs w:val="19"/>
        </w:rPr>
        <w:t xml:space="preserve"> </w:t>
      </w:r>
    </w:p>
    <w:p w14:paraId="618496CC" w14:textId="77777777" w:rsidR="008D0F08" w:rsidRPr="008D0F08" w:rsidRDefault="008D0F08" w:rsidP="008D0F08">
      <w:pPr>
        <w:pStyle w:val="Textonotapie"/>
        <w:ind w:firstLine="708"/>
        <w:jc w:val="both"/>
        <w:rPr>
          <w:rFonts w:ascii="Arial" w:hAnsi="Arial" w:cs="Arial"/>
          <w:sz w:val="19"/>
          <w:szCs w:val="19"/>
          <w:lang w:val="es-CO"/>
        </w:rPr>
      </w:pPr>
    </w:p>
  </w:footnote>
  <w:footnote w:id="6">
    <w:p w14:paraId="20E8C59A" w14:textId="77777777" w:rsidR="00A53C24" w:rsidRPr="008D0F08" w:rsidRDefault="00A53C24" w:rsidP="008D0F08">
      <w:pPr>
        <w:pStyle w:val="Textonotapie"/>
        <w:ind w:firstLine="708"/>
        <w:jc w:val="both"/>
        <w:rPr>
          <w:rFonts w:ascii="Arial" w:hAnsi="Arial" w:cs="Arial"/>
          <w:sz w:val="19"/>
          <w:szCs w:val="19"/>
          <w:lang w:val="es-CO"/>
        </w:rPr>
      </w:pPr>
      <w:r w:rsidRPr="008D0F08">
        <w:rPr>
          <w:rStyle w:val="Refdenotaalpie"/>
          <w:rFonts w:ascii="Arial" w:hAnsi="Arial" w:cs="Arial"/>
          <w:sz w:val="19"/>
          <w:szCs w:val="19"/>
        </w:rPr>
        <w:footnoteRef/>
      </w:r>
      <w:r w:rsidRPr="008D0F08">
        <w:rPr>
          <w:rFonts w:ascii="Arial" w:hAnsi="Arial" w:cs="Arial"/>
          <w:sz w:val="19"/>
          <w:szCs w:val="19"/>
        </w:rPr>
        <w:t xml:space="preserve"> </w:t>
      </w:r>
      <w:hyperlink r:id="rId2" w:history="1">
        <w:r w:rsidRPr="008D0F08">
          <w:rPr>
            <w:rStyle w:val="Hipervnculo"/>
            <w:rFonts w:ascii="Arial" w:hAnsi="Arial" w:cs="Arial"/>
            <w:color w:val="auto"/>
            <w:sz w:val="19"/>
            <w:szCs w:val="19"/>
          </w:rPr>
          <w:t>https://colombiacompra.gov.co/manuales-guias-y-pliegos-tipo/manuales-y-guias</w:t>
        </w:r>
      </w:hyperlink>
    </w:p>
  </w:footnote>
  <w:footnote w:id="7">
    <w:p w14:paraId="7172A791" w14:textId="77777777" w:rsidR="00EE62F8" w:rsidRPr="004E691C" w:rsidRDefault="00EE62F8" w:rsidP="00EE62F8">
      <w:pPr>
        <w:ind w:firstLine="709"/>
        <w:jc w:val="both"/>
        <w:rPr>
          <w:rFonts w:ascii="Arial" w:hAnsi="Arial" w:cs="Arial"/>
          <w:sz w:val="19"/>
          <w:szCs w:val="19"/>
          <w:lang w:val="es-CO"/>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Sala Plena de lo Contencioso Administrativo. Sentencia del 8 de agosto de 2001. </w:t>
      </w:r>
      <w:proofErr w:type="spellStart"/>
      <w:r w:rsidRPr="004E691C">
        <w:rPr>
          <w:rFonts w:ascii="Arial" w:hAnsi="Arial" w:cs="Arial"/>
          <w:sz w:val="19"/>
          <w:szCs w:val="19"/>
        </w:rPr>
        <w:t>Exp</w:t>
      </w:r>
      <w:proofErr w:type="spellEnd"/>
      <w:r w:rsidRPr="004E691C">
        <w:rPr>
          <w:rFonts w:ascii="Arial" w:hAnsi="Arial" w:cs="Arial"/>
          <w:sz w:val="19"/>
          <w:szCs w:val="19"/>
        </w:rPr>
        <w:t>. AC-10966 - AC-11274. Consejero Ponente: Reinaldo Chavarro Buriticá.</w:t>
      </w:r>
    </w:p>
  </w:footnote>
  <w:footnote w:id="8">
    <w:p w14:paraId="49C03915" w14:textId="77777777" w:rsidR="008E71FD" w:rsidRDefault="008E71FD" w:rsidP="008E71FD">
      <w:pPr>
        <w:pStyle w:val="Textonotapie"/>
      </w:pPr>
    </w:p>
    <w:p w14:paraId="6E5AC865" w14:textId="77777777" w:rsidR="008E71FD" w:rsidRPr="00914772" w:rsidRDefault="008E71FD" w:rsidP="008E71FD">
      <w:pPr>
        <w:pStyle w:val="Textonotapie"/>
        <w:ind w:firstLine="708"/>
        <w:jc w:val="both"/>
        <w:rPr>
          <w:rFonts w:ascii="Arial" w:hAnsi="Arial" w:cs="Arial"/>
          <w:sz w:val="19"/>
          <w:szCs w:val="19"/>
          <w:lang w:val="es-CO"/>
        </w:rPr>
      </w:pPr>
      <w:r w:rsidRPr="00914772">
        <w:rPr>
          <w:rStyle w:val="Refdenotaalpie"/>
          <w:rFonts w:ascii="Arial" w:hAnsi="Arial" w:cs="Arial"/>
          <w:sz w:val="19"/>
          <w:szCs w:val="19"/>
        </w:rPr>
        <w:footnoteRef/>
      </w:r>
      <w:r w:rsidRPr="00914772">
        <w:rPr>
          <w:rFonts w:ascii="Arial" w:hAnsi="Arial" w:cs="Arial"/>
          <w:sz w:val="19"/>
          <w:szCs w:val="19"/>
        </w:rPr>
        <w:t xml:space="preserve"> La distinción o diferenciación realizada sobre los conceptos de pago anticipado y anticipo, fue reiterada por la Subsección C de la Sección Tercera del Consejo de Estado, así: </w:t>
      </w:r>
      <w:r w:rsidRPr="00914772">
        <w:rPr>
          <w:rFonts w:ascii="Arial" w:eastAsia="Arial" w:hAnsi="Arial" w:cs="Arial"/>
          <w:sz w:val="19"/>
          <w:szCs w:val="19"/>
          <w:lang w:val="es-CO" w:eastAsia="es-ES" w:bidi="es-ES"/>
        </w:rPr>
        <w:t>«</w:t>
      </w:r>
      <w:r w:rsidRPr="00914772">
        <w:rPr>
          <w:rFonts w:ascii="Arial" w:hAnsi="Arial" w:cs="Arial"/>
          <w:sz w:val="19"/>
          <w:szCs w:val="19"/>
        </w:rPr>
        <w:t>En este punto, vuelve a ser útil la distinción que esta Corporación ha desarrollado en torno a los conceptos de “anticipo” y “pago anticipado”,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r w:rsidRPr="00914772">
        <w:rPr>
          <w:rFonts w:ascii="Arial" w:eastAsia="Calibri" w:hAnsi="Arial" w:cs="Arial"/>
          <w:color w:val="000000" w:themeColor="text1"/>
          <w:sz w:val="19"/>
          <w:szCs w:val="19"/>
        </w:rPr>
        <w:t>»</w:t>
      </w:r>
      <w:r w:rsidRPr="00914772">
        <w:rPr>
          <w:rFonts w:ascii="Arial" w:hAnsi="Arial" w:cs="Arial"/>
          <w:sz w:val="19"/>
          <w:szCs w:val="19"/>
        </w:rPr>
        <w:t xml:space="preserve">. </w:t>
      </w:r>
    </w:p>
  </w:footnote>
  <w:footnote w:id="9">
    <w:p w14:paraId="5C6FFC94" w14:textId="7E541058" w:rsidR="008E71FD" w:rsidRPr="00F94DBD" w:rsidRDefault="008E71FD" w:rsidP="00F94DBD">
      <w:pPr>
        <w:pStyle w:val="Textonotapie"/>
        <w:ind w:firstLine="708"/>
        <w:jc w:val="both"/>
        <w:rPr>
          <w:rFonts w:ascii="Arial" w:hAnsi="Arial" w:cs="Arial"/>
          <w:sz w:val="19"/>
          <w:szCs w:val="19"/>
          <w:lang w:val="es-CO"/>
        </w:rPr>
      </w:pPr>
      <w:r w:rsidRPr="00F94DBD">
        <w:rPr>
          <w:rStyle w:val="Refdenotaalpie"/>
          <w:rFonts w:ascii="Arial" w:hAnsi="Arial" w:cs="Arial"/>
          <w:sz w:val="19"/>
          <w:szCs w:val="19"/>
        </w:rPr>
        <w:footnoteRef/>
      </w:r>
      <w:r w:rsidRPr="00F94DBD">
        <w:rPr>
          <w:rFonts w:ascii="Arial" w:hAnsi="Arial" w:cs="Arial"/>
          <w:sz w:val="19"/>
          <w:szCs w:val="19"/>
        </w:rPr>
        <w:t xml:space="preserve"> </w:t>
      </w:r>
      <w:r w:rsidRPr="00F94DBD">
        <w:rPr>
          <w:rFonts w:ascii="Arial" w:hAnsi="Arial" w:cs="Arial"/>
          <w:sz w:val="19"/>
          <w:szCs w:val="19"/>
          <w:lang w:val="es-CO"/>
        </w:rPr>
        <w:t>Agencia Nacional de Contratación Pública – Colombia Compra Eficiente. Concepto C-209 del 16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8"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114B"/>
    <w:rsid w:val="00020C75"/>
    <w:rsid w:val="0002758A"/>
    <w:rsid w:val="00044B79"/>
    <w:rsid w:val="00052D2C"/>
    <w:rsid w:val="000625D8"/>
    <w:rsid w:val="000708AE"/>
    <w:rsid w:val="00086449"/>
    <w:rsid w:val="000942EB"/>
    <w:rsid w:val="000B103F"/>
    <w:rsid w:val="000D662E"/>
    <w:rsid w:val="000E1CAD"/>
    <w:rsid w:val="000F14E8"/>
    <w:rsid w:val="00103915"/>
    <w:rsid w:val="00110906"/>
    <w:rsid w:val="00122B23"/>
    <w:rsid w:val="00137FFA"/>
    <w:rsid w:val="0014523E"/>
    <w:rsid w:val="00166D96"/>
    <w:rsid w:val="001808F6"/>
    <w:rsid w:val="0018632A"/>
    <w:rsid w:val="00195E89"/>
    <w:rsid w:val="001A12A3"/>
    <w:rsid w:val="001A6489"/>
    <w:rsid w:val="001D2184"/>
    <w:rsid w:val="001D4C28"/>
    <w:rsid w:val="001E24A8"/>
    <w:rsid w:val="00234B84"/>
    <w:rsid w:val="0023724C"/>
    <w:rsid w:val="0024421A"/>
    <w:rsid w:val="0024639B"/>
    <w:rsid w:val="0024643E"/>
    <w:rsid w:val="002550EB"/>
    <w:rsid w:val="00264BD4"/>
    <w:rsid w:val="002757CE"/>
    <w:rsid w:val="00282A6C"/>
    <w:rsid w:val="00284138"/>
    <w:rsid w:val="00284810"/>
    <w:rsid w:val="002B0DB7"/>
    <w:rsid w:val="002B3CC7"/>
    <w:rsid w:val="002B6FFA"/>
    <w:rsid w:val="002E654F"/>
    <w:rsid w:val="002F13CF"/>
    <w:rsid w:val="002F1CCA"/>
    <w:rsid w:val="003023E8"/>
    <w:rsid w:val="003033BA"/>
    <w:rsid w:val="00310624"/>
    <w:rsid w:val="00322320"/>
    <w:rsid w:val="00323B2D"/>
    <w:rsid w:val="003245C9"/>
    <w:rsid w:val="0034680A"/>
    <w:rsid w:val="00366A48"/>
    <w:rsid w:val="00386456"/>
    <w:rsid w:val="003921EA"/>
    <w:rsid w:val="003A152A"/>
    <w:rsid w:val="003A3302"/>
    <w:rsid w:val="003A50AF"/>
    <w:rsid w:val="003A581E"/>
    <w:rsid w:val="003C7377"/>
    <w:rsid w:val="003D05E4"/>
    <w:rsid w:val="003D438E"/>
    <w:rsid w:val="003E0299"/>
    <w:rsid w:val="003E0F41"/>
    <w:rsid w:val="003F1379"/>
    <w:rsid w:val="003F5FBB"/>
    <w:rsid w:val="00400EFA"/>
    <w:rsid w:val="004031DE"/>
    <w:rsid w:val="00423790"/>
    <w:rsid w:val="0043064C"/>
    <w:rsid w:val="0044105A"/>
    <w:rsid w:val="004422D6"/>
    <w:rsid w:val="0045486A"/>
    <w:rsid w:val="00463916"/>
    <w:rsid w:val="00474AFD"/>
    <w:rsid w:val="00484A7C"/>
    <w:rsid w:val="004A0ABD"/>
    <w:rsid w:val="004A34D2"/>
    <w:rsid w:val="004A655C"/>
    <w:rsid w:val="004B6DD3"/>
    <w:rsid w:val="004E1707"/>
    <w:rsid w:val="005023D6"/>
    <w:rsid w:val="005028C2"/>
    <w:rsid w:val="00504C6F"/>
    <w:rsid w:val="005063AF"/>
    <w:rsid w:val="0051074C"/>
    <w:rsid w:val="00512472"/>
    <w:rsid w:val="00513AF2"/>
    <w:rsid w:val="0054413A"/>
    <w:rsid w:val="005564CA"/>
    <w:rsid w:val="0058497E"/>
    <w:rsid w:val="00584A5C"/>
    <w:rsid w:val="005A79FE"/>
    <w:rsid w:val="005B2434"/>
    <w:rsid w:val="005B36ED"/>
    <w:rsid w:val="005B690A"/>
    <w:rsid w:val="005C52F4"/>
    <w:rsid w:val="00611F94"/>
    <w:rsid w:val="006132CE"/>
    <w:rsid w:val="006443A9"/>
    <w:rsid w:val="00655371"/>
    <w:rsid w:val="0067046F"/>
    <w:rsid w:val="00697665"/>
    <w:rsid w:val="006A0536"/>
    <w:rsid w:val="006A71B3"/>
    <w:rsid w:val="006A7FD0"/>
    <w:rsid w:val="006B28EE"/>
    <w:rsid w:val="006D56F9"/>
    <w:rsid w:val="006D7687"/>
    <w:rsid w:val="006E0572"/>
    <w:rsid w:val="006E772F"/>
    <w:rsid w:val="006F1CF5"/>
    <w:rsid w:val="006F28E4"/>
    <w:rsid w:val="006F2D53"/>
    <w:rsid w:val="006F2E31"/>
    <w:rsid w:val="006F3641"/>
    <w:rsid w:val="006F5D02"/>
    <w:rsid w:val="00705631"/>
    <w:rsid w:val="00706009"/>
    <w:rsid w:val="0071574B"/>
    <w:rsid w:val="0072364C"/>
    <w:rsid w:val="00734F3B"/>
    <w:rsid w:val="0073617B"/>
    <w:rsid w:val="007410D2"/>
    <w:rsid w:val="00742DD2"/>
    <w:rsid w:val="0075647A"/>
    <w:rsid w:val="007634AD"/>
    <w:rsid w:val="00765A29"/>
    <w:rsid w:val="0078122E"/>
    <w:rsid w:val="007860B7"/>
    <w:rsid w:val="007905EF"/>
    <w:rsid w:val="00794B0E"/>
    <w:rsid w:val="007961C7"/>
    <w:rsid w:val="007977F1"/>
    <w:rsid w:val="007A5766"/>
    <w:rsid w:val="007B0854"/>
    <w:rsid w:val="007B51A8"/>
    <w:rsid w:val="007B7724"/>
    <w:rsid w:val="007D26C7"/>
    <w:rsid w:val="007E5337"/>
    <w:rsid w:val="007F72CB"/>
    <w:rsid w:val="0083119B"/>
    <w:rsid w:val="00836EAB"/>
    <w:rsid w:val="00842AE0"/>
    <w:rsid w:val="0085092D"/>
    <w:rsid w:val="00853B97"/>
    <w:rsid w:val="00855E2A"/>
    <w:rsid w:val="00895FAF"/>
    <w:rsid w:val="008B3FC7"/>
    <w:rsid w:val="008C4775"/>
    <w:rsid w:val="008D0F08"/>
    <w:rsid w:val="008D14B2"/>
    <w:rsid w:val="008E0056"/>
    <w:rsid w:val="008E04D9"/>
    <w:rsid w:val="008E1C15"/>
    <w:rsid w:val="008E2B59"/>
    <w:rsid w:val="008E71FD"/>
    <w:rsid w:val="008F5021"/>
    <w:rsid w:val="00901015"/>
    <w:rsid w:val="009047C5"/>
    <w:rsid w:val="00927F6E"/>
    <w:rsid w:val="00943CD8"/>
    <w:rsid w:val="009475AA"/>
    <w:rsid w:val="0095385A"/>
    <w:rsid w:val="00973D23"/>
    <w:rsid w:val="00987B6A"/>
    <w:rsid w:val="009C53A5"/>
    <w:rsid w:val="009D4C11"/>
    <w:rsid w:val="009F3D39"/>
    <w:rsid w:val="00A00D3F"/>
    <w:rsid w:val="00A06C7E"/>
    <w:rsid w:val="00A24560"/>
    <w:rsid w:val="00A249F7"/>
    <w:rsid w:val="00A34538"/>
    <w:rsid w:val="00A47B05"/>
    <w:rsid w:val="00A500F1"/>
    <w:rsid w:val="00A53C24"/>
    <w:rsid w:val="00A66E6F"/>
    <w:rsid w:val="00A705E2"/>
    <w:rsid w:val="00A71696"/>
    <w:rsid w:val="00A758FC"/>
    <w:rsid w:val="00AA442B"/>
    <w:rsid w:val="00AA5446"/>
    <w:rsid w:val="00AB2D76"/>
    <w:rsid w:val="00AF2403"/>
    <w:rsid w:val="00B042DC"/>
    <w:rsid w:val="00B11C88"/>
    <w:rsid w:val="00B22E22"/>
    <w:rsid w:val="00B31997"/>
    <w:rsid w:val="00B525CB"/>
    <w:rsid w:val="00B5531D"/>
    <w:rsid w:val="00B63CB2"/>
    <w:rsid w:val="00B73A6C"/>
    <w:rsid w:val="00B86125"/>
    <w:rsid w:val="00BB74BA"/>
    <w:rsid w:val="00BD49C8"/>
    <w:rsid w:val="00BD78FE"/>
    <w:rsid w:val="00BE2F0E"/>
    <w:rsid w:val="00BE6963"/>
    <w:rsid w:val="00C0653B"/>
    <w:rsid w:val="00C201A9"/>
    <w:rsid w:val="00C243E3"/>
    <w:rsid w:val="00C26512"/>
    <w:rsid w:val="00C26F97"/>
    <w:rsid w:val="00C35F40"/>
    <w:rsid w:val="00C51694"/>
    <w:rsid w:val="00C628D1"/>
    <w:rsid w:val="00C661CD"/>
    <w:rsid w:val="00C729B8"/>
    <w:rsid w:val="00C76B4E"/>
    <w:rsid w:val="00C91B39"/>
    <w:rsid w:val="00C9510E"/>
    <w:rsid w:val="00CA287E"/>
    <w:rsid w:val="00CB7345"/>
    <w:rsid w:val="00CC00CD"/>
    <w:rsid w:val="00CE0C47"/>
    <w:rsid w:val="00CE1694"/>
    <w:rsid w:val="00CF7B21"/>
    <w:rsid w:val="00D10FB8"/>
    <w:rsid w:val="00D118CC"/>
    <w:rsid w:val="00D14DB9"/>
    <w:rsid w:val="00D162BD"/>
    <w:rsid w:val="00D16E39"/>
    <w:rsid w:val="00D24097"/>
    <w:rsid w:val="00D35834"/>
    <w:rsid w:val="00D651AA"/>
    <w:rsid w:val="00D72E9D"/>
    <w:rsid w:val="00D82CE5"/>
    <w:rsid w:val="00D85836"/>
    <w:rsid w:val="00D86063"/>
    <w:rsid w:val="00DA5AB1"/>
    <w:rsid w:val="00DB65E8"/>
    <w:rsid w:val="00DC62E5"/>
    <w:rsid w:val="00DD3B58"/>
    <w:rsid w:val="00DD735D"/>
    <w:rsid w:val="00DE3119"/>
    <w:rsid w:val="00DE3669"/>
    <w:rsid w:val="00DF236B"/>
    <w:rsid w:val="00DF3DB1"/>
    <w:rsid w:val="00DF6471"/>
    <w:rsid w:val="00E13AB8"/>
    <w:rsid w:val="00E1532A"/>
    <w:rsid w:val="00E17B1C"/>
    <w:rsid w:val="00E217EA"/>
    <w:rsid w:val="00E33B62"/>
    <w:rsid w:val="00E34947"/>
    <w:rsid w:val="00E42794"/>
    <w:rsid w:val="00E43C0F"/>
    <w:rsid w:val="00E6543E"/>
    <w:rsid w:val="00E7436F"/>
    <w:rsid w:val="00E90F2F"/>
    <w:rsid w:val="00E9105C"/>
    <w:rsid w:val="00E916FF"/>
    <w:rsid w:val="00E946CB"/>
    <w:rsid w:val="00EB1DD8"/>
    <w:rsid w:val="00EB24FD"/>
    <w:rsid w:val="00EB342F"/>
    <w:rsid w:val="00EB5B3E"/>
    <w:rsid w:val="00EC4FD4"/>
    <w:rsid w:val="00EE1A7C"/>
    <w:rsid w:val="00EE35A7"/>
    <w:rsid w:val="00EE62F8"/>
    <w:rsid w:val="00EF5EA4"/>
    <w:rsid w:val="00F07705"/>
    <w:rsid w:val="00F11B67"/>
    <w:rsid w:val="00F3714F"/>
    <w:rsid w:val="00F44FCC"/>
    <w:rsid w:val="00F50176"/>
    <w:rsid w:val="00F53BED"/>
    <w:rsid w:val="00F708EE"/>
    <w:rsid w:val="00F84899"/>
    <w:rsid w:val="00F849B4"/>
    <w:rsid w:val="00F859F0"/>
    <w:rsid w:val="00F868F5"/>
    <w:rsid w:val="00F86B3F"/>
    <w:rsid w:val="00F93CE5"/>
    <w:rsid w:val="00F94DBD"/>
    <w:rsid w:val="00F96B93"/>
    <w:rsid w:val="00FA2AAD"/>
    <w:rsid w:val="00FB6465"/>
    <w:rsid w:val="00FC1897"/>
    <w:rsid w:val="00FC7C7E"/>
    <w:rsid w:val="00FD3AB5"/>
    <w:rsid w:val="00FD77E4"/>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semiHidden/>
    <w:unhideWhenUsed/>
    <w:rsid w:val="00A53C24"/>
    <w:pPr>
      <w:spacing w:after="120"/>
    </w:pPr>
  </w:style>
  <w:style w:type="character" w:customStyle="1" w:styleId="TextoindependienteCar">
    <w:name w:val="Texto independiente Car"/>
    <w:basedOn w:val="Fuentedeprrafopredeter"/>
    <w:link w:val="Textoindependiente"/>
    <w:uiPriority w:val="99"/>
    <w:semiHidden/>
    <w:rsid w:val="00A53C24"/>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7698460">
      <w:bodyDiv w:val="1"/>
      <w:marLeft w:val="0"/>
      <w:marRight w:val="0"/>
      <w:marTop w:val="0"/>
      <w:marBottom w:val="0"/>
      <w:divBdr>
        <w:top w:val="none" w:sz="0" w:space="0" w:color="auto"/>
        <w:left w:val="none" w:sz="0" w:space="0" w:color="auto"/>
        <w:bottom w:val="none" w:sz="0" w:space="0" w:color="auto"/>
        <w:right w:val="none" w:sz="0" w:space="0" w:color="auto"/>
      </w:divBdr>
      <w:divsChild>
        <w:div w:id="1156335291">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05466969">
      <w:bodyDiv w:val="1"/>
      <w:marLeft w:val="0"/>
      <w:marRight w:val="0"/>
      <w:marTop w:val="0"/>
      <w:marBottom w:val="0"/>
      <w:divBdr>
        <w:top w:val="none" w:sz="0" w:space="0" w:color="auto"/>
        <w:left w:val="none" w:sz="0" w:space="0" w:color="auto"/>
        <w:bottom w:val="none" w:sz="0" w:space="0" w:color="auto"/>
        <w:right w:val="none" w:sz="0" w:space="0" w:color="auto"/>
      </w:divBdr>
    </w:div>
    <w:div w:id="1208688635">
      <w:bodyDiv w:val="1"/>
      <w:marLeft w:val="0"/>
      <w:marRight w:val="0"/>
      <w:marTop w:val="0"/>
      <w:marBottom w:val="0"/>
      <w:divBdr>
        <w:top w:val="none" w:sz="0" w:space="0" w:color="auto"/>
        <w:left w:val="none" w:sz="0" w:space="0" w:color="auto"/>
        <w:bottom w:val="none" w:sz="0" w:space="0" w:color="auto"/>
        <w:right w:val="none" w:sz="0" w:space="0" w:color="auto"/>
      </w:divBdr>
    </w:div>
    <w:div w:id="1258901985">
      <w:bodyDiv w:val="1"/>
      <w:marLeft w:val="0"/>
      <w:marRight w:val="0"/>
      <w:marTop w:val="0"/>
      <w:marBottom w:val="0"/>
      <w:divBdr>
        <w:top w:val="none" w:sz="0" w:space="0" w:color="auto"/>
        <w:left w:val="none" w:sz="0" w:space="0" w:color="auto"/>
        <w:bottom w:val="none" w:sz="0" w:space="0" w:color="auto"/>
        <w:right w:val="none" w:sz="0" w:space="0" w:color="auto"/>
      </w:divBdr>
    </w:div>
    <w:div w:id="1538161762">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manuales-guias-y-pliegos-tipo/manuales-y-guias" TargetMode="External"/><Relationship Id="rId1" Type="http://schemas.openxmlformats.org/officeDocument/2006/relationships/hyperlink" Target="https://colombiacompra.gov.co/sites/cce_public/files/cce_documents/cce_guia_capacidad_residual.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4717F39-4242-47B6-B0D0-7F5EFE96C9A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4EA00AD-3710-4598-9B93-A23BE1AB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4496</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2022-04-05T16:28:00Z</dcterms:created>
  <dcterms:modified xsi:type="dcterms:W3CDTF">2022-04-05T16:28:00Z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