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B34968" w:rsidRDefault="00BE1E33" w:rsidP="00BE1E33">
      <w:pPr>
        <w:jc w:val="right"/>
        <w:rPr>
          <w:rFonts w:ascii="Arial" w:hAnsi="Arial" w:cs="Arial"/>
          <w:bCs/>
          <w:sz w:val="16"/>
          <w:szCs w:val="16"/>
          <w:lang w:eastAsia="es-ES"/>
        </w:rPr>
      </w:pPr>
      <w:r w:rsidRPr="00B34968">
        <w:rPr>
          <w:rFonts w:ascii="Arial" w:hAnsi="Arial" w:cs="Arial"/>
          <w:b/>
          <w:sz w:val="16"/>
          <w:szCs w:val="16"/>
          <w:lang w:eastAsia="es-ES"/>
        </w:rPr>
        <w:tab/>
      </w:r>
      <w:r w:rsidRPr="00B34968">
        <w:rPr>
          <w:rFonts w:ascii="Arial" w:hAnsi="Arial" w:cs="Arial"/>
          <w:bCs/>
          <w:sz w:val="16"/>
          <w:szCs w:val="16"/>
          <w:lang w:eastAsia="es-ES"/>
        </w:rPr>
        <w:t>CCE-DES-FM-17</w:t>
      </w:r>
    </w:p>
    <w:p w14:paraId="30106002" w14:textId="77777777" w:rsidR="005204A7" w:rsidRPr="00B34968" w:rsidRDefault="005204A7" w:rsidP="005204A7">
      <w:pPr>
        <w:jc w:val="both"/>
        <w:rPr>
          <w:rFonts w:ascii="Arial" w:eastAsia="Calibri" w:hAnsi="Arial" w:cs="Arial"/>
          <w:b/>
          <w:sz w:val="20"/>
          <w:szCs w:val="20"/>
        </w:rPr>
      </w:pPr>
    </w:p>
    <w:p w14:paraId="5600DD94" w14:textId="610A42B5" w:rsidR="005204A7" w:rsidRDefault="00B20FA2" w:rsidP="005204A7">
      <w:pPr>
        <w:jc w:val="both"/>
        <w:rPr>
          <w:rFonts w:ascii="Arial" w:eastAsia="Calibri" w:hAnsi="Arial" w:cs="Arial"/>
          <w:b/>
          <w:color w:val="000000" w:themeColor="text1"/>
          <w:sz w:val="22"/>
          <w:lang w:val="es-ES_tradnl"/>
        </w:rPr>
      </w:pPr>
      <w:r w:rsidRPr="005F3D60">
        <w:rPr>
          <w:rFonts w:ascii="Arial" w:eastAsia="Calibri" w:hAnsi="Arial" w:cs="Arial"/>
          <w:b/>
          <w:sz w:val="22"/>
          <w:lang w:val="es-ES_tradnl"/>
        </w:rPr>
        <w:t xml:space="preserve">SELECCIÓN OBJETIVA </w:t>
      </w:r>
      <w:r w:rsidRPr="005F3D60">
        <w:rPr>
          <w:rFonts w:ascii="Arial" w:eastAsia="Calibri" w:hAnsi="Arial" w:cs="Arial"/>
          <w:b/>
          <w:color w:val="000000" w:themeColor="text1"/>
          <w:sz w:val="22"/>
          <w:lang w:val="es-ES_tradnl"/>
        </w:rPr>
        <w:t>–</w:t>
      </w:r>
      <w:r w:rsidRPr="005F3D60">
        <w:rPr>
          <w:rFonts w:ascii="Arial" w:eastAsia="Calibri" w:hAnsi="Arial" w:cs="Arial"/>
          <w:b/>
          <w:sz w:val="22"/>
          <w:lang w:val="es-ES_tradnl"/>
        </w:rPr>
        <w:t xml:space="preserve"> Contratación estatal </w:t>
      </w:r>
      <w:r w:rsidRPr="005F3D60">
        <w:rPr>
          <w:rFonts w:ascii="Arial" w:eastAsia="Calibri" w:hAnsi="Arial" w:cs="Arial"/>
          <w:b/>
          <w:color w:val="000000" w:themeColor="text1"/>
          <w:sz w:val="22"/>
          <w:lang w:val="es-ES_tradnl"/>
        </w:rPr>
        <w:t>– Concepto</w:t>
      </w:r>
    </w:p>
    <w:p w14:paraId="61AE0BF2" w14:textId="77777777" w:rsidR="00B20FA2" w:rsidRPr="00B34968" w:rsidRDefault="00B20FA2" w:rsidP="005204A7">
      <w:pPr>
        <w:jc w:val="both"/>
        <w:rPr>
          <w:rFonts w:ascii="Arial" w:eastAsia="Calibri" w:hAnsi="Arial" w:cs="Arial"/>
          <w:sz w:val="20"/>
          <w:szCs w:val="20"/>
        </w:rPr>
      </w:pPr>
    </w:p>
    <w:p w14:paraId="3AA0AF3C" w14:textId="749E8DF8" w:rsidR="005204A7" w:rsidRDefault="00B20FA2" w:rsidP="005204A7">
      <w:pPr>
        <w:jc w:val="both"/>
        <w:rPr>
          <w:rFonts w:ascii="Arial" w:eastAsia="Calibri" w:hAnsi="Arial" w:cs="Arial"/>
          <w:bCs/>
          <w:sz w:val="20"/>
          <w:szCs w:val="20"/>
        </w:rPr>
      </w:pPr>
      <w:r w:rsidRPr="00B20FA2">
        <w:rPr>
          <w:rFonts w:ascii="Arial" w:eastAsia="Calibri" w:hAnsi="Arial" w:cs="Arial"/>
          <w:bCs/>
          <w:sz w:val="20"/>
          <w:szCs w:val="20"/>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B20FA2">
        <w:rPr>
          <w:rFonts w:ascii="Arial" w:eastAsia="Calibri" w:hAnsi="Arial" w:cs="Arial"/>
          <w:bCs/>
          <w:sz w:val="20"/>
          <w:szCs w:val="20"/>
        </w:rPr>
        <w:t>equivalentes,</w:t>
      </w:r>
      <w:proofErr w:type="gramEnd"/>
      <w:r w:rsidRPr="00B20FA2">
        <w:rPr>
          <w:rFonts w:ascii="Arial" w:eastAsia="Calibri" w:hAnsi="Arial" w:cs="Arial"/>
          <w:bCs/>
          <w:sz w:val="20"/>
          <w:szCs w:val="20"/>
        </w:rPr>
        <w:t xml:space="preserve"> tendrán en cuenta criterios como la experiencia y la capacidad jurídica, financiera y de organización, entre otros elementos que garanticen la escogencia de la mejor opción de negocio para la entidad estatal.</w:t>
      </w:r>
    </w:p>
    <w:p w14:paraId="01B968FF" w14:textId="77777777" w:rsidR="00B20FA2" w:rsidRPr="00B34968" w:rsidRDefault="00B20FA2" w:rsidP="005204A7">
      <w:pPr>
        <w:jc w:val="both"/>
        <w:rPr>
          <w:rFonts w:ascii="Arial" w:eastAsia="Calibri" w:hAnsi="Arial" w:cs="Arial"/>
          <w:b/>
          <w:sz w:val="20"/>
          <w:szCs w:val="20"/>
        </w:rPr>
      </w:pPr>
    </w:p>
    <w:p w14:paraId="39FA4F36" w14:textId="77777777" w:rsidR="00375E4A" w:rsidRPr="005F3D60" w:rsidRDefault="00375E4A" w:rsidP="00375E4A">
      <w:pPr>
        <w:jc w:val="both"/>
        <w:rPr>
          <w:rFonts w:ascii="Arial" w:eastAsia="Calibri" w:hAnsi="Arial" w:cs="Arial"/>
          <w:b/>
          <w:sz w:val="22"/>
          <w:lang w:val="es-ES_tradnl"/>
        </w:rPr>
      </w:pPr>
      <w:r w:rsidRPr="005F3D60">
        <w:rPr>
          <w:rFonts w:ascii="Arial" w:eastAsia="Calibri" w:hAnsi="Arial" w:cs="Arial"/>
          <w:b/>
          <w:sz w:val="22"/>
          <w:lang w:val="es-ES_tradnl"/>
        </w:rPr>
        <w:t xml:space="preserve">EMPATE </w:t>
      </w:r>
      <w:r w:rsidRPr="005F3D60">
        <w:rPr>
          <w:rFonts w:ascii="Arial" w:eastAsia="Calibri" w:hAnsi="Arial" w:cs="Arial"/>
          <w:b/>
          <w:color w:val="000000" w:themeColor="text1"/>
          <w:sz w:val="22"/>
          <w:lang w:val="es-ES_tradnl"/>
        </w:rPr>
        <w:t>–</w:t>
      </w:r>
      <w:r w:rsidRPr="005F3D60">
        <w:rPr>
          <w:rFonts w:ascii="Arial" w:eastAsia="Calibri" w:hAnsi="Arial" w:cs="Arial"/>
          <w:b/>
          <w:sz w:val="22"/>
          <w:lang w:val="es-ES_tradnl"/>
        </w:rPr>
        <w:t xml:space="preserve"> Procedimiento de selección </w:t>
      </w:r>
      <w:r w:rsidRPr="005F3D60">
        <w:rPr>
          <w:rFonts w:ascii="Arial" w:eastAsia="Calibri" w:hAnsi="Arial" w:cs="Arial"/>
          <w:b/>
          <w:color w:val="000000" w:themeColor="text1"/>
          <w:sz w:val="22"/>
          <w:lang w:val="es-ES_tradnl"/>
        </w:rPr>
        <w:t>– Concepto</w:t>
      </w:r>
    </w:p>
    <w:p w14:paraId="69524CC8" w14:textId="77777777" w:rsidR="005204A7" w:rsidRPr="00B34968" w:rsidRDefault="005204A7" w:rsidP="005204A7">
      <w:pPr>
        <w:jc w:val="both"/>
        <w:rPr>
          <w:rFonts w:ascii="Arial" w:eastAsia="Calibri" w:hAnsi="Arial" w:cs="Arial"/>
          <w:b/>
          <w:sz w:val="20"/>
          <w:szCs w:val="20"/>
        </w:rPr>
      </w:pPr>
    </w:p>
    <w:p w14:paraId="0195D622" w14:textId="0AFB1752" w:rsidR="005204A7" w:rsidRPr="00B34968" w:rsidRDefault="000B1824" w:rsidP="005204A7">
      <w:pPr>
        <w:jc w:val="both"/>
        <w:rPr>
          <w:rFonts w:ascii="Arial" w:eastAsia="Calibri" w:hAnsi="Arial" w:cs="Arial"/>
          <w:sz w:val="20"/>
          <w:szCs w:val="20"/>
        </w:rPr>
      </w:pPr>
      <w:r w:rsidRPr="000B1824">
        <w:rPr>
          <w:rFonts w:ascii="Arial" w:eastAsia="Calibri" w:hAnsi="Arial" w:cs="Arial"/>
          <w:bCs/>
          <w:sz w:val="20"/>
          <w:szCs w:val="20"/>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0A6EACDC" w14:textId="77777777" w:rsidR="00DB5F1F" w:rsidRDefault="00DB5F1F" w:rsidP="005204A7">
      <w:pPr>
        <w:jc w:val="both"/>
        <w:rPr>
          <w:rFonts w:ascii="Arial" w:eastAsia="Calibri" w:hAnsi="Arial" w:cs="Arial"/>
          <w:b/>
          <w:sz w:val="22"/>
        </w:rPr>
      </w:pPr>
    </w:p>
    <w:p w14:paraId="7A865647" w14:textId="77777777" w:rsidR="00DB5F1F" w:rsidRPr="005F3D60" w:rsidRDefault="00DB5F1F" w:rsidP="00DB5F1F">
      <w:pPr>
        <w:jc w:val="both"/>
        <w:rPr>
          <w:rFonts w:ascii="Arial" w:eastAsia="Calibri" w:hAnsi="Arial" w:cs="Arial"/>
          <w:b/>
          <w:sz w:val="22"/>
          <w:lang w:val="es-ES_tradnl"/>
        </w:rPr>
      </w:pPr>
      <w:r w:rsidRPr="005F3D60">
        <w:rPr>
          <w:rFonts w:ascii="Arial" w:eastAsia="Calibri" w:hAnsi="Arial" w:cs="Arial"/>
          <w:b/>
          <w:sz w:val="22"/>
          <w:lang w:val="es-ES_tradnl"/>
        </w:rPr>
        <w:t xml:space="preserve">FACTORES DE DESEMPATE </w:t>
      </w:r>
      <w:r w:rsidRPr="005F3D60">
        <w:rPr>
          <w:rFonts w:ascii="Arial" w:eastAsia="Calibri" w:hAnsi="Arial" w:cs="Arial"/>
          <w:b/>
          <w:color w:val="000000" w:themeColor="text1"/>
          <w:sz w:val="22"/>
          <w:lang w:val="es-ES_tradnl"/>
        </w:rPr>
        <w:t>–</w:t>
      </w:r>
      <w:r w:rsidRPr="005F3D60">
        <w:rPr>
          <w:rFonts w:ascii="Arial" w:eastAsia="Calibri" w:hAnsi="Arial" w:cs="Arial"/>
          <w:b/>
          <w:sz w:val="22"/>
          <w:lang w:val="es-ES_tradnl"/>
        </w:rPr>
        <w:t xml:space="preserve"> Características </w:t>
      </w:r>
      <w:r w:rsidRPr="005F3D60">
        <w:rPr>
          <w:rFonts w:ascii="Arial" w:eastAsia="Calibri" w:hAnsi="Arial" w:cs="Arial"/>
          <w:b/>
          <w:color w:val="000000" w:themeColor="text1"/>
          <w:sz w:val="22"/>
          <w:lang w:val="es-ES_tradnl"/>
        </w:rPr>
        <w:t>– Límites</w:t>
      </w:r>
    </w:p>
    <w:p w14:paraId="6327B2C6" w14:textId="77777777" w:rsidR="0028617E" w:rsidRPr="00B34968" w:rsidRDefault="0028617E" w:rsidP="005204A7">
      <w:pPr>
        <w:jc w:val="both"/>
        <w:rPr>
          <w:rFonts w:ascii="Arial" w:eastAsia="Calibri" w:hAnsi="Arial" w:cs="Arial"/>
          <w:b/>
          <w:sz w:val="20"/>
          <w:szCs w:val="20"/>
        </w:rPr>
      </w:pPr>
    </w:p>
    <w:p w14:paraId="091FB4A7" w14:textId="146E2A1E" w:rsidR="00A55BF1" w:rsidRDefault="00375E4A" w:rsidP="0089219C">
      <w:pPr>
        <w:jc w:val="both"/>
        <w:rPr>
          <w:rFonts w:ascii="Arial" w:eastAsia="Calibri" w:hAnsi="Arial" w:cs="Arial"/>
          <w:bCs/>
          <w:sz w:val="20"/>
          <w:szCs w:val="20"/>
          <w:lang w:val="es-ES"/>
        </w:rPr>
      </w:pPr>
      <w:r w:rsidRPr="00375E4A">
        <w:rPr>
          <w:rFonts w:ascii="Arial" w:eastAsia="Calibri" w:hAnsi="Arial" w:cs="Arial"/>
          <w:bCs/>
          <w:sz w:val="20"/>
          <w:szCs w:val="20"/>
          <w:lang w:val="es-ES"/>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2069 de 2020. La jurisprudencia comparte la idea de que los criterios de desempate deben estar establecidos de antemano y constituyen un límite a la discrecionalidad administrativa en los procedimientos de </w:t>
      </w:r>
      <w:proofErr w:type="gramStart"/>
      <w:r w:rsidRPr="00375E4A">
        <w:rPr>
          <w:rFonts w:ascii="Arial" w:eastAsia="Calibri" w:hAnsi="Arial" w:cs="Arial"/>
          <w:bCs/>
          <w:sz w:val="20"/>
          <w:szCs w:val="20"/>
          <w:lang w:val="es-ES"/>
        </w:rPr>
        <w:t>selección .</w:t>
      </w:r>
      <w:proofErr w:type="gramEnd"/>
    </w:p>
    <w:p w14:paraId="61526D1B" w14:textId="77777777" w:rsidR="00DB5F1F" w:rsidRPr="00B34968" w:rsidRDefault="00DB5F1F" w:rsidP="0089219C">
      <w:pPr>
        <w:jc w:val="both"/>
        <w:rPr>
          <w:rFonts w:ascii="Arial" w:eastAsia="Calibri" w:hAnsi="Arial" w:cs="Arial"/>
          <w:bCs/>
          <w:sz w:val="20"/>
          <w:szCs w:val="20"/>
          <w:lang w:val="es-ES"/>
        </w:rPr>
      </w:pPr>
    </w:p>
    <w:p w14:paraId="561776CC" w14:textId="1CB7424B" w:rsidR="00DB5F1F" w:rsidRDefault="006F60FB" w:rsidP="006F39EF">
      <w:pPr>
        <w:jc w:val="both"/>
        <w:rPr>
          <w:rFonts w:ascii="Arial" w:eastAsia="Calibri" w:hAnsi="Arial" w:cs="Arial"/>
          <w:b/>
          <w:sz w:val="22"/>
          <w:lang w:val="es-ES"/>
        </w:rPr>
      </w:pPr>
      <w:r>
        <w:rPr>
          <w:rFonts w:ascii="Arial" w:eastAsia="Calibri" w:hAnsi="Arial" w:cs="Arial"/>
          <w:b/>
          <w:sz w:val="22"/>
          <w:lang w:val="es-ES"/>
        </w:rPr>
        <w:t>LEY DE EMPRENDIMIENTO – Ley 2069 – Finalidad – Contenido</w:t>
      </w:r>
    </w:p>
    <w:p w14:paraId="7EDF3496" w14:textId="53F15D58" w:rsidR="006F60FB" w:rsidRDefault="006F60FB" w:rsidP="006F39EF">
      <w:pPr>
        <w:jc w:val="both"/>
        <w:rPr>
          <w:rFonts w:ascii="Arial" w:eastAsia="Calibri" w:hAnsi="Arial" w:cs="Arial"/>
          <w:b/>
          <w:sz w:val="22"/>
          <w:lang w:val="es-ES"/>
        </w:rPr>
      </w:pPr>
    </w:p>
    <w:p w14:paraId="6D96E6BC" w14:textId="3D76F67C" w:rsidR="006F60FB" w:rsidRDefault="006F60FB" w:rsidP="006F60FB">
      <w:pPr>
        <w:jc w:val="both"/>
        <w:rPr>
          <w:rFonts w:ascii="Arial" w:eastAsia="Calibri" w:hAnsi="Arial" w:cs="Arial"/>
          <w:bCs/>
          <w:sz w:val="20"/>
          <w:szCs w:val="20"/>
          <w:lang w:val="es-ES"/>
        </w:rPr>
      </w:pPr>
      <w:r w:rsidRPr="006F60FB">
        <w:rPr>
          <w:rFonts w:ascii="Arial" w:eastAsia="Calibri" w:hAnsi="Arial" w:cs="Arial"/>
          <w:bCs/>
          <w:sz w:val="20"/>
          <w:szCs w:val="20"/>
          <w:lang w:val="es-ES"/>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r>
        <w:rPr>
          <w:rFonts w:ascii="Arial" w:eastAsia="Calibri" w:hAnsi="Arial" w:cs="Arial"/>
          <w:bCs/>
          <w:sz w:val="20"/>
          <w:szCs w:val="20"/>
          <w:lang w:val="es-ES"/>
        </w:rPr>
        <w:t xml:space="preserve"> </w:t>
      </w:r>
      <w:r w:rsidRPr="006F60FB">
        <w:rPr>
          <w:rFonts w:ascii="Arial" w:eastAsia="Calibri" w:hAnsi="Arial" w:cs="Arial"/>
          <w:bCs/>
          <w:sz w:val="20"/>
          <w:szCs w:val="20"/>
          <w:lang w:val="es-ES"/>
        </w:rPr>
        <w:t>En cuan</w:t>
      </w:r>
      <w:r>
        <w:rPr>
          <w:rFonts w:ascii="Arial" w:eastAsia="Calibri" w:hAnsi="Arial" w:cs="Arial"/>
          <w:bCs/>
          <w:sz w:val="20"/>
          <w:szCs w:val="20"/>
          <w:lang w:val="es-ES"/>
        </w:rPr>
        <w:t>t</w:t>
      </w:r>
      <w:r w:rsidRPr="006F60FB">
        <w:rPr>
          <w:rFonts w:ascii="Arial" w:eastAsia="Calibri" w:hAnsi="Arial" w:cs="Arial"/>
          <w:bCs/>
          <w:sz w:val="20"/>
          <w:szCs w:val="20"/>
          <w:lang w:val="es-ES"/>
        </w:rPr>
        <w:t xml:space="preserve">o a su contenido, es importante señalar que, como dispone el artículo 1, aquella «tiene por objeto establecer un marco regulatorio que propicie el emprendimiento y el crecimiento, </w:t>
      </w:r>
      <w:r w:rsidRPr="006F60FB">
        <w:rPr>
          <w:rFonts w:ascii="Arial" w:eastAsia="Calibri" w:hAnsi="Arial" w:cs="Arial"/>
          <w:bCs/>
          <w:sz w:val="20"/>
          <w:szCs w:val="20"/>
          <w:lang w:val="es-ES"/>
        </w:rPr>
        <w:lastRenderedPageBreak/>
        <w:t xml:space="preserve">consolidación y sostenibilidad de las empresas, con el fin de aumentar el bienestar social y generar equidad». Esto, a partir de «[…] un enfoque regionalizado </w:t>
      </w:r>
      <w:proofErr w:type="gramStart"/>
      <w:r w:rsidRPr="006F60FB">
        <w:rPr>
          <w:rFonts w:ascii="Arial" w:eastAsia="Calibri" w:hAnsi="Arial" w:cs="Arial"/>
          <w:bCs/>
          <w:sz w:val="20"/>
          <w:szCs w:val="20"/>
          <w:lang w:val="es-ES"/>
        </w:rPr>
        <w:t>de acuerdo a</w:t>
      </w:r>
      <w:proofErr w:type="gramEnd"/>
      <w:r w:rsidRPr="006F60FB">
        <w:rPr>
          <w:rFonts w:ascii="Arial" w:eastAsia="Calibri" w:hAnsi="Arial" w:cs="Arial"/>
          <w:bCs/>
          <w:sz w:val="20"/>
          <w:szCs w:val="20"/>
          <w:lang w:val="es-ES"/>
        </w:rPr>
        <w:t xml:space="preserve"> las realidades socioeconómicas de cada región». En desarrollo de esta finalidad, se establecen medidas de apoyo para las micro, pequeñas y medianas empresas –</w:t>
      </w:r>
      <w:proofErr w:type="spellStart"/>
      <w:r w:rsidRPr="006F60FB">
        <w:rPr>
          <w:rFonts w:ascii="Arial" w:eastAsia="Calibri" w:hAnsi="Arial" w:cs="Arial"/>
          <w:bCs/>
          <w:sz w:val="20"/>
          <w:szCs w:val="20"/>
          <w:lang w:val="es-ES"/>
        </w:rPr>
        <w:t>mipymes</w:t>
      </w:r>
      <w:proofErr w:type="spellEnd"/>
      <w:r w:rsidRPr="006F60FB">
        <w:rPr>
          <w:rFonts w:ascii="Arial" w:eastAsia="Calibri" w:hAnsi="Arial" w:cs="Arial"/>
          <w:bCs/>
          <w:sz w:val="20"/>
          <w:szCs w:val="20"/>
          <w:lang w:val="es-ES"/>
        </w:rPr>
        <w:t xml:space="preserve">–, mediante la racionalización y simplificación de los trámites y </w:t>
      </w:r>
      <w:proofErr w:type="gramStart"/>
      <w:r w:rsidRPr="006F60FB">
        <w:rPr>
          <w:rFonts w:ascii="Arial" w:eastAsia="Calibri" w:hAnsi="Arial" w:cs="Arial"/>
          <w:bCs/>
          <w:sz w:val="20"/>
          <w:szCs w:val="20"/>
          <w:lang w:val="es-ES"/>
        </w:rPr>
        <w:t>tarifas ,</w:t>
      </w:r>
      <w:proofErr w:type="gramEnd"/>
      <w:r w:rsidRPr="006F60FB">
        <w:rPr>
          <w:rFonts w:ascii="Arial" w:eastAsia="Calibri" w:hAnsi="Arial" w:cs="Arial"/>
          <w:bCs/>
          <w:sz w:val="20"/>
          <w:szCs w:val="20"/>
          <w:lang w:val="es-ES"/>
        </w:rPr>
        <w:t xml:space="preserve"> así como incentivos a favor de aquellas dentro del sistema de compras y contratación pública . También se consagran mecanismos de acceso al </w:t>
      </w:r>
      <w:proofErr w:type="gramStart"/>
      <w:r w:rsidRPr="006F60FB">
        <w:rPr>
          <w:rFonts w:ascii="Arial" w:eastAsia="Calibri" w:hAnsi="Arial" w:cs="Arial"/>
          <w:bCs/>
          <w:sz w:val="20"/>
          <w:szCs w:val="20"/>
          <w:lang w:val="es-ES"/>
        </w:rPr>
        <w:t>financiamiento ,</w:t>
      </w:r>
      <w:proofErr w:type="gramEnd"/>
      <w:r w:rsidRPr="006F60FB">
        <w:rPr>
          <w:rFonts w:ascii="Arial" w:eastAsia="Calibri" w:hAnsi="Arial" w:cs="Arial"/>
          <w:bCs/>
          <w:sz w:val="20"/>
          <w:szCs w:val="20"/>
          <w:lang w:val="es-ES"/>
        </w:rPr>
        <w:t xml:space="preserve"> se unifican las fuentes de emprendimiento y de desarrollo empresarial, para fortalecer y promover los distintos sectores de la economía  y se prevén medidas de educación para el emprendimiento y la innovación .</w:t>
      </w:r>
    </w:p>
    <w:p w14:paraId="17DAD894" w14:textId="515142AB" w:rsidR="006F60FB" w:rsidRDefault="006F60FB" w:rsidP="006F60FB">
      <w:pPr>
        <w:jc w:val="both"/>
        <w:rPr>
          <w:rFonts w:ascii="Arial" w:eastAsia="Calibri" w:hAnsi="Arial" w:cs="Arial"/>
          <w:bCs/>
          <w:sz w:val="20"/>
          <w:szCs w:val="20"/>
          <w:lang w:val="es-ES"/>
        </w:rPr>
      </w:pPr>
    </w:p>
    <w:p w14:paraId="35776CB2" w14:textId="3B8800B3" w:rsidR="006F60FB" w:rsidRPr="00DF306D" w:rsidRDefault="006F60FB" w:rsidP="006F60FB">
      <w:pPr>
        <w:jc w:val="both"/>
        <w:rPr>
          <w:rFonts w:ascii="Arial" w:eastAsia="Calibri" w:hAnsi="Arial" w:cs="Arial"/>
          <w:b/>
          <w:sz w:val="22"/>
          <w:lang w:val="es-ES"/>
        </w:rPr>
      </w:pPr>
      <w:r w:rsidRPr="00DF306D">
        <w:rPr>
          <w:rFonts w:ascii="Arial" w:eastAsia="Calibri" w:hAnsi="Arial" w:cs="Arial"/>
          <w:b/>
          <w:sz w:val="22"/>
          <w:lang w:val="es-ES"/>
        </w:rPr>
        <w:t xml:space="preserve">FACTORES DE DESEMPATE – Ley 2069 – </w:t>
      </w:r>
      <w:r w:rsidR="00FF63D9" w:rsidRPr="00DF306D">
        <w:rPr>
          <w:rFonts w:ascii="Arial" w:eastAsia="Calibri" w:hAnsi="Arial" w:cs="Arial"/>
          <w:b/>
          <w:sz w:val="22"/>
          <w:lang w:val="es-ES"/>
        </w:rPr>
        <w:t xml:space="preserve">Artículo 35 – Decaimiento – </w:t>
      </w:r>
      <w:r w:rsidR="00DF306D" w:rsidRPr="00DF306D">
        <w:rPr>
          <w:rFonts w:ascii="Arial" w:eastAsia="Calibri" w:hAnsi="Arial" w:cs="Arial"/>
          <w:b/>
          <w:sz w:val="22"/>
          <w:lang w:val="es-ES"/>
        </w:rPr>
        <w:t>Aplicación directa</w:t>
      </w:r>
    </w:p>
    <w:p w14:paraId="0E898FEE" w14:textId="77777777" w:rsidR="006F60FB" w:rsidRDefault="006F60FB" w:rsidP="006F60FB">
      <w:pPr>
        <w:jc w:val="both"/>
        <w:rPr>
          <w:rFonts w:ascii="Arial" w:eastAsia="Calibri" w:hAnsi="Arial" w:cs="Arial"/>
          <w:bCs/>
          <w:sz w:val="20"/>
          <w:szCs w:val="20"/>
          <w:lang w:val="es-ES"/>
        </w:rPr>
      </w:pPr>
    </w:p>
    <w:p w14:paraId="56EA81C9" w14:textId="045C203F" w:rsidR="006F60FB" w:rsidRDefault="006F60FB" w:rsidP="006F60FB">
      <w:pPr>
        <w:jc w:val="both"/>
        <w:rPr>
          <w:rFonts w:ascii="Arial" w:eastAsia="Calibri" w:hAnsi="Arial" w:cs="Arial"/>
          <w:bCs/>
          <w:sz w:val="20"/>
          <w:szCs w:val="20"/>
          <w:lang w:val="es-ES"/>
        </w:rPr>
      </w:pPr>
      <w:r w:rsidRPr="006F60FB">
        <w:rPr>
          <w:rFonts w:ascii="Arial" w:eastAsia="Calibri" w:hAnsi="Arial" w:cs="Arial"/>
          <w:bCs/>
          <w:sz w:val="20"/>
          <w:szCs w:val="20"/>
          <w:lang w:val="es-ES"/>
        </w:rPr>
        <w:t>El artículo 35 de la Ley 2069 de 2020 regula los factores de desempate.</w:t>
      </w:r>
      <w:r>
        <w:rPr>
          <w:rFonts w:ascii="Arial" w:eastAsia="Calibri" w:hAnsi="Arial" w:cs="Arial"/>
          <w:bCs/>
          <w:sz w:val="20"/>
          <w:szCs w:val="20"/>
          <w:lang w:val="es-ES"/>
        </w:rPr>
        <w:t xml:space="preserve"> </w:t>
      </w:r>
      <w:r w:rsidRPr="006F60FB">
        <w:rPr>
          <w:rFonts w:ascii="Arial" w:eastAsia="Calibri" w:hAnsi="Arial" w:cs="Arial"/>
          <w:bCs/>
          <w:sz w:val="20"/>
          <w:szCs w:val="20"/>
          <w:lang w:val="es-ES"/>
        </w:rPr>
        <w:t xml:space="preserve">Conforme a la norma citada, estos aplican en los procedimientos de selección de las entidades sometidas al Estatuto General, las entidades exceptuadas de la Ley 80 de 1993 y los patrimonios autónomos constituidos por entidades estatales. Incluso, al consagrarse en la ley, generan la derogación y decaimiento de los previstos en el artículo 2.2.1.1.2.2.9 del Decreto 1082 de 2015, pues se trata de una norma superior y posterior que genera la pérdida de los fundamentos de derecho en los previstos en el Decreto Único Reglamentario del Sector Administrativo de Planeación Nacional.  </w:t>
      </w:r>
    </w:p>
    <w:p w14:paraId="0242A219" w14:textId="77777777" w:rsidR="006F60FB" w:rsidRPr="006F60FB" w:rsidRDefault="006F60FB" w:rsidP="006F60FB">
      <w:pPr>
        <w:jc w:val="both"/>
        <w:rPr>
          <w:rFonts w:ascii="Arial" w:eastAsia="Calibri" w:hAnsi="Arial" w:cs="Arial"/>
          <w:bCs/>
          <w:sz w:val="20"/>
          <w:szCs w:val="20"/>
          <w:lang w:val="es-ES"/>
        </w:rPr>
      </w:pPr>
    </w:p>
    <w:p w14:paraId="1928890D" w14:textId="7D81EDC2" w:rsidR="006F60FB" w:rsidRDefault="006F60FB" w:rsidP="006F60FB">
      <w:pPr>
        <w:jc w:val="both"/>
        <w:rPr>
          <w:rFonts w:ascii="Arial" w:eastAsia="Calibri" w:hAnsi="Arial" w:cs="Arial"/>
          <w:bCs/>
          <w:sz w:val="20"/>
          <w:szCs w:val="20"/>
          <w:lang w:val="es-ES"/>
        </w:rPr>
      </w:pPr>
      <w:r w:rsidRPr="006F60FB">
        <w:rPr>
          <w:rFonts w:ascii="Arial" w:eastAsia="Calibri" w:hAnsi="Arial" w:cs="Arial"/>
          <w:bCs/>
          <w:sz w:val="20"/>
          <w:szCs w:val="20"/>
          <w:lang w:val="es-ES"/>
        </w:rPr>
        <w:t xml:space="preserve">Aunque algunas normas de la Ley de Emprendimiento aluden a la reglamentación posterior, esta no condiciona la vigencia del artículo 35. En efecto, si bien los factores de desempate deben aplicarse «[…] 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p>
    <w:p w14:paraId="5514DF5B" w14:textId="77777777" w:rsidR="00DB5F1F" w:rsidRDefault="00DB5F1F" w:rsidP="006F39EF">
      <w:pPr>
        <w:jc w:val="both"/>
        <w:rPr>
          <w:rFonts w:ascii="Arial" w:eastAsia="Calibri" w:hAnsi="Arial" w:cs="Arial"/>
          <w:b/>
          <w:sz w:val="22"/>
          <w:lang w:val="es-ES"/>
        </w:rPr>
      </w:pPr>
    </w:p>
    <w:p w14:paraId="7A56BAEF" w14:textId="07F7004A" w:rsidR="00A55BF1" w:rsidRDefault="00A55BF1" w:rsidP="005A10A9">
      <w:pPr>
        <w:spacing w:after="120"/>
        <w:jc w:val="both"/>
        <w:rPr>
          <w:rFonts w:ascii="Arial" w:eastAsia="Calibri" w:hAnsi="Arial" w:cs="Arial"/>
          <w:bCs/>
          <w:sz w:val="20"/>
          <w:szCs w:val="20"/>
          <w:lang w:val="es-ES"/>
        </w:rPr>
      </w:pPr>
    </w:p>
    <w:p w14:paraId="29D2C903" w14:textId="16763F6D" w:rsidR="0075566B" w:rsidRDefault="0075566B" w:rsidP="005A10A9">
      <w:pPr>
        <w:spacing w:after="120"/>
        <w:jc w:val="both"/>
        <w:rPr>
          <w:rFonts w:ascii="Arial" w:eastAsia="Calibri" w:hAnsi="Arial" w:cs="Arial"/>
          <w:bCs/>
          <w:sz w:val="20"/>
          <w:szCs w:val="20"/>
          <w:lang w:val="es-ES"/>
        </w:rPr>
      </w:pPr>
    </w:p>
    <w:p w14:paraId="516BE913" w14:textId="33D96BC0" w:rsidR="0075566B" w:rsidRDefault="0075566B" w:rsidP="005A10A9">
      <w:pPr>
        <w:spacing w:after="120"/>
        <w:jc w:val="both"/>
        <w:rPr>
          <w:rFonts w:ascii="Arial" w:eastAsia="Calibri" w:hAnsi="Arial" w:cs="Arial"/>
          <w:bCs/>
          <w:sz w:val="20"/>
          <w:szCs w:val="20"/>
          <w:lang w:val="es-ES"/>
        </w:rPr>
      </w:pPr>
    </w:p>
    <w:p w14:paraId="3707632B" w14:textId="317427DD" w:rsidR="0075566B" w:rsidRDefault="0075566B" w:rsidP="005A10A9">
      <w:pPr>
        <w:spacing w:after="120"/>
        <w:jc w:val="both"/>
        <w:rPr>
          <w:rFonts w:ascii="Arial" w:eastAsia="Calibri" w:hAnsi="Arial" w:cs="Arial"/>
          <w:bCs/>
          <w:sz w:val="20"/>
          <w:szCs w:val="20"/>
          <w:lang w:val="es-ES"/>
        </w:rPr>
      </w:pPr>
    </w:p>
    <w:p w14:paraId="502A0873" w14:textId="77930255" w:rsidR="0075566B" w:rsidRDefault="0075566B" w:rsidP="005A10A9">
      <w:pPr>
        <w:spacing w:after="120"/>
        <w:jc w:val="both"/>
        <w:rPr>
          <w:rFonts w:ascii="Arial" w:eastAsia="Calibri" w:hAnsi="Arial" w:cs="Arial"/>
          <w:bCs/>
          <w:sz w:val="20"/>
          <w:szCs w:val="20"/>
          <w:lang w:val="es-ES"/>
        </w:rPr>
      </w:pPr>
    </w:p>
    <w:p w14:paraId="5DCD7FEC" w14:textId="2FB1631E" w:rsidR="0075566B" w:rsidRDefault="0075566B" w:rsidP="005A10A9">
      <w:pPr>
        <w:spacing w:after="120"/>
        <w:jc w:val="both"/>
        <w:rPr>
          <w:rFonts w:ascii="Arial" w:eastAsia="Calibri" w:hAnsi="Arial" w:cs="Arial"/>
          <w:bCs/>
          <w:sz w:val="20"/>
          <w:szCs w:val="20"/>
          <w:lang w:val="es-ES"/>
        </w:rPr>
      </w:pPr>
    </w:p>
    <w:p w14:paraId="43343C55" w14:textId="45FB58D4" w:rsidR="0075566B" w:rsidRDefault="0075566B" w:rsidP="005A10A9">
      <w:pPr>
        <w:spacing w:after="120"/>
        <w:jc w:val="both"/>
        <w:rPr>
          <w:rFonts w:ascii="Arial" w:eastAsia="Calibri" w:hAnsi="Arial" w:cs="Arial"/>
          <w:bCs/>
          <w:sz w:val="20"/>
          <w:szCs w:val="20"/>
          <w:lang w:val="es-ES"/>
        </w:rPr>
      </w:pPr>
    </w:p>
    <w:p w14:paraId="568B8F96" w14:textId="43104DC6" w:rsidR="0075566B" w:rsidRDefault="0075566B" w:rsidP="005A10A9">
      <w:pPr>
        <w:spacing w:after="120"/>
        <w:jc w:val="both"/>
        <w:rPr>
          <w:rFonts w:ascii="Arial" w:eastAsia="Calibri" w:hAnsi="Arial" w:cs="Arial"/>
          <w:bCs/>
          <w:sz w:val="20"/>
          <w:szCs w:val="20"/>
          <w:lang w:val="es-ES"/>
        </w:rPr>
      </w:pPr>
    </w:p>
    <w:p w14:paraId="63848E6D" w14:textId="6F58E235" w:rsidR="0075566B" w:rsidRDefault="0075566B" w:rsidP="005A10A9">
      <w:pPr>
        <w:spacing w:after="120"/>
        <w:jc w:val="both"/>
        <w:rPr>
          <w:rFonts w:ascii="Arial" w:eastAsia="Calibri" w:hAnsi="Arial" w:cs="Arial"/>
          <w:bCs/>
          <w:sz w:val="20"/>
          <w:szCs w:val="20"/>
          <w:lang w:val="es-ES"/>
        </w:rPr>
      </w:pPr>
    </w:p>
    <w:p w14:paraId="3FEAF9B3" w14:textId="347A17FA" w:rsidR="0075566B" w:rsidRDefault="0075566B" w:rsidP="005A10A9">
      <w:pPr>
        <w:spacing w:after="120"/>
        <w:jc w:val="both"/>
        <w:rPr>
          <w:rFonts w:ascii="Arial" w:eastAsia="Calibri" w:hAnsi="Arial" w:cs="Arial"/>
          <w:bCs/>
          <w:sz w:val="20"/>
          <w:szCs w:val="20"/>
          <w:lang w:val="es-ES"/>
        </w:rPr>
      </w:pPr>
    </w:p>
    <w:p w14:paraId="4AF6A464" w14:textId="730D709C" w:rsidR="0075566B" w:rsidRDefault="0075566B" w:rsidP="005A10A9">
      <w:pPr>
        <w:spacing w:after="120"/>
        <w:jc w:val="both"/>
        <w:rPr>
          <w:rFonts w:ascii="Arial" w:eastAsia="Calibri" w:hAnsi="Arial" w:cs="Arial"/>
          <w:bCs/>
          <w:sz w:val="20"/>
          <w:szCs w:val="20"/>
          <w:lang w:val="es-ES"/>
        </w:rPr>
      </w:pPr>
    </w:p>
    <w:p w14:paraId="65A5FA2B" w14:textId="2B7B3A3C" w:rsidR="0075566B" w:rsidRDefault="0075566B" w:rsidP="005A10A9">
      <w:pPr>
        <w:spacing w:after="120"/>
        <w:jc w:val="both"/>
        <w:rPr>
          <w:rFonts w:ascii="Arial" w:eastAsia="Calibri" w:hAnsi="Arial" w:cs="Arial"/>
          <w:bCs/>
          <w:sz w:val="20"/>
          <w:szCs w:val="20"/>
          <w:lang w:val="es-ES"/>
        </w:rPr>
      </w:pPr>
    </w:p>
    <w:p w14:paraId="3175D7E1" w14:textId="10E7A28A" w:rsidR="0075566B" w:rsidRDefault="0075566B" w:rsidP="005A10A9">
      <w:pPr>
        <w:spacing w:after="120"/>
        <w:jc w:val="both"/>
        <w:rPr>
          <w:rFonts w:ascii="Arial" w:eastAsia="Calibri" w:hAnsi="Arial" w:cs="Arial"/>
          <w:bCs/>
          <w:sz w:val="20"/>
          <w:szCs w:val="20"/>
          <w:lang w:val="es-ES"/>
        </w:rPr>
      </w:pPr>
    </w:p>
    <w:p w14:paraId="6EBA704F" w14:textId="77777777" w:rsidR="002B6372" w:rsidRDefault="002B6372" w:rsidP="002B6372">
      <w:pPr>
        <w:spacing w:after="120"/>
        <w:jc w:val="right"/>
        <w:rPr>
          <w:rFonts w:ascii="Arial" w:eastAsia="Calibri" w:hAnsi="Arial" w:cs="Arial"/>
          <w:bCs/>
          <w:sz w:val="20"/>
          <w:szCs w:val="20"/>
          <w:lang w:val="es-ES"/>
        </w:rPr>
      </w:pPr>
      <w:r w:rsidRPr="002B6372">
        <w:rPr>
          <w:rFonts w:ascii="Arial" w:eastAsia="Calibri" w:hAnsi="Arial" w:cs="Arial"/>
          <w:b/>
          <w:sz w:val="20"/>
          <w:szCs w:val="20"/>
          <w:lang w:val="es-ES"/>
        </w:rPr>
        <w:lastRenderedPageBreak/>
        <w:drawing>
          <wp:inline distT="0" distB="0" distL="0" distR="0" wp14:anchorId="3053A776" wp14:editId="4EF2EAEE">
            <wp:extent cx="2609850" cy="699885"/>
            <wp:effectExtent l="0" t="0" r="0" b="508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637826" cy="707387"/>
                    </a:xfrm>
                    <a:prstGeom prst="rect">
                      <a:avLst/>
                    </a:prstGeom>
                  </pic:spPr>
                </pic:pic>
              </a:graphicData>
            </a:graphic>
          </wp:inline>
        </w:drawing>
      </w:r>
    </w:p>
    <w:p w14:paraId="5AE2C3D5" w14:textId="6E73E238" w:rsidR="0075566B" w:rsidRDefault="0075566B" w:rsidP="002B6372">
      <w:pPr>
        <w:spacing w:after="120"/>
        <w:jc w:val="right"/>
        <w:rPr>
          <w:rFonts w:ascii="Arial" w:eastAsia="Calibri" w:hAnsi="Arial" w:cs="Arial"/>
          <w:bCs/>
          <w:sz w:val="20"/>
          <w:szCs w:val="20"/>
          <w:lang w:val="es-ES"/>
        </w:rPr>
      </w:pPr>
      <w:r w:rsidRPr="0075566B">
        <w:rPr>
          <w:rFonts w:ascii="Arial" w:eastAsia="Calibri" w:hAnsi="Arial" w:cs="Arial"/>
          <w:bCs/>
          <w:sz w:val="20"/>
          <w:szCs w:val="20"/>
          <w:lang w:val="es-ES"/>
        </w:rPr>
        <w:t xml:space="preserve">Bogotá, 13 </w:t>
      </w:r>
      <w:proofErr w:type="gramStart"/>
      <w:r w:rsidRPr="0075566B">
        <w:rPr>
          <w:rFonts w:ascii="Arial" w:eastAsia="Calibri" w:hAnsi="Arial" w:cs="Arial"/>
          <w:bCs/>
          <w:sz w:val="20"/>
          <w:szCs w:val="20"/>
          <w:lang w:val="es-ES"/>
        </w:rPr>
        <w:t>Abril</w:t>
      </w:r>
      <w:proofErr w:type="gramEnd"/>
      <w:r w:rsidRPr="0075566B">
        <w:rPr>
          <w:rFonts w:ascii="Arial" w:eastAsia="Calibri" w:hAnsi="Arial" w:cs="Arial"/>
          <w:bCs/>
          <w:sz w:val="20"/>
          <w:szCs w:val="20"/>
          <w:lang w:val="es-ES"/>
        </w:rPr>
        <w:t xml:space="preserve"> 2021</w:t>
      </w:r>
    </w:p>
    <w:p w14:paraId="41FD4FFD" w14:textId="77777777" w:rsidR="0075566B" w:rsidRDefault="0075566B" w:rsidP="0075566B">
      <w:pPr>
        <w:spacing w:after="120"/>
        <w:rPr>
          <w:rFonts w:ascii="Arial" w:eastAsia="Calibri" w:hAnsi="Arial" w:cs="Arial"/>
          <w:bCs/>
          <w:sz w:val="20"/>
          <w:szCs w:val="20"/>
          <w:lang w:val="es-ES"/>
        </w:rPr>
      </w:pPr>
    </w:p>
    <w:p w14:paraId="55A68924" w14:textId="77777777" w:rsidR="007E4262" w:rsidRPr="00B34968" w:rsidRDefault="007E4262" w:rsidP="00BE1E33">
      <w:pPr>
        <w:rPr>
          <w:rFonts w:ascii="Arial" w:eastAsia="Calibri" w:hAnsi="Arial" w:cs="Arial"/>
          <w:sz w:val="22"/>
        </w:rPr>
      </w:pPr>
    </w:p>
    <w:p w14:paraId="73D51859" w14:textId="10A732B5" w:rsidR="00BE1E33" w:rsidRPr="00B34968" w:rsidRDefault="00E6266E" w:rsidP="00BE1E33">
      <w:pPr>
        <w:rPr>
          <w:rFonts w:ascii="Arial" w:eastAsia="Calibri" w:hAnsi="Arial" w:cs="Arial"/>
          <w:sz w:val="22"/>
        </w:rPr>
      </w:pPr>
      <w:r w:rsidRPr="00B34968">
        <w:rPr>
          <w:rFonts w:ascii="Arial" w:eastAsia="Calibri" w:hAnsi="Arial" w:cs="Arial"/>
          <w:sz w:val="22"/>
        </w:rPr>
        <w:t>Señor</w:t>
      </w:r>
    </w:p>
    <w:p w14:paraId="2A334C05" w14:textId="5281B9A2" w:rsidR="009C3780" w:rsidRPr="00B34968" w:rsidRDefault="009C3780" w:rsidP="00BE1E33">
      <w:pPr>
        <w:rPr>
          <w:rFonts w:ascii="Arial" w:eastAsia="Calibri" w:hAnsi="Arial" w:cs="Arial"/>
          <w:b/>
          <w:sz w:val="22"/>
        </w:rPr>
      </w:pPr>
      <w:r w:rsidRPr="00B34968">
        <w:rPr>
          <w:rFonts w:ascii="Arial" w:eastAsia="Calibri" w:hAnsi="Arial" w:cs="Arial"/>
          <w:b/>
          <w:sz w:val="22"/>
        </w:rPr>
        <w:t>William Martínez Cruz</w:t>
      </w:r>
    </w:p>
    <w:p w14:paraId="04EF8353" w14:textId="5585FF7D" w:rsidR="00BE1E33" w:rsidRPr="00B34968" w:rsidRDefault="00AA48F7" w:rsidP="00BE1E33">
      <w:pPr>
        <w:rPr>
          <w:rFonts w:ascii="Arial" w:eastAsia="Calibri" w:hAnsi="Arial" w:cs="Arial"/>
          <w:sz w:val="22"/>
        </w:rPr>
      </w:pPr>
      <w:r w:rsidRPr="00B34968">
        <w:rPr>
          <w:rFonts w:ascii="Arial" w:eastAsia="Calibri" w:hAnsi="Arial" w:cs="Arial"/>
          <w:sz w:val="22"/>
        </w:rPr>
        <w:t xml:space="preserve">Chía, Cundinamarca </w:t>
      </w:r>
    </w:p>
    <w:p w14:paraId="738DBA53" w14:textId="541DE0AD" w:rsidR="00BE1E33" w:rsidRPr="00B34968" w:rsidRDefault="00BE1E33" w:rsidP="00BE1E33">
      <w:pPr>
        <w:rPr>
          <w:rFonts w:ascii="Arial" w:eastAsia="Calibri" w:hAnsi="Arial" w:cs="Arial"/>
          <w:sz w:val="22"/>
        </w:rPr>
      </w:pPr>
    </w:p>
    <w:p w14:paraId="42E02C9F" w14:textId="77777777" w:rsidR="005B4ED0" w:rsidRPr="00B34968" w:rsidRDefault="005B4ED0" w:rsidP="00BE1E33">
      <w:pPr>
        <w:rPr>
          <w:rFonts w:ascii="Arial" w:eastAsia="Calibri" w:hAnsi="Arial" w:cs="Arial"/>
          <w:sz w:val="22"/>
        </w:rPr>
      </w:pPr>
    </w:p>
    <w:p w14:paraId="5CEA4ADF" w14:textId="3DFF9983" w:rsidR="00BE1E33" w:rsidRPr="00B34968" w:rsidRDefault="00BE1E33" w:rsidP="00BE1E33">
      <w:pPr>
        <w:ind w:firstLine="2694"/>
        <w:rPr>
          <w:rFonts w:ascii="Arial" w:eastAsia="Calibri" w:hAnsi="Arial" w:cs="Arial"/>
          <w:b/>
          <w:sz w:val="22"/>
        </w:rPr>
      </w:pPr>
      <w:r w:rsidRPr="00B34968">
        <w:rPr>
          <w:rFonts w:ascii="Arial" w:eastAsia="Calibri" w:hAnsi="Arial" w:cs="Arial"/>
          <w:b/>
          <w:sz w:val="22"/>
        </w:rPr>
        <w:t xml:space="preserve">Concepto C </w:t>
      </w:r>
      <w:r w:rsidR="00490DBF" w:rsidRPr="00B34968">
        <w:rPr>
          <w:rFonts w:ascii="Arial" w:eastAsia="Calibri" w:hAnsi="Arial" w:cs="Arial"/>
          <w:b/>
          <w:sz w:val="22"/>
        </w:rPr>
        <w:t>–</w:t>
      </w:r>
      <w:r w:rsidRPr="00B34968">
        <w:rPr>
          <w:rFonts w:ascii="Arial" w:eastAsia="Calibri" w:hAnsi="Arial" w:cs="Arial"/>
          <w:b/>
          <w:sz w:val="22"/>
        </w:rPr>
        <w:t xml:space="preserve"> </w:t>
      </w:r>
      <w:r w:rsidR="00AA48F7" w:rsidRPr="00B34968">
        <w:rPr>
          <w:rFonts w:ascii="Arial" w:eastAsia="Calibri" w:hAnsi="Arial" w:cs="Arial"/>
          <w:b/>
          <w:sz w:val="22"/>
        </w:rPr>
        <w:t>162</w:t>
      </w:r>
      <w:r w:rsidR="000100E8" w:rsidRPr="00B34968">
        <w:rPr>
          <w:rFonts w:ascii="Arial" w:eastAsia="Calibri" w:hAnsi="Arial" w:cs="Arial"/>
          <w:b/>
          <w:sz w:val="22"/>
        </w:rPr>
        <w:t xml:space="preserve"> </w:t>
      </w:r>
      <w:r w:rsidRPr="00B34968">
        <w:rPr>
          <w:rFonts w:ascii="Arial" w:eastAsia="Calibri" w:hAnsi="Arial" w:cs="Arial"/>
          <w:b/>
          <w:sz w:val="22"/>
        </w:rPr>
        <w:t>de 202</w:t>
      </w:r>
      <w:r w:rsidR="00C95532" w:rsidRPr="00B34968">
        <w:rPr>
          <w:rFonts w:ascii="Arial" w:eastAsia="Calibri" w:hAnsi="Arial" w:cs="Arial"/>
          <w:b/>
          <w:sz w:val="22"/>
        </w:rPr>
        <w:t>1</w:t>
      </w:r>
    </w:p>
    <w:p w14:paraId="595D4698" w14:textId="77777777" w:rsidR="005B4ED0" w:rsidRPr="00B34968" w:rsidRDefault="005B4ED0" w:rsidP="00BE1E3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34968" w:rsidRPr="00B34968" w14:paraId="2553E4F3" w14:textId="77777777" w:rsidTr="0075566B">
        <w:trPr>
          <w:trHeight w:val="1285"/>
        </w:trPr>
        <w:tc>
          <w:tcPr>
            <w:tcW w:w="2689" w:type="dxa"/>
            <w:hideMark/>
          </w:tcPr>
          <w:p w14:paraId="7BC9E971" w14:textId="77777777" w:rsidR="00BE1E33" w:rsidRPr="00B34968" w:rsidRDefault="00BE1E33" w:rsidP="00AC43E7">
            <w:pPr>
              <w:rPr>
                <w:rFonts w:ascii="Arial" w:eastAsia="Calibri" w:hAnsi="Arial" w:cs="Arial"/>
                <w:sz w:val="22"/>
              </w:rPr>
            </w:pPr>
            <w:r w:rsidRPr="00B34968">
              <w:rPr>
                <w:rFonts w:ascii="Arial" w:eastAsia="Calibri" w:hAnsi="Arial" w:cs="Arial"/>
                <w:b/>
                <w:sz w:val="22"/>
              </w:rPr>
              <w:t>Temas:</w:t>
            </w:r>
            <w:r w:rsidRPr="00B34968">
              <w:rPr>
                <w:rFonts w:ascii="Arial" w:eastAsia="Calibri" w:hAnsi="Arial" w:cs="Arial"/>
                <w:sz w:val="22"/>
              </w:rPr>
              <w:t xml:space="preserve">           </w:t>
            </w:r>
          </w:p>
          <w:p w14:paraId="0C0D8CD7" w14:textId="77777777" w:rsidR="00BE1E33" w:rsidRPr="00B34968" w:rsidRDefault="00BE1E33" w:rsidP="00AC43E7">
            <w:pPr>
              <w:rPr>
                <w:rFonts w:ascii="Arial" w:eastAsia="Calibri" w:hAnsi="Arial" w:cs="Arial"/>
                <w:sz w:val="22"/>
              </w:rPr>
            </w:pPr>
            <w:r w:rsidRPr="00B34968">
              <w:rPr>
                <w:rFonts w:ascii="Arial" w:eastAsia="Calibri" w:hAnsi="Arial" w:cs="Arial"/>
                <w:sz w:val="22"/>
              </w:rPr>
              <w:t xml:space="preserve">                           </w:t>
            </w:r>
          </w:p>
        </w:tc>
        <w:tc>
          <w:tcPr>
            <w:tcW w:w="6237" w:type="dxa"/>
            <w:hideMark/>
          </w:tcPr>
          <w:p w14:paraId="0F35FDBD" w14:textId="0527DC89" w:rsidR="00BE1E33" w:rsidRPr="00B34968" w:rsidRDefault="007E4262">
            <w:pPr>
              <w:jc w:val="both"/>
              <w:rPr>
                <w:rFonts w:ascii="Arial" w:eastAsia="Calibri" w:hAnsi="Arial" w:cs="Arial"/>
                <w:sz w:val="22"/>
              </w:rPr>
            </w:pPr>
            <w:r w:rsidRPr="007E4262">
              <w:rPr>
                <w:rFonts w:ascii="Arial" w:eastAsia="Calibri" w:hAnsi="Arial" w:cs="Arial"/>
                <w:sz w:val="22"/>
              </w:rPr>
              <w:t>SELECCIÓN OBJETIVA – Contratación estatal – Concepto</w:t>
            </w:r>
            <w:r>
              <w:rPr>
                <w:rFonts w:ascii="Arial" w:eastAsia="Calibri" w:hAnsi="Arial" w:cs="Arial"/>
                <w:sz w:val="22"/>
              </w:rPr>
              <w:t xml:space="preserve"> / </w:t>
            </w:r>
            <w:r w:rsidRPr="007E4262">
              <w:rPr>
                <w:rFonts w:ascii="Arial" w:eastAsia="Calibri" w:hAnsi="Arial" w:cs="Arial"/>
                <w:sz w:val="22"/>
              </w:rPr>
              <w:t>EMPATE – Procedimiento de selección – Concepto</w:t>
            </w:r>
            <w:r>
              <w:rPr>
                <w:rFonts w:ascii="Arial" w:eastAsia="Calibri" w:hAnsi="Arial" w:cs="Arial"/>
                <w:sz w:val="22"/>
              </w:rPr>
              <w:t xml:space="preserve"> / </w:t>
            </w:r>
            <w:r w:rsidRPr="007E4262">
              <w:rPr>
                <w:rFonts w:ascii="Arial" w:eastAsia="Calibri" w:hAnsi="Arial" w:cs="Arial"/>
                <w:sz w:val="22"/>
              </w:rPr>
              <w:t>FACTORES DE DESEMPATE – Características – Límites</w:t>
            </w:r>
            <w:r>
              <w:rPr>
                <w:rFonts w:ascii="Arial" w:eastAsia="Calibri" w:hAnsi="Arial" w:cs="Arial"/>
                <w:sz w:val="22"/>
              </w:rPr>
              <w:t xml:space="preserve"> / </w:t>
            </w:r>
            <w:r w:rsidRPr="007E4262">
              <w:rPr>
                <w:rFonts w:ascii="Arial" w:eastAsia="Calibri" w:hAnsi="Arial" w:cs="Arial"/>
                <w:sz w:val="22"/>
              </w:rPr>
              <w:t>LEY DE EMPRENDIMIENTO – Ley 2069 – Finalidad – Contenido</w:t>
            </w:r>
            <w:r>
              <w:rPr>
                <w:rFonts w:ascii="Arial" w:eastAsia="Calibri" w:hAnsi="Arial" w:cs="Arial"/>
                <w:sz w:val="22"/>
              </w:rPr>
              <w:t xml:space="preserve"> / </w:t>
            </w:r>
            <w:r w:rsidRPr="007E4262">
              <w:rPr>
                <w:rFonts w:ascii="Arial" w:eastAsia="Calibri" w:hAnsi="Arial" w:cs="Arial"/>
                <w:sz w:val="22"/>
              </w:rPr>
              <w:t>FACTORES DE DESEMPATE – Ley 2069 – Artículo 35 – Decaimiento – Aplicación directa</w:t>
            </w:r>
            <w:r>
              <w:rPr>
                <w:rFonts w:ascii="Arial" w:eastAsia="Calibri" w:hAnsi="Arial" w:cs="Arial"/>
                <w:sz w:val="22"/>
              </w:rPr>
              <w:t xml:space="preserve"> / </w:t>
            </w:r>
          </w:p>
        </w:tc>
      </w:tr>
      <w:tr w:rsidR="003F6D32" w:rsidRPr="00B34968" w14:paraId="20F2A3B6" w14:textId="77777777" w:rsidTr="00AC43E7">
        <w:tc>
          <w:tcPr>
            <w:tcW w:w="2689" w:type="dxa"/>
          </w:tcPr>
          <w:p w14:paraId="1E82F4FA" w14:textId="77777777" w:rsidR="00BE1E33" w:rsidRPr="00B34968" w:rsidRDefault="00BE1E33" w:rsidP="00AC43E7">
            <w:pPr>
              <w:spacing w:before="120"/>
              <w:rPr>
                <w:rFonts w:ascii="Arial" w:eastAsia="Calibri" w:hAnsi="Arial" w:cs="Arial"/>
                <w:b/>
                <w:sz w:val="22"/>
              </w:rPr>
            </w:pPr>
            <w:r w:rsidRPr="00B34968">
              <w:rPr>
                <w:rFonts w:ascii="Arial" w:eastAsia="Calibri" w:hAnsi="Arial" w:cs="Arial"/>
                <w:b/>
                <w:sz w:val="22"/>
              </w:rPr>
              <w:t>Radicación:</w:t>
            </w:r>
            <w:r w:rsidRPr="00B34968">
              <w:rPr>
                <w:rFonts w:ascii="Arial" w:eastAsia="Calibri" w:hAnsi="Arial" w:cs="Arial"/>
                <w:sz w:val="22"/>
              </w:rPr>
              <w:t xml:space="preserve">                              </w:t>
            </w:r>
          </w:p>
        </w:tc>
        <w:tc>
          <w:tcPr>
            <w:tcW w:w="6237" w:type="dxa"/>
          </w:tcPr>
          <w:p w14:paraId="20FCE53A" w14:textId="6E0B3236" w:rsidR="00BE1E33" w:rsidRPr="00B34968" w:rsidRDefault="00BE1E33" w:rsidP="00AC43E7">
            <w:pPr>
              <w:spacing w:before="120"/>
              <w:jc w:val="both"/>
              <w:rPr>
                <w:rFonts w:ascii="Arial" w:eastAsia="Calibri" w:hAnsi="Arial" w:cs="Arial"/>
                <w:sz w:val="22"/>
              </w:rPr>
            </w:pPr>
            <w:r w:rsidRPr="00B34968">
              <w:rPr>
                <w:rFonts w:ascii="Arial" w:eastAsia="Calibri" w:hAnsi="Arial" w:cs="Arial"/>
                <w:sz w:val="22"/>
              </w:rPr>
              <w:t>Respuesta a consulta</w:t>
            </w:r>
            <w:r w:rsidR="00C95532" w:rsidRPr="00B34968">
              <w:rPr>
                <w:rFonts w:ascii="Arial" w:eastAsia="Calibri" w:hAnsi="Arial" w:cs="Arial"/>
                <w:sz w:val="22"/>
              </w:rPr>
              <w:t>s</w:t>
            </w:r>
            <w:r w:rsidRPr="00B34968">
              <w:rPr>
                <w:rFonts w:ascii="Arial" w:eastAsia="Calibri" w:hAnsi="Arial" w:cs="Arial"/>
                <w:sz w:val="22"/>
              </w:rPr>
              <w:t xml:space="preserve"> </w:t>
            </w:r>
            <w:r w:rsidR="002A4BC4" w:rsidRPr="00B34968">
              <w:rPr>
                <w:rFonts w:ascii="Arial" w:eastAsia="Calibri" w:hAnsi="Arial" w:cs="Arial"/>
                <w:sz w:val="22"/>
              </w:rPr>
              <w:t xml:space="preserve"># </w:t>
            </w:r>
            <w:r w:rsidR="000D64F5" w:rsidRPr="00B34968">
              <w:rPr>
                <w:rFonts w:ascii="Arial" w:eastAsia="Calibri" w:hAnsi="Arial" w:cs="Arial"/>
                <w:sz w:val="22"/>
              </w:rPr>
              <w:t>P20210303001757</w:t>
            </w:r>
          </w:p>
        </w:tc>
      </w:tr>
    </w:tbl>
    <w:p w14:paraId="177F3517" w14:textId="77777777" w:rsidR="00BE1E33" w:rsidRPr="00B34968" w:rsidRDefault="00BE1E33" w:rsidP="0075566B">
      <w:pPr>
        <w:jc w:val="both"/>
        <w:rPr>
          <w:rFonts w:ascii="Arial" w:eastAsia="Calibri" w:hAnsi="Arial" w:cs="Arial"/>
          <w:sz w:val="22"/>
        </w:rPr>
      </w:pPr>
    </w:p>
    <w:p w14:paraId="02CD78BF" w14:textId="77777777" w:rsidR="005B4ED0" w:rsidRPr="00B34968" w:rsidRDefault="005B4ED0" w:rsidP="00BE1E33">
      <w:pPr>
        <w:jc w:val="both"/>
        <w:rPr>
          <w:rFonts w:ascii="Arial" w:eastAsia="Calibri" w:hAnsi="Arial" w:cs="Arial"/>
          <w:sz w:val="22"/>
        </w:rPr>
      </w:pPr>
    </w:p>
    <w:p w14:paraId="417ABDA8" w14:textId="79127D91" w:rsidR="00BE1E33" w:rsidRPr="00B34968" w:rsidRDefault="00BE1E33" w:rsidP="00BE1E33">
      <w:pPr>
        <w:rPr>
          <w:rFonts w:ascii="Arial" w:eastAsia="Calibri" w:hAnsi="Arial" w:cs="Arial"/>
          <w:sz w:val="22"/>
        </w:rPr>
      </w:pPr>
      <w:r w:rsidRPr="00B34968">
        <w:rPr>
          <w:rFonts w:ascii="Arial" w:eastAsia="Calibri" w:hAnsi="Arial" w:cs="Arial"/>
          <w:sz w:val="22"/>
        </w:rPr>
        <w:t>Estimad</w:t>
      </w:r>
      <w:r w:rsidR="000D64F5" w:rsidRPr="00B34968">
        <w:rPr>
          <w:rFonts w:ascii="Arial" w:eastAsia="Calibri" w:hAnsi="Arial" w:cs="Arial"/>
          <w:sz w:val="22"/>
        </w:rPr>
        <w:t>o</w:t>
      </w:r>
      <w:r w:rsidR="009C27A9" w:rsidRPr="00B34968">
        <w:rPr>
          <w:rFonts w:ascii="Arial" w:eastAsia="Calibri" w:hAnsi="Arial" w:cs="Arial"/>
          <w:sz w:val="22"/>
        </w:rPr>
        <w:t xml:space="preserve"> </w:t>
      </w:r>
      <w:r w:rsidR="008C3ACC" w:rsidRPr="00B34968">
        <w:rPr>
          <w:rFonts w:ascii="Arial" w:eastAsia="Calibri" w:hAnsi="Arial" w:cs="Arial"/>
          <w:sz w:val="22"/>
        </w:rPr>
        <w:t>señor</w:t>
      </w:r>
      <w:r w:rsidR="00C95532" w:rsidRPr="00B34968">
        <w:rPr>
          <w:rFonts w:ascii="Arial" w:eastAsia="Calibri" w:hAnsi="Arial" w:cs="Arial"/>
          <w:sz w:val="22"/>
        </w:rPr>
        <w:t xml:space="preserve"> </w:t>
      </w:r>
      <w:r w:rsidR="000D64F5" w:rsidRPr="00B34968">
        <w:rPr>
          <w:rFonts w:ascii="Arial" w:eastAsia="Calibri" w:hAnsi="Arial" w:cs="Arial"/>
          <w:sz w:val="22"/>
        </w:rPr>
        <w:t>Martínez</w:t>
      </w:r>
      <w:r w:rsidRPr="00B34968">
        <w:rPr>
          <w:rFonts w:ascii="Arial" w:eastAsia="Calibri" w:hAnsi="Arial" w:cs="Arial"/>
          <w:sz w:val="22"/>
        </w:rPr>
        <w:t>:</w:t>
      </w:r>
    </w:p>
    <w:p w14:paraId="1CCABABD" w14:textId="77777777" w:rsidR="00BE1E33" w:rsidRPr="00B34968" w:rsidRDefault="00BE1E33" w:rsidP="00BE1E33">
      <w:pPr>
        <w:rPr>
          <w:rFonts w:ascii="Arial" w:eastAsia="Calibri" w:hAnsi="Arial" w:cs="Arial"/>
          <w:sz w:val="22"/>
        </w:rPr>
      </w:pPr>
    </w:p>
    <w:p w14:paraId="286A9CEF" w14:textId="1D3E6987" w:rsidR="00BE1E33" w:rsidRPr="00B34968" w:rsidRDefault="00BE1E33" w:rsidP="00BE1E33">
      <w:pPr>
        <w:spacing w:line="276" w:lineRule="auto"/>
        <w:jc w:val="both"/>
        <w:rPr>
          <w:rFonts w:ascii="Arial" w:eastAsia="Calibri" w:hAnsi="Arial" w:cs="Arial"/>
          <w:sz w:val="22"/>
        </w:rPr>
      </w:pPr>
      <w:r w:rsidRPr="00B34968">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w:t>
      </w:r>
      <w:r w:rsidR="008544EE" w:rsidRPr="00B34968">
        <w:rPr>
          <w:rFonts w:ascii="Arial" w:eastAsia="Calibri" w:hAnsi="Arial" w:cs="Arial"/>
          <w:sz w:val="22"/>
        </w:rPr>
        <w:t>su</w:t>
      </w:r>
      <w:r w:rsidR="00C15574" w:rsidRPr="00B34968">
        <w:rPr>
          <w:rFonts w:ascii="Arial" w:eastAsia="Calibri" w:hAnsi="Arial" w:cs="Arial"/>
          <w:sz w:val="22"/>
        </w:rPr>
        <w:t xml:space="preserve"> consulta realiza</w:t>
      </w:r>
      <w:r w:rsidR="007D6205" w:rsidRPr="00B34968">
        <w:rPr>
          <w:rFonts w:ascii="Arial" w:eastAsia="Calibri" w:hAnsi="Arial" w:cs="Arial"/>
          <w:sz w:val="22"/>
        </w:rPr>
        <w:t>da</w:t>
      </w:r>
      <w:r w:rsidR="00C15574" w:rsidRPr="00B34968">
        <w:rPr>
          <w:rFonts w:ascii="Arial" w:eastAsia="Calibri" w:hAnsi="Arial" w:cs="Arial"/>
          <w:sz w:val="22"/>
        </w:rPr>
        <w:t xml:space="preserve"> </w:t>
      </w:r>
      <w:r w:rsidRPr="00B34968">
        <w:rPr>
          <w:rFonts w:ascii="Arial" w:eastAsia="Calibri" w:hAnsi="Arial" w:cs="Arial"/>
          <w:sz w:val="22"/>
        </w:rPr>
        <w:t xml:space="preserve">el </w:t>
      </w:r>
      <w:r w:rsidR="008A3284" w:rsidRPr="00B34968">
        <w:rPr>
          <w:rFonts w:ascii="Arial" w:eastAsia="Calibri" w:hAnsi="Arial" w:cs="Arial"/>
          <w:sz w:val="22"/>
        </w:rPr>
        <w:t xml:space="preserve">03 </w:t>
      </w:r>
      <w:r w:rsidR="008E4AD1" w:rsidRPr="00B34968">
        <w:rPr>
          <w:rFonts w:ascii="Arial" w:eastAsia="Calibri" w:hAnsi="Arial" w:cs="Arial"/>
          <w:sz w:val="22"/>
        </w:rPr>
        <w:t xml:space="preserve">de </w:t>
      </w:r>
      <w:r w:rsidR="008A3284" w:rsidRPr="00B34968">
        <w:rPr>
          <w:rFonts w:ascii="Arial" w:eastAsia="Calibri" w:hAnsi="Arial" w:cs="Arial"/>
          <w:sz w:val="22"/>
        </w:rPr>
        <w:t>marzo</w:t>
      </w:r>
      <w:r w:rsidR="008E4AD1" w:rsidRPr="00B34968">
        <w:rPr>
          <w:rFonts w:ascii="Arial" w:eastAsia="Calibri" w:hAnsi="Arial" w:cs="Arial"/>
          <w:sz w:val="22"/>
        </w:rPr>
        <w:t xml:space="preserve"> de</w:t>
      </w:r>
      <w:r w:rsidR="008A3284" w:rsidRPr="00B34968">
        <w:rPr>
          <w:rFonts w:ascii="Arial" w:eastAsia="Calibri" w:hAnsi="Arial" w:cs="Arial"/>
          <w:sz w:val="22"/>
        </w:rPr>
        <w:t xml:space="preserve"> </w:t>
      </w:r>
      <w:r w:rsidR="008E4AD1" w:rsidRPr="00B34968">
        <w:rPr>
          <w:rFonts w:ascii="Arial" w:eastAsia="Calibri" w:hAnsi="Arial" w:cs="Arial"/>
          <w:sz w:val="22"/>
        </w:rPr>
        <w:t>2021</w:t>
      </w:r>
      <w:r w:rsidRPr="00B34968">
        <w:rPr>
          <w:rFonts w:ascii="Arial" w:eastAsia="Calibri" w:hAnsi="Arial" w:cs="Arial"/>
          <w:sz w:val="22"/>
        </w:rPr>
        <w:t xml:space="preserve">. </w:t>
      </w:r>
    </w:p>
    <w:p w14:paraId="1D13401D" w14:textId="77777777" w:rsidR="00BE1E33" w:rsidRPr="00B34968" w:rsidRDefault="00BE1E33" w:rsidP="00BE1E33">
      <w:pPr>
        <w:spacing w:line="276" w:lineRule="auto"/>
        <w:jc w:val="both"/>
        <w:rPr>
          <w:rFonts w:ascii="Arial" w:eastAsia="Calibri" w:hAnsi="Arial" w:cs="Arial"/>
          <w:sz w:val="22"/>
        </w:rPr>
      </w:pPr>
    </w:p>
    <w:p w14:paraId="068F505C" w14:textId="0E1AFBCB" w:rsidR="00BE1E33" w:rsidRPr="00B34968" w:rsidRDefault="00BE1E33" w:rsidP="00BE1E33">
      <w:pPr>
        <w:pStyle w:val="Prrafodelista"/>
        <w:numPr>
          <w:ilvl w:val="0"/>
          <w:numId w:val="1"/>
        </w:numPr>
        <w:tabs>
          <w:tab w:val="left" w:pos="284"/>
        </w:tabs>
        <w:spacing w:line="276" w:lineRule="auto"/>
        <w:ind w:left="0" w:firstLine="0"/>
        <w:jc w:val="both"/>
        <w:rPr>
          <w:rFonts w:ascii="Arial" w:eastAsia="Calibri" w:hAnsi="Arial" w:cs="Arial"/>
          <w:b/>
          <w:sz w:val="22"/>
        </w:rPr>
      </w:pPr>
      <w:r w:rsidRPr="00B34968">
        <w:rPr>
          <w:rFonts w:ascii="Arial" w:eastAsia="Calibri" w:hAnsi="Arial" w:cs="Arial"/>
          <w:b/>
          <w:sz w:val="22"/>
        </w:rPr>
        <w:t xml:space="preserve">Problema planteado </w:t>
      </w:r>
    </w:p>
    <w:p w14:paraId="430A9943" w14:textId="77777777" w:rsidR="00BE1E33" w:rsidRPr="00B34968" w:rsidRDefault="00BE1E33" w:rsidP="00BE1E33">
      <w:pPr>
        <w:tabs>
          <w:tab w:val="left" w:pos="426"/>
        </w:tabs>
        <w:spacing w:line="276" w:lineRule="auto"/>
        <w:jc w:val="both"/>
        <w:rPr>
          <w:rFonts w:ascii="Arial" w:eastAsia="Calibri" w:hAnsi="Arial" w:cs="Arial"/>
          <w:b/>
          <w:sz w:val="22"/>
        </w:rPr>
      </w:pPr>
    </w:p>
    <w:p w14:paraId="639F29F2" w14:textId="743D773A" w:rsidR="00183CCB" w:rsidRPr="00B34968" w:rsidRDefault="008E4AD1" w:rsidP="00AC3215">
      <w:pPr>
        <w:tabs>
          <w:tab w:val="left" w:pos="426"/>
        </w:tabs>
        <w:spacing w:line="276" w:lineRule="auto"/>
        <w:jc w:val="both"/>
        <w:rPr>
          <w:rFonts w:ascii="Arial" w:eastAsia="Calibri" w:hAnsi="Arial" w:cs="Arial"/>
          <w:sz w:val="22"/>
        </w:rPr>
      </w:pPr>
      <w:bookmarkStart w:id="0" w:name="_Hlk49352499"/>
      <w:bookmarkStart w:id="1" w:name="_Hlk41142281"/>
      <w:bookmarkStart w:id="2" w:name="_Hlk41043439"/>
      <w:r w:rsidRPr="00B34968">
        <w:rPr>
          <w:rFonts w:ascii="Arial" w:eastAsia="Calibri" w:hAnsi="Arial" w:cs="Arial"/>
          <w:sz w:val="22"/>
        </w:rPr>
        <w:t>En relación con la Ley 2069 del 31 de diciembre de 202</w:t>
      </w:r>
      <w:bookmarkStart w:id="3" w:name="_Hlk63882769"/>
      <w:bookmarkEnd w:id="0"/>
      <w:bookmarkEnd w:id="1"/>
      <w:bookmarkEnd w:id="2"/>
      <w:r w:rsidR="00183CCB" w:rsidRPr="00B34968">
        <w:rPr>
          <w:rFonts w:ascii="Arial" w:eastAsia="Calibri" w:hAnsi="Arial" w:cs="Arial"/>
          <w:sz w:val="22"/>
        </w:rPr>
        <w:t xml:space="preserve">0, realiza la siguiente </w:t>
      </w:r>
      <w:r w:rsidR="00385555">
        <w:rPr>
          <w:rFonts w:ascii="Arial" w:eastAsia="Calibri" w:hAnsi="Arial" w:cs="Arial"/>
          <w:sz w:val="22"/>
        </w:rPr>
        <w:t>consulta</w:t>
      </w:r>
      <w:r w:rsidR="00183CCB" w:rsidRPr="00B34968">
        <w:rPr>
          <w:rFonts w:ascii="Arial" w:eastAsia="Calibri" w:hAnsi="Arial" w:cs="Arial"/>
          <w:sz w:val="22"/>
        </w:rPr>
        <w:t>:</w:t>
      </w:r>
      <w:bookmarkEnd w:id="3"/>
      <w:r w:rsidR="00AC3215" w:rsidRPr="00B34968">
        <w:rPr>
          <w:rFonts w:ascii="Arial" w:eastAsia="Calibri" w:hAnsi="Arial" w:cs="Arial"/>
          <w:sz w:val="22"/>
        </w:rPr>
        <w:t xml:space="preserve"> </w:t>
      </w:r>
      <w:r w:rsidR="00F85D31" w:rsidRPr="00B34968">
        <w:rPr>
          <w:rFonts w:ascii="Arial" w:hAnsi="Arial" w:cs="Arial"/>
          <w:sz w:val="22"/>
          <w:lang w:val="es-CO"/>
        </w:rPr>
        <w:t xml:space="preserve">«[…] </w:t>
      </w:r>
      <w:r w:rsidR="00AC3215" w:rsidRPr="00B34968">
        <w:rPr>
          <w:rFonts w:ascii="Arial" w:hAnsi="Arial" w:cs="Arial"/>
          <w:sz w:val="22"/>
          <w:lang w:val="es-CO"/>
        </w:rPr>
        <w:t xml:space="preserve">dentro de una licitación pública de obra de infraestructura se </w:t>
      </w:r>
      <w:r w:rsidR="00F2474C" w:rsidRPr="00B34968">
        <w:rPr>
          <w:rFonts w:ascii="Arial" w:hAnsi="Arial" w:cs="Arial"/>
          <w:sz w:val="22"/>
          <w:lang w:val="es-CO"/>
        </w:rPr>
        <w:t>utilizará</w:t>
      </w:r>
      <w:r w:rsidR="00AC3215" w:rsidRPr="00B34968">
        <w:rPr>
          <w:rFonts w:ascii="Arial" w:hAnsi="Arial" w:cs="Arial"/>
          <w:sz w:val="22"/>
          <w:lang w:val="es-CO"/>
        </w:rPr>
        <w:t xml:space="preserve"> los criterios de desempate del Decreto 1082 del 2015</w:t>
      </w:r>
      <w:r w:rsidR="007B4972" w:rsidRPr="00B34968">
        <w:rPr>
          <w:rFonts w:ascii="Arial" w:hAnsi="Arial" w:cs="Arial"/>
          <w:sz w:val="22"/>
          <w:lang w:val="es-CO"/>
        </w:rPr>
        <w:t xml:space="preserve"> </w:t>
      </w:r>
      <w:r w:rsidR="00AC3215" w:rsidRPr="00B34968">
        <w:rPr>
          <w:rFonts w:ascii="Arial" w:hAnsi="Arial" w:cs="Arial"/>
          <w:sz w:val="22"/>
          <w:lang w:val="es-CO"/>
        </w:rPr>
        <w:t>como se encuentran en los pliegos tipo que están registrados en la página de ustedes Colombia compra eficiente o si por el contrario se utilizaran los criterios de desempate del artículo 35 de la Ley 2019 de 2020</w:t>
      </w:r>
      <w:r w:rsidR="001C7586" w:rsidRPr="00B34968">
        <w:rPr>
          <w:rFonts w:ascii="Arial" w:hAnsi="Arial" w:cs="Arial"/>
          <w:sz w:val="22"/>
          <w:lang w:val="es-CO"/>
        </w:rPr>
        <w:t xml:space="preserve"> [sic]</w:t>
      </w:r>
      <w:r w:rsidR="00183CCB" w:rsidRPr="00B34968">
        <w:rPr>
          <w:rFonts w:ascii="Arial" w:hAnsi="Arial" w:cs="Arial"/>
          <w:sz w:val="22"/>
          <w:lang w:val="es-CO"/>
        </w:rPr>
        <w:t>»</w:t>
      </w:r>
      <w:r w:rsidR="003E49B3" w:rsidRPr="00B34968">
        <w:rPr>
          <w:rFonts w:ascii="Arial" w:hAnsi="Arial" w:cs="Arial"/>
          <w:sz w:val="22"/>
          <w:lang w:val="es-CO"/>
        </w:rPr>
        <w:t>.</w:t>
      </w:r>
    </w:p>
    <w:p w14:paraId="366661F5" w14:textId="77777777" w:rsidR="005B4ED0" w:rsidRPr="00B34968" w:rsidRDefault="005B4ED0" w:rsidP="00F103DC">
      <w:pPr>
        <w:tabs>
          <w:tab w:val="left" w:pos="709"/>
        </w:tabs>
        <w:spacing w:line="276" w:lineRule="auto"/>
        <w:jc w:val="both"/>
        <w:rPr>
          <w:rFonts w:ascii="Arial" w:eastAsia="Calibri" w:hAnsi="Arial" w:cs="Arial"/>
          <w:sz w:val="22"/>
        </w:rPr>
      </w:pPr>
    </w:p>
    <w:p w14:paraId="4FA382BE" w14:textId="3E67759C" w:rsidR="001D59C7" w:rsidRPr="00B34968" w:rsidRDefault="00BE1E33" w:rsidP="001D59C7">
      <w:pPr>
        <w:pStyle w:val="Prrafodelista"/>
        <w:numPr>
          <w:ilvl w:val="0"/>
          <w:numId w:val="1"/>
        </w:numPr>
        <w:tabs>
          <w:tab w:val="left" w:pos="426"/>
        </w:tabs>
        <w:spacing w:line="276" w:lineRule="auto"/>
        <w:ind w:left="284" w:hanging="284"/>
        <w:jc w:val="both"/>
        <w:rPr>
          <w:rFonts w:ascii="Arial" w:eastAsia="Calibri" w:hAnsi="Arial" w:cs="Arial"/>
          <w:b/>
          <w:sz w:val="22"/>
        </w:rPr>
      </w:pPr>
      <w:r w:rsidRPr="00B34968">
        <w:rPr>
          <w:rFonts w:ascii="Arial" w:eastAsia="Calibri" w:hAnsi="Arial" w:cs="Arial"/>
          <w:b/>
          <w:sz w:val="22"/>
        </w:rPr>
        <w:t>Consideraciones</w:t>
      </w:r>
    </w:p>
    <w:p w14:paraId="2217C81A" w14:textId="77777777" w:rsidR="001D59C7" w:rsidRPr="00B34968" w:rsidRDefault="001D59C7" w:rsidP="00F2474C">
      <w:pPr>
        <w:tabs>
          <w:tab w:val="left" w:pos="426"/>
        </w:tabs>
        <w:jc w:val="both"/>
        <w:rPr>
          <w:rFonts w:ascii="Arial" w:eastAsia="Calibri" w:hAnsi="Arial" w:cs="Arial"/>
          <w:bCs/>
          <w:sz w:val="22"/>
        </w:rPr>
      </w:pPr>
    </w:p>
    <w:p w14:paraId="66E97748" w14:textId="542C7A82" w:rsidR="004774F6" w:rsidRPr="00B34968" w:rsidRDefault="001D59C7" w:rsidP="0089219C">
      <w:pPr>
        <w:tabs>
          <w:tab w:val="left" w:pos="426"/>
        </w:tabs>
        <w:spacing w:line="276" w:lineRule="auto"/>
        <w:jc w:val="both"/>
        <w:rPr>
          <w:rFonts w:ascii="Arial" w:eastAsia="Calibri" w:hAnsi="Arial" w:cs="Arial"/>
          <w:bCs/>
          <w:sz w:val="22"/>
        </w:rPr>
      </w:pPr>
      <w:r w:rsidRPr="00B34968">
        <w:rPr>
          <w:rFonts w:ascii="Arial" w:eastAsia="Calibri" w:hAnsi="Arial" w:cs="Arial"/>
          <w:bCs/>
          <w:sz w:val="22"/>
        </w:rPr>
        <w:t xml:space="preserve">La Agencia Nacional de Contratación Pública – Colombia Compra Eficiente, en los Conceptos </w:t>
      </w:r>
      <w:r w:rsidR="00183A65" w:rsidRPr="00B34968">
        <w:rPr>
          <w:rFonts w:ascii="Arial" w:eastAsia="Calibri" w:hAnsi="Arial" w:cs="Arial"/>
          <w:bCs/>
          <w:sz w:val="22"/>
        </w:rPr>
        <w:t xml:space="preserve">C-514 del 26 de agosto de 2020, C-516 del 26 de agosto de 2020, C-535 del 26 </w:t>
      </w:r>
      <w:r w:rsidR="00183A65" w:rsidRPr="00B34968">
        <w:rPr>
          <w:rFonts w:ascii="Arial" w:eastAsia="Calibri" w:hAnsi="Arial" w:cs="Arial"/>
          <w:bCs/>
          <w:sz w:val="22"/>
        </w:rPr>
        <w:lastRenderedPageBreak/>
        <w:t>de agosto de 2020, C-537 del 26 de agosto de 2020, C-538 del 26 de agosto de 2020, C-568 del 26 de agosto de 2020, C-572 del 27 de agosto de 2020</w:t>
      </w:r>
      <w:r w:rsidR="000221C2" w:rsidRPr="00B34968">
        <w:rPr>
          <w:rFonts w:ascii="Arial" w:eastAsia="Calibri" w:hAnsi="Arial" w:cs="Arial"/>
          <w:bCs/>
          <w:sz w:val="22"/>
        </w:rPr>
        <w:t>,</w:t>
      </w:r>
      <w:r w:rsidR="00823927" w:rsidRPr="00B34968">
        <w:rPr>
          <w:rFonts w:ascii="Arial" w:eastAsia="Calibri" w:hAnsi="Arial" w:cs="Arial"/>
          <w:bCs/>
          <w:sz w:val="22"/>
        </w:rPr>
        <w:t xml:space="preserve"> </w:t>
      </w:r>
      <w:r w:rsidR="00183A65" w:rsidRPr="00B34968">
        <w:rPr>
          <w:rFonts w:ascii="Arial" w:eastAsia="Calibri" w:hAnsi="Arial" w:cs="Arial"/>
          <w:bCs/>
          <w:sz w:val="22"/>
        </w:rPr>
        <w:t>C-582 del 28 de agosto de 2020</w:t>
      </w:r>
      <w:r w:rsidR="000221C2" w:rsidRPr="00B34968">
        <w:rPr>
          <w:rFonts w:ascii="Arial" w:eastAsia="Calibri" w:hAnsi="Arial" w:cs="Arial"/>
          <w:bCs/>
          <w:sz w:val="22"/>
        </w:rPr>
        <w:t xml:space="preserve"> y C-551 del 24 de septiembre de 2020</w:t>
      </w:r>
      <w:r w:rsidRPr="00B34968">
        <w:rPr>
          <w:rFonts w:ascii="Arial" w:eastAsia="Calibri" w:hAnsi="Arial" w:cs="Arial"/>
          <w:bCs/>
          <w:sz w:val="22"/>
        </w:rPr>
        <w:t xml:space="preserve">, explicó la </w:t>
      </w:r>
      <w:r w:rsidR="00823927" w:rsidRPr="00B34968">
        <w:rPr>
          <w:rFonts w:ascii="Arial" w:eastAsia="Calibri" w:hAnsi="Arial" w:cs="Arial"/>
          <w:bCs/>
          <w:sz w:val="22"/>
        </w:rPr>
        <w:t>relación entre la ley y el reglamento, de manera que si bien</w:t>
      </w:r>
      <w:r w:rsidR="00104D9B" w:rsidRPr="00B34968">
        <w:rPr>
          <w:rFonts w:ascii="Arial" w:eastAsia="Calibri" w:hAnsi="Arial" w:cs="Arial"/>
          <w:bCs/>
          <w:sz w:val="22"/>
        </w:rPr>
        <w:t>,</w:t>
      </w:r>
      <w:r w:rsidR="00823927" w:rsidRPr="00B34968">
        <w:rPr>
          <w:rFonts w:ascii="Arial" w:eastAsia="Calibri" w:hAnsi="Arial" w:cs="Arial"/>
          <w:bCs/>
          <w:sz w:val="22"/>
        </w:rPr>
        <w:t xml:space="preserve"> por regla general</w:t>
      </w:r>
      <w:r w:rsidR="00104D9B" w:rsidRPr="00B34968">
        <w:rPr>
          <w:rFonts w:ascii="Arial" w:eastAsia="Calibri" w:hAnsi="Arial" w:cs="Arial"/>
          <w:bCs/>
          <w:sz w:val="22"/>
        </w:rPr>
        <w:t>,</w:t>
      </w:r>
      <w:r w:rsidR="00823927" w:rsidRPr="00B34968">
        <w:rPr>
          <w:rFonts w:ascii="Arial" w:eastAsia="Calibri" w:hAnsi="Arial" w:cs="Arial"/>
          <w:bCs/>
          <w:sz w:val="22"/>
        </w:rPr>
        <w:t xml:space="preserve"> la primera rige a partir de su promulgación, excepcionalmente esta requiere desarrollo reglamentario como una condición previa para su aplicación</w:t>
      </w:r>
      <w:r w:rsidRPr="00B34968">
        <w:rPr>
          <w:rFonts w:ascii="Arial" w:eastAsia="Calibri" w:hAnsi="Arial" w:cs="Arial"/>
          <w:bCs/>
          <w:sz w:val="22"/>
        </w:rPr>
        <w:t>.</w:t>
      </w:r>
      <w:r w:rsidR="000221C2" w:rsidRPr="00B34968">
        <w:rPr>
          <w:rFonts w:ascii="Arial" w:eastAsia="Calibri" w:hAnsi="Arial" w:cs="Arial"/>
          <w:bCs/>
          <w:sz w:val="22"/>
        </w:rPr>
        <w:t xml:space="preserve"> Igualmente, en los </w:t>
      </w:r>
      <w:r w:rsidR="001303DE" w:rsidRPr="00B34968">
        <w:rPr>
          <w:rFonts w:ascii="Arial" w:eastAsia="Calibri" w:hAnsi="Arial" w:cs="Arial"/>
          <w:bCs/>
          <w:sz w:val="22"/>
        </w:rPr>
        <w:t>C-009</w:t>
      </w:r>
      <w:r w:rsidR="00C25D45" w:rsidRPr="00B34968">
        <w:rPr>
          <w:rFonts w:ascii="Arial" w:eastAsia="Calibri" w:hAnsi="Arial" w:cs="Arial"/>
          <w:bCs/>
          <w:sz w:val="22"/>
        </w:rPr>
        <w:t>, C-012, C-013, C-015, C-016, C-026</w:t>
      </w:r>
      <w:r w:rsidR="001303DE" w:rsidRPr="00B34968">
        <w:rPr>
          <w:rFonts w:ascii="Arial" w:eastAsia="Calibri" w:hAnsi="Arial" w:cs="Arial"/>
          <w:bCs/>
          <w:sz w:val="22"/>
        </w:rPr>
        <w:t xml:space="preserve"> del 4 de febrero de 2021,</w:t>
      </w:r>
      <w:r w:rsidR="00DD7A47" w:rsidRPr="00B34968">
        <w:rPr>
          <w:rFonts w:ascii="Arial" w:eastAsia="Calibri" w:hAnsi="Arial" w:cs="Arial"/>
          <w:bCs/>
          <w:sz w:val="22"/>
        </w:rPr>
        <w:t xml:space="preserve"> </w:t>
      </w:r>
      <w:r w:rsidR="001303DE" w:rsidRPr="00B34968">
        <w:rPr>
          <w:rFonts w:ascii="Arial" w:eastAsia="Calibri" w:hAnsi="Arial" w:cs="Arial"/>
          <w:bCs/>
          <w:sz w:val="22"/>
        </w:rPr>
        <w:t>C-006 del 5</w:t>
      </w:r>
      <w:r w:rsidR="00DD7A47" w:rsidRPr="00B34968">
        <w:rPr>
          <w:rFonts w:ascii="Arial" w:eastAsia="Calibri" w:hAnsi="Arial" w:cs="Arial"/>
          <w:bCs/>
          <w:sz w:val="22"/>
        </w:rPr>
        <w:t xml:space="preserve"> de </w:t>
      </w:r>
      <w:r w:rsidR="00CB6D4F" w:rsidRPr="00B34968">
        <w:rPr>
          <w:rFonts w:ascii="Arial" w:eastAsia="Calibri" w:hAnsi="Arial" w:cs="Arial"/>
          <w:bCs/>
          <w:sz w:val="22"/>
        </w:rPr>
        <w:t>febrero de</w:t>
      </w:r>
      <w:r w:rsidR="00DD7A47" w:rsidRPr="00B34968">
        <w:rPr>
          <w:rFonts w:ascii="Arial" w:eastAsia="Calibri" w:hAnsi="Arial" w:cs="Arial"/>
          <w:bCs/>
          <w:sz w:val="22"/>
        </w:rPr>
        <w:t xml:space="preserve"> </w:t>
      </w:r>
      <w:r w:rsidR="001303DE" w:rsidRPr="00B34968">
        <w:rPr>
          <w:rFonts w:ascii="Arial" w:eastAsia="Calibri" w:hAnsi="Arial" w:cs="Arial"/>
          <w:bCs/>
          <w:sz w:val="22"/>
        </w:rPr>
        <w:t>2021, C-043 del 9</w:t>
      </w:r>
      <w:r w:rsidR="00DD7A47" w:rsidRPr="00B34968">
        <w:rPr>
          <w:rFonts w:ascii="Arial" w:eastAsia="Calibri" w:hAnsi="Arial" w:cs="Arial"/>
          <w:bCs/>
          <w:sz w:val="22"/>
        </w:rPr>
        <w:t xml:space="preserve"> de febrero de </w:t>
      </w:r>
      <w:r w:rsidR="001303DE" w:rsidRPr="00B34968">
        <w:rPr>
          <w:rFonts w:ascii="Arial" w:eastAsia="Calibri" w:hAnsi="Arial" w:cs="Arial"/>
          <w:bCs/>
          <w:sz w:val="22"/>
        </w:rPr>
        <w:t>2021, C-005 del 16</w:t>
      </w:r>
      <w:r w:rsidR="00DD7A47" w:rsidRPr="00B34968">
        <w:rPr>
          <w:rFonts w:ascii="Arial" w:eastAsia="Calibri" w:hAnsi="Arial" w:cs="Arial"/>
          <w:bCs/>
          <w:sz w:val="22"/>
        </w:rPr>
        <w:t xml:space="preserve"> de febrero de </w:t>
      </w:r>
      <w:r w:rsidR="001303DE" w:rsidRPr="00B34968">
        <w:rPr>
          <w:rFonts w:ascii="Arial" w:eastAsia="Calibri" w:hAnsi="Arial" w:cs="Arial"/>
          <w:bCs/>
          <w:sz w:val="22"/>
        </w:rPr>
        <w:t>2021, C-007 del 16</w:t>
      </w:r>
      <w:r w:rsidR="00DD7A47" w:rsidRPr="00B34968">
        <w:rPr>
          <w:rFonts w:ascii="Arial" w:eastAsia="Calibri" w:hAnsi="Arial" w:cs="Arial"/>
          <w:bCs/>
          <w:sz w:val="22"/>
        </w:rPr>
        <w:t xml:space="preserve"> de febrero de </w:t>
      </w:r>
      <w:r w:rsidR="001303DE" w:rsidRPr="00B34968">
        <w:rPr>
          <w:rFonts w:ascii="Arial" w:eastAsia="Calibri" w:hAnsi="Arial" w:cs="Arial"/>
          <w:bCs/>
          <w:sz w:val="22"/>
        </w:rPr>
        <w:t xml:space="preserve">2021, </w:t>
      </w:r>
      <w:r w:rsidR="003206B6" w:rsidRPr="00B34968">
        <w:rPr>
          <w:rFonts w:ascii="Arial" w:eastAsia="Calibri" w:hAnsi="Arial" w:cs="Arial"/>
          <w:bCs/>
          <w:sz w:val="22"/>
        </w:rPr>
        <w:t>C-028</w:t>
      </w:r>
      <w:r w:rsidR="00CB6D4F" w:rsidRPr="00B34968">
        <w:rPr>
          <w:rFonts w:ascii="Arial" w:eastAsia="Calibri" w:hAnsi="Arial" w:cs="Arial"/>
          <w:bCs/>
          <w:sz w:val="22"/>
        </w:rPr>
        <w:t>, C-081, C-087</w:t>
      </w:r>
      <w:r w:rsidR="003206B6" w:rsidRPr="00B34968">
        <w:rPr>
          <w:rFonts w:ascii="Arial" w:eastAsia="Calibri" w:hAnsi="Arial" w:cs="Arial"/>
          <w:bCs/>
          <w:sz w:val="22"/>
        </w:rPr>
        <w:t xml:space="preserve"> y </w:t>
      </w:r>
      <w:r w:rsidR="001303DE" w:rsidRPr="00B34968">
        <w:rPr>
          <w:rFonts w:ascii="Arial" w:eastAsia="Calibri" w:hAnsi="Arial" w:cs="Arial"/>
          <w:bCs/>
          <w:sz w:val="22"/>
        </w:rPr>
        <w:t>C-098 del 23</w:t>
      </w:r>
      <w:r w:rsidR="00DD7A47" w:rsidRPr="00B34968">
        <w:rPr>
          <w:rFonts w:ascii="Arial" w:eastAsia="Calibri" w:hAnsi="Arial" w:cs="Arial"/>
          <w:bCs/>
          <w:sz w:val="22"/>
        </w:rPr>
        <w:t xml:space="preserve"> de </w:t>
      </w:r>
      <w:r w:rsidR="003206B6" w:rsidRPr="00B34968">
        <w:rPr>
          <w:rFonts w:ascii="Arial" w:eastAsia="Calibri" w:hAnsi="Arial" w:cs="Arial"/>
          <w:bCs/>
          <w:sz w:val="22"/>
        </w:rPr>
        <w:t>febrero</w:t>
      </w:r>
      <w:r w:rsidR="00DD7A47" w:rsidRPr="00B34968">
        <w:rPr>
          <w:rFonts w:ascii="Arial" w:eastAsia="Calibri" w:hAnsi="Arial" w:cs="Arial"/>
          <w:bCs/>
          <w:sz w:val="22"/>
        </w:rPr>
        <w:t xml:space="preserve"> de </w:t>
      </w:r>
      <w:r w:rsidR="001303DE" w:rsidRPr="00B34968">
        <w:rPr>
          <w:rFonts w:ascii="Arial" w:eastAsia="Calibri" w:hAnsi="Arial" w:cs="Arial"/>
          <w:bCs/>
          <w:sz w:val="22"/>
        </w:rPr>
        <w:t>2021,</w:t>
      </w:r>
      <w:r w:rsidR="00CB6D4F" w:rsidRPr="00B34968">
        <w:rPr>
          <w:rFonts w:ascii="Arial" w:eastAsia="Calibri" w:hAnsi="Arial" w:cs="Arial"/>
          <w:bCs/>
          <w:sz w:val="22"/>
        </w:rPr>
        <w:t xml:space="preserve"> </w:t>
      </w:r>
      <w:r w:rsidR="001303DE" w:rsidRPr="00B34968">
        <w:rPr>
          <w:rFonts w:ascii="Arial" w:eastAsia="Calibri" w:hAnsi="Arial" w:cs="Arial"/>
          <w:bCs/>
          <w:sz w:val="22"/>
        </w:rPr>
        <w:t xml:space="preserve">C-044 del </w:t>
      </w:r>
      <w:r w:rsidR="00CB6D4F" w:rsidRPr="00B34968">
        <w:rPr>
          <w:rFonts w:ascii="Arial" w:eastAsia="Calibri" w:hAnsi="Arial" w:cs="Arial"/>
          <w:bCs/>
          <w:sz w:val="22"/>
        </w:rPr>
        <w:t xml:space="preserve">3 de marzo de </w:t>
      </w:r>
      <w:r w:rsidR="001303DE" w:rsidRPr="00B34968">
        <w:rPr>
          <w:rFonts w:ascii="Arial" w:eastAsia="Calibri" w:hAnsi="Arial" w:cs="Arial"/>
          <w:bCs/>
          <w:sz w:val="22"/>
        </w:rPr>
        <w:t>2021, C-056 del 8</w:t>
      </w:r>
      <w:r w:rsidR="00CB6D4F" w:rsidRPr="00B34968">
        <w:rPr>
          <w:rFonts w:ascii="Arial" w:eastAsia="Calibri" w:hAnsi="Arial" w:cs="Arial"/>
          <w:bCs/>
          <w:sz w:val="22"/>
        </w:rPr>
        <w:t xml:space="preserve"> de marzo de </w:t>
      </w:r>
      <w:r w:rsidR="001303DE" w:rsidRPr="00B34968">
        <w:rPr>
          <w:rFonts w:ascii="Arial" w:eastAsia="Calibri" w:hAnsi="Arial" w:cs="Arial"/>
          <w:bCs/>
          <w:sz w:val="22"/>
        </w:rPr>
        <w:t>2021, C-061 del 10</w:t>
      </w:r>
      <w:r w:rsidR="00CB6D4F" w:rsidRPr="00B34968">
        <w:rPr>
          <w:rFonts w:ascii="Arial" w:eastAsia="Calibri" w:hAnsi="Arial" w:cs="Arial"/>
          <w:bCs/>
          <w:sz w:val="22"/>
        </w:rPr>
        <w:t xml:space="preserve"> de marzo de </w:t>
      </w:r>
      <w:r w:rsidR="001303DE" w:rsidRPr="00B34968">
        <w:rPr>
          <w:rFonts w:ascii="Arial" w:eastAsia="Calibri" w:hAnsi="Arial" w:cs="Arial"/>
          <w:bCs/>
          <w:sz w:val="22"/>
        </w:rPr>
        <w:t>2021</w:t>
      </w:r>
      <w:r w:rsidR="00CB6D4F" w:rsidRPr="00B34968">
        <w:rPr>
          <w:rFonts w:ascii="Arial" w:eastAsia="Calibri" w:hAnsi="Arial" w:cs="Arial"/>
          <w:bCs/>
          <w:sz w:val="22"/>
        </w:rPr>
        <w:t xml:space="preserve"> y </w:t>
      </w:r>
      <w:r w:rsidR="001303DE" w:rsidRPr="00B34968">
        <w:rPr>
          <w:rFonts w:ascii="Arial" w:eastAsia="Calibri" w:hAnsi="Arial" w:cs="Arial"/>
          <w:bCs/>
          <w:sz w:val="22"/>
        </w:rPr>
        <w:t>C-069 del 12</w:t>
      </w:r>
      <w:r w:rsidR="00CB6D4F" w:rsidRPr="00B34968">
        <w:rPr>
          <w:rFonts w:ascii="Arial" w:eastAsia="Calibri" w:hAnsi="Arial" w:cs="Arial"/>
          <w:bCs/>
          <w:sz w:val="22"/>
        </w:rPr>
        <w:t xml:space="preserve"> de marzo de </w:t>
      </w:r>
      <w:r w:rsidR="001303DE" w:rsidRPr="00B34968">
        <w:rPr>
          <w:rFonts w:ascii="Arial" w:eastAsia="Calibri" w:hAnsi="Arial" w:cs="Arial"/>
          <w:bCs/>
          <w:sz w:val="22"/>
        </w:rPr>
        <w:t>2021</w:t>
      </w:r>
      <w:r w:rsidR="00CB6D4F" w:rsidRPr="00B34968">
        <w:rPr>
          <w:rFonts w:ascii="Arial" w:eastAsia="Calibri" w:hAnsi="Arial" w:cs="Arial"/>
          <w:bCs/>
          <w:sz w:val="22"/>
        </w:rPr>
        <w:t>, se estudi</w:t>
      </w:r>
      <w:r w:rsidR="00D85A2D" w:rsidRPr="00B34968">
        <w:rPr>
          <w:rFonts w:ascii="Arial" w:eastAsia="Calibri" w:hAnsi="Arial" w:cs="Arial"/>
          <w:bCs/>
          <w:sz w:val="22"/>
        </w:rPr>
        <w:t>ó la aplicación de los factores de desempate del artículo 35 de la Ley 2069 de 2020</w:t>
      </w:r>
      <w:r w:rsidR="00D42ECB" w:rsidRPr="00B34968">
        <w:rPr>
          <w:rFonts w:ascii="Arial" w:eastAsia="Calibri" w:hAnsi="Arial" w:cs="Arial"/>
          <w:bCs/>
          <w:sz w:val="22"/>
        </w:rPr>
        <w:t>. Particularmente, en el concepto</w:t>
      </w:r>
      <w:r w:rsidR="00CB6D4F" w:rsidRPr="00B34968">
        <w:rPr>
          <w:rFonts w:ascii="Arial" w:eastAsia="Calibri" w:hAnsi="Arial" w:cs="Arial"/>
          <w:bCs/>
          <w:sz w:val="22"/>
        </w:rPr>
        <w:t xml:space="preserve"> C-037 del 26</w:t>
      </w:r>
      <w:r w:rsidR="00D42ECB" w:rsidRPr="00B34968">
        <w:rPr>
          <w:rFonts w:ascii="Arial" w:eastAsia="Calibri" w:hAnsi="Arial" w:cs="Arial"/>
          <w:bCs/>
          <w:sz w:val="22"/>
        </w:rPr>
        <w:t xml:space="preserve"> de febrero de </w:t>
      </w:r>
      <w:r w:rsidR="00CB6D4F" w:rsidRPr="00B34968">
        <w:rPr>
          <w:rFonts w:ascii="Arial" w:eastAsia="Calibri" w:hAnsi="Arial" w:cs="Arial"/>
          <w:bCs/>
          <w:sz w:val="22"/>
        </w:rPr>
        <w:t>2021</w:t>
      </w:r>
      <w:r w:rsidR="00D42ECB" w:rsidRPr="00B34968">
        <w:rPr>
          <w:rFonts w:ascii="Arial" w:eastAsia="Calibri" w:hAnsi="Arial" w:cs="Arial"/>
          <w:bCs/>
          <w:sz w:val="22"/>
        </w:rPr>
        <w:t xml:space="preserve"> se analizó la aplicación del </w:t>
      </w:r>
      <w:r w:rsidR="004D0366" w:rsidRPr="00B34968">
        <w:rPr>
          <w:rFonts w:ascii="Arial" w:eastAsia="Calibri" w:hAnsi="Arial" w:cs="Arial"/>
          <w:bCs/>
          <w:sz w:val="22"/>
        </w:rPr>
        <w:t xml:space="preserve">artículo 35 de </w:t>
      </w:r>
      <w:r w:rsidR="004A1E30" w:rsidRPr="00B34968">
        <w:rPr>
          <w:rFonts w:ascii="Arial" w:eastAsia="Calibri" w:hAnsi="Arial" w:cs="Arial"/>
          <w:bCs/>
          <w:sz w:val="22"/>
        </w:rPr>
        <w:t>la Ley</w:t>
      </w:r>
      <w:r w:rsidR="004D0366" w:rsidRPr="00B34968">
        <w:rPr>
          <w:rFonts w:ascii="Arial" w:eastAsia="Calibri" w:hAnsi="Arial" w:cs="Arial"/>
          <w:bCs/>
          <w:sz w:val="22"/>
        </w:rPr>
        <w:t xml:space="preserve"> 2069 en procesos</w:t>
      </w:r>
      <w:r w:rsidR="004A1E30" w:rsidRPr="00B34968">
        <w:rPr>
          <w:rFonts w:ascii="Arial" w:eastAsia="Calibri" w:hAnsi="Arial" w:cs="Arial"/>
          <w:bCs/>
          <w:sz w:val="22"/>
        </w:rPr>
        <w:t xml:space="preserve"> de selección</w:t>
      </w:r>
      <w:r w:rsidR="004D0366" w:rsidRPr="00B34968">
        <w:rPr>
          <w:rFonts w:ascii="Arial" w:eastAsia="Calibri" w:hAnsi="Arial" w:cs="Arial"/>
          <w:bCs/>
          <w:sz w:val="22"/>
        </w:rPr>
        <w:t xml:space="preserve"> </w:t>
      </w:r>
      <w:r w:rsidR="004A1E30" w:rsidRPr="00B34968">
        <w:rPr>
          <w:rFonts w:ascii="Arial" w:eastAsia="Calibri" w:hAnsi="Arial" w:cs="Arial"/>
          <w:bCs/>
          <w:sz w:val="22"/>
        </w:rPr>
        <w:t>en los que deban aplicarse</w:t>
      </w:r>
      <w:r w:rsidR="004D0366" w:rsidRPr="00B34968">
        <w:rPr>
          <w:rFonts w:ascii="Arial" w:eastAsia="Calibri" w:hAnsi="Arial" w:cs="Arial"/>
          <w:bCs/>
          <w:sz w:val="22"/>
        </w:rPr>
        <w:t xml:space="preserve"> documentos tipo. </w:t>
      </w:r>
      <w:r w:rsidR="004A1E30" w:rsidRPr="00B34968">
        <w:rPr>
          <w:rFonts w:ascii="Arial" w:eastAsia="Calibri" w:hAnsi="Arial" w:cs="Arial"/>
          <w:bCs/>
          <w:sz w:val="22"/>
        </w:rPr>
        <w:t xml:space="preserve"> </w:t>
      </w:r>
      <w:proofErr w:type="gramStart"/>
      <w:r w:rsidR="004A1E30" w:rsidRPr="00B34968">
        <w:rPr>
          <w:rFonts w:ascii="Arial" w:eastAsia="Calibri" w:hAnsi="Arial" w:cs="Arial"/>
          <w:bCs/>
          <w:sz w:val="22"/>
        </w:rPr>
        <w:t>La tesis expuestas</w:t>
      </w:r>
      <w:proofErr w:type="gramEnd"/>
      <w:r w:rsidR="004A1E30" w:rsidRPr="00B34968">
        <w:rPr>
          <w:rFonts w:ascii="Arial" w:eastAsia="Calibri" w:hAnsi="Arial" w:cs="Arial"/>
          <w:bCs/>
          <w:sz w:val="22"/>
        </w:rPr>
        <w:t xml:space="preserve"> en estos conceptos se reitera a continuación.</w:t>
      </w:r>
    </w:p>
    <w:p w14:paraId="5963CCB4" w14:textId="4629885F" w:rsidR="008E10D2" w:rsidRPr="00B34968" w:rsidRDefault="008E10D2" w:rsidP="005B4ED0">
      <w:pPr>
        <w:tabs>
          <w:tab w:val="left" w:pos="426"/>
        </w:tabs>
        <w:jc w:val="both"/>
        <w:rPr>
          <w:rFonts w:ascii="Arial" w:eastAsia="Calibri" w:hAnsi="Arial" w:cs="Arial"/>
          <w:bCs/>
          <w:sz w:val="22"/>
        </w:rPr>
      </w:pPr>
    </w:p>
    <w:p w14:paraId="2F842807" w14:textId="773F0972" w:rsidR="008E10D2" w:rsidRPr="00B34968" w:rsidRDefault="008E10D2" w:rsidP="008E10D2">
      <w:pPr>
        <w:spacing w:line="276" w:lineRule="auto"/>
        <w:jc w:val="both"/>
        <w:rPr>
          <w:rFonts w:ascii="Arial" w:eastAsia="Calibri" w:hAnsi="Arial" w:cs="Arial"/>
          <w:b/>
          <w:bCs/>
          <w:sz w:val="22"/>
          <w:lang w:val="es-ES_tradnl"/>
        </w:rPr>
      </w:pPr>
      <w:r w:rsidRPr="00B34968">
        <w:rPr>
          <w:rFonts w:ascii="Arial" w:eastAsia="Calibri" w:hAnsi="Arial" w:cs="Arial"/>
          <w:b/>
          <w:bCs/>
          <w:sz w:val="22"/>
          <w:lang w:val="es-ES_tradnl"/>
        </w:rPr>
        <w:t>2.1. Factores de desempate en la contratación estatal: concepto y características</w:t>
      </w:r>
    </w:p>
    <w:p w14:paraId="7C005427" w14:textId="77777777" w:rsidR="008E10D2" w:rsidRPr="00B34968" w:rsidRDefault="008E10D2" w:rsidP="005B4ED0">
      <w:pPr>
        <w:jc w:val="both"/>
        <w:rPr>
          <w:rFonts w:ascii="Arial" w:eastAsia="Calibri" w:hAnsi="Arial" w:cs="Arial"/>
          <w:sz w:val="22"/>
          <w:lang w:val="es-ES_tradnl"/>
        </w:rPr>
      </w:pPr>
    </w:p>
    <w:p w14:paraId="33A9648A" w14:textId="4964B90C" w:rsidR="008E10D2" w:rsidRPr="00B34968" w:rsidRDefault="008E10D2" w:rsidP="008E10D2">
      <w:pPr>
        <w:spacing w:line="276" w:lineRule="auto"/>
        <w:jc w:val="both"/>
        <w:rPr>
          <w:rFonts w:ascii="Arial" w:eastAsia="Calibri" w:hAnsi="Arial" w:cs="Arial"/>
          <w:sz w:val="22"/>
          <w:lang w:val="es-ES_tradnl"/>
        </w:rPr>
      </w:pPr>
      <w:r w:rsidRPr="00B34968">
        <w:rPr>
          <w:rFonts w:ascii="Arial" w:eastAsia="Calibri" w:hAnsi="Arial" w:cs="Arial"/>
          <w:sz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B34968">
        <w:rPr>
          <w:rFonts w:ascii="Arial" w:eastAsia="Calibri" w:hAnsi="Arial" w:cs="Arial"/>
          <w:sz w:val="22"/>
          <w:lang w:val="es-ES_tradnl"/>
        </w:rPr>
        <w:t>equivalentes,</w:t>
      </w:r>
      <w:proofErr w:type="gramEnd"/>
      <w:r w:rsidRPr="00B34968">
        <w:rPr>
          <w:rFonts w:ascii="Arial" w:eastAsia="Calibri" w:hAnsi="Arial" w:cs="Arial"/>
          <w:sz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0482CC17" w14:textId="77777777" w:rsidR="008E10D2" w:rsidRPr="00B34968" w:rsidRDefault="008E10D2" w:rsidP="008E10D2">
      <w:pPr>
        <w:spacing w:before="120" w:line="276" w:lineRule="auto"/>
        <w:ind w:firstLine="709"/>
        <w:jc w:val="both"/>
        <w:rPr>
          <w:rFonts w:ascii="Arial" w:eastAsia="Calibri" w:hAnsi="Arial" w:cs="Arial"/>
          <w:sz w:val="22"/>
          <w:lang w:val="es-ES_tradnl"/>
        </w:rPr>
      </w:pPr>
      <w:r w:rsidRPr="00B34968">
        <w:rPr>
          <w:rFonts w:ascii="Arial" w:eastAsia="Calibri" w:hAnsi="Arial" w:cs="Arial"/>
          <w:sz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28DC4C8C" w14:textId="381BE9CF" w:rsidR="008E10D2" w:rsidRPr="00B34968" w:rsidRDefault="000344CA" w:rsidP="008E10D2">
      <w:pPr>
        <w:spacing w:before="120" w:line="276" w:lineRule="auto"/>
        <w:ind w:firstLine="709"/>
        <w:jc w:val="both"/>
        <w:rPr>
          <w:rFonts w:ascii="Arial" w:eastAsia="Calibri" w:hAnsi="Arial" w:cs="Arial"/>
          <w:sz w:val="22"/>
          <w:lang w:val="es-ES_tradnl"/>
        </w:rPr>
      </w:pPr>
      <w:r>
        <w:rPr>
          <w:rFonts w:ascii="Arial" w:eastAsia="Calibri" w:hAnsi="Arial" w:cs="Arial"/>
          <w:sz w:val="22"/>
          <w:lang w:val="es-ES_tradnl"/>
        </w:rPr>
        <w:lastRenderedPageBreak/>
        <w:t>Sin embargo</w:t>
      </w:r>
      <w:r w:rsidR="008E10D2" w:rsidRPr="00B34968">
        <w:rPr>
          <w:rFonts w:ascii="Arial" w:eastAsia="Calibri" w:hAnsi="Arial" w:cs="Arial"/>
          <w:sz w:val="22"/>
          <w:lang w:val="es-ES_tradnl"/>
        </w:rPr>
        <w:t>,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2069 de 2020. La jurisprudencia comparte la idea de que los criterios de desempate deben estar establecidos de antemano y constituyen un límite a la discrecionalidad administrativa en los procedimientos de selección</w:t>
      </w:r>
      <w:r w:rsidR="008E10D2" w:rsidRPr="00B34968">
        <w:rPr>
          <w:rStyle w:val="Refdenotaalpie"/>
          <w:rFonts w:ascii="Arial" w:hAnsi="Arial" w:cs="Arial"/>
          <w:sz w:val="21"/>
          <w:szCs w:val="21"/>
          <w:lang w:val="es-ES_tradnl"/>
        </w:rPr>
        <w:footnoteReference w:id="1"/>
      </w:r>
      <w:r w:rsidR="008E10D2" w:rsidRPr="00B34968">
        <w:rPr>
          <w:rFonts w:ascii="Arial" w:eastAsia="Calibri" w:hAnsi="Arial" w:cs="Arial"/>
          <w:sz w:val="22"/>
          <w:lang w:val="es-ES_tradnl"/>
        </w:rPr>
        <w:t xml:space="preserve">. </w:t>
      </w:r>
    </w:p>
    <w:p w14:paraId="2671678F" w14:textId="77777777" w:rsidR="008E10D2" w:rsidRPr="00B34968" w:rsidRDefault="008E10D2" w:rsidP="008E10D2">
      <w:pPr>
        <w:spacing w:before="120" w:line="276" w:lineRule="auto"/>
        <w:ind w:firstLine="709"/>
        <w:jc w:val="both"/>
        <w:rPr>
          <w:rFonts w:ascii="Arial" w:eastAsia="Calibri" w:hAnsi="Arial" w:cs="Arial"/>
          <w:sz w:val="22"/>
          <w:lang w:val="es-ES_tradnl"/>
        </w:rPr>
      </w:pPr>
      <w:r w:rsidRPr="00B34968">
        <w:rPr>
          <w:rFonts w:ascii="Arial" w:eastAsia="Calibri" w:hAnsi="Arial" w:cs="Arial"/>
          <w:sz w:val="22"/>
          <w:lang w:val="es-ES_tradnl"/>
        </w:rPr>
        <w:t xml:space="preserve">En tal sentido, la Corte Constitucional explica que cuando la ley establece factores de desempate obligatorios, las entidades estatales no pueden </w:t>
      </w:r>
      <w:proofErr w:type="spellStart"/>
      <w:r w:rsidRPr="00B34968">
        <w:rPr>
          <w:rFonts w:ascii="Arial" w:eastAsia="Calibri" w:hAnsi="Arial" w:cs="Arial"/>
          <w:sz w:val="22"/>
          <w:lang w:val="es-ES_tradnl"/>
        </w:rPr>
        <w:t>inaplicarlos</w:t>
      </w:r>
      <w:proofErr w:type="spellEnd"/>
      <w:r w:rsidRPr="00B34968">
        <w:rPr>
          <w:rFonts w:ascii="Arial" w:eastAsia="Calibri" w:hAnsi="Arial" w:cs="Arial"/>
          <w:sz w:val="22"/>
          <w:lang w:val="es-ES_tradnl"/>
        </w:rPr>
        <w:t>, porque ello podría vulnerar el principio de igualdad, especialmente, cuando algunos de estos criterios surgen como acciones afirmativas para ciertos sectores de la población</w:t>
      </w:r>
      <w:r w:rsidRPr="00B34968">
        <w:rPr>
          <w:rStyle w:val="Refdenotaalpie"/>
          <w:rFonts w:ascii="Arial" w:eastAsia="Calibri" w:hAnsi="Arial" w:cs="Arial"/>
          <w:sz w:val="22"/>
          <w:lang w:val="es-ES_tradnl"/>
        </w:rPr>
        <w:footnoteReference w:id="2"/>
      </w:r>
      <w:r w:rsidRPr="00B34968">
        <w:rPr>
          <w:rFonts w:ascii="Arial" w:eastAsia="Calibri" w:hAnsi="Arial" w:cs="Arial"/>
          <w:sz w:val="22"/>
          <w:lang w:val="es-ES_tradnl"/>
        </w:rPr>
        <w:t>. Más aún, según el Consejo de Estado, ir en contra de los factores de desempate establecidos expresamente genera la nulidad del contrato, conforme al artículo 44, inciso 1º de la Ley 80 de 1993</w:t>
      </w:r>
      <w:r w:rsidRPr="00B34968">
        <w:rPr>
          <w:rStyle w:val="Refdenotaalpie"/>
          <w:rFonts w:ascii="Arial" w:eastAsia="Calibri" w:hAnsi="Arial" w:cs="Arial"/>
          <w:sz w:val="22"/>
          <w:lang w:val="es-ES_tradnl"/>
        </w:rPr>
        <w:footnoteReference w:id="3"/>
      </w:r>
      <w:r w:rsidRPr="00B34968">
        <w:rPr>
          <w:rFonts w:ascii="Arial" w:eastAsia="Calibri" w:hAnsi="Arial" w:cs="Arial"/>
          <w:sz w:val="22"/>
          <w:lang w:val="es-ES_tradnl"/>
        </w:rPr>
        <w:t>.</w:t>
      </w:r>
    </w:p>
    <w:p w14:paraId="679EA47A" w14:textId="77777777" w:rsidR="008E10D2" w:rsidRPr="00B34968" w:rsidRDefault="008E10D2" w:rsidP="008E10D2">
      <w:pPr>
        <w:spacing w:before="120" w:line="276" w:lineRule="auto"/>
        <w:ind w:firstLine="709"/>
        <w:jc w:val="both"/>
        <w:rPr>
          <w:rFonts w:ascii="Arial" w:eastAsia="Calibri" w:hAnsi="Arial" w:cs="Arial"/>
          <w:sz w:val="22"/>
          <w:lang w:val="es-ES_tradnl"/>
        </w:rPr>
      </w:pPr>
      <w:r w:rsidRPr="00B34968">
        <w:rPr>
          <w:rFonts w:ascii="Arial" w:eastAsia="Calibri" w:hAnsi="Arial" w:cs="Arial"/>
          <w:sz w:val="22"/>
          <w:lang w:val="es-ES_tradnl"/>
        </w:rPr>
        <w:t xml:space="preserve">Ahora bien, en cumplimiento de los principios de reciprocidad y de </w:t>
      </w:r>
      <w:r w:rsidRPr="00B34968">
        <w:rPr>
          <w:rFonts w:ascii="Arial" w:eastAsia="Calibri" w:hAnsi="Arial" w:cs="Arial"/>
          <w:i/>
          <w:iCs/>
          <w:sz w:val="22"/>
          <w:lang w:val="es-ES_tradnl"/>
        </w:rPr>
        <w:t xml:space="preserve">pacta sunt </w:t>
      </w:r>
      <w:proofErr w:type="spellStart"/>
      <w:r w:rsidRPr="00B34968">
        <w:rPr>
          <w:rFonts w:ascii="Arial" w:eastAsia="Calibri" w:hAnsi="Arial" w:cs="Arial"/>
          <w:i/>
          <w:iCs/>
          <w:sz w:val="22"/>
          <w:lang w:val="es-ES_tradnl"/>
        </w:rPr>
        <w:t>servanda</w:t>
      </w:r>
      <w:proofErr w:type="spellEnd"/>
      <w:r w:rsidRPr="00B34968">
        <w:rPr>
          <w:rFonts w:ascii="Arial" w:eastAsia="Calibri" w:hAnsi="Arial" w:cs="Arial"/>
          <w:sz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0AEE1D44" w14:textId="77777777" w:rsidR="005B4ED0" w:rsidRPr="00B34968" w:rsidRDefault="005B4ED0" w:rsidP="005B4ED0">
      <w:pPr>
        <w:tabs>
          <w:tab w:val="left" w:pos="426"/>
        </w:tabs>
        <w:jc w:val="both"/>
        <w:rPr>
          <w:rFonts w:ascii="Arial" w:eastAsia="Calibri" w:hAnsi="Arial" w:cs="Arial"/>
          <w:bCs/>
          <w:sz w:val="22"/>
        </w:rPr>
      </w:pPr>
    </w:p>
    <w:p w14:paraId="7BE8E55A" w14:textId="02A34833" w:rsidR="008E10D2" w:rsidRPr="00B34968" w:rsidRDefault="001D2F7F" w:rsidP="008E10D2">
      <w:pPr>
        <w:tabs>
          <w:tab w:val="left" w:pos="709"/>
        </w:tabs>
        <w:spacing w:line="276" w:lineRule="auto"/>
        <w:jc w:val="both"/>
        <w:rPr>
          <w:rFonts w:ascii="Arial" w:eastAsia="Calibri" w:hAnsi="Arial" w:cs="Arial"/>
          <w:b/>
          <w:sz w:val="22"/>
        </w:rPr>
      </w:pPr>
      <w:r w:rsidRPr="00B34968">
        <w:rPr>
          <w:rFonts w:ascii="Arial" w:eastAsia="Calibri" w:hAnsi="Arial" w:cs="Arial"/>
          <w:b/>
          <w:bCs/>
          <w:sz w:val="22"/>
          <w:lang w:val="es-ES_tradnl"/>
        </w:rPr>
        <w:t>2.</w:t>
      </w:r>
      <w:r w:rsidR="008E10D2" w:rsidRPr="00B34968">
        <w:rPr>
          <w:rFonts w:ascii="Arial" w:eastAsia="Calibri" w:hAnsi="Arial" w:cs="Arial"/>
          <w:b/>
          <w:bCs/>
          <w:sz w:val="22"/>
          <w:lang w:val="es-ES_tradnl"/>
        </w:rPr>
        <w:t>2</w:t>
      </w:r>
      <w:r w:rsidRPr="00B34968">
        <w:rPr>
          <w:rFonts w:ascii="Arial" w:eastAsia="Calibri" w:hAnsi="Arial" w:cs="Arial"/>
          <w:b/>
          <w:bCs/>
          <w:sz w:val="22"/>
          <w:lang w:val="es-ES_tradnl"/>
        </w:rPr>
        <w:t xml:space="preserve">. </w:t>
      </w:r>
      <w:r w:rsidR="008E10D2" w:rsidRPr="00B34968">
        <w:rPr>
          <w:rFonts w:ascii="Arial" w:eastAsia="Calibri" w:hAnsi="Arial" w:cs="Arial"/>
          <w:b/>
          <w:sz w:val="22"/>
        </w:rPr>
        <w:t>Los factores de desempate del artículo 35 de la Ley 2069 de 2020</w:t>
      </w:r>
      <w:r w:rsidR="00F144EA">
        <w:rPr>
          <w:rFonts w:ascii="Arial" w:eastAsia="Calibri" w:hAnsi="Arial" w:cs="Arial"/>
          <w:b/>
          <w:sz w:val="22"/>
        </w:rPr>
        <w:t xml:space="preserve"> y su aplicación </w:t>
      </w:r>
      <w:r w:rsidR="0064200F">
        <w:rPr>
          <w:rFonts w:ascii="Arial" w:eastAsia="Calibri" w:hAnsi="Arial" w:cs="Arial"/>
          <w:b/>
          <w:sz w:val="22"/>
        </w:rPr>
        <w:t xml:space="preserve">en los </w:t>
      </w:r>
      <w:r w:rsidR="00F144EA">
        <w:rPr>
          <w:rFonts w:ascii="Arial" w:eastAsia="Calibri" w:hAnsi="Arial" w:cs="Arial"/>
          <w:b/>
          <w:sz w:val="22"/>
        </w:rPr>
        <w:t>«Documentos Tipo – Versión 3» de licitación para obra pública de infraestructura de transporte</w:t>
      </w:r>
    </w:p>
    <w:p w14:paraId="7B953DCB" w14:textId="30B3B1DF" w:rsidR="001D2F7F" w:rsidRPr="00B34968" w:rsidRDefault="001D2F7F" w:rsidP="005B4ED0">
      <w:pPr>
        <w:jc w:val="both"/>
        <w:rPr>
          <w:rFonts w:ascii="Arial" w:eastAsia="Calibri" w:hAnsi="Arial" w:cs="Arial"/>
          <w:sz w:val="22"/>
          <w:lang w:val="es-ES_tradnl"/>
        </w:rPr>
      </w:pPr>
    </w:p>
    <w:p w14:paraId="27709301" w14:textId="49B3D398" w:rsidR="001D2F7F" w:rsidRPr="00B34968" w:rsidRDefault="001D2F7F" w:rsidP="001D2F7F">
      <w:pPr>
        <w:spacing w:line="276" w:lineRule="auto"/>
        <w:jc w:val="both"/>
        <w:rPr>
          <w:rFonts w:ascii="Arial" w:eastAsia="Calibri" w:hAnsi="Arial" w:cs="Arial"/>
          <w:sz w:val="22"/>
          <w:lang w:val="es-ES_tradnl"/>
        </w:rPr>
      </w:pPr>
      <w:r w:rsidRPr="00B34968">
        <w:rPr>
          <w:rFonts w:ascii="Arial" w:eastAsia="Calibri" w:hAnsi="Arial" w:cs="Arial"/>
          <w:sz w:val="22"/>
          <w:lang w:val="es-ES_tradnl"/>
        </w:rPr>
        <w:lastRenderedPageBreak/>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w:t>
      </w:r>
      <w:r w:rsidR="008C3DF6">
        <w:rPr>
          <w:rFonts w:ascii="Arial" w:eastAsia="Calibri" w:hAnsi="Arial" w:cs="Arial"/>
          <w:sz w:val="22"/>
          <w:lang w:val="es-ES_tradnl"/>
        </w:rPr>
        <w:t>l</w:t>
      </w:r>
      <w:r w:rsidRPr="00B34968">
        <w:rPr>
          <w:rFonts w:ascii="Arial" w:eastAsia="Calibri" w:hAnsi="Arial" w:cs="Arial"/>
          <w:sz w:val="22"/>
          <w:lang w:val="es-ES_tradnl"/>
        </w:rPr>
        <w:t>ey.</w:t>
      </w:r>
    </w:p>
    <w:p w14:paraId="24C44363" w14:textId="12C93F98" w:rsidR="001D2F7F" w:rsidRPr="00B34968" w:rsidRDefault="001D2F7F" w:rsidP="001D2F7F">
      <w:pPr>
        <w:spacing w:before="120" w:line="276" w:lineRule="auto"/>
        <w:ind w:firstLine="709"/>
        <w:jc w:val="both"/>
        <w:rPr>
          <w:rFonts w:ascii="Arial" w:eastAsia="Calibri" w:hAnsi="Arial" w:cs="Arial"/>
          <w:sz w:val="22"/>
          <w:lang w:val="es-ES_tradnl"/>
        </w:rPr>
      </w:pPr>
      <w:r w:rsidRPr="00B34968">
        <w:rPr>
          <w:rFonts w:ascii="Arial" w:eastAsia="Calibri" w:hAnsi="Arial" w:cs="Arial"/>
          <w:sz w:val="22"/>
          <w:lang w:val="es-ES_tradnl"/>
        </w:rPr>
        <w:t>En cuan</w:t>
      </w:r>
      <w:r w:rsidR="006F60FB">
        <w:rPr>
          <w:rFonts w:ascii="Arial" w:eastAsia="Calibri" w:hAnsi="Arial" w:cs="Arial"/>
          <w:sz w:val="22"/>
          <w:lang w:val="es-ES_tradnl"/>
        </w:rPr>
        <w:t>t</w:t>
      </w:r>
      <w:r w:rsidRPr="00B34968">
        <w:rPr>
          <w:rFonts w:ascii="Arial" w:eastAsia="Calibri" w:hAnsi="Arial" w:cs="Arial"/>
          <w:sz w:val="22"/>
          <w:lang w:val="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B34968">
        <w:rPr>
          <w:rFonts w:ascii="Arial" w:eastAsia="Calibri" w:hAnsi="Arial" w:cs="Arial"/>
          <w:sz w:val="22"/>
          <w:lang w:val="es-ES_tradnl"/>
        </w:rPr>
        <w:t>de acuerdo a</w:t>
      </w:r>
      <w:proofErr w:type="gramEnd"/>
      <w:r w:rsidRPr="00B34968">
        <w:rPr>
          <w:rFonts w:ascii="Arial" w:eastAsia="Calibri" w:hAnsi="Arial" w:cs="Arial"/>
          <w:sz w:val="22"/>
          <w:lang w:val="es-ES_tradnl"/>
        </w:rPr>
        <w:t xml:space="preserve"> las realidades socioeconómicas de cada región». En desarrollo de esta finalidad, se establecen medidas de apoyo para las micro, pequeñas y medianas empresas –</w:t>
      </w:r>
      <w:proofErr w:type="spellStart"/>
      <w:r w:rsidRPr="00B34968">
        <w:rPr>
          <w:rFonts w:ascii="Arial" w:eastAsia="Calibri" w:hAnsi="Arial" w:cs="Arial"/>
          <w:sz w:val="22"/>
          <w:lang w:val="es-ES_tradnl"/>
        </w:rPr>
        <w:t>mipymes</w:t>
      </w:r>
      <w:proofErr w:type="spellEnd"/>
      <w:r w:rsidRPr="00B34968">
        <w:rPr>
          <w:rFonts w:ascii="Arial" w:eastAsia="Calibri" w:hAnsi="Arial" w:cs="Arial"/>
          <w:sz w:val="22"/>
          <w:lang w:val="es-ES_tradnl"/>
        </w:rPr>
        <w:t>–, mediante la racionalización y simplificación de los trámites y tarifas</w:t>
      </w:r>
      <w:r w:rsidRPr="00B34968">
        <w:rPr>
          <w:rStyle w:val="Refdenotaalpie"/>
          <w:rFonts w:ascii="Arial" w:eastAsia="Calibri" w:hAnsi="Arial" w:cs="Arial"/>
          <w:sz w:val="22"/>
          <w:lang w:val="es-ES_tradnl"/>
        </w:rPr>
        <w:footnoteReference w:id="4"/>
      </w:r>
      <w:r w:rsidRPr="00B34968">
        <w:rPr>
          <w:rFonts w:ascii="Arial" w:eastAsia="Calibri" w:hAnsi="Arial" w:cs="Arial"/>
          <w:sz w:val="22"/>
          <w:lang w:val="es-ES_tradnl"/>
        </w:rPr>
        <w:t>, así como incentivos a favor de aquellas dentro del sistema de compras y contratación pública</w:t>
      </w:r>
      <w:r w:rsidRPr="00B34968">
        <w:rPr>
          <w:rStyle w:val="Refdenotaalpie"/>
          <w:rFonts w:ascii="Arial" w:eastAsia="Calibri" w:hAnsi="Arial" w:cs="Arial"/>
          <w:sz w:val="22"/>
          <w:lang w:val="es-ES_tradnl"/>
        </w:rPr>
        <w:footnoteReference w:id="5"/>
      </w:r>
      <w:r w:rsidRPr="00B34968">
        <w:rPr>
          <w:rFonts w:ascii="Arial" w:eastAsia="Calibri" w:hAnsi="Arial" w:cs="Arial"/>
          <w:sz w:val="22"/>
          <w:lang w:val="es-ES_tradnl"/>
        </w:rPr>
        <w:t xml:space="preserve">. </w:t>
      </w:r>
      <w:r w:rsidR="000344CA">
        <w:rPr>
          <w:rFonts w:ascii="Arial" w:eastAsia="Calibri" w:hAnsi="Arial" w:cs="Arial"/>
          <w:sz w:val="22"/>
          <w:lang w:val="es-ES_tradnl"/>
        </w:rPr>
        <w:t xml:space="preserve">De igual forma, </w:t>
      </w:r>
      <w:r w:rsidRPr="00B34968">
        <w:rPr>
          <w:rFonts w:ascii="Arial" w:eastAsia="Calibri" w:hAnsi="Arial" w:cs="Arial"/>
          <w:sz w:val="22"/>
          <w:lang w:val="es-ES_tradnl"/>
        </w:rPr>
        <w:t>se consagran mecanismos de acceso al financiamiento</w:t>
      </w:r>
      <w:r w:rsidRPr="00B34968">
        <w:rPr>
          <w:rStyle w:val="Refdenotaalpie"/>
          <w:rFonts w:ascii="Arial" w:eastAsia="Calibri" w:hAnsi="Arial" w:cs="Arial"/>
          <w:sz w:val="22"/>
          <w:lang w:val="es-ES_tradnl"/>
        </w:rPr>
        <w:footnoteReference w:id="6"/>
      </w:r>
      <w:r w:rsidRPr="00B34968">
        <w:rPr>
          <w:rFonts w:ascii="Arial" w:eastAsia="Calibri" w:hAnsi="Arial" w:cs="Arial"/>
          <w:sz w:val="22"/>
          <w:lang w:val="es-ES_tradnl"/>
        </w:rPr>
        <w:t>, se unifican las fuentes de emprendimiento y de desarrollo empresarial, para fortalecer y promover los distintos sectores de la economía</w:t>
      </w:r>
      <w:r w:rsidRPr="00B34968">
        <w:rPr>
          <w:rStyle w:val="Refdenotaalpie"/>
          <w:rFonts w:ascii="Arial" w:eastAsia="Calibri" w:hAnsi="Arial" w:cs="Arial"/>
          <w:sz w:val="22"/>
          <w:lang w:val="es-ES_tradnl"/>
        </w:rPr>
        <w:footnoteReference w:id="7"/>
      </w:r>
      <w:r w:rsidRPr="00B34968">
        <w:rPr>
          <w:rFonts w:ascii="Arial" w:eastAsia="Calibri" w:hAnsi="Arial" w:cs="Arial"/>
          <w:sz w:val="22"/>
          <w:lang w:val="es-ES_tradnl"/>
        </w:rPr>
        <w:t xml:space="preserve"> y se prevén medidas de educación para el emprendimiento y la innovación</w:t>
      </w:r>
      <w:r w:rsidRPr="00B34968">
        <w:rPr>
          <w:rStyle w:val="Refdenotaalpie"/>
          <w:rFonts w:ascii="Arial" w:eastAsia="Calibri" w:hAnsi="Arial" w:cs="Arial"/>
          <w:sz w:val="22"/>
          <w:lang w:val="es-ES_tradnl"/>
        </w:rPr>
        <w:footnoteReference w:id="8"/>
      </w:r>
      <w:r w:rsidRPr="00B34968">
        <w:rPr>
          <w:rFonts w:ascii="Arial" w:eastAsia="Calibri" w:hAnsi="Arial" w:cs="Arial"/>
          <w:sz w:val="22"/>
          <w:lang w:val="es-ES_tradnl"/>
        </w:rPr>
        <w:t>.</w:t>
      </w:r>
    </w:p>
    <w:p w14:paraId="185A0562" w14:textId="7E82F1FB" w:rsidR="001D2F7F" w:rsidRPr="00B34968" w:rsidRDefault="001D2F7F" w:rsidP="008E10D2">
      <w:pPr>
        <w:spacing w:before="120" w:after="120" w:line="276" w:lineRule="auto"/>
        <w:ind w:firstLine="709"/>
        <w:jc w:val="both"/>
        <w:rPr>
          <w:rFonts w:ascii="Arial" w:eastAsia="Calibri" w:hAnsi="Arial" w:cs="Arial"/>
          <w:sz w:val="22"/>
          <w:lang w:val="es-ES_tradnl"/>
        </w:rPr>
      </w:pPr>
      <w:r w:rsidRPr="00B34968">
        <w:rPr>
          <w:rFonts w:ascii="Arial" w:eastAsia="Calibri" w:hAnsi="Arial" w:cs="Arial"/>
          <w:sz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B34968">
        <w:rPr>
          <w:rFonts w:ascii="Arial" w:eastAsia="Calibri" w:hAnsi="Arial" w:cs="Arial"/>
          <w:sz w:val="22"/>
          <w:lang w:val="es-ES_tradnl"/>
        </w:rPr>
        <w:t>mipymes</w:t>
      </w:r>
      <w:proofErr w:type="spellEnd"/>
      <w:r w:rsidRPr="00B34968">
        <w:rPr>
          <w:rFonts w:ascii="Arial" w:eastAsia="Calibri" w:hAnsi="Arial" w:cs="Arial"/>
          <w:sz w:val="22"/>
          <w:lang w:val="es-ES_tradnl"/>
        </w:rPr>
        <w:t xml:space="preserve"> en el procedimiento de mínima cuantía, </w:t>
      </w:r>
      <w:proofErr w:type="spellStart"/>
      <w:r w:rsidRPr="00B34968">
        <w:rPr>
          <w:rFonts w:ascii="Arial" w:eastAsia="Calibri" w:hAnsi="Arial" w:cs="Arial"/>
          <w:sz w:val="22"/>
          <w:lang w:val="es-ES_tradnl"/>
        </w:rPr>
        <w:t>ii</w:t>
      </w:r>
      <w:proofErr w:type="spellEnd"/>
      <w:r w:rsidRPr="00B34968">
        <w:rPr>
          <w:rFonts w:ascii="Arial" w:eastAsia="Calibri" w:hAnsi="Arial" w:cs="Arial"/>
          <w:sz w:val="22"/>
          <w:lang w:val="es-ES_tradnl"/>
        </w:rPr>
        <w:t xml:space="preserve">) criterios diferenciales para </w:t>
      </w:r>
      <w:proofErr w:type="spellStart"/>
      <w:r w:rsidRPr="00B34968">
        <w:rPr>
          <w:rFonts w:ascii="Arial" w:eastAsia="Calibri" w:hAnsi="Arial" w:cs="Arial"/>
          <w:sz w:val="22"/>
          <w:lang w:val="es-ES_tradnl"/>
        </w:rPr>
        <w:t>mipymes</w:t>
      </w:r>
      <w:proofErr w:type="spellEnd"/>
      <w:r w:rsidRPr="00B34968">
        <w:rPr>
          <w:rFonts w:ascii="Arial" w:eastAsia="Calibri" w:hAnsi="Arial" w:cs="Arial"/>
          <w:sz w:val="22"/>
          <w:lang w:val="es-ES_tradnl"/>
        </w:rPr>
        <w:t xml:space="preserve"> en el sistema de compras públicas, </w:t>
      </w:r>
      <w:proofErr w:type="spellStart"/>
      <w:r w:rsidRPr="00B34968">
        <w:rPr>
          <w:rFonts w:ascii="Arial" w:eastAsia="Calibri" w:hAnsi="Arial" w:cs="Arial"/>
          <w:sz w:val="22"/>
          <w:lang w:val="es-ES_tradnl"/>
        </w:rPr>
        <w:t>iii</w:t>
      </w:r>
      <w:proofErr w:type="spellEnd"/>
      <w:r w:rsidRPr="00B34968">
        <w:rPr>
          <w:rFonts w:ascii="Arial" w:eastAsia="Calibri" w:hAnsi="Arial" w:cs="Arial"/>
          <w:sz w:val="22"/>
          <w:lang w:val="es-ES_tradnl"/>
        </w:rPr>
        <w:t xml:space="preserve">) criterios diferenciales para emprendimientos y empresas de mujeres en el sistema de compras públicas, </w:t>
      </w:r>
      <w:proofErr w:type="spellStart"/>
      <w:r w:rsidRPr="00B34968">
        <w:rPr>
          <w:rFonts w:ascii="Arial" w:eastAsia="Calibri" w:hAnsi="Arial" w:cs="Arial"/>
          <w:sz w:val="22"/>
          <w:lang w:val="es-ES_tradnl"/>
        </w:rPr>
        <w:t>iv</w:t>
      </w:r>
      <w:proofErr w:type="spellEnd"/>
      <w:r w:rsidRPr="00B34968">
        <w:rPr>
          <w:rFonts w:ascii="Arial" w:eastAsia="Calibri" w:hAnsi="Arial" w:cs="Arial"/>
          <w:sz w:val="22"/>
          <w:lang w:val="es-ES_tradnl"/>
        </w:rPr>
        <w:t xml:space="preserve">) promoción del acceso de las </w:t>
      </w:r>
      <w:proofErr w:type="spellStart"/>
      <w:r w:rsidRPr="00B34968">
        <w:rPr>
          <w:rFonts w:ascii="Arial" w:eastAsia="Calibri" w:hAnsi="Arial" w:cs="Arial"/>
          <w:sz w:val="22"/>
          <w:lang w:val="es-ES_tradnl"/>
        </w:rPr>
        <w:t>mipymes</w:t>
      </w:r>
      <w:proofErr w:type="spellEnd"/>
      <w:r w:rsidRPr="00B34968">
        <w:rPr>
          <w:rFonts w:ascii="Arial" w:eastAsia="Calibri" w:hAnsi="Arial" w:cs="Arial"/>
          <w:sz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2D4472BB" w14:textId="01070512" w:rsidR="00EE2576" w:rsidRPr="00B34968" w:rsidRDefault="008E10D2" w:rsidP="00EE2576">
      <w:pPr>
        <w:tabs>
          <w:tab w:val="left" w:pos="709"/>
        </w:tabs>
        <w:spacing w:after="120" w:line="276" w:lineRule="auto"/>
        <w:jc w:val="both"/>
        <w:rPr>
          <w:rFonts w:ascii="Arial" w:eastAsia="Calibri" w:hAnsi="Arial" w:cs="Arial"/>
          <w:bCs/>
          <w:sz w:val="22"/>
        </w:rPr>
      </w:pPr>
      <w:r w:rsidRPr="00B34968">
        <w:rPr>
          <w:rFonts w:ascii="Arial" w:eastAsia="Calibri" w:hAnsi="Arial" w:cs="Arial"/>
          <w:bCs/>
          <w:sz w:val="22"/>
        </w:rPr>
        <w:lastRenderedPageBreak/>
        <w:tab/>
      </w:r>
      <w:r w:rsidR="00EE2576" w:rsidRPr="00B34968">
        <w:rPr>
          <w:rFonts w:ascii="Arial" w:eastAsia="Calibri" w:hAnsi="Arial" w:cs="Arial"/>
          <w:bCs/>
          <w:sz w:val="22"/>
        </w:rPr>
        <w:t>El artículo 35 de la Ley 2069 de 2020 regula los factores de desempate</w:t>
      </w:r>
      <w:r w:rsidR="00EE2576" w:rsidRPr="00B34968">
        <w:rPr>
          <w:rStyle w:val="Refdenotaalpie"/>
          <w:rFonts w:ascii="Arial" w:eastAsia="Calibri" w:hAnsi="Arial" w:cs="Arial"/>
          <w:bCs/>
          <w:sz w:val="22"/>
        </w:rPr>
        <w:footnoteReference w:id="9"/>
      </w:r>
      <w:r w:rsidR="00EE2576" w:rsidRPr="00B34968">
        <w:rPr>
          <w:rFonts w:ascii="Arial" w:eastAsia="Calibri" w:hAnsi="Arial" w:cs="Arial"/>
          <w:bCs/>
          <w:sz w:val="22"/>
        </w:rPr>
        <w:t xml:space="preserve">. Conforme a la norma citada, estos aplican en los procedimientos de selección de las entidades </w:t>
      </w:r>
      <w:r w:rsidR="00EE2576" w:rsidRPr="00B34968">
        <w:rPr>
          <w:rFonts w:ascii="Arial" w:eastAsia="Calibri" w:hAnsi="Arial" w:cs="Arial"/>
          <w:bCs/>
          <w:sz w:val="22"/>
        </w:rPr>
        <w:lastRenderedPageBreak/>
        <w:t xml:space="preserve">sometidas al Estatuto General, las entidades exceptuadas de la Ley 80 de 1993 y los patrimonios autónomos constituidos por entidades estatales. Incluso, al consagrarse en la ley, generan la derogación y decaimiento de los previstos en el artículo 2.2.1.1.2.2.9 del Decreto 1082 de 2015, pues se trata de una norma superior y posterior que genera la pérdida de los fundamentos de derecho en los previstos en el Decreto Único Reglamentario del Sector Administrativo de Planeación Nacional.  </w:t>
      </w:r>
    </w:p>
    <w:p w14:paraId="35F23A0A" w14:textId="4D9967BC" w:rsidR="00EE2576" w:rsidRPr="00B34968" w:rsidRDefault="00EE2576" w:rsidP="00EE2576">
      <w:pPr>
        <w:spacing w:before="120" w:line="276" w:lineRule="auto"/>
        <w:ind w:firstLine="708"/>
        <w:jc w:val="both"/>
        <w:rPr>
          <w:rFonts w:ascii="Arial" w:eastAsia="Calibri" w:hAnsi="Arial" w:cs="Arial"/>
          <w:sz w:val="22"/>
          <w:lang w:val="es-ES_tradnl"/>
        </w:rPr>
      </w:pPr>
      <w:r w:rsidRPr="00B34968">
        <w:rPr>
          <w:rFonts w:ascii="Arial" w:eastAsia="Calibri" w:hAnsi="Arial" w:cs="Arial"/>
          <w:bCs/>
          <w:sz w:val="22"/>
        </w:rPr>
        <w:t xml:space="preserve">Aunque algunas normas de la Ley de Emprendimiento aluden a la reglamentación posterior, </w:t>
      </w:r>
      <w:r w:rsidRPr="00B34968">
        <w:rPr>
          <w:rFonts w:ascii="Arial" w:eastAsia="Calibri" w:hAnsi="Arial" w:cs="Arial"/>
          <w:sz w:val="22"/>
          <w:lang w:val="es-ES_tradnl"/>
        </w:rPr>
        <w:t xml:space="preserve">esta no condiciona la vigencia del artículo 35. En efecto, </w:t>
      </w:r>
      <w:r w:rsidRPr="00B34968">
        <w:rPr>
          <w:rFonts w:ascii="Arial" w:hAnsi="Arial" w:cs="Arial"/>
          <w:sz w:val="22"/>
          <w:lang w:val="es-ES_tradnl"/>
        </w:rPr>
        <w:t>si bien los factores de desempate deben aplicarse «</w:t>
      </w:r>
      <w:r w:rsidRPr="00B34968">
        <w:rPr>
          <w:rFonts w:ascii="Arial" w:hAnsi="Arial" w:cs="Arial"/>
          <w:lang w:val="es-ES_tradnl"/>
        </w:rPr>
        <w:t xml:space="preserve">[…] </w:t>
      </w:r>
      <w:r w:rsidRPr="00B34968">
        <w:rPr>
          <w:rFonts w:ascii="Arial" w:hAnsi="Arial" w:cs="Arial"/>
          <w:sz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w:t>
      </w:r>
      <w:r w:rsidR="008C3DF6">
        <w:rPr>
          <w:rFonts w:ascii="Arial" w:hAnsi="Arial" w:cs="Arial"/>
          <w:sz w:val="22"/>
          <w:lang w:val="es-ES_tradnl"/>
        </w:rPr>
        <w:t>este</w:t>
      </w:r>
      <w:r w:rsidR="008C3DF6" w:rsidRPr="00B34968">
        <w:rPr>
          <w:rFonts w:ascii="Arial" w:hAnsi="Arial" w:cs="Arial"/>
          <w:sz w:val="22"/>
          <w:lang w:val="es-ES_tradnl"/>
        </w:rPr>
        <w:t xml:space="preserve"> </w:t>
      </w:r>
      <w:r w:rsidRPr="00B34968">
        <w:rPr>
          <w:rFonts w:ascii="Arial" w:hAnsi="Arial" w:cs="Arial"/>
          <w:sz w:val="22"/>
          <w:lang w:val="es-ES_tradnl"/>
        </w:rPr>
        <w:t xml:space="preserve">parágrafo le asigna potestad reglamentaria al gobierno nacional para definir factores que permitan desempatar las ofertas en aquellos casos en que varios oferentes reúnan al tiempo dos o más de los factores previstos en el artículo 35. </w:t>
      </w:r>
      <w:r w:rsidRPr="00B34968">
        <w:rPr>
          <w:rFonts w:ascii="Arial" w:eastAsia="Calibri" w:hAnsi="Arial" w:cs="Arial"/>
          <w:sz w:val="22"/>
          <w:lang w:val="es-ES_tradnl"/>
        </w:rPr>
        <w:t xml:space="preserve"> </w:t>
      </w:r>
    </w:p>
    <w:p w14:paraId="28A95DC3" w14:textId="77777777" w:rsidR="00EE2576" w:rsidRPr="00B34968" w:rsidRDefault="00EE2576" w:rsidP="00EE2576">
      <w:pPr>
        <w:spacing w:before="120" w:line="276" w:lineRule="auto"/>
        <w:ind w:firstLine="709"/>
        <w:jc w:val="both"/>
        <w:rPr>
          <w:rFonts w:ascii="Arial" w:eastAsia="Calibri" w:hAnsi="Arial" w:cs="Arial"/>
          <w:sz w:val="22"/>
          <w:lang w:val="es-ES_tradnl"/>
        </w:rPr>
      </w:pPr>
      <w:r w:rsidRPr="00B34968">
        <w:rPr>
          <w:rFonts w:ascii="Arial" w:eastAsia="Calibri" w:hAnsi="Arial" w:cs="Arial"/>
          <w:sz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1D04F30C" w14:textId="77777777" w:rsidR="00EE61F0" w:rsidRDefault="00E4647B" w:rsidP="004F2307">
      <w:pPr>
        <w:spacing w:before="120" w:after="120" w:line="276" w:lineRule="auto"/>
        <w:ind w:firstLine="709"/>
        <w:jc w:val="both"/>
        <w:rPr>
          <w:rFonts w:ascii="Arial" w:eastAsia="Calibri" w:hAnsi="Arial" w:cs="Arial"/>
          <w:sz w:val="22"/>
          <w:lang w:val="es-ES_tradnl"/>
        </w:rPr>
      </w:pPr>
      <w:r w:rsidRPr="00B34968">
        <w:rPr>
          <w:rFonts w:ascii="Arial" w:eastAsia="Calibri" w:hAnsi="Arial" w:cs="Arial"/>
          <w:sz w:val="22"/>
          <w:lang w:val="es-ES_tradnl"/>
        </w:rPr>
        <w:lastRenderedPageBreak/>
        <w:t xml:space="preserve">En lo que respecta a la demostración de los supuestos fácticos y jurídicos de los factores de desempate, conviene señalar que los numerales previstos en el artículo 35 de la Ley 2069 de 2020 </w:t>
      </w:r>
      <w:bookmarkStart w:id="4" w:name="_Hlk62459524"/>
      <w:r w:rsidRPr="00B34968">
        <w:rPr>
          <w:rFonts w:ascii="Arial" w:eastAsia="Calibri" w:hAnsi="Arial" w:cs="Arial"/>
          <w:sz w:val="22"/>
          <w:lang w:val="es-ES_tradnl"/>
        </w:rPr>
        <w:t xml:space="preserve">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340741A0" w14:textId="497EB57A" w:rsidR="00E4647B" w:rsidRDefault="00E4647B" w:rsidP="0075566B">
      <w:pPr>
        <w:spacing w:before="120" w:after="120" w:line="276" w:lineRule="auto"/>
        <w:ind w:firstLine="709"/>
        <w:jc w:val="both"/>
        <w:rPr>
          <w:rFonts w:ascii="Arial" w:eastAsia="Calibri" w:hAnsi="Arial" w:cs="Arial"/>
          <w:sz w:val="22"/>
          <w:lang w:val="es-ES_tradnl"/>
        </w:rPr>
      </w:pPr>
      <w:r w:rsidRPr="00B34968">
        <w:rPr>
          <w:rFonts w:ascii="Arial" w:eastAsia="Calibri" w:hAnsi="Arial" w:cs="Arial"/>
          <w:sz w:val="22"/>
          <w:lang w:val="es-ES_tradnl"/>
        </w:rPr>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0CB8185D" w14:textId="73F1A71E" w:rsidR="004F2307" w:rsidRPr="00F839E0" w:rsidRDefault="004F2307" w:rsidP="004F2307">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Pr="00F839E0">
        <w:rPr>
          <w:rFonts w:ascii="Arial" w:eastAsia="Calibri" w:hAnsi="Arial" w:cs="Arial"/>
          <w:bCs/>
          <w:color w:val="000000" w:themeColor="text1"/>
          <w:sz w:val="22"/>
        </w:rPr>
        <w:t>Este criterio también es aplicable a los documentos tipo adoptados mediante la Resoluci</w:t>
      </w:r>
      <w:r>
        <w:rPr>
          <w:rFonts w:ascii="Arial" w:eastAsia="Calibri" w:hAnsi="Arial" w:cs="Arial"/>
          <w:bCs/>
          <w:color w:val="000000" w:themeColor="text1"/>
          <w:sz w:val="22"/>
        </w:rPr>
        <w:t>ón</w:t>
      </w:r>
      <w:r w:rsidRPr="00F839E0">
        <w:rPr>
          <w:rFonts w:ascii="Arial" w:eastAsia="Calibri" w:hAnsi="Arial" w:cs="Arial"/>
          <w:bCs/>
          <w:color w:val="000000" w:themeColor="text1"/>
          <w:sz w:val="22"/>
        </w:rPr>
        <w:t xml:space="preserve"> 24</w:t>
      </w:r>
      <w:r w:rsidR="00934F63">
        <w:rPr>
          <w:rFonts w:ascii="Arial" w:eastAsia="Calibri" w:hAnsi="Arial" w:cs="Arial"/>
          <w:bCs/>
          <w:color w:val="000000" w:themeColor="text1"/>
          <w:sz w:val="22"/>
        </w:rPr>
        <w:t>0</w:t>
      </w:r>
      <w:r w:rsidRPr="00F839E0">
        <w:rPr>
          <w:rFonts w:ascii="Arial" w:eastAsia="Calibri" w:hAnsi="Arial" w:cs="Arial"/>
          <w:bCs/>
          <w:color w:val="000000" w:themeColor="text1"/>
          <w:sz w:val="22"/>
        </w:rPr>
        <w:t xml:space="preserve"> del </w:t>
      </w:r>
      <w:r w:rsidR="00934F63">
        <w:rPr>
          <w:rFonts w:ascii="Arial" w:eastAsia="Calibri" w:hAnsi="Arial" w:cs="Arial"/>
          <w:bCs/>
          <w:color w:val="000000" w:themeColor="text1"/>
          <w:sz w:val="22"/>
        </w:rPr>
        <w:t>27</w:t>
      </w:r>
      <w:r w:rsidRPr="00F839E0">
        <w:rPr>
          <w:rFonts w:ascii="Arial" w:eastAsia="Calibri" w:hAnsi="Arial" w:cs="Arial"/>
          <w:bCs/>
          <w:color w:val="000000" w:themeColor="text1"/>
          <w:sz w:val="22"/>
        </w:rPr>
        <w:t xml:space="preserve"> de </w:t>
      </w:r>
      <w:r w:rsidR="00934F63">
        <w:rPr>
          <w:rFonts w:ascii="Arial" w:eastAsia="Calibri" w:hAnsi="Arial" w:cs="Arial"/>
          <w:bCs/>
          <w:color w:val="000000" w:themeColor="text1"/>
          <w:sz w:val="22"/>
        </w:rPr>
        <w:t>noviembre</w:t>
      </w:r>
      <w:r w:rsidRPr="00F839E0">
        <w:rPr>
          <w:rFonts w:ascii="Arial" w:eastAsia="Calibri" w:hAnsi="Arial" w:cs="Arial"/>
          <w:bCs/>
          <w:color w:val="000000" w:themeColor="text1"/>
          <w:sz w:val="22"/>
        </w:rPr>
        <w:t xml:space="preserve"> de 2020, pues si bien el numeral </w:t>
      </w:r>
      <w:r w:rsidR="00102988">
        <w:rPr>
          <w:rFonts w:ascii="Arial" w:eastAsia="Calibri" w:hAnsi="Arial" w:cs="Arial"/>
          <w:bCs/>
          <w:color w:val="000000" w:themeColor="text1"/>
          <w:sz w:val="22"/>
        </w:rPr>
        <w:t>4</w:t>
      </w:r>
      <w:r w:rsidRPr="00F839E0">
        <w:rPr>
          <w:rFonts w:ascii="Arial" w:eastAsia="Calibri" w:hAnsi="Arial" w:cs="Arial"/>
          <w:bCs/>
          <w:color w:val="000000" w:themeColor="text1"/>
          <w:sz w:val="22"/>
        </w:rPr>
        <w:t>.6 del documento base se refiere a los factores de desempate del artículo 2.2.1.1.2.2.9 del Decreto 1082 de 2015, el numeral 1.17, literal H, dispone específicamente que «Las referencias a normas jurídicas incluyen las disposiciones que las modifiquen, adicionen, sustituyan o complementen». Dado que con el artículo 35 de la Ley de Emprendimiento decaen los factores de desempate del decreto único reglamentario, los previstos en la Ley 2069 de 2020 son obligatorio</w:t>
      </w:r>
      <w:r w:rsidR="00F60B05">
        <w:rPr>
          <w:rFonts w:ascii="Arial" w:eastAsia="Calibri" w:hAnsi="Arial" w:cs="Arial"/>
          <w:bCs/>
          <w:color w:val="000000" w:themeColor="text1"/>
          <w:sz w:val="22"/>
        </w:rPr>
        <w:t>s</w:t>
      </w:r>
      <w:r w:rsidRPr="00F839E0">
        <w:rPr>
          <w:rFonts w:ascii="Arial" w:eastAsia="Calibri" w:hAnsi="Arial" w:cs="Arial"/>
          <w:bCs/>
          <w:color w:val="000000" w:themeColor="text1"/>
          <w:sz w:val="22"/>
        </w:rPr>
        <w:t xml:space="preserve"> en los documentos tipo conforme </w:t>
      </w:r>
      <w:r w:rsidR="007B2400">
        <w:rPr>
          <w:rFonts w:ascii="Arial" w:eastAsia="Calibri" w:hAnsi="Arial" w:cs="Arial"/>
          <w:bCs/>
          <w:color w:val="000000" w:themeColor="text1"/>
          <w:sz w:val="22"/>
        </w:rPr>
        <w:t xml:space="preserve">al </w:t>
      </w:r>
      <w:r w:rsidRPr="00F839E0">
        <w:rPr>
          <w:rFonts w:ascii="Arial" w:eastAsia="Calibri" w:hAnsi="Arial" w:cs="Arial"/>
          <w:bCs/>
          <w:color w:val="000000" w:themeColor="text1"/>
          <w:sz w:val="22"/>
        </w:rPr>
        <w:t>numeral citado del pliego de condiciones.</w:t>
      </w:r>
    </w:p>
    <w:p w14:paraId="486D141B" w14:textId="46A339F5" w:rsidR="004F2307" w:rsidRPr="0075566B" w:rsidRDefault="004F2307" w:rsidP="0075566B">
      <w:pPr>
        <w:shd w:val="clear" w:color="auto" w:fill="FFFFFF"/>
        <w:spacing w:line="276" w:lineRule="auto"/>
        <w:ind w:right="51" w:firstLine="709"/>
        <w:jc w:val="both"/>
        <w:rPr>
          <w:rFonts w:ascii="Arial" w:eastAsia="Calibri" w:hAnsi="Arial" w:cs="Arial"/>
          <w:bCs/>
          <w:sz w:val="22"/>
        </w:rPr>
      </w:pPr>
      <w:r w:rsidRPr="00F839E0">
        <w:rPr>
          <w:rFonts w:ascii="Arial" w:eastAsia="Calibri" w:hAnsi="Arial" w:cs="Arial"/>
          <w:bCs/>
          <w:sz w:val="22"/>
        </w:rPr>
        <w:t xml:space="preserve">Sin embargo, también es preciso mencionar que la Agencia, en el marco de la competencia atribuida por el artículo 1 de la Ley 2022 de 2020, actualmente está trabajando en un proyecto para estandarizar la acreditación de los factores de desempate del artículo 35 de la Ley 2069 de 2020, dirigido a procesos de selección que deban adelantarse con documentos tipo. Expedida la resolución correspondiente quedará limitada la discrecionalidad de las entidades estatales en lo que se refiere a la forma de acreditar los factores de desempate, dado que –conforme a la Ley 2022 de 2020– las entidades deberán aplicar obligatoriamente las modificaciones que se hagan a los documentos tipo.  </w:t>
      </w:r>
      <w:r w:rsidRPr="00F839E0">
        <w:rPr>
          <w:rFonts w:ascii="Arial" w:eastAsia="Calibri" w:hAnsi="Arial" w:cs="Arial"/>
          <w:bCs/>
          <w:color w:val="000000" w:themeColor="text1"/>
          <w:sz w:val="22"/>
        </w:rPr>
        <w:t xml:space="preserve"> </w:t>
      </w:r>
    </w:p>
    <w:bookmarkEnd w:id="4"/>
    <w:p w14:paraId="395A8832" w14:textId="42082BC9" w:rsidR="002B3689" w:rsidRPr="00B34968" w:rsidRDefault="002B3689" w:rsidP="0075566B">
      <w:pPr>
        <w:shd w:val="clear" w:color="auto" w:fill="FFFFFF"/>
        <w:ind w:right="51"/>
        <w:jc w:val="both"/>
        <w:rPr>
          <w:rFonts w:ascii="Arial" w:eastAsia="Calibri" w:hAnsi="Arial" w:cs="Arial"/>
          <w:bCs/>
          <w:sz w:val="22"/>
        </w:rPr>
      </w:pPr>
    </w:p>
    <w:p w14:paraId="4DAE4437" w14:textId="77777777" w:rsidR="00BE1E33" w:rsidRPr="00B34968" w:rsidRDefault="00BE1E33" w:rsidP="00BE1E33">
      <w:pPr>
        <w:pStyle w:val="Prrafodelista"/>
        <w:numPr>
          <w:ilvl w:val="0"/>
          <w:numId w:val="1"/>
        </w:numPr>
        <w:tabs>
          <w:tab w:val="left" w:pos="284"/>
        </w:tabs>
        <w:spacing w:line="276" w:lineRule="auto"/>
        <w:ind w:left="0" w:firstLine="0"/>
        <w:rPr>
          <w:rFonts w:ascii="Arial" w:hAnsi="Arial" w:cs="Arial"/>
          <w:b/>
          <w:bCs/>
          <w:sz w:val="22"/>
          <w:lang w:val="es-CO"/>
        </w:rPr>
      </w:pPr>
      <w:r w:rsidRPr="00B34968">
        <w:rPr>
          <w:rFonts w:ascii="Arial" w:hAnsi="Arial" w:cs="Arial"/>
          <w:b/>
          <w:bCs/>
          <w:sz w:val="22"/>
          <w:lang w:val="es-CO"/>
        </w:rPr>
        <w:t xml:space="preserve">Respuesta </w:t>
      </w:r>
    </w:p>
    <w:p w14:paraId="317BE2F9" w14:textId="77777777" w:rsidR="00BE1E33" w:rsidRPr="00B34968" w:rsidRDefault="00BE1E33" w:rsidP="005B4ED0">
      <w:pPr>
        <w:ind w:right="709"/>
        <w:jc w:val="both"/>
        <w:rPr>
          <w:rFonts w:ascii="Arial" w:hAnsi="Arial" w:cs="Arial"/>
          <w:sz w:val="22"/>
          <w:lang w:val="es-CO"/>
        </w:rPr>
      </w:pPr>
    </w:p>
    <w:p w14:paraId="198C1BCE" w14:textId="7B97D830" w:rsidR="00F85D31" w:rsidRPr="00B34968" w:rsidRDefault="00E03FEF" w:rsidP="00E03FEF">
      <w:pPr>
        <w:autoSpaceDE w:val="0"/>
        <w:autoSpaceDN w:val="0"/>
        <w:adjustRightInd w:val="0"/>
        <w:ind w:left="709" w:right="709"/>
        <w:jc w:val="both"/>
        <w:rPr>
          <w:rFonts w:ascii="Arial" w:hAnsi="Arial" w:cs="Arial"/>
          <w:sz w:val="21"/>
          <w:szCs w:val="21"/>
          <w:lang w:val="es-CO"/>
        </w:rPr>
      </w:pPr>
      <w:r w:rsidRPr="00B34968">
        <w:rPr>
          <w:rFonts w:ascii="Arial" w:hAnsi="Arial" w:cs="Arial"/>
          <w:sz w:val="21"/>
          <w:szCs w:val="21"/>
          <w:lang w:val="es-CO"/>
        </w:rPr>
        <w:t xml:space="preserve">«[…] dentro de una licitación pública de obra de infraestructura se </w:t>
      </w:r>
      <w:proofErr w:type="gramStart"/>
      <w:r w:rsidRPr="00B34968">
        <w:rPr>
          <w:rFonts w:ascii="Arial" w:hAnsi="Arial" w:cs="Arial"/>
          <w:sz w:val="21"/>
          <w:szCs w:val="21"/>
          <w:lang w:val="es-CO"/>
        </w:rPr>
        <w:t>utilizara</w:t>
      </w:r>
      <w:proofErr w:type="gramEnd"/>
      <w:r w:rsidRPr="00B34968">
        <w:rPr>
          <w:rFonts w:ascii="Arial" w:hAnsi="Arial" w:cs="Arial"/>
          <w:sz w:val="21"/>
          <w:szCs w:val="21"/>
          <w:lang w:val="es-CO"/>
        </w:rPr>
        <w:t xml:space="preserve"> los criterios de desempate del Decreto 1082 del 2015 como se encuentran en los pliegos tipo que están registrados en la página de ustedes Colombia compra </w:t>
      </w:r>
      <w:r w:rsidRPr="00B34968">
        <w:rPr>
          <w:rFonts w:ascii="Arial" w:hAnsi="Arial" w:cs="Arial"/>
          <w:sz w:val="21"/>
          <w:szCs w:val="21"/>
          <w:lang w:val="es-CO"/>
        </w:rPr>
        <w:lastRenderedPageBreak/>
        <w:t xml:space="preserve">eficiente o si por el contrario se utilizaran los criterios de desempate del artículo 35 de la Ley 2019 de 2020 [sic]». </w:t>
      </w:r>
    </w:p>
    <w:p w14:paraId="57318113" w14:textId="77777777" w:rsidR="009B2484" w:rsidRPr="00B34968" w:rsidRDefault="009B2484" w:rsidP="0075566B">
      <w:pPr>
        <w:spacing w:line="276" w:lineRule="auto"/>
        <w:ind w:left="709" w:right="709"/>
        <w:jc w:val="both"/>
        <w:rPr>
          <w:rFonts w:ascii="Arial" w:eastAsia="Calibri" w:hAnsi="Arial" w:cs="Arial"/>
          <w:sz w:val="22"/>
        </w:rPr>
      </w:pPr>
    </w:p>
    <w:p w14:paraId="41C8F252" w14:textId="2FEDA2C6" w:rsidR="00EE61F0" w:rsidRPr="00C440B6" w:rsidRDefault="00EE61F0" w:rsidP="00EE61F0">
      <w:pPr>
        <w:spacing w:line="276" w:lineRule="auto"/>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 xml:space="preserve">El artículo 35 de la Ley </w:t>
      </w:r>
      <w:r>
        <w:rPr>
          <w:rFonts w:ascii="Arial" w:eastAsia="Calibri" w:hAnsi="Arial" w:cs="Arial"/>
          <w:color w:val="000000" w:themeColor="text1"/>
          <w:sz w:val="22"/>
          <w:lang w:val="es-ES_tradnl"/>
        </w:rPr>
        <w:t>2069</w:t>
      </w:r>
      <w:r w:rsidRPr="00C440B6">
        <w:rPr>
          <w:rFonts w:ascii="Arial" w:eastAsia="Calibri" w:hAnsi="Arial" w:cs="Arial"/>
          <w:color w:val="000000" w:themeColor="text1"/>
          <w:sz w:val="22"/>
          <w:lang w:val="es-ES_tradnl"/>
        </w:rPr>
        <w:t xml:space="preserve"> de 2020, que modifica el régimen de los factores de desempate en la contratación estatal, se encuentra vigente y goza de aplicación directa desde la fecha de su promulgación, </w:t>
      </w:r>
      <w:r>
        <w:rPr>
          <w:rFonts w:ascii="Arial" w:eastAsia="Calibri" w:hAnsi="Arial" w:cs="Arial"/>
          <w:color w:val="000000" w:themeColor="text1"/>
          <w:sz w:val="22"/>
          <w:lang w:val="es-ES_tradnl"/>
        </w:rPr>
        <w:t>es decir,</w:t>
      </w:r>
      <w:r w:rsidRPr="00C440B6">
        <w:rPr>
          <w:rFonts w:ascii="Arial" w:eastAsia="Calibri" w:hAnsi="Arial" w:cs="Arial"/>
          <w:color w:val="000000" w:themeColor="text1"/>
          <w:sz w:val="22"/>
          <w:lang w:val="es-ES_tradnl"/>
        </w:rPr>
        <w:t xml:space="preserve"> no requiere de una reglamentación previa como presupuesto para su eficacia. </w:t>
      </w:r>
      <w:r>
        <w:rPr>
          <w:rFonts w:ascii="Arial" w:eastAsia="Calibri" w:hAnsi="Arial" w:cs="Arial"/>
          <w:color w:val="000000" w:themeColor="text1"/>
          <w:sz w:val="22"/>
          <w:lang w:val="es-ES_tradnl"/>
        </w:rPr>
        <w:t>Estos</w:t>
      </w:r>
      <w:r w:rsidRPr="00C440B6">
        <w:rPr>
          <w:rFonts w:ascii="Arial" w:eastAsia="Calibri" w:hAnsi="Arial" w:cs="Arial"/>
          <w:color w:val="000000" w:themeColor="text1"/>
          <w:sz w:val="22"/>
          <w:lang w:val="es-ES_tradnl"/>
        </w:rPr>
        <w:t xml:space="preserve"> criterios de desempate actualmente</w:t>
      </w:r>
      <w:r w:rsidRPr="00C440B6" w:rsidDel="0018007F">
        <w:rPr>
          <w:rFonts w:ascii="Arial" w:eastAsia="Calibri" w:hAnsi="Arial" w:cs="Arial"/>
          <w:color w:val="000000" w:themeColor="text1"/>
          <w:sz w:val="22"/>
          <w:lang w:val="es-ES_tradnl"/>
        </w:rPr>
        <w:t xml:space="preserve"> </w:t>
      </w:r>
      <w:r w:rsidRPr="00C440B6">
        <w:rPr>
          <w:rFonts w:ascii="Arial" w:eastAsia="Calibri" w:hAnsi="Arial" w:cs="Arial"/>
          <w:color w:val="000000" w:themeColor="text1"/>
          <w:sz w:val="22"/>
          <w:lang w:val="es-ES_tradnl"/>
        </w:rPr>
        <w:t>son aplicables a todas las entidades estatales, independientemente de su régimen de contratación.</w:t>
      </w:r>
      <w:r w:rsidR="00544A80">
        <w:rPr>
          <w:rFonts w:ascii="Arial" w:eastAsia="Calibri" w:hAnsi="Arial" w:cs="Arial"/>
          <w:color w:val="000000" w:themeColor="text1"/>
          <w:sz w:val="22"/>
          <w:lang w:val="es-ES_tradnl"/>
        </w:rPr>
        <w:t xml:space="preserve"> </w:t>
      </w:r>
      <w:r w:rsidR="00544A80" w:rsidRPr="00B34968">
        <w:rPr>
          <w:rFonts w:ascii="Arial" w:eastAsia="Calibri" w:hAnsi="Arial" w:cs="Arial"/>
          <w:bCs/>
          <w:sz w:val="22"/>
        </w:rPr>
        <w:t xml:space="preserve">Incluso, al consagrarse en la ley, generan la derogación y decaimiento de los previstos en el artículo 2.2.1.1.2.2.9 del Decreto 1082 de 2015, pues se trata de una norma superior y posterior que genera la pérdida de los fundamentos de derecho en los previstos en el Decreto Único Reglamentario del Sector Administrativo de Planeación Nacional.  </w:t>
      </w:r>
      <w:r>
        <w:rPr>
          <w:rFonts w:ascii="Arial" w:eastAsia="Calibri" w:hAnsi="Arial" w:cs="Arial"/>
          <w:color w:val="000000" w:themeColor="text1"/>
          <w:sz w:val="22"/>
          <w:lang w:val="es-ES_tradnl"/>
        </w:rPr>
        <w:t xml:space="preserve"> </w:t>
      </w:r>
    </w:p>
    <w:p w14:paraId="55050B4E" w14:textId="293F87F2" w:rsidR="00EE61F0" w:rsidRDefault="00EE61F0" w:rsidP="00EE61F0">
      <w:pPr>
        <w:spacing w:before="120" w:line="276" w:lineRule="auto"/>
        <w:ind w:firstLine="709"/>
        <w:jc w:val="both"/>
        <w:rPr>
          <w:rFonts w:ascii="Arial" w:hAnsi="Arial" w:cs="Arial"/>
          <w:color w:val="000000" w:themeColor="text1"/>
          <w:sz w:val="22"/>
          <w:lang w:val="es-ES_tradnl"/>
        </w:rPr>
      </w:pPr>
      <w:r w:rsidRPr="00C440B6">
        <w:rPr>
          <w:rFonts w:ascii="Arial" w:hAnsi="Arial" w:cs="Arial"/>
          <w:color w:val="000000" w:themeColor="text1"/>
          <w:sz w:val="22"/>
          <w:lang w:val="es-ES_tradnl"/>
        </w:rPr>
        <w:t>Además, si bien los factores de desempate regulados en el artículo 35 deben aplicarse «</w:t>
      </w:r>
      <w:r w:rsidRPr="00C440B6">
        <w:rPr>
          <w:rFonts w:ascii="Arial" w:hAnsi="Arial" w:cs="Arial"/>
          <w:sz w:val="22"/>
          <w:lang w:val="es-ES_tradnl"/>
        </w:rPr>
        <w:t xml:space="preserve">[…] </w:t>
      </w:r>
      <w:r w:rsidRPr="00C440B6">
        <w:rPr>
          <w:rFonts w:ascii="Arial" w:hAnsi="Arial" w:cs="Arial"/>
          <w:color w:val="000000" w:themeColor="text1"/>
          <w:sz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054F162D" w14:textId="4CB2D3D1" w:rsidR="00EE61F0" w:rsidRPr="0075566B" w:rsidRDefault="00EE61F0">
      <w:pPr>
        <w:spacing w:before="120" w:line="276" w:lineRule="auto"/>
        <w:ind w:firstLine="709"/>
        <w:jc w:val="both"/>
        <w:rPr>
          <w:rFonts w:ascii="Arial" w:eastAsia="Calibri" w:hAnsi="Arial" w:cs="Arial"/>
          <w:sz w:val="22"/>
          <w:lang w:val="es-ES_tradnl"/>
        </w:rPr>
      </w:pPr>
      <w:r w:rsidRPr="00B34968">
        <w:rPr>
          <w:rFonts w:ascii="Arial" w:eastAsia="Calibri" w:hAnsi="Arial" w:cs="Arial"/>
          <w:sz w:val="22"/>
          <w:lang w:val="es-ES_tradnl"/>
        </w:rPr>
        <w:t>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r w:rsidR="00544A80">
        <w:rPr>
          <w:rFonts w:ascii="Arial" w:eastAsia="Calibri" w:hAnsi="Arial" w:cs="Arial"/>
          <w:sz w:val="22"/>
          <w:lang w:val="es-ES_tradnl"/>
        </w:rPr>
        <w:t xml:space="preserve"> </w:t>
      </w:r>
      <w:r w:rsidR="00544A80">
        <w:rPr>
          <w:rFonts w:ascii="Arial" w:eastAsia="Calibri" w:hAnsi="Arial" w:cs="Arial"/>
          <w:color w:val="000000" w:themeColor="text1"/>
          <w:sz w:val="22"/>
          <w:lang w:val="es-ES_tradnl"/>
        </w:rPr>
        <w:t>De esta manera, incluso están vigentes para los procedimientos de selección regidos por los</w:t>
      </w:r>
      <w:r w:rsidR="00544A80" w:rsidRPr="00EE61F0">
        <w:rPr>
          <w:rFonts w:ascii="Arial" w:eastAsia="Calibri" w:hAnsi="Arial" w:cs="Arial"/>
          <w:color w:val="000000" w:themeColor="text1"/>
          <w:sz w:val="22"/>
          <w:lang w:val="es-ES_tradnl"/>
        </w:rPr>
        <w:t xml:space="preserve"> «Documentos Tipo – Versión 3» de licitación para obra pública de infraestructura de transporte</w:t>
      </w:r>
      <w:r w:rsidR="00544A80">
        <w:rPr>
          <w:rFonts w:ascii="Arial" w:eastAsia="Calibri" w:hAnsi="Arial" w:cs="Arial"/>
          <w:color w:val="000000" w:themeColor="text1"/>
          <w:sz w:val="22"/>
          <w:lang w:val="es-ES_tradnl"/>
        </w:rPr>
        <w:t xml:space="preserve">, adoptados por esta Agencia </w:t>
      </w:r>
      <w:r w:rsidR="00544A80" w:rsidRPr="00F839E0">
        <w:rPr>
          <w:rFonts w:ascii="Arial" w:eastAsia="Calibri" w:hAnsi="Arial" w:cs="Arial"/>
          <w:bCs/>
          <w:color w:val="000000" w:themeColor="text1"/>
          <w:sz w:val="22"/>
        </w:rPr>
        <w:t>mediante la Resoluci</w:t>
      </w:r>
      <w:r w:rsidR="00544A80">
        <w:rPr>
          <w:rFonts w:ascii="Arial" w:eastAsia="Calibri" w:hAnsi="Arial" w:cs="Arial"/>
          <w:bCs/>
          <w:color w:val="000000" w:themeColor="text1"/>
          <w:sz w:val="22"/>
        </w:rPr>
        <w:t>ón</w:t>
      </w:r>
      <w:r w:rsidR="00544A80" w:rsidRPr="00F839E0">
        <w:rPr>
          <w:rFonts w:ascii="Arial" w:eastAsia="Calibri" w:hAnsi="Arial" w:cs="Arial"/>
          <w:bCs/>
          <w:color w:val="000000" w:themeColor="text1"/>
          <w:sz w:val="22"/>
        </w:rPr>
        <w:t xml:space="preserve"> 24</w:t>
      </w:r>
      <w:r w:rsidR="00544A80">
        <w:rPr>
          <w:rFonts w:ascii="Arial" w:eastAsia="Calibri" w:hAnsi="Arial" w:cs="Arial"/>
          <w:bCs/>
          <w:color w:val="000000" w:themeColor="text1"/>
          <w:sz w:val="22"/>
        </w:rPr>
        <w:t>0</w:t>
      </w:r>
      <w:r w:rsidR="00544A80" w:rsidRPr="00F839E0">
        <w:rPr>
          <w:rFonts w:ascii="Arial" w:eastAsia="Calibri" w:hAnsi="Arial" w:cs="Arial"/>
          <w:bCs/>
          <w:color w:val="000000" w:themeColor="text1"/>
          <w:sz w:val="22"/>
        </w:rPr>
        <w:t xml:space="preserve"> del </w:t>
      </w:r>
      <w:r w:rsidR="00544A80">
        <w:rPr>
          <w:rFonts w:ascii="Arial" w:eastAsia="Calibri" w:hAnsi="Arial" w:cs="Arial"/>
          <w:bCs/>
          <w:color w:val="000000" w:themeColor="text1"/>
          <w:sz w:val="22"/>
        </w:rPr>
        <w:t>27</w:t>
      </w:r>
      <w:r w:rsidR="00544A80" w:rsidRPr="00F839E0">
        <w:rPr>
          <w:rFonts w:ascii="Arial" w:eastAsia="Calibri" w:hAnsi="Arial" w:cs="Arial"/>
          <w:bCs/>
          <w:color w:val="000000" w:themeColor="text1"/>
          <w:sz w:val="22"/>
        </w:rPr>
        <w:t xml:space="preserve"> de </w:t>
      </w:r>
      <w:r w:rsidR="00544A80">
        <w:rPr>
          <w:rFonts w:ascii="Arial" w:eastAsia="Calibri" w:hAnsi="Arial" w:cs="Arial"/>
          <w:bCs/>
          <w:color w:val="000000" w:themeColor="text1"/>
          <w:sz w:val="22"/>
        </w:rPr>
        <w:t>noviembre</w:t>
      </w:r>
      <w:r w:rsidR="00544A80" w:rsidRPr="00F839E0">
        <w:rPr>
          <w:rFonts w:ascii="Arial" w:eastAsia="Calibri" w:hAnsi="Arial" w:cs="Arial"/>
          <w:bCs/>
          <w:color w:val="000000" w:themeColor="text1"/>
          <w:sz w:val="22"/>
        </w:rPr>
        <w:t xml:space="preserve"> de 2020</w:t>
      </w:r>
      <w:r w:rsidR="00544A80">
        <w:rPr>
          <w:rFonts w:ascii="Arial" w:eastAsia="Calibri" w:hAnsi="Arial" w:cs="Arial"/>
          <w:bCs/>
          <w:color w:val="000000" w:themeColor="text1"/>
          <w:sz w:val="22"/>
        </w:rPr>
        <w:t>.</w:t>
      </w:r>
      <w:r w:rsidR="00544A80">
        <w:rPr>
          <w:rFonts w:ascii="Arial" w:eastAsia="Calibri" w:hAnsi="Arial" w:cs="Arial"/>
          <w:color w:val="000000" w:themeColor="text1"/>
          <w:sz w:val="22"/>
          <w:lang w:val="es-ES_tradnl"/>
        </w:rPr>
        <w:t xml:space="preserve">  </w:t>
      </w:r>
    </w:p>
    <w:p w14:paraId="721923C8" w14:textId="77777777" w:rsidR="00EE61F0" w:rsidRDefault="00EE61F0" w:rsidP="00EE61F0">
      <w:pPr>
        <w:spacing w:before="120" w:after="120" w:line="276" w:lineRule="auto"/>
        <w:ind w:firstLine="709"/>
        <w:jc w:val="both"/>
        <w:rPr>
          <w:rFonts w:ascii="Arial" w:eastAsia="Calibri" w:hAnsi="Arial" w:cs="Arial"/>
          <w:sz w:val="22"/>
          <w:lang w:val="es-ES_tradnl"/>
        </w:rPr>
      </w:pPr>
      <w:r w:rsidRPr="00B34968">
        <w:rPr>
          <w:rFonts w:ascii="Arial" w:eastAsia="Calibri" w:hAnsi="Arial" w:cs="Arial"/>
          <w:sz w:val="22"/>
          <w:lang w:val="es-ES_tradnl"/>
        </w:rPr>
        <w:t xml:space="preserve">En lo que respecta a la demostración de los supuestos fácticos y jurídicos de los factores de desempate, conviene señalar que los numerales previstos en el artículo 35 de la Ley 2069 de 2020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20684DEC" w14:textId="246FDA5F" w:rsidR="00EE61F0" w:rsidRDefault="00EE61F0" w:rsidP="00EE61F0">
      <w:pPr>
        <w:spacing w:before="120" w:after="120" w:line="276" w:lineRule="auto"/>
        <w:ind w:firstLine="709"/>
        <w:jc w:val="both"/>
        <w:rPr>
          <w:rFonts w:ascii="Arial" w:eastAsia="Calibri" w:hAnsi="Arial" w:cs="Arial"/>
          <w:sz w:val="22"/>
          <w:lang w:val="es-ES_tradnl"/>
        </w:rPr>
      </w:pPr>
      <w:r w:rsidRPr="00B34968">
        <w:rPr>
          <w:rFonts w:ascii="Arial" w:eastAsia="Calibri" w:hAnsi="Arial" w:cs="Arial"/>
          <w:sz w:val="22"/>
          <w:lang w:val="es-ES_tradnl"/>
        </w:rPr>
        <w:lastRenderedPageBreak/>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5C8209FC" w14:textId="77777777" w:rsidR="00EE61F0" w:rsidRPr="00F839E0" w:rsidRDefault="00EE61F0" w:rsidP="00EE61F0">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Pr="00F839E0">
        <w:rPr>
          <w:rFonts w:ascii="Arial" w:eastAsia="Calibri" w:hAnsi="Arial" w:cs="Arial"/>
          <w:bCs/>
          <w:color w:val="000000" w:themeColor="text1"/>
          <w:sz w:val="22"/>
        </w:rPr>
        <w:t>Este criterio también es aplicable a los documentos tipo adoptados mediante la Resoluci</w:t>
      </w:r>
      <w:r>
        <w:rPr>
          <w:rFonts w:ascii="Arial" w:eastAsia="Calibri" w:hAnsi="Arial" w:cs="Arial"/>
          <w:bCs/>
          <w:color w:val="000000" w:themeColor="text1"/>
          <w:sz w:val="22"/>
        </w:rPr>
        <w:t>ón</w:t>
      </w:r>
      <w:r w:rsidRPr="00F839E0">
        <w:rPr>
          <w:rFonts w:ascii="Arial" w:eastAsia="Calibri" w:hAnsi="Arial" w:cs="Arial"/>
          <w:bCs/>
          <w:color w:val="000000" w:themeColor="text1"/>
          <w:sz w:val="22"/>
        </w:rPr>
        <w:t xml:space="preserve"> 24</w:t>
      </w:r>
      <w:r>
        <w:rPr>
          <w:rFonts w:ascii="Arial" w:eastAsia="Calibri" w:hAnsi="Arial" w:cs="Arial"/>
          <w:bCs/>
          <w:color w:val="000000" w:themeColor="text1"/>
          <w:sz w:val="22"/>
        </w:rPr>
        <w:t>0</w:t>
      </w:r>
      <w:r w:rsidRPr="00F839E0">
        <w:rPr>
          <w:rFonts w:ascii="Arial" w:eastAsia="Calibri" w:hAnsi="Arial" w:cs="Arial"/>
          <w:bCs/>
          <w:color w:val="000000" w:themeColor="text1"/>
          <w:sz w:val="22"/>
        </w:rPr>
        <w:t xml:space="preserve"> del </w:t>
      </w:r>
      <w:r>
        <w:rPr>
          <w:rFonts w:ascii="Arial" w:eastAsia="Calibri" w:hAnsi="Arial" w:cs="Arial"/>
          <w:bCs/>
          <w:color w:val="000000" w:themeColor="text1"/>
          <w:sz w:val="22"/>
        </w:rPr>
        <w:t>27</w:t>
      </w:r>
      <w:r w:rsidRPr="00F839E0">
        <w:rPr>
          <w:rFonts w:ascii="Arial" w:eastAsia="Calibri" w:hAnsi="Arial" w:cs="Arial"/>
          <w:bCs/>
          <w:color w:val="000000" w:themeColor="text1"/>
          <w:sz w:val="22"/>
        </w:rPr>
        <w:t xml:space="preserve"> de </w:t>
      </w:r>
      <w:r>
        <w:rPr>
          <w:rFonts w:ascii="Arial" w:eastAsia="Calibri" w:hAnsi="Arial" w:cs="Arial"/>
          <w:bCs/>
          <w:color w:val="000000" w:themeColor="text1"/>
          <w:sz w:val="22"/>
        </w:rPr>
        <w:t>noviembre</w:t>
      </w:r>
      <w:r w:rsidRPr="00F839E0">
        <w:rPr>
          <w:rFonts w:ascii="Arial" w:eastAsia="Calibri" w:hAnsi="Arial" w:cs="Arial"/>
          <w:bCs/>
          <w:color w:val="000000" w:themeColor="text1"/>
          <w:sz w:val="22"/>
        </w:rPr>
        <w:t xml:space="preserve"> de 2020, pues si bien el numeral </w:t>
      </w:r>
      <w:r>
        <w:rPr>
          <w:rFonts w:ascii="Arial" w:eastAsia="Calibri" w:hAnsi="Arial" w:cs="Arial"/>
          <w:bCs/>
          <w:color w:val="000000" w:themeColor="text1"/>
          <w:sz w:val="22"/>
        </w:rPr>
        <w:t>4</w:t>
      </w:r>
      <w:r w:rsidRPr="00F839E0">
        <w:rPr>
          <w:rFonts w:ascii="Arial" w:eastAsia="Calibri" w:hAnsi="Arial" w:cs="Arial"/>
          <w:bCs/>
          <w:color w:val="000000" w:themeColor="text1"/>
          <w:sz w:val="22"/>
        </w:rPr>
        <w:t>.6 del documento base se refiere a los factores de desempate del artículo 2.2.1.1.2.2.9 del Decreto 1082 de 2015, el numeral 1.17, literal H, dispone específicamente que «Las referencias a normas jurídicas incluyen las disposiciones que las modifiquen, adicionen, sustituyan o complementen». Dado que con el artículo 35 de la Ley de Emprendimiento decaen los factores de desempate del decreto único reglamentario, los previstos en la Ley 2069 de 2020 son obligatorio en los documentos tipo conforme numeral citado del pliego de condiciones.</w:t>
      </w:r>
    </w:p>
    <w:p w14:paraId="24AD1E18" w14:textId="5AEF3199" w:rsidR="00EE61F0" w:rsidRPr="0075566B" w:rsidRDefault="00EE61F0" w:rsidP="0075566B">
      <w:pPr>
        <w:shd w:val="clear" w:color="auto" w:fill="FFFFFF"/>
        <w:spacing w:line="276" w:lineRule="auto"/>
        <w:ind w:right="51" w:firstLine="709"/>
        <w:jc w:val="both"/>
        <w:rPr>
          <w:rFonts w:ascii="Arial" w:eastAsia="Calibri" w:hAnsi="Arial" w:cs="Arial"/>
          <w:bCs/>
          <w:sz w:val="22"/>
        </w:rPr>
      </w:pPr>
      <w:r w:rsidRPr="00F839E0">
        <w:rPr>
          <w:rFonts w:ascii="Arial" w:eastAsia="Calibri" w:hAnsi="Arial" w:cs="Arial"/>
          <w:bCs/>
          <w:sz w:val="22"/>
        </w:rPr>
        <w:t xml:space="preserve">Sin embargo, también es preciso mencionar que la Agencia, en el marco de la competencia atribuida por el artículo 1 de la Ley 2022 de 2020, actualmente está trabajando en un proyecto para estandarizar la acreditación de los factores de desempate del artículo 35 de la Ley 2069 de 2020, dirigido a procesos de selección que deban adelantarse con documentos tipo. Expedida la resolución correspondiente quedará limitada la discrecionalidad de las entidades estatales en lo que se refiere a la forma de acreditar los factores de desempate, dado que –conforme a la Ley 2022 de 2020– las entidades deberán aplicar obligatoriamente las modificaciones que se hagan a los documentos tipo.  </w:t>
      </w:r>
      <w:r w:rsidRPr="00F839E0">
        <w:rPr>
          <w:rFonts w:ascii="Arial" w:eastAsia="Calibri" w:hAnsi="Arial" w:cs="Arial"/>
          <w:bCs/>
          <w:color w:val="000000" w:themeColor="text1"/>
          <w:sz w:val="22"/>
        </w:rPr>
        <w:t xml:space="preserve"> </w:t>
      </w:r>
    </w:p>
    <w:p w14:paraId="4925A4E5" w14:textId="77777777" w:rsidR="00085476" w:rsidRPr="00B34968" w:rsidRDefault="00085476" w:rsidP="0075566B">
      <w:pPr>
        <w:spacing w:after="120" w:line="276" w:lineRule="auto"/>
        <w:jc w:val="both"/>
        <w:rPr>
          <w:rFonts w:ascii="Arial" w:eastAsia="Calibri" w:hAnsi="Arial" w:cs="Arial"/>
          <w:sz w:val="22"/>
          <w:lang w:val="es-ES"/>
        </w:rPr>
      </w:pPr>
    </w:p>
    <w:p w14:paraId="78A474DF" w14:textId="1E75F4D4" w:rsidR="00A55BF1" w:rsidRPr="00B34968" w:rsidRDefault="00E05344" w:rsidP="00A55BF1">
      <w:pPr>
        <w:spacing w:line="276" w:lineRule="auto"/>
        <w:jc w:val="both"/>
        <w:rPr>
          <w:rFonts w:ascii="Arial" w:hAnsi="Arial" w:cs="Arial"/>
          <w:sz w:val="22"/>
        </w:rPr>
      </w:pPr>
      <w:r w:rsidRPr="00B34968">
        <w:rPr>
          <w:rFonts w:ascii="Arial" w:eastAsia="Calibri" w:hAnsi="Arial" w:cs="Arial"/>
          <w:sz w:val="22"/>
        </w:rPr>
        <w:t>Este concepto tiene el alcance previsto en el artículo 28 del Código de Procedimiento Administrativo y de lo Contencioso Administrativo</w:t>
      </w:r>
      <w:r w:rsidR="00BE1E33" w:rsidRPr="00B34968">
        <w:rPr>
          <w:rFonts w:ascii="Arial" w:eastAsia="Calibri" w:hAnsi="Arial" w:cs="Arial"/>
          <w:sz w:val="22"/>
        </w:rPr>
        <w:t>.</w:t>
      </w:r>
    </w:p>
    <w:p w14:paraId="58248B2B" w14:textId="038D2DCF" w:rsidR="00A55BF1" w:rsidRPr="00B34968" w:rsidRDefault="00A55BF1" w:rsidP="00A55BF1">
      <w:pPr>
        <w:pStyle w:val="NormalWeb"/>
        <w:spacing w:before="0" w:beforeAutospacing="0" w:after="0" w:afterAutospacing="0" w:line="276" w:lineRule="auto"/>
        <w:jc w:val="both"/>
        <w:rPr>
          <w:rFonts w:ascii="Arial" w:hAnsi="Arial" w:cs="Arial"/>
          <w:sz w:val="16"/>
          <w:szCs w:val="16"/>
          <w:lang w:val="es-MX"/>
        </w:rPr>
      </w:pPr>
    </w:p>
    <w:p w14:paraId="0CFBC9B7" w14:textId="524EF4FC" w:rsidR="00A55BF1" w:rsidRPr="00B34968" w:rsidRDefault="00A55BF1" w:rsidP="00A55BF1">
      <w:pPr>
        <w:pStyle w:val="NormalWeb"/>
        <w:spacing w:before="0" w:beforeAutospacing="0" w:after="0" w:afterAutospacing="0" w:line="276" w:lineRule="auto"/>
        <w:jc w:val="both"/>
        <w:rPr>
          <w:rFonts w:ascii="Arial" w:hAnsi="Arial" w:cs="Arial"/>
          <w:sz w:val="22"/>
          <w:szCs w:val="22"/>
          <w:lang w:val="es-MX"/>
        </w:rPr>
      </w:pPr>
      <w:r w:rsidRPr="00B34968">
        <w:rPr>
          <w:rFonts w:ascii="Arial" w:hAnsi="Arial" w:cs="Arial"/>
          <w:sz w:val="22"/>
          <w:szCs w:val="22"/>
          <w:lang w:val="es-MX"/>
        </w:rPr>
        <w:t>Atentamente,</w:t>
      </w:r>
    </w:p>
    <w:p w14:paraId="327623D5" w14:textId="0B5CB2B3" w:rsidR="00A55BF1" w:rsidRPr="00B34968" w:rsidRDefault="00A55BF1" w:rsidP="00A55BF1">
      <w:pPr>
        <w:jc w:val="center"/>
        <w:rPr>
          <w:rFonts w:ascii="Arial" w:eastAsia="Times New Roman" w:hAnsi="Arial" w:cs="Arial"/>
          <w:sz w:val="18"/>
          <w:szCs w:val="20"/>
          <w:lang w:eastAsia="es-CO"/>
        </w:rPr>
      </w:pPr>
    </w:p>
    <w:p w14:paraId="5F0018F1" w14:textId="67D99EF8" w:rsidR="005B4ED0" w:rsidRPr="00B34968" w:rsidRDefault="0075566B" w:rsidP="00A55BF1">
      <w:pPr>
        <w:jc w:val="center"/>
        <w:rPr>
          <w:rFonts w:ascii="Arial" w:eastAsia="Times New Roman" w:hAnsi="Arial" w:cs="Arial"/>
          <w:sz w:val="18"/>
          <w:szCs w:val="20"/>
          <w:lang w:eastAsia="es-CO"/>
        </w:rPr>
      </w:pPr>
      <w:r>
        <w:rPr>
          <w:noProof/>
        </w:rPr>
        <w:drawing>
          <wp:inline distT="0" distB="0" distL="0" distR="0" wp14:anchorId="22B48B34" wp14:editId="1217762E">
            <wp:extent cx="2514600" cy="1114425"/>
            <wp:effectExtent l="0" t="0" r="0" b="0"/>
            <wp:docPr id="1469252213" name="Imagen 146925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69252213"/>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66A5F9F8" w14:textId="6BAB8D7A" w:rsidR="005B4ED0" w:rsidRPr="00B34968" w:rsidRDefault="005B4ED0" w:rsidP="00A55BF1">
      <w:pPr>
        <w:jc w:val="center"/>
        <w:rPr>
          <w:rFonts w:ascii="Arial" w:eastAsia="Times New Roman" w:hAnsi="Arial" w:cs="Arial"/>
          <w:sz w:val="18"/>
          <w:szCs w:val="20"/>
          <w:lang w:eastAsia="es-CO"/>
        </w:rPr>
      </w:pPr>
    </w:p>
    <w:p w14:paraId="56A498ED" w14:textId="4072FF0F" w:rsidR="005B4ED0" w:rsidRPr="00B34968" w:rsidRDefault="005B4ED0" w:rsidP="00A55BF1">
      <w:pPr>
        <w:jc w:val="center"/>
        <w:rPr>
          <w:rFonts w:ascii="Arial" w:eastAsia="Times New Roman" w:hAnsi="Arial" w:cs="Arial"/>
          <w:sz w:val="18"/>
          <w:szCs w:val="20"/>
          <w:lang w:eastAsia="es-CO"/>
        </w:rPr>
      </w:pPr>
    </w:p>
    <w:p w14:paraId="79497E9D" w14:textId="77777777" w:rsidR="00A55BF1" w:rsidRPr="00B34968" w:rsidRDefault="00A55BF1" w:rsidP="00A55BF1">
      <w:pPr>
        <w:jc w:val="center"/>
        <w:rPr>
          <w:rFonts w:ascii="Arial" w:eastAsia="Times New Roman" w:hAnsi="Arial" w:cs="Arial"/>
          <w:sz w:val="18"/>
          <w:szCs w:val="20"/>
          <w:lang w:eastAsia="es-CO"/>
        </w:rPr>
      </w:pPr>
    </w:p>
    <w:p w14:paraId="138B3DE1" w14:textId="77777777" w:rsidR="00A55BF1" w:rsidRPr="00B34968" w:rsidRDefault="00A55BF1" w:rsidP="00A55BF1">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34968" w:rsidRPr="00B34968" w14:paraId="570E1242" w14:textId="77777777" w:rsidTr="00460200">
        <w:trPr>
          <w:trHeight w:val="315"/>
        </w:trPr>
        <w:tc>
          <w:tcPr>
            <w:tcW w:w="812" w:type="dxa"/>
            <w:vAlign w:val="center"/>
            <w:hideMark/>
          </w:tcPr>
          <w:p w14:paraId="5FD1A97E" w14:textId="77777777" w:rsidR="00A55BF1" w:rsidRPr="00B34968" w:rsidRDefault="00A55BF1" w:rsidP="00460200">
            <w:pPr>
              <w:rPr>
                <w:rFonts w:ascii="Arial" w:eastAsia="Times New Roman" w:hAnsi="Arial" w:cs="Arial"/>
                <w:sz w:val="16"/>
                <w:szCs w:val="16"/>
                <w:lang w:eastAsia="es-ES"/>
              </w:rPr>
            </w:pPr>
            <w:r w:rsidRPr="00B34968">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9602EED" w14:textId="77777777" w:rsidR="00A55BF1" w:rsidRPr="00B34968" w:rsidRDefault="00A55BF1" w:rsidP="00460200">
            <w:pPr>
              <w:rPr>
                <w:rFonts w:ascii="Arial" w:eastAsia="Times New Roman" w:hAnsi="Arial" w:cs="Arial"/>
                <w:sz w:val="16"/>
                <w:szCs w:val="16"/>
                <w:lang w:eastAsia="es-ES"/>
              </w:rPr>
            </w:pPr>
            <w:r w:rsidRPr="00B34968">
              <w:rPr>
                <w:rFonts w:ascii="Arial" w:eastAsia="Times New Roman" w:hAnsi="Arial" w:cs="Arial"/>
                <w:sz w:val="16"/>
                <w:szCs w:val="16"/>
                <w:lang w:eastAsia="es-ES"/>
              </w:rPr>
              <w:t>Alejandro Sarmiento Cantillo</w:t>
            </w:r>
          </w:p>
          <w:p w14:paraId="49F50001" w14:textId="77777777" w:rsidR="00A55BF1" w:rsidRPr="00B34968" w:rsidRDefault="00A55BF1" w:rsidP="00460200">
            <w:pPr>
              <w:rPr>
                <w:rFonts w:ascii="Arial" w:eastAsia="Times New Roman" w:hAnsi="Arial" w:cs="Arial"/>
                <w:sz w:val="16"/>
                <w:szCs w:val="16"/>
                <w:lang w:eastAsia="es-ES"/>
              </w:rPr>
            </w:pPr>
            <w:r w:rsidRPr="00B34968">
              <w:rPr>
                <w:rFonts w:ascii="Arial" w:eastAsia="Times New Roman" w:hAnsi="Arial" w:cs="Arial"/>
                <w:sz w:val="16"/>
                <w:szCs w:val="16"/>
                <w:lang w:eastAsia="es-ES"/>
              </w:rPr>
              <w:t>Gestor T1-11 de la Subdirección de Gestión Contractual</w:t>
            </w:r>
          </w:p>
        </w:tc>
      </w:tr>
      <w:tr w:rsidR="00B34968" w:rsidRPr="00B34968" w14:paraId="12C22515" w14:textId="77777777" w:rsidTr="00460200">
        <w:trPr>
          <w:trHeight w:val="330"/>
        </w:trPr>
        <w:tc>
          <w:tcPr>
            <w:tcW w:w="812" w:type="dxa"/>
            <w:vAlign w:val="center"/>
            <w:hideMark/>
          </w:tcPr>
          <w:p w14:paraId="51DF5D65" w14:textId="77777777" w:rsidR="00A55BF1" w:rsidRPr="00B34968" w:rsidRDefault="00A55BF1" w:rsidP="00460200">
            <w:pPr>
              <w:rPr>
                <w:rFonts w:ascii="Arial" w:eastAsia="Times New Roman" w:hAnsi="Arial" w:cs="Arial"/>
                <w:sz w:val="16"/>
                <w:szCs w:val="16"/>
                <w:lang w:eastAsia="es-ES"/>
              </w:rPr>
            </w:pPr>
            <w:r w:rsidRPr="00B34968">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0EC95B" w14:textId="77777777" w:rsidR="00A55BF1" w:rsidRPr="00B34968" w:rsidRDefault="00A55BF1" w:rsidP="00460200">
            <w:pPr>
              <w:rPr>
                <w:rFonts w:ascii="Arial" w:eastAsia="Times New Roman" w:hAnsi="Arial" w:cs="Arial"/>
                <w:sz w:val="16"/>
                <w:szCs w:val="16"/>
                <w:lang w:eastAsia="es-ES"/>
              </w:rPr>
            </w:pPr>
            <w:r w:rsidRPr="00B34968">
              <w:rPr>
                <w:rFonts w:ascii="Arial" w:eastAsia="Times New Roman" w:hAnsi="Arial" w:cs="Arial"/>
                <w:sz w:val="16"/>
                <w:szCs w:val="16"/>
                <w:lang w:eastAsia="es-ES"/>
              </w:rPr>
              <w:t>Juan David Montoya Penagos</w:t>
            </w:r>
          </w:p>
          <w:p w14:paraId="2F4F5D7C" w14:textId="77777777" w:rsidR="00A55BF1" w:rsidRPr="00B34968" w:rsidRDefault="00A55BF1" w:rsidP="00460200">
            <w:pPr>
              <w:rPr>
                <w:rFonts w:ascii="Arial" w:eastAsia="Times New Roman" w:hAnsi="Arial" w:cs="Arial"/>
                <w:sz w:val="16"/>
                <w:szCs w:val="16"/>
                <w:lang w:eastAsia="es-ES"/>
              </w:rPr>
            </w:pPr>
            <w:r w:rsidRPr="00B34968">
              <w:rPr>
                <w:rFonts w:ascii="Arial" w:eastAsia="Times New Roman" w:hAnsi="Arial" w:cs="Arial"/>
                <w:sz w:val="16"/>
                <w:szCs w:val="16"/>
                <w:lang w:eastAsia="es-ES"/>
              </w:rPr>
              <w:t>Gestor T1-15 de la Subdirección de Gestión Contractual</w:t>
            </w:r>
          </w:p>
        </w:tc>
      </w:tr>
      <w:tr w:rsidR="00515DA2" w:rsidRPr="00B34968" w14:paraId="05CDC1BF" w14:textId="77777777" w:rsidTr="00460200">
        <w:trPr>
          <w:trHeight w:val="300"/>
        </w:trPr>
        <w:tc>
          <w:tcPr>
            <w:tcW w:w="812" w:type="dxa"/>
            <w:vAlign w:val="center"/>
            <w:hideMark/>
          </w:tcPr>
          <w:p w14:paraId="3D155D19" w14:textId="77777777" w:rsidR="00A55BF1" w:rsidRPr="00B34968" w:rsidRDefault="00A55BF1" w:rsidP="00460200">
            <w:pPr>
              <w:rPr>
                <w:rFonts w:ascii="Arial" w:eastAsia="Times New Roman" w:hAnsi="Arial" w:cs="Arial"/>
                <w:sz w:val="16"/>
                <w:szCs w:val="16"/>
                <w:lang w:eastAsia="es-ES"/>
              </w:rPr>
            </w:pPr>
            <w:r w:rsidRPr="00B34968">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7A16EB1" w14:textId="77777777" w:rsidR="00A55BF1" w:rsidRPr="00B34968" w:rsidRDefault="00A55BF1" w:rsidP="00460200">
            <w:pPr>
              <w:rPr>
                <w:rFonts w:ascii="Arial" w:eastAsia="Times New Roman" w:hAnsi="Arial" w:cs="Arial"/>
                <w:sz w:val="16"/>
                <w:szCs w:val="16"/>
                <w:lang w:eastAsia="es-ES"/>
              </w:rPr>
            </w:pPr>
            <w:r w:rsidRPr="00B34968">
              <w:rPr>
                <w:rFonts w:ascii="Arial" w:eastAsia="Times New Roman" w:hAnsi="Arial" w:cs="Arial"/>
                <w:sz w:val="16"/>
                <w:szCs w:val="16"/>
                <w:lang w:eastAsia="es-ES"/>
              </w:rPr>
              <w:t>Jorge Augusto Tirado Navarro</w:t>
            </w:r>
          </w:p>
          <w:p w14:paraId="07208653" w14:textId="73A5385A" w:rsidR="00A55BF1" w:rsidRPr="00B34968" w:rsidRDefault="00A55BF1" w:rsidP="00460200">
            <w:pPr>
              <w:rPr>
                <w:rFonts w:ascii="Arial" w:eastAsia="Times New Roman" w:hAnsi="Arial" w:cs="Arial"/>
                <w:sz w:val="16"/>
                <w:szCs w:val="16"/>
                <w:lang w:eastAsia="es-ES"/>
              </w:rPr>
            </w:pPr>
            <w:r w:rsidRPr="00B34968">
              <w:rPr>
                <w:rFonts w:ascii="Arial" w:eastAsia="Times New Roman" w:hAnsi="Arial" w:cs="Arial"/>
                <w:sz w:val="16"/>
                <w:szCs w:val="16"/>
                <w:lang w:eastAsia="es-ES"/>
              </w:rPr>
              <w:t>Subdirector de Gestión Contractual</w:t>
            </w:r>
            <w:r w:rsidR="00EE61F0">
              <w:rPr>
                <w:rFonts w:ascii="Arial" w:eastAsia="Times New Roman" w:hAnsi="Arial" w:cs="Arial"/>
                <w:sz w:val="16"/>
                <w:szCs w:val="16"/>
                <w:lang w:eastAsia="es-ES"/>
              </w:rPr>
              <w:t xml:space="preserve"> ANCP – CCE</w:t>
            </w:r>
          </w:p>
        </w:tc>
      </w:tr>
    </w:tbl>
    <w:p w14:paraId="085A31AB" w14:textId="418E7A94" w:rsidR="006C5955" w:rsidRPr="00B34968" w:rsidRDefault="006C5955" w:rsidP="00A55BF1">
      <w:pPr>
        <w:spacing w:line="276" w:lineRule="auto"/>
        <w:jc w:val="both"/>
      </w:pPr>
    </w:p>
    <w:sectPr w:rsidR="006C5955" w:rsidRPr="00B34968" w:rsidSect="00AC43E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CA38" w14:textId="77777777" w:rsidR="00261C54" w:rsidRDefault="00261C54" w:rsidP="008C487C">
      <w:r>
        <w:separator/>
      </w:r>
    </w:p>
  </w:endnote>
  <w:endnote w:type="continuationSeparator" w:id="0">
    <w:p w14:paraId="37DFF055" w14:textId="77777777" w:rsidR="00261C54" w:rsidRDefault="00261C54"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AE1FDC" w:rsidRDefault="00AE1FDC" w:rsidP="00AC43E7">
    <w:pPr>
      <w:pStyle w:val="Sinespaciado"/>
      <w:jc w:val="right"/>
      <w:rPr>
        <w:rFonts w:ascii="Arial" w:hAnsi="Arial" w:cs="Arial"/>
        <w:sz w:val="18"/>
        <w:szCs w:val="18"/>
      </w:rPr>
    </w:pPr>
  </w:p>
  <w:p w14:paraId="709352A1" w14:textId="77777777" w:rsidR="00AE1FDC" w:rsidRDefault="00AE1FDC" w:rsidP="00AC43E7">
    <w:pPr>
      <w:pStyle w:val="Sinespaciado"/>
      <w:jc w:val="right"/>
      <w:rPr>
        <w:rFonts w:ascii="Arial" w:hAnsi="Arial" w:cs="Arial"/>
        <w:sz w:val="18"/>
        <w:szCs w:val="18"/>
      </w:rPr>
    </w:pPr>
  </w:p>
  <w:p w14:paraId="3D3EB348" w14:textId="77777777" w:rsidR="00AE1FDC" w:rsidRPr="008217B7" w:rsidRDefault="00AE1FDC"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AE1FDC" w:rsidRDefault="2B134673" w:rsidP="00AC43E7">
    <w:pPr>
      <w:pStyle w:val="Piedepgina"/>
      <w:jc w:val="center"/>
      <w:rPr>
        <w:lang w:val="es-ES"/>
      </w:rPr>
    </w:pPr>
    <w:r>
      <w:rPr>
        <w:noProof/>
      </w:rPr>
      <w:drawing>
        <wp:inline distT="0" distB="0" distL="0" distR="0" wp14:anchorId="0323F87D" wp14:editId="044DFE8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AE1FDC" w:rsidRPr="00E756AC" w:rsidRDefault="00AE1FDC" w:rsidP="00AC43E7">
    <w:pPr>
      <w:pStyle w:val="Piedepgina"/>
      <w:jc w:val="center"/>
      <w:rPr>
        <w:sz w:val="18"/>
        <w:szCs w:val="18"/>
        <w:lang w:val="es-ES"/>
      </w:rPr>
    </w:pPr>
  </w:p>
  <w:p w14:paraId="428179B1" w14:textId="77777777" w:rsidR="00AE1FDC" w:rsidRPr="00E756AC" w:rsidRDefault="00AE1FDC"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8D1E" w14:textId="77777777" w:rsidR="00261C54" w:rsidRDefault="00261C54" w:rsidP="008C487C">
      <w:r>
        <w:separator/>
      </w:r>
    </w:p>
  </w:footnote>
  <w:footnote w:type="continuationSeparator" w:id="0">
    <w:p w14:paraId="444DD185" w14:textId="77777777" w:rsidR="00261C54" w:rsidRDefault="00261C54" w:rsidP="008C487C">
      <w:r>
        <w:continuationSeparator/>
      </w:r>
    </w:p>
  </w:footnote>
  <w:footnote w:id="1">
    <w:p w14:paraId="4C18B9C1" w14:textId="77777777" w:rsidR="008E10D2" w:rsidRPr="00EA10E4" w:rsidRDefault="008E10D2" w:rsidP="008E10D2">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6B9B0E5B" w14:textId="77777777" w:rsidR="008E10D2" w:rsidRPr="00EA10E4" w:rsidRDefault="008E10D2" w:rsidP="008E10D2">
      <w:pPr>
        <w:pStyle w:val="Textonotapie"/>
        <w:ind w:firstLine="709"/>
        <w:jc w:val="both"/>
        <w:rPr>
          <w:rFonts w:ascii="Arial" w:hAnsi="Arial" w:cs="Arial"/>
          <w:sz w:val="19"/>
          <w:szCs w:val="19"/>
          <w:lang w:val="es-ES"/>
        </w:rPr>
      </w:pPr>
    </w:p>
  </w:footnote>
  <w:footnote w:id="2">
    <w:p w14:paraId="3682B2D1" w14:textId="77777777" w:rsidR="008E10D2" w:rsidRPr="008640C4" w:rsidRDefault="008E10D2" w:rsidP="008E10D2">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4F12DC35" w14:textId="77777777" w:rsidR="008E10D2" w:rsidRPr="008640C4" w:rsidRDefault="008E10D2" w:rsidP="008E10D2">
      <w:pPr>
        <w:pStyle w:val="Textonotapie"/>
        <w:ind w:firstLine="709"/>
        <w:jc w:val="both"/>
        <w:rPr>
          <w:rFonts w:ascii="Arial" w:hAnsi="Arial" w:cs="Arial"/>
          <w:sz w:val="19"/>
          <w:szCs w:val="19"/>
          <w:lang w:val="es-ES"/>
        </w:rPr>
      </w:pPr>
    </w:p>
  </w:footnote>
  <w:footnote w:id="3">
    <w:p w14:paraId="3053AA5D" w14:textId="46725CBF" w:rsidR="008E10D2" w:rsidRPr="008640C4" w:rsidRDefault="008E10D2" w:rsidP="008E10D2">
      <w:pPr>
        <w:pStyle w:val="Textonotapie"/>
        <w:ind w:firstLine="709"/>
        <w:jc w:val="both"/>
        <w:rPr>
          <w:rFonts w:ascii="Arial" w:hAnsi="Arial" w:cs="Arial"/>
          <w:sz w:val="19"/>
          <w:szCs w:val="19"/>
          <w:lang w:val="es-CO"/>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footnote>
  <w:footnote w:id="4">
    <w:p w14:paraId="508D40F7" w14:textId="77777777" w:rsidR="001D2F7F" w:rsidRPr="008640C4" w:rsidRDefault="001D2F7F" w:rsidP="001D2F7F">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56021EB1" w14:textId="77777777" w:rsidR="001D2F7F" w:rsidRPr="008640C4" w:rsidRDefault="001D2F7F" w:rsidP="001D2F7F">
      <w:pPr>
        <w:pStyle w:val="Textonotapie"/>
        <w:ind w:firstLine="709"/>
        <w:jc w:val="both"/>
        <w:rPr>
          <w:rFonts w:ascii="Arial" w:hAnsi="Arial" w:cs="Arial"/>
          <w:sz w:val="19"/>
          <w:szCs w:val="19"/>
          <w:lang w:val="es-ES"/>
        </w:rPr>
      </w:pPr>
    </w:p>
  </w:footnote>
  <w:footnote w:id="5">
    <w:p w14:paraId="2A6059C6" w14:textId="77777777" w:rsidR="001D2F7F" w:rsidRPr="008640C4" w:rsidRDefault="001D2F7F" w:rsidP="001D2F7F">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4D60C2DE" w14:textId="77777777" w:rsidR="001D2F7F" w:rsidRPr="008640C4" w:rsidRDefault="001D2F7F" w:rsidP="001D2F7F">
      <w:pPr>
        <w:pStyle w:val="Textonotapie"/>
        <w:ind w:firstLine="709"/>
        <w:jc w:val="both"/>
        <w:rPr>
          <w:rFonts w:ascii="Arial" w:hAnsi="Arial" w:cs="Arial"/>
          <w:sz w:val="19"/>
          <w:szCs w:val="19"/>
          <w:lang w:val="es-ES"/>
        </w:rPr>
      </w:pPr>
    </w:p>
  </w:footnote>
  <w:footnote w:id="6">
    <w:p w14:paraId="1420927F" w14:textId="77777777" w:rsidR="001D2F7F" w:rsidRPr="008640C4" w:rsidRDefault="001D2F7F" w:rsidP="001D2F7F">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40A0CF6E" w14:textId="77777777" w:rsidR="001D2F7F" w:rsidRPr="008640C4" w:rsidRDefault="001D2F7F" w:rsidP="001D2F7F">
      <w:pPr>
        <w:pStyle w:val="Textonotapie"/>
        <w:ind w:firstLine="709"/>
        <w:jc w:val="both"/>
        <w:rPr>
          <w:rFonts w:ascii="Arial" w:hAnsi="Arial" w:cs="Arial"/>
          <w:sz w:val="19"/>
          <w:szCs w:val="19"/>
          <w:lang w:val="es-ES"/>
        </w:rPr>
      </w:pPr>
    </w:p>
  </w:footnote>
  <w:footnote w:id="7">
    <w:p w14:paraId="744278C3" w14:textId="77777777" w:rsidR="001D2F7F" w:rsidRPr="008640C4" w:rsidRDefault="001D2F7F" w:rsidP="001D2F7F">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351FCDD2" w14:textId="77777777" w:rsidR="001D2F7F" w:rsidRPr="008640C4" w:rsidRDefault="001D2F7F" w:rsidP="001D2F7F">
      <w:pPr>
        <w:pStyle w:val="Textonotapie"/>
        <w:ind w:firstLine="709"/>
        <w:jc w:val="both"/>
        <w:rPr>
          <w:rFonts w:ascii="Arial" w:hAnsi="Arial" w:cs="Arial"/>
          <w:sz w:val="19"/>
          <w:szCs w:val="19"/>
          <w:lang w:val="es-ES"/>
        </w:rPr>
      </w:pPr>
    </w:p>
  </w:footnote>
  <w:footnote w:id="8">
    <w:p w14:paraId="2027CA3B" w14:textId="77777777" w:rsidR="001D2F7F" w:rsidRPr="008640C4" w:rsidRDefault="001D2F7F" w:rsidP="001D2F7F">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31860437" w14:textId="77777777" w:rsidR="001D2F7F" w:rsidRPr="008640C4" w:rsidRDefault="001D2F7F" w:rsidP="001D2F7F">
      <w:pPr>
        <w:pStyle w:val="Textonotapie"/>
        <w:ind w:firstLine="709"/>
        <w:jc w:val="both"/>
        <w:rPr>
          <w:rFonts w:ascii="Arial" w:hAnsi="Arial" w:cs="Arial"/>
          <w:sz w:val="19"/>
          <w:szCs w:val="19"/>
          <w:lang w:val="es-ES"/>
        </w:rPr>
      </w:pPr>
    </w:p>
  </w:footnote>
  <w:footnote w:id="9">
    <w:p w14:paraId="0F2391E4" w14:textId="77777777" w:rsidR="00EE2576" w:rsidRPr="007D00A7" w:rsidRDefault="00EE2576" w:rsidP="00EE2576">
      <w:pPr>
        <w:ind w:firstLine="708"/>
        <w:jc w:val="both"/>
        <w:rPr>
          <w:rFonts w:ascii="Arial" w:hAnsi="Arial" w:cs="Arial"/>
          <w:sz w:val="19"/>
          <w:szCs w:val="19"/>
        </w:rPr>
      </w:pPr>
      <w:r w:rsidRPr="00682C32">
        <w:rPr>
          <w:rStyle w:val="Refdenotaalpie"/>
          <w:rFonts w:ascii="Arial" w:hAnsi="Arial" w:cs="Arial"/>
          <w:sz w:val="19"/>
          <w:szCs w:val="19"/>
        </w:rPr>
        <w:footnoteRef/>
      </w:r>
      <w:r w:rsidRPr="00682C32">
        <w:rPr>
          <w:rFonts w:ascii="Arial" w:hAnsi="Arial" w:cs="Arial"/>
          <w:sz w:val="19"/>
          <w:szCs w:val="19"/>
        </w:rPr>
        <w:t xml:space="preserve"> </w:t>
      </w:r>
      <w:r>
        <w:rPr>
          <w:rFonts w:ascii="Arial" w:hAnsi="Arial" w:cs="Arial"/>
          <w:sz w:val="19"/>
          <w:szCs w:val="19"/>
        </w:rPr>
        <w:t>«</w:t>
      </w:r>
      <w:r w:rsidRPr="007D00A7">
        <w:rPr>
          <w:rFonts w:ascii="Arial" w:hAnsi="Arial" w:cs="Arial"/>
          <w:sz w:val="19"/>
          <w:szCs w:val="19"/>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62A087DB" w14:textId="77777777" w:rsidR="00EE2576" w:rsidRPr="007D00A7" w:rsidRDefault="00EE2576" w:rsidP="00EE2576">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 Preferir la oferta de bienes o servicios nacionales frente a la oferta de bienes o servicios extranjeros.</w:t>
      </w:r>
    </w:p>
    <w:p w14:paraId="4388C6F5" w14:textId="77777777" w:rsidR="00EE2576" w:rsidRPr="007D00A7" w:rsidRDefault="00EE2576" w:rsidP="00EE2576">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71457C25" w14:textId="77777777" w:rsidR="00EE2576" w:rsidRPr="007D00A7" w:rsidRDefault="00EE2576" w:rsidP="00EE2576">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11B87ACD" w14:textId="77777777" w:rsidR="00EE2576" w:rsidRPr="007D00A7" w:rsidRDefault="00EE2576" w:rsidP="00EE2576">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6D4BB88D" w14:textId="77777777" w:rsidR="00EE2576" w:rsidRPr="007D00A7" w:rsidRDefault="00EE2576" w:rsidP="00EE2576">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 xml:space="preserve">5. Preferir la propuesta presentada por el oferente que acredite, en las condiciones establecidas en la ley, que por lo menos diez por ciento (10%) de su nómina pertenece a población indígena, negra, afrocolombiana, raizal, palanquera, </w:t>
      </w:r>
      <w:r w:rsidRPr="007D00A7">
        <w:rPr>
          <w:rFonts w:ascii="Arial" w:hAnsi="Arial" w:cs="Arial"/>
          <w:sz w:val="19"/>
          <w:szCs w:val="19"/>
        </w:rPr>
        <w:t>Rrom o gitanas.</w:t>
      </w:r>
    </w:p>
    <w:p w14:paraId="0CF3EE44" w14:textId="77777777" w:rsidR="00EE2576" w:rsidRPr="007D00A7" w:rsidRDefault="00EE2576" w:rsidP="00EE2576">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05084FB1" w14:textId="77777777" w:rsidR="00EE2576" w:rsidRPr="007D00A7" w:rsidRDefault="00EE2576" w:rsidP="00EE2576">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2AE5FA7D" w14:textId="77777777" w:rsidR="00EE2576" w:rsidRPr="007D00A7" w:rsidRDefault="00EE2576" w:rsidP="00EE2576">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8. Preferir la oferta presentada por una Mipyme o cooperativas o asociaciones mutuales; o un proponente plural constituido por Mipymes, cooperativas o asociaciones mutuales.</w:t>
      </w:r>
    </w:p>
    <w:p w14:paraId="53C7684C" w14:textId="77777777" w:rsidR="00EE2576" w:rsidRPr="007D00A7" w:rsidRDefault="00EE2576" w:rsidP="00EE2576">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9. Preferir la oferta presentada por el proponente plural constituido por micro y/o pequeñas empresas, cooperativas o asociaciones mutuales.</w:t>
      </w:r>
    </w:p>
    <w:p w14:paraId="23F9121D" w14:textId="77777777" w:rsidR="00EE2576" w:rsidRPr="007D00A7" w:rsidRDefault="00EE2576" w:rsidP="00EE2576">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10. Preferir al oferente que acredite de acuerdo con sus estados financieros o información contable con corte a 31 de diciembre del año anterior, por lo menos el veinticinco por ciento (25%) del total de pagos realizados a MIPYNIES,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2538A898" w14:textId="77777777" w:rsidR="00EE2576" w:rsidRPr="007D00A7" w:rsidRDefault="00EE2576" w:rsidP="00EE2576">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11. Preferir las empresas reconocidas y establecidas como Sociedad de Beneficio e Interés Colectivo o Sociedad BIC, del segmento MIPYMES.</w:t>
      </w:r>
    </w:p>
    <w:p w14:paraId="09A8A2B1" w14:textId="77777777" w:rsidR="00EE2576" w:rsidRPr="007D00A7" w:rsidRDefault="00EE2576" w:rsidP="00EE2576">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12. Utilizar un método aleatorio para seleccionar el oferente, método que deberá haber sido previsto previamente en los Documentos del Proceso.</w:t>
      </w:r>
    </w:p>
    <w:p w14:paraId="2576211E" w14:textId="77777777" w:rsidR="00EE2576" w:rsidRPr="007D00A7" w:rsidRDefault="00EE2576" w:rsidP="00EE2576">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1°. Los factores de desempate serán aplicables en el caso de las cooperativas y asociaciones mutuales que cumplan con los criterios de clasificación empresarial, definidos por el Decreto 957 de 2019, priorizando aquellas que sean micro, pequeñas o medianas.</w:t>
      </w:r>
    </w:p>
    <w:p w14:paraId="3FE133F2" w14:textId="77777777" w:rsidR="00EE2576" w:rsidRPr="007D00A7" w:rsidRDefault="00EE2576" w:rsidP="00EE2576">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2°.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la misma.</w:t>
      </w:r>
    </w:p>
    <w:p w14:paraId="3D929FA9" w14:textId="77777777" w:rsidR="00EE2576" w:rsidRPr="00C0447F" w:rsidRDefault="00EE2576" w:rsidP="00EE2576">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3°. El Gobierno Nacional podrá reglamentar la aplicación de factores de desempate en casos en que concurran dos o más de los factores aquí previstos</w:t>
      </w:r>
      <w:r>
        <w:rPr>
          <w:rFonts w:ascii="Arial" w:hAnsi="Arial" w:cs="Arial"/>
          <w:sz w:val="19"/>
          <w:szCs w:val="19"/>
        </w:rPr>
        <w:t>»</w:t>
      </w:r>
      <w:r w:rsidRPr="007D00A7">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AE1FDC" w:rsidRDefault="00AE1FD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16cid:durableId="145478735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088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403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447885">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234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6521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2331"/>
    <w:rsid w:val="000031FE"/>
    <w:rsid w:val="000047EA"/>
    <w:rsid w:val="000072CE"/>
    <w:rsid w:val="000100E8"/>
    <w:rsid w:val="00010A06"/>
    <w:rsid w:val="00010D30"/>
    <w:rsid w:val="00013319"/>
    <w:rsid w:val="00013780"/>
    <w:rsid w:val="000137A9"/>
    <w:rsid w:val="00013C14"/>
    <w:rsid w:val="000156B3"/>
    <w:rsid w:val="00016F8F"/>
    <w:rsid w:val="00021180"/>
    <w:rsid w:val="000221C2"/>
    <w:rsid w:val="00023000"/>
    <w:rsid w:val="00023057"/>
    <w:rsid w:val="00024771"/>
    <w:rsid w:val="00026A6E"/>
    <w:rsid w:val="0003091B"/>
    <w:rsid w:val="000324C9"/>
    <w:rsid w:val="000333A2"/>
    <w:rsid w:val="00034108"/>
    <w:rsid w:val="000344CA"/>
    <w:rsid w:val="000347F4"/>
    <w:rsid w:val="00034853"/>
    <w:rsid w:val="000348F4"/>
    <w:rsid w:val="0003568E"/>
    <w:rsid w:val="0003601F"/>
    <w:rsid w:val="0003625C"/>
    <w:rsid w:val="000368FC"/>
    <w:rsid w:val="00036E73"/>
    <w:rsid w:val="00037414"/>
    <w:rsid w:val="00040C88"/>
    <w:rsid w:val="00040D6E"/>
    <w:rsid w:val="000428C3"/>
    <w:rsid w:val="00042C0C"/>
    <w:rsid w:val="000439E9"/>
    <w:rsid w:val="00043A4D"/>
    <w:rsid w:val="000445B5"/>
    <w:rsid w:val="00044FF2"/>
    <w:rsid w:val="000466AB"/>
    <w:rsid w:val="000466AC"/>
    <w:rsid w:val="00047050"/>
    <w:rsid w:val="00051D31"/>
    <w:rsid w:val="00053D7E"/>
    <w:rsid w:val="00054B43"/>
    <w:rsid w:val="00054E9A"/>
    <w:rsid w:val="0005595F"/>
    <w:rsid w:val="000563ED"/>
    <w:rsid w:val="00056B40"/>
    <w:rsid w:val="00057B7C"/>
    <w:rsid w:val="00060618"/>
    <w:rsid w:val="00061E34"/>
    <w:rsid w:val="00061EE4"/>
    <w:rsid w:val="00062512"/>
    <w:rsid w:val="00062B0D"/>
    <w:rsid w:val="00064834"/>
    <w:rsid w:val="0006519B"/>
    <w:rsid w:val="00070FE3"/>
    <w:rsid w:val="00072EB9"/>
    <w:rsid w:val="0007306B"/>
    <w:rsid w:val="000757B4"/>
    <w:rsid w:val="000763E2"/>
    <w:rsid w:val="00076F69"/>
    <w:rsid w:val="00083BE1"/>
    <w:rsid w:val="00085476"/>
    <w:rsid w:val="00086A16"/>
    <w:rsid w:val="00091039"/>
    <w:rsid w:val="00091570"/>
    <w:rsid w:val="0009161E"/>
    <w:rsid w:val="00091D8F"/>
    <w:rsid w:val="00091F2D"/>
    <w:rsid w:val="000929DE"/>
    <w:rsid w:val="00093392"/>
    <w:rsid w:val="00093E58"/>
    <w:rsid w:val="00095C76"/>
    <w:rsid w:val="0009620A"/>
    <w:rsid w:val="00097CD6"/>
    <w:rsid w:val="00097D8F"/>
    <w:rsid w:val="000A1DBA"/>
    <w:rsid w:val="000A2BEF"/>
    <w:rsid w:val="000A3B96"/>
    <w:rsid w:val="000A4C83"/>
    <w:rsid w:val="000A5E30"/>
    <w:rsid w:val="000A6338"/>
    <w:rsid w:val="000A667E"/>
    <w:rsid w:val="000A6B6F"/>
    <w:rsid w:val="000A70D5"/>
    <w:rsid w:val="000B1824"/>
    <w:rsid w:val="000B4A19"/>
    <w:rsid w:val="000B5C52"/>
    <w:rsid w:val="000C0E39"/>
    <w:rsid w:val="000C26A0"/>
    <w:rsid w:val="000C3BD4"/>
    <w:rsid w:val="000C3D66"/>
    <w:rsid w:val="000C4A2C"/>
    <w:rsid w:val="000C51AF"/>
    <w:rsid w:val="000C5830"/>
    <w:rsid w:val="000C5C37"/>
    <w:rsid w:val="000C5D09"/>
    <w:rsid w:val="000C610E"/>
    <w:rsid w:val="000C61D7"/>
    <w:rsid w:val="000C79F1"/>
    <w:rsid w:val="000D088F"/>
    <w:rsid w:val="000D1766"/>
    <w:rsid w:val="000D64F5"/>
    <w:rsid w:val="000D6C6D"/>
    <w:rsid w:val="000E0AB3"/>
    <w:rsid w:val="000E284C"/>
    <w:rsid w:val="000E37D0"/>
    <w:rsid w:val="000E4925"/>
    <w:rsid w:val="000E4A3C"/>
    <w:rsid w:val="000E577A"/>
    <w:rsid w:val="000E57DB"/>
    <w:rsid w:val="000E5BB2"/>
    <w:rsid w:val="000E6867"/>
    <w:rsid w:val="000E68C2"/>
    <w:rsid w:val="000F1B34"/>
    <w:rsid w:val="000F1E3D"/>
    <w:rsid w:val="000F211E"/>
    <w:rsid w:val="000F5340"/>
    <w:rsid w:val="00100AEC"/>
    <w:rsid w:val="00102988"/>
    <w:rsid w:val="00103CA7"/>
    <w:rsid w:val="00104D9B"/>
    <w:rsid w:val="001056C0"/>
    <w:rsid w:val="00105A2E"/>
    <w:rsid w:val="00106148"/>
    <w:rsid w:val="00107607"/>
    <w:rsid w:val="00110B59"/>
    <w:rsid w:val="00111299"/>
    <w:rsid w:val="00112597"/>
    <w:rsid w:val="001127E9"/>
    <w:rsid w:val="00114431"/>
    <w:rsid w:val="0011538C"/>
    <w:rsid w:val="0011544E"/>
    <w:rsid w:val="0012074A"/>
    <w:rsid w:val="00120C8D"/>
    <w:rsid w:val="0012181C"/>
    <w:rsid w:val="00122311"/>
    <w:rsid w:val="00123543"/>
    <w:rsid w:val="001240CD"/>
    <w:rsid w:val="00127F76"/>
    <w:rsid w:val="001303DE"/>
    <w:rsid w:val="001321AB"/>
    <w:rsid w:val="0013282D"/>
    <w:rsid w:val="00132923"/>
    <w:rsid w:val="00132DBE"/>
    <w:rsid w:val="00132FDE"/>
    <w:rsid w:val="0013709F"/>
    <w:rsid w:val="00140285"/>
    <w:rsid w:val="00140E57"/>
    <w:rsid w:val="00141B19"/>
    <w:rsid w:val="00141C64"/>
    <w:rsid w:val="001427B1"/>
    <w:rsid w:val="001427C6"/>
    <w:rsid w:val="001427E8"/>
    <w:rsid w:val="00142E4E"/>
    <w:rsid w:val="00143498"/>
    <w:rsid w:val="0014462B"/>
    <w:rsid w:val="0014660B"/>
    <w:rsid w:val="00146D5B"/>
    <w:rsid w:val="00147906"/>
    <w:rsid w:val="001501ED"/>
    <w:rsid w:val="00150DA3"/>
    <w:rsid w:val="00151596"/>
    <w:rsid w:val="00152F17"/>
    <w:rsid w:val="00153913"/>
    <w:rsid w:val="0015466A"/>
    <w:rsid w:val="00154EC0"/>
    <w:rsid w:val="001573F8"/>
    <w:rsid w:val="00162BA0"/>
    <w:rsid w:val="00163EED"/>
    <w:rsid w:val="00164E79"/>
    <w:rsid w:val="00165584"/>
    <w:rsid w:val="00166C81"/>
    <w:rsid w:val="00173A9E"/>
    <w:rsid w:val="00175EBB"/>
    <w:rsid w:val="0017603D"/>
    <w:rsid w:val="001764B9"/>
    <w:rsid w:val="00177F00"/>
    <w:rsid w:val="0018164B"/>
    <w:rsid w:val="00181A3E"/>
    <w:rsid w:val="00183447"/>
    <w:rsid w:val="00183A65"/>
    <w:rsid w:val="00183CCB"/>
    <w:rsid w:val="00185441"/>
    <w:rsid w:val="001865DB"/>
    <w:rsid w:val="001879C4"/>
    <w:rsid w:val="0019156F"/>
    <w:rsid w:val="00192537"/>
    <w:rsid w:val="00192B72"/>
    <w:rsid w:val="00193074"/>
    <w:rsid w:val="00193C83"/>
    <w:rsid w:val="00194C50"/>
    <w:rsid w:val="00196FB5"/>
    <w:rsid w:val="001972D2"/>
    <w:rsid w:val="001A0AEB"/>
    <w:rsid w:val="001A2D72"/>
    <w:rsid w:val="001A496D"/>
    <w:rsid w:val="001A535A"/>
    <w:rsid w:val="001B0364"/>
    <w:rsid w:val="001B0EDD"/>
    <w:rsid w:val="001B269D"/>
    <w:rsid w:val="001B2E5D"/>
    <w:rsid w:val="001B4977"/>
    <w:rsid w:val="001B53BD"/>
    <w:rsid w:val="001B5A26"/>
    <w:rsid w:val="001B5E36"/>
    <w:rsid w:val="001C1354"/>
    <w:rsid w:val="001C1D25"/>
    <w:rsid w:val="001C2478"/>
    <w:rsid w:val="001C2AE5"/>
    <w:rsid w:val="001C6E3F"/>
    <w:rsid w:val="001C7586"/>
    <w:rsid w:val="001D1277"/>
    <w:rsid w:val="001D248F"/>
    <w:rsid w:val="001D2BDC"/>
    <w:rsid w:val="001D2F7F"/>
    <w:rsid w:val="001D38A0"/>
    <w:rsid w:val="001D4424"/>
    <w:rsid w:val="001D59C7"/>
    <w:rsid w:val="001D5ECE"/>
    <w:rsid w:val="001D7073"/>
    <w:rsid w:val="001D733B"/>
    <w:rsid w:val="001D7420"/>
    <w:rsid w:val="001D7FD4"/>
    <w:rsid w:val="001E0DB0"/>
    <w:rsid w:val="001E123B"/>
    <w:rsid w:val="001E1735"/>
    <w:rsid w:val="001E1C6D"/>
    <w:rsid w:val="001E20C2"/>
    <w:rsid w:val="001E3F37"/>
    <w:rsid w:val="001E44A9"/>
    <w:rsid w:val="001E5745"/>
    <w:rsid w:val="001E5DBB"/>
    <w:rsid w:val="001E66BB"/>
    <w:rsid w:val="001E685F"/>
    <w:rsid w:val="001E7044"/>
    <w:rsid w:val="001F1051"/>
    <w:rsid w:val="001F1A2D"/>
    <w:rsid w:val="001F311C"/>
    <w:rsid w:val="001F3224"/>
    <w:rsid w:val="001F34A8"/>
    <w:rsid w:val="001F40B2"/>
    <w:rsid w:val="001F4B99"/>
    <w:rsid w:val="001F680B"/>
    <w:rsid w:val="001F6BA7"/>
    <w:rsid w:val="001F7005"/>
    <w:rsid w:val="001F70F8"/>
    <w:rsid w:val="00200F92"/>
    <w:rsid w:val="00202680"/>
    <w:rsid w:val="00202ECA"/>
    <w:rsid w:val="002034AD"/>
    <w:rsid w:val="00203BF1"/>
    <w:rsid w:val="00203F46"/>
    <w:rsid w:val="002042F7"/>
    <w:rsid w:val="002057A7"/>
    <w:rsid w:val="00207033"/>
    <w:rsid w:val="00210D66"/>
    <w:rsid w:val="00211C6F"/>
    <w:rsid w:val="00212E91"/>
    <w:rsid w:val="00216A65"/>
    <w:rsid w:val="00217339"/>
    <w:rsid w:val="00222204"/>
    <w:rsid w:val="0022306C"/>
    <w:rsid w:val="002239B4"/>
    <w:rsid w:val="00224D5C"/>
    <w:rsid w:val="00225FBD"/>
    <w:rsid w:val="002267EA"/>
    <w:rsid w:val="00227C2D"/>
    <w:rsid w:val="00227D08"/>
    <w:rsid w:val="0023008F"/>
    <w:rsid w:val="0023180C"/>
    <w:rsid w:val="00233653"/>
    <w:rsid w:val="00234C6C"/>
    <w:rsid w:val="0023576D"/>
    <w:rsid w:val="0023728A"/>
    <w:rsid w:val="00237522"/>
    <w:rsid w:val="002430D1"/>
    <w:rsid w:val="002442D1"/>
    <w:rsid w:val="00244A28"/>
    <w:rsid w:val="00245C98"/>
    <w:rsid w:val="00245CF3"/>
    <w:rsid w:val="002466F4"/>
    <w:rsid w:val="00247506"/>
    <w:rsid w:val="00247EBA"/>
    <w:rsid w:val="0025095A"/>
    <w:rsid w:val="00250A60"/>
    <w:rsid w:val="00251547"/>
    <w:rsid w:val="00251997"/>
    <w:rsid w:val="00251F8A"/>
    <w:rsid w:val="002532DE"/>
    <w:rsid w:val="00253FB7"/>
    <w:rsid w:val="00254030"/>
    <w:rsid w:val="00256337"/>
    <w:rsid w:val="00256893"/>
    <w:rsid w:val="0026012E"/>
    <w:rsid w:val="00261C54"/>
    <w:rsid w:val="00264348"/>
    <w:rsid w:val="00265031"/>
    <w:rsid w:val="0026520C"/>
    <w:rsid w:val="00266277"/>
    <w:rsid w:val="00270009"/>
    <w:rsid w:val="002711ED"/>
    <w:rsid w:val="002723C7"/>
    <w:rsid w:val="00273277"/>
    <w:rsid w:val="00273DA3"/>
    <w:rsid w:val="0027436C"/>
    <w:rsid w:val="002764BA"/>
    <w:rsid w:val="002807AD"/>
    <w:rsid w:val="002814BC"/>
    <w:rsid w:val="002814EA"/>
    <w:rsid w:val="00282CDA"/>
    <w:rsid w:val="00282D8F"/>
    <w:rsid w:val="00283163"/>
    <w:rsid w:val="0028403E"/>
    <w:rsid w:val="00284A16"/>
    <w:rsid w:val="00284C12"/>
    <w:rsid w:val="0028617E"/>
    <w:rsid w:val="00286834"/>
    <w:rsid w:val="00286FAD"/>
    <w:rsid w:val="0028712C"/>
    <w:rsid w:val="00292416"/>
    <w:rsid w:val="0029247F"/>
    <w:rsid w:val="002930DB"/>
    <w:rsid w:val="00295636"/>
    <w:rsid w:val="002965BC"/>
    <w:rsid w:val="002969F8"/>
    <w:rsid w:val="00296DBA"/>
    <w:rsid w:val="00297358"/>
    <w:rsid w:val="002A153A"/>
    <w:rsid w:val="002A29CE"/>
    <w:rsid w:val="002A2A80"/>
    <w:rsid w:val="002A4BC4"/>
    <w:rsid w:val="002A6417"/>
    <w:rsid w:val="002A6631"/>
    <w:rsid w:val="002A6E24"/>
    <w:rsid w:val="002A7CEA"/>
    <w:rsid w:val="002A7DF5"/>
    <w:rsid w:val="002B282F"/>
    <w:rsid w:val="002B3689"/>
    <w:rsid w:val="002B43BA"/>
    <w:rsid w:val="002B45AD"/>
    <w:rsid w:val="002B4B30"/>
    <w:rsid w:val="002B4F96"/>
    <w:rsid w:val="002B56DF"/>
    <w:rsid w:val="002B6370"/>
    <w:rsid w:val="002B6372"/>
    <w:rsid w:val="002B647D"/>
    <w:rsid w:val="002B79E1"/>
    <w:rsid w:val="002B7D1F"/>
    <w:rsid w:val="002C004E"/>
    <w:rsid w:val="002C1969"/>
    <w:rsid w:val="002C352C"/>
    <w:rsid w:val="002C3CAC"/>
    <w:rsid w:val="002C441F"/>
    <w:rsid w:val="002C4D8A"/>
    <w:rsid w:val="002C7A63"/>
    <w:rsid w:val="002D00EA"/>
    <w:rsid w:val="002D06BB"/>
    <w:rsid w:val="002D2B71"/>
    <w:rsid w:val="002D2C34"/>
    <w:rsid w:val="002D413A"/>
    <w:rsid w:val="002D6514"/>
    <w:rsid w:val="002D7211"/>
    <w:rsid w:val="002E08E8"/>
    <w:rsid w:val="002E320B"/>
    <w:rsid w:val="002E4348"/>
    <w:rsid w:val="002E5AEA"/>
    <w:rsid w:val="002E67C5"/>
    <w:rsid w:val="002E6CEC"/>
    <w:rsid w:val="002E7BC2"/>
    <w:rsid w:val="002F0756"/>
    <w:rsid w:val="002F1C33"/>
    <w:rsid w:val="002F2416"/>
    <w:rsid w:val="002F2655"/>
    <w:rsid w:val="002F2DB4"/>
    <w:rsid w:val="002F47DB"/>
    <w:rsid w:val="002F63BB"/>
    <w:rsid w:val="002F64DD"/>
    <w:rsid w:val="002F6C10"/>
    <w:rsid w:val="002F6DBB"/>
    <w:rsid w:val="002F6EF8"/>
    <w:rsid w:val="002F701E"/>
    <w:rsid w:val="002F7E90"/>
    <w:rsid w:val="003001AC"/>
    <w:rsid w:val="00302F9F"/>
    <w:rsid w:val="00303EC5"/>
    <w:rsid w:val="00304386"/>
    <w:rsid w:val="00307469"/>
    <w:rsid w:val="00310915"/>
    <w:rsid w:val="00312164"/>
    <w:rsid w:val="00312203"/>
    <w:rsid w:val="00312A01"/>
    <w:rsid w:val="00312B8F"/>
    <w:rsid w:val="00314DE7"/>
    <w:rsid w:val="00315AB7"/>
    <w:rsid w:val="003206B6"/>
    <w:rsid w:val="00321F81"/>
    <w:rsid w:val="00322FD9"/>
    <w:rsid w:val="00323336"/>
    <w:rsid w:val="00326B54"/>
    <w:rsid w:val="0032785E"/>
    <w:rsid w:val="00331B41"/>
    <w:rsid w:val="00332059"/>
    <w:rsid w:val="00332336"/>
    <w:rsid w:val="0033366E"/>
    <w:rsid w:val="00334E97"/>
    <w:rsid w:val="0033718D"/>
    <w:rsid w:val="003373C2"/>
    <w:rsid w:val="003401FE"/>
    <w:rsid w:val="00340A7A"/>
    <w:rsid w:val="00340B66"/>
    <w:rsid w:val="003417F0"/>
    <w:rsid w:val="00341835"/>
    <w:rsid w:val="00341ECA"/>
    <w:rsid w:val="003445AA"/>
    <w:rsid w:val="003446E3"/>
    <w:rsid w:val="00344791"/>
    <w:rsid w:val="003458D4"/>
    <w:rsid w:val="00346578"/>
    <w:rsid w:val="00346ACB"/>
    <w:rsid w:val="00346B9D"/>
    <w:rsid w:val="00346C0A"/>
    <w:rsid w:val="00350A47"/>
    <w:rsid w:val="0035346C"/>
    <w:rsid w:val="003535D2"/>
    <w:rsid w:val="00356B57"/>
    <w:rsid w:val="00360468"/>
    <w:rsid w:val="0036125C"/>
    <w:rsid w:val="003637C4"/>
    <w:rsid w:val="00363D0D"/>
    <w:rsid w:val="003656F2"/>
    <w:rsid w:val="00375E4A"/>
    <w:rsid w:val="00377CD3"/>
    <w:rsid w:val="00381DFA"/>
    <w:rsid w:val="003825A4"/>
    <w:rsid w:val="00384856"/>
    <w:rsid w:val="00385555"/>
    <w:rsid w:val="00387D0F"/>
    <w:rsid w:val="00390DCF"/>
    <w:rsid w:val="00396821"/>
    <w:rsid w:val="00396A09"/>
    <w:rsid w:val="003A06BB"/>
    <w:rsid w:val="003A2944"/>
    <w:rsid w:val="003A3718"/>
    <w:rsid w:val="003A5040"/>
    <w:rsid w:val="003B0DEF"/>
    <w:rsid w:val="003B283B"/>
    <w:rsid w:val="003B6378"/>
    <w:rsid w:val="003B712F"/>
    <w:rsid w:val="003B7185"/>
    <w:rsid w:val="003C01B5"/>
    <w:rsid w:val="003C12E6"/>
    <w:rsid w:val="003C2074"/>
    <w:rsid w:val="003C2C44"/>
    <w:rsid w:val="003C335A"/>
    <w:rsid w:val="003C3ADB"/>
    <w:rsid w:val="003C44F9"/>
    <w:rsid w:val="003C4F6C"/>
    <w:rsid w:val="003C611C"/>
    <w:rsid w:val="003C6749"/>
    <w:rsid w:val="003C6AE8"/>
    <w:rsid w:val="003C702D"/>
    <w:rsid w:val="003C7207"/>
    <w:rsid w:val="003D0670"/>
    <w:rsid w:val="003D0E4A"/>
    <w:rsid w:val="003D0E7D"/>
    <w:rsid w:val="003D11B5"/>
    <w:rsid w:val="003D134C"/>
    <w:rsid w:val="003D3000"/>
    <w:rsid w:val="003D4164"/>
    <w:rsid w:val="003D4BD3"/>
    <w:rsid w:val="003D50C3"/>
    <w:rsid w:val="003D591F"/>
    <w:rsid w:val="003D69A5"/>
    <w:rsid w:val="003D6FFB"/>
    <w:rsid w:val="003E14F9"/>
    <w:rsid w:val="003E3D3D"/>
    <w:rsid w:val="003E44AA"/>
    <w:rsid w:val="003E49B3"/>
    <w:rsid w:val="003E7946"/>
    <w:rsid w:val="003F17D5"/>
    <w:rsid w:val="003F309F"/>
    <w:rsid w:val="003F3119"/>
    <w:rsid w:val="003F4E8A"/>
    <w:rsid w:val="003F6D32"/>
    <w:rsid w:val="004003F2"/>
    <w:rsid w:val="00400466"/>
    <w:rsid w:val="0040085D"/>
    <w:rsid w:val="00403412"/>
    <w:rsid w:val="004077AE"/>
    <w:rsid w:val="00407B6E"/>
    <w:rsid w:val="00411760"/>
    <w:rsid w:val="004161D4"/>
    <w:rsid w:val="0041633C"/>
    <w:rsid w:val="00417723"/>
    <w:rsid w:val="0041784E"/>
    <w:rsid w:val="00417922"/>
    <w:rsid w:val="00417F88"/>
    <w:rsid w:val="004208F0"/>
    <w:rsid w:val="004219CA"/>
    <w:rsid w:val="00421EA9"/>
    <w:rsid w:val="00424512"/>
    <w:rsid w:val="004266E5"/>
    <w:rsid w:val="0042703E"/>
    <w:rsid w:val="00430B5A"/>
    <w:rsid w:val="00431640"/>
    <w:rsid w:val="00431C20"/>
    <w:rsid w:val="004344F0"/>
    <w:rsid w:val="00434F58"/>
    <w:rsid w:val="0044207D"/>
    <w:rsid w:val="004429ED"/>
    <w:rsid w:val="004439E2"/>
    <w:rsid w:val="00447FE5"/>
    <w:rsid w:val="00451231"/>
    <w:rsid w:val="004526D3"/>
    <w:rsid w:val="00452C1C"/>
    <w:rsid w:val="00452E90"/>
    <w:rsid w:val="00456D35"/>
    <w:rsid w:val="00457CF2"/>
    <w:rsid w:val="004604D7"/>
    <w:rsid w:val="00460FAC"/>
    <w:rsid w:val="004610DA"/>
    <w:rsid w:val="004617B8"/>
    <w:rsid w:val="00461E4C"/>
    <w:rsid w:val="00462A87"/>
    <w:rsid w:val="00463CA6"/>
    <w:rsid w:val="00463E5F"/>
    <w:rsid w:val="00464D59"/>
    <w:rsid w:val="0046504E"/>
    <w:rsid w:val="00467620"/>
    <w:rsid w:val="00467C7C"/>
    <w:rsid w:val="00470ECB"/>
    <w:rsid w:val="004758FE"/>
    <w:rsid w:val="00476BF7"/>
    <w:rsid w:val="00476C17"/>
    <w:rsid w:val="004774F6"/>
    <w:rsid w:val="0047796D"/>
    <w:rsid w:val="00477FF1"/>
    <w:rsid w:val="00480836"/>
    <w:rsid w:val="004830C8"/>
    <w:rsid w:val="004830F0"/>
    <w:rsid w:val="004837AB"/>
    <w:rsid w:val="00483A2F"/>
    <w:rsid w:val="004855A3"/>
    <w:rsid w:val="004865F9"/>
    <w:rsid w:val="00490DBF"/>
    <w:rsid w:val="004910BB"/>
    <w:rsid w:val="00491C25"/>
    <w:rsid w:val="00491F16"/>
    <w:rsid w:val="0049357E"/>
    <w:rsid w:val="00494840"/>
    <w:rsid w:val="00495DF2"/>
    <w:rsid w:val="0049739C"/>
    <w:rsid w:val="004A128C"/>
    <w:rsid w:val="004A1C13"/>
    <w:rsid w:val="004A1DD4"/>
    <w:rsid w:val="004A1E30"/>
    <w:rsid w:val="004A5E27"/>
    <w:rsid w:val="004A5E72"/>
    <w:rsid w:val="004A6EE1"/>
    <w:rsid w:val="004B0107"/>
    <w:rsid w:val="004B07EC"/>
    <w:rsid w:val="004B1BEC"/>
    <w:rsid w:val="004B1BEE"/>
    <w:rsid w:val="004B2AB8"/>
    <w:rsid w:val="004B5B9E"/>
    <w:rsid w:val="004B6C38"/>
    <w:rsid w:val="004C0463"/>
    <w:rsid w:val="004C0E5D"/>
    <w:rsid w:val="004C3F61"/>
    <w:rsid w:val="004C725D"/>
    <w:rsid w:val="004D0366"/>
    <w:rsid w:val="004D05B1"/>
    <w:rsid w:val="004D1293"/>
    <w:rsid w:val="004D1ADE"/>
    <w:rsid w:val="004D770C"/>
    <w:rsid w:val="004E0D21"/>
    <w:rsid w:val="004E1265"/>
    <w:rsid w:val="004E1A93"/>
    <w:rsid w:val="004E370E"/>
    <w:rsid w:val="004E7442"/>
    <w:rsid w:val="004E7EAE"/>
    <w:rsid w:val="004F2307"/>
    <w:rsid w:val="004F2563"/>
    <w:rsid w:val="004F31BC"/>
    <w:rsid w:val="004F4387"/>
    <w:rsid w:val="004F4A4D"/>
    <w:rsid w:val="004F5D59"/>
    <w:rsid w:val="004F6F82"/>
    <w:rsid w:val="005000FC"/>
    <w:rsid w:val="00502957"/>
    <w:rsid w:val="00502EBB"/>
    <w:rsid w:val="00510BF5"/>
    <w:rsid w:val="00510EDC"/>
    <w:rsid w:val="0051290F"/>
    <w:rsid w:val="00513233"/>
    <w:rsid w:val="005148D1"/>
    <w:rsid w:val="00515597"/>
    <w:rsid w:val="00515DA2"/>
    <w:rsid w:val="005204A7"/>
    <w:rsid w:val="00521BA7"/>
    <w:rsid w:val="005227FC"/>
    <w:rsid w:val="005237BA"/>
    <w:rsid w:val="00524924"/>
    <w:rsid w:val="005252E2"/>
    <w:rsid w:val="005268CB"/>
    <w:rsid w:val="00530C01"/>
    <w:rsid w:val="0053325A"/>
    <w:rsid w:val="00535C6F"/>
    <w:rsid w:val="00535D5D"/>
    <w:rsid w:val="005379AD"/>
    <w:rsid w:val="00542236"/>
    <w:rsid w:val="00544A80"/>
    <w:rsid w:val="005455D7"/>
    <w:rsid w:val="0054595C"/>
    <w:rsid w:val="00546341"/>
    <w:rsid w:val="00546920"/>
    <w:rsid w:val="00546A42"/>
    <w:rsid w:val="0054785D"/>
    <w:rsid w:val="005505C3"/>
    <w:rsid w:val="005511D5"/>
    <w:rsid w:val="00552A39"/>
    <w:rsid w:val="00552C4D"/>
    <w:rsid w:val="0055492B"/>
    <w:rsid w:val="00554A31"/>
    <w:rsid w:val="005604A7"/>
    <w:rsid w:val="005609D5"/>
    <w:rsid w:val="00563974"/>
    <w:rsid w:val="005678B1"/>
    <w:rsid w:val="005716A8"/>
    <w:rsid w:val="005725CA"/>
    <w:rsid w:val="005727F6"/>
    <w:rsid w:val="00574162"/>
    <w:rsid w:val="00574615"/>
    <w:rsid w:val="00575DC6"/>
    <w:rsid w:val="00575FF2"/>
    <w:rsid w:val="005760C8"/>
    <w:rsid w:val="00577CD4"/>
    <w:rsid w:val="00577D24"/>
    <w:rsid w:val="005820AB"/>
    <w:rsid w:val="005838F8"/>
    <w:rsid w:val="00585FB5"/>
    <w:rsid w:val="005908C0"/>
    <w:rsid w:val="00590EE1"/>
    <w:rsid w:val="00591586"/>
    <w:rsid w:val="00592878"/>
    <w:rsid w:val="005929DC"/>
    <w:rsid w:val="00592DB1"/>
    <w:rsid w:val="00593BBC"/>
    <w:rsid w:val="00595363"/>
    <w:rsid w:val="00595A2B"/>
    <w:rsid w:val="005A006F"/>
    <w:rsid w:val="005A10A9"/>
    <w:rsid w:val="005A17D2"/>
    <w:rsid w:val="005A1EB0"/>
    <w:rsid w:val="005A3C39"/>
    <w:rsid w:val="005A5E4A"/>
    <w:rsid w:val="005A7787"/>
    <w:rsid w:val="005A7E8F"/>
    <w:rsid w:val="005B04FB"/>
    <w:rsid w:val="005B4ED0"/>
    <w:rsid w:val="005B5766"/>
    <w:rsid w:val="005B7357"/>
    <w:rsid w:val="005B7373"/>
    <w:rsid w:val="005B77BE"/>
    <w:rsid w:val="005B7A4C"/>
    <w:rsid w:val="005C0309"/>
    <w:rsid w:val="005C1D36"/>
    <w:rsid w:val="005C5055"/>
    <w:rsid w:val="005C5B7C"/>
    <w:rsid w:val="005C5CFB"/>
    <w:rsid w:val="005C6272"/>
    <w:rsid w:val="005C673B"/>
    <w:rsid w:val="005D12B4"/>
    <w:rsid w:val="005D1E09"/>
    <w:rsid w:val="005D284B"/>
    <w:rsid w:val="005D4CDB"/>
    <w:rsid w:val="005D5105"/>
    <w:rsid w:val="005E1FA3"/>
    <w:rsid w:val="005E247C"/>
    <w:rsid w:val="005E2E13"/>
    <w:rsid w:val="005E3D4F"/>
    <w:rsid w:val="005E5E63"/>
    <w:rsid w:val="005E6F88"/>
    <w:rsid w:val="005E7BBC"/>
    <w:rsid w:val="005F029C"/>
    <w:rsid w:val="005F08FA"/>
    <w:rsid w:val="005F12C4"/>
    <w:rsid w:val="005F16DD"/>
    <w:rsid w:val="005F19B1"/>
    <w:rsid w:val="005F3319"/>
    <w:rsid w:val="005F42ED"/>
    <w:rsid w:val="005F4324"/>
    <w:rsid w:val="005F4477"/>
    <w:rsid w:val="005F5D19"/>
    <w:rsid w:val="005F65B9"/>
    <w:rsid w:val="005F6CBF"/>
    <w:rsid w:val="006005BB"/>
    <w:rsid w:val="006005DC"/>
    <w:rsid w:val="00600E42"/>
    <w:rsid w:val="0060138D"/>
    <w:rsid w:val="006018AA"/>
    <w:rsid w:val="00603C7F"/>
    <w:rsid w:val="00603CAA"/>
    <w:rsid w:val="00604CF2"/>
    <w:rsid w:val="006100F4"/>
    <w:rsid w:val="0061104C"/>
    <w:rsid w:val="00611C06"/>
    <w:rsid w:val="00612D14"/>
    <w:rsid w:val="00612D4B"/>
    <w:rsid w:val="006135E6"/>
    <w:rsid w:val="00614771"/>
    <w:rsid w:val="0061558D"/>
    <w:rsid w:val="0061747D"/>
    <w:rsid w:val="00617940"/>
    <w:rsid w:val="00623899"/>
    <w:rsid w:val="006246B7"/>
    <w:rsid w:val="006253B7"/>
    <w:rsid w:val="00625567"/>
    <w:rsid w:val="006276B8"/>
    <w:rsid w:val="00632E10"/>
    <w:rsid w:val="00632EA5"/>
    <w:rsid w:val="00635CBC"/>
    <w:rsid w:val="00637F5E"/>
    <w:rsid w:val="00641A0C"/>
    <w:rsid w:val="0064200F"/>
    <w:rsid w:val="006437B9"/>
    <w:rsid w:val="00644F52"/>
    <w:rsid w:val="00645FCF"/>
    <w:rsid w:val="0064635E"/>
    <w:rsid w:val="006517C3"/>
    <w:rsid w:val="006520A9"/>
    <w:rsid w:val="006525FD"/>
    <w:rsid w:val="00653401"/>
    <w:rsid w:val="00653B17"/>
    <w:rsid w:val="00654483"/>
    <w:rsid w:val="00655EAE"/>
    <w:rsid w:val="006563B5"/>
    <w:rsid w:val="0065701C"/>
    <w:rsid w:val="00660495"/>
    <w:rsid w:val="006604A6"/>
    <w:rsid w:val="00662792"/>
    <w:rsid w:val="00664620"/>
    <w:rsid w:val="00664EDD"/>
    <w:rsid w:val="006657E5"/>
    <w:rsid w:val="00666E8C"/>
    <w:rsid w:val="00667243"/>
    <w:rsid w:val="00667868"/>
    <w:rsid w:val="00670FBC"/>
    <w:rsid w:val="00671B54"/>
    <w:rsid w:val="0067265E"/>
    <w:rsid w:val="00673DB8"/>
    <w:rsid w:val="00673E73"/>
    <w:rsid w:val="00674F46"/>
    <w:rsid w:val="006754AC"/>
    <w:rsid w:val="00675BFE"/>
    <w:rsid w:val="00675E0A"/>
    <w:rsid w:val="00676722"/>
    <w:rsid w:val="0067691D"/>
    <w:rsid w:val="006818B6"/>
    <w:rsid w:val="006824B8"/>
    <w:rsid w:val="0068288E"/>
    <w:rsid w:val="00682C32"/>
    <w:rsid w:val="006832D2"/>
    <w:rsid w:val="006836B1"/>
    <w:rsid w:val="00683DC0"/>
    <w:rsid w:val="006843B8"/>
    <w:rsid w:val="006852EB"/>
    <w:rsid w:val="00685A29"/>
    <w:rsid w:val="00687167"/>
    <w:rsid w:val="006929BA"/>
    <w:rsid w:val="00692ABF"/>
    <w:rsid w:val="00692BBD"/>
    <w:rsid w:val="00693313"/>
    <w:rsid w:val="0069332A"/>
    <w:rsid w:val="00694209"/>
    <w:rsid w:val="00697056"/>
    <w:rsid w:val="00697718"/>
    <w:rsid w:val="00697A99"/>
    <w:rsid w:val="006A1226"/>
    <w:rsid w:val="006A172E"/>
    <w:rsid w:val="006A2035"/>
    <w:rsid w:val="006A2DDA"/>
    <w:rsid w:val="006A3329"/>
    <w:rsid w:val="006A35E4"/>
    <w:rsid w:val="006A7743"/>
    <w:rsid w:val="006A7E26"/>
    <w:rsid w:val="006B13E2"/>
    <w:rsid w:val="006B150B"/>
    <w:rsid w:val="006B1785"/>
    <w:rsid w:val="006B317D"/>
    <w:rsid w:val="006B45AB"/>
    <w:rsid w:val="006B67E2"/>
    <w:rsid w:val="006B6C6A"/>
    <w:rsid w:val="006B7F25"/>
    <w:rsid w:val="006C15D5"/>
    <w:rsid w:val="006C1C02"/>
    <w:rsid w:val="006C234F"/>
    <w:rsid w:val="006C2D0C"/>
    <w:rsid w:val="006C31B0"/>
    <w:rsid w:val="006C375B"/>
    <w:rsid w:val="006C3D0C"/>
    <w:rsid w:val="006C53D0"/>
    <w:rsid w:val="006C58E0"/>
    <w:rsid w:val="006C5955"/>
    <w:rsid w:val="006C5EBD"/>
    <w:rsid w:val="006D0131"/>
    <w:rsid w:val="006D12BD"/>
    <w:rsid w:val="006D1375"/>
    <w:rsid w:val="006D1691"/>
    <w:rsid w:val="006D2335"/>
    <w:rsid w:val="006D2BE9"/>
    <w:rsid w:val="006D3570"/>
    <w:rsid w:val="006D3624"/>
    <w:rsid w:val="006D39A8"/>
    <w:rsid w:val="006D4391"/>
    <w:rsid w:val="006D519D"/>
    <w:rsid w:val="006D7067"/>
    <w:rsid w:val="006D71C0"/>
    <w:rsid w:val="006E0BE4"/>
    <w:rsid w:val="006E13EF"/>
    <w:rsid w:val="006E15EC"/>
    <w:rsid w:val="006E20AA"/>
    <w:rsid w:val="006E4EE7"/>
    <w:rsid w:val="006E65C2"/>
    <w:rsid w:val="006E6D5D"/>
    <w:rsid w:val="006E7418"/>
    <w:rsid w:val="006F15B4"/>
    <w:rsid w:val="006F248F"/>
    <w:rsid w:val="006F2503"/>
    <w:rsid w:val="006F31BC"/>
    <w:rsid w:val="006F3802"/>
    <w:rsid w:val="006F39D0"/>
    <w:rsid w:val="006F39EF"/>
    <w:rsid w:val="006F3B66"/>
    <w:rsid w:val="006F4E05"/>
    <w:rsid w:val="006F4E88"/>
    <w:rsid w:val="006F60FB"/>
    <w:rsid w:val="006F64D1"/>
    <w:rsid w:val="006F661B"/>
    <w:rsid w:val="006F7746"/>
    <w:rsid w:val="007005EA"/>
    <w:rsid w:val="00700E33"/>
    <w:rsid w:val="00702DAA"/>
    <w:rsid w:val="0070582B"/>
    <w:rsid w:val="007066FB"/>
    <w:rsid w:val="00707A9D"/>
    <w:rsid w:val="00710FD2"/>
    <w:rsid w:val="00711157"/>
    <w:rsid w:val="007119E2"/>
    <w:rsid w:val="00714800"/>
    <w:rsid w:val="007154DA"/>
    <w:rsid w:val="00715B7E"/>
    <w:rsid w:val="00715F0D"/>
    <w:rsid w:val="00717930"/>
    <w:rsid w:val="00720A28"/>
    <w:rsid w:val="0072152F"/>
    <w:rsid w:val="00721C21"/>
    <w:rsid w:val="00721CAF"/>
    <w:rsid w:val="007229FD"/>
    <w:rsid w:val="007232CA"/>
    <w:rsid w:val="00726DD0"/>
    <w:rsid w:val="00730CDB"/>
    <w:rsid w:val="007323E9"/>
    <w:rsid w:val="00733B55"/>
    <w:rsid w:val="007366CC"/>
    <w:rsid w:val="00736945"/>
    <w:rsid w:val="00736C89"/>
    <w:rsid w:val="00741408"/>
    <w:rsid w:val="00741707"/>
    <w:rsid w:val="0074177D"/>
    <w:rsid w:val="00741965"/>
    <w:rsid w:val="00742ADC"/>
    <w:rsid w:val="0074421C"/>
    <w:rsid w:val="00745744"/>
    <w:rsid w:val="00745A21"/>
    <w:rsid w:val="007464B2"/>
    <w:rsid w:val="00746876"/>
    <w:rsid w:val="0075032A"/>
    <w:rsid w:val="00750C12"/>
    <w:rsid w:val="00752A7D"/>
    <w:rsid w:val="00754433"/>
    <w:rsid w:val="0075566B"/>
    <w:rsid w:val="00755996"/>
    <w:rsid w:val="0075749C"/>
    <w:rsid w:val="00760606"/>
    <w:rsid w:val="00763652"/>
    <w:rsid w:val="00763A36"/>
    <w:rsid w:val="00764602"/>
    <w:rsid w:val="00764BF7"/>
    <w:rsid w:val="00764EA5"/>
    <w:rsid w:val="007650D8"/>
    <w:rsid w:val="00766030"/>
    <w:rsid w:val="00766CBE"/>
    <w:rsid w:val="00767B80"/>
    <w:rsid w:val="00767E9A"/>
    <w:rsid w:val="00770D7D"/>
    <w:rsid w:val="00770E2C"/>
    <w:rsid w:val="00771030"/>
    <w:rsid w:val="00772497"/>
    <w:rsid w:val="00774197"/>
    <w:rsid w:val="007745AE"/>
    <w:rsid w:val="007754C3"/>
    <w:rsid w:val="0077638E"/>
    <w:rsid w:val="007768FE"/>
    <w:rsid w:val="00780C18"/>
    <w:rsid w:val="00787284"/>
    <w:rsid w:val="007902C3"/>
    <w:rsid w:val="00790BB8"/>
    <w:rsid w:val="00791377"/>
    <w:rsid w:val="007915BB"/>
    <w:rsid w:val="00792251"/>
    <w:rsid w:val="00795C86"/>
    <w:rsid w:val="007A01A1"/>
    <w:rsid w:val="007A0B25"/>
    <w:rsid w:val="007A2E39"/>
    <w:rsid w:val="007A3166"/>
    <w:rsid w:val="007A45E7"/>
    <w:rsid w:val="007A5D42"/>
    <w:rsid w:val="007A7263"/>
    <w:rsid w:val="007A73BE"/>
    <w:rsid w:val="007A7657"/>
    <w:rsid w:val="007B110B"/>
    <w:rsid w:val="007B1754"/>
    <w:rsid w:val="007B2400"/>
    <w:rsid w:val="007B29A8"/>
    <w:rsid w:val="007B2BD2"/>
    <w:rsid w:val="007B4972"/>
    <w:rsid w:val="007B4AAA"/>
    <w:rsid w:val="007C6431"/>
    <w:rsid w:val="007C654E"/>
    <w:rsid w:val="007C6894"/>
    <w:rsid w:val="007D02F0"/>
    <w:rsid w:val="007D3035"/>
    <w:rsid w:val="007D35C4"/>
    <w:rsid w:val="007D3B8C"/>
    <w:rsid w:val="007D5652"/>
    <w:rsid w:val="007D57EF"/>
    <w:rsid w:val="007D6205"/>
    <w:rsid w:val="007D62C7"/>
    <w:rsid w:val="007D6B53"/>
    <w:rsid w:val="007D6D97"/>
    <w:rsid w:val="007E001D"/>
    <w:rsid w:val="007E4262"/>
    <w:rsid w:val="007E6B89"/>
    <w:rsid w:val="007F1B9C"/>
    <w:rsid w:val="007F2142"/>
    <w:rsid w:val="007F3777"/>
    <w:rsid w:val="007F5F0C"/>
    <w:rsid w:val="007F6028"/>
    <w:rsid w:val="007F63BA"/>
    <w:rsid w:val="007F7AC6"/>
    <w:rsid w:val="008007EE"/>
    <w:rsid w:val="008012DE"/>
    <w:rsid w:val="00803061"/>
    <w:rsid w:val="008057D4"/>
    <w:rsid w:val="00807EEE"/>
    <w:rsid w:val="008103E9"/>
    <w:rsid w:val="00811110"/>
    <w:rsid w:val="00811DAC"/>
    <w:rsid w:val="0081329F"/>
    <w:rsid w:val="008135F4"/>
    <w:rsid w:val="00813893"/>
    <w:rsid w:val="00813976"/>
    <w:rsid w:val="00813F60"/>
    <w:rsid w:val="00814330"/>
    <w:rsid w:val="0081594A"/>
    <w:rsid w:val="0082266E"/>
    <w:rsid w:val="008234E2"/>
    <w:rsid w:val="00823927"/>
    <w:rsid w:val="00824361"/>
    <w:rsid w:val="008250B0"/>
    <w:rsid w:val="00825FD3"/>
    <w:rsid w:val="00826793"/>
    <w:rsid w:val="0083146F"/>
    <w:rsid w:val="008327EE"/>
    <w:rsid w:val="00833F8E"/>
    <w:rsid w:val="00834AA0"/>
    <w:rsid w:val="0083539E"/>
    <w:rsid w:val="00836E22"/>
    <w:rsid w:val="00836E71"/>
    <w:rsid w:val="00837EBE"/>
    <w:rsid w:val="00840396"/>
    <w:rsid w:val="00842E74"/>
    <w:rsid w:val="00843BE5"/>
    <w:rsid w:val="00843E78"/>
    <w:rsid w:val="00844E88"/>
    <w:rsid w:val="00845774"/>
    <w:rsid w:val="00852D21"/>
    <w:rsid w:val="008532D8"/>
    <w:rsid w:val="008535C9"/>
    <w:rsid w:val="008543FB"/>
    <w:rsid w:val="008544EE"/>
    <w:rsid w:val="008546FE"/>
    <w:rsid w:val="00854F21"/>
    <w:rsid w:val="008561E0"/>
    <w:rsid w:val="00856B64"/>
    <w:rsid w:val="00860A39"/>
    <w:rsid w:val="0086177D"/>
    <w:rsid w:val="00862463"/>
    <w:rsid w:val="00863DD9"/>
    <w:rsid w:val="00865960"/>
    <w:rsid w:val="00866446"/>
    <w:rsid w:val="008665FF"/>
    <w:rsid w:val="0086741B"/>
    <w:rsid w:val="008675EC"/>
    <w:rsid w:val="00867CD2"/>
    <w:rsid w:val="00870933"/>
    <w:rsid w:val="00870B16"/>
    <w:rsid w:val="00870E92"/>
    <w:rsid w:val="0087112F"/>
    <w:rsid w:val="00871568"/>
    <w:rsid w:val="00872D25"/>
    <w:rsid w:val="00874E17"/>
    <w:rsid w:val="0087510D"/>
    <w:rsid w:val="00876A87"/>
    <w:rsid w:val="0087712D"/>
    <w:rsid w:val="008801E1"/>
    <w:rsid w:val="00880A60"/>
    <w:rsid w:val="00881CD2"/>
    <w:rsid w:val="00882A05"/>
    <w:rsid w:val="00884103"/>
    <w:rsid w:val="00885C88"/>
    <w:rsid w:val="00886E66"/>
    <w:rsid w:val="00886F29"/>
    <w:rsid w:val="00887704"/>
    <w:rsid w:val="00887A55"/>
    <w:rsid w:val="00887AE5"/>
    <w:rsid w:val="00890B23"/>
    <w:rsid w:val="008917A3"/>
    <w:rsid w:val="00891984"/>
    <w:rsid w:val="00891A49"/>
    <w:rsid w:val="0089219C"/>
    <w:rsid w:val="00892CC1"/>
    <w:rsid w:val="0089319F"/>
    <w:rsid w:val="008979E1"/>
    <w:rsid w:val="00897DAB"/>
    <w:rsid w:val="008A0633"/>
    <w:rsid w:val="008A275F"/>
    <w:rsid w:val="008A3284"/>
    <w:rsid w:val="008A3386"/>
    <w:rsid w:val="008A53F2"/>
    <w:rsid w:val="008A5766"/>
    <w:rsid w:val="008B09B1"/>
    <w:rsid w:val="008B3D7C"/>
    <w:rsid w:val="008B6430"/>
    <w:rsid w:val="008B66F0"/>
    <w:rsid w:val="008B727C"/>
    <w:rsid w:val="008B7A53"/>
    <w:rsid w:val="008C24B6"/>
    <w:rsid w:val="008C3ACC"/>
    <w:rsid w:val="008C3DF6"/>
    <w:rsid w:val="008C3FB6"/>
    <w:rsid w:val="008C487C"/>
    <w:rsid w:val="008C4C28"/>
    <w:rsid w:val="008D11E3"/>
    <w:rsid w:val="008D20F8"/>
    <w:rsid w:val="008D28AD"/>
    <w:rsid w:val="008D28DA"/>
    <w:rsid w:val="008D2E03"/>
    <w:rsid w:val="008D30A8"/>
    <w:rsid w:val="008D3473"/>
    <w:rsid w:val="008D4167"/>
    <w:rsid w:val="008D539C"/>
    <w:rsid w:val="008D575A"/>
    <w:rsid w:val="008D58AE"/>
    <w:rsid w:val="008D66AC"/>
    <w:rsid w:val="008D7A9D"/>
    <w:rsid w:val="008E034E"/>
    <w:rsid w:val="008E038F"/>
    <w:rsid w:val="008E0FCC"/>
    <w:rsid w:val="008E10D2"/>
    <w:rsid w:val="008E21A3"/>
    <w:rsid w:val="008E2C56"/>
    <w:rsid w:val="008E2FE3"/>
    <w:rsid w:val="008E3012"/>
    <w:rsid w:val="008E4AD1"/>
    <w:rsid w:val="008E54E3"/>
    <w:rsid w:val="008E5698"/>
    <w:rsid w:val="008E5F34"/>
    <w:rsid w:val="008E63A1"/>
    <w:rsid w:val="008E6B88"/>
    <w:rsid w:val="008E7D3F"/>
    <w:rsid w:val="008F00CF"/>
    <w:rsid w:val="008F0E10"/>
    <w:rsid w:val="008F2267"/>
    <w:rsid w:val="008F2837"/>
    <w:rsid w:val="008F2F63"/>
    <w:rsid w:val="008F3011"/>
    <w:rsid w:val="008F3EE2"/>
    <w:rsid w:val="008F4B08"/>
    <w:rsid w:val="008F51F6"/>
    <w:rsid w:val="008F5A75"/>
    <w:rsid w:val="008F5D4C"/>
    <w:rsid w:val="008F6030"/>
    <w:rsid w:val="008F67FD"/>
    <w:rsid w:val="008F6D40"/>
    <w:rsid w:val="009008B3"/>
    <w:rsid w:val="00903844"/>
    <w:rsid w:val="00903E02"/>
    <w:rsid w:val="00904226"/>
    <w:rsid w:val="00905A7E"/>
    <w:rsid w:val="00905B18"/>
    <w:rsid w:val="00905B2F"/>
    <w:rsid w:val="00906DB5"/>
    <w:rsid w:val="009113DE"/>
    <w:rsid w:val="00911EA3"/>
    <w:rsid w:val="00916912"/>
    <w:rsid w:val="00917B15"/>
    <w:rsid w:val="009211CB"/>
    <w:rsid w:val="009231E0"/>
    <w:rsid w:val="00923548"/>
    <w:rsid w:val="00923B70"/>
    <w:rsid w:val="00925293"/>
    <w:rsid w:val="00926241"/>
    <w:rsid w:val="00926A61"/>
    <w:rsid w:val="00926B0D"/>
    <w:rsid w:val="00926B22"/>
    <w:rsid w:val="00927C8F"/>
    <w:rsid w:val="009300D6"/>
    <w:rsid w:val="00930B6C"/>
    <w:rsid w:val="00930DE9"/>
    <w:rsid w:val="00930E4B"/>
    <w:rsid w:val="00931485"/>
    <w:rsid w:val="0093454D"/>
    <w:rsid w:val="00934F63"/>
    <w:rsid w:val="00937277"/>
    <w:rsid w:val="00942C91"/>
    <w:rsid w:val="009436DA"/>
    <w:rsid w:val="00943862"/>
    <w:rsid w:val="00943FB9"/>
    <w:rsid w:val="0094508D"/>
    <w:rsid w:val="00945F32"/>
    <w:rsid w:val="00946E85"/>
    <w:rsid w:val="0094787E"/>
    <w:rsid w:val="00947C5C"/>
    <w:rsid w:val="009506A7"/>
    <w:rsid w:val="00950763"/>
    <w:rsid w:val="0095113A"/>
    <w:rsid w:val="00952C49"/>
    <w:rsid w:val="00952E50"/>
    <w:rsid w:val="00954CF5"/>
    <w:rsid w:val="00955598"/>
    <w:rsid w:val="00955D20"/>
    <w:rsid w:val="009565F3"/>
    <w:rsid w:val="00956630"/>
    <w:rsid w:val="009605FA"/>
    <w:rsid w:val="0096368F"/>
    <w:rsid w:val="009646AE"/>
    <w:rsid w:val="00964883"/>
    <w:rsid w:val="0096646C"/>
    <w:rsid w:val="00966A37"/>
    <w:rsid w:val="00967230"/>
    <w:rsid w:val="00967BCD"/>
    <w:rsid w:val="00970176"/>
    <w:rsid w:val="00972087"/>
    <w:rsid w:val="00972C13"/>
    <w:rsid w:val="0097420F"/>
    <w:rsid w:val="0097456D"/>
    <w:rsid w:val="00974634"/>
    <w:rsid w:val="00974A47"/>
    <w:rsid w:val="00976BF4"/>
    <w:rsid w:val="00980920"/>
    <w:rsid w:val="009812D7"/>
    <w:rsid w:val="00982E99"/>
    <w:rsid w:val="009841EF"/>
    <w:rsid w:val="00984BD3"/>
    <w:rsid w:val="00990391"/>
    <w:rsid w:val="00992151"/>
    <w:rsid w:val="00992422"/>
    <w:rsid w:val="009947D1"/>
    <w:rsid w:val="00994B40"/>
    <w:rsid w:val="00996159"/>
    <w:rsid w:val="009961B3"/>
    <w:rsid w:val="00996849"/>
    <w:rsid w:val="009A12B9"/>
    <w:rsid w:val="009A3AC9"/>
    <w:rsid w:val="009A3C25"/>
    <w:rsid w:val="009A4BF0"/>
    <w:rsid w:val="009A5714"/>
    <w:rsid w:val="009A5DA7"/>
    <w:rsid w:val="009B1AEC"/>
    <w:rsid w:val="009B2484"/>
    <w:rsid w:val="009B2E1A"/>
    <w:rsid w:val="009B326F"/>
    <w:rsid w:val="009B4506"/>
    <w:rsid w:val="009B65A2"/>
    <w:rsid w:val="009B7329"/>
    <w:rsid w:val="009B78F8"/>
    <w:rsid w:val="009C00FA"/>
    <w:rsid w:val="009C0F6B"/>
    <w:rsid w:val="009C1D68"/>
    <w:rsid w:val="009C1FFE"/>
    <w:rsid w:val="009C27A9"/>
    <w:rsid w:val="009C3485"/>
    <w:rsid w:val="009C3780"/>
    <w:rsid w:val="009C5D2B"/>
    <w:rsid w:val="009C68EF"/>
    <w:rsid w:val="009C6F83"/>
    <w:rsid w:val="009C7248"/>
    <w:rsid w:val="009D11B7"/>
    <w:rsid w:val="009D16ED"/>
    <w:rsid w:val="009D1D57"/>
    <w:rsid w:val="009D4F8F"/>
    <w:rsid w:val="009D79AA"/>
    <w:rsid w:val="009E2544"/>
    <w:rsid w:val="009E2770"/>
    <w:rsid w:val="009E467C"/>
    <w:rsid w:val="009E4710"/>
    <w:rsid w:val="009E4A43"/>
    <w:rsid w:val="009E6225"/>
    <w:rsid w:val="009F0069"/>
    <w:rsid w:val="009F2056"/>
    <w:rsid w:val="009F2261"/>
    <w:rsid w:val="009F2933"/>
    <w:rsid w:val="009F3537"/>
    <w:rsid w:val="009F43F4"/>
    <w:rsid w:val="009F5A22"/>
    <w:rsid w:val="009F6ADC"/>
    <w:rsid w:val="009F78A4"/>
    <w:rsid w:val="009F796E"/>
    <w:rsid w:val="00A00D59"/>
    <w:rsid w:val="00A019A5"/>
    <w:rsid w:val="00A032F8"/>
    <w:rsid w:val="00A04A6A"/>
    <w:rsid w:val="00A07CE6"/>
    <w:rsid w:val="00A10347"/>
    <w:rsid w:val="00A12DBA"/>
    <w:rsid w:val="00A13B60"/>
    <w:rsid w:val="00A148CF"/>
    <w:rsid w:val="00A14C36"/>
    <w:rsid w:val="00A15390"/>
    <w:rsid w:val="00A1541C"/>
    <w:rsid w:val="00A158AB"/>
    <w:rsid w:val="00A2450A"/>
    <w:rsid w:val="00A24DBA"/>
    <w:rsid w:val="00A24F53"/>
    <w:rsid w:val="00A25657"/>
    <w:rsid w:val="00A262AF"/>
    <w:rsid w:val="00A304BE"/>
    <w:rsid w:val="00A329B6"/>
    <w:rsid w:val="00A337C9"/>
    <w:rsid w:val="00A361E6"/>
    <w:rsid w:val="00A367A1"/>
    <w:rsid w:val="00A37E67"/>
    <w:rsid w:val="00A40178"/>
    <w:rsid w:val="00A415D2"/>
    <w:rsid w:val="00A44EF8"/>
    <w:rsid w:val="00A460BA"/>
    <w:rsid w:val="00A46CF8"/>
    <w:rsid w:val="00A46FE1"/>
    <w:rsid w:val="00A4744F"/>
    <w:rsid w:val="00A510F6"/>
    <w:rsid w:val="00A54828"/>
    <w:rsid w:val="00A55BF1"/>
    <w:rsid w:val="00A57F74"/>
    <w:rsid w:val="00A57F88"/>
    <w:rsid w:val="00A61A04"/>
    <w:rsid w:val="00A62588"/>
    <w:rsid w:val="00A627B3"/>
    <w:rsid w:val="00A648E0"/>
    <w:rsid w:val="00A651C9"/>
    <w:rsid w:val="00A67D0F"/>
    <w:rsid w:val="00A67EB8"/>
    <w:rsid w:val="00A70E2D"/>
    <w:rsid w:val="00A71723"/>
    <w:rsid w:val="00A73161"/>
    <w:rsid w:val="00A740E7"/>
    <w:rsid w:val="00A74621"/>
    <w:rsid w:val="00A74B63"/>
    <w:rsid w:val="00A762F4"/>
    <w:rsid w:val="00A767EC"/>
    <w:rsid w:val="00A80739"/>
    <w:rsid w:val="00A83829"/>
    <w:rsid w:val="00A83FCC"/>
    <w:rsid w:val="00A862C0"/>
    <w:rsid w:val="00A862CB"/>
    <w:rsid w:val="00A87EE1"/>
    <w:rsid w:val="00A9000F"/>
    <w:rsid w:val="00A906FE"/>
    <w:rsid w:val="00A91A20"/>
    <w:rsid w:val="00A9229F"/>
    <w:rsid w:val="00A944AC"/>
    <w:rsid w:val="00A94D81"/>
    <w:rsid w:val="00A95100"/>
    <w:rsid w:val="00A97A15"/>
    <w:rsid w:val="00AA0652"/>
    <w:rsid w:val="00AA1162"/>
    <w:rsid w:val="00AA2812"/>
    <w:rsid w:val="00AA2A39"/>
    <w:rsid w:val="00AA2C16"/>
    <w:rsid w:val="00AA47C5"/>
    <w:rsid w:val="00AA48F7"/>
    <w:rsid w:val="00AA501F"/>
    <w:rsid w:val="00AA5AEE"/>
    <w:rsid w:val="00AA615B"/>
    <w:rsid w:val="00AA6272"/>
    <w:rsid w:val="00AB0DED"/>
    <w:rsid w:val="00AB14AB"/>
    <w:rsid w:val="00AB45BD"/>
    <w:rsid w:val="00AB5263"/>
    <w:rsid w:val="00AC0C81"/>
    <w:rsid w:val="00AC10AA"/>
    <w:rsid w:val="00AC1B48"/>
    <w:rsid w:val="00AC29D6"/>
    <w:rsid w:val="00AC3215"/>
    <w:rsid w:val="00AC3DCF"/>
    <w:rsid w:val="00AC43E7"/>
    <w:rsid w:val="00AC5D46"/>
    <w:rsid w:val="00AC69F6"/>
    <w:rsid w:val="00AD0F2A"/>
    <w:rsid w:val="00AD1E1B"/>
    <w:rsid w:val="00AD2C29"/>
    <w:rsid w:val="00AD4259"/>
    <w:rsid w:val="00AD4BD5"/>
    <w:rsid w:val="00AD54C3"/>
    <w:rsid w:val="00AD6339"/>
    <w:rsid w:val="00AD7725"/>
    <w:rsid w:val="00AE0018"/>
    <w:rsid w:val="00AE00EC"/>
    <w:rsid w:val="00AE0522"/>
    <w:rsid w:val="00AE1FDC"/>
    <w:rsid w:val="00AE668A"/>
    <w:rsid w:val="00AE6858"/>
    <w:rsid w:val="00AE689C"/>
    <w:rsid w:val="00AE6AA3"/>
    <w:rsid w:val="00AE7EF0"/>
    <w:rsid w:val="00AF0A55"/>
    <w:rsid w:val="00AF2EFF"/>
    <w:rsid w:val="00AF3236"/>
    <w:rsid w:val="00AF387F"/>
    <w:rsid w:val="00AF41B6"/>
    <w:rsid w:val="00AF497F"/>
    <w:rsid w:val="00AF535F"/>
    <w:rsid w:val="00AF5852"/>
    <w:rsid w:val="00AF5C62"/>
    <w:rsid w:val="00AF643C"/>
    <w:rsid w:val="00AF6B2F"/>
    <w:rsid w:val="00AF7270"/>
    <w:rsid w:val="00AF727E"/>
    <w:rsid w:val="00B00055"/>
    <w:rsid w:val="00B04C69"/>
    <w:rsid w:val="00B07013"/>
    <w:rsid w:val="00B07A74"/>
    <w:rsid w:val="00B10490"/>
    <w:rsid w:val="00B1075A"/>
    <w:rsid w:val="00B11F92"/>
    <w:rsid w:val="00B120A7"/>
    <w:rsid w:val="00B13C71"/>
    <w:rsid w:val="00B14450"/>
    <w:rsid w:val="00B15460"/>
    <w:rsid w:val="00B1586E"/>
    <w:rsid w:val="00B16AAC"/>
    <w:rsid w:val="00B17BC5"/>
    <w:rsid w:val="00B2045A"/>
    <w:rsid w:val="00B20582"/>
    <w:rsid w:val="00B20FA2"/>
    <w:rsid w:val="00B2158C"/>
    <w:rsid w:val="00B217CA"/>
    <w:rsid w:val="00B22526"/>
    <w:rsid w:val="00B24E57"/>
    <w:rsid w:val="00B26584"/>
    <w:rsid w:val="00B302D7"/>
    <w:rsid w:val="00B30A67"/>
    <w:rsid w:val="00B30D96"/>
    <w:rsid w:val="00B336AC"/>
    <w:rsid w:val="00B34281"/>
    <w:rsid w:val="00B34968"/>
    <w:rsid w:val="00B3678E"/>
    <w:rsid w:val="00B3795F"/>
    <w:rsid w:val="00B4135D"/>
    <w:rsid w:val="00B42262"/>
    <w:rsid w:val="00B425E4"/>
    <w:rsid w:val="00B42B2C"/>
    <w:rsid w:val="00B459BE"/>
    <w:rsid w:val="00B459C9"/>
    <w:rsid w:val="00B5123E"/>
    <w:rsid w:val="00B51B58"/>
    <w:rsid w:val="00B522C4"/>
    <w:rsid w:val="00B52B0E"/>
    <w:rsid w:val="00B52FDB"/>
    <w:rsid w:val="00B5337D"/>
    <w:rsid w:val="00B533F4"/>
    <w:rsid w:val="00B54444"/>
    <w:rsid w:val="00B566A4"/>
    <w:rsid w:val="00B57FC4"/>
    <w:rsid w:val="00B600E1"/>
    <w:rsid w:val="00B604F8"/>
    <w:rsid w:val="00B61D4A"/>
    <w:rsid w:val="00B62BEA"/>
    <w:rsid w:val="00B63732"/>
    <w:rsid w:val="00B64B90"/>
    <w:rsid w:val="00B65290"/>
    <w:rsid w:val="00B66E91"/>
    <w:rsid w:val="00B70E26"/>
    <w:rsid w:val="00B71364"/>
    <w:rsid w:val="00B71B3C"/>
    <w:rsid w:val="00B726D5"/>
    <w:rsid w:val="00B72758"/>
    <w:rsid w:val="00B7319C"/>
    <w:rsid w:val="00B7346F"/>
    <w:rsid w:val="00B7517F"/>
    <w:rsid w:val="00B80E36"/>
    <w:rsid w:val="00B81DBB"/>
    <w:rsid w:val="00B82606"/>
    <w:rsid w:val="00B82DA0"/>
    <w:rsid w:val="00B8552F"/>
    <w:rsid w:val="00B85AB7"/>
    <w:rsid w:val="00B85B0A"/>
    <w:rsid w:val="00B861DA"/>
    <w:rsid w:val="00B86C5A"/>
    <w:rsid w:val="00B86CB5"/>
    <w:rsid w:val="00B86D58"/>
    <w:rsid w:val="00B8744D"/>
    <w:rsid w:val="00B8745F"/>
    <w:rsid w:val="00B9066A"/>
    <w:rsid w:val="00B90754"/>
    <w:rsid w:val="00B90BBE"/>
    <w:rsid w:val="00B91B78"/>
    <w:rsid w:val="00B93013"/>
    <w:rsid w:val="00B936F7"/>
    <w:rsid w:val="00B93888"/>
    <w:rsid w:val="00B9416B"/>
    <w:rsid w:val="00B9425C"/>
    <w:rsid w:val="00B9572C"/>
    <w:rsid w:val="00B95A93"/>
    <w:rsid w:val="00B96020"/>
    <w:rsid w:val="00B967D8"/>
    <w:rsid w:val="00B9752B"/>
    <w:rsid w:val="00B9782C"/>
    <w:rsid w:val="00B97D95"/>
    <w:rsid w:val="00B97E3C"/>
    <w:rsid w:val="00BA0158"/>
    <w:rsid w:val="00BA04F9"/>
    <w:rsid w:val="00BA7E78"/>
    <w:rsid w:val="00BB0833"/>
    <w:rsid w:val="00BB0EA7"/>
    <w:rsid w:val="00BB1223"/>
    <w:rsid w:val="00BB3527"/>
    <w:rsid w:val="00BB3CAB"/>
    <w:rsid w:val="00BB4B39"/>
    <w:rsid w:val="00BB4CDF"/>
    <w:rsid w:val="00BB595B"/>
    <w:rsid w:val="00BB59F9"/>
    <w:rsid w:val="00BB5B0E"/>
    <w:rsid w:val="00BB7561"/>
    <w:rsid w:val="00BC0AD1"/>
    <w:rsid w:val="00BC15B8"/>
    <w:rsid w:val="00BC2773"/>
    <w:rsid w:val="00BC5279"/>
    <w:rsid w:val="00BC6C4E"/>
    <w:rsid w:val="00BC6DAA"/>
    <w:rsid w:val="00BC7B6A"/>
    <w:rsid w:val="00BD0B60"/>
    <w:rsid w:val="00BD0EAC"/>
    <w:rsid w:val="00BD2540"/>
    <w:rsid w:val="00BD31AB"/>
    <w:rsid w:val="00BD46F6"/>
    <w:rsid w:val="00BD49D0"/>
    <w:rsid w:val="00BD4AA0"/>
    <w:rsid w:val="00BD4E32"/>
    <w:rsid w:val="00BD58A7"/>
    <w:rsid w:val="00BD6EE4"/>
    <w:rsid w:val="00BE1E33"/>
    <w:rsid w:val="00BE2AD3"/>
    <w:rsid w:val="00BE35F3"/>
    <w:rsid w:val="00BE36F7"/>
    <w:rsid w:val="00BE4E3F"/>
    <w:rsid w:val="00BE65AD"/>
    <w:rsid w:val="00BF1156"/>
    <w:rsid w:val="00BF19F3"/>
    <w:rsid w:val="00BF2443"/>
    <w:rsid w:val="00BF26A3"/>
    <w:rsid w:val="00BF34FD"/>
    <w:rsid w:val="00BF39E3"/>
    <w:rsid w:val="00BF4B4C"/>
    <w:rsid w:val="00BF72B9"/>
    <w:rsid w:val="00BF72F6"/>
    <w:rsid w:val="00C00709"/>
    <w:rsid w:val="00C00D0F"/>
    <w:rsid w:val="00C00DCB"/>
    <w:rsid w:val="00C01BC4"/>
    <w:rsid w:val="00C04114"/>
    <w:rsid w:val="00C0447F"/>
    <w:rsid w:val="00C0550E"/>
    <w:rsid w:val="00C07492"/>
    <w:rsid w:val="00C07755"/>
    <w:rsid w:val="00C07B5E"/>
    <w:rsid w:val="00C07C4E"/>
    <w:rsid w:val="00C10D3E"/>
    <w:rsid w:val="00C10DE8"/>
    <w:rsid w:val="00C12201"/>
    <w:rsid w:val="00C12946"/>
    <w:rsid w:val="00C12AD2"/>
    <w:rsid w:val="00C12C83"/>
    <w:rsid w:val="00C134EE"/>
    <w:rsid w:val="00C1405A"/>
    <w:rsid w:val="00C14E7D"/>
    <w:rsid w:val="00C14F61"/>
    <w:rsid w:val="00C15574"/>
    <w:rsid w:val="00C2018B"/>
    <w:rsid w:val="00C2021F"/>
    <w:rsid w:val="00C2197A"/>
    <w:rsid w:val="00C2347A"/>
    <w:rsid w:val="00C25D45"/>
    <w:rsid w:val="00C25E95"/>
    <w:rsid w:val="00C30A46"/>
    <w:rsid w:val="00C30E1E"/>
    <w:rsid w:val="00C31412"/>
    <w:rsid w:val="00C3189D"/>
    <w:rsid w:val="00C329B9"/>
    <w:rsid w:val="00C362A0"/>
    <w:rsid w:val="00C365AF"/>
    <w:rsid w:val="00C367CD"/>
    <w:rsid w:val="00C40139"/>
    <w:rsid w:val="00C410C3"/>
    <w:rsid w:val="00C42740"/>
    <w:rsid w:val="00C43C6C"/>
    <w:rsid w:val="00C4526C"/>
    <w:rsid w:val="00C50B1B"/>
    <w:rsid w:val="00C50C99"/>
    <w:rsid w:val="00C52801"/>
    <w:rsid w:val="00C5395E"/>
    <w:rsid w:val="00C53B7D"/>
    <w:rsid w:val="00C60C0C"/>
    <w:rsid w:val="00C61C54"/>
    <w:rsid w:val="00C6210F"/>
    <w:rsid w:val="00C631DC"/>
    <w:rsid w:val="00C67E1B"/>
    <w:rsid w:val="00C703AD"/>
    <w:rsid w:val="00C7127C"/>
    <w:rsid w:val="00C745C6"/>
    <w:rsid w:val="00C74978"/>
    <w:rsid w:val="00C750BA"/>
    <w:rsid w:val="00C75839"/>
    <w:rsid w:val="00C75FA8"/>
    <w:rsid w:val="00C7706E"/>
    <w:rsid w:val="00C77811"/>
    <w:rsid w:val="00C81AB7"/>
    <w:rsid w:val="00C826EF"/>
    <w:rsid w:val="00C8308A"/>
    <w:rsid w:val="00C83E36"/>
    <w:rsid w:val="00C84288"/>
    <w:rsid w:val="00C8442D"/>
    <w:rsid w:val="00C85287"/>
    <w:rsid w:val="00C85FA6"/>
    <w:rsid w:val="00C868B5"/>
    <w:rsid w:val="00C9170B"/>
    <w:rsid w:val="00C95532"/>
    <w:rsid w:val="00C95AC9"/>
    <w:rsid w:val="00C964DE"/>
    <w:rsid w:val="00C969C2"/>
    <w:rsid w:val="00C96F18"/>
    <w:rsid w:val="00CA270A"/>
    <w:rsid w:val="00CA304F"/>
    <w:rsid w:val="00CA4545"/>
    <w:rsid w:val="00CA4E8A"/>
    <w:rsid w:val="00CA51AC"/>
    <w:rsid w:val="00CA51DE"/>
    <w:rsid w:val="00CA5790"/>
    <w:rsid w:val="00CA634C"/>
    <w:rsid w:val="00CA652B"/>
    <w:rsid w:val="00CA75F5"/>
    <w:rsid w:val="00CA7BFF"/>
    <w:rsid w:val="00CB003C"/>
    <w:rsid w:val="00CB0482"/>
    <w:rsid w:val="00CB0C4E"/>
    <w:rsid w:val="00CB12E5"/>
    <w:rsid w:val="00CB2590"/>
    <w:rsid w:val="00CB2670"/>
    <w:rsid w:val="00CB3684"/>
    <w:rsid w:val="00CB48C4"/>
    <w:rsid w:val="00CB54BF"/>
    <w:rsid w:val="00CB55CF"/>
    <w:rsid w:val="00CB59D4"/>
    <w:rsid w:val="00CB6D4F"/>
    <w:rsid w:val="00CC0C56"/>
    <w:rsid w:val="00CC11B6"/>
    <w:rsid w:val="00CC4245"/>
    <w:rsid w:val="00CC667F"/>
    <w:rsid w:val="00CC6782"/>
    <w:rsid w:val="00CD087C"/>
    <w:rsid w:val="00CD23FE"/>
    <w:rsid w:val="00CD319D"/>
    <w:rsid w:val="00CD33C1"/>
    <w:rsid w:val="00CD5B4D"/>
    <w:rsid w:val="00CE037C"/>
    <w:rsid w:val="00CE15BE"/>
    <w:rsid w:val="00CE332E"/>
    <w:rsid w:val="00CE35D5"/>
    <w:rsid w:val="00CE530A"/>
    <w:rsid w:val="00CE6E64"/>
    <w:rsid w:val="00CF0665"/>
    <w:rsid w:val="00CF09D9"/>
    <w:rsid w:val="00CF182A"/>
    <w:rsid w:val="00CF1BF9"/>
    <w:rsid w:val="00CF1F1E"/>
    <w:rsid w:val="00CF282F"/>
    <w:rsid w:val="00CF326B"/>
    <w:rsid w:val="00CF5CC1"/>
    <w:rsid w:val="00CF5FDD"/>
    <w:rsid w:val="00CF7D98"/>
    <w:rsid w:val="00D003E0"/>
    <w:rsid w:val="00D029D8"/>
    <w:rsid w:val="00D02A84"/>
    <w:rsid w:val="00D0300E"/>
    <w:rsid w:val="00D04CE5"/>
    <w:rsid w:val="00D054B2"/>
    <w:rsid w:val="00D07245"/>
    <w:rsid w:val="00D0763E"/>
    <w:rsid w:val="00D11186"/>
    <w:rsid w:val="00D122AA"/>
    <w:rsid w:val="00D12644"/>
    <w:rsid w:val="00D134CC"/>
    <w:rsid w:val="00D142E0"/>
    <w:rsid w:val="00D14450"/>
    <w:rsid w:val="00D14C1E"/>
    <w:rsid w:val="00D20C1D"/>
    <w:rsid w:val="00D24682"/>
    <w:rsid w:val="00D24F06"/>
    <w:rsid w:val="00D25AEF"/>
    <w:rsid w:val="00D279FE"/>
    <w:rsid w:val="00D313E5"/>
    <w:rsid w:val="00D31785"/>
    <w:rsid w:val="00D32391"/>
    <w:rsid w:val="00D349EE"/>
    <w:rsid w:val="00D35298"/>
    <w:rsid w:val="00D3555B"/>
    <w:rsid w:val="00D36296"/>
    <w:rsid w:val="00D3674F"/>
    <w:rsid w:val="00D36DC3"/>
    <w:rsid w:val="00D40D7D"/>
    <w:rsid w:val="00D4126F"/>
    <w:rsid w:val="00D418AD"/>
    <w:rsid w:val="00D42C1B"/>
    <w:rsid w:val="00D42ECB"/>
    <w:rsid w:val="00D44227"/>
    <w:rsid w:val="00D456BE"/>
    <w:rsid w:val="00D461BE"/>
    <w:rsid w:val="00D46629"/>
    <w:rsid w:val="00D46B8E"/>
    <w:rsid w:val="00D5087C"/>
    <w:rsid w:val="00D51312"/>
    <w:rsid w:val="00D51B22"/>
    <w:rsid w:val="00D51CE7"/>
    <w:rsid w:val="00D51D54"/>
    <w:rsid w:val="00D52507"/>
    <w:rsid w:val="00D527B1"/>
    <w:rsid w:val="00D527DA"/>
    <w:rsid w:val="00D54C90"/>
    <w:rsid w:val="00D54DF5"/>
    <w:rsid w:val="00D554BA"/>
    <w:rsid w:val="00D56D47"/>
    <w:rsid w:val="00D57835"/>
    <w:rsid w:val="00D6075E"/>
    <w:rsid w:val="00D60CF3"/>
    <w:rsid w:val="00D613F3"/>
    <w:rsid w:val="00D619D2"/>
    <w:rsid w:val="00D655FB"/>
    <w:rsid w:val="00D70D1E"/>
    <w:rsid w:val="00D70FB4"/>
    <w:rsid w:val="00D7248C"/>
    <w:rsid w:val="00D72C96"/>
    <w:rsid w:val="00D73854"/>
    <w:rsid w:val="00D73A38"/>
    <w:rsid w:val="00D74A1C"/>
    <w:rsid w:val="00D761DB"/>
    <w:rsid w:val="00D76FA9"/>
    <w:rsid w:val="00D7769B"/>
    <w:rsid w:val="00D77AA9"/>
    <w:rsid w:val="00D8030C"/>
    <w:rsid w:val="00D8146F"/>
    <w:rsid w:val="00D815C1"/>
    <w:rsid w:val="00D82E7D"/>
    <w:rsid w:val="00D850F4"/>
    <w:rsid w:val="00D85A2D"/>
    <w:rsid w:val="00D85C85"/>
    <w:rsid w:val="00D85E33"/>
    <w:rsid w:val="00D866EC"/>
    <w:rsid w:val="00D9096A"/>
    <w:rsid w:val="00D928CF"/>
    <w:rsid w:val="00D92F6C"/>
    <w:rsid w:val="00D93514"/>
    <w:rsid w:val="00D93AED"/>
    <w:rsid w:val="00D94695"/>
    <w:rsid w:val="00D9530A"/>
    <w:rsid w:val="00D95879"/>
    <w:rsid w:val="00D97A6B"/>
    <w:rsid w:val="00DA0770"/>
    <w:rsid w:val="00DA1396"/>
    <w:rsid w:val="00DA1F59"/>
    <w:rsid w:val="00DA2FA3"/>
    <w:rsid w:val="00DA546F"/>
    <w:rsid w:val="00DA65B2"/>
    <w:rsid w:val="00DA7875"/>
    <w:rsid w:val="00DB0AD7"/>
    <w:rsid w:val="00DB2A4B"/>
    <w:rsid w:val="00DB3513"/>
    <w:rsid w:val="00DB3DCA"/>
    <w:rsid w:val="00DB5F1F"/>
    <w:rsid w:val="00DB751D"/>
    <w:rsid w:val="00DC09BD"/>
    <w:rsid w:val="00DC0FCD"/>
    <w:rsid w:val="00DC133D"/>
    <w:rsid w:val="00DC162E"/>
    <w:rsid w:val="00DC35CE"/>
    <w:rsid w:val="00DC3B1E"/>
    <w:rsid w:val="00DC3FB4"/>
    <w:rsid w:val="00DC432A"/>
    <w:rsid w:val="00DC4444"/>
    <w:rsid w:val="00DC4C93"/>
    <w:rsid w:val="00DC679E"/>
    <w:rsid w:val="00DD032F"/>
    <w:rsid w:val="00DD0609"/>
    <w:rsid w:val="00DD0E98"/>
    <w:rsid w:val="00DD14BC"/>
    <w:rsid w:val="00DD259F"/>
    <w:rsid w:val="00DD39FB"/>
    <w:rsid w:val="00DD4D47"/>
    <w:rsid w:val="00DD565E"/>
    <w:rsid w:val="00DD76AF"/>
    <w:rsid w:val="00DD7A47"/>
    <w:rsid w:val="00DE1E41"/>
    <w:rsid w:val="00DE2F7C"/>
    <w:rsid w:val="00DE3F87"/>
    <w:rsid w:val="00DE5013"/>
    <w:rsid w:val="00DE54BD"/>
    <w:rsid w:val="00DE57DA"/>
    <w:rsid w:val="00DE5D1A"/>
    <w:rsid w:val="00DE64DE"/>
    <w:rsid w:val="00DE73B4"/>
    <w:rsid w:val="00DE787B"/>
    <w:rsid w:val="00DE7AB4"/>
    <w:rsid w:val="00DF1AB7"/>
    <w:rsid w:val="00DF2E8B"/>
    <w:rsid w:val="00DF306D"/>
    <w:rsid w:val="00DF4D86"/>
    <w:rsid w:val="00DF5688"/>
    <w:rsid w:val="00DF63E3"/>
    <w:rsid w:val="00DF6B09"/>
    <w:rsid w:val="00E0064C"/>
    <w:rsid w:val="00E007E6"/>
    <w:rsid w:val="00E00B41"/>
    <w:rsid w:val="00E01D84"/>
    <w:rsid w:val="00E03EBC"/>
    <w:rsid w:val="00E03FEF"/>
    <w:rsid w:val="00E048AB"/>
    <w:rsid w:val="00E05193"/>
    <w:rsid w:val="00E052D3"/>
    <w:rsid w:val="00E05344"/>
    <w:rsid w:val="00E05DA1"/>
    <w:rsid w:val="00E1000A"/>
    <w:rsid w:val="00E104CD"/>
    <w:rsid w:val="00E1067F"/>
    <w:rsid w:val="00E111AA"/>
    <w:rsid w:val="00E11440"/>
    <w:rsid w:val="00E11BD1"/>
    <w:rsid w:val="00E137BB"/>
    <w:rsid w:val="00E13FDD"/>
    <w:rsid w:val="00E15A72"/>
    <w:rsid w:val="00E20266"/>
    <w:rsid w:val="00E205F2"/>
    <w:rsid w:val="00E20C44"/>
    <w:rsid w:val="00E21B55"/>
    <w:rsid w:val="00E21C19"/>
    <w:rsid w:val="00E235DD"/>
    <w:rsid w:val="00E2375B"/>
    <w:rsid w:val="00E23B80"/>
    <w:rsid w:val="00E261CD"/>
    <w:rsid w:val="00E26266"/>
    <w:rsid w:val="00E27473"/>
    <w:rsid w:val="00E30356"/>
    <w:rsid w:val="00E3199C"/>
    <w:rsid w:val="00E3352E"/>
    <w:rsid w:val="00E34732"/>
    <w:rsid w:val="00E356C9"/>
    <w:rsid w:val="00E35D07"/>
    <w:rsid w:val="00E40987"/>
    <w:rsid w:val="00E41E74"/>
    <w:rsid w:val="00E42D0B"/>
    <w:rsid w:val="00E43A1A"/>
    <w:rsid w:val="00E441BF"/>
    <w:rsid w:val="00E447FC"/>
    <w:rsid w:val="00E4647B"/>
    <w:rsid w:val="00E5029D"/>
    <w:rsid w:val="00E51679"/>
    <w:rsid w:val="00E528C8"/>
    <w:rsid w:val="00E5311A"/>
    <w:rsid w:val="00E54CD1"/>
    <w:rsid w:val="00E56980"/>
    <w:rsid w:val="00E56B59"/>
    <w:rsid w:val="00E611D3"/>
    <w:rsid w:val="00E61551"/>
    <w:rsid w:val="00E6266E"/>
    <w:rsid w:val="00E62D29"/>
    <w:rsid w:val="00E64988"/>
    <w:rsid w:val="00E64A38"/>
    <w:rsid w:val="00E64D49"/>
    <w:rsid w:val="00E66B43"/>
    <w:rsid w:val="00E66FFF"/>
    <w:rsid w:val="00E70AA7"/>
    <w:rsid w:val="00E719F6"/>
    <w:rsid w:val="00E725EE"/>
    <w:rsid w:val="00E72ACE"/>
    <w:rsid w:val="00E72D25"/>
    <w:rsid w:val="00E7345E"/>
    <w:rsid w:val="00E7389E"/>
    <w:rsid w:val="00E75547"/>
    <w:rsid w:val="00E756AC"/>
    <w:rsid w:val="00E777CB"/>
    <w:rsid w:val="00E77EDC"/>
    <w:rsid w:val="00E80334"/>
    <w:rsid w:val="00E8168D"/>
    <w:rsid w:val="00E8381A"/>
    <w:rsid w:val="00E847F2"/>
    <w:rsid w:val="00E86CD9"/>
    <w:rsid w:val="00E86FB8"/>
    <w:rsid w:val="00E87596"/>
    <w:rsid w:val="00E87794"/>
    <w:rsid w:val="00E91C29"/>
    <w:rsid w:val="00E9480E"/>
    <w:rsid w:val="00E94E8E"/>
    <w:rsid w:val="00E95436"/>
    <w:rsid w:val="00E96422"/>
    <w:rsid w:val="00E97164"/>
    <w:rsid w:val="00E97B21"/>
    <w:rsid w:val="00E97F71"/>
    <w:rsid w:val="00EA21E0"/>
    <w:rsid w:val="00EA3421"/>
    <w:rsid w:val="00EA3C76"/>
    <w:rsid w:val="00EA5A59"/>
    <w:rsid w:val="00EA62F1"/>
    <w:rsid w:val="00EA6693"/>
    <w:rsid w:val="00EB331D"/>
    <w:rsid w:val="00EB34E7"/>
    <w:rsid w:val="00EB3D8F"/>
    <w:rsid w:val="00EB593B"/>
    <w:rsid w:val="00EB6BD3"/>
    <w:rsid w:val="00EC1912"/>
    <w:rsid w:val="00EC3B89"/>
    <w:rsid w:val="00EC52AE"/>
    <w:rsid w:val="00EC634C"/>
    <w:rsid w:val="00EC67CA"/>
    <w:rsid w:val="00EC7B1F"/>
    <w:rsid w:val="00ED047B"/>
    <w:rsid w:val="00ED0FE3"/>
    <w:rsid w:val="00ED17EE"/>
    <w:rsid w:val="00ED1DBA"/>
    <w:rsid w:val="00ED2910"/>
    <w:rsid w:val="00ED2B88"/>
    <w:rsid w:val="00ED3482"/>
    <w:rsid w:val="00ED3526"/>
    <w:rsid w:val="00ED3F7E"/>
    <w:rsid w:val="00ED4715"/>
    <w:rsid w:val="00ED47DC"/>
    <w:rsid w:val="00ED6A34"/>
    <w:rsid w:val="00ED7ACF"/>
    <w:rsid w:val="00EE0D77"/>
    <w:rsid w:val="00EE2576"/>
    <w:rsid w:val="00EE2BBD"/>
    <w:rsid w:val="00EE3B97"/>
    <w:rsid w:val="00EE52B1"/>
    <w:rsid w:val="00EE61F0"/>
    <w:rsid w:val="00EE6AAE"/>
    <w:rsid w:val="00EF02BC"/>
    <w:rsid w:val="00EF2CA6"/>
    <w:rsid w:val="00EF2D0D"/>
    <w:rsid w:val="00EF4EAB"/>
    <w:rsid w:val="00EF5B40"/>
    <w:rsid w:val="00EF7502"/>
    <w:rsid w:val="00F00432"/>
    <w:rsid w:val="00F02034"/>
    <w:rsid w:val="00F03884"/>
    <w:rsid w:val="00F03E21"/>
    <w:rsid w:val="00F0411C"/>
    <w:rsid w:val="00F041F6"/>
    <w:rsid w:val="00F046A8"/>
    <w:rsid w:val="00F0556F"/>
    <w:rsid w:val="00F103DC"/>
    <w:rsid w:val="00F117B1"/>
    <w:rsid w:val="00F128A4"/>
    <w:rsid w:val="00F134F9"/>
    <w:rsid w:val="00F144EA"/>
    <w:rsid w:val="00F1524D"/>
    <w:rsid w:val="00F157AD"/>
    <w:rsid w:val="00F166ED"/>
    <w:rsid w:val="00F16799"/>
    <w:rsid w:val="00F1697E"/>
    <w:rsid w:val="00F1752D"/>
    <w:rsid w:val="00F20979"/>
    <w:rsid w:val="00F21D1D"/>
    <w:rsid w:val="00F21F84"/>
    <w:rsid w:val="00F232CF"/>
    <w:rsid w:val="00F2461C"/>
    <w:rsid w:val="00F2474C"/>
    <w:rsid w:val="00F24BD9"/>
    <w:rsid w:val="00F24C62"/>
    <w:rsid w:val="00F24FC8"/>
    <w:rsid w:val="00F2664F"/>
    <w:rsid w:val="00F26D0F"/>
    <w:rsid w:val="00F30C1E"/>
    <w:rsid w:val="00F326A6"/>
    <w:rsid w:val="00F32C99"/>
    <w:rsid w:val="00F331F0"/>
    <w:rsid w:val="00F34138"/>
    <w:rsid w:val="00F34FFB"/>
    <w:rsid w:val="00F35E57"/>
    <w:rsid w:val="00F36CDA"/>
    <w:rsid w:val="00F36F83"/>
    <w:rsid w:val="00F40A01"/>
    <w:rsid w:val="00F40FB9"/>
    <w:rsid w:val="00F44566"/>
    <w:rsid w:val="00F460A6"/>
    <w:rsid w:val="00F4673F"/>
    <w:rsid w:val="00F47ACE"/>
    <w:rsid w:val="00F47FCE"/>
    <w:rsid w:val="00F501D2"/>
    <w:rsid w:val="00F518BA"/>
    <w:rsid w:val="00F519FC"/>
    <w:rsid w:val="00F51D56"/>
    <w:rsid w:val="00F522B3"/>
    <w:rsid w:val="00F5266F"/>
    <w:rsid w:val="00F52BC9"/>
    <w:rsid w:val="00F52D84"/>
    <w:rsid w:val="00F533C0"/>
    <w:rsid w:val="00F53D1E"/>
    <w:rsid w:val="00F557C0"/>
    <w:rsid w:val="00F56447"/>
    <w:rsid w:val="00F56A1D"/>
    <w:rsid w:val="00F5798C"/>
    <w:rsid w:val="00F60B05"/>
    <w:rsid w:val="00F61A04"/>
    <w:rsid w:val="00F625EB"/>
    <w:rsid w:val="00F64055"/>
    <w:rsid w:val="00F6564C"/>
    <w:rsid w:val="00F65D1F"/>
    <w:rsid w:val="00F66FC8"/>
    <w:rsid w:val="00F710C6"/>
    <w:rsid w:val="00F7142A"/>
    <w:rsid w:val="00F71E7D"/>
    <w:rsid w:val="00F722BD"/>
    <w:rsid w:val="00F72873"/>
    <w:rsid w:val="00F735C8"/>
    <w:rsid w:val="00F73620"/>
    <w:rsid w:val="00F74C34"/>
    <w:rsid w:val="00F758ED"/>
    <w:rsid w:val="00F81854"/>
    <w:rsid w:val="00F82ED9"/>
    <w:rsid w:val="00F83C51"/>
    <w:rsid w:val="00F85C73"/>
    <w:rsid w:val="00F85D31"/>
    <w:rsid w:val="00F87415"/>
    <w:rsid w:val="00F91CF0"/>
    <w:rsid w:val="00F91DA7"/>
    <w:rsid w:val="00F9481A"/>
    <w:rsid w:val="00F956D1"/>
    <w:rsid w:val="00F95742"/>
    <w:rsid w:val="00F9683D"/>
    <w:rsid w:val="00F9687F"/>
    <w:rsid w:val="00F97F15"/>
    <w:rsid w:val="00FA08DE"/>
    <w:rsid w:val="00FA0CF5"/>
    <w:rsid w:val="00FA2D9D"/>
    <w:rsid w:val="00FA770D"/>
    <w:rsid w:val="00FA77B7"/>
    <w:rsid w:val="00FB01C6"/>
    <w:rsid w:val="00FB328E"/>
    <w:rsid w:val="00FB3430"/>
    <w:rsid w:val="00FB5E18"/>
    <w:rsid w:val="00FB67C7"/>
    <w:rsid w:val="00FC007C"/>
    <w:rsid w:val="00FC1567"/>
    <w:rsid w:val="00FC2626"/>
    <w:rsid w:val="00FC33B7"/>
    <w:rsid w:val="00FC3766"/>
    <w:rsid w:val="00FC4572"/>
    <w:rsid w:val="00FC5712"/>
    <w:rsid w:val="00FC755D"/>
    <w:rsid w:val="00FD0EDB"/>
    <w:rsid w:val="00FD386C"/>
    <w:rsid w:val="00FD3922"/>
    <w:rsid w:val="00FD6452"/>
    <w:rsid w:val="00FE1F48"/>
    <w:rsid w:val="00FE2B90"/>
    <w:rsid w:val="00FF0A4E"/>
    <w:rsid w:val="00FF0A84"/>
    <w:rsid w:val="00FF14A6"/>
    <w:rsid w:val="00FF1F8D"/>
    <w:rsid w:val="00FF285D"/>
    <w:rsid w:val="00FF37A3"/>
    <w:rsid w:val="00FF3F9C"/>
    <w:rsid w:val="00FF5875"/>
    <w:rsid w:val="00FF63A1"/>
    <w:rsid w:val="00FF63D9"/>
    <w:rsid w:val="0635D194"/>
    <w:rsid w:val="2B134673"/>
    <w:rsid w:val="330131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 w:type="character" w:customStyle="1" w:styleId="normaltextrun">
    <w:name w:val="normaltextrun"/>
    <w:basedOn w:val="Fuentedeprrafopredeter"/>
    <w:rsid w:val="008E034E"/>
  </w:style>
  <w:style w:type="character" w:customStyle="1" w:styleId="NormalWebCar">
    <w:name w:val="Normal (Web) Car"/>
    <w:link w:val="NormalWeb"/>
    <w:uiPriority w:val="99"/>
    <w:rsid w:val="00A55BF1"/>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216">
      <w:bodyDiv w:val="1"/>
      <w:marLeft w:val="0"/>
      <w:marRight w:val="0"/>
      <w:marTop w:val="0"/>
      <w:marBottom w:val="0"/>
      <w:divBdr>
        <w:top w:val="none" w:sz="0" w:space="0" w:color="auto"/>
        <w:left w:val="none" w:sz="0" w:space="0" w:color="auto"/>
        <w:bottom w:val="none" w:sz="0" w:space="0" w:color="auto"/>
        <w:right w:val="none" w:sz="0" w:space="0" w:color="auto"/>
      </w:divBdr>
    </w:div>
    <w:div w:id="291710021">
      <w:bodyDiv w:val="1"/>
      <w:marLeft w:val="0"/>
      <w:marRight w:val="0"/>
      <w:marTop w:val="0"/>
      <w:marBottom w:val="0"/>
      <w:divBdr>
        <w:top w:val="none" w:sz="0" w:space="0" w:color="auto"/>
        <w:left w:val="none" w:sz="0" w:space="0" w:color="auto"/>
        <w:bottom w:val="none" w:sz="0" w:space="0" w:color="auto"/>
        <w:right w:val="none" w:sz="0" w:space="0" w:color="auto"/>
      </w:divBdr>
    </w:div>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434638637">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434474778">
      <w:bodyDiv w:val="1"/>
      <w:marLeft w:val="0"/>
      <w:marRight w:val="0"/>
      <w:marTop w:val="0"/>
      <w:marBottom w:val="0"/>
      <w:divBdr>
        <w:top w:val="none" w:sz="0" w:space="0" w:color="auto"/>
        <w:left w:val="none" w:sz="0" w:space="0" w:color="auto"/>
        <w:bottom w:val="none" w:sz="0" w:space="0" w:color="auto"/>
        <w:right w:val="none" w:sz="0" w:space="0" w:color="auto"/>
      </w:divBdr>
      <w:divsChild>
        <w:div w:id="1359042044">
          <w:marLeft w:val="0"/>
          <w:marRight w:val="0"/>
          <w:marTop w:val="0"/>
          <w:marBottom w:val="0"/>
          <w:divBdr>
            <w:top w:val="none" w:sz="0" w:space="0" w:color="auto"/>
            <w:left w:val="none" w:sz="0" w:space="0" w:color="auto"/>
            <w:bottom w:val="none" w:sz="0" w:space="0" w:color="auto"/>
            <w:right w:val="none" w:sz="0" w:space="0" w:color="auto"/>
          </w:divBdr>
        </w:div>
        <w:div w:id="1178500611">
          <w:marLeft w:val="0"/>
          <w:marRight w:val="0"/>
          <w:marTop w:val="0"/>
          <w:marBottom w:val="0"/>
          <w:divBdr>
            <w:top w:val="none" w:sz="0" w:space="0" w:color="auto"/>
            <w:left w:val="none" w:sz="0" w:space="0" w:color="auto"/>
            <w:bottom w:val="none" w:sz="0" w:space="0" w:color="auto"/>
            <w:right w:val="none" w:sz="0" w:space="0" w:color="auto"/>
          </w:divBdr>
        </w:div>
      </w:divsChild>
    </w:div>
    <w:div w:id="1469201352">
      <w:bodyDiv w:val="1"/>
      <w:marLeft w:val="0"/>
      <w:marRight w:val="0"/>
      <w:marTop w:val="0"/>
      <w:marBottom w:val="0"/>
      <w:divBdr>
        <w:top w:val="none" w:sz="0" w:space="0" w:color="auto"/>
        <w:left w:val="none" w:sz="0" w:space="0" w:color="auto"/>
        <w:bottom w:val="none" w:sz="0" w:space="0" w:color="auto"/>
        <w:right w:val="none" w:sz="0" w:space="0" w:color="auto"/>
      </w:divBdr>
    </w:div>
    <w:div w:id="152216345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782605694">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 w:id="2035572424">
      <w:bodyDiv w:val="1"/>
      <w:marLeft w:val="0"/>
      <w:marRight w:val="0"/>
      <w:marTop w:val="0"/>
      <w:marBottom w:val="0"/>
      <w:divBdr>
        <w:top w:val="none" w:sz="0" w:space="0" w:color="auto"/>
        <w:left w:val="none" w:sz="0" w:space="0" w:color="auto"/>
        <w:bottom w:val="none" w:sz="0" w:space="0" w:color="auto"/>
        <w:right w:val="none" w:sz="0" w:space="0" w:color="auto"/>
      </w:divBdr>
    </w:div>
    <w:div w:id="20966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4001</Words>
  <Characters>22009</Characters>
  <Application>Microsoft Office Word</Application>
  <DocSecurity>0</DocSecurity>
  <Lines>183</Lines>
  <Paragraphs>51</Paragraphs>
  <ScaleCrop>false</ScaleCrop>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Martin Rojas Mejia</cp:lastModifiedBy>
  <cp:revision>2</cp:revision>
  <cp:lastPrinted>2020-03-17T17:42:00Z</cp:lastPrinted>
  <dcterms:created xsi:type="dcterms:W3CDTF">2022-04-07T15:33:00Z</dcterms:created>
  <dcterms:modified xsi:type="dcterms:W3CDTF">2022-04-07T15:33:00Z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