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EA62F3" w:rsidRDefault="00BE1E33" w:rsidP="00BE1E33">
      <w:pPr>
        <w:jc w:val="right"/>
        <w:rPr>
          <w:rFonts w:ascii="Arial" w:hAnsi="Arial" w:cs="Arial"/>
          <w:bCs/>
          <w:sz w:val="16"/>
          <w:szCs w:val="16"/>
          <w:lang w:eastAsia="es-ES"/>
        </w:rPr>
      </w:pPr>
      <w:r w:rsidRPr="0063404E">
        <w:rPr>
          <w:rFonts w:ascii="Arial" w:hAnsi="Arial" w:cs="Arial"/>
          <w:b/>
          <w:sz w:val="16"/>
          <w:szCs w:val="16"/>
          <w:lang w:eastAsia="es-ES"/>
        </w:rPr>
        <w:tab/>
      </w:r>
      <w:r w:rsidRPr="00EA62F3">
        <w:rPr>
          <w:rFonts w:ascii="Arial" w:hAnsi="Arial" w:cs="Arial"/>
          <w:bCs/>
          <w:sz w:val="16"/>
          <w:szCs w:val="16"/>
          <w:lang w:eastAsia="es-ES"/>
        </w:rPr>
        <w:t>CCE-DES-FM-17</w:t>
      </w:r>
    </w:p>
    <w:p w14:paraId="30106002" w14:textId="77777777" w:rsidR="005204A7" w:rsidRPr="00EA62F3" w:rsidRDefault="005204A7" w:rsidP="005204A7">
      <w:pPr>
        <w:jc w:val="both"/>
        <w:rPr>
          <w:rFonts w:ascii="Arial" w:eastAsia="Calibri" w:hAnsi="Arial" w:cs="Arial"/>
          <w:b/>
          <w:sz w:val="20"/>
          <w:szCs w:val="20"/>
        </w:rPr>
      </w:pPr>
    </w:p>
    <w:p w14:paraId="5600DD94" w14:textId="610A42B5" w:rsidR="005204A7" w:rsidRPr="00EA62F3" w:rsidRDefault="00B20FA2" w:rsidP="005204A7">
      <w:pPr>
        <w:jc w:val="both"/>
        <w:rPr>
          <w:rFonts w:ascii="Arial" w:eastAsia="Calibri" w:hAnsi="Arial" w:cs="Arial"/>
          <w:b/>
          <w:sz w:val="22"/>
          <w:lang w:val="es-ES_tradnl"/>
        </w:rPr>
      </w:pPr>
      <w:r w:rsidRPr="00EA62F3">
        <w:rPr>
          <w:rFonts w:ascii="Arial" w:eastAsia="Calibri" w:hAnsi="Arial" w:cs="Arial"/>
          <w:b/>
          <w:sz w:val="22"/>
          <w:lang w:val="es-ES_tradnl"/>
        </w:rPr>
        <w:t>SELECCIÓN OBJETIVA – Contratación estatal – Concepto</w:t>
      </w:r>
    </w:p>
    <w:p w14:paraId="61AE0BF2" w14:textId="77777777" w:rsidR="00B20FA2" w:rsidRPr="00EA62F3" w:rsidRDefault="00B20FA2" w:rsidP="005204A7">
      <w:pPr>
        <w:jc w:val="both"/>
        <w:rPr>
          <w:rFonts w:ascii="Arial" w:eastAsia="Calibri" w:hAnsi="Arial" w:cs="Arial"/>
          <w:sz w:val="20"/>
          <w:szCs w:val="20"/>
        </w:rPr>
      </w:pPr>
    </w:p>
    <w:p w14:paraId="3AA0AF3C" w14:textId="749E8DF8" w:rsidR="005204A7" w:rsidRPr="00EA62F3" w:rsidRDefault="00B20FA2" w:rsidP="005204A7">
      <w:pPr>
        <w:jc w:val="both"/>
        <w:rPr>
          <w:rFonts w:ascii="Arial" w:eastAsia="Calibri" w:hAnsi="Arial" w:cs="Arial"/>
          <w:bCs/>
          <w:sz w:val="20"/>
          <w:szCs w:val="20"/>
        </w:rPr>
      </w:pPr>
      <w:r w:rsidRPr="00EA62F3">
        <w:rPr>
          <w:rFonts w:ascii="Arial" w:eastAsia="Calibri" w:hAnsi="Arial" w:cs="Arial"/>
          <w:bCs/>
          <w:sz w:val="20"/>
          <w:szCs w:val="20"/>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EA62F3">
        <w:rPr>
          <w:rFonts w:ascii="Arial" w:eastAsia="Calibri" w:hAnsi="Arial" w:cs="Arial"/>
          <w:bCs/>
          <w:sz w:val="20"/>
          <w:szCs w:val="20"/>
        </w:rPr>
        <w:t>equivalentes,</w:t>
      </w:r>
      <w:proofErr w:type="gramEnd"/>
      <w:r w:rsidRPr="00EA62F3">
        <w:rPr>
          <w:rFonts w:ascii="Arial" w:eastAsia="Calibri" w:hAnsi="Arial" w:cs="Arial"/>
          <w:bCs/>
          <w:sz w:val="20"/>
          <w:szCs w:val="20"/>
        </w:rPr>
        <w:t xml:space="preserve"> tendrán en cuenta criterios como la experiencia y la capacidad jurídica, financiera y de organización, entre otros elementos que garanticen la escogencia de la mejor opción de negocio para la entidad estatal.</w:t>
      </w:r>
    </w:p>
    <w:p w14:paraId="01B968FF" w14:textId="77777777" w:rsidR="00B20FA2" w:rsidRPr="00EA62F3" w:rsidRDefault="00B20FA2" w:rsidP="005204A7">
      <w:pPr>
        <w:jc w:val="both"/>
        <w:rPr>
          <w:rFonts w:ascii="Arial" w:eastAsia="Calibri" w:hAnsi="Arial" w:cs="Arial"/>
          <w:b/>
          <w:sz w:val="20"/>
          <w:szCs w:val="20"/>
        </w:rPr>
      </w:pPr>
    </w:p>
    <w:p w14:paraId="39FA4F36" w14:textId="77777777" w:rsidR="00375E4A" w:rsidRPr="00EA62F3" w:rsidRDefault="00375E4A" w:rsidP="00375E4A">
      <w:pPr>
        <w:jc w:val="both"/>
        <w:rPr>
          <w:rFonts w:ascii="Arial" w:eastAsia="Calibri" w:hAnsi="Arial" w:cs="Arial"/>
          <w:b/>
          <w:sz w:val="22"/>
          <w:lang w:val="es-ES_tradnl"/>
        </w:rPr>
      </w:pPr>
      <w:r w:rsidRPr="00EA62F3">
        <w:rPr>
          <w:rFonts w:ascii="Arial" w:eastAsia="Calibri" w:hAnsi="Arial" w:cs="Arial"/>
          <w:b/>
          <w:sz w:val="22"/>
          <w:lang w:val="es-ES_tradnl"/>
        </w:rPr>
        <w:t>EMPATE – Procedimiento de selección – Concepto</w:t>
      </w:r>
    </w:p>
    <w:p w14:paraId="69524CC8" w14:textId="77777777" w:rsidR="005204A7" w:rsidRPr="00EA62F3" w:rsidRDefault="005204A7" w:rsidP="005204A7">
      <w:pPr>
        <w:jc w:val="both"/>
        <w:rPr>
          <w:rFonts w:ascii="Arial" w:eastAsia="Calibri" w:hAnsi="Arial" w:cs="Arial"/>
          <w:b/>
          <w:sz w:val="20"/>
          <w:szCs w:val="20"/>
        </w:rPr>
      </w:pPr>
    </w:p>
    <w:p w14:paraId="0195D622" w14:textId="0AFB1752" w:rsidR="005204A7" w:rsidRPr="00EA62F3" w:rsidRDefault="000B1824" w:rsidP="005204A7">
      <w:pPr>
        <w:jc w:val="both"/>
        <w:rPr>
          <w:rFonts w:ascii="Arial" w:eastAsia="Calibri" w:hAnsi="Arial" w:cs="Arial"/>
          <w:sz w:val="20"/>
          <w:szCs w:val="20"/>
        </w:rPr>
      </w:pPr>
      <w:r w:rsidRPr="00EA62F3">
        <w:rPr>
          <w:rFonts w:ascii="Arial" w:eastAsia="Calibri" w:hAnsi="Arial" w:cs="Arial"/>
          <w:bCs/>
          <w:sz w:val="20"/>
          <w:szCs w:val="20"/>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0A6EACDC" w14:textId="77777777" w:rsidR="00DB5F1F" w:rsidRPr="00EA62F3" w:rsidRDefault="00DB5F1F" w:rsidP="005204A7">
      <w:pPr>
        <w:jc w:val="both"/>
        <w:rPr>
          <w:rFonts w:ascii="Arial" w:eastAsia="Calibri" w:hAnsi="Arial" w:cs="Arial"/>
          <w:b/>
          <w:sz w:val="22"/>
        </w:rPr>
      </w:pPr>
    </w:p>
    <w:p w14:paraId="7A865647" w14:textId="77777777" w:rsidR="00DB5F1F" w:rsidRPr="00EA62F3" w:rsidRDefault="00DB5F1F" w:rsidP="00DB5F1F">
      <w:pPr>
        <w:jc w:val="both"/>
        <w:rPr>
          <w:rFonts w:ascii="Arial" w:eastAsia="Calibri" w:hAnsi="Arial" w:cs="Arial"/>
          <w:b/>
          <w:sz w:val="22"/>
          <w:lang w:val="es-ES_tradnl"/>
        </w:rPr>
      </w:pPr>
      <w:r w:rsidRPr="00EA62F3">
        <w:rPr>
          <w:rFonts w:ascii="Arial" w:eastAsia="Calibri" w:hAnsi="Arial" w:cs="Arial"/>
          <w:b/>
          <w:sz w:val="22"/>
          <w:lang w:val="es-ES_tradnl"/>
        </w:rPr>
        <w:t>FACTORES DE DESEMPATE – Características – Límites</w:t>
      </w:r>
    </w:p>
    <w:p w14:paraId="6327B2C6" w14:textId="77777777" w:rsidR="0028617E" w:rsidRPr="00EA62F3" w:rsidRDefault="0028617E" w:rsidP="005204A7">
      <w:pPr>
        <w:jc w:val="both"/>
        <w:rPr>
          <w:rFonts w:ascii="Arial" w:eastAsia="Calibri" w:hAnsi="Arial" w:cs="Arial"/>
          <w:b/>
          <w:sz w:val="20"/>
          <w:szCs w:val="20"/>
        </w:rPr>
      </w:pPr>
    </w:p>
    <w:p w14:paraId="091FB4A7" w14:textId="740235F2" w:rsidR="00A55BF1" w:rsidRPr="00EA62F3" w:rsidRDefault="00375E4A" w:rsidP="0089219C">
      <w:pPr>
        <w:jc w:val="both"/>
        <w:rPr>
          <w:rFonts w:ascii="Arial" w:eastAsia="Calibri" w:hAnsi="Arial" w:cs="Arial"/>
          <w:bCs/>
          <w:sz w:val="20"/>
          <w:szCs w:val="20"/>
          <w:lang w:val="es-ES"/>
        </w:rPr>
      </w:pPr>
      <w:r w:rsidRPr="00EA62F3">
        <w:rPr>
          <w:rFonts w:ascii="Arial" w:eastAsia="Calibri" w:hAnsi="Arial" w:cs="Arial"/>
          <w:bCs/>
          <w:sz w:val="20"/>
          <w:szCs w:val="20"/>
          <w:lang w:val="es-ES"/>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w:t>
      </w:r>
    </w:p>
    <w:p w14:paraId="61526D1B" w14:textId="77777777" w:rsidR="00DB5F1F" w:rsidRPr="00EA62F3" w:rsidRDefault="00DB5F1F" w:rsidP="0089219C">
      <w:pPr>
        <w:jc w:val="both"/>
        <w:rPr>
          <w:rFonts w:ascii="Arial" w:eastAsia="Calibri" w:hAnsi="Arial" w:cs="Arial"/>
          <w:bCs/>
          <w:sz w:val="20"/>
          <w:szCs w:val="20"/>
          <w:lang w:val="es-ES"/>
        </w:rPr>
      </w:pPr>
    </w:p>
    <w:p w14:paraId="561776CC" w14:textId="1CB7424B" w:rsidR="00DB5F1F" w:rsidRPr="00EA62F3" w:rsidRDefault="006F60FB" w:rsidP="006F39EF">
      <w:pPr>
        <w:jc w:val="both"/>
        <w:rPr>
          <w:rFonts w:ascii="Arial" w:eastAsia="Calibri" w:hAnsi="Arial" w:cs="Arial"/>
          <w:b/>
          <w:sz w:val="22"/>
          <w:lang w:val="es-ES"/>
        </w:rPr>
      </w:pPr>
      <w:r w:rsidRPr="00EA62F3">
        <w:rPr>
          <w:rFonts w:ascii="Arial" w:eastAsia="Calibri" w:hAnsi="Arial" w:cs="Arial"/>
          <w:b/>
          <w:sz w:val="22"/>
          <w:lang w:val="es-ES"/>
        </w:rPr>
        <w:t>LEY DE EMPRENDIMIENTO – Ley 2069 – Finalidad – Contenido</w:t>
      </w:r>
    </w:p>
    <w:p w14:paraId="7EDF3496" w14:textId="53F15D58" w:rsidR="006F60FB" w:rsidRPr="00EA62F3" w:rsidRDefault="006F60FB" w:rsidP="006F39EF">
      <w:pPr>
        <w:jc w:val="both"/>
        <w:rPr>
          <w:rFonts w:ascii="Arial" w:eastAsia="Calibri" w:hAnsi="Arial" w:cs="Arial"/>
          <w:b/>
          <w:sz w:val="22"/>
          <w:lang w:val="es-ES"/>
        </w:rPr>
      </w:pPr>
    </w:p>
    <w:p w14:paraId="6D96E6BC" w14:textId="3D76F67C" w:rsidR="006F60FB" w:rsidRPr="00EA62F3" w:rsidRDefault="006F60FB" w:rsidP="006F60FB">
      <w:pPr>
        <w:jc w:val="both"/>
        <w:rPr>
          <w:rFonts w:ascii="Arial" w:eastAsia="Calibri" w:hAnsi="Arial" w:cs="Arial"/>
          <w:bCs/>
          <w:sz w:val="20"/>
          <w:szCs w:val="20"/>
          <w:lang w:val="es-ES"/>
        </w:rPr>
      </w:pPr>
      <w:r w:rsidRPr="00EA62F3">
        <w:rPr>
          <w:rFonts w:ascii="Arial" w:eastAsia="Calibri" w:hAnsi="Arial" w:cs="Arial"/>
          <w:bCs/>
          <w:sz w:val="20"/>
          <w:szCs w:val="20"/>
          <w:lang w:val="es-ES"/>
        </w:rPr>
        <w:t xml:space="preserve">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En cuanto a su contenido, es importante señalar que, como dispone el artículo 1, aquella «tiene por objeto establecer un marco regulatorio que propicie el emprendimiento y el crecimiento, </w:t>
      </w:r>
      <w:r w:rsidRPr="00EA62F3">
        <w:rPr>
          <w:rFonts w:ascii="Arial" w:eastAsia="Calibri" w:hAnsi="Arial" w:cs="Arial"/>
          <w:bCs/>
          <w:sz w:val="20"/>
          <w:szCs w:val="20"/>
          <w:lang w:val="es-ES"/>
        </w:rPr>
        <w:lastRenderedPageBreak/>
        <w:t xml:space="preserve">consolidación y sostenibilidad de las empresas, con el fin de aumentar el bienestar social y generar equidad». Esto, a partir de «[…] un enfoque regionalizado </w:t>
      </w:r>
      <w:proofErr w:type="gramStart"/>
      <w:r w:rsidRPr="00EA62F3">
        <w:rPr>
          <w:rFonts w:ascii="Arial" w:eastAsia="Calibri" w:hAnsi="Arial" w:cs="Arial"/>
          <w:bCs/>
          <w:sz w:val="20"/>
          <w:szCs w:val="20"/>
          <w:lang w:val="es-ES"/>
        </w:rPr>
        <w:t>de acuerdo a</w:t>
      </w:r>
      <w:proofErr w:type="gramEnd"/>
      <w:r w:rsidRPr="00EA62F3">
        <w:rPr>
          <w:rFonts w:ascii="Arial" w:eastAsia="Calibri" w:hAnsi="Arial" w:cs="Arial"/>
          <w:bCs/>
          <w:sz w:val="20"/>
          <w:szCs w:val="20"/>
          <w:lang w:val="es-ES"/>
        </w:rPr>
        <w:t xml:space="preserve"> las realidades socioeconómicas de cada región». En desarrollo de esta finalidad, se establecen medidas de apoyo para las micro, pequeñas y medianas empresas –</w:t>
      </w:r>
      <w:proofErr w:type="spellStart"/>
      <w:r w:rsidRPr="00EA62F3">
        <w:rPr>
          <w:rFonts w:ascii="Arial" w:eastAsia="Calibri" w:hAnsi="Arial" w:cs="Arial"/>
          <w:bCs/>
          <w:sz w:val="20"/>
          <w:szCs w:val="20"/>
          <w:lang w:val="es-ES"/>
        </w:rPr>
        <w:t>mipymes</w:t>
      </w:r>
      <w:proofErr w:type="spellEnd"/>
      <w:r w:rsidRPr="00EA62F3">
        <w:rPr>
          <w:rFonts w:ascii="Arial" w:eastAsia="Calibri" w:hAnsi="Arial" w:cs="Arial"/>
          <w:bCs/>
          <w:sz w:val="20"/>
          <w:szCs w:val="20"/>
          <w:lang w:val="es-ES"/>
        </w:rPr>
        <w:t xml:space="preserve">–, mediante la racionalización y simplificación de los trámites y </w:t>
      </w:r>
      <w:proofErr w:type="gramStart"/>
      <w:r w:rsidRPr="00EA62F3">
        <w:rPr>
          <w:rFonts w:ascii="Arial" w:eastAsia="Calibri" w:hAnsi="Arial" w:cs="Arial"/>
          <w:bCs/>
          <w:sz w:val="20"/>
          <w:szCs w:val="20"/>
          <w:lang w:val="es-ES"/>
        </w:rPr>
        <w:t>tarifas ,</w:t>
      </w:r>
      <w:proofErr w:type="gramEnd"/>
      <w:r w:rsidRPr="00EA62F3">
        <w:rPr>
          <w:rFonts w:ascii="Arial" w:eastAsia="Calibri" w:hAnsi="Arial" w:cs="Arial"/>
          <w:bCs/>
          <w:sz w:val="20"/>
          <w:szCs w:val="20"/>
          <w:lang w:val="es-ES"/>
        </w:rPr>
        <w:t xml:space="preserve"> así como incentivos a favor de aquellas dentro del sistema de compras y contratación pública . También se consagran mecanismos de acceso al </w:t>
      </w:r>
      <w:proofErr w:type="gramStart"/>
      <w:r w:rsidRPr="00EA62F3">
        <w:rPr>
          <w:rFonts w:ascii="Arial" w:eastAsia="Calibri" w:hAnsi="Arial" w:cs="Arial"/>
          <w:bCs/>
          <w:sz w:val="20"/>
          <w:szCs w:val="20"/>
          <w:lang w:val="es-ES"/>
        </w:rPr>
        <w:t>financiamiento ,</w:t>
      </w:r>
      <w:proofErr w:type="gramEnd"/>
      <w:r w:rsidRPr="00EA62F3">
        <w:rPr>
          <w:rFonts w:ascii="Arial" w:eastAsia="Calibri" w:hAnsi="Arial" w:cs="Arial"/>
          <w:bCs/>
          <w:sz w:val="20"/>
          <w:szCs w:val="20"/>
          <w:lang w:val="es-ES"/>
        </w:rPr>
        <w:t xml:space="preserve"> se unifican las fuentes de emprendimiento y de desarrollo empresarial, para fortalecer y promover los distintos sectores de la economía  y se prevén medidas de educación para el emprendimiento y la innovación .</w:t>
      </w:r>
    </w:p>
    <w:p w14:paraId="17DAD894" w14:textId="515142AB" w:rsidR="006F60FB" w:rsidRPr="00EA62F3" w:rsidRDefault="006F60FB" w:rsidP="006F60FB">
      <w:pPr>
        <w:jc w:val="both"/>
        <w:rPr>
          <w:rFonts w:ascii="Arial" w:eastAsia="Calibri" w:hAnsi="Arial" w:cs="Arial"/>
          <w:bCs/>
          <w:sz w:val="20"/>
          <w:szCs w:val="20"/>
          <w:lang w:val="es-ES"/>
        </w:rPr>
      </w:pPr>
    </w:p>
    <w:p w14:paraId="35776CB2" w14:textId="203F2CA6" w:rsidR="006F60FB" w:rsidRPr="00EA62F3" w:rsidRDefault="006F60FB" w:rsidP="006F60FB">
      <w:pPr>
        <w:jc w:val="both"/>
        <w:rPr>
          <w:rFonts w:ascii="Arial" w:eastAsia="Calibri" w:hAnsi="Arial" w:cs="Arial"/>
          <w:b/>
          <w:sz w:val="22"/>
          <w:lang w:val="es-ES"/>
        </w:rPr>
      </w:pPr>
      <w:r w:rsidRPr="00EA62F3">
        <w:rPr>
          <w:rFonts w:ascii="Arial" w:eastAsia="Calibri" w:hAnsi="Arial" w:cs="Arial"/>
          <w:b/>
          <w:sz w:val="22"/>
          <w:lang w:val="es-ES"/>
        </w:rPr>
        <w:t xml:space="preserve">FACTORES DE DESEMPATE – Ley 2069 – </w:t>
      </w:r>
      <w:r w:rsidR="00FF63D9" w:rsidRPr="00EA62F3">
        <w:rPr>
          <w:rFonts w:ascii="Arial" w:eastAsia="Calibri" w:hAnsi="Arial" w:cs="Arial"/>
          <w:b/>
          <w:sz w:val="22"/>
          <w:lang w:val="es-ES"/>
        </w:rPr>
        <w:t xml:space="preserve">Artículo 35 – </w:t>
      </w:r>
      <w:r w:rsidR="003B4936" w:rsidRPr="00EA62F3">
        <w:rPr>
          <w:rFonts w:ascii="Arial" w:eastAsia="Calibri" w:hAnsi="Arial" w:cs="Arial"/>
          <w:b/>
          <w:sz w:val="22"/>
          <w:lang w:val="es-ES"/>
        </w:rPr>
        <w:t>Vigencia</w:t>
      </w:r>
      <w:r w:rsidR="00FF63D9" w:rsidRPr="00EA62F3">
        <w:rPr>
          <w:rFonts w:ascii="Arial" w:eastAsia="Calibri" w:hAnsi="Arial" w:cs="Arial"/>
          <w:b/>
          <w:sz w:val="22"/>
          <w:lang w:val="es-ES"/>
        </w:rPr>
        <w:t xml:space="preserve"> – </w:t>
      </w:r>
      <w:r w:rsidR="00DF306D" w:rsidRPr="00EA62F3">
        <w:rPr>
          <w:rFonts w:ascii="Arial" w:eastAsia="Calibri" w:hAnsi="Arial" w:cs="Arial"/>
          <w:b/>
          <w:sz w:val="22"/>
          <w:lang w:val="es-ES"/>
        </w:rPr>
        <w:t>Aplicación directa</w:t>
      </w:r>
    </w:p>
    <w:p w14:paraId="0E898FEE" w14:textId="77777777" w:rsidR="006F60FB" w:rsidRPr="00EA62F3" w:rsidRDefault="006F60FB" w:rsidP="006F60FB">
      <w:pPr>
        <w:jc w:val="both"/>
        <w:rPr>
          <w:rFonts w:ascii="Arial" w:eastAsia="Calibri" w:hAnsi="Arial" w:cs="Arial"/>
          <w:bCs/>
          <w:sz w:val="20"/>
          <w:szCs w:val="20"/>
          <w:lang w:val="es-ES"/>
        </w:rPr>
      </w:pPr>
    </w:p>
    <w:p w14:paraId="21348661" w14:textId="77777777" w:rsidR="00F87C9D" w:rsidRPr="00EA62F3" w:rsidRDefault="00F87C9D" w:rsidP="00F87C9D">
      <w:pPr>
        <w:jc w:val="both"/>
        <w:rPr>
          <w:rFonts w:ascii="Arial" w:eastAsia="Calibri" w:hAnsi="Arial" w:cs="Arial"/>
          <w:bCs/>
          <w:sz w:val="20"/>
          <w:szCs w:val="20"/>
          <w:lang w:val="es-ES"/>
        </w:rPr>
      </w:pPr>
      <w:r w:rsidRPr="00EA62F3">
        <w:rPr>
          <w:rFonts w:ascii="Arial" w:eastAsia="Calibri" w:hAnsi="Arial" w:cs="Arial"/>
          <w:bCs/>
          <w:sz w:val="20"/>
          <w:szCs w:val="20"/>
          <w:lang w:val="es-ES"/>
        </w:rPr>
        <w:t xml:space="preserve">[…]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Por ejemplo, en lo que a las compras públicas se refiere, el parágrafo primero del artículo 30, que alude a la participación de </w:t>
      </w:r>
      <w:proofErr w:type="spellStart"/>
      <w:r w:rsidRPr="00EA62F3">
        <w:rPr>
          <w:rFonts w:ascii="Arial" w:eastAsia="Calibri" w:hAnsi="Arial" w:cs="Arial"/>
          <w:bCs/>
          <w:sz w:val="20"/>
          <w:szCs w:val="20"/>
          <w:lang w:val="es-ES"/>
        </w:rPr>
        <w:t>mipymes</w:t>
      </w:r>
      <w:proofErr w:type="spellEnd"/>
      <w:r w:rsidRPr="00EA62F3">
        <w:rPr>
          <w:rFonts w:ascii="Arial" w:eastAsia="Calibri" w:hAnsi="Arial" w:cs="Arial"/>
          <w:bCs/>
          <w:sz w:val="20"/>
          <w:szCs w:val="20"/>
          <w:lang w:val="es-ES"/>
        </w:rPr>
        <w:t xml:space="preserve"> en procedimientos de mínima cuantía, establece que «Las particularidades del procedimiento aquí previsto, así como la posibilidad que tengan las entidades de realizar estas adquisiciones a </w:t>
      </w:r>
      <w:proofErr w:type="spellStart"/>
      <w:r w:rsidRPr="00EA62F3">
        <w:rPr>
          <w:rFonts w:ascii="Arial" w:eastAsia="Calibri" w:hAnsi="Arial" w:cs="Arial"/>
          <w:bCs/>
          <w:sz w:val="20"/>
          <w:szCs w:val="20"/>
          <w:lang w:val="es-ES"/>
        </w:rPr>
        <w:t>Mipymes</w:t>
      </w:r>
      <w:proofErr w:type="spellEnd"/>
      <w:r w:rsidRPr="00EA62F3">
        <w:rPr>
          <w:rFonts w:ascii="Arial" w:eastAsia="Calibri" w:hAnsi="Arial" w:cs="Arial"/>
          <w:bCs/>
          <w:sz w:val="20"/>
          <w:szCs w:val="20"/>
          <w:lang w:val="es-ES"/>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55817939" w14:textId="77777777" w:rsidR="00F87C9D" w:rsidRPr="00EA62F3" w:rsidRDefault="00F87C9D" w:rsidP="00F87C9D">
      <w:pPr>
        <w:jc w:val="both"/>
        <w:rPr>
          <w:rFonts w:ascii="Arial" w:eastAsia="Calibri" w:hAnsi="Arial" w:cs="Arial"/>
          <w:bCs/>
          <w:sz w:val="20"/>
          <w:szCs w:val="20"/>
          <w:lang w:val="es-ES"/>
        </w:rPr>
      </w:pPr>
    </w:p>
    <w:p w14:paraId="4CD20C07" w14:textId="6A686D70" w:rsidR="005F0253" w:rsidRPr="00EA62F3" w:rsidRDefault="00F87C9D" w:rsidP="00F87C9D">
      <w:pPr>
        <w:jc w:val="both"/>
        <w:rPr>
          <w:rFonts w:ascii="Arial" w:eastAsia="Calibri" w:hAnsi="Arial" w:cs="Arial"/>
          <w:bCs/>
          <w:sz w:val="20"/>
          <w:szCs w:val="20"/>
          <w:lang w:val="es-ES"/>
        </w:rPr>
      </w:pPr>
      <w:r w:rsidRPr="00EA62F3">
        <w:rPr>
          <w:rFonts w:ascii="Arial" w:eastAsia="Calibri" w:hAnsi="Arial" w:cs="Arial"/>
          <w:bCs/>
          <w:sz w:val="20"/>
          <w:szCs w:val="20"/>
          <w:lang w:val="es-ES"/>
        </w:rPr>
        <w:t>Lo mismo no sucede con el artículo 35. En efecto, si bien los factores de desempate regulados en el artículo 35 deben aplicarse «[…] 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podrá reglamentar la aplicación de factores de desempate en casos en que concurran dos o más de los factores aquí previstos» (Énfasis fuera de texto).</w:t>
      </w:r>
    </w:p>
    <w:p w14:paraId="433B3EF9" w14:textId="77777777" w:rsidR="003B4936" w:rsidRPr="00EA62F3" w:rsidRDefault="003B4936" w:rsidP="00F87C9D">
      <w:pPr>
        <w:jc w:val="both"/>
        <w:rPr>
          <w:rFonts w:ascii="Arial" w:eastAsia="Calibri" w:hAnsi="Arial" w:cs="Arial"/>
          <w:bCs/>
          <w:sz w:val="20"/>
          <w:szCs w:val="20"/>
          <w:lang w:val="es-ES"/>
        </w:rPr>
      </w:pPr>
    </w:p>
    <w:p w14:paraId="57417934" w14:textId="6B308985" w:rsidR="005F0253" w:rsidRPr="00EA62F3" w:rsidRDefault="005F0253" w:rsidP="006F60FB">
      <w:pPr>
        <w:jc w:val="both"/>
        <w:rPr>
          <w:rFonts w:ascii="Arial" w:eastAsia="Calibri" w:hAnsi="Arial" w:cs="Arial"/>
          <w:b/>
          <w:sz w:val="22"/>
          <w:lang w:val="es-ES"/>
        </w:rPr>
      </w:pPr>
      <w:r w:rsidRPr="00EA62F3">
        <w:rPr>
          <w:rFonts w:ascii="Arial" w:eastAsia="Calibri" w:hAnsi="Arial" w:cs="Arial"/>
          <w:b/>
          <w:sz w:val="22"/>
          <w:lang w:val="es-ES"/>
        </w:rPr>
        <w:t xml:space="preserve">FACTORES DE DESEMPATE – Ley 2069 – Artículo 35 – </w:t>
      </w:r>
      <w:r w:rsidR="004413D1" w:rsidRPr="00EA62F3">
        <w:rPr>
          <w:rFonts w:ascii="Arial" w:eastAsia="Calibri" w:hAnsi="Arial" w:cs="Arial"/>
          <w:b/>
          <w:sz w:val="22"/>
          <w:lang w:val="es-ES"/>
        </w:rPr>
        <w:t xml:space="preserve">Parágrafo primero– </w:t>
      </w:r>
      <w:r w:rsidRPr="00EA62F3">
        <w:rPr>
          <w:rFonts w:ascii="Arial" w:eastAsia="Calibri" w:hAnsi="Arial" w:cs="Arial"/>
          <w:b/>
          <w:sz w:val="22"/>
          <w:lang w:val="es-ES"/>
        </w:rPr>
        <w:t xml:space="preserve">Aplicabilidad – Cooperativas – Asociaciones mutuales </w:t>
      </w:r>
      <w:r w:rsidR="004413D1" w:rsidRPr="00EA62F3">
        <w:rPr>
          <w:rFonts w:ascii="Arial" w:eastAsia="Calibri" w:hAnsi="Arial" w:cs="Arial"/>
          <w:b/>
          <w:sz w:val="22"/>
          <w:lang w:val="es-ES"/>
        </w:rPr>
        <w:t>– Clasificación empresarial</w:t>
      </w:r>
    </w:p>
    <w:p w14:paraId="2206ECA5" w14:textId="77777777" w:rsidR="005F0253" w:rsidRPr="00EA62F3" w:rsidRDefault="005F0253" w:rsidP="006F60FB">
      <w:pPr>
        <w:jc w:val="both"/>
        <w:rPr>
          <w:rFonts w:ascii="Arial" w:eastAsia="Calibri" w:hAnsi="Arial" w:cs="Arial"/>
          <w:bCs/>
          <w:sz w:val="20"/>
          <w:szCs w:val="20"/>
          <w:lang w:val="es-ES"/>
        </w:rPr>
      </w:pPr>
    </w:p>
    <w:p w14:paraId="7386D33F" w14:textId="3B36CF5A" w:rsidR="005F0253" w:rsidRPr="00EA62F3" w:rsidRDefault="005F0253" w:rsidP="005F0253">
      <w:pPr>
        <w:jc w:val="both"/>
        <w:rPr>
          <w:rFonts w:ascii="Arial" w:eastAsia="Calibri" w:hAnsi="Arial" w:cs="Arial"/>
          <w:bCs/>
          <w:sz w:val="20"/>
          <w:szCs w:val="20"/>
          <w:lang w:val="es-ES"/>
        </w:rPr>
      </w:pPr>
      <w:r w:rsidRPr="00EA62F3">
        <w:rPr>
          <w:rFonts w:ascii="Arial" w:eastAsia="Calibri" w:hAnsi="Arial" w:cs="Arial"/>
          <w:bCs/>
          <w:sz w:val="20"/>
          <w:szCs w:val="20"/>
          <w:lang w:val="es-ES"/>
        </w:rPr>
        <w:t xml:space="preserve">Respecto de la aplicabilidad de los numerales 8 y 9 a cooperativas y asociaciones mutuales, resulta relevante lo dispuesto en el parágrafo primero del artículo 35 de la Ley 2069 de 2020. Este introduce una limitación sobre la aplicación de los factores de desempate, al determinar que estos serán </w:t>
      </w:r>
      <w:r w:rsidRPr="00EA62F3">
        <w:rPr>
          <w:rFonts w:ascii="Arial" w:eastAsia="Calibri" w:hAnsi="Arial" w:cs="Arial"/>
          <w:bCs/>
          <w:sz w:val="20"/>
          <w:szCs w:val="20"/>
          <w:lang w:val="es-ES"/>
        </w:rPr>
        <w:lastRenderedPageBreak/>
        <w:t xml:space="preserve">aplicables respecto de las cooperativas y asociaciones mutuales que cumplan con los criterios de clasificación empresarial del Decreto 957 de 2019, priorizando las </w:t>
      </w:r>
      <w:proofErr w:type="spellStart"/>
      <w:r w:rsidRPr="00EA62F3">
        <w:rPr>
          <w:rFonts w:ascii="Arial" w:eastAsia="Calibri" w:hAnsi="Arial" w:cs="Arial"/>
          <w:bCs/>
          <w:sz w:val="20"/>
          <w:szCs w:val="20"/>
          <w:lang w:val="es-ES"/>
        </w:rPr>
        <w:t>mipymes</w:t>
      </w:r>
      <w:proofErr w:type="spellEnd"/>
      <w:r w:rsidRPr="00EA62F3">
        <w:rPr>
          <w:rFonts w:ascii="Arial" w:eastAsia="Calibri" w:hAnsi="Arial" w:cs="Arial"/>
          <w:bCs/>
          <w:sz w:val="20"/>
          <w:szCs w:val="20"/>
          <w:lang w:val="es-ES"/>
        </w:rPr>
        <w:t xml:space="preserve">. </w:t>
      </w:r>
    </w:p>
    <w:p w14:paraId="40BD8377" w14:textId="77777777" w:rsidR="004413D1" w:rsidRPr="00EA62F3" w:rsidRDefault="004413D1" w:rsidP="005F0253">
      <w:pPr>
        <w:jc w:val="both"/>
        <w:rPr>
          <w:rFonts w:ascii="Arial" w:eastAsia="Calibri" w:hAnsi="Arial" w:cs="Arial"/>
          <w:bCs/>
          <w:sz w:val="20"/>
          <w:szCs w:val="20"/>
          <w:lang w:val="es-ES"/>
        </w:rPr>
      </w:pPr>
    </w:p>
    <w:p w14:paraId="234A1AC3" w14:textId="16631E63" w:rsidR="005F0253" w:rsidRPr="00EA62F3" w:rsidRDefault="005F0253" w:rsidP="005F0253">
      <w:pPr>
        <w:jc w:val="both"/>
        <w:rPr>
          <w:rFonts w:ascii="Arial" w:eastAsia="Calibri" w:hAnsi="Arial" w:cs="Arial"/>
          <w:bCs/>
          <w:sz w:val="20"/>
          <w:szCs w:val="20"/>
          <w:lang w:val="es-ES"/>
        </w:rPr>
      </w:pPr>
      <w:r w:rsidRPr="00EA62F3">
        <w:rPr>
          <w:rFonts w:ascii="Arial" w:eastAsia="Calibri" w:hAnsi="Arial" w:cs="Arial"/>
          <w:bCs/>
          <w:sz w:val="20"/>
          <w:szCs w:val="20"/>
          <w:lang w:val="es-ES"/>
        </w:rPr>
        <w:t xml:space="preserve">Sin embargo, esto no puede entenderse como una limitación general del ámbito de aplicación de todos los factores de desempate, el cual se encuentra delimitado por el inciso primero del artículo </w:t>
      </w:r>
      <w:proofErr w:type="spellStart"/>
      <w:r w:rsidRPr="00EA62F3">
        <w:rPr>
          <w:rFonts w:ascii="Arial" w:eastAsia="Calibri" w:hAnsi="Arial" w:cs="Arial"/>
          <w:bCs/>
          <w:sz w:val="20"/>
          <w:szCs w:val="20"/>
          <w:lang w:val="es-ES"/>
        </w:rPr>
        <w:t>sub-examine</w:t>
      </w:r>
      <w:proofErr w:type="spellEnd"/>
      <w:r w:rsidRPr="00EA62F3">
        <w:rPr>
          <w:rFonts w:ascii="Arial" w:eastAsia="Calibri" w:hAnsi="Arial" w:cs="Arial"/>
          <w:bCs/>
          <w:sz w:val="20"/>
          <w:szCs w:val="20"/>
          <w:lang w:val="es-ES"/>
        </w:rPr>
        <w:t>. En ese entendido, lo que establece este parágrafo es que para que las cooperativas y asociaciones mutuales puedan beneficiarse de los factores de desempate de los numerales 8, 9 y 10 del artículo 35 de la Ley 2069 de 2020, deben cumplir con los criterios de clasificación empresarial previstos en el reglamento. Para estos efectos, el artículo 2.2.1.13.2.1 del Decreto 957 de 2019 dispone que «Para […] la clasificación del tamaño empresarial se tendrá como criterio exclusivo los ingresos por actividades ordinarias anuales de la respectiva empresa», definiendo en el artículo 2.2.1.13.2.2 los rangos de ingresos, sectores económicos y categorías conforme a las que se realiza la clasificación de las empresas y en el artículo 2.2.1.13.2.4 la forma en la que se debe acreditar los ingresos que determinan el tamaño empresarial.</w:t>
      </w:r>
    </w:p>
    <w:p w14:paraId="5514DF5B" w14:textId="77777777" w:rsidR="00DB5F1F" w:rsidRPr="00EA62F3" w:rsidRDefault="00DB5F1F" w:rsidP="006F39EF">
      <w:pPr>
        <w:jc w:val="both"/>
        <w:rPr>
          <w:rFonts w:ascii="Arial" w:eastAsia="Calibri" w:hAnsi="Arial" w:cs="Arial"/>
          <w:b/>
          <w:sz w:val="22"/>
          <w:lang w:val="es-ES"/>
        </w:rPr>
      </w:pPr>
    </w:p>
    <w:p w14:paraId="68572D0C" w14:textId="43B7707D" w:rsidR="00A55BF1" w:rsidRPr="00EA62F3" w:rsidRDefault="00841B95" w:rsidP="006F39EF">
      <w:pPr>
        <w:jc w:val="both"/>
        <w:rPr>
          <w:rFonts w:ascii="Arial" w:eastAsia="Calibri" w:hAnsi="Arial" w:cs="Arial"/>
          <w:b/>
          <w:sz w:val="22"/>
          <w:lang w:val="es-ES"/>
        </w:rPr>
      </w:pPr>
      <w:r w:rsidRPr="00EA62F3">
        <w:rPr>
          <w:rFonts w:ascii="Arial" w:eastAsia="Calibri" w:hAnsi="Arial" w:cs="Arial"/>
          <w:b/>
          <w:sz w:val="22"/>
          <w:lang w:val="es-ES"/>
        </w:rPr>
        <w:t xml:space="preserve">FACTORES DE DESEMPATE – Ley 2069 – Artículo 35 – </w:t>
      </w:r>
      <w:r w:rsidR="005F0253" w:rsidRPr="00EA62F3">
        <w:rPr>
          <w:rFonts w:ascii="Arial" w:eastAsia="Calibri" w:hAnsi="Arial" w:cs="Arial"/>
          <w:b/>
          <w:sz w:val="22"/>
          <w:lang w:val="es-ES"/>
        </w:rPr>
        <w:t xml:space="preserve">Aplicación sucesiva y excluyente – </w:t>
      </w:r>
      <w:r w:rsidRPr="00EA62F3">
        <w:rPr>
          <w:rFonts w:ascii="Arial" w:eastAsia="Calibri" w:hAnsi="Arial" w:cs="Arial"/>
          <w:b/>
          <w:sz w:val="22"/>
          <w:lang w:val="es-ES"/>
        </w:rPr>
        <w:t xml:space="preserve">Numeral 9 – </w:t>
      </w:r>
      <w:r w:rsidR="005F0253" w:rsidRPr="00EA62F3">
        <w:rPr>
          <w:rFonts w:ascii="Arial" w:eastAsia="Calibri" w:hAnsi="Arial" w:cs="Arial"/>
          <w:b/>
          <w:sz w:val="22"/>
          <w:lang w:val="es-ES"/>
        </w:rPr>
        <w:t>Proponentes plurales – Micro y/o pequeñas empresas – Exclusión empresas medianas</w:t>
      </w:r>
    </w:p>
    <w:p w14:paraId="659E8DB0" w14:textId="77777777" w:rsidR="00841B95" w:rsidRPr="00EA62F3" w:rsidRDefault="00841B95" w:rsidP="006F39EF">
      <w:pPr>
        <w:jc w:val="both"/>
        <w:rPr>
          <w:rFonts w:ascii="Arial" w:eastAsia="Calibri" w:hAnsi="Arial" w:cs="Arial"/>
          <w:bCs/>
          <w:sz w:val="20"/>
          <w:szCs w:val="20"/>
          <w:lang w:val="es-ES"/>
        </w:rPr>
      </w:pPr>
    </w:p>
    <w:p w14:paraId="6A1C8416" w14:textId="1D407022" w:rsidR="00841B95" w:rsidRPr="00EA62F3" w:rsidRDefault="00841B95" w:rsidP="00841B95">
      <w:pPr>
        <w:spacing w:after="120"/>
        <w:jc w:val="both"/>
        <w:rPr>
          <w:rFonts w:ascii="Arial" w:eastAsia="Calibri" w:hAnsi="Arial" w:cs="Arial"/>
          <w:sz w:val="20"/>
          <w:szCs w:val="20"/>
          <w:lang w:val="es-ES"/>
        </w:rPr>
      </w:pPr>
      <w:r w:rsidRPr="00EA62F3">
        <w:rPr>
          <w:rFonts w:ascii="Arial" w:eastAsia="Calibri" w:hAnsi="Arial" w:cs="Arial"/>
          <w:sz w:val="20"/>
          <w:szCs w:val="20"/>
          <w:lang w:val="es-ES"/>
        </w:rPr>
        <w:t xml:space="preserve">Según indica el inciso primero del artículo 35, la aplicación de los factores de desempate debe hacerse de manera sucesiva y excluyente, de tal manera que, si se presenta una situación de empate, la entidad debe comenzar por intentar resolver el empate a través del factor del numeral 1 y de no </w:t>
      </w:r>
      <w:proofErr w:type="spellStart"/>
      <w:r w:rsidRPr="00EA62F3">
        <w:rPr>
          <w:rFonts w:ascii="Arial" w:eastAsia="Calibri" w:hAnsi="Arial" w:cs="Arial"/>
          <w:sz w:val="20"/>
          <w:szCs w:val="20"/>
          <w:lang w:val="es-ES"/>
        </w:rPr>
        <w:t>se</w:t>
      </w:r>
      <w:proofErr w:type="spellEnd"/>
      <w:r w:rsidRPr="00EA62F3">
        <w:rPr>
          <w:rFonts w:ascii="Arial" w:eastAsia="Calibri" w:hAnsi="Arial" w:cs="Arial"/>
          <w:sz w:val="20"/>
          <w:szCs w:val="20"/>
          <w:lang w:val="es-ES"/>
        </w:rPr>
        <w:t xml:space="preserve"> posible seguir con el siguiente, y así sucesivamente hasta aplicar uno que logré resolver el empate. En virtud de lo anterior, cuando se presenten empates que no puedan ser resueltos aplicando lo dispuestos entre los numerales 1 y 8 del artículo 35, la entidad deberá </w:t>
      </w:r>
      <w:proofErr w:type="gramStart"/>
      <w:r w:rsidRPr="00EA62F3">
        <w:rPr>
          <w:rFonts w:ascii="Arial" w:eastAsia="Calibri" w:hAnsi="Arial" w:cs="Arial"/>
          <w:sz w:val="20"/>
          <w:szCs w:val="20"/>
          <w:lang w:val="es-ES"/>
        </w:rPr>
        <w:t>proceder a aplicar</w:t>
      </w:r>
      <w:proofErr w:type="gramEnd"/>
      <w:r w:rsidRPr="00EA62F3">
        <w:rPr>
          <w:rFonts w:ascii="Arial" w:eastAsia="Calibri" w:hAnsi="Arial" w:cs="Arial"/>
          <w:sz w:val="20"/>
          <w:szCs w:val="20"/>
          <w:lang w:val="es-ES"/>
        </w:rPr>
        <w:t xml:space="preserve"> en el numeral 9.</w:t>
      </w:r>
    </w:p>
    <w:p w14:paraId="7A56BAEF" w14:textId="52EBB5C4" w:rsidR="00A55BF1" w:rsidRPr="00EA62F3" w:rsidRDefault="00841B95" w:rsidP="00841B95">
      <w:pPr>
        <w:spacing w:after="120"/>
        <w:jc w:val="both"/>
        <w:rPr>
          <w:rFonts w:ascii="Arial" w:eastAsia="Calibri" w:hAnsi="Arial" w:cs="Arial"/>
          <w:bCs/>
          <w:sz w:val="20"/>
          <w:szCs w:val="20"/>
          <w:lang w:val="es-ES"/>
        </w:rPr>
      </w:pPr>
      <w:r w:rsidRPr="00EA62F3">
        <w:rPr>
          <w:rFonts w:ascii="Arial" w:eastAsia="Calibri" w:hAnsi="Arial" w:cs="Arial"/>
          <w:sz w:val="20"/>
          <w:szCs w:val="20"/>
          <w:lang w:val="es-ES"/>
        </w:rPr>
        <w:t xml:space="preserve">El referido numeral 9, establece el deber de preferir la oferta presentada por el proponente plural conformado por micro y/o pequeñas empresas, cooperativas o asociaciones mutuales. Este factor, a diferencia del establecido en el numeral 8, excluye a los proponentes singulares correspondientes a </w:t>
      </w:r>
      <w:proofErr w:type="spellStart"/>
      <w:r w:rsidRPr="00EA62F3">
        <w:rPr>
          <w:rFonts w:ascii="Arial" w:eastAsia="Calibri" w:hAnsi="Arial" w:cs="Arial"/>
          <w:sz w:val="20"/>
          <w:szCs w:val="20"/>
          <w:lang w:val="es-ES"/>
        </w:rPr>
        <w:t>mipymes</w:t>
      </w:r>
      <w:proofErr w:type="spellEnd"/>
      <w:r w:rsidRPr="00EA62F3">
        <w:rPr>
          <w:rFonts w:ascii="Arial" w:eastAsia="Calibri" w:hAnsi="Arial" w:cs="Arial"/>
          <w:sz w:val="20"/>
          <w:szCs w:val="20"/>
          <w:lang w:val="es-ES"/>
        </w:rPr>
        <w:t>, cooperativas y asociaciones mutuales, así como a los proponentes plurales conformados por empresas medianas. Conforme a esto, este factor es aplicable para resolver situaciones de empate, en los que un extremo esté conformado por un consorcio o unión temporal integrado por micro y/o pequeñas empresas, así como cooperativas y/o asociaciones mutuales, y en el otro extremo se ubique un proponente plural conformado, por ejemplo, por empresas grandes o medianas, debiendo resolverse el empate en favor del primero.</w:t>
      </w:r>
    </w:p>
    <w:p w14:paraId="12A234ED" w14:textId="2817D060" w:rsidR="00BE1E33" w:rsidRPr="00EA62F3" w:rsidRDefault="00BE1E33" w:rsidP="00BE1E33">
      <w:pPr>
        <w:rPr>
          <w:rFonts w:ascii="Arial" w:eastAsia="Calibri" w:hAnsi="Arial" w:cs="Arial"/>
          <w:sz w:val="22"/>
        </w:rPr>
      </w:pPr>
    </w:p>
    <w:p w14:paraId="34A1CBAB" w14:textId="3E0F1BF7" w:rsidR="00DF306D" w:rsidRPr="00EA62F3" w:rsidRDefault="00DF306D" w:rsidP="00BE1E33">
      <w:pPr>
        <w:rPr>
          <w:rFonts w:ascii="Arial" w:eastAsia="Calibri" w:hAnsi="Arial" w:cs="Arial"/>
          <w:sz w:val="22"/>
        </w:rPr>
      </w:pPr>
    </w:p>
    <w:p w14:paraId="64B09916" w14:textId="77777777" w:rsidR="00DF306D" w:rsidRPr="00EA62F3" w:rsidRDefault="00DF306D" w:rsidP="00BE1E33">
      <w:pPr>
        <w:rPr>
          <w:rFonts w:ascii="Arial" w:eastAsia="Calibri" w:hAnsi="Arial" w:cs="Arial"/>
          <w:sz w:val="22"/>
        </w:rPr>
      </w:pPr>
    </w:p>
    <w:p w14:paraId="0A304961" w14:textId="1DDAB122" w:rsidR="005B4ED0" w:rsidRPr="00EA62F3" w:rsidRDefault="005B4ED0" w:rsidP="00BE1E33">
      <w:pPr>
        <w:rPr>
          <w:rFonts w:ascii="Arial" w:eastAsia="Calibri" w:hAnsi="Arial" w:cs="Arial"/>
          <w:sz w:val="22"/>
        </w:rPr>
      </w:pPr>
    </w:p>
    <w:p w14:paraId="69CA33E0" w14:textId="0D350001" w:rsidR="004413D1" w:rsidRPr="00EA62F3" w:rsidRDefault="004413D1" w:rsidP="00BE1E33">
      <w:pPr>
        <w:rPr>
          <w:rFonts w:ascii="Arial" w:eastAsia="Calibri" w:hAnsi="Arial" w:cs="Arial"/>
          <w:sz w:val="22"/>
        </w:rPr>
      </w:pPr>
    </w:p>
    <w:p w14:paraId="454DE1DB" w14:textId="57DE70F0" w:rsidR="004413D1" w:rsidRPr="00EA62F3" w:rsidRDefault="004413D1" w:rsidP="00BE1E33">
      <w:pPr>
        <w:rPr>
          <w:rFonts w:ascii="Arial" w:eastAsia="Calibri" w:hAnsi="Arial" w:cs="Arial"/>
          <w:sz w:val="22"/>
        </w:rPr>
      </w:pPr>
    </w:p>
    <w:p w14:paraId="0B9F93FD" w14:textId="03FCFA80" w:rsidR="004413D1" w:rsidRPr="00EA62F3" w:rsidRDefault="004413D1" w:rsidP="00BE1E33">
      <w:pPr>
        <w:rPr>
          <w:rFonts w:ascii="Arial" w:eastAsia="Calibri" w:hAnsi="Arial" w:cs="Arial"/>
          <w:sz w:val="22"/>
        </w:rPr>
      </w:pPr>
    </w:p>
    <w:p w14:paraId="1B22ACB6" w14:textId="1C487C0A" w:rsidR="004413D1" w:rsidRPr="00EA62F3" w:rsidRDefault="004413D1" w:rsidP="00BE1E33">
      <w:pPr>
        <w:rPr>
          <w:rFonts w:ascii="Arial" w:eastAsia="Calibri" w:hAnsi="Arial" w:cs="Arial"/>
          <w:sz w:val="22"/>
        </w:rPr>
      </w:pPr>
    </w:p>
    <w:p w14:paraId="23CB4EC5" w14:textId="4999ABD0" w:rsidR="004413D1" w:rsidRPr="00EA62F3" w:rsidRDefault="004413D1" w:rsidP="00BE1E33">
      <w:pPr>
        <w:rPr>
          <w:rFonts w:ascii="Arial" w:eastAsia="Calibri" w:hAnsi="Arial" w:cs="Arial"/>
          <w:sz w:val="22"/>
        </w:rPr>
      </w:pPr>
    </w:p>
    <w:p w14:paraId="27613902" w14:textId="57D4D186" w:rsidR="004413D1" w:rsidRPr="00EA62F3" w:rsidRDefault="004413D1" w:rsidP="00BE1E33">
      <w:pPr>
        <w:rPr>
          <w:rFonts w:ascii="Arial" w:eastAsia="Calibri" w:hAnsi="Arial" w:cs="Arial"/>
          <w:sz w:val="22"/>
        </w:rPr>
      </w:pPr>
    </w:p>
    <w:p w14:paraId="1A76ECAE" w14:textId="5F62915F" w:rsidR="004413D1" w:rsidRPr="00EA62F3" w:rsidRDefault="004413D1" w:rsidP="00BE1E33">
      <w:pPr>
        <w:rPr>
          <w:rFonts w:ascii="Arial" w:eastAsia="Calibri" w:hAnsi="Arial" w:cs="Arial"/>
          <w:sz w:val="22"/>
        </w:rPr>
      </w:pPr>
    </w:p>
    <w:p w14:paraId="636FD242" w14:textId="53E22BA1" w:rsidR="004413D1" w:rsidRPr="00EA62F3" w:rsidRDefault="004413D1" w:rsidP="00BE1E33">
      <w:pPr>
        <w:rPr>
          <w:rFonts w:ascii="Arial" w:eastAsia="Calibri" w:hAnsi="Arial" w:cs="Arial"/>
          <w:sz w:val="22"/>
        </w:rPr>
      </w:pPr>
    </w:p>
    <w:p w14:paraId="26B0B0C8" w14:textId="637AB4B5" w:rsidR="004413D1" w:rsidRPr="00EA62F3" w:rsidRDefault="004413D1" w:rsidP="00BE1E33">
      <w:pPr>
        <w:rPr>
          <w:rFonts w:ascii="Arial" w:eastAsia="Calibri" w:hAnsi="Arial" w:cs="Arial"/>
          <w:sz w:val="22"/>
        </w:rPr>
      </w:pPr>
    </w:p>
    <w:p w14:paraId="75736B9A" w14:textId="67F3E9B4" w:rsidR="004413D1" w:rsidRPr="00EA62F3" w:rsidRDefault="004413D1" w:rsidP="00BE1E33">
      <w:pPr>
        <w:rPr>
          <w:rFonts w:ascii="Arial" w:eastAsia="Calibri" w:hAnsi="Arial" w:cs="Arial"/>
          <w:sz w:val="22"/>
        </w:rPr>
      </w:pPr>
    </w:p>
    <w:p w14:paraId="0EE6C04A" w14:textId="3047EB44" w:rsidR="004413D1" w:rsidRDefault="004413D1" w:rsidP="00BE1E33">
      <w:pPr>
        <w:rPr>
          <w:rFonts w:ascii="Arial" w:eastAsia="Calibri" w:hAnsi="Arial" w:cs="Arial"/>
          <w:sz w:val="22"/>
        </w:rPr>
      </w:pPr>
    </w:p>
    <w:p w14:paraId="52196545" w14:textId="1040FDDC" w:rsidR="00EA62F3" w:rsidRDefault="00DD0FDE" w:rsidP="00EA62F3">
      <w:pPr>
        <w:jc w:val="right"/>
        <w:rPr>
          <w:rFonts w:ascii="Arial" w:eastAsia="Calibri" w:hAnsi="Arial" w:cs="Arial"/>
          <w:sz w:val="22"/>
        </w:rPr>
      </w:pPr>
      <w:r w:rsidRPr="00DD0FDE">
        <w:rPr>
          <w:rFonts w:ascii="Arial" w:eastAsia="Calibri" w:hAnsi="Arial" w:cs="Arial"/>
          <w:b/>
          <w:bCs/>
          <w:sz w:val="22"/>
        </w:rPr>
        <w:drawing>
          <wp:inline distT="0" distB="0" distL="0" distR="0" wp14:anchorId="2857AB67" wp14:editId="558E6241">
            <wp:extent cx="3257550" cy="861098"/>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273485" cy="865310"/>
                    </a:xfrm>
                    <a:prstGeom prst="rect">
                      <a:avLst/>
                    </a:prstGeom>
                  </pic:spPr>
                </pic:pic>
              </a:graphicData>
            </a:graphic>
          </wp:inline>
        </w:drawing>
      </w:r>
    </w:p>
    <w:p w14:paraId="69237EC5" w14:textId="11C33285" w:rsidR="00EA62F3" w:rsidRDefault="00EA62F3" w:rsidP="00EA62F3">
      <w:pPr>
        <w:jc w:val="right"/>
        <w:rPr>
          <w:rFonts w:ascii="Arial" w:eastAsia="Calibri" w:hAnsi="Arial" w:cs="Arial"/>
          <w:sz w:val="22"/>
        </w:rPr>
      </w:pPr>
    </w:p>
    <w:p w14:paraId="0875E1D3" w14:textId="3A1B3795" w:rsidR="00EA62F3" w:rsidRDefault="00EA62F3" w:rsidP="00EA62F3">
      <w:pPr>
        <w:rPr>
          <w:rFonts w:ascii="Arial" w:eastAsia="Calibri" w:hAnsi="Arial" w:cs="Arial"/>
          <w:sz w:val="22"/>
        </w:rPr>
      </w:pPr>
      <w:r w:rsidRPr="00EA62F3">
        <w:rPr>
          <w:rFonts w:ascii="Arial" w:eastAsia="Calibri" w:hAnsi="Arial" w:cs="Arial"/>
          <w:sz w:val="22"/>
        </w:rPr>
        <w:t xml:space="preserve">Bogotá, 13 </w:t>
      </w:r>
      <w:proofErr w:type="gramStart"/>
      <w:r w:rsidRPr="00EA62F3">
        <w:rPr>
          <w:rFonts w:ascii="Arial" w:eastAsia="Calibri" w:hAnsi="Arial" w:cs="Arial"/>
          <w:sz w:val="22"/>
        </w:rPr>
        <w:t>Abril</w:t>
      </w:r>
      <w:proofErr w:type="gramEnd"/>
      <w:r w:rsidRPr="00EA62F3">
        <w:rPr>
          <w:rFonts w:ascii="Arial" w:eastAsia="Calibri" w:hAnsi="Arial" w:cs="Arial"/>
          <w:sz w:val="22"/>
        </w:rPr>
        <w:t xml:space="preserve"> 2021</w:t>
      </w:r>
    </w:p>
    <w:p w14:paraId="76BB763D" w14:textId="4D345676" w:rsidR="00EA62F3" w:rsidRDefault="00EA62F3" w:rsidP="00BE1E33">
      <w:pPr>
        <w:rPr>
          <w:rFonts w:ascii="Arial" w:eastAsia="Calibri" w:hAnsi="Arial" w:cs="Arial"/>
          <w:sz w:val="22"/>
        </w:rPr>
      </w:pPr>
    </w:p>
    <w:p w14:paraId="6BE5CBA6" w14:textId="77777777" w:rsidR="00EA62F3" w:rsidRDefault="00EA62F3" w:rsidP="00BE1E33">
      <w:pPr>
        <w:rPr>
          <w:rFonts w:ascii="Arial" w:eastAsia="Calibri" w:hAnsi="Arial" w:cs="Arial"/>
          <w:sz w:val="22"/>
        </w:rPr>
      </w:pPr>
    </w:p>
    <w:p w14:paraId="659A7238" w14:textId="77777777" w:rsidR="00EA62F3" w:rsidRPr="00EA62F3" w:rsidRDefault="00EA62F3" w:rsidP="00BE1E33">
      <w:pPr>
        <w:rPr>
          <w:rFonts w:ascii="Arial" w:eastAsia="Calibri" w:hAnsi="Arial" w:cs="Arial"/>
          <w:sz w:val="22"/>
        </w:rPr>
      </w:pPr>
    </w:p>
    <w:p w14:paraId="73D51859" w14:textId="10A732B5" w:rsidR="00BE1E33" w:rsidRPr="00EA62F3" w:rsidRDefault="00E6266E" w:rsidP="00BE1E33">
      <w:pPr>
        <w:rPr>
          <w:rFonts w:ascii="Arial" w:eastAsia="Calibri" w:hAnsi="Arial" w:cs="Arial"/>
          <w:sz w:val="22"/>
        </w:rPr>
      </w:pPr>
      <w:r w:rsidRPr="00EA62F3">
        <w:rPr>
          <w:rFonts w:ascii="Arial" w:eastAsia="Calibri" w:hAnsi="Arial" w:cs="Arial"/>
          <w:sz w:val="22"/>
        </w:rPr>
        <w:t>Señor</w:t>
      </w:r>
    </w:p>
    <w:p w14:paraId="0277B05F" w14:textId="0604EA86" w:rsidR="000D16F0" w:rsidRPr="00EA62F3" w:rsidRDefault="000D16F0" w:rsidP="00BE1E33">
      <w:pPr>
        <w:rPr>
          <w:rFonts w:ascii="Arial" w:eastAsia="Calibri" w:hAnsi="Arial" w:cs="Arial"/>
          <w:b/>
          <w:sz w:val="22"/>
        </w:rPr>
      </w:pPr>
      <w:r w:rsidRPr="00EA62F3">
        <w:rPr>
          <w:rFonts w:ascii="Arial" w:eastAsia="Calibri" w:hAnsi="Arial" w:cs="Arial"/>
          <w:b/>
          <w:sz w:val="22"/>
        </w:rPr>
        <w:t xml:space="preserve">Raúl Orlando Delgado </w:t>
      </w:r>
      <w:proofErr w:type="spellStart"/>
      <w:r w:rsidRPr="00EA62F3">
        <w:rPr>
          <w:rFonts w:ascii="Arial" w:eastAsia="Calibri" w:hAnsi="Arial" w:cs="Arial"/>
          <w:b/>
          <w:sz w:val="22"/>
        </w:rPr>
        <w:t>Cabiativa</w:t>
      </w:r>
      <w:proofErr w:type="spellEnd"/>
    </w:p>
    <w:p w14:paraId="04EF8353" w14:textId="50087169" w:rsidR="00BE1E33" w:rsidRPr="00EA62F3" w:rsidRDefault="000D16F0" w:rsidP="00BE1E33">
      <w:pPr>
        <w:rPr>
          <w:rFonts w:ascii="Arial" w:eastAsia="Calibri" w:hAnsi="Arial" w:cs="Arial"/>
          <w:sz w:val="22"/>
        </w:rPr>
      </w:pPr>
      <w:r w:rsidRPr="00EA62F3">
        <w:rPr>
          <w:rFonts w:ascii="Arial" w:eastAsia="Calibri" w:hAnsi="Arial" w:cs="Arial"/>
          <w:sz w:val="22"/>
        </w:rPr>
        <w:t>Bogotá D.C.</w:t>
      </w:r>
      <w:r w:rsidR="00AA48F7" w:rsidRPr="00EA62F3">
        <w:rPr>
          <w:rFonts w:ascii="Arial" w:eastAsia="Calibri" w:hAnsi="Arial" w:cs="Arial"/>
          <w:sz w:val="22"/>
        </w:rPr>
        <w:t xml:space="preserve"> </w:t>
      </w:r>
    </w:p>
    <w:p w14:paraId="738DBA53" w14:textId="541DE0AD" w:rsidR="00BE1E33" w:rsidRPr="00EA62F3" w:rsidRDefault="00BE1E33" w:rsidP="00BE1E33">
      <w:pPr>
        <w:rPr>
          <w:rFonts w:ascii="Arial" w:eastAsia="Calibri" w:hAnsi="Arial" w:cs="Arial"/>
          <w:sz w:val="22"/>
        </w:rPr>
      </w:pPr>
    </w:p>
    <w:p w14:paraId="42E02C9F" w14:textId="77777777" w:rsidR="005B4ED0" w:rsidRPr="00EA62F3" w:rsidRDefault="005B4ED0" w:rsidP="00BE1E33">
      <w:pPr>
        <w:rPr>
          <w:rFonts w:ascii="Arial" w:eastAsia="Calibri" w:hAnsi="Arial" w:cs="Arial"/>
          <w:sz w:val="22"/>
        </w:rPr>
      </w:pPr>
    </w:p>
    <w:p w14:paraId="5CEA4ADF" w14:textId="7901162C" w:rsidR="00BE1E33" w:rsidRPr="00EA62F3" w:rsidRDefault="00BE1E33" w:rsidP="00BE1E33">
      <w:pPr>
        <w:ind w:firstLine="2694"/>
        <w:rPr>
          <w:rFonts w:ascii="Arial" w:eastAsia="Calibri" w:hAnsi="Arial" w:cs="Arial"/>
          <w:b/>
          <w:sz w:val="22"/>
        </w:rPr>
      </w:pPr>
      <w:r w:rsidRPr="00EA62F3">
        <w:rPr>
          <w:rFonts w:ascii="Arial" w:eastAsia="Calibri" w:hAnsi="Arial" w:cs="Arial"/>
          <w:b/>
          <w:sz w:val="22"/>
        </w:rPr>
        <w:t xml:space="preserve">Concepto C </w:t>
      </w:r>
      <w:r w:rsidR="00490DBF" w:rsidRPr="00EA62F3">
        <w:rPr>
          <w:rFonts w:ascii="Arial" w:eastAsia="Calibri" w:hAnsi="Arial" w:cs="Arial"/>
          <w:b/>
          <w:sz w:val="22"/>
        </w:rPr>
        <w:t>–</w:t>
      </w:r>
      <w:r w:rsidRPr="00EA62F3">
        <w:rPr>
          <w:rFonts w:ascii="Arial" w:eastAsia="Calibri" w:hAnsi="Arial" w:cs="Arial"/>
          <w:b/>
          <w:sz w:val="22"/>
        </w:rPr>
        <w:t xml:space="preserve"> </w:t>
      </w:r>
      <w:r w:rsidR="00AA48F7" w:rsidRPr="00EA62F3">
        <w:rPr>
          <w:rFonts w:ascii="Arial" w:eastAsia="Calibri" w:hAnsi="Arial" w:cs="Arial"/>
          <w:b/>
          <w:sz w:val="22"/>
        </w:rPr>
        <w:t>16</w:t>
      </w:r>
      <w:r w:rsidR="002E73CF" w:rsidRPr="00EA62F3">
        <w:rPr>
          <w:rFonts w:ascii="Arial" w:eastAsia="Calibri" w:hAnsi="Arial" w:cs="Arial"/>
          <w:b/>
          <w:sz w:val="22"/>
        </w:rPr>
        <w:t>5</w:t>
      </w:r>
      <w:r w:rsidR="000100E8" w:rsidRPr="00EA62F3">
        <w:rPr>
          <w:rFonts w:ascii="Arial" w:eastAsia="Calibri" w:hAnsi="Arial" w:cs="Arial"/>
          <w:b/>
          <w:sz w:val="22"/>
        </w:rPr>
        <w:t xml:space="preserve"> </w:t>
      </w:r>
      <w:r w:rsidRPr="00EA62F3">
        <w:rPr>
          <w:rFonts w:ascii="Arial" w:eastAsia="Calibri" w:hAnsi="Arial" w:cs="Arial"/>
          <w:b/>
          <w:sz w:val="22"/>
        </w:rPr>
        <w:t>de 202</w:t>
      </w:r>
      <w:r w:rsidR="00C95532" w:rsidRPr="00EA62F3">
        <w:rPr>
          <w:rFonts w:ascii="Arial" w:eastAsia="Calibri" w:hAnsi="Arial" w:cs="Arial"/>
          <w:b/>
          <w:sz w:val="22"/>
        </w:rPr>
        <w:t>1</w:t>
      </w:r>
    </w:p>
    <w:p w14:paraId="75D5EC46" w14:textId="77777777" w:rsidR="003B4936" w:rsidRPr="00EA62F3" w:rsidRDefault="003B4936" w:rsidP="00BE1E3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3404E" w:rsidRPr="00EA62F3" w14:paraId="2553E4F3" w14:textId="77777777" w:rsidTr="00AC43E7">
        <w:tc>
          <w:tcPr>
            <w:tcW w:w="2689" w:type="dxa"/>
            <w:hideMark/>
          </w:tcPr>
          <w:p w14:paraId="7BC9E971" w14:textId="77777777" w:rsidR="00BE1E33" w:rsidRPr="00EA62F3" w:rsidRDefault="00BE1E33" w:rsidP="00AC43E7">
            <w:pPr>
              <w:rPr>
                <w:rFonts w:ascii="Arial" w:eastAsia="Calibri" w:hAnsi="Arial" w:cs="Arial"/>
                <w:sz w:val="22"/>
              </w:rPr>
            </w:pPr>
            <w:r w:rsidRPr="00EA62F3">
              <w:rPr>
                <w:rFonts w:ascii="Arial" w:eastAsia="Calibri" w:hAnsi="Arial" w:cs="Arial"/>
                <w:b/>
                <w:sz w:val="22"/>
              </w:rPr>
              <w:t>Temas:</w:t>
            </w:r>
            <w:r w:rsidRPr="00EA62F3">
              <w:rPr>
                <w:rFonts w:ascii="Arial" w:eastAsia="Calibri" w:hAnsi="Arial" w:cs="Arial"/>
                <w:sz w:val="22"/>
              </w:rPr>
              <w:t xml:space="preserve">           </w:t>
            </w:r>
          </w:p>
          <w:p w14:paraId="0C0D8CD7" w14:textId="77777777" w:rsidR="00BE1E33" w:rsidRPr="00EA62F3" w:rsidRDefault="00BE1E33" w:rsidP="00AC43E7">
            <w:pPr>
              <w:rPr>
                <w:rFonts w:ascii="Arial" w:eastAsia="Calibri" w:hAnsi="Arial" w:cs="Arial"/>
                <w:sz w:val="22"/>
              </w:rPr>
            </w:pPr>
            <w:r w:rsidRPr="00EA62F3">
              <w:rPr>
                <w:rFonts w:ascii="Arial" w:eastAsia="Calibri" w:hAnsi="Arial" w:cs="Arial"/>
                <w:sz w:val="22"/>
              </w:rPr>
              <w:t xml:space="preserve">                           </w:t>
            </w:r>
          </w:p>
        </w:tc>
        <w:tc>
          <w:tcPr>
            <w:tcW w:w="6237" w:type="dxa"/>
            <w:hideMark/>
          </w:tcPr>
          <w:p w14:paraId="0F35FDBD" w14:textId="05B551FC" w:rsidR="00BE1E33" w:rsidRPr="00EA62F3" w:rsidRDefault="007E4262">
            <w:pPr>
              <w:jc w:val="both"/>
              <w:rPr>
                <w:rFonts w:ascii="Arial" w:eastAsia="Calibri" w:hAnsi="Arial" w:cs="Arial"/>
                <w:sz w:val="22"/>
              </w:rPr>
            </w:pPr>
            <w:r w:rsidRPr="00EA62F3">
              <w:rPr>
                <w:rFonts w:ascii="Arial" w:eastAsia="Calibri" w:hAnsi="Arial" w:cs="Arial"/>
                <w:sz w:val="22"/>
              </w:rPr>
              <w:t xml:space="preserve">SELECCIÓN OBJETIVA – Contratación estatal – Concepto / EMPATE – Procedimiento de selección – Concepto / FACTORES DE DESEMPATE – Características – Límites / LEY DE EMPRENDIMIENTO – Ley 2069 – Finalidad – Contenido / FACTORES DE DESEMPATE – Ley 2069 – Artículo 35 – </w:t>
            </w:r>
            <w:r w:rsidR="003B4936" w:rsidRPr="00EA62F3">
              <w:rPr>
                <w:rFonts w:ascii="Arial" w:eastAsia="Calibri" w:hAnsi="Arial" w:cs="Arial"/>
                <w:sz w:val="22"/>
              </w:rPr>
              <w:t xml:space="preserve">Vigencia </w:t>
            </w:r>
            <w:r w:rsidRPr="00EA62F3">
              <w:rPr>
                <w:rFonts w:ascii="Arial" w:eastAsia="Calibri" w:hAnsi="Arial" w:cs="Arial"/>
                <w:sz w:val="22"/>
              </w:rPr>
              <w:t xml:space="preserve">– Aplicación directa / </w:t>
            </w:r>
            <w:r w:rsidR="00F87C9D" w:rsidRPr="00EA62F3">
              <w:rPr>
                <w:rFonts w:ascii="Arial" w:eastAsia="Calibri" w:hAnsi="Arial" w:cs="Arial"/>
                <w:sz w:val="22"/>
              </w:rPr>
              <w:t>FACTORES DE DESEMPATE – Ley 2069 – Artículo 35 – Parágrafo primero– Aplicabilidad – Cooperativas – Asociaciones mutuales – Clasificación empresarial / FACTORES DE DESEMPATE – Ley 2069 – Artículo 35 – Aplicación sucesiva y excluyente – Numeral 9 – Proponentes plurales – Micro y/o pequeñas empresas – Exclusión empresas medianas</w:t>
            </w:r>
          </w:p>
        </w:tc>
      </w:tr>
      <w:tr w:rsidR="003F6D32" w:rsidRPr="00EA62F3" w14:paraId="20F2A3B6" w14:textId="77777777" w:rsidTr="00AC43E7">
        <w:tc>
          <w:tcPr>
            <w:tcW w:w="2689" w:type="dxa"/>
          </w:tcPr>
          <w:p w14:paraId="1E82F4FA" w14:textId="77777777" w:rsidR="00BE1E33" w:rsidRPr="00EA62F3" w:rsidRDefault="00BE1E33" w:rsidP="00AC43E7">
            <w:pPr>
              <w:spacing w:before="120"/>
              <w:rPr>
                <w:rFonts w:ascii="Arial" w:eastAsia="Calibri" w:hAnsi="Arial" w:cs="Arial"/>
                <w:b/>
                <w:sz w:val="22"/>
              </w:rPr>
            </w:pPr>
            <w:r w:rsidRPr="00EA62F3">
              <w:rPr>
                <w:rFonts w:ascii="Arial" w:eastAsia="Calibri" w:hAnsi="Arial" w:cs="Arial"/>
                <w:b/>
                <w:sz w:val="22"/>
              </w:rPr>
              <w:t>Radicación:</w:t>
            </w:r>
            <w:r w:rsidRPr="00EA62F3">
              <w:rPr>
                <w:rFonts w:ascii="Arial" w:eastAsia="Calibri" w:hAnsi="Arial" w:cs="Arial"/>
                <w:sz w:val="22"/>
              </w:rPr>
              <w:t xml:space="preserve">                              </w:t>
            </w:r>
          </w:p>
        </w:tc>
        <w:tc>
          <w:tcPr>
            <w:tcW w:w="6237" w:type="dxa"/>
          </w:tcPr>
          <w:p w14:paraId="20FCE53A" w14:textId="00327A19" w:rsidR="00BE1E33" w:rsidRPr="00EA62F3" w:rsidRDefault="00BE1E33" w:rsidP="00AC43E7">
            <w:pPr>
              <w:spacing w:before="120"/>
              <w:jc w:val="both"/>
              <w:rPr>
                <w:rFonts w:ascii="Arial" w:eastAsia="Calibri" w:hAnsi="Arial" w:cs="Arial"/>
                <w:sz w:val="22"/>
              </w:rPr>
            </w:pPr>
            <w:r w:rsidRPr="00EA62F3">
              <w:rPr>
                <w:rFonts w:ascii="Arial" w:eastAsia="Calibri" w:hAnsi="Arial" w:cs="Arial"/>
                <w:sz w:val="22"/>
              </w:rPr>
              <w:t>Respuesta a consulta</w:t>
            </w:r>
            <w:r w:rsidR="00C95532" w:rsidRPr="00EA62F3">
              <w:rPr>
                <w:rFonts w:ascii="Arial" w:eastAsia="Calibri" w:hAnsi="Arial" w:cs="Arial"/>
                <w:sz w:val="22"/>
              </w:rPr>
              <w:t>s</w:t>
            </w:r>
            <w:r w:rsidRPr="00EA62F3">
              <w:rPr>
                <w:rFonts w:ascii="Arial" w:eastAsia="Calibri" w:hAnsi="Arial" w:cs="Arial"/>
                <w:sz w:val="22"/>
              </w:rPr>
              <w:t xml:space="preserve"> </w:t>
            </w:r>
            <w:r w:rsidR="002A4BC4" w:rsidRPr="00EA62F3">
              <w:rPr>
                <w:rFonts w:ascii="Arial" w:eastAsia="Calibri" w:hAnsi="Arial" w:cs="Arial"/>
                <w:sz w:val="22"/>
              </w:rPr>
              <w:t xml:space="preserve"># </w:t>
            </w:r>
            <w:r w:rsidR="00000586" w:rsidRPr="00EA62F3">
              <w:rPr>
                <w:rFonts w:ascii="Arial" w:eastAsia="Calibri" w:hAnsi="Arial" w:cs="Arial"/>
                <w:sz w:val="22"/>
              </w:rPr>
              <w:t>P20210304001776</w:t>
            </w:r>
          </w:p>
        </w:tc>
      </w:tr>
    </w:tbl>
    <w:p w14:paraId="177F3517" w14:textId="77777777" w:rsidR="00BE1E33" w:rsidRPr="00EA62F3" w:rsidRDefault="00BE1E33" w:rsidP="00EA62F3">
      <w:pPr>
        <w:jc w:val="both"/>
        <w:rPr>
          <w:rFonts w:ascii="Arial" w:eastAsia="Calibri" w:hAnsi="Arial" w:cs="Arial"/>
          <w:sz w:val="22"/>
        </w:rPr>
      </w:pPr>
    </w:p>
    <w:p w14:paraId="02CD78BF" w14:textId="77777777" w:rsidR="005B4ED0" w:rsidRPr="00EA62F3" w:rsidRDefault="005B4ED0" w:rsidP="00BE1E33">
      <w:pPr>
        <w:jc w:val="both"/>
        <w:rPr>
          <w:rFonts w:ascii="Arial" w:eastAsia="Calibri" w:hAnsi="Arial" w:cs="Arial"/>
          <w:sz w:val="22"/>
        </w:rPr>
      </w:pPr>
    </w:p>
    <w:p w14:paraId="417ABDA8" w14:textId="399E2FC3" w:rsidR="00BE1E33" w:rsidRPr="00EA62F3" w:rsidRDefault="00BE1E33" w:rsidP="00BE1E33">
      <w:pPr>
        <w:rPr>
          <w:rFonts w:ascii="Arial" w:eastAsia="Calibri" w:hAnsi="Arial" w:cs="Arial"/>
          <w:sz w:val="22"/>
        </w:rPr>
      </w:pPr>
      <w:r w:rsidRPr="00EA62F3">
        <w:rPr>
          <w:rFonts w:ascii="Arial" w:eastAsia="Calibri" w:hAnsi="Arial" w:cs="Arial"/>
          <w:sz w:val="22"/>
        </w:rPr>
        <w:t>Estimad</w:t>
      </w:r>
      <w:r w:rsidR="000D64F5" w:rsidRPr="00EA62F3">
        <w:rPr>
          <w:rFonts w:ascii="Arial" w:eastAsia="Calibri" w:hAnsi="Arial" w:cs="Arial"/>
          <w:sz w:val="22"/>
        </w:rPr>
        <w:t>o</w:t>
      </w:r>
      <w:r w:rsidR="009C27A9" w:rsidRPr="00EA62F3">
        <w:rPr>
          <w:rFonts w:ascii="Arial" w:eastAsia="Calibri" w:hAnsi="Arial" w:cs="Arial"/>
          <w:sz w:val="22"/>
        </w:rPr>
        <w:t xml:space="preserve"> </w:t>
      </w:r>
      <w:r w:rsidR="008C3ACC" w:rsidRPr="00EA62F3">
        <w:rPr>
          <w:rFonts w:ascii="Arial" w:eastAsia="Calibri" w:hAnsi="Arial" w:cs="Arial"/>
          <w:sz w:val="22"/>
        </w:rPr>
        <w:t>señor</w:t>
      </w:r>
      <w:r w:rsidR="00C95532" w:rsidRPr="00EA62F3">
        <w:rPr>
          <w:rFonts w:ascii="Arial" w:eastAsia="Calibri" w:hAnsi="Arial" w:cs="Arial"/>
          <w:sz w:val="22"/>
        </w:rPr>
        <w:t xml:space="preserve"> </w:t>
      </w:r>
      <w:r w:rsidR="0007687F" w:rsidRPr="00EA62F3">
        <w:rPr>
          <w:rFonts w:ascii="Arial" w:eastAsia="Calibri" w:hAnsi="Arial" w:cs="Arial"/>
          <w:sz w:val="22"/>
        </w:rPr>
        <w:t>Delgado</w:t>
      </w:r>
      <w:r w:rsidRPr="00EA62F3">
        <w:rPr>
          <w:rFonts w:ascii="Arial" w:eastAsia="Calibri" w:hAnsi="Arial" w:cs="Arial"/>
          <w:sz w:val="22"/>
        </w:rPr>
        <w:t>:</w:t>
      </w:r>
    </w:p>
    <w:p w14:paraId="1CCABABD" w14:textId="77777777" w:rsidR="00BE1E33" w:rsidRPr="00EA62F3" w:rsidRDefault="00BE1E33" w:rsidP="00BE1E33">
      <w:pPr>
        <w:rPr>
          <w:rFonts w:ascii="Arial" w:eastAsia="Calibri" w:hAnsi="Arial" w:cs="Arial"/>
          <w:sz w:val="22"/>
        </w:rPr>
      </w:pPr>
    </w:p>
    <w:p w14:paraId="286A9CEF" w14:textId="1D3E6987" w:rsidR="00BE1E33" w:rsidRPr="00EA62F3" w:rsidRDefault="00BE1E33" w:rsidP="00BE1E33">
      <w:pPr>
        <w:spacing w:line="276" w:lineRule="auto"/>
        <w:jc w:val="both"/>
        <w:rPr>
          <w:rFonts w:ascii="Arial" w:eastAsia="Calibri" w:hAnsi="Arial" w:cs="Arial"/>
          <w:sz w:val="22"/>
        </w:rPr>
      </w:pPr>
      <w:r w:rsidRPr="00EA62F3">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w:t>
      </w:r>
      <w:r w:rsidR="008544EE" w:rsidRPr="00EA62F3">
        <w:rPr>
          <w:rFonts w:ascii="Arial" w:eastAsia="Calibri" w:hAnsi="Arial" w:cs="Arial"/>
          <w:sz w:val="22"/>
        </w:rPr>
        <w:t>su</w:t>
      </w:r>
      <w:r w:rsidR="00C15574" w:rsidRPr="00EA62F3">
        <w:rPr>
          <w:rFonts w:ascii="Arial" w:eastAsia="Calibri" w:hAnsi="Arial" w:cs="Arial"/>
          <w:sz w:val="22"/>
        </w:rPr>
        <w:t xml:space="preserve"> consulta realiza</w:t>
      </w:r>
      <w:r w:rsidR="007D6205" w:rsidRPr="00EA62F3">
        <w:rPr>
          <w:rFonts w:ascii="Arial" w:eastAsia="Calibri" w:hAnsi="Arial" w:cs="Arial"/>
          <w:sz w:val="22"/>
        </w:rPr>
        <w:t>da</w:t>
      </w:r>
      <w:r w:rsidR="00C15574" w:rsidRPr="00EA62F3">
        <w:rPr>
          <w:rFonts w:ascii="Arial" w:eastAsia="Calibri" w:hAnsi="Arial" w:cs="Arial"/>
          <w:sz w:val="22"/>
        </w:rPr>
        <w:t xml:space="preserve"> </w:t>
      </w:r>
      <w:r w:rsidRPr="00EA62F3">
        <w:rPr>
          <w:rFonts w:ascii="Arial" w:eastAsia="Calibri" w:hAnsi="Arial" w:cs="Arial"/>
          <w:sz w:val="22"/>
        </w:rPr>
        <w:t xml:space="preserve">el </w:t>
      </w:r>
      <w:r w:rsidR="008A3284" w:rsidRPr="00EA62F3">
        <w:rPr>
          <w:rFonts w:ascii="Arial" w:eastAsia="Calibri" w:hAnsi="Arial" w:cs="Arial"/>
          <w:sz w:val="22"/>
        </w:rPr>
        <w:t xml:space="preserve">03 </w:t>
      </w:r>
      <w:r w:rsidR="008E4AD1" w:rsidRPr="00EA62F3">
        <w:rPr>
          <w:rFonts w:ascii="Arial" w:eastAsia="Calibri" w:hAnsi="Arial" w:cs="Arial"/>
          <w:sz w:val="22"/>
        </w:rPr>
        <w:t xml:space="preserve">de </w:t>
      </w:r>
      <w:r w:rsidR="008A3284" w:rsidRPr="00EA62F3">
        <w:rPr>
          <w:rFonts w:ascii="Arial" w:eastAsia="Calibri" w:hAnsi="Arial" w:cs="Arial"/>
          <w:sz w:val="22"/>
        </w:rPr>
        <w:t>marzo</w:t>
      </w:r>
      <w:r w:rsidR="008E4AD1" w:rsidRPr="00EA62F3">
        <w:rPr>
          <w:rFonts w:ascii="Arial" w:eastAsia="Calibri" w:hAnsi="Arial" w:cs="Arial"/>
          <w:sz w:val="22"/>
        </w:rPr>
        <w:t xml:space="preserve"> de</w:t>
      </w:r>
      <w:r w:rsidR="008A3284" w:rsidRPr="00EA62F3">
        <w:rPr>
          <w:rFonts w:ascii="Arial" w:eastAsia="Calibri" w:hAnsi="Arial" w:cs="Arial"/>
          <w:sz w:val="22"/>
        </w:rPr>
        <w:t xml:space="preserve"> </w:t>
      </w:r>
      <w:r w:rsidR="008E4AD1" w:rsidRPr="00EA62F3">
        <w:rPr>
          <w:rFonts w:ascii="Arial" w:eastAsia="Calibri" w:hAnsi="Arial" w:cs="Arial"/>
          <w:sz w:val="22"/>
        </w:rPr>
        <w:t>2021</w:t>
      </w:r>
      <w:r w:rsidRPr="00EA62F3">
        <w:rPr>
          <w:rFonts w:ascii="Arial" w:eastAsia="Calibri" w:hAnsi="Arial" w:cs="Arial"/>
          <w:sz w:val="22"/>
        </w:rPr>
        <w:t xml:space="preserve">. </w:t>
      </w:r>
    </w:p>
    <w:p w14:paraId="1D13401D" w14:textId="77777777" w:rsidR="00BE1E33" w:rsidRPr="00EA62F3" w:rsidRDefault="00BE1E33" w:rsidP="00BE1E33">
      <w:pPr>
        <w:spacing w:line="276" w:lineRule="auto"/>
        <w:jc w:val="both"/>
        <w:rPr>
          <w:rFonts w:ascii="Arial" w:eastAsia="Calibri" w:hAnsi="Arial" w:cs="Arial"/>
          <w:sz w:val="22"/>
        </w:rPr>
      </w:pPr>
    </w:p>
    <w:p w14:paraId="068F505C" w14:textId="77777777" w:rsidR="00BE1E33" w:rsidRPr="00EA62F3"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rPr>
      </w:pPr>
      <w:r w:rsidRPr="00EA62F3">
        <w:rPr>
          <w:rFonts w:ascii="Arial" w:eastAsia="Calibri" w:hAnsi="Arial" w:cs="Arial"/>
          <w:b/>
          <w:sz w:val="22"/>
        </w:rPr>
        <w:t xml:space="preserve">Problemas planteados </w:t>
      </w:r>
    </w:p>
    <w:p w14:paraId="430A9943" w14:textId="77777777" w:rsidR="00BE1E33" w:rsidRPr="00EA62F3" w:rsidRDefault="00BE1E33" w:rsidP="00BE1E33">
      <w:pPr>
        <w:tabs>
          <w:tab w:val="left" w:pos="426"/>
        </w:tabs>
        <w:spacing w:line="276" w:lineRule="auto"/>
        <w:jc w:val="both"/>
        <w:rPr>
          <w:rFonts w:ascii="Arial" w:eastAsia="Calibri" w:hAnsi="Arial" w:cs="Arial"/>
          <w:b/>
          <w:sz w:val="22"/>
        </w:rPr>
      </w:pPr>
    </w:p>
    <w:p w14:paraId="0F42A1C5" w14:textId="191B43D4" w:rsidR="002F109B" w:rsidRPr="00EA62F3" w:rsidRDefault="008E4AD1" w:rsidP="00AC3215">
      <w:pPr>
        <w:tabs>
          <w:tab w:val="left" w:pos="426"/>
        </w:tabs>
        <w:spacing w:line="276" w:lineRule="auto"/>
        <w:jc w:val="both"/>
        <w:rPr>
          <w:rFonts w:ascii="Arial" w:eastAsia="Calibri" w:hAnsi="Arial" w:cs="Arial"/>
          <w:sz w:val="22"/>
        </w:rPr>
      </w:pPr>
      <w:bookmarkStart w:id="0" w:name="_Hlk49352499"/>
      <w:bookmarkStart w:id="1" w:name="_Hlk41142281"/>
      <w:bookmarkStart w:id="2" w:name="_Hlk41043439"/>
      <w:r w:rsidRPr="00EA62F3">
        <w:rPr>
          <w:rFonts w:ascii="Arial" w:eastAsia="Calibri" w:hAnsi="Arial" w:cs="Arial"/>
          <w:sz w:val="22"/>
        </w:rPr>
        <w:t xml:space="preserve">En relación con </w:t>
      </w:r>
      <w:r w:rsidR="002F109B" w:rsidRPr="00EA62F3">
        <w:rPr>
          <w:rFonts w:ascii="Arial" w:eastAsia="Calibri" w:hAnsi="Arial" w:cs="Arial"/>
          <w:sz w:val="22"/>
        </w:rPr>
        <w:t>la aplicación del factor de desempate del artículo 35</w:t>
      </w:r>
      <w:r w:rsidR="00AF51F0" w:rsidRPr="00EA62F3">
        <w:rPr>
          <w:rFonts w:ascii="Arial" w:eastAsia="Calibri" w:hAnsi="Arial" w:cs="Arial"/>
          <w:sz w:val="22"/>
        </w:rPr>
        <w:t>.</w:t>
      </w:r>
      <w:r w:rsidR="002F109B" w:rsidRPr="00EA62F3">
        <w:rPr>
          <w:rFonts w:ascii="Arial" w:eastAsia="Calibri" w:hAnsi="Arial" w:cs="Arial"/>
          <w:sz w:val="22"/>
        </w:rPr>
        <w:t>9 de la</w:t>
      </w:r>
      <w:r w:rsidRPr="00EA62F3">
        <w:rPr>
          <w:rFonts w:ascii="Arial" w:eastAsia="Calibri" w:hAnsi="Arial" w:cs="Arial"/>
          <w:sz w:val="22"/>
        </w:rPr>
        <w:t xml:space="preserve"> Ley 2069 del 31 de diciembre de 202</w:t>
      </w:r>
      <w:bookmarkStart w:id="3" w:name="_Hlk63882769"/>
      <w:bookmarkEnd w:id="0"/>
      <w:bookmarkEnd w:id="1"/>
      <w:bookmarkEnd w:id="2"/>
      <w:r w:rsidR="00183CCB" w:rsidRPr="00EA62F3">
        <w:rPr>
          <w:rFonts w:ascii="Arial" w:eastAsia="Calibri" w:hAnsi="Arial" w:cs="Arial"/>
          <w:sz w:val="22"/>
        </w:rPr>
        <w:t xml:space="preserve">0, </w:t>
      </w:r>
      <w:r w:rsidR="00AF51F0" w:rsidRPr="00EA62F3">
        <w:rPr>
          <w:rFonts w:ascii="Arial" w:eastAsia="Calibri" w:hAnsi="Arial" w:cs="Arial"/>
          <w:sz w:val="22"/>
        </w:rPr>
        <w:t>usted</w:t>
      </w:r>
      <w:r w:rsidR="00183CCB" w:rsidRPr="00EA62F3">
        <w:rPr>
          <w:rFonts w:ascii="Arial" w:eastAsia="Calibri" w:hAnsi="Arial" w:cs="Arial"/>
          <w:sz w:val="22"/>
        </w:rPr>
        <w:t xml:space="preserve"> realiza las siguientes preguntas:</w:t>
      </w:r>
      <w:bookmarkEnd w:id="3"/>
      <w:r w:rsidR="00AC3215" w:rsidRPr="00EA62F3">
        <w:rPr>
          <w:rFonts w:ascii="Arial" w:eastAsia="Calibri" w:hAnsi="Arial" w:cs="Arial"/>
          <w:sz w:val="22"/>
        </w:rPr>
        <w:t xml:space="preserve"> </w:t>
      </w:r>
    </w:p>
    <w:p w14:paraId="5B1FFF87" w14:textId="77777777" w:rsidR="0073725B" w:rsidRPr="00EA62F3" w:rsidRDefault="0073725B" w:rsidP="00AC3215">
      <w:pPr>
        <w:tabs>
          <w:tab w:val="left" w:pos="426"/>
        </w:tabs>
        <w:spacing w:line="276" w:lineRule="auto"/>
        <w:jc w:val="both"/>
        <w:rPr>
          <w:rFonts w:ascii="Arial" w:eastAsia="Calibri" w:hAnsi="Arial" w:cs="Arial"/>
          <w:sz w:val="22"/>
        </w:rPr>
      </w:pPr>
    </w:p>
    <w:p w14:paraId="29C3064C" w14:textId="07DB0D28" w:rsidR="008970BB" w:rsidRPr="00EA62F3" w:rsidRDefault="00F85D31" w:rsidP="00EA62F3">
      <w:pPr>
        <w:tabs>
          <w:tab w:val="left" w:pos="426"/>
        </w:tabs>
        <w:ind w:left="709" w:right="709"/>
        <w:jc w:val="both"/>
        <w:rPr>
          <w:rFonts w:ascii="Arial" w:eastAsia="Calibri" w:hAnsi="Arial" w:cs="Arial"/>
          <w:sz w:val="21"/>
          <w:szCs w:val="21"/>
        </w:rPr>
      </w:pPr>
      <w:r w:rsidRPr="00EA62F3">
        <w:rPr>
          <w:rFonts w:ascii="Arial" w:hAnsi="Arial" w:cs="Arial"/>
          <w:sz w:val="21"/>
          <w:szCs w:val="21"/>
          <w:lang w:val="es-CO"/>
        </w:rPr>
        <w:t xml:space="preserve">«[…] </w:t>
      </w:r>
      <w:r w:rsidR="002F109B" w:rsidRPr="00EA62F3">
        <w:rPr>
          <w:rFonts w:ascii="Arial" w:hAnsi="Arial" w:cs="Arial"/>
          <w:sz w:val="21"/>
          <w:szCs w:val="21"/>
        </w:rPr>
        <w:t xml:space="preserve">Si en un proceso de selección adelantado por alguna entidad estatal en la cual se encuentre en condición de empate un proponente plural constituido por una micro y/o pequeña empresa y/o cooperativas o asociaciones mutuales </w:t>
      </w:r>
      <w:r w:rsidR="002F109B" w:rsidRPr="00EA62F3">
        <w:rPr>
          <w:rFonts w:ascii="Arial" w:hAnsi="Arial" w:cs="Arial"/>
          <w:b/>
          <w:bCs/>
          <w:sz w:val="21"/>
          <w:szCs w:val="21"/>
        </w:rPr>
        <w:t xml:space="preserve">y </w:t>
      </w:r>
      <w:r w:rsidR="002F109B" w:rsidRPr="00EA62F3">
        <w:rPr>
          <w:rFonts w:ascii="Arial" w:hAnsi="Arial" w:cs="Arial"/>
          <w:sz w:val="21"/>
          <w:szCs w:val="21"/>
        </w:rPr>
        <w:t>una mediana empresa ¿Cómo debe aplicarse el factor 9 de los criterios de desempate “</w:t>
      </w:r>
      <w:r w:rsidR="002F109B" w:rsidRPr="00EA62F3">
        <w:rPr>
          <w:rFonts w:ascii="Arial" w:hAnsi="Arial" w:cs="Arial"/>
          <w:i/>
          <w:iCs/>
          <w:sz w:val="21"/>
          <w:szCs w:val="21"/>
        </w:rPr>
        <w:t>Preferir la oferta presentada por el proponente plural constituido por micro y/o pequeñas empresas, cooperativas o asociaciones mutuales”?</w:t>
      </w:r>
    </w:p>
    <w:p w14:paraId="46DF021F" w14:textId="799471AC" w:rsidR="008970BB" w:rsidRPr="00EA62F3" w:rsidRDefault="008970BB" w:rsidP="00EA62F3">
      <w:pPr>
        <w:tabs>
          <w:tab w:val="left" w:pos="709"/>
        </w:tabs>
        <w:spacing w:after="120"/>
        <w:ind w:left="709" w:right="709"/>
        <w:jc w:val="both"/>
        <w:rPr>
          <w:rFonts w:ascii="Arial" w:hAnsi="Arial" w:cs="Arial"/>
          <w:sz w:val="21"/>
          <w:szCs w:val="21"/>
        </w:rPr>
      </w:pPr>
      <w:r w:rsidRPr="00EA62F3">
        <w:rPr>
          <w:rFonts w:ascii="Arial" w:eastAsia="Calibri" w:hAnsi="Arial" w:cs="Arial"/>
          <w:sz w:val="21"/>
          <w:szCs w:val="21"/>
        </w:rPr>
        <w:t>[…]</w:t>
      </w:r>
    </w:p>
    <w:p w14:paraId="63A9CF87" w14:textId="39D54C5B" w:rsidR="008970BB" w:rsidRPr="00EA62F3" w:rsidRDefault="008970BB" w:rsidP="008970BB">
      <w:pPr>
        <w:tabs>
          <w:tab w:val="left" w:pos="709"/>
        </w:tabs>
        <w:ind w:left="709" w:right="709"/>
        <w:jc w:val="both"/>
        <w:rPr>
          <w:rFonts w:ascii="Arial" w:eastAsia="Calibri" w:hAnsi="Arial" w:cs="Arial"/>
          <w:sz w:val="21"/>
          <w:szCs w:val="21"/>
        </w:rPr>
      </w:pPr>
      <w:r w:rsidRPr="00EA62F3">
        <w:rPr>
          <w:rFonts w:ascii="Arial" w:hAnsi="Arial" w:cs="Arial"/>
          <w:sz w:val="21"/>
          <w:szCs w:val="21"/>
        </w:rPr>
        <w:t xml:space="preserve">Si un proponente plural conformado por una micro y/o pequeña empresa y/o cooperativas o asociaciones mutuales </w:t>
      </w:r>
      <w:r w:rsidRPr="00EA62F3">
        <w:rPr>
          <w:rFonts w:ascii="Arial" w:hAnsi="Arial" w:cs="Arial"/>
          <w:b/>
          <w:bCs/>
          <w:sz w:val="21"/>
          <w:szCs w:val="21"/>
        </w:rPr>
        <w:t xml:space="preserve">y </w:t>
      </w:r>
      <w:r w:rsidRPr="00EA62F3">
        <w:rPr>
          <w:rFonts w:ascii="Arial" w:hAnsi="Arial" w:cs="Arial"/>
          <w:sz w:val="21"/>
          <w:szCs w:val="21"/>
        </w:rPr>
        <w:t>una mediana empresa se encuentra en condición de empate en un proceso de selección, el criterio de desempate 9 donde menciona que se debe preferir la oferta presentada por el proponente plural constituido por micro y/o pequeñas empresas, cooperativas o asociaciones mutuales ¿excluye a aquellos proponentes plurales cuyos miembros sean pequeñas y medianas empresas?».</w:t>
      </w:r>
    </w:p>
    <w:p w14:paraId="366661F5" w14:textId="77777777" w:rsidR="005B4ED0" w:rsidRPr="00EA62F3" w:rsidRDefault="005B4ED0" w:rsidP="00F103DC">
      <w:pPr>
        <w:tabs>
          <w:tab w:val="left" w:pos="709"/>
        </w:tabs>
        <w:spacing w:line="276" w:lineRule="auto"/>
        <w:jc w:val="both"/>
        <w:rPr>
          <w:rFonts w:ascii="Arial" w:eastAsia="Calibri" w:hAnsi="Arial" w:cs="Arial"/>
          <w:sz w:val="22"/>
        </w:rPr>
      </w:pPr>
    </w:p>
    <w:p w14:paraId="4FA382BE" w14:textId="3E67759C" w:rsidR="001D59C7" w:rsidRPr="00EA62F3"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sz w:val="22"/>
        </w:rPr>
      </w:pPr>
      <w:r w:rsidRPr="00EA62F3">
        <w:rPr>
          <w:rFonts w:ascii="Arial" w:eastAsia="Calibri" w:hAnsi="Arial" w:cs="Arial"/>
          <w:b/>
          <w:sz w:val="22"/>
        </w:rPr>
        <w:t>Consideraciones</w:t>
      </w:r>
    </w:p>
    <w:p w14:paraId="2217C81A" w14:textId="77777777" w:rsidR="001D59C7" w:rsidRPr="00EA62F3" w:rsidRDefault="001D59C7" w:rsidP="00F2474C">
      <w:pPr>
        <w:tabs>
          <w:tab w:val="left" w:pos="426"/>
        </w:tabs>
        <w:jc w:val="both"/>
        <w:rPr>
          <w:rFonts w:ascii="Arial" w:eastAsia="Calibri" w:hAnsi="Arial" w:cs="Arial"/>
          <w:bCs/>
          <w:sz w:val="22"/>
        </w:rPr>
      </w:pPr>
    </w:p>
    <w:p w14:paraId="66E97748" w14:textId="6ACBA040" w:rsidR="004774F6" w:rsidRPr="00EA62F3" w:rsidRDefault="001D59C7" w:rsidP="0089219C">
      <w:pPr>
        <w:tabs>
          <w:tab w:val="left" w:pos="426"/>
        </w:tabs>
        <w:spacing w:line="276" w:lineRule="auto"/>
        <w:jc w:val="both"/>
        <w:rPr>
          <w:rFonts w:ascii="Arial" w:eastAsia="Calibri" w:hAnsi="Arial" w:cs="Arial"/>
          <w:bCs/>
          <w:sz w:val="22"/>
        </w:rPr>
      </w:pPr>
      <w:r w:rsidRPr="00EA62F3">
        <w:rPr>
          <w:rFonts w:ascii="Arial" w:eastAsia="Calibri" w:hAnsi="Arial" w:cs="Arial"/>
          <w:bCs/>
          <w:sz w:val="22"/>
        </w:rPr>
        <w:t xml:space="preserve">La Agencia Nacional de Contratación Pública – Colombia Compra Eficiente, en los Conceptos </w:t>
      </w:r>
      <w:r w:rsidR="00183A65" w:rsidRPr="00EA62F3">
        <w:rPr>
          <w:rFonts w:ascii="Arial" w:eastAsia="Calibri" w:hAnsi="Arial" w:cs="Arial"/>
          <w:bCs/>
          <w:sz w:val="22"/>
        </w:rPr>
        <w:t>C-514 del 26 de agosto de 2020, C-516 del 26 de agosto de 2020, C-535 del 26 de agosto de 2020, C-537 del 26 de agosto de 2020, C-538 del 26 de agosto de 2020, C-568 del 26 de agosto de 2020, C-572 del 27 de agosto de 2020</w:t>
      </w:r>
      <w:r w:rsidR="000221C2" w:rsidRPr="00EA62F3">
        <w:rPr>
          <w:rFonts w:ascii="Arial" w:eastAsia="Calibri" w:hAnsi="Arial" w:cs="Arial"/>
          <w:bCs/>
          <w:sz w:val="22"/>
        </w:rPr>
        <w:t>,</w:t>
      </w:r>
      <w:r w:rsidR="00823927" w:rsidRPr="00EA62F3">
        <w:rPr>
          <w:rFonts w:ascii="Arial" w:eastAsia="Calibri" w:hAnsi="Arial" w:cs="Arial"/>
          <w:bCs/>
          <w:sz w:val="22"/>
        </w:rPr>
        <w:t xml:space="preserve"> </w:t>
      </w:r>
      <w:r w:rsidR="00183A65" w:rsidRPr="00EA62F3">
        <w:rPr>
          <w:rFonts w:ascii="Arial" w:eastAsia="Calibri" w:hAnsi="Arial" w:cs="Arial"/>
          <w:bCs/>
          <w:sz w:val="22"/>
        </w:rPr>
        <w:t>C-582 del 28 de agosto de 2020</w:t>
      </w:r>
      <w:r w:rsidR="000221C2" w:rsidRPr="00EA62F3">
        <w:rPr>
          <w:rFonts w:ascii="Arial" w:eastAsia="Calibri" w:hAnsi="Arial" w:cs="Arial"/>
          <w:bCs/>
          <w:sz w:val="22"/>
        </w:rPr>
        <w:t xml:space="preserve"> y C-551 del 24 de septiembre de 2020</w:t>
      </w:r>
      <w:r w:rsidRPr="00EA62F3">
        <w:rPr>
          <w:rFonts w:ascii="Arial" w:eastAsia="Calibri" w:hAnsi="Arial" w:cs="Arial"/>
          <w:bCs/>
          <w:sz w:val="22"/>
        </w:rPr>
        <w:t xml:space="preserve">, explicó la </w:t>
      </w:r>
      <w:r w:rsidR="00823927" w:rsidRPr="00EA62F3">
        <w:rPr>
          <w:rFonts w:ascii="Arial" w:eastAsia="Calibri" w:hAnsi="Arial" w:cs="Arial"/>
          <w:bCs/>
          <w:sz w:val="22"/>
        </w:rPr>
        <w:t>relación entre la ley y el reglamento, de manera que si bien</w:t>
      </w:r>
      <w:r w:rsidR="00104D9B" w:rsidRPr="00EA62F3">
        <w:rPr>
          <w:rFonts w:ascii="Arial" w:eastAsia="Calibri" w:hAnsi="Arial" w:cs="Arial"/>
          <w:bCs/>
          <w:sz w:val="22"/>
        </w:rPr>
        <w:t>,</w:t>
      </w:r>
      <w:r w:rsidR="00823927" w:rsidRPr="00EA62F3">
        <w:rPr>
          <w:rFonts w:ascii="Arial" w:eastAsia="Calibri" w:hAnsi="Arial" w:cs="Arial"/>
          <w:bCs/>
          <w:sz w:val="22"/>
        </w:rPr>
        <w:t xml:space="preserve"> por regla general</w:t>
      </w:r>
      <w:r w:rsidR="00104D9B" w:rsidRPr="00EA62F3">
        <w:rPr>
          <w:rFonts w:ascii="Arial" w:eastAsia="Calibri" w:hAnsi="Arial" w:cs="Arial"/>
          <w:bCs/>
          <w:sz w:val="22"/>
        </w:rPr>
        <w:t>,</w:t>
      </w:r>
      <w:r w:rsidR="00823927" w:rsidRPr="00EA62F3">
        <w:rPr>
          <w:rFonts w:ascii="Arial" w:eastAsia="Calibri" w:hAnsi="Arial" w:cs="Arial"/>
          <w:bCs/>
          <w:sz w:val="22"/>
        </w:rPr>
        <w:t xml:space="preserve"> la primera rige a partir de su promulgación, excepcionalmente esta requiere desarrollo reglamentario como una condición previa para su aplicación</w:t>
      </w:r>
      <w:r w:rsidRPr="00EA62F3">
        <w:rPr>
          <w:rFonts w:ascii="Arial" w:eastAsia="Calibri" w:hAnsi="Arial" w:cs="Arial"/>
          <w:bCs/>
          <w:sz w:val="22"/>
        </w:rPr>
        <w:t>.</w:t>
      </w:r>
      <w:r w:rsidR="000221C2" w:rsidRPr="00EA62F3">
        <w:rPr>
          <w:rFonts w:ascii="Arial" w:eastAsia="Calibri" w:hAnsi="Arial" w:cs="Arial"/>
          <w:bCs/>
          <w:sz w:val="22"/>
        </w:rPr>
        <w:t xml:space="preserve"> Igualmente, en los </w:t>
      </w:r>
      <w:r w:rsidR="001303DE" w:rsidRPr="00EA62F3">
        <w:rPr>
          <w:rFonts w:ascii="Arial" w:eastAsia="Calibri" w:hAnsi="Arial" w:cs="Arial"/>
          <w:bCs/>
          <w:sz w:val="22"/>
        </w:rPr>
        <w:t>C-009</w:t>
      </w:r>
      <w:r w:rsidR="00C25D45" w:rsidRPr="00EA62F3">
        <w:rPr>
          <w:rFonts w:ascii="Arial" w:eastAsia="Calibri" w:hAnsi="Arial" w:cs="Arial"/>
          <w:bCs/>
          <w:sz w:val="22"/>
        </w:rPr>
        <w:t>, C-012, C-013, C-015, C-016, C-026</w:t>
      </w:r>
      <w:r w:rsidR="001303DE" w:rsidRPr="00EA62F3">
        <w:rPr>
          <w:rFonts w:ascii="Arial" w:eastAsia="Calibri" w:hAnsi="Arial" w:cs="Arial"/>
          <w:bCs/>
          <w:sz w:val="22"/>
        </w:rPr>
        <w:t xml:space="preserve"> del 4 de febrero de 2021,</w:t>
      </w:r>
      <w:r w:rsidR="00DD7A47" w:rsidRPr="00EA62F3">
        <w:rPr>
          <w:rFonts w:ascii="Arial" w:eastAsia="Calibri" w:hAnsi="Arial" w:cs="Arial"/>
          <w:bCs/>
          <w:sz w:val="22"/>
        </w:rPr>
        <w:t xml:space="preserve"> </w:t>
      </w:r>
      <w:r w:rsidR="001303DE" w:rsidRPr="00EA62F3">
        <w:rPr>
          <w:rFonts w:ascii="Arial" w:eastAsia="Calibri" w:hAnsi="Arial" w:cs="Arial"/>
          <w:bCs/>
          <w:sz w:val="22"/>
        </w:rPr>
        <w:t>C-006 del 5</w:t>
      </w:r>
      <w:r w:rsidR="00DD7A47" w:rsidRPr="00EA62F3">
        <w:rPr>
          <w:rFonts w:ascii="Arial" w:eastAsia="Calibri" w:hAnsi="Arial" w:cs="Arial"/>
          <w:bCs/>
          <w:sz w:val="22"/>
        </w:rPr>
        <w:t xml:space="preserve"> de </w:t>
      </w:r>
      <w:r w:rsidR="00CB6D4F" w:rsidRPr="00EA62F3">
        <w:rPr>
          <w:rFonts w:ascii="Arial" w:eastAsia="Calibri" w:hAnsi="Arial" w:cs="Arial"/>
          <w:bCs/>
          <w:sz w:val="22"/>
        </w:rPr>
        <w:t>febrero de</w:t>
      </w:r>
      <w:r w:rsidR="00DD7A47" w:rsidRPr="00EA62F3">
        <w:rPr>
          <w:rFonts w:ascii="Arial" w:eastAsia="Calibri" w:hAnsi="Arial" w:cs="Arial"/>
          <w:bCs/>
          <w:sz w:val="22"/>
        </w:rPr>
        <w:t xml:space="preserve"> </w:t>
      </w:r>
      <w:r w:rsidR="001303DE" w:rsidRPr="00EA62F3">
        <w:rPr>
          <w:rFonts w:ascii="Arial" w:eastAsia="Calibri" w:hAnsi="Arial" w:cs="Arial"/>
          <w:bCs/>
          <w:sz w:val="22"/>
        </w:rPr>
        <w:t>2021, C-043 del 9</w:t>
      </w:r>
      <w:r w:rsidR="00DD7A47" w:rsidRPr="00EA62F3">
        <w:rPr>
          <w:rFonts w:ascii="Arial" w:eastAsia="Calibri" w:hAnsi="Arial" w:cs="Arial"/>
          <w:bCs/>
          <w:sz w:val="22"/>
        </w:rPr>
        <w:t xml:space="preserve"> de febrero de </w:t>
      </w:r>
      <w:r w:rsidR="001303DE" w:rsidRPr="00EA62F3">
        <w:rPr>
          <w:rFonts w:ascii="Arial" w:eastAsia="Calibri" w:hAnsi="Arial" w:cs="Arial"/>
          <w:bCs/>
          <w:sz w:val="22"/>
        </w:rPr>
        <w:t>2021, C-005 del 16</w:t>
      </w:r>
      <w:r w:rsidR="00DD7A47" w:rsidRPr="00EA62F3">
        <w:rPr>
          <w:rFonts w:ascii="Arial" w:eastAsia="Calibri" w:hAnsi="Arial" w:cs="Arial"/>
          <w:bCs/>
          <w:sz w:val="22"/>
        </w:rPr>
        <w:t xml:space="preserve"> de febrero de </w:t>
      </w:r>
      <w:r w:rsidR="001303DE" w:rsidRPr="00EA62F3">
        <w:rPr>
          <w:rFonts w:ascii="Arial" w:eastAsia="Calibri" w:hAnsi="Arial" w:cs="Arial"/>
          <w:bCs/>
          <w:sz w:val="22"/>
        </w:rPr>
        <w:t>2021, C-007 del 16</w:t>
      </w:r>
      <w:r w:rsidR="00DD7A47" w:rsidRPr="00EA62F3">
        <w:rPr>
          <w:rFonts w:ascii="Arial" w:eastAsia="Calibri" w:hAnsi="Arial" w:cs="Arial"/>
          <w:bCs/>
          <w:sz w:val="22"/>
        </w:rPr>
        <w:t xml:space="preserve"> de febrero de </w:t>
      </w:r>
      <w:r w:rsidR="001303DE" w:rsidRPr="00EA62F3">
        <w:rPr>
          <w:rFonts w:ascii="Arial" w:eastAsia="Calibri" w:hAnsi="Arial" w:cs="Arial"/>
          <w:bCs/>
          <w:sz w:val="22"/>
        </w:rPr>
        <w:t xml:space="preserve">2021, </w:t>
      </w:r>
      <w:r w:rsidR="003206B6" w:rsidRPr="00EA62F3">
        <w:rPr>
          <w:rFonts w:ascii="Arial" w:eastAsia="Calibri" w:hAnsi="Arial" w:cs="Arial"/>
          <w:bCs/>
          <w:sz w:val="22"/>
        </w:rPr>
        <w:t>C-028</w:t>
      </w:r>
      <w:r w:rsidR="00CB6D4F" w:rsidRPr="00EA62F3">
        <w:rPr>
          <w:rFonts w:ascii="Arial" w:eastAsia="Calibri" w:hAnsi="Arial" w:cs="Arial"/>
          <w:bCs/>
          <w:sz w:val="22"/>
        </w:rPr>
        <w:t>, C-081, C-087</w:t>
      </w:r>
      <w:r w:rsidR="003206B6" w:rsidRPr="00EA62F3">
        <w:rPr>
          <w:rFonts w:ascii="Arial" w:eastAsia="Calibri" w:hAnsi="Arial" w:cs="Arial"/>
          <w:bCs/>
          <w:sz w:val="22"/>
        </w:rPr>
        <w:t xml:space="preserve"> y </w:t>
      </w:r>
      <w:r w:rsidR="001303DE" w:rsidRPr="00EA62F3">
        <w:rPr>
          <w:rFonts w:ascii="Arial" w:eastAsia="Calibri" w:hAnsi="Arial" w:cs="Arial"/>
          <w:bCs/>
          <w:sz w:val="22"/>
        </w:rPr>
        <w:t>C-098 del 23</w:t>
      </w:r>
      <w:r w:rsidR="00DD7A47" w:rsidRPr="00EA62F3">
        <w:rPr>
          <w:rFonts w:ascii="Arial" w:eastAsia="Calibri" w:hAnsi="Arial" w:cs="Arial"/>
          <w:bCs/>
          <w:sz w:val="22"/>
        </w:rPr>
        <w:t xml:space="preserve"> de </w:t>
      </w:r>
      <w:r w:rsidR="003206B6" w:rsidRPr="00EA62F3">
        <w:rPr>
          <w:rFonts w:ascii="Arial" w:eastAsia="Calibri" w:hAnsi="Arial" w:cs="Arial"/>
          <w:bCs/>
          <w:sz w:val="22"/>
        </w:rPr>
        <w:t>febrero</w:t>
      </w:r>
      <w:r w:rsidR="00DD7A47" w:rsidRPr="00EA62F3">
        <w:rPr>
          <w:rFonts w:ascii="Arial" w:eastAsia="Calibri" w:hAnsi="Arial" w:cs="Arial"/>
          <w:bCs/>
          <w:sz w:val="22"/>
        </w:rPr>
        <w:t xml:space="preserve"> de </w:t>
      </w:r>
      <w:r w:rsidR="001303DE" w:rsidRPr="00EA62F3">
        <w:rPr>
          <w:rFonts w:ascii="Arial" w:eastAsia="Calibri" w:hAnsi="Arial" w:cs="Arial"/>
          <w:bCs/>
          <w:sz w:val="22"/>
        </w:rPr>
        <w:t>2021,</w:t>
      </w:r>
      <w:r w:rsidR="0007687F" w:rsidRPr="00EA62F3">
        <w:rPr>
          <w:rFonts w:ascii="Arial" w:eastAsia="Calibri" w:hAnsi="Arial" w:cs="Arial"/>
          <w:bCs/>
          <w:sz w:val="22"/>
        </w:rPr>
        <w:t xml:space="preserve"> C-037 del 26 de febrero de 2021, </w:t>
      </w:r>
      <w:r w:rsidR="00CB6D4F" w:rsidRPr="00EA62F3">
        <w:rPr>
          <w:rFonts w:ascii="Arial" w:eastAsia="Calibri" w:hAnsi="Arial" w:cs="Arial"/>
          <w:bCs/>
          <w:sz w:val="22"/>
        </w:rPr>
        <w:t xml:space="preserve"> </w:t>
      </w:r>
      <w:r w:rsidR="001303DE" w:rsidRPr="00EA62F3">
        <w:rPr>
          <w:rFonts w:ascii="Arial" w:eastAsia="Calibri" w:hAnsi="Arial" w:cs="Arial"/>
          <w:bCs/>
          <w:sz w:val="22"/>
        </w:rPr>
        <w:t xml:space="preserve">C-044 del </w:t>
      </w:r>
      <w:r w:rsidR="00CB6D4F" w:rsidRPr="00EA62F3">
        <w:rPr>
          <w:rFonts w:ascii="Arial" w:eastAsia="Calibri" w:hAnsi="Arial" w:cs="Arial"/>
          <w:bCs/>
          <w:sz w:val="22"/>
        </w:rPr>
        <w:t xml:space="preserve">3 de marzo de </w:t>
      </w:r>
      <w:r w:rsidR="001303DE" w:rsidRPr="00EA62F3">
        <w:rPr>
          <w:rFonts w:ascii="Arial" w:eastAsia="Calibri" w:hAnsi="Arial" w:cs="Arial"/>
          <w:bCs/>
          <w:sz w:val="22"/>
        </w:rPr>
        <w:t>2021, C-056 del 8</w:t>
      </w:r>
      <w:r w:rsidR="00CB6D4F" w:rsidRPr="00EA62F3">
        <w:rPr>
          <w:rFonts w:ascii="Arial" w:eastAsia="Calibri" w:hAnsi="Arial" w:cs="Arial"/>
          <w:bCs/>
          <w:sz w:val="22"/>
        </w:rPr>
        <w:t xml:space="preserve"> de marzo de </w:t>
      </w:r>
      <w:r w:rsidR="001303DE" w:rsidRPr="00EA62F3">
        <w:rPr>
          <w:rFonts w:ascii="Arial" w:eastAsia="Calibri" w:hAnsi="Arial" w:cs="Arial"/>
          <w:bCs/>
          <w:sz w:val="22"/>
        </w:rPr>
        <w:t>2021, C-061 del 10</w:t>
      </w:r>
      <w:r w:rsidR="00CB6D4F" w:rsidRPr="00EA62F3">
        <w:rPr>
          <w:rFonts w:ascii="Arial" w:eastAsia="Calibri" w:hAnsi="Arial" w:cs="Arial"/>
          <w:bCs/>
          <w:sz w:val="22"/>
        </w:rPr>
        <w:t xml:space="preserve"> de marzo de </w:t>
      </w:r>
      <w:r w:rsidR="001303DE" w:rsidRPr="00EA62F3">
        <w:rPr>
          <w:rFonts w:ascii="Arial" w:eastAsia="Calibri" w:hAnsi="Arial" w:cs="Arial"/>
          <w:bCs/>
          <w:sz w:val="22"/>
        </w:rPr>
        <w:t>2021</w:t>
      </w:r>
      <w:r w:rsidR="00CB6D4F" w:rsidRPr="00EA62F3">
        <w:rPr>
          <w:rFonts w:ascii="Arial" w:eastAsia="Calibri" w:hAnsi="Arial" w:cs="Arial"/>
          <w:bCs/>
          <w:sz w:val="22"/>
        </w:rPr>
        <w:t xml:space="preserve"> y </w:t>
      </w:r>
      <w:r w:rsidR="001303DE" w:rsidRPr="00EA62F3">
        <w:rPr>
          <w:rFonts w:ascii="Arial" w:eastAsia="Calibri" w:hAnsi="Arial" w:cs="Arial"/>
          <w:bCs/>
          <w:sz w:val="22"/>
        </w:rPr>
        <w:t>C-069 del 12</w:t>
      </w:r>
      <w:r w:rsidR="00CB6D4F" w:rsidRPr="00EA62F3">
        <w:rPr>
          <w:rFonts w:ascii="Arial" w:eastAsia="Calibri" w:hAnsi="Arial" w:cs="Arial"/>
          <w:bCs/>
          <w:sz w:val="22"/>
        </w:rPr>
        <w:t xml:space="preserve"> de marzo de </w:t>
      </w:r>
      <w:r w:rsidR="001303DE" w:rsidRPr="00EA62F3">
        <w:rPr>
          <w:rFonts w:ascii="Arial" w:eastAsia="Calibri" w:hAnsi="Arial" w:cs="Arial"/>
          <w:bCs/>
          <w:sz w:val="22"/>
        </w:rPr>
        <w:t>2021</w:t>
      </w:r>
      <w:r w:rsidR="00CB6D4F" w:rsidRPr="00EA62F3">
        <w:rPr>
          <w:rFonts w:ascii="Arial" w:eastAsia="Calibri" w:hAnsi="Arial" w:cs="Arial"/>
          <w:bCs/>
          <w:sz w:val="22"/>
        </w:rPr>
        <w:t>, se estudi</w:t>
      </w:r>
      <w:r w:rsidR="00D85A2D" w:rsidRPr="00EA62F3">
        <w:rPr>
          <w:rFonts w:ascii="Arial" w:eastAsia="Calibri" w:hAnsi="Arial" w:cs="Arial"/>
          <w:bCs/>
          <w:sz w:val="22"/>
        </w:rPr>
        <w:t>ó la aplicación de los factores de desempate del artículo 35 de la Ley 2069 de 2020</w:t>
      </w:r>
      <w:r w:rsidR="004D0366" w:rsidRPr="00EA62F3">
        <w:rPr>
          <w:rFonts w:ascii="Arial" w:eastAsia="Calibri" w:hAnsi="Arial" w:cs="Arial"/>
          <w:bCs/>
          <w:sz w:val="22"/>
        </w:rPr>
        <w:t xml:space="preserve">. </w:t>
      </w:r>
      <w:r w:rsidR="004A1E30" w:rsidRPr="00EA62F3">
        <w:rPr>
          <w:rFonts w:ascii="Arial" w:eastAsia="Calibri" w:hAnsi="Arial" w:cs="Arial"/>
          <w:bCs/>
          <w:sz w:val="22"/>
        </w:rPr>
        <w:t xml:space="preserve"> Las tesis expuestas en estos conceptos se reiteran a continuación.</w:t>
      </w:r>
    </w:p>
    <w:p w14:paraId="5963CCB4" w14:textId="4629885F" w:rsidR="008E10D2" w:rsidRPr="00EA62F3" w:rsidRDefault="008E10D2" w:rsidP="005B4ED0">
      <w:pPr>
        <w:tabs>
          <w:tab w:val="left" w:pos="426"/>
        </w:tabs>
        <w:jc w:val="both"/>
        <w:rPr>
          <w:rFonts w:ascii="Arial" w:eastAsia="Calibri" w:hAnsi="Arial" w:cs="Arial"/>
          <w:bCs/>
          <w:sz w:val="22"/>
        </w:rPr>
      </w:pPr>
    </w:p>
    <w:p w14:paraId="2F842807" w14:textId="773F0972" w:rsidR="008E10D2" w:rsidRPr="00EA62F3" w:rsidRDefault="008E10D2" w:rsidP="008E10D2">
      <w:pPr>
        <w:spacing w:line="276" w:lineRule="auto"/>
        <w:jc w:val="both"/>
        <w:rPr>
          <w:rFonts w:ascii="Arial" w:eastAsia="Calibri" w:hAnsi="Arial" w:cs="Arial"/>
          <w:b/>
          <w:bCs/>
          <w:sz w:val="22"/>
          <w:lang w:val="es-ES_tradnl"/>
        </w:rPr>
      </w:pPr>
      <w:r w:rsidRPr="00EA62F3">
        <w:rPr>
          <w:rFonts w:ascii="Arial" w:eastAsia="Calibri" w:hAnsi="Arial" w:cs="Arial"/>
          <w:b/>
          <w:bCs/>
          <w:sz w:val="22"/>
          <w:lang w:val="es-ES_tradnl"/>
        </w:rPr>
        <w:t>2.1. Factores de desempate en la contratación estatal: concepto y características</w:t>
      </w:r>
    </w:p>
    <w:p w14:paraId="7C005427" w14:textId="77777777" w:rsidR="008E10D2" w:rsidRPr="00EA62F3" w:rsidRDefault="008E10D2" w:rsidP="005B4ED0">
      <w:pPr>
        <w:jc w:val="both"/>
        <w:rPr>
          <w:rFonts w:ascii="Arial" w:eastAsia="Calibri" w:hAnsi="Arial" w:cs="Arial"/>
          <w:sz w:val="22"/>
          <w:lang w:val="es-ES_tradnl"/>
        </w:rPr>
      </w:pPr>
    </w:p>
    <w:p w14:paraId="33A9648A" w14:textId="4ED9D1E3" w:rsidR="008E10D2" w:rsidRPr="00EA62F3" w:rsidRDefault="008E10D2" w:rsidP="008E10D2">
      <w:pPr>
        <w:spacing w:line="276" w:lineRule="auto"/>
        <w:jc w:val="both"/>
        <w:rPr>
          <w:rFonts w:ascii="Arial" w:eastAsia="Calibri" w:hAnsi="Arial" w:cs="Arial"/>
          <w:sz w:val="22"/>
          <w:lang w:val="es-ES_tradnl"/>
        </w:rPr>
      </w:pPr>
      <w:r w:rsidRPr="00EA62F3">
        <w:rPr>
          <w:rFonts w:ascii="Arial" w:eastAsia="Calibri" w:hAnsi="Arial" w:cs="Arial"/>
          <w:sz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w:t>
      </w:r>
      <w:r w:rsidRPr="00EA62F3">
        <w:rPr>
          <w:rFonts w:ascii="Arial" w:eastAsia="Calibri" w:hAnsi="Arial" w:cs="Arial"/>
          <w:sz w:val="22"/>
          <w:lang w:val="es-ES_tradnl"/>
        </w:rPr>
        <w:lastRenderedPageBreak/>
        <w:t xml:space="preserve">que establezcan las entidades en los pliegos de condiciones o sus </w:t>
      </w:r>
      <w:proofErr w:type="gramStart"/>
      <w:r w:rsidRPr="00EA62F3">
        <w:rPr>
          <w:rFonts w:ascii="Arial" w:eastAsia="Calibri" w:hAnsi="Arial" w:cs="Arial"/>
          <w:sz w:val="22"/>
          <w:lang w:val="es-ES_tradnl"/>
        </w:rPr>
        <w:t>equivalentes,</w:t>
      </w:r>
      <w:proofErr w:type="gramEnd"/>
      <w:r w:rsidRPr="00EA62F3">
        <w:rPr>
          <w:rFonts w:ascii="Arial" w:eastAsia="Calibri" w:hAnsi="Arial" w:cs="Arial"/>
          <w:sz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0482CC17" w14:textId="77777777" w:rsidR="008E10D2" w:rsidRPr="00EA62F3" w:rsidRDefault="008E10D2" w:rsidP="008E10D2">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28DC4C8C" w14:textId="77777777" w:rsidR="008E10D2" w:rsidRPr="00EA62F3" w:rsidRDefault="008E10D2" w:rsidP="008E10D2">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w:t>
      </w:r>
      <w:r w:rsidRPr="00EA62F3">
        <w:rPr>
          <w:rStyle w:val="Refdenotaalpie"/>
          <w:rFonts w:ascii="Arial" w:hAnsi="Arial" w:cs="Arial"/>
          <w:sz w:val="21"/>
          <w:szCs w:val="21"/>
          <w:lang w:val="es-ES_tradnl"/>
        </w:rPr>
        <w:footnoteReference w:id="1"/>
      </w:r>
      <w:r w:rsidRPr="00EA62F3">
        <w:rPr>
          <w:rFonts w:ascii="Arial" w:eastAsia="Calibri" w:hAnsi="Arial" w:cs="Arial"/>
          <w:sz w:val="22"/>
          <w:lang w:val="es-ES_tradnl"/>
        </w:rPr>
        <w:t xml:space="preserve">. </w:t>
      </w:r>
    </w:p>
    <w:p w14:paraId="2671678F" w14:textId="77777777" w:rsidR="008E10D2" w:rsidRPr="00EA62F3" w:rsidRDefault="008E10D2" w:rsidP="008E10D2">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t xml:space="preserve">En tal sentido, la Corte Constitucional explica que cuando la ley establece factores de desempate obligatorios, las entidades estatales no pueden </w:t>
      </w:r>
      <w:proofErr w:type="spellStart"/>
      <w:r w:rsidRPr="00EA62F3">
        <w:rPr>
          <w:rFonts w:ascii="Arial" w:eastAsia="Calibri" w:hAnsi="Arial" w:cs="Arial"/>
          <w:sz w:val="22"/>
          <w:lang w:val="es-ES_tradnl"/>
        </w:rPr>
        <w:t>inaplicarlos</w:t>
      </w:r>
      <w:proofErr w:type="spellEnd"/>
      <w:r w:rsidRPr="00EA62F3">
        <w:rPr>
          <w:rFonts w:ascii="Arial" w:eastAsia="Calibri" w:hAnsi="Arial" w:cs="Arial"/>
          <w:sz w:val="22"/>
          <w:lang w:val="es-ES_tradnl"/>
        </w:rPr>
        <w:t>, porque ello podría vulnerar el principio de igualdad, especialmente, cuando algunos de estos criterios surgen como acciones afirmativas para ciertos sectores de la población</w:t>
      </w:r>
      <w:r w:rsidRPr="00EA62F3">
        <w:rPr>
          <w:rStyle w:val="Refdenotaalpie"/>
          <w:rFonts w:ascii="Arial" w:eastAsia="Calibri" w:hAnsi="Arial" w:cs="Arial"/>
          <w:sz w:val="22"/>
          <w:lang w:val="es-ES_tradnl"/>
        </w:rPr>
        <w:footnoteReference w:id="2"/>
      </w:r>
      <w:r w:rsidRPr="00EA62F3">
        <w:rPr>
          <w:rFonts w:ascii="Arial" w:eastAsia="Calibri" w:hAnsi="Arial" w:cs="Arial"/>
          <w:sz w:val="22"/>
          <w:lang w:val="es-ES_tradnl"/>
        </w:rPr>
        <w:t>. Más aún, según el Consejo de Estado, ir en contra de los factores de desempate establecidos expresamente genera la nulidad del contrato, conforme al artículo 44, inciso 1º de la Ley 80 de 1993</w:t>
      </w:r>
      <w:r w:rsidRPr="00EA62F3">
        <w:rPr>
          <w:rStyle w:val="Refdenotaalpie"/>
          <w:rFonts w:ascii="Arial" w:eastAsia="Calibri" w:hAnsi="Arial" w:cs="Arial"/>
          <w:sz w:val="22"/>
          <w:lang w:val="es-ES_tradnl"/>
        </w:rPr>
        <w:footnoteReference w:id="3"/>
      </w:r>
      <w:r w:rsidRPr="00EA62F3">
        <w:rPr>
          <w:rFonts w:ascii="Arial" w:eastAsia="Calibri" w:hAnsi="Arial" w:cs="Arial"/>
          <w:sz w:val="22"/>
          <w:lang w:val="es-ES_tradnl"/>
        </w:rPr>
        <w:t>.</w:t>
      </w:r>
    </w:p>
    <w:p w14:paraId="679EA47A" w14:textId="77777777" w:rsidR="008E10D2" w:rsidRPr="00EA62F3" w:rsidRDefault="008E10D2" w:rsidP="008E10D2">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lastRenderedPageBreak/>
        <w:t xml:space="preserve">Ahora bien, en cumplimiento de los principios de reciprocidad y de </w:t>
      </w:r>
      <w:r w:rsidRPr="00EA62F3">
        <w:rPr>
          <w:rFonts w:ascii="Arial" w:eastAsia="Calibri" w:hAnsi="Arial" w:cs="Arial"/>
          <w:i/>
          <w:iCs/>
          <w:sz w:val="22"/>
          <w:lang w:val="es-ES_tradnl"/>
        </w:rPr>
        <w:t xml:space="preserve">pacta sunt </w:t>
      </w:r>
      <w:proofErr w:type="spellStart"/>
      <w:r w:rsidRPr="00EA62F3">
        <w:rPr>
          <w:rFonts w:ascii="Arial" w:eastAsia="Calibri" w:hAnsi="Arial" w:cs="Arial"/>
          <w:i/>
          <w:iCs/>
          <w:sz w:val="22"/>
          <w:lang w:val="es-ES_tradnl"/>
        </w:rPr>
        <w:t>servanda</w:t>
      </w:r>
      <w:proofErr w:type="spellEnd"/>
      <w:r w:rsidRPr="00EA62F3">
        <w:rPr>
          <w:rFonts w:ascii="Arial" w:eastAsia="Calibri" w:hAnsi="Arial" w:cs="Arial"/>
          <w:sz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AEE1D44" w14:textId="77777777" w:rsidR="005B4ED0" w:rsidRPr="00EA62F3" w:rsidRDefault="005B4ED0" w:rsidP="005B4ED0">
      <w:pPr>
        <w:tabs>
          <w:tab w:val="left" w:pos="426"/>
        </w:tabs>
        <w:jc w:val="both"/>
        <w:rPr>
          <w:rFonts w:ascii="Arial" w:eastAsia="Calibri" w:hAnsi="Arial" w:cs="Arial"/>
          <w:bCs/>
          <w:sz w:val="22"/>
        </w:rPr>
      </w:pPr>
    </w:p>
    <w:p w14:paraId="033CE93D" w14:textId="594CBF23" w:rsidR="00142C0A" w:rsidRPr="00EA62F3" w:rsidRDefault="00142C0A" w:rsidP="00142C0A">
      <w:pPr>
        <w:spacing w:line="276" w:lineRule="auto"/>
        <w:jc w:val="both"/>
        <w:rPr>
          <w:rFonts w:ascii="Arial" w:eastAsia="Calibri" w:hAnsi="Arial" w:cs="Arial"/>
          <w:b/>
          <w:bCs/>
          <w:sz w:val="22"/>
          <w:lang w:val="es-ES_tradnl"/>
        </w:rPr>
      </w:pPr>
      <w:r w:rsidRPr="00EA62F3">
        <w:rPr>
          <w:rFonts w:ascii="Arial" w:eastAsia="Calibri" w:hAnsi="Arial" w:cs="Arial"/>
          <w:b/>
          <w:bCs/>
          <w:sz w:val="22"/>
          <w:lang w:val="es-ES_tradnl"/>
        </w:rPr>
        <w:t>2.2. Vigencia y ámbito de aplicación de la Ley 2069 de 2020</w:t>
      </w:r>
    </w:p>
    <w:p w14:paraId="7B953DCB" w14:textId="30B3B1DF" w:rsidR="001D2F7F" w:rsidRPr="00EA62F3" w:rsidRDefault="001D2F7F" w:rsidP="005B4ED0">
      <w:pPr>
        <w:jc w:val="both"/>
        <w:rPr>
          <w:rFonts w:ascii="Arial" w:eastAsia="Calibri" w:hAnsi="Arial" w:cs="Arial"/>
          <w:sz w:val="22"/>
          <w:lang w:val="es-ES_tradnl"/>
        </w:rPr>
      </w:pPr>
    </w:p>
    <w:p w14:paraId="27709301" w14:textId="77777777" w:rsidR="001D2F7F" w:rsidRPr="00EA62F3" w:rsidRDefault="001D2F7F" w:rsidP="001D2F7F">
      <w:pPr>
        <w:spacing w:line="276" w:lineRule="auto"/>
        <w:jc w:val="both"/>
        <w:rPr>
          <w:rFonts w:ascii="Arial" w:eastAsia="Calibri" w:hAnsi="Arial" w:cs="Arial"/>
          <w:sz w:val="22"/>
          <w:lang w:val="es-ES_tradnl"/>
        </w:rPr>
      </w:pPr>
      <w:r w:rsidRPr="00EA62F3">
        <w:rPr>
          <w:rFonts w:ascii="Arial" w:eastAsia="Calibri" w:hAnsi="Arial" w:cs="Arial"/>
          <w:sz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4C44363" w14:textId="29ECA174" w:rsidR="001D2F7F" w:rsidRPr="00EA62F3" w:rsidRDefault="001D2F7F" w:rsidP="001D2F7F">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t>En cuan</w:t>
      </w:r>
      <w:r w:rsidR="006F60FB" w:rsidRPr="00EA62F3">
        <w:rPr>
          <w:rFonts w:ascii="Arial" w:eastAsia="Calibri" w:hAnsi="Arial" w:cs="Arial"/>
          <w:sz w:val="22"/>
          <w:lang w:val="es-ES_tradnl"/>
        </w:rPr>
        <w:t>t</w:t>
      </w:r>
      <w:r w:rsidRPr="00EA62F3">
        <w:rPr>
          <w:rFonts w:ascii="Arial" w:eastAsia="Calibri" w:hAnsi="Arial" w:cs="Arial"/>
          <w:sz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EA62F3">
        <w:rPr>
          <w:rFonts w:ascii="Arial" w:eastAsia="Calibri" w:hAnsi="Arial" w:cs="Arial"/>
          <w:sz w:val="22"/>
          <w:lang w:val="es-ES_tradnl"/>
        </w:rPr>
        <w:t>de acuerdo a</w:t>
      </w:r>
      <w:proofErr w:type="gramEnd"/>
      <w:r w:rsidRPr="00EA62F3">
        <w:rPr>
          <w:rFonts w:ascii="Arial" w:eastAsia="Calibri" w:hAnsi="Arial" w:cs="Arial"/>
          <w:sz w:val="22"/>
          <w:lang w:val="es-ES_tradnl"/>
        </w:rPr>
        <w:t xml:space="preserve"> las realidades socioeconómicas de cada región». En desarrollo de esta finalidad, se establecen medidas de apoyo para las micro, pequeñas y medianas empresas –mipymes–, mediante la racionalización y simplificación de los trámites y tarifas</w:t>
      </w:r>
      <w:r w:rsidRPr="00EA62F3">
        <w:rPr>
          <w:rStyle w:val="Refdenotaalpie"/>
          <w:rFonts w:ascii="Arial" w:eastAsia="Calibri" w:hAnsi="Arial" w:cs="Arial"/>
          <w:sz w:val="22"/>
          <w:lang w:val="es-ES_tradnl"/>
        </w:rPr>
        <w:footnoteReference w:id="4"/>
      </w:r>
      <w:r w:rsidRPr="00EA62F3">
        <w:rPr>
          <w:rFonts w:ascii="Arial" w:eastAsia="Calibri" w:hAnsi="Arial" w:cs="Arial"/>
          <w:sz w:val="22"/>
          <w:lang w:val="es-ES_tradnl"/>
        </w:rPr>
        <w:t>, así como incentivos a favor de aquellas dentro del sistema de compras y contratación pública</w:t>
      </w:r>
      <w:r w:rsidRPr="00EA62F3">
        <w:rPr>
          <w:rStyle w:val="Refdenotaalpie"/>
          <w:rFonts w:ascii="Arial" w:eastAsia="Calibri" w:hAnsi="Arial" w:cs="Arial"/>
          <w:sz w:val="22"/>
          <w:lang w:val="es-ES_tradnl"/>
        </w:rPr>
        <w:footnoteReference w:id="5"/>
      </w:r>
      <w:r w:rsidRPr="00EA62F3">
        <w:rPr>
          <w:rFonts w:ascii="Arial" w:eastAsia="Calibri" w:hAnsi="Arial" w:cs="Arial"/>
          <w:sz w:val="22"/>
          <w:lang w:val="es-ES_tradnl"/>
        </w:rPr>
        <w:t>. También se consagran mecanismos de acceso al financiamiento</w:t>
      </w:r>
      <w:r w:rsidRPr="00EA62F3">
        <w:rPr>
          <w:rStyle w:val="Refdenotaalpie"/>
          <w:rFonts w:ascii="Arial" w:eastAsia="Calibri" w:hAnsi="Arial" w:cs="Arial"/>
          <w:sz w:val="22"/>
          <w:lang w:val="es-ES_tradnl"/>
        </w:rPr>
        <w:footnoteReference w:id="6"/>
      </w:r>
      <w:r w:rsidRPr="00EA62F3">
        <w:rPr>
          <w:rFonts w:ascii="Arial" w:eastAsia="Calibri" w:hAnsi="Arial" w:cs="Arial"/>
          <w:sz w:val="22"/>
          <w:lang w:val="es-ES_tradnl"/>
        </w:rPr>
        <w:t>, se unifican las fuentes de emprendimiento y de desarrollo empresarial, para fortalecer y promover los distintos sectores de la economía</w:t>
      </w:r>
      <w:r w:rsidRPr="00EA62F3">
        <w:rPr>
          <w:rStyle w:val="Refdenotaalpie"/>
          <w:rFonts w:ascii="Arial" w:eastAsia="Calibri" w:hAnsi="Arial" w:cs="Arial"/>
          <w:sz w:val="22"/>
          <w:lang w:val="es-ES_tradnl"/>
        </w:rPr>
        <w:footnoteReference w:id="7"/>
      </w:r>
      <w:r w:rsidRPr="00EA62F3">
        <w:rPr>
          <w:rFonts w:ascii="Arial" w:eastAsia="Calibri" w:hAnsi="Arial" w:cs="Arial"/>
          <w:sz w:val="22"/>
          <w:lang w:val="es-ES_tradnl"/>
        </w:rPr>
        <w:t xml:space="preserve"> y se prevén medidas de educación para el emprendimiento y la innovación</w:t>
      </w:r>
      <w:r w:rsidRPr="00EA62F3">
        <w:rPr>
          <w:rStyle w:val="Refdenotaalpie"/>
          <w:rFonts w:ascii="Arial" w:eastAsia="Calibri" w:hAnsi="Arial" w:cs="Arial"/>
          <w:sz w:val="22"/>
          <w:lang w:val="es-ES_tradnl"/>
        </w:rPr>
        <w:footnoteReference w:id="8"/>
      </w:r>
      <w:r w:rsidRPr="00EA62F3">
        <w:rPr>
          <w:rFonts w:ascii="Arial" w:eastAsia="Calibri" w:hAnsi="Arial" w:cs="Arial"/>
          <w:sz w:val="22"/>
          <w:lang w:val="es-ES_tradnl"/>
        </w:rPr>
        <w:t>.</w:t>
      </w:r>
    </w:p>
    <w:p w14:paraId="185A0562" w14:textId="7E82F1FB" w:rsidR="001D2F7F" w:rsidRPr="00EA62F3" w:rsidRDefault="001D2F7F" w:rsidP="00142C0A">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lastRenderedPageBreak/>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w:t>
      </w:r>
      <w:proofErr w:type="spellStart"/>
      <w:r w:rsidRPr="00EA62F3">
        <w:rPr>
          <w:rFonts w:ascii="Arial" w:eastAsia="Calibri" w:hAnsi="Arial" w:cs="Arial"/>
          <w:sz w:val="22"/>
          <w:lang w:val="es-ES_tradnl"/>
        </w:rPr>
        <w:t>ii</w:t>
      </w:r>
      <w:proofErr w:type="spellEnd"/>
      <w:r w:rsidRPr="00EA62F3">
        <w:rPr>
          <w:rFonts w:ascii="Arial" w:eastAsia="Calibri" w:hAnsi="Arial" w:cs="Arial"/>
          <w:sz w:val="22"/>
          <w:lang w:val="es-ES_tradnl"/>
        </w:rPr>
        <w:t xml:space="preserve">) criterios diferenciales para mipymes en el sistema de compras públicas, </w:t>
      </w:r>
      <w:proofErr w:type="spellStart"/>
      <w:r w:rsidRPr="00EA62F3">
        <w:rPr>
          <w:rFonts w:ascii="Arial" w:eastAsia="Calibri" w:hAnsi="Arial" w:cs="Arial"/>
          <w:sz w:val="22"/>
          <w:lang w:val="es-ES_tradnl"/>
        </w:rPr>
        <w:t>iii</w:t>
      </w:r>
      <w:proofErr w:type="spellEnd"/>
      <w:r w:rsidRPr="00EA62F3">
        <w:rPr>
          <w:rFonts w:ascii="Arial" w:eastAsia="Calibri" w:hAnsi="Arial" w:cs="Arial"/>
          <w:sz w:val="22"/>
          <w:lang w:val="es-ES_tradnl"/>
        </w:rPr>
        <w:t xml:space="preserve">) criterios diferenciales para emprendimientos y empresas de mujeres en el sistema de compras públicas, </w:t>
      </w:r>
      <w:proofErr w:type="spellStart"/>
      <w:r w:rsidRPr="00EA62F3">
        <w:rPr>
          <w:rFonts w:ascii="Arial" w:eastAsia="Calibri" w:hAnsi="Arial" w:cs="Arial"/>
          <w:sz w:val="22"/>
          <w:lang w:val="es-ES_tradnl"/>
        </w:rPr>
        <w:t>iv</w:t>
      </w:r>
      <w:proofErr w:type="spellEnd"/>
      <w:r w:rsidRPr="00EA62F3">
        <w:rPr>
          <w:rFonts w:ascii="Arial" w:eastAsia="Calibri" w:hAnsi="Arial" w:cs="Arial"/>
          <w:sz w:val="22"/>
          <w:lang w:val="es-ES_tradnl"/>
        </w:rPr>
        <w:t xml:space="preserve">)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114DAA83" w14:textId="77777777" w:rsidR="00142C0A" w:rsidRPr="00EA62F3" w:rsidRDefault="00142C0A" w:rsidP="0027167F">
      <w:pPr>
        <w:tabs>
          <w:tab w:val="left" w:pos="709"/>
        </w:tabs>
        <w:jc w:val="both"/>
        <w:rPr>
          <w:rFonts w:ascii="Arial" w:eastAsia="Calibri" w:hAnsi="Arial" w:cs="Arial"/>
          <w:b/>
          <w:bCs/>
          <w:sz w:val="22"/>
          <w:lang w:val="es-ES_tradnl"/>
        </w:rPr>
      </w:pPr>
    </w:p>
    <w:p w14:paraId="6B9327D9" w14:textId="4D9B412A" w:rsidR="00142C0A" w:rsidRPr="00EA62F3" w:rsidRDefault="00142C0A" w:rsidP="00142C0A">
      <w:pPr>
        <w:tabs>
          <w:tab w:val="left" w:pos="709"/>
        </w:tabs>
        <w:spacing w:line="276" w:lineRule="auto"/>
        <w:jc w:val="both"/>
        <w:rPr>
          <w:rFonts w:ascii="Arial" w:eastAsia="Calibri" w:hAnsi="Arial" w:cs="Arial"/>
          <w:b/>
          <w:sz w:val="22"/>
        </w:rPr>
      </w:pPr>
      <w:r w:rsidRPr="00EA62F3">
        <w:rPr>
          <w:rFonts w:ascii="Arial" w:eastAsia="Calibri" w:hAnsi="Arial" w:cs="Arial"/>
          <w:b/>
          <w:bCs/>
          <w:sz w:val="22"/>
          <w:lang w:val="es-ES_tradnl"/>
        </w:rPr>
        <w:t xml:space="preserve">2.3. </w:t>
      </w:r>
      <w:r w:rsidRPr="00EA62F3">
        <w:rPr>
          <w:rFonts w:ascii="Arial" w:eastAsia="Calibri" w:hAnsi="Arial" w:cs="Arial"/>
          <w:b/>
          <w:sz w:val="22"/>
        </w:rPr>
        <w:t>Los factores de desempate del artículo 35 de la Ley 2069 de 2020</w:t>
      </w:r>
    </w:p>
    <w:p w14:paraId="3504B983" w14:textId="77777777" w:rsidR="00142C0A" w:rsidRPr="00EA62F3" w:rsidRDefault="00142C0A" w:rsidP="0027167F">
      <w:pPr>
        <w:tabs>
          <w:tab w:val="left" w:pos="709"/>
        </w:tabs>
        <w:jc w:val="both"/>
        <w:rPr>
          <w:rFonts w:ascii="Arial" w:eastAsia="Calibri" w:hAnsi="Arial" w:cs="Arial"/>
          <w:bCs/>
          <w:sz w:val="22"/>
        </w:rPr>
      </w:pPr>
    </w:p>
    <w:p w14:paraId="4EF2B178" w14:textId="77777777" w:rsidR="00823148" w:rsidRPr="00EA62F3" w:rsidRDefault="00823148" w:rsidP="00823148">
      <w:pPr>
        <w:spacing w:line="276" w:lineRule="auto"/>
        <w:jc w:val="both"/>
        <w:rPr>
          <w:rFonts w:ascii="Arial" w:eastAsia="Calibri" w:hAnsi="Arial" w:cs="Arial"/>
          <w:sz w:val="22"/>
          <w:lang w:val="es-ES_tradnl"/>
        </w:rPr>
      </w:pPr>
      <w:bookmarkStart w:id="4" w:name="_Hlk62459524"/>
      <w:r w:rsidRPr="00EA62F3">
        <w:rPr>
          <w:rFonts w:ascii="Arial" w:eastAsia="Calibri" w:hAnsi="Arial" w:cs="Arial"/>
          <w:sz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Subdirección de Gestión 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4F8F3756" w14:textId="77777777" w:rsidR="00823148" w:rsidRPr="00EA62F3" w:rsidRDefault="00823148" w:rsidP="00823148">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444AC9EA" w14:textId="77777777" w:rsidR="00823148" w:rsidRPr="00EA62F3" w:rsidRDefault="00823148" w:rsidP="00823148">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t xml:space="preserve">Por ejemplo, en lo que a las compras públicas se refiere, el parágrafo primero del artículo 30, que alude a la participación de mipymes en procedimientos de mínima cuantía, establece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0430F086" w14:textId="77777777" w:rsidR="00823148" w:rsidRPr="00EA62F3" w:rsidRDefault="00823148" w:rsidP="00823148">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t xml:space="preserve">Así mismo, el artículo 31, en el segundo inciso, determina que «El Gobierno Nacional reglamentará la definición de los criterios diferenciales, sobre reglas objetivas que </w:t>
      </w:r>
      <w:r w:rsidRPr="00EA62F3">
        <w:rPr>
          <w:rFonts w:ascii="Arial" w:eastAsia="Calibri" w:hAnsi="Arial" w:cs="Arial"/>
          <w:sz w:val="22"/>
          <w:lang w:val="es-ES_tradnl"/>
        </w:rPr>
        <w:lastRenderedPageBreak/>
        <w:t>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4880857" w14:textId="77777777" w:rsidR="00823148" w:rsidRPr="00EA62F3" w:rsidRDefault="00823148" w:rsidP="00823148">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t xml:space="preserve">Lo mismo no sucede con el artículo 35. En efecto, </w:t>
      </w:r>
      <w:r w:rsidRPr="00EA62F3">
        <w:rPr>
          <w:rFonts w:ascii="Arial" w:hAnsi="Arial" w:cs="Arial"/>
          <w:sz w:val="22"/>
          <w:lang w:val="es-ES_tradnl"/>
        </w:rPr>
        <w:t>si bien los factores de desempate regulados en el artículo 35 deben aplicarse «</w:t>
      </w:r>
      <w:r w:rsidRPr="00EA62F3">
        <w:rPr>
          <w:rFonts w:ascii="Arial" w:hAnsi="Arial" w:cs="Arial"/>
          <w:lang w:val="es-ES_tradnl"/>
        </w:rPr>
        <w:t xml:space="preserve">[…] </w:t>
      </w:r>
      <w:r w:rsidRPr="00EA62F3">
        <w:rPr>
          <w:rFonts w:ascii="Arial" w:hAnsi="Arial" w:cs="Arial"/>
          <w:sz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EA62F3">
        <w:rPr>
          <w:rFonts w:ascii="Arial" w:eastAsia="Calibri" w:hAnsi="Arial" w:cs="Arial"/>
          <w:sz w:val="22"/>
          <w:lang w:val="es-ES_tradnl"/>
        </w:rPr>
        <w:t xml:space="preserve">  </w:t>
      </w:r>
    </w:p>
    <w:p w14:paraId="51B4CC45" w14:textId="77777777" w:rsidR="00823148" w:rsidRPr="00EA62F3" w:rsidRDefault="00823148" w:rsidP="00823148">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EA62F3">
        <w:rPr>
          <w:rFonts w:ascii="Arial" w:eastAsia="Calibri" w:hAnsi="Arial" w:cs="Arial"/>
          <w:i/>
          <w:iCs/>
          <w:sz w:val="22"/>
          <w:lang w:val="es-ES_tradnl"/>
        </w:rPr>
        <w:t>podrá reglamentar</w:t>
      </w:r>
      <w:r w:rsidRPr="00EA62F3">
        <w:rPr>
          <w:rFonts w:ascii="Arial" w:eastAsia="Calibri" w:hAnsi="Arial" w:cs="Arial"/>
          <w:sz w:val="22"/>
          <w:lang w:val="es-ES_tradnl"/>
        </w:rPr>
        <w:t xml:space="preserve"> la aplicación de factores de desempate en casos en que concurran dos o más de los factores aquí previstos» (Énfasis fuera de texto).</w:t>
      </w:r>
    </w:p>
    <w:p w14:paraId="200D44AA" w14:textId="58ADE0CD" w:rsidR="00823148" w:rsidRPr="00EA62F3" w:rsidRDefault="00823148" w:rsidP="00823148">
      <w:pPr>
        <w:spacing w:before="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0F8683DC" w14:textId="77777777" w:rsidR="00D55BCC" w:rsidRPr="00EA62F3" w:rsidRDefault="00D55BCC" w:rsidP="00D55BCC">
      <w:pPr>
        <w:spacing w:before="120" w:line="276" w:lineRule="auto"/>
        <w:ind w:firstLine="709"/>
        <w:jc w:val="both"/>
        <w:rPr>
          <w:rFonts w:ascii="Arial" w:hAnsi="Arial" w:cs="Arial"/>
          <w:sz w:val="22"/>
          <w:lang w:val="es-ES_tradnl"/>
        </w:rPr>
      </w:pPr>
      <w:r w:rsidRPr="00EA62F3">
        <w:rPr>
          <w:rFonts w:ascii="Arial" w:hAnsi="Arial" w:cs="Arial"/>
          <w:sz w:val="22"/>
          <w:lang w:val="es-ES_tradnl"/>
        </w:rPr>
        <w:t xml:space="preserve">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w:t>
      </w:r>
      <w:r w:rsidRPr="00EA62F3">
        <w:rPr>
          <w:rFonts w:ascii="Arial" w:hAnsi="Arial" w:cs="Arial"/>
          <w:sz w:val="22"/>
          <w:lang w:val="es-ES_tradnl"/>
        </w:rPr>
        <w:lastRenderedPageBreak/>
        <w:t xml:space="preserve">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 </w:t>
      </w:r>
    </w:p>
    <w:p w14:paraId="3810002E" w14:textId="3B5369F3" w:rsidR="00823148" w:rsidRPr="00EA62F3" w:rsidRDefault="00823148" w:rsidP="00823148">
      <w:pPr>
        <w:spacing w:before="120" w:line="276" w:lineRule="auto"/>
        <w:ind w:firstLine="709"/>
        <w:jc w:val="both"/>
        <w:rPr>
          <w:rFonts w:ascii="Arial" w:hAnsi="Arial" w:cs="Arial"/>
          <w:sz w:val="22"/>
          <w:lang w:val="es-ES_tradnl"/>
        </w:rPr>
      </w:pPr>
      <w:r w:rsidRPr="00EA62F3">
        <w:rPr>
          <w:rFonts w:ascii="Arial" w:eastAsia="Calibri" w:hAnsi="Arial" w:cs="Arial"/>
          <w:sz w:val="22"/>
          <w:lang w:val="es-ES_tradnl"/>
        </w:rPr>
        <w:t xml:space="preserve">Luego de aclarar que el artículo 35 de la Ley 2069 de 2020 se encuentra vigente y que no requiere reglamentación previa para que sea exigible en los procedimientos de selección, es menester hacer referencia al objeto de la consulta. </w:t>
      </w:r>
      <w:r w:rsidR="004A59A7" w:rsidRPr="00EA62F3">
        <w:rPr>
          <w:rFonts w:ascii="Arial" w:eastAsia="Calibri" w:hAnsi="Arial" w:cs="Arial"/>
          <w:sz w:val="22"/>
          <w:lang w:val="es-ES_tradnl"/>
        </w:rPr>
        <w:t>Esta se formula</w:t>
      </w:r>
      <w:r w:rsidRPr="00EA62F3">
        <w:rPr>
          <w:rFonts w:ascii="Arial" w:eastAsia="Calibri" w:hAnsi="Arial" w:cs="Arial"/>
          <w:sz w:val="22"/>
          <w:lang w:val="es-ES_tradnl"/>
        </w:rPr>
        <w:t xml:space="preserve"> sobre la aplicación del factor de desempate previsto </w:t>
      </w:r>
      <w:r w:rsidR="004A59A7" w:rsidRPr="00EA62F3">
        <w:rPr>
          <w:rFonts w:ascii="Arial" w:eastAsia="Calibri" w:hAnsi="Arial" w:cs="Arial"/>
          <w:sz w:val="22"/>
          <w:lang w:val="es-ES_tradnl"/>
        </w:rPr>
        <w:t>para la cooperativas y asociaciones mutuales</w:t>
      </w:r>
      <w:r w:rsidRPr="00EA62F3">
        <w:rPr>
          <w:rFonts w:ascii="Arial" w:eastAsia="Calibri" w:hAnsi="Arial" w:cs="Arial"/>
          <w:sz w:val="22"/>
          <w:lang w:val="es-ES_tradnl"/>
        </w:rPr>
        <w:t xml:space="preserve">. </w:t>
      </w:r>
      <w:r w:rsidR="004A59A7" w:rsidRPr="00EA62F3">
        <w:rPr>
          <w:rFonts w:ascii="Arial" w:eastAsia="Calibri" w:hAnsi="Arial" w:cs="Arial"/>
          <w:sz w:val="22"/>
          <w:lang w:val="es-ES_tradnl"/>
        </w:rPr>
        <w:t>Al respecto, los numerales 8 y 9 del artículo 35 de la Ley de Emprendimiento disponen</w:t>
      </w:r>
      <w:r w:rsidRPr="00EA62F3">
        <w:rPr>
          <w:rFonts w:ascii="Arial" w:hAnsi="Arial" w:cs="Arial"/>
          <w:sz w:val="22"/>
          <w:lang w:val="es-ES_tradnl"/>
        </w:rPr>
        <w:t xml:space="preserve">: </w:t>
      </w:r>
    </w:p>
    <w:p w14:paraId="6B3C24EA" w14:textId="77777777" w:rsidR="00AD35D2" w:rsidRPr="00EA62F3" w:rsidRDefault="00AD35D2" w:rsidP="00AD35D2">
      <w:pPr>
        <w:spacing w:line="276" w:lineRule="auto"/>
        <w:ind w:left="709" w:right="709"/>
        <w:jc w:val="both"/>
        <w:rPr>
          <w:rFonts w:ascii="Arial" w:hAnsi="Arial" w:cs="Arial"/>
          <w:sz w:val="22"/>
          <w:lang w:val="es-ES_tradnl"/>
        </w:rPr>
      </w:pPr>
    </w:p>
    <w:p w14:paraId="2C299F9F" w14:textId="0A146839" w:rsidR="00AD35D2" w:rsidRPr="00EA62F3" w:rsidRDefault="00AD35D2" w:rsidP="00EA62F3">
      <w:pPr>
        <w:spacing w:after="120"/>
        <w:ind w:left="709" w:right="709"/>
        <w:jc w:val="both"/>
        <w:rPr>
          <w:rFonts w:ascii="Arial" w:hAnsi="Arial" w:cs="Arial"/>
          <w:sz w:val="21"/>
          <w:szCs w:val="21"/>
          <w:lang w:val="es-ES_tradnl"/>
        </w:rPr>
      </w:pPr>
      <w:r w:rsidRPr="00EA62F3">
        <w:rPr>
          <w:rFonts w:ascii="Arial" w:hAnsi="Arial" w:cs="Arial"/>
          <w:sz w:val="21"/>
          <w:szCs w:val="21"/>
          <w:lang w:val="es-ES_tradnl"/>
        </w:rPr>
        <w:t xml:space="preserve">8. Preferir la oferta presentada por una MiPymes o cooperativas o asociaciones mutuales; o un proponente plural constituido por Mipymes, cooperativas o asociaciones mutuales.  </w:t>
      </w:r>
    </w:p>
    <w:p w14:paraId="5019A6BC" w14:textId="4BEEF71F" w:rsidR="00252894" w:rsidRPr="00EA62F3" w:rsidRDefault="00AD35D2">
      <w:pPr>
        <w:ind w:left="709" w:right="709"/>
        <w:jc w:val="both"/>
        <w:rPr>
          <w:rFonts w:ascii="Arial" w:hAnsi="Arial" w:cs="Arial"/>
          <w:sz w:val="21"/>
          <w:szCs w:val="21"/>
          <w:lang w:val="es-ES_tradnl"/>
        </w:rPr>
      </w:pPr>
      <w:r w:rsidRPr="00EA62F3">
        <w:rPr>
          <w:rFonts w:ascii="Arial" w:hAnsi="Arial" w:cs="Arial"/>
          <w:sz w:val="21"/>
          <w:szCs w:val="21"/>
          <w:lang w:val="es-ES_tradnl"/>
        </w:rPr>
        <w:t xml:space="preserve">9. Preferir la oferta presentada por el proponente plural constituido por micro y/o pequeñas empresas, cooperativas o asociaciones mutuales.  </w:t>
      </w:r>
    </w:p>
    <w:p w14:paraId="24B38F3E" w14:textId="298B44BE" w:rsidR="00252894" w:rsidRPr="00EA62F3" w:rsidRDefault="00252894" w:rsidP="00EA62F3">
      <w:pPr>
        <w:spacing w:after="120"/>
        <w:ind w:left="709" w:right="709"/>
        <w:jc w:val="both"/>
        <w:rPr>
          <w:rStyle w:val="Textoennegrita"/>
          <w:rFonts w:ascii="Arial" w:hAnsi="Arial" w:cs="Arial"/>
          <w:b w:val="0"/>
          <w:bCs w:val="0"/>
          <w:sz w:val="21"/>
          <w:szCs w:val="21"/>
        </w:rPr>
      </w:pPr>
      <w:r w:rsidRPr="00EA62F3">
        <w:rPr>
          <w:rFonts w:ascii="Arial" w:hAnsi="Arial" w:cs="Arial"/>
          <w:sz w:val="21"/>
          <w:szCs w:val="21"/>
          <w:lang w:val="es-ES_tradnl"/>
        </w:rPr>
        <w:t>[…]</w:t>
      </w:r>
    </w:p>
    <w:p w14:paraId="2B8FF0DC" w14:textId="6DA9C33B" w:rsidR="00252894" w:rsidRPr="00EA62F3" w:rsidRDefault="00252894" w:rsidP="00252894">
      <w:pPr>
        <w:ind w:left="709" w:right="709"/>
        <w:jc w:val="both"/>
        <w:rPr>
          <w:rFonts w:ascii="Arial" w:hAnsi="Arial" w:cs="Arial"/>
          <w:sz w:val="21"/>
          <w:szCs w:val="21"/>
          <w:lang w:val="es-ES_tradnl"/>
        </w:rPr>
      </w:pPr>
      <w:r w:rsidRPr="00EA62F3">
        <w:rPr>
          <w:rStyle w:val="Textoennegrita"/>
          <w:rFonts w:ascii="Arial" w:hAnsi="Arial" w:cs="Arial"/>
          <w:b w:val="0"/>
          <w:bCs w:val="0"/>
          <w:sz w:val="21"/>
          <w:szCs w:val="21"/>
        </w:rPr>
        <w:t>Parágrafo primero.</w:t>
      </w:r>
      <w:r w:rsidRPr="00EA62F3">
        <w:rPr>
          <w:rFonts w:ascii="Arial" w:hAnsi="Arial" w:cs="Arial"/>
          <w:sz w:val="21"/>
          <w:szCs w:val="21"/>
        </w:rPr>
        <w:t> Los factores de desempate serán aplicables en el caso de las cooperativas y asociaciones mutuales que cumplan con los criterios de clasificación empresarial, definidos por el Decreto 957 de 2019, priorizando aquellas que sean micro, pequeñas o medianas.  </w:t>
      </w:r>
    </w:p>
    <w:p w14:paraId="4961415D" w14:textId="77777777" w:rsidR="000345E6" w:rsidRPr="00EA62F3" w:rsidRDefault="000345E6" w:rsidP="000345E6">
      <w:pPr>
        <w:spacing w:line="276" w:lineRule="auto"/>
        <w:ind w:firstLine="709"/>
        <w:jc w:val="both"/>
        <w:rPr>
          <w:rFonts w:ascii="Arial" w:eastAsia="Calibri" w:hAnsi="Arial" w:cs="Arial"/>
          <w:sz w:val="22"/>
          <w:lang w:val="es-ES_tradnl"/>
        </w:rPr>
      </w:pPr>
    </w:p>
    <w:p w14:paraId="4DC5F2DF" w14:textId="0A9754B2" w:rsidR="006D10AD" w:rsidRPr="00EA62F3" w:rsidRDefault="002A6F67" w:rsidP="00EA62F3">
      <w:pPr>
        <w:spacing w:line="276" w:lineRule="auto"/>
        <w:ind w:firstLine="709"/>
        <w:jc w:val="both"/>
        <w:rPr>
          <w:rFonts w:ascii="Arial" w:hAnsi="Arial" w:cs="Arial"/>
          <w:sz w:val="22"/>
          <w:lang w:val="es-ES_tradnl"/>
        </w:rPr>
      </w:pPr>
      <w:r w:rsidRPr="00EA62F3">
        <w:rPr>
          <w:rFonts w:ascii="Arial" w:hAnsi="Arial" w:cs="Arial"/>
          <w:sz w:val="22"/>
          <w:lang w:val="es-ES_tradnl"/>
        </w:rPr>
        <w:t>E</w:t>
      </w:r>
      <w:r w:rsidR="002E4C8F" w:rsidRPr="00EA62F3">
        <w:rPr>
          <w:rFonts w:ascii="Arial" w:hAnsi="Arial" w:cs="Arial"/>
          <w:sz w:val="22"/>
          <w:lang w:val="es-ES_tradnl"/>
        </w:rPr>
        <w:t>l factor de desempate del numeral 8</w:t>
      </w:r>
      <w:r w:rsidR="00C44121" w:rsidRPr="00EA62F3">
        <w:rPr>
          <w:rFonts w:ascii="Arial" w:hAnsi="Arial" w:cs="Arial"/>
          <w:sz w:val="22"/>
          <w:lang w:val="es-ES_tradnl"/>
        </w:rPr>
        <w:t xml:space="preserve"> establece el deber de preferir las ofertas presentadas por mipymes o cooperativas o asociaciones mutuales, o la del proponente plural constituido por </w:t>
      </w:r>
      <w:r w:rsidR="00DC2988" w:rsidRPr="00EA62F3">
        <w:rPr>
          <w:rFonts w:ascii="Arial" w:hAnsi="Arial" w:cs="Arial"/>
          <w:sz w:val="22"/>
          <w:lang w:val="es-ES_tradnl"/>
        </w:rPr>
        <w:t>m</w:t>
      </w:r>
      <w:r w:rsidR="00C44121" w:rsidRPr="00EA62F3">
        <w:rPr>
          <w:rFonts w:ascii="Arial" w:hAnsi="Arial" w:cs="Arial"/>
          <w:sz w:val="22"/>
          <w:lang w:val="es-ES_tradnl"/>
        </w:rPr>
        <w:t>ipymes, cooperativas o asociaciones mutuales</w:t>
      </w:r>
      <w:r w:rsidR="00DC2988" w:rsidRPr="00EA62F3">
        <w:rPr>
          <w:rFonts w:ascii="Arial" w:hAnsi="Arial" w:cs="Arial"/>
          <w:sz w:val="22"/>
          <w:lang w:val="es-ES_tradnl"/>
        </w:rPr>
        <w:t xml:space="preserve">. </w:t>
      </w:r>
      <w:r w:rsidRPr="00EA62F3">
        <w:rPr>
          <w:rFonts w:ascii="Arial" w:hAnsi="Arial" w:cs="Arial"/>
          <w:sz w:val="22"/>
          <w:lang w:val="es-ES_tradnl"/>
        </w:rPr>
        <w:t xml:space="preserve">Como se advierte, </w:t>
      </w:r>
      <w:r w:rsidR="00DC2988" w:rsidRPr="00EA62F3">
        <w:rPr>
          <w:rFonts w:ascii="Arial" w:hAnsi="Arial" w:cs="Arial"/>
          <w:sz w:val="22"/>
          <w:lang w:val="es-ES_tradnl"/>
        </w:rPr>
        <w:t xml:space="preserve">este factor beneficia a </w:t>
      </w:r>
      <w:r w:rsidRPr="00EA62F3">
        <w:rPr>
          <w:rFonts w:ascii="Arial" w:hAnsi="Arial" w:cs="Arial"/>
          <w:sz w:val="22"/>
          <w:lang w:val="es-ES_tradnl"/>
        </w:rPr>
        <w:t>las mipymes, cooperativas</w:t>
      </w:r>
      <w:r w:rsidR="00E526A3" w:rsidRPr="00EA62F3">
        <w:rPr>
          <w:rFonts w:ascii="Arial" w:hAnsi="Arial" w:cs="Arial"/>
          <w:sz w:val="22"/>
          <w:lang w:val="es-ES_tradnl"/>
        </w:rPr>
        <w:t xml:space="preserve">, asociaciones mutuales, o proponentes plurales conformados por </w:t>
      </w:r>
      <w:r w:rsidR="0076010F" w:rsidRPr="00EA62F3">
        <w:rPr>
          <w:rFonts w:ascii="Arial" w:hAnsi="Arial" w:cs="Arial"/>
          <w:sz w:val="22"/>
          <w:lang w:val="es-ES_tradnl"/>
        </w:rPr>
        <w:t>tales tipos de</w:t>
      </w:r>
      <w:r w:rsidR="00653A59" w:rsidRPr="00EA62F3">
        <w:rPr>
          <w:rFonts w:ascii="Arial" w:hAnsi="Arial" w:cs="Arial"/>
          <w:sz w:val="22"/>
          <w:lang w:val="es-ES_tradnl"/>
        </w:rPr>
        <w:t xml:space="preserve"> </w:t>
      </w:r>
      <w:r w:rsidR="00D55BCC" w:rsidRPr="00EA62F3">
        <w:rPr>
          <w:rFonts w:ascii="Arial" w:hAnsi="Arial" w:cs="Arial"/>
          <w:sz w:val="22"/>
          <w:lang w:val="es-ES_tradnl"/>
        </w:rPr>
        <w:t>empresas</w:t>
      </w:r>
      <w:r w:rsidR="0076010F" w:rsidRPr="00EA62F3">
        <w:rPr>
          <w:rFonts w:ascii="Arial" w:hAnsi="Arial" w:cs="Arial"/>
          <w:sz w:val="22"/>
          <w:lang w:val="es-ES_tradnl"/>
        </w:rPr>
        <w:t>, cuando sus ofertas se</w:t>
      </w:r>
      <w:r w:rsidR="00653A59" w:rsidRPr="00EA62F3">
        <w:rPr>
          <w:rFonts w:ascii="Arial" w:hAnsi="Arial" w:cs="Arial"/>
          <w:sz w:val="22"/>
          <w:lang w:val="es-ES_tradnl"/>
        </w:rPr>
        <w:t xml:space="preserve"> encuentren </w:t>
      </w:r>
      <w:r w:rsidR="006D10AD" w:rsidRPr="00EA62F3">
        <w:rPr>
          <w:rFonts w:ascii="Arial" w:hAnsi="Arial" w:cs="Arial"/>
          <w:sz w:val="22"/>
          <w:lang w:val="es-ES_tradnl"/>
        </w:rPr>
        <w:t xml:space="preserve">en situación de empate con las de </w:t>
      </w:r>
      <w:r w:rsidR="00C422CC" w:rsidRPr="00EA62F3">
        <w:rPr>
          <w:rFonts w:ascii="Arial" w:hAnsi="Arial" w:cs="Arial"/>
          <w:sz w:val="22"/>
          <w:lang w:val="es-ES_tradnl"/>
        </w:rPr>
        <w:t>empresas o sociedades</w:t>
      </w:r>
      <w:r w:rsidR="00ED7FEF" w:rsidRPr="00EA62F3">
        <w:rPr>
          <w:rFonts w:ascii="Arial" w:hAnsi="Arial" w:cs="Arial"/>
          <w:sz w:val="22"/>
          <w:lang w:val="es-ES_tradnl"/>
        </w:rPr>
        <w:t xml:space="preserve"> que no correspondan a tales categorías. </w:t>
      </w:r>
    </w:p>
    <w:p w14:paraId="6D559CDB" w14:textId="50E70224" w:rsidR="002E4C8F" w:rsidRPr="00EA62F3" w:rsidRDefault="00ED7FEF" w:rsidP="002F33F8">
      <w:pPr>
        <w:spacing w:before="120" w:line="276" w:lineRule="auto"/>
        <w:ind w:firstLine="709"/>
        <w:jc w:val="both"/>
        <w:rPr>
          <w:rFonts w:ascii="Arial" w:hAnsi="Arial" w:cs="Arial"/>
          <w:sz w:val="22"/>
          <w:lang w:val="es-ES_tradnl"/>
        </w:rPr>
      </w:pPr>
      <w:r w:rsidRPr="00EA62F3">
        <w:rPr>
          <w:rFonts w:ascii="Arial" w:hAnsi="Arial" w:cs="Arial"/>
          <w:sz w:val="22"/>
          <w:lang w:val="es-ES_tradnl"/>
        </w:rPr>
        <w:t xml:space="preserve">En ese sentido, si </w:t>
      </w:r>
      <w:r w:rsidR="00DF4A49" w:rsidRPr="00EA62F3">
        <w:rPr>
          <w:rFonts w:ascii="Arial" w:hAnsi="Arial" w:cs="Arial"/>
          <w:sz w:val="22"/>
          <w:lang w:val="es-ES_tradnl"/>
        </w:rPr>
        <w:t>en el marco</w:t>
      </w:r>
      <w:r w:rsidR="00015D5E" w:rsidRPr="00EA62F3">
        <w:rPr>
          <w:rFonts w:ascii="Arial" w:hAnsi="Arial" w:cs="Arial"/>
          <w:sz w:val="22"/>
          <w:lang w:val="es-ES_tradnl"/>
        </w:rPr>
        <w:t xml:space="preserve"> de la</w:t>
      </w:r>
      <w:r w:rsidR="00DF4A49" w:rsidRPr="00EA62F3">
        <w:rPr>
          <w:rFonts w:ascii="Arial" w:hAnsi="Arial" w:cs="Arial"/>
          <w:sz w:val="22"/>
          <w:lang w:val="es-ES_tradnl"/>
        </w:rPr>
        <w:t xml:space="preserve"> aplicación </w:t>
      </w:r>
      <w:r w:rsidR="00015D5E" w:rsidRPr="00EA62F3">
        <w:rPr>
          <w:rFonts w:ascii="Arial" w:hAnsi="Arial" w:cs="Arial"/>
          <w:sz w:val="22"/>
          <w:lang w:val="es-ES_tradnl"/>
        </w:rPr>
        <w:t>sucesiva y excluyente de los numerales</w:t>
      </w:r>
      <w:r w:rsidR="001647C9" w:rsidRPr="00EA62F3">
        <w:rPr>
          <w:rFonts w:ascii="Arial" w:hAnsi="Arial" w:cs="Arial"/>
          <w:sz w:val="22"/>
          <w:lang w:val="es-ES_tradnl"/>
        </w:rPr>
        <w:t xml:space="preserve"> 1 a 7</w:t>
      </w:r>
      <w:r w:rsidR="00015D5E" w:rsidRPr="00EA62F3">
        <w:rPr>
          <w:rFonts w:ascii="Arial" w:hAnsi="Arial" w:cs="Arial"/>
          <w:sz w:val="22"/>
          <w:lang w:val="es-ES_tradnl"/>
        </w:rPr>
        <w:t xml:space="preserve"> del artículo 35 </w:t>
      </w:r>
      <w:r w:rsidR="00015D5E" w:rsidRPr="00EA62F3">
        <w:rPr>
          <w:rFonts w:ascii="Arial" w:hAnsi="Arial" w:cs="Arial"/>
          <w:i/>
          <w:iCs/>
          <w:sz w:val="22"/>
          <w:lang w:val="es-ES_tradnl"/>
        </w:rPr>
        <w:t>Ibídem</w:t>
      </w:r>
      <w:r w:rsidR="00015D5E" w:rsidRPr="00EA62F3">
        <w:rPr>
          <w:rFonts w:ascii="Arial" w:hAnsi="Arial" w:cs="Arial"/>
          <w:sz w:val="22"/>
          <w:lang w:val="es-ES_tradnl"/>
        </w:rPr>
        <w:t xml:space="preserve">, no se logra </w:t>
      </w:r>
      <w:r w:rsidR="00DA4DE0" w:rsidRPr="00EA62F3">
        <w:rPr>
          <w:rFonts w:ascii="Arial" w:hAnsi="Arial" w:cs="Arial"/>
          <w:sz w:val="22"/>
          <w:lang w:val="es-ES_tradnl"/>
        </w:rPr>
        <w:t xml:space="preserve">resolver el empate, la entidad deberá aplicar el </w:t>
      </w:r>
      <w:r w:rsidR="002F33F8" w:rsidRPr="00EA62F3">
        <w:rPr>
          <w:rFonts w:ascii="Arial" w:hAnsi="Arial" w:cs="Arial"/>
          <w:sz w:val="22"/>
          <w:lang w:val="es-ES_tradnl"/>
        </w:rPr>
        <w:t>numeral</w:t>
      </w:r>
      <w:r w:rsidR="00DA4DE0" w:rsidRPr="00EA62F3">
        <w:rPr>
          <w:rFonts w:ascii="Arial" w:hAnsi="Arial" w:cs="Arial"/>
          <w:sz w:val="22"/>
          <w:lang w:val="es-ES_tradnl"/>
        </w:rPr>
        <w:t xml:space="preserve"> 8, </w:t>
      </w:r>
      <w:r w:rsidR="007D1E37" w:rsidRPr="00EA62F3">
        <w:rPr>
          <w:rFonts w:ascii="Arial" w:hAnsi="Arial" w:cs="Arial"/>
          <w:sz w:val="22"/>
          <w:lang w:val="es-ES_tradnl"/>
        </w:rPr>
        <w:t xml:space="preserve">el cual servirá </w:t>
      </w:r>
      <w:r w:rsidR="004A3C37" w:rsidRPr="00EA62F3">
        <w:rPr>
          <w:rFonts w:ascii="Arial" w:hAnsi="Arial" w:cs="Arial"/>
          <w:sz w:val="22"/>
          <w:lang w:val="es-ES_tradnl"/>
        </w:rPr>
        <w:t xml:space="preserve">para resolver </w:t>
      </w:r>
      <w:r w:rsidR="007D1E37" w:rsidRPr="00EA62F3">
        <w:rPr>
          <w:rFonts w:ascii="Arial" w:hAnsi="Arial" w:cs="Arial"/>
          <w:sz w:val="22"/>
          <w:lang w:val="es-ES_tradnl"/>
        </w:rPr>
        <w:t xml:space="preserve">el </w:t>
      </w:r>
      <w:r w:rsidR="004A59A7" w:rsidRPr="00EA62F3">
        <w:rPr>
          <w:rFonts w:ascii="Arial" w:hAnsi="Arial" w:cs="Arial"/>
          <w:sz w:val="22"/>
          <w:lang w:val="es-ES_tradnl"/>
        </w:rPr>
        <w:t>des</w:t>
      </w:r>
      <w:r w:rsidR="007D1E37" w:rsidRPr="00EA62F3">
        <w:rPr>
          <w:rFonts w:ascii="Arial" w:hAnsi="Arial" w:cs="Arial"/>
          <w:sz w:val="22"/>
          <w:lang w:val="es-ES_tradnl"/>
        </w:rPr>
        <w:t>empate si</w:t>
      </w:r>
      <w:r w:rsidR="00D70B85" w:rsidRPr="00EA62F3">
        <w:rPr>
          <w:rFonts w:ascii="Arial" w:hAnsi="Arial" w:cs="Arial"/>
          <w:sz w:val="22"/>
          <w:lang w:val="es-ES_tradnl"/>
        </w:rPr>
        <w:t xml:space="preserve"> en un extremo del</w:t>
      </w:r>
      <w:r w:rsidR="007D1E37" w:rsidRPr="00EA62F3">
        <w:rPr>
          <w:rFonts w:ascii="Arial" w:hAnsi="Arial" w:cs="Arial"/>
          <w:sz w:val="22"/>
          <w:lang w:val="es-ES_tradnl"/>
        </w:rPr>
        <w:t xml:space="preserve"> mismo se </w:t>
      </w:r>
      <w:r w:rsidR="00D70B85" w:rsidRPr="00EA62F3">
        <w:rPr>
          <w:rFonts w:ascii="Arial" w:hAnsi="Arial" w:cs="Arial"/>
          <w:sz w:val="22"/>
          <w:lang w:val="es-ES_tradnl"/>
        </w:rPr>
        <w:t>encuentra</w:t>
      </w:r>
      <w:r w:rsidR="007D1E37" w:rsidRPr="00EA62F3">
        <w:rPr>
          <w:rFonts w:ascii="Arial" w:hAnsi="Arial" w:cs="Arial"/>
          <w:sz w:val="22"/>
          <w:lang w:val="es-ES_tradnl"/>
        </w:rPr>
        <w:t xml:space="preserve"> una oferta presentada</w:t>
      </w:r>
      <w:r w:rsidR="00951507" w:rsidRPr="00EA62F3">
        <w:rPr>
          <w:rFonts w:ascii="Arial" w:hAnsi="Arial" w:cs="Arial"/>
          <w:sz w:val="22"/>
          <w:lang w:val="es-ES_tradnl"/>
        </w:rPr>
        <w:t xml:space="preserve"> por una </w:t>
      </w:r>
      <w:proofErr w:type="spellStart"/>
      <w:r w:rsidR="00951507" w:rsidRPr="00EA62F3">
        <w:rPr>
          <w:rFonts w:ascii="Arial" w:hAnsi="Arial" w:cs="Arial"/>
          <w:sz w:val="22"/>
          <w:lang w:val="es-ES_tradnl"/>
        </w:rPr>
        <w:t>mipyme</w:t>
      </w:r>
      <w:proofErr w:type="spellEnd"/>
      <w:r w:rsidR="00951507" w:rsidRPr="00EA62F3">
        <w:rPr>
          <w:rFonts w:ascii="Arial" w:hAnsi="Arial" w:cs="Arial"/>
          <w:sz w:val="22"/>
          <w:lang w:val="es-ES_tradnl"/>
        </w:rPr>
        <w:t>, una cooperativa, una asociaci</w:t>
      </w:r>
      <w:r w:rsidR="00D70B85" w:rsidRPr="00EA62F3">
        <w:rPr>
          <w:rFonts w:ascii="Arial" w:hAnsi="Arial" w:cs="Arial"/>
          <w:sz w:val="22"/>
          <w:lang w:val="es-ES_tradnl"/>
        </w:rPr>
        <w:t>ón</w:t>
      </w:r>
      <w:r w:rsidR="00951507" w:rsidRPr="00EA62F3">
        <w:rPr>
          <w:rFonts w:ascii="Arial" w:hAnsi="Arial" w:cs="Arial"/>
          <w:sz w:val="22"/>
          <w:lang w:val="es-ES_tradnl"/>
        </w:rPr>
        <w:t xml:space="preserve"> mutual</w:t>
      </w:r>
      <w:r w:rsidR="00D70B85" w:rsidRPr="00EA62F3">
        <w:rPr>
          <w:rFonts w:ascii="Arial" w:hAnsi="Arial" w:cs="Arial"/>
          <w:sz w:val="22"/>
          <w:lang w:val="es-ES_tradnl"/>
        </w:rPr>
        <w:t xml:space="preserve"> o un proponente</w:t>
      </w:r>
      <w:r w:rsidR="002F33F8" w:rsidRPr="00EA62F3">
        <w:rPr>
          <w:rFonts w:ascii="Arial" w:hAnsi="Arial" w:cs="Arial"/>
          <w:sz w:val="22"/>
          <w:lang w:val="es-ES_tradnl"/>
        </w:rPr>
        <w:t xml:space="preserve"> plural</w:t>
      </w:r>
      <w:r w:rsidR="00D70B85" w:rsidRPr="00EA62F3">
        <w:rPr>
          <w:rFonts w:ascii="Arial" w:hAnsi="Arial" w:cs="Arial"/>
          <w:sz w:val="22"/>
          <w:lang w:val="es-ES_tradnl"/>
        </w:rPr>
        <w:t xml:space="preserve"> conformado por estas, </w:t>
      </w:r>
      <w:r w:rsidR="00951507" w:rsidRPr="00EA62F3">
        <w:rPr>
          <w:rFonts w:ascii="Arial" w:hAnsi="Arial" w:cs="Arial"/>
          <w:sz w:val="22"/>
          <w:lang w:val="es-ES_tradnl"/>
        </w:rPr>
        <w:t xml:space="preserve"> </w:t>
      </w:r>
      <w:r w:rsidR="00BA6A1A" w:rsidRPr="00EA62F3">
        <w:rPr>
          <w:rFonts w:ascii="Arial" w:hAnsi="Arial" w:cs="Arial"/>
          <w:sz w:val="22"/>
          <w:lang w:val="es-ES_tradnl"/>
        </w:rPr>
        <w:t>y en el otro</w:t>
      </w:r>
      <w:r w:rsidR="002F33F8" w:rsidRPr="00EA62F3">
        <w:rPr>
          <w:rFonts w:ascii="Arial" w:hAnsi="Arial" w:cs="Arial"/>
          <w:sz w:val="22"/>
          <w:lang w:val="es-ES_tradnl"/>
        </w:rPr>
        <w:t xml:space="preserve">, por ejemplo, </w:t>
      </w:r>
      <w:r w:rsidR="00BA6A1A" w:rsidRPr="00EA62F3">
        <w:rPr>
          <w:rFonts w:ascii="Arial" w:hAnsi="Arial" w:cs="Arial"/>
          <w:sz w:val="22"/>
          <w:lang w:val="es-ES_tradnl"/>
        </w:rPr>
        <w:t xml:space="preserve">una oferta presentada por </w:t>
      </w:r>
      <w:r w:rsidR="00EA6726" w:rsidRPr="00EA62F3">
        <w:rPr>
          <w:rFonts w:ascii="Arial" w:hAnsi="Arial" w:cs="Arial"/>
          <w:sz w:val="22"/>
          <w:lang w:val="es-ES_tradnl"/>
        </w:rPr>
        <w:t>un</w:t>
      </w:r>
      <w:r w:rsidR="00361623" w:rsidRPr="00EA62F3">
        <w:rPr>
          <w:rFonts w:ascii="Arial" w:hAnsi="Arial" w:cs="Arial"/>
          <w:sz w:val="22"/>
          <w:lang w:val="es-ES_tradnl"/>
        </w:rPr>
        <w:t xml:space="preserve"> oferente que </w:t>
      </w:r>
      <w:r w:rsidR="00144811" w:rsidRPr="00EA62F3">
        <w:rPr>
          <w:rFonts w:ascii="Arial" w:hAnsi="Arial" w:cs="Arial"/>
          <w:sz w:val="22"/>
          <w:lang w:val="es-ES_tradnl"/>
        </w:rPr>
        <w:t>se encuadre</w:t>
      </w:r>
      <w:r w:rsidR="00361623" w:rsidRPr="00EA62F3">
        <w:rPr>
          <w:rFonts w:ascii="Arial" w:hAnsi="Arial" w:cs="Arial"/>
          <w:sz w:val="22"/>
          <w:lang w:val="es-ES_tradnl"/>
        </w:rPr>
        <w:t xml:space="preserve"> </w:t>
      </w:r>
      <w:r w:rsidR="00144811" w:rsidRPr="00EA62F3">
        <w:rPr>
          <w:rFonts w:ascii="Arial" w:hAnsi="Arial" w:cs="Arial"/>
          <w:sz w:val="22"/>
          <w:lang w:val="es-ES_tradnl"/>
        </w:rPr>
        <w:t xml:space="preserve">en </w:t>
      </w:r>
      <w:r w:rsidR="00361623" w:rsidRPr="00EA62F3">
        <w:rPr>
          <w:rFonts w:ascii="Arial" w:hAnsi="Arial" w:cs="Arial"/>
          <w:sz w:val="22"/>
          <w:lang w:val="es-ES_tradnl"/>
        </w:rPr>
        <w:t xml:space="preserve">la categoría de gran empresa </w:t>
      </w:r>
      <w:r w:rsidR="00D36CD9" w:rsidRPr="00EA62F3">
        <w:rPr>
          <w:rFonts w:ascii="Arial" w:hAnsi="Arial" w:cs="Arial"/>
          <w:sz w:val="22"/>
          <w:lang w:val="es-ES_tradnl"/>
        </w:rPr>
        <w:t xml:space="preserve">conforme al parágrafo 1 del artículo 2.2.1.13.2.2 del Decreto 1074 de 2015, adicionado por el Decreto </w:t>
      </w:r>
      <w:r w:rsidR="009C417C" w:rsidRPr="00EA62F3">
        <w:rPr>
          <w:rFonts w:ascii="Arial" w:hAnsi="Arial" w:cs="Arial"/>
          <w:sz w:val="22"/>
          <w:lang w:val="es-ES_tradnl"/>
        </w:rPr>
        <w:lastRenderedPageBreak/>
        <w:t>957 de 2019</w:t>
      </w:r>
      <w:r w:rsidR="009C417C" w:rsidRPr="00EA62F3">
        <w:rPr>
          <w:rStyle w:val="Refdenotaalpie"/>
          <w:rFonts w:ascii="Arial" w:hAnsi="Arial" w:cs="Arial"/>
          <w:sz w:val="22"/>
          <w:lang w:val="es-ES_tradnl"/>
        </w:rPr>
        <w:footnoteReference w:id="9"/>
      </w:r>
      <w:r w:rsidR="009C417C" w:rsidRPr="00EA62F3">
        <w:rPr>
          <w:rFonts w:ascii="Arial" w:hAnsi="Arial" w:cs="Arial"/>
          <w:sz w:val="22"/>
          <w:lang w:val="es-ES_tradnl"/>
        </w:rPr>
        <w:t>.</w:t>
      </w:r>
      <w:r w:rsidR="006D10AD" w:rsidRPr="00EA62F3">
        <w:rPr>
          <w:rFonts w:ascii="Arial" w:hAnsi="Arial" w:cs="Arial"/>
          <w:sz w:val="22"/>
          <w:lang w:val="es-ES_tradnl"/>
        </w:rPr>
        <w:t xml:space="preserve"> Si las ofertas empatadas </w:t>
      </w:r>
      <w:r w:rsidR="002F33F8" w:rsidRPr="00EA62F3">
        <w:rPr>
          <w:rFonts w:ascii="Arial" w:hAnsi="Arial" w:cs="Arial"/>
          <w:sz w:val="22"/>
          <w:lang w:val="es-ES_tradnl"/>
        </w:rPr>
        <w:t>fue</w:t>
      </w:r>
      <w:r w:rsidR="004A59A7" w:rsidRPr="00EA62F3">
        <w:rPr>
          <w:rFonts w:ascii="Arial" w:hAnsi="Arial" w:cs="Arial"/>
          <w:sz w:val="22"/>
          <w:lang w:val="es-ES_tradnl"/>
        </w:rPr>
        <w:t>ron</w:t>
      </w:r>
      <w:r w:rsidR="006D10AD" w:rsidRPr="00EA62F3">
        <w:rPr>
          <w:rFonts w:ascii="Arial" w:hAnsi="Arial" w:cs="Arial"/>
          <w:sz w:val="22"/>
          <w:lang w:val="es-ES_tradnl"/>
        </w:rPr>
        <w:t xml:space="preserve"> presentada</w:t>
      </w:r>
      <w:r w:rsidR="00144811" w:rsidRPr="00EA62F3">
        <w:rPr>
          <w:rFonts w:ascii="Arial" w:hAnsi="Arial" w:cs="Arial"/>
          <w:sz w:val="22"/>
          <w:lang w:val="es-ES_tradnl"/>
        </w:rPr>
        <w:t>s</w:t>
      </w:r>
      <w:r w:rsidR="006D10AD" w:rsidRPr="00EA62F3">
        <w:rPr>
          <w:rFonts w:ascii="Arial" w:hAnsi="Arial" w:cs="Arial"/>
          <w:sz w:val="22"/>
          <w:lang w:val="es-ES_tradnl"/>
        </w:rPr>
        <w:t xml:space="preserve"> por alguno de los beneficiarios de</w:t>
      </w:r>
      <w:r w:rsidR="006A613E" w:rsidRPr="00EA62F3">
        <w:rPr>
          <w:rFonts w:ascii="Arial" w:hAnsi="Arial" w:cs="Arial"/>
          <w:sz w:val="22"/>
          <w:lang w:val="es-ES_tradnl"/>
        </w:rPr>
        <w:t>l factor del numeral 8</w:t>
      </w:r>
      <w:r w:rsidR="008807E0" w:rsidRPr="00EA62F3">
        <w:rPr>
          <w:rFonts w:ascii="Arial" w:hAnsi="Arial" w:cs="Arial"/>
          <w:sz w:val="22"/>
          <w:lang w:val="es-ES_tradnl"/>
        </w:rPr>
        <w:t>, la entidad contratante deberá aplicar el factor del numeral 9.</w:t>
      </w:r>
    </w:p>
    <w:p w14:paraId="48DD4D82" w14:textId="7A05FB8F" w:rsidR="002E4C8F" w:rsidRPr="00EA62F3" w:rsidRDefault="00144811" w:rsidP="002E4C8F">
      <w:pPr>
        <w:spacing w:before="120" w:line="276" w:lineRule="auto"/>
        <w:ind w:firstLine="709"/>
        <w:jc w:val="both"/>
        <w:rPr>
          <w:rFonts w:ascii="Arial" w:hAnsi="Arial" w:cs="Arial"/>
          <w:sz w:val="22"/>
          <w:lang w:val="es-ES_tradnl"/>
        </w:rPr>
      </w:pPr>
      <w:r w:rsidRPr="00EA62F3">
        <w:rPr>
          <w:rFonts w:ascii="Arial" w:hAnsi="Arial" w:cs="Arial"/>
          <w:sz w:val="22"/>
          <w:lang w:val="es-ES_tradnl"/>
        </w:rPr>
        <w:t xml:space="preserve">En efecto, dicho </w:t>
      </w:r>
      <w:r w:rsidR="002E4C8F" w:rsidRPr="00EA62F3">
        <w:rPr>
          <w:rFonts w:ascii="Arial" w:hAnsi="Arial" w:cs="Arial"/>
          <w:sz w:val="22"/>
          <w:lang w:val="es-ES_tradnl"/>
        </w:rPr>
        <w:t xml:space="preserve">numeral del artículo 35 de la Ley 2069 de 2020 establece </w:t>
      </w:r>
      <w:r w:rsidR="008807E0" w:rsidRPr="00EA62F3">
        <w:rPr>
          <w:rFonts w:ascii="Arial" w:hAnsi="Arial" w:cs="Arial"/>
          <w:sz w:val="22"/>
          <w:lang w:val="es-ES_tradnl"/>
        </w:rPr>
        <w:t>la obligación de p</w:t>
      </w:r>
      <w:r w:rsidR="002E4C8F" w:rsidRPr="00EA62F3">
        <w:rPr>
          <w:rFonts w:ascii="Arial" w:hAnsi="Arial" w:cs="Arial"/>
          <w:sz w:val="22"/>
          <w:lang w:val="es-ES_tradnl"/>
        </w:rPr>
        <w:t>referir la oferta presentada por el proponente plural constituido por micro y/o pequeñas empresas, cooperativas o asociaciones mutuales</w:t>
      </w:r>
      <w:r w:rsidR="002A1661" w:rsidRPr="00EA62F3">
        <w:rPr>
          <w:rFonts w:ascii="Arial" w:hAnsi="Arial" w:cs="Arial"/>
          <w:sz w:val="22"/>
          <w:lang w:val="es-ES_tradnl"/>
        </w:rPr>
        <w:t xml:space="preserve">, </w:t>
      </w:r>
      <w:r w:rsidR="002E4C8F" w:rsidRPr="00EA62F3">
        <w:rPr>
          <w:rFonts w:ascii="Arial" w:hAnsi="Arial" w:cs="Arial"/>
          <w:sz w:val="22"/>
          <w:lang w:val="es-ES_tradnl"/>
        </w:rPr>
        <w:t>es decir, que el sujeto</w:t>
      </w:r>
      <w:r w:rsidR="002A1661" w:rsidRPr="00EA62F3">
        <w:rPr>
          <w:rFonts w:ascii="Arial" w:hAnsi="Arial" w:cs="Arial"/>
          <w:sz w:val="22"/>
          <w:lang w:val="es-ES_tradnl"/>
        </w:rPr>
        <w:t xml:space="preserve"> beneficiario</w:t>
      </w:r>
      <w:r w:rsidR="002E4C8F" w:rsidRPr="00EA62F3">
        <w:rPr>
          <w:rFonts w:ascii="Arial" w:hAnsi="Arial" w:cs="Arial"/>
          <w:sz w:val="22"/>
          <w:lang w:val="es-ES_tradnl"/>
        </w:rPr>
        <w:t xml:space="preserve"> del factor de desempate es el proponente plural</w:t>
      </w:r>
      <w:r w:rsidR="002147DB" w:rsidRPr="00EA62F3">
        <w:rPr>
          <w:rFonts w:ascii="Arial" w:hAnsi="Arial" w:cs="Arial"/>
          <w:sz w:val="22"/>
          <w:lang w:val="es-ES_tradnl"/>
        </w:rPr>
        <w:t xml:space="preserve"> conformado por tales tipos de empresas. </w:t>
      </w:r>
      <w:r w:rsidR="002E4C8F" w:rsidRPr="00EA62F3">
        <w:rPr>
          <w:rFonts w:ascii="Arial" w:hAnsi="Arial" w:cs="Arial"/>
          <w:sz w:val="22"/>
          <w:lang w:val="es-ES_tradnl"/>
        </w:rPr>
        <w:t>En contraste</w:t>
      </w:r>
      <w:r w:rsidR="002147DB" w:rsidRPr="00EA62F3">
        <w:rPr>
          <w:rFonts w:ascii="Arial" w:hAnsi="Arial" w:cs="Arial"/>
          <w:sz w:val="22"/>
          <w:lang w:val="es-ES_tradnl"/>
        </w:rPr>
        <w:t xml:space="preserve"> con el numeral 8, este factor excluye los proponentes singulares</w:t>
      </w:r>
      <w:r w:rsidR="0091352E" w:rsidRPr="00EA62F3">
        <w:rPr>
          <w:rFonts w:ascii="Arial" w:hAnsi="Arial" w:cs="Arial"/>
          <w:sz w:val="22"/>
          <w:lang w:val="es-ES_tradnl"/>
        </w:rPr>
        <w:t xml:space="preserve"> y a los proponentes plurales conformados por empresas medianas. </w:t>
      </w:r>
    </w:p>
    <w:p w14:paraId="60112F0F" w14:textId="5A9CE5CE" w:rsidR="0091352E" w:rsidRPr="00EA62F3" w:rsidRDefault="0091352E" w:rsidP="005A0B4A">
      <w:pPr>
        <w:spacing w:before="120" w:after="120" w:line="276" w:lineRule="auto"/>
        <w:ind w:firstLine="709"/>
        <w:jc w:val="both"/>
        <w:rPr>
          <w:rFonts w:ascii="Arial" w:hAnsi="Arial" w:cs="Arial"/>
          <w:sz w:val="22"/>
          <w:lang w:val="es-ES_tradnl"/>
        </w:rPr>
      </w:pPr>
      <w:r w:rsidRPr="00EA62F3">
        <w:rPr>
          <w:rFonts w:ascii="Arial" w:hAnsi="Arial" w:cs="Arial"/>
          <w:sz w:val="22"/>
          <w:lang w:val="es-ES_tradnl"/>
        </w:rPr>
        <w:lastRenderedPageBreak/>
        <w:t>En ese sentido, el factor de desempate del numeral 9</w:t>
      </w:r>
      <w:r w:rsidR="004A3C37" w:rsidRPr="00EA62F3">
        <w:rPr>
          <w:rFonts w:ascii="Arial" w:hAnsi="Arial" w:cs="Arial"/>
          <w:sz w:val="22"/>
          <w:lang w:val="es-ES_tradnl"/>
        </w:rPr>
        <w:t xml:space="preserve"> aplica </w:t>
      </w:r>
      <w:r w:rsidR="00574B98" w:rsidRPr="00EA62F3">
        <w:rPr>
          <w:rFonts w:ascii="Arial" w:hAnsi="Arial" w:cs="Arial"/>
          <w:sz w:val="22"/>
          <w:lang w:val="es-ES_tradnl"/>
        </w:rPr>
        <w:t>en circunstancia</w:t>
      </w:r>
      <w:r w:rsidR="001F053D" w:rsidRPr="00EA62F3">
        <w:rPr>
          <w:rFonts w:ascii="Arial" w:hAnsi="Arial" w:cs="Arial"/>
          <w:sz w:val="22"/>
          <w:lang w:val="es-ES_tradnl"/>
        </w:rPr>
        <w:t>s</w:t>
      </w:r>
      <w:r w:rsidR="00574B98" w:rsidRPr="00EA62F3">
        <w:rPr>
          <w:rFonts w:ascii="Arial" w:hAnsi="Arial" w:cs="Arial"/>
          <w:sz w:val="22"/>
          <w:lang w:val="es-ES_tradnl"/>
        </w:rPr>
        <w:t xml:space="preserve"> de empate entre ofertas presentadas por </w:t>
      </w:r>
      <w:r w:rsidR="00F70699" w:rsidRPr="00EA62F3">
        <w:rPr>
          <w:rFonts w:ascii="Arial" w:hAnsi="Arial" w:cs="Arial"/>
          <w:sz w:val="22"/>
          <w:lang w:val="es-ES_tradnl"/>
        </w:rPr>
        <w:t>proponentes conformados por empresas micro y</w:t>
      </w:r>
      <w:r w:rsidR="001F053D" w:rsidRPr="00EA62F3">
        <w:rPr>
          <w:rFonts w:ascii="Arial" w:hAnsi="Arial" w:cs="Arial"/>
          <w:sz w:val="22"/>
          <w:lang w:val="es-ES_tradnl"/>
        </w:rPr>
        <w:t>/o</w:t>
      </w:r>
      <w:r w:rsidR="00F70699" w:rsidRPr="00EA62F3">
        <w:rPr>
          <w:rFonts w:ascii="Arial" w:hAnsi="Arial" w:cs="Arial"/>
          <w:sz w:val="22"/>
          <w:lang w:val="es-ES_tradnl"/>
        </w:rPr>
        <w:t xml:space="preserve"> pequeñas</w:t>
      </w:r>
      <w:r w:rsidR="001F053D" w:rsidRPr="00EA62F3">
        <w:rPr>
          <w:rFonts w:ascii="Arial" w:hAnsi="Arial" w:cs="Arial"/>
          <w:sz w:val="22"/>
          <w:lang w:val="es-ES_tradnl"/>
        </w:rPr>
        <w:t>, cooperativas y asociaciones mutuales</w:t>
      </w:r>
      <w:r w:rsidR="00C842A0" w:rsidRPr="00EA62F3">
        <w:rPr>
          <w:rFonts w:ascii="Arial" w:hAnsi="Arial" w:cs="Arial"/>
          <w:sz w:val="22"/>
          <w:lang w:val="es-ES_tradnl"/>
        </w:rPr>
        <w:t xml:space="preserve">, con </w:t>
      </w:r>
      <w:r w:rsidR="00D8404D" w:rsidRPr="00EA62F3">
        <w:rPr>
          <w:rFonts w:ascii="Arial" w:hAnsi="Arial" w:cs="Arial"/>
          <w:sz w:val="22"/>
          <w:lang w:val="es-ES_tradnl"/>
        </w:rPr>
        <w:t>ofertas de oferentes singulares o proponentes plurales conformados por empresas media</w:t>
      </w:r>
      <w:r w:rsidR="00F2153C" w:rsidRPr="00EA62F3">
        <w:rPr>
          <w:rFonts w:ascii="Arial" w:hAnsi="Arial" w:cs="Arial"/>
          <w:sz w:val="22"/>
          <w:lang w:val="es-ES_tradnl"/>
        </w:rPr>
        <w:t xml:space="preserve">nas o grandes. </w:t>
      </w:r>
      <w:r w:rsidR="004A3C37" w:rsidRPr="00EA62F3">
        <w:rPr>
          <w:rFonts w:ascii="Arial" w:hAnsi="Arial" w:cs="Arial"/>
          <w:sz w:val="22"/>
          <w:lang w:val="es-ES_tradnl"/>
        </w:rPr>
        <w:t>De</w:t>
      </w:r>
      <w:r w:rsidR="00F2153C" w:rsidRPr="00EA62F3">
        <w:rPr>
          <w:rFonts w:ascii="Arial" w:hAnsi="Arial" w:cs="Arial"/>
          <w:sz w:val="22"/>
          <w:lang w:val="es-ES_tradnl"/>
        </w:rPr>
        <w:t xml:space="preserve"> presenta</w:t>
      </w:r>
      <w:r w:rsidR="004A3C37" w:rsidRPr="00EA62F3">
        <w:rPr>
          <w:rFonts w:ascii="Arial" w:hAnsi="Arial" w:cs="Arial"/>
          <w:sz w:val="22"/>
          <w:lang w:val="es-ES_tradnl"/>
        </w:rPr>
        <w:t>r</w:t>
      </w:r>
      <w:r w:rsidR="00F2153C" w:rsidRPr="00EA62F3">
        <w:rPr>
          <w:rFonts w:ascii="Arial" w:hAnsi="Arial" w:cs="Arial"/>
          <w:sz w:val="22"/>
          <w:lang w:val="es-ES_tradnl"/>
        </w:rPr>
        <w:t>se un</w:t>
      </w:r>
      <w:r w:rsidR="00BA7893" w:rsidRPr="00EA62F3">
        <w:rPr>
          <w:rFonts w:ascii="Arial" w:hAnsi="Arial" w:cs="Arial"/>
          <w:sz w:val="22"/>
          <w:lang w:val="es-ES_tradnl"/>
        </w:rPr>
        <w:t xml:space="preserve"> empate </w:t>
      </w:r>
      <w:r w:rsidR="00E82BC5" w:rsidRPr="00EA62F3">
        <w:rPr>
          <w:rFonts w:ascii="Arial" w:hAnsi="Arial" w:cs="Arial"/>
          <w:sz w:val="22"/>
          <w:lang w:val="es-ES_tradnl"/>
        </w:rPr>
        <w:t xml:space="preserve">entre dos proponentes plurales, </w:t>
      </w:r>
      <w:r w:rsidR="00D02A4F" w:rsidRPr="00EA62F3">
        <w:rPr>
          <w:rFonts w:ascii="Arial" w:hAnsi="Arial" w:cs="Arial"/>
          <w:sz w:val="22"/>
          <w:lang w:val="es-ES_tradnl"/>
        </w:rPr>
        <w:t xml:space="preserve">uno conformado por empresas micro y pequeñas, y otro conformado por empresas medianas y grandes, la aplicación de este factor conduciría a </w:t>
      </w:r>
      <w:r w:rsidR="00D55BCC" w:rsidRPr="00EA62F3">
        <w:rPr>
          <w:rFonts w:ascii="Arial" w:hAnsi="Arial" w:cs="Arial"/>
          <w:sz w:val="22"/>
          <w:lang w:val="es-ES_tradnl"/>
        </w:rPr>
        <w:t xml:space="preserve">resolver el empate en favor del primero, en la medida que corresponde a uno de los sujetos a los que le es aplicable el numeral 9, a diferencia del segundo que se ubica por fuera del ámbito de aplicación de este factor. </w:t>
      </w:r>
    </w:p>
    <w:p w14:paraId="4A429D33" w14:textId="69789D39" w:rsidR="00BA7893" w:rsidRPr="00EA62F3" w:rsidRDefault="00BA7893" w:rsidP="005A0B4A">
      <w:pPr>
        <w:spacing w:before="120" w:after="120" w:line="276" w:lineRule="auto"/>
        <w:ind w:firstLine="709"/>
        <w:jc w:val="both"/>
        <w:rPr>
          <w:rFonts w:ascii="Arial" w:hAnsi="Arial" w:cs="Arial"/>
          <w:sz w:val="22"/>
          <w:lang w:val="es-ES_tradnl"/>
        </w:rPr>
      </w:pPr>
      <w:r w:rsidRPr="00EA62F3">
        <w:rPr>
          <w:rFonts w:ascii="Arial" w:hAnsi="Arial" w:cs="Arial"/>
          <w:sz w:val="22"/>
          <w:lang w:val="es-ES_tradnl"/>
        </w:rPr>
        <w:t xml:space="preserve">Conforme a esto, </w:t>
      </w:r>
      <w:r w:rsidR="00785AC0" w:rsidRPr="00EA62F3">
        <w:rPr>
          <w:rFonts w:ascii="Arial" w:hAnsi="Arial" w:cs="Arial"/>
          <w:sz w:val="22"/>
          <w:lang w:val="es-ES_tradnl"/>
        </w:rPr>
        <w:t>el factor de desempate del numeral 9</w:t>
      </w:r>
      <w:r w:rsidR="00EC704D" w:rsidRPr="00EA62F3">
        <w:rPr>
          <w:rFonts w:ascii="Arial" w:hAnsi="Arial" w:cs="Arial"/>
          <w:sz w:val="22"/>
          <w:lang w:val="es-ES_tradnl"/>
        </w:rPr>
        <w:t xml:space="preserve">, privilegia </w:t>
      </w:r>
      <w:r w:rsidR="00EB5EB1" w:rsidRPr="00EA62F3">
        <w:rPr>
          <w:rFonts w:ascii="Arial" w:hAnsi="Arial" w:cs="Arial"/>
          <w:sz w:val="22"/>
          <w:lang w:val="es-ES_tradnl"/>
        </w:rPr>
        <w:t>las ofertas presentadas</w:t>
      </w:r>
      <w:r w:rsidR="0040573A" w:rsidRPr="00EA62F3">
        <w:rPr>
          <w:rFonts w:ascii="Arial" w:hAnsi="Arial" w:cs="Arial"/>
          <w:sz w:val="22"/>
          <w:lang w:val="es-ES_tradnl"/>
        </w:rPr>
        <w:t xml:space="preserve"> por oferentes plurales integrados por micro y pequeñas empresas, así como por </w:t>
      </w:r>
      <w:r w:rsidR="00EB5EB1" w:rsidRPr="00EA62F3">
        <w:rPr>
          <w:rFonts w:ascii="Arial" w:hAnsi="Arial" w:cs="Arial"/>
          <w:sz w:val="22"/>
          <w:lang w:val="es-ES_tradnl"/>
        </w:rPr>
        <w:t>cooperativas o asociaciones mutuales</w:t>
      </w:r>
      <w:r w:rsidR="00B01531" w:rsidRPr="00EA62F3">
        <w:rPr>
          <w:rFonts w:ascii="Arial" w:hAnsi="Arial" w:cs="Arial"/>
          <w:sz w:val="22"/>
          <w:lang w:val="es-ES_tradnl"/>
        </w:rPr>
        <w:t xml:space="preserve">, </w:t>
      </w:r>
      <w:r w:rsidR="004A59A7" w:rsidRPr="00EA62F3">
        <w:rPr>
          <w:rFonts w:ascii="Arial" w:hAnsi="Arial" w:cs="Arial"/>
          <w:sz w:val="22"/>
          <w:lang w:val="es-ES_tradnl"/>
        </w:rPr>
        <w:t>prefiriéndolas sobre</w:t>
      </w:r>
      <w:r w:rsidR="00B01531" w:rsidRPr="00EA62F3">
        <w:rPr>
          <w:rFonts w:ascii="Arial" w:hAnsi="Arial" w:cs="Arial"/>
          <w:sz w:val="22"/>
          <w:lang w:val="es-ES_tradnl"/>
        </w:rPr>
        <w:t xml:space="preserve"> las </w:t>
      </w:r>
      <w:r w:rsidR="004A59A7" w:rsidRPr="00EA62F3">
        <w:rPr>
          <w:rFonts w:ascii="Arial" w:hAnsi="Arial" w:cs="Arial"/>
          <w:sz w:val="22"/>
          <w:lang w:val="es-ES_tradnl"/>
        </w:rPr>
        <w:t>propuestas</w:t>
      </w:r>
      <w:r w:rsidR="00B01531" w:rsidRPr="00EA62F3">
        <w:rPr>
          <w:rFonts w:ascii="Arial" w:hAnsi="Arial" w:cs="Arial"/>
          <w:sz w:val="22"/>
          <w:lang w:val="es-ES_tradnl"/>
        </w:rPr>
        <w:t xml:space="preserve"> </w:t>
      </w:r>
      <w:r w:rsidR="004A59A7" w:rsidRPr="00EA62F3">
        <w:rPr>
          <w:rFonts w:ascii="Arial" w:hAnsi="Arial" w:cs="Arial"/>
          <w:sz w:val="22"/>
          <w:lang w:val="es-ES_tradnl"/>
        </w:rPr>
        <w:t>de</w:t>
      </w:r>
      <w:r w:rsidR="00B01531" w:rsidRPr="00EA62F3">
        <w:rPr>
          <w:rFonts w:ascii="Arial" w:hAnsi="Arial" w:cs="Arial"/>
          <w:sz w:val="22"/>
          <w:lang w:val="es-ES_tradnl"/>
        </w:rPr>
        <w:t xml:space="preserve"> </w:t>
      </w:r>
      <w:r w:rsidR="004A59A7" w:rsidRPr="00EA62F3">
        <w:rPr>
          <w:rFonts w:ascii="Arial" w:hAnsi="Arial" w:cs="Arial"/>
          <w:sz w:val="22"/>
          <w:lang w:val="es-ES_tradnl"/>
        </w:rPr>
        <w:t xml:space="preserve">oferentes </w:t>
      </w:r>
      <w:r w:rsidR="004B56FE" w:rsidRPr="00EA62F3">
        <w:rPr>
          <w:rFonts w:ascii="Arial" w:hAnsi="Arial" w:cs="Arial"/>
          <w:sz w:val="22"/>
          <w:lang w:val="es-ES_tradnl"/>
        </w:rPr>
        <w:t xml:space="preserve">singulares y plurales conformados por medianas y grandes empresas. No obstante, no debe perderse de vista que la aplicación de los factores de desempate debe hacerse de manera </w:t>
      </w:r>
      <w:r w:rsidR="00A9666C" w:rsidRPr="00EA62F3">
        <w:rPr>
          <w:rFonts w:ascii="Arial" w:hAnsi="Arial" w:cs="Arial"/>
          <w:sz w:val="22"/>
          <w:lang w:val="es-ES_tradnl"/>
        </w:rPr>
        <w:t xml:space="preserve">sucesiva y excluyente, por lo que para aplicar el numeral 9 han debido agotarse los que lo anteceden, incluido el numeral 8 que tiene como beneficiarios a </w:t>
      </w:r>
      <w:r w:rsidR="006E3C95" w:rsidRPr="00EA62F3">
        <w:rPr>
          <w:rFonts w:ascii="Arial" w:hAnsi="Arial" w:cs="Arial"/>
          <w:sz w:val="22"/>
          <w:lang w:val="es-ES_tradnl"/>
        </w:rPr>
        <w:t xml:space="preserve">mipymes, asociaciones mutuales, cooperativas y </w:t>
      </w:r>
      <w:r w:rsidR="00A9666C" w:rsidRPr="00EA62F3">
        <w:rPr>
          <w:rFonts w:ascii="Arial" w:hAnsi="Arial" w:cs="Arial"/>
          <w:sz w:val="22"/>
          <w:lang w:val="es-ES_tradnl"/>
        </w:rPr>
        <w:t>proponentes plurales</w:t>
      </w:r>
      <w:r w:rsidR="001D08E5" w:rsidRPr="00EA62F3">
        <w:rPr>
          <w:rFonts w:ascii="Arial" w:hAnsi="Arial" w:cs="Arial"/>
          <w:sz w:val="22"/>
          <w:lang w:val="es-ES_tradnl"/>
        </w:rPr>
        <w:t xml:space="preserve">, estando las empresas medianas </w:t>
      </w:r>
      <w:r w:rsidR="00C1075D" w:rsidRPr="00EA62F3">
        <w:rPr>
          <w:rFonts w:ascii="Arial" w:hAnsi="Arial" w:cs="Arial"/>
          <w:sz w:val="22"/>
          <w:lang w:val="es-ES_tradnl"/>
        </w:rPr>
        <w:t>incluidas dentro de la categoría de mipymes</w:t>
      </w:r>
      <w:r w:rsidR="00310702" w:rsidRPr="00EA62F3">
        <w:rPr>
          <w:rFonts w:ascii="Arial" w:hAnsi="Arial" w:cs="Arial"/>
          <w:sz w:val="22"/>
          <w:lang w:val="es-ES_tradnl"/>
        </w:rPr>
        <w:t>, por lo que estas son susceptibles de ser beneficiarias de este factor</w:t>
      </w:r>
      <w:r w:rsidR="003C6617" w:rsidRPr="00EA62F3">
        <w:rPr>
          <w:rFonts w:ascii="Arial" w:hAnsi="Arial" w:cs="Arial"/>
          <w:sz w:val="22"/>
          <w:lang w:val="es-ES_tradnl"/>
        </w:rPr>
        <w:t xml:space="preserve"> al igual que los proponentes plurales que conformen,</w:t>
      </w:r>
      <w:r w:rsidR="00697C4D" w:rsidRPr="00EA62F3">
        <w:rPr>
          <w:rFonts w:ascii="Arial" w:hAnsi="Arial" w:cs="Arial"/>
          <w:sz w:val="22"/>
          <w:lang w:val="es-ES_tradnl"/>
        </w:rPr>
        <w:t xml:space="preserve"> así como</w:t>
      </w:r>
      <w:r w:rsidR="003C6617" w:rsidRPr="00EA62F3">
        <w:rPr>
          <w:rFonts w:ascii="Arial" w:hAnsi="Arial" w:cs="Arial"/>
          <w:sz w:val="22"/>
          <w:lang w:val="es-ES_tradnl"/>
        </w:rPr>
        <w:t xml:space="preserve"> las empresas micro y pequeñas, las asociaciones mutuales y las cooperativas</w:t>
      </w:r>
      <w:r w:rsidR="00A9666C" w:rsidRPr="00EA62F3">
        <w:rPr>
          <w:rFonts w:ascii="Arial" w:hAnsi="Arial" w:cs="Arial"/>
          <w:sz w:val="22"/>
          <w:lang w:val="es-ES_tradnl"/>
        </w:rPr>
        <w:t xml:space="preserve"> </w:t>
      </w:r>
      <w:r w:rsidR="00697C4D" w:rsidRPr="00EA62F3">
        <w:rPr>
          <w:rFonts w:ascii="Arial" w:hAnsi="Arial" w:cs="Arial"/>
          <w:sz w:val="22"/>
          <w:lang w:val="es-ES_tradnl"/>
        </w:rPr>
        <w:t>y los consorcios y uniones temporales en los que concurran.</w:t>
      </w:r>
    </w:p>
    <w:p w14:paraId="03FBC452" w14:textId="2D54F235" w:rsidR="00697C4D" w:rsidRPr="00EA62F3" w:rsidRDefault="00697C4D" w:rsidP="005A0B4A">
      <w:pPr>
        <w:spacing w:before="120" w:after="120" w:line="276" w:lineRule="auto"/>
        <w:ind w:firstLine="709"/>
        <w:jc w:val="both"/>
        <w:rPr>
          <w:rFonts w:ascii="Arial" w:hAnsi="Arial" w:cs="Arial"/>
          <w:sz w:val="22"/>
          <w:lang w:val="es-ES_tradnl"/>
        </w:rPr>
      </w:pPr>
      <w:r w:rsidRPr="00EA62F3">
        <w:rPr>
          <w:rFonts w:ascii="Arial" w:hAnsi="Arial" w:cs="Arial"/>
          <w:sz w:val="22"/>
          <w:lang w:val="es-ES_tradnl"/>
        </w:rPr>
        <w:t xml:space="preserve">Dado esto </w:t>
      </w:r>
      <w:r w:rsidR="006D4F42" w:rsidRPr="00EA62F3">
        <w:rPr>
          <w:rFonts w:ascii="Arial" w:hAnsi="Arial" w:cs="Arial"/>
          <w:sz w:val="22"/>
          <w:lang w:val="es-ES_tradnl"/>
        </w:rPr>
        <w:t>puede que</w:t>
      </w:r>
      <w:r w:rsidR="00A07433" w:rsidRPr="00EA62F3">
        <w:rPr>
          <w:rFonts w:ascii="Arial" w:hAnsi="Arial" w:cs="Arial"/>
          <w:sz w:val="22"/>
          <w:lang w:val="es-ES_tradnl"/>
        </w:rPr>
        <w:t>, por ejemplo,</w:t>
      </w:r>
      <w:r w:rsidR="006D4F42" w:rsidRPr="00EA62F3">
        <w:rPr>
          <w:rFonts w:ascii="Arial" w:hAnsi="Arial" w:cs="Arial"/>
          <w:sz w:val="22"/>
          <w:lang w:val="es-ES_tradnl"/>
        </w:rPr>
        <w:t xml:space="preserve"> la aplicación del factor de desempate del numeral 8 </w:t>
      </w:r>
      <w:r w:rsidR="00963DC7" w:rsidRPr="00EA62F3">
        <w:rPr>
          <w:rFonts w:ascii="Arial" w:hAnsi="Arial" w:cs="Arial"/>
          <w:sz w:val="22"/>
          <w:lang w:val="es-ES_tradnl"/>
        </w:rPr>
        <w:t xml:space="preserve">no sea útil para resolver un empate entre </w:t>
      </w:r>
      <w:r w:rsidR="0078617C" w:rsidRPr="00EA62F3">
        <w:rPr>
          <w:rFonts w:ascii="Arial" w:hAnsi="Arial" w:cs="Arial"/>
          <w:sz w:val="22"/>
          <w:lang w:val="es-ES_tradnl"/>
        </w:rPr>
        <w:t xml:space="preserve">un </w:t>
      </w:r>
      <w:r w:rsidR="00963DC7" w:rsidRPr="00EA62F3">
        <w:rPr>
          <w:rFonts w:ascii="Arial" w:hAnsi="Arial" w:cs="Arial"/>
          <w:sz w:val="22"/>
          <w:lang w:val="es-ES_tradnl"/>
        </w:rPr>
        <w:t>proponente plural conformado por micro y/</w:t>
      </w:r>
      <w:r w:rsidR="0078617C" w:rsidRPr="00EA62F3">
        <w:rPr>
          <w:rFonts w:ascii="Arial" w:hAnsi="Arial" w:cs="Arial"/>
          <w:sz w:val="22"/>
          <w:lang w:val="es-ES_tradnl"/>
        </w:rPr>
        <w:t>o</w:t>
      </w:r>
      <w:r w:rsidR="00963DC7" w:rsidRPr="00EA62F3">
        <w:rPr>
          <w:rFonts w:ascii="Arial" w:hAnsi="Arial" w:cs="Arial"/>
          <w:sz w:val="22"/>
          <w:lang w:val="es-ES_tradnl"/>
        </w:rPr>
        <w:t xml:space="preserve"> pequeñas empresas</w:t>
      </w:r>
      <w:r w:rsidR="0078617C" w:rsidRPr="00EA62F3">
        <w:rPr>
          <w:rFonts w:ascii="Arial" w:hAnsi="Arial" w:cs="Arial"/>
          <w:sz w:val="22"/>
          <w:lang w:val="es-ES_tradnl"/>
        </w:rPr>
        <w:t xml:space="preserve">, </w:t>
      </w:r>
      <w:r w:rsidR="00A07433" w:rsidRPr="00EA62F3">
        <w:rPr>
          <w:rFonts w:ascii="Arial" w:hAnsi="Arial" w:cs="Arial"/>
          <w:sz w:val="22"/>
          <w:lang w:val="es-ES_tradnl"/>
        </w:rPr>
        <w:t>con</w:t>
      </w:r>
      <w:r w:rsidR="0078617C" w:rsidRPr="00EA62F3">
        <w:rPr>
          <w:rFonts w:ascii="Arial" w:hAnsi="Arial" w:cs="Arial"/>
          <w:sz w:val="22"/>
          <w:lang w:val="es-ES_tradnl"/>
        </w:rPr>
        <w:t xml:space="preserve"> otro </w:t>
      </w:r>
      <w:r w:rsidR="00A07433" w:rsidRPr="00EA62F3">
        <w:rPr>
          <w:rFonts w:ascii="Arial" w:hAnsi="Arial" w:cs="Arial"/>
          <w:sz w:val="22"/>
          <w:lang w:val="es-ES_tradnl"/>
        </w:rPr>
        <w:t>integrado</w:t>
      </w:r>
      <w:r w:rsidR="0078617C" w:rsidRPr="00EA62F3">
        <w:rPr>
          <w:rFonts w:ascii="Arial" w:hAnsi="Arial" w:cs="Arial"/>
          <w:sz w:val="22"/>
          <w:lang w:val="es-ES_tradnl"/>
        </w:rPr>
        <w:t xml:space="preserve"> por empresas medianas y/o grandes. Sin embargo, </w:t>
      </w:r>
      <w:r w:rsidR="004A3C37" w:rsidRPr="00EA62F3">
        <w:rPr>
          <w:rFonts w:ascii="Arial" w:hAnsi="Arial" w:cs="Arial"/>
          <w:sz w:val="22"/>
          <w:lang w:val="es-ES_tradnl"/>
        </w:rPr>
        <w:t>el empate deberá resolverse</w:t>
      </w:r>
      <w:r w:rsidR="0078617C" w:rsidRPr="00EA62F3">
        <w:rPr>
          <w:rFonts w:ascii="Arial" w:hAnsi="Arial" w:cs="Arial"/>
          <w:sz w:val="22"/>
          <w:lang w:val="es-ES_tradnl"/>
        </w:rPr>
        <w:t xml:space="preserve"> </w:t>
      </w:r>
      <w:r w:rsidR="00C93397" w:rsidRPr="00EA62F3">
        <w:rPr>
          <w:rFonts w:ascii="Arial" w:hAnsi="Arial" w:cs="Arial"/>
          <w:sz w:val="22"/>
          <w:lang w:val="es-ES_tradnl"/>
        </w:rPr>
        <w:t xml:space="preserve">a la luz del numeral 9, cuya aplicación aboca a </w:t>
      </w:r>
      <w:r w:rsidR="004A3C37" w:rsidRPr="00EA62F3">
        <w:rPr>
          <w:rFonts w:ascii="Arial" w:hAnsi="Arial" w:cs="Arial"/>
          <w:sz w:val="22"/>
          <w:lang w:val="es-ES_tradnl"/>
        </w:rPr>
        <w:t>seleccionar la oferta</w:t>
      </w:r>
      <w:r w:rsidR="0028203C" w:rsidRPr="00EA62F3">
        <w:rPr>
          <w:rFonts w:ascii="Arial" w:hAnsi="Arial" w:cs="Arial"/>
          <w:sz w:val="22"/>
          <w:lang w:val="es-ES_tradnl"/>
        </w:rPr>
        <w:t xml:space="preserve"> </w:t>
      </w:r>
      <w:r w:rsidR="004A3C37" w:rsidRPr="00EA62F3">
        <w:rPr>
          <w:rFonts w:ascii="Arial" w:hAnsi="Arial" w:cs="Arial"/>
          <w:sz w:val="22"/>
          <w:lang w:val="es-ES_tradnl"/>
        </w:rPr>
        <w:t>d</w:t>
      </w:r>
      <w:r w:rsidR="0028203C" w:rsidRPr="00EA62F3">
        <w:rPr>
          <w:rFonts w:ascii="Arial" w:hAnsi="Arial" w:cs="Arial"/>
          <w:sz w:val="22"/>
          <w:lang w:val="es-ES_tradnl"/>
        </w:rPr>
        <w:t>el proponente plural</w:t>
      </w:r>
      <w:r w:rsidR="004A3C37" w:rsidRPr="00EA62F3">
        <w:rPr>
          <w:rFonts w:ascii="Arial" w:hAnsi="Arial" w:cs="Arial"/>
          <w:sz w:val="22"/>
          <w:lang w:val="es-ES_tradnl"/>
        </w:rPr>
        <w:t xml:space="preserve"> que no esté constituido por</w:t>
      </w:r>
      <w:r w:rsidR="0028203C" w:rsidRPr="00EA62F3">
        <w:rPr>
          <w:rFonts w:ascii="Arial" w:hAnsi="Arial" w:cs="Arial"/>
          <w:sz w:val="22"/>
          <w:lang w:val="es-ES_tradnl"/>
        </w:rPr>
        <w:t xml:space="preserve"> empresas </w:t>
      </w:r>
      <w:r w:rsidR="009D72AE" w:rsidRPr="00EA62F3">
        <w:rPr>
          <w:rFonts w:ascii="Arial" w:hAnsi="Arial" w:cs="Arial"/>
          <w:sz w:val="22"/>
          <w:lang w:val="es-ES_tradnl"/>
        </w:rPr>
        <w:t xml:space="preserve">medianas ni grandes. </w:t>
      </w:r>
    </w:p>
    <w:p w14:paraId="1FA3721B" w14:textId="77777777" w:rsidR="005A0B4A" w:rsidRPr="00EA62F3" w:rsidRDefault="005A0B4A" w:rsidP="005A0B4A">
      <w:pPr>
        <w:spacing w:after="120" w:line="276" w:lineRule="auto"/>
        <w:ind w:firstLine="709"/>
        <w:jc w:val="both"/>
        <w:rPr>
          <w:rFonts w:ascii="Arial" w:eastAsia="Calibri" w:hAnsi="Arial" w:cs="Arial"/>
          <w:sz w:val="22"/>
          <w:lang w:val="es-ES_tradnl"/>
        </w:rPr>
      </w:pPr>
      <w:r w:rsidRPr="00EA62F3">
        <w:rPr>
          <w:rFonts w:ascii="Arial" w:eastAsia="Calibri" w:hAnsi="Arial" w:cs="Arial"/>
          <w:sz w:val="22"/>
          <w:lang w:val="es-ES_tradnl"/>
        </w:rPr>
        <w:t xml:space="preserve">Respecto de la aplicabilidad de los numerales 8 y 9 a cooperativas y asociaciones mutuales, resulta relevante lo dispuesto en el parágrafo primero del artículo 35 de la Ley 2069 de 2020. Este introduce una limitación sobre la aplicación de los factores de desempate, al determinar que estos serán aplicables respecto de las cooperativas y asociaciones mutuales que cumplan con los criterios de clasificación empresarial del Decreto 957 de 2019, priorizando las mipymes. </w:t>
      </w:r>
    </w:p>
    <w:p w14:paraId="5C5D47DB" w14:textId="77777777" w:rsidR="005A0B4A" w:rsidRPr="00EA62F3" w:rsidRDefault="005A0B4A" w:rsidP="005A0B4A">
      <w:pPr>
        <w:spacing w:line="276" w:lineRule="auto"/>
        <w:ind w:firstLine="709"/>
        <w:jc w:val="both"/>
        <w:rPr>
          <w:rFonts w:ascii="Arial" w:hAnsi="Arial" w:cs="Arial"/>
          <w:sz w:val="22"/>
        </w:rPr>
      </w:pPr>
      <w:r w:rsidRPr="00EA62F3">
        <w:rPr>
          <w:rFonts w:ascii="Arial" w:eastAsia="Calibri" w:hAnsi="Arial" w:cs="Arial"/>
          <w:sz w:val="22"/>
          <w:lang w:val="es-ES_tradnl"/>
        </w:rPr>
        <w:t xml:space="preserve">Sin embargo, esto no puede entenderse como una limitación general del ámbito de aplicación de todos los factores de desempate, el cual se encuentra delimitado por el inciso primero del artículo </w:t>
      </w:r>
      <w:proofErr w:type="spellStart"/>
      <w:r w:rsidRPr="00EA62F3">
        <w:rPr>
          <w:rFonts w:ascii="Arial" w:eastAsia="Calibri" w:hAnsi="Arial" w:cs="Arial"/>
          <w:i/>
          <w:iCs/>
          <w:sz w:val="22"/>
          <w:lang w:val="es-ES_tradnl"/>
        </w:rPr>
        <w:t>sub-examine</w:t>
      </w:r>
      <w:proofErr w:type="spellEnd"/>
      <w:r w:rsidRPr="00EA62F3">
        <w:rPr>
          <w:rFonts w:ascii="Arial" w:eastAsia="Calibri" w:hAnsi="Arial" w:cs="Arial"/>
          <w:i/>
          <w:iCs/>
          <w:sz w:val="22"/>
          <w:lang w:val="es-ES_tradnl"/>
        </w:rPr>
        <w:t xml:space="preserve">. </w:t>
      </w:r>
      <w:r w:rsidRPr="00EA62F3">
        <w:rPr>
          <w:rFonts w:ascii="Arial" w:eastAsia="Calibri" w:hAnsi="Arial" w:cs="Arial"/>
          <w:sz w:val="22"/>
          <w:lang w:val="es-ES_tradnl"/>
        </w:rPr>
        <w:t xml:space="preserve">En ese entendido, lo que establece este parágrafo es que para que las cooperativas y asociaciones mutuales puedan beneficiarse de los factores de desempate de los numerales 8, 9 y 10 del artículo 35 de la Ley 2069 de 2020, deben cumplir </w:t>
      </w:r>
      <w:r w:rsidRPr="00EA62F3">
        <w:rPr>
          <w:rFonts w:ascii="Arial" w:eastAsia="Calibri" w:hAnsi="Arial" w:cs="Arial"/>
          <w:sz w:val="22"/>
          <w:lang w:val="es-ES_tradnl"/>
        </w:rPr>
        <w:lastRenderedPageBreak/>
        <w:t>con los criterios de clasificación empresarial previstos en el reglamento. Para estos efectos, el artículo 2.2.1.13.2.1 del Decreto 957 de 2019 dispone que «</w:t>
      </w:r>
      <w:r w:rsidRPr="00EA62F3">
        <w:rPr>
          <w:rFonts w:ascii="Arial" w:hAnsi="Arial" w:cs="Arial"/>
          <w:sz w:val="22"/>
        </w:rPr>
        <w:t xml:space="preserve">Para […] la clasificación del tamaño empresarial se tendrá como criterio exclusivo los ingresos por actividades ordinarias anuales de la respectiva empresa», definiendo en el artículo 2.2.1.13.2.2 los rangos de ingresos, sectores económicos y categorías conforme a las que se realiza la clasificación de las empresas y en el artículo 2.2.1.13.2.4 la forma en la que se debe acreditar los ingresos que determinan el tamaño empresarial. </w:t>
      </w:r>
    </w:p>
    <w:bookmarkEnd w:id="4"/>
    <w:p w14:paraId="395A8832" w14:textId="77777777" w:rsidR="002B3689" w:rsidRPr="00EA62F3" w:rsidRDefault="002B3689" w:rsidP="005B4ED0">
      <w:pPr>
        <w:shd w:val="clear" w:color="auto" w:fill="FFFFFF"/>
        <w:ind w:right="51" w:firstLine="709"/>
        <w:jc w:val="both"/>
        <w:rPr>
          <w:rFonts w:ascii="Arial" w:eastAsia="Calibri" w:hAnsi="Arial" w:cs="Arial"/>
          <w:bCs/>
          <w:sz w:val="22"/>
        </w:rPr>
      </w:pPr>
    </w:p>
    <w:p w14:paraId="4DAE4437" w14:textId="77777777" w:rsidR="00BE1E33" w:rsidRPr="00EA62F3" w:rsidRDefault="00BE1E33" w:rsidP="00BE1E33">
      <w:pPr>
        <w:pStyle w:val="Prrafodelista"/>
        <w:numPr>
          <w:ilvl w:val="0"/>
          <w:numId w:val="1"/>
        </w:numPr>
        <w:tabs>
          <w:tab w:val="left" w:pos="284"/>
        </w:tabs>
        <w:spacing w:line="276" w:lineRule="auto"/>
        <w:ind w:left="0" w:firstLine="0"/>
        <w:rPr>
          <w:rFonts w:ascii="Arial" w:hAnsi="Arial" w:cs="Arial"/>
          <w:b/>
          <w:bCs/>
          <w:sz w:val="22"/>
          <w:lang w:val="es-CO"/>
        </w:rPr>
      </w:pPr>
      <w:r w:rsidRPr="00EA62F3">
        <w:rPr>
          <w:rFonts w:ascii="Arial" w:hAnsi="Arial" w:cs="Arial"/>
          <w:b/>
          <w:bCs/>
          <w:sz w:val="22"/>
          <w:lang w:val="es-CO"/>
        </w:rPr>
        <w:t xml:space="preserve">Respuesta </w:t>
      </w:r>
    </w:p>
    <w:p w14:paraId="317BE2F9" w14:textId="77777777" w:rsidR="00BE1E33" w:rsidRPr="00EA62F3" w:rsidRDefault="00BE1E33" w:rsidP="005B4ED0">
      <w:pPr>
        <w:ind w:right="709"/>
        <w:jc w:val="both"/>
        <w:rPr>
          <w:rFonts w:ascii="Arial" w:hAnsi="Arial" w:cs="Arial"/>
          <w:sz w:val="22"/>
          <w:lang w:val="es-CO"/>
        </w:rPr>
      </w:pPr>
    </w:p>
    <w:p w14:paraId="1654D04F" w14:textId="6FA16F9A" w:rsidR="00BA7893" w:rsidRPr="00EA62F3" w:rsidRDefault="00BA7893" w:rsidP="00EA62F3">
      <w:pPr>
        <w:tabs>
          <w:tab w:val="left" w:pos="426"/>
        </w:tabs>
        <w:ind w:left="709" w:right="709"/>
        <w:jc w:val="both"/>
        <w:rPr>
          <w:rFonts w:ascii="Arial" w:eastAsia="Calibri" w:hAnsi="Arial" w:cs="Arial"/>
          <w:sz w:val="21"/>
          <w:szCs w:val="21"/>
        </w:rPr>
      </w:pPr>
      <w:r w:rsidRPr="00EA62F3">
        <w:rPr>
          <w:rFonts w:ascii="Arial" w:hAnsi="Arial" w:cs="Arial"/>
          <w:sz w:val="21"/>
          <w:szCs w:val="21"/>
          <w:lang w:val="es-CO"/>
        </w:rPr>
        <w:t xml:space="preserve">«[…] </w:t>
      </w:r>
      <w:r w:rsidRPr="00EA62F3">
        <w:rPr>
          <w:rFonts w:ascii="Arial" w:hAnsi="Arial" w:cs="Arial"/>
          <w:sz w:val="21"/>
          <w:szCs w:val="21"/>
        </w:rPr>
        <w:t xml:space="preserve">Si en un proceso de selección adelantado por alguna entidad estatal en la cual se encuentre en condición de empate un proponente plural constituido por una micro y/o pequeña empresa y/o cooperativas o asociaciones mutuales </w:t>
      </w:r>
      <w:r w:rsidRPr="00EA62F3">
        <w:rPr>
          <w:rFonts w:ascii="Arial" w:hAnsi="Arial" w:cs="Arial"/>
          <w:b/>
          <w:bCs/>
          <w:sz w:val="21"/>
          <w:szCs w:val="21"/>
        </w:rPr>
        <w:t xml:space="preserve">y </w:t>
      </w:r>
      <w:r w:rsidRPr="00EA62F3">
        <w:rPr>
          <w:rFonts w:ascii="Arial" w:hAnsi="Arial" w:cs="Arial"/>
          <w:sz w:val="21"/>
          <w:szCs w:val="21"/>
        </w:rPr>
        <w:t>una mediana empresa ¿Cómo debe aplicarse el factor 9 de los criterios de desempate “</w:t>
      </w:r>
      <w:r w:rsidRPr="00EA62F3">
        <w:rPr>
          <w:rFonts w:ascii="Arial" w:hAnsi="Arial" w:cs="Arial"/>
          <w:i/>
          <w:iCs/>
          <w:sz w:val="21"/>
          <w:szCs w:val="21"/>
        </w:rPr>
        <w:t>Preferir la oferta presentada por el proponente plural constituido por micro y/o pequeñas empresas, cooperativas o asociaciones mutuales”?</w:t>
      </w:r>
    </w:p>
    <w:p w14:paraId="707E010A" w14:textId="1F435FA8" w:rsidR="00BA7893" w:rsidRPr="00EA62F3" w:rsidRDefault="00BA7893" w:rsidP="00EA62F3">
      <w:pPr>
        <w:tabs>
          <w:tab w:val="left" w:pos="709"/>
        </w:tabs>
        <w:spacing w:after="120"/>
        <w:ind w:left="709" w:right="709"/>
        <w:jc w:val="both"/>
        <w:rPr>
          <w:rFonts w:ascii="Arial" w:hAnsi="Arial" w:cs="Arial"/>
          <w:sz w:val="21"/>
          <w:szCs w:val="21"/>
        </w:rPr>
      </w:pPr>
      <w:r w:rsidRPr="00EA62F3">
        <w:rPr>
          <w:rFonts w:ascii="Arial" w:eastAsia="Calibri" w:hAnsi="Arial" w:cs="Arial"/>
          <w:sz w:val="21"/>
          <w:szCs w:val="21"/>
        </w:rPr>
        <w:t>[…]</w:t>
      </w:r>
    </w:p>
    <w:p w14:paraId="2CFACD54" w14:textId="77777777" w:rsidR="00BA7893" w:rsidRPr="00EA62F3" w:rsidRDefault="00BA7893" w:rsidP="00BA7893">
      <w:pPr>
        <w:tabs>
          <w:tab w:val="left" w:pos="709"/>
        </w:tabs>
        <w:ind w:left="709" w:right="709"/>
        <w:jc w:val="both"/>
        <w:rPr>
          <w:rFonts w:ascii="Arial" w:eastAsia="Calibri" w:hAnsi="Arial" w:cs="Arial"/>
          <w:sz w:val="21"/>
          <w:szCs w:val="21"/>
        </w:rPr>
      </w:pPr>
      <w:r w:rsidRPr="00EA62F3">
        <w:rPr>
          <w:rFonts w:ascii="Arial" w:hAnsi="Arial" w:cs="Arial"/>
          <w:sz w:val="21"/>
          <w:szCs w:val="21"/>
        </w:rPr>
        <w:t xml:space="preserve">Si un proponente plural conformado por una micro y/o pequeña empresa y/o cooperativas o asociaciones mutuales </w:t>
      </w:r>
      <w:r w:rsidRPr="00EA62F3">
        <w:rPr>
          <w:rFonts w:ascii="Arial" w:hAnsi="Arial" w:cs="Arial"/>
          <w:b/>
          <w:bCs/>
          <w:sz w:val="21"/>
          <w:szCs w:val="21"/>
        </w:rPr>
        <w:t xml:space="preserve">y </w:t>
      </w:r>
      <w:r w:rsidRPr="00EA62F3">
        <w:rPr>
          <w:rFonts w:ascii="Arial" w:hAnsi="Arial" w:cs="Arial"/>
          <w:sz w:val="21"/>
          <w:szCs w:val="21"/>
        </w:rPr>
        <w:t>una mediana empresa se encuentra en condición de empate en un proceso de selección, el criterio de desempate 9 donde menciona que se debe preferir la oferta presentada por el proponente plural constituido por micro y/o pequeñas empresas, cooperativas o asociaciones mutuales ¿excluye a aquellos proponentes plurales cuyos miembros sean pequeñas y medianas empresas?».</w:t>
      </w:r>
    </w:p>
    <w:p w14:paraId="57318113" w14:textId="77777777" w:rsidR="009B2484" w:rsidRPr="00EA62F3" w:rsidRDefault="009B2484" w:rsidP="005B4ED0">
      <w:pPr>
        <w:ind w:left="709" w:right="709"/>
        <w:jc w:val="both"/>
        <w:rPr>
          <w:rFonts w:ascii="Arial" w:eastAsia="Calibri" w:hAnsi="Arial" w:cs="Arial"/>
          <w:sz w:val="22"/>
        </w:rPr>
      </w:pPr>
    </w:p>
    <w:p w14:paraId="5B0B1E86" w14:textId="16D8CED3" w:rsidR="00185441" w:rsidRPr="00EA62F3" w:rsidRDefault="00EA3421" w:rsidP="00D3674F">
      <w:pPr>
        <w:spacing w:after="120" w:line="276" w:lineRule="auto"/>
        <w:jc w:val="both"/>
        <w:rPr>
          <w:rFonts w:ascii="Arial" w:eastAsia="Calibri" w:hAnsi="Arial" w:cs="Arial"/>
          <w:sz w:val="22"/>
          <w:lang w:val="es-ES_tradnl"/>
        </w:rPr>
      </w:pPr>
      <w:r w:rsidRPr="00EA62F3">
        <w:rPr>
          <w:rFonts w:ascii="Arial" w:eastAsia="Calibri" w:hAnsi="Arial" w:cs="Arial"/>
          <w:sz w:val="22"/>
          <w:lang w:val="es-ES"/>
        </w:rPr>
        <w:t xml:space="preserve">Conforme a lo expuesto, </w:t>
      </w:r>
      <w:r w:rsidR="00780E76" w:rsidRPr="00EA62F3">
        <w:rPr>
          <w:rFonts w:ascii="Arial" w:eastAsia="Calibri" w:hAnsi="Arial" w:cs="Arial"/>
          <w:sz w:val="22"/>
          <w:lang w:val="es-ES_tradnl"/>
        </w:rPr>
        <w:t>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w:t>
      </w:r>
      <w:r w:rsidR="00780E76" w:rsidRPr="00EA62F3" w:rsidDel="0018007F">
        <w:rPr>
          <w:rFonts w:ascii="Arial" w:eastAsia="Calibri" w:hAnsi="Arial" w:cs="Arial"/>
          <w:sz w:val="22"/>
          <w:lang w:val="es-ES_tradnl"/>
        </w:rPr>
        <w:t xml:space="preserve"> </w:t>
      </w:r>
      <w:r w:rsidR="00780E76" w:rsidRPr="00EA62F3">
        <w:rPr>
          <w:rFonts w:ascii="Arial" w:eastAsia="Calibri" w:hAnsi="Arial" w:cs="Arial"/>
          <w:sz w:val="22"/>
          <w:lang w:val="es-ES_tradnl"/>
        </w:rPr>
        <w:t xml:space="preserve">son aplicables a todas las entidades estatales, independientemente de su régimen de contratación. </w:t>
      </w:r>
      <w:r w:rsidR="00780E76" w:rsidRPr="00EA62F3">
        <w:rPr>
          <w:rFonts w:ascii="Arial" w:eastAsia="Calibri" w:hAnsi="Arial" w:cs="Arial"/>
          <w:bCs/>
          <w:sz w:val="22"/>
        </w:rPr>
        <w:t>Incluso, al consagrarse en la ley, generan la derogación y decaimiento de los previstos en el artículo 2.2.1.1.2.2.9 del Decreto 1082 de 2015, pues se trata de una norma superior y posterior que genera la pérdida de los fundamentos de derecho en los previstos en el Decreto Único Reglamentario del Sector Administrativo de Planeación Nacional</w:t>
      </w:r>
      <w:r w:rsidR="00D3674F" w:rsidRPr="00EA62F3">
        <w:rPr>
          <w:rFonts w:ascii="Arial" w:eastAsia="Calibri" w:hAnsi="Arial" w:cs="Arial"/>
          <w:sz w:val="22"/>
          <w:lang w:val="es-ES"/>
        </w:rPr>
        <w:t>.</w:t>
      </w:r>
    </w:p>
    <w:p w14:paraId="59C2308B" w14:textId="2A4768C3" w:rsidR="00780E76" w:rsidRPr="00EA62F3" w:rsidRDefault="00364280" w:rsidP="00D3674F">
      <w:pPr>
        <w:spacing w:after="120" w:line="276" w:lineRule="auto"/>
        <w:jc w:val="both"/>
        <w:rPr>
          <w:rFonts w:ascii="Arial" w:eastAsia="Calibri" w:hAnsi="Arial" w:cs="Arial"/>
          <w:sz w:val="22"/>
          <w:lang w:val="es-ES"/>
        </w:rPr>
      </w:pPr>
      <w:r w:rsidRPr="00EA62F3">
        <w:rPr>
          <w:rFonts w:ascii="Arial" w:eastAsia="Calibri" w:hAnsi="Arial" w:cs="Arial"/>
          <w:sz w:val="22"/>
          <w:lang w:val="es-ES"/>
        </w:rPr>
        <w:tab/>
      </w:r>
      <w:r w:rsidR="00841B95" w:rsidRPr="00EA62F3">
        <w:rPr>
          <w:rFonts w:ascii="Arial" w:eastAsia="Calibri" w:hAnsi="Arial" w:cs="Arial"/>
          <w:sz w:val="22"/>
          <w:lang w:val="es-ES"/>
        </w:rPr>
        <w:t>Según</w:t>
      </w:r>
      <w:r w:rsidRPr="00EA62F3">
        <w:rPr>
          <w:rFonts w:ascii="Arial" w:eastAsia="Calibri" w:hAnsi="Arial" w:cs="Arial"/>
          <w:sz w:val="22"/>
          <w:lang w:val="es-ES"/>
        </w:rPr>
        <w:t xml:space="preserve"> indica el inciso primero, los factores de desempate debe</w:t>
      </w:r>
      <w:r w:rsidR="00F46A29" w:rsidRPr="00EA62F3">
        <w:rPr>
          <w:rFonts w:ascii="Arial" w:eastAsia="Calibri" w:hAnsi="Arial" w:cs="Arial"/>
          <w:sz w:val="22"/>
          <w:lang w:val="es-ES"/>
        </w:rPr>
        <w:t>n</w:t>
      </w:r>
      <w:r w:rsidRPr="00EA62F3">
        <w:rPr>
          <w:rFonts w:ascii="Arial" w:eastAsia="Calibri" w:hAnsi="Arial" w:cs="Arial"/>
          <w:sz w:val="22"/>
          <w:lang w:val="es-ES"/>
        </w:rPr>
        <w:t xml:space="preserve"> </w:t>
      </w:r>
      <w:r w:rsidR="00780E76" w:rsidRPr="00EA62F3">
        <w:rPr>
          <w:rFonts w:ascii="Arial" w:eastAsia="Calibri" w:hAnsi="Arial" w:cs="Arial"/>
          <w:sz w:val="22"/>
          <w:lang w:val="es-ES"/>
        </w:rPr>
        <w:t xml:space="preserve">aplicarse </w:t>
      </w:r>
      <w:r w:rsidRPr="00EA62F3">
        <w:rPr>
          <w:rFonts w:ascii="Arial" w:eastAsia="Calibri" w:hAnsi="Arial" w:cs="Arial"/>
          <w:sz w:val="22"/>
          <w:lang w:val="es-ES"/>
        </w:rPr>
        <w:t xml:space="preserve">de </w:t>
      </w:r>
      <w:r w:rsidR="00780E76" w:rsidRPr="00EA62F3">
        <w:rPr>
          <w:rFonts w:ascii="Arial" w:eastAsia="Calibri" w:hAnsi="Arial" w:cs="Arial"/>
          <w:sz w:val="22"/>
          <w:lang w:val="es-ES"/>
        </w:rPr>
        <w:t>forma</w:t>
      </w:r>
      <w:r w:rsidRPr="00EA62F3">
        <w:rPr>
          <w:rFonts w:ascii="Arial" w:eastAsia="Calibri" w:hAnsi="Arial" w:cs="Arial"/>
          <w:sz w:val="22"/>
          <w:lang w:val="es-ES"/>
        </w:rPr>
        <w:t xml:space="preserve"> sucesiva y excluyente, de tal manera </w:t>
      </w:r>
      <w:r w:rsidR="00841B95" w:rsidRPr="00EA62F3">
        <w:rPr>
          <w:rFonts w:ascii="Arial" w:eastAsia="Calibri" w:hAnsi="Arial" w:cs="Arial"/>
          <w:sz w:val="22"/>
          <w:lang w:val="es-ES"/>
        </w:rPr>
        <w:t>que,</w:t>
      </w:r>
      <w:r w:rsidRPr="00EA62F3">
        <w:rPr>
          <w:rFonts w:ascii="Arial" w:eastAsia="Calibri" w:hAnsi="Arial" w:cs="Arial"/>
          <w:sz w:val="22"/>
          <w:lang w:val="es-ES"/>
        </w:rPr>
        <w:t xml:space="preserve"> si se presenta una situación de empate, la entidad debe </w:t>
      </w:r>
      <w:r w:rsidR="00780E76" w:rsidRPr="00EA62F3">
        <w:rPr>
          <w:rFonts w:ascii="Arial" w:eastAsia="Calibri" w:hAnsi="Arial" w:cs="Arial"/>
          <w:sz w:val="22"/>
          <w:lang w:val="es-ES"/>
        </w:rPr>
        <w:t>resolverlo</w:t>
      </w:r>
      <w:r w:rsidRPr="00EA62F3">
        <w:rPr>
          <w:rFonts w:ascii="Arial" w:eastAsia="Calibri" w:hAnsi="Arial" w:cs="Arial"/>
          <w:sz w:val="22"/>
          <w:lang w:val="es-ES"/>
        </w:rPr>
        <w:t xml:space="preserve"> </w:t>
      </w:r>
      <w:r w:rsidR="00F46A29" w:rsidRPr="00EA62F3">
        <w:rPr>
          <w:rFonts w:ascii="Arial" w:eastAsia="Calibri" w:hAnsi="Arial" w:cs="Arial"/>
          <w:sz w:val="22"/>
          <w:lang w:val="es-ES"/>
        </w:rPr>
        <w:t>mediante la aplicación</w:t>
      </w:r>
      <w:r w:rsidRPr="00EA62F3">
        <w:rPr>
          <w:rFonts w:ascii="Arial" w:eastAsia="Calibri" w:hAnsi="Arial" w:cs="Arial"/>
          <w:sz w:val="22"/>
          <w:lang w:val="es-ES"/>
        </w:rPr>
        <w:t xml:space="preserve"> del factor del numeral 1 y de no se</w:t>
      </w:r>
      <w:r w:rsidR="00F46A29" w:rsidRPr="00EA62F3">
        <w:rPr>
          <w:rFonts w:ascii="Arial" w:eastAsia="Calibri" w:hAnsi="Arial" w:cs="Arial"/>
          <w:sz w:val="22"/>
          <w:lang w:val="es-ES"/>
        </w:rPr>
        <w:t>r</w:t>
      </w:r>
      <w:r w:rsidRPr="00EA62F3">
        <w:rPr>
          <w:rFonts w:ascii="Arial" w:eastAsia="Calibri" w:hAnsi="Arial" w:cs="Arial"/>
          <w:sz w:val="22"/>
          <w:lang w:val="es-ES"/>
        </w:rPr>
        <w:t xml:space="preserve"> posible seguir con el siguiente, y así sucesivamente hasta aplicar uno que </w:t>
      </w:r>
      <w:r w:rsidR="00780E76" w:rsidRPr="00EA62F3">
        <w:rPr>
          <w:rFonts w:ascii="Arial" w:eastAsia="Calibri" w:hAnsi="Arial" w:cs="Arial"/>
          <w:sz w:val="22"/>
          <w:lang w:val="es-ES"/>
        </w:rPr>
        <w:t>lo resuelva</w:t>
      </w:r>
      <w:r w:rsidR="002A4493" w:rsidRPr="00EA62F3">
        <w:rPr>
          <w:rFonts w:ascii="Arial" w:eastAsia="Calibri" w:hAnsi="Arial" w:cs="Arial"/>
          <w:sz w:val="22"/>
          <w:lang w:val="es-ES"/>
        </w:rPr>
        <w:t xml:space="preserve">. En virtud de lo anterior, cuando se presenten empates que no puedan </w:t>
      </w:r>
      <w:r w:rsidR="00780E76" w:rsidRPr="00EA62F3">
        <w:rPr>
          <w:rFonts w:ascii="Arial" w:eastAsia="Calibri" w:hAnsi="Arial" w:cs="Arial"/>
          <w:sz w:val="22"/>
          <w:lang w:val="es-ES"/>
        </w:rPr>
        <w:t>resolverse</w:t>
      </w:r>
      <w:r w:rsidR="002A4493" w:rsidRPr="00EA62F3">
        <w:rPr>
          <w:rFonts w:ascii="Arial" w:eastAsia="Calibri" w:hAnsi="Arial" w:cs="Arial"/>
          <w:sz w:val="22"/>
          <w:lang w:val="es-ES"/>
        </w:rPr>
        <w:t xml:space="preserve"> aplicando lo dispuestos entre los numerales 1 y 8 del artículo 35</w:t>
      </w:r>
      <w:r w:rsidR="00780E76" w:rsidRPr="00EA62F3">
        <w:rPr>
          <w:rFonts w:ascii="Arial" w:eastAsia="Calibri" w:hAnsi="Arial" w:cs="Arial"/>
          <w:sz w:val="22"/>
          <w:lang w:val="es-ES"/>
        </w:rPr>
        <w:t xml:space="preserve"> de la Ley de Emprendimiento</w:t>
      </w:r>
      <w:r w:rsidR="002A4493" w:rsidRPr="00EA62F3">
        <w:rPr>
          <w:rFonts w:ascii="Arial" w:eastAsia="Calibri" w:hAnsi="Arial" w:cs="Arial"/>
          <w:sz w:val="22"/>
          <w:lang w:val="es-ES"/>
        </w:rPr>
        <w:t xml:space="preserve">, la entidad deberá </w:t>
      </w:r>
      <w:proofErr w:type="gramStart"/>
      <w:r w:rsidR="002A4493" w:rsidRPr="00EA62F3">
        <w:rPr>
          <w:rFonts w:ascii="Arial" w:eastAsia="Calibri" w:hAnsi="Arial" w:cs="Arial"/>
          <w:sz w:val="22"/>
          <w:lang w:val="es-ES"/>
        </w:rPr>
        <w:t>proceder a aplicar</w:t>
      </w:r>
      <w:proofErr w:type="gramEnd"/>
      <w:r w:rsidR="002A4493" w:rsidRPr="00EA62F3">
        <w:rPr>
          <w:rFonts w:ascii="Arial" w:eastAsia="Calibri" w:hAnsi="Arial" w:cs="Arial"/>
          <w:sz w:val="22"/>
          <w:lang w:val="es-ES"/>
        </w:rPr>
        <w:t xml:space="preserve"> </w:t>
      </w:r>
      <w:r w:rsidR="00780E76" w:rsidRPr="00EA62F3">
        <w:rPr>
          <w:rFonts w:ascii="Arial" w:eastAsia="Calibri" w:hAnsi="Arial" w:cs="Arial"/>
          <w:sz w:val="22"/>
          <w:lang w:val="es-ES"/>
        </w:rPr>
        <w:t>el d</w:t>
      </w:r>
      <w:r w:rsidR="002A4493" w:rsidRPr="00EA62F3">
        <w:rPr>
          <w:rFonts w:ascii="Arial" w:eastAsia="Calibri" w:hAnsi="Arial" w:cs="Arial"/>
          <w:sz w:val="22"/>
          <w:lang w:val="es-ES"/>
        </w:rPr>
        <w:t>el numeral 9.</w:t>
      </w:r>
    </w:p>
    <w:p w14:paraId="70103AB5" w14:textId="38FA0223" w:rsidR="009D72AE" w:rsidRPr="00EA62F3" w:rsidRDefault="00D3674F" w:rsidP="00841B95">
      <w:pPr>
        <w:spacing w:line="276" w:lineRule="auto"/>
        <w:jc w:val="both"/>
        <w:rPr>
          <w:rFonts w:ascii="Arial" w:eastAsia="Calibri" w:hAnsi="Arial" w:cs="Arial"/>
          <w:sz w:val="22"/>
          <w:lang w:val="es-ES"/>
        </w:rPr>
      </w:pPr>
      <w:r w:rsidRPr="00EA62F3">
        <w:rPr>
          <w:rFonts w:ascii="Arial" w:eastAsia="Calibri" w:hAnsi="Arial" w:cs="Arial"/>
          <w:sz w:val="22"/>
          <w:lang w:val="es-ES"/>
        </w:rPr>
        <w:lastRenderedPageBreak/>
        <w:tab/>
      </w:r>
      <w:r w:rsidR="00780E76" w:rsidRPr="00EA62F3">
        <w:rPr>
          <w:rFonts w:ascii="Arial" w:eastAsia="Calibri" w:hAnsi="Arial" w:cs="Arial"/>
          <w:sz w:val="22"/>
          <w:lang w:val="es-ES"/>
        </w:rPr>
        <w:t>Este último</w:t>
      </w:r>
      <w:r w:rsidR="00C703BA" w:rsidRPr="00EA62F3">
        <w:rPr>
          <w:rFonts w:ascii="Arial" w:eastAsia="Calibri" w:hAnsi="Arial" w:cs="Arial"/>
          <w:sz w:val="22"/>
          <w:lang w:val="es-ES"/>
        </w:rPr>
        <w:t xml:space="preserve"> establece el deber de preferir la oferta presentada por el proponente plural conformado por </w:t>
      </w:r>
      <w:r w:rsidR="00085310" w:rsidRPr="00EA62F3">
        <w:rPr>
          <w:rFonts w:ascii="Arial" w:eastAsia="Calibri" w:hAnsi="Arial" w:cs="Arial"/>
          <w:sz w:val="22"/>
          <w:lang w:val="es-ES"/>
        </w:rPr>
        <w:t>micro y/o pequeñas empresas, cooperativas o asociaciones mutuales. Este factor, a diferencia del establecido en el numeral 8</w:t>
      </w:r>
      <w:r w:rsidR="00473A4F" w:rsidRPr="00EA62F3">
        <w:rPr>
          <w:rFonts w:ascii="Arial" w:eastAsia="Calibri" w:hAnsi="Arial" w:cs="Arial"/>
          <w:sz w:val="22"/>
          <w:lang w:val="es-ES"/>
        </w:rPr>
        <w:t xml:space="preserve">, excluye a los proponentes singulares correspondientes a </w:t>
      </w:r>
      <w:proofErr w:type="spellStart"/>
      <w:r w:rsidR="00473A4F" w:rsidRPr="00EA62F3">
        <w:rPr>
          <w:rFonts w:ascii="Arial" w:eastAsia="Calibri" w:hAnsi="Arial" w:cs="Arial"/>
          <w:sz w:val="22"/>
          <w:lang w:val="es-ES"/>
        </w:rPr>
        <w:t>mipymes</w:t>
      </w:r>
      <w:proofErr w:type="spellEnd"/>
      <w:r w:rsidR="007A4D8B" w:rsidRPr="00EA62F3">
        <w:rPr>
          <w:rFonts w:ascii="Arial" w:eastAsia="Calibri" w:hAnsi="Arial" w:cs="Arial"/>
          <w:sz w:val="22"/>
          <w:lang w:val="es-ES"/>
        </w:rPr>
        <w:t xml:space="preserve">, cooperativas y asociaciones mutuales, así como a los proponentes </w:t>
      </w:r>
      <w:r w:rsidR="00841B95" w:rsidRPr="00EA62F3">
        <w:rPr>
          <w:rFonts w:ascii="Arial" w:eastAsia="Calibri" w:hAnsi="Arial" w:cs="Arial"/>
          <w:sz w:val="22"/>
          <w:lang w:val="es-ES"/>
        </w:rPr>
        <w:t>plurales</w:t>
      </w:r>
      <w:r w:rsidR="007A4D8B" w:rsidRPr="00EA62F3">
        <w:rPr>
          <w:rFonts w:ascii="Arial" w:eastAsia="Calibri" w:hAnsi="Arial" w:cs="Arial"/>
          <w:sz w:val="22"/>
          <w:lang w:val="es-ES"/>
        </w:rPr>
        <w:t xml:space="preserve"> conformados por empresas medianas. </w:t>
      </w:r>
      <w:r w:rsidR="00020A85" w:rsidRPr="00EA62F3">
        <w:rPr>
          <w:rFonts w:ascii="Arial" w:eastAsia="Calibri" w:hAnsi="Arial" w:cs="Arial"/>
          <w:sz w:val="22"/>
          <w:lang w:val="es-ES"/>
        </w:rPr>
        <w:t xml:space="preserve">Conforme a esto, este factor es aplicable para resolver situaciones de empate, en </w:t>
      </w:r>
      <w:r w:rsidR="007748FF" w:rsidRPr="00EA62F3">
        <w:rPr>
          <w:rFonts w:ascii="Arial" w:eastAsia="Calibri" w:hAnsi="Arial" w:cs="Arial"/>
          <w:sz w:val="22"/>
          <w:lang w:val="es-ES"/>
        </w:rPr>
        <w:t xml:space="preserve">los que un extremo </w:t>
      </w:r>
      <w:r w:rsidR="00345AE0" w:rsidRPr="00EA62F3">
        <w:rPr>
          <w:rFonts w:ascii="Arial" w:eastAsia="Calibri" w:hAnsi="Arial" w:cs="Arial"/>
          <w:sz w:val="22"/>
          <w:lang w:val="es-ES"/>
        </w:rPr>
        <w:t>est</w:t>
      </w:r>
      <w:r w:rsidR="00D50E68" w:rsidRPr="00EA62F3">
        <w:rPr>
          <w:rFonts w:ascii="Arial" w:eastAsia="Calibri" w:hAnsi="Arial" w:cs="Arial"/>
          <w:sz w:val="22"/>
          <w:lang w:val="es-ES"/>
        </w:rPr>
        <w:t>é</w:t>
      </w:r>
      <w:r w:rsidR="007748FF" w:rsidRPr="00EA62F3">
        <w:rPr>
          <w:rFonts w:ascii="Arial" w:eastAsia="Calibri" w:hAnsi="Arial" w:cs="Arial"/>
          <w:sz w:val="22"/>
          <w:lang w:val="es-ES"/>
        </w:rPr>
        <w:t xml:space="preserve"> conformado por un consorcio o unión temporal integrado por micro</w:t>
      </w:r>
      <w:r w:rsidR="00345AE0" w:rsidRPr="00EA62F3">
        <w:rPr>
          <w:rFonts w:ascii="Arial" w:eastAsia="Calibri" w:hAnsi="Arial" w:cs="Arial"/>
          <w:sz w:val="22"/>
          <w:lang w:val="es-ES"/>
        </w:rPr>
        <w:t xml:space="preserve"> y/o pequeñas empresas, </w:t>
      </w:r>
      <w:r w:rsidR="00E00ED9" w:rsidRPr="00EA62F3">
        <w:rPr>
          <w:rFonts w:ascii="Arial" w:eastAsia="Calibri" w:hAnsi="Arial" w:cs="Arial"/>
          <w:sz w:val="22"/>
          <w:lang w:val="es-ES"/>
        </w:rPr>
        <w:t xml:space="preserve">así como cooperativas y/o </w:t>
      </w:r>
      <w:r w:rsidR="00345AE0" w:rsidRPr="00EA62F3">
        <w:rPr>
          <w:rFonts w:ascii="Arial" w:eastAsia="Calibri" w:hAnsi="Arial" w:cs="Arial"/>
          <w:sz w:val="22"/>
          <w:lang w:val="es-ES"/>
        </w:rPr>
        <w:t>asociaciones mutuales</w:t>
      </w:r>
      <w:r w:rsidR="00D50E68" w:rsidRPr="00EA62F3">
        <w:rPr>
          <w:rFonts w:ascii="Arial" w:eastAsia="Calibri" w:hAnsi="Arial" w:cs="Arial"/>
          <w:sz w:val="22"/>
          <w:lang w:val="es-ES"/>
        </w:rPr>
        <w:t xml:space="preserve">, y en el otro extremo </w:t>
      </w:r>
      <w:r w:rsidR="009075C9" w:rsidRPr="00EA62F3">
        <w:rPr>
          <w:rFonts w:ascii="Arial" w:eastAsia="Calibri" w:hAnsi="Arial" w:cs="Arial"/>
          <w:sz w:val="22"/>
          <w:lang w:val="es-ES"/>
        </w:rPr>
        <w:t>se ubique un proponente plural conformado, por ejemplo, por empresas medianas</w:t>
      </w:r>
      <w:r w:rsidR="00841B95" w:rsidRPr="00EA62F3">
        <w:rPr>
          <w:rFonts w:ascii="Arial" w:eastAsia="Calibri" w:hAnsi="Arial" w:cs="Arial"/>
          <w:sz w:val="22"/>
          <w:lang w:val="es-ES"/>
        </w:rPr>
        <w:t>, debiendo resolverse el empate en favor del primero.</w:t>
      </w:r>
    </w:p>
    <w:p w14:paraId="0FA7C697" w14:textId="77777777" w:rsidR="00841B95" w:rsidRPr="00EA62F3" w:rsidRDefault="00841B95" w:rsidP="00EA62F3">
      <w:pPr>
        <w:spacing w:after="120" w:line="276" w:lineRule="auto"/>
        <w:jc w:val="both"/>
        <w:rPr>
          <w:rFonts w:ascii="Arial" w:eastAsia="Calibri" w:hAnsi="Arial" w:cs="Arial"/>
          <w:sz w:val="22"/>
        </w:rPr>
      </w:pPr>
    </w:p>
    <w:p w14:paraId="78A474DF" w14:textId="4C37B1AB" w:rsidR="00A55BF1" w:rsidRPr="00EA62F3" w:rsidRDefault="00E05344" w:rsidP="00A55BF1">
      <w:pPr>
        <w:spacing w:line="276" w:lineRule="auto"/>
        <w:jc w:val="both"/>
        <w:rPr>
          <w:rFonts w:ascii="Arial" w:hAnsi="Arial" w:cs="Arial"/>
          <w:sz w:val="22"/>
        </w:rPr>
      </w:pPr>
      <w:r w:rsidRPr="00EA62F3">
        <w:rPr>
          <w:rFonts w:ascii="Arial" w:eastAsia="Calibri" w:hAnsi="Arial" w:cs="Arial"/>
          <w:sz w:val="22"/>
        </w:rPr>
        <w:t>Este concepto tiene el alcance previsto en el artículo 28 del Código de Procedimiento Administrativo y de lo Contencioso Administrativo</w:t>
      </w:r>
      <w:r w:rsidR="00BE1E33" w:rsidRPr="00EA62F3">
        <w:rPr>
          <w:rFonts w:ascii="Arial" w:eastAsia="Calibri" w:hAnsi="Arial" w:cs="Arial"/>
          <w:sz w:val="22"/>
        </w:rPr>
        <w:t>.</w:t>
      </w:r>
    </w:p>
    <w:p w14:paraId="58248B2B" w14:textId="038D2DCF" w:rsidR="00A55BF1" w:rsidRPr="00EA62F3" w:rsidRDefault="00A55BF1" w:rsidP="00A55BF1">
      <w:pPr>
        <w:pStyle w:val="NormalWeb"/>
        <w:spacing w:before="0" w:beforeAutospacing="0" w:after="0" w:afterAutospacing="0" w:line="276" w:lineRule="auto"/>
        <w:jc w:val="both"/>
        <w:rPr>
          <w:rFonts w:ascii="Arial" w:hAnsi="Arial" w:cs="Arial"/>
          <w:sz w:val="16"/>
          <w:szCs w:val="16"/>
          <w:lang w:val="es-MX"/>
        </w:rPr>
      </w:pPr>
    </w:p>
    <w:p w14:paraId="0CFBC9B7" w14:textId="4E216497" w:rsidR="00A55BF1" w:rsidRPr="00EA62F3" w:rsidRDefault="00A55BF1" w:rsidP="00A55BF1">
      <w:pPr>
        <w:pStyle w:val="NormalWeb"/>
        <w:spacing w:before="0" w:beforeAutospacing="0" w:after="0" w:afterAutospacing="0" w:line="276" w:lineRule="auto"/>
        <w:jc w:val="both"/>
        <w:rPr>
          <w:rFonts w:ascii="Arial" w:hAnsi="Arial" w:cs="Arial"/>
          <w:sz w:val="22"/>
          <w:szCs w:val="22"/>
          <w:lang w:val="es-MX"/>
        </w:rPr>
      </w:pPr>
      <w:r w:rsidRPr="00EA62F3">
        <w:rPr>
          <w:rFonts w:ascii="Arial" w:hAnsi="Arial" w:cs="Arial"/>
          <w:sz w:val="22"/>
          <w:szCs w:val="22"/>
          <w:lang w:val="es-MX"/>
        </w:rPr>
        <w:t>Atentamente,</w:t>
      </w:r>
    </w:p>
    <w:p w14:paraId="56A498ED" w14:textId="4072FF0F" w:rsidR="005B4ED0" w:rsidRPr="00EA62F3" w:rsidRDefault="005B4ED0" w:rsidP="00A55BF1">
      <w:pPr>
        <w:jc w:val="center"/>
        <w:rPr>
          <w:rFonts w:ascii="Arial" w:eastAsia="Times New Roman" w:hAnsi="Arial" w:cs="Arial"/>
          <w:sz w:val="18"/>
          <w:szCs w:val="20"/>
          <w:lang w:eastAsia="es-CO"/>
        </w:rPr>
      </w:pPr>
    </w:p>
    <w:p w14:paraId="20092713" w14:textId="2427D318" w:rsidR="005B4ED0" w:rsidRPr="00EA62F3" w:rsidRDefault="005B4ED0" w:rsidP="00A55BF1">
      <w:pPr>
        <w:jc w:val="center"/>
        <w:rPr>
          <w:rFonts w:ascii="Arial" w:eastAsia="Times New Roman" w:hAnsi="Arial" w:cs="Arial"/>
          <w:sz w:val="18"/>
          <w:szCs w:val="20"/>
          <w:lang w:eastAsia="es-CO"/>
        </w:rPr>
      </w:pPr>
    </w:p>
    <w:p w14:paraId="79497E9D" w14:textId="721CCC4B" w:rsidR="00A55BF1" w:rsidRPr="00EA62F3" w:rsidRDefault="00EA62F3" w:rsidP="00A55BF1">
      <w:pPr>
        <w:jc w:val="center"/>
        <w:rPr>
          <w:rFonts w:ascii="Arial" w:eastAsia="Times New Roman" w:hAnsi="Arial" w:cs="Arial"/>
          <w:sz w:val="18"/>
          <w:szCs w:val="20"/>
          <w:lang w:eastAsia="es-CO"/>
        </w:rPr>
      </w:pPr>
      <w:r>
        <w:rPr>
          <w:noProof/>
        </w:rPr>
        <w:drawing>
          <wp:inline distT="0" distB="0" distL="0" distR="0" wp14:anchorId="55D65879" wp14:editId="1B0D0448">
            <wp:extent cx="2514600" cy="1114425"/>
            <wp:effectExtent l="0" t="0" r="0" b="0"/>
            <wp:docPr id="1469252213" name="Imagen 146925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3368C4B4" w14:textId="554EEBBB" w:rsidR="00841B95" w:rsidRPr="00EA62F3" w:rsidRDefault="00841B95" w:rsidP="00A55BF1">
      <w:pPr>
        <w:jc w:val="center"/>
        <w:rPr>
          <w:rFonts w:ascii="Arial" w:eastAsia="Times New Roman" w:hAnsi="Arial" w:cs="Arial"/>
          <w:sz w:val="18"/>
          <w:szCs w:val="20"/>
          <w:lang w:eastAsia="es-CO"/>
        </w:rPr>
      </w:pPr>
    </w:p>
    <w:p w14:paraId="4FB64391" w14:textId="1E4AFB54" w:rsidR="00841B95" w:rsidRPr="00EA62F3" w:rsidRDefault="00841B95" w:rsidP="00A55BF1">
      <w:pPr>
        <w:jc w:val="center"/>
        <w:rPr>
          <w:rFonts w:ascii="Arial" w:eastAsia="Times New Roman" w:hAnsi="Arial" w:cs="Arial"/>
          <w:sz w:val="18"/>
          <w:szCs w:val="20"/>
          <w:lang w:eastAsia="es-CO"/>
        </w:rPr>
      </w:pPr>
    </w:p>
    <w:p w14:paraId="3D987D56" w14:textId="77777777" w:rsidR="00841B95" w:rsidRPr="00EA62F3" w:rsidRDefault="00841B95" w:rsidP="00A55BF1">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3404E" w:rsidRPr="00EA62F3" w14:paraId="570E1242" w14:textId="77777777" w:rsidTr="00460200">
        <w:trPr>
          <w:trHeight w:val="315"/>
        </w:trPr>
        <w:tc>
          <w:tcPr>
            <w:tcW w:w="812" w:type="dxa"/>
            <w:vAlign w:val="center"/>
            <w:hideMark/>
          </w:tcPr>
          <w:p w14:paraId="5FD1A97E" w14:textId="77777777" w:rsidR="00A55BF1" w:rsidRPr="00EA62F3" w:rsidRDefault="00A55BF1" w:rsidP="00460200">
            <w:pPr>
              <w:rPr>
                <w:rFonts w:ascii="Arial" w:eastAsia="Times New Roman" w:hAnsi="Arial" w:cs="Arial"/>
                <w:sz w:val="16"/>
                <w:szCs w:val="16"/>
                <w:lang w:eastAsia="es-ES"/>
              </w:rPr>
            </w:pPr>
            <w:r w:rsidRPr="00EA62F3">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9602EED" w14:textId="77777777" w:rsidR="00A55BF1" w:rsidRPr="00EA62F3" w:rsidRDefault="00A55BF1" w:rsidP="00460200">
            <w:pPr>
              <w:rPr>
                <w:rFonts w:ascii="Arial" w:eastAsia="Times New Roman" w:hAnsi="Arial" w:cs="Arial"/>
                <w:sz w:val="16"/>
                <w:szCs w:val="16"/>
                <w:lang w:eastAsia="es-ES"/>
              </w:rPr>
            </w:pPr>
            <w:r w:rsidRPr="00EA62F3">
              <w:rPr>
                <w:rFonts w:ascii="Arial" w:eastAsia="Times New Roman" w:hAnsi="Arial" w:cs="Arial"/>
                <w:sz w:val="16"/>
                <w:szCs w:val="16"/>
                <w:lang w:eastAsia="es-ES"/>
              </w:rPr>
              <w:t>Alejandro Sarmiento Cantillo</w:t>
            </w:r>
          </w:p>
          <w:p w14:paraId="49F50001" w14:textId="77777777" w:rsidR="00A55BF1" w:rsidRPr="00EA62F3" w:rsidRDefault="00A55BF1" w:rsidP="00460200">
            <w:pPr>
              <w:rPr>
                <w:rFonts w:ascii="Arial" w:eastAsia="Times New Roman" w:hAnsi="Arial" w:cs="Arial"/>
                <w:sz w:val="16"/>
                <w:szCs w:val="16"/>
                <w:lang w:eastAsia="es-ES"/>
              </w:rPr>
            </w:pPr>
            <w:r w:rsidRPr="00EA62F3">
              <w:rPr>
                <w:rFonts w:ascii="Arial" w:eastAsia="Times New Roman" w:hAnsi="Arial" w:cs="Arial"/>
                <w:sz w:val="16"/>
                <w:szCs w:val="16"/>
                <w:lang w:eastAsia="es-ES"/>
              </w:rPr>
              <w:t>Gestor T1-11 de la Subdirección de Gestión Contractual</w:t>
            </w:r>
          </w:p>
        </w:tc>
      </w:tr>
      <w:tr w:rsidR="0063404E" w:rsidRPr="00EA62F3" w14:paraId="12C22515" w14:textId="77777777" w:rsidTr="00460200">
        <w:trPr>
          <w:trHeight w:val="330"/>
        </w:trPr>
        <w:tc>
          <w:tcPr>
            <w:tcW w:w="812" w:type="dxa"/>
            <w:vAlign w:val="center"/>
            <w:hideMark/>
          </w:tcPr>
          <w:p w14:paraId="51DF5D65" w14:textId="77777777" w:rsidR="00A55BF1" w:rsidRPr="00EA62F3" w:rsidRDefault="00A55BF1" w:rsidP="00460200">
            <w:pPr>
              <w:rPr>
                <w:rFonts w:ascii="Arial" w:eastAsia="Times New Roman" w:hAnsi="Arial" w:cs="Arial"/>
                <w:sz w:val="16"/>
                <w:szCs w:val="16"/>
                <w:lang w:eastAsia="es-ES"/>
              </w:rPr>
            </w:pPr>
            <w:r w:rsidRPr="00EA62F3">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0EC95B" w14:textId="77777777" w:rsidR="00A55BF1" w:rsidRPr="00EA62F3" w:rsidRDefault="00A55BF1" w:rsidP="00460200">
            <w:pPr>
              <w:rPr>
                <w:rFonts w:ascii="Arial" w:eastAsia="Times New Roman" w:hAnsi="Arial" w:cs="Arial"/>
                <w:sz w:val="16"/>
                <w:szCs w:val="16"/>
                <w:lang w:eastAsia="es-ES"/>
              </w:rPr>
            </w:pPr>
            <w:r w:rsidRPr="00EA62F3">
              <w:rPr>
                <w:rFonts w:ascii="Arial" w:eastAsia="Times New Roman" w:hAnsi="Arial" w:cs="Arial"/>
                <w:sz w:val="16"/>
                <w:szCs w:val="16"/>
                <w:lang w:eastAsia="es-ES"/>
              </w:rPr>
              <w:t>Juan David Montoya Penagos</w:t>
            </w:r>
          </w:p>
          <w:p w14:paraId="2F4F5D7C" w14:textId="77777777" w:rsidR="00A55BF1" w:rsidRPr="00EA62F3" w:rsidRDefault="00A55BF1" w:rsidP="00460200">
            <w:pPr>
              <w:rPr>
                <w:rFonts w:ascii="Arial" w:eastAsia="Times New Roman" w:hAnsi="Arial" w:cs="Arial"/>
                <w:sz w:val="16"/>
                <w:szCs w:val="16"/>
                <w:lang w:eastAsia="es-ES"/>
              </w:rPr>
            </w:pPr>
            <w:r w:rsidRPr="00EA62F3">
              <w:rPr>
                <w:rFonts w:ascii="Arial" w:eastAsia="Times New Roman" w:hAnsi="Arial" w:cs="Arial"/>
                <w:sz w:val="16"/>
                <w:szCs w:val="16"/>
                <w:lang w:eastAsia="es-ES"/>
              </w:rPr>
              <w:t>Gestor T1-15 de la Subdirección de Gestión Contractual</w:t>
            </w:r>
          </w:p>
        </w:tc>
      </w:tr>
      <w:tr w:rsidR="00515DA2" w:rsidRPr="0063404E" w14:paraId="05CDC1BF" w14:textId="77777777" w:rsidTr="00460200">
        <w:trPr>
          <w:trHeight w:val="300"/>
        </w:trPr>
        <w:tc>
          <w:tcPr>
            <w:tcW w:w="812" w:type="dxa"/>
            <w:vAlign w:val="center"/>
            <w:hideMark/>
          </w:tcPr>
          <w:p w14:paraId="3D155D19" w14:textId="77777777" w:rsidR="00A55BF1" w:rsidRPr="00EA62F3" w:rsidRDefault="00A55BF1" w:rsidP="00460200">
            <w:pPr>
              <w:rPr>
                <w:rFonts w:ascii="Arial" w:eastAsia="Times New Roman" w:hAnsi="Arial" w:cs="Arial"/>
                <w:sz w:val="16"/>
                <w:szCs w:val="16"/>
                <w:lang w:eastAsia="es-ES"/>
              </w:rPr>
            </w:pPr>
            <w:r w:rsidRPr="00EA62F3">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7A16EB1" w14:textId="77777777" w:rsidR="00A55BF1" w:rsidRPr="00EA62F3" w:rsidRDefault="00A55BF1" w:rsidP="00460200">
            <w:pPr>
              <w:rPr>
                <w:rFonts w:ascii="Arial" w:eastAsia="Times New Roman" w:hAnsi="Arial" w:cs="Arial"/>
                <w:sz w:val="16"/>
                <w:szCs w:val="16"/>
                <w:lang w:eastAsia="es-ES"/>
              </w:rPr>
            </w:pPr>
            <w:r w:rsidRPr="00EA62F3">
              <w:rPr>
                <w:rFonts w:ascii="Arial" w:eastAsia="Times New Roman" w:hAnsi="Arial" w:cs="Arial"/>
                <w:sz w:val="16"/>
                <w:szCs w:val="16"/>
                <w:lang w:eastAsia="es-ES"/>
              </w:rPr>
              <w:t>Jorge Augusto Tirado Navarro</w:t>
            </w:r>
          </w:p>
          <w:p w14:paraId="07208653" w14:textId="09B7733A" w:rsidR="00A55BF1" w:rsidRPr="0063404E" w:rsidRDefault="00A55BF1" w:rsidP="00460200">
            <w:pPr>
              <w:rPr>
                <w:rFonts w:ascii="Arial" w:eastAsia="Times New Roman" w:hAnsi="Arial" w:cs="Arial"/>
                <w:sz w:val="16"/>
                <w:szCs w:val="16"/>
                <w:lang w:eastAsia="es-ES"/>
              </w:rPr>
            </w:pPr>
            <w:r w:rsidRPr="00EA62F3">
              <w:rPr>
                <w:rFonts w:ascii="Arial" w:eastAsia="Times New Roman" w:hAnsi="Arial" w:cs="Arial"/>
                <w:sz w:val="16"/>
                <w:szCs w:val="16"/>
                <w:lang w:eastAsia="es-ES"/>
              </w:rPr>
              <w:t>Subdirector de Gestión Contractual</w:t>
            </w:r>
            <w:r w:rsidR="00780E76" w:rsidRPr="00EA62F3">
              <w:rPr>
                <w:rFonts w:ascii="Arial" w:eastAsia="Times New Roman" w:hAnsi="Arial" w:cs="Arial"/>
                <w:sz w:val="16"/>
                <w:szCs w:val="16"/>
                <w:lang w:eastAsia="es-ES"/>
              </w:rPr>
              <w:t xml:space="preserve"> ANCP – CCE</w:t>
            </w:r>
          </w:p>
        </w:tc>
      </w:tr>
    </w:tbl>
    <w:p w14:paraId="085A31AB" w14:textId="418E7A94" w:rsidR="006C5955" w:rsidRPr="0063404E" w:rsidRDefault="006C5955" w:rsidP="00A55BF1">
      <w:pPr>
        <w:spacing w:line="276" w:lineRule="auto"/>
        <w:jc w:val="both"/>
      </w:pPr>
    </w:p>
    <w:sectPr w:rsidR="006C5955" w:rsidRPr="0063404E" w:rsidSect="00AC43E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35D8" w14:textId="77777777" w:rsidR="00600BE4" w:rsidRDefault="00600BE4" w:rsidP="008C487C">
      <w:r>
        <w:separator/>
      </w:r>
    </w:p>
  </w:endnote>
  <w:endnote w:type="continuationSeparator" w:id="0">
    <w:p w14:paraId="48248882" w14:textId="77777777" w:rsidR="00600BE4" w:rsidRDefault="00600BE4"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AE1FDC" w:rsidRDefault="00AE1FDC" w:rsidP="00AC43E7">
    <w:pPr>
      <w:pStyle w:val="Sinespaciado"/>
      <w:jc w:val="right"/>
      <w:rPr>
        <w:rFonts w:ascii="Arial" w:hAnsi="Arial" w:cs="Arial"/>
        <w:sz w:val="18"/>
        <w:szCs w:val="18"/>
      </w:rPr>
    </w:pPr>
  </w:p>
  <w:p w14:paraId="709352A1" w14:textId="77777777" w:rsidR="00AE1FDC" w:rsidRDefault="00AE1FDC" w:rsidP="00AC43E7">
    <w:pPr>
      <w:pStyle w:val="Sinespaciado"/>
      <w:jc w:val="right"/>
      <w:rPr>
        <w:rFonts w:ascii="Arial" w:hAnsi="Arial" w:cs="Arial"/>
        <w:sz w:val="18"/>
        <w:szCs w:val="18"/>
      </w:rPr>
    </w:pPr>
  </w:p>
  <w:p w14:paraId="3D3EB348" w14:textId="77777777" w:rsidR="00AE1FDC" w:rsidRPr="008217B7" w:rsidRDefault="00AE1FDC"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AE1FDC" w:rsidRDefault="00AE1FDC"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E1FDC" w:rsidRPr="00E756AC" w:rsidRDefault="00AE1FDC" w:rsidP="00AC43E7">
    <w:pPr>
      <w:pStyle w:val="Piedepgina"/>
      <w:jc w:val="center"/>
      <w:rPr>
        <w:sz w:val="18"/>
        <w:szCs w:val="18"/>
        <w:lang w:val="es-ES"/>
      </w:rPr>
    </w:pPr>
  </w:p>
  <w:p w14:paraId="428179B1" w14:textId="77777777" w:rsidR="00AE1FDC" w:rsidRPr="00E756AC" w:rsidRDefault="00AE1FDC"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6248" w14:textId="77777777" w:rsidR="00600BE4" w:rsidRDefault="00600BE4" w:rsidP="008C487C">
      <w:r>
        <w:separator/>
      </w:r>
    </w:p>
  </w:footnote>
  <w:footnote w:type="continuationSeparator" w:id="0">
    <w:p w14:paraId="49581677" w14:textId="77777777" w:rsidR="00600BE4" w:rsidRDefault="00600BE4" w:rsidP="008C487C">
      <w:r>
        <w:continuationSeparator/>
      </w:r>
    </w:p>
  </w:footnote>
  <w:footnote w:id="1">
    <w:p w14:paraId="4C18B9C1" w14:textId="77777777" w:rsidR="008E10D2" w:rsidRPr="00EA10E4" w:rsidRDefault="008E10D2" w:rsidP="008E10D2">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6B9B0E5B" w14:textId="77777777" w:rsidR="008E10D2" w:rsidRPr="00EA10E4" w:rsidRDefault="008E10D2" w:rsidP="008E10D2">
      <w:pPr>
        <w:pStyle w:val="Textonotapie"/>
        <w:ind w:firstLine="709"/>
        <w:jc w:val="both"/>
        <w:rPr>
          <w:rFonts w:ascii="Arial" w:hAnsi="Arial" w:cs="Arial"/>
          <w:sz w:val="19"/>
          <w:szCs w:val="19"/>
          <w:lang w:val="es-ES"/>
        </w:rPr>
      </w:pPr>
    </w:p>
  </w:footnote>
  <w:footnote w:id="2">
    <w:p w14:paraId="3682B2D1" w14:textId="77777777" w:rsidR="008E10D2" w:rsidRPr="008640C4" w:rsidRDefault="008E10D2" w:rsidP="008E10D2">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4F12DC35" w14:textId="77777777" w:rsidR="008E10D2" w:rsidRPr="008640C4" w:rsidRDefault="008E10D2" w:rsidP="008E10D2">
      <w:pPr>
        <w:pStyle w:val="Textonotapie"/>
        <w:ind w:firstLine="709"/>
        <w:jc w:val="both"/>
        <w:rPr>
          <w:rFonts w:ascii="Arial" w:hAnsi="Arial" w:cs="Arial"/>
          <w:sz w:val="19"/>
          <w:szCs w:val="19"/>
          <w:lang w:val="es-ES"/>
        </w:rPr>
      </w:pPr>
    </w:p>
  </w:footnote>
  <w:footnote w:id="3">
    <w:p w14:paraId="3053AA5D" w14:textId="46725CBF" w:rsidR="008E10D2" w:rsidRPr="008640C4" w:rsidRDefault="008E10D2" w:rsidP="008E10D2">
      <w:pPr>
        <w:pStyle w:val="Textonotapie"/>
        <w:ind w:firstLine="709"/>
        <w:jc w:val="both"/>
        <w:rPr>
          <w:rFonts w:ascii="Arial" w:hAnsi="Arial" w:cs="Arial"/>
          <w:sz w:val="19"/>
          <w:szCs w:val="19"/>
          <w:lang w:val="es-CO"/>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4">
    <w:p w14:paraId="508D40F7" w14:textId="77777777" w:rsidR="001D2F7F" w:rsidRPr="008640C4" w:rsidRDefault="001D2F7F" w:rsidP="001D2F7F">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56021EB1" w14:textId="77777777" w:rsidR="001D2F7F" w:rsidRPr="008640C4" w:rsidRDefault="001D2F7F" w:rsidP="001D2F7F">
      <w:pPr>
        <w:pStyle w:val="Textonotapie"/>
        <w:ind w:firstLine="709"/>
        <w:jc w:val="both"/>
        <w:rPr>
          <w:rFonts w:ascii="Arial" w:hAnsi="Arial" w:cs="Arial"/>
          <w:sz w:val="19"/>
          <w:szCs w:val="19"/>
          <w:lang w:val="es-ES"/>
        </w:rPr>
      </w:pPr>
    </w:p>
  </w:footnote>
  <w:footnote w:id="5">
    <w:p w14:paraId="2A6059C6" w14:textId="77777777" w:rsidR="001D2F7F" w:rsidRPr="008640C4" w:rsidRDefault="001D2F7F" w:rsidP="001D2F7F">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4D60C2DE" w14:textId="77777777" w:rsidR="001D2F7F" w:rsidRPr="008640C4" w:rsidRDefault="001D2F7F" w:rsidP="001D2F7F">
      <w:pPr>
        <w:pStyle w:val="Textonotapie"/>
        <w:ind w:firstLine="709"/>
        <w:jc w:val="both"/>
        <w:rPr>
          <w:rFonts w:ascii="Arial" w:hAnsi="Arial" w:cs="Arial"/>
          <w:sz w:val="19"/>
          <w:szCs w:val="19"/>
          <w:lang w:val="es-ES"/>
        </w:rPr>
      </w:pPr>
    </w:p>
  </w:footnote>
  <w:footnote w:id="6">
    <w:p w14:paraId="1420927F" w14:textId="77777777" w:rsidR="001D2F7F" w:rsidRPr="008640C4" w:rsidRDefault="001D2F7F" w:rsidP="001D2F7F">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40A0CF6E" w14:textId="77777777" w:rsidR="001D2F7F" w:rsidRPr="008640C4" w:rsidRDefault="001D2F7F" w:rsidP="001D2F7F">
      <w:pPr>
        <w:pStyle w:val="Textonotapie"/>
        <w:ind w:firstLine="709"/>
        <w:jc w:val="both"/>
        <w:rPr>
          <w:rFonts w:ascii="Arial" w:hAnsi="Arial" w:cs="Arial"/>
          <w:sz w:val="19"/>
          <w:szCs w:val="19"/>
          <w:lang w:val="es-ES"/>
        </w:rPr>
      </w:pPr>
    </w:p>
  </w:footnote>
  <w:footnote w:id="7">
    <w:p w14:paraId="744278C3" w14:textId="77777777" w:rsidR="001D2F7F" w:rsidRPr="008640C4" w:rsidRDefault="001D2F7F" w:rsidP="001D2F7F">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51FCDD2" w14:textId="77777777" w:rsidR="001D2F7F" w:rsidRPr="008640C4" w:rsidRDefault="001D2F7F" w:rsidP="001D2F7F">
      <w:pPr>
        <w:pStyle w:val="Textonotapie"/>
        <w:ind w:firstLine="709"/>
        <w:jc w:val="both"/>
        <w:rPr>
          <w:rFonts w:ascii="Arial" w:hAnsi="Arial" w:cs="Arial"/>
          <w:sz w:val="19"/>
          <w:szCs w:val="19"/>
          <w:lang w:val="es-ES"/>
        </w:rPr>
      </w:pPr>
    </w:p>
  </w:footnote>
  <w:footnote w:id="8">
    <w:p w14:paraId="2027CA3B" w14:textId="77777777" w:rsidR="001D2F7F" w:rsidRPr="008640C4" w:rsidRDefault="001D2F7F" w:rsidP="001D2F7F">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31860437" w14:textId="77777777" w:rsidR="001D2F7F" w:rsidRPr="008640C4" w:rsidRDefault="001D2F7F" w:rsidP="001D2F7F">
      <w:pPr>
        <w:pStyle w:val="Textonotapie"/>
        <w:ind w:firstLine="709"/>
        <w:jc w:val="both"/>
        <w:rPr>
          <w:rFonts w:ascii="Arial" w:hAnsi="Arial" w:cs="Arial"/>
          <w:sz w:val="19"/>
          <w:szCs w:val="19"/>
          <w:lang w:val="es-ES"/>
        </w:rPr>
      </w:pPr>
    </w:p>
  </w:footnote>
  <w:footnote w:id="9">
    <w:p w14:paraId="781FD74D" w14:textId="079E45DC" w:rsidR="006D10AD" w:rsidRPr="006D10AD" w:rsidRDefault="009C417C" w:rsidP="006D10AD">
      <w:pPr>
        <w:pStyle w:val="NormalWeb"/>
        <w:spacing w:before="0" w:beforeAutospacing="0" w:after="0" w:afterAutospacing="0"/>
        <w:ind w:firstLine="708"/>
        <w:jc w:val="both"/>
        <w:rPr>
          <w:rFonts w:ascii="Arial" w:hAnsi="Arial" w:cs="Arial"/>
          <w:color w:val="000000"/>
          <w:sz w:val="19"/>
          <w:szCs w:val="19"/>
        </w:rPr>
      </w:pPr>
      <w:r w:rsidRPr="006D10AD">
        <w:rPr>
          <w:rStyle w:val="Refdenotaalpie"/>
          <w:rFonts w:ascii="Arial" w:hAnsi="Arial" w:cs="Arial"/>
          <w:sz w:val="19"/>
          <w:szCs w:val="19"/>
        </w:rPr>
        <w:footnoteRef/>
      </w:r>
      <w:r w:rsidRPr="006D10AD">
        <w:rPr>
          <w:rFonts w:ascii="Arial" w:hAnsi="Arial" w:cs="Arial"/>
          <w:sz w:val="19"/>
          <w:szCs w:val="19"/>
        </w:rPr>
        <w:t xml:space="preserve"> </w:t>
      </w:r>
      <w:r w:rsidR="006D10AD">
        <w:rPr>
          <w:rFonts w:ascii="Arial" w:hAnsi="Arial" w:cs="Arial"/>
          <w:sz w:val="19"/>
          <w:szCs w:val="19"/>
        </w:rPr>
        <w:t>Decreto 1074 de 2015: «</w:t>
      </w:r>
      <w:r w:rsidR="006D10AD" w:rsidRPr="006D10AD">
        <w:rPr>
          <w:rFonts w:ascii="Arial" w:hAnsi="Arial" w:cs="Arial"/>
          <w:color w:val="000000"/>
          <w:sz w:val="19"/>
          <w:szCs w:val="19"/>
        </w:rPr>
        <w:t>Artículo 2.2.1.13.2.2. Rangos para la definición del tamaño empresarial.</w:t>
      </w:r>
      <w:r w:rsidR="006D10AD" w:rsidRPr="006D10AD">
        <w:rPr>
          <w:rFonts w:ascii="Arial" w:hAnsi="Arial" w:cs="Arial"/>
          <w:b/>
          <w:bCs/>
          <w:color w:val="000000"/>
          <w:sz w:val="19"/>
          <w:szCs w:val="19"/>
        </w:rPr>
        <w:t> </w:t>
      </w:r>
      <w:r w:rsidR="006D10AD" w:rsidRPr="006D10AD">
        <w:rPr>
          <w:rFonts w:ascii="Arial" w:hAnsi="Arial" w:cs="Arial"/>
          <w:color w:val="000000"/>
          <w:sz w:val="19"/>
          <w:szCs w:val="19"/>
        </w:rPr>
        <w:t>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  </w:t>
      </w:r>
    </w:p>
    <w:p w14:paraId="78938D0C" w14:textId="5DEABABF" w:rsidR="006D10AD" w:rsidRPr="006D10AD" w:rsidRDefault="006D10AD" w:rsidP="006D10AD">
      <w:pPr>
        <w:ind w:firstLine="708"/>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w:t>
      </w:r>
      <w:r w:rsidRPr="006D10AD">
        <w:rPr>
          <w:rFonts w:ascii="Arial" w:eastAsia="Times New Roman" w:hAnsi="Arial" w:cs="Arial"/>
          <w:color w:val="000000"/>
          <w:sz w:val="19"/>
          <w:szCs w:val="19"/>
          <w:lang w:val="es-CO" w:eastAsia="es-CO"/>
        </w:rPr>
        <w:t>1. Para el sector manufacturero:  </w:t>
      </w:r>
    </w:p>
    <w:p w14:paraId="4F96EABD" w14:textId="5675B521" w:rsidR="006D10AD" w:rsidRPr="006D10AD" w:rsidRDefault="006D10AD" w:rsidP="006D10AD">
      <w:pPr>
        <w:ind w:firstLine="708"/>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w:t>
      </w:r>
      <w:r w:rsidRPr="006D10AD">
        <w:rPr>
          <w:rFonts w:ascii="Arial" w:eastAsia="Times New Roman" w:hAnsi="Arial" w:cs="Arial"/>
          <w:color w:val="000000"/>
          <w:sz w:val="19"/>
          <w:szCs w:val="19"/>
          <w:lang w:val="es-CO" w:eastAsia="es-CO"/>
        </w:rPr>
        <w:t>Microempresa. Aquella cuyos ingresos por actividades ordinarias anuales sean inferiores o iguales a veintitrés mil quinientos sesenta y tres Unidades de Valor Tributario (23.563 UVT).  </w:t>
      </w:r>
    </w:p>
    <w:p w14:paraId="6BB8255B" w14:textId="02949EBE" w:rsidR="006D10AD" w:rsidRPr="006D10AD" w:rsidRDefault="006D10AD" w:rsidP="006D10AD">
      <w:pPr>
        <w:ind w:firstLine="708"/>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w:t>
      </w:r>
      <w:r w:rsidRPr="006D10AD">
        <w:rPr>
          <w:rFonts w:ascii="Arial" w:eastAsia="Times New Roman" w:hAnsi="Arial" w:cs="Arial"/>
          <w:color w:val="000000"/>
          <w:sz w:val="19"/>
          <w:szCs w:val="19"/>
          <w:lang w:val="es-CO" w:eastAsia="es-CO"/>
        </w:rPr>
        <w:t>Pequeña empresa</w:t>
      </w:r>
      <w:r w:rsidRPr="006D10AD">
        <w:rPr>
          <w:rFonts w:ascii="Arial" w:eastAsia="Times New Roman" w:hAnsi="Arial" w:cs="Arial"/>
          <w:b/>
          <w:bCs/>
          <w:color w:val="000000"/>
          <w:sz w:val="19"/>
          <w:szCs w:val="19"/>
          <w:lang w:val="es-CO" w:eastAsia="es-CO"/>
        </w:rPr>
        <w:t>. </w:t>
      </w:r>
      <w:r w:rsidRPr="006D10AD">
        <w:rPr>
          <w:rFonts w:ascii="Arial" w:eastAsia="Times New Roman" w:hAnsi="Arial" w:cs="Arial"/>
          <w:color w:val="000000"/>
          <w:sz w:val="19"/>
          <w:szCs w:val="19"/>
          <w:lang w:val="es-CO" w:eastAsia="es-CO"/>
        </w:rPr>
        <w:t>Aquella cuyos ingresos por actividades ordinarias anuales sean superiores a veintitrés mil quinientos sesenta y tres Unidades de Valor Tributario (23.563 UVT) e inferiores o iguales a doscientos cuatro mil novecientos noventa y cinco Unidades de Valor Tributario (204.995 UVT).  </w:t>
      </w:r>
    </w:p>
    <w:p w14:paraId="127E05F4" w14:textId="77E02219" w:rsidR="006D10AD" w:rsidRPr="006D10AD" w:rsidRDefault="006D10AD" w:rsidP="006D10AD">
      <w:pPr>
        <w:ind w:firstLine="708"/>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w:t>
      </w:r>
      <w:r w:rsidRPr="006D10AD">
        <w:rPr>
          <w:rFonts w:ascii="Arial" w:eastAsia="Times New Roman" w:hAnsi="Arial" w:cs="Arial"/>
          <w:color w:val="000000"/>
          <w:sz w:val="19"/>
          <w:szCs w:val="19"/>
          <w:lang w:val="es-CO" w:eastAsia="es-CO"/>
        </w:rPr>
        <w:t> Mediana empresa</w:t>
      </w:r>
      <w:r w:rsidRPr="006D10AD">
        <w:rPr>
          <w:rFonts w:ascii="Arial" w:eastAsia="Times New Roman" w:hAnsi="Arial" w:cs="Arial"/>
          <w:b/>
          <w:bCs/>
          <w:color w:val="000000"/>
          <w:sz w:val="19"/>
          <w:szCs w:val="19"/>
          <w:lang w:val="es-CO" w:eastAsia="es-CO"/>
        </w:rPr>
        <w:t>. </w:t>
      </w:r>
      <w:r w:rsidRPr="006D10AD">
        <w:rPr>
          <w:rFonts w:ascii="Arial" w:eastAsia="Times New Roman" w:hAnsi="Arial" w:cs="Arial"/>
          <w:color w:val="000000"/>
          <w:sz w:val="19"/>
          <w:szCs w:val="19"/>
          <w:lang w:val="es-CO" w:eastAsia="es-CO"/>
        </w:rPr>
        <w:t>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  </w:t>
      </w:r>
    </w:p>
    <w:p w14:paraId="07B718B7" w14:textId="085DCF46" w:rsidR="006D10AD" w:rsidRPr="006D10AD" w:rsidRDefault="002F33F8" w:rsidP="002F33F8">
      <w:pPr>
        <w:ind w:firstLine="708"/>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w:t>
      </w:r>
      <w:r w:rsidR="006D10AD" w:rsidRPr="006D10AD">
        <w:rPr>
          <w:rFonts w:ascii="Arial" w:eastAsia="Times New Roman" w:hAnsi="Arial" w:cs="Arial"/>
          <w:color w:val="000000"/>
          <w:sz w:val="19"/>
          <w:szCs w:val="19"/>
          <w:lang w:val="es-CO" w:eastAsia="es-CO"/>
        </w:rPr>
        <w:t>2. Para el sector servicios:  </w:t>
      </w:r>
    </w:p>
    <w:p w14:paraId="163BEB5E" w14:textId="0E7F7759" w:rsidR="006D10AD" w:rsidRPr="006D10AD" w:rsidRDefault="006D10AD" w:rsidP="006D10AD">
      <w:pPr>
        <w:ind w:firstLine="708"/>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w:t>
      </w:r>
      <w:r w:rsidRPr="006D10AD">
        <w:rPr>
          <w:rFonts w:ascii="Arial" w:eastAsia="Times New Roman" w:hAnsi="Arial" w:cs="Arial"/>
          <w:color w:val="000000"/>
          <w:sz w:val="19"/>
          <w:szCs w:val="19"/>
          <w:lang w:val="es-CO" w:eastAsia="es-CO"/>
        </w:rPr>
        <w:t>Microempresa. Aquella cuyos ingresos por actividades ordinarias anuales sean inferiores o iguales a treinta y dos mil novecientos ochenta y ocho Unidades de Valor  </w:t>
      </w:r>
    </w:p>
    <w:p w14:paraId="13C1222F" w14:textId="77777777" w:rsidR="006D10AD" w:rsidRPr="006D10AD" w:rsidRDefault="006D10AD" w:rsidP="006D10AD">
      <w:pPr>
        <w:jc w:val="both"/>
        <w:rPr>
          <w:rFonts w:ascii="Arial" w:eastAsia="Times New Roman" w:hAnsi="Arial" w:cs="Arial"/>
          <w:color w:val="000000"/>
          <w:sz w:val="19"/>
          <w:szCs w:val="19"/>
          <w:lang w:val="es-CO" w:eastAsia="es-CO"/>
        </w:rPr>
      </w:pPr>
      <w:r w:rsidRPr="006D10AD">
        <w:rPr>
          <w:rFonts w:ascii="Arial" w:eastAsia="Times New Roman" w:hAnsi="Arial" w:cs="Arial"/>
          <w:color w:val="000000"/>
          <w:sz w:val="19"/>
          <w:szCs w:val="19"/>
          <w:lang w:val="es-CO" w:eastAsia="es-CO"/>
        </w:rPr>
        <w:t>Tributario (32.988 UVT).  </w:t>
      </w:r>
    </w:p>
    <w:p w14:paraId="73491EEB" w14:textId="20E54661" w:rsidR="006D10AD" w:rsidRPr="006D10AD" w:rsidRDefault="006D10AD" w:rsidP="006D10AD">
      <w:pPr>
        <w:ind w:firstLine="708"/>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w:t>
      </w:r>
      <w:r w:rsidRPr="006D10AD">
        <w:rPr>
          <w:rFonts w:ascii="Arial" w:eastAsia="Times New Roman" w:hAnsi="Arial" w:cs="Arial"/>
          <w:color w:val="000000"/>
          <w:sz w:val="19"/>
          <w:szCs w:val="19"/>
          <w:lang w:val="es-CO" w:eastAsia="es-CO"/>
        </w:rPr>
        <w:t>Pequeña empresa.</w:t>
      </w:r>
      <w:r w:rsidRPr="006D10AD">
        <w:rPr>
          <w:rFonts w:ascii="Arial" w:eastAsia="Times New Roman" w:hAnsi="Arial" w:cs="Arial"/>
          <w:b/>
          <w:bCs/>
          <w:color w:val="000000"/>
          <w:sz w:val="19"/>
          <w:szCs w:val="19"/>
          <w:lang w:val="es-CO" w:eastAsia="es-CO"/>
        </w:rPr>
        <w:t> </w:t>
      </w:r>
      <w:r w:rsidRPr="006D10AD">
        <w:rPr>
          <w:rFonts w:ascii="Arial" w:eastAsia="Times New Roman" w:hAnsi="Arial" w:cs="Arial"/>
          <w:color w:val="000000"/>
          <w:sz w:val="19"/>
          <w:szCs w:val="19"/>
          <w:lang w:val="es-CO" w:eastAsia="es-CO"/>
        </w:rPr>
        <w:t>Aquella cuyos ingresos por actividades ordinarias anuales sean superiores a treinta y dos mil novecientos ochenta y ocho Unidades de Valor Tributario (32.988 UVT) e inferiores o iguales a ciento treinta y un mil novecientos cincuenta y uno Unidades de Valor Tributario (131.951 UVT).  </w:t>
      </w:r>
    </w:p>
    <w:p w14:paraId="5733FFE7" w14:textId="16B5AD13" w:rsidR="006D10AD" w:rsidRPr="006D10AD" w:rsidRDefault="006D10AD" w:rsidP="006D10AD">
      <w:pPr>
        <w:ind w:firstLine="708"/>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w:t>
      </w:r>
      <w:r w:rsidRPr="006D10AD">
        <w:rPr>
          <w:rFonts w:ascii="Arial" w:eastAsia="Times New Roman" w:hAnsi="Arial" w:cs="Arial"/>
          <w:color w:val="000000"/>
          <w:sz w:val="19"/>
          <w:szCs w:val="19"/>
          <w:lang w:val="es-CO" w:eastAsia="es-CO"/>
        </w:rPr>
        <w:t>Mediana empresa.</w:t>
      </w:r>
      <w:r w:rsidRPr="006D10AD">
        <w:rPr>
          <w:rFonts w:ascii="Arial" w:eastAsia="Times New Roman" w:hAnsi="Arial" w:cs="Arial"/>
          <w:b/>
          <w:bCs/>
          <w:color w:val="000000"/>
          <w:sz w:val="19"/>
          <w:szCs w:val="19"/>
          <w:lang w:val="es-CO" w:eastAsia="es-CO"/>
        </w:rPr>
        <w:t> </w:t>
      </w:r>
      <w:r w:rsidRPr="006D10AD">
        <w:rPr>
          <w:rFonts w:ascii="Arial" w:eastAsia="Times New Roman" w:hAnsi="Arial" w:cs="Arial"/>
          <w:color w:val="000000"/>
          <w:sz w:val="19"/>
          <w:szCs w:val="19"/>
          <w:lang w:val="es-CO" w:eastAsia="es-CO"/>
        </w:rPr>
        <w:t>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  </w:t>
      </w:r>
    </w:p>
    <w:p w14:paraId="00ED155E" w14:textId="6E125E9E" w:rsidR="006D10AD" w:rsidRPr="006D10AD" w:rsidRDefault="006D10AD" w:rsidP="006D10AD">
      <w:pPr>
        <w:ind w:firstLine="708"/>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w:t>
      </w:r>
      <w:r w:rsidRPr="006D10AD">
        <w:rPr>
          <w:rFonts w:ascii="Arial" w:eastAsia="Times New Roman" w:hAnsi="Arial" w:cs="Arial"/>
          <w:color w:val="000000"/>
          <w:sz w:val="19"/>
          <w:szCs w:val="19"/>
          <w:lang w:val="es-CO" w:eastAsia="es-CO"/>
        </w:rPr>
        <w:t>3. Para el sector de comercio:  </w:t>
      </w:r>
    </w:p>
    <w:p w14:paraId="22595F76" w14:textId="39EDACFE" w:rsidR="006D10AD" w:rsidRPr="006D10AD" w:rsidRDefault="006D10AD" w:rsidP="006D10AD">
      <w:pPr>
        <w:ind w:firstLine="708"/>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w:t>
      </w:r>
      <w:r w:rsidRPr="006D10AD">
        <w:rPr>
          <w:rFonts w:ascii="Arial" w:eastAsia="Times New Roman" w:hAnsi="Arial" w:cs="Arial"/>
          <w:color w:val="000000"/>
          <w:sz w:val="19"/>
          <w:szCs w:val="19"/>
          <w:lang w:val="es-CO" w:eastAsia="es-CO"/>
        </w:rPr>
        <w:t>Microempresa. Aquella cuyos ingresos por actividades ordinarias anuales sean inferiores o iguales a cuarenta y cuatro mil setecientos sesenta y nueve Unidades de Valor Tributario (44.769 UVT).  </w:t>
      </w:r>
    </w:p>
    <w:p w14:paraId="59B00111" w14:textId="3C2AAAE7" w:rsidR="006D10AD" w:rsidRPr="006D10AD" w:rsidRDefault="006D10AD" w:rsidP="006D10AD">
      <w:pPr>
        <w:ind w:firstLine="708"/>
        <w:jc w:val="both"/>
        <w:rPr>
          <w:rFonts w:ascii="Arial" w:eastAsia="Times New Roman" w:hAnsi="Arial" w:cs="Arial"/>
          <w:color w:val="000000"/>
          <w:sz w:val="19"/>
          <w:szCs w:val="19"/>
          <w:lang w:val="es-CO" w:eastAsia="es-CO"/>
        </w:rPr>
      </w:pPr>
      <w:r w:rsidRPr="006D10AD">
        <w:rPr>
          <w:rFonts w:ascii="Arial" w:eastAsia="Times New Roman" w:hAnsi="Arial" w:cs="Arial"/>
          <w:color w:val="000000"/>
          <w:sz w:val="19"/>
          <w:szCs w:val="19"/>
          <w:lang w:val="es-CO" w:eastAsia="es-CO"/>
        </w:rPr>
        <w:t>» 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  </w:t>
      </w:r>
    </w:p>
    <w:p w14:paraId="5025CE4A" w14:textId="6D7C6F0A" w:rsidR="006D10AD" w:rsidRPr="006D10AD" w:rsidRDefault="006D10AD" w:rsidP="006D10AD">
      <w:pPr>
        <w:ind w:firstLine="708"/>
        <w:jc w:val="both"/>
        <w:rPr>
          <w:rFonts w:ascii="Arial" w:eastAsia="Times New Roman" w:hAnsi="Arial" w:cs="Arial"/>
          <w:color w:val="000000"/>
          <w:sz w:val="19"/>
          <w:szCs w:val="19"/>
          <w:lang w:val="es-CO" w:eastAsia="es-CO"/>
        </w:rPr>
      </w:pPr>
      <w:r>
        <w:rPr>
          <w:rFonts w:ascii="Arial" w:eastAsia="Times New Roman" w:hAnsi="Arial" w:cs="Arial"/>
          <w:color w:val="000000"/>
          <w:sz w:val="19"/>
          <w:szCs w:val="19"/>
          <w:lang w:val="es-CO" w:eastAsia="es-CO"/>
        </w:rPr>
        <w:t>»</w:t>
      </w:r>
      <w:r w:rsidRPr="006D10AD">
        <w:rPr>
          <w:rFonts w:ascii="Arial" w:eastAsia="Times New Roman" w:hAnsi="Arial" w:cs="Arial"/>
          <w:color w:val="000000"/>
          <w:sz w:val="19"/>
          <w:szCs w:val="19"/>
          <w:lang w:val="es-CO" w:eastAsia="es-CO"/>
        </w:rPr>
        <w:t>Mediana empresa.</w:t>
      </w:r>
      <w:r w:rsidRPr="006D10AD">
        <w:rPr>
          <w:rFonts w:ascii="Arial" w:eastAsia="Times New Roman" w:hAnsi="Arial" w:cs="Arial"/>
          <w:b/>
          <w:bCs/>
          <w:color w:val="000000"/>
          <w:sz w:val="19"/>
          <w:szCs w:val="19"/>
          <w:lang w:val="es-CO" w:eastAsia="es-CO"/>
        </w:rPr>
        <w:t> </w:t>
      </w:r>
      <w:r w:rsidRPr="006D10AD">
        <w:rPr>
          <w:rFonts w:ascii="Arial" w:eastAsia="Times New Roman" w:hAnsi="Arial" w:cs="Arial"/>
          <w:color w:val="000000"/>
          <w:sz w:val="19"/>
          <w:szCs w:val="19"/>
          <w:lang w:val="es-CO" w:eastAsia="es-CO"/>
        </w:rPr>
        <w:t>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  </w:t>
      </w:r>
    </w:p>
    <w:p w14:paraId="65731E9C" w14:textId="4BA19FC6" w:rsidR="009C417C" w:rsidRPr="009C417C" w:rsidRDefault="006D10AD" w:rsidP="00BA7893">
      <w:pPr>
        <w:ind w:firstLine="708"/>
        <w:jc w:val="both"/>
        <w:rPr>
          <w:lang w:val="es-CO"/>
        </w:rPr>
      </w:pPr>
      <w:r>
        <w:rPr>
          <w:rFonts w:ascii="Arial" w:eastAsia="Times New Roman" w:hAnsi="Arial" w:cs="Arial"/>
          <w:color w:val="000000"/>
          <w:sz w:val="19"/>
          <w:szCs w:val="19"/>
          <w:lang w:val="es-CO" w:eastAsia="es-CO"/>
        </w:rPr>
        <w:t>»</w:t>
      </w:r>
      <w:r w:rsidRPr="006D10AD">
        <w:rPr>
          <w:rFonts w:ascii="Arial" w:eastAsia="Times New Roman" w:hAnsi="Arial" w:cs="Arial"/>
          <w:color w:val="000000"/>
          <w:sz w:val="19"/>
          <w:szCs w:val="19"/>
          <w:lang w:val="es-CO" w:eastAsia="es-CO"/>
        </w:rPr>
        <w:t>Parágrafo 1°</w:t>
      </w:r>
      <w:r w:rsidRPr="006D10AD">
        <w:rPr>
          <w:rFonts w:ascii="Arial" w:eastAsia="Times New Roman" w:hAnsi="Arial" w:cs="Arial"/>
          <w:b/>
          <w:bCs/>
          <w:color w:val="000000"/>
          <w:sz w:val="19"/>
          <w:szCs w:val="19"/>
          <w:lang w:val="es-CO" w:eastAsia="es-CO"/>
        </w:rPr>
        <w:t>.</w:t>
      </w:r>
      <w:r w:rsidRPr="006D10AD">
        <w:rPr>
          <w:rFonts w:ascii="Arial" w:eastAsia="Times New Roman" w:hAnsi="Arial" w:cs="Arial"/>
          <w:color w:val="000000"/>
          <w:sz w:val="19"/>
          <w:szCs w:val="19"/>
          <w:lang w:val="es-CO" w:eastAsia="es-CO"/>
        </w:rPr>
        <w:t> Se considera gran empresa aquella que tiene ingresos por actividades ordinarias anuales mayores al rango superior de las medianas empresas, en cada uno de los sectores económicos descritos anteriormente</w:t>
      </w:r>
      <w:r w:rsidR="002F33F8">
        <w:rPr>
          <w:rFonts w:ascii="Arial" w:eastAsia="Times New Roman" w:hAnsi="Arial" w:cs="Arial"/>
          <w:color w:val="000000"/>
          <w:sz w:val="19"/>
          <w:szCs w:val="19"/>
          <w:lang w:val="es-CO" w:eastAsia="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AE1FDC" w:rsidRDefault="00AE1FD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16cid:durableId="166993814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8407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615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467217">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159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29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0586"/>
    <w:rsid w:val="00001BE0"/>
    <w:rsid w:val="00001E3D"/>
    <w:rsid w:val="00002331"/>
    <w:rsid w:val="000031FE"/>
    <w:rsid w:val="000047EA"/>
    <w:rsid w:val="000072CE"/>
    <w:rsid w:val="000100E8"/>
    <w:rsid w:val="00010A06"/>
    <w:rsid w:val="00010D30"/>
    <w:rsid w:val="00013319"/>
    <w:rsid w:val="00013780"/>
    <w:rsid w:val="000137A9"/>
    <w:rsid w:val="00013C14"/>
    <w:rsid w:val="000156B3"/>
    <w:rsid w:val="00015D5E"/>
    <w:rsid w:val="00016F8F"/>
    <w:rsid w:val="00020A85"/>
    <w:rsid w:val="00021180"/>
    <w:rsid w:val="000221C2"/>
    <w:rsid w:val="00023000"/>
    <w:rsid w:val="00023057"/>
    <w:rsid w:val="00024771"/>
    <w:rsid w:val="00026A6E"/>
    <w:rsid w:val="0003091B"/>
    <w:rsid w:val="000324C9"/>
    <w:rsid w:val="000333A2"/>
    <w:rsid w:val="00034108"/>
    <w:rsid w:val="000345E6"/>
    <w:rsid w:val="000347F4"/>
    <w:rsid w:val="00034853"/>
    <w:rsid w:val="000348F4"/>
    <w:rsid w:val="0003568E"/>
    <w:rsid w:val="0003601F"/>
    <w:rsid w:val="0003625C"/>
    <w:rsid w:val="000368FC"/>
    <w:rsid w:val="00036E73"/>
    <w:rsid w:val="00037414"/>
    <w:rsid w:val="00040C88"/>
    <w:rsid w:val="00040D6E"/>
    <w:rsid w:val="000428C3"/>
    <w:rsid w:val="00042C0C"/>
    <w:rsid w:val="000439E9"/>
    <w:rsid w:val="00043A4D"/>
    <w:rsid w:val="000445B5"/>
    <w:rsid w:val="00044FF2"/>
    <w:rsid w:val="000466AB"/>
    <w:rsid w:val="000466AC"/>
    <w:rsid w:val="00047050"/>
    <w:rsid w:val="00051D31"/>
    <w:rsid w:val="00053D7E"/>
    <w:rsid w:val="00054B43"/>
    <w:rsid w:val="00054E9A"/>
    <w:rsid w:val="0005595F"/>
    <w:rsid w:val="000563ED"/>
    <w:rsid w:val="00056B40"/>
    <w:rsid w:val="00057B7C"/>
    <w:rsid w:val="00060618"/>
    <w:rsid w:val="00061E34"/>
    <w:rsid w:val="00061EE4"/>
    <w:rsid w:val="00062512"/>
    <w:rsid w:val="00062B0D"/>
    <w:rsid w:val="00064834"/>
    <w:rsid w:val="0006519B"/>
    <w:rsid w:val="00070FE3"/>
    <w:rsid w:val="00072EB9"/>
    <w:rsid w:val="0007306B"/>
    <w:rsid w:val="000757B4"/>
    <w:rsid w:val="000763E2"/>
    <w:rsid w:val="0007687F"/>
    <w:rsid w:val="00076F69"/>
    <w:rsid w:val="00083BE1"/>
    <w:rsid w:val="00085310"/>
    <w:rsid w:val="00085476"/>
    <w:rsid w:val="00086A16"/>
    <w:rsid w:val="00091039"/>
    <w:rsid w:val="00091570"/>
    <w:rsid w:val="0009161E"/>
    <w:rsid w:val="00091D8F"/>
    <w:rsid w:val="00091F2D"/>
    <w:rsid w:val="000929DE"/>
    <w:rsid w:val="00093392"/>
    <w:rsid w:val="00093E58"/>
    <w:rsid w:val="00095C76"/>
    <w:rsid w:val="0009620A"/>
    <w:rsid w:val="00097CD6"/>
    <w:rsid w:val="00097D8F"/>
    <w:rsid w:val="000A1DBA"/>
    <w:rsid w:val="000A2BEF"/>
    <w:rsid w:val="000A3B96"/>
    <w:rsid w:val="000A4C83"/>
    <w:rsid w:val="000A5E30"/>
    <w:rsid w:val="000A6338"/>
    <w:rsid w:val="000A667E"/>
    <w:rsid w:val="000A6B6F"/>
    <w:rsid w:val="000A70D5"/>
    <w:rsid w:val="000B1824"/>
    <w:rsid w:val="000B4A19"/>
    <w:rsid w:val="000B5C52"/>
    <w:rsid w:val="000C0E39"/>
    <w:rsid w:val="000C26A0"/>
    <w:rsid w:val="000C3BD4"/>
    <w:rsid w:val="000C3D66"/>
    <w:rsid w:val="000C4A2C"/>
    <w:rsid w:val="000C51AF"/>
    <w:rsid w:val="000C5830"/>
    <w:rsid w:val="000C5C37"/>
    <w:rsid w:val="000C5D09"/>
    <w:rsid w:val="000C610E"/>
    <w:rsid w:val="000C61D7"/>
    <w:rsid w:val="000C79F1"/>
    <w:rsid w:val="000D088F"/>
    <w:rsid w:val="000D16F0"/>
    <w:rsid w:val="000D1766"/>
    <w:rsid w:val="000D64F5"/>
    <w:rsid w:val="000D6C6D"/>
    <w:rsid w:val="000E0AB3"/>
    <w:rsid w:val="000E284C"/>
    <w:rsid w:val="000E37D0"/>
    <w:rsid w:val="000E4925"/>
    <w:rsid w:val="000E4A3C"/>
    <w:rsid w:val="000E577A"/>
    <w:rsid w:val="000E57DB"/>
    <w:rsid w:val="000E5BB2"/>
    <w:rsid w:val="000E6867"/>
    <w:rsid w:val="000E68C2"/>
    <w:rsid w:val="000F1B34"/>
    <w:rsid w:val="000F1E3D"/>
    <w:rsid w:val="000F211E"/>
    <w:rsid w:val="000F2DAF"/>
    <w:rsid w:val="000F47F2"/>
    <w:rsid w:val="000F5340"/>
    <w:rsid w:val="00100AEC"/>
    <w:rsid w:val="00103CA7"/>
    <w:rsid w:val="00104D9B"/>
    <w:rsid w:val="001056C0"/>
    <w:rsid w:val="00105A2E"/>
    <w:rsid w:val="00106148"/>
    <w:rsid w:val="00107607"/>
    <w:rsid w:val="00110B59"/>
    <w:rsid w:val="00111299"/>
    <w:rsid w:val="00112597"/>
    <w:rsid w:val="001127E9"/>
    <w:rsid w:val="00114431"/>
    <w:rsid w:val="0011538C"/>
    <w:rsid w:val="0011544E"/>
    <w:rsid w:val="0012074A"/>
    <w:rsid w:val="00120C8D"/>
    <w:rsid w:val="0012181C"/>
    <w:rsid w:val="00122311"/>
    <w:rsid w:val="00123543"/>
    <w:rsid w:val="001240CD"/>
    <w:rsid w:val="00127F76"/>
    <w:rsid w:val="001303DE"/>
    <w:rsid w:val="001321AB"/>
    <w:rsid w:val="0013282D"/>
    <w:rsid w:val="00132923"/>
    <w:rsid w:val="00132DBE"/>
    <w:rsid w:val="00132FDE"/>
    <w:rsid w:val="0013709F"/>
    <w:rsid w:val="00140285"/>
    <w:rsid w:val="00140E57"/>
    <w:rsid w:val="00141B19"/>
    <w:rsid w:val="00141C64"/>
    <w:rsid w:val="001427B1"/>
    <w:rsid w:val="001427C6"/>
    <w:rsid w:val="001427E8"/>
    <w:rsid w:val="00142C0A"/>
    <w:rsid w:val="00142E4E"/>
    <w:rsid w:val="00143498"/>
    <w:rsid w:val="0014462B"/>
    <w:rsid w:val="00144811"/>
    <w:rsid w:val="0014660B"/>
    <w:rsid w:val="00146D5B"/>
    <w:rsid w:val="00147906"/>
    <w:rsid w:val="001501ED"/>
    <w:rsid w:val="00150DA3"/>
    <w:rsid w:val="00151596"/>
    <w:rsid w:val="00152F17"/>
    <w:rsid w:val="00153913"/>
    <w:rsid w:val="0015466A"/>
    <w:rsid w:val="00154EC0"/>
    <w:rsid w:val="001573F8"/>
    <w:rsid w:val="00162BA0"/>
    <w:rsid w:val="00163EED"/>
    <w:rsid w:val="001647C9"/>
    <w:rsid w:val="00164E79"/>
    <w:rsid w:val="00165584"/>
    <w:rsid w:val="00166C81"/>
    <w:rsid w:val="00173A9E"/>
    <w:rsid w:val="0017603D"/>
    <w:rsid w:val="001764B9"/>
    <w:rsid w:val="00177F00"/>
    <w:rsid w:val="0018164B"/>
    <w:rsid w:val="00181A3E"/>
    <w:rsid w:val="00183447"/>
    <w:rsid w:val="00183A65"/>
    <w:rsid w:val="00183CCB"/>
    <w:rsid w:val="00185441"/>
    <w:rsid w:val="001865DB"/>
    <w:rsid w:val="001879C4"/>
    <w:rsid w:val="0019156F"/>
    <w:rsid w:val="00192B72"/>
    <w:rsid w:val="00193074"/>
    <w:rsid w:val="00193C83"/>
    <w:rsid w:val="00194C50"/>
    <w:rsid w:val="00196FB5"/>
    <w:rsid w:val="001972D2"/>
    <w:rsid w:val="001A0AEB"/>
    <w:rsid w:val="001A2D72"/>
    <w:rsid w:val="001A496D"/>
    <w:rsid w:val="001A535A"/>
    <w:rsid w:val="001B0364"/>
    <w:rsid w:val="001B0EDD"/>
    <w:rsid w:val="001B269D"/>
    <w:rsid w:val="001B2E5D"/>
    <w:rsid w:val="001B4977"/>
    <w:rsid w:val="001B53BD"/>
    <w:rsid w:val="001B5A26"/>
    <w:rsid w:val="001B5E36"/>
    <w:rsid w:val="001C1354"/>
    <w:rsid w:val="001C1D25"/>
    <w:rsid w:val="001C2478"/>
    <w:rsid w:val="001C2AE5"/>
    <w:rsid w:val="001C6E3F"/>
    <w:rsid w:val="001C7586"/>
    <w:rsid w:val="001D08BC"/>
    <w:rsid w:val="001D08E5"/>
    <w:rsid w:val="001D1277"/>
    <w:rsid w:val="001D248F"/>
    <w:rsid w:val="001D2BDC"/>
    <w:rsid w:val="001D2F7F"/>
    <w:rsid w:val="001D38A0"/>
    <w:rsid w:val="001D4424"/>
    <w:rsid w:val="001D59C7"/>
    <w:rsid w:val="001D5ECE"/>
    <w:rsid w:val="001D7073"/>
    <w:rsid w:val="001D733B"/>
    <w:rsid w:val="001D7420"/>
    <w:rsid w:val="001D7FD4"/>
    <w:rsid w:val="001E0DB0"/>
    <w:rsid w:val="001E123B"/>
    <w:rsid w:val="001E1735"/>
    <w:rsid w:val="001E1C6D"/>
    <w:rsid w:val="001E20C2"/>
    <w:rsid w:val="001E3F37"/>
    <w:rsid w:val="001E44A9"/>
    <w:rsid w:val="001E5745"/>
    <w:rsid w:val="001E5DBB"/>
    <w:rsid w:val="001E66BB"/>
    <w:rsid w:val="001E685F"/>
    <w:rsid w:val="001E7044"/>
    <w:rsid w:val="001F053D"/>
    <w:rsid w:val="001F1051"/>
    <w:rsid w:val="001F1A2D"/>
    <w:rsid w:val="001F311C"/>
    <w:rsid w:val="001F3224"/>
    <w:rsid w:val="001F34A8"/>
    <w:rsid w:val="001F40B2"/>
    <w:rsid w:val="001F4B99"/>
    <w:rsid w:val="001F680B"/>
    <w:rsid w:val="001F6BA7"/>
    <w:rsid w:val="001F7005"/>
    <w:rsid w:val="001F70F8"/>
    <w:rsid w:val="00200F92"/>
    <w:rsid w:val="00202680"/>
    <w:rsid w:val="00202ECA"/>
    <w:rsid w:val="002034AD"/>
    <w:rsid w:val="00203BF1"/>
    <w:rsid w:val="00203F46"/>
    <w:rsid w:val="002042F7"/>
    <w:rsid w:val="002057A7"/>
    <w:rsid w:val="00207033"/>
    <w:rsid w:val="00210D66"/>
    <w:rsid w:val="00211C6F"/>
    <w:rsid w:val="00212E91"/>
    <w:rsid w:val="002147DB"/>
    <w:rsid w:val="00216A65"/>
    <w:rsid w:val="00217339"/>
    <w:rsid w:val="00222204"/>
    <w:rsid w:val="0022306C"/>
    <w:rsid w:val="002239B4"/>
    <w:rsid w:val="00224D5C"/>
    <w:rsid w:val="00225FBD"/>
    <w:rsid w:val="002267EA"/>
    <w:rsid w:val="00227C2D"/>
    <w:rsid w:val="00227D08"/>
    <w:rsid w:val="0023008F"/>
    <w:rsid w:val="0023180C"/>
    <w:rsid w:val="00233653"/>
    <w:rsid w:val="00234C6C"/>
    <w:rsid w:val="0023576D"/>
    <w:rsid w:val="0023728A"/>
    <w:rsid w:val="00237522"/>
    <w:rsid w:val="002430D1"/>
    <w:rsid w:val="002442D1"/>
    <w:rsid w:val="00244A28"/>
    <w:rsid w:val="00245C98"/>
    <w:rsid w:val="00245CF3"/>
    <w:rsid w:val="002466F4"/>
    <w:rsid w:val="00247506"/>
    <w:rsid w:val="00247EBA"/>
    <w:rsid w:val="0025095A"/>
    <w:rsid w:val="00250A60"/>
    <w:rsid w:val="00251547"/>
    <w:rsid w:val="00251997"/>
    <w:rsid w:val="00251F8A"/>
    <w:rsid w:val="00252894"/>
    <w:rsid w:val="002532DE"/>
    <w:rsid w:val="00253FB7"/>
    <w:rsid w:val="00254030"/>
    <w:rsid w:val="00256337"/>
    <w:rsid w:val="00256893"/>
    <w:rsid w:val="0026012E"/>
    <w:rsid w:val="00264348"/>
    <w:rsid w:val="00265031"/>
    <w:rsid w:val="0026520C"/>
    <w:rsid w:val="00266277"/>
    <w:rsid w:val="00270009"/>
    <w:rsid w:val="002711ED"/>
    <w:rsid w:val="0027167F"/>
    <w:rsid w:val="002723C7"/>
    <w:rsid w:val="00273277"/>
    <w:rsid w:val="00273DA3"/>
    <w:rsid w:val="0027436C"/>
    <w:rsid w:val="002764BA"/>
    <w:rsid w:val="002807AD"/>
    <w:rsid w:val="002814BC"/>
    <w:rsid w:val="002814EA"/>
    <w:rsid w:val="0028203C"/>
    <w:rsid w:val="00282CDA"/>
    <w:rsid w:val="00282D8F"/>
    <w:rsid w:val="00283163"/>
    <w:rsid w:val="0028403E"/>
    <w:rsid w:val="00284A16"/>
    <w:rsid w:val="00284C12"/>
    <w:rsid w:val="0028617E"/>
    <w:rsid w:val="00286834"/>
    <w:rsid w:val="00286FAD"/>
    <w:rsid w:val="0028712C"/>
    <w:rsid w:val="00292416"/>
    <w:rsid w:val="0029247F"/>
    <w:rsid w:val="002930DB"/>
    <w:rsid w:val="00295636"/>
    <w:rsid w:val="002965BC"/>
    <w:rsid w:val="002969F8"/>
    <w:rsid w:val="00296DBA"/>
    <w:rsid w:val="00297358"/>
    <w:rsid w:val="002A153A"/>
    <w:rsid w:val="002A1661"/>
    <w:rsid w:val="002A29CE"/>
    <w:rsid w:val="002A2A80"/>
    <w:rsid w:val="002A4493"/>
    <w:rsid w:val="002A4BC4"/>
    <w:rsid w:val="002A6417"/>
    <w:rsid w:val="002A6631"/>
    <w:rsid w:val="002A6E24"/>
    <w:rsid w:val="002A6F67"/>
    <w:rsid w:val="002A7CEA"/>
    <w:rsid w:val="002A7DF5"/>
    <w:rsid w:val="002B282F"/>
    <w:rsid w:val="002B3689"/>
    <w:rsid w:val="002B43BA"/>
    <w:rsid w:val="002B45AD"/>
    <w:rsid w:val="002B4B30"/>
    <w:rsid w:val="002B4F96"/>
    <w:rsid w:val="002B56DF"/>
    <w:rsid w:val="002B6370"/>
    <w:rsid w:val="002B647D"/>
    <w:rsid w:val="002B79E1"/>
    <w:rsid w:val="002B7D1F"/>
    <w:rsid w:val="002C004E"/>
    <w:rsid w:val="002C1969"/>
    <w:rsid w:val="002C352C"/>
    <w:rsid w:val="002C3CAC"/>
    <w:rsid w:val="002C441F"/>
    <w:rsid w:val="002C4D8A"/>
    <w:rsid w:val="002C7A63"/>
    <w:rsid w:val="002D00EA"/>
    <w:rsid w:val="002D06BB"/>
    <w:rsid w:val="002D2B71"/>
    <w:rsid w:val="002D2C34"/>
    <w:rsid w:val="002D413A"/>
    <w:rsid w:val="002D6514"/>
    <w:rsid w:val="002D7211"/>
    <w:rsid w:val="002E08E8"/>
    <w:rsid w:val="002E320B"/>
    <w:rsid w:val="002E4348"/>
    <w:rsid w:val="002E4C8F"/>
    <w:rsid w:val="002E5AEA"/>
    <w:rsid w:val="002E67C5"/>
    <w:rsid w:val="002E6CEC"/>
    <w:rsid w:val="002E73CF"/>
    <w:rsid w:val="002E7BC2"/>
    <w:rsid w:val="002F0756"/>
    <w:rsid w:val="002F109B"/>
    <w:rsid w:val="002F1C33"/>
    <w:rsid w:val="002F2416"/>
    <w:rsid w:val="002F2655"/>
    <w:rsid w:val="002F2DB4"/>
    <w:rsid w:val="002F33F8"/>
    <w:rsid w:val="002F47DB"/>
    <w:rsid w:val="002F63BB"/>
    <w:rsid w:val="002F64DD"/>
    <w:rsid w:val="002F6C10"/>
    <w:rsid w:val="002F6DBB"/>
    <w:rsid w:val="002F6EF8"/>
    <w:rsid w:val="002F701E"/>
    <w:rsid w:val="002F7E90"/>
    <w:rsid w:val="003001AC"/>
    <w:rsid w:val="00302F9F"/>
    <w:rsid w:val="00303EC5"/>
    <w:rsid w:val="00304386"/>
    <w:rsid w:val="00307469"/>
    <w:rsid w:val="00310702"/>
    <w:rsid w:val="00310915"/>
    <w:rsid w:val="00312164"/>
    <w:rsid w:val="00312203"/>
    <w:rsid w:val="00312A01"/>
    <w:rsid w:val="00312B8F"/>
    <w:rsid w:val="00314DE7"/>
    <w:rsid w:val="00315AB7"/>
    <w:rsid w:val="003206B6"/>
    <w:rsid w:val="00321F81"/>
    <w:rsid w:val="00322FD9"/>
    <w:rsid w:val="00323336"/>
    <w:rsid w:val="00326B54"/>
    <w:rsid w:val="0032785E"/>
    <w:rsid w:val="00331B41"/>
    <w:rsid w:val="00332059"/>
    <w:rsid w:val="00332336"/>
    <w:rsid w:val="0033366E"/>
    <w:rsid w:val="00334E97"/>
    <w:rsid w:val="0033718D"/>
    <w:rsid w:val="003373C2"/>
    <w:rsid w:val="003401FE"/>
    <w:rsid w:val="00340A7A"/>
    <w:rsid w:val="00340B66"/>
    <w:rsid w:val="003417F0"/>
    <w:rsid w:val="00341835"/>
    <w:rsid w:val="00341ECA"/>
    <w:rsid w:val="003445AA"/>
    <w:rsid w:val="003446E3"/>
    <w:rsid w:val="00344791"/>
    <w:rsid w:val="003458D4"/>
    <w:rsid w:val="00345AE0"/>
    <w:rsid w:val="00346578"/>
    <w:rsid w:val="00346ACB"/>
    <w:rsid w:val="00346B9D"/>
    <w:rsid w:val="00346C0A"/>
    <w:rsid w:val="00350A47"/>
    <w:rsid w:val="0035346C"/>
    <w:rsid w:val="003535D2"/>
    <w:rsid w:val="00356B57"/>
    <w:rsid w:val="00360468"/>
    <w:rsid w:val="0036125C"/>
    <w:rsid w:val="00361623"/>
    <w:rsid w:val="003637C4"/>
    <w:rsid w:val="00363D0D"/>
    <w:rsid w:val="00364280"/>
    <w:rsid w:val="003656F2"/>
    <w:rsid w:val="00375E4A"/>
    <w:rsid w:val="00377CD3"/>
    <w:rsid w:val="00381DFA"/>
    <w:rsid w:val="003825A4"/>
    <w:rsid w:val="00384856"/>
    <w:rsid w:val="00387D0F"/>
    <w:rsid w:val="00390DCF"/>
    <w:rsid w:val="003958D8"/>
    <w:rsid w:val="00396821"/>
    <w:rsid w:val="00396A09"/>
    <w:rsid w:val="003A06BB"/>
    <w:rsid w:val="003A2944"/>
    <w:rsid w:val="003A3718"/>
    <w:rsid w:val="003A5040"/>
    <w:rsid w:val="003B0DEF"/>
    <w:rsid w:val="003B283B"/>
    <w:rsid w:val="003B4936"/>
    <w:rsid w:val="003B6378"/>
    <w:rsid w:val="003B712F"/>
    <w:rsid w:val="003B7185"/>
    <w:rsid w:val="003C01B5"/>
    <w:rsid w:val="003C12E6"/>
    <w:rsid w:val="003C2074"/>
    <w:rsid w:val="003C2C44"/>
    <w:rsid w:val="003C335A"/>
    <w:rsid w:val="003C3ADB"/>
    <w:rsid w:val="003C44F9"/>
    <w:rsid w:val="003C4F6C"/>
    <w:rsid w:val="003C611C"/>
    <w:rsid w:val="003C6617"/>
    <w:rsid w:val="003C6749"/>
    <w:rsid w:val="003C6AE8"/>
    <w:rsid w:val="003C702D"/>
    <w:rsid w:val="003C7207"/>
    <w:rsid w:val="003D0670"/>
    <w:rsid w:val="003D0E4A"/>
    <w:rsid w:val="003D0E7D"/>
    <w:rsid w:val="003D11B5"/>
    <w:rsid w:val="003D134C"/>
    <w:rsid w:val="003D3000"/>
    <w:rsid w:val="003D4164"/>
    <w:rsid w:val="003D4BD3"/>
    <w:rsid w:val="003D50C3"/>
    <w:rsid w:val="003D591F"/>
    <w:rsid w:val="003D69A5"/>
    <w:rsid w:val="003D6FFB"/>
    <w:rsid w:val="003E14F9"/>
    <w:rsid w:val="003E3D3D"/>
    <w:rsid w:val="003E44AA"/>
    <w:rsid w:val="003E49B3"/>
    <w:rsid w:val="003E7946"/>
    <w:rsid w:val="003F17D5"/>
    <w:rsid w:val="003F309F"/>
    <w:rsid w:val="003F3119"/>
    <w:rsid w:val="003F4E8A"/>
    <w:rsid w:val="003F6D32"/>
    <w:rsid w:val="004003F2"/>
    <w:rsid w:val="00400466"/>
    <w:rsid w:val="0040085D"/>
    <w:rsid w:val="00403412"/>
    <w:rsid w:val="0040573A"/>
    <w:rsid w:val="004077AE"/>
    <w:rsid w:val="00407B6E"/>
    <w:rsid w:val="00411760"/>
    <w:rsid w:val="004161D4"/>
    <w:rsid w:val="0041633C"/>
    <w:rsid w:val="00417723"/>
    <w:rsid w:val="0041784E"/>
    <w:rsid w:val="00417922"/>
    <w:rsid w:val="00417F88"/>
    <w:rsid w:val="004208F0"/>
    <w:rsid w:val="004219CA"/>
    <w:rsid w:val="00421EA9"/>
    <w:rsid w:val="00424512"/>
    <w:rsid w:val="004266E5"/>
    <w:rsid w:val="0042703E"/>
    <w:rsid w:val="00430B5A"/>
    <w:rsid w:val="00431640"/>
    <w:rsid w:val="00431C20"/>
    <w:rsid w:val="004344F0"/>
    <w:rsid w:val="00434F58"/>
    <w:rsid w:val="004413D1"/>
    <w:rsid w:val="0044207D"/>
    <w:rsid w:val="004429ED"/>
    <w:rsid w:val="004439E2"/>
    <w:rsid w:val="00447FE5"/>
    <w:rsid w:val="00451231"/>
    <w:rsid w:val="004526D3"/>
    <w:rsid w:val="00452C1C"/>
    <w:rsid w:val="00452E90"/>
    <w:rsid w:val="00456D35"/>
    <w:rsid w:val="00457CF2"/>
    <w:rsid w:val="004604D7"/>
    <w:rsid w:val="00460FAC"/>
    <w:rsid w:val="004610DA"/>
    <w:rsid w:val="004617B8"/>
    <w:rsid w:val="00461E4C"/>
    <w:rsid w:val="00462A87"/>
    <w:rsid w:val="00463CA6"/>
    <w:rsid w:val="00463E5F"/>
    <w:rsid w:val="00464D59"/>
    <w:rsid w:val="0046504E"/>
    <w:rsid w:val="00467620"/>
    <w:rsid w:val="00467C7C"/>
    <w:rsid w:val="00470ECB"/>
    <w:rsid w:val="004728E9"/>
    <w:rsid w:val="00473A4F"/>
    <w:rsid w:val="004758FE"/>
    <w:rsid w:val="00476BF7"/>
    <w:rsid w:val="00476C17"/>
    <w:rsid w:val="004774F6"/>
    <w:rsid w:val="0047796D"/>
    <w:rsid w:val="00477FF1"/>
    <w:rsid w:val="00480836"/>
    <w:rsid w:val="004830C8"/>
    <w:rsid w:val="004830F0"/>
    <w:rsid w:val="004837AB"/>
    <w:rsid w:val="00483A2F"/>
    <w:rsid w:val="004855A3"/>
    <w:rsid w:val="004865F9"/>
    <w:rsid w:val="00490DBF"/>
    <w:rsid w:val="004910BB"/>
    <w:rsid w:val="00491C25"/>
    <w:rsid w:val="00491F16"/>
    <w:rsid w:val="0049357E"/>
    <w:rsid w:val="00494840"/>
    <w:rsid w:val="00495DF2"/>
    <w:rsid w:val="0049739C"/>
    <w:rsid w:val="004A128C"/>
    <w:rsid w:val="004A1C13"/>
    <w:rsid w:val="004A1DD4"/>
    <w:rsid w:val="004A1E30"/>
    <w:rsid w:val="004A3C37"/>
    <w:rsid w:val="004A59A7"/>
    <w:rsid w:val="004A5E27"/>
    <w:rsid w:val="004A5E72"/>
    <w:rsid w:val="004A6EE1"/>
    <w:rsid w:val="004B0107"/>
    <w:rsid w:val="004B07EC"/>
    <w:rsid w:val="004B1BEC"/>
    <w:rsid w:val="004B1BEE"/>
    <w:rsid w:val="004B2AB8"/>
    <w:rsid w:val="004B56FE"/>
    <w:rsid w:val="004B5B9E"/>
    <w:rsid w:val="004B6C38"/>
    <w:rsid w:val="004C0463"/>
    <w:rsid w:val="004C0E5D"/>
    <w:rsid w:val="004C3F61"/>
    <w:rsid w:val="004C725D"/>
    <w:rsid w:val="004D0366"/>
    <w:rsid w:val="004D05B1"/>
    <w:rsid w:val="004D1293"/>
    <w:rsid w:val="004D1ADE"/>
    <w:rsid w:val="004D770C"/>
    <w:rsid w:val="004E0D21"/>
    <w:rsid w:val="004E1265"/>
    <w:rsid w:val="004E1A93"/>
    <w:rsid w:val="004E370E"/>
    <w:rsid w:val="004E7442"/>
    <w:rsid w:val="004E7EAE"/>
    <w:rsid w:val="004F20E0"/>
    <w:rsid w:val="004F2563"/>
    <w:rsid w:val="004F31BC"/>
    <w:rsid w:val="004F4387"/>
    <w:rsid w:val="004F4A4D"/>
    <w:rsid w:val="004F5D59"/>
    <w:rsid w:val="004F6F82"/>
    <w:rsid w:val="005000FC"/>
    <w:rsid w:val="00502957"/>
    <w:rsid w:val="00502EBB"/>
    <w:rsid w:val="00510BF5"/>
    <w:rsid w:val="00510EDC"/>
    <w:rsid w:val="0051290F"/>
    <w:rsid w:val="00513233"/>
    <w:rsid w:val="005148D1"/>
    <w:rsid w:val="00515597"/>
    <w:rsid w:val="00515DA2"/>
    <w:rsid w:val="005204A7"/>
    <w:rsid w:val="00521BA7"/>
    <w:rsid w:val="005227FC"/>
    <w:rsid w:val="005237BA"/>
    <w:rsid w:val="00524924"/>
    <w:rsid w:val="005252E2"/>
    <w:rsid w:val="005268CB"/>
    <w:rsid w:val="00530C01"/>
    <w:rsid w:val="0053325A"/>
    <w:rsid w:val="00535C6F"/>
    <w:rsid w:val="00535D5D"/>
    <w:rsid w:val="005379AD"/>
    <w:rsid w:val="00542236"/>
    <w:rsid w:val="005455D7"/>
    <w:rsid w:val="0054595C"/>
    <w:rsid w:val="00546341"/>
    <w:rsid w:val="00546920"/>
    <w:rsid w:val="00546A42"/>
    <w:rsid w:val="0054785D"/>
    <w:rsid w:val="005505C3"/>
    <w:rsid w:val="005511D5"/>
    <w:rsid w:val="00552A39"/>
    <w:rsid w:val="00552C4D"/>
    <w:rsid w:val="0055492B"/>
    <w:rsid w:val="00554A31"/>
    <w:rsid w:val="005604A7"/>
    <w:rsid w:val="005608B1"/>
    <w:rsid w:val="005609D5"/>
    <w:rsid w:val="00563974"/>
    <w:rsid w:val="005678B1"/>
    <w:rsid w:val="005716A8"/>
    <w:rsid w:val="005725CA"/>
    <w:rsid w:val="005727F6"/>
    <w:rsid w:val="00574162"/>
    <w:rsid w:val="00574615"/>
    <w:rsid w:val="00574B98"/>
    <w:rsid w:val="00575DC6"/>
    <w:rsid w:val="00575FF2"/>
    <w:rsid w:val="005760C8"/>
    <w:rsid w:val="00577CD4"/>
    <w:rsid w:val="00577D24"/>
    <w:rsid w:val="005820AB"/>
    <w:rsid w:val="005838F8"/>
    <w:rsid w:val="00585FB5"/>
    <w:rsid w:val="005908C0"/>
    <w:rsid w:val="00590EE1"/>
    <w:rsid w:val="00591586"/>
    <w:rsid w:val="00592878"/>
    <w:rsid w:val="005929DC"/>
    <w:rsid w:val="00592DB1"/>
    <w:rsid w:val="00593BBC"/>
    <w:rsid w:val="00595363"/>
    <w:rsid w:val="00595A2B"/>
    <w:rsid w:val="005A006F"/>
    <w:rsid w:val="005A0B4A"/>
    <w:rsid w:val="005A10A9"/>
    <w:rsid w:val="005A17D2"/>
    <w:rsid w:val="005A1EB0"/>
    <w:rsid w:val="005A3C39"/>
    <w:rsid w:val="005A5E4A"/>
    <w:rsid w:val="005A7787"/>
    <w:rsid w:val="005A7E8F"/>
    <w:rsid w:val="005B04FB"/>
    <w:rsid w:val="005B4ED0"/>
    <w:rsid w:val="005B5766"/>
    <w:rsid w:val="005B7357"/>
    <w:rsid w:val="005B7373"/>
    <w:rsid w:val="005B77BE"/>
    <w:rsid w:val="005B7A4C"/>
    <w:rsid w:val="005C0309"/>
    <w:rsid w:val="005C1D36"/>
    <w:rsid w:val="005C5055"/>
    <w:rsid w:val="005C5B7C"/>
    <w:rsid w:val="005C5CFB"/>
    <w:rsid w:val="005C6272"/>
    <w:rsid w:val="005C673B"/>
    <w:rsid w:val="005D12B4"/>
    <w:rsid w:val="005D1E09"/>
    <w:rsid w:val="005D284B"/>
    <w:rsid w:val="005D4CDB"/>
    <w:rsid w:val="005D5105"/>
    <w:rsid w:val="005E1FA3"/>
    <w:rsid w:val="005E247C"/>
    <w:rsid w:val="005E2E13"/>
    <w:rsid w:val="005E3D4F"/>
    <w:rsid w:val="005E5E63"/>
    <w:rsid w:val="005E6F88"/>
    <w:rsid w:val="005E7BBC"/>
    <w:rsid w:val="005F0253"/>
    <w:rsid w:val="005F029C"/>
    <w:rsid w:val="005F08FA"/>
    <w:rsid w:val="005F12C4"/>
    <w:rsid w:val="005F16DD"/>
    <w:rsid w:val="005F19B1"/>
    <w:rsid w:val="005F3319"/>
    <w:rsid w:val="005F42ED"/>
    <w:rsid w:val="005F4324"/>
    <w:rsid w:val="005F4477"/>
    <w:rsid w:val="005F5D19"/>
    <w:rsid w:val="005F65B9"/>
    <w:rsid w:val="005F6CBF"/>
    <w:rsid w:val="006005BB"/>
    <w:rsid w:val="006005DC"/>
    <w:rsid w:val="00600BE4"/>
    <w:rsid w:val="00600E42"/>
    <w:rsid w:val="0060138D"/>
    <w:rsid w:val="006018AA"/>
    <w:rsid w:val="00603C7F"/>
    <w:rsid w:val="00603CAA"/>
    <w:rsid w:val="006043E1"/>
    <w:rsid w:val="00604CF2"/>
    <w:rsid w:val="006100F4"/>
    <w:rsid w:val="0061104C"/>
    <w:rsid w:val="00611C06"/>
    <w:rsid w:val="00612D14"/>
    <w:rsid w:val="00612D4B"/>
    <w:rsid w:val="006135E6"/>
    <w:rsid w:val="00614771"/>
    <w:rsid w:val="0061558D"/>
    <w:rsid w:val="0061747D"/>
    <w:rsid w:val="00617940"/>
    <w:rsid w:val="00623899"/>
    <w:rsid w:val="006246B7"/>
    <w:rsid w:val="006253B7"/>
    <w:rsid w:val="00625567"/>
    <w:rsid w:val="006276B8"/>
    <w:rsid w:val="00632E10"/>
    <w:rsid w:val="00632EA5"/>
    <w:rsid w:val="0063404E"/>
    <w:rsid w:val="00635CBC"/>
    <w:rsid w:val="00637F5E"/>
    <w:rsid w:val="00641A0C"/>
    <w:rsid w:val="006437B9"/>
    <w:rsid w:val="00644F52"/>
    <w:rsid w:val="00645FCF"/>
    <w:rsid w:val="0064635E"/>
    <w:rsid w:val="006517C3"/>
    <w:rsid w:val="006520A9"/>
    <w:rsid w:val="006525FD"/>
    <w:rsid w:val="00653401"/>
    <w:rsid w:val="00653A59"/>
    <w:rsid w:val="00653B17"/>
    <w:rsid w:val="00654483"/>
    <w:rsid w:val="00655EAE"/>
    <w:rsid w:val="006563B5"/>
    <w:rsid w:val="0065701C"/>
    <w:rsid w:val="00660495"/>
    <w:rsid w:val="006604A6"/>
    <w:rsid w:val="00662792"/>
    <w:rsid w:val="00664620"/>
    <w:rsid w:val="00664EDD"/>
    <w:rsid w:val="006657E5"/>
    <w:rsid w:val="00666E8C"/>
    <w:rsid w:val="00667243"/>
    <w:rsid w:val="00667868"/>
    <w:rsid w:val="00670FBC"/>
    <w:rsid w:val="00671B54"/>
    <w:rsid w:val="0067265E"/>
    <w:rsid w:val="00673DB8"/>
    <w:rsid w:val="00673E73"/>
    <w:rsid w:val="00674F46"/>
    <w:rsid w:val="006754AC"/>
    <w:rsid w:val="00675BFE"/>
    <w:rsid w:val="00675E0A"/>
    <w:rsid w:val="00676722"/>
    <w:rsid w:val="0067691D"/>
    <w:rsid w:val="006818B6"/>
    <w:rsid w:val="006824B8"/>
    <w:rsid w:val="0068288E"/>
    <w:rsid w:val="00682C32"/>
    <w:rsid w:val="006832D2"/>
    <w:rsid w:val="006836B1"/>
    <w:rsid w:val="00683DC0"/>
    <w:rsid w:val="006843B8"/>
    <w:rsid w:val="006852EB"/>
    <w:rsid w:val="00685A29"/>
    <w:rsid w:val="00687167"/>
    <w:rsid w:val="006929BA"/>
    <w:rsid w:val="00692ABF"/>
    <w:rsid w:val="00692BBD"/>
    <w:rsid w:val="00693313"/>
    <w:rsid w:val="0069332A"/>
    <w:rsid w:val="00694209"/>
    <w:rsid w:val="00697056"/>
    <w:rsid w:val="00697718"/>
    <w:rsid w:val="00697A99"/>
    <w:rsid w:val="00697C4D"/>
    <w:rsid w:val="006A1226"/>
    <w:rsid w:val="006A172E"/>
    <w:rsid w:val="006A2035"/>
    <w:rsid w:val="006A2DDA"/>
    <w:rsid w:val="006A3329"/>
    <w:rsid w:val="006A35E4"/>
    <w:rsid w:val="006A613E"/>
    <w:rsid w:val="006A7743"/>
    <w:rsid w:val="006A7D99"/>
    <w:rsid w:val="006A7E26"/>
    <w:rsid w:val="006B13E2"/>
    <w:rsid w:val="006B150B"/>
    <w:rsid w:val="006B1785"/>
    <w:rsid w:val="006B317D"/>
    <w:rsid w:val="006B45AB"/>
    <w:rsid w:val="006B67E2"/>
    <w:rsid w:val="006B6C6A"/>
    <w:rsid w:val="006B7F25"/>
    <w:rsid w:val="006C15D5"/>
    <w:rsid w:val="006C1C02"/>
    <w:rsid w:val="006C234F"/>
    <w:rsid w:val="006C2D0C"/>
    <w:rsid w:val="006C31B0"/>
    <w:rsid w:val="006C375B"/>
    <w:rsid w:val="006C3D0C"/>
    <w:rsid w:val="006C53D0"/>
    <w:rsid w:val="006C58E0"/>
    <w:rsid w:val="006C5955"/>
    <w:rsid w:val="006C5EBD"/>
    <w:rsid w:val="006D0131"/>
    <w:rsid w:val="006D10AD"/>
    <w:rsid w:val="006D12BD"/>
    <w:rsid w:val="006D1375"/>
    <w:rsid w:val="006D1691"/>
    <w:rsid w:val="006D2335"/>
    <w:rsid w:val="006D2BE9"/>
    <w:rsid w:val="006D3570"/>
    <w:rsid w:val="006D3624"/>
    <w:rsid w:val="006D39A8"/>
    <w:rsid w:val="006D4391"/>
    <w:rsid w:val="006D4F42"/>
    <w:rsid w:val="006D519D"/>
    <w:rsid w:val="006D7067"/>
    <w:rsid w:val="006D71C0"/>
    <w:rsid w:val="006E0BE4"/>
    <w:rsid w:val="006E13EF"/>
    <w:rsid w:val="006E15EC"/>
    <w:rsid w:val="006E20AA"/>
    <w:rsid w:val="006E3C95"/>
    <w:rsid w:val="006E4EE7"/>
    <w:rsid w:val="006E65C2"/>
    <w:rsid w:val="006E6D5D"/>
    <w:rsid w:val="006E7418"/>
    <w:rsid w:val="006F15B4"/>
    <w:rsid w:val="006F248F"/>
    <w:rsid w:val="006F2503"/>
    <w:rsid w:val="006F31BC"/>
    <w:rsid w:val="006F3802"/>
    <w:rsid w:val="006F39D0"/>
    <w:rsid w:val="006F39EF"/>
    <w:rsid w:val="006F3B66"/>
    <w:rsid w:val="006F4E05"/>
    <w:rsid w:val="006F4E88"/>
    <w:rsid w:val="006F60FB"/>
    <w:rsid w:val="006F64D1"/>
    <w:rsid w:val="006F661B"/>
    <w:rsid w:val="006F7746"/>
    <w:rsid w:val="007005EA"/>
    <w:rsid w:val="00700E33"/>
    <w:rsid w:val="00702DAA"/>
    <w:rsid w:val="0070582B"/>
    <w:rsid w:val="007066FB"/>
    <w:rsid w:val="00707A9D"/>
    <w:rsid w:val="00710FD2"/>
    <w:rsid w:val="00711157"/>
    <w:rsid w:val="007119E2"/>
    <w:rsid w:val="00714800"/>
    <w:rsid w:val="007154DA"/>
    <w:rsid w:val="00715B7E"/>
    <w:rsid w:val="00715F0D"/>
    <w:rsid w:val="00717930"/>
    <w:rsid w:val="00720A28"/>
    <w:rsid w:val="0072152F"/>
    <w:rsid w:val="00721C21"/>
    <w:rsid w:val="00721CAF"/>
    <w:rsid w:val="007229FD"/>
    <w:rsid w:val="007232CA"/>
    <w:rsid w:val="00726DD0"/>
    <w:rsid w:val="00730CDB"/>
    <w:rsid w:val="007323E9"/>
    <w:rsid w:val="00733B55"/>
    <w:rsid w:val="007366CC"/>
    <w:rsid w:val="00736945"/>
    <w:rsid w:val="00736C89"/>
    <w:rsid w:val="0073725B"/>
    <w:rsid w:val="00741408"/>
    <w:rsid w:val="00741707"/>
    <w:rsid w:val="0074177D"/>
    <w:rsid w:val="00741965"/>
    <w:rsid w:val="00742ADC"/>
    <w:rsid w:val="0074421C"/>
    <w:rsid w:val="00745744"/>
    <w:rsid w:val="00745A21"/>
    <w:rsid w:val="007464B2"/>
    <w:rsid w:val="00746876"/>
    <w:rsid w:val="0075032A"/>
    <w:rsid w:val="00750C12"/>
    <w:rsid w:val="00752A7D"/>
    <w:rsid w:val="00754433"/>
    <w:rsid w:val="00755996"/>
    <w:rsid w:val="0075749C"/>
    <w:rsid w:val="0076010F"/>
    <w:rsid w:val="00760606"/>
    <w:rsid w:val="00763652"/>
    <w:rsid w:val="00763A36"/>
    <w:rsid w:val="00764602"/>
    <w:rsid w:val="00764BF7"/>
    <w:rsid w:val="00764EA5"/>
    <w:rsid w:val="007650D8"/>
    <w:rsid w:val="00766030"/>
    <w:rsid w:val="00766CBE"/>
    <w:rsid w:val="00767B80"/>
    <w:rsid w:val="00767E9A"/>
    <w:rsid w:val="00770D7D"/>
    <w:rsid w:val="00770E2C"/>
    <w:rsid w:val="00771030"/>
    <w:rsid w:val="00772497"/>
    <w:rsid w:val="00774197"/>
    <w:rsid w:val="007745AE"/>
    <w:rsid w:val="007748FF"/>
    <w:rsid w:val="007754C3"/>
    <w:rsid w:val="0077638E"/>
    <w:rsid w:val="007768FE"/>
    <w:rsid w:val="00780C18"/>
    <w:rsid w:val="00780E76"/>
    <w:rsid w:val="00785AC0"/>
    <w:rsid w:val="0078617C"/>
    <w:rsid w:val="00787284"/>
    <w:rsid w:val="007902C3"/>
    <w:rsid w:val="00790BB8"/>
    <w:rsid w:val="00791377"/>
    <w:rsid w:val="007915BB"/>
    <w:rsid w:val="00792251"/>
    <w:rsid w:val="00795C86"/>
    <w:rsid w:val="007A01A1"/>
    <w:rsid w:val="007A0B25"/>
    <w:rsid w:val="007A2E39"/>
    <w:rsid w:val="007A3166"/>
    <w:rsid w:val="007A45E7"/>
    <w:rsid w:val="007A4D8B"/>
    <w:rsid w:val="007A5D42"/>
    <w:rsid w:val="007A7263"/>
    <w:rsid w:val="007A73BE"/>
    <w:rsid w:val="007A7657"/>
    <w:rsid w:val="007B110B"/>
    <w:rsid w:val="007B1754"/>
    <w:rsid w:val="007B29A8"/>
    <w:rsid w:val="007B2BD2"/>
    <w:rsid w:val="007B4972"/>
    <w:rsid w:val="007B4AAA"/>
    <w:rsid w:val="007C6431"/>
    <w:rsid w:val="007C654E"/>
    <w:rsid w:val="007C6894"/>
    <w:rsid w:val="007D02F0"/>
    <w:rsid w:val="007D1E37"/>
    <w:rsid w:val="007D3035"/>
    <w:rsid w:val="007D35C4"/>
    <w:rsid w:val="007D3B8C"/>
    <w:rsid w:val="007D5652"/>
    <w:rsid w:val="007D57EF"/>
    <w:rsid w:val="007D6205"/>
    <w:rsid w:val="007D62C7"/>
    <w:rsid w:val="007D6B53"/>
    <w:rsid w:val="007D6D97"/>
    <w:rsid w:val="007E001D"/>
    <w:rsid w:val="007E4262"/>
    <w:rsid w:val="007E6B89"/>
    <w:rsid w:val="007F1B9C"/>
    <w:rsid w:val="007F2142"/>
    <w:rsid w:val="007F3777"/>
    <w:rsid w:val="007F5F0C"/>
    <w:rsid w:val="007F6028"/>
    <w:rsid w:val="007F63BA"/>
    <w:rsid w:val="007F7AC6"/>
    <w:rsid w:val="008007EE"/>
    <w:rsid w:val="008012DE"/>
    <w:rsid w:val="00803061"/>
    <w:rsid w:val="008057D4"/>
    <w:rsid w:val="00807EEE"/>
    <w:rsid w:val="008103E9"/>
    <w:rsid w:val="00811110"/>
    <w:rsid w:val="00811DAC"/>
    <w:rsid w:val="0081329F"/>
    <w:rsid w:val="008135F4"/>
    <w:rsid w:val="00813893"/>
    <w:rsid w:val="00813976"/>
    <w:rsid w:val="00813F60"/>
    <w:rsid w:val="00814330"/>
    <w:rsid w:val="0081594A"/>
    <w:rsid w:val="0082266E"/>
    <w:rsid w:val="00823148"/>
    <w:rsid w:val="008234E2"/>
    <w:rsid w:val="00823927"/>
    <w:rsid w:val="00824361"/>
    <w:rsid w:val="008250B0"/>
    <w:rsid w:val="00825FD3"/>
    <w:rsid w:val="00826793"/>
    <w:rsid w:val="0083146F"/>
    <w:rsid w:val="008327EE"/>
    <w:rsid w:val="00833F8E"/>
    <w:rsid w:val="00834AA0"/>
    <w:rsid w:val="0083539E"/>
    <w:rsid w:val="00836E22"/>
    <w:rsid w:val="00836E71"/>
    <w:rsid w:val="00837EBE"/>
    <w:rsid w:val="00840396"/>
    <w:rsid w:val="00841B95"/>
    <w:rsid w:val="00842E74"/>
    <w:rsid w:val="00843BE5"/>
    <w:rsid w:val="00843E78"/>
    <w:rsid w:val="00844E88"/>
    <w:rsid w:val="00845774"/>
    <w:rsid w:val="00852D21"/>
    <w:rsid w:val="008532D8"/>
    <w:rsid w:val="008535C9"/>
    <w:rsid w:val="008543FB"/>
    <w:rsid w:val="008544EE"/>
    <w:rsid w:val="008546FE"/>
    <w:rsid w:val="00854F21"/>
    <w:rsid w:val="008561E0"/>
    <w:rsid w:val="00856B64"/>
    <w:rsid w:val="00860A39"/>
    <w:rsid w:val="0086177D"/>
    <w:rsid w:val="00862463"/>
    <w:rsid w:val="00863DD9"/>
    <w:rsid w:val="00865960"/>
    <w:rsid w:val="00866446"/>
    <w:rsid w:val="008665FF"/>
    <w:rsid w:val="0086741B"/>
    <w:rsid w:val="008675EC"/>
    <w:rsid w:val="00867CD2"/>
    <w:rsid w:val="00870933"/>
    <w:rsid w:val="00870B16"/>
    <w:rsid w:val="00870E92"/>
    <w:rsid w:val="0087112F"/>
    <w:rsid w:val="00871568"/>
    <w:rsid w:val="00872D25"/>
    <w:rsid w:val="00874E17"/>
    <w:rsid w:val="0087510D"/>
    <w:rsid w:val="00876A87"/>
    <w:rsid w:val="0087712D"/>
    <w:rsid w:val="008801E1"/>
    <w:rsid w:val="008807E0"/>
    <w:rsid w:val="00880A60"/>
    <w:rsid w:val="00881CD2"/>
    <w:rsid w:val="00882A05"/>
    <w:rsid w:val="00884103"/>
    <w:rsid w:val="00885C88"/>
    <w:rsid w:val="00886E66"/>
    <w:rsid w:val="00886F29"/>
    <w:rsid w:val="00887704"/>
    <w:rsid w:val="00887A55"/>
    <w:rsid w:val="00887AE5"/>
    <w:rsid w:val="00890B23"/>
    <w:rsid w:val="008917A3"/>
    <w:rsid w:val="00891984"/>
    <w:rsid w:val="00891A49"/>
    <w:rsid w:val="0089219C"/>
    <w:rsid w:val="00892CC1"/>
    <w:rsid w:val="0089319F"/>
    <w:rsid w:val="008970BB"/>
    <w:rsid w:val="008979E1"/>
    <w:rsid w:val="00897DAB"/>
    <w:rsid w:val="008A0633"/>
    <w:rsid w:val="008A275F"/>
    <w:rsid w:val="008A3284"/>
    <w:rsid w:val="008A3386"/>
    <w:rsid w:val="008A53F2"/>
    <w:rsid w:val="008A5766"/>
    <w:rsid w:val="008B09B1"/>
    <w:rsid w:val="008B6430"/>
    <w:rsid w:val="008B66F0"/>
    <w:rsid w:val="008B727C"/>
    <w:rsid w:val="008B7A53"/>
    <w:rsid w:val="008C24B6"/>
    <w:rsid w:val="008C3ACC"/>
    <w:rsid w:val="008C3FB6"/>
    <w:rsid w:val="008C487C"/>
    <w:rsid w:val="008C4C28"/>
    <w:rsid w:val="008D11E3"/>
    <w:rsid w:val="008D20F8"/>
    <w:rsid w:val="008D28AD"/>
    <w:rsid w:val="008D28DA"/>
    <w:rsid w:val="008D2E03"/>
    <w:rsid w:val="008D30A8"/>
    <w:rsid w:val="008D3473"/>
    <w:rsid w:val="008D4167"/>
    <w:rsid w:val="008D539C"/>
    <w:rsid w:val="008D575A"/>
    <w:rsid w:val="008D58AE"/>
    <w:rsid w:val="008D66AC"/>
    <w:rsid w:val="008D7A9D"/>
    <w:rsid w:val="008E034E"/>
    <w:rsid w:val="008E038F"/>
    <w:rsid w:val="008E0FCC"/>
    <w:rsid w:val="008E10D2"/>
    <w:rsid w:val="008E21A3"/>
    <w:rsid w:val="008E2C56"/>
    <w:rsid w:val="008E2FE3"/>
    <w:rsid w:val="008E3012"/>
    <w:rsid w:val="008E4AD1"/>
    <w:rsid w:val="008E54E3"/>
    <w:rsid w:val="008E5698"/>
    <w:rsid w:val="008E5F34"/>
    <w:rsid w:val="008E63A1"/>
    <w:rsid w:val="008E689B"/>
    <w:rsid w:val="008E6B88"/>
    <w:rsid w:val="008E7D3F"/>
    <w:rsid w:val="008F00CF"/>
    <w:rsid w:val="008F0E10"/>
    <w:rsid w:val="008F2267"/>
    <w:rsid w:val="008F2837"/>
    <w:rsid w:val="008F2F63"/>
    <w:rsid w:val="008F3011"/>
    <w:rsid w:val="008F3EE2"/>
    <w:rsid w:val="008F4B08"/>
    <w:rsid w:val="008F51F6"/>
    <w:rsid w:val="008F5A75"/>
    <w:rsid w:val="008F5D4C"/>
    <w:rsid w:val="008F6030"/>
    <w:rsid w:val="008F67FD"/>
    <w:rsid w:val="008F6D40"/>
    <w:rsid w:val="009008B3"/>
    <w:rsid w:val="00903844"/>
    <w:rsid w:val="00903E02"/>
    <w:rsid w:val="00904226"/>
    <w:rsid w:val="00905A7E"/>
    <w:rsid w:val="00905B18"/>
    <w:rsid w:val="00905B2F"/>
    <w:rsid w:val="00906DB5"/>
    <w:rsid w:val="009075C9"/>
    <w:rsid w:val="009113DE"/>
    <w:rsid w:val="00911EA3"/>
    <w:rsid w:val="0091352E"/>
    <w:rsid w:val="00916912"/>
    <w:rsid w:val="00917B15"/>
    <w:rsid w:val="009211CB"/>
    <w:rsid w:val="009231E0"/>
    <w:rsid w:val="00923548"/>
    <w:rsid w:val="00923B70"/>
    <w:rsid w:val="00925293"/>
    <w:rsid w:val="00926241"/>
    <w:rsid w:val="00926A61"/>
    <w:rsid w:val="00926B0D"/>
    <w:rsid w:val="00926B22"/>
    <w:rsid w:val="00927C8F"/>
    <w:rsid w:val="009300D6"/>
    <w:rsid w:val="00930B6C"/>
    <w:rsid w:val="00930DE9"/>
    <w:rsid w:val="00930E4B"/>
    <w:rsid w:val="00931485"/>
    <w:rsid w:val="0093454D"/>
    <w:rsid w:val="00937277"/>
    <w:rsid w:val="00942C91"/>
    <w:rsid w:val="009436DA"/>
    <w:rsid w:val="00943862"/>
    <w:rsid w:val="00943FB9"/>
    <w:rsid w:val="0094508D"/>
    <w:rsid w:val="00945F32"/>
    <w:rsid w:val="00946E85"/>
    <w:rsid w:val="0094787E"/>
    <w:rsid w:val="00947C5C"/>
    <w:rsid w:val="009506A7"/>
    <w:rsid w:val="00950763"/>
    <w:rsid w:val="0095113A"/>
    <w:rsid w:val="00951507"/>
    <w:rsid w:val="00952C49"/>
    <w:rsid w:val="00952E50"/>
    <w:rsid w:val="00954CF5"/>
    <w:rsid w:val="00955598"/>
    <w:rsid w:val="00955D20"/>
    <w:rsid w:val="009565F3"/>
    <w:rsid w:val="00956630"/>
    <w:rsid w:val="009605FA"/>
    <w:rsid w:val="0096368F"/>
    <w:rsid w:val="00963DC7"/>
    <w:rsid w:val="009646AE"/>
    <w:rsid w:val="00964883"/>
    <w:rsid w:val="0096646C"/>
    <w:rsid w:val="00966A37"/>
    <w:rsid w:val="00967230"/>
    <w:rsid w:val="00967BCD"/>
    <w:rsid w:val="00970176"/>
    <w:rsid w:val="00972087"/>
    <w:rsid w:val="00972C13"/>
    <w:rsid w:val="0097420F"/>
    <w:rsid w:val="0097456D"/>
    <w:rsid w:val="00974634"/>
    <w:rsid w:val="00974A47"/>
    <w:rsid w:val="00976BF4"/>
    <w:rsid w:val="00980920"/>
    <w:rsid w:val="009812D7"/>
    <w:rsid w:val="00982E99"/>
    <w:rsid w:val="009841EF"/>
    <w:rsid w:val="00984BD3"/>
    <w:rsid w:val="00990391"/>
    <w:rsid w:val="00992151"/>
    <w:rsid w:val="00992422"/>
    <w:rsid w:val="009947D1"/>
    <w:rsid w:val="00994B40"/>
    <w:rsid w:val="00996159"/>
    <w:rsid w:val="009961B3"/>
    <w:rsid w:val="00996849"/>
    <w:rsid w:val="009A12B9"/>
    <w:rsid w:val="009A3AC9"/>
    <w:rsid w:val="009A3C25"/>
    <w:rsid w:val="009A4BF0"/>
    <w:rsid w:val="009A5714"/>
    <w:rsid w:val="009A5DA7"/>
    <w:rsid w:val="009B1AEC"/>
    <w:rsid w:val="009B2484"/>
    <w:rsid w:val="009B2E1A"/>
    <w:rsid w:val="009B326F"/>
    <w:rsid w:val="009B4506"/>
    <w:rsid w:val="009B65A2"/>
    <w:rsid w:val="009B7329"/>
    <w:rsid w:val="009B78F8"/>
    <w:rsid w:val="009C00FA"/>
    <w:rsid w:val="009C0F6B"/>
    <w:rsid w:val="009C1D68"/>
    <w:rsid w:val="009C1FFE"/>
    <w:rsid w:val="009C27A9"/>
    <w:rsid w:val="009C3485"/>
    <w:rsid w:val="009C3780"/>
    <w:rsid w:val="009C417C"/>
    <w:rsid w:val="009C5D2B"/>
    <w:rsid w:val="009C68EF"/>
    <w:rsid w:val="009C6F83"/>
    <w:rsid w:val="009C7248"/>
    <w:rsid w:val="009D11B7"/>
    <w:rsid w:val="009D16ED"/>
    <w:rsid w:val="009D1D57"/>
    <w:rsid w:val="009D4F8F"/>
    <w:rsid w:val="009D72AE"/>
    <w:rsid w:val="009D79AA"/>
    <w:rsid w:val="009E2544"/>
    <w:rsid w:val="009E2770"/>
    <w:rsid w:val="009E467C"/>
    <w:rsid w:val="009E4710"/>
    <w:rsid w:val="009E4A43"/>
    <w:rsid w:val="009E6225"/>
    <w:rsid w:val="009F0069"/>
    <w:rsid w:val="009F2056"/>
    <w:rsid w:val="009F2261"/>
    <w:rsid w:val="009F2933"/>
    <w:rsid w:val="009F3537"/>
    <w:rsid w:val="009F43F4"/>
    <w:rsid w:val="009F5426"/>
    <w:rsid w:val="009F5A22"/>
    <w:rsid w:val="009F6ADC"/>
    <w:rsid w:val="009F78A4"/>
    <w:rsid w:val="009F796E"/>
    <w:rsid w:val="00A00D59"/>
    <w:rsid w:val="00A019A5"/>
    <w:rsid w:val="00A032F8"/>
    <w:rsid w:val="00A04A6A"/>
    <w:rsid w:val="00A07433"/>
    <w:rsid w:val="00A07CE6"/>
    <w:rsid w:val="00A10347"/>
    <w:rsid w:val="00A12DBA"/>
    <w:rsid w:val="00A13B60"/>
    <w:rsid w:val="00A148CF"/>
    <w:rsid w:val="00A14C36"/>
    <w:rsid w:val="00A15390"/>
    <w:rsid w:val="00A1541C"/>
    <w:rsid w:val="00A158AB"/>
    <w:rsid w:val="00A2450A"/>
    <w:rsid w:val="00A24DBA"/>
    <w:rsid w:val="00A24F53"/>
    <w:rsid w:val="00A25657"/>
    <w:rsid w:val="00A262AF"/>
    <w:rsid w:val="00A304BE"/>
    <w:rsid w:val="00A329B6"/>
    <w:rsid w:val="00A337C9"/>
    <w:rsid w:val="00A361E6"/>
    <w:rsid w:val="00A367A1"/>
    <w:rsid w:val="00A37E67"/>
    <w:rsid w:val="00A40178"/>
    <w:rsid w:val="00A415D2"/>
    <w:rsid w:val="00A44EF8"/>
    <w:rsid w:val="00A460BA"/>
    <w:rsid w:val="00A46CF8"/>
    <w:rsid w:val="00A46FE1"/>
    <w:rsid w:val="00A4744F"/>
    <w:rsid w:val="00A510F6"/>
    <w:rsid w:val="00A54828"/>
    <w:rsid w:val="00A55BF1"/>
    <w:rsid w:val="00A57F74"/>
    <w:rsid w:val="00A57F88"/>
    <w:rsid w:val="00A61A04"/>
    <w:rsid w:val="00A62588"/>
    <w:rsid w:val="00A627B3"/>
    <w:rsid w:val="00A648E0"/>
    <w:rsid w:val="00A651C9"/>
    <w:rsid w:val="00A67D0F"/>
    <w:rsid w:val="00A67EB8"/>
    <w:rsid w:val="00A70E2D"/>
    <w:rsid w:val="00A71723"/>
    <w:rsid w:val="00A73161"/>
    <w:rsid w:val="00A740E7"/>
    <w:rsid w:val="00A74621"/>
    <w:rsid w:val="00A74B63"/>
    <w:rsid w:val="00A762F4"/>
    <w:rsid w:val="00A767EC"/>
    <w:rsid w:val="00A80739"/>
    <w:rsid w:val="00A83829"/>
    <w:rsid w:val="00A83FCC"/>
    <w:rsid w:val="00A862C0"/>
    <w:rsid w:val="00A862CB"/>
    <w:rsid w:val="00A865CD"/>
    <w:rsid w:val="00A87EE1"/>
    <w:rsid w:val="00A9000F"/>
    <w:rsid w:val="00A906FE"/>
    <w:rsid w:val="00A91A20"/>
    <w:rsid w:val="00A9229F"/>
    <w:rsid w:val="00A944AC"/>
    <w:rsid w:val="00A94D81"/>
    <w:rsid w:val="00A95100"/>
    <w:rsid w:val="00A9666C"/>
    <w:rsid w:val="00A97A15"/>
    <w:rsid w:val="00AA0652"/>
    <w:rsid w:val="00AA1162"/>
    <w:rsid w:val="00AA2812"/>
    <w:rsid w:val="00AA2A39"/>
    <w:rsid w:val="00AA2C16"/>
    <w:rsid w:val="00AA47C5"/>
    <w:rsid w:val="00AA48F7"/>
    <w:rsid w:val="00AA501F"/>
    <w:rsid w:val="00AA5AEE"/>
    <w:rsid w:val="00AA615B"/>
    <w:rsid w:val="00AA6272"/>
    <w:rsid w:val="00AB0DED"/>
    <w:rsid w:val="00AB14AB"/>
    <w:rsid w:val="00AB45BD"/>
    <w:rsid w:val="00AB5263"/>
    <w:rsid w:val="00AC0C81"/>
    <w:rsid w:val="00AC10AA"/>
    <w:rsid w:val="00AC1B48"/>
    <w:rsid w:val="00AC29D6"/>
    <w:rsid w:val="00AC3215"/>
    <w:rsid w:val="00AC3DCF"/>
    <w:rsid w:val="00AC43E7"/>
    <w:rsid w:val="00AC5D46"/>
    <w:rsid w:val="00AC69F6"/>
    <w:rsid w:val="00AD0F2A"/>
    <w:rsid w:val="00AD1E1B"/>
    <w:rsid w:val="00AD2C29"/>
    <w:rsid w:val="00AD35D2"/>
    <w:rsid w:val="00AD4259"/>
    <w:rsid w:val="00AD4BD5"/>
    <w:rsid w:val="00AD54C3"/>
    <w:rsid w:val="00AD6339"/>
    <w:rsid w:val="00AD7725"/>
    <w:rsid w:val="00AE0018"/>
    <w:rsid w:val="00AE00EC"/>
    <w:rsid w:val="00AE0522"/>
    <w:rsid w:val="00AE1FDC"/>
    <w:rsid w:val="00AE668A"/>
    <w:rsid w:val="00AE6858"/>
    <w:rsid w:val="00AE689C"/>
    <w:rsid w:val="00AE6AA3"/>
    <w:rsid w:val="00AE7EF0"/>
    <w:rsid w:val="00AF0A55"/>
    <w:rsid w:val="00AF2EFF"/>
    <w:rsid w:val="00AF3236"/>
    <w:rsid w:val="00AF387F"/>
    <w:rsid w:val="00AF41B6"/>
    <w:rsid w:val="00AF497F"/>
    <w:rsid w:val="00AF51F0"/>
    <w:rsid w:val="00AF535F"/>
    <w:rsid w:val="00AF5852"/>
    <w:rsid w:val="00AF5C62"/>
    <w:rsid w:val="00AF643C"/>
    <w:rsid w:val="00AF6B2F"/>
    <w:rsid w:val="00AF7270"/>
    <w:rsid w:val="00AF727E"/>
    <w:rsid w:val="00B00055"/>
    <w:rsid w:val="00B01531"/>
    <w:rsid w:val="00B04C69"/>
    <w:rsid w:val="00B07013"/>
    <w:rsid w:val="00B07A74"/>
    <w:rsid w:val="00B10490"/>
    <w:rsid w:val="00B1075A"/>
    <w:rsid w:val="00B11F92"/>
    <w:rsid w:val="00B120A7"/>
    <w:rsid w:val="00B13C71"/>
    <w:rsid w:val="00B14450"/>
    <w:rsid w:val="00B15460"/>
    <w:rsid w:val="00B1586E"/>
    <w:rsid w:val="00B16AAC"/>
    <w:rsid w:val="00B17BC5"/>
    <w:rsid w:val="00B2045A"/>
    <w:rsid w:val="00B20582"/>
    <w:rsid w:val="00B20FA2"/>
    <w:rsid w:val="00B2158C"/>
    <w:rsid w:val="00B217CA"/>
    <w:rsid w:val="00B22526"/>
    <w:rsid w:val="00B24E57"/>
    <w:rsid w:val="00B26584"/>
    <w:rsid w:val="00B302D7"/>
    <w:rsid w:val="00B30A67"/>
    <w:rsid w:val="00B30D96"/>
    <w:rsid w:val="00B336AC"/>
    <w:rsid w:val="00B34281"/>
    <w:rsid w:val="00B34968"/>
    <w:rsid w:val="00B3678E"/>
    <w:rsid w:val="00B3795F"/>
    <w:rsid w:val="00B4135D"/>
    <w:rsid w:val="00B42262"/>
    <w:rsid w:val="00B425E4"/>
    <w:rsid w:val="00B42B2C"/>
    <w:rsid w:val="00B459BE"/>
    <w:rsid w:val="00B459C9"/>
    <w:rsid w:val="00B5123E"/>
    <w:rsid w:val="00B51B58"/>
    <w:rsid w:val="00B522C4"/>
    <w:rsid w:val="00B52B0E"/>
    <w:rsid w:val="00B52FDB"/>
    <w:rsid w:val="00B5337D"/>
    <w:rsid w:val="00B533F4"/>
    <w:rsid w:val="00B54444"/>
    <w:rsid w:val="00B566A4"/>
    <w:rsid w:val="00B57FC4"/>
    <w:rsid w:val="00B600E1"/>
    <w:rsid w:val="00B604F8"/>
    <w:rsid w:val="00B61D4A"/>
    <w:rsid w:val="00B62BEA"/>
    <w:rsid w:val="00B63732"/>
    <w:rsid w:val="00B64B90"/>
    <w:rsid w:val="00B65290"/>
    <w:rsid w:val="00B66E91"/>
    <w:rsid w:val="00B70E26"/>
    <w:rsid w:val="00B71364"/>
    <w:rsid w:val="00B71B3C"/>
    <w:rsid w:val="00B726D5"/>
    <w:rsid w:val="00B72758"/>
    <w:rsid w:val="00B7319C"/>
    <w:rsid w:val="00B7346F"/>
    <w:rsid w:val="00B7517F"/>
    <w:rsid w:val="00B80E36"/>
    <w:rsid w:val="00B81DBB"/>
    <w:rsid w:val="00B82606"/>
    <w:rsid w:val="00B82DA0"/>
    <w:rsid w:val="00B8552F"/>
    <w:rsid w:val="00B85AB7"/>
    <w:rsid w:val="00B85B0A"/>
    <w:rsid w:val="00B861DA"/>
    <w:rsid w:val="00B86C5A"/>
    <w:rsid w:val="00B86CB5"/>
    <w:rsid w:val="00B86D58"/>
    <w:rsid w:val="00B8744D"/>
    <w:rsid w:val="00B8745F"/>
    <w:rsid w:val="00B9066A"/>
    <w:rsid w:val="00B90754"/>
    <w:rsid w:val="00B90BBE"/>
    <w:rsid w:val="00B91B78"/>
    <w:rsid w:val="00B93013"/>
    <w:rsid w:val="00B936F7"/>
    <w:rsid w:val="00B93888"/>
    <w:rsid w:val="00B9416B"/>
    <w:rsid w:val="00B9425C"/>
    <w:rsid w:val="00B9572C"/>
    <w:rsid w:val="00B95A93"/>
    <w:rsid w:val="00B96020"/>
    <w:rsid w:val="00B967D8"/>
    <w:rsid w:val="00B9752B"/>
    <w:rsid w:val="00B9782C"/>
    <w:rsid w:val="00B97D95"/>
    <w:rsid w:val="00B97E3C"/>
    <w:rsid w:val="00BA0158"/>
    <w:rsid w:val="00BA04F9"/>
    <w:rsid w:val="00BA6A1A"/>
    <w:rsid w:val="00BA7893"/>
    <w:rsid w:val="00BA7E78"/>
    <w:rsid w:val="00BB0833"/>
    <w:rsid w:val="00BB0EA7"/>
    <w:rsid w:val="00BB1223"/>
    <w:rsid w:val="00BB3527"/>
    <w:rsid w:val="00BB3CAB"/>
    <w:rsid w:val="00BB4B39"/>
    <w:rsid w:val="00BB4CDF"/>
    <w:rsid w:val="00BB595B"/>
    <w:rsid w:val="00BB59F9"/>
    <w:rsid w:val="00BB5B0E"/>
    <w:rsid w:val="00BB7561"/>
    <w:rsid w:val="00BC0AD1"/>
    <w:rsid w:val="00BC15B8"/>
    <w:rsid w:val="00BC2773"/>
    <w:rsid w:val="00BC5279"/>
    <w:rsid w:val="00BC6C4E"/>
    <w:rsid w:val="00BC6DAA"/>
    <w:rsid w:val="00BC7B6A"/>
    <w:rsid w:val="00BD0B60"/>
    <w:rsid w:val="00BD0EAC"/>
    <w:rsid w:val="00BD2540"/>
    <w:rsid w:val="00BD31AB"/>
    <w:rsid w:val="00BD46F6"/>
    <w:rsid w:val="00BD49D0"/>
    <w:rsid w:val="00BD4AA0"/>
    <w:rsid w:val="00BD4E32"/>
    <w:rsid w:val="00BD58A7"/>
    <w:rsid w:val="00BD6EE4"/>
    <w:rsid w:val="00BE1E33"/>
    <w:rsid w:val="00BE2AD3"/>
    <w:rsid w:val="00BE35F3"/>
    <w:rsid w:val="00BE36F7"/>
    <w:rsid w:val="00BE4E3F"/>
    <w:rsid w:val="00BE65AD"/>
    <w:rsid w:val="00BF1156"/>
    <w:rsid w:val="00BF19F3"/>
    <w:rsid w:val="00BF2443"/>
    <w:rsid w:val="00BF26A3"/>
    <w:rsid w:val="00BF34FD"/>
    <w:rsid w:val="00BF39E3"/>
    <w:rsid w:val="00BF4B4C"/>
    <w:rsid w:val="00BF72B9"/>
    <w:rsid w:val="00BF72F6"/>
    <w:rsid w:val="00C00709"/>
    <w:rsid w:val="00C00D0F"/>
    <w:rsid w:val="00C00DCB"/>
    <w:rsid w:val="00C01BC4"/>
    <w:rsid w:val="00C04114"/>
    <w:rsid w:val="00C0447F"/>
    <w:rsid w:val="00C0550E"/>
    <w:rsid w:val="00C07492"/>
    <w:rsid w:val="00C07755"/>
    <w:rsid w:val="00C07B5E"/>
    <w:rsid w:val="00C07C4E"/>
    <w:rsid w:val="00C1075D"/>
    <w:rsid w:val="00C10D3E"/>
    <w:rsid w:val="00C10DE8"/>
    <w:rsid w:val="00C12201"/>
    <w:rsid w:val="00C12946"/>
    <w:rsid w:val="00C12AD2"/>
    <w:rsid w:val="00C12C83"/>
    <w:rsid w:val="00C134EE"/>
    <w:rsid w:val="00C1405A"/>
    <w:rsid w:val="00C14E7D"/>
    <w:rsid w:val="00C14F61"/>
    <w:rsid w:val="00C15574"/>
    <w:rsid w:val="00C2018B"/>
    <w:rsid w:val="00C2021F"/>
    <w:rsid w:val="00C2197A"/>
    <w:rsid w:val="00C2347A"/>
    <w:rsid w:val="00C25D45"/>
    <w:rsid w:val="00C25E95"/>
    <w:rsid w:val="00C30A46"/>
    <w:rsid w:val="00C30E1E"/>
    <w:rsid w:val="00C31412"/>
    <w:rsid w:val="00C3189D"/>
    <w:rsid w:val="00C329B9"/>
    <w:rsid w:val="00C362A0"/>
    <w:rsid w:val="00C365AF"/>
    <w:rsid w:val="00C367CD"/>
    <w:rsid w:val="00C40139"/>
    <w:rsid w:val="00C410C3"/>
    <w:rsid w:val="00C422CC"/>
    <w:rsid w:val="00C42740"/>
    <w:rsid w:val="00C43C6C"/>
    <w:rsid w:val="00C44121"/>
    <w:rsid w:val="00C4526C"/>
    <w:rsid w:val="00C50B1B"/>
    <w:rsid w:val="00C50C99"/>
    <w:rsid w:val="00C52801"/>
    <w:rsid w:val="00C5395E"/>
    <w:rsid w:val="00C53B7D"/>
    <w:rsid w:val="00C60C0C"/>
    <w:rsid w:val="00C61C54"/>
    <w:rsid w:val="00C6210F"/>
    <w:rsid w:val="00C631DC"/>
    <w:rsid w:val="00C67E1B"/>
    <w:rsid w:val="00C703AD"/>
    <w:rsid w:val="00C703BA"/>
    <w:rsid w:val="00C7127C"/>
    <w:rsid w:val="00C745C6"/>
    <w:rsid w:val="00C750BA"/>
    <w:rsid w:val="00C75839"/>
    <w:rsid w:val="00C75FA8"/>
    <w:rsid w:val="00C7706E"/>
    <w:rsid w:val="00C77811"/>
    <w:rsid w:val="00C81AB7"/>
    <w:rsid w:val="00C826EF"/>
    <w:rsid w:val="00C8308A"/>
    <w:rsid w:val="00C83E36"/>
    <w:rsid w:val="00C84288"/>
    <w:rsid w:val="00C842A0"/>
    <w:rsid w:val="00C8442D"/>
    <w:rsid w:val="00C85287"/>
    <w:rsid w:val="00C85FA6"/>
    <w:rsid w:val="00C868B5"/>
    <w:rsid w:val="00C9170B"/>
    <w:rsid w:val="00C93397"/>
    <w:rsid w:val="00C95532"/>
    <w:rsid w:val="00C95AC9"/>
    <w:rsid w:val="00C964DE"/>
    <w:rsid w:val="00C969C2"/>
    <w:rsid w:val="00C96F18"/>
    <w:rsid w:val="00CA270A"/>
    <w:rsid w:val="00CA304F"/>
    <w:rsid w:val="00CA4545"/>
    <w:rsid w:val="00CA4E8A"/>
    <w:rsid w:val="00CA51AC"/>
    <w:rsid w:val="00CA51DE"/>
    <w:rsid w:val="00CA5790"/>
    <w:rsid w:val="00CA634C"/>
    <w:rsid w:val="00CA652B"/>
    <w:rsid w:val="00CA75F5"/>
    <w:rsid w:val="00CA7BFF"/>
    <w:rsid w:val="00CB003C"/>
    <w:rsid w:val="00CB0482"/>
    <w:rsid w:val="00CB0C4E"/>
    <w:rsid w:val="00CB12E5"/>
    <w:rsid w:val="00CB2590"/>
    <w:rsid w:val="00CB2670"/>
    <w:rsid w:val="00CB3684"/>
    <w:rsid w:val="00CB48C4"/>
    <w:rsid w:val="00CB54BF"/>
    <w:rsid w:val="00CB55CF"/>
    <w:rsid w:val="00CB59D4"/>
    <w:rsid w:val="00CB6D4F"/>
    <w:rsid w:val="00CC0C56"/>
    <w:rsid w:val="00CC11B6"/>
    <w:rsid w:val="00CC4245"/>
    <w:rsid w:val="00CC6782"/>
    <w:rsid w:val="00CD087C"/>
    <w:rsid w:val="00CD23FE"/>
    <w:rsid w:val="00CD319D"/>
    <w:rsid w:val="00CD33C1"/>
    <w:rsid w:val="00CD5B4D"/>
    <w:rsid w:val="00CE037C"/>
    <w:rsid w:val="00CE15BE"/>
    <w:rsid w:val="00CE332E"/>
    <w:rsid w:val="00CE35D5"/>
    <w:rsid w:val="00CE530A"/>
    <w:rsid w:val="00CE6E64"/>
    <w:rsid w:val="00CF0665"/>
    <w:rsid w:val="00CF09D9"/>
    <w:rsid w:val="00CF182A"/>
    <w:rsid w:val="00CF1BF9"/>
    <w:rsid w:val="00CF1F1E"/>
    <w:rsid w:val="00CF282F"/>
    <w:rsid w:val="00CF326B"/>
    <w:rsid w:val="00CF5CC1"/>
    <w:rsid w:val="00CF5FDD"/>
    <w:rsid w:val="00CF7D98"/>
    <w:rsid w:val="00D003E0"/>
    <w:rsid w:val="00D029D8"/>
    <w:rsid w:val="00D02A4F"/>
    <w:rsid w:val="00D02A84"/>
    <w:rsid w:val="00D0300E"/>
    <w:rsid w:val="00D04CE5"/>
    <w:rsid w:val="00D054B2"/>
    <w:rsid w:val="00D07245"/>
    <w:rsid w:val="00D0763E"/>
    <w:rsid w:val="00D11186"/>
    <w:rsid w:val="00D122AA"/>
    <w:rsid w:val="00D12644"/>
    <w:rsid w:val="00D134CC"/>
    <w:rsid w:val="00D142E0"/>
    <w:rsid w:val="00D14450"/>
    <w:rsid w:val="00D14C1E"/>
    <w:rsid w:val="00D20C1D"/>
    <w:rsid w:val="00D24682"/>
    <w:rsid w:val="00D24F06"/>
    <w:rsid w:val="00D25AEF"/>
    <w:rsid w:val="00D279FE"/>
    <w:rsid w:val="00D313E5"/>
    <w:rsid w:val="00D31785"/>
    <w:rsid w:val="00D32391"/>
    <w:rsid w:val="00D349EE"/>
    <w:rsid w:val="00D35298"/>
    <w:rsid w:val="00D3555B"/>
    <w:rsid w:val="00D36296"/>
    <w:rsid w:val="00D3674F"/>
    <w:rsid w:val="00D36CD9"/>
    <w:rsid w:val="00D36DC3"/>
    <w:rsid w:val="00D40D7D"/>
    <w:rsid w:val="00D4126F"/>
    <w:rsid w:val="00D418AD"/>
    <w:rsid w:val="00D42C1B"/>
    <w:rsid w:val="00D42ECB"/>
    <w:rsid w:val="00D44227"/>
    <w:rsid w:val="00D456BE"/>
    <w:rsid w:val="00D461BE"/>
    <w:rsid w:val="00D46629"/>
    <w:rsid w:val="00D46B8E"/>
    <w:rsid w:val="00D5087C"/>
    <w:rsid w:val="00D50E68"/>
    <w:rsid w:val="00D51312"/>
    <w:rsid w:val="00D51B22"/>
    <w:rsid w:val="00D51CE7"/>
    <w:rsid w:val="00D51D54"/>
    <w:rsid w:val="00D52507"/>
    <w:rsid w:val="00D527B1"/>
    <w:rsid w:val="00D527DA"/>
    <w:rsid w:val="00D54C90"/>
    <w:rsid w:val="00D54DF5"/>
    <w:rsid w:val="00D554BA"/>
    <w:rsid w:val="00D55BCC"/>
    <w:rsid w:val="00D56D47"/>
    <w:rsid w:val="00D57835"/>
    <w:rsid w:val="00D6075E"/>
    <w:rsid w:val="00D60CF3"/>
    <w:rsid w:val="00D613F3"/>
    <w:rsid w:val="00D619D2"/>
    <w:rsid w:val="00D655FB"/>
    <w:rsid w:val="00D67121"/>
    <w:rsid w:val="00D70B85"/>
    <w:rsid w:val="00D70D1E"/>
    <w:rsid w:val="00D70FB4"/>
    <w:rsid w:val="00D7248C"/>
    <w:rsid w:val="00D72C96"/>
    <w:rsid w:val="00D73854"/>
    <w:rsid w:val="00D73A38"/>
    <w:rsid w:val="00D74A1C"/>
    <w:rsid w:val="00D761DB"/>
    <w:rsid w:val="00D76FA9"/>
    <w:rsid w:val="00D7769B"/>
    <w:rsid w:val="00D77AA9"/>
    <w:rsid w:val="00D8146F"/>
    <w:rsid w:val="00D815C1"/>
    <w:rsid w:val="00D82E7D"/>
    <w:rsid w:val="00D8404D"/>
    <w:rsid w:val="00D850F4"/>
    <w:rsid w:val="00D85A2D"/>
    <w:rsid w:val="00D85C85"/>
    <w:rsid w:val="00D85E33"/>
    <w:rsid w:val="00D866EC"/>
    <w:rsid w:val="00D9096A"/>
    <w:rsid w:val="00D928CF"/>
    <w:rsid w:val="00D92F6C"/>
    <w:rsid w:val="00D93514"/>
    <w:rsid w:val="00D93AED"/>
    <w:rsid w:val="00D94695"/>
    <w:rsid w:val="00D9530A"/>
    <w:rsid w:val="00D95879"/>
    <w:rsid w:val="00D97A6B"/>
    <w:rsid w:val="00DA0770"/>
    <w:rsid w:val="00DA1396"/>
    <w:rsid w:val="00DA1F59"/>
    <w:rsid w:val="00DA2FA3"/>
    <w:rsid w:val="00DA4DE0"/>
    <w:rsid w:val="00DA546F"/>
    <w:rsid w:val="00DA65B2"/>
    <w:rsid w:val="00DA7875"/>
    <w:rsid w:val="00DB0AD7"/>
    <w:rsid w:val="00DB2A4B"/>
    <w:rsid w:val="00DB3513"/>
    <w:rsid w:val="00DB3DCA"/>
    <w:rsid w:val="00DB5F1F"/>
    <w:rsid w:val="00DB751D"/>
    <w:rsid w:val="00DC09BD"/>
    <w:rsid w:val="00DC0FCD"/>
    <w:rsid w:val="00DC133D"/>
    <w:rsid w:val="00DC162E"/>
    <w:rsid w:val="00DC2988"/>
    <w:rsid w:val="00DC35CE"/>
    <w:rsid w:val="00DC3B1E"/>
    <w:rsid w:val="00DC3FB4"/>
    <w:rsid w:val="00DC432A"/>
    <w:rsid w:val="00DC4444"/>
    <w:rsid w:val="00DC4C93"/>
    <w:rsid w:val="00DC679E"/>
    <w:rsid w:val="00DD032F"/>
    <w:rsid w:val="00DD0609"/>
    <w:rsid w:val="00DD0E98"/>
    <w:rsid w:val="00DD0FDE"/>
    <w:rsid w:val="00DD14BC"/>
    <w:rsid w:val="00DD259F"/>
    <w:rsid w:val="00DD39FB"/>
    <w:rsid w:val="00DD4D47"/>
    <w:rsid w:val="00DD565E"/>
    <w:rsid w:val="00DD76AF"/>
    <w:rsid w:val="00DD7A47"/>
    <w:rsid w:val="00DE1E41"/>
    <w:rsid w:val="00DE2F7C"/>
    <w:rsid w:val="00DE3F87"/>
    <w:rsid w:val="00DE5013"/>
    <w:rsid w:val="00DE54BD"/>
    <w:rsid w:val="00DE57DA"/>
    <w:rsid w:val="00DE5D1A"/>
    <w:rsid w:val="00DE64DE"/>
    <w:rsid w:val="00DE73B4"/>
    <w:rsid w:val="00DE787B"/>
    <w:rsid w:val="00DE7AB4"/>
    <w:rsid w:val="00DF1AB7"/>
    <w:rsid w:val="00DF2E8B"/>
    <w:rsid w:val="00DF306D"/>
    <w:rsid w:val="00DF4A49"/>
    <w:rsid w:val="00DF4D86"/>
    <w:rsid w:val="00DF5688"/>
    <w:rsid w:val="00DF63E3"/>
    <w:rsid w:val="00DF6B09"/>
    <w:rsid w:val="00E0064C"/>
    <w:rsid w:val="00E007E6"/>
    <w:rsid w:val="00E00B41"/>
    <w:rsid w:val="00E00ED9"/>
    <w:rsid w:val="00E01D84"/>
    <w:rsid w:val="00E03EBC"/>
    <w:rsid w:val="00E03FEF"/>
    <w:rsid w:val="00E048AB"/>
    <w:rsid w:val="00E05193"/>
    <w:rsid w:val="00E052D3"/>
    <w:rsid w:val="00E05344"/>
    <w:rsid w:val="00E05DA1"/>
    <w:rsid w:val="00E1000A"/>
    <w:rsid w:val="00E104CD"/>
    <w:rsid w:val="00E1067F"/>
    <w:rsid w:val="00E111AA"/>
    <w:rsid w:val="00E11440"/>
    <w:rsid w:val="00E11BD1"/>
    <w:rsid w:val="00E137BB"/>
    <w:rsid w:val="00E13FDD"/>
    <w:rsid w:val="00E15A72"/>
    <w:rsid w:val="00E20266"/>
    <w:rsid w:val="00E205F2"/>
    <w:rsid w:val="00E20C44"/>
    <w:rsid w:val="00E21B55"/>
    <w:rsid w:val="00E21C19"/>
    <w:rsid w:val="00E235DD"/>
    <w:rsid w:val="00E2375B"/>
    <w:rsid w:val="00E23B80"/>
    <w:rsid w:val="00E261CD"/>
    <w:rsid w:val="00E26266"/>
    <w:rsid w:val="00E27473"/>
    <w:rsid w:val="00E30356"/>
    <w:rsid w:val="00E3199C"/>
    <w:rsid w:val="00E3352E"/>
    <w:rsid w:val="00E34732"/>
    <w:rsid w:val="00E356C9"/>
    <w:rsid w:val="00E35D07"/>
    <w:rsid w:val="00E40987"/>
    <w:rsid w:val="00E41E74"/>
    <w:rsid w:val="00E42D0B"/>
    <w:rsid w:val="00E43A1A"/>
    <w:rsid w:val="00E441BF"/>
    <w:rsid w:val="00E447FC"/>
    <w:rsid w:val="00E4647B"/>
    <w:rsid w:val="00E5029D"/>
    <w:rsid w:val="00E51679"/>
    <w:rsid w:val="00E526A3"/>
    <w:rsid w:val="00E528C8"/>
    <w:rsid w:val="00E5311A"/>
    <w:rsid w:val="00E54CD1"/>
    <w:rsid w:val="00E56980"/>
    <w:rsid w:val="00E56B59"/>
    <w:rsid w:val="00E611D3"/>
    <w:rsid w:val="00E61551"/>
    <w:rsid w:val="00E6266E"/>
    <w:rsid w:val="00E62D29"/>
    <w:rsid w:val="00E64988"/>
    <w:rsid w:val="00E64A38"/>
    <w:rsid w:val="00E64D49"/>
    <w:rsid w:val="00E66B43"/>
    <w:rsid w:val="00E66FFF"/>
    <w:rsid w:val="00E70AA7"/>
    <w:rsid w:val="00E719F6"/>
    <w:rsid w:val="00E725EE"/>
    <w:rsid w:val="00E72ACE"/>
    <w:rsid w:val="00E72D25"/>
    <w:rsid w:val="00E7345E"/>
    <w:rsid w:val="00E7389E"/>
    <w:rsid w:val="00E75547"/>
    <w:rsid w:val="00E756AC"/>
    <w:rsid w:val="00E777CB"/>
    <w:rsid w:val="00E77EDC"/>
    <w:rsid w:val="00E80334"/>
    <w:rsid w:val="00E8168D"/>
    <w:rsid w:val="00E82BC5"/>
    <w:rsid w:val="00E8381A"/>
    <w:rsid w:val="00E83FE5"/>
    <w:rsid w:val="00E847F2"/>
    <w:rsid w:val="00E86CD9"/>
    <w:rsid w:val="00E86FB8"/>
    <w:rsid w:val="00E87596"/>
    <w:rsid w:val="00E87794"/>
    <w:rsid w:val="00E91C29"/>
    <w:rsid w:val="00E9480E"/>
    <w:rsid w:val="00E94E8E"/>
    <w:rsid w:val="00E95436"/>
    <w:rsid w:val="00E96422"/>
    <w:rsid w:val="00E97164"/>
    <w:rsid w:val="00E97B21"/>
    <w:rsid w:val="00E97F71"/>
    <w:rsid w:val="00EA21E0"/>
    <w:rsid w:val="00EA3421"/>
    <w:rsid w:val="00EA3C76"/>
    <w:rsid w:val="00EA5A59"/>
    <w:rsid w:val="00EA62F1"/>
    <w:rsid w:val="00EA62F3"/>
    <w:rsid w:val="00EA6693"/>
    <w:rsid w:val="00EA6726"/>
    <w:rsid w:val="00EB331D"/>
    <w:rsid w:val="00EB34E7"/>
    <w:rsid w:val="00EB3D8F"/>
    <w:rsid w:val="00EB593B"/>
    <w:rsid w:val="00EB5EB1"/>
    <w:rsid w:val="00EB6BD3"/>
    <w:rsid w:val="00EB7E91"/>
    <w:rsid w:val="00EC1912"/>
    <w:rsid w:val="00EC3B89"/>
    <w:rsid w:val="00EC52AE"/>
    <w:rsid w:val="00EC634C"/>
    <w:rsid w:val="00EC67CA"/>
    <w:rsid w:val="00EC704D"/>
    <w:rsid w:val="00EC7B1F"/>
    <w:rsid w:val="00ED047B"/>
    <w:rsid w:val="00ED0FE3"/>
    <w:rsid w:val="00ED17EE"/>
    <w:rsid w:val="00ED1DBA"/>
    <w:rsid w:val="00ED2910"/>
    <w:rsid w:val="00ED2B88"/>
    <w:rsid w:val="00ED3482"/>
    <w:rsid w:val="00ED3526"/>
    <w:rsid w:val="00ED3F7E"/>
    <w:rsid w:val="00ED4715"/>
    <w:rsid w:val="00ED47DC"/>
    <w:rsid w:val="00ED6A34"/>
    <w:rsid w:val="00ED7ACF"/>
    <w:rsid w:val="00ED7FEF"/>
    <w:rsid w:val="00EE0D77"/>
    <w:rsid w:val="00EE2576"/>
    <w:rsid w:val="00EE2BBD"/>
    <w:rsid w:val="00EE3B97"/>
    <w:rsid w:val="00EE52B1"/>
    <w:rsid w:val="00EE6AAE"/>
    <w:rsid w:val="00EF02BC"/>
    <w:rsid w:val="00EF2CA6"/>
    <w:rsid w:val="00EF2D0D"/>
    <w:rsid w:val="00EF4EAB"/>
    <w:rsid w:val="00EF5B40"/>
    <w:rsid w:val="00EF7502"/>
    <w:rsid w:val="00F00432"/>
    <w:rsid w:val="00F02034"/>
    <w:rsid w:val="00F03884"/>
    <w:rsid w:val="00F03E21"/>
    <w:rsid w:val="00F0411C"/>
    <w:rsid w:val="00F041F6"/>
    <w:rsid w:val="00F046A8"/>
    <w:rsid w:val="00F0556F"/>
    <w:rsid w:val="00F103DC"/>
    <w:rsid w:val="00F117B1"/>
    <w:rsid w:val="00F128A4"/>
    <w:rsid w:val="00F134F9"/>
    <w:rsid w:val="00F1524D"/>
    <w:rsid w:val="00F157AD"/>
    <w:rsid w:val="00F166ED"/>
    <w:rsid w:val="00F16799"/>
    <w:rsid w:val="00F1697E"/>
    <w:rsid w:val="00F1752D"/>
    <w:rsid w:val="00F20979"/>
    <w:rsid w:val="00F2153C"/>
    <w:rsid w:val="00F21D1D"/>
    <w:rsid w:val="00F21F84"/>
    <w:rsid w:val="00F232CF"/>
    <w:rsid w:val="00F2461C"/>
    <w:rsid w:val="00F2474C"/>
    <w:rsid w:val="00F24BD9"/>
    <w:rsid w:val="00F24C62"/>
    <w:rsid w:val="00F24FC8"/>
    <w:rsid w:val="00F2664F"/>
    <w:rsid w:val="00F26D0F"/>
    <w:rsid w:val="00F30C1E"/>
    <w:rsid w:val="00F326A6"/>
    <w:rsid w:val="00F32C99"/>
    <w:rsid w:val="00F331F0"/>
    <w:rsid w:val="00F34138"/>
    <w:rsid w:val="00F34FFB"/>
    <w:rsid w:val="00F35E57"/>
    <w:rsid w:val="00F36CDA"/>
    <w:rsid w:val="00F36F83"/>
    <w:rsid w:val="00F40A01"/>
    <w:rsid w:val="00F40FB9"/>
    <w:rsid w:val="00F44566"/>
    <w:rsid w:val="00F460A6"/>
    <w:rsid w:val="00F4673F"/>
    <w:rsid w:val="00F46A29"/>
    <w:rsid w:val="00F47ACE"/>
    <w:rsid w:val="00F47FCE"/>
    <w:rsid w:val="00F501D2"/>
    <w:rsid w:val="00F518BA"/>
    <w:rsid w:val="00F519FC"/>
    <w:rsid w:val="00F51D56"/>
    <w:rsid w:val="00F522B3"/>
    <w:rsid w:val="00F5266F"/>
    <w:rsid w:val="00F52BC9"/>
    <w:rsid w:val="00F52D84"/>
    <w:rsid w:val="00F533C0"/>
    <w:rsid w:val="00F53D1E"/>
    <w:rsid w:val="00F557C0"/>
    <w:rsid w:val="00F56447"/>
    <w:rsid w:val="00F56A1D"/>
    <w:rsid w:val="00F5798C"/>
    <w:rsid w:val="00F61A04"/>
    <w:rsid w:val="00F625EB"/>
    <w:rsid w:val="00F64055"/>
    <w:rsid w:val="00F6564C"/>
    <w:rsid w:val="00F65D1F"/>
    <w:rsid w:val="00F66FC8"/>
    <w:rsid w:val="00F70699"/>
    <w:rsid w:val="00F710C6"/>
    <w:rsid w:val="00F7142A"/>
    <w:rsid w:val="00F71E7D"/>
    <w:rsid w:val="00F722BD"/>
    <w:rsid w:val="00F72873"/>
    <w:rsid w:val="00F735C8"/>
    <w:rsid w:val="00F73620"/>
    <w:rsid w:val="00F74C34"/>
    <w:rsid w:val="00F758ED"/>
    <w:rsid w:val="00F81854"/>
    <w:rsid w:val="00F82ED9"/>
    <w:rsid w:val="00F83C51"/>
    <w:rsid w:val="00F85C73"/>
    <w:rsid w:val="00F85D31"/>
    <w:rsid w:val="00F87415"/>
    <w:rsid w:val="00F87C9D"/>
    <w:rsid w:val="00F91CF0"/>
    <w:rsid w:val="00F91DA7"/>
    <w:rsid w:val="00F9481A"/>
    <w:rsid w:val="00F956D1"/>
    <w:rsid w:val="00F95742"/>
    <w:rsid w:val="00F9683D"/>
    <w:rsid w:val="00F9687F"/>
    <w:rsid w:val="00F96E86"/>
    <w:rsid w:val="00F97F15"/>
    <w:rsid w:val="00FA08DE"/>
    <w:rsid w:val="00FA0CF5"/>
    <w:rsid w:val="00FA2D9D"/>
    <w:rsid w:val="00FA770D"/>
    <w:rsid w:val="00FA77B7"/>
    <w:rsid w:val="00FB01C6"/>
    <w:rsid w:val="00FB328E"/>
    <w:rsid w:val="00FB3430"/>
    <w:rsid w:val="00FB5E18"/>
    <w:rsid w:val="00FB67C7"/>
    <w:rsid w:val="00FC007C"/>
    <w:rsid w:val="00FC1567"/>
    <w:rsid w:val="00FC2626"/>
    <w:rsid w:val="00FC33B7"/>
    <w:rsid w:val="00FC3766"/>
    <w:rsid w:val="00FC4572"/>
    <w:rsid w:val="00FC5712"/>
    <w:rsid w:val="00FC755D"/>
    <w:rsid w:val="00FD0EDB"/>
    <w:rsid w:val="00FD386C"/>
    <w:rsid w:val="00FD3922"/>
    <w:rsid w:val="00FD6452"/>
    <w:rsid w:val="00FE2B90"/>
    <w:rsid w:val="00FF0A4E"/>
    <w:rsid w:val="00FF0A84"/>
    <w:rsid w:val="00FF14A6"/>
    <w:rsid w:val="00FF1F8D"/>
    <w:rsid w:val="00FF285D"/>
    <w:rsid w:val="00FF37A3"/>
    <w:rsid w:val="00FF3F9C"/>
    <w:rsid w:val="00FF5875"/>
    <w:rsid w:val="00FF63A1"/>
    <w:rsid w:val="00FF63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 w:type="character" w:customStyle="1" w:styleId="NormalWebCar">
    <w:name w:val="Normal (Web) Car"/>
    <w:link w:val="NormalWeb"/>
    <w:uiPriority w:val="99"/>
    <w:rsid w:val="00A55BF1"/>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216">
      <w:bodyDiv w:val="1"/>
      <w:marLeft w:val="0"/>
      <w:marRight w:val="0"/>
      <w:marTop w:val="0"/>
      <w:marBottom w:val="0"/>
      <w:divBdr>
        <w:top w:val="none" w:sz="0" w:space="0" w:color="auto"/>
        <w:left w:val="none" w:sz="0" w:space="0" w:color="auto"/>
        <w:bottom w:val="none" w:sz="0" w:space="0" w:color="auto"/>
        <w:right w:val="none" w:sz="0" w:space="0" w:color="auto"/>
      </w:divBdr>
    </w:div>
    <w:div w:id="291710021">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434638637">
      <w:bodyDiv w:val="1"/>
      <w:marLeft w:val="0"/>
      <w:marRight w:val="0"/>
      <w:marTop w:val="0"/>
      <w:marBottom w:val="0"/>
      <w:divBdr>
        <w:top w:val="none" w:sz="0" w:space="0" w:color="auto"/>
        <w:left w:val="none" w:sz="0" w:space="0" w:color="auto"/>
        <w:bottom w:val="none" w:sz="0" w:space="0" w:color="auto"/>
        <w:right w:val="none" w:sz="0" w:space="0" w:color="auto"/>
      </w:divBdr>
    </w:div>
    <w:div w:id="602345780">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434474778">
      <w:bodyDiv w:val="1"/>
      <w:marLeft w:val="0"/>
      <w:marRight w:val="0"/>
      <w:marTop w:val="0"/>
      <w:marBottom w:val="0"/>
      <w:divBdr>
        <w:top w:val="none" w:sz="0" w:space="0" w:color="auto"/>
        <w:left w:val="none" w:sz="0" w:space="0" w:color="auto"/>
        <w:bottom w:val="none" w:sz="0" w:space="0" w:color="auto"/>
        <w:right w:val="none" w:sz="0" w:space="0" w:color="auto"/>
      </w:divBdr>
      <w:divsChild>
        <w:div w:id="1359042044">
          <w:marLeft w:val="0"/>
          <w:marRight w:val="0"/>
          <w:marTop w:val="0"/>
          <w:marBottom w:val="0"/>
          <w:divBdr>
            <w:top w:val="none" w:sz="0" w:space="0" w:color="auto"/>
            <w:left w:val="none" w:sz="0" w:space="0" w:color="auto"/>
            <w:bottom w:val="none" w:sz="0" w:space="0" w:color="auto"/>
            <w:right w:val="none" w:sz="0" w:space="0" w:color="auto"/>
          </w:divBdr>
        </w:div>
        <w:div w:id="1178500611">
          <w:marLeft w:val="0"/>
          <w:marRight w:val="0"/>
          <w:marTop w:val="0"/>
          <w:marBottom w:val="0"/>
          <w:divBdr>
            <w:top w:val="none" w:sz="0" w:space="0" w:color="auto"/>
            <w:left w:val="none" w:sz="0" w:space="0" w:color="auto"/>
            <w:bottom w:val="none" w:sz="0" w:space="0" w:color="auto"/>
            <w:right w:val="none" w:sz="0" w:space="0" w:color="auto"/>
          </w:divBdr>
        </w:div>
      </w:divsChild>
    </w:div>
    <w:div w:id="1469201352">
      <w:bodyDiv w:val="1"/>
      <w:marLeft w:val="0"/>
      <w:marRight w:val="0"/>
      <w:marTop w:val="0"/>
      <w:marBottom w:val="0"/>
      <w:divBdr>
        <w:top w:val="none" w:sz="0" w:space="0" w:color="auto"/>
        <w:left w:val="none" w:sz="0" w:space="0" w:color="auto"/>
        <w:bottom w:val="none" w:sz="0" w:space="0" w:color="auto"/>
        <w:right w:val="none" w:sz="0" w:space="0" w:color="auto"/>
      </w:divBdr>
    </w:div>
    <w:div w:id="1522163456">
      <w:bodyDiv w:val="1"/>
      <w:marLeft w:val="0"/>
      <w:marRight w:val="0"/>
      <w:marTop w:val="0"/>
      <w:marBottom w:val="0"/>
      <w:divBdr>
        <w:top w:val="none" w:sz="0" w:space="0" w:color="auto"/>
        <w:left w:val="none" w:sz="0" w:space="0" w:color="auto"/>
        <w:bottom w:val="none" w:sz="0" w:space="0" w:color="auto"/>
        <w:right w:val="none" w:sz="0" w:space="0" w:color="auto"/>
      </w:divBdr>
    </w:div>
    <w:div w:id="1602906429">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782605694">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5572424">
      <w:bodyDiv w:val="1"/>
      <w:marLeft w:val="0"/>
      <w:marRight w:val="0"/>
      <w:marTop w:val="0"/>
      <w:marBottom w:val="0"/>
      <w:divBdr>
        <w:top w:val="none" w:sz="0" w:space="0" w:color="auto"/>
        <w:left w:val="none" w:sz="0" w:space="0" w:color="auto"/>
        <w:bottom w:val="none" w:sz="0" w:space="0" w:color="auto"/>
        <w:right w:val="none" w:sz="0" w:space="0" w:color="auto"/>
      </w:divBdr>
    </w:div>
    <w:div w:id="20966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5586</Words>
  <Characters>30725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2</cp:revision>
  <cp:lastPrinted>2020-03-17T17:42:00Z</cp:lastPrinted>
  <dcterms:created xsi:type="dcterms:W3CDTF">2022-04-07T15:37:00Z</dcterms:created>
  <dcterms:modified xsi:type="dcterms:W3CDTF">2022-04-07T15:37:00Z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