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F1F2" w14:textId="77777777" w:rsidR="002637B6" w:rsidRDefault="002637B6" w:rsidP="002637B6">
      <w:pPr>
        <w:spacing w:after="200" w:line="276" w:lineRule="auto"/>
        <w:jc w:val="both"/>
        <w:rPr>
          <w:rFonts w:ascii="Arial" w:eastAsia="Calibri" w:hAnsi="Arial" w:cs="Arial"/>
          <w:b/>
          <w:sz w:val="22"/>
          <w:szCs w:val="22"/>
          <w:lang w:val="es-ES_tradnl"/>
        </w:rPr>
      </w:pPr>
      <w:r w:rsidRPr="00754B06">
        <w:rPr>
          <w:rFonts w:ascii="Arial" w:eastAsia="Calibri" w:hAnsi="Arial" w:cs="Arial"/>
          <w:b/>
          <w:sz w:val="22"/>
          <w:szCs w:val="22"/>
          <w:lang w:val="es-ES_tradnl"/>
        </w:rPr>
        <w:t>LEY DE EMPRENDIMIENTO – Ley 2069 de 2020 – Vigencia</w:t>
      </w:r>
    </w:p>
    <w:p w14:paraId="755CABCD" w14:textId="77777777" w:rsidR="002637B6" w:rsidRPr="00754B06" w:rsidRDefault="002637B6" w:rsidP="002637B6">
      <w:pPr>
        <w:spacing w:after="200"/>
        <w:jc w:val="both"/>
        <w:rPr>
          <w:rFonts w:ascii="Arial" w:eastAsia="Calibri" w:hAnsi="Arial" w:cs="Arial"/>
          <w:bCs/>
          <w:sz w:val="20"/>
          <w:szCs w:val="20"/>
          <w:lang w:val="es-ES_tradnl"/>
        </w:rPr>
      </w:pPr>
      <w:r w:rsidRPr="00754B06">
        <w:rPr>
          <w:rFonts w:ascii="Arial" w:eastAsia="Calibri" w:hAnsi="Arial" w:cs="Arial"/>
          <w:bCs/>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4B02EDAE" w14:textId="22A34B9C" w:rsidR="002637B6" w:rsidRDefault="002637B6" w:rsidP="00E87E4C">
      <w:pPr>
        <w:jc w:val="both"/>
        <w:rPr>
          <w:rFonts w:ascii="Arial" w:eastAsia="Calibri" w:hAnsi="Arial" w:cs="Arial"/>
          <w:bCs/>
          <w:sz w:val="20"/>
          <w:szCs w:val="20"/>
          <w:lang w:val="es-ES_tradnl"/>
        </w:rPr>
      </w:pPr>
      <w:r w:rsidRPr="00754B06">
        <w:rPr>
          <w:rFonts w:ascii="Arial" w:eastAsia="Calibri" w:hAnsi="Arial" w:cs="Arial"/>
          <w:bCs/>
          <w:sz w:val="20"/>
          <w:szCs w:val="20"/>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754B06">
        <w:rPr>
          <w:rFonts w:ascii="Arial" w:eastAsia="Calibri" w:hAnsi="Arial" w:cs="Arial"/>
          <w:bCs/>
          <w:sz w:val="20"/>
          <w:szCs w:val="20"/>
          <w:lang w:val="es-ES_tradnl"/>
        </w:rPr>
        <w:t>de acuerdo a</w:t>
      </w:r>
      <w:proofErr w:type="gramEnd"/>
      <w:r w:rsidRPr="00754B06">
        <w:rPr>
          <w:rFonts w:ascii="Arial" w:eastAsia="Calibri" w:hAnsi="Arial" w:cs="Arial"/>
          <w:bCs/>
          <w:sz w:val="20"/>
          <w:szCs w:val="20"/>
          <w:lang w:val="es-ES_tradnl"/>
        </w:rPr>
        <w:t xml:space="preserve"> las realidades socioeconómicas de cada región». En desarrollo de esta finalidad, se establecen medidas de apoyo para las micro, pequeñas y medianas empresas –</w:t>
      </w:r>
      <w:proofErr w:type="spellStart"/>
      <w:r w:rsidRPr="00754B06">
        <w:rPr>
          <w:rFonts w:ascii="Arial" w:eastAsia="Calibri" w:hAnsi="Arial" w:cs="Arial"/>
          <w:bCs/>
          <w:sz w:val="20"/>
          <w:szCs w:val="20"/>
          <w:lang w:val="es-ES_tradnl"/>
        </w:rPr>
        <w:t>mipymes</w:t>
      </w:r>
      <w:proofErr w:type="spellEnd"/>
      <w:r w:rsidRPr="00754B06">
        <w:rPr>
          <w:rFonts w:ascii="Arial" w:eastAsia="Calibri" w:hAnsi="Arial" w:cs="Arial"/>
          <w:bCs/>
          <w:sz w:val="20"/>
          <w:szCs w:val="20"/>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w:t>
      </w:r>
      <w:r>
        <w:rPr>
          <w:rFonts w:ascii="Arial" w:eastAsia="Calibri" w:hAnsi="Arial" w:cs="Arial"/>
          <w:bCs/>
          <w:sz w:val="20"/>
          <w:szCs w:val="20"/>
          <w:lang w:val="es-ES_tradnl"/>
        </w:rPr>
        <w:t xml:space="preserve"> </w:t>
      </w:r>
      <w:r w:rsidRPr="002637B6">
        <w:rPr>
          <w:rFonts w:ascii="Arial" w:eastAsia="Calibri" w:hAnsi="Arial" w:cs="Arial"/>
          <w:bCs/>
          <w:sz w:val="20"/>
          <w:szCs w:val="20"/>
          <w:lang w:val="es-ES_tradnl"/>
        </w:rPr>
        <w:t>el emprendimiento y la innovación.</w:t>
      </w:r>
    </w:p>
    <w:p w14:paraId="6D985ED5" w14:textId="77777777" w:rsidR="00E87E4C" w:rsidRDefault="00E87E4C" w:rsidP="000B22B3">
      <w:pPr>
        <w:jc w:val="both"/>
        <w:rPr>
          <w:rFonts w:ascii="Arial" w:eastAsia="Calibri" w:hAnsi="Arial" w:cs="Arial"/>
          <w:b/>
          <w:sz w:val="22"/>
          <w:szCs w:val="22"/>
          <w:lang w:val="es-ES_tradnl"/>
        </w:rPr>
      </w:pPr>
    </w:p>
    <w:p w14:paraId="5C262371" w14:textId="77777777" w:rsidR="002637B6" w:rsidRPr="002637B6" w:rsidRDefault="002637B6" w:rsidP="002637B6">
      <w:pPr>
        <w:jc w:val="both"/>
        <w:rPr>
          <w:rFonts w:ascii="Arial" w:eastAsia="Calibri" w:hAnsi="Arial" w:cs="Arial"/>
          <w:b/>
          <w:sz w:val="22"/>
          <w:lang w:val="es-ES_tradnl" w:eastAsia="es-ES_tradnl"/>
        </w:rPr>
      </w:pPr>
      <w:r w:rsidRPr="002637B6">
        <w:rPr>
          <w:rFonts w:ascii="Arial" w:eastAsia="Calibri" w:hAnsi="Arial" w:cs="Arial"/>
          <w:b/>
          <w:sz w:val="22"/>
          <w:lang w:val="es-ES_tradnl" w:eastAsia="es-ES_tradnl"/>
        </w:rPr>
        <w:t xml:space="preserve">EMPATE </w:t>
      </w:r>
      <w:r w:rsidRPr="002637B6">
        <w:rPr>
          <w:rFonts w:ascii="Arial" w:eastAsia="Calibri" w:hAnsi="Arial" w:cs="Arial"/>
          <w:b/>
          <w:color w:val="000000" w:themeColor="text1"/>
          <w:sz w:val="22"/>
          <w:lang w:val="es-ES_tradnl" w:eastAsia="es-ES_tradnl"/>
        </w:rPr>
        <w:t>–</w:t>
      </w:r>
      <w:r w:rsidRPr="002637B6">
        <w:rPr>
          <w:rFonts w:ascii="Arial" w:eastAsia="Calibri" w:hAnsi="Arial" w:cs="Arial"/>
          <w:b/>
          <w:sz w:val="22"/>
          <w:lang w:val="es-ES_tradnl" w:eastAsia="es-ES_tradnl"/>
        </w:rPr>
        <w:t xml:space="preserve"> Procedimiento de selección </w:t>
      </w:r>
      <w:r w:rsidRPr="002637B6">
        <w:rPr>
          <w:rFonts w:ascii="Arial" w:eastAsia="Calibri" w:hAnsi="Arial" w:cs="Arial"/>
          <w:b/>
          <w:color w:val="000000" w:themeColor="text1"/>
          <w:sz w:val="22"/>
          <w:lang w:val="es-ES_tradnl" w:eastAsia="es-ES_tradnl"/>
        </w:rPr>
        <w:t>– Concepto</w:t>
      </w:r>
    </w:p>
    <w:p w14:paraId="31B9A9E5" w14:textId="77777777" w:rsidR="002637B6" w:rsidRDefault="002637B6" w:rsidP="002637B6">
      <w:pPr>
        <w:jc w:val="both"/>
        <w:rPr>
          <w:rFonts w:ascii="Arial" w:eastAsia="Calibri" w:hAnsi="Arial" w:cs="Arial"/>
          <w:color w:val="000000" w:themeColor="text1"/>
          <w:sz w:val="20"/>
          <w:szCs w:val="20"/>
          <w:lang w:val="es-ES_tradnl" w:eastAsia="es-ES_tradnl"/>
        </w:rPr>
      </w:pPr>
    </w:p>
    <w:p w14:paraId="1FE83AEF" w14:textId="7F2E3CFE" w:rsidR="002637B6" w:rsidRDefault="002637B6" w:rsidP="00E87E4C">
      <w:pPr>
        <w:jc w:val="both"/>
        <w:rPr>
          <w:rFonts w:ascii="Arial" w:eastAsia="Calibri" w:hAnsi="Arial" w:cs="Arial"/>
          <w:color w:val="000000" w:themeColor="text1"/>
          <w:sz w:val="20"/>
          <w:szCs w:val="20"/>
          <w:lang w:val="es-ES_tradnl" w:eastAsia="es-ES_tradnl"/>
        </w:rPr>
      </w:pPr>
      <w:r w:rsidRPr="002637B6">
        <w:rPr>
          <w:rFonts w:ascii="Arial" w:eastAsia="Calibri" w:hAnsi="Arial" w:cs="Arial"/>
          <w:color w:val="000000" w:themeColor="text1"/>
          <w:sz w:val="20"/>
          <w:szCs w:val="20"/>
          <w:lang w:val="es-ES_tradnl" w:eastAsia="es-ES_tradnl"/>
        </w:rPr>
        <w:t>En esta perspectiva, los requisitos habilitantes o de participación, así como los criterios de evaluación o de calificación con puntos, son instrumentos por medio de los cuales se materializa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E6CDCB" w14:textId="77777777" w:rsidR="00E87E4C" w:rsidRDefault="00E87E4C" w:rsidP="000B22B3">
      <w:pPr>
        <w:jc w:val="both"/>
        <w:rPr>
          <w:rFonts w:ascii="Arial" w:eastAsia="Calibri" w:hAnsi="Arial" w:cs="Arial"/>
          <w:color w:val="000000" w:themeColor="text1"/>
          <w:sz w:val="20"/>
          <w:szCs w:val="20"/>
          <w:lang w:val="es-ES_tradnl" w:eastAsia="es-ES_tradnl"/>
        </w:rPr>
      </w:pPr>
    </w:p>
    <w:p w14:paraId="031C4382" w14:textId="77777777" w:rsidR="002637B6" w:rsidRPr="00325B05" w:rsidRDefault="002637B6" w:rsidP="002637B6">
      <w:pPr>
        <w:jc w:val="both"/>
        <w:rPr>
          <w:rFonts w:ascii="Arial" w:eastAsia="Calibri" w:hAnsi="Arial" w:cs="Arial"/>
          <w:b/>
          <w:sz w:val="22"/>
          <w:lang w:val="es-ES_tradnl"/>
        </w:rPr>
      </w:pPr>
      <w:r w:rsidRPr="00325B05">
        <w:rPr>
          <w:rFonts w:ascii="Arial" w:eastAsia="Calibri" w:hAnsi="Arial" w:cs="Arial"/>
          <w:b/>
          <w:sz w:val="22"/>
          <w:lang w:val="es-ES_tradnl"/>
        </w:rPr>
        <w:t xml:space="preserve">FACTORES DE DESEMPATE </w:t>
      </w:r>
      <w:r w:rsidRPr="00325B05">
        <w:rPr>
          <w:rFonts w:ascii="Arial" w:eastAsia="Calibri" w:hAnsi="Arial" w:cs="Arial"/>
          <w:b/>
          <w:color w:val="000000" w:themeColor="text1"/>
          <w:sz w:val="22"/>
          <w:lang w:val="es-ES_tradnl"/>
        </w:rPr>
        <w:t>–</w:t>
      </w:r>
      <w:r w:rsidRPr="00325B05">
        <w:rPr>
          <w:rFonts w:ascii="Arial" w:eastAsia="Calibri" w:hAnsi="Arial" w:cs="Arial"/>
          <w:b/>
          <w:sz w:val="22"/>
          <w:lang w:val="es-ES_tradnl"/>
        </w:rPr>
        <w:t xml:space="preserve"> Características </w:t>
      </w:r>
      <w:r w:rsidRPr="00325B05">
        <w:rPr>
          <w:rFonts w:ascii="Arial" w:eastAsia="Calibri" w:hAnsi="Arial" w:cs="Arial"/>
          <w:b/>
          <w:color w:val="000000" w:themeColor="text1"/>
          <w:sz w:val="22"/>
          <w:lang w:val="es-ES_tradnl"/>
        </w:rPr>
        <w:t>– Límites</w:t>
      </w:r>
    </w:p>
    <w:p w14:paraId="6E56822E" w14:textId="77777777" w:rsidR="002637B6" w:rsidRPr="00325B05" w:rsidRDefault="002637B6" w:rsidP="002637B6">
      <w:pPr>
        <w:spacing w:line="276" w:lineRule="auto"/>
        <w:jc w:val="both"/>
        <w:rPr>
          <w:rFonts w:ascii="Arial" w:hAnsi="Arial" w:cs="Arial"/>
          <w:noProof/>
          <w:color w:val="000000" w:themeColor="text1"/>
          <w:sz w:val="22"/>
          <w:lang w:val="es-ES_tradnl"/>
        </w:rPr>
      </w:pPr>
    </w:p>
    <w:p w14:paraId="4CC55580" w14:textId="2C3D9305" w:rsidR="00226A53" w:rsidRDefault="00226A53" w:rsidP="00226A53">
      <w:pPr>
        <w:jc w:val="both"/>
        <w:rPr>
          <w:rFonts w:ascii="Arial" w:eastAsia="Calibri" w:hAnsi="Arial" w:cs="Arial"/>
          <w:color w:val="000000" w:themeColor="text1"/>
          <w:sz w:val="20"/>
          <w:szCs w:val="20"/>
          <w:lang w:val="es-ES_tradnl"/>
        </w:rPr>
      </w:pPr>
      <w:r w:rsidRPr="00226A53">
        <w:rPr>
          <w:rFonts w:ascii="Arial" w:eastAsia="Calibri" w:hAnsi="Arial" w:cs="Arial"/>
          <w:color w:val="000000" w:themeColor="text1"/>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76833C8B" w14:textId="77777777" w:rsidR="00226A53" w:rsidRPr="00226A53" w:rsidRDefault="00226A53" w:rsidP="00226A53">
      <w:pPr>
        <w:jc w:val="both"/>
        <w:rPr>
          <w:rFonts w:ascii="Arial" w:eastAsia="Calibri" w:hAnsi="Arial" w:cs="Arial"/>
          <w:color w:val="000000" w:themeColor="text1"/>
          <w:sz w:val="20"/>
          <w:szCs w:val="20"/>
          <w:lang w:val="es-ES_tradnl"/>
        </w:rPr>
      </w:pPr>
    </w:p>
    <w:p w14:paraId="0597D86A" w14:textId="234AC106" w:rsidR="002637B6" w:rsidRDefault="00226A53" w:rsidP="00226A53">
      <w:pPr>
        <w:jc w:val="both"/>
        <w:rPr>
          <w:rFonts w:ascii="Arial" w:eastAsia="Calibri" w:hAnsi="Arial" w:cs="Arial"/>
          <w:color w:val="000000" w:themeColor="text1"/>
          <w:sz w:val="20"/>
          <w:szCs w:val="20"/>
          <w:lang w:val="es-ES_tradnl"/>
        </w:rPr>
      </w:pPr>
      <w:r w:rsidRPr="00226A53">
        <w:rPr>
          <w:rFonts w:ascii="Arial" w:eastAsia="Calibri" w:hAnsi="Arial" w:cs="Arial"/>
          <w:color w:val="000000" w:themeColor="text1"/>
          <w:sz w:val="20"/>
          <w:szCs w:val="20"/>
          <w:lang w:val="es-ES_tradnl"/>
        </w:rPr>
        <w:t xml:space="preserve">En tal sentido, la Corte Constitucional explica que cuando la ley establece factores de desempate obligatorios, las entidades estatales no pueden </w:t>
      </w:r>
      <w:proofErr w:type="spellStart"/>
      <w:r w:rsidRPr="00226A53">
        <w:rPr>
          <w:rFonts w:ascii="Arial" w:eastAsia="Calibri" w:hAnsi="Arial" w:cs="Arial"/>
          <w:color w:val="000000" w:themeColor="text1"/>
          <w:sz w:val="20"/>
          <w:szCs w:val="20"/>
          <w:lang w:val="es-ES_tradnl"/>
        </w:rPr>
        <w:t>inaplicarlos</w:t>
      </w:r>
      <w:proofErr w:type="spellEnd"/>
      <w:r w:rsidRPr="00226A53">
        <w:rPr>
          <w:rFonts w:ascii="Arial" w:eastAsia="Calibri" w:hAnsi="Arial" w:cs="Arial"/>
          <w:color w:val="000000" w:themeColor="text1"/>
          <w:sz w:val="20"/>
          <w:szCs w:val="20"/>
          <w:lang w:val="es-ES_tradnl"/>
        </w:rPr>
        <w:t xml:space="preserve">, porque ello podría vulnerar el principio de igualdad, especialmente, cuando algunos de estos criterios surgen como acciones afirmativas </w:t>
      </w:r>
      <w:r w:rsidRPr="00226A53">
        <w:rPr>
          <w:rFonts w:ascii="Arial" w:eastAsia="Calibri" w:hAnsi="Arial" w:cs="Arial"/>
          <w:color w:val="000000" w:themeColor="text1"/>
          <w:sz w:val="20"/>
          <w:szCs w:val="20"/>
          <w:lang w:val="es-ES_tradnl"/>
        </w:rPr>
        <w:lastRenderedPageBreak/>
        <w:t>para ciertos sectores de la población. Más aún, el Consejo de Estado ha señalado que contrariar los factores de desempate genera la nulidad del contrato, conforme al artículo 44, inciso 1º de la Ley 80 de 1993.</w:t>
      </w:r>
    </w:p>
    <w:p w14:paraId="05DBB9F5" w14:textId="77777777" w:rsidR="00226A53" w:rsidRDefault="00226A53" w:rsidP="00226A53">
      <w:pPr>
        <w:jc w:val="both"/>
        <w:rPr>
          <w:rFonts w:ascii="Arial" w:eastAsia="Calibri" w:hAnsi="Arial" w:cs="Arial"/>
          <w:b/>
          <w:sz w:val="22"/>
          <w:szCs w:val="22"/>
          <w:lang w:val="es-ES_tradnl"/>
        </w:rPr>
      </w:pPr>
    </w:p>
    <w:p w14:paraId="4653C3E2" w14:textId="671E044C" w:rsidR="002637B6" w:rsidRPr="00325B05" w:rsidRDefault="002637B6" w:rsidP="002637B6">
      <w:pPr>
        <w:jc w:val="both"/>
        <w:rPr>
          <w:rFonts w:ascii="Arial" w:eastAsia="Calibri" w:hAnsi="Arial" w:cs="Arial"/>
          <w:b/>
          <w:sz w:val="22"/>
          <w:lang w:val="es-ES_tradnl"/>
        </w:rPr>
      </w:pPr>
      <w:r w:rsidRPr="00325B05">
        <w:rPr>
          <w:rFonts w:ascii="Arial" w:eastAsia="Calibri" w:hAnsi="Arial" w:cs="Arial"/>
          <w:b/>
          <w:sz w:val="22"/>
          <w:lang w:val="es-ES_tradnl"/>
        </w:rPr>
        <w:t xml:space="preserve">FACTORES DE DESEMPATE </w:t>
      </w:r>
      <w:r w:rsidRPr="00325B05">
        <w:rPr>
          <w:rFonts w:ascii="Arial" w:eastAsia="Calibri" w:hAnsi="Arial" w:cs="Arial"/>
          <w:b/>
          <w:color w:val="000000" w:themeColor="text1"/>
          <w:sz w:val="22"/>
          <w:lang w:val="es-ES_tradnl"/>
        </w:rPr>
        <w:t>–</w:t>
      </w:r>
      <w:r w:rsidRPr="00325B05">
        <w:rPr>
          <w:rFonts w:ascii="Arial" w:eastAsia="Calibri" w:hAnsi="Arial" w:cs="Arial"/>
          <w:b/>
          <w:sz w:val="22"/>
          <w:lang w:val="es-ES_tradnl"/>
        </w:rPr>
        <w:t xml:space="preserve"> Ley 2069 </w:t>
      </w:r>
      <w:r w:rsidRPr="00325B05">
        <w:rPr>
          <w:rFonts w:ascii="Arial" w:eastAsia="Calibri" w:hAnsi="Arial" w:cs="Arial"/>
          <w:b/>
          <w:color w:val="000000" w:themeColor="text1"/>
          <w:sz w:val="22"/>
          <w:lang w:val="es-ES_tradnl"/>
        </w:rPr>
        <w:t>– Artículo 35 – Acreditación</w:t>
      </w:r>
    </w:p>
    <w:p w14:paraId="168E8DBF" w14:textId="77777777" w:rsidR="002637B6" w:rsidRPr="00325B05" w:rsidRDefault="002637B6" w:rsidP="002637B6">
      <w:pPr>
        <w:spacing w:line="276" w:lineRule="auto"/>
        <w:jc w:val="both"/>
        <w:rPr>
          <w:rFonts w:ascii="Arial" w:hAnsi="Arial" w:cs="Arial"/>
          <w:noProof/>
          <w:color w:val="000000" w:themeColor="text1"/>
          <w:sz w:val="22"/>
          <w:lang w:val="es-ES_tradnl"/>
        </w:rPr>
      </w:pPr>
    </w:p>
    <w:p w14:paraId="75E0874A" w14:textId="4D32336F" w:rsidR="002637B6" w:rsidRDefault="002637B6" w:rsidP="002637B6">
      <w:pPr>
        <w:jc w:val="both"/>
        <w:rPr>
          <w:rFonts w:ascii="Arial" w:eastAsia="Calibri" w:hAnsi="Arial" w:cs="Arial"/>
          <w:color w:val="000000" w:themeColor="text1"/>
          <w:sz w:val="20"/>
          <w:szCs w:val="20"/>
          <w:lang w:val="es-ES_tradnl"/>
        </w:rPr>
      </w:pPr>
      <w:r w:rsidRPr="00B37E65">
        <w:rPr>
          <w:rFonts w:ascii="Arial" w:eastAsia="Calibri" w:hAnsi="Arial" w:cs="Arial"/>
          <w:color w:val="000000" w:themeColor="text1"/>
          <w:sz w:val="20"/>
          <w:szCs w:val="20"/>
          <w:lang w:val="es-ES_tradnl"/>
        </w:rPr>
        <w:t>Los numerales del artículo 35 de la Ley 2069 de 2020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5866D4CB" w14:textId="77777777" w:rsidR="00E87E4C" w:rsidRPr="000F3A14" w:rsidRDefault="00E87E4C" w:rsidP="000B22B3">
      <w:pPr>
        <w:jc w:val="both"/>
        <w:rPr>
          <w:rFonts w:ascii="Arial" w:eastAsia="Calibri" w:hAnsi="Arial" w:cs="Arial"/>
          <w:bCs/>
          <w:sz w:val="20"/>
          <w:szCs w:val="20"/>
          <w:lang w:val="es-ES_tradnl"/>
        </w:rPr>
      </w:pPr>
    </w:p>
    <w:p w14:paraId="1C7F06B4" w14:textId="610BEEA0" w:rsidR="000F3A14" w:rsidRDefault="000F3A14" w:rsidP="000B22B3">
      <w:pPr>
        <w:spacing w:line="276" w:lineRule="auto"/>
        <w:jc w:val="both"/>
        <w:rPr>
          <w:rFonts w:ascii="Arial" w:eastAsia="Calibri" w:hAnsi="Arial" w:cs="Arial"/>
          <w:b/>
          <w:sz w:val="22"/>
          <w:szCs w:val="22"/>
          <w:lang w:val="es-ES_tradnl"/>
        </w:rPr>
      </w:pPr>
      <w:r w:rsidRPr="000F3A14">
        <w:rPr>
          <w:rFonts w:ascii="Arial" w:eastAsia="Calibri" w:hAnsi="Arial" w:cs="Arial"/>
          <w:b/>
          <w:sz w:val="22"/>
          <w:szCs w:val="22"/>
          <w:lang w:val="es-ES_tradnl"/>
        </w:rPr>
        <w:t xml:space="preserve">SUBSANABILIDAD – Concepto – Límites </w:t>
      </w:r>
    </w:p>
    <w:p w14:paraId="6A977B08" w14:textId="77777777" w:rsidR="00E87E4C" w:rsidRDefault="00E87E4C" w:rsidP="000B22B3">
      <w:pPr>
        <w:jc w:val="both"/>
        <w:rPr>
          <w:rFonts w:ascii="Arial" w:eastAsia="Calibri" w:hAnsi="Arial" w:cs="Arial"/>
          <w:bCs/>
          <w:sz w:val="20"/>
          <w:szCs w:val="20"/>
          <w:lang w:val="es-ES_tradnl"/>
        </w:rPr>
      </w:pPr>
    </w:p>
    <w:p w14:paraId="4C2150B6" w14:textId="268FF6D1" w:rsidR="00764BBA" w:rsidRDefault="00226A53" w:rsidP="000F3A14">
      <w:pPr>
        <w:spacing w:after="200"/>
        <w:jc w:val="both"/>
        <w:rPr>
          <w:rFonts w:ascii="Arial" w:eastAsia="Calibri" w:hAnsi="Arial" w:cs="Arial"/>
          <w:bCs/>
          <w:sz w:val="20"/>
          <w:szCs w:val="20"/>
          <w:lang w:val="es-ES_tradnl"/>
        </w:rPr>
      </w:pPr>
      <w:r w:rsidRPr="00226A53">
        <w:rPr>
          <w:rFonts w:ascii="Arial" w:eastAsia="Calibri" w:hAnsi="Arial" w:cs="Arial"/>
          <w:bCs/>
          <w:sz w:val="20"/>
          <w:szCs w:val="20"/>
          <w:lang w:val="es-ES_tradnl"/>
        </w:rPr>
        <w:t xml:space="preserve">La </w:t>
      </w:r>
      <w:proofErr w:type="spellStart"/>
      <w:r w:rsidRPr="00226A53">
        <w:rPr>
          <w:rFonts w:ascii="Arial" w:eastAsia="Calibri" w:hAnsi="Arial" w:cs="Arial"/>
          <w:bCs/>
          <w:sz w:val="20"/>
          <w:szCs w:val="20"/>
          <w:lang w:val="es-ES_tradnl"/>
        </w:rPr>
        <w:t>subsanabilidad</w:t>
      </w:r>
      <w:proofErr w:type="spellEnd"/>
      <w:r w:rsidRPr="00226A53">
        <w:rPr>
          <w:rFonts w:ascii="Arial" w:eastAsia="Calibri" w:hAnsi="Arial" w:cs="Arial"/>
          <w:bCs/>
          <w:sz w:val="20"/>
          <w:szCs w:val="20"/>
          <w:lang w:val="es-ES_tradnl"/>
        </w:rPr>
        <w:t xml:space="preserve">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w:t>
      </w:r>
    </w:p>
    <w:p w14:paraId="7BFC663F" w14:textId="557978F6" w:rsidR="00226A53" w:rsidRDefault="00226A53" w:rsidP="000F3A14">
      <w:pPr>
        <w:spacing w:after="200"/>
        <w:jc w:val="both"/>
        <w:rPr>
          <w:rFonts w:ascii="Arial" w:eastAsia="Calibri" w:hAnsi="Arial" w:cs="Arial"/>
          <w:bCs/>
          <w:sz w:val="20"/>
          <w:szCs w:val="20"/>
          <w:lang w:val="es-ES_tradnl"/>
        </w:rPr>
      </w:pPr>
      <w:r>
        <w:rPr>
          <w:rFonts w:ascii="Arial" w:eastAsia="Calibri" w:hAnsi="Arial" w:cs="Arial"/>
          <w:bCs/>
          <w:sz w:val="20"/>
          <w:szCs w:val="20"/>
          <w:lang w:val="es-ES_tradnl"/>
        </w:rPr>
        <w:t xml:space="preserve">[…] </w:t>
      </w:r>
      <w:r w:rsidRPr="00226A53">
        <w:rPr>
          <w:rFonts w:ascii="Arial" w:eastAsia="Calibri" w:hAnsi="Arial" w:cs="Arial"/>
          <w:bCs/>
          <w:sz w:val="20"/>
          <w:szCs w:val="20"/>
          <w:lang w:val="es-ES_tradnl"/>
        </w:rPr>
        <w:t>A raíz de lo anterior, no podrán rechazarse las propuestas por ausencia de requisitos o falta de documentos que verifiquen las condiciones habilitantes del proponente, y que, a su vez, estos no se constituyan como factores de comparación entre propuestas.</w:t>
      </w:r>
    </w:p>
    <w:p w14:paraId="0A6805EE" w14:textId="2F357214" w:rsidR="00226A53" w:rsidRDefault="00764BBA" w:rsidP="00226A53">
      <w:pPr>
        <w:jc w:val="both"/>
        <w:rPr>
          <w:rFonts w:ascii="Arial" w:eastAsia="Calibri" w:hAnsi="Arial" w:cs="Arial"/>
          <w:bCs/>
          <w:sz w:val="20"/>
          <w:szCs w:val="20"/>
          <w:lang w:val="es-ES_tradnl"/>
        </w:rPr>
      </w:pPr>
      <w:r>
        <w:rPr>
          <w:rFonts w:ascii="Arial" w:eastAsia="Calibri" w:hAnsi="Arial" w:cs="Arial"/>
          <w:bCs/>
          <w:sz w:val="20"/>
          <w:szCs w:val="20"/>
          <w:lang w:val="es-ES_tradnl"/>
        </w:rPr>
        <w:t xml:space="preserve">[…] </w:t>
      </w:r>
      <w:r w:rsidR="00226A53" w:rsidRPr="00226A53">
        <w:rPr>
          <w:rFonts w:ascii="Arial" w:eastAsia="Calibri" w:hAnsi="Arial" w:cs="Arial"/>
          <w:bCs/>
          <w:sz w:val="20"/>
          <w:szCs w:val="20"/>
          <w:lang w:val="es-ES_tradnl"/>
        </w:rPr>
        <w:t>Esta norma</w:t>
      </w:r>
      <w:r w:rsidR="00226A53">
        <w:rPr>
          <w:rFonts w:ascii="Arial" w:eastAsia="Calibri" w:hAnsi="Arial" w:cs="Arial"/>
          <w:bCs/>
          <w:sz w:val="20"/>
          <w:szCs w:val="20"/>
          <w:lang w:val="es-ES_tradnl"/>
        </w:rPr>
        <w:t xml:space="preserve"> [Ley 1882 de 2018]</w:t>
      </w:r>
      <w:r w:rsidR="00226A53" w:rsidRPr="00226A53">
        <w:rPr>
          <w:rFonts w:ascii="Arial" w:eastAsia="Calibri" w:hAnsi="Arial" w:cs="Arial"/>
          <w:bCs/>
          <w:sz w:val="20"/>
          <w:szCs w:val="20"/>
          <w:lang w:val="es-ES_tradnl"/>
        </w:rPr>
        <w:t xml:space="preserve">: i) mantiene el criterio de la Ley 80 de 1993, relativo a que todo lo que no sea necesario para la comparación de propuestas no es título suficiente para su rechazo; </w:t>
      </w:r>
      <w:proofErr w:type="spellStart"/>
      <w:r w:rsidR="00226A53" w:rsidRPr="00226A53">
        <w:rPr>
          <w:rFonts w:ascii="Arial" w:eastAsia="Calibri" w:hAnsi="Arial" w:cs="Arial"/>
          <w:bCs/>
          <w:sz w:val="20"/>
          <w:szCs w:val="20"/>
          <w:lang w:val="es-ES_tradnl"/>
        </w:rPr>
        <w:t>ii</w:t>
      </w:r>
      <w:proofErr w:type="spellEnd"/>
      <w:r w:rsidR="00226A53" w:rsidRPr="00226A53">
        <w:rPr>
          <w:rFonts w:ascii="Arial" w:eastAsia="Calibri" w:hAnsi="Arial" w:cs="Arial"/>
          <w:bCs/>
          <w:sz w:val="20"/>
          <w:szCs w:val="20"/>
          <w:lang w:val="es-ES_tradnl"/>
        </w:rPr>
        <w:t xml:space="preserve">) mantiene el criterio aclaratorio de la Ley 1150 de 2007, según el cual todo lo que no afecte la asignación de puntaje puede subsanarse y, </w:t>
      </w:r>
      <w:proofErr w:type="spellStart"/>
      <w:r w:rsidR="00226A53" w:rsidRPr="00226A53">
        <w:rPr>
          <w:rFonts w:ascii="Arial" w:eastAsia="Calibri" w:hAnsi="Arial" w:cs="Arial"/>
          <w:bCs/>
          <w:sz w:val="20"/>
          <w:szCs w:val="20"/>
          <w:lang w:val="es-ES_tradnl"/>
        </w:rPr>
        <w:t>iii</w:t>
      </w:r>
      <w:proofErr w:type="spellEnd"/>
      <w:r w:rsidR="00226A53" w:rsidRPr="00226A53">
        <w:rPr>
          <w:rFonts w:ascii="Arial" w:eastAsia="Calibri" w:hAnsi="Arial" w:cs="Arial"/>
          <w:bCs/>
          <w:sz w:val="20"/>
          <w:szCs w:val="20"/>
          <w:lang w:val="es-ES_tradnl"/>
        </w:rPr>
        <w:t>) introduce modificaciones en relación con tres (3) aspectos que se analizarán a continuación:</w:t>
      </w:r>
    </w:p>
    <w:p w14:paraId="30663758" w14:textId="77777777" w:rsidR="00226A53" w:rsidRPr="00226A53" w:rsidRDefault="00226A53" w:rsidP="00226A53">
      <w:pPr>
        <w:jc w:val="both"/>
        <w:rPr>
          <w:rFonts w:ascii="Arial" w:eastAsia="Calibri" w:hAnsi="Arial" w:cs="Arial"/>
          <w:bCs/>
          <w:sz w:val="20"/>
          <w:szCs w:val="20"/>
          <w:lang w:val="es-ES_tradnl"/>
        </w:rPr>
      </w:pPr>
    </w:p>
    <w:p w14:paraId="53B84078" w14:textId="3A0D734B" w:rsidR="00226A53" w:rsidRDefault="00226A53" w:rsidP="00226A53">
      <w:pPr>
        <w:jc w:val="both"/>
        <w:rPr>
          <w:rFonts w:ascii="Arial" w:eastAsia="Calibri" w:hAnsi="Arial" w:cs="Arial"/>
          <w:bCs/>
          <w:sz w:val="20"/>
          <w:szCs w:val="20"/>
          <w:lang w:val="es-ES_tradnl"/>
        </w:rPr>
      </w:pPr>
      <w:r w:rsidRPr="00226A53">
        <w:rPr>
          <w:rFonts w:ascii="Arial" w:eastAsia="Calibri" w:hAnsi="Arial" w:cs="Arial"/>
          <w:bCs/>
          <w:sz w:val="20"/>
          <w:szCs w:val="20"/>
          <w:lang w:val="es-ES_tradnl"/>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p>
    <w:p w14:paraId="4CA03B3D" w14:textId="77777777" w:rsidR="00226A53" w:rsidRPr="00226A53" w:rsidRDefault="00226A53" w:rsidP="00226A53">
      <w:pPr>
        <w:jc w:val="both"/>
        <w:rPr>
          <w:rFonts w:ascii="Arial" w:eastAsia="Calibri" w:hAnsi="Arial" w:cs="Arial"/>
          <w:bCs/>
          <w:sz w:val="20"/>
          <w:szCs w:val="20"/>
          <w:lang w:val="es-ES_tradnl"/>
        </w:rPr>
      </w:pPr>
    </w:p>
    <w:p w14:paraId="5E8E2098" w14:textId="77777777" w:rsidR="00226A53" w:rsidRPr="00226A53" w:rsidRDefault="00226A53" w:rsidP="00226A53">
      <w:pPr>
        <w:jc w:val="both"/>
        <w:rPr>
          <w:rFonts w:ascii="Arial" w:eastAsia="Calibri" w:hAnsi="Arial" w:cs="Arial"/>
          <w:bCs/>
          <w:sz w:val="20"/>
          <w:szCs w:val="20"/>
          <w:lang w:val="es-ES_tradnl"/>
        </w:rPr>
      </w:pPr>
      <w:r w:rsidRPr="00226A53">
        <w:rPr>
          <w:rFonts w:ascii="Arial" w:eastAsia="Calibri" w:hAnsi="Arial" w:cs="Arial"/>
          <w:bCs/>
          <w:sz w:val="20"/>
          <w:szCs w:val="20"/>
          <w:lang w:val="es-ES_tradnl"/>
        </w:rPr>
        <w:t xml:space="preserve">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0D8561BB" w14:textId="310CDFCF" w:rsidR="00226A53" w:rsidRDefault="00226A53" w:rsidP="00226A53">
      <w:pPr>
        <w:jc w:val="both"/>
        <w:rPr>
          <w:rFonts w:ascii="Arial" w:eastAsia="Calibri" w:hAnsi="Arial" w:cs="Arial"/>
          <w:bCs/>
          <w:sz w:val="20"/>
          <w:szCs w:val="20"/>
          <w:lang w:val="es-ES_tradnl"/>
        </w:rPr>
      </w:pPr>
      <w:r w:rsidRPr="00226A53">
        <w:rPr>
          <w:rFonts w:ascii="Arial" w:eastAsia="Calibri" w:hAnsi="Arial" w:cs="Arial"/>
          <w:bCs/>
          <w:sz w:val="20"/>
          <w:szCs w:val="20"/>
          <w:lang w:val="es-ES_tradnl"/>
        </w:rPr>
        <w:lastRenderedPageBreak/>
        <w:t xml:space="preserve">De otro lado, el segundo cambio importante de la Ley 1882 de 2018 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226A53">
        <w:rPr>
          <w:rFonts w:ascii="Arial" w:eastAsia="Calibri" w:hAnsi="Arial" w:cs="Arial"/>
          <w:bCs/>
          <w:sz w:val="20"/>
          <w:szCs w:val="20"/>
          <w:lang w:val="es-ES_tradnl"/>
        </w:rPr>
        <w:t>la misma</w:t>
      </w:r>
      <w:proofErr w:type="gramEnd"/>
      <w:r w:rsidRPr="00226A53">
        <w:rPr>
          <w:rFonts w:ascii="Arial" w:eastAsia="Calibri" w:hAnsi="Arial" w:cs="Arial"/>
          <w:bCs/>
          <w:sz w:val="20"/>
          <w:szCs w:val="20"/>
          <w:lang w:val="es-ES_tradnl"/>
        </w:rPr>
        <w:t>».</w:t>
      </w:r>
    </w:p>
    <w:p w14:paraId="55F2E0B0" w14:textId="77777777" w:rsidR="00226A53" w:rsidRPr="00226A53" w:rsidRDefault="00226A53" w:rsidP="00226A53">
      <w:pPr>
        <w:jc w:val="both"/>
        <w:rPr>
          <w:rFonts w:ascii="Arial" w:eastAsia="Calibri" w:hAnsi="Arial" w:cs="Arial"/>
          <w:bCs/>
          <w:sz w:val="20"/>
          <w:szCs w:val="20"/>
          <w:lang w:val="es-ES_tradnl"/>
        </w:rPr>
      </w:pPr>
    </w:p>
    <w:p w14:paraId="5102F5BC" w14:textId="5EDF41A9" w:rsidR="00226A53" w:rsidRPr="00226A53" w:rsidRDefault="00226A53" w:rsidP="21B6C79E">
      <w:pPr>
        <w:jc w:val="both"/>
        <w:rPr>
          <w:rFonts w:ascii="Arial" w:eastAsia="Calibri" w:hAnsi="Arial" w:cs="Arial"/>
          <w:sz w:val="20"/>
          <w:szCs w:val="20"/>
          <w:lang w:val="es-ES"/>
        </w:rPr>
      </w:pPr>
      <w:r w:rsidRPr="21B6C79E">
        <w:rPr>
          <w:rFonts w:ascii="Arial" w:eastAsia="Calibri" w:hAnsi="Arial" w:cs="Arial"/>
          <w:sz w:val="20"/>
          <w:szCs w:val="20"/>
          <w:lang w:val="es-ES"/>
        </w:rPr>
        <w:t xml:space="preserve">Finalmente, el último cambio importante de la Ley 1882 de 2018 fue la introducción de un criterio material, directamente relacionado con los aspectos subsanables: «los proponentes no podrán acreditar circunstancias ocurridas con posterioridad al cierre del proceso». Esta regla tiene una finalidad particular, y es que, al momento de presentar la oferta, el proponente la deberá hacerlo de forma íntegra y así evitar que a lo largo del procedimiento contractual complete o adicione su propuesta, conforme mejora su situación particular. </w:t>
      </w:r>
    </w:p>
    <w:p w14:paraId="62C3A30A" w14:textId="799A0CFA" w:rsidR="00764BBA" w:rsidRDefault="00764BBA" w:rsidP="00764BBA">
      <w:pPr>
        <w:jc w:val="both"/>
        <w:rPr>
          <w:rFonts w:ascii="Arial" w:eastAsia="Calibri" w:hAnsi="Arial" w:cs="Arial"/>
          <w:bCs/>
          <w:sz w:val="20"/>
          <w:szCs w:val="20"/>
          <w:lang w:val="es-ES_tradnl"/>
        </w:rPr>
      </w:pPr>
    </w:p>
    <w:p w14:paraId="7F8781BE" w14:textId="3D6C11CC" w:rsidR="00C5587F" w:rsidRDefault="000F3A14" w:rsidP="00764BBA">
      <w:pPr>
        <w:jc w:val="both"/>
        <w:rPr>
          <w:rFonts w:ascii="Arial" w:eastAsia="Calibri" w:hAnsi="Arial" w:cs="Arial"/>
          <w:b/>
          <w:color w:val="000000" w:themeColor="text1"/>
          <w:sz w:val="22"/>
          <w:lang w:val="es-ES_tradnl"/>
        </w:rPr>
      </w:pPr>
      <w:r w:rsidRPr="00DC2C79">
        <w:rPr>
          <w:rFonts w:ascii="Arial" w:eastAsia="Calibri" w:hAnsi="Arial" w:cs="Arial"/>
          <w:b/>
          <w:color w:val="000000" w:themeColor="text1"/>
          <w:sz w:val="22"/>
          <w:lang w:val="es-ES_tradnl"/>
        </w:rPr>
        <w:t xml:space="preserve">SUBSANABILIDAD </w:t>
      </w:r>
      <w:r>
        <w:rPr>
          <w:rFonts w:ascii="Arial" w:eastAsia="Calibri" w:hAnsi="Arial" w:cs="Arial"/>
          <w:b/>
          <w:bCs/>
          <w:color w:val="000000" w:themeColor="text1"/>
          <w:sz w:val="20"/>
          <w:szCs w:val="20"/>
        </w:rPr>
        <w:t>–</w:t>
      </w:r>
      <w:r w:rsidRPr="00DC2C79">
        <w:rPr>
          <w:rFonts w:ascii="Arial" w:eastAsia="Calibri" w:hAnsi="Arial" w:cs="Arial"/>
          <w:b/>
          <w:color w:val="000000" w:themeColor="text1"/>
          <w:sz w:val="22"/>
          <w:lang w:val="es-ES_tradnl"/>
        </w:rPr>
        <w:t xml:space="preserve"> </w:t>
      </w:r>
      <w:r w:rsidR="00571120">
        <w:rPr>
          <w:rFonts w:ascii="Arial" w:eastAsia="Calibri" w:hAnsi="Arial" w:cs="Arial"/>
          <w:b/>
          <w:color w:val="000000" w:themeColor="text1"/>
          <w:sz w:val="22"/>
          <w:lang w:val="es-ES_tradnl"/>
        </w:rPr>
        <w:t xml:space="preserve">Criterios de desempate - </w:t>
      </w:r>
      <w:r w:rsidR="00764BBA">
        <w:rPr>
          <w:rFonts w:ascii="Arial" w:eastAsia="Calibri" w:hAnsi="Arial" w:cs="Arial"/>
          <w:b/>
          <w:color w:val="000000" w:themeColor="text1"/>
          <w:sz w:val="22"/>
          <w:lang w:val="es-ES_tradnl"/>
        </w:rPr>
        <w:t>I</w:t>
      </w:r>
      <w:r w:rsidR="00571120">
        <w:rPr>
          <w:rFonts w:ascii="Arial" w:eastAsia="Calibri" w:hAnsi="Arial" w:cs="Arial"/>
          <w:b/>
          <w:color w:val="000000" w:themeColor="text1"/>
          <w:sz w:val="22"/>
          <w:lang w:val="es-ES_tradnl"/>
        </w:rPr>
        <w:t>mposibilidad</w:t>
      </w:r>
    </w:p>
    <w:p w14:paraId="2413AD08" w14:textId="77777777" w:rsidR="008F2946" w:rsidRPr="00764BBA" w:rsidRDefault="008F2946" w:rsidP="008F2946">
      <w:pPr>
        <w:spacing w:after="120"/>
        <w:jc w:val="both"/>
        <w:rPr>
          <w:rFonts w:ascii="Arial" w:eastAsia="Calibri" w:hAnsi="Arial" w:cs="Arial"/>
          <w:color w:val="000000" w:themeColor="text1"/>
          <w:sz w:val="20"/>
          <w:szCs w:val="20"/>
          <w:lang w:val="es-ES_tradnl"/>
        </w:rPr>
      </w:pPr>
    </w:p>
    <w:p w14:paraId="6A7EF4AB" w14:textId="777296B4" w:rsidR="00764BBA" w:rsidRDefault="00226A53" w:rsidP="00764BBA">
      <w:pPr>
        <w:jc w:val="both"/>
        <w:rPr>
          <w:rFonts w:ascii="Arial" w:eastAsia="Calibri" w:hAnsi="Arial" w:cs="Arial"/>
          <w:bCs/>
          <w:color w:val="000000" w:themeColor="text1"/>
          <w:sz w:val="20"/>
          <w:szCs w:val="20"/>
          <w:lang w:val="es-ES_tradnl"/>
        </w:rPr>
      </w:pPr>
      <w:r w:rsidRPr="00226A53">
        <w:rPr>
          <w:rFonts w:ascii="Arial" w:eastAsia="Calibri" w:hAnsi="Arial" w:cs="Arial"/>
          <w:bCs/>
          <w:color w:val="000000" w:themeColor="text1"/>
          <w:sz w:val="20"/>
          <w:szCs w:val="20"/>
          <w:lang w:val="es-ES_tradnl"/>
        </w:rPr>
        <w:t xml:space="preserve">Analizada la regla del parágrafo primero del artículo 5 de la Ley 1150 de 2007, los criterios de desempate afectan la asignación de puntaje, por lo que los documentos que los acreditan son insubsanables. Estos factores definen la adjudicación del contrato cuando, después de aplicar los criterios de evaluación del pliego de condiciones, dos o más proponentes obtienen resultados similares. De hecho, el primer inciso del artículo 35 de la Ley 2069 de 2020 dispone que los factores de desempate aplican cuando el puntaje total de dos o más ofertas es el mismo. Por tanto, el oferente que resulta adjudicatario es aquel que acredita alguno de esos criterios de desempate, por lo que afectan la asignación de puntaje y deciden el resultado del proceso de selección.  </w:t>
      </w:r>
    </w:p>
    <w:p w14:paraId="020C7187" w14:textId="77777777" w:rsidR="00226A53" w:rsidRDefault="00226A53" w:rsidP="00764BBA">
      <w:pPr>
        <w:jc w:val="both"/>
        <w:rPr>
          <w:rFonts w:ascii="Arial" w:eastAsia="Calibri" w:hAnsi="Arial" w:cs="Arial"/>
          <w:bCs/>
          <w:color w:val="000000" w:themeColor="text1"/>
          <w:sz w:val="20"/>
          <w:szCs w:val="20"/>
          <w:lang w:val="es-ES_tradnl"/>
        </w:rPr>
      </w:pPr>
    </w:p>
    <w:p w14:paraId="2FFFC2FA" w14:textId="326BFE84" w:rsidR="00226A53" w:rsidRDefault="00226A53" w:rsidP="00226A53">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226A53">
        <w:rPr>
          <w:rFonts w:ascii="Arial" w:eastAsia="Calibri" w:hAnsi="Arial" w:cs="Arial"/>
          <w:bCs/>
          <w:color w:val="000000" w:themeColor="text1"/>
          <w:sz w:val="20"/>
          <w:szCs w:val="20"/>
          <w:lang w:val="es-ES"/>
        </w:rPr>
        <w:t xml:space="preserve">Es necesario tener en cuenta que los factores desempate complementan los criterios de evaluación, es decir, si después de aplicar estos últimos, varias propuestas terminan empatadas, aplica el artículo 35 de la Ley de Emprendimiento. En esta medida, los documentos que acreditan cada causal no podrían definirse como «condiciones habilitantes», ya que –en los términos del artículo 5.1 de la Ley 1150 de 2007– ninguno de ellos está relacionado con la prueba de la capacidad jurídica o la certificación de las condiciones de experiencia, capacidad financiera y de organización de los proponentes. </w:t>
      </w:r>
    </w:p>
    <w:p w14:paraId="740FE9D1" w14:textId="77777777" w:rsidR="00226A53" w:rsidRPr="00226A53" w:rsidRDefault="00226A53" w:rsidP="00226A53">
      <w:pPr>
        <w:jc w:val="both"/>
        <w:rPr>
          <w:rFonts w:ascii="Arial" w:eastAsia="Calibri" w:hAnsi="Arial" w:cs="Arial"/>
          <w:bCs/>
          <w:color w:val="000000" w:themeColor="text1"/>
          <w:sz w:val="20"/>
          <w:szCs w:val="20"/>
          <w:lang w:val="es-ES"/>
        </w:rPr>
      </w:pPr>
    </w:p>
    <w:p w14:paraId="60725394" w14:textId="01E7D048" w:rsidR="00226A53" w:rsidRDefault="00226A53" w:rsidP="00226A53">
      <w:pPr>
        <w:jc w:val="both"/>
        <w:rPr>
          <w:rFonts w:ascii="Arial" w:eastAsia="Calibri" w:hAnsi="Arial" w:cs="Arial"/>
          <w:bCs/>
          <w:color w:val="000000" w:themeColor="text1"/>
          <w:sz w:val="20"/>
          <w:szCs w:val="20"/>
          <w:lang w:val="es-ES"/>
        </w:rPr>
      </w:pPr>
      <w:r w:rsidRPr="00226A53">
        <w:rPr>
          <w:rFonts w:ascii="Arial" w:eastAsia="Calibri" w:hAnsi="Arial" w:cs="Arial"/>
          <w:bCs/>
          <w:color w:val="000000" w:themeColor="text1"/>
          <w:sz w:val="20"/>
          <w:szCs w:val="20"/>
          <w:lang w:val="es-ES"/>
        </w:rPr>
        <w:t>De considerase «condiciones habilitantes», se llegaría a la idea de que –so pena de rechazo– la participación en el procedimiento contractual está sujeta a la prueba de por lo menos una de las causales del artículo 35 de la Ley 2069 de 2020. Esta conclusión no tendría sentido, ya que es posible la acreditación de los requisitos previstos en el artículo 5.1 de la Ley 1150 de 2007, sin que la ausencia de prueba del criterio de desempate condicione la aplicación de los factores de evaluación previstos en el pliego de condiciones. Naturalmente, en caso de empate, la consecuencia es que la adjudicación se resuelve con los participantes que acreditaron alguno de los factores, excluyendo a quienes no lo hicieron.</w:t>
      </w:r>
    </w:p>
    <w:p w14:paraId="3FCC98C7" w14:textId="270DD3F3" w:rsidR="005A4A5C" w:rsidRDefault="005A4A5C" w:rsidP="00764BBA">
      <w:pPr>
        <w:jc w:val="both"/>
        <w:rPr>
          <w:rFonts w:ascii="Arial" w:eastAsia="Calibri" w:hAnsi="Arial" w:cs="Arial"/>
          <w:bCs/>
          <w:color w:val="000000" w:themeColor="text1"/>
          <w:sz w:val="20"/>
          <w:szCs w:val="20"/>
          <w:lang w:val="es-ES"/>
        </w:rPr>
      </w:pPr>
    </w:p>
    <w:p w14:paraId="5888D9F5" w14:textId="781DC217" w:rsidR="005A4A5C" w:rsidRDefault="00226A53" w:rsidP="00764BBA">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226A53">
        <w:rPr>
          <w:rFonts w:ascii="Arial" w:eastAsia="Calibri" w:hAnsi="Arial" w:cs="Arial"/>
          <w:bCs/>
          <w:color w:val="000000" w:themeColor="text1"/>
          <w:sz w:val="20"/>
          <w:szCs w:val="20"/>
          <w:lang w:val="es-ES"/>
        </w:rPr>
        <w:t>Dado que los factores de desempate influyen en la ponderación de las ofertas presentadas, la acreditación de las causales previstas en el artículo 35 de la Ley 2069 de 2020 es insubsanable. Esto considerando que no son criterios puramente formales de las propuestas ni requisitos para la verificación de las condiciones habilitantes en el proceso de selección en los que aplique la regla del parágrafo primero del artículo 5 de la Ley 1150 de 2007. Por tanto, dado que no existe oportunidad posterior, la documentación relacionada con los factores de desempate debe entregarse con la oferta de forma completa e integra, antes del cierre del proceso de selección.</w:t>
      </w:r>
    </w:p>
    <w:p w14:paraId="4B4F9477" w14:textId="46FF84C1" w:rsidR="005A4A5C" w:rsidRDefault="005A4A5C" w:rsidP="00764BBA">
      <w:pPr>
        <w:jc w:val="both"/>
        <w:rPr>
          <w:rFonts w:ascii="Arial" w:eastAsia="Calibri" w:hAnsi="Arial" w:cs="Arial"/>
          <w:bCs/>
          <w:color w:val="000000" w:themeColor="text1"/>
          <w:sz w:val="20"/>
          <w:szCs w:val="20"/>
          <w:lang w:val="es-ES"/>
        </w:rPr>
      </w:pPr>
    </w:p>
    <w:p w14:paraId="5394ACB0" w14:textId="09B1CE35" w:rsidR="005A4A5C" w:rsidRDefault="005A4A5C" w:rsidP="00764BBA">
      <w:pPr>
        <w:jc w:val="both"/>
        <w:rPr>
          <w:rFonts w:ascii="Arial" w:eastAsia="Calibri" w:hAnsi="Arial" w:cs="Arial"/>
          <w:bCs/>
          <w:color w:val="000000" w:themeColor="text1"/>
          <w:sz w:val="20"/>
          <w:szCs w:val="20"/>
          <w:lang w:val="es-ES"/>
        </w:rPr>
      </w:pPr>
    </w:p>
    <w:p w14:paraId="684AF23B" w14:textId="48BD7506" w:rsidR="00E87E4C" w:rsidRDefault="00E87E4C" w:rsidP="009172B1">
      <w:pPr>
        <w:rPr>
          <w:rFonts w:ascii="Arial" w:hAnsi="Arial" w:cs="Arial"/>
          <w:sz w:val="22"/>
          <w:szCs w:val="20"/>
        </w:rPr>
      </w:pPr>
    </w:p>
    <w:p w14:paraId="273F38EE" w14:textId="6C497079" w:rsidR="00E87E4C" w:rsidRDefault="00B81F61" w:rsidP="00B81F61">
      <w:pPr>
        <w:jc w:val="right"/>
        <w:rPr>
          <w:rFonts w:ascii="Arial" w:hAnsi="Arial" w:cs="Arial"/>
          <w:sz w:val="22"/>
          <w:szCs w:val="20"/>
        </w:rPr>
      </w:pPr>
      <w:r w:rsidRPr="00B81F61">
        <w:rPr>
          <w:rFonts w:ascii="Arial" w:hAnsi="Arial" w:cs="Arial"/>
          <w:sz w:val="22"/>
          <w:szCs w:val="20"/>
        </w:rPr>
        <w:drawing>
          <wp:inline distT="0" distB="0" distL="0" distR="0" wp14:anchorId="586CBF5A" wp14:editId="5A659760">
            <wp:extent cx="3133725" cy="855359"/>
            <wp:effectExtent l="0" t="0" r="0" b="190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3149875" cy="859767"/>
                    </a:xfrm>
                    <a:prstGeom prst="rect">
                      <a:avLst/>
                    </a:prstGeom>
                  </pic:spPr>
                </pic:pic>
              </a:graphicData>
            </a:graphic>
          </wp:inline>
        </w:drawing>
      </w:r>
    </w:p>
    <w:p w14:paraId="3FE81B56" w14:textId="466D7B39" w:rsidR="00B81F61" w:rsidRDefault="00B81F61" w:rsidP="009172B1">
      <w:pPr>
        <w:rPr>
          <w:rFonts w:ascii="Arial" w:hAnsi="Arial" w:cs="Arial"/>
          <w:sz w:val="22"/>
          <w:szCs w:val="20"/>
        </w:rPr>
      </w:pPr>
    </w:p>
    <w:p w14:paraId="711D1065" w14:textId="64E2D4D2" w:rsidR="00B81F61" w:rsidRDefault="00B81F61" w:rsidP="009172B1">
      <w:pPr>
        <w:rPr>
          <w:rFonts w:ascii="Arial" w:hAnsi="Arial" w:cs="Arial"/>
          <w:sz w:val="22"/>
          <w:szCs w:val="20"/>
        </w:rPr>
      </w:pPr>
    </w:p>
    <w:p w14:paraId="6D0B597F" w14:textId="77777777" w:rsidR="00B81F61" w:rsidRDefault="00B81F61" w:rsidP="009172B1">
      <w:pPr>
        <w:rPr>
          <w:rFonts w:ascii="Arial" w:hAnsi="Arial" w:cs="Arial"/>
          <w:sz w:val="22"/>
          <w:szCs w:val="20"/>
        </w:rPr>
      </w:pPr>
    </w:p>
    <w:p w14:paraId="65F5024F" w14:textId="6B028D93" w:rsidR="00900530" w:rsidRPr="00900530" w:rsidRDefault="009172B1" w:rsidP="00B81F61">
      <w:pPr>
        <w:rPr>
          <w:rFonts w:ascii="Arial" w:eastAsia="Arial" w:hAnsi="Arial" w:cs="Arial"/>
          <w:b/>
          <w:sz w:val="22"/>
          <w:szCs w:val="22"/>
          <w:lang w:val="es-MX" w:eastAsia="en-US"/>
        </w:rPr>
      </w:pPr>
      <w:bookmarkStart w:id="0" w:name="_Hlk64030265"/>
      <w:r>
        <w:rPr>
          <w:rFonts w:ascii="Arial" w:hAnsi="Arial" w:cs="Arial"/>
          <w:sz w:val="22"/>
          <w:szCs w:val="20"/>
        </w:rPr>
        <w:t>Bogotá D.C.</w:t>
      </w:r>
      <w:bookmarkEnd w:id="0"/>
      <w:r>
        <w:rPr>
          <w:rFonts w:ascii="Arial" w:hAnsi="Arial" w:cs="Arial"/>
          <w:sz w:val="22"/>
          <w:szCs w:val="20"/>
        </w:rPr>
        <w:t xml:space="preserve">, </w:t>
      </w:r>
      <w:r w:rsidR="00340381">
        <w:rPr>
          <w:rFonts w:ascii="Arial" w:eastAsia="Arial" w:hAnsi="Arial" w:cs="Arial"/>
          <w:b/>
          <w:bCs/>
          <w:sz w:val="22"/>
          <w:szCs w:val="22"/>
          <w:lang w:val="es-MX" w:eastAsia="en-US"/>
        </w:rPr>
        <w:t>10</w:t>
      </w:r>
      <w:r w:rsidR="00B17A24">
        <w:rPr>
          <w:rFonts w:ascii="Arial" w:eastAsia="Arial" w:hAnsi="Arial" w:cs="Arial"/>
          <w:b/>
          <w:bCs/>
          <w:sz w:val="22"/>
          <w:szCs w:val="22"/>
          <w:lang w:val="es-MX" w:eastAsia="en-US"/>
        </w:rPr>
        <w:t>/</w:t>
      </w:r>
      <w:r w:rsidR="00340381">
        <w:rPr>
          <w:rFonts w:ascii="Arial" w:eastAsia="Arial" w:hAnsi="Arial" w:cs="Arial"/>
          <w:b/>
          <w:bCs/>
          <w:sz w:val="22"/>
          <w:szCs w:val="22"/>
          <w:lang w:val="es-MX" w:eastAsia="en-US"/>
        </w:rPr>
        <w:t>05</w:t>
      </w:r>
      <w:r w:rsidR="00B17A24">
        <w:rPr>
          <w:rFonts w:ascii="Arial" w:eastAsia="Arial" w:hAnsi="Arial" w:cs="Arial"/>
          <w:b/>
          <w:bCs/>
          <w:sz w:val="22"/>
          <w:szCs w:val="22"/>
          <w:lang w:val="es-MX" w:eastAsia="en-US"/>
        </w:rPr>
        <w:t>/</w:t>
      </w:r>
      <w:r w:rsidR="00340381">
        <w:rPr>
          <w:rFonts w:ascii="Arial" w:eastAsia="Arial" w:hAnsi="Arial" w:cs="Arial"/>
          <w:b/>
          <w:bCs/>
          <w:sz w:val="22"/>
          <w:szCs w:val="22"/>
          <w:lang w:val="es-MX" w:eastAsia="en-US"/>
        </w:rPr>
        <w:t>2021</w:t>
      </w:r>
    </w:p>
    <w:p w14:paraId="6D668AED" w14:textId="77777777" w:rsidR="00E87E4C" w:rsidRDefault="00E87E4C" w:rsidP="00900530">
      <w:pPr>
        <w:rPr>
          <w:rFonts w:ascii="Arial" w:hAnsi="Arial" w:cs="Arial"/>
          <w:bCs/>
          <w:color w:val="000000" w:themeColor="text1"/>
          <w:sz w:val="22"/>
          <w:lang w:val="es-ES_tradnl"/>
        </w:rPr>
      </w:pPr>
    </w:p>
    <w:p w14:paraId="3CAF4100" w14:textId="77777777" w:rsidR="00E87E4C" w:rsidRDefault="00E87E4C" w:rsidP="00900530">
      <w:pPr>
        <w:rPr>
          <w:rFonts w:ascii="Arial" w:hAnsi="Arial" w:cs="Arial"/>
          <w:bCs/>
          <w:color w:val="000000" w:themeColor="text1"/>
          <w:sz w:val="22"/>
          <w:lang w:val="es-ES_tradnl"/>
        </w:rPr>
      </w:pPr>
    </w:p>
    <w:p w14:paraId="12C8F066" w14:textId="11EC98D1" w:rsidR="00900530" w:rsidRPr="00900530" w:rsidRDefault="00900530" w:rsidP="00900530">
      <w:pPr>
        <w:rPr>
          <w:rFonts w:ascii="Arial" w:hAnsi="Arial" w:cs="Arial"/>
          <w:bCs/>
          <w:color w:val="000000" w:themeColor="text1"/>
          <w:sz w:val="22"/>
          <w:lang w:val="es-ES_tradnl"/>
        </w:rPr>
      </w:pPr>
      <w:r w:rsidRPr="00900530">
        <w:rPr>
          <w:rFonts w:ascii="Arial" w:hAnsi="Arial" w:cs="Arial"/>
          <w:bCs/>
          <w:color w:val="000000" w:themeColor="text1"/>
          <w:sz w:val="22"/>
          <w:lang w:val="es-ES_tradnl"/>
        </w:rPr>
        <w:t>Señor</w:t>
      </w:r>
    </w:p>
    <w:p w14:paraId="41BB2B8F" w14:textId="557BD2D3" w:rsidR="00900530" w:rsidRPr="00900530" w:rsidRDefault="00DD77A6" w:rsidP="00900530">
      <w:pPr>
        <w:jc w:val="both"/>
        <w:rPr>
          <w:rFonts w:ascii="Arial" w:hAnsi="Arial" w:cs="Arial"/>
          <w:b/>
          <w:color w:val="000000" w:themeColor="text1"/>
          <w:sz w:val="22"/>
          <w:lang w:val="es-ES_tradnl"/>
        </w:rPr>
      </w:pPr>
      <w:r>
        <w:rPr>
          <w:rFonts w:ascii="Arial" w:hAnsi="Arial" w:cs="Arial"/>
          <w:b/>
          <w:color w:val="000000" w:themeColor="text1"/>
          <w:sz w:val="22"/>
          <w:lang w:val="es-ES_tradnl"/>
        </w:rPr>
        <w:t>Leonardo Carrillo Torres</w:t>
      </w:r>
    </w:p>
    <w:p w14:paraId="4482E7C3" w14:textId="5849D9D2" w:rsidR="00900530" w:rsidRDefault="00DD77A6" w:rsidP="00900530">
      <w:pPr>
        <w:jc w:val="both"/>
        <w:rPr>
          <w:rFonts w:ascii="Arial" w:hAnsi="Arial" w:cs="Arial"/>
          <w:bCs/>
          <w:color w:val="000000" w:themeColor="text1"/>
          <w:sz w:val="22"/>
          <w:lang w:val="es-ES_tradnl"/>
        </w:rPr>
      </w:pPr>
      <w:r>
        <w:rPr>
          <w:rFonts w:ascii="Arial" w:hAnsi="Arial" w:cs="Arial"/>
          <w:bCs/>
          <w:color w:val="000000" w:themeColor="text1"/>
          <w:sz w:val="22"/>
          <w:lang w:val="es-ES_tradnl"/>
        </w:rPr>
        <w:t>Presidencia de la República</w:t>
      </w:r>
    </w:p>
    <w:p w14:paraId="24364301" w14:textId="7C2C82E6" w:rsidR="00DD77A6" w:rsidRPr="00900530" w:rsidRDefault="00DD77A6" w:rsidP="00900530">
      <w:pPr>
        <w:jc w:val="both"/>
        <w:rPr>
          <w:rFonts w:ascii="Arial" w:hAnsi="Arial" w:cs="Arial"/>
          <w:bCs/>
          <w:color w:val="000000" w:themeColor="text1"/>
          <w:sz w:val="22"/>
          <w:lang w:val="es-ES_tradnl"/>
        </w:rPr>
      </w:pPr>
      <w:r>
        <w:rPr>
          <w:rFonts w:ascii="Arial" w:hAnsi="Arial" w:cs="Arial"/>
          <w:bCs/>
          <w:color w:val="000000" w:themeColor="text1"/>
          <w:sz w:val="22"/>
          <w:lang w:val="es-ES_tradnl"/>
        </w:rPr>
        <w:t>Bogotá D.C.</w:t>
      </w:r>
    </w:p>
    <w:p w14:paraId="6D02035F" w14:textId="77777777" w:rsidR="00900530" w:rsidRPr="00900530" w:rsidRDefault="00900530" w:rsidP="00900530">
      <w:pPr>
        <w:jc w:val="both"/>
        <w:rPr>
          <w:rFonts w:ascii="Arial" w:hAnsi="Arial" w:cs="Arial"/>
          <w:b/>
          <w:color w:val="000000" w:themeColor="text1"/>
          <w:sz w:val="22"/>
          <w:lang w:val="es-ES_tradnl"/>
        </w:rPr>
      </w:pPr>
    </w:p>
    <w:p w14:paraId="7FEA18D2" w14:textId="77777777" w:rsidR="0031674D" w:rsidRPr="00C440B6" w:rsidRDefault="0031674D" w:rsidP="00B95C30">
      <w:pPr>
        <w:jc w:val="both"/>
        <w:rPr>
          <w:rFonts w:ascii="Arial" w:eastAsia="Calibri" w:hAnsi="Arial" w:cs="Arial"/>
          <w:color w:val="000000" w:themeColor="text1"/>
          <w:sz w:val="22"/>
          <w:lang w:val="es-ES_tradnl"/>
        </w:rPr>
      </w:pPr>
    </w:p>
    <w:p w14:paraId="12E66182" w14:textId="014E3F76" w:rsidR="00B95C30" w:rsidRPr="00C440B6" w:rsidRDefault="0031674D" w:rsidP="006E3937">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C440B6">
        <w:rPr>
          <w:rFonts w:ascii="Arial" w:eastAsia="Calibri" w:hAnsi="Arial" w:cs="Arial"/>
          <w:b/>
          <w:bCs/>
          <w:color w:val="000000" w:themeColor="text1"/>
          <w:sz w:val="22"/>
          <w:lang w:val="es-ES_tradnl"/>
        </w:rPr>
        <w:t xml:space="preserve">Concepto C ‒ </w:t>
      </w:r>
      <w:r w:rsidR="00BD2FB0">
        <w:rPr>
          <w:rFonts w:ascii="Arial" w:eastAsia="Calibri" w:hAnsi="Arial" w:cs="Arial"/>
          <w:b/>
          <w:bCs/>
          <w:color w:val="000000" w:themeColor="text1"/>
          <w:sz w:val="22"/>
          <w:lang w:val="es-ES_tradnl"/>
        </w:rPr>
        <w:t>207 d</w:t>
      </w:r>
      <w:r w:rsidR="00B95C30" w:rsidRPr="00C440B6">
        <w:rPr>
          <w:rFonts w:ascii="Arial" w:eastAsia="Calibri" w:hAnsi="Arial" w:cs="Arial"/>
          <w:b/>
          <w:bCs/>
          <w:color w:val="000000" w:themeColor="text1"/>
          <w:sz w:val="22"/>
          <w:lang w:val="es-ES_tradnl"/>
        </w:rPr>
        <w:t>e 202</w:t>
      </w:r>
      <w:r w:rsidR="005E781C" w:rsidRPr="00C440B6">
        <w:rPr>
          <w:rFonts w:ascii="Arial" w:eastAsia="Calibri" w:hAnsi="Arial" w:cs="Arial"/>
          <w:b/>
          <w:bCs/>
          <w:color w:val="000000" w:themeColor="text1"/>
          <w:sz w:val="22"/>
          <w:lang w:val="es-ES_tradnl"/>
        </w:rPr>
        <w:t>1</w:t>
      </w:r>
    </w:p>
    <w:p w14:paraId="1BD594F9" w14:textId="77777777" w:rsidR="00B95C30" w:rsidRPr="00C440B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C440B6" w14:paraId="19DFC051" w14:textId="77777777" w:rsidTr="008F4163">
        <w:tc>
          <w:tcPr>
            <w:tcW w:w="2689" w:type="dxa"/>
          </w:tcPr>
          <w:p w14:paraId="6BC0D1AC" w14:textId="77777777" w:rsidR="00B95C30" w:rsidRPr="00C440B6" w:rsidRDefault="00B95C30" w:rsidP="008F4163">
            <w:pPr>
              <w:jc w:val="both"/>
              <w:rPr>
                <w:rFonts w:ascii="Arial" w:eastAsia="Calibri" w:hAnsi="Arial" w:cs="Arial"/>
                <w:color w:val="000000" w:themeColor="text1"/>
                <w:sz w:val="22"/>
                <w:lang w:val="es-ES_tradnl"/>
              </w:rPr>
            </w:pPr>
            <w:r w:rsidRPr="00C440B6">
              <w:rPr>
                <w:rFonts w:ascii="Arial" w:eastAsia="Calibri" w:hAnsi="Arial" w:cs="Arial"/>
                <w:b/>
                <w:color w:val="000000" w:themeColor="text1"/>
                <w:sz w:val="22"/>
                <w:lang w:val="es-ES_tradnl"/>
              </w:rPr>
              <w:t>Temas:</w:t>
            </w:r>
            <w:r w:rsidRPr="00C440B6">
              <w:rPr>
                <w:rFonts w:ascii="Arial" w:eastAsia="Calibri" w:hAnsi="Arial" w:cs="Arial"/>
                <w:color w:val="000000" w:themeColor="text1"/>
                <w:sz w:val="22"/>
                <w:lang w:val="es-ES_tradnl"/>
              </w:rPr>
              <w:t xml:space="preserve">                                      </w:t>
            </w:r>
          </w:p>
        </w:tc>
        <w:tc>
          <w:tcPr>
            <w:tcW w:w="6237" w:type="dxa"/>
          </w:tcPr>
          <w:p w14:paraId="5F389CAF" w14:textId="797E495D" w:rsidR="00B95C30" w:rsidRPr="00C440B6" w:rsidRDefault="00162D5A" w:rsidP="008F4163">
            <w:pPr>
              <w:jc w:val="both"/>
              <w:rPr>
                <w:rFonts w:ascii="Arial" w:eastAsia="Calibri" w:hAnsi="Arial" w:cs="Arial"/>
                <w:color w:val="000000" w:themeColor="text1"/>
                <w:sz w:val="22"/>
                <w:lang w:val="es-ES_tradnl"/>
              </w:rPr>
            </w:pPr>
            <w:r w:rsidRPr="000578FF">
              <w:rPr>
                <w:rFonts w:ascii="Arial" w:eastAsia="Calibri" w:hAnsi="Arial" w:cs="Arial"/>
                <w:bCs/>
                <w:sz w:val="22"/>
                <w:lang w:val="es-ES_tradnl"/>
              </w:rPr>
              <w:t xml:space="preserve">LEY DE EMPRENDIMIENTO – Ley </w:t>
            </w:r>
            <w:r>
              <w:rPr>
                <w:rFonts w:ascii="Arial" w:eastAsia="Calibri" w:hAnsi="Arial" w:cs="Arial"/>
                <w:bCs/>
                <w:sz w:val="22"/>
                <w:lang w:val="es-ES_tradnl"/>
              </w:rPr>
              <w:t>2069</w:t>
            </w:r>
            <w:r w:rsidRPr="000578FF">
              <w:rPr>
                <w:rFonts w:ascii="Arial" w:eastAsia="Calibri" w:hAnsi="Arial" w:cs="Arial"/>
                <w:bCs/>
                <w:sz w:val="22"/>
                <w:lang w:val="es-ES_tradnl"/>
              </w:rPr>
              <w:t xml:space="preserve"> de 2020 – Vigencia </w:t>
            </w:r>
            <w:r w:rsidRPr="005419DA">
              <w:rPr>
                <w:rFonts w:ascii="Arial" w:eastAsia="Calibri" w:hAnsi="Arial" w:cs="Arial"/>
                <w:bCs/>
                <w:sz w:val="22"/>
                <w:lang w:val="es-ES_tradnl"/>
              </w:rPr>
              <w:t>/</w:t>
            </w:r>
            <w:r w:rsidR="008F2946">
              <w:rPr>
                <w:rFonts w:ascii="Arial" w:eastAsia="Calibri" w:hAnsi="Arial" w:cs="Arial"/>
                <w:bCs/>
                <w:sz w:val="22"/>
                <w:lang w:val="es-ES_tradnl"/>
              </w:rPr>
              <w:t xml:space="preserve"> </w:t>
            </w:r>
            <w:r w:rsidR="008F2946" w:rsidRPr="008F2946">
              <w:rPr>
                <w:rFonts w:ascii="Arial" w:eastAsia="Calibri" w:hAnsi="Arial" w:cs="Arial"/>
                <w:bCs/>
                <w:sz w:val="22"/>
                <w:lang w:val="es-ES_tradnl"/>
              </w:rPr>
              <w:t>EMPATE – Procedimiento de selección – Concepto</w:t>
            </w:r>
            <w:r w:rsidR="008F2946">
              <w:rPr>
                <w:rFonts w:ascii="Arial" w:eastAsia="Calibri" w:hAnsi="Arial" w:cs="Arial"/>
                <w:bCs/>
                <w:sz w:val="22"/>
                <w:lang w:val="es-ES_tradnl"/>
              </w:rPr>
              <w:t xml:space="preserve"> </w:t>
            </w:r>
            <w:proofErr w:type="gramStart"/>
            <w:r w:rsidR="008F2946">
              <w:rPr>
                <w:rFonts w:ascii="Arial" w:eastAsia="Calibri" w:hAnsi="Arial" w:cs="Arial"/>
                <w:bCs/>
                <w:sz w:val="22"/>
                <w:lang w:val="es-ES_tradnl"/>
              </w:rPr>
              <w:t xml:space="preserve">/ </w:t>
            </w:r>
            <w:r w:rsidRPr="005419DA">
              <w:rPr>
                <w:rFonts w:ascii="Arial" w:eastAsia="Calibri" w:hAnsi="Arial" w:cs="Arial"/>
                <w:bCs/>
                <w:sz w:val="22"/>
                <w:lang w:val="es-ES_tradnl"/>
              </w:rPr>
              <w:t xml:space="preserve"> </w:t>
            </w:r>
            <w:r w:rsidR="008F2946" w:rsidRPr="008F2946">
              <w:rPr>
                <w:rFonts w:ascii="Arial" w:eastAsia="Calibri" w:hAnsi="Arial" w:cs="Arial"/>
                <w:bCs/>
                <w:sz w:val="22"/>
                <w:lang w:val="es-ES_tradnl"/>
              </w:rPr>
              <w:t>FACTORES</w:t>
            </w:r>
            <w:proofErr w:type="gramEnd"/>
            <w:r w:rsidR="008F2946" w:rsidRPr="008F2946">
              <w:rPr>
                <w:rFonts w:ascii="Arial" w:eastAsia="Calibri" w:hAnsi="Arial" w:cs="Arial"/>
                <w:bCs/>
                <w:sz w:val="22"/>
                <w:lang w:val="es-ES_tradnl"/>
              </w:rPr>
              <w:t xml:space="preserve"> DE DESEMPATE – Características – Límites</w:t>
            </w:r>
            <w:r w:rsidR="008F2946">
              <w:rPr>
                <w:rFonts w:ascii="Arial" w:eastAsia="Calibri" w:hAnsi="Arial" w:cs="Arial"/>
                <w:bCs/>
                <w:sz w:val="22"/>
                <w:lang w:val="es-ES_tradnl"/>
              </w:rPr>
              <w:t xml:space="preserve"> / </w:t>
            </w:r>
            <w:r w:rsidR="008F2946" w:rsidRPr="008F2946">
              <w:rPr>
                <w:rFonts w:ascii="Arial" w:eastAsia="Calibri" w:hAnsi="Arial" w:cs="Arial"/>
                <w:bCs/>
                <w:sz w:val="22"/>
                <w:lang w:val="es-ES_tradnl"/>
              </w:rPr>
              <w:t>FACTORES DE DESEMPATE – Ley 2069 – Artículo 35 – Acreditación</w:t>
            </w:r>
            <w:r w:rsidR="008F2946">
              <w:rPr>
                <w:rFonts w:ascii="Arial" w:eastAsia="Calibri" w:hAnsi="Arial" w:cs="Arial"/>
                <w:bCs/>
                <w:sz w:val="22"/>
                <w:lang w:val="es-ES_tradnl"/>
              </w:rPr>
              <w:t xml:space="preserve"> /</w:t>
            </w:r>
            <w:r w:rsidR="00B31451">
              <w:rPr>
                <w:rFonts w:ascii="Arial" w:eastAsia="Calibri" w:hAnsi="Arial" w:cs="Arial"/>
                <w:bCs/>
                <w:sz w:val="22"/>
                <w:lang w:val="es-ES_tradnl"/>
              </w:rPr>
              <w:t xml:space="preserve"> </w:t>
            </w:r>
            <w:r w:rsidR="008F2946" w:rsidRPr="008F2946">
              <w:rPr>
                <w:rFonts w:ascii="Arial" w:eastAsia="Calibri" w:hAnsi="Arial" w:cs="Arial"/>
                <w:bCs/>
                <w:sz w:val="22"/>
                <w:lang w:val="es-ES_tradnl"/>
              </w:rPr>
              <w:t xml:space="preserve">SUBSANABILIDAD – Concepto – </w:t>
            </w:r>
            <w:r w:rsidR="00B31451">
              <w:rPr>
                <w:rFonts w:ascii="Arial" w:eastAsia="Calibri" w:hAnsi="Arial" w:cs="Arial"/>
                <w:bCs/>
                <w:sz w:val="22"/>
                <w:lang w:val="es-ES_tradnl"/>
              </w:rPr>
              <w:t>alcance</w:t>
            </w:r>
            <w:r w:rsidR="008F2946">
              <w:rPr>
                <w:rFonts w:ascii="Arial" w:eastAsia="Calibri" w:hAnsi="Arial" w:cs="Arial"/>
                <w:bCs/>
                <w:sz w:val="22"/>
                <w:lang w:val="es-ES_tradnl"/>
              </w:rPr>
              <w:t xml:space="preserve">/ </w:t>
            </w:r>
            <w:r w:rsidR="00764BBA" w:rsidRPr="00764BBA">
              <w:rPr>
                <w:rFonts w:ascii="Arial" w:eastAsia="Calibri" w:hAnsi="Arial" w:cs="Arial"/>
                <w:bCs/>
                <w:sz w:val="22"/>
                <w:lang w:val="es-ES_tradnl"/>
              </w:rPr>
              <w:t>SUBSANABILIDAD – Criterios de desempate - Imposibilidad</w:t>
            </w:r>
          </w:p>
        </w:tc>
      </w:tr>
      <w:tr w:rsidR="00B95C30" w:rsidRPr="00C440B6" w14:paraId="27CD52AB" w14:textId="77777777" w:rsidTr="008F4163">
        <w:tc>
          <w:tcPr>
            <w:tcW w:w="2689" w:type="dxa"/>
          </w:tcPr>
          <w:p w14:paraId="37E195A1" w14:textId="1BA218D5" w:rsidR="00B95C30" w:rsidRPr="00C440B6" w:rsidRDefault="00B95C30" w:rsidP="008F4163">
            <w:pPr>
              <w:spacing w:before="12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Radicación:</w:t>
            </w:r>
            <w:r w:rsidRPr="00C440B6">
              <w:rPr>
                <w:rFonts w:ascii="Arial" w:eastAsia="Calibri" w:hAnsi="Arial" w:cs="Arial"/>
                <w:color w:val="000000" w:themeColor="text1"/>
                <w:sz w:val="22"/>
                <w:lang w:val="es-ES_tradnl"/>
              </w:rPr>
              <w:t xml:space="preserve">                              </w:t>
            </w:r>
          </w:p>
        </w:tc>
        <w:tc>
          <w:tcPr>
            <w:tcW w:w="6237" w:type="dxa"/>
          </w:tcPr>
          <w:p w14:paraId="09088B1B" w14:textId="06D6A2D1" w:rsidR="00B95C30" w:rsidRPr="00C440B6" w:rsidRDefault="00900530" w:rsidP="008F4163">
            <w:pPr>
              <w:spacing w:before="120"/>
              <w:jc w:val="both"/>
              <w:rPr>
                <w:rFonts w:ascii="Arial" w:eastAsia="Calibri" w:hAnsi="Arial" w:cs="Arial"/>
                <w:color w:val="000000" w:themeColor="text1"/>
                <w:sz w:val="22"/>
                <w:lang w:val="es-ES_tradnl"/>
              </w:rPr>
            </w:pPr>
            <w:r w:rsidRPr="00900530">
              <w:rPr>
                <w:rFonts w:ascii="Arial" w:eastAsia="Arial" w:hAnsi="Arial" w:cs="Arial"/>
                <w:sz w:val="22"/>
                <w:szCs w:val="22"/>
                <w:lang w:val="es-ES" w:eastAsia="en-US"/>
              </w:rPr>
              <w:t xml:space="preserve">Respuesta a </w:t>
            </w:r>
            <w:r w:rsidRPr="004E3152">
              <w:rPr>
                <w:rFonts w:ascii="Arial" w:eastAsia="Arial" w:hAnsi="Arial" w:cs="Arial"/>
                <w:sz w:val="22"/>
                <w:szCs w:val="22"/>
                <w:lang w:val="es-ES" w:eastAsia="en-US"/>
              </w:rPr>
              <w:t xml:space="preserve">consulta # </w:t>
            </w:r>
            <w:r w:rsidR="00DD77A6" w:rsidRPr="00DD77A6">
              <w:rPr>
                <w:rFonts w:ascii="Arial" w:eastAsia="Arial" w:hAnsi="Arial" w:cs="Arial"/>
                <w:sz w:val="22"/>
                <w:szCs w:val="22"/>
                <w:lang w:eastAsia="en-US"/>
              </w:rPr>
              <w:t>P20210325002482</w:t>
            </w:r>
          </w:p>
        </w:tc>
      </w:tr>
    </w:tbl>
    <w:p w14:paraId="69729BEF" w14:textId="77777777" w:rsidR="00096D30" w:rsidRDefault="00096D30" w:rsidP="003C3339">
      <w:pPr>
        <w:jc w:val="both"/>
        <w:rPr>
          <w:rFonts w:ascii="Arial" w:eastAsia="Calibri" w:hAnsi="Arial" w:cs="Arial"/>
          <w:color w:val="000000" w:themeColor="text1"/>
          <w:sz w:val="22"/>
          <w:lang w:val="es-ES_tradnl"/>
        </w:rPr>
      </w:pPr>
    </w:p>
    <w:p w14:paraId="43664A51" w14:textId="77777777" w:rsidR="00096D30" w:rsidRDefault="00096D30" w:rsidP="003C3339">
      <w:pPr>
        <w:jc w:val="both"/>
        <w:rPr>
          <w:rFonts w:ascii="Arial" w:eastAsia="Calibri" w:hAnsi="Arial" w:cs="Arial"/>
          <w:color w:val="000000" w:themeColor="text1"/>
          <w:sz w:val="22"/>
          <w:lang w:val="es-ES_tradnl"/>
        </w:rPr>
      </w:pPr>
    </w:p>
    <w:p w14:paraId="1CF4AEA0" w14:textId="60F7B7E3" w:rsidR="003C3339" w:rsidRPr="00C440B6" w:rsidRDefault="003C3339" w:rsidP="003C3339">
      <w:pPr>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Estimad</w:t>
      </w:r>
      <w:r w:rsidR="00C018F7" w:rsidRPr="00C440B6">
        <w:rPr>
          <w:rFonts w:ascii="Arial" w:eastAsia="Calibri" w:hAnsi="Arial" w:cs="Arial"/>
          <w:color w:val="000000" w:themeColor="text1"/>
          <w:sz w:val="22"/>
          <w:lang w:val="es-ES_tradnl"/>
        </w:rPr>
        <w:t>o</w:t>
      </w:r>
      <w:r w:rsidRPr="00C440B6">
        <w:rPr>
          <w:rFonts w:ascii="Arial" w:eastAsia="Calibri" w:hAnsi="Arial" w:cs="Arial"/>
          <w:color w:val="000000" w:themeColor="text1"/>
          <w:sz w:val="22"/>
          <w:lang w:val="es-ES_tradnl"/>
        </w:rPr>
        <w:t xml:space="preserve"> </w:t>
      </w:r>
      <w:r w:rsidR="0063732C" w:rsidRPr="00C440B6">
        <w:rPr>
          <w:rFonts w:ascii="Arial" w:eastAsia="Calibri" w:hAnsi="Arial" w:cs="Arial"/>
          <w:color w:val="000000" w:themeColor="text1"/>
          <w:sz w:val="22"/>
          <w:lang w:val="es-ES_tradnl"/>
        </w:rPr>
        <w:t>señor</w:t>
      </w:r>
      <w:r w:rsidR="00BE4FBF" w:rsidRPr="00C440B6">
        <w:rPr>
          <w:rFonts w:ascii="Arial" w:eastAsia="Calibri" w:hAnsi="Arial" w:cs="Arial"/>
          <w:color w:val="000000" w:themeColor="text1"/>
          <w:sz w:val="22"/>
          <w:lang w:val="es-ES_tradnl"/>
        </w:rPr>
        <w:t xml:space="preserve"> </w:t>
      </w:r>
      <w:r w:rsidR="00DD77A6">
        <w:rPr>
          <w:rFonts w:ascii="Arial" w:eastAsia="Calibri" w:hAnsi="Arial" w:cs="Arial"/>
          <w:color w:val="000000" w:themeColor="text1"/>
          <w:sz w:val="22"/>
          <w:lang w:val="es-ES_tradnl"/>
        </w:rPr>
        <w:t>Carrillo Torres</w:t>
      </w:r>
      <w:r w:rsidRPr="00C440B6">
        <w:rPr>
          <w:rFonts w:ascii="Arial" w:eastAsia="Calibri" w:hAnsi="Arial" w:cs="Arial"/>
          <w:color w:val="000000" w:themeColor="text1"/>
          <w:sz w:val="22"/>
          <w:lang w:val="es-ES_tradnl"/>
        </w:rPr>
        <w:t>:</w:t>
      </w:r>
    </w:p>
    <w:p w14:paraId="1EAE5543" w14:textId="77777777" w:rsidR="00DD5B04" w:rsidRPr="00C440B6" w:rsidRDefault="00DD5B04" w:rsidP="00DF76A2">
      <w:pPr>
        <w:jc w:val="both"/>
        <w:rPr>
          <w:rFonts w:ascii="Arial" w:eastAsia="Calibri" w:hAnsi="Arial" w:cs="Arial"/>
          <w:color w:val="000000" w:themeColor="text1"/>
          <w:sz w:val="22"/>
          <w:lang w:val="es-ES_tradnl"/>
        </w:rPr>
      </w:pPr>
    </w:p>
    <w:p w14:paraId="0994F46D" w14:textId="58DEBB0D" w:rsidR="009D631B" w:rsidRPr="00DD77A6" w:rsidRDefault="00DD5B04" w:rsidP="00DF76A2">
      <w:pPr>
        <w:spacing w:line="276" w:lineRule="auto"/>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Pr>
          <w:rFonts w:ascii="Arial" w:eastAsia="Calibri" w:hAnsi="Arial" w:cs="Arial"/>
          <w:color w:val="000000" w:themeColor="text1"/>
          <w:sz w:val="22"/>
          <w:lang w:val="es-ES_tradnl"/>
        </w:rPr>
        <w:t>–</w:t>
      </w:r>
      <w:r w:rsidRPr="00C440B6">
        <w:rPr>
          <w:rFonts w:ascii="Arial" w:eastAsia="Calibri" w:hAnsi="Arial" w:cs="Arial"/>
          <w:color w:val="000000" w:themeColor="text1"/>
          <w:sz w:val="22"/>
          <w:lang w:val="es-ES_tradnl"/>
        </w:rPr>
        <w:t xml:space="preserve"> Colombia Compra Eficiente</w:t>
      </w:r>
      <w:r w:rsidR="008C3C57"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 xml:space="preserve">responde </w:t>
      </w:r>
      <w:r w:rsidR="00C31D6D">
        <w:rPr>
          <w:rFonts w:ascii="Arial" w:eastAsia="Calibri" w:hAnsi="Arial" w:cs="Arial"/>
          <w:color w:val="000000" w:themeColor="text1"/>
          <w:sz w:val="22"/>
          <w:lang w:val="es-ES_tradnl"/>
        </w:rPr>
        <w:t>a su</w:t>
      </w:r>
      <w:r w:rsidRPr="00C440B6">
        <w:rPr>
          <w:rFonts w:ascii="Arial" w:eastAsia="Calibri" w:hAnsi="Arial" w:cs="Arial"/>
          <w:color w:val="000000" w:themeColor="text1"/>
          <w:sz w:val="22"/>
          <w:lang w:val="es-ES_tradnl"/>
        </w:rPr>
        <w:t xml:space="preserve"> consulta </w:t>
      </w:r>
      <w:r w:rsidR="00DD77A6">
        <w:rPr>
          <w:rFonts w:ascii="Arial" w:eastAsia="Calibri" w:hAnsi="Arial" w:cs="Arial"/>
          <w:color w:val="000000" w:themeColor="text1"/>
          <w:sz w:val="22"/>
          <w:lang w:val="es-ES_tradnl"/>
        </w:rPr>
        <w:t>d</w:t>
      </w:r>
      <w:r w:rsidR="00C31D6D">
        <w:rPr>
          <w:rFonts w:ascii="Arial" w:eastAsia="Calibri" w:hAnsi="Arial" w:cs="Arial"/>
          <w:color w:val="000000" w:themeColor="text1"/>
          <w:sz w:val="22"/>
          <w:lang w:val="es-ES_tradnl"/>
        </w:rPr>
        <w:t>el 2</w:t>
      </w:r>
      <w:r w:rsidR="00BD2FB0">
        <w:rPr>
          <w:rFonts w:ascii="Arial" w:eastAsia="Calibri" w:hAnsi="Arial" w:cs="Arial"/>
          <w:color w:val="000000" w:themeColor="text1"/>
          <w:sz w:val="22"/>
          <w:lang w:val="es-ES_tradnl"/>
        </w:rPr>
        <w:t>5</w:t>
      </w:r>
      <w:r w:rsidR="00C31D6D">
        <w:rPr>
          <w:rFonts w:ascii="Arial" w:eastAsia="Calibri" w:hAnsi="Arial" w:cs="Arial"/>
          <w:color w:val="000000" w:themeColor="text1"/>
          <w:sz w:val="22"/>
          <w:lang w:val="es-ES_tradnl"/>
        </w:rPr>
        <w:t xml:space="preserve"> de marzo de 2021. </w:t>
      </w:r>
    </w:p>
    <w:p w14:paraId="4DE70520" w14:textId="77777777" w:rsidR="009D631B" w:rsidRPr="00C440B6" w:rsidRDefault="009D631B" w:rsidP="00DF76A2">
      <w:pPr>
        <w:spacing w:line="276" w:lineRule="auto"/>
        <w:jc w:val="both"/>
        <w:rPr>
          <w:rFonts w:ascii="Arial" w:eastAsia="Calibri" w:hAnsi="Arial" w:cs="Arial"/>
          <w:b/>
          <w:color w:val="000000" w:themeColor="text1"/>
          <w:sz w:val="22"/>
          <w:lang w:val="es-ES_tradnl"/>
        </w:rPr>
      </w:pPr>
    </w:p>
    <w:p w14:paraId="7701FCC7" w14:textId="5C8E7E88" w:rsidR="00DD5B04" w:rsidRPr="00C440B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Problema</w:t>
      </w:r>
      <w:r w:rsidR="00DD054E">
        <w:rPr>
          <w:rFonts w:ascii="Arial" w:eastAsia="Calibri" w:hAnsi="Arial" w:cs="Arial"/>
          <w:b/>
          <w:color w:val="000000" w:themeColor="text1"/>
          <w:sz w:val="22"/>
          <w:lang w:val="es-ES_tradnl"/>
        </w:rPr>
        <w:t>s</w:t>
      </w:r>
      <w:r w:rsidRPr="00C440B6">
        <w:rPr>
          <w:rFonts w:ascii="Arial" w:eastAsia="Calibri" w:hAnsi="Arial" w:cs="Arial"/>
          <w:b/>
          <w:color w:val="000000" w:themeColor="text1"/>
          <w:sz w:val="22"/>
          <w:lang w:val="es-ES_tradnl"/>
        </w:rPr>
        <w:t xml:space="preserve"> planteado</w:t>
      </w:r>
      <w:r w:rsidR="00DD054E">
        <w:rPr>
          <w:rFonts w:ascii="Arial" w:eastAsia="Calibri" w:hAnsi="Arial" w:cs="Arial"/>
          <w:b/>
          <w:color w:val="000000" w:themeColor="text1"/>
          <w:sz w:val="22"/>
          <w:lang w:val="es-ES_tradnl"/>
        </w:rPr>
        <w:t>s</w:t>
      </w:r>
      <w:r w:rsidRPr="00C440B6">
        <w:rPr>
          <w:rFonts w:ascii="Arial" w:eastAsia="Calibri" w:hAnsi="Arial" w:cs="Arial"/>
          <w:b/>
          <w:color w:val="000000" w:themeColor="text1"/>
          <w:sz w:val="22"/>
          <w:lang w:val="es-ES_tradnl"/>
        </w:rPr>
        <w:t xml:space="preserve"> </w:t>
      </w:r>
    </w:p>
    <w:p w14:paraId="224B43D3" w14:textId="77777777" w:rsidR="00DD5B04" w:rsidRPr="00C440B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0E9EAB0" w14:textId="1FE64196" w:rsidR="00454589" w:rsidRPr="007321B0" w:rsidRDefault="00CB165D" w:rsidP="000B22B3">
      <w:pPr>
        <w:spacing w:line="276" w:lineRule="auto"/>
        <w:jc w:val="both"/>
        <w:rPr>
          <w:rFonts w:ascii="Arial" w:eastAsia="Calibri" w:hAnsi="Arial" w:cs="Arial"/>
          <w:color w:val="000000" w:themeColor="text1"/>
          <w:sz w:val="22"/>
          <w:szCs w:val="22"/>
          <w:lang w:val="es-ES_tradnl"/>
        </w:rPr>
      </w:pPr>
      <w:bookmarkStart w:id="1" w:name="_Hlk64534095"/>
      <w:bookmarkStart w:id="2" w:name="_Hlk71530025"/>
      <w:bookmarkStart w:id="3" w:name="_Hlk66194921"/>
      <w:r>
        <w:rPr>
          <w:rFonts w:ascii="Arial" w:hAnsi="Arial" w:cs="Arial"/>
          <w:color w:val="000000" w:themeColor="text1"/>
          <w:sz w:val="22"/>
          <w:lang w:val="es-ES_tradnl"/>
        </w:rPr>
        <w:t>Respecto a</w:t>
      </w:r>
      <w:r w:rsidR="008C77EF">
        <w:rPr>
          <w:rFonts w:ascii="Arial" w:hAnsi="Arial" w:cs="Arial"/>
          <w:color w:val="000000" w:themeColor="text1"/>
          <w:sz w:val="22"/>
          <w:lang w:val="es-ES_tradnl"/>
        </w:rPr>
        <w:t xml:space="preserve"> </w:t>
      </w:r>
      <w:r w:rsidR="00DD77A6">
        <w:rPr>
          <w:rFonts w:ascii="Arial" w:hAnsi="Arial" w:cs="Arial"/>
          <w:color w:val="000000" w:themeColor="text1"/>
          <w:sz w:val="22"/>
          <w:lang w:val="es-ES_tradnl"/>
        </w:rPr>
        <w:t xml:space="preserve">los factores de desempate </w:t>
      </w:r>
      <w:r>
        <w:rPr>
          <w:rFonts w:ascii="Arial" w:hAnsi="Arial" w:cs="Arial"/>
          <w:color w:val="000000" w:themeColor="text1"/>
          <w:sz w:val="22"/>
          <w:lang w:val="es-ES_tradnl"/>
        </w:rPr>
        <w:t>d</w:t>
      </w:r>
      <w:r w:rsidR="00DD77A6">
        <w:rPr>
          <w:rFonts w:ascii="Arial" w:hAnsi="Arial" w:cs="Arial"/>
          <w:color w:val="000000" w:themeColor="text1"/>
          <w:sz w:val="22"/>
          <w:lang w:val="es-ES_tradnl"/>
        </w:rPr>
        <w:t>el</w:t>
      </w:r>
      <w:r w:rsidR="007321B0">
        <w:rPr>
          <w:rFonts w:ascii="Arial" w:hAnsi="Arial" w:cs="Arial"/>
          <w:color w:val="000000" w:themeColor="text1"/>
          <w:sz w:val="22"/>
          <w:lang w:val="es-ES_tradnl"/>
        </w:rPr>
        <w:t xml:space="preserve"> artículo 3</w:t>
      </w:r>
      <w:r w:rsidR="00DD77A6">
        <w:rPr>
          <w:rFonts w:ascii="Arial" w:hAnsi="Arial" w:cs="Arial"/>
          <w:color w:val="000000" w:themeColor="text1"/>
          <w:sz w:val="22"/>
          <w:lang w:val="es-ES_tradnl"/>
        </w:rPr>
        <w:t>5</w:t>
      </w:r>
      <w:r w:rsidR="007321B0">
        <w:rPr>
          <w:rFonts w:ascii="Arial" w:hAnsi="Arial" w:cs="Arial"/>
          <w:color w:val="000000" w:themeColor="text1"/>
          <w:sz w:val="22"/>
          <w:lang w:val="es-ES_tradnl"/>
        </w:rPr>
        <w:t xml:space="preserve"> de la Ley 2069 de 2020</w:t>
      </w:r>
      <w:r>
        <w:rPr>
          <w:rFonts w:ascii="Arial" w:hAnsi="Arial" w:cs="Arial"/>
          <w:color w:val="000000" w:themeColor="text1"/>
          <w:sz w:val="22"/>
          <w:lang w:val="es-ES_tradnl"/>
        </w:rPr>
        <w:t>, usted realiza las siguientes preguntas</w:t>
      </w:r>
      <w:r w:rsidR="00900530" w:rsidRPr="00900530">
        <w:rPr>
          <w:rFonts w:ascii="Arial" w:hAnsi="Arial" w:cs="Arial"/>
          <w:color w:val="000000" w:themeColor="text1"/>
          <w:sz w:val="22"/>
          <w:lang w:val="es-ES_tradnl"/>
        </w:rPr>
        <w:t>:</w:t>
      </w:r>
      <w:r w:rsidR="004E3152" w:rsidRPr="004E3152">
        <w:rPr>
          <w:rFonts w:ascii="Arial" w:eastAsia="Calibri" w:hAnsi="Arial" w:cs="Arial"/>
          <w:color w:val="000000" w:themeColor="text1"/>
          <w:sz w:val="22"/>
          <w:szCs w:val="22"/>
          <w:lang w:val="es-ES_tradnl"/>
        </w:rPr>
        <w:t xml:space="preserve"> </w:t>
      </w:r>
      <w:bookmarkEnd w:id="1"/>
      <w:r w:rsidR="00F412AF">
        <w:rPr>
          <w:rFonts w:ascii="Arial" w:eastAsia="Calibri" w:hAnsi="Arial" w:cs="Arial"/>
          <w:color w:val="000000" w:themeColor="text1"/>
          <w:sz w:val="22"/>
          <w:szCs w:val="22"/>
          <w:lang w:val="es-ES_tradnl"/>
        </w:rPr>
        <w:t xml:space="preserve">i) </w:t>
      </w:r>
      <w:r w:rsidR="00DD77A6">
        <w:rPr>
          <w:rFonts w:ascii="Arial" w:eastAsia="Calibri" w:hAnsi="Arial" w:cs="Arial"/>
          <w:color w:val="000000" w:themeColor="text1"/>
          <w:sz w:val="22"/>
          <w:szCs w:val="22"/>
          <w:lang w:val="es-ES_tradnl"/>
        </w:rPr>
        <w:t>«</w:t>
      </w:r>
      <w:r w:rsidR="00DD77A6" w:rsidRPr="00DD77A6">
        <w:rPr>
          <w:rFonts w:ascii="Arial" w:eastAsia="Calibri" w:hAnsi="Arial" w:cs="Arial"/>
          <w:color w:val="000000" w:themeColor="text1"/>
          <w:sz w:val="22"/>
          <w:szCs w:val="22"/>
          <w:lang w:val="es-ES_tradnl"/>
        </w:rPr>
        <w:t>¿Cuál es el tratamiento que debe dársele a los documentos por medio de los cuales se acreditan las causales de desempate introducidas por dicha norma?</w:t>
      </w:r>
      <w:r w:rsidR="009D631B">
        <w:rPr>
          <w:rFonts w:ascii="Arial" w:eastAsia="Calibri" w:hAnsi="Arial" w:cs="Arial"/>
          <w:color w:val="000000" w:themeColor="text1"/>
          <w:sz w:val="22"/>
          <w:szCs w:val="22"/>
          <w:lang w:val="es-ES_tradnl"/>
        </w:rPr>
        <w:t>»</w:t>
      </w:r>
      <w:bookmarkEnd w:id="2"/>
      <w:r w:rsidR="00A07A18">
        <w:rPr>
          <w:rFonts w:ascii="Arial" w:eastAsia="Calibri" w:hAnsi="Arial" w:cs="Arial"/>
          <w:color w:val="000000" w:themeColor="text1"/>
          <w:sz w:val="22"/>
          <w:szCs w:val="22"/>
          <w:lang w:val="es-ES_tradnl"/>
        </w:rPr>
        <w:t>,</w:t>
      </w:r>
      <w:r w:rsidR="009D631B">
        <w:rPr>
          <w:rFonts w:ascii="Arial" w:eastAsia="Calibri" w:hAnsi="Arial" w:cs="Arial"/>
          <w:color w:val="000000" w:themeColor="text1"/>
          <w:sz w:val="22"/>
          <w:szCs w:val="22"/>
          <w:lang w:val="es-ES_tradnl"/>
        </w:rPr>
        <w:t xml:space="preserve"> </w:t>
      </w:r>
      <w:proofErr w:type="spellStart"/>
      <w:r w:rsidR="009D631B">
        <w:rPr>
          <w:rFonts w:ascii="Arial" w:eastAsia="Calibri" w:hAnsi="Arial" w:cs="Arial"/>
          <w:color w:val="000000" w:themeColor="text1"/>
          <w:sz w:val="22"/>
          <w:szCs w:val="22"/>
          <w:lang w:val="es-ES_tradnl"/>
        </w:rPr>
        <w:t>ii</w:t>
      </w:r>
      <w:proofErr w:type="spellEnd"/>
      <w:r w:rsidR="009D631B">
        <w:rPr>
          <w:rFonts w:ascii="Arial" w:eastAsia="Calibri" w:hAnsi="Arial" w:cs="Arial"/>
          <w:color w:val="000000" w:themeColor="text1"/>
          <w:sz w:val="22"/>
          <w:szCs w:val="22"/>
          <w:lang w:val="es-ES_tradnl"/>
        </w:rPr>
        <w:t>) «</w:t>
      </w:r>
      <w:r w:rsidR="00DD77A6">
        <w:rPr>
          <w:rFonts w:ascii="Arial" w:eastAsia="Calibri" w:hAnsi="Arial" w:cs="Arial"/>
          <w:color w:val="000000" w:themeColor="text1"/>
          <w:sz w:val="22"/>
          <w:szCs w:val="22"/>
          <w:lang w:val="es-ES_tradnl"/>
        </w:rPr>
        <w:t>¿</w:t>
      </w:r>
      <w:r w:rsidR="00DD77A6" w:rsidRPr="00DD77A6">
        <w:rPr>
          <w:rFonts w:ascii="Arial" w:eastAsia="Calibri" w:hAnsi="Arial" w:cs="Arial"/>
          <w:color w:val="000000" w:themeColor="text1"/>
          <w:sz w:val="22"/>
          <w:szCs w:val="22"/>
          <w:lang w:val="es-ES_tradnl"/>
        </w:rPr>
        <w:t>En qué momento deben ser aportados por el proponente los documentos que acreditan las causales de desempate de la Ley 2069 de 2020?</w:t>
      </w:r>
      <w:r w:rsidR="009D631B">
        <w:rPr>
          <w:rFonts w:ascii="Arial" w:eastAsia="Calibri" w:hAnsi="Arial" w:cs="Arial"/>
          <w:color w:val="000000" w:themeColor="text1"/>
          <w:sz w:val="22"/>
          <w:szCs w:val="22"/>
          <w:lang w:val="es-ES_tradnl"/>
        </w:rPr>
        <w:t>»</w:t>
      </w:r>
      <w:r w:rsidR="00E84EB9">
        <w:rPr>
          <w:rFonts w:ascii="Arial" w:eastAsia="Calibri" w:hAnsi="Arial" w:cs="Arial"/>
          <w:color w:val="000000" w:themeColor="text1"/>
          <w:sz w:val="22"/>
          <w:szCs w:val="22"/>
          <w:lang w:val="es-ES_tradnl"/>
        </w:rPr>
        <w:t>,</w:t>
      </w:r>
      <w:r w:rsidR="00DD77A6">
        <w:rPr>
          <w:rFonts w:ascii="Arial" w:eastAsia="Calibri" w:hAnsi="Arial" w:cs="Arial"/>
          <w:color w:val="000000" w:themeColor="text1"/>
          <w:sz w:val="22"/>
          <w:szCs w:val="22"/>
          <w:lang w:val="es-ES_tradnl"/>
        </w:rPr>
        <w:t xml:space="preserve"> </w:t>
      </w:r>
      <w:proofErr w:type="spellStart"/>
      <w:r w:rsidR="00DD77A6">
        <w:rPr>
          <w:rFonts w:ascii="Arial" w:eastAsia="Calibri" w:hAnsi="Arial" w:cs="Arial"/>
          <w:color w:val="000000" w:themeColor="text1"/>
          <w:sz w:val="22"/>
          <w:szCs w:val="22"/>
          <w:lang w:val="es-ES_tradnl"/>
        </w:rPr>
        <w:t>iii</w:t>
      </w:r>
      <w:proofErr w:type="spellEnd"/>
      <w:r w:rsidR="00DD77A6">
        <w:rPr>
          <w:rFonts w:ascii="Arial" w:eastAsia="Calibri" w:hAnsi="Arial" w:cs="Arial"/>
          <w:color w:val="000000" w:themeColor="text1"/>
          <w:sz w:val="22"/>
          <w:szCs w:val="22"/>
          <w:lang w:val="es-ES_tradnl"/>
        </w:rPr>
        <w:t>) «</w:t>
      </w:r>
      <w:r w:rsidR="00DD77A6" w:rsidRPr="00DD77A6">
        <w:rPr>
          <w:rFonts w:ascii="Arial" w:eastAsia="Calibri" w:hAnsi="Arial" w:cs="Arial"/>
          <w:color w:val="000000" w:themeColor="text1"/>
          <w:sz w:val="22"/>
          <w:szCs w:val="22"/>
          <w:lang w:val="es-ES_tradnl"/>
        </w:rPr>
        <w:t xml:space="preserve">¿Son subsanables los documentos que acreditan las causales de desempate establecidas en la Ley 2069 de </w:t>
      </w:r>
      <w:r w:rsidR="00DD77A6" w:rsidRPr="00DD77A6">
        <w:rPr>
          <w:rFonts w:ascii="Arial" w:eastAsia="Calibri" w:hAnsi="Arial" w:cs="Arial"/>
          <w:color w:val="000000" w:themeColor="text1"/>
          <w:sz w:val="22"/>
          <w:szCs w:val="22"/>
          <w:lang w:val="es-ES_tradnl"/>
        </w:rPr>
        <w:lastRenderedPageBreak/>
        <w:t>2020, dado que dichos documentos no otorgar</w:t>
      </w:r>
      <w:r w:rsidR="00A40D4D">
        <w:rPr>
          <w:rFonts w:ascii="Arial" w:eastAsia="Calibri" w:hAnsi="Arial" w:cs="Arial"/>
          <w:color w:val="000000" w:themeColor="text1"/>
          <w:sz w:val="22"/>
          <w:szCs w:val="22"/>
          <w:lang w:val="es-ES_tradnl"/>
        </w:rPr>
        <w:t xml:space="preserve"> (sic)</w:t>
      </w:r>
      <w:r w:rsidR="00DD77A6" w:rsidRPr="00DD77A6">
        <w:rPr>
          <w:rFonts w:ascii="Arial" w:eastAsia="Calibri" w:hAnsi="Arial" w:cs="Arial"/>
          <w:color w:val="000000" w:themeColor="text1"/>
          <w:sz w:val="22"/>
          <w:szCs w:val="22"/>
          <w:lang w:val="es-ES_tradnl"/>
        </w:rPr>
        <w:t xml:space="preserve"> puntaje y se enmarcan dentro de la regla de </w:t>
      </w:r>
      <w:proofErr w:type="spellStart"/>
      <w:r w:rsidR="00DD77A6" w:rsidRPr="00DD77A6">
        <w:rPr>
          <w:rFonts w:ascii="Arial" w:eastAsia="Calibri" w:hAnsi="Arial" w:cs="Arial"/>
          <w:color w:val="000000" w:themeColor="text1"/>
          <w:sz w:val="22"/>
          <w:szCs w:val="22"/>
          <w:lang w:val="es-ES_tradnl"/>
        </w:rPr>
        <w:t>subsanabilidad</w:t>
      </w:r>
      <w:proofErr w:type="spellEnd"/>
      <w:r w:rsidR="00DD77A6" w:rsidRPr="00DD77A6">
        <w:rPr>
          <w:rFonts w:ascii="Arial" w:eastAsia="Calibri" w:hAnsi="Arial" w:cs="Arial"/>
          <w:color w:val="000000" w:themeColor="text1"/>
          <w:sz w:val="22"/>
          <w:szCs w:val="22"/>
          <w:lang w:val="es-ES_tradnl"/>
        </w:rPr>
        <w:t xml:space="preserve"> establecida en el artículo 5 de la ley 1882 de 2018?</w:t>
      </w:r>
      <w:r w:rsidR="00E84EB9">
        <w:rPr>
          <w:rFonts w:ascii="Arial" w:eastAsia="Calibri" w:hAnsi="Arial" w:cs="Arial"/>
          <w:color w:val="000000" w:themeColor="text1"/>
          <w:sz w:val="22"/>
          <w:szCs w:val="22"/>
          <w:lang w:val="es-ES_tradnl"/>
        </w:rPr>
        <w:t>»</w:t>
      </w:r>
      <w:r w:rsidR="00DD77A6">
        <w:rPr>
          <w:rFonts w:ascii="Arial" w:eastAsia="Calibri" w:hAnsi="Arial" w:cs="Arial"/>
          <w:color w:val="000000" w:themeColor="text1"/>
          <w:sz w:val="22"/>
          <w:szCs w:val="22"/>
          <w:lang w:val="es-ES_tradnl"/>
        </w:rPr>
        <w:t xml:space="preserve"> y </w:t>
      </w:r>
      <w:proofErr w:type="spellStart"/>
      <w:r w:rsidR="00DD77A6">
        <w:rPr>
          <w:rFonts w:ascii="Arial" w:eastAsia="Calibri" w:hAnsi="Arial" w:cs="Arial"/>
          <w:color w:val="000000" w:themeColor="text1"/>
          <w:sz w:val="22"/>
          <w:szCs w:val="22"/>
          <w:lang w:val="es-ES_tradnl"/>
        </w:rPr>
        <w:t>iv</w:t>
      </w:r>
      <w:proofErr w:type="spellEnd"/>
      <w:r w:rsidR="00DD77A6">
        <w:rPr>
          <w:rFonts w:ascii="Arial" w:eastAsia="Calibri" w:hAnsi="Arial" w:cs="Arial"/>
          <w:color w:val="000000" w:themeColor="text1"/>
          <w:sz w:val="22"/>
          <w:szCs w:val="22"/>
          <w:lang w:val="es-ES_tradnl"/>
        </w:rPr>
        <w:t>) «</w:t>
      </w:r>
      <w:r w:rsidR="00DD77A6" w:rsidRPr="00DD77A6">
        <w:rPr>
          <w:rFonts w:ascii="Arial" w:eastAsia="Calibri" w:hAnsi="Arial" w:cs="Arial"/>
          <w:color w:val="000000" w:themeColor="text1"/>
          <w:sz w:val="22"/>
          <w:szCs w:val="22"/>
          <w:lang w:val="es-ES_tradnl"/>
        </w:rPr>
        <w:t>¿Dado que un posible escenario de empate para las modalidades de licitación pública y selección abreviada por subasta inversa ocurre en la audiencia de adjudicación, puede una entidad requerir a los proponentes para que alleguen los documentos que acrediten las causales descritas en la norma estando en la audiencia de adjudicación?</w:t>
      </w:r>
      <w:r w:rsidR="00DD77A6">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w:t>
      </w:r>
    </w:p>
    <w:p w14:paraId="7C90D8BB" w14:textId="77777777" w:rsidR="00900530" w:rsidRPr="005419DA" w:rsidRDefault="00900530" w:rsidP="00900530">
      <w:pPr>
        <w:jc w:val="both"/>
        <w:rPr>
          <w:rFonts w:ascii="Arial" w:hAnsi="Arial" w:cs="Arial"/>
          <w:color w:val="000000" w:themeColor="text1"/>
          <w:sz w:val="21"/>
          <w:szCs w:val="21"/>
          <w:lang w:val="es-ES_tradnl"/>
        </w:rPr>
      </w:pPr>
    </w:p>
    <w:bookmarkEnd w:id="3"/>
    <w:p w14:paraId="4805B484" w14:textId="77777777" w:rsidR="00F80411" w:rsidRPr="005419DA"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0F04AF6B" w14:textId="77777777" w:rsidR="003A06CA" w:rsidRDefault="003A06CA" w:rsidP="004E667A">
      <w:pPr>
        <w:spacing w:line="276" w:lineRule="auto"/>
        <w:jc w:val="both"/>
        <w:rPr>
          <w:rFonts w:ascii="Arial" w:eastAsia="Calibri" w:hAnsi="Arial" w:cs="Arial"/>
          <w:color w:val="000000" w:themeColor="text1"/>
          <w:sz w:val="22"/>
          <w:szCs w:val="22"/>
          <w:lang w:val="es-ES_tradnl"/>
        </w:rPr>
      </w:pPr>
    </w:p>
    <w:p w14:paraId="177E45DF" w14:textId="741B87F8" w:rsidR="008C77EF" w:rsidRDefault="00B1414F" w:rsidP="000B22B3">
      <w:pPr>
        <w:spacing w:after="120"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Para resolver las preguntas realizadas en la consulta, l</w:t>
      </w:r>
      <w:r w:rsidR="00F412AF" w:rsidRPr="0027683D">
        <w:rPr>
          <w:rFonts w:ascii="Arial" w:eastAsia="Calibri" w:hAnsi="Arial" w:cs="Arial"/>
          <w:color w:val="000000" w:themeColor="text1"/>
          <w:sz w:val="22"/>
          <w:szCs w:val="22"/>
          <w:lang w:val="es-ES_tradnl"/>
        </w:rPr>
        <w:t>a Subdirección de Gestión Contractual analiza</w:t>
      </w:r>
      <w:r>
        <w:rPr>
          <w:rFonts w:ascii="Arial" w:eastAsia="Calibri" w:hAnsi="Arial" w:cs="Arial"/>
          <w:color w:val="000000" w:themeColor="text1"/>
          <w:sz w:val="22"/>
          <w:szCs w:val="22"/>
          <w:lang w:val="es-ES_tradnl"/>
        </w:rPr>
        <w:t>rá</w:t>
      </w:r>
      <w:r w:rsidR="00F412AF" w:rsidRPr="0027683D">
        <w:rPr>
          <w:rFonts w:ascii="Arial" w:eastAsia="Calibri" w:hAnsi="Arial" w:cs="Arial"/>
          <w:color w:val="000000" w:themeColor="text1"/>
          <w:sz w:val="22"/>
          <w:szCs w:val="22"/>
          <w:lang w:val="es-ES_tradnl"/>
        </w:rPr>
        <w:t xml:space="preserve"> los siguientes temas: i)</w:t>
      </w:r>
      <w:r w:rsidR="00ED48E8">
        <w:rPr>
          <w:rFonts w:ascii="Arial" w:eastAsia="Calibri" w:hAnsi="Arial" w:cs="Arial"/>
          <w:color w:val="000000" w:themeColor="text1"/>
          <w:sz w:val="22"/>
          <w:szCs w:val="22"/>
          <w:lang w:val="es-ES_tradnl"/>
        </w:rPr>
        <w:t xml:space="preserve"> </w:t>
      </w:r>
      <w:r w:rsidR="00ED48E8" w:rsidRPr="00B73D58">
        <w:rPr>
          <w:rFonts w:ascii="Arial" w:eastAsia="Calibri" w:hAnsi="Arial" w:cs="Arial"/>
          <w:sz w:val="22"/>
          <w:szCs w:val="22"/>
          <w:lang w:val="es-ES_tradnl"/>
        </w:rPr>
        <w:t xml:space="preserve">definición de los criterios de desempate en la contratación estatal, </w:t>
      </w:r>
      <w:proofErr w:type="spellStart"/>
      <w:r w:rsidR="00ED48E8" w:rsidRPr="00B73D58">
        <w:rPr>
          <w:rFonts w:ascii="Arial" w:eastAsia="Calibri" w:hAnsi="Arial" w:cs="Arial"/>
          <w:sz w:val="22"/>
          <w:szCs w:val="22"/>
          <w:lang w:val="es-ES_tradnl"/>
        </w:rPr>
        <w:t>ii</w:t>
      </w:r>
      <w:proofErr w:type="spellEnd"/>
      <w:r w:rsidR="00ED48E8" w:rsidRPr="00B73D58">
        <w:rPr>
          <w:rFonts w:ascii="Arial" w:eastAsia="Calibri" w:hAnsi="Arial" w:cs="Arial"/>
          <w:sz w:val="22"/>
          <w:szCs w:val="22"/>
          <w:lang w:val="es-ES_tradnl"/>
        </w:rPr>
        <w:t>) vigencia y ámbito de aplicación de la Ley 2069 de 2020</w:t>
      </w:r>
      <w:r w:rsidR="000A4F09">
        <w:rPr>
          <w:rFonts w:ascii="Arial" w:eastAsia="Calibri" w:hAnsi="Arial" w:cs="Arial"/>
          <w:sz w:val="22"/>
          <w:szCs w:val="22"/>
          <w:lang w:val="es-ES_tradnl"/>
        </w:rPr>
        <w:t>,</w:t>
      </w:r>
      <w:r w:rsidR="00ED48E8">
        <w:rPr>
          <w:rFonts w:ascii="Arial" w:eastAsia="Calibri" w:hAnsi="Arial" w:cs="Arial"/>
          <w:sz w:val="22"/>
          <w:szCs w:val="22"/>
          <w:lang w:val="es-ES_tradnl"/>
        </w:rPr>
        <w:t xml:space="preserve"> </w:t>
      </w:r>
      <w:proofErr w:type="spellStart"/>
      <w:r w:rsidR="00ED48E8" w:rsidRPr="00B73D58">
        <w:rPr>
          <w:rFonts w:ascii="Arial" w:eastAsia="Calibri" w:hAnsi="Arial" w:cs="Arial"/>
          <w:sz w:val="22"/>
          <w:szCs w:val="22"/>
          <w:lang w:val="es-ES_tradnl"/>
        </w:rPr>
        <w:t>iii</w:t>
      </w:r>
      <w:proofErr w:type="spellEnd"/>
      <w:r w:rsidR="00ED48E8" w:rsidRPr="00B73D58">
        <w:rPr>
          <w:rFonts w:ascii="Arial" w:eastAsia="Calibri" w:hAnsi="Arial" w:cs="Arial"/>
          <w:sz w:val="22"/>
          <w:szCs w:val="22"/>
          <w:lang w:val="es-ES_tradnl"/>
        </w:rPr>
        <w:t xml:space="preserve">) factores de desempate consagrados en el artículo 35 de la mencionada </w:t>
      </w:r>
      <w:r w:rsidR="000A4F09">
        <w:rPr>
          <w:rFonts w:ascii="Arial" w:eastAsia="Calibri" w:hAnsi="Arial" w:cs="Arial"/>
          <w:sz w:val="22"/>
          <w:szCs w:val="22"/>
          <w:lang w:val="es-ES_tradnl"/>
        </w:rPr>
        <w:t>l</w:t>
      </w:r>
      <w:r w:rsidR="00ED48E8" w:rsidRPr="00B73D58">
        <w:rPr>
          <w:rFonts w:ascii="Arial" w:eastAsia="Calibri" w:hAnsi="Arial" w:cs="Arial"/>
          <w:sz w:val="22"/>
          <w:szCs w:val="22"/>
          <w:lang w:val="es-ES_tradnl"/>
        </w:rPr>
        <w:t>ey</w:t>
      </w:r>
      <w:r w:rsidR="00A40D4D">
        <w:rPr>
          <w:rFonts w:ascii="Arial" w:eastAsia="Calibri" w:hAnsi="Arial" w:cs="Arial"/>
          <w:sz w:val="22"/>
          <w:szCs w:val="22"/>
          <w:lang w:val="es-ES_tradnl"/>
        </w:rPr>
        <w:t xml:space="preserve"> y</w:t>
      </w:r>
      <w:r w:rsidR="00ED48E8">
        <w:rPr>
          <w:rFonts w:ascii="Arial" w:eastAsia="Calibri" w:hAnsi="Arial" w:cs="Arial"/>
          <w:sz w:val="22"/>
          <w:szCs w:val="22"/>
          <w:lang w:val="es-ES_tradnl"/>
        </w:rPr>
        <w:t xml:space="preserve"> </w:t>
      </w:r>
      <w:proofErr w:type="spellStart"/>
      <w:r w:rsidR="00ED48E8">
        <w:rPr>
          <w:rFonts w:ascii="Arial" w:eastAsia="Calibri" w:hAnsi="Arial" w:cs="Arial"/>
          <w:sz w:val="22"/>
          <w:szCs w:val="22"/>
          <w:lang w:val="es-ES_tradnl"/>
        </w:rPr>
        <w:t>iv</w:t>
      </w:r>
      <w:proofErr w:type="spellEnd"/>
      <w:r w:rsidR="00ED48E8">
        <w:rPr>
          <w:rFonts w:ascii="Arial" w:eastAsia="Calibri" w:hAnsi="Arial" w:cs="Arial"/>
          <w:sz w:val="22"/>
          <w:szCs w:val="22"/>
          <w:lang w:val="es-ES_tradnl"/>
        </w:rPr>
        <w:t>)</w:t>
      </w:r>
      <w:r w:rsidR="00A40D4D">
        <w:rPr>
          <w:rFonts w:ascii="Arial" w:eastAsia="Calibri" w:hAnsi="Arial" w:cs="Arial"/>
          <w:sz w:val="22"/>
          <w:szCs w:val="22"/>
          <w:lang w:val="es-ES_tradnl"/>
        </w:rPr>
        <w:t xml:space="preserve"> </w:t>
      </w:r>
      <w:r w:rsidR="000A4F09">
        <w:rPr>
          <w:rFonts w:ascii="Arial" w:eastAsia="Calibri" w:hAnsi="Arial" w:cs="Arial"/>
          <w:sz w:val="22"/>
          <w:szCs w:val="22"/>
          <w:lang w:val="es-ES_tradnl"/>
        </w:rPr>
        <w:t>regla de</w:t>
      </w:r>
      <w:r w:rsidR="00ED48E8" w:rsidRPr="00ED48E8">
        <w:rPr>
          <w:rFonts w:ascii="Arial" w:eastAsia="Calibri" w:hAnsi="Arial" w:cs="Arial"/>
          <w:sz w:val="22"/>
          <w:szCs w:val="22"/>
          <w:lang w:val="es-ES_tradnl"/>
        </w:rPr>
        <w:t xml:space="preserve"> </w:t>
      </w:r>
      <w:proofErr w:type="spellStart"/>
      <w:r w:rsidR="00ED48E8" w:rsidRPr="00ED48E8">
        <w:rPr>
          <w:rFonts w:ascii="Arial" w:eastAsia="Calibri" w:hAnsi="Arial" w:cs="Arial"/>
          <w:sz w:val="22"/>
          <w:szCs w:val="22"/>
          <w:lang w:val="es-ES_tradnl"/>
        </w:rPr>
        <w:t>subsanabilidad</w:t>
      </w:r>
      <w:proofErr w:type="spellEnd"/>
      <w:r w:rsidR="00ED48E8" w:rsidRPr="00ED48E8">
        <w:rPr>
          <w:rFonts w:ascii="Arial" w:eastAsia="Calibri" w:hAnsi="Arial" w:cs="Arial"/>
          <w:sz w:val="22"/>
          <w:szCs w:val="22"/>
          <w:lang w:val="es-ES_tradnl"/>
        </w:rPr>
        <w:t xml:space="preserve"> en los procedimientos de selección</w:t>
      </w:r>
      <w:r w:rsidR="00ED48E8">
        <w:rPr>
          <w:rFonts w:ascii="Arial" w:eastAsia="Calibri" w:hAnsi="Arial" w:cs="Arial"/>
          <w:sz w:val="22"/>
          <w:szCs w:val="22"/>
          <w:lang w:val="es-ES_tradnl"/>
        </w:rPr>
        <w:t>.</w:t>
      </w:r>
    </w:p>
    <w:p w14:paraId="0BF93C7D" w14:textId="1C66F23E" w:rsidR="003A06CA" w:rsidRDefault="00ED48E8" w:rsidP="00ED48E8">
      <w:pPr>
        <w:spacing w:line="276" w:lineRule="auto"/>
        <w:ind w:firstLine="708"/>
        <w:jc w:val="both"/>
        <w:rPr>
          <w:rFonts w:ascii="Arial" w:eastAsia="Calibri" w:hAnsi="Arial" w:cs="Arial"/>
          <w:sz w:val="22"/>
          <w:szCs w:val="22"/>
          <w:lang w:val="es-ES_tradnl"/>
        </w:rPr>
      </w:pPr>
      <w:r w:rsidRPr="00B73D58">
        <w:rPr>
          <w:rFonts w:ascii="Arial" w:eastAsia="Calibri" w:hAnsi="Arial" w:cs="Arial"/>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w:t>
      </w:r>
      <w:r>
        <w:rPr>
          <w:rFonts w:ascii="Arial" w:eastAsia="Calibri" w:hAnsi="Arial" w:cs="Arial"/>
          <w:sz w:val="22"/>
          <w:szCs w:val="22"/>
          <w:lang w:val="es-ES_tradnl"/>
        </w:rPr>
        <w:t xml:space="preserve"> De igual manera, Colombia Compra Eficiente estudió, en los conceptos C-006 del 5 de febrero de 2021, C-043 del 9 de febrero de 2021, C-044 del 2 de marzo de 2021, C-056 del 8 de marzo de 2021, C-069 del 12 de marzo de 2021, </w:t>
      </w:r>
      <w:r w:rsidR="00B31451" w:rsidRPr="00B31451">
        <w:rPr>
          <w:rFonts w:ascii="Arial" w:eastAsia="Calibri" w:hAnsi="Arial" w:cs="Arial"/>
          <w:sz w:val="22"/>
          <w:szCs w:val="22"/>
          <w:lang w:val="es-ES_tradnl"/>
        </w:rPr>
        <w:t>C-101 del 24 de marzo de 202, C-102 del 25 de marzo de 2021, C-136, C-138 y C-139 del 7 de abril de 2021, C-141 del 08 de abril de 2021, C-162 y C-165 de 13 de abril de 2021, C-164 del 19 de abril de 2021, C-166 del 23 de abril de 2021</w:t>
      </w:r>
      <w:r w:rsidR="00B31451">
        <w:rPr>
          <w:rFonts w:ascii="Arial" w:eastAsia="Calibri" w:hAnsi="Arial" w:cs="Arial"/>
          <w:sz w:val="22"/>
          <w:szCs w:val="22"/>
          <w:lang w:val="es-ES_tradnl"/>
        </w:rPr>
        <w:t>,</w:t>
      </w:r>
      <w:r w:rsidR="00B31451" w:rsidRPr="00B31451">
        <w:rPr>
          <w:rFonts w:ascii="Arial" w:eastAsia="Calibri" w:hAnsi="Arial" w:cs="Arial"/>
          <w:sz w:val="22"/>
          <w:szCs w:val="22"/>
          <w:lang w:val="es-ES_tradnl"/>
        </w:rPr>
        <w:t xml:space="preserve"> C-191 del 26 de abril de 2021</w:t>
      </w:r>
      <w:r w:rsidR="00B31451">
        <w:rPr>
          <w:rFonts w:ascii="Arial" w:eastAsia="Calibri" w:hAnsi="Arial" w:cs="Arial"/>
          <w:sz w:val="22"/>
          <w:szCs w:val="22"/>
          <w:lang w:val="es-ES_tradnl"/>
        </w:rPr>
        <w:t xml:space="preserve"> y C-209 del 10 de mayo de 2021, s</w:t>
      </w:r>
      <w:r w:rsidR="00B31451" w:rsidRPr="00B31451">
        <w:rPr>
          <w:rFonts w:ascii="Arial" w:eastAsia="Calibri" w:hAnsi="Arial" w:cs="Arial"/>
          <w:sz w:val="22"/>
          <w:szCs w:val="22"/>
          <w:lang w:val="es-ES_tradnl"/>
        </w:rPr>
        <w:t>e analizaron algunos aspectos sobre la aplicación de los factores de desempate introducidos por la Ley 2069 de 2020.</w:t>
      </w:r>
      <w:r>
        <w:rPr>
          <w:rFonts w:ascii="Arial" w:eastAsia="Calibri" w:hAnsi="Arial" w:cs="Arial"/>
          <w:sz w:val="22"/>
          <w:szCs w:val="22"/>
          <w:lang w:val="es-ES_tradnl"/>
        </w:rPr>
        <w:t xml:space="preserve"> </w:t>
      </w:r>
      <w:r w:rsidR="00DD054E">
        <w:rPr>
          <w:rFonts w:ascii="Arial" w:eastAsia="Calibri" w:hAnsi="Arial" w:cs="Arial"/>
          <w:sz w:val="22"/>
          <w:szCs w:val="22"/>
          <w:lang w:val="es-ES_tradnl"/>
        </w:rPr>
        <w:t xml:space="preserve">Finalmente, </w:t>
      </w:r>
      <w:r w:rsidR="00DD054E" w:rsidRPr="00DD054E">
        <w:rPr>
          <w:rFonts w:ascii="Arial" w:eastAsia="Calibri" w:hAnsi="Arial" w:cs="Arial"/>
          <w:sz w:val="22"/>
          <w:szCs w:val="22"/>
          <w:lang w:val="es-ES_tradnl"/>
        </w:rPr>
        <w:t>en los conceptos 4201912000005659 del 21 de agosto de 2019, CU–060 del 24 de febrero de 2020, C-218 del 02 de abril de 2020, C-675 del 25 de noviembre de 2020, C-730 del 14 de diciembre de 2020</w:t>
      </w:r>
      <w:r w:rsidR="00DD054E">
        <w:rPr>
          <w:rFonts w:ascii="Arial" w:eastAsia="Calibri" w:hAnsi="Arial" w:cs="Arial"/>
          <w:sz w:val="22"/>
          <w:szCs w:val="22"/>
          <w:lang w:val="es-ES_tradnl"/>
        </w:rPr>
        <w:t xml:space="preserve">, </w:t>
      </w:r>
      <w:r w:rsidR="00DD054E" w:rsidRPr="00DD054E">
        <w:rPr>
          <w:rFonts w:ascii="Arial" w:eastAsia="Calibri" w:hAnsi="Arial" w:cs="Arial"/>
          <w:sz w:val="22"/>
          <w:szCs w:val="22"/>
          <w:lang w:val="es-ES_tradnl"/>
        </w:rPr>
        <w:t>C-779 del 18 de enero de 2021</w:t>
      </w:r>
      <w:r w:rsidR="00DD054E">
        <w:rPr>
          <w:rFonts w:ascii="Arial" w:eastAsia="Calibri" w:hAnsi="Arial" w:cs="Arial"/>
          <w:sz w:val="22"/>
          <w:szCs w:val="22"/>
          <w:lang w:val="es-ES_tradnl"/>
        </w:rPr>
        <w:t xml:space="preserve"> y C-010 del 16 de febrero de 2021, la Agencia se pronunció sobre </w:t>
      </w:r>
      <w:r w:rsidR="00DD054E" w:rsidRPr="00DC2C79">
        <w:rPr>
          <w:rFonts w:ascii="Arial" w:eastAsia="Calibri" w:hAnsi="Arial" w:cs="Arial"/>
          <w:color w:val="000000" w:themeColor="text1"/>
          <w:sz w:val="22"/>
          <w:lang w:val="es-ES_tradnl"/>
        </w:rPr>
        <w:t xml:space="preserve">el alcance de la regla de la </w:t>
      </w:r>
      <w:proofErr w:type="spellStart"/>
      <w:r w:rsidR="00DD054E" w:rsidRPr="00DC2C79">
        <w:rPr>
          <w:rFonts w:ascii="Arial" w:eastAsia="Calibri" w:hAnsi="Arial" w:cs="Arial"/>
          <w:color w:val="000000" w:themeColor="text1"/>
          <w:sz w:val="22"/>
          <w:lang w:val="es-ES_tradnl"/>
        </w:rPr>
        <w:t>subsanabilidad</w:t>
      </w:r>
      <w:proofErr w:type="spellEnd"/>
      <w:r w:rsidR="00DD054E" w:rsidRPr="00DC2C79">
        <w:rPr>
          <w:rFonts w:ascii="Arial" w:eastAsia="Calibri" w:hAnsi="Arial" w:cs="Arial"/>
          <w:color w:val="000000" w:themeColor="text1"/>
          <w:sz w:val="22"/>
          <w:lang w:val="es-ES_tradnl"/>
        </w:rPr>
        <w:t xml:space="preserve"> de las ofertas en los procedimientos de selección</w:t>
      </w:r>
      <w:r w:rsidR="00DD054E">
        <w:rPr>
          <w:rFonts w:ascii="Arial" w:eastAsia="Calibri" w:hAnsi="Arial" w:cs="Arial"/>
          <w:color w:val="000000" w:themeColor="text1"/>
          <w:sz w:val="22"/>
          <w:lang w:val="es-ES_tradnl"/>
        </w:rPr>
        <w:t>. Algunas de las consideraciones de estos conceptos se reiteran a continuación.</w:t>
      </w:r>
    </w:p>
    <w:p w14:paraId="1B3A0249" w14:textId="77777777" w:rsidR="00ED48E8" w:rsidRPr="000E0D71" w:rsidRDefault="00ED48E8" w:rsidP="004E667A">
      <w:pPr>
        <w:spacing w:line="276" w:lineRule="auto"/>
        <w:jc w:val="both"/>
        <w:rPr>
          <w:rFonts w:ascii="Arial" w:eastAsia="Calibri" w:hAnsi="Arial" w:cs="Arial"/>
          <w:color w:val="000000" w:themeColor="text1"/>
          <w:sz w:val="22"/>
          <w:szCs w:val="22"/>
          <w:lang w:val="es-ES_tradnl"/>
        </w:rPr>
      </w:pPr>
    </w:p>
    <w:p w14:paraId="544695F6" w14:textId="77777777" w:rsidR="002637B6" w:rsidRPr="00DD054E" w:rsidRDefault="00DD054E" w:rsidP="002637B6">
      <w:pPr>
        <w:spacing w:line="276" w:lineRule="auto"/>
        <w:jc w:val="both"/>
        <w:rPr>
          <w:rFonts w:ascii="Arial" w:eastAsia="Calibri" w:hAnsi="Arial" w:cs="Arial"/>
          <w:b/>
          <w:bCs/>
          <w:sz w:val="22"/>
          <w:szCs w:val="22"/>
          <w:lang w:val="es-ES_tradnl"/>
        </w:rPr>
      </w:pPr>
      <w:bookmarkStart w:id="4" w:name="_Hlk66196033"/>
      <w:r w:rsidRPr="00DD054E">
        <w:rPr>
          <w:rFonts w:ascii="Arial" w:eastAsia="Calibri" w:hAnsi="Arial" w:cs="Arial"/>
          <w:b/>
          <w:bCs/>
          <w:sz w:val="22"/>
          <w:szCs w:val="22"/>
          <w:lang w:val="es-ES_tradnl"/>
        </w:rPr>
        <w:t xml:space="preserve">2.1. </w:t>
      </w:r>
      <w:r w:rsidR="002637B6" w:rsidRPr="00DD054E">
        <w:rPr>
          <w:rFonts w:ascii="Arial" w:eastAsia="Calibri" w:hAnsi="Arial" w:cs="Arial"/>
          <w:b/>
          <w:bCs/>
          <w:sz w:val="22"/>
          <w:szCs w:val="22"/>
          <w:lang w:val="es-ES_tradnl"/>
        </w:rPr>
        <w:t>Vigencia y ámbito de aplicación de la Ley 2069 de 2020</w:t>
      </w:r>
    </w:p>
    <w:p w14:paraId="32F3E120" w14:textId="77777777" w:rsidR="002637B6" w:rsidRPr="00DD054E" w:rsidRDefault="002637B6" w:rsidP="002637B6">
      <w:pPr>
        <w:spacing w:line="276" w:lineRule="auto"/>
        <w:jc w:val="both"/>
        <w:rPr>
          <w:rFonts w:ascii="Arial" w:eastAsia="Calibri" w:hAnsi="Arial" w:cs="Arial"/>
          <w:sz w:val="22"/>
          <w:szCs w:val="22"/>
          <w:lang w:val="es-ES_tradnl"/>
        </w:rPr>
      </w:pPr>
    </w:p>
    <w:p w14:paraId="708C811D" w14:textId="77777777" w:rsidR="00D93968" w:rsidRPr="005419DA" w:rsidRDefault="00D93968" w:rsidP="00D93968">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w:t>
      </w:r>
      <w:r w:rsidRPr="005419DA">
        <w:rPr>
          <w:rFonts w:ascii="Arial" w:eastAsia="Calibri" w:hAnsi="Arial" w:cs="Arial"/>
          <w:color w:val="000000" w:themeColor="text1"/>
          <w:sz w:val="22"/>
          <w:szCs w:val="22"/>
          <w:lang w:val="es-ES_tradnl"/>
        </w:rPr>
        <w:lastRenderedPageBreak/>
        <w:t>confiere el artículo 189, numeral 11, de la Constitución Política, expida el decreto correspondiente que permita la cumplida ejecución de esta Ley.</w:t>
      </w:r>
    </w:p>
    <w:p w14:paraId="59423AD5" w14:textId="77777777" w:rsidR="00D93968" w:rsidRPr="005419DA" w:rsidRDefault="00D93968" w:rsidP="00D93968">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cuan</w:t>
      </w:r>
      <w:r>
        <w:rPr>
          <w:rFonts w:ascii="Arial" w:eastAsia="Calibri" w:hAnsi="Arial" w:cs="Arial"/>
          <w:color w:val="000000" w:themeColor="text1"/>
          <w:sz w:val="22"/>
          <w:szCs w:val="22"/>
          <w:lang w:val="es-ES_tradnl"/>
        </w:rPr>
        <w:t>t</w:t>
      </w:r>
      <w:r w:rsidRPr="005419DA">
        <w:rPr>
          <w:rFonts w:ascii="Arial" w:eastAsia="Calibri" w:hAnsi="Arial" w:cs="Arial"/>
          <w:color w:val="000000" w:themeColor="text1"/>
          <w:sz w:val="22"/>
          <w:szCs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419DA">
        <w:rPr>
          <w:rFonts w:ascii="Arial" w:eastAsia="Calibri" w:hAnsi="Arial" w:cs="Arial"/>
          <w:color w:val="000000" w:themeColor="text1"/>
          <w:sz w:val="22"/>
          <w:szCs w:val="22"/>
          <w:lang w:val="es-ES_tradnl"/>
        </w:rPr>
        <w:t>de acuerdo a</w:t>
      </w:r>
      <w:proofErr w:type="gramEnd"/>
      <w:r w:rsidRPr="005419DA">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2"/>
      </w:r>
      <w:r w:rsidRPr="005419DA">
        <w:rPr>
          <w:rFonts w:ascii="Arial" w:eastAsia="Calibri" w:hAnsi="Arial" w:cs="Arial"/>
          <w:color w:val="000000" w:themeColor="text1"/>
          <w:sz w:val="22"/>
          <w:szCs w:val="22"/>
          <w:lang w:val="es-ES_tradnl"/>
        </w:rPr>
        <w:t>, así como 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De igual forma,</w:t>
      </w:r>
      <w:r w:rsidRPr="005419DA">
        <w:rPr>
          <w:rFonts w:ascii="Arial" w:eastAsia="Calibri" w:hAnsi="Arial" w:cs="Arial"/>
          <w:color w:val="000000" w:themeColor="text1"/>
          <w:sz w:val="22"/>
          <w:szCs w:val="22"/>
          <w:lang w:val="es-ES_tradnl"/>
        </w:rPr>
        <w:t xml:space="preserve"> se consagran mecanismos de acceso al financiamiento</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w:t>
      </w:r>
    </w:p>
    <w:p w14:paraId="0E0224C5" w14:textId="4E942E1F" w:rsidR="002637B6" w:rsidRPr="00D93968" w:rsidRDefault="00D93968" w:rsidP="00D93968">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indicó, parte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procedimiento de mínima cuantía, </w:t>
      </w:r>
      <w:proofErr w:type="spellStart"/>
      <w:r w:rsidRPr="005419DA">
        <w:rPr>
          <w:rFonts w:ascii="Arial" w:eastAsia="Calibri" w:hAnsi="Arial" w:cs="Arial"/>
          <w:color w:val="000000" w:themeColor="text1"/>
          <w:sz w:val="22"/>
          <w:szCs w:val="22"/>
          <w:lang w:val="es-ES_tradnl"/>
        </w:rPr>
        <w:t>ii</w:t>
      </w:r>
      <w:proofErr w:type="spellEnd"/>
      <w:r w:rsidRPr="005419DA">
        <w:rPr>
          <w:rFonts w:ascii="Arial" w:eastAsia="Calibri" w:hAnsi="Arial" w:cs="Arial"/>
          <w:color w:val="000000" w:themeColor="text1"/>
          <w:sz w:val="22"/>
          <w:szCs w:val="22"/>
          <w:lang w:val="es-ES_tradnl"/>
        </w:rPr>
        <w:t xml:space="preserve">) criterios diferenciales para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sistema de compras públicas, </w:t>
      </w:r>
      <w:proofErr w:type="spellStart"/>
      <w:r w:rsidRPr="005419DA">
        <w:rPr>
          <w:rFonts w:ascii="Arial" w:eastAsia="Calibri" w:hAnsi="Arial" w:cs="Arial"/>
          <w:color w:val="000000" w:themeColor="text1"/>
          <w:sz w:val="22"/>
          <w:szCs w:val="22"/>
          <w:lang w:val="es-ES_tradnl"/>
        </w:rPr>
        <w:t>iii</w:t>
      </w:r>
      <w:proofErr w:type="spellEnd"/>
      <w:r w:rsidRPr="005419DA">
        <w:rPr>
          <w:rFonts w:ascii="Arial" w:eastAsia="Calibri" w:hAnsi="Arial" w:cs="Arial"/>
          <w:color w:val="000000" w:themeColor="text1"/>
          <w:sz w:val="22"/>
          <w:szCs w:val="22"/>
          <w:lang w:val="es-ES_tradnl"/>
        </w:rPr>
        <w:t xml:space="preserve">) criterios diferenciales para emprendimientos y empresas de mujeres en el sistema de compras públicas, </w:t>
      </w:r>
      <w:proofErr w:type="spellStart"/>
      <w:r w:rsidRPr="005419DA">
        <w:rPr>
          <w:rFonts w:ascii="Arial" w:eastAsia="Calibri" w:hAnsi="Arial" w:cs="Arial"/>
          <w:color w:val="000000" w:themeColor="text1"/>
          <w:sz w:val="22"/>
          <w:szCs w:val="22"/>
          <w:lang w:val="es-ES_tradnl"/>
        </w:rPr>
        <w:t>iv</w:t>
      </w:r>
      <w:proofErr w:type="spellEnd"/>
      <w:r w:rsidRPr="005419DA">
        <w:rPr>
          <w:rFonts w:ascii="Arial" w:eastAsia="Calibri" w:hAnsi="Arial" w:cs="Arial"/>
          <w:color w:val="000000" w:themeColor="text1"/>
          <w:sz w:val="22"/>
          <w:szCs w:val="22"/>
          <w:lang w:val="es-ES_tradnl"/>
        </w:rPr>
        <w:t xml:space="preserve">) promoción del acceso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Pr>
          <w:rFonts w:ascii="Arial" w:eastAsia="Calibri" w:hAnsi="Arial" w:cs="Arial"/>
          <w:color w:val="000000" w:themeColor="text1"/>
          <w:sz w:val="22"/>
          <w:szCs w:val="22"/>
          <w:lang w:val="es-ES_tradnl"/>
        </w:rPr>
        <w:t>l</w:t>
      </w:r>
      <w:r w:rsidRPr="005419DA">
        <w:rPr>
          <w:rFonts w:ascii="Arial" w:eastAsia="Calibri" w:hAnsi="Arial" w:cs="Arial"/>
          <w:color w:val="000000" w:themeColor="text1"/>
          <w:sz w:val="22"/>
          <w:szCs w:val="22"/>
          <w:lang w:val="es-ES_tradnl"/>
        </w:rPr>
        <w:t xml:space="preserve">ey, a </w:t>
      </w:r>
      <w:proofErr w:type="gramStart"/>
      <w:r w:rsidRPr="005419DA">
        <w:rPr>
          <w:rFonts w:ascii="Arial" w:eastAsia="Calibri" w:hAnsi="Arial" w:cs="Arial"/>
          <w:color w:val="000000" w:themeColor="text1"/>
          <w:sz w:val="22"/>
          <w:szCs w:val="22"/>
          <w:lang w:val="es-ES_tradnl"/>
        </w:rPr>
        <w:t>continuación</w:t>
      </w:r>
      <w:proofErr w:type="gramEnd"/>
      <w:r w:rsidRPr="005419DA">
        <w:rPr>
          <w:rFonts w:ascii="Arial" w:eastAsia="Calibri" w:hAnsi="Arial" w:cs="Arial"/>
          <w:color w:val="000000" w:themeColor="text1"/>
          <w:sz w:val="22"/>
          <w:szCs w:val="22"/>
          <w:lang w:val="es-ES_tradnl"/>
        </w:rPr>
        <w:t xml:space="preserve"> se estudiará el contenido y alcance de dicha norma.  </w:t>
      </w:r>
      <w:r w:rsidR="002637B6" w:rsidRPr="00DD054E">
        <w:rPr>
          <w:rFonts w:ascii="Arial" w:eastAsia="Calibri" w:hAnsi="Arial" w:cs="Arial"/>
          <w:sz w:val="22"/>
          <w:szCs w:val="22"/>
          <w:lang w:val="es-ES_tradnl"/>
        </w:rPr>
        <w:t xml:space="preserve"> </w:t>
      </w:r>
    </w:p>
    <w:p w14:paraId="5066AFCB" w14:textId="77777777" w:rsidR="002637B6" w:rsidRDefault="002637B6" w:rsidP="00DD054E">
      <w:pPr>
        <w:spacing w:line="276" w:lineRule="auto"/>
        <w:jc w:val="both"/>
        <w:rPr>
          <w:rFonts w:ascii="Arial" w:eastAsia="Calibri" w:hAnsi="Arial" w:cs="Arial"/>
          <w:b/>
          <w:bCs/>
          <w:sz w:val="22"/>
          <w:szCs w:val="22"/>
          <w:lang w:val="es-ES_tradnl"/>
        </w:rPr>
      </w:pPr>
    </w:p>
    <w:p w14:paraId="67566C4B" w14:textId="6DA14F47" w:rsidR="00DD054E" w:rsidRPr="00DD054E" w:rsidRDefault="002637B6" w:rsidP="00DD054E">
      <w:pPr>
        <w:spacing w:line="276" w:lineRule="auto"/>
        <w:jc w:val="both"/>
        <w:rPr>
          <w:rFonts w:ascii="Arial" w:eastAsia="Calibri" w:hAnsi="Arial" w:cs="Arial"/>
          <w:sz w:val="22"/>
          <w:szCs w:val="22"/>
          <w:lang w:val="es-ES_tradnl"/>
        </w:rPr>
      </w:pPr>
      <w:r w:rsidRPr="00DD054E">
        <w:rPr>
          <w:rFonts w:ascii="Arial" w:eastAsia="Calibri" w:hAnsi="Arial" w:cs="Arial"/>
          <w:b/>
          <w:bCs/>
          <w:sz w:val="22"/>
          <w:szCs w:val="22"/>
          <w:lang w:val="es-ES_tradnl"/>
        </w:rPr>
        <w:t xml:space="preserve">2.2. </w:t>
      </w:r>
      <w:r w:rsidR="00DD054E" w:rsidRPr="00DD054E">
        <w:rPr>
          <w:rFonts w:ascii="Arial" w:eastAsia="Calibri" w:hAnsi="Arial" w:cs="Arial"/>
          <w:b/>
          <w:bCs/>
          <w:sz w:val="22"/>
          <w:szCs w:val="22"/>
          <w:lang w:val="es-ES_tradnl"/>
        </w:rPr>
        <w:t>Factores de desempate en la contratación estatal: concepto y características</w:t>
      </w:r>
    </w:p>
    <w:p w14:paraId="7985782C" w14:textId="77777777" w:rsidR="00DD054E" w:rsidRPr="00DD054E" w:rsidRDefault="00DD054E" w:rsidP="00DD054E">
      <w:pPr>
        <w:spacing w:line="276" w:lineRule="auto"/>
        <w:jc w:val="both"/>
        <w:rPr>
          <w:rFonts w:ascii="Arial" w:eastAsia="Calibri" w:hAnsi="Arial" w:cs="Arial"/>
          <w:sz w:val="22"/>
          <w:szCs w:val="22"/>
          <w:lang w:val="es-ES_tradnl"/>
        </w:rPr>
      </w:pPr>
    </w:p>
    <w:p w14:paraId="10F85F7D" w14:textId="77777777" w:rsidR="00FB0C5E" w:rsidRPr="005419DA" w:rsidRDefault="00FB0C5E" w:rsidP="00FB0C5E">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w:t>
      </w:r>
      <w:r w:rsidRPr="005419DA">
        <w:rPr>
          <w:rFonts w:ascii="Arial" w:eastAsia="Calibri" w:hAnsi="Arial" w:cs="Arial"/>
          <w:color w:val="000000" w:themeColor="text1"/>
          <w:sz w:val="22"/>
          <w:szCs w:val="22"/>
          <w:lang w:val="es-ES_tradnl"/>
        </w:rPr>
        <w:lastRenderedPageBreak/>
        <w:t xml:space="preserve">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419DA">
        <w:rPr>
          <w:rFonts w:ascii="Arial" w:eastAsia="Calibri" w:hAnsi="Arial" w:cs="Arial"/>
          <w:color w:val="000000" w:themeColor="text1"/>
          <w:sz w:val="22"/>
          <w:szCs w:val="22"/>
          <w:lang w:val="es-ES_tradnl"/>
        </w:rPr>
        <w:t>equivalentes,</w:t>
      </w:r>
      <w:proofErr w:type="gramEnd"/>
      <w:r w:rsidRPr="005419DA">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23740239" w14:textId="77777777" w:rsidR="00FB0C5E" w:rsidRPr="005419DA" w:rsidRDefault="00FB0C5E" w:rsidP="00FB0C5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348606F2" w14:textId="77777777" w:rsidR="00FB0C5E" w:rsidRPr="005419DA" w:rsidRDefault="00FB0C5E" w:rsidP="00FB0C5E">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Sin embargo</w:t>
      </w:r>
      <w:r w:rsidRPr="005419DA">
        <w:rPr>
          <w:rFonts w:ascii="Arial" w:eastAsia="Calibri" w:hAnsi="Arial" w:cs="Arial"/>
          <w:color w:val="000000" w:themeColor="text1"/>
          <w:sz w:val="22"/>
          <w:szCs w:val="22"/>
          <w:lang w:val="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Pr>
          <w:rFonts w:ascii="Arial" w:eastAsia="Calibri" w:hAnsi="Arial" w:cs="Arial"/>
          <w:color w:val="000000" w:themeColor="text1"/>
          <w:sz w:val="22"/>
          <w:szCs w:val="22"/>
          <w:lang w:val="es-ES_tradnl"/>
        </w:rPr>
        <w:t>, entre las que se cuenta,</w:t>
      </w:r>
      <w:r w:rsidRPr="005419DA">
        <w:rPr>
          <w:rFonts w:ascii="Arial" w:eastAsia="Calibri" w:hAnsi="Arial" w:cs="Arial"/>
          <w:color w:val="000000" w:themeColor="text1"/>
          <w:sz w:val="22"/>
          <w:szCs w:val="22"/>
          <w:lang w:val="es-ES_tradnl"/>
        </w:rPr>
        <w:t xml:space="preserve">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La </w:t>
      </w:r>
      <w:r>
        <w:rPr>
          <w:rFonts w:ascii="Arial" w:eastAsia="Calibri" w:hAnsi="Arial" w:cs="Arial"/>
          <w:color w:val="000000" w:themeColor="text1"/>
          <w:sz w:val="22"/>
          <w:szCs w:val="22"/>
          <w:lang w:val="es-ES_tradnl"/>
        </w:rPr>
        <w:t>jurisprudencia</w:t>
      </w:r>
      <w:r w:rsidRPr="005419DA">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Pr="005419DA">
        <w:rPr>
          <w:rStyle w:val="Refdenotaalpie"/>
          <w:rFonts w:ascii="Arial" w:hAnsi="Arial" w:cs="Arial"/>
          <w:sz w:val="21"/>
          <w:szCs w:val="21"/>
          <w:lang w:val="es-ES_tradnl"/>
        </w:rPr>
        <w:footnoteReference w:id="7"/>
      </w:r>
      <w:r w:rsidRPr="005419DA">
        <w:rPr>
          <w:rFonts w:ascii="Arial" w:eastAsia="Calibri" w:hAnsi="Arial" w:cs="Arial"/>
          <w:color w:val="000000" w:themeColor="text1"/>
          <w:sz w:val="22"/>
          <w:szCs w:val="22"/>
          <w:lang w:val="es-ES_tradnl"/>
        </w:rPr>
        <w:t xml:space="preserve">. </w:t>
      </w:r>
    </w:p>
    <w:p w14:paraId="14C53B46" w14:textId="77777777" w:rsidR="00FB0C5E" w:rsidRPr="005419DA" w:rsidRDefault="00FB0C5E" w:rsidP="00FB0C5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5419DA">
        <w:rPr>
          <w:rFonts w:ascii="Arial" w:eastAsia="Calibri" w:hAnsi="Arial" w:cs="Arial"/>
          <w:color w:val="000000" w:themeColor="text1"/>
          <w:sz w:val="22"/>
          <w:szCs w:val="22"/>
          <w:lang w:val="es-ES_tradnl"/>
        </w:rPr>
        <w:t>inaplicarlos</w:t>
      </w:r>
      <w:proofErr w:type="spellEnd"/>
      <w:r w:rsidRPr="005419DA">
        <w:rPr>
          <w:rFonts w:ascii="Arial" w:eastAsia="Calibri" w:hAnsi="Arial" w:cs="Arial"/>
          <w:color w:val="000000" w:themeColor="text1"/>
          <w:sz w:val="22"/>
          <w:szCs w:val="22"/>
          <w:lang w:val="es-ES_tradnl"/>
        </w:rPr>
        <w:t xml:space="preserve">, porque ello podría vulnerar el principio de igualdad, especialmente, cuando algunos de estos criterios </w:t>
      </w:r>
      <w:r w:rsidRPr="005419DA">
        <w:rPr>
          <w:rFonts w:ascii="Arial" w:eastAsia="Calibri" w:hAnsi="Arial" w:cs="Arial"/>
          <w:color w:val="000000" w:themeColor="text1"/>
          <w:sz w:val="22"/>
          <w:szCs w:val="22"/>
          <w:lang w:val="es-ES_tradnl"/>
        </w:rPr>
        <w:lastRenderedPageBreak/>
        <w:t>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8"/>
      </w:r>
      <w:r w:rsidRPr="005419DA">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M</w:t>
      </w:r>
      <w:r w:rsidRPr="005419DA">
        <w:rPr>
          <w:rFonts w:ascii="Arial" w:eastAsia="Calibri" w:hAnsi="Arial" w:cs="Arial"/>
          <w:color w:val="000000" w:themeColor="text1"/>
          <w:sz w:val="22"/>
          <w:szCs w:val="22"/>
          <w:lang w:val="es-ES_tradnl"/>
        </w:rPr>
        <w:t>ás</w:t>
      </w:r>
      <w:r>
        <w:rPr>
          <w:rFonts w:ascii="Arial" w:eastAsia="Calibri" w:hAnsi="Arial" w:cs="Arial"/>
          <w:color w:val="000000" w:themeColor="text1"/>
          <w:sz w:val="22"/>
          <w:szCs w:val="22"/>
          <w:lang w:val="es-ES_tradnl"/>
        </w:rPr>
        <w:t xml:space="preserve"> aún</w:t>
      </w:r>
      <w:r w:rsidRPr="005419DA">
        <w:rPr>
          <w:rFonts w:ascii="Arial" w:eastAsia="Calibri" w:hAnsi="Arial" w:cs="Arial"/>
          <w:color w:val="000000" w:themeColor="text1"/>
          <w:sz w:val="22"/>
          <w:szCs w:val="22"/>
          <w:lang w:val="es-ES_tradnl"/>
        </w:rPr>
        <w:t>, el Consejo de Estado</w:t>
      </w:r>
      <w:r>
        <w:rPr>
          <w:rFonts w:ascii="Arial" w:eastAsia="Calibri" w:hAnsi="Arial" w:cs="Arial"/>
          <w:color w:val="000000" w:themeColor="text1"/>
          <w:sz w:val="22"/>
          <w:szCs w:val="22"/>
          <w:lang w:val="es-ES_tradnl"/>
        </w:rPr>
        <w:t xml:space="preserve"> ha señalado que contrariar</w:t>
      </w:r>
      <w:r w:rsidRPr="005419DA">
        <w:rPr>
          <w:rFonts w:ascii="Arial" w:eastAsia="Calibri" w:hAnsi="Arial" w:cs="Arial"/>
          <w:color w:val="000000" w:themeColor="text1"/>
          <w:sz w:val="22"/>
          <w:szCs w:val="22"/>
          <w:lang w:val="es-ES_tradnl"/>
        </w:rPr>
        <w:t xml:space="preserve"> los factores de desempate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9"/>
      </w:r>
      <w:r w:rsidRPr="005419DA">
        <w:rPr>
          <w:rFonts w:ascii="Arial" w:eastAsia="Calibri" w:hAnsi="Arial" w:cs="Arial"/>
          <w:color w:val="000000" w:themeColor="text1"/>
          <w:sz w:val="22"/>
          <w:szCs w:val="22"/>
          <w:lang w:val="es-ES_tradnl"/>
        </w:rPr>
        <w:t>.</w:t>
      </w:r>
    </w:p>
    <w:p w14:paraId="56C9B743" w14:textId="34FEBF92" w:rsidR="00DD054E" w:rsidRPr="00FB0C5E" w:rsidRDefault="00FB0C5E" w:rsidP="00FB0C5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Ahora bien, en cumplimiento de los principios de reciprocidad y de </w:t>
      </w:r>
      <w:r w:rsidRPr="005419DA">
        <w:rPr>
          <w:rFonts w:ascii="Arial" w:eastAsia="Calibri" w:hAnsi="Arial" w:cs="Arial"/>
          <w:i/>
          <w:iCs/>
          <w:color w:val="000000" w:themeColor="text1"/>
          <w:sz w:val="22"/>
          <w:szCs w:val="22"/>
          <w:lang w:val="es-ES_tradnl"/>
        </w:rPr>
        <w:t xml:space="preserve">pacta sunt </w:t>
      </w:r>
      <w:proofErr w:type="spellStart"/>
      <w:r w:rsidRPr="005419DA">
        <w:rPr>
          <w:rFonts w:ascii="Arial" w:eastAsia="Calibri" w:hAnsi="Arial" w:cs="Arial"/>
          <w:i/>
          <w:iCs/>
          <w:color w:val="000000" w:themeColor="text1"/>
          <w:sz w:val="22"/>
          <w:szCs w:val="22"/>
          <w:lang w:val="es-ES_tradnl"/>
        </w:rPr>
        <w:t>servanda</w:t>
      </w:r>
      <w:proofErr w:type="spellEnd"/>
      <w:r w:rsidRPr="005419DA">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r w:rsidR="00DD054E" w:rsidRPr="00DD054E">
        <w:rPr>
          <w:rFonts w:ascii="Arial" w:eastAsia="Calibri" w:hAnsi="Arial" w:cs="Arial"/>
          <w:sz w:val="22"/>
          <w:szCs w:val="22"/>
          <w:lang w:val="es-ES_tradnl"/>
        </w:rPr>
        <w:t xml:space="preserve"> </w:t>
      </w:r>
    </w:p>
    <w:p w14:paraId="7FC2D389" w14:textId="77777777" w:rsidR="00DD054E" w:rsidRPr="00DD054E" w:rsidRDefault="00DD054E" w:rsidP="00DD054E">
      <w:pPr>
        <w:spacing w:line="276" w:lineRule="auto"/>
        <w:jc w:val="both"/>
        <w:rPr>
          <w:rFonts w:ascii="Arial" w:eastAsia="Calibri" w:hAnsi="Arial" w:cs="Arial"/>
          <w:sz w:val="22"/>
          <w:szCs w:val="22"/>
          <w:lang w:val="es-ES_tradnl"/>
        </w:rPr>
      </w:pPr>
    </w:p>
    <w:p w14:paraId="703A28E6" w14:textId="77777777" w:rsidR="00DD054E" w:rsidRPr="00DD054E" w:rsidRDefault="00DD054E" w:rsidP="00DD054E">
      <w:pPr>
        <w:spacing w:line="276" w:lineRule="auto"/>
        <w:jc w:val="both"/>
        <w:rPr>
          <w:rFonts w:ascii="Arial" w:eastAsia="Calibri" w:hAnsi="Arial" w:cs="Arial"/>
          <w:b/>
          <w:bCs/>
          <w:sz w:val="22"/>
          <w:szCs w:val="22"/>
          <w:lang w:val="es-ES_tradnl"/>
        </w:rPr>
      </w:pPr>
      <w:r w:rsidRPr="00DD054E">
        <w:rPr>
          <w:rFonts w:ascii="Arial" w:eastAsia="Calibri" w:hAnsi="Arial" w:cs="Arial"/>
          <w:b/>
          <w:bCs/>
          <w:sz w:val="22"/>
          <w:szCs w:val="22"/>
          <w:lang w:val="es-ES_tradnl"/>
        </w:rPr>
        <w:t>2.3. Forma de acreditación de los factores de desempate consagrados en el artículo 35 de la Ley 2069 de 2020</w:t>
      </w:r>
    </w:p>
    <w:p w14:paraId="0A5DE2B1" w14:textId="77777777" w:rsidR="000B1091" w:rsidRDefault="000B1091" w:rsidP="000B1091">
      <w:pPr>
        <w:spacing w:line="276" w:lineRule="auto"/>
        <w:jc w:val="both"/>
        <w:rPr>
          <w:rFonts w:ascii="Arial" w:eastAsia="Calibri" w:hAnsi="Arial" w:cs="Arial"/>
          <w:color w:val="000000" w:themeColor="text1"/>
          <w:sz w:val="22"/>
          <w:szCs w:val="22"/>
          <w:lang w:val="es-ES_tradnl"/>
        </w:rPr>
      </w:pPr>
    </w:p>
    <w:p w14:paraId="09CBF9F7" w14:textId="482AD33D" w:rsidR="000B1091" w:rsidRPr="00325B05" w:rsidRDefault="000B1091" w:rsidP="000B1091">
      <w:pPr>
        <w:spacing w:line="276" w:lineRule="auto"/>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w:t>
      </w:r>
      <w:r w:rsidR="00533257">
        <w:rPr>
          <w:rFonts w:ascii="Arial" w:eastAsia="Calibri" w:hAnsi="Arial" w:cs="Arial"/>
          <w:color w:val="000000" w:themeColor="text1"/>
          <w:sz w:val="22"/>
          <w:szCs w:val="22"/>
          <w:lang w:val="es-ES_tradnl"/>
        </w:rPr>
        <w:t>este</w:t>
      </w:r>
      <w:r w:rsidRPr="00325B05">
        <w:rPr>
          <w:rFonts w:ascii="Arial" w:eastAsia="Calibri" w:hAnsi="Arial" w:cs="Arial"/>
          <w:color w:val="000000" w:themeColor="text1"/>
          <w:sz w:val="22"/>
          <w:szCs w:val="22"/>
          <w:lang w:val="es-ES_tradnl"/>
        </w:rPr>
        <w:t xml:space="preserve"> artículo, la Agencia se pronunciará sobre el alcance que otorga a </w:t>
      </w:r>
      <w:r w:rsidR="00533257">
        <w:rPr>
          <w:rFonts w:ascii="Arial" w:eastAsia="Calibri" w:hAnsi="Arial" w:cs="Arial"/>
          <w:color w:val="000000" w:themeColor="text1"/>
          <w:sz w:val="22"/>
          <w:szCs w:val="22"/>
          <w:lang w:val="es-ES_tradnl"/>
        </w:rPr>
        <w:t>esta</w:t>
      </w:r>
      <w:r w:rsidR="00533257" w:rsidRPr="00325B05">
        <w:rPr>
          <w:rFonts w:ascii="Arial" w:eastAsia="Calibri" w:hAnsi="Arial" w:cs="Arial"/>
          <w:color w:val="000000" w:themeColor="text1"/>
          <w:sz w:val="22"/>
          <w:szCs w:val="22"/>
          <w:lang w:val="es-ES_tradnl"/>
        </w:rPr>
        <w:t xml:space="preserve"> </w:t>
      </w:r>
      <w:r w:rsidRPr="00325B05">
        <w:rPr>
          <w:rFonts w:ascii="Arial" w:eastAsia="Calibri" w:hAnsi="Arial" w:cs="Arial"/>
          <w:color w:val="000000" w:themeColor="text1"/>
          <w:sz w:val="22"/>
          <w:szCs w:val="22"/>
          <w:lang w:val="es-ES_tradnl"/>
        </w:rPr>
        <w:t>disposici</w:t>
      </w:r>
      <w:r w:rsidR="00533257">
        <w:rPr>
          <w:rFonts w:ascii="Arial" w:eastAsia="Calibri" w:hAnsi="Arial" w:cs="Arial"/>
          <w:color w:val="000000" w:themeColor="text1"/>
          <w:sz w:val="22"/>
          <w:szCs w:val="22"/>
          <w:lang w:val="es-ES_tradnl"/>
        </w:rPr>
        <w:t>ón. Esto</w:t>
      </w:r>
      <w:r w:rsidRPr="00325B05">
        <w:rPr>
          <w:rFonts w:ascii="Arial" w:eastAsia="Calibri" w:hAnsi="Arial" w:cs="Arial"/>
          <w:color w:val="000000" w:themeColor="text1"/>
          <w:sz w:val="22"/>
          <w:szCs w:val="22"/>
          <w:lang w:val="es-ES_tradnl"/>
        </w:rPr>
        <w:t xml:space="preserve"> sin pasar por alto la novedad de la Ley 2069 de 2020 –dada su reciente </w:t>
      </w:r>
      <w:proofErr w:type="gramStart"/>
      <w:r w:rsidRPr="00325B05">
        <w:rPr>
          <w:rFonts w:ascii="Arial" w:eastAsia="Calibri" w:hAnsi="Arial" w:cs="Arial"/>
          <w:color w:val="000000" w:themeColor="text1"/>
          <w:sz w:val="22"/>
          <w:szCs w:val="22"/>
          <w:lang w:val="es-ES_tradnl"/>
        </w:rPr>
        <w:t>entrada en vigencia</w:t>
      </w:r>
      <w:proofErr w:type="gramEnd"/>
      <w:r w:rsidRPr="00325B05">
        <w:rPr>
          <w:rFonts w:ascii="Arial" w:eastAsia="Calibri" w:hAnsi="Arial" w:cs="Arial"/>
          <w:color w:val="000000" w:themeColor="text1"/>
          <w:sz w:val="22"/>
          <w:szCs w:val="22"/>
          <w:lang w:val="es-ES_tradnl"/>
        </w:rPr>
        <w:t>– y la ausencia de pronunciamientos jurisprudenciales o estudios doctrinarios sobre el tema, que seguramente contribuirán a decantar la interpretación de las normas en comento.</w:t>
      </w:r>
    </w:p>
    <w:p w14:paraId="714124C9" w14:textId="77777777" w:rsidR="000B1091" w:rsidRPr="00325B05" w:rsidRDefault="000B1091" w:rsidP="000B1091">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Al respecto, </w:t>
      </w:r>
      <w:r w:rsidRPr="00325B05">
        <w:rPr>
          <w:rFonts w:ascii="Arial" w:eastAsia="Calibri" w:hAnsi="Arial" w:cs="Arial"/>
          <w:sz w:val="22"/>
          <w:szCs w:val="22"/>
          <w:lang w:val="es-ES_tradnl"/>
        </w:rPr>
        <w:t>pese a que el parágrafo 3 dispone que el Gobierno Nacional podrá regular los supuestos en que concurran dos o más factores de desempate,</w:t>
      </w:r>
      <w:r w:rsidRPr="00325B05">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6B2D2BBA" w14:textId="77777777" w:rsidR="000B1091" w:rsidRPr="00325B05" w:rsidRDefault="000B1091" w:rsidP="000B1091">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lastRenderedPageBreak/>
        <w:t xml:space="preserve">Por ejemplo, en lo que a las compras públicas se refiere, el parágrafo primero del artículo 30, que alude a la participación de </w:t>
      </w:r>
      <w:proofErr w:type="spellStart"/>
      <w:r w:rsidRPr="00325B05">
        <w:rPr>
          <w:rFonts w:ascii="Arial" w:eastAsia="Calibri" w:hAnsi="Arial" w:cs="Arial"/>
          <w:color w:val="000000" w:themeColor="text1"/>
          <w:sz w:val="22"/>
          <w:szCs w:val="22"/>
          <w:lang w:val="es-ES_tradnl"/>
        </w:rPr>
        <w:t>mipymes</w:t>
      </w:r>
      <w:proofErr w:type="spellEnd"/>
      <w:r w:rsidRPr="00325B05">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325B05">
        <w:rPr>
          <w:rFonts w:ascii="Arial" w:eastAsia="Calibri" w:hAnsi="Arial" w:cs="Arial"/>
          <w:color w:val="000000" w:themeColor="text1"/>
          <w:sz w:val="22"/>
          <w:szCs w:val="22"/>
          <w:lang w:val="es-ES_tradnl"/>
        </w:rPr>
        <w:t>Mipymes</w:t>
      </w:r>
      <w:proofErr w:type="spellEnd"/>
      <w:r w:rsidRPr="00325B05">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3EF37063" w14:textId="77777777" w:rsidR="000B1091" w:rsidRPr="00325B05" w:rsidRDefault="000B1091" w:rsidP="000B1091">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1C2B5C82" w14:textId="77777777" w:rsidR="000B1091" w:rsidRPr="00325B05" w:rsidRDefault="000B1091" w:rsidP="000B1091">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Lo mismo no sucede con el artículo 35</w:t>
      </w:r>
      <w:r w:rsidRPr="00325B05">
        <w:rPr>
          <w:rFonts w:ascii="Arial" w:eastAsia="Calibri" w:hAnsi="Arial" w:cs="Arial"/>
          <w:sz w:val="22"/>
          <w:szCs w:val="22"/>
          <w:lang w:val="es-ES_tradnl"/>
        </w:rPr>
        <w:t xml:space="preserve">. En efecto, </w:t>
      </w:r>
      <w:r w:rsidRPr="00325B05">
        <w:rPr>
          <w:rFonts w:ascii="Arial" w:hAnsi="Arial" w:cs="Arial"/>
          <w:color w:val="000000" w:themeColor="text1"/>
          <w:sz w:val="22"/>
          <w:szCs w:val="22"/>
          <w:lang w:val="es-ES_tradnl"/>
        </w:rPr>
        <w:t>si bien los factores de desempate regulados en el artículo 35 deben aplicarse «</w:t>
      </w:r>
      <w:r w:rsidRPr="00325B05">
        <w:rPr>
          <w:rFonts w:ascii="Arial" w:hAnsi="Arial" w:cs="Arial"/>
          <w:lang w:val="es-ES_tradnl"/>
        </w:rPr>
        <w:t xml:space="preserve">[…] </w:t>
      </w:r>
      <w:r w:rsidRPr="00325B05">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325B05">
        <w:rPr>
          <w:rFonts w:ascii="Arial" w:eastAsia="Calibri" w:hAnsi="Arial" w:cs="Arial"/>
          <w:color w:val="000000" w:themeColor="text1"/>
          <w:sz w:val="22"/>
          <w:szCs w:val="22"/>
          <w:lang w:val="es-ES_tradnl"/>
        </w:rPr>
        <w:t xml:space="preserve">  </w:t>
      </w:r>
    </w:p>
    <w:p w14:paraId="4688B933" w14:textId="77777777" w:rsidR="000B1091" w:rsidRPr="00325B05" w:rsidRDefault="000B1091" w:rsidP="000B1091">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325B05">
        <w:rPr>
          <w:rFonts w:ascii="Arial" w:eastAsia="Calibri" w:hAnsi="Arial" w:cs="Arial"/>
          <w:i/>
          <w:iCs/>
          <w:color w:val="000000" w:themeColor="text1"/>
          <w:sz w:val="22"/>
          <w:szCs w:val="22"/>
          <w:lang w:val="es-ES_tradnl"/>
        </w:rPr>
        <w:t>podrá reglamentar</w:t>
      </w:r>
      <w:r w:rsidRPr="00325B05">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0635A86E" w14:textId="77777777" w:rsidR="000B1091" w:rsidRPr="00325B05" w:rsidRDefault="000B1091" w:rsidP="000B1091">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w:t>
      </w:r>
      <w:r w:rsidRPr="00325B05">
        <w:rPr>
          <w:rFonts w:ascii="Arial" w:eastAsia="Calibri" w:hAnsi="Arial" w:cs="Arial"/>
          <w:color w:val="000000" w:themeColor="text1"/>
          <w:sz w:val="22"/>
          <w:szCs w:val="22"/>
          <w:lang w:val="es-ES_tradnl"/>
        </w:rPr>
        <w:lastRenderedPageBreak/>
        <w:t>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024002C2" w14:textId="752B2D4C" w:rsidR="00DD054E" w:rsidRDefault="000B1091" w:rsidP="006B16B5">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Los numerales del artículo 35 de la Ley 2069 de 2020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w:t>
      </w:r>
      <w:r>
        <w:rPr>
          <w:rFonts w:ascii="Arial" w:eastAsia="Calibri" w:hAnsi="Arial" w:cs="Arial"/>
          <w:color w:val="000000" w:themeColor="text1"/>
          <w:sz w:val="22"/>
          <w:szCs w:val="22"/>
          <w:lang w:val="es-ES_tradnl"/>
        </w:rPr>
        <w:t xml:space="preserve"> anteriormente</w:t>
      </w:r>
      <w:r w:rsidRPr="00325B05">
        <w:rPr>
          <w:rFonts w:ascii="Arial" w:eastAsia="Calibri" w:hAnsi="Arial" w:cs="Arial"/>
          <w:color w:val="000000" w:themeColor="text1"/>
          <w:sz w:val="22"/>
          <w:szCs w:val="22"/>
          <w:lang w:val="es-ES_tradnl"/>
        </w:rPr>
        <w:t>.</w:t>
      </w:r>
    </w:p>
    <w:p w14:paraId="2EFBBA1C" w14:textId="77777777" w:rsidR="006B16B5" w:rsidRPr="00DD054E" w:rsidRDefault="006B16B5" w:rsidP="000B22B3">
      <w:pPr>
        <w:spacing w:line="276" w:lineRule="auto"/>
        <w:ind w:firstLine="709"/>
        <w:jc w:val="both"/>
        <w:rPr>
          <w:rFonts w:ascii="Arial" w:eastAsia="Calibri" w:hAnsi="Arial" w:cs="Arial"/>
          <w:color w:val="000000" w:themeColor="text1"/>
          <w:sz w:val="22"/>
          <w:szCs w:val="22"/>
          <w:lang w:val="es-ES_tradnl"/>
        </w:rPr>
      </w:pPr>
    </w:p>
    <w:p w14:paraId="047808DE" w14:textId="31CFF68F" w:rsidR="007321B0" w:rsidRDefault="00A40D4D" w:rsidP="006B16B5">
      <w:pPr>
        <w:spacing w:line="276" w:lineRule="auto"/>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szCs w:val="22"/>
          <w:lang w:val="es-ES_tradnl"/>
        </w:rPr>
        <w:t xml:space="preserve">2.4 El alcance de la regla de </w:t>
      </w:r>
      <w:proofErr w:type="spellStart"/>
      <w:r>
        <w:rPr>
          <w:rFonts w:ascii="Arial" w:eastAsia="Calibri" w:hAnsi="Arial" w:cs="Arial"/>
          <w:b/>
          <w:bCs/>
          <w:color w:val="000000" w:themeColor="text1"/>
          <w:sz w:val="22"/>
          <w:szCs w:val="22"/>
          <w:lang w:val="es-ES_tradnl"/>
        </w:rPr>
        <w:t>subsanabilidad</w:t>
      </w:r>
      <w:proofErr w:type="spellEnd"/>
      <w:r>
        <w:rPr>
          <w:rFonts w:ascii="Arial" w:eastAsia="Calibri" w:hAnsi="Arial" w:cs="Arial"/>
          <w:b/>
          <w:bCs/>
          <w:color w:val="000000" w:themeColor="text1"/>
          <w:sz w:val="22"/>
          <w:szCs w:val="22"/>
          <w:lang w:val="es-ES_tradnl"/>
        </w:rPr>
        <w:t xml:space="preserve"> para acreditar los factores de desempate previstos en la Ley 2069 de 2020</w:t>
      </w:r>
    </w:p>
    <w:p w14:paraId="1232971B" w14:textId="77777777" w:rsidR="006B16B5" w:rsidRDefault="006B16B5" w:rsidP="000B22B3">
      <w:pPr>
        <w:spacing w:line="276" w:lineRule="auto"/>
        <w:jc w:val="both"/>
        <w:rPr>
          <w:rFonts w:ascii="Arial" w:eastAsia="Calibri" w:hAnsi="Arial" w:cs="Arial"/>
          <w:b/>
          <w:bCs/>
          <w:color w:val="000000" w:themeColor="text1"/>
          <w:sz w:val="22"/>
          <w:szCs w:val="22"/>
          <w:lang w:val="es-ES_tradnl"/>
        </w:rPr>
      </w:pPr>
    </w:p>
    <w:p w14:paraId="271636BF" w14:textId="297D4061" w:rsidR="00AB2676" w:rsidRDefault="007476DC" w:rsidP="000B22B3">
      <w:pPr>
        <w:spacing w:after="120"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Precisado</w:t>
      </w:r>
      <w:r w:rsidR="001F28A2">
        <w:rPr>
          <w:rFonts w:ascii="Arial" w:eastAsia="Calibri" w:hAnsi="Arial" w:cs="Arial"/>
          <w:color w:val="000000" w:themeColor="text1"/>
          <w:sz w:val="22"/>
          <w:szCs w:val="22"/>
          <w:lang w:val="es-ES_tradnl"/>
        </w:rPr>
        <w:t xml:space="preserve"> el tratamiento que debe darle la entidad estatal a los documentos que acreditan los factores de desempate, es </w:t>
      </w:r>
      <w:r>
        <w:rPr>
          <w:rFonts w:ascii="Arial" w:eastAsia="Calibri" w:hAnsi="Arial" w:cs="Arial"/>
          <w:color w:val="000000" w:themeColor="text1"/>
          <w:sz w:val="22"/>
          <w:szCs w:val="22"/>
          <w:lang w:val="es-ES_tradnl"/>
        </w:rPr>
        <w:t>necesario precisar</w:t>
      </w:r>
      <w:r w:rsidR="00641BFA">
        <w:rPr>
          <w:rFonts w:ascii="Arial" w:eastAsia="Calibri" w:hAnsi="Arial" w:cs="Arial"/>
          <w:color w:val="000000" w:themeColor="text1"/>
          <w:sz w:val="22"/>
          <w:szCs w:val="22"/>
          <w:lang w:val="es-ES_tradnl"/>
        </w:rPr>
        <w:t xml:space="preserve"> los siguientes aspectos:</w:t>
      </w:r>
      <w:r w:rsidR="001F28A2">
        <w:rPr>
          <w:rFonts w:ascii="Arial" w:eastAsia="Calibri" w:hAnsi="Arial" w:cs="Arial"/>
          <w:color w:val="000000" w:themeColor="text1"/>
          <w:sz w:val="22"/>
          <w:szCs w:val="22"/>
          <w:lang w:val="es-ES_tradnl"/>
        </w:rPr>
        <w:t xml:space="preserve"> i) el momento en el que el proponente debe aportar los documentos que acreditan las causales </w:t>
      </w:r>
      <w:r w:rsidR="00473555">
        <w:rPr>
          <w:rFonts w:ascii="Arial" w:eastAsia="Calibri" w:hAnsi="Arial" w:cs="Arial"/>
          <w:color w:val="000000" w:themeColor="text1"/>
          <w:sz w:val="22"/>
          <w:szCs w:val="22"/>
          <w:lang w:val="es-ES_tradnl"/>
        </w:rPr>
        <w:t>d</w:t>
      </w:r>
      <w:r w:rsidR="00641BFA">
        <w:rPr>
          <w:rFonts w:ascii="Arial" w:eastAsia="Calibri" w:hAnsi="Arial" w:cs="Arial"/>
          <w:color w:val="000000" w:themeColor="text1"/>
          <w:sz w:val="22"/>
          <w:szCs w:val="22"/>
          <w:lang w:val="es-ES_tradnl"/>
        </w:rPr>
        <w:t>el artículo 35 de</w:t>
      </w:r>
      <w:r w:rsidR="001F28A2">
        <w:rPr>
          <w:rFonts w:ascii="Arial" w:eastAsia="Calibri" w:hAnsi="Arial" w:cs="Arial"/>
          <w:color w:val="000000" w:themeColor="text1"/>
          <w:sz w:val="22"/>
          <w:szCs w:val="22"/>
          <w:lang w:val="es-ES_tradnl"/>
        </w:rPr>
        <w:t xml:space="preserve"> la </w:t>
      </w:r>
      <w:r w:rsidR="00641BFA">
        <w:rPr>
          <w:rFonts w:ascii="Arial" w:eastAsia="Calibri" w:hAnsi="Arial" w:cs="Arial"/>
          <w:color w:val="000000" w:themeColor="text1"/>
          <w:sz w:val="22"/>
          <w:szCs w:val="22"/>
          <w:lang w:val="es-ES_tradnl"/>
        </w:rPr>
        <w:t>L</w:t>
      </w:r>
      <w:r w:rsidR="001F28A2">
        <w:rPr>
          <w:rFonts w:ascii="Arial" w:eastAsia="Calibri" w:hAnsi="Arial" w:cs="Arial"/>
          <w:color w:val="000000" w:themeColor="text1"/>
          <w:sz w:val="22"/>
          <w:szCs w:val="22"/>
          <w:lang w:val="es-ES_tradnl"/>
        </w:rPr>
        <w:t>ey 2069 de 2020</w:t>
      </w:r>
      <w:r w:rsidR="00641BFA">
        <w:rPr>
          <w:rFonts w:ascii="Arial" w:eastAsia="Calibri" w:hAnsi="Arial" w:cs="Arial"/>
          <w:color w:val="000000" w:themeColor="text1"/>
          <w:sz w:val="22"/>
          <w:szCs w:val="22"/>
          <w:lang w:val="es-ES_tradnl"/>
        </w:rPr>
        <w:t>,</w:t>
      </w:r>
      <w:r w:rsidR="001F28A2">
        <w:rPr>
          <w:rFonts w:ascii="Arial" w:eastAsia="Calibri" w:hAnsi="Arial" w:cs="Arial"/>
          <w:color w:val="000000" w:themeColor="text1"/>
          <w:sz w:val="22"/>
          <w:szCs w:val="22"/>
          <w:lang w:val="es-ES_tradnl"/>
        </w:rPr>
        <w:t xml:space="preserve"> </w:t>
      </w:r>
      <w:proofErr w:type="spellStart"/>
      <w:r w:rsidR="001F28A2">
        <w:rPr>
          <w:rFonts w:ascii="Arial" w:eastAsia="Calibri" w:hAnsi="Arial" w:cs="Arial"/>
          <w:color w:val="000000" w:themeColor="text1"/>
          <w:sz w:val="22"/>
          <w:szCs w:val="22"/>
          <w:lang w:val="es-ES_tradnl"/>
        </w:rPr>
        <w:t>ii</w:t>
      </w:r>
      <w:proofErr w:type="spellEnd"/>
      <w:r w:rsidR="001F28A2">
        <w:rPr>
          <w:rFonts w:ascii="Arial" w:eastAsia="Calibri" w:hAnsi="Arial" w:cs="Arial"/>
          <w:color w:val="000000" w:themeColor="text1"/>
          <w:sz w:val="22"/>
          <w:szCs w:val="22"/>
          <w:lang w:val="es-ES_tradnl"/>
        </w:rPr>
        <w:t>) si la no entrega de estos documentos es subsanable</w:t>
      </w:r>
      <w:r w:rsidR="00376A63">
        <w:rPr>
          <w:rFonts w:ascii="Arial" w:eastAsia="Calibri" w:hAnsi="Arial" w:cs="Arial"/>
          <w:color w:val="000000" w:themeColor="text1"/>
          <w:sz w:val="22"/>
          <w:szCs w:val="22"/>
          <w:lang w:val="es-ES_tradnl"/>
        </w:rPr>
        <w:t xml:space="preserve"> y</w:t>
      </w:r>
      <w:r w:rsidR="001F28A2">
        <w:rPr>
          <w:rFonts w:ascii="Arial" w:eastAsia="Calibri" w:hAnsi="Arial" w:cs="Arial"/>
          <w:color w:val="000000" w:themeColor="text1"/>
          <w:sz w:val="22"/>
          <w:szCs w:val="22"/>
          <w:lang w:val="es-ES_tradnl"/>
        </w:rPr>
        <w:t xml:space="preserve"> </w:t>
      </w:r>
      <w:proofErr w:type="spellStart"/>
      <w:r w:rsidR="001F28A2">
        <w:rPr>
          <w:rFonts w:ascii="Arial" w:eastAsia="Calibri" w:hAnsi="Arial" w:cs="Arial"/>
          <w:color w:val="000000" w:themeColor="text1"/>
          <w:sz w:val="22"/>
          <w:szCs w:val="22"/>
          <w:lang w:val="es-ES_tradnl"/>
        </w:rPr>
        <w:t>iii</w:t>
      </w:r>
      <w:proofErr w:type="spellEnd"/>
      <w:r w:rsidR="001F28A2">
        <w:rPr>
          <w:rFonts w:ascii="Arial" w:eastAsia="Calibri" w:hAnsi="Arial" w:cs="Arial"/>
          <w:color w:val="000000" w:themeColor="text1"/>
          <w:sz w:val="22"/>
          <w:szCs w:val="22"/>
          <w:lang w:val="es-ES_tradnl"/>
        </w:rPr>
        <w:t xml:space="preserve">) si es posible solicitar los documentos que acreditan los factores de desempate en la audiencia de adjudicación. </w:t>
      </w:r>
      <w:r w:rsidR="00E2423B">
        <w:rPr>
          <w:rFonts w:ascii="Arial" w:eastAsia="Calibri" w:hAnsi="Arial" w:cs="Arial"/>
          <w:color w:val="000000" w:themeColor="text1"/>
          <w:sz w:val="22"/>
          <w:szCs w:val="22"/>
          <w:lang w:val="es-ES_tradnl"/>
        </w:rPr>
        <w:t>Para esto</w:t>
      </w:r>
      <w:r w:rsidR="00893E47">
        <w:rPr>
          <w:rFonts w:ascii="Arial" w:eastAsia="Calibri" w:hAnsi="Arial" w:cs="Arial"/>
          <w:color w:val="000000" w:themeColor="text1"/>
          <w:sz w:val="22"/>
          <w:szCs w:val="22"/>
          <w:lang w:val="es-ES_tradnl"/>
        </w:rPr>
        <w:t>s efectos</w:t>
      </w:r>
      <w:r w:rsidR="00E2423B">
        <w:rPr>
          <w:rFonts w:ascii="Arial" w:eastAsia="Calibri" w:hAnsi="Arial" w:cs="Arial"/>
          <w:color w:val="000000" w:themeColor="text1"/>
          <w:sz w:val="22"/>
          <w:szCs w:val="22"/>
          <w:lang w:val="es-ES_tradnl"/>
        </w:rPr>
        <w:t xml:space="preserve">, </w:t>
      </w:r>
      <w:r w:rsidR="00893E47">
        <w:rPr>
          <w:rFonts w:ascii="Arial" w:eastAsia="Calibri" w:hAnsi="Arial" w:cs="Arial"/>
          <w:color w:val="000000" w:themeColor="text1"/>
          <w:sz w:val="22"/>
          <w:szCs w:val="22"/>
          <w:lang w:val="es-ES_tradnl"/>
        </w:rPr>
        <w:t>es necesario realizar algunas</w:t>
      </w:r>
      <w:r w:rsidR="00E2423B">
        <w:rPr>
          <w:rFonts w:ascii="Arial" w:eastAsia="Calibri" w:hAnsi="Arial" w:cs="Arial"/>
          <w:color w:val="000000" w:themeColor="text1"/>
          <w:sz w:val="22"/>
          <w:szCs w:val="22"/>
          <w:lang w:val="es-ES_tradnl"/>
        </w:rPr>
        <w:t xml:space="preserve"> consideraciones sobre el alcance de la regla de </w:t>
      </w:r>
      <w:proofErr w:type="spellStart"/>
      <w:r w:rsidR="00E2423B">
        <w:rPr>
          <w:rFonts w:ascii="Arial" w:eastAsia="Calibri" w:hAnsi="Arial" w:cs="Arial"/>
          <w:color w:val="000000" w:themeColor="text1"/>
          <w:sz w:val="22"/>
          <w:szCs w:val="22"/>
          <w:lang w:val="es-ES_tradnl"/>
        </w:rPr>
        <w:t>subsanabilidad</w:t>
      </w:r>
      <w:proofErr w:type="spellEnd"/>
      <w:r w:rsidR="00AB2676">
        <w:rPr>
          <w:rFonts w:ascii="Arial" w:eastAsia="Calibri" w:hAnsi="Arial" w:cs="Arial"/>
          <w:color w:val="000000" w:themeColor="text1"/>
          <w:sz w:val="22"/>
          <w:szCs w:val="22"/>
          <w:lang w:val="es-ES_tradnl"/>
        </w:rPr>
        <w:t xml:space="preserve"> en los procesos de selección</w:t>
      </w:r>
      <w:r w:rsidR="00E2423B">
        <w:rPr>
          <w:rFonts w:ascii="Arial" w:eastAsia="Calibri" w:hAnsi="Arial" w:cs="Arial"/>
          <w:color w:val="000000" w:themeColor="text1"/>
          <w:sz w:val="22"/>
          <w:szCs w:val="22"/>
          <w:lang w:val="es-ES_tradnl"/>
        </w:rPr>
        <w:t>.</w:t>
      </w:r>
    </w:p>
    <w:p w14:paraId="4B6F50C4" w14:textId="77777777" w:rsidR="00283C7E" w:rsidRDefault="00283C7E" w:rsidP="000B22B3">
      <w:pPr>
        <w:spacing w:line="276" w:lineRule="auto"/>
        <w:ind w:firstLine="708"/>
        <w:jc w:val="both"/>
        <w:rPr>
          <w:rFonts w:ascii="Arial" w:eastAsia="Calibri" w:hAnsi="Arial" w:cs="Arial"/>
          <w:color w:val="000000" w:themeColor="text1"/>
          <w:sz w:val="22"/>
          <w:lang w:val="es-ES"/>
        </w:rPr>
      </w:pPr>
      <w:r w:rsidRPr="000F6C89">
        <w:rPr>
          <w:rFonts w:ascii="Arial" w:eastAsia="Calibri" w:hAnsi="Arial" w:cs="Arial"/>
          <w:color w:val="000000" w:themeColor="text1"/>
          <w:sz w:val="22"/>
          <w:lang w:val="es-ES"/>
        </w:rPr>
        <w:t xml:space="preserve">La </w:t>
      </w:r>
      <w:proofErr w:type="spellStart"/>
      <w:r w:rsidRPr="000F6C89">
        <w:rPr>
          <w:rFonts w:ascii="Arial" w:eastAsia="Calibri" w:hAnsi="Arial" w:cs="Arial"/>
          <w:color w:val="000000" w:themeColor="text1"/>
          <w:sz w:val="22"/>
          <w:lang w:val="es-ES"/>
        </w:rPr>
        <w:t>subsanabilidad</w:t>
      </w:r>
      <w:proofErr w:type="spellEnd"/>
      <w:r w:rsidRPr="000F6C89">
        <w:rPr>
          <w:rFonts w:ascii="Arial" w:eastAsia="Calibri" w:hAnsi="Arial" w:cs="Arial"/>
          <w:color w:val="000000" w:themeColor="text1"/>
          <w:sz w:val="22"/>
          <w:lang w:val="es-ES"/>
        </w:rPr>
        <w:t xml:space="preserve"> es un mecanismo previsto en los proce</w:t>
      </w:r>
      <w:r>
        <w:rPr>
          <w:rFonts w:ascii="Arial" w:eastAsia="Calibri" w:hAnsi="Arial" w:cs="Arial"/>
          <w:color w:val="000000" w:themeColor="text1"/>
          <w:sz w:val="22"/>
          <w:lang w:val="es-ES"/>
        </w:rPr>
        <w:t>dimientos</w:t>
      </w:r>
      <w:r w:rsidRPr="000F6C89">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regulados</w:t>
      </w:r>
      <w:r w:rsidRPr="000F6C89">
        <w:rPr>
          <w:rFonts w:ascii="Arial" w:eastAsia="Calibri" w:hAnsi="Arial" w:cs="Arial"/>
          <w:color w:val="000000" w:themeColor="text1"/>
          <w:sz w:val="22"/>
          <w:lang w:val="es-ES"/>
        </w:rPr>
        <w:t xml:space="preserve"> por el Estatuto de Contratación Estatal de Colombia. Esta regla</w:t>
      </w:r>
      <w:r>
        <w:rPr>
          <w:rFonts w:ascii="Arial" w:eastAsia="Calibri" w:hAnsi="Arial" w:cs="Arial"/>
          <w:color w:val="000000" w:themeColor="text1"/>
          <w:sz w:val="22"/>
          <w:lang w:val="es-ES"/>
        </w:rPr>
        <w:t>,</w:t>
      </w:r>
      <w:r w:rsidRPr="000F6C89">
        <w:rPr>
          <w:rFonts w:ascii="Arial" w:eastAsia="Calibri" w:hAnsi="Arial" w:cs="Arial"/>
          <w:color w:val="000000" w:themeColor="text1"/>
          <w:sz w:val="22"/>
          <w:lang w:val="es-ES"/>
        </w:rPr>
        <w:t xml:space="preserve"> prevista en el artículo 5 de la Ley 1150 de 2007, permit</w:t>
      </w:r>
      <w:r>
        <w:rPr>
          <w:rFonts w:ascii="Arial" w:eastAsia="Calibri" w:hAnsi="Arial" w:cs="Arial"/>
          <w:color w:val="000000" w:themeColor="text1"/>
          <w:sz w:val="22"/>
          <w:lang w:val="es-ES"/>
        </w:rPr>
        <w:t>e</w:t>
      </w:r>
      <w:r w:rsidRPr="000F6C89">
        <w:rPr>
          <w:rFonts w:ascii="Arial" w:eastAsia="Calibri" w:hAnsi="Arial" w:cs="Arial"/>
          <w:color w:val="000000" w:themeColor="text1"/>
          <w:sz w:val="22"/>
          <w:lang w:val="es-ES"/>
        </w:rPr>
        <w:t xml:space="preserve"> que los proponentes puedan enmendar, corregir o modificar los errores en los documentos</w:t>
      </w:r>
      <w:r>
        <w:rPr>
          <w:rFonts w:ascii="Arial" w:eastAsia="Calibri" w:hAnsi="Arial" w:cs="Arial"/>
          <w:color w:val="000000" w:themeColor="text1"/>
          <w:sz w:val="22"/>
          <w:lang w:val="es-ES"/>
        </w:rPr>
        <w:t xml:space="preserve"> de la oferta respecto a los requisitos habilitantes. Además, la posibilidad de subsanar estos documentos tiene como propósito: </w:t>
      </w:r>
    </w:p>
    <w:p w14:paraId="087A3E68" w14:textId="77777777" w:rsidR="00283C7E" w:rsidRDefault="00283C7E" w:rsidP="00283C7E">
      <w:pPr>
        <w:spacing w:line="276" w:lineRule="auto"/>
        <w:jc w:val="both"/>
        <w:rPr>
          <w:rFonts w:ascii="Arial" w:eastAsia="Calibri" w:hAnsi="Arial" w:cs="Arial"/>
          <w:color w:val="000000" w:themeColor="text1"/>
          <w:sz w:val="22"/>
          <w:lang w:val="es-ES"/>
        </w:rPr>
      </w:pPr>
    </w:p>
    <w:p w14:paraId="54B8CF08" w14:textId="77777777" w:rsidR="00283C7E" w:rsidRPr="00724CB1" w:rsidRDefault="00283C7E" w:rsidP="00283C7E">
      <w:pPr>
        <w:ind w:left="709" w:right="709"/>
        <w:jc w:val="both"/>
        <w:rPr>
          <w:rFonts w:ascii="Arial" w:eastAsia="Calibri" w:hAnsi="Arial" w:cs="Arial"/>
          <w:color w:val="000000" w:themeColor="text1"/>
          <w:sz w:val="21"/>
          <w:szCs w:val="21"/>
          <w:lang w:val="es-ES"/>
        </w:rPr>
      </w:pPr>
      <w:r w:rsidRPr="00724CB1">
        <w:rPr>
          <w:rFonts w:ascii="Arial" w:eastAsia="Calibri" w:hAnsi="Arial" w:cs="Arial"/>
          <w:color w:val="000000" w:themeColor="text1"/>
          <w:sz w:val="21"/>
          <w:szCs w:val="21"/>
          <w:lang w:val="es-ES"/>
        </w:rPr>
        <w:t xml:space="preserve">[…] </w:t>
      </w:r>
      <w:r w:rsidRPr="00ED3142">
        <w:rPr>
          <w:rFonts w:ascii="Arial" w:eastAsia="Calibri" w:hAnsi="Arial" w:cs="Arial"/>
          <w:color w:val="000000" w:themeColor="text1"/>
          <w:sz w:val="21"/>
          <w:szCs w:val="21"/>
          <w:lang w:val="es-ES"/>
        </w:rPr>
        <w:t xml:space="preserve">materializar un principio general de primacía de lo sustancial sobre lo formal, adoptando medidas de saneamiento del proceso de selección tendientes a que los meros defectos formales, que no afecten sustancialmente la oferta, referidos </w:t>
      </w:r>
      <w:r w:rsidRPr="00ED3142">
        <w:rPr>
          <w:rFonts w:ascii="Arial" w:eastAsia="Calibri" w:hAnsi="Arial" w:cs="Arial"/>
          <w:color w:val="000000" w:themeColor="text1"/>
          <w:sz w:val="21"/>
          <w:szCs w:val="21"/>
          <w:lang w:val="es-ES"/>
        </w:rPr>
        <w:lastRenderedPageBreak/>
        <w:t xml:space="preserve">a la documentación o instrumentalización de </w:t>
      </w:r>
      <w:proofErr w:type="gramStart"/>
      <w:r w:rsidRPr="00ED3142">
        <w:rPr>
          <w:rFonts w:ascii="Arial" w:eastAsia="Calibri" w:hAnsi="Arial" w:cs="Arial"/>
          <w:color w:val="000000" w:themeColor="text1"/>
          <w:sz w:val="21"/>
          <w:szCs w:val="21"/>
          <w:lang w:val="es-ES"/>
        </w:rPr>
        <w:t>la misma</w:t>
      </w:r>
      <w:proofErr w:type="gramEnd"/>
      <w:r w:rsidRPr="00ED3142">
        <w:rPr>
          <w:rFonts w:ascii="Arial" w:eastAsia="Calibri" w:hAnsi="Arial" w:cs="Arial"/>
          <w:color w:val="000000" w:themeColor="text1"/>
          <w:sz w:val="21"/>
          <w:szCs w:val="21"/>
          <w:lang w:val="es-ES"/>
        </w:rPr>
        <w:t>, priven a la administración de considerar una oferta por causa de tales falencias</w:t>
      </w:r>
      <w:r>
        <w:rPr>
          <w:rStyle w:val="Refdenotaalpie"/>
          <w:rFonts w:ascii="Arial" w:eastAsia="Calibri" w:hAnsi="Arial" w:cs="Arial"/>
          <w:color w:val="000000" w:themeColor="text1"/>
          <w:sz w:val="21"/>
          <w:szCs w:val="21"/>
          <w:lang w:val="es-ES"/>
        </w:rPr>
        <w:footnoteReference w:id="10"/>
      </w:r>
      <w:r>
        <w:rPr>
          <w:rFonts w:ascii="Arial" w:eastAsia="Calibri" w:hAnsi="Arial" w:cs="Arial"/>
          <w:color w:val="000000" w:themeColor="text1"/>
          <w:sz w:val="21"/>
          <w:szCs w:val="21"/>
          <w:lang w:val="es-ES"/>
        </w:rPr>
        <w:t>.</w:t>
      </w:r>
    </w:p>
    <w:p w14:paraId="50EB4909" w14:textId="77777777" w:rsidR="00283C7E" w:rsidRDefault="00283C7E" w:rsidP="00283C7E">
      <w:pPr>
        <w:spacing w:line="276" w:lineRule="auto"/>
        <w:jc w:val="both"/>
        <w:rPr>
          <w:rFonts w:ascii="Arial" w:eastAsia="Calibri" w:hAnsi="Arial" w:cs="Arial"/>
          <w:color w:val="000000" w:themeColor="text1"/>
          <w:sz w:val="22"/>
          <w:lang w:val="es-ES"/>
        </w:rPr>
      </w:pPr>
    </w:p>
    <w:p w14:paraId="6D5DC405" w14:textId="77777777" w:rsidR="00283C7E" w:rsidRDefault="00283C7E" w:rsidP="000B22B3">
      <w:pPr>
        <w:spacing w:after="120" w:line="276" w:lineRule="auto"/>
        <w:ind w:firstLine="708"/>
        <w:jc w:val="both"/>
        <w:rPr>
          <w:rFonts w:ascii="Arial" w:hAnsi="Arial" w:cs="Arial"/>
          <w:color w:val="000000" w:themeColor="text1"/>
          <w:sz w:val="22"/>
          <w:lang w:val="es-ES_tradnl"/>
        </w:rPr>
      </w:pPr>
      <w:r>
        <w:rPr>
          <w:rFonts w:ascii="Arial" w:eastAsia="Calibri" w:hAnsi="Arial" w:cs="Arial"/>
          <w:color w:val="000000" w:themeColor="text1"/>
          <w:sz w:val="22"/>
          <w:lang w:val="es-ES"/>
        </w:rPr>
        <w:t xml:space="preserve">A raíz de lo anterior, no podrán rechazarse las propuestas por ausencia de requisitos o falta de documentos que verifiquen las condiciones habilitantes del proponente, y que, a su vez, estos no se constituyan como factores de comparación entre propuestas. </w:t>
      </w:r>
      <w:r>
        <w:rPr>
          <w:rFonts w:ascii="Arial" w:hAnsi="Arial" w:cs="Arial"/>
          <w:color w:val="000000" w:themeColor="text1"/>
          <w:sz w:val="22"/>
          <w:lang w:val="es-ES_tradnl"/>
        </w:rPr>
        <w:t xml:space="preserve">Ahora bien, la posibilidad de subsanar los documentos contentivos de la oferta es un tema que ha tenido diferentes momentos o etapas en el ordenamiento jurídico colombiano. </w:t>
      </w:r>
    </w:p>
    <w:p w14:paraId="4135E748" w14:textId="77777777" w:rsidR="00283C7E" w:rsidRPr="00801108" w:rsidRDefault="00283C7E" w:rsidP="00283C7E">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En un </w:t>
      </w:r>
      <w:r w:rsidRPr="00801108">
        <w:rPr>
          <w:rFonts w:ascii="Arial" w:hAnsi="Arial" w:cs="Arial"/>
          <w:i/>
          <w:color w:val="000000" w:themeColor="text1"/>
          <w:sz w:val="22"/>
          <w:lang w:val="es-ES_tradnl"/>
        </w:rPr>
        <w:t>primer momento</w:t>
      </w:r>
      <w:r w:rsidRPr="00801108">
        <w:rPr>
          <w:rFonts w:ascii="Arial" w:hAnsi="Arial" w:cs="Arial"/>
          <w:color w:val="000000" w:themeColor="text1"/>
          <w:sz w:val="22"/>
          <w:lang w:val="es-ES_tradnl"/>
        </w:rPr>
        <w:t xml:space="preserve">, antes de la entrada en vigor de la Constitución Política de 1991, el régimen jurídico de la </w:t>
      </w:r>
      <w:proofErr w:type="spellStart"/>
      <w:r w:rsidRPr="00801108">
        <w:rPr>
          <w:rFonts w:ascii="Arial" w:hAnsi="Arial" w:cs="Arial"/>
          <w:color w:val="000000" w:themeColor="text1"/>
          <w:sz w:val="22"/>
          <w:lang w:val="es-ES_tradnl"/>
        </w:rPr>
        <w:t>subsanabilidad</w:t>
      </w:r>
      <w:proofErr w:type="spellEnd"/>
      <w:r w:rsidRPr="00801108">
        <w:rPr>
          <w:rFonts w:ascii="Arial" w:hAnsi="Arial" w:cs="Arial"/>
          <w:color w:val="000000" w:themeColor="text1"/>
          <w:sz w:val="22"/>
          <w:lang w:val="es-ES_tradnl"/>
        </w:rPr>
        <w:t xml:space="preserve"> de las ofertas estaba compuesto por el Decreto</w:t>
      </w:r>
      <w:r>
        <w:rPr>
          <w:rFonts w:ascii="Arial" w:hAnsi="Arial" w:cs="Arial"/>
          <w:color w:val="000000" w:themeColor="text1"/>
          <w:sz w:val="22"/>
          <w:lang w:val="es-ES_tradnl"/>
        </w:rPr>
        <w:t xml:space="preserve"> L</w:t>
      </w:r>
      <w:r w:rsidRPr="00801108">
        <w:rPr>
          <w:rFonts w:ascii="Arial" w:hAnsi="Arial" w:cs="Arial"/>
          <w:color w:val="000000" w:themeColor="text1"/>
          <w:sz w:val="22"/>
          <w:lang w:val="es-ES_tradnl"/>
        </w:rPr>
        <w:t>ey 150 de 1976 y el Decreto</w:t>
      </w:r>
      <w:r>
        <w:rPr>
          <w:rFonts w:ascii="Arial" w:hAnsi="Arial" w:cs="Arial"/>
          <w:color w:val="000000" w:themeColor="text1"/>
          <w:sz w:val="22"/>
          <w:lang w:val="es-ES_tradnl"/>
        </w:rPr>
        <w:t xml:space="preserve"> L</w:t>
      </w:r>
      <w:r w:rsidRPr="00801108">
        <w:rPr>
          <w:rFonts w:ascii="Arial" w:hAnsi="Arial" w:cs="Arial"/>
          <w:color w:val="000000" w:themeColor="text1"/>
          <w:sz w:val="22"/>
          <w:lang w:val="es-ES_tradnl"/>
        </w:rPr>
        <w:t xml:space="preserve">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4BF68B8C" w14:textId="77777777" w:rsidR="00283C7E" w:rsidRDefault="00283C7E" w:rsidP="00283C7E">
      <w:pPr>
        <w:spacing w:before="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En un </w:t>
      </w:r>
      <w:r w:rsidRPr="00801108">
        <w:rPr>
          <w:rFonts w:ascii="Arial" w:hAnsi="Arial" w:cs="Arial"/>
          <w:i/>
          <w:color w:val="000000" w:themeColor="text1"/>
          <w:sz w:val="22"/>
          <w:lang w:val="es-ES_tradnl"/>
        </w:rPr>
        <w:t>segundo momento</w:t>
      </w:r>
      <w:r w:rsidRPr="00801108">
        <w:rPr>
          <w:rFonts w:ascii="Arial" w:hAnsi="Arial" w:cs="Arial"/>
          <w:color w:val="000000" w:themeColor="text1"/>
          <w:sz w:val="22"/>
          <w:lang w:val="es-ES_tradnl"/>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w:t>
      </w:r>
      <w:r>
        <w:rPr>
          <w:rFonts w:ascii="Arial" w:hAnsi="Arial" w:cs="Arial"/>
          <w:color w:val="000000" w:themeColor="text1"/>
          <w:sz w:val="22"/>
          <w:lang w:val="es-ES_tradnl"/>
        </w:rPr>
        <w:t xml:space="preserve"> </w:t>
      </w:r>
      <w:r w:rsidRPr="00801108">
        <w:rPr>
          <w:rFonts w:ascii="Arial" w:hAnsi="Arial" w:cs="Arial"/>
          <w:color w:val="000000" w:themeColor="text1"/>
          <w:sz w:val="22"/>
          <w:lang w:val="es-ES_tradnl"/>
        </w:rPr>
        <w:t>En este nuevo escenario constitucional, el artículo 25</w:t>
      </w:r>
      <w:r>
        <w:rPr>
          <w:rFonts w:ascii="Arial" w:hAnsi="Arial" w:cs="Arial"/>
          <w:color w:val="000000" w:themeColor="text1"/>
          <w:sz w:val="22"/>
          <w:lang w:val="es-ES_tradnl"/>
        </w:rPr>
        <w:t>.15</w:t>
      </w:r>
      <w:r w:rsidRPr="00801108">
        <w:rPr>
          <w:rFonts w:ascii="Arial" w:hAnsi="Arial" w:cs="Arial"/>
          <w:color w:val="000000" w:themeColor="text1"/>
          <w:sz w:val="22"/>
          <w:lang w:val="es-ES_tradnl"/>
        </w:rPr>
        <w:t xml:space="preserve"> de la Ley 80 de 1993 dispuso lo siguiente: </w:t>
      </w:r>
    </w:p>
    <w:p w14:paraId="4C546442" w14:textId="77777777" w:rsidR="00283C7E" w:rsidRPr="00801108" w:rsidRDefault="00283C7E" w:rsidP="00283C7E">
      <w:pPr>
        <w:spacing w:line="276" w:lineRule="auto"/>
        <w:ind w:firstLine="709"/>
        <w:jc w:val="both"/>
        <w:rPr>
          <w:rFonts w:ascii="Arial" w:hAnsi="Arial" w:cs="Arial"/>
          <w:color w:val="000000" w:themeColor="text1"/>
          <w:sz w:val="22"/>
          <w:lang w:val="es-ES_tradnl"/>
        </w:rPr>
      </w:pPr>
    </w:p>
    <w:p w14:paraId="5C970F1E" w14:textId="77777777" w:rsidR="00283C7E" w:rsidRPr="00801108" w:rsidRDefault="00283C7E" w:rsidP="00283C7E">
      <w:pPr>
        <w:spacing w:after="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2A2BD541" w14:textId="77777777" w:rsidR="00283C7E" w:rsidRPr="00801108" w:rsidRDefault="00283C7E" w:rsidP="00283C7E">
      <w:pPr>
        <w:spacing w:before="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6EA0F2E8" w14:textId="77777777" w:rsidR="00283C7E" w:rsidRPr="00801108" w:rsidRDefault="00283C7E" w:rsidP="00283C7E">
      <w:pPr>
        <w:spacing w:line="276" w:lineRule="auto"/>
        <w:ind w:firstLine="709"/>
        <w:jc w:val="both"/>
        <w:rPr>
          <w:rFonts w:ascii="Arial" w:hAnsi="Arial" w:cs="Arial"/>
          <w:color w:val="000000" w:themeColor="text1"/>
          <w:sz w:val="22"/>
          <w:lang w:val="es-ES_tradnl"/>
        </w:rPr>
      </w:pPr>
    </w:p>
    <w:p w14:paraId="2F939562" w14:textId="451B954A" w:rsidR="00283C7E" w:rsidRPr="00801108" w:rsidRDefault="00283C7E" w:rsidP="00283C7E">
      <w:pPr>
        <w:spacing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Bajo el amparo de esta norma, el régimen jurídico de </w:t>
      </w:r>
      <w:proofErr w:type="spellStart"/>
      <w:r w:rsidRPr="00801108">
        <w:rPr>
          <w:rFonts w:ascii="Arial" w:hAnsi="Arial" w:cs="Arial"/>
          <w:color w:val="000000" w:themeColor="text1"/>
          <w:sz w:val="22"/>
          <w:lang w:val="es-ES_tradnl"/>
        </w:rPr>
        <w:t>subsanabilidad</w:t>
      </w:r>
      <w:proofErr w:type="spellEnd"/>
      <w:r w:rsidRPr="00801108">
        <w:rPr>
          <w:rFonts w:ascii="Arial" w:hAnsi="Arial" w:cs="Arial"/>
          <w:color w:val="000000" w:themeColor="text1"/>
          <w:sz w:val="22"/>
          <w:lang w:val="es-ES_tradnl"/>
        </w:rPr>
        <w:t xml:space="preserve">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w:t>
      </w:r>
      <w:r w:rsidRPr="00801108">
        <w:rPr>
          <w:rFonts w:ascii="Arial" w:hAnsi="Arial" w:cs="Arial"/>
          <w:color w:val="000000" w:themeColor="text1"/>
          <w:sz w:val="22"/>
          <w:lang w:val="es-ES_tradnl"/>
        </w:rPr>
        <w:lastRenderedPageBreak/>
        <w:t xml:space="preserve">debía constatar si este era o no necesario para la comparación de las propuestas y de ese análisis surgiría la decisión sobre su rechazo o la oportunidad de subsanar. </w:t>
      </w:r>
    </w:p>
    <w:p w14:paraId="4BD6A80B" w14:textId="77777777" w:rsidR="00283C7E" w:rsidRPr="00801108" w:rsidRDefault="00283C7E" w:rsidP="00283C7E">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Esta norma debía leerse en conjunto con otras de la Ley 80 de 1993, particularmente con el artículo 30.7, que ordena a la entidad señalar un plazo razonable para evaluar las propuestas y para pedir a los proponentes, de ser necesario, que aclaren o expliquen aspectos que ofrezcan dudas y resulten indispensables para llevar a cabo la evaluación</w:t>
      </w:r>
      <w:r w:rsidRPr="00801108">
        <w:rPr>
          <w:rStyle w:val="Refdenotaalpie"/>
          <w:rFonts w:ascii="Arial" w:hAnsi="Arial" w:cs="Arial"/>
          <w:color w:val="000000" w:themeColor="text1"/>
          <w:sz w:val="22"/>
          <w:lang w:val="es-ES_tradnl"/>
        </w:rPr>
        <w:footnoteReference w:id="11"/>
      </w:r>
      <w:r w:rsidRPr="00801108">
        <w:rPr>
          <w:rFonts w:ascii="Arial" w:hAnsi="Arial" w:cs="Arial"/>
          <w:color w:val="000000" w:themeColor="text1"/>
          <w:sz w:val="22"/>
          <w:lang w:val="es-ES_tradnl"/>
        </w:rPr>
        <w:t>; y con el artículo 30.8, que consagró el término de 5 días hábiles para que los oferentes presenten observaciones al informe de evaluación de las propuestas, sin que sea posible completar, adicionar, modificar o mejorar su oferta</w:t>
      </w:r>
      <w:r w:rsidRPr="00801108">
        <w:rPr>
          <w:rStyle w:val="Refdenotaalpie"/>
          <w:rFonts w:ascii="Arial" w:hAnsi="Arial" w:cs="Arial"/>
          <w:color w:val="000000" w:themeColor="text1"/>
          <w:sz w:val="22"/>
          <w:lang w:val="es-ES_tradnl"/>
        </w:rPr>
        <w:footnoteReference w:id="12"/>
      </w:r>
      <w:r w:rsidRPr="00801108">
        <w:rPr>
          <w:rFonts w:ascii="Arial" w:hAnsi="Arial" w:cs="Arial"/>
          <w:color w:val="000000" w:themeColor="text1"/>
          <w:sz w:val="22"/>
          <w:lang w:val="es-ES_tradnl"/>
        </w:rPr>
        <w:t xml:space="preserve">.  </w:t>
      </w:r>
    </w:p>
    <w:p w14:paraId="04F986DD" w14:textId="77777777" w:rsidR="00283C7E" w:rsidRPr="00801108" w:rsidRDefault="00283C7E" w:rsidP="00283C7E">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73B79018" w14:textId="4D3D3FB2" w:rsidR="00283C7E" w:rsidRPr="00801108" w:rsidRDefault="00283C7E" w:rsidP="00283C7E">
      <w:pPr>
        <w:spacing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En un </w:t>
      </w:r>
      <w:r w:rsidRPr="00801108">
        <w:rPr>
          <w:rFonts w:ascii="Arial" w:hAnsi="Arial" w:cs="Arial"/>
          <w:i/>
          <w:color w:val="000000" w:themeColor="text1"/>
          <w:sz w:val="22"/>
          <w:lang w:val="es-ES_tradnl"/>
        </w:rPr>
        <w:t>tercer momento</w:t>
      </w:r>
      <w:r w:rsidRPr="00801108">
        <w:rPr>
          <w:rFonts w:ascii="Arial" w:hAnsi="Arial" w:cs="Arial"/>
          <w:color w:val="000000" w:themeColor="text1"/>
          <w:sz w:val="22"/>
          <w:lang w:val="es-ES_tradnl"/>
        </w:rPr>
        <w:t xml:space="preserve">, siguiendo la línea trazada por la Ley 80 de 1993, el legislador expidió la Ley 1150 de 2007, que en el parágrafo 1º del artículo 5, determinó lo siguiente: </w:t>
      </w:r>
    </w:p>
    <w:p w14:paraId="641FD151" w14:textId="77777777" w:rsidR="00283C7E" w:rsidRPr="00801108" w:rsidRDefault="00283C7E" w:rsidP="00283C7E">
      <w:pPr>
        <w:spacing w:line="276" w:lineRule="auto"/>
        <w:jc w:val="both"/>
        <w:rPr>
          <w:rFonts w:ascii="Arial" w:hAnsi="Arial" w:cs="Arial"/>
          <w:color w:val="000000" w:themeColor="text1"/>
          <w:sz w:val="22"/>
          <w:lang w:val="es-ES_tradnl"/>
        </w:rPr>
      </w:pPr>
    </w:p>
    <w:p w14:paraId="33AE0025" w14:textId="77777777" w:rsidR="00283C7E" w:rsidRPr="00801108" w:rsidRDefault="00283C7E" w:rsidP="00283C7E">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801108">
        <w:rPr>
          <w:rFonts w:ascii="Arial" w:hAnsi="Arial" w:cs="Arial"/>
          <w:b/>
          <w:color w:val="000000" w:themeColor="text1"/>
          <w:sz w:val="21"/>
          <w:szCs w:val="21"/>
          <w:lang w:val="es-ES_tradnl"/>
        </w:rPr>
        <w:t xml:space="preserve">, </w:t>
      </w:r>
      <w:r w:rsidRPr="00801108">
        <w:rPr>
          <w:rFonts w:ascii="Arial" w:hAnsi="Arial" w:cs="Arial"/>
          <w:color w:val="000000" w:themeColor="text1"/>
          <w:sz w:val="21"/>
          <w:szCs w:val="21"/>
          <w:lang w:val="es-ES_tradnl"/>
        </w:rPr>
        <w:t xml:space="preserve">todos aquellos requisitos de la propuesta que no afecten la asignación de </w:t>
      </w:r>
      <w:proofErr w:type="gramStart"/>
      <w:r w:rsidRPr="00801108">
        <w:rPr>
          <w:rFonts w:ascii="Arial" w:hAnsi="Arial" w:cs="Arial"/>
          <w:color w:val="000000" w:themeColor="text1"/>
          <w:sz w:val="21"/>
          <w:szCs w:val="21"/>
          <w:lang w:val="es-ES_tradnl"/>
        </w:rPr>
        <w:t>puntaje,</w:t>
      </w:r>
      <w:proofErr w:type="gramEnd"/>
      <w:r w:rsidRPr="00801108">
        <w:rPr>
          <w:rFonts w:ascii="Arial" w:hAnsi="Arial" w:cs="Arial"/>
          <w:color w:val="000000" w:themeColor="text1"/>
          <w:sz w:val="21"/>
          <w:szCs w:val="21"/>
          <w:lang w:val="es-ES_tradnl"/>
        </w:rPr>
        <w:t xml:space="preserve"> podrán ser solicitados por las entidades en cualquier momento, hasta la adjudicación. No </w:t>
      </w:r>
      <w:proofErr w:type="gramStart"/>
      <w:r w:rsidRPr="00801108">
        <w:rPr>
          <w:rFonts w:ascii="Arial" w:hAnsi="Arial" w:cs="Arial"/>
          <w:color w:val="000000" w:themeColor="text1"/>
          <w:sz w:val="21"/>
          <w:szCs w:val="21"/>
          <w:lang w:val="es-ES_tradnl"/>
        </w:rPr>
        <w:t>obstante</w:t>
      </w:r>
      <w:proofErr w:type="gramEnd"/>
      <w:r w:rsidRPr="00801108">
        <w:rPr>
          <w:rFonts w:ascii="Arial" w:hAnsi="Arial" w:cs="Arial"/>
          <w:color w:val="000000" w:themeColor="text1"/>
          <w:sz w:val="21"/>
          <w:szCs w:val="21"/>
          <w:lang w:val="es-ES_tradnl"/>
        </w:rPr>
        <w:t xml:space="preserve"> lo anterior, en aquellos procesos de selección en los que se utilice el mecanismo de subasta, deberán ser solicitados hasta el momento previo a su realización. </w:t>
      </w:r>
    </w:p>
    <w:p w14:paraId="35485E9D" w14:textId="77777777" w:rsidR="00283C7E" w:rsidRPr="00801108" w:rsidRDefault="00283C7E" w:rsidP="00283C7E">
      <w:pPr>
        <w:spacing w:line="276" w:lineRule="auto"/>
        <w:jc w:val="both"/>
        <w:rPr>
          <w:rFonts w:ascii="Arial" w:hAnsi="Arial" w:cs="Arial"/>
          <w:b/>
          <w:color w:val="000000" w:themeColor="text1"/>
          <w:sz w:val="22"/>
          <w:lang w:val="es-ES_tradnl"/>
        </w:rPr>
      </w:pPr>
    </w:p>
    <w:p w14:paraId="34627857" w14:textId="77777777" w:rsidR="00283C7E" w:rsidRPr="00801108" w:rsidRDefault="00283C7E" w:rsidP="00283C7E">
      <w:pPr>
        <w:spacing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248793F6" w14:textId="5EF20755" w:rsidR="00283C7E" w:rsidRPr="00801108" w:rsidRDefault="00283C7E" w:rsidP="0046719C">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A partir de la Ley 1150 de 2007</w:t>
      </w:r>
      <w:r w:rsidR="004001D4">
        <w:rPr>
          <w:rFonts w:ascii="Arial" w:hAnsi="Arial" w:cs="Arial"/>
          <w:color w:val="000000" w:themeColor="text1"/>
          <w:sz w:val="22"/>
          <w:lang w:val="es-ES_tradnl"/>
        </w:rPr>
        <w:t>,</w:t>
      </w:r>
      <w:r w:rsidRPr="00801108">
        <w:rPr>
          <w:rFonts w:ascii="Arial" w:hAnsi="Arial" w:cs="Arial"/>
          <w:color w:val="000000" w:themeColor="text1"/>
          <w:sz w:val="22"/>
          <w:lang w:val="es-ES_tradnl"/>
        </w:rPr>
        <w:t xml:space="preserve"> la Administración contó con un criterio más claro y determinado para saber si la ausencia de documentos o requisitos de la oferta conlleva a su rechazo o al requerimiento del proponente para que lo subsane, pues bastará con un </w:t>
      </w:r>
      <w:r w:rsidRPr="00801108">
        <w:rPr>
          <w:rFonts w:ascii="Arial" w:hAnsi="Arial" w:cs="Arial"/>
          <w:color w:val="000000" w:themeColor="text1"/>
          <w:sz w:val="22"/>
          <w:lang w:val="es-ES_tradnl"/>
        </w:rPr>
        <w:lastRenderedPageBreak/>
        <w:t xml:space="preserve">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004416A5" w14:textId="03109372" w:rsidR="00283C7E" w:rsidRPr="00801108" w:rsidRDefault="00283C7E" w:rsidP="00283C7E">
      <w:pPr>
        <w:spacing w:before="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El artículo 5 de la Ley 1150 de 2007, además de consagrar un criterio más claro, y, de paso, reducir la discrecionalidad de la Administración, fijó un ámbito temporal para la subsanación de las ofertas: «en cualquier momento, hasta la adjudicación». El Consejo de Estado</w:t>
      </w:r>
      <w:r w:rsidR="00C56B34">
        <w:rPr>
          <w:rFonts w:ascii="Arial" w:hAnsi="Arial" w:cs="Arial"/>
          <w:color w:val="000000" w:themeColor="text1"/>
          <w:sz w:val="22"/>
          <w:lang w:val="es-ES_tradnl"/>
        </w:rPr>
        <w:t xml:space="preserve"> </w:t>
      </w:r>
      <w:r w:rsidRPr="00801108">
        <w:rPr>
          <w:rFonts w:ascii="Arial" w:hAnsi="Arial" w:cs="Arial"/>
          <w:color w:val="000000" w:themeColor="text1"/>
          <w:sz w:val="22"/>
          <w:lang w:val="es-ES_tradnl"/>
        </w:rPr>
        <w:t xml:space="preserve">concluyó que a partir del parágrafo 1º del artículo 5 de la Ley 1150, la definición de lo que es subsanable y lo que no lo es surge a partir del planteamiento de la pregunta sobre si el defecto asigna puntaje o no, en estos términos: </w:t>
      </w:r>
    </w:p>
    <w:p w14:paraId="4F2555FD" w14:textId="77777777" w:rsidR="00283C7E" w:rsidRPr="00801108" w:rsidRDefault="00283C7E" w:rsidP="00283C7E">
      <w:pPr>
        <w:spacing w:line="276" w:lineRule="auto"/>
        <w:jc w:val="both"/>
        <w:rPr>
          <w:rFonts w:ascii="Arial" w:hAnsi="Arial" w:cs="Arial"/>
          <w:color w:val="000000" w:themeColor="text1"/>
          <w:sz w:val="22"/>
          <w:lang w:val="es-ES_tradnl"/>
        </w:rPr>
      </w:pPr>
    </w:p>
    <w:p w14:paraId="66609E88" w14:textId="77777777" w:rsidR="00283C7E" w:rsidRDefault="00283C7E" w:rsidP="00283C7E">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801108">
        <w:rPr>
          <w:rStyle w:val="Refdenotaalpie"/>
          <w:rFonts w:ascii="Arial" w:hAnsi="Arial" w:cs="Arial"/>
          <w:color w:val="000000" w:themeColor="text1"/>
          <w:sz w:val="21"/>
          <w:szCs w:val="21"/>
          <w:lang w:val="es-ES_tradnl"/>
        </w:rPr>
        <w:footnoteReference w:id="13"/>
      </w:r>
      <w:r w:rsidRPr="00801108">
        <w:rPr>
          <w:rFonts w:ascii="Arial" w:hAnsi="Arial" w:cs="Arial"/>
          <w:color w:val="000000" w:themeColor="text1"/>
          <w:sz w:val="21"/>
          <w:szCs w:val="21"/>
          <w:lang w:val="es-ES_tradnl"/>
        </w:rPr>
        <w:t>.</w:t>
      </w:r>
    </w:p>
    <w:p w14:paraId="23AEA48B" w14:textId="77777777" w:rsidR="00283C7E" w:rsidRPr="000B22B3" w:rsidRDefault="00283C7E" w:rsidP="000B22B3">
      <w:pPr>
        <w:spacing w:line="276" w:lineRule="auto"/>
        <w:ind w:left="709" w:right="709"/>
        <w:jc w:val="both"/>
        <w:rPr>
          <w:rFonts w:ascii="Arial" w:hAnsi="Arial" w:cs="Arial"/>
          <w:color w:val="000000" w:themeColor="text1"/>
          <w:sz w:val="22"/>
          <w:szCs w:val="22"/>
          <w:lang w:val="es-ES_tradnl"/>
        </w:rPr>
      </w:pPr>
    </w:p>
    <w:p w14:paraId="7DEB39DD" w14:textId="77777777" w:rsidR="00283C7E" w:rsidRPr="00801108" w:rsidRDefault="00283C7E" w:rsidP="00283C7E">
      <w:pPr>
        <w:pStyle w:val="Textoindependiente"/>
        <w:tabs>
          <w:tab w:val="left" w:pos="284"/>
        </w:tabs>
        <w:ind w:firstLine="709"/>
        <w:jc w:val="both"/>
        <w:rPr>
          <w:rFonts w:ascii="Arial" w:eastAsiaTheme="minorHAnsi" w:hAnsi="Arial" w:cs="Arial"/>
          <w:color w:val="000000" w:themeColor="text1"/>
          <w:lang w:val="es-ES_tradnl" w:eastAsia="en-US"/>
        </w:rPr>
      </w:pPr>
      <w:r w:rsidRPr="00801108">
        <w:rPr>
          <w:rFonts w:ascii="Arial" w:eastAsiaTheme="minorHAnsi" w:hAnsi="Arial" w:cs="Arial"/>
          <w:color w:val="000000" w:themeColor="text1"/>
          <w:lang w:val="es-ES_tradnl" w:eastAsia="en-US"/>
        </w:rPr>
        <w:t xml:space="preserve">Esa interpretación fue compartida por la </w:t>
      </w:r>
      <w:r w:rsidRPr="00801108">
        <w:rPr>
          <w:rFonts w:ascii="Arial" w:hAnsi="Arial" w:cs="Arial"/>
          <w:color w:val="000000" w:themeColor="text1"/>
          <w:lang w:val="es-ES_tradnl"/>
        </w:rPr>
        <w:t>Agencia Nacional de Contratación Pública – Colombia Compra Eficiente</w:t>
      </w:r>
      <w:r w:rsidRPr="00801108">
        <w:rPr>
          <w:rFonts w:ascii="Arial" w:eastAsiaTheme="minorHAnsi" w:hAnsi="Arial" w:cs="Arial"/>
          <w:color w:val="000000" w:themeColor="text1"/>
          <w:lang w:val="es-ES_tradnl" w:eastAsia="en-US"/>
        </w:rPr>
        <w:t xml:space="preserve">, pues en la Circular Externa Única se precisó </w:t>
      </w:r>
      <w:proofErr w:type="gramStart"/>
      <w:r w:rsidRPr="00801108">
        <w:rPr>
          <w:rFonts w:ascii="Arial" w:eastAsiaTheme="minorHAnsi" w:hAnsi="Arial" w:cs="Arial"/>
          <w:color w:val="000000" w:themeColor="text1"/>
          <w:lang w:val="es-ES_tradnl" w:eastAsia="en-US"/>
        </w:rPr>
        <w:t>que</w:t>
      </w:r>
      <w:proofErr w:type="gramEnd"/>
      <w:r w:rsidRPr="00801108">
        <w:rPr>
          <w:rFonts w:ascii="Arial" w:eastAsiaTheme="minorHAnsi" w:hAnsi="Arial" w:cs="Arial"/>
          <w:color w:val="000000" w:themeColor="text1"/>
          <w:lang w:val="es-ES_tradnl"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4417DD87" w14:textId="77777777" w:rsidR="00283C7E" w:rsidRPr="00801108" w:rsidRDefault="00283C7E" w:rsidP="00283C7E">
      <w:pPr>
        <w:pStyle w:val="Textoindependiente"/>
        <w:tabs>
          <w:tab w:val="left" w:pos="284"/>
        </w:tabs>
        <w:spacing w:before="120" w:after="0"/>
        <w:ind w:firstLine="709"/>
        <w:jc w:val="both"/>
        <w:rPr>
          <w:rFonts w:ascii="Arial" w:hAnsi="Arial" w:cs="Arial"/>
          <w:color w:val="000000" w:themeColor="text1"/>
          <w:lang w:val="es-ES" w:eastAsia="en-US"/>
        </w:rPr>
      </w:pPr>
      <w:r w:rsidRPr="242905EC">
        <w:rPr>
          <w:rFonts w:ascii="Arial" w:hAnsi="Arial" w:cs="Arial"/>
          <w:color w:val="000000" w:themeColor="text1"/>
          <w:lang w:val="es-ES"/>
        </w:rPr>
        <w:t xml:space="preserve">En un </w:t>
      </w:r>
      <w:r w:rsidRPr="242905EC">
        <w:rPr>
          <w:rFonts w:ascii="Arial" w:hAnsi="Arial" w:cs="Arial"/>
          <w:i/>
          <w:iCs/>
          <w:color w:val="000000" w:themeColor="text1"/>
          <w:lang w:val="es-ES"/>
        </w:rPr>
        <w:t>cuarto momento</w:t>
      </w:r>
      <w:r w:rsidRPr="242905EC">
        <w:rPr>
          <w:rFonts w:ascii="Arial" w:hAnsi="Arial" w:cs="Arial"/>
          <w:color w:val="000000" w:themeColor="text1"/>
          <w:lang w:val="es-ES"/>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629A62D3" w14:textId="77777777" w:rsidR="00283C7E" w:rsidRDefault="00283C7E" w:rsidP="00283C7E">
      <w:pPr>
        <w:pStyle w:val="Textoindependiente"/>
        <w:tabs>
          <w:tab w:val="left" w:pos="284"/>
        </w:tabs>
        <w:ind w:firstLine="709"/>
        <w:jc w:val="both"/>
        <w:rPr>
          <w:rFonts w:ascii="Arial" w:hAnsi="Arial" w:cs="Arial"/>
          <w:color w:val="000000" w:themeColor="text1"/>
          <w:lang w:val="es-ES"/>
        </w:rPr>
      </w:pPr>
    </w:p>
    <w:p w14:paraId="57CE303D" w14:textId="77777777" w:rsidR="00283C7E" w:rsidRPr="00801108" w:rsidRDefault="00283C7E" w:rsidP="00283C7E">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Artículo 5°. De la selección objetiva. </w:t>
      </w:r>
    </w:p>
    <w:p w14:paraId="1C1D6A1B" w14:textId="77777777" w:rsidR="00283C7E" w:rsidRPr="00801108" w:rsidRDefault="00283C7E" w:rsidP="00283C7E">
      <w:pPr>
        <w:spacing w:after="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w:t>
      </w:r>
    </w:p>
    <w:p w14:paraId="2F7C4E66" w14:textId="77777777" w:rsidR="00283C7E" w:rsidRPr="00801108" w:rsidRDefault="00283C7E" w:rsidP="00283C7E">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w:t>
      </w:r>
      <w:bookmarkStart w:id="5" w:name="_Hlk71479674"/>
      <w:r w:rsidRPr="00801108">
        <w:rPr>
          <w:rFonts w:ascii="Arial" w:hAnsi="Arial" w:cs="Arial"/>
          <w:color w:val="000000" w:themeColor="text1"/>
          <w:sz w:val="21"/>
          <w:szCs w:val="21"/>
          <w:lang w:val="es-ES_tradnl"/>
        </w:rPr>
        <w:t>comparación de las propuestas</w:t>
      </w:r>
      <w:bookmarkEnd w:id="5"/>
      <w:r w:rsidRPr="00801108">
        <w:rPr>
          <w:rFonts w:ascii="Arial" w:hAnsi="Arial" w:cs="Arial"/>
          <w:color w:val="000000" w:themeColor="text1"/>
          <w:sz w:val="21"/>
          <w:szCs w:val="21"/>
          <w:lang w:val="es-ES_tradnl"/>
        </w:rPr>
        <w:t xml:space="preserve"> no servirán de título suficiente para el rechazo de los ofrecimientos hechos. En consecuencia, todos aquellos requisitos de la propuesta que no afecten la asignación de </w:t>
      </w:r>
      <w:proofErr w:type="gramStart"/>
      <w:r w:rsidRPr="00801108">
        <w:rPr>
          <w:rFonts w:ascii="Arial" w:hAnsi="Arial" w:cs="Arial"/>
          <w:color w:val="000000" w:themeColor="text1"/>
          <w:sz w:val="21"/>
          <w:szCs w:val="21"/>
          <w:lang w:val="es-ES_tradnl"/>
        </w:rPr>
        <w:t>puntaje,</w:t>
      </w:r>
      <w:proofErr w:type="gramEnd"/>
      <w:r w:rsidRPr="00801108">
        <w:rPr>
          <w:rFonts w:ascii="Arial" w:hAnsi="Arial" w:cs="Arial"/>
          <w:color w:val="000000" w:themeColor="text1"/>
          <w:sz w:val="21"/>
          <w:szCs w:val="21"/>
          <w:lang w:val="es-ES_tradnl"/>
        </w:rPr>
        <w:t xml:space="preserve"> deberán ser solicitados por las entidades </w:t>
      </w:r>
      <w:r w:rsidRPr="00801108">
        <w:rPr>
          <w:rFonts w:ascii="Arial" w:hAnsi="Arial" w:cs="Arial"/>
          <w:color w:val="000000" w:themeColor="text1"/>
          <w:sz w:val="21"/>
          <w:szCs w:val="21"/>
          <w:lang w:val="es-ES_tradnl"/>
        </w:rPr>
        <w:lastRenderedPageBreak/>
        <w:t xml:space="preserve">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4ED8688F" w14:textId="77777777" w:rsidR="00283C7E" w:rsidRPr="00801108" w:rsidRDefault="00283C7E" w:rsidP="00283C7E">
      <w:pPr>
        <w:spacing w:line="276" w:lineRule="auto"/>
        <w:jc w:val="both"/>
        <w:rPr>
          <w:rFonts w:ascii="Arial" w:hAnsi="Arial" w:cs="Arial"/>
          <w:b/>
          <w:color w:val="000000" w:themeColor="text1"/>
          <w:sz w:val="22"/>
          <w:lang w:val="es-ES_tradnl"/>
        </w:rPr>
      </w:pPr>
    </w:p>
    <w:p w14:paraId="5F30170E" w14:textId="27B524C7" w:rsidR="00283C7E" w:rsidRDefault="00283C7E" w:rsidP="00283C7E">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w:t>
      </w:r>
      <w:r w:rsidRPr="242905EC">
        <w:rPr>
          <w:rFonts w:ascii="Arial" w:hAnsi="Arial" w:cs="Arial"/>
          <w:color w:val="000000" w:themeColor="text1"/>
          <w:sz w:val="22"/>
          <w:lang w:val="es-ES"/>
        </w:rPr>
        <w:t xml:space="preserve">sta norma: i) mantiene el criterio de la Ley 80 de 1993, relativo a que todo lo que no sea necesario para la comparación de propuestas no es título suficiente para su rechazo; </w:t>
      </w:r>
      <w:proofErr w:type="spellStart"/>
      <w:r w:rsidRPr="242905EC">
        <w:rPr>
          <w:rFonts w:ascii="Arial" w:hAnsi="Arial" w:cs="Arial"/>
          <w:color w:val="000000" w:themeColor="text1"/>
          <w:sz w:val="22"/>
          <w:lang w:val="es-ES"/>
        </w:rPr>
        <w:t>ii</w:t>
      </w:r>
      <w:proofErr w:type="spellEnd"/>
      <w:r w:rsidRPr="242905EC">
        <w:rPr>
          <w:rFonts w:ascii="Arial" w:hAnsi="Arial" w:cs="Arial"/>
          <w:color w:val="000000" w:themeColor="text1"/>
          <w:sz w:val="22"/>
          <w:lang w:val="es-ES"/>
        </w:rPr>
        <w:t xml:space="preserve">) mantiene el criterio aclaratorio de la Ley 1150 de 2007, según el cual todo lo que no afecte la asignación de puntaje puede subsanarse y, </w:t>
      </w:r>
      <w:proofErr w:type="spellStart"/>
      <w:r w:rsidRPr="242905EC">
        <w:rPr>
          <w:rFonts w:ascii="Arial" w:hAnsi="Arial" w:cs="Arial"/>
          <w:color w:val="000000" w:themeColor="text1"/>
          <w:sz w:val="22"/>
          <w:lang w:val="es-ES"/>
        </w:rPr>
        <w:t>iii</w:t>
      </w:r>
      <w:proofErr w:type="spellEnd"/>
      <w:r w:rsidRPr="242905EC">
        <w:rPr>
          <w:rFonts w:ascii="Arial" w:hAnsi="Arial" w:cs="Arial"/>
          <w:color w:val="000000" w:themeColor="text1"/>
          <w:sz w:val="22"/>
          <w:lang w:val="es-ES"/>
        </w:rPr>
        <w:t>) introduce modificaciones en relación con tres</w:t>
      </w:r>
      <w:r w:rsidR="00303D61">
        <w:rPr>
          <w:rFonts w:ascii="Arial" w:hAnsi="Arial" w:cs="Arial"/>
          <w:color w:val="000000" w:themeColor="text1"/>
          <w:sz w:val="22"/>
          <w:lang w:val="es-ES"/>
        </w:rPr>
        <w:t xml:space="preserve"> (3)</w:t>
      </w:r>
      <w:r w:rsidRPr="242905EC">
        <w:rPr>
          <w:rFonts w:ascii="Arial" w:hAnsi="Arial" w:cs="Arial"/>
          <w:color w:val="000000" w:themeColor="text1"/>
          <w:sz w:val="22"/>
          <w:lang w:val="es-ES"/>
        </w:rPr>
        <w:t xml:space="preserve"> aspectos que se analizarán a continuación</w:t>
      </w:r>
      <w:r>
        <w:rPr>
          <w:rFonts w:ascii="Arial" w:hAnsi="Arial" w:cs="Arial"/>
          <w:color w:val="000000" w:themeColor="text1"/>
          <w:sz w:val="22"/>
        </w:rPr>
        <w:t>:</w:t>
      </w:r>
    </w:p>
    <w:p w14:paraId="52F15D82" w14:textId="01D06CFB" w:rsidR="00283C7E" w:rsidRDefault="00283C7E" w:rsidP="00283C7E">
      <w:pPr>
        <w:spacing w:after="120" w:line="276" w:lineRule="auto"/>
        <w:ind w:firstLine="709"/>
        <w:jc w:val="both"/>
        <w:rPr>
          <w:rFonts w:ascii="Arial" w:eastAsia="Arial" w:hAnsi="Arial" w:cs="Arial"/>
          <w:color w:val="000000" w:themeColor="text1"/>
          <w:sz w:val="22"/>
          <w:lang w:val="es-ES"/>
        </w:rPr>
      </w:pPr>
      <w:r w:rsidRPr="242905EC">
        <w:rPr>
          <w:rFonts w:ascii="Arial" w:eastAsia="Arial" w:hAnsi="Arial" w:cs="Arial"/>
          <w:color w:val="000000" w:themeColor="text1"/>
          <w:sz w:val="22"/>
          <w:lang w:val="es-E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0046719C">
        <w:rPr>
          <w:rFonts w:ascii="Arial" w:eastAsia="Arial" w:hAnsi="Arial" w:cs="Arial"/>
          <w:color w:val="000000" w:themeColor="text1"/>
          <w:sz w:val="22"/>
          <w:lang w:val="es-ES"/>
        </w:rPr>
        <w:t>:</w:t>
      </w:r>
      <w:r w:rsidRPr="242905EC">
        <w:rPr>
          <w:rFonts w:ascii="Arial" w:eastAsia="Arial" w:hAnsi="Arial" w:cs="Arial"/>
          <w:color w:val="000000" w:themeColor="text1"/>
          <w:sz w:val="22"/>
          <w:lang w:val="es-ES"/>
        </w:rPr>
        <w:t xml:space="preserve"> en </w:t>
      </w:r>
      <w:r w:rsidR="0046719C">
        <w:rPr>
          <w:rFonts w:ascii="Arial" w:eastAsia="Arial" w:hAnsi="Arial" w:cs="Arial"/>
          <w:color w:val="000000" w:themeColor="text1"/>
          <w:sz w:val="22"/>
          <w:lang w:val="es-ES"/>
        </w:rPr>
        <w:t>este</w:t>
      </w:r>
      <w:r w:rsidRPr="242905EC">
        <w:rPr>
          <w:rFonts w:ascii="Arial" w:eastAsia="Arial" w:hAnsi="Arial" w:cs="Arial"/>
          <w:color w:val="000000" w:themeColor="text1"/>
          <w:sz w:val="22"/>
          <w:lang w:val="es-ES"/>
        </w:rPr>
        <w:t xml:space="preserve"> último los documentos o requisitos subsanables deben solicitarse, como límite final, hasta el momento previo a su realización</w:t>
      </w:r>
      <w:r w:rsidR="002C2A64">
        <w:rPr>
          <w:rFonts w:ascii="Arial" w:eastAsia="Arial" w:hAnsi="Arial" w:cs="Arial"/>
          <w:color w:val="000000"/>
          <w:sz w:val="22"/>
          <w:szCs w:val="22"/>
          <w:vertAlign w:val="superscript"/>
        </w:rPr>
        <w:footnoteReference w:id="14"/>
      </w:r>
      <w:r w:rsidRPr="242905EC">
        <w:rPr>
          <w:rFonts w:ascii="Arial" w:eastAsia="Arial" w:hAnsi="Arial" w:cs="Arial"/>
          <w:color w:val="000000" w:themeColor="text1"/>
          <w:sz w:val="22"/>
          <w:lang w:val="es-ES"/>
        </w:rPr>
        <w:t>.</w:t>
      </w:r>
    </w:p>
    <w:p w14:paraId="109D33DF" w14:textId="77777777" w:rsidR="00283C7E" w:rsidRPr="009417A8" w:rsidRDefault="00283C7E" w:rsidP="00283C7E">
      <w:pPr>
        <w:spacing w:after="120" w:line="276" w:lineRule="auto"/>
        <w:ind w:firstLine="709"/>
        <w:jc w:val="both"/>
        <w:rPr>
          <w:rFonts w:ascii="Arial" w:eastAsia="Arial" w:hAnsi="Arial" w:cs="Arial"/>
          <w:color w:val="000000" w:themeColor="text1"/>
          <w:sz w:val="22"/>
          <w:lang w:val="es-ES"/>
        </w:rPr>
      </w:pPr>
      <w:r>
        <w:rPr>
          <w:rStyle w:val="normaltextrun"/>
          <w:rFonts w:ascii="Arial" w:hAnsi="Arial" w:cs="Arial"/>
          <w:color w:val="000000"/>
          <w:sz w:val="22"/>
          <w:shd w:val="clear" w:color="auto" w:fill="FFFFFF"/>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r>
        <w:rPr>
          <w:rStyle w:val="eop"/>
          <w:rFonts w:ascii="Arial" w:hAnsi="Arial" w:cs="Arial"/>
          <w:color w:val="000000"/>
          <w:sz w:val="22"/>
          <w:shd w:val="clear" w:color="auto" w:fill="FFFFFF"/>
        </w:rPr>
        <w:t> </w:t>
      </w:r>
    </w:p>
    <w:p w14:paraId="79DBBE36" w14:textId="77777777" w:rsidR="00283C7E" w:rsidRPr="00AE6622" w:rsidRDefault="00283C7E" w:rsidP="00283C7E">
      <w:pPr>
        <w:spacing w:after="120" w:line="276" w:lineRule="auto"/>
        <w:ind w:firstLine="720"/>
        <w:jc w:val="both"/>
        <w:rPr>
          <w:rFonts w:ascii="Arial" w:eastAsia="Calibri" w:hAnsi="Arial" w:cs="Arial"/>
          <w:color w:val="000000" w:themeColor="text1"/>
          <w:sz w:val="21"/>
          <w:szCs w:val="21"/>
        </w:rPr>
      </w:pPr>
      <w:r w:rsidRPr="242905EC">
        <w:rPr>
          <w:rFonts w:ascii="Arial" w:eastAsia="Arial" w:hAnsi="Arial" w:cs="Arial"/>
          <w:color w:val="000000" w:themeColor="text1"/>
          <w:sz w:val="22"/>
          <w:lang w:val="es-ES"/>
        </w:rPr>
        <w:t>De otro lado, el segundo cambio importante de la Ley 1882 de 2018</w:t>
      </w:r>
      <w:r>
        <w:rPr>
          <w:rFonts w:ascii="Arial" w:eastAsia="Arial" w:hAnsi="Arial" w:cs="Arial"/>
          <w:color w:val="000000" w:themeColor="text1"/>
          <w:sz w:val="22"/>
        </w:rPr>
        <w:t xml:space="preserve"> </w:t>
      </w:r>
      <w:r w:rsidRPr="242905EC">
        <w:rPr>
          <w:rFonts w:ascii="Arial" w:eastAsia="Calibri" w:hAnsi="Arial" w:cs="Arial"/>
          <w:color w:val="000000" w:themeColor="text1"/>
          <w:sz w:val="22"/>
        </w:rPr>
        <w:t xml:space="preserve">es </w:t>
      </w:r>
      <w:r>
        <w:rPr>
          <w:rFonts w:ascii="Arial" w:eastAsia="Calibri" w:hAnsi="Arial" w:cs="Arial"/>
          <w:color w:val="000000" w:themeColor="text1"/>
          <w:sz w:val="22"/>
        </w:rPr>
        <w:t>e</w:t>
      </w:r>
      <w:r w:rsidRPr="242905EC">
        <w:rPr>
          <w:rFonts w:ascii="Arial" w:eastAsia="Calibri" w:hAnsi="Arial" w:cs="Arial"/>
          <w:color w:val="000000" w:themeColor="text1"/>
          <w:sz w:val="22"/>
        </w:rPr>
        <w:t xml:space="preserve">l correspondiente a la garantía de seriedad. El parágrafo 3 del artículo 5 de la Ley 1150 de 2007, adicionado por el artículo 5 de la Ley 1882 de 2018 </w:t>
      </w:r>
      <w:r>
        <w:rPr>
          <w:rFonts w:ascii="Arial" w:eastAsia="Calibri" w:hAnsi="Arial" w:cs="Arial"/>
          <w:color w:val="000000" w:themeColor="text1"/>
          <w:sz w:val="22"/>
        </w:rPr>
        <w:t>dispone que la falta de</w:t>
      </w:r>
      <w:r w:rsidRPr="242905EC">
        <w:rPr>
          <w:rFonts w:ascii="Arial" w:eastAsia="Calibri" w:hAnsi="Arial" w:cs="Arial"/>
          <w:color w:val="000000" w:themeColor="text1"/>
          <w:sz w:val="22"/>
        </w:rPr>
        <w:t xml:space="preserve"> entrega</w:t>
      </w:r>
      <w:r>
        <w:rPr>
          <w:rFonts w:ascii="Arial" w:eastAsia="Calibri" w:hAnsi="Arial" w:cs="Arial"/>
          <w:color w:val="000000" w:themeColor="text1"/>
          <w:sz w:val="22"/>
        </w:rPr>
        <w:t xml:space="preserve"> de la</w:t>
      </w:r>
      <w:r w:rsidRPr="242905EC">
        <w:rPr>
          <w:rFonts w:ascii="Arial" w:eastAsia="Calibri" w:hAnsi="Arial" w:cs="Arial"/>
          <w:color w:val="000000" w:themeColor="text1"/>
          <w:sz w:val="22"/>
        </w:rPr>
        <w:t xml:space="preserve"> garantía de seriedad </w:t>
      </w:r>
      <w:r>
        <w:rPr>
          <w:rFonts w:ascii="Arial" w:eastAsia="Calibri" w:hAnsi="Arial" w:cs="Arial"/>
          <w:color w:val="000000" w:themeColor="text1"/>
          <w:sz w:val="22"/>
        </w:rPr>
        <w:t>es insubsanable. Al respecto, la norma prescribe lo siguiente</w:t>
      </w:r>
      <w:r w:rsidRPr="242905EC">
        <w:rPr>
          <w:rFonts w:ascii="Arial" w:eastAsia="Calibri" w:hAnsi="Arial" w:cs="Arial"/>
          <w:color w:val="000000" w:themeColor="text1"/>
          <w:sz w:val="22"/>
        </w:rPr>
        <w:t xml:space="preserve">: </w:t>
      </w:r>
      <w:r w:rsidRPr="00802DBF">
        <w:rPr>
          <w:rFonts w:ascii="Arial" w:eastAsia="Calibri" w:hAnsi="Arial" w:cs="Arial"/>
          <w:color w:val="000000" w:themeColor="text1"/>
          <w:sz w:val="22"/>
        </w:rPr>
        <w:t xml:space="preserve">«PARÁGRAFO 3o. La no entrega de la garantía de seriedad junto con la propuesta no será subsanable y será causal de rechazo de </w:t>
      </w:r>
      <w:proofErr w:type="gramStart"/>
      <w:r w:rsidRPr="00802DBF">
        <w:rPr>
          <w:rFonts w:ascii="Arial" w:eastAsia="Calibri" w:hAnsi="Arial" w:cs="Arial"/>
          <w:color w:val="000000" w:themeColor="text1"/>
          <w:sz w:val="22"/>
        </w:rPr>
        <w:t>la misma</w:t>
      </w:r>
      <w:proofErr w:type="gramEnd"/>
      <w:r w:rsidRPr="00802DBF">
        <w:rPr>
          <w:rFonts w:ascii="Arial" w:eastAsia="Calibri" w:hAnsi="Arial" w:cs="Arial"/>
          <w:color w:val="000000" w:themeColor="text1"/>
          <w:sz w:val="22"/>
        </w:rPr>
        <w:t>».</w:t>
      </w:r>
    </w:p>
    <w:p w14:paraId="7E1D1367" w14:textId="77777777" w:rsidR="00283C7E" w:rsidRPr="00D13660" w:rsidRDefault="00283C7E" w:rsidP="00283C7E">
      <w:pPr>
        <w:spacing w:line="276" w:lineRule="auto"/>
        <w:ind w:firstLine="709"/>
        <w:jc w:val="both"/>
        <w:rPr>
          <w:rFonts w:ascii="Arial" w:hAnsi="Arial" w:cs="Arial"/>
          <w:sz w:val="22"/>
          <w:bdr w:val="none" w:sz="0" w:space="0" w:color="auto" w:frame="1"/>
          <w:lang w:val="es-ES_tradnl"/>
        </w:rPr>
      </w:pPr>
      <w:r>
        <w:rPr>
          <w:rFonts w:ascii="Arial" w:eastAsia="Arial" w:hAnsi="Arial" w:cs="Arial"/>
          <w:color w:val="000000" w:themeColor="text1"/>
          <w:sz w:val="22"/>
        </w:rPr>
        <w:t>Finalmente, el último cambio</w:t>
      </w:r>
      <w:r w:rsidRPr="242905EC">
        <w:rPr>
          <w:rFonts w:ascii="Arial" w:eastAsia="Arial" w:hAnsi="Arial" w:cs="Arial"/>
          <w:color w:val="000000" w:themeColor="text1"/>
          <w:sz w:val="22"/>
          <w:lang w:val="es-ES"/>
        </w:rPr>
        <w:t xml:space="preserve"> importante de la Ley 1882 de 2018 fue la introducción de un criterio material, directamente relacionado con los aspectos subsanables: </w:t>
      </w:r>
      <w:r w:rsidRPr="242905EC">
        <w:rPr>
          <w:rFonts w:ascii="Arial" w:eastAsia="Arial" w:hAnsi="Arial" w:cs="Arial"/>
          <w:i/>
          <w:iCs/>
          <w:color w:val="000000" w:themeColor="text1"/>
          <w:sz w:val="22"/>
          <w:lang w:val="es-ES"/>
        </w:rPr>
        <w:t>«</w:t>
      </w:r>
      <w:r w:rsidRPr="242905EC">
        <w:rPr>
          <w:rFonts w:ascii="Arial" w:eastAsia="Arial" w:hAnsi="Arial" w:cs="Arial"/>
          <w:color w:val="000000" w:themeColor="text1"/>
          <w:sz w:val="22"/>
          <w:lang w:val="es-ES"/>
        </w:rPr>
        <w:t xml:space="preserve">los </w:t>
      </w:r>
      <w:r w:rsidRPr="242905EC">
        <w:rPr>
          <w:rFonts w:ascii="Arial" w:eastAsia="Arial" w:hAnsi="Arial" w:cs="Arial"/>
          <w:color w:val="000000" w:themeColor="text1"/>
          <w:sz w:val="22"/>
          <w:lang w:val="es-ES"/>
        </w:rPr>
        <w:lastRenderedPageBreak/>
        <w:t>proponentes no podrán acreditar circunstancias ocurridas con posterioridad al cierre del proceso»</w:t>
      </w:r>
      <w:r w:rsidRPr="242905EC">
        <w:rPr>
          <w:rFonts w:ascii="Arial" w:eastAsia="Arial" w:hAnsi="Arial" w:cs="Arial"/>
          <w:b/>
          <w:bCs/>
          <w:color w:val="000000" w:themeColor="text1"/>
          <w:sz w:val="22"/>
          <w:lang w:val="es-ES"/>
        </w:rPr>
        <w:t>.</w:t>
      </w:r>
      <w:r>
        <w:rPr>
          <w:rFonts w:ascii="Arial" w:hAnsi="Arial" w:cs="Arial"/>
          <w:sz w:val="22"/>
          <w:bdr w:val="none" w:sz="0" w:space="0" w:color="auto" w:frame="1"/>
          <w:lang w:val="es-ES_tradnl"/>
        </w:rPr>
        <w:t xml:space="preserve"> E</w:t>
      </w:r>
      <w:r w:rsidRPr="00D13660">
        <w:rPr>
          <w:rFonts w:ascii="Arial" w:hAnsi="Arial" w:cs="Arial"/>
          <w:sz w:val="22"/>
          <w:bdr w:val="none" w:sz="0" w:space="0" w:color="auto" w:frame="1"/>
          <w:lang w:val="es-ES_tradnl"/>
        </w:rPr>
        <w:t xml:space="preserve">sta regla tiene una finalidad particular, y es que, al momento de presentar la oferta, el proponente la deberá </w:t>
      </w:r>
      <w:r>
        <w:rPr>
          <w:rFonts w:ascii="Arial" w:hAnsi="Arial" w:cs="Arial"/>
          <w:sz w:val="22"/>
          <w:bdr w:val="none" w:sz="0" w:space="0" w:color="auto" w:frame="1"/>
          <w:lang w:val="es-ES_tradnl"/>
        </w:rPr>
        <w:t>hacerlo</w:t>
      </w:r>
      <w:r w:rsidRPr="00D13660">
        <w:rPr>
          <w:rFonts w:ascii="Arial" w:hAnsi="Arial" w:cs="Arial"/>
          <w:sz w:val="22"/>
          <w:bdr w:val="none" w:sz="0" w:space="0" w:color="auto" w:frame="1"/>
          <w:lang w:val="es-ES_tradnl"/>
        </w:rPr>
        <w:t xml:space="preserve"> de forma íntegra y así evitar que a lo largo del proce</w:t>
      </w:r>
      <w:r>
        <w:rPr>
          <w:rFonts w:ascii="Arial" w:hAnsi="Arial" w:cs="Arial"/>
          <w:sz w:val="22"/>
          <w:bdr w:val="none" w:sz="0" w:space="0" w:color="auto" w:frame="1"/>
          <w:lang w:val="es-ES_tradnl"/>
        </w:rPr>
        <w:t>dimiento</w:t>
      </w:r>
      <w:r w:rsidRPr="00D13660">
        <w:rPr>
          <w:rFonts w:ascii="Arial" w:hAnsi="Arial" w:cs="Arial"/>
          <w:sz w:val="22"/>
          <w:bdr w:val="none" w:sz="0" w:space="0" w:color="auto" w:frame="1"/>
          <w:lang w:val="es-ES_tradnl"/>
        </w:rPr>
        <w:t xml:space="preserve"> contractual complet</w:t>
      </w:r>
      <w:r>
        <w:rPr>
          <w:rFonts w:ascii="Arial" w:hAnsi="Arial" w:cs="Arial"/>
          <w:sz w:val="22"/>
          <w:bdr w:val="none" w:sz="0" w:space="0" w:color="auto" w:frame="1"/>
          <w:lang w:val="es-ES_tradnl"/>
        </w:rPr>
        <w:t>e</w:t>
      </w:r>
      <w:r w:rsidRPr="00D13660">
        <w:rPr>
          <w:rFonts w:ascii="Arial" w:hAnsi="Arial" w:cs="Arial"/>
          <w:sz w:val="22"/>
          <w:bdr w:val="none" w:sz="0" w:space="0" w:color="auto" w:frame="1"/>
          <w:lang w:val="es-ES_tradnl"/>
        </w:rPr>
        <w:t xml:space="preserve"> o adicion</w:t>
      </w:r>
      <w:r>
        <w:rPr>
          <w:rFonts w:ascii="Arial" w:hAnsi="Arial" w:cs="Arial"/>
          <w:sz w:val="22"/>
          <w:bdr w:val="none" w:sz="0" w:space="0" w:color="auto" w:frame="1"/>
          <w:lang w:val="es-ES_tradnl"/>
        </w:rPr>
        <w:t>e</w:t>
      </w:r>
      <w:r w:rsidRPr="00D13660">
        <w:rPr>
          <w:rFonts w:ascii="Arial" w:hAnsi="Arial" w:cs="Arial"/>
          <w:sz w:val="22"/>
          <w:bdr w:val="none" w:sz="0" w:space="0" w:color="auto" w:frame="1"/>
          <w:lang w:val="es-ES_tradnl"/>
        </w:rPr>
        <w:t xml:space="preserve"> su propuesta, conforme mejora su situación particular. En términos del Consejo de Estado:</w:t>
      </w:r>
    </w:p>
    <w:p w14:paraId="3C7E44F0" w14:textId="77777777" w:rsidR="00283C7E" w:rsidRDefault="00283C7E" w:rsidP="00283C7E">
      <w:pPr>
        <w:spacing w:line="276" w:lineRule="auto"/>
        <w:ind w:firstLine="709"/>
        <w:jc w:val="both"/>
        <w:rPr>
          <w:rFonts w:ascii="Arial" w:hAnsi="Arial" w:cs="Arial"/>
          <w:color w:val="201F1E"/>
          <w:sz w:val="22"/>
          <w:bdr w:val="none" w:sz="0" w:space="0" w:color="auto" w:frame="1"/>
          <w:lang w:val="es-ES_tradnl"/>
        </w:rPr>
      </w:pPr>
    </w:p>
    <w:p w14:paraId="53278207" w14:textId="77777777" w:rsidR="00283C7E" w:rsidRDefault="00283C7E" w:rsidP="00283C7E">
      <w:pPr>
        <w:tabs>
          <w:tab w:val="left" w:pos="426"/>
        </w:tabs>
        <w:ind w:left="709" w:right="709"/>
        <w:jc w:val="both"/>
        <w:rPr>
          <w:rFonts w:ascii="Arial" w:eastAsia="Arial" w:hAnsi="Arial" w:cs="Arial"/>
          <w:color w:val="000000" w:themeColor="text1"/>
          <w:sz w:val="21"/>
          <w:szCs w:val="21"/>
        </w:rPr>
      </w:pPr>
      <w:r w:rsidRPr="63A9585E">
        <w:rPr>
          <w:rFonts w:ascii="Arial" w:eastAsia="Arial" w:hAnsi="Arial" w:cs="Arial"/>
          <w:color w:val="000000" w:themeColor="text1"/>
          <w:sz w:val="21"/>
          <w:szCs w:val="21"/>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63A9585E">
        <w:rPr>
          <w:rFonts w:ascii="Arial" w:eastAsia="Arial" w:hAnsi="Arial" w:cs="Arial"/>
          <w:color w:val="000000" w:themeColor="text1"/>
          <w:sz w:val="21"/>
          <w:szCs w:val="21"/>
          <w:vertAlign w:val="superscript"/>
        </w:rPr>
        <w:footnoteReference w:id="15"/>
      </w:r>
    </w:p>
    <w:p w14:paraId="2DB43464" w14:textId="77777777" w:rsidR="00283C7E" w:rsidRPr="00E915C7" w:rsidRDefault="00283C7E" w:rsidP="00283C7E">
      <w:pPr>
        <w:tabs>
          <w:tab w:val="left" w:pos="426"/>
        </w:tabs>
        <w:spacing w:line="259" w:lineRule="auto"/>
        <w:ind w:left="709" w:right="709"/>
        <w:jc w:val="both"/>
        <w:rPr>
          <w:rFonts w:ascii="Arial" w:eastAsia="Arial" w:hAnsi="Arial" w:cs="Arial"/>
          <w:color w:val="000000" w:themeColor="text1"/>
          <w:sz w:val="21"/>
          <w:szCs w:val="21"/>
        </w:rPr>
      </w:pPr>
    </w:p>
    <w:p w14:paraId="754A9EBE" w14:textId="3366B222" w:rsidR="00283C7E" w:rsidRDefault="00283C7E" w:rsidP="00283C7E">
      <w:pPr>
        <w:spacing w:line="276" w:lineRule="auto"/>
        <w:ind w:firstLine="709"/>
        <w:jc w:val="both"/>
        <w:rPr>
          <w:rFonts w:ascii="Arial" w:eastAsia="Arial" w:hAnsi="Arial" w:cs="Arial"/>
          <w:color w:val="000000" w:themeColor="text1"/>
          <w:sz w:val="21"/>
          <w:szCs w:val="21"/>
        </w:rPr>
      </w:pPr>
      <w:r>
        <w:rPr>
          <w:rFonts w:ascii="Arial" w:eastAsia="Arial" w:hAnsi="Arial" w:cs="Arial"/>
          <w:color w:val="000000" w:themeColor="text1"/>
          <w:sz w:val="22"/>
        </w:rPr>
        <w:t xml:space="preserve">De igual manera, en los </w:t>
      </w:r>
      <w:r w:rsidR="006C0CF3">
        <w:rPr>
          <w:rFonts w:ascii="Arial" w:eastAsia="Arial" w:hAnsi="Arial" w:cs="Arial"/>
          <w:color w:val="000000" w:themeColor="text1"/>
          <w:sz w:val="22"/>
        </w:rPr>
        <w:t xml:space="preserve">documentos tipo adoptados mediante las Resoluciones </w:t>
      </w:r>
      <w:r w:rsidR="0056773E" w:rsidRPr="0043040E">
        <w:rPr>
          <w:rFonts w:ascii="Arial" w:hAnsi="Arial" w:cs="Arial"/>
          <w:color w:val="0D0D0D"/>
          <w:sz w:val="22"/>
          <w:bdr w:val="none" w:sz="0" w:space="0" w:color="auto" w:frame="1"/>
          <w:lang w:eastAsia="es-CO"/>
        </w:rPr>
        <w:t>No. 240 y 241 del 27 de noviembre 2020</w:t>
      </w:r>
      <w:r>
        <w:rPr>
          <w:rFonts w:ascii="Arial" w:eastAsia="Arial" w:hAnsi="Arial" w:cs="Arial"/>
          <w:color w:val="000000" w:themeColor="text1"/>
          <w:sz w:val="22"/>
        </w:rPr>
        <w:t xml:space="preserve">, la obligación del proponente de presentar su oferta de manera íntegra es congruente con el numeral 1.6. del documento </w:t>
      </w:r>
      <w:r w:rsidRPr="00802DBF">
        <w:rPr>
          <w:rFonts w:ascii="Arial" w:eastAsia="Arial" w:hAnsi="Arial" w:cs="Arial"/>
          <w:color w:val="000000" w:themeColor="text1"/>
          <w:sz w:val="22"/>
        </w:rPr>
        <w:t>base</w:t>
      </w:r>
      <w:r>
        <w:rPr>
          <w:rFonts w:ascii="Arial" w:eastAsia="Arial" w:hAnsi="Arial" w:cs="Arial"/>
          <w:color w:val="000000" w:themeColor="text1"/>
          <w:sz w:val="22"/>
        </w:rPr>
        <w:t xml:space="preserve">. </w:t>
      </w:r>
      <w:r w:rsidR="0003319F">
        <w:rPr>
          <w:rFonts w:ascii="Arial" w:eastAsia="Arial" w:hAnsi="Arial" w:cs="Arial"/>
          <w:color w:val="000000" w:themeColor="text1"/>
          <w:sz w:val="22"/>
        </w:rPr>
        <w:t xml:space="preserve">Al </w:t>
      </w:r>
      <w:proofErr w:type="gramStart"/>
      <w:r w:rsidR="0003319F">
        <w:rPr>
          <w:rFonts w:ascii="Arial" w:eastAsia="Arial" w:hAnsi="Arial" w:cs="Arial"/>
          <w:color w:val="000000" w:themeColor="text1"/>
          <w:sz w:val="22"/>
        </w:rPr>
        <w:t xml:space="preserve">respecto, </w:t>
      </w:r>
      <w:r>
        <w:rPr>
          <w:rFonts w:ascii="Arial" w:eastAsia="Arial" w:hAnsi="Arial" w:cs="Arial"/>
          <w:color w:val="000000" w:themeColor="text1"/>
          <w:sz w:val="22"/>
        </w:rPr>
        <w:t xml:space="preserve"> el</w:t>
      </w:r>
      <w:proofErr w:type="gramEnd"/>
      <w:r>
        <w:rPr>
          <w:rFonts w:ascii="Arial" w:eastAsia="Arial" w:hAnsi="Arial" w:cs="Arial"/>
          <w:color w:val="000000" w:themeColor="text1"/>
          <w:sz w:val="22"/>
        </w:rPr>
        <w:t xml:space="preserve"> pliego dispone que</w:t>
      </w:r>
      <w:r>
        <w:rPr>
          <w:rFonts w:ascii="Arial" w:eastAsia="Arial" w:hAnsi="Arial" w:cs="Arial"/>
          <w:color w:val="000000" w:themeColor="text1"/>
          <w:sz w:val="21"/>
          <w:szCs w:val="21"/>
        </w:rPr>
        <w:t>:</w:t>
      </w:r>
    </w:p>
    <w:p w14:paraId="4AB8C4A0" w14:textId="77777777" w:rsidR="00283C7E" w:rsidRDefault="00283C7E" w:rsidP="00283C7E">
      <w:pPr>
        <w:spacing w:line="276" w:lineRule="auto"/>
        <w:ind w:firstLine="360"/>
        <w:jc w:val="both"/>
        <w:rPr>
          <w:rFonts w:ascii="Arial" w:eastAsia="Arial" w:hAnsi="Arial" w:cs="Arial"/>
          <w:color w:val="000000" w:themeColor="text1"/>
          <w:sz w:val="21"/>
          <w:szCs w:val="21"/>
        </w:rPr>
      </w:pPr>
    </w:p>
    <w:p w14:paraId="2D5C13A8" w14:textId="77777777" w:rsidR="00283C7E" w:rsidRPr="00A015C2" w:rsidRDefault="00283C7E" w:rsidP="00283C7E">
      <w:pPr>
        <w:spacing w:after="120"/>
        <w:ind w:left="709" w:right="709"/>
        <w:jc w:val="both"/>
        <w:rPr>
          <w:rFonts w:ascii="Arial" w:eastAsia="Arial" w:hAnsi="Arial" w:cs="Arial"/>
          <w:color w:val="000000" w:themeColor="text1"/>
          <w:sz w:val="21"/>
          <w:szCs w:val="21"/>
        </w:rPr>
      </w:pPr>
      <w:r w:rsidRPr="00A015C2">
        <w:rPr>
          <w:rFonts w:ascii="Arial" w:eastAsia="Arial" w:hAnsi="Arial" w:cs="Arial"/>
          <w:color w:val="000000" w:themeColor="text1"/>
          <w:sz w:val="21"/>
          <w:szCs w:val="21"/>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406ACC3A" w14:textId="77777777" w:rsidR="00283C7E" w:rsidRPr="00A015C2" w:rsidRDefault="00283C7E" w:rsidP="00283C7E">
      <w:pPr>
        <w:ind w:left="709" w:right="709"/>
        <w:jc w:val="both"/>
        <w:rPr>
          <w:rFonts w:ascii="Arial" w:eastAsia="Arial" w:hAnsi="Arial" w:cs="Arial"/>
          <w:color w:val="000000" w:themeColor="text1"/>
          <w:sz w:val="21"/>
          <w:szCs w:val="21"/>
        </w:rPr>
      </w:pPr>
      <w:r w:rsidRPr="00A015C2">
        <w:rPr>
          <w:rFonts w:ascii="Arial" w:eastAsia="Arial" w:hAnsi="Arial" w:cs="Arial"/>
          <w:color w:val="000000" w:themeColor="text1"/>
          <w:sz w:val="21"/>
          <w:szCs w:val="21"/>
        </w:rPr>
        <w:t>En caso de ser necesario, la Entidad deberá solicitar a los Proponentes durante el proceso de evaluación, y a más tardar en el informe de evaluación, las aclaraciones, precisiones o solicitud de documentos que puedan ser subsanables.</w:t>
      </w:r>
    </w:p>
    <w:p w14:paraId="5C29AFC0" w14:textId="77777777" w:rsidR="00283C7E" w:rsidRDefault="00283C7E" w:rsidP="00283C7E">
      <w:pPr>
        <w:spacing w:line="276" w:lineRule="auto"/>
        <w:jc w:val="both"/>
        <w:rPr>
          <w:rFonts w:ascii="Arial" w:hAnsi="Arial" w:cs="Arial"/>
          <w:color w:val="201F1E"/>
          <w:sz w:val="22"/>
          <w:bdr w:val="none" w:sz="0" w:space="0" w:color="auto" w:frame="1"/>
        </w:rPr>
      </w:pPr>
    </w:p>
    <w:p w14:paraId="5C0E6DE9" w14:textId="7AC5A28C" w:rsidR="00283C7E" w:rsidRPr="00D13660" w:rsidRDefault="00283C7E" w:rsidP="000B22B3">
      <w:pPr>
        <w:spacing w:after="120" w:line="276" w:lineRule="auto"/>
        <w:ind w:firstLine="709"/>
        <w:jc w:val="both"/>
        <w:rPr>
          <w:rFonts w:ascii="Arial" w:hAnsi="Arial" w:cs="Arial"/>
          <w:sz w:val="22"/>
          <w:bdr w:val="none" w:sz="0" w:space="0" w:color="auto" w:frame="1"/>
          <w:lang w:val="es-ES_tradnl"/>
        </w:rPr>
      </w:pPr>
      <w:r w:rsidRPr="00D13660">
        <w:rPr>
          <w:rFonts w:ascii="Arial" w:hAnsi="Arial" w:cs="Arial"/>
          <w:sz w:val="22"/>
          <w:bdr w:val="none" w:sz="0" w:space="0" w:color="auto" w:frame="1"/>
        </w:rPr>
        <w:t xml:space="preserve">Bajo la premisa de que el proponente deberá presentar su oferta de manera completa, es que se debe interpretar la expresión </w:t>
      </w:r>
      <w:r w:rsidRPr="00D13660">
        <w:rPr>
          <w:rFonts w:ascii="Arial" w:hAnsi="Arial" w:cs="Arial"/>
          <w:sz w:val="22"/>
          <w:bdr w:val="none" w:sz="0" w:space="0" w:color="auto" w:frame="1"/>
          <w:lang w:val="es-ES_tradnl"/>
        </w:rPr>
        <w:t xml:space="preserve">«circunstancias ocurridas con posterioridad al cierre del proceso». </w:t>
      </w:r>
      <w:r>
        <w:rPr>
          <w:rFonts w:ascii="Arial" w:hAnsi="Arial" w:cs="Arial"/>
          <w:sz w:val="22"/>
          <w:bdr w:val="none" w:sz="0" w:space="0" w:color="auto" w:frame="1"/>
          <w:lang w:val="es-ES_tradnl"/>
        </w:rPr>
        <w:t xml:space="preserve">Como se explicó en el </w:t>
      </w:r>
      <w:r>
        <w:rPr>
          <w:rStyle w:val="normaltextrun"/>
          <w:rFonts w:ascii="Arial" w:hAnsi="Arial" w:cs="Arial"/>
          <w:color w:val="000000"/>
          <w:sz w:val="22"/>
          <w:shd w:val="clear" w:color="auto" w:fill="FFFFFF"/>
        </w:rPr>
        <w:t xml:space="preserve">Concepto CU-060 del 24 de febrero de 2020, </w:t>
      </w:r>
      <w:r>
        <w:rPr>
          <w:rFonts w:ascii="Arial" w:hAnsi="Arial" w:cs="Arial"/>
          <w:sz w:val="22"/>
          <w:bdr w:val="none" w:sz="0" w:space="0" w:color="auto" w:frame="1"/>
          <w:lang w:val="es-ES_tradnl"/>
        </w:rPr>
        <w:t>e</w:t>
      </w:r>
      <w:r w:rsidRPr="00D13660">
        <w:rPr>
          <w:rFonts w:ascii="Arial" w:hAnsi="Arial" w:cs="Arial"/>
          <w:sz w:val="22"/>
          <w:bdr w:val="none" w:sz="0" w:space="0" w:color="auto" w:frame="1"/>
          <w:lang w:val="es-ES_tradnl"/>
        </w:rPr>
        <w:t xml:space="preserve">sto lleva a la necesidad de distinguir entre la prueba de un hecho y el hecho mismo. En el caso de la </w:t>
      </w:r>
      <w:proofErr w:type="spellStart"/>
      <w:r w:rsidRPr="00D13660">
        <w:rPr>
          <w:rFonts w:ascii="Arial" w:hAnsi="Arial" w:cs="Arial"/>
          <w:sz w:val="22"/>
          <w:bdr w:val="none" w:sz="0" w:space="0" w:color="auto" w:frame="1"/>
          <w:lang w:val="es-ES_tradnl"/>
        </w:rPr>
        <w:t>subsanabilidad</w:t>
      </w:r>
      <w:proofErr w:type="spellEnd"/>
      <w:r w:rsidRPr="00D13660">
        <w:rPr>
          <w:rFonts w:ascii="Arial" w:hAnsi="Arial" w:cs="Arial"/>
          <w:sz w:val="22"/>
          <w:bdr w:val="none" w:sz="0" w:space="0" w:color="auto" w:frame="1"/>
          <w:lang w:val="es-ES_tradnl"/>
        </w:rPr>
        <w:t xml:space="preserve"> de las ofertas una cosa es el requisito habilitante o el elemento de la propuesta y otra su prueba. Lo que prohíbe la norma, es que </w:t>
      </w:r>
      <w:r w:rsidRPr="00D13660">
        <w:rPr>
          <w:rFonts w:ascii="Arial" w:hAnsi="Arial" w:cs="Arial"/>
          <w:sz w:val="22"/>
          <w:bdr w:val="none" w:sz="0" w:space="0" w:color="auto" w:frame="1"/>
          <w:lang w:val="es-ES_tradnl"/>
        </w:rPr>
        <w:lastRenderedPageBreak/>
        <w:t>se subsanen requisitos que no estaban cumplidos al momento de presentar la oferta, o en palabras de la ley, que se acrediten hechos que ocurrieron después del cierre del proceso, en tanto esto implicaría que el proponente pueda hacer mejoras o adicione circunstancias que no corresponden a la oferta inicialmente presentada</w:t>
      </w:r>
      <w:r w:rsidRPr="00E22A17">
        <w:rPr>
          <w:rStyle w:val="Refdenotaalpie"/>
          <w:rFonts w:ascii="Arial" w:hAnsi="Arial" w:cs="Arial"/>
          <w:sz w:val="22"/>
          <w:bdr w:val="none" w:sz="0" w:space="0" w:color="auto" w:frame="1"/>
          <w:lang w:val="es-ES_tradnl"/>
        </w:rPr>
        <w:footnoteReference w:id="16"/>
      </w:r>
      <w:r w:rsidRPr="00D13660">
        <w:rPr>
          <w:rFonts w:ascii="Arial" w:hAnsi="Arial" w:cs="Arial"/>
          <w:sz w:val="22"/>
          <w:bdr w:val="none" w:sz="0" w:space="0" w:color="auto" w:frame="1"/>
          <w:lang w:val="es-ES_tradnl"/>
        </w:rPr>
        <w:t>.</w:t>
      </w:r>
    </w:p>
    <w:bookmarkEnd w:id="4"/>
    <w:p w14:paraId="130D89EC" w14:textId="0178B2BD" w:rsidR="00BD75E5" w:rsidRPr="000B22B3" w:rsidRDefault="00DE4984" w:rsidP="007F2B1B">
      <w:pPr>
        <w:spacing w:after="120" w:line="276" w:lineRule="auto"/>
        <w:ind w:firstLine="709"/>
        <w:jc w:val="both"/>
        <w:rPr>
          <w:rFonts w:ascii="Arial" w:hAnsi="Arial" w:cs="Arial"/>
          <w:color w:val="000000" w:themeColor="text1"/>
          <w:sz w:val="22"/>
          <w:lang w:val="es-ES_tradnl"/>
        </w:rPr>
      </w:pPr>
      <w:r w:rsidRPr="000B22B3">
        <w:rPr>
          <w:rFonts w:ascii="Arial" w:eastAsia="Calibri" w:hAnsi="Arial" w:cs="Arial"/>
          <w:color w:val="000000" w:themeColor="text1"/>
          <w:sz w:val="22"/>
          <w:szCs w:val="22"/>
          <w:lang w:val="es-ES_tradnl"/>
        </w:rPr>
        <w:t xml:space="preserve">Analizada la regla </w:t>
      </w:r>
      <w:r w:rsidR="001908D1" w:rsidRPr="000B22B3">
        <w:rPr>
          <w:rFonts w:ascii="Arial" w:eastAsia="Calibri" w:hAnsi="Arial" w:cs="Arial"/>
          <w:color w:val="000000" w:themeColor="text1"/>
          <w:sz w:val="22"/>
          <w:szCs w:val="22"/>
          <w:lang w:val="es-ES_tradnl"/>
        </w:rPr>
        <w:t>del parágrafo primero del artículo 5 de la Ley 1150 de 2007</w:t>
      </w:r>
      <w:r w:rsidR="002A438C" w:rsidRPr="000B22B3">
        <w:rPr>
          <w:rFonts w:ascii="Arial" w:hAnsi="Arial" w:cs="Arial"/>
          <w:color w:val="000000" w:themeColor="text1"/>
          <w:sz w:val="22"/>
          <w:lang w:val="es-ES_tradnl"/>
        </w:rPr>
        <w:t xml:space="preserve">, los criterios de desempate </w:t>
      </w:r>
      <w:r w:rsidR="005B7C40" w:rsidRPr="000B22B3">
        <w:rPr>
          <w:rFonts w:ascii="Arial" w:hAnsi="Arial" w:cs="Arial"/>
          <w:color w:val="000000" w:themeColor="text1"/>
          <w:sz w:val="22"/>
          <w:lang w:val="es-ES_tradnl"/>
        </w:rPr>
        <w:t>afectan la asignación de</w:t>
      </w:r>
      <w:r w:rsidR="002A438C" w:rsidRPr="000B22B3">
        <w:rPr>
          <w:rFonts w:ascii="Arial" w:hAnsi="Arial" w:cs="Arial"/>
          <w:color w:val="000000" w:themeColor="text1"/>
          <w:sz w:val="22"/>
          <w:lang w:val="es-ES_tradnl"/>
        </w:rPr>
        <w:t xml:space="preserve"> puntaje</w:t>
      </w:r>
      <w:r w:rsidR="00AE544C" w:rsidRPr="000B22B3">
        <w:rPr>
          <w:rFonts w:ascii="Arial" w:hAnsi="Arial" w:cs="Arial"/>
          <w:color w:val="000000" w:themeColor="text1"/>
          <w:sz w:val="22"/>
          <w:lang w:val="es-ES_tradnl"/>
        </w:rPr>
        <w:t>, por lo que</w:t>
      </w:r>
      <w:r w:rsidR="005B7C40" w:rsidRPr="000B22B3">
        <w:rPr>
          <w:rFonts w:ascii="Arial" w:hAnsi="Arial" w:cs="Arial"/>
          <w:color w:val="000000" w:themeColor="text1"/>
          <w:sz w:val="22"/>
          <w:lang w:val="es-ES_tradnl"/>
        </w:rPr>
        <w:t xml:space="preserve"> </w:t>
      </w:r>
      <w:r w:rsidR="005839EB" w:rsidRPr="000B22B3">
        <w:rPr>
          <w:rFonts w:ascii="Arial" w:hAnsi="Arial" w:cs="Arial"/>
          <w:color w:val="000000" w:themeColor="text1"/>
          <w:sz w:val="22"/>
          <w:lang w:val="es-ES_tradnl"/>
        </w:rPr>
        <w:t>los documentos que</w:t>
      </w:r>
      <w:r w:rsidR="00AF4340" w:rsidRPr="000B22B3">
        <w:rPr>
          <w:rFonts w:ascii="Arial" w:hAnsi="Arial" w:cs="Arial"/>
          <w:color w:val="000000" w:themeColor="text1"/>
          <w:sz w:val="22"/>
          <w:lang w:val="es-ES_tradnl"/>
        </w:rPr>
        <w:t xml:space="preserve"> los</w:t>
      </w:r>
      <w:r w:rsidR="005839EB" w:rsidRPr="000B22B3">
        <w:rPr>
          <w:rFonts w:ascii="Arial" w:hAnsi="Arial" w:cs="Arial"/>
          <w:color w:val="000000" w:themeColor="text1"/>
          <w:sz w:val="22"/>
          <w:lang w:val="es-ES_tradnl"/>
        </w:rPr>
        <w:t xml:space="preserve"> acreditan </w:t>
      </w:r>
      <w:r w:rsidR="00AE544C" w:rsidRPr="000B22B3">
        <w:rPr>
          <w:rFonts w:ascii="Arial" w:hAnsi="Arial" w:cs="Arial"/>
          <w:color w:val="000000" w:themeColor="text1"/>
          <w:sz w:val="22"/>
          <w:lang w:val="es-ES_tradnl"/>
        </w:rPr>
        <w:t>son insubsanables</w:t>
      </w:r>
      <w:r w:rsidR="002A438C" w:rsidRPr="000B22B3">
        <w:rPr>
          <w:rFonts w:ascii="Arial" w:hAnsi="Arial" w:cs="Arial"/>
          <w:color w:val="000000" w:themeColor="text1"/>
          <w:sz w:val="22"/>
          <w:lang w:val="es-ES_tradnl"/>
        </w:rPr>
        <w:t xml:space="preserve">. </w:t>
      </w:r>
      <w:r w:rsidR="001F05F0" w:rsidRPr="000B22B3">
        <w:rPr>
          <w:rFonts w:ascii="Arial" w:hAnsi="Arial" w:cs="Arial"/>
          <w:color w:val="000000" w:themeColor="text1"/>
          <w:sz w:val="22"/>
          <w:lang w:val="es-ES_tradnl"/>
        </w:rPr>
        <w:t>E</w:t>
      </w:r>
      <w:r w:rsidR="00AD1C8F" w:rsidRPr="000B22B3">
        <w:rPr>
          <w:rFonts w:ascii="Arial" w:hAnsi="Arial" w:cs="Arial"/>
          <w:color w:val="000000" w:themeColor="text1"/>
          <w:sz w:val="22"/>
          <w:lang w:val="es-ES_tradnl"/>
        </w:rPr>
        <w:t xml:space="preserve">stos factores </w:t>
      </w:r>
      <w:r w:rsidR="00AF4340" w:rsidRPr="000B22B3">
        <w:rPr>
          <w:rFonts w:ascii="Arial" w:hAnsi="Arial" w:cs="Arial"/>
          <w:color w:val="000000" w:themeColor="text1"/>
          <w:sz w:val="22"/>
          <w:lang w:val="es-ES_tradnl"/>
        </w:rPr>
        <w:t>definen</w:t>
      </w:r>
      <w:r w:rsidR="00764BBA" w:rsidRPr="000B22B3">
        <w:rPr>
          <w:rFonts w:ascii="Arial" w:hAnsi="Arial" w:cs="Arial"/>
          <w:color w:val="000000" w:themeColor="text1"/>
          <w:sz w:val="22"/>
          <w:lang w:val="es-ES_tradnl"/>
        </w:rPr>
        <w:t xml:space="preserve"> la adjudicación del contrato</w:t>
      </w:r>
      <w:r w:rsidR="00AD1C8F" w:rsidRPr="000B22B3">
        <w:rPr>
          <w:rFonts w:ascii="Arial" w:hAnsi="Arial" w:cs="Arial"/>
          <w:color w:val="000000" w:themeColor="text1"/>
          <w:sz w:val="22"/>
          <w:lang w:val="es-ES_tradnl"/>
        </w:rPr>
        <w:t xml:space="preserve"> cuando</w:t>
      </w:r>
      <w:r w:rsidR="000130AB" w:rsidRPr="000B22B3">
        <w:rPr>
          <w:rFonts w:ascii="Arial" w:hAnsi="Arial" w:cs="Arial"/>
          <w:color w:val="000000" w:themeColor="text1"/>
          <w:sz w:val="22"/>
          <w:lang w:val="es-ES_tradnl"/>
        </w:rPr>
        <w:t xml:space="preserve">, </w:t>
      </w:r>
      <w:r w:rsidR="00CE585C" w:rsidRPr="000B22B3">
        <w:rPr>
          <w:rFonts w:ascii="Arial" w:hAnsi="Arial" w:cs="Arial"/>
          <w:color w:val="000000" w:themeColor="text1"/>
          <w:sz w:val="22"/>
          <w:lang w:val="es-ES_tradnl"/>
        </w:rPr>
        <w:t>después de aplicar los</w:t>
      </w:r>
      <w:r w:rsidR="001F05F0" w:rsidRPr="000B22B3">
        <w:rPr>
          <w:rFonts w:ascii="Arial" w:hAnsi="Arial" w:cs="Arial"/>
          <w:color w:val="000000" w:themeColor="text1"/>
          <w:sz w:val="22"/>
          <w:lang w:val="es-ES_tradnl"/>
        </w:rPr>
        <w:t xml:space="preserve"> criterios</w:t>
      </w:r>
      <w:r w:rsidR="00E738FD" w:rsidRPr="000B22B3">
        <w:rPr>
          <w:rFonts w:ascii="Arial" w:hAnsi="Arial" w:cs="Arial"/>
          <w:color w:val="000000" w:themeColor="text1"/>
          <w:sz w:val="22"/>
          <w:lang w:val="es-ES_tradnl"/>
        </w:rPr>
        <w:t xml:space="preserve"> de evaluación </w:t>
      </w:r>
      <w:r w:rsidR="00ED6002" w:rsidRPr="000B22B3">
        <w:rPr>
          <w:rFonts w:ascii="Arial" w:hAnsi="Arial" w:cs="Arial"/>
          <w:color w:val="000000" w:themeColor="text1"/>
          <w:sz w:val="22"/>
          <w:lang w:val="es-ES_tradnl"/>
        </w:rPr>
        <w:t>del pliego de condiciones</w:t>
      </w:r>
      <w:r w:rsidR="000130AB" w:rsidRPr="000B22B3">
        <w:rPr>
          <w:rFonts w:ascii="Arial" w:hAnsi="Arial" w:cs="Arial"/>
          <w:color w:val="000000" w:themeColor="text1"/>
          <w:sz w:val="22"/>
          <w:lang w:val="es-ES_tradnl"/>
        </w:rPr>
        <w:t xml:space="preserve">, </w:t>
      </w:r>
      <w:r w:rsidR="00ED6002" w:rsidRPr="000B22B3">
        <w:rPr>
          <w:rFonts w:ascii="Arial" w:hAnsi="Arial" w:cs="Arial"/>
          <w:color w:val="000000" w:themeColor="text1"/>
          <w:sz w:val="22"/>
          <w:lang w:val="es-ES_tradnl"/>
        </w:rPr>
        <w:t xml:space="preserve">dos o </w:t>
      </w:r>
      <w:r w:rsidR="001E4D92" w:rsidRPr="000B22B3">
        <w:rPr>
          <w:rFonts w:ascii="Arial" w:hAnsi="Arial" w:cs="Arial"/>
          <w:color w:val="000000" w:themeColor="text1"/>
          <w:sz w:val="22"/>
          <w:lang w:val="es-ES_tradnl"/>
        </w:rPr>
        <w:t>más</w:t>
      </w:r>
      <w:r w:rsidR="00ED6002" w:rsidRPr="000B22B3">
        <w:rPr>
          <w:rFonts w:ascii="Arial" w:hAnsi="Arial" w:cs="Arial"/>
          <w:color w:val="000000" w:themeColor="text1"/>
          <w:sz w:val="22"/>
          <w:lang w:val="es-ES_tradnl"/>
        </w:rPr>
        <w:t xml:space="preserve"> proponentes </w:t>
      </w:r>
      <w:r w:rsidR="004E0FD1" w:rsidRPr="000B22B3">
        <w:rPr>
          <w:rFonts w:ascii="Arial" w:hAnsi="Arial" w:cs="Arial"/>
          <w:color w:val="000000" w:themeColor="text1"/>
          <w:sz w:val="22"/>
          <w:lang w:val="es-ES_tradnl"/>
        </w:rPr>
        <w:t xml:space="preserve">obtienen </w:t>
      </w:r>
      <w:r w:rsidR="00A11356" w:rsidRPr="000B22B3">
        <w:rPr>
          <w:rFonts w:ascii="Arial" w:hAnsi="Arial" w:cs="Arial"/>
          <w:color w:val="000000" w:themeColor="text1"/>
          <w:sz w:val="22"/>
          <w:lang w:val="es-ES_tradnl"/>
        </w:rPr>
        <w:t>resultados similares</w:t>
      </w:r>
      <w:r w:rsidR="002A438C" w:rsidRPr="000B22B3">
        <w:rPr>
          <w:rFonts w:ascii="Arial" w:hAnsi="Arial" w:cs="Arial"/>
          <w:color w:val="000000" w:themeColor="text1"/>
          <w:sz w:val="22"/>
          <w:lang w:val="es-ES_tradnl"/>
        </w:rPr>
        <w:t xml:space="preserve">. </w:t>
      </w:r>
      <w:r w:rsidR="004E0FD1" w:rsidRPr="000B22B3">
        <w:rPr>
          <w:rFonts w:ascii="Arial" w:hAnsi="Arial" w:cs="Arial"/>
          <w:color w:val="000000" w:themeColor="text1"/>
          <w:sz w:val="22"/>
          <w:lang w:val="es-ES_tradnl"/>
        </w:rPr>
        <w:t>De hecho</w:t>
      </w:r>
      <w:r w:rsidR="002A438C" w:rsidRPr="000B22B3">
        <w:rPr>
          <w:rFonts w:ascii="Arial" w:hAnsi="Arial" w:cs="Arial"/>
          <w:color w:val="000000" w:themeColor="text1"/>
          <w:sz w:val="22"/>
          <w:lang w:val="es-ES_tradnl"/>
        </w:rPr>
        <w:t xml:space="preserve">, el primer inciso del artículo 35 de la Ley 2069 de 2020 </w:t>
      </w:r>
      <w:r w:rsidR="00A11356" w:rsidRPr="000B22B3">
        <w:rPr>
          <w:rFonts w:ascii="Arial" w:hAnsi="Arial" w:cs="Arial"/>
          <w:color w:val="000000" w:themeColor="text1"/>
          <w:sz w:val="22"/>
          <w:lang w:val="es-ES_tradnl"/>
        </w:rPr>
        <w:t xml:space="preserve">dispone </w:t>
      </w:r>
      <w:r w:rsidR="002A438C" w:rsidRPr="000B22B3">
        <w:rPr>
          <w:rFonts w:ascii="Arial" w:hAnsi="Arial" w:cs="Arial"/>
          <w:color w:val="000000" w:themeColor="text1"/>
          <w:sz w:val="22"/>
          <w:lang w:val="es-ES_tradnl"/>
        </w:rPr>
        <w:t>que los factores de desempate</w:t>
      </w:r>
      <w:r w:rsidR="007F2B1B" w:rsidRPr="000B22B3">
        <w:rPr>
          <w:rFonts w:ascii="Arial" w:hAnsi="Arial" w:cs="Arial"/>
          <w:color w:val="000000" w:themeColor="text1"/>
          <w:sz w:val="22"/>
          <w:lang w:val="es-ES_tradnl"/>
        </w:rPr>
        <w:t xml:space="preserve"> aplican</w:t>
      </w:r>
      <w:r w:rsidR="002A438C" w:rsidRPr="000B22B3">
        <w:rPr>
          <w:rFonts w:ascii="Arial" w:hAnsi="Arial" w:cs="Arial"/>
          <w:color w:val="000000" w:themeColor="text1"/>
          <w:sz w:val="22"/>
          <w:lang w:val="es-ES_tradnl"/>
        </w:rPr>
        <w:t xml:space="preserve"> cuando el puntaje total de dos o más ofertas es el mismo</w:t>
      </w:r>
      <w:r w:rsidR="008D6B67" w:rsidRPr="000B22B3">
        <w:rPr>
          <w:rFonts w:ascii="Arial" w:hAnsi="Arial" w:cs="Arial"/>
          <w:color w:val="000000" w:themeColor="text1"/>
          <w:sz w:val="22"/>
          <w:lang w:val="es-ES_tradnl"/>
        </w:rPr>
        <w:t xml:space="preserve">. </w:t>
      </w:r>
      <w:r w:rsidR="006E7E3C" w:rsidRPr="000B22B3">
        <w:rPr>
          <w:rFonts w:ascii="Arial" w:hAnsi="Arial" w:cs="Arial"/>
          <w:color w:val="000000" w:themeColor="text1"/>
          <w:sz w:val="22"/>
          <w:lang w:val="es-ES_tradnl"/>
        </w:rPr>
        <w:t>Por tanto</w:t>
      </w:r>
      <w:r w:rsidR="008D6B67" w:rsidRPr="000B22B3">
        <w:rPr>
          <w:rFonts w:ascii="Arial" w:hAnsi="Arial" w:cs="Arial"/>
          <w:color w:val="000000" w:themeColor="text1"/>
          <w:sz w:val="22"/>
          <w:lang w:val="es-ES_tradnl"/>
        </w:rPr>
        <w:t xml:space="preserve">, </w:t>
      </w:r>
      <w:r w:rsidR="007F2B1B" w:rsidRPr="000B22B3">
        <w:rPr>
          <w:rFonts w:ascii="Arial" w:hAnsi="Arial" w:cs="Arial"/>
          <w:color w:val="000000" w:themeColor="text1"/>
          <w:sz w:val="22"/>
          <w:lang w:val="es-ES_tradnl"/>
        </w:rPr>
        <w:t>el oferente que</w:t>
      </w:r>
      <w:r w:rsidR="0018421D" w:rsidRPr="000B22B3">
        <w:rPr>
          <w:rFonts w:ascii="Arial" w:hAnsi="Arial" w:cs="Arial"/>
          <w:color w:val="000000" w:themeColor="text1"/>
          <w:sz w:val="22"/>
          <w:lang w:val="es-ES_tradnl"/>
        </w:rPr>
        <w:t xml:space="preserve"> resulta adjudicatario es aquel que</w:t>
      </w:r>
      <w:r w:rsidR="007F2B1B" w:rsidRPr="000B22B3">
        <w:rPr>
          <w:rFonts w:ascii="Arial" w:hAnsi="Arial" w:cs="Arial"/>
          <w:color w:val="000000" w:themeColor="text1"/>
          <w:sz w:val="22"/>
          <w:lang w:val="es-ES_tradnl"/>
        </w:rPr>
        <w:t xml:space="preserve"> acredit</w:t>
      </w:r>
      <w:r w:rsidR="0018421D" w:rsidRPr="000B22B3">
        <w:rPr>
          <w:rFonts w:ascii="Arial" w:hAnsi="Arial" w:cs="Arial"/>
          <w:color w:val="000000" w:themeColor="text1"/>
          <w:sz w:val="22"/>
          <w:lang w:val="es-ES_tradnl"/>
        </w:rPr>
        <w:t>a</w:t>
      </w:r>
      <w:r w:rsidR="007F2B1B" w:rsidRPr="000B22B3">
        <w:rPr>
          <w:rFonts w:ascii="Arial" w:hAnsi="Arial" w:cs="Arial"/>
          <w:color w:val="000000" w:themeColor="text1"/>
          <w:sz w:val="22"/>
          <w:lang w:val="es-ES_tradnl"/>
        </w:rPr>
        <w:t xml:space="preserve"> </w:t>
      </w:r>
      <w:r w:rsidR="001512DC" w:rsidRPr="000B22B3">
        <w:rPr>
          <w:rFonts w:ascii="Arial" w:hAnsi="Arial" w:cs="Arial"/>
          <w:color w:val="000000" w:themeColor="text1"/>
          <w:sz w:val="22"/>
          <w:lang w:val="es-ES_tradnl"/>
        </w:rPr>
        <w:t>alguno de es</w:t>
      </w:r>
      <w:r w:rsidR="00CB72F3" w:rsidRPr="000B22B3">
        <w:rPr>
          <w:rFonts w:ascii="Arial" w:hAnsi="Arial" w:cs="Arial"/>
          <w:color w:val="000000" w:themeColor="text1"/>
          <w:sz w:val="22"/>
          <w:lang w:val="es-ES_tradnl"/>
        </w:rPr>
        <w:t>os criterios de desempate</w:t>
      </w:r>
      <w:r w:rsidR="005A4A5C" w:rsidRPr="000B22B3">
        <w:rPr>
          <w:rFonts w:ascii="Arial" w:hAnsi="Arial" w:cs="Arial"/>
          <w:color w:val="000000" w:themeColor="text1"/>
          <w:sz w:val="22"/>
          <w:lang w:val="es-ES_tradnl"/>
        </w:rPr>
        <w:t>,</w:t>
      </w:r>
      <w:r w:rsidR="0018421D" w:rsidRPr="000B22B3">
        <w:rPr>
          <w:rFonts w:ascii="Arial" w:hAnsi="Arial" w:cs="Arial"/>
          <w:color w:val="000000" w:themeColor="text1"/>
          <w:sz w:val="22"/>
          <w:lang w:val="es-ES_tradnl"/>
        </w:rPr>
        <w:t xml:space="preserve"> por lo </w:t>
      </w:r>
      <w:r w:rsidR="00AD13B5" w:rsidRPr="000B22B3">
        <w:rPr>
          <w:rFonts w:ascii="Arial" w:hAnsi="Arial" w:cs="Arial"/>
          <w:color w:val="000000" w:themeColor="text1"/>
          <w:sz w:val="22"/>
          <w:lang w:val="es-ES_tradnl"/>
        </w:rPr>
        <w:t xml:space="preserve">que </w:t>
      </w:r>
      <w:r w:rsidR="0018421D" w:rsidRPr="000B22B3">
        <w:rPr>
          <w:rFonts w:ascii="Arial" w:hAnsi="Arial" w:cs="Arial"/>
          <w:color w:val="000000" w:themeColor="text1"/>
          <w:sz w:val="22"/>
          <w:lang w:val="es-ES_tradnl"/>
        </w:rPr>
        <w:t>afecta</w:t>
      </w:r>
      <w:r w:rsidR="00C83762" w:rsidRPr="000B22B3">
        <w:rPr>
          <w:rFonts w:ascii="Arial" w:hAnsi="Arial" w:cs="Arial"/>
          <w:color w:val="000000" w:themeColor="text1"/>
          <w:sz w:val="22"/>
          <w:lang w:val="es-ES_tradnl"/>
        </w:rPr>
        <w:t>n</w:t>
      </w:r>
      <w:r w:rsidR="0018421D" w:rsidRPr="000B22B3">
        <w:rPr>
          <w:rFonts w:ascii="Arial" w:hAnsi="Arial" w:cs="Arial"/>
          <w:color w:val="000000" w:themeColor="text1"/>
          <w:sz w:val="22"/>
          <w:lang w:val="es-ES_tradnl"/>
        </w:rPr>
        <w:t xml:space="preserve"> la asignación de puntaje</w:t>
      </w:r>
      <w:r w:rsidR="00593BFD" w:rsidRPr="000B22B3">
        <w:rPr>
          <w:rFonts w:ascii="Arial" w:hAnsi="Arial" w:cs="Arial"/>
          <w:color w:val="000000" w:themeColor="text1"/>
          <w:sz w:val="22"/>
          <w:lang w:val="es-ES_tradnl"/>
        </w:rPr>
        <w:t xml:space="preserve"> y decide</w:t>
      </w:r>
      <w:r w:rsidR="00C83762" w:rsidRPr="000B22B3">
        <w:rPr>
          <w:rFonts w:ascii="Arial" w:hAnsi="Arial" w:cs="Arial"/>
          <w:color w:val="000000" w:themeColor="text1"/>
          <w:sz w:val="22"/>
          <w:lang w:val="es-ES_tradnl"/>
        </w:rPr>
        <w:t>n</w:t>
      </w:r>
      <w:r w:rsidR="00593BFD" w:rsidRPr="000B22B3">
        <w:rPr>
          <w:rFonts w:ascii="Arial" w:hAnsi="Arial" w:cs="Arial"/>
          <w:color w:val="000000" w:themeColor="text1"/>
          <w:sz w:val="22"/>
          <w:lang w:val="es-ES_tradnl"/>
        </w:rPr>
        <w:t xml:space="preserve"> </w:t>
      </w:r>
      <w:r w:rsidR="006E7E3C" w:rsidRPr="000B22B3">
        <w:rPr>
          <w:rFonts w:ascii="Arial" w:hAnsi="Arial" w:cs="Arial"/>
          <w:color w:val="000000" w:themeColor="text1"/>
          <w:sz w:val="22"/>
          <w:lang w:val="es-ES_tradnl"/>
        </w:rPr>
        <w:t>el resultado del proceso de selección</w:t>
      </w:r>
      <w:r w:rsidR="005A4A5C" w:rsidRPr="000B22B3">
        <w:rPr>
          <w:rFonts w:ascii="Arial" w:hAnsi="Arial" w:cs="Arial"/>
          <w:color w:val="000000" w:themeColor="text1"/>
          <w:sz w:val="22"/>
          <w:lang w:val="es-ES_tradnl"/>
        </w:rPr>
        <w:t>.</w:t>
      </w:r>
      <w:r w:rsidR="008B6208" w:rsidRPr="000B22B3">
        <w:rPr>
          <w:rFonts w:ascii="Arial" w:hAnsi="Arial" w:cs="Arial"/>
          <w:color w:val="000000" w:themeColor="text1"/>
          <w:sz w:val="22"/>
          <w:lang w:val="es-ES_tradnl"/>
        </w:rPr>
        <w:t xml:space="preserve"> </w:t>
      </w:r>
      <w:r w:rsidR="009A42FF" w:rsidRPr="000B22B3">
        <w:rPr>
          <w:rFonts w:ascii="Arial" w:hAnsi="Arial" w:cs="Arial"/>
          <w:color w:val="000000" w:themeColor="text1"/>
          <w:sz w:val="22"/>
          <w:lang w:val="es-ES_tradnl"/>
        </w:rPr>
        <w:t xml:space="preserve"> </w:t>
      </w:r>
    </w:p>
    <w:p w14:paraId="0AD552A6" w14:textId="3E8F126C" w:rsidR="007F2B1B" w:rsidRPr="000B22B3" w:rsidRDefault="00E600C4" w:rsidP="007F2B1B">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 xml:space="preserve">Para los documentos tipo de licitación –versión 3– y selección abreviada –versión 2– </w:t>
      </w:r>
      <w:r w:rsidR="00FB70BD" w:rsidRPr="000B22B3">
        <w:rPr>
          <w:rFonts w:ascii="Arial" w:hAnsi="Arial" w:cs="Arial"/>
          <w:color w:val="000000" w:themeColor="text1"/>
          <w:sz w:val="22"/>
          <w:lang w:val="es-ES_tradnl"/>
        </w:rPr>
        <w:t>de</w:t>
      </w:r>
      <w:r w:rsidRPr="000B22B3">
        <w:rPr>
          <w:rFonts w:ascii="Arial" w:hAnsi="Arial" w:cs="Arial"/>
          <w:color w:val="000000" w:themeColor="text1"/>
          <w:sz w:val="22"/>
          <w:lang w:val="es-ES_tradnl"/>
        </w:rPr>
        <w:t xml:space="preserve"> obra </w:t>
      </w:r>
      <w:r w:rsidR="00CC3EC0" w:rsidRPr="000B22B3">
        <w:rPr>
          <w:rFonts w:ascii="Arial" w:hAnsi="Arial" w:cs="Arial"/>
          <w:color w:val="000000" w:themeColor="text1"/>
          <w:sz w:val="22"/>
          <w:lang w:val="es-ES_tradnl"/>
        </w:rPr>
        <w:t>pública de infraestructura de transporte, e</w:t>
      </w:r>
      <w:r w:rsidR="008B6208" w:rsidRPr="000B22B3">
        <w:rPr>
          <w:rFonts w:ascii="Arial" w:hAnsi="Arial" w:cs="Arial"/>
          <w:color w:val="000000" w:themeColor="text1"/>
          <w:sz w:val="22"/>
          <w:lang w:val="es-ES_tradnl"/>
        </w:rPr>
        <w:t>st</w:t>
      </w:r>
      <w:r w:rsidR="00BD75E5" w:rsidRPr="000B22B3">
        <w:rPr>
          <w:rFonts w:ascii="Arial" w:hAnsi="Arial" w:cs="Arial"/>
          <w:color w:val="000000" w:themeColor="text1"/>
          <w:sz w:val="22"/>
          <w:lang w:val="es-ES_tradnl"/>
        </w:rPr>
        <w:t>a idea</w:t>
      </w:r>
      <w:r w:rsidR="008B6208" w:rsidRPr="000B22B3">
        <w:rPr>
          <w:rFonts w:ascii="Arial" w:hAnsi="Arial" w:cs="Arial"/>
          <w:color w:val="000000" w:themeColor="text1"/>
          <w:sz w:val="22"/>
          <w:lang w:val="es-ES_tradnl"/>
        </w:rPr>
        <w:t xml:space="preserve"> es congruente con el </w:t>
      </w:r>
      <w:r w:rsidR="00CC3EC0" w:rsidRPr="000B22B3">
        <w:rPr>
          <w:rFonts w:ascii="Arial" w:hAnsi="Arial" w:cs="Arial"/>
          <w:color w:val="000000" w:themeColor="text1"/>
          <w:sz w:val="22"/>
          <w:lang w:val="es-ES_tradnl"/>
        </w:rPr>
        <w:t xml:space="preserve">numeral 1.6 del pliego de condiciones. </w:t>
      </w:r>
      <w:r w:rsidR="00EB40CF" w:rsidRPr="000B22B3">
        <w:rPr>
          <w:rFonts w:ascii="Arial" w:hAnsi="Arial" w:cs="Arial"/>
          <w:color w:val="000000" w:themeColor="text1"/>
          <w:sz w:val="22"/>
          <w:lang w:val="es-ES_tradnl"/>
        </w:rPr>
        <w:t>Al respecto, el documento base</w:t>
      </w:r>
      <w:r w:rsidR="00FB70BD" w:rsidRPr="000B22B3">
        <w:rPr>
          <w:rFonts w:ascii="Arial" w:hAnsi="Arial" w:cs="Arial"/>
          <w:color w:val="000000" w:themeColor="text1"/>
          <w:sz w:val="22"/>
          <w:lang w:val="es-ES_tradnl"/>
        </w:rPr>
        <w:t xml:space="preserve"> dispone que «Todos aquellos requisitos de la oferta que afecten la asignación de puntaje, </w:t>
      </w:r>
      <w:r w:rsidR="00FB70BD" w:rsidRPr="000B22B3">
        <w:rPr>
          <w:rFonts w:ascii="Arial" w:hAnsi="Arial" w:cs="Arial"/>
          <w:i/>
          <w:iCs/>
          <w:color w:val="000000" w:themeColor="text1"/>
          <w:sz w:val="22"/>
          <w:lang w:val="es-ES_tradnl"/>
        </w:rPr>
        <w:t>incluyendo los necesarios para acreditar requisitos de desempate</w:t>
      </w:r>
      <w:r w:rsidR="00FB70BD" w:rsidRPr="000B22B3">
        <w:rPr>
          <w:rFonts w:ascii="Arial" w:hAnsi="Arial" w:cs="Arial"/>
          <w:color w:val="000000" w:themeColor="text1"/>
          <w:sz w:val="22"/>
          <w:lang w:val="es-ES_tradnl"/>
        </w:rPr>
        <w:t>, no son subsanables, por lo que los mismos deben ser aportados por los proponentes desde la presentación de la oferta. No obstante, pueden ser aclarados o ser objeto de explicación»</w:t>
      </w:r>
      <w:r w:rsidR="00D57AB4" w:rsidRPr="000B22B3">
        <w:rPr>
          <w:rFonts w:ascii="Arial" w:hAnsi="Arial" w:cs="Arial"/>
          <w:color w:val="000000" w:themeColor="text1"/>
          <w:sz w:val="22"/>
          <w:lang w:val="es-ES_tradnl"/>
        </w:rPr>
        <w:t xml:space="preserve"> (Énfasis fuera de texto)</w:t>
      </w:r>
      <w:r w:rsidR="00FB70BD" w:rsidRPr="000B22B3">
        <w:rPr>
          <w:rFonts w:ascii="Arial" w:hAnsi="Arial" w:cs="Arial"/>
          <w:color w:val="000000" w:themeColor="text1"/>
          <w:sz w:val="22"/>
          <w:lang w:val="es-ES_tradnl"/>
        </w:rPr>
        <w:t>.</w:t>
      </w:r>
    </w:p>
    <w:p w14:paraId="77382719" w14:textId="46E1142D" w:rsidR="00193234" w:rsidRPr="000B22B3" w:rsidRDefault="00F32C4C" w:rsidP="00356C2A">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Es necesario tener en cuenta que l</w:t>
      </w:r>
      <w:r w:rsidR="00A3632D" w:rsidRPr="000B22B3">
        <w:rPr>
          <w:rFonts w:ascii="Arial" w:hAnsi="Arial" w:cs="Arial"/>
          <w:color w:val="000000" w:themeColor="text1"/>
          <w:sz w:val="22"/>
          <w:lang w:val="es-ES_tradnl"/>
        </w:rPr>
        <w:t xml:space="preserve">os factores desempate </w:t>
      </w:r>
      <w:r w:rsidR="001E2EA6" w:rsidRPr="000B22B3">
        <w:rPr>
          <w:rFonts w:ascii="Arial" w:hAnsi="Arial" w:cs="Arial"/>
          <w:color w:val="000000" w:themeColor="text1"/>
          <w:sz w:val="22"/>
          <w:lang w:val="es-ES_tradnl"/>
        </w:rPr>
        <w:t xml:space="preserve">complementan los </w:t>
      </w:r>
      <w:r w:rsidR="00165BC8" w:rsidRPr="000B22B3">
        <w:rPr>
          <w:rFonts w:ascii="Arial" w:hAnsi="Arial" w:cs="Arial"/>
          <w:color w:val="000000" w:themeColor="text1"/>
          <w:sz w:val="22"/>
          <w:lang w:val="es-ES_tradnl"/>
        </w:rPr>
        <w:t>criterios</w:t>
      </w:r>
      <w:r w:rsidR="001E2EA6" w:rsidRPr="000B22B3">
        <w:rPr>
          <w:rFonts w:ascii="Arial" w:hAnsi="Arial" w:cs="Arial"/>
          <w:color w:val="000000" w:themeColor="text1"/>
          <w:sz w:val="22"/>
          <w:lang w:val="es-ES_tradnl"/>
        </w:rPr>
        <w:t xml:space="preserve"> de evaluación</w:t>
      </w:r>
      <w:r w:rsidR="00165BC8" w:rsidRPr="000B22B3">
        <w:rPr>
          <w:rFonts w:ascii="Arial" w:hAnsi="Arial" w:cs="Arial"/>
          <w:color w:val="000000" w:themeColor="text1"/>
          <w:sz w:val="22"/>
          <w:lang w:val="es-ES_tradnl"/>
        </w:rPr>
        <w:t>, es decir, si después de aplicar estos últimos, varias propuestas terminan empatadas</w:t>
      </w:r>
      <w:r w:rsidR="00B427F8" w:rsidRPr="000B22B3">
        <w:rPr>
          <w:rFonts w:ascii="Arial" w:hAnsi="Arial" w:cs="Arial"/>
          <w:color w:val="000000" w:themeColor="text1"/>
          <w:sz w:val="22"/>
          <w:lang w:val="es-ES_tradnl"/>
        </w:rPr>
        <w:t xml:space="preserve">, </w:t>
      </w:r>
      <w:r w:rsidRPr="000B22B3">
        <w:rPr>
          <w:rFonts w:ascii="Arial" w:hAnsi="Arial" w:cs="Arial"/>
          <w:color w:val="000000" w:themeColor="text1"/>
          <w:sz w:val="22"/>
          <w:lang w:val="es-ES_tradnl"/>
        </w:rPr>
        <w:t>aplica</w:t>
      </w:r>
      <w:r w:rsidR="00B427F8" w:rsidRPr="000B22B3">
        <w:rPr>
          <w:rFonts w:ascii="Arial" w:hAnsi="Arial" w:cs="Arial"/>
          <w:color w:val="000000" w:themeColor="text1"/>
          <w:sz w:val="22"/>
          <w:lang w:val="es-ES_tradnl"/>
        </w:rPr>
        <w:t xml:space="preserve"> el artículo 35 de la Ley de Emprendimiento</w:t>
      </w:r>
      <w:r w:rsidRPr="000B22B3">
        <w:rPr>
          <w:rFonts w:ascii="Arial" w:hAnsi="Arial" w:cs="Arial"/>
          <w:color w:val="000000" w:themeColor="text1"/>
          <w:sz w:val="22"/>
          <w:lang w:val="es-ES_tradnl"/>
        </w:rPr>
        <w:t>. En esta medida</w:t>
      </w:r>
      <w:r w:rsidR="00564F19" w:rsidRPr="000B22B3">
        <w:rPr>
          <w:rFonts w:ascii="Arial" w:hAnsi="Arial" w:cs="Arial"/>
          <w:color w:val="000000" w:themeColor="text1"/>
          <w:sz w:val="22"/>
          <w:lang w:val="es-ES_tradnl"/>
        </w:rPr>
        <w:t>,</w:t>
      </w:r>
      <w:r w:rsidR="005E24C0" w:rsidRPr="000B22B3">
        <w:rPr>
          <w:rFonts w:ascii="Arial" w:hAnsi="Arial" w:cs="Arial"/>
          <w:color w:val="000000" w:themeColor="text1"/>
          <w:sz w:val="22"/>
          <w:lang w:val="es-ES_tradnl"/>
        </w:rPr>
        <w:t xml:space="preserve"> los documentos que acreditan cada </w:t>
      </w:r>
      <w:r w:rsidR="000B63BC" w:rsidRPr="000B22B3">
        <w:rPr>
          <w:rFonts w:ascii="Arial" w:hAnsi="Arial" w:cs="Arial"/>
          <w:color w:val="000000" w:themeColor="text1"/>
          <w:sz w:val="22"/>
          <w:lang w:val="es-ES_tradnl"/>
        </w:rPr>
        <w:t>causal</w:t>
      </w:r>
      <w:r w:rsidR="00564F19" w:rsidRPr="000B22B3">
        <w:rPr>
          <w:rFonts w:ascii="Arial" w:hAnsi="Arial" w:cs="Arial"/>
          <w:color w:val="000000" w:themeColor="text1"/>
          <w:sz w:val="22"/>
          <w:lang w:val="es-ES_tradnl"/>
        </w:rPr>
        <w:t xml:space="preserve"> no podrían </w:t>
      </w:r>
      <w:r w:rsidR="008F249F" w:rsidRPr="000B22B3">
        <w:rPr>
          <w:rFonts w:ascii="Arial" w:hAnsi="Arial" w:cs="Arial"/>
          <w:color w:val="000000" w:themeColor="text1"/>
          <w:sz w:val="22"/>
          <w:lang w:val="es-ES_tradnl"/>
        </w:rPr>
        <w:t>definirse</w:t>
      </w:r>
      <w:r w:rsidR="00564F19" w:rsidRPr="000B22B3">
        <w:rPr>
          <w:rFonts w:ascii="Arial" w:hAnsi="Arial" w:cs="Arial"/>
          <w:color w:val="000000" w:themeColor="text1"/>
          <w:sz w:val="22"/>
          <w:lang w:val="es-ES_tradnl"/>
        </w:rPr>
        <w:t xml:space="preserve"> como «</w:t>
      </w:r>
      <w:r w:rsidR="00F208C8" w:rsidRPr="000B22B3">
        <w:rPr>
          <w:rFonts w:ascii="Arial" w:hAnsi="Arial" w:cs="Arial"/>
          <w:color w:val="000000" w:themeColor="text1"/>
          <w:sz w:val="22"/>
          <w:lang w:val="es-ES_tradnl"/>
        </w:rPr>
        <w:t>condiciones</w:t>
      </w:r>
      <w:r w:rsidR="006A6C32" w:rsidRPr="000B22B3">
        <w:rPr>
          <w:rFonts w:ascii="Arial" w:hAnsi="Arial" w:cs="Arial"/>
          <w:color w:val="000000" w:themeColor="text1"/>
          <w:sz w:val="22"/>
          <w:lang w:val="es-ES_tradnl"/>
        </w:rPr>
        <w:t xml:space="preserve"> habilitantes</w:t>
      </w:r>
      <w:r w:rsidR="007670FF" w:rsidRPr="000B22B3">
        <w:rPr>
          <w:rFonts w:ascii="Arial" w:hAnsi="Arial" w:cs="Arial"/>
          <w:color w:val="000000" w:themeColor="text1"/>
          <w:sz w:val="22"/>
          <w:lang w:val="es-ES_tradnl"/>
        </w:rPr>
        <w:t>»</w:t>
      </w:r>
      <w:r w:rsidR="006903F6" w:rsidRPr="000B22B3">
        <w:rPr>
          <w:rFonts w:ascii="Arial" w:hAnsi="Arial" w:cs="Arial"/>
          <w:color w:val="000000" w:themeColor="text1"/>
          <w:sz w:val="22"/>
          <w:lang w:val="es-ES_tradnl"/>
        </w:rPr>
        <w:t xml:space="preserve">, </w:t>
      </w:r>
      <w:r w:rsidR="00193234" w:rsidRPr="000B22B3">
        <w:rPr>
          <w:rFonts w:ascii="Arial" w:hAnsi="Arial" w:cs="Arial"/>
          <w:color w:val="000000" w:themeColor="text1"/>
          <w:sz w:val="22"/>
          <w:lang w:val="es-ES_tradnl"/>
        </w:rPr>
        <w:t xml:space="preserve">ya que </w:t>
      </w:r>
      <w:r w:rsidR="000F7007" w:rsidRPr="000B22B3">
        <w:rPr>
          <w:rFonts w:ascii="Arial" w:hAnsi="Arial" w:cs="Arial"/>
          <w:color w:val="000000" w:themeColor="text1"/>
          <w:sz w:val="22"/>
          <w:lang w:val="es-ES_tradnl"/>
        </w:rPr>
        <w:t>–en</w:t>
      </w:r>
      <w:r w:rsidR="002A7DC4" w:rsidRPr="000B22B3">
        <w:rPr>
          <w:rFonts w:ascii="Arial" w:hAnsi="Arial" w:cs="Arial"/>
          <w:color w:val="000000" w:themeColor="text1"/>
          <w:sz w:val="22"/>
          <w:lang w:val="es-ES_tradnl"/>
        </w:rPr>
        <w:t xml:space="preserve"> los términos del artículo 5.1 de la Ley </w:t>
      </w:r>
      <w:r w:rsidR="00D02DE2" w:rsidRPr="000B22B3">
        <w:rPr>
          <w:rFonts w:ascii="Arial" w:hAnsi="Arial" w:cs="Arial"/>
          <w:color w:val="000000" w:themeColor="text1"/>
          <w:sz w:val="22"/>
          <w:lang w:val="es-ES_tradnl"/>
        </w:rPr>
        <w:t xml:space="preserve">1150 de </w:t>
      </w:r>
      <w:r w:rsidR="00AC4884" w:rsidRPr="000B22B3">
        <w:rPr>
          <w:rFonts w:ascii="Arial" w:hAnsi="Arial" w:cs="Arial"/>
          <w:color w:val="000000" w:themeColor="text1"/>
          <w:sz w:val="22"/>
          <w:lang w:val="es-ES_tradnl"/>
        </w:rPr>
        <w:t>2007</w:t>
      </w:r>
      <w:r w:rsidR="000F7007" w:rsidRPr="000B22B3">
        <w:rPr>
          <w:rFonts w:ascii="Arial" w:hAnsi="Arial" w:cs="Arial"/>
          <w:color w:val="000000" w:themeColor="text1"/>
          <w:sz w:val="22"/>
          <w:lang w:val="es-ES_tradnl"/>
        </w:rPr>
        <w:t>–</w:t>
      </w:r>
      <w:r w:rsidR="006903F6" w:rsidRPr="000B22B3">
        <w:rPr>
          <w:rFonts w:ascii="Arial" w:hAnsi="Arial" w:cs="Arial"/>
          <w:color w:val="000000" w:themeColor="text1"/>
          <w:sz w:val="22"/>
          <w:lang w:val="es-ES_tradnl"/>
        </w:rPr>
        <w:t xml:space="preserve"> </w:t>
      </w:r>
      <w:r w:rsidR="00F208C8" w:rsidRPr="000B22B3">
        <w:rPr>
          <w:rFonts w:ascii="Arial" w:hAnsi="Arial" w:cs="Arial"/>
          <w:color w:val="000000" w:themeColor="text1"/>
          <w:sz w:val="22"/>
          <w:lang w:val="es-ES_tradnl"/>
        </w:rPr>
        <w:t xml:space="preserve">ninguno de ellos está relacionado con la prueba de la </w:t>
      </w:r>
      <w:r w:rsidR="002A7DC4" w:rsidRPr="000B22B3">
        <w:rPr>
          <w:rFonts w:ascii="Arial" w:hAnsi="Arial" w:cs="Arial"/>
          <w:color w:val="000000" w:themeColor="text1"/>
          <w:sz w:val="22"/>
          <w:lang w:val="es-ES_tradnl"/>
        </w:rPr>
        <w:t xml:space="preserve">capacidad jurídica </w:t>
      </w:r>
      <w:r w:rsidR="000B63BC" w:rsidRPr="000B22B3">
        <w:rPr>
          <w:rFonts w:ascii="Arial" w:hAnsi="Arial" w:cs="Arial"/>
          <w:color w:val="000000" w:themeColor="text1"/>
          <w:sz w:val="22"/>
          <w:lang w:val="es-ES_tradnl"/>
        </w:rPr>
        <w:t>o</w:t>
      </w:r>
      <w:r w:rsidR="003E1A1E" w:rsidRPr="000B22B3">
        <w:rPr>
          <w:rFonts w:ascii="Arial" w:hAnsi="Arial" w:cs="Arial"/>
          <w:color w:val="000000" w:themeColor="text1"/>
          <w:sz w:val="22"/>
          <w:lang w:val="es-ES_tradnl"/>
        </w:rPr>
        <w:t xml:space="preserve"> la certificación </w:t>
      </w:r>
      <w:r w:rsidR="00D02DE2" w:rsidRPr="000B22B3">
        <w:rPr>
          <w:rFonts w:ascii="Arial" w:hAnsi="Arial" w:cs="Arial"/>
          <w:color w:val="000000" w:themeColor="text1"/>
          <w:sz w:val="22"/>
          <w:lang w:val="es-ES_tradnl"/>
        </w:rPr>
        <w:t>de</w:t>
      </w:r>
      <w:r w:rsidR="002A7DC4" w:rsidRPr="000B22B3">
        <w:rPr>
          <w:rFonts w:ascii="Arial" w:hAnsi="Arial" w:cs="Arial"/>
          <w:color w:val="000000" w:themeColor="text1"/>
          <w:sz w:val="22"/>
          <w:lang w:val="es-ES_tradnl"/>
        </w:rPr>
        <w:t xml:space="preserve"> las condiciones de experiencia, capacidad financiera y de organización de los proponentes</w:t>
      </w:r>
      <w:r w:rsidR="00356C2A" w:rsidRPr="000B22B3">
        <w:rPr>
          <w:rFonts w:ascii="Arial" w:hAnsi="Arial" w:cs="Arial"/>
          <w:color w:val="000000" w:themeColor="text1"/>
          <w:sz w:val="22"/>
          <w:lang w:val="es-ES_tradnl"/>
        </w:rPr>
        <w:t xml:space="preserve">. </w:t>
      </w:r>
    </w:p>
    <w:p w14:paraId="14B7423D" w14:textId="0E6DB084" w:rsidR="00DC00C6" w:rsidRPr="000B22B3" w:rsidRDefault="00B92C69" w:rsidP="00DC00C6">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De considerase «condiciones habilitantes»</w:t>
      </w:r>
      <w:r w:rsidR="00897C94" w:rsidRPr="000B22B3">
        <w:rPr>
          <w:rFonts w:ascii="Arial" w:hAnsi="Arial" w:cs="Arial"/>
          <w:color w:val="000000" w:themeColor="text1"/>
          <w:sz w:val="22"/>
          <w:lang w:val="es-ES_tradnl"/>
        </w:rPr>
        <w:t xml:space="preserve">, se llegaría a la </w:t>
      </w:r>
      <w:r w:rsidR="00073446" w:rsidRPr="000B22B3">
        <w:rPr>
          <w:rFonts w:ascii="Arial" w:hAnsi="Arial" w:cs="Arial"/>
          <w:color w:val="000000" w:themeColor="text1"/>
          <w:sz w:val="22"/>
          <w:lang w:val="es-ES_tradnl"/>
        </w:rPr>
        <w:t>idea</w:t>
      </w:r>
      <w:r w:rsidR="00897C94" w:rsidRPr="000B22B3">
        <w:rPr>
          <w:rFonts w:ascii="Arial" w:hAnsi="Arial" w:cs="Arial"/>
          <w:color w:val="000000" w:themeColor="text1"/>
          <w:sz w:val="22"/>
          <w:lang w:val="es-ES_tradnl"/>
        </w:rPr>
        <w:t xml:space="preserve"> de que</w:t>
      </w:r>
      <w:r w:rsidR="00A33078" w:rsidRPr="000B22B3">
        <w:rPr>
          <w:rFonts w:ascii="Arial" w:hAnsi="Arial" w:cs="Arial"/>
          <w:color w:val="000000" w:themeColor="text1"/>
          <w:sz w:val="22"/>
          <w:lang w:val="es-ES_tradnl"/>
        </w:rPr>
        <w:t xml:space="preserve"> –so pena de rechazo–</w:t>
      </w:r>
      <w:r w:rsidR="00897C94" w:rsidRPr="000B22B3">
        <w:rPr>
          <w:rFonts w:ascii="Arial" w:hAnsi="Arial" w:cs="Arial"/>
          <w:color w:val="000000" w:themeColor="text1"/>
          <w:sz w:val="22"/>
          <w:lang w:val="es-ES_tradnl"/>
        </w:rPr>
        <w:t xml:space="preserve"> la participación en el procedimiento contractual está </w:t>
      </w:r>
      <w:r w:rsidR="00212F86" w:rsidRPr="000B22B3">
        <w:rPr>
          <w:rFonts w:ascii="Arial" w:hAnsi="Arial" w:cs="Arial"/>
          <w:color w:val="000000" w:themeColor="text1"/>
          <w:sz w:val="22"/>
          <w:lang w:val="es-ES_tradnl"/>
        </w:rPr>
        <w:t>sujeta</w:t>
      </w:r>
      <w:r w:rsidR="00897C94" w:rsidRPr="000B22B3">
        <w:rPr>
          <w:rFonts w:ascii="Arial" w:hAnsi="Arial" w:cs="Arial"/>
          <w:color w:val="000000" w:themeColor="text1"/>
          <w:sz w:val="22"/>
          <w:lang w:val="es-ES_tradnl"/>
        </w:rPr>
        <w:t xml:space="preserve"> </w:t>
      </w:r>
      <w:r w:rsidR="00043FE8" w:rsidRPr="000B22B3">
        <w:rPr>
          <w:rFonts w:ascii="Arial" w:hAnsi="Arial" w:cs="Arial"/>
          <w:color w:val="000000" w:themeColor="text1"/>
          <w:sz w:val="22"/>
          <w:lang w:val="es-ES_tradnl"/>
        </w:rPr>
        <w:t>a la prueba de por lo menos una de las causales del artículo 35 de la Ley 2069 de 2020</w:t>
      </w:r>
      <w:r w:rsidR="00A33078" w:rsidRPr="000B22B3">
        <w:rPr>
          <w:rFonts w:ascii="Arial" w:hAnsi="Arial" w:cs="Arial"/>
          <w:color w:val="000000" w:themeColor="text1"/>
          <w:sz w:val="22"/>
          <w:lang w:val="es-ES_tradnl"/>
        </w:rPr>
        <w:t xml:space="preserve">. Esta </w:t>
      </w:r>
      <w:r w:rsidR="00073446" w:rsidRPr="000B22B3">
        <w:rPr>
          <w:rFonts w:ascii="Arial" w:hAnsi="Arial" w:cs="Arial"/>
          <w:color w:val="000000" w:themeColor="text1"/>
          <w:sz w:val="22"/>
          <w:lang w:val="es-ES_tradnl"/>
        </w:rPr>
        <w:t>conclusión</w:t>
      </w:r>
      <w:r w:rsidR="00EF5BCD" w:rsidRPr="000B22B3">
        <w:rPr>
          <w:rFonts w:ascii="Arial" w:hAnsi="Arial" w:cs="Arial"/>
          <w:color w:val="000000" w:themeColor="text1"/>
          <w:sz w:val="22"/>
          <w:lang w:val="es-ES_tradnl"/>
        </w:rPr>
        <w:t xml:space="preserve"> </w:t>
      </w:r>
      <w:r w:rsidR="009E205B" w:rsidRPr="000B22B3">
        <w:rPr>
          <w:rFonts w:ascii="Arial" w:hAnsi="Arial" w:cs="Arial"/>
          <w:color w:val="000000" w:themeColor="text1"/>
          <w:sz w:val="22"/>
          <w:lang w:val="es-ES_tradnl"/>
        </w:rPr>
        <w:t>no tendría sentido</w:t>
      </w:r>
      <w:r w:rsidR="00A33078" w:rsidRPr="000B22B3">
        <w:rPr>
          <w:rFonts w:ascii="Arial" w:hAnsi="Arial" w:cs="Arial"/>
          <w:color w:val="000000" w:themeColor="text1"/>
          <w:sz w:val="22"/>
          <w:lang w:val="es-ES_tradnl"/>
        </w:rPr>
        <w:t xml:space="preserve">, ya que es posible </w:t>
      </w:r>
      <w:r w:rsidR="00073446" w:rsidRPr="000B22B3">
        <w:rPr>
          <w:rFonts w:ascii="Arial" w:hAnsi="Arial" w:cs="Arial"/>
          <w:color w:val="000000" w:themeColor="text1"/>
          <w:sz w:val="22"/>
          <w:lang w:val="es-ES_tradnl"/>
        </w:rPr>
        <w:t xml:space="preserve">la acreditación </w:t>
      </w:r>
      <w:r w:rsidR="00AC4884" w:rsidRPr="000B22B3">
        <w:rPr>
          <w:rFonts w:ascii="Arial" w:hAnsi="Arial" w:cs="Arial"/>
          <w:color w:val="000000" w:themeColor="text1"/>
          <w:sz w:val="22"/>
          <w:lang w:val="es-ES_tradnl"/>
        </w:rPr>
        <w:t>de los requisitos previstos en el artículo 5.1 de la Ley 1150 de 2007</w:t>
      </w:r>
      <w:r w:rsidR="00565C58" w:rsidRPr="000B22B3">
        <w:rPr>
          <w:rFonts w:ascii="Arial" w:hAnsi="Arial" w:cs="Arial"/>
          <w:color w:val="000000" w:themeColor="text1"/>
          <w:sz w:val="22"/>
          <w:lang w:val="es-ES_tradnl"/>
        </w:rPr>
        <w:t xml:space="preserve">, sin que la </w:t>
      </w:r>
      <w:r w:rsidR="00AA469A" w:rsidRPr="000B22B3">
        <w:rPr>
          <w:rFonts w:ascii="Arial" w:hAnsi="Arial" w:cs="Arial"/>
          <w:color w:val="000000" w:themeColor="text1"/>
          <w:sz w:val="22"/>
          <w:lang w:val="es-ES_tradnl"/>
        </w:rPr>
        <w:t xml:space="preserve">ausencia de </w:t>
      </w:r>
      <w:r w:rsidR="00565C58" w:rsidRPr="000B22B3">
        <w:rPr>
          <w:rFonts w:ascii="Arial" w:hAnsi="Arial" w:cs="Arial"/>
          <w:color w:val="000000" w:themeColor="text1"/>
          <w:sz w:val="22"/>
          <w:lang w:val="es-ES_tradnl"/>
        </w:rPr>
        <w:t xml:space="preserve">prueba del criterio de </w:t>
      </w:r>
      <w:r w:rsidR="00AA469A" w:rsidRPr="000B22B3">
        <w:rPr>
          <w:rFonts w:ascii="Arial" w:hAnsi="Arial" w:cs="Arial"/>
          <w:color w:val="000000" w:themeColor="text1"/>
          <w:sz w:val="22"/>
          <w:lang w:val="es-ES_tradnl"/>
        </w:rPr>
        <w:t xml:space="preserve">desempate condicione la aplicación de los factores de evaluación previstos en el pliego de condiciones. </w:t>
      </w:r>
      <w:r w:rsidR="0039281A" w:rsidRPr="000B22B3">
        <w:rPr>
          <w:rFonts w:ascii="Arial" w:hAnsi="Arial" w:cs="Arial"/>
          <w:color w:val="000000" w:themeColor="text1"/>
          <w:sz w:val="22"/>
          <w:lang w:val="es-ES_tradnl"/>
        </w:rPr>
        <w:t xml:space="preserve">Naturalmente, en caso de empate, la consecuencia es que la adjudicación se resuelve con los participantes que </w:t>
      </w:r>
      <w:r w:rsidR="00576DF8" w:rsidRPr="000B22B3">
        <w:rPr>
          <w:rFonts w:ascii="Arial" w:hAnsi="Arial" w:cs="Arial"/>
          <w:color w:val="000000" w:themeColor="text1"/>
          <w:sz w:val="22"/>
          <w:lang w:val="es-ES_tradnl"/>
        </w:rPr>
        <w:t>acreditaron alguno de los factores, excluyendo a quienes no lo hicieron.</w:t>
      </w:r>
      <w:r w:rsidR="00DC00C6" w:rsidRPr="000B22B3">
        <w:rPr>
          <w:rFonts w:ascii="Arial" w:hAnsi="Arial" w:cs="Arial"/>
          <w:color w:val="000000" w:themeColor="text1"/>
          <w:sz w:val="22"/>
          <w:lang w:val="es-ES_tradnl"/>
        </w:rPr>
        <w:t xml:space="preserve"> </w:t>
      </w:r>
    </w:p>
    <w:p w14:paraId="1C1BFFE8" w14:textId="77777777" w:rsidR="006A4FE5" w:rsidRPr="000B22B3" w:rsidRDefault="006E329F" w:rsidP="006A4FE5">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lastRenderedPageBreak/>
        <w:t>De esta manera</w:t>
      </w:r>
      <w:r w:rsidR="001309B3" w:rsidRPr="000B22B3">
        <w:rPr>
          <w:rFonts w:ascii="Arial" w:hAnsi="Arial" w:cs="Arial"/>
          <w:color w:val="000000" w:themeColor="text1"/>
          <w:sz w:val="22"/>
          <w:lang w:val="es-ES_tradnl"/>
        </w:rPr>
        <w:t xml:space="preserve">, los factores de desempate </w:t>
      </w:r>
      <w:r w:rsidR="007B6DC2" w:rsidRPr="000B22B3">
        <w:rPr>
          <w:rFonts w:ascii="Arial" w:hAnsi="Arial" w:cs="Arial"/>
          <w:color w:val="000000" w:themeColor="text1"/>
          <w:sz w:val="22"/>
          <w:lang w:val="es-ES_tradnl"/>
        </w:rPr>
        <w:t>afecta</w:t>
      </w:r>
      <w:r w:rsidR="009E2363" w:rsidRPr="000B22B3">
        <w:rPr>
          <w:rFonts w:ascii="Arial" w:hAnsi="Arial" w:cs="Arial"/>
          <w:color w:val="000000" w:themeColor="text1"/>
          <w:sz w:val="22"/>
          <w:lang w:val="es-ES_tradnl"/>
        </w:rPr>
        <w:t>n</w:t>
      </w:r>
      <w:r w:rsidR="007B6DC2" w:rsidRPr="000B22B3">
        <w:rPr>
          <w:rFonts w:ascii="Arial" w:hAnsi="Arial" w:cs="Arial"/>
          <w:color w:val="000000" w:themeColor="text1"/>
          <w:sz w:val="22"/>
          <w:lang w:val="es-ES_tradnl"/>
        </w:rPr>
        <w:t xml:space="preserve"> la </w:t>
      </w:r>
      <w:r w:rsidR="00AB4EEF" w:rsidRPr="000B22B3">
        <w:rPr>
          <w:rFonts w:ascii="Arial" w:hAnsi="Arial" w:cs="Arial"/>
          <w:color w:val="000000" w:themeColor="text1"/>
          <w:sz w:val="22"/>
          <w:lang w:val="es-ES_tradnl"/>
        </w:rPr>
        <w:t>«</w:t>
      </w:r>
      <w:r w:rsidR="007B6DC2" w:rsidRPr="000B22B3">
        <w:rPr>
          <w:rFonts w:ascii="Arial" w:hAnsi="Arial" w:cs="Arial"/>
          <w:color w:val="000000" w:themeColor="text1"/>
          <w:sz w:val="22"/>
          <w:lang w:val="es-ES_tradnl"/>
        </w:rPr>
        <w:t>asignación de puntaje»</w:t>
      </w:r>
      <w:r w:rsidR="006E6042" w:rsidRPr="000B22B3">
        <w:rPr>
          <w:rFonts w:ascii="Arial" w:hAnsi="Arial" w:cs="Arial"/>
          <w:color w:val="000000" w:themeColor="text1"/>
          <w:sz w:val="22"/>
          <w:lang w:val="es-ES_tradnl"/>
        </w:rPr>
        <w:t xml:space="preserve"> en los términos del</w:t>
      </w:r>
      <w:r w:rsidR="006E6042" w:rsidRPr="000B22B3">
        <w:rPr>
          <w:rFonts w:ascii="Arial" w:eastAsia="Calibri" w:hAnsi="Arial" w:cs="Arial"/>
          <w:color w:val="000000" w:themeColor="text1"/>
          <w:sz w:val="22"/>
          <w:szCs w:val="22"/>
          <w:lang w:val="es-ES_tradnl"/>
        </w:rPr>
        <w:t xml:space="preserve"> parágrafo primero del artículo 5 de la Ley 1150 de 2007</w:t>
      </w:r>
      <w:r w:rsidR="00BB5C0B" w:rsidRPr="000B22B3">
        <w:rPr>
          <w:rFonts w:ascii="Arial" w:eastAsia="Calibri" w:hAnsi="Arial" w:cs="Arial"/>
          <w:color w:val="000000" w:themeColor="text1"/>
          <w:sz w:val="22"/>
          <w:szCs w:val="22"/>
          <w:lang w:val="es-ES_tradnl"/>
        </w:rPr>
        <w:t>,</w:t>
      </w:r>
      <w:r w:rsidR="00261EA4" w:rsidRPr="000B22B3">
        <w:rPr>
          <w:rFonts w:ascii="Arial" w:eastAsia="Calibri" w:hAnsi="Arial" w:cs="Arial"/>
          <w:color w:val="000000" w:themeColor="text1"/>
          <w:sz w:val="22"/>
          <w:szCs w:val="22"/>
          <w:lang w:val="es-ES_tradnl"/>
        </w:rPr>
        <w:t xml:space="preserve"> en</w:t>
      </w:r>
      <w:r w:rsidR="00CA7958" w:rsidRPr="000B22B3">
        <w:rPr>
          <w:rFonts w:ascii="Arial" w:eastAsia="Calibri" w:hAnsi="Arial" w:cs="Arial"/>
          <w:color w:val="000000" w:themeColor="text1"/>
          <w:sz w:val="22"/>
          <w:szCs w:val="22"/>
          <w:lang w:val="es-ES_tradnl"/>
        </w:rPr>
        <w:t xml:space="preserve"> la medida que </w:t>
      </w:r>
      <w:r w:rsidR="0064147F" w:rsidRPr="000B22B3">
        <w:rPr>
          <w:rFonts w:ascii="Arial" w:hAnsi="Arial" w:cs="Arial"/>
          <w:color w:val="000000" w:themeColor="text1"/>
          <w:sz w:val="22"/>
          <w:lang w:val="es-ES_tradnl"/>
        </w:rPr>
        <w:t>influyen en la «comparación de las propuestas»</w:t>
      </w:r>
      <w:r w:rsidR="00DC00C6" w:rsidRPr="000B22B3">
        <w:rPr>
          <w:rFonts w:ascii="Arial" w:hAnsi="Arial" w:cs="Arial"/>
          <w:color w:val="000000" w:themeColor="text1"/>
          <w:sz w:val="22"/>
          <w:lang w:val="es-ES_tradnl"/>
        </w:rPr>
        <w:t xml:space="preserve">. </w:t>
      </w:r>
      <w:r w:rsidR="002E6BF2" w:rsidRPr="000B22B3">
        <w:rPr>
          <w:rFonts w:ascii="Arial" w:hAnsi="Arial" w:cs="Arial"/>
          <w:color w:val="000000" w:themeColor="text1"/>
          <w:sz w:val="22"/>
          <w:lang w:val="es-ES_tradnl"/>
        </w:rPr>
        <w:t>En efecto,</w:t>
      </w:r>
      <w:r w:rsidR="00BB638C" w:rsidRPr="000B22B3">
        <w:rPr>
          <w:rFonts w:ascii="Arial" w:hAnsi="Arial" w:cs="Arial"/>
          <w:color w:val="000000" w:themeColor="text1"/>
          <w:sz w:val="22"/>
          <w:lang w:val="es-ES_tradnl"/>
        </w:rPr>
        <w:t xml:space="preserve"> algunos de los factores de evaluación también son criterios de desempate</w:t>
      </w:r>
      <w:r w:rsidR="002E6BF2" w:rsidRPr="000B22B3">
        <w:rPr>
          <w:rFonts w:ascii="Arial" w:hAnsi="Arial" w:cs="Arial"/>
          <w:color w:val="000000" w:themeColor="text1"/>
          <w:sz w:val="22"/>
          <w:lang w:val="es-ES_tradnl"/>
        </w:rPr>
        <w:t>: e</w:t>
      </w:r>
      <w:r w:rsidR="00BB638C" w:rsidRPr="000B22B3">
        <w:rPr>
          <w:rFonts w:ascii="Arial" w:hAnsi="Arial" w:cs="Arial"/>
          <w:color w:val="000000" w:themeColor="text1"/>
          <w:sz w:val="22"/>
          <w:lang w:val="es-ES_tradnl"/>
        </w:rPr>
        <w:t>ste es el caso</w:t>
      </w:r>
      <w:r w:rsidR="00386044" w:rsidRPr="000B22B3">
        <w:rPr>
          <w:rFonts w:ascii="Arial" w:hAnsi="Arial" w:cs="Arial"/>
          <w:color w:val="000000" w:themeColor="text1"/>
          <w:sz w:val="22"/>
          <w:lang w:val="es-ES_tradnl"/>
        </w:rPr>
        <w:t xml:space="preserve"> de</w:t>
      </w:r>
      <w:r w:rsidR="00BB638C" w:rsidRPr="000B22B3">
        <w:rPr>
          <w:rFonts w:ascii="Arial" w:hAnsi="Arial" w:cs="Arial"/>
          <w:color w:val="000000" w:themeColor="text1"/>
          <w:sz w:val="22"/>
          <w:lang w:val="es-ES_tradnl"/>
        </w:rPr>
        <w:t xml:space="preserve"> los previstos </w:t>
      </w:r>
      <w:r w:rsidR="00331424" w:rsidRPr="000B22B3">
        <w:rPr>
          <w:rFonts w:ascii="Arial" w:hAnsi="Arial" w:cs="Arial"/>
          <w:color w:val="000000" w:themeColor="text1"/>
          <w:sz w:val="22"/>
          <w:lang w:val="es-ES_tradnl"/>
        </w:rPr>
        <w:t>en</w:t>
      </w:r>
      <w:r w:rsidR="00386044" w:rsidRPr="000B22B3">
        <w:rPr>
          <w:rFonts w:ascii="Arial" w:hAnsi="Arial" w:cs="Arial"/>
          <w:color w:val="000000" w:themeColor="text1"/>
          <w:sz w:val="22"/>
          <w:lang w:val="es-ES_tradnl"/>
        </w:rPr>
        <w:t xml:space="preserve"> el artículo 2 de</w:t>
      </w:r>
      <w:r w:rsidR="00331424" w:rsidRPr="000B22B3">
        <w:rPr>
          <w:rFonts w:ascii="Arial" w:hAnsi="Arial" w:cs="Arial"/>
          <w:color w:val="000000" w:themeColor="text1"/>
          <w:sz w:val="22"/>
          <w:lang w:val="es-ES_tradnl"/>
        </w:rPr>
        <w:t xml:space="preserve"> la Ley </w:t>
      </w:r>
      <w:r w:rsidR="00386044" w:rsidRPr="000B22B3">
        <w:rPr>
          <w:rFonts w:ascii="Arial" w:hAnsi="Arial" w:cs="Arial"/>
          <w:color w:val="000000" w:themeColor="text1"/>
          <w:sz w:val="22"/>
          <w:lang w:val="es-ES_tradnl"/>
        </w:rPr>
        <w:t xml:space="preserve">816 de 2003 y </w:t>
      </w:r>
      <w:r w:rsidR="00A87C5C" w:rsidRPr="000B22B3">
        <w:rPr>
          <w:rFonts w:ascii="Arial" w:hAnsi="Arial" w:cs="Arial"/>
          <w:color w:val="000000" w:themeColor="text1"/>
          <w:sz w:val="22"/>
          <w:lang w:val="es-ES_tradnl"/>
        </w:rPr>
        <w:t xml:space="preserve">en </w:t>
      </w:r>
      <w:bookmarkStart w:id="6" w:name="_Hlk71484452"/>
      <w:r w:rsidR="00A87C5C" w:rsidRPr="000B22B3">
        <w:rPr>
          <w:rFonts w:ascii="Arial" w:hAnsi="Arial" w:cs="Arial"/>
          <w:color w:val="000000" w:themeColor="text1"/>
          <w:sz w:val="22"/>
          <w:lang w:val="es-ES_tradnl"/>
        </w:rPr>
        <w:t xml:space="preserve">el artículo </w:t>
      </w:r>
      <w:r w:rsidR="00315B6F" w:rsidRPr="000B22B3">
        <w:rPr>
          <w:rFonts w:ascii="Arial" w:eastAsia="Calibri" w:hAnsi="Arial" w:cs="Arial"/>
          <w:sz w:val="22"/>
          <w:lang w:val="es-ES"/>
        </w:rPr>
        <w:t>2.2.1.2.4.2.6 de</w:t>
      </w:r>
      <w:r w:rsidR="00855B29" w:rsidRPr="000B22B3">
        <w:rPr>
          <w:rFonts w:ascii="Arial" w:eastAsia="Calibri" w:hAnsi="Arial" w:cs="Arial"/>
          <w:sz w:val="22"/>
          <w:lang w:val="es-ES"/>
        </w:rPr>
        <w:t>l Decreto 1082 de 2015</w:t>
      </w:r>
      <w:bookmarkEnd w:id="6"/>
      <w:r w:rsidR="00855B29" w:rsidRPr="000B22B3">
        <w:rPr>
          <w:rFonts w:ascii="Arial" w:eastAsia="Calibri" w:hAnsi="Arial" w:cs="Arial"/>
          <w:sz w:val="22"/>
          <w:lang w:val="es-ES"/>
        </w:rPr>
        <w:t xml:space="preserve"> para los proponentes que oferten bienes y servicios nacionales </w:t>
      </w:r>
      <w:r w:rsidR="000B5008" w:rsidRPr="000B22B3">
        <w:rPr>
          <w:rFonts w:ascii="Arial" w:eastAsia="Calibri" w:hAnsi="Arial" w:cs="Arial"/>
          <w:sz w:val="22"/>
          <w:lang w:val="es-ES"/>
        </w:rPr>
        <w:t>o vinculen personas en situación de discapacidad</w:t>
      </w:r>
      <w:r w:rsidR="0057716D" w:rsidRPr="000B22B3">
        <w:rPr>
          <w:rFonts w:ascii="Arial" w:eastAsia="Calibri" w:hAnsi="Arial" w:cs="Arial"/>
          <w:sz w:val="22"/>
          <w:lang w:val="es-ES"/>
        </w:rPr>
        <w:t>, respectivamente</w:t>
      </w:r>
      <w:r w:rsidR="009139A6" w:rsidRPr="000B22B3">
        <w:rPr>
          <w:rStyle w:val="Refdenotaalpie"/>
          <w:rFonts w:ascii="Arial" w:hAnsi="Arial" w:cs="Arial"/>
          <w:color w:val="000000" w:themeColor="text1"/>
          <w:sz w:val="22"/>
          <w:lang w:val="es-ES_tradnl"/>
        </w:rPr>
        <w:footnoteReference w:id="17"/>
      </w:r>
      <w:r w:rsidR="0057716D" w:rsidRPr="000B22B3">
        <w:rPr>
          <w:rFonts w:ascii="Arial" w:eastAsia="Calibri" w:hAnsi="Arial" w:cs="Arial"/>
          <w:sz w:val="22"/>
          <w:lang w:val="es-ES"/>
        </w:rPr>
        <w:t>.</w:t>
      </w:r>
      <w:r w:rsidR="00386044" w:rsidRPr="000B22B3">
        <w:rPr>
          <w:rFonts w:ascii="Arial" w:hAnsi="Arial" w:cs="Arial"/>
          <w:color w:val="000000" w:themeColor="text1"/>
          <w:sz w:val="22"/>
          <w:lang w:val="es-ES_tradnl"/>
        </w:rPr>
        <w:t xml:space="preserve"> </w:t>
      </w:r>
      <w:r w:rsidR="002E6BF2" w:rsidRPr="000B22B3">
        <w:rPr>
          <w:rFonts w:ascii="Arial" w:hAnsi="Arial" w:cs="Arial"/>
          <w:color w:val="000000" w:themeColor="text1"/>
          <w:sz w:val="22"/>
          <w:lang w:val="es-ES_tradnl"/>
        </w:rPr>
        <w:t xml:space="preserve">Por tanto, </w:t>
      </w:r>
      <w:r w:rsidR="00A55B66" w:rsidRPr="000B22B3">
        <w:rPr>
          <w:rFonts w:ascii="Arial" w:hAnsi="Arial" w:cs="Arial"/>
          <w:color w:val="000000" w:themeColor="text1"/>
          <w:sz w:val="22"/>
          <w:lang w:val="es-ES_tradnl"/>
        </w:rPr>
        <w:t xml:space="preserve">si no es posible subsanar los factores de evaluación previstos en las normas citadas, mucho menos es posible subsanarlos </w:t>
      </w:r>
      <w:r w:rsidR="005D1394" w:rsidRPr="000B22B3">
        <w:rPr>
          <w:rFonts w:ascii="Arial" w:hAnsi="Arial" w:cs="Arial"/>
          <w:color w:val="000000" w:themeColor="text1"/>
          <w:sz w:val="22"/>
          <w:lang w:val="es-ES_tradnl"/>
        </w:rPr>
        <w:t xml:space="preserve">tratándose de los factores de desempate de los numerales </w:t>
      </w:r>
      <w:r w:rsidR="00AE5865" w:rsidRPr="000B22B3">
        <w:rPr>
          <w:rFonts w:ascii="Arial" w:hAnsi="Arial" w:cs="Arial"/>
          <w:color w:val="000000" w:themeColor="text1"/>
          <w:sz w:val="22"/>
          <w:lang w:val="es-ES_tradnl"/>
        </w:rPr>
        <w:t xml:space="preserve">1 y 3 del artículo 35 </w:t>
      </w:r>
      <w:r w:rsidR="00435301" w:rsidRPr="000B22B3">
        <w:rPr>
          <w:rFonts w:ascii="Arial" w:hAnsi="Arial" w:cs="Arial"/>
          <w:color w:val="000000" w:themeColor="text1"/>
          <w:sz w:val="22"/>
          <w:lang w:val="es-ES_tradnl"/>
        </w:rPr>
        <w:t xml:space="preserve">de la Ley de Emprendimiento. Esta conclusión se extiende al resto de las causales </w:t>
      </w:r>
      <w:r w:rsidR="00B3661D" w:rsidRPr="000B22B3">
        <w:rPr>
          <w:rFonts w:ascii="Arial" w:hAnsi="Arial" w:cs="Arial"/>
          <w:color w:val="000000" w:themeColor="text1"/>
          <w:sz w:val="22"/>
          <w:lang w:val="es-ES_tradnl"/>
        </w:rPr>
        <w:t>de esta norma, ya que definen la adjudicación del contrato en</w:t>
      </w:r>
      <w:r w:rsidR="0022775B" w:rsidRPr="000B22B3">
        <w:rPr>
          <w:rFonts w:ascii="Arial" w:hAnsi="Arial" w:cs="Arial"/>
          <w:color w:val="000000" w:themeColor="text1"/>
          <w:sz w:val="22"/>
          <w:lang w:val="es-ES_tradnl"/>
        </w:rPr>
        <w:t xml:space="preserve"> caso de empate en el puntaje total de dos o más ofertas en los </w:t>
      </w:r>
      <w:r w:rsidR="007D79FC" w:rsidRPr="000B22B3">
        <w:rPr>
          <w:rFonts w:ascii="Arial" w:hAnsi="Arial" w:cs="Arial"/>
          <w:color w:val="000000" w:themeColor="text1"/>
          <w:sz w:val="22"/>
          <w:lang w:val="es-ES_tradnl"/>
        </w:rPr>
        <w:t>procesos de contratación</w:t>
      </w:r>
      <w:r w:rsidR="00B3661D" w:rsidRPr="000B22B3">
        <w:rPr>
          <w:rFonts w:ascii="Arial" w:hAnsi="Arial" w:cs="Arial"/>
          <w:color w:val="000000" w:themeColor="text1"/>
          <w:sz w:val="22"/>
          <w:lang w:val="es-ES_tradnl"/>
        </w:rPr>
        <w:t>.</w:t>
      </w:r>
      <w:r w:rsidR="005D1394" w:rsidRPr="000B22B3">
        <w:rPr>
          <w:rFonts w:ascii="Arial" w:hAnsi="Arial" w:cs="Arial"/>
          <w:color w:val="000000" w:themeColor="text1"/>
          <w:sz w:val="22"/>
          <w:lang w:val="es-ES_tradnl"/>
        </w:rPr>
        <w:t xml:space="preserve"> </w:t>
      </w:r>
    </w:p>
    <w:p w14:paraId="2C71FAAE" w14:textId="08EC578C" w:rsidR="001B3B69" w:rsidRPr="000B22B3" w:rsidRDefault="001D09BE" w:rsidP="001B3B69">
      <w:pPr>
        <w:spacing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D</w:t>
      </w:r>
      <w:r w:rsidR="002D1708" w:rsidRPr="000B22B3">
        <w:rPr>
          <w:rFonts w:ascii="Arial" w:hAnsi="Arial" w:cs="Arial"/>
          <w:color w:val="000000" w:themeColor="text1"/>
          <w:sz w:val="22"/>
          <w:lang w:val="es-ES_tradnl"/>
        </w:rPr>
        <w:t xml:space="preserve">ado que </w:t>
      </w:r>
      <w:r w:rsidR="00862F60" w:rsidRPr="000B22B3">
        <w:rPr>
          <w:rFonts w:ascii="Arial" w:hAnsi="Arial" w:cs="Arial"/>
          <w:color w:val="000000" w:themeColor="text1"/>
          <w:sz w:val="22"/>
          <w:lang w:val="es-ES_tradnl"/>
        </w:rPr>
        <w:t xml:space="preserve">los factores de desempate </w:t>
      </w:r>
      <w:r w:rsidR="00A94CE3" w:rsidRPr="000B22B3">
        <w:rPr>
          <w:rFonts w:ascii="Arial" w:hAnsi="Arial" w:cs="Arial"/>
          <w:color w:val="000000" w:themeColor="text1"/>
          <w:sz w:val="22"/>
          <w:lang w:val="es-ES_tradnl"/>
        </w:rPr>
        <w:t>influyen en la ponderación de las ofertas presentadas</w:t>
      </w:r>
      <w:r w:rsidR="00365E36" w:rsidRPr="000B22B3">
        <w:rPr>
          <w:rFonts w:ascii="Arial" w:hAnsi="Arial" w:cs="Arial"/>
          <w:color w:val="000000" w:themeColor="text1"/>
          <w:sz w:val="22"/>
          <w:lang w:val="es-ES_tradnl"/>
        </w:rPr>
        <w:t>,</w:t>
      </w:r>
      <w:r w:rsidR="0057200A" w:rsidRPr="000B22B3">
        <w:rPr>
          <w:rFonts w:ascii="Arial" w:hAnsi="Arial" w:cs="Arial"/>
          <w:color w:val="000000" w:themeColor="text1"/>
          <w:sz w:val="22"/>
          <w:lang w:val="es-ES_tradnl"/>
        </w:rPr>
        <w:t xml:space="preserve"> </w:t>
      </w:r>
      <w:r w:rsidR="00365E36" w:rsidRPr="000B22B3">
        <w:rPr>
          <w:rFonts w:ascii="Arial" w:hAnsi="Arial" w:cs="Arial"/>
          <w:color w:val="000000" w:themeColor="text1"/>
          <w:sz w:val="22"/>
          <w:lang w:val="es-ES_tradnl"/>
        </w:rPr>
        <w:t xml:space="preserve">la acreditación de las causales </w:t>
      </w:r>
      <w:r w:rsidR="0057200A" w:rsidRPr="000B22B3">
        <w:rPr>
          <w:rFonts w:ascii="Arial" w:hAnsi="Arial" w:cs="Arial"/>
          <w:color w:val="000000" w:themeColor="text1"/>
          <w:sz w:val="22"/>
          <w:lang w:val="es-ES_tradnl"/>
        </w:rPr>
        <w:t>previstas en el artículo 35 de la Ley 2069 de 2020</w:t>
      </w:r>
      <w:r w:rsidR="0086788B" w:rsidRPr="000B22B3">
        <w:rPr>
          <w:rFonts w:ascii="Arial" w:hAnsi="Arial" w:cs="Arial"/>
          <w:color w:val="000000" w:themeColor="text1"/>
          <w:sz w:val="22"/>
          <w:lang w:val="es-ES_tradnl"/>
        </w:rPr>
        <w:t xml:space="preserve"> es insubsanable</w:t>
      </w:r>
      <w:r w:rsidR="0057200A" w:rsidRPr="000B22B3">
        <w:rPr>
          <w:rFonts w:ascii="Arial" w:hAnsi="Arial" w:cs="Arial"/>
          <w:color w:val="000000" w:themeColor="text1"/>
          <w:sz w:val="22"/>
          <w:lang w:val="es-ES_tradnl"/>
        </w:rPr>
        <w:t>. Esto considerando que</w:t>
      </w:r>
      <w:r w:rsidR="00DA61E1" w:rsidRPr="000B22B3">
        <w:rPr>
          <w:rFonts w:ascii="Arial" w:hAnsi="Arial" w:cs="Arial"/>
          <w:color w:val="000000" w:themeColor="text1"/>
          <w:sz w:val="22"/>
          <w:lang w:val="es-ES_tradnl"/>
        </w:rPr>
        <w:t xml:space="preserve"> </w:t>
      </w:r>
      <w:r w:rsidR="0005111E" w:rsidRPr="000B22B3">
        <w:rPr>
          <w:rFonts w:ascii="Arial" w:hAnsi="Arial" w:cs="Arial"/>
          <w:color w:val="000000" w:themeColor="text1"/>
          <w:sz w:val="22"/>
          <w:lang w:val="es-ES_tradnl"/>
        </w:rPr>
        <w:t>no</w:t>
      </w:r>
      <w:r w:rsidR="0057200A" w:rsidRPr="000B22B3">
        <w:rPr>
          <w:rFonts w:ascii="Arial" w:hAnsi="Arial" w:cs="Arial"/>
          <w:color w:val="000000" w:themeColor="text1"/>
          <w:sz w:val="22"/>
          <w:lang w:val="es-ES_tradnl"/>
        </w:rPr>
        <w:t xml:space="preserve"> son</w:t>
      </w:r>
      <w:r w:rsidR="00DA61E1" w:rsidRPr="000B22B3">
        <w:rPr>
          <w:rFonts w:ascii="Arial" w:hAnsi="Arial" w:cs="Arial"/>
          <w:color w:val="000000" w:themeColor="text1"/>
          <w:sz w:val="22"/>
          <w:lang w:val="es-ES_tradnl"/>
        </w:rPr>
        <w:t xml:space="preserve"> criterios </w:t>
      </w:r>
      <w:r w:rsidR="0086788B" w:rsidRPr="000B22B3">
        <w:rPr>
          <w:rFonts w:ascii="Arial" w:hAnsi="Arial" w:cs="Arial"/>
          <w:color w:val="000000" w:themeColor="text1"/>
          <w:sz w:val="22"/>
          <w:lang w:val="es-ES_tradnl"/>
        </w:rPr>
        <w:t>puramente formales</w:t>
      </w:r>
      <w:r w:rsidR="003C5218" w:rsidRPr="000B22B3">
        <w:rPr>
          <w:rFonts w:ascii="Arial" w:hAnsi="Arial" w:cs="Arial"/>
          <w:color w:val="000000" w:themeColor="text1"/>
          <w:sz w:val="22"/>
          <w:lang w:val="es-ES_tradnl"/>
        </w:rPr>
        <w:t xml:space="preserve"> de las propuestas</w:t>
      </w:r>
      <w:r w:rsidR="0086788B" w:rsidRPr="000B22B3">
        <w:rPr>
          <w:rFonts w:ascii="Arial" w:hAnsi="Arial" w:cs="Arial"/>
          <w:color w:val="000000" w:themeColor="text1"/>
          <w:sz w:val="22"/>
          <w:lang w:val="es-ES_tradnl"/>
        </w:rPr>
        <w:t xml:space="preserve"> ni</w:t>
      </w:r>
      <w:r w:rsidR="0057200A" w:rsidRPr="000B22B3">
        <w:rPr>
          <w:rFonts w:ascii="Arial" w:hAnsi="Arial" w:cs="Arial"/>
          <w:color w:val="000000" w:themeColor="text1"/>
          <w:sz w:val="22"/>
          <w:lang w:val="es-ES_tradnl"/>
        </w:rPr>
        <w:t xml:space="preserve"> requisitos </w:t>
      </w:r>
      <w:r w:rsidRPr="000B22B3">
        <w:rPr>
          <w:rFonts w:ascii="Arial" w:hAnsi="Arial" w:cs="Arial"/>
          <w:color w:val="000000" w:themeColor="text1"/>
          <w:sz w:val="22"/>
          <w:lang w:val="es-ES_tradnl"/>
        </w:rPr>
        <w:t xml:space="preserve">para </w:t>
      </w:r>
      <w:r w:rsidR="00C00A16" w:rsidRPr="000B22B3">
        <w:rPr>
          <w:rFonts w:ascii="Arial" w:hAnsi="Arial" w:cs="Arial"/>
          <w:color w:val="000000" w:themeColor="text1"/>
          <w:sz w:val="22"/>
          <w:lang w:val="es-ES_tradnl"/>
        </w:rPr>
        <w:t xml:space="preserve">la </w:t>
      </w:r>
      <w:r w:rsidRPr="000B22B3">
        <w:rPr>
          <w:rFonts w:ascii="Arial" w:hAnsi="Arial" w:cs="Arial"/>
          <w:color w:val="000000" w:themeColor="text1"/>
          <w:sz w:val="22"/>
          <w:lang w:val="es-ES_tradnl"/>
        </w:rPr>
        <w:t>verificación de las condiciones habilitantes en el proceso de selección</w:t>
      </w:r>
      <w:r w:rsidR="00C00A16" w:rsidRPr="000B22B3">
        <w:rPr>
          <w:rFonts w:ascii="Arial" w:hAnsi="Arial" w:cs="Arial"/>
          <w:color w:val="000000" w:themeColor="text1"/>
          <w:sz w:val="22"/>
          <w:lang w:val="es-ES_tradnl"/>
        </w:rPr>
        <w:t xml:space="preserve"> en los que aplique la regla </w:t>
      </w:r>
      <w:r w:rsidR="004A776F" w:rsidRPr="000B22B3">
        <w:rPr>
          <w:rFonts w:ascii="Arial" w:hAnsi="Arial" w:cs="Arial"/>
          <w:color w:val="000000" w:themeColor="text1"/>
          <w:sz w:val="22"/>
          <w:lang w:val="es-ES_tradnl"/>
        </w:rPr>
        <w:t xml:space="preserve">del </w:t>
      </w:r>
      <w:r w:rsidR="00C00A16" w:rsidRPr="000B22B3">
        <w:rPr>
          <w:rFonts w:ascii="Arial" w:eastAsia="Calibri" w:hAnsi="Arial" w:cs="Arial"/>
          <w:color w:val="000000" w:themeColor="text1"/>
          <w:sz w:val="22"/>
          <w:szCs w:val="22"/>
          <w:lang w:val="es-ES_tradnl"/>
        </w:rPr>
        <w:t>parágrafo primero del artículo 5 de la Ley 1150 de 2007</w:t>
      </w:r>
      <w:r w:rsidRPr="000B22B3">
        <w:rPr>
          <w:rFonts w:ascii="Arial" w:hAnsi="Arial" w:cs="Arial"/>
          <w:color w:val="000000" w:themeColor="text1"/>
          <w:sz w:val="22"/>
          <w:lang w:val="es-ES_tradnl"/>
        </w:rPr>
        <w:t>.</w:t>
      </w:r>
      <w:r w:rsidR="001B3B69" w:rsidRPr="000B22B3">
        <w:rPr>
          <w:rFonts w:ascii="Arial" w:hAnsi="Arial" w:cs="Arial"/>
          <w:color w:val="000000" w:themeColor="text1"/>
          <w:sz w:val="22"/>
          <w:lang w:val="es-ES_tradnl"/>
        </w:rPr>
        <w:t xml:space="preserve"> Por tanto,</w:t>
      </w:r>
      <w:r w:rsidR="00552DEF" w:rsidRPr="000B22B3">
        <w:rPr>
          <w:rFonts w:ascii="Arial" w:hAnsi="Arial" w:cs="Arial"/>
          <w:color w:val="000000" w:themeColor="text1"/>
          <w:sz w:val="22"/>
          <w:lang w:val="es-ES_tradnl"/>
        </w:rPr>
        <w:t xml:space="preserve"> dado que no existe oportunidad posterior,</w:t>
      </w:r>
      <w:r w:rsidR="001B3B69" w:rsidRPr="000B22B3">
        <w:rPr>
          <w:rFonts w:ascii="Arial" w:hAnsi="Arial" w:cs="Arial"/>
          <w:color w:val="000000" w:themeColor="text1"/>
          <w:sz w:val="22"/>
          <w:lang w:val="es-ES_tradnl"/>
        </w:rPr>
        <w:t xml:space="preserve"> la documentación relacionada con los factores de desempate debe entregarse con la oferta</w:t>
      </w:r>
      <w:r w:rsidR="00337B55" w:rsidRPr="000B22B3">
        <w:rPr>
          <w:rFonts w:ascii="Arial" w:hAnsi="Arial" w:cs="Arial"/>
          <w:color w:val="000000" w:themeColor="text1"/>
          <w:sz w:val="22"/>
          <w:lang w:val="es-ES_tradnl"/>
        </w:rPr>
        <w:t xml:space="preserve"> de forma completa e integra,</w:t>
      </w:r>
      <w:r w:rsidR="001B3B69" w:rsidRPr="000B22B3">
        <w:rPr>
          <w:rFonts w:ascii="Arial" w:hAnsi="Arial" w:cs="Arial"/>
          <w:color w:val="000000" w:themeColor="text1"/>
          <w:sz w:val="22"/>
          <w:lang w:val="es-ES_tradnl"/>
        </w:rPr>
        <w:t xml:space="preserve"> antes del cierre del proceso de selección.</w:t>
      </w:r>
    </w:p>
    <w:p w14:paraId="22CD433E" w14:textId="77777777" w:rsidR="00D7417D" w:rsidRPr="000B22B3" w:rsidRDefault="00D7417D" w:rsidP="000B22B3">
      <w:pPr>
        <w:spacing w:line="276" w:lineRule="auto"/>
        <w:ind w:right="709"/>
        <w:jc w:val="both"/>
        <w:rPr>
          <w:rFonts w:ascii="Arial" w:hAnsi="Arial" w:cs="Arial"/>
          <w:color w:val="000000" w:themeColor="text1"/>
          <w:sz w:val="22"/>
          <w:lang w:val="es-ES"/>
        </w:rPr>
      </w:pPr>
    </w:p>
    <w:p w14:paraId="37CA9805" w14:textId="74A99BE5" w:rsidR="00DD5B04" w:rsidRPr="000B22B3" w:rsidRDefault="004177A6" w:rsidP="00510DE9">
      <w:pPr>
        <w:tabs>
          <w:tab w:val="left" w:pos="0"/>
        </w:tabs>
        <w:jc w:val="both"/>
        <w:rPr>
          <w:rFonts w:ascii="Arial" w:eastAsia="Calibri" w:hAnsi="Arial" w:cs="Arial"/>
          <w:b/>
          <w:color w:val="000000" w:themeColor="text1"/>
          <w:sz w:val="22"/>
          <w:lang w:val="es-ES_tradnl"/>
        </w:rPr>
      </w:pPr>
      <w:r w:rsidRPr="000B22B3">
        <w:rPr>
          <w:rFonts w:ascii="Arial" w:eastAsia="Calibri" w:hAnsi="Arial" w:cs="Arial"/>
          <w:b/>
          <w:color w:val="000000" w:themeColor="text1"/>
          <w:sz w:val="22"/>
          <w:lang w:val="es-ES_tradnl"/>
        </w:rPr>
        <w:t>3</w:t>
      </w:r>
      <w:r w:rsidR="00B011A9" w:rsidRPr="000B22B3">
        <w:rPr>
          <w:rFonts w:ascii="Arial" w:eastAsia="Calibri" w:hAnsi="Arial" w:cs="Arial"/>
          <w:b/>
          <w:color w:val="000000" w:themeColor="text1"/>
          <w:sz w:val="22"/>
          <w:lang w:val="es-ES_tradnl"/>
        </w:rPr>
        <w:t xml:space="preserve">. </w:t>
      </w:r>
      <w:r w:rsidR="00DD5B04" w:rsidRPr="000B22B3">
        <w:rPr>
          <w:rFonts w:ascii="Arial" w:eastAsia="Calibri" w:hAnsi="Arial" w:cs="Arial"/>
          <w:b/>
          <w:color w:val="000000" w:themeColor="text1"/>
          <w:sz w:val="22"/>
          <w:lang w:val="es-ES_tradnl"/>
        </w:rPr>
        <w:t>Respuesta</w:t>
      </w:r>
      <w:r w:rsidR="002A7D84" w:rsidRPr="000B22B3">
        <w:rPr>
          <w:rFonts w:ascii="Arial" w:eastAsia="Calibri" w:hAnsi="Arial" w:cs="Arial"/>
          <w:b/>
          <w:color w:val="000000" w:themeColor="text1"/>
          <w:sz w:val="22"/>
          <w:lang w:val="es-ES_tradnl"/>
        </w:rPr>
        <w:t>s</w:t>
      </w:r>
    </w:p>
    <w:p w14:paraId="0B74D5B8" w14:textId="7F0A7F13" w:rsidR="00C4581D" w:rsidRPr="000B22B3" w:rsidRDefault="00C4581D" w:rsidP="000B22B3">
      <w:pPr>
        <w:tabs>
          <w:tab w:val="left" w:pos="0"/>
        </w:tabs>
        <w:spacing w:line="276" w:lineRule="auto"/>
        <w:jc w:val="both"/>
        <w:rPr>
          <w:rFonts w:ascii="Arial" w:eastAsia="Calibri" w:hAnsi="Arial" w:cs="Arial"/>
          <w:color w:val="000000" w:themeColor="text1"/>
          <w:sz w:val="22"/>
          <w:lang w:val="es-ES_tradnl"/>
        </w:rPr>
      </w:pPr>
    </w:p>
    <w:p w14:paraId="35D2EB08" w14:textId="139CF841" w:rsidR="00F740A0" w:rsidRPr="000B22B3" w:rsidRDefault="002E0DE1" w:rsidP="00145C1A">
      <w:pPr>
        <w:ind w:left="709" w:right="709"/>
        <w:jc w:val="both"/>
        <w:rPr>
          <w:rFonts w:ascii="Arial" w:hAnsi="Arial" w:cs="Arial"/>
          <w:color w:val="000000" w:themeColor="text1"/>
          <w:sz w:val="21"/>
          <w:szCs w:val="21"/>
          <w:lang w:val="es-ES_tradnl"/>
        </w:rPr>
      </w:pPr>
      <w:r w:rsidRPr="000B22B3">
        <w:rPr>
          <w:rFonts w:ascii="Arial" w:hAnsi="Arial" w:cs="Arial"/>
          <w:color w:val="000000" w:themeColor="text1"/>
          <w:sz w:val="21"/>
          <w:szCs w:val="21"/>
          <w:lang w:val="es-ES_tradnl"/>
        </w:rPr>
        <w:t xml:space="preserve">i) </w:t>
      </w:r>
      <w:r w:rsidR="00E84EB9" w:rsidRPr="000B22B3">
        <w:rPr>
          <w:rFonts w:ascii="Arial" w:hAnsi="Arial" w:cs="Arial"/>
          <w:color w:val="000000" w:themeColor="text1"/>
          <w:sz w:val="21"/>
          <w:szCs w:val="21"/>
          <w:lang w:val="es-ES_tradnl"/>
        </w:rPr>
        <w:t>Respecto a los factores de desempate del artículo 35 de la Ley 2069 de 2020, «¿Cuál es el tratamiento que debe dársele a los documentos por medio de los cuales se acreditan las causales de desempate introducidas por dicha norma?».</w:t>
      </w:r>
    </w:p>
    <w:p w14:paraId="6EF9F36A" w14:textId="77777777" w:rsidR="00E84EB9" w:rsidRPr="000B22B3" w:rsidRDefault="00E84EB9" w:rsidP="000B22B3">
      <w:pPr>
        <w:spacing w:line="276" w:lineRule="auto"/>
        <w:ind w:left="709" w:right="709"/>
        <w:jc w:val="both"/>
        <w:rPr>
          <w:rFonts w:ascii="Arial" w:eastAsia="Calibri" w:hAnsi="Arial" w:cs="Arial"/>
          <w:color w:val="000000" w:themeColor="text1"/>
          <w:sz w:val="22"/>
          <w:szCs w:val="22"/>
          <w:lang w:val="es-ES_tradnl"/>
        </w:rPr>
      </w:pPr>
    </w:p>
    <w:p w14:paraId="47549827" w14:textId="4C133C74" w:rsidR="00664A02" w:rsidRPr="000B22B3" w:rsidRDefault="00BC28B8" w:rsidP="00E84EB9">
      <w:pPr>
        <w:spacing w:after="120" w:line="276" w:lineRule="auto"/>
        <w:jc w:val="both"/>
        <w:rPr>
          <w:rFonts w:ascii="Arial" w:eastAsia="Calibri" w:hAnsi="Arial" w:cs="Arial"/>
          <w:color w:val="000000" w:themeColor="text1"/>
          <w:sz w:val="22"/>
          <w:szCs w:val="22"/>
          <w:lang w:val="es-ES_tradnl"/>
        </w:rPr>
      </w:pPr>
      <w:r w:rsidRPr="000B22B3">
        <w:rPr>
          <w:rFonts w:ascii="Arial" w:eastAsia="Calibri" w:hAnsi="Arial" w:cs="Arial"/>
          <w:color w:val="000000" w:themeColor="text1"/>
          <w:sz w:val="22"/>
          <w:szCs w:val="22"/>
          <w:lang w:val="es-ES_tradnl"/>
        </w:rPr>
        <w:t xml:space="preserve">A partir de lo expuesto en las consideraciones de este concepto, se concluye que el artículo 35 de la Ley 2069 de 2020 se encuentra vigente y no requiere de una reglamentación previa para que sea exigible en los procedimientos de selección. Por lo tanto, corresponde a la entidad contratante analizar si para constatar las situaciones señaladas en cada numeral el ordenamiento jurídico, en otras disposiciones legales o reglamentarias, exige un documento </w:t>
      </w:r>
      <w:r w:rsidRPr="000B22B3">
        <w:rPr>
          <w:rFonts w:ascii="Arial" w:eastAsia="Calibri" w:hAnsi="Arial" w:cs="Arial"/>
          <w:color w:val="000000" w:themeColor="text1"/>
          <w:sz w:val="22"/>
          <w:szCs w:val="22"/>
          <w:lang w:val="es-ES_tradnl"/>
        </w:rPr>
        <w:lastRenderedPageBreak/>
        <w:t xml:space="preserve">especial o si, por el contrario, hay libertad probatoria. Este análisis debe realizarse de manera independiente frente a cada numeral. </w:t>
      </w:r>
    </w:p>
    <w:p w14:paraId="3FA6EBE8" w14:textId="6D162BB6" w:rsidR="00BC28B8" w:rsidRPr="000B22B3" w:rsidRDefault="00BC28B8" w:rsidP="00BC28B8">
      <w:pPr>
        <w:spacing w:before="120" w:line="276" w:lineRule="auto"/>
        <w:ind w:firstLine="709"/>
        <w:jc w:val="both"/>
        <w:rPr>
          <w:rFonts w:ascii="Arial" w:eastAsia="Calibri" w:hAnsi="Arial" w:cs="Arial"/>
          <w:color w:val="000000" w:themeColor="text1"/>
          <w:sz w:val="22"/>
          <w:szCs w:val="22"/>
          <w:lang w:val="es-ES_tradnl"/>
        </w:rPr>
      </w:pPr>
      <w:r w:rsidRPr="000B22B3">
        <w:rPr>
          <w:rFonts w:ascii="Arial" w:eastAsia="Calibri" w:hAnsi="Arial" w:cs="Arial"/>
          <w:color w:val="000000" w:themeColor="text1"/>
          <w:sz w:val="22"/>
          <w:szCs w:val="22"/>
          <w:lang w:val="es-ES_tradnl"/>
        </w:rPr>
        <w:t>En caso de que no exista «tarifa legal» –es decir, en el evento en que la ley o el reglamento no hubiesen definido un medio probatorio al que le hayan concedido de modo privativo el valor para acreditar la circunstancia correspondiente–, la entidad estatal contratante tiene discrecionalidad para establecer en el pliego de condiciones o en el documento equivalente de qué manera el proponente podrá probar que se halla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Pero, mientras ello no suceda, deberá aplicarse el criterio indicado con anterioridad.</w:t>
      </w:r>
    </w:p>
    <w:p w14:paraId="0697D032" w14:textId="77777777" w:rsidR="00E46121" w:rsidRPr="000B22B3" w:rsidRDefault="00E46121" w:rsidP="000B22B3">
      <w:pPr>
        <w:spacing w:line="276" w:lineRule="auto"/>
        <w:ind w:firstLine="709"/>
        <w:jc w:val="both"/>
        <w:rPr>
          <w:rFonts w:ascii="Arial" w:eastAsia="Calibri" w:hAnsi="Arial" w:cs="Arial"/>
          <w:color w:val="000000" w:themeColor="text1"/>
          <w:sz w:val="22"/>
          <w:szCs w:val="22"/>
          <w:lang w:val="es-ES_tradnl"/>
        </w:rPr>
      </w:pPr>
    </w:p>
    <w:p w14:paraId="5D9DF5BB" w14:textId="77777777" w:rsidR="00DD0CC0" w:rsidRPr="000B22B3" w:rsidRDefault="00DD0CC0" w:rsidP="000B22B3">
      <w:pPr>
        <w:ind w:left="709" w:right="709"/>
        <w:jc w:val="both"/>
        <w:rPr>
          <w:rFonts w:ascii="Arial" w:eastAsia="Calibri" w:hAnsi="Arial" w:cs="Arial"/>
          <w:color w:val="000000" w:themeColor="text1"/>
          <w:sz w:val="21"/>
          <w:szCs w:val="21"/>
          <w:lang w:val="es-ES_tradnl"/>
        </w:rPr>
      </w:pPr>
      <w:proofErr w:type="spellStart"/>
      <w:r w:rsidRPr="000B22B3">
        <w:rPr>
          <w:rFonts w:ascii="Arial" w:eastAsia="Calibri" w:hAnsi="Arial" w:cs="Arial"/>
          <w:color w:val="000000" w:themeColor="text1"/>
          <w:sz w:val="21"/>
          <w:szCs w:val="21"/>
          <w:lang w:val="es-ES_tradnl"/>
        </w:rPr>
        <w:t>ii</w:t>
      </w:r>
      <w:proofErr w:type="spellEnd"/>
      <w:r w:rsidRPr="000B22B3">
        <w:rPr>
          <w:rFonts w:ascii="Arial" w:eastAsia="Calibri" w:hAnsi="Arial" w:cs="Arial"/>
          <w:color w:val="000000" w:themeColor="text1"/>
          <w:sz w:val="21"/>
          <w:szCs w:val="21"/>
          <w:lang w:val="es-ES_tradnl"/>
        </w:rPr>
        <w:t>) «¿En qué momento deben ser aportados por el proponente los documentos que acreditan las causales de desempate de la Ley 2069 de 2020?».</w:t>
      </w:r>
    </w:p>
    <w:p w14:paraId="3D1533BE" w14:textId="08A2F44E" w:rsidR="00DD0CC0" w:rsidRPr="000B22B3" w:rsidRDefault="00DD0CC0" w:rsidP="000B22B3">
      <w:pPr>
        <w:spacing w:before="120"/>
        <w:ind w:left="709" w:right="709"/>
        <w:jc w:val="both"/>
        <w:rPr>
          <w:rFonts w:ascii="Arial" w:eastAsia="Calibri" w:hAnsi="Arial" w:cs="Arial"/>
          <w:color w:val="000000" w:themeColor="text1"/>
          <w:sz w:val="21"/>
          <w:szCs w:val="21"/>
          <w:lang w:val="es-ES_tradnl"/>
        </w:rPr>
      </w:pPr>
      <w:proofErr w:type="spellStart"/>
      <w:r w:rsidRPr="000B22B3">
        <w:rPr>
          <w:rFonts w:ascii="Arial" w:eastAsia="Calibri" w:hAnsi="Arial" w:cs="Arial"/>
          <w:color w:val="000000" w:themeColor="text1"/>
          <w:sz w:val="21"/>
          <w:szCs w:val="21"/>
          <w:lang w:val="es-ES_tradnl"/>
        </w:rPr>
        <w:t>iii</w:t>
      </w:r>
      <w:proofErr w:type="spellEnd"/>
      <w:r w:rsidRPr="000B22B3">
        <w:rPr>
          <w:rFonts w:ascii="Arial" w:eastAsia="Calibri" w:hAnsi="Arial" w:cs="Arial"/>
          <w:color w:val="000000" w:themeColor="text1"/>
          <w:sz w:val="21"/>
          <w:szCs w:val="21"/>
          <w:lang w:val="es-ES_tradnl"/>
        </w:rPr>
        <w:t xml:space="preserve">) «¿Son subsanables los documentos que acreditan las causales de desempate establecidas en la Ley 2069 de 2020, dado que dichos documentos no otorgar (sic) puntaje y </w:t>
      </w:r>
      <w:proofErr w:type="gramStart"/>
      <w:r w:rsidRPr="000B22B3">
        <w:rPr>
          <w:rFonts w:ascii="Arial" w:eastAsia="Calibri" w:hAnsi="Arial" w:cs="Arial"/>
          <w:color w:val="000000" w:themeColor="text1"/>
          <w:sz w:val="21"/>
          <w:szCs w:val="21"/>
          <w:lang w:val="es-ES_tradnl"/>
        </w:rPr>
        <w:t>se enmarcan dentro de</w:t>
      </w:r>
      <w:proofErr w:type="gramEnd"/>
      <w:r w:rsidRPr="000B22B3">
        <w:rPr>
          <w:rFonts w:ascii="Arial" w:eastAsia="Calibri" w:hAnsi="Arial" w:cs="Arial"/>
          <w:color w:val="000000" w:themeColor="text1"/>
          <w:sz w:val="21"/>
          <w:szCs w:val="21"/>
          <w:lang w:val="es-ES_tradnl"/>
        </w:rPr>
        <w:t xml:space="preserve"> la regla de </w:t>
      </w:r>
      <w:proofErr w:type="spellStart"/>
      <w:r w:rsidRPr="000B22B3">
        <w:rPr>
          <w:rFonts w:ascii="Arial" w:eastAsia="Calibri" w:hAnsi="Arial" w:cs="Arial"/>
          <w:color w:val="000000" w:themeColor="text1"/>
          <w:sz w:val="21"/>
          <w:szCs w:val="21"/>
          <w:lang w:val="es-ES_tradnl"/>
        </w:rPr>
        <w:t>subsanabilidad</w:t>
      </w:r>
      <w:proofErr w:type="spellEnd"/>
      <w:r w:rsidRPr="000B22B3">
        <w:rPr>
          <w:rFonts w:ascii="Arial" w:eastAsia="Calibri" w:hAnsi="Arial" w:cs="Arial"/>
          <w:color w:val="000000" w:themeColor="text1"/>
          <w:sz w:val="21"/>
          <w:szCs w:val="21"/>
          <w:lang w:val="es-ES_tradnl"/>
        </w:rPr>
        <w:t xml:space="preserve"> establecida en el artículo 5 de la ley 1882 de 2018?»</w:t>
      </w:r>
      <w:r w:rsidR="00D505C5" w:rsidRPr="000B22B3">
        <w:rPr>
          <w:rFonts w:ascii="Arial" w:eastAsia="Calibri" w:hAnsi="Arial" w:cs="Arial"/>
          <w:color w:val="000000" w:themeColor="text1"/>
          <w:sz w:val="21"/>
          <w:szCs w:val="21"/>
          <w:lang w:val="es-ES_tradnl"/>
        </w:rPr>
        <w:t>.</w:t>
      </w:r>
    </w:p>
    <w:p w14:paraId="6E82F753" w14:textId="77777777" w:rsidR="00D505C5" w:rsidRPr="000B22B3" w:rsidRDefault="00D505C5" w:rsidP="000B22B3">
      <w:pPr>
        <w:spacing w:line="276" w:lineRule="auto"/>
        <w:ind w:firstLine="709"/>
        <w:jc w:val="both"/>
        <w:rPr>
          <w:rFonts w:ascii="Arial" w:eastAsia="Calibri" w:hAnsi="Arial" w:cs="Arial"/>
          <w:color w:val="000000" w:themeColor="text1"/>
          <w:sz w:val="22"/>
          <w:szCs w:val="22"/>
          <w:lang w:val="es-ES_tradnl"/>
        </w:rPr>
      </w:pPr>
    </w:p>
    <w:p w14:paraId="5C785111" w14:textId="1902F9BF" w:rsidR="00D505C5" w:rsidRPr="000B22B3" w:rsidRDefault="00D505C5" w:rsidP="000B22B3">
      <w:pPr>
        <w:spacing w:after="120" w:line="276" w:lineRule="auto"/>
        <w:jc w:val="both"/>
        <w:rPr>
          <w:rFonts w:ascii="Arial" w:hAnsi="Arial" w:cs="Arial"/>
          <w:color w:val="000000" w:themeColor="text1"/>
          <w:sz w:val="22"/>
          <w:lang w:val="es-ES_tradnl"/>
        </w:rPr>
      </w:pPr>
      <w:r w:rsidRPr="000B22B3">
        <w:rPr>
          <w:rFonts w:ascii="Arial" w:eastAsia="Calibri" w:hAnsi="Arial" w:cs="Arial"/>
          <w:color w:val="000000" w:themeColor="text1"/>
          <w:sz w:val="22"/>
          <w:szCs w:val="22"/>
          <w:lang w:val="es-ES_tradnl"/>
        </w:rPr>
        <w:t>Analizada la regla del parágrafo primero del artículo 5 de la Ley 1150 de 2007</w:t>
      </w:r>
      <w:r w:rsidRPr="000B22B3">
        <w:rPr>
          <w:rFonts w:ascii="Arial" w:hAnsi="Arial" w:cs="Arial"/>
          <w:color w:val="000000" w:themeColor="text1"/>
          <w:sz w:val="22"/>
          <w:lang w:val="es-ES_tradnl"/>
        </w:rPr>
        <w:t xml:space="preserve">, los criterios de desempate afectan la asignación de puntaje. Estos factores definen la adjudicación del contrato cuando, después de aplicar los criterios de evaluación del pliego de condiciones, dos o </w:t>
      </w:r>
      <w:r w:rsidR="009C7377" w:rsidRPr="000B22B3">
        <w:rPr>
          <w:rFonts w:ascii="Arial" w:hAnsi="Arial" w:cs="Arial"/>
          <w:color w:val="000000" w:themeColor="text1"/>
          <w:sz w:val="22"/>
          <w:lang w:val="es-ES_tradnl"/>
        </w:rPr>
        <w:t>más</w:t>
      </w:r>
      <w:r w:rsidRPr="000B22B3">
        <w:rPr>
          <w:rFonts w:ascii="Arial" w:hAnsi="Arial" w:cs="Arial"/>
          <w:color w:val="000000" w:themeColor="text1"/>
          <w:sz w:val="22"/>
          <w:lang w:val="es-ES_tradnl"/>
        </w:rPr>
        <w:t xml:space="preserve"> proponentes obtienen resultados similares. De hecho, el primer inciso del artículo 35 de la Ley 2069 de 2020 dispone que los factores de desempate aplican cuando el puntaje total de dos o más ofertas es el mismo.</w:t>
      </w:r>
    </w:p>
    <w:p w14:paraId="4309E404" w14:textId="2233D26E" w:rsidR="00EC4843" w:rsidRPr="000B22B3" w:rsidRDefault="00B66924" w:rsidP="00EC4843">
      <w:pPr>
        <w:spacing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Por tanto, d</w:t>
      </w:r>
      <w:r w:rsidR="00EC4843" w:rsidRPr="000B22B3">
        <w:rPr>
          <w:rFonts w:ascii="Arial" w:hAnsi="Arial" w:cs="Arial"/>
          <w:color w:val="000000" w:themeColor="text1"/>
          <w:sz w:val="22"/>
          <w:lang w:val="es-ES_tradnl"/>
        </w:rPr>
        <w:t>ado que los factores de desempate influyen en la ponderación de las ofertas presentadas, la acreditación de las causales previstas en el artículo 35 de la Ley 2069 de 2020 es insubsanable</w:t>
      </w:r>
      <w:r w:rsidR="001C115C" w:rsidRPr="000B22B3">
        <w:rPr>
          <w:rFonts w:ascii="Arial" w:hAnsi="Arial" w:cs="Arial"/>
          <w:color w:val="000000" w:themeColor="text1"/>
          <w:sz w:val="22"/>
          <w:lang w:val="es-ES_tradnl"/>
        </w:rPr>
        <w:t>, pues</w:t>
      </w:r>
      <w:r w:rsidR="00EC4843" w:rsidRPr="000B22B3">
        <w:rPr>
          <w:rFonts w:ascii="Arial" w:hAnsi="Arial" w:cs="Arial"/>
          <w:color w:val="000000" w:themeColor="text1"/>
          <w:sz w:val="22"/>
          <w:lang w:val="es-ES_tradnl"/>
        </w:rPr>
        <w:t xml:space="preserve"> no son criterios puramente formales</w:t>
      </w:r>
      <w:r w:rsidR="001C115C" w:rsidRPr="000B22B3">
        <w:rPr>
          <w:rFonts w:ascii="Arial" w:hAnsi="Arial" w:cs="Arial"/>
          <w:color w:val="000000" w:themeColor="text1"/>
          <w:sz w:val="22"/>
          <w:lang w:val="es-ES_tradnl"/>
        </w:rPr>
        <w:t xml:space="preserve"> de las propuestas</w:t>
      </w:r>
      <w:r w:rsidR="00EC4843" w:rsidRPr="000B22B3">
        <w:rPr>
          <w:rFonts w:ascii="Arial" w:hAnsi="Arial" w:cs="Arial"/>
          <w:color w:val="000000" w:themeColor="text1"/>
          <w:sz w:val="22"/>
          <w:lang w:val="es-ES_tradnl"/>
        </w:rPr>
        <w:t xml:space="preserve"> ni requisitos para la verificación de las condiciones habilitantes</w:t>
      </w:r>
      <w:r w:rsidR="003C5218" w:rsidRPr="000B22B3">
        <w:rPr>
          <w:rFonts w:ascii="Arial" w:hAnsi="Arial" w:cs="Arial"/>
          <w:color w:val="000000" w:themeColor="text1"/>
          <w:sz w:val="22"/>
          <w:lang w:val="es-ES_tradnl"/>
        </w:rPr>
        <w:t>.</w:t>
      </w:r>
      <w:r w:rsidR="00050516" w:rsidRPr="000B22B3">
        <w:rPr>
          <w:rFonts w:ascii="Arial" w:hAnsi="Arial" w:cs="Arial"/>
          <w:color w:val="000000" w:themeColor="text1"/>
          <w:sz w:val="22"/>
          <w:lang w:val="es-ES_tradnl"/>
        </w:rPr>
        <w:t xml:space="preserve"> Teniendo esto en cuenta</w:t>
      </w:r>
      <w:r w:rsidR="000E181A" w:rsidRPr="000B22B3">
        <w:rPr>
          <w:rFonts w:ascii="Arial" w:hAnsi="Arial" w:cs="Arial"/>
          <w:color w:val="000000" w:themeColor="text1"/>
          <w:sz w:val="22"/>
          <w:lang w:val="es-ES_tradnl"/>
        </w:rPr>
        <w:t>,</w:t>
      </w:r>
      <w:r w:rsidR="00552DEF" w:rsidRPr="000B22B3">
        <w:rPr>
          <w:rFonts w:ascii="Arial" w:hAnsi="Arial" w:cs="Arial"/>
          <w:color w:val="000000" w:themeColor="text1"/>
          <w:sz w:val="22"/>
          <w:lang w:val="es-ES_tradnl"/>
        </w:rPr>
        <w:t xml:space="preserve"> dado que no existe oportunidad posterior, la documentación relacionada con los factores de desempate debe entregarse con la oferta de forma completa e integra, antes del cierre del proceso de selección.</w:t>
      </w:r>
    </w:p>
    <w:p w14:paraId="3A9BEFA9" w14:textId="77777777" w:rsidR="008415DD" w:rsidRPr="000B22B3" w:rsidRDefault="008415DD" w:rsidP="00EC4843">
      <w:pPr>
        <w:spacing w:line="276" w:lineRule="auto"/>
        <w:ind w:firstLine="709"/>
        <w:jc w:val="both"/>
        <w:rPr>
          <w:rFonts w:ascii="Arial" w:hAnsi="Arial" w:cs="Arial"/>
          <w:color w:val="000000" w:themeColor="text1"/>
          <w:sz w:val="22"/>
          <w:lang w:val="es-ES_tradnl"/>
        </w:rPr>
      </w:pPr>
    </w:p>
    <w:p w14:paraId="30D2244A" w14:textId="0B45FC57" w:rsidR="008415DD" w:rsidRPr="000B22B3" w:rsidRDefault="008415DD" w:rsidP="000B22B3">
      <w:pPr>
        <w:ind w:left="709" w:right="709"/>
        <w:jc w:val="both"/>
        <w:rPr>
          <w:rFonts w:ascii="Arial" w:eastAsia="Calibri" w:hAnsi="Arial" w:cs="Arial"/>
          <w:color w:val="000000" w:themeColor="text1"/>
          <w:sz w:val="21"/>
          <w:szCs w:val="21"/>
          <w:lang w:val="es-ES_tradnl"/>
        </w:rPr>
      </w:pPr>
      <w:proofErr w:type="spellStart"/>
      <w:r w:rsidRPr="000B22B3">
        <w:rPr>
          <w:rFonts w:ascii="Arial" w:eastAsia="Calibri" w:hAnsi="Arial" w:cs="Arial"/>
          <w:color w:val="000000" w:themeColor="text1"/>
          <w:sz w:val="21"/>
          <w:szCs w:val="21"/>
          <w:lang w:val="es-ES_tradnl"/>
        </w:rPr>
        <w:t>iv</w:t>
      </w:r>
      <w:proofErr w:type="spellEnd"/>
      <w:r w:rsidRPr="000B22B3">
        <w:rPr>
          <w:rFonts w:ascii="Arial" w:eastAsia="Calibri" w:hAnsi="Arial" w:cs="Arial"/>
          <w:color w:val="000000" w:themeColor="text1"/>
          <w:sz w:val="21"/>
          <w:szCs w:val="21"/>
          <w:lang w:val="es-ES_tradnl"/>
        </w:rPr>
        <w:t>) «¿Dado que un posible escenario de empate para las modalidades de licitación pública y selección abreviada por subasta inversa ocurre en la audiencia de adjudicación, puede una entidad requerir a los proponentes para que alleguen los documentos que acrediten las causales descritas en la norma estando en la audiencia de adjudicación?».</w:t>
      </w:r>
    </w:p>
    <w:p w14:paraId="14ADD23B" w14:textId="6B66E47E" w:rsidR="008415DD" w:rsidRPr="000B22B3" w:rsidRDefault="008415DD" w:rsidP="008415DD">
      <w:pPr>
        <w:spacing w:line="276" w:lineRule="auto"/>
        <w:jc w:val="both"/>
        <w:rPr>
          <w:rFonts w:ascii="Arial" w:eastAsia="Calibri" w:hAnsi="Arial" w:cs="Arial"/>
          <w:color w:val="000000" w:themeColor="text1"/>
          <w:sz w:val="22"/>
          <w:szCs w:val="22"/>
          <w:lang w:val="es-ES_tradnl"/>
        </w:rPr>
      </w:pPr>
    </w:p>
    <w:p w14:paraId="644DD3A2" w14:textId="18388345" w:rsidR="00173BE7" w:rsidRPr="000B22B3" w:rsidRDefault="008415DD" w:rsidP="000B22B3">
      <w:pPr>
        <w:spacing w:after="120" w:line="276" w:lineRule="auto"/>
        <w:jc w:val="both"/>
        <w:rPr>
          <w:rFonts w:ascii="Arial" w:eastAsia="Calibri" w:hAnsi="Arial" w:cs="Arial"/>
          <w:color w:val="000000" w:themeColor="text1"/>
          <w:sz w:val="22"/>
          <w:szCs w:val="22"/>
          <w:lang w:val="es-ES_tradnl"/>
        </w:rPr>
      </w:pPr>
      <w:r w:rsidRPr="000B22B3">
        <w:rPr>
          <w:rFonts w:ascii="Arial" w:eastAsia="Calibri" w:hAnsi="Arial" w:cs="Arial"/>
          <w:color w:val="000000" w:themeColor="text1"/>
          <w:sz w:val="22"/>
          <w:szCs w:val="22"/>
          <w:lang w:val="es-ES_tradnl"/>
        </w:rPr>
        <w:lastRenderedPageBreak/>
        <w:t>En la medida que los factores de desempate son insubsanables, se reitera la respuesta del punto anterior</w:t>
      </w:r>
      <w:r w:rsidR="00A072B6" w:rsidRPr="000B22B3">
        <w:rPr>
          <w:rFonts w:ascii="Arial" w:eastAsia="Calibri" w:hAnsi="Arial" w:cs="Arial"/>
          <w:color w:val="000000" w:themeColor="text1"/>
          <w:sz w:val="22"/>
          <w:szCs w:val="22"/>
          <w:lang w:val="es-ES_tradnl"/>
        </w:rPr>
        <w:t>. En todo caso, conforme</w:t>
      </w:r>
      <w:r w:rsidR="007D2537" w:rsidRPr="000B22B3">
        <w:rPr>
          <w:rFonts w:ascii="Arial" w:eastAsia="Calibri" w:hAnsi="Arial" w:cs="Arial"/>
          <w:color w:val="000000" w:themeColor="text1"/>
          <w:sz w:val="22"/>
          <w:szCs w:val="22"/>
          <w:lang w:val="es-ES_tradnl"/>
        </w:rPr>
        <w:t xml:space="preserve"> al parágrafo primero del artículo 5 de la Ley 1150 de 2007, se aclara que los requisitos «no necesarios para la comparación de la</w:t>
      </w:r>
      <w:r w:rsidR="00EF0D94" w:rsidRPr="000B22B3">
        <w:rPr>
          <w:rFonts w:ascii="Arial" w:eastAsia="Calibri" w:hAnsi="Arial" w:cs="Arial"/>
          <w:color w:val="000000" w:themeColor="text1"/>
          <w:sz w:val="22"/>
          <w:szCs w:val="22"/>
          <w:lang w:val="es-ES_tradnl"/>
        </w:rPr>
        <w:t>s</w:t>
      </w:r>
      <w:r w:rsidR="007D2537" w:rsidRPr="000B22B3">
        <w:rPr>
          <w:rFonts w:ascii="Arial" w:eastAsia="Calibri" w:hAnsi="Arial" w:cs="Arial"/>
          <w:color w:val="000000" w:themeColor="text1"/>
          <w:sz w:val="22"/>
          <w:szCs w:val="22"/>
          <w:lang w:val="es-ES_tradnl"/>
        </w:rPr>
        <w:t xml:space="preserve"> propuestas» que «</w:t>
      </w:r>
      <w:r w:rsidR="00813678" w:rsidRPr="000B22B3">
        <w:rPr>
          <w:rFonts w:ascii="Arial" w:eastAsia="Calibri" w:hAnsi="Arial" w:cs="Arial"/>
          <w:color w:val="000000" w:themeColor="text1"/>
          <w:sz w:val="22"/>
          <w:szCs w:val="22"/>
          <w:lang w:val="es-ES_tradnl"/>
        </w:rPr>
        <w:t>no afecten la asignación de puntaje» deberán ser solicitados por las entidades estatales y deberán ser entregados por los proponentes hasta el término de traslado del informe de evaluación que corresponda a cada modalidad de selección</w:t>
      </w:r>
      <w:r w:rsidR="00173BE7" w:rsidRPr="000B22B3">
        <w:rPr>
          <w:rFonts w:ascii="Arial" w:eastAsia="Calibri" w:hAnsi="Arial" w:cs="Arial"/>
          <w:color w:val="000000" w:themeColor="text1"/>
          <w:sz w:val="22"/>
          <w:szCs w:val="22"/>
          <w:lang w:val="es-ES_tradnl"/>
        </w:rPr>
        <w:t>.</w:t>
      </w:r>
    </w:p>
    <w:p w14:paraId="43C1522B" w14:textId="24FD66DE" w:rsidR="003E6A31" w:rsidRPr="000B22B3" w:rsidRDefault="00173BE7" w:rsidP="000B22B3">
      <w:pPr>
        <w:spacing w:after="120" w:line="276" w:lineRule="auto"/>
        <w:ind w:firstLine="709"/>
        <w:jc w:val="both"/>
        <w:rPr>
          <w:rFonts w:ascii="Arial" w:eastAsia="Calibri" w:hAnsi="Arial" w:cs="Arial"/>
          <w:color w:val="000000" w:themeColor="text1"/>
          <w:sz w:val="22"/>
          <w:szCs w:val="22"/>
          <w:lang w:val="es-ES_tradnl"/>
        </w:rPr>
      </w:pPr>
      <w:r w:rsidRPr="000B22B3">
        <w:rPr>
          <w:rFonts w:ascii="Arial" w:eastAsia="Calibri" w:hAnsi="Arial" w:cs="Arial"/>
          <w:color w:val="000000" w:themeColor="text1"/>
          <w:sz w:val="22"/>
          <w:szCs w:val="22"/>
          <w:lang w:val="es-ES_tradnl"/>
        </w:rPr>
        <w:t>Tratándose de</w:t>
      </w:r>
      <w:r w:rsidR="00EF0D94" w:rsidRPr="000B22B3">
        <w:rPr>
          <w:rFonts w:ascii="Arial" w:eastAsia="Calibri" w:hAnsi="Arial" w:cs="Arial"/>
          <w:color w:val="000000" w:themeColor="text1"/>
          <w:sz w:val="22"/>
          <w:szCs w:val="22"/>
          <w:lang w:val="es-ES_tradnl"/>
        </w:rPr>
        <w:t>l procedimiento de licitación pública, el artículo 30.8 de la Ley 80 de 1993 dispone que «</w:t>
      </w:r>
      <w:r w:rsidR="00C80BA6" w:rsidRPr="000B22B3">
        <w:rPr>
          <w:rFonts w:ascii="Arial" w:eastAsia="Calibri" w:hAnsi="Arial" w:cs="Arial"/>
          <w:color w:val="000000" w:themeColor="text1"/>
          <w:sz w:val="22"/>
          <w:szCs w:val="22"/>
          <w:lang w:val="es-ES_tradnl"/>
        </w:rPr>
        <w:t>Los informes de evaluación de las propuestas permanecerán en la secretaría de la entidad por un término de cinco (5) días hábiles para que los oferentes presenten las observaciones que estimen pertinentes […]». Por tanto, no es posible subsanar en la audiencia de adjudicación</w:t>
      </w:r>
      <w:r w:rsidR="00667635" w:rsidRPr="000B22B3">
        <w:rPr>
          <w:rFonts w:ascii="Arial" w:eastAsia="Calibri" w:hAnsi="Arial" w:cs="Arial"/>
          <w:color w:val="000000" w:themeColor="text1"/>
          <w:sz w:val="22"/>
          <w:szCs w:val="22"/>
          <w:lang w:val="es-ES_tradnl"/>
        </w:rPr>
        <w:t>, ya que esta se realiza una vez vencido el término de traslado del informe de evaluación</w:t>
      </w:r>
      <w:r w:rsidR="00D068C1" w:rsidRPr="000B22B3">
        <w:rPr>
          <w:rFonts w:ascii="Arial" w:eastAsia="Calibri" w:hAnsi="Arial" w:cs="Arial"/>
          <w:color w:val="000000" w:themeColor="text1"/>
          <w:sz w:val="22"/>
          <w:szCs w:val="22"/>
          <w:lang w:val="es-ES_tradnl"/>
        </w:rPr>
        <w:t xml:space="preserve"> de las propuestas</w:t>
      </w:r>
      <w:r w:rsidR="00C80BA6" w:rsidRPr="000B22B3">
        <w:rPr>
          <w:rFonts w:ascii="Arial" w:eastAsia="Calibri" w:hAnsi="Arial" w:cs="Arial"/>
          <w:color w:val="000000" w:themeColor="text1"/>
          <w:sz w:val="22"/>
          <w:szCs w:val="22"/>
          <w:lang w:val="es-ES_tradnl"/>
        </w:rPr>
        <w:t xml:space="preserve">. </w:t>
      </w:r>
    </w:p>
    <w:p w14:paraId="19FB9595" w14:textId="2F862D62" w:rsidR="003E6A31" w:rsidRDefault="003E6A31" w:rsidP="00173BE7">
      <w:pPr>
        <w:spacing w:line="276" w:lineRule="auto"/>
        <w:ind w:firstLine="708"/>
        <w:jc w:val="both"/>
        <w:rPr>
          <w:rFonts w:ascii="Arial" w:eastAsia="Calibri" w:hAnsi="Arial" w:cs="Arial"/>
          <w:color w:val="000000" w:themeColor="text1"/>
          <w:sz w:val="22"/>
          <w:szCs w:val="22"/>
          <w:lang w:val="es-ES_tradnl"/>
        </w:rPr>
      </w:pPr>
      <w:r w:rsidRPr="000B22B3">
        <w:rPr>
          <w:rFonts w:ascii="Arial" w:eastAsia="Calibri" w:hAnsi="Arial" w:cs="Arial"/>
          <w:color w:val="000000" w:themeColor="text1"/>
          <w:sz w:val="22"/>
          <w:szCs w:val="22"/>
          <w:lang w:val="es-ES_tradnl"/>
        </w:rPr>
        <w:t xml:space="preserve">Por otra parte, al parágrafo </w:t>
      </w:r>
      <w:r w:rsidR="000C6FB2" w:rsidRPr="000B22B3">
        <w:rPr>
          <w:rFonts w:ascii="Arial" w:eastAsia="Calibri" w:hAnsi="Arial" w:cs="Arial"/>
          <w:color w:val="000000" w:themeColor="text1"/>
          <w:sz w:val="22"/>
          <w:szCs w:val="22"/>
          <w:lang w:val="es-ES_tradnl"/>
        </w:rPr>
        <w:t>cuarto</w:t>
      </w:r>
      <w:r w:rsidRPr="000B22B3">
        <w:rPr>
          <w:rFonts w:ascii="Arial" w:eastAsia="Calibri" w:hAnsi="Arial" w:cs="Arial"/>
          <w:color w:val="000000" w:themeColor="text1"/>
          <w:sz w:val="22"/>
          <w:szCs w:val="22"/>
          <w:lang w:val="es-ES_tradnl"/>
        </w:rPr>
        <w:t xml:space="preserve"> del artículo 5 de la Ley 1150 de 2007</w:t>
      </w:r>
      <w:r w:rsidR="00946436" w:rsidRPr="000B22B3">
        <w:rPr>
          <w:rFonts w:ascii="Arial" w:eastAsia="Calibri" w:hAnsi="Arial" w:cs="Arial"/>
          <w:color w:val="000000" w:themeColor="text1"/>
          <w:sz w:val="22"/>
          <w:szCs w:val="22"/>
          <w:lang w:val="es-ES_tradnl"/>
        </w:rPr>
        <w:t xml:space="preserve"> dispone que </w:t>
      </w:r>
      <w:r w:rsidR="000C6FB2" w:rsidRPr="000B22B3">
        <w:rPr>
          <w:rFonts w:ascii="Arial" w:eastAsia="Calibri" w:hAnsi="Arial" w:cs="Arial"/>
          <w:color w:val="000000" w:themeColor="text1"/>
          <w:sz w:val="22"/>
          <w:szCs w:val="22"/>
          <w:lang w:val="es-ES_tradnl"/>
        </w:rPr>
        <w:t>«[…] En aquellos procesos de selección en los que se utilice el mecanismo de subasta, los documentos referentes a la futura contratación o al proponente, no necesarios para la comparación de las propuestas, deberán ser solicitados hasta el momento previo a su realización».</w:t>
      </w:r>
      <w:r w:rsidR="008466D4" w:rsidRPr="000B22B3">
        <w:rPr>
          <w:rFonts w:ascii="Arial" w:eastAsia="Calibri" w:hAnsi="Arial" w:cs="Arial"/>
          <w:color w:val="000000" w:themeColor="text1"/>
          <w:sz w:val="22"/>
          <w:szCs w:val="22"/>
          <w:lang w:val="es-ES_tradnl"/>
        </w:rPr>
        <w:t xml:space="preserve"> Es decir, con el inicio de la audiencia precluye la oportunidad </w:t>
      </w:r>
      <w:r w:rsidR="00667635" w:rsidRPr="000B22B3">
        <w:rPr>
          <w:rFonts w:ascii="Arial" w:eastAsia="Calibri" w:hAnsi="Arial" w:cs="Arial"/>
          <w:color w:val="000000" w:themeColor="text1"/>
          <w:sz w:val="22"/>
          <w:szCs w:val="22"/>
          <w:lang w:val="es-ES_tradnl"/>
        </w:rPr>
        <w:t>de subsanar cualquier requisito habilitante.</w:t>
      </w:r>
      <w:r w:rsidR="000C6FB2">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 </w:t>
      </w:r>
    </w:p>
    <w:p w14:paraId="5A584EDD" w14:textId="36E4B91F" w:rsidR="004B07E6" w:rsidRPr="00C440B6" w:rsidRDefault="00A072B6" w:rsidP="000B22B3">
      <w:pPr>
        <w:spacing w:after="120" w:line="276" w:lineRule="auto"/>
        <w:jc w:val="both"/>
        <w:rPr>
          <w:rFonts w:ascii="Arial"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 </w:t>
      </w:r>
    </w:p>
    <w:p w14:paraId="7B2C921D" w14:textId="6360A462" w:rsidR="00DD5B04" w:rsidRPr="00C440B6" w:rsidRDefault="00DD5B04" w:rsidP="00DF76A2">
      <w:pPr>
        <w:spacing w:line="276" w:lineRule="auto"/>
        <w:jc w:val="both"/>
        <w:rPr>
          <w:rFonts w:ascii="Arial" w:hAnsi="Arial" w:cs="Arial"/>
          <w:color w:val="000000" w:themeColor="text1"/>
          <w:sz w:val="22"/>
          <w:lang w:val="es-ES_tradnl"/>
        </w:rPr>
      </w:pPr>
      <w:r w:rsidRPr="00C440B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Atentamente,</w:t>
      </w:r>
    </w:p>
    <w:p w14:paraId="692FC307" w14:textId="210AA6B5" w:rsidR="00921304" w:rsidRPr="00C440B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C75D6AE" w:rsidR="00921304" w:rsidRPr="00C440B6" w:rsidRDefault="00B17A24"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FB9C3A0" wp14:editId="1492C771">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5CBAE239" w14:textId="77777777" w:rsidR="00425C43" w:rsidRPr="00C440B6" w:rsidRDefault="00425C43" w:rsidP="00B37657">
      <w:pPr>
        <w:jc w:val="center"/>
        <w:rPr>
          <w:rFonts w:ascii="Arial" w:hAnsi="Arial" w:cs="Arial"/>
          <w:color w:val="000000" w:themeColor="text1"/>
          <w:sz w:val="18"/>
          <w:szCs w:val="20"/>
          <w:lang w:val="es-ES_tradnl" w:eastAsia="es-CO"/>
        </w:rPr>
      </w:pPr>
    </w:p>
    <w:p w14:paraId="49730030" w14:textId="217D35F3" w:rsidR="00DD5B04" w:rsidRPr="00C440B6"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C440B6" w14:paraId="0C7DC5F7" w14:textId="77777777" w:rsidTr="008F4163">
        <w:trPr>
          <w:trHeight w:val="315"/>
        </w:trPr>
        <w:tc>
          <w:tcPr>
            <w:tcW w:w="812" w:type="dxa"/>
            <w:vAlign w:val="center"/>
            <w:hideMark/>
          </w:tcPr>
          <w:p w14:paraId="5BDB1AC9"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C440B6" w:rsidRDefault="001A422D" w:rsidP="00B253CE">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Torres Rojas</w:t>
            </w:r>
          </w:p>
          <w:p w14:paraId="240C71FD" w14:textId="490C7B4C" w:rsidR="00DD5B04" w:rsidRPr="00C440B6" w:rsidRDefault="001A422D"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w:t>
            </w:r>
            <w:r w:rsidR="00B253CE">
              <w:rPr>
                <w:rFonts w:ascii="Arial" w:hAnsi="Arial" w:cs="Arial"/>
                <w:color w:val="000000" w:themeColor="text1"/>
                <w:sz w:val="16"/>
                <w:szCs w:val="16"/>
                <w:lang w:val="es-ES_tradnl" w:eastAsia="es-ES"/>
              </w:rPr>
              <w:t xml:space="preserve"> de la </w:t>
            </w:r>
            <w:r w:rsidR="00B253CE" w:rsidRPr="005F5694">
              <w:rPr>
                <w:rFonts w:ascii="Arial" w:hAnsi="Arial" w:cs="Arial"/>
                <w:color w:val="000000" w:themeColor="text1"/>
                <w:sz w:val="16"/>
                <w:szCs w:val="16"/>
                <w:lang w:val="es-ES_tradnl" w:eastAsia="es-ES"/>
              </w:rPr>
              <w:t>Subdirección de Gestión Contractual</w:t>
            </w:r>
          </w:p>
        </w:tc>
      </w:tr>
      <w:tr w:rsidR="00C42160" w:rsidRPr="00C440B6" w14:paraId="2F8FD650" w14:textId="77777777" w:rsidTr="008F4163">
        <w:trPr>
          <w:trHeight w:val="330"/>
        </w:trPr>
        <w:tc>
          <w:tcPr>
            <w:tcW w:w="812" w:type="dxa"/>
            <w:vAlign w:val="center"/>
            <w:hideMark/>
          </w:tcPr>
          <w:p w14:paraId="50203A0B" w14:textId="77777777"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D0C689" w14:textId="77777777" w:rsidR="00C42160" w:rsidRDefault="00145C1A" w:rsidP="00C42160">
            <w:pPr>
              <w:jc w:val="both"/>
              <w:rPr>
                <w:rFonts w:ascii="Arial" w:eastAsia="Arial" w:hAnsi="Arial" w:cs="Arial"/>
                <w:sz w:val="16"/>
                <w:szCs w:val="16"/>
                <w:lang w:val="es-ES"/>
              </w:rPr>
            </w:pPr>
            <w:r>
              <w:rPr>
                <w:rFonts w:ascii="Arial" w:eastAsia="Arial" w:hAnsi="Arial" w:cs="Arial"/>
                <w:sz w:val="16"/>
                <w:szCs w:val="16"/>
                <w:lang w:val="es-ES"/>
              </w:rPr>
              <w:t>Juan David Montoya Penagos</w:t>
            </w:r>
          </w:p>
          <w:p w14:paraId="130B3228" w14:textId="3313A0CF" w:rsidR="00145C1A" w:rsidRPr="00C440B6" w:rsidRDefault="00145C1A" w:rsidP="00C4216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rPr>
              <w:t>Gestor T1-15 de la Subdirección de Gestión Contractual</w:t>
            </w:r>
          </w:p>
        </w:tc>
      </w:tr>
      <w:tr w:rsidR="00C42160" w:rsidRPr="00C440B6" w14:paraId="0FCBCA4A" w14:textId="77777777" w:rsidTr="008F4163">
        <w:trPr>
          <w:trHeight w:val="300"/>
        </w:trPr>
        <w:tc>
          <w:tcPr>
            <w:tcW w:w="812" w:type="dxa"/>
            <w:vAlign w:val="center"/>
            <w:hideMark/>
          </w:tcPr>
          <w:p w14:paraId="3C1D943A" w14:textId="77777777"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Jorge Augusto Tirado Navarro</w:t>
            </w:r>
          </w:p>
          <w:p w14:paraId="1ADC483B" w14:textId="0B6A3583"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ANCP – CCE</w:t>
            </w:r>
          </w:p>
        </w:tc>
      </w:tr>
    </w:tbl>
    <w:p w14:paraId="35B56F46" w14:textId="77777777" w:rsidR="00746E08" w:rsidRPr="00C440B6" w:rsidRDefault="00746E08" w:rsidP="00215B8E">
      <w:pPr>
        <w:jc w:val="both"/>
        <w:rPr>
          <w:rFonts w:ascii="Arial" w:hAnsi="Arial" w:cs="Arial"/>
          <w:lang w:val="es-ES_tradnl"/>
        </w:rPr>
      </w:pPr>
    </w:p>
    <w:sectPr w:rsidR="00746E08" w:rsidRPr="00C440B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0AC0" w14:textId="77777777" w:rsidR="000351F1" w:rsidRDefault="000351F1">
      <w:r>
        <w:separator/>
      </w:r>
    </w:p>
  </w:endnote>
  <w:endnote w:type="continuationSeparator" w:id="0">
    <w:p w14:paraId="062F7604" w14:textId="77777777" w:rsidR="000351F1" w:rsidRDefault="000351F1">
      <w:r>
        <w:continuationSeparator/>
      </w:r>
    </w:p>
  </w:endnote>
  <w:endnote w:type="continuationNotice" w:id="1">
    <w:p w14:paraId="54FFBD0A" w14:textId="77777777" w:rsidR="000351F1" w:rsidRDefault="00035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571120" w:rsidRDefault="00571120" w:rsidP="00322937">
    <w:pPr>
      <w:pStyle w:val="Sinespaciado"/>
      <w:jc w:val="right"/>
      <w:rPr>
        <w:rFonts w:ascii="Arial" w:hAnsi="Arial" w:cs="Arial"/>
        <w:sz w:val="18"/>
        <w:szCs w:val="18"/>
      </w:rPr>
    </w:pPr>
  </w:p>
  <w:p w14:paraId="7A3785F3" w14:textId="2EF28465" w:rsidR="00571120" w:rsidRPr="008217B7" w:rsidRDefault="0057112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571120" w:rsidRDefault="00571120"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571120" w:rsidRDefault="00571120" w:rsidP="007B0854">
    <w:pPr>
      <w:pStyle w:val="Piedepgina"/>
      <w:jc w:val="center"/>
      <w:rPr>
        <w:lang w:val="es-ES"/>
      </w:rPr>
    </w:pPr>
  </w:p>
  <w:p w14:paraId="6C0EFC49" w14:textId="77777777" w:rsidR="00571120" w:rsidRPr="007B0854" w:rsidRDefault="0057112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87E6" w14:textId="77777777" w:rsidR="000351F1" w:rsidRDefault="000351F1">
      <w:r>
        <w:separator/>
      </w:r>
    </w:p>
  </w:footnote>
  <w:footnote w:type="continuationSeparator" w:id="0">
    <w:p w14:paraId="603B84A1" w14:textId="77777777" w:rsidR="000351F1" w:rsidRDefault="000351F1">
      <w:r>
        <w:continuationSeparator/>
      </w:r>
    </w:p>
  </w:footnote>
  <w:footnote w:type="continuationNotice" w:id="1">
    <w:p w14:paraId="72E39AE1" w14:textId="77777777" w:rsidR="000351F1" w:rsidRDefault="000351F1"/>
  </w:footnote>
  <w:footnote w:id="2">
    <w:p w14:paraId="603747B4" w14:textId="77777777" w:rsidR="00D93968" w:rsidRPr="00427BDA" w:rsidRDefault="00D93968" w:rsidP="00D93968">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2 al 29.</w:t>
      </w:r>
    </w:p>
    <w:p w14:paraId="43C6A7F8" w14:textId="77777777" w:rsidR="00D93968" w:rsidRPr="00427BDA" w:rsidRDefault="00D93968" w:rsidP="00D93968">
      <w:pPr>
        <w:pStyle w:val="Textonotapie"/>
        <w:ind w:firstLine="709"/>
        <w:jc w:val="both"/>
        <w:rPr>
          <w:rFonts w:ascii="Arial" w:hAnsi="Arial" w:cs="Arial"/>
          <w:sz w:val="19"/>
          <w:szCs w:val="19"/>
          <w:lang w:val="es-ES"/>
        </w:rPr>
      </w:pPr>
    </w:p>
  </w:footnote>
  <w:footnote w:id="3">
    <w:p w14:paraId="3726BE4B" w14:textId="77777777" w:rsidR="00D93968" w:rsidRPr="00427BDA" w:rsidRDefault="00D93968" w:rsidP="00D93968">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30 al 36.</w:t>
      </w:r>
    </w:p>
    <w:p w14:paraId="645F1DFB" w14:textId="77777777" w:rsidR="00D93968" w:rsidRPr="00427BDA" w:rsidRDefault="00D93968" w:rsidP="00D93968">
      <w:pPr>
        <w:pStyle w:val="Textonotapie"/>
        <w:ind w:firstLine="709"/>
        <w:jc w:val="both"/>
        <w:rPr>
          <w:rFonts w:ascii="Arial" w:hAnsi="Arial" w:cs="Arial"/>
          <w:sz w:val="19"/>
          <w:szCs w:val="19"/>
          <w:lang w:val="es-ES"/>
        </w:rPr>
      </w:pPr>
    </w:p>
  </w:footnote>
  <w:footnote w:id="4">
    <w:p w14:paraId="300E251D" w14:textId="77777777" w:rsidR="00D93968" w:rsidRPr="00427BDA" w:rsidRDefault="00D93968" w:rsidP="00D93968">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37 al 45.</w:t>
      </w:r>
    </w:p>
    <w:p w14:paraId="29B297D6" w14:textId="77777777" w:rsidR="00D93968" w:rsidRPr="00427BDA" w:rsidRDefault="00D93968" w:rsidP="00D93968">
      <w:pPr>
        <w:pStyle w:val="Textonotapie"/>
        <w:ind w:firstLine="709"/>
        <w:jc w:val="both"/>
        <w:rPr>
          <w:rFonts w:ascii="Arial" w:hAnsi="Arial" w:cs="Arial"/>
          <w:sz w:val="19"/>
          <w:szCs w:val="19"/>
          <w:lang w:val="es-ES"/>
        </w:rPr>
      </w:pPr>
    </w:p>
  </w:footnote>
  <w:footnote w:id="5">
    <w:p w14:paraId="4377BF77" w14:textId="77777777" w:rsidR="00D93968" w:rsidRPr="00427BDA" w:rsidRDefault="00D93968" w:rsidP="00D93968">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46 al 73.</w:t>
      </w:r>
    </w:p>
    <w:p w14:paraId="63F90016" w14:textId="77777777" w:rsidR="00D93968" w:rsidRPr="00427BDA" w:rsidRDefault="00D93968" w:rsidP="00D93968">
      <w:pPr>
        <w:pStyle w:val="Textonotapie"/>
        <w:ind w:firstLine="709"/>
        <w:jc w:val="both"/>
        <w:rPr>
          <w:rFonts w:ascii="Arial" w:hAnsi="Arial" w:cs="Arial"/>
          <w:sz w:val="19"/>
          <w:szCs w:val="19"/>
          <w:lang w:val="es-ES"/>
        </w:rPr>
      </w:pPr>
    </w:p>
  </w:footnote>
  <w:footnote w:id="6">
    <w:p w14:paraId="62852D3F" w14:textId="77777777" w:rsidR="00D93968" w:rsidRPr="00427BDA" w:rsidRDefault="00D93968" w:rsidP="00D93968">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74 al 83.</w:t>
      </w:r>
    </w:p>
    <w:p w14:paraId="2A25C140" w14:textId="77777777" w:rsidR="00D93968" w:rsidRPr="00427BDA" w:rsidRDefault="00D93968" w:rsidP="00D93968">
      <w:pPr>
        <w:pStyle w:val="Textonotapie"/>
        <w:ind w:firstLine="709"/>
        <w:jc w:val="both"/>
        <w:rPr>
          <w:rFonts w:ascii="Arial" w:hAnsi="Arial" w:cs="Arial"/>
          <w:sz w:val="19"/>
          <w:szCs w:val="19"/>
          <w:lang w:val="es-ES"/>
        </w:rPr>
      </w:pPr>
    </w:p>
  </w:footnote>
  <w:footnote w:id="7">
    <w:p w14:paraId="53268476" w14:textId="77777777" w:rsidR="00FB0C5E" w:rsidRPr="00427BDA" w:rsidRDefault="00FB0C5E" w:rsidP="00FB0C5E">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Consejo de Estado. Sección Tercera. Sentencia del 29 de octubre de 2.015. Consejera Ponente: Stella Conto Díaz Del Castillo. Expediente: 31.918.</w:t>
      </w:r>
    </w:p>
    <w:p w14:paraId="07B491D7" w14:textId="77777777" w:rsidR="00FB0C5E" w:rsidRPr="00427BDA" w:rsidRDefault="00FB0C5E" w:rsidP="00FB0C5E">
      <w:pPr>
        <w:pStyle w:val="Textonotapie"/>
        <w:ind w:firstLine="709"/>
        <w:jc w:val="both"/>
        <w:rPr>
          <w:rFonts w:ascii="Arial" w:hAnsi="Arial" w:cs="Arial"/>
          <w:sz w:val="19"/>
          <w:szCs w:val="19"/>
          <w:lang w:val="es-ES"/>
        </w:rPr>
      </w:pPr>
    </w:p>
  </w:footnote>
  <w:footnote w:id="8">
    <w:p w14:paraId="354B98F5" w14:textId="77777777" w:rsidR="00FB0C5E" w:rsidRPr="00427BDA" w:rsidRDefault="00FB0C5E" w:rsidP="00FB0C5E">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Corte Constitucional. Sentencia T-684A del 14 de septiembre de 2011. Magistrado Ponente: Mauricio González Cuervo.</w:t>
      </w:r>
    </w:p>
    <w:p w14:paraId="3037BD28" w14:textId="77777777" w:rsidR="00FB0C5E" w:rsidRPr="00427BDA" w:rsidRDefault="00FB0C5E" w:rsidP="00FB0C5E">
      <w:pPr>
        <w:pStyle w:val="Textonotapie"/>
        <w:ind w:firstLine="709"/>
        <w:jc w:val="both"/>
        <w:rPr>
          <w:rFonts w:ascii="Arial" w:hAnsi="Arial" w:cs="Arial"/>
          <w:sz w:val="19"/>
          <w:szCs w:val="19"/>
          <w:lang w:val="es-ES"/>
        </w:rPr>
      </w:pPr>
    </w:p>
  </w:footnote>
  <w:footnote w:id="9">
    <w:p w14:paraId="65606C50" w14:textId="77777777" w:rsidR="00FB0C5E" w:rsidRPr="00427BDA" w:rsidRDefault="00FB0C5E" w:rsidP="00FB0C5E">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3F282F86" w14:textId="77777777" w:rsidR="00FB0C5E" w:rsidRPr="00427BDA" w:rsidRDefault="00FB0C5E" w:rsidP="00FB0C5E">
      <w:pPr>
        <w:pStyle w:val="Textonotapie"/>
        <w:ind w:firstLine="709"/>
        <w:jc w:val="both"/>
        <w:rPr>
          <w:rFonts w:ascii="Arial" w:hAnsi="Arial" w:cs="Arial"/>
          <w:sz w:val="19"/>
          <w:szCs w:val="19"/>
          <w:lang w:val="es-CO"/>
        </w:rPr>
      </w:pPr>
    </w:p>
  </w:footnote>
  <w:footnote w:id="10">
    <w:p w14:paraId="58409776" w14:textId="77777777" w:rsidR="00283C7E" w:rsidRPr="00ED3142" w:rsidRDefault="00283C7E" w:rsidP="00283C7E">
      <w:pPr>
        <w:pStyle w:val="Textonotapie"/>
        <w:ind w:firstLine="708"/>
        <w:rPr>
          <w:rFonts w:ascii="Arial" w:hAnsi="Arial" w:cs="Arial"/>
          <w:sz w:val="18"/>
          <w:szCs w:val="18"/>
          <w:lang w:val="es-ES"/>
        </w:rPr>
      </w:pPr>
      <w:r w:rsidRPr="00ED3142">
        <w:rPr>
          <w:rStyle w:val="Refdenotaalpie"/>
          <w:rFonts w:ascii="Arial" w:hAnsi="Arial" w:cs="Arial"/>
          <w:sz w:val="18"/>
          <w:szCs w:val="18"/>
        </w:rPr>
        <w:footnoteRef/>
      </w:r>
      <w:r w:rsidRPr="00ED3142">
        <w:rPr>
          <w:rFonts w:ascii="Arial" w:hAnsi="Arial" w:cs="Arial"/>
          <w:sz w:val="18"/>
          <w:szCs w:val="18"/>
        </w:rPr>
        <w:t xml:space="preserve"> </w:t>
      </w:r>
      <w:r w:rsidRPr="00ED3142">
        <w:rPr>
          <w:rFonts w:ascii="Arial" w:hAnsi="Arial" w:cs="Arial"/>
          <w:sz w:val="18"/>
          <w:szCs w:val="18"/>
          <w:lang w:val="es-ES"/>
        </w:rPr>
        <w:t>Consejo de Estado. Sala de Consulta y Servicio Civil. Concepto del 20 de mayo de 2010. No. de Radicado: 11001-03-06-000-2010-00034-00(1992). C.P. Enrique José Arboleda Perdomo</w:t>
      </w:r>
      <w:r>
        <w:rPr>
          <w:rFonts w:ascii="Arial" w:hAnsi="Arial" w:cs="Arial"/>
          <w:sz w:val="18"/>
          <w:szCs w:val="18"/>
          <w:lang w:val="es-ES"/>
        </w:rPr>
        <w:t>.</w:t>
      </w:r>
    </w:p>
  </w:footnote>
  <w:footnote w:id="11">
    <w:p w14:paraId="40FF6DAC" w14:textId="77777777" w:rsidR="00283C7E" w:rsidRPr="00801108" w:rsidRDefault="00283C7E" w:rsidP="00283C7E">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221F373A" w14:textId="77777777" w:rsidR="00283C7E" w:rsidRPr="00801108" w:rsidRDefault="00283C7E" w:rsidP="00283C7E">
      <w:pPr>
        <w:pStyle w:val="Textonotapie"/>
        <w:ind w:firstLine="709"/>
        <w:jc w:val="both"/>
        <w:rPr>
          <w:rFonts w:ascii="Arial" w:hAnsi="Arial" w:cs="Arial"/>
          <w:color w:val="000000" w:themeColor="text1"/>
          <w:sz w:val="18"/>
          <w:szCs w:val="18"/>
        </w:rPr>
      </w:pPr>
    </w:p>
  </w:footnote>
  <w:footnote w:id="12">
    <w:p w14:paraId="22967A73" w14:textId="77777777" w:rsidR="00283C7E" w:rsidRPr="00801108" w:rsidRDefault="00283C7E" w:rsidP="00283C7E">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3">
    <w:p w14:paraId="01E4411B" w14:textId="77777777" w:rsidR="00283C7E" w:rsidRPr="00801108" w:rsidRDefault="00283C7E" w:rsidP="00283C7E">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Consejo de Estado. Sección Tercera. Subsección C. Sentencia del 26 de febrero de 2014. Expediente: 25.804. Consejero Ponente: Enrique Gil Botero.</w:t>
      </w:r>
    </w:p>
  </w:footnote>
  <w:footnote w:id="14">
    <w:p w14:paraId="33F18731" w14:textId="77777777" w:rsidR="002C2A64" w:rsidRPr="00E86699" w:rsidRDefault="002C2A64" w:rsidP="002C2A64">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vertAlign w:val="superscript"/>
        </w:rPr>
        <w:t xml:space="preserve"> </w:t>
      </w:r>
      <w:r w:rsidRPr="00E86699">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5">
    <w:p w14:paraId="2CA26C8C" w14:textId="77777777" w:rsidR="00283C7E" w:rsidRPr="00EA29A3" w:rsidRDefault="00283C7E" w:rsidP="00283C7E">
      <w:pPr>
        <w:pStyle w:val="Textonotapie"/>
        <w:ind w:firstLine="708"/>
        <w:rPr>
          <w:rFonts w:ascii="Arial" w:hAnsi="Arial" w:cs="Arial"/>
          <w:color w:val="000000" w:themeColor="text1"/>
          <w:sz w:val="18"/>
          <w:szCs w:val="18"/>
          <w:lang w:val="es-ES"/>
        </w:rPr>
      </w:pPr>
      <w:r w:rsidRPr="00EA29A3">
        <w:rPr>
          <w:rFonts w:ascii="Arial" w:eastAsia="Arial" w:hAnsi="Arial" w:cs="Arial"/>
          <w:color w:val="000000" w:themeColor="text1"/>
          <w:sz w:val="18"/>
          <w:szCs w:val="18"/>
          <w:vertAlign w:val="superscript"/>
        </w:rPr>
        <w:footnoteRef/>
      </w:r>
      <w:r w:rsidRPr="00EA29A3">
        <w:rPr>
          <w:rFonts w:ascii="Arial" w:eastAsia="Arial" w:hAnsi="Arial" w:cs="Arial"/>
          <w:color w:val="000000" w:themeColor="text1"/>
          <w:sz w:val="18"/>
          <w:szCs w:val="18"/>
          <w:vertAlign w:val="superscript"/>
          <w:lang w:val="es-ES"/>
        </w:rPr>
        <w:t xml:space="preserve"> </w:t>
      </w:r>
      <w:r w:rsidRPr="00EA29A3">
        <w:rPr>
          <w:rFonts w:ascii="Arial" w:eastAsia="Arial" w:hAnsi="Arial" w:cs="Arial"/>
          <w:color w:val="000000" w:themeColor="text1"/>
          <w:sz w:val="18"/>
          <w:szCs w:val="18"/>
          <w:lang w:val="es-ES"/>
        </w:rPr>
        <w:t>Consejo de Estado. Sala de Consulta y Servicio Civil. Concepto del 20 de mayo de 2010. No. de Radicado: 11001-03-06-000-2010-00034-00(1992). C.P. Enrique José Arboleda Perdomo.</w:t>
      </w:r>
    </w:p>
    <w:p w14:paraId="6E2AF221" w14:textId="77777777" w:rsidR="00283C7E" w:rsidRPr="00B96C0F" w:rsidRDefault="00283C7E" w:rsidP="00283C7E">
      <w:pPr>
        <w:pStyle w:val="Textonotapie"/>
        <w:ind w:firstLine="708"/>
        <w:rPr>
          <w:rFonts w:ascii="Arial" w:hAnsi="Arial" w:cs="Arial"/>
          <w:color w:val="000000" w:themeColor="text1"/>
          <w:sz w:val="18"/>
          <w:szCs w:val="18"/>
        </w:rPr>
      </w:pPr>
    </w:p>
  </w:footnote>
  <w:footnote w:id="16">
    <w:p w14:paraId="0097C079" w14:textId="77777777" w:rsidR="00283C7E" w:rsidRPr="00A015C2" w:rsidRDefault="00283C7E" w:rsidP="00283C7E">
      <w:pPr>
        <w:pStyle w:val="Textonotapie"/>
        <w:ind w:firstLine="708"/>
        <w:rPr>
          <w:rFonts w:ascii="Arial" w:hAnsi="Arial" w:cs="Arial"/>
          <w:color w:val="000000" w:themeColor="text1"/>
          <w:sz w:val="18"/>
          <w:szCs w:val="18"/>
        </w:rPr>
      </w:pPr>
      <w:r w:rsidRPr="00A015C2">
        <w:rPr>
          <w:rStyle w:val="Refdenotaalpie"/>
          <w:rFonts w:ascii="Arial" w:hAnsi="Arial" w:cs="Arial"/>
          <w:color w:val="000000" w:themeColor="text1"/>
          <w:sz w:val="18"/>
          <w:szCs w:val="18"/>
        </w:rPr>
        <w:footnoteRef/>
      </w:r>
      <w:r w:rsidRPr="00A015C2">
        <w:rPr>
          <w:rFonts w:ascii="Arial" w:hAnsi="Arial" w:cs="Arial"/>
          <w:color w:val="000000" w:themeColor="text1"/>
          <w:sz w:val="18"/>
          <w:szCs w:val="18"/>
        </w:rPr>
        <w:t xml:space="preserve"> </w:t>
      </w:r>
      <w:r w:rsidRPr="00EA29A3">
        <w:rPr>
          <w:rFonts w:ascii="Arial" w:eastAsia="Arial" w:hAnsi="Arial" w:cs="Arial"/>
          <w:color w:val="000000" w:themeColor="text1"/>
          <w:sz w:val="18"/>
          <w:szCs w:val="18"/>
          <w:lang w:val="es-ES"/>
        </w:rPr>
        <w:t>Consejo de Estado. Sala de Consulta y Servicio Civil. Concepto del 20 de mayo de 2010. No. de Radicado: 11001-03-06-000-2010-00034-00(1992). C.P. Enrique José Arboleda Perdomo.</w:t>
      </w:r>
    </w:p>
  </w:footnote>
  <w:footnote w:id="17">
    <w:p w14:paraId="71322C89" w14:textId="389D0212" w:rsidR="009139A6" w:rsidRPr="00D17351" w:rsidRDefault="009139A6" w:rsidP="009139A6">
      <w:pPr>
        <w:pStyle w:val="Textonotapie"/>
        <w:ind w:firstLine="708"/>
        <w:jc w:val="both"/>
        <w:rPr>
          <w:rFonts w:ascii="Arial" w:hAnsi="Arial" w:cs="Arial"/>
          <w:sz w:val="19"/>
          <w:szCs w:val="19"/>
          <w:lang w:val="es-ES"/>
        </w:rPr>
      </w:pPr>
      <w:r w:rsidRPr="00D17351">
        <w:rPr>
          <w:rStyle w:val="Refdenotaalpie"/>
          <w:rFonts w:ascii="Arial" w:hAnsi="Arial" w:cs="Arial"/>
          <w:sz w:val="19"/>
          <w:szCs w:val="19"/>
        </w:rPr>
        <w:footnoteRef/>
      </w:r>
      <w:r w:rsidRPr="00D17351">
        <w:rPr>
          <w:rFonts w:ascii="Arial" w:hAnsi="Arial" w:cs="Arial"/>
          <w:sz w:val="19"/>
          <w:szCs w:val="19"/>
        </w:rPr>
        <w:t xml:space="preserve"> </w:t>
      </w:r>
      <w:r>
        <w:rPr>
          <w:rFonts w:ascii="Arial" w:hAnsi="Arial" w:cs="Arial"/>
          <w:sz w:val="19"/>
          <w:szCs w:val="19"/>
          <w:lang w:val="es-ES"/>
        </w:rPr>
        <w:t>El primer inciso del</w:t>
      </w:r>
      <w:r w:rsidRPr="00D17351">
        <w:rPr>
          <w:rFonts w:ascii="Arial" w:hAnsi="Arial" w:cs="Arial"/>
          <w:sz w:val="19"/>
          <w:szCs w:val="19"/>
          <w:lang w:val="es-ES"/>
        </w:rPr>
        <w:t xml:space="preserve"> </w:t>
      </w:r>
      <w:r>
        <w:rPr>
          <w:rFonts w:ascii="Arial" w:hAnsi="Arial" w:cs="Arial"/>
          <w:sz w:val="19"/>
          <w:szCs w:val="19"/>
          <w:lang w:val="es-ES"/>
        </w:rPr>
        <w:t>a</w:t>
      </w:r>
      <w:r w:rsidRPr="00D17351">
        <w:rPr>
          <w:rFonts w:ascii="Arial" w:hAnsi="Arial" w:cs="Arial"/>
          <w:sz w:val="19"/>
          <w:szCs w:val="19"/>
          <w:lang w:val="es-ES"/>
        </w:rPr>
        <w:t>rtículo 2º</w:t>
      </w:r>
      <w:r>
        <w:rPr>
          <w:rFonts w:ascii="Arial" w:hAnsi="Arial" w:cs="Arial"/>
          <w:sz w:val="19"/>
          <w:szCs w:val="19"/>
          <w:lang w:val="es-ES"/>
        </w:rPr>
        <w:t xml:space="preserve"> de la Ley 816 de 2003 dispone lo siguiente</w:t>
      </w:r>
      <w:r w:rsidRPr="00D17351">
        <w:rPr>
          <w:rFonts w:ascii="Arial" w:hAnsi="Arial" w:cs="Arial"/>
          <w:sz w:val="19"/>
          <w:szCs w:val="19"/>
          <w:lang w:val="es-ES"/>
        </w:rPr>
        <w:t xml:space="preserve">: </w:t>
      </w:r>
      <w:r>
        <w:rPr>
          <w:rFonts w:ascii="Arial" w:hAnsi="Arial" w:cs="Arial"/>
          <w:sz w:val="19"/>
          <w:szCs w:val="19"/>
          <w:lang w:val="es-ES"/>
        </w:rPr>
        <w:t>«</w:t>
      </w:r>
      <w:r w:rsidRPr="00D17351">
        <w:rPr>
          <w:rFonts w:ascii="Arial" w:hAnsi="Arial" w:cs="Arial"/>
          <w:sz w:val="19"/>
          <w:szCs w:val="19"/>
          <w:lang w:val="es-ES"/>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r>
        <w:rPr>
          <w:rFonts w:ascii="Arial" w:hAnsi="Arial" w:cs="Arial"/>
          <w:sz w:val="19"/>
          <w:szCs w:val="19"/>
          <w:lang w:val="es-ES"/>
        </w:rPr>
        <w:t xml:space="preserve">». Por su parte, </w:t>
      </w:r>
      <w:r w:rsidRPr="009139A6">
        <w:rPr>
          <w:rFonts w:ascii="Arial" w:hAnsi="Arial" w:cs="Arial"/>
          <w:sz w:val="19"/>
          <w:szCs w:val="19"/>
        </w:rPr>
        <w:t>el artículo 2.2.1.2.4.2.6 del Decreto 1082 de 2015</w:t>
      </w:r>
      <w:r>
        <w:rPr>
          <w:rFonts w:ascii="Arial" w:hAnsi="Arial" w:cs="Arial"/>
          <w:sz w:val="19"/>
          <w:szCs w:val="19"/>
        </w:rPr>
        <w:t xml:space="preserve"> prescribe que</w:t>
      </w:r>
      <w:r w:rsidRPr="00D17351">
        <w:rPr>
          <w:rFonts w:ascii="Arial" w:hAnsi="Arial" w:cs="Arial"/>
          <w:sz w:val="19"/>
          <w:szCs w:val="19"/>
        </w:rPr>
        <w:t xml:space="preserve"> </w:t>
      </w:r>
      <w:r>
        <w:rPr>
          <w:rFonts w:ascii="Arial" w:hAnsi="Arial" w:cs="Arial"/>
          <w:sz w:val="19"/>
          <w:szCs w:val="19"/>
        </w:rPr>
        <w:t>«</w:t>
      </w:r>
      <w:r w:rsidRPr="00D17351">
        <w:rPr>
          <w:rFonts w:ascii="Arial" w:hAnsi="Arial" w:cs="Arial"/>
          <w:sz w:val="19"/>
          <w:szCs w:val="19"/>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w:t>
      </w:r>
      <w:r w:rsidR="00860543">
        <w:rPr>
          <w:rFonts w:ascii="Arial" w:hAnsi="Arial" w:cs="Arial"/>
          <w:sz w:val="19"/>
          <w:szCs w:val="19"/>
        </w:rPr>
        <w:t xml:space="preserve"> </w:t>
      </w:r>
      <w:r>
        <w:rPr>
          <w:rFonts w:ascii="Arial" w:hAnsi="Arial" w:cs="Arial"/>
          <w:sz w:val="19"/>
          <w:szCs w:val="19"/>
        </w:rPr>
        <w:t>[…]».</w:t>
      </w:r>
    </w:p>
    <w:p w14:paraId="2CE37357" w14:textId="77777777" w:rsidR="009139A6" w:rsidRPr="00D17351" w:rsidRDefault="009139A6" w:rsidP="009139A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571120" w:rsidRDefault="00571120">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6D5057DB"/>
    <w:multiLevelType w:val="hybridMultilevel"/>
    <w:tmpl w:val="353A75E4"/>
    <w:lvl w:ilvl="0" w:tplc="51E090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31015893">
    <w:abstractNumId w:val="9"/>
  </w:num>
  <w:num w:numId="2" w16cid:durableId="1581719700">
    <w:abstractNumId w:val="7"/>
  </w:num>
  <w:num w:numId="3" w16cid:durableId="1200237213">
    <w:abstractNumId w:val="12"/>
  </w:num>
  <w:num w:numId="4" w16cid:durableId="239565605">
    <w:abstractNumId w:val="15"/>
  </w:num>
  <w:num w:numId="5" w16cid:durableId="1979921639">
    <w:abstractNumId w:val="19"/>
  </w:num>
  <w:num w:numId="6" w16cid:durableId="9549452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1589010">
    <w:abstractNumId w:val="17"/>
  </w:num>
  <w:num w:numId="8" w16cid:durableId="1878618483">
    <w:abstractNumId w:val="0"/>
  </w:num>
  <w:num w:numId="9" w16cid:durableId="167990641">
    <w:abstractNumId w:val="3"/>
  </w:num>
  <w:num w:numId="10" w16cid:durableId="1663269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542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3842891">
    <w:abstractNumId w:val="8"/>
  </w:num>
  <w:num w:numId="13" w16cid:durableId="1691760453">
    <w:abstractNumId w:val="11"/>
  </w:num>
  <w:num w:numId="14" w16cid:durableId="152450193">
    <w:abstractNumId w:val="6"/>
  </w:num>
  <w:num w:numId="15" w16cid:durableId="152046569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5880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3192085">
    <w:abstractNumId w:val="22"/>
  </w:num>
  <w:num w:numId="18" w16cid:durableId="917442246">
    <w:abstractNumId w:val="13"/>
  </w:num>
  <w:num w:numId="19" w16cid:durableId="1843080131">
    <w:abstractNumId w:val="2"/>
  </w:num>
  <w:num w:numId="20" w16cid:durableId="1022438460">
    <w:abstractNumId w:val="23"/>
  </w:num>
  <w:num w:numId="21" w16cid:durableId="919870199">
    <w:abstractNumId w:val="14"/>
  </w:num>
  <w:num w:numId="22" w16cid:durableId="437792533">
    <w:abstractNumId w:val="5"/>
  </w:num>
  <w:num w:numId="23" w16cid:durableId="250435868">
    <w:abstractNumId w:val="4"/>
  </w:num>
  <w:num w:numId="24" w16cid:durableId="2099517461">
    <w:abstractNumId w:val="21"/>
  </w:num>
  <w:num w:numId="25" w16cid:durableId="66729800">
    <w:abstractNumId w:val="16"/>
  </w:num>
  <w:num w:numId="26" w16cid:durableId="8078656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10"/>
    <w:rsid w:val="000012CD"/>
    <w:rsid w:val="0000162E"/>
    <w:rsid w:val="00001A1C"/>
    <w:rsid w:val="00001FFD"/>
    <w:rsid w:val="00002027"/>
    <w:rsid w:val="000020FE"/>
    <w:rsid w:val="00002173"/>
    <w:rsid w:val="000031A8"/>
    <w:rsid w:val="00003901"/>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0AB"/>
    <w:rsid w:val="00013C6B"/>
    <w:rsid w:val="0001406B"/>
    <w:rsid w:val="000143F8"/>
    <w:rsid w:val="00014624"/>
    <w:rsid w:val="00015B44"/>
    <w:rsid w:val="00016081"/>
    <w:rsid w:val="000165AC"/>
    <w:rsid w:val="00016651"/>
    <w:rsid w:val="000171A2"/>
    <w:rsid w:val="00017B23"/>
    <w:rsid w:val="00017B65"/>
    <w:rsid w:val="00020158"/>
    <w:rsid w:val="000207E0"/>
    <w:rsid w:val="000209E2"/>
    <w:rsid w:val="00020F8F"/>
    <w:rsid w:val="00021A95"/>
    <w:rsid w:val="0002256F"/>
    <w:rsid w:val="000235AC"/>
    <w:rsid w:val="00023DAE"/>
    <w:rsid w:val="00024896"/>
    <w:rsid w:val="000255FA"/>
    <w:rsid w:val="00025D0A"/>
    <w:rsid w:val="000263F0"/>
    <w:rsid w:val="00026407"/>
    <w:rsid w:val="00026608"/>
    <w:rsid w:val="00027787"/>
    <w:rsid w:val="000278D2"/>
    <w:rsid w:val="00027BBA"/>
    <w:rsid w:val="00030DFB"/>
    <w:rsid w:val="00031364"/>
    <w:rsid w:val="000315E1"/>
    <w:rsid w:val="0003236E"/>
    <w:rsid w:val="0003319F"/>
    <w:rsid w:val="0003339A"/>
    <w:rsid w:val="000341F2"/>
    <w:rsid w:val="00035046"/>
    <w:rsid w:val="000351F1"/>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3FE8"/>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0516"/>
    <w:rsid w:val="00051074"/>
    <w:rsid w:val="0005111E"/>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1C2"/>
    <w:rsid w:val="0006626E"/>
    <w:rsid w:val="00070AF1"/>
    <w:rsid w:val="000714DE"/>
    <w:rsid w:val="0007254F"/>
    <w:rsid w:val="00073446"/>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825"/>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4F09"/>
    <w:rsid w:val="000A52C0"/>
    <w:rsid w:val="000A5AAF"/>
    <w:rsid w:val="000A5F97"/>
    <w:rsid w:val="000A648E"/>
    <w:rsid w:val="000A7268"/>
    <w:rsid w:val="000A73BB"/>
    <w:rsid w:val="000A73E8"/>
    <w:rsid w:val="000A7EF4"/>
    <w:rsid w:val="000B0A15"/>
    <w:rsid w:val="000B103F"/>
    <w:rsid w:val="000B1057"/>
    <w:rsid w:val="000B1091"/>
    <w:rsid w:val="000B1437"/>
    <w:rsid w:val="000B1470"/>
    <w:rsid w:val="000B22B3"/>
    <w:rsid w:val="000B244D"/>
    <w:rsid w:val="000B2A1A"/>
    <w:rsid w:val="000B2B86"/>
    <w:rsid w:val="000B3051"/>
    <w:rsid w:val="000B419B"/>
    <w:rsid w:val="000B5008"/>
    <w:rsid w:val="000B5781"/>
    <w:rsid w:val="000B5CB1"/>
    <w:rsid w:val="000B63BC"/>
    <w:rsid w:val="000B75F4"/>
    <w:rsid w:val="000C0185"/>
    <w:rsid w:val="000C0F81"/>
    <w:rsid w:val="000C128D"/>
    <w:rsid w:val="000C17A3"/>
    <w:rsid w:val="000C1D4B"/>
    <w:rsid w:val="000C2DC4"/>
    <w:rsid w:val="000C3260"/>
    <w:rsid w:val="000C3B77"/>
    <w:rsid w:val="000C3F6D"/>
    <w:rsid w:val="000C44BF"/>
    <w:rsid w:val="000C4F49"/>
    <w:rsid w:val="000C5861"/>
    <w:rsid w:val="000C5BDE"/>
    <w:rsid w:val="000C639D"/>
    <w:rsid w:val="000C6832"/>
    <w:rsid w:val="000C6C31"/>
    <w:rsid w:val="000C6DBC"/>
    <w:rsid w:val="000C6F79"/>
    <w:rsid w:val="000C6FB2"/>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181A"/>
    <w:rsid w:val="000E22CF"/>
    <w:rsid w:val="000E2977"/>
    <w:rsid w:val="000E2CC0"/>
    <w:rsid w:val="000E30AC"/>
    <w:rsid w:val="000E3B46"/>
    <w:rsid w:val="000E3E11"/>
    <w:rsid w:val="000E4596"/>
    <w:rsid w:val="000E4B94"/>
    <w:rsid w:val="000E4D50"/>
    <w:rsid w:val="000E5768"/>
    <w:rsid w:val="000E5843"/>
    <w:rsid w:val="000E5FE5"/>
    <w:rsid w:val="000E6139"/>
    <w:rsid w:val="000E63B7"/>
    <w:rsid w:val="000E653C"/>
    <w:rsid w:val="000E6BE1"/>
    <w:rsid w:val="000E7069"/>
    <w:rsid w:val="000E7E0B"/>
    <w:rsid w:val="000F0136"/>
    <w:rsid w:val="000F078A"/>
    <w:rsid w:val="000F0FDB"/>
    <w:rsid w:val="000F122D"/>
    <w:rsid w:val="000F1450"/>
    <w:rsid w:val="000F14E8"/>
    <w:rsid w:val="000F1BBD"/>
    <w:rsid w:val="000F290F"/>
    <w:rsid w:val="000F3A14"/>
    <w:rsid w:val="000F4403"/>
    <w:rsid w:val="000F480B"/>
    <w:rsid w:val="000F4E17"/>
    <w:rsid w:val="000F5615"/>
    <w:rsid w:val="000F6578"/>
    <w:rsid w:val="000F6F92"/>
    <w:rsid w:val="000F7007"/>
    <w:rsid w:val="000F7E8F"/>
    <w:rsid w:val="000F7FBB"/>
    <w:rsid w:val="001000FB"/>
    <w:rsid w:val="00100A9E"/>
    <w:rsid w:val="00100C90"/>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0633"/>
    <w:rsid w:val="001309B3"/>
    <w:rsid w:val="00131B5A"/>
    <w:rsid w:val="00132C30"/>
    <w:rsid w:val="00132EFD"/>
    <w:rsid w:val="00133AED"/>
    <w:rsid w:val="00134BCD"/>
    <w:rsid w:val="00134C9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918"/>
    <w:rsid w:val="00141DBF"/>
    <w:rsid w:val="00142EFD"/>
    <w:rsid w:val="00144335"/>
    <w:rsid w:val="0014502F"/>
    <w:rsid w:val="00145282"/>
    <w:rsid w:val="001453B0"/>
    <w:rsid w:val="001454D9"/>
    <w:rsid w:val="00145C1A"/>
    <w:rsid w:val="00145D8E"/>
    <w:rsid w:val="00146083"/>
    <w:rsid w:val="001462F7"/>
    <w:rsid w:val="001471AB"/>
    <w:rsid w:val="00147F35"/>
    <w:rsid w:val="00150005"/>
    <w:rsid w:val="001512DC"/>
    <w:rsid w:val="00151AEB"/>
    <w:rsid w:val="00151B99"/>
    <w:rsid w:val="00151E79"/>
    <w:rsid w:val="001521B2"/>
    <w:rsid w:val="00152EDD"/>
    <w:rsid w:val="00153491"/>
    <w:rsid w:val="0015361C"/>
    <w:rsid w:val="0015372F"/>
    <w:rsid w:val="00153BFB"/>
    <w:rsid w:val="0015407E"/>
    <w:rsid w:val="0015448E"/>
    <w:rsid w:val="00154A6F"/>
    <w:rsid w:val="00154FE8"/>
    <w:rsid w:val="00155BED"/>
    <w:rsid w:val="00155D08"/>
    <w:rsid w:val="0015623B"/>
    <w:rsid w:val="00156BE5"/>
    <w:rsid w:val="00157232"/>
    <w:rsid w:val="00157B5F"/>
    <w:rsid w:val="00160401"/>
    <w:rsid w:val="00160D4E"/>
    <w:rsid w:val="00161DDA"/>
    <w:rsid w:val="00161E62"/>
    <w:rsid w:val="00161F1C"/>
    <w:rsid w:val="0016200B"/>
    <w:rsid w:val="0016204B"/>
    <w:rsid w:val="00162D5A"/>
    <w:rsid w:val="00163D7A"/>
    <w:rsid w:val="00164281"/>
    <w:rsid w:val="00165703"/>
    <w:rsid w:val="00165BC8"/>
    <w:rsid w:val="00165E5C"/>
    <w:rsid w:val="00166204"/>
    <w:rsid w:val="00166797"/>
    <w:rsid w:val="0016685F"/>
    <w:rsid w:val="0016712F"/>
    <w:rsid w:val="00167503"/>
    <w:rsid w:val="001676A9"/>
    <w:rsid w:val="001678D1"/>
    <w:rsid w:val="00167A15"/>
    <w:rsid w:val="00167A50"/>
    <w:rsid w:val="00167D1A"/>
    <w:rsid w:val="00167DF5"/>
    <w:rsid w:val="00170001"/>
    <w:rsid w:val="00172198"/>
    <w:rsid w:val="00172612"/>
    <w:rsid w:val="00172817"/>
    <w:rsid w:val="001734E3"/>
    <w:rsid w:val="00173BE7"/>
    <w:rsid w:val="001742BF"/>
    <w:rsid w:val="001742E1"/>
    <w:rsid w:val="00175611"/>
    <w:rsid w:val="00175BE2"/>
    <w:rsid w:val="00175E49"/>
    <w:rsid w:val="0017649F"/>
    <w:rsid w:val="0017655B"/>
    <w:rsid w:val="0018007F"/>
    <w:rsid w:val="001805C1"/>
    <w:rsid w:val="00180A2E"/>
    <w:rsid w:val="001813AF"/>
    <w:rsid w:val="00182368"/>
    <w:rsid w:val="001826C9"/>
    <w:rsid w:val="001829CD"/>
    <w:rsid w:val="00182F01"/>
    <w:rsid w:val="00184219"/>
    <w:rsid w:val="0018421D"/>
    <w:rsid w:val="00184F27"/>
    <w:rsid w:val="0018519B"/>
    <w:rsid w:val="00185966"/>
    <w:rsid w:val="00185A2D"/>
    <w:rsid w:val="00185AFE"/>
    <w:rsid w:val="00185E78"/>
    <w:rsid w:val="00186DC2"/>
    <w:rsid w:val="00187177"/>
    <w:rsid w:val="00187ABD"/>
    <w:rsid w:val="001904E3"/>
    <w:rsid w:val="0019087A"/>
    <w:rsid w:val="001908D1"/>
    <w:rsid w:val="00191AE3"/>
    <w:rsid w:val="00191C5A"/>
    <w:rsid w:val="00191CEB"/>
    <w:rsid w:val="00191E63"/>
    <w:rsid w:val="00192D68"/>
    <w:rsid w:val="00193234"/>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C48"/>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3B69"/>
    <w:rsid w:val="001B449C"/>
    <w:rsid w:val="001B4AA2"/>
    <w:rsid w:val="001B4ADE"/>
    <w:rsid w:val="001B5530"/>
    <w:rsid w:val="001B5EF8"/>
    <w:rsid w:val="001B71E8"/>
    <w:rsid w:val="001C033E"/>
    <w:rsid w:val="001C07C6"/>
    <w:rsid w:val="001C115C"/>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372"/>
    <w:rsid w:val="001C76FA"/>
    <w:rsid w:val="001C79A4"/>
    <w:rsid w:val="001C7C7B"/>
    <w:rsid w:val="001D068D"/>
    <w:rsid w:val="001D09BE"/>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2EA6"/>
    <w:rsid w:val="001E3FFE"/>
    <w:rsid w:val="001E4258"/>
    <w:rsid w:val="001E4D92"/>
    <w:rsid w:val="001E5140"/>
    <w:rsid w:val="001E5D6A"/>
    <w:rsid w:val="001E6A94"/>
    <w:rsid w:val="001E70FB"/>
    <w:rsid w:val="001E780A"/>
    <w:rsid w:val="001F05F0"/>
    <w:rsid w:val="001F0806"/>
    <w:rsid w:val="001F0D15"/>
    <w:rsid w:val="001F0FA0"/>
    <w:rsid w:val="001F10BD"/>
    <w:rsid w:val="001F1349"/>
    <w:rsid w:val="001F1863"/>
    <w:rsid w:val="001F1A52"/>
    <w:rsid w:val="001F2356"/>
    <w:rsid w:val="001F28A2"/>
    <w:rsid w:val="001F2A68"/>
    <w:rsid w:val="001F2C47"/>
    <w:rsid w:val="001F4773"/>
    <w:rsid w:val="001F4F2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2F86"/>
    <w:rsid w:val="00213136"/>
    <w:rsid w:val="00213168"/>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6A53"/>
    <w:rsid w:val="002270C9"/>
    <w:rsid w:val="0022775B"/>
    <w:rsid w:val="00227A8B"/>
    <w:rsid w:val="002309EF"/>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4854"/>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A4"/>
    <w:rsid w:val="00261EC0"/>
    <w:rsid w:val="00261FC2"/>
    <w:rsid w:val="0026231B"/>
    <w:rsid w:val="00263101"/>
    <w:rsid w:val="002631D1"/>
    <w:rsid w:val="00263201"/>
    <w:rsid w:val="002637B6"/>
    <w:rsid w:val="00263A37"/>
    <w:rsid w:val="00264266"/>
    <w:rsid w:val="0026471F"/>
    <w:rsid w:val="0026480D"/>
    <w:rsid w:val="002653A6"/>
    <w:rsid w:val="002661F1"/>
    <w:rsid w:val="00266316"/>
    <w:rsid w:val="00266DB6"/>
    <w:rsid w:val="002676EB"/>
    <w:rsid w:val="002711A4"/>
    <w:rsid w:val="00271230"/>
    <w:rsid w:val="00271F13"/>
    <w:rsid w:val="00272945"/>
    <w:rsid w:val="00272E89"/>
    <w:rsid w:val="0027482E"/>
    <w:rsid w:val="002748F1"/>
    <w:rsid w:val="00274DB5"/>
    <w:rsid w:val="00275BB1"/>
    <w:rsid w:val="00276FAD"/>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C7E"/>
    <w:rsid w:val="00283E26"/>
    <w:rsid w:val="0028428F"/>
    <w:rsid w:val="00284CFC"/>
    <w:rsid w:val="002851FD"/>
    <w:rsid w:val="00285832"/>
    <w:rsid w:val="00285969"/>
    <w:rsid w:val="0028599C"/>
    <w:rsid w:val="0028663B"/>
    <w:rsid w:val="00286CC7"/>
    <w:rsid w:val="00286CEC"/>
    <w:rsid w:val="002870F9"/>
    <w:rsid w:val="002871A9"/>
    <w:rsid w:val="00287505"/>
    <w:rsid w:val="00287727"/>
    <w:rsid w:val="00287BDB"/>
    <w:rsid w:val="00290781"/>
    <w:rsid w:val="00291784"/>
    <w:rsid w:val="002920DF"/>
    <w:rsid w:val="002924E3"/>
    <w:rsid w:val="002928A3"/>
    <w:rsid w:val="002929BB"/>
    <w:rsid w:val="00294368"/>
    <w:rsid w:val="002945B9"/>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38C"/>
    <w:rsid w:val="002A4736"/>
    <w:rsid w:val="002A4B1C"/>
    <w:rsid w:val="002A55FE"/>
    <w:rsid w:val="002A625C"/>
    <w:rsid w:val="002A6AFB"/>
    <w:rsid w:val="002A733D"/>
    <w:rsid w:val="002A774A"/>
    <w:rsid w:val="002A78F3"/>
    <w:rsid w:val="002A7D84"/>
    <w:rsid w:val="002A7DC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B797E"/>
    <w:rsid w:val="002C24B4"/>
    <w:rsid w:val="002C2A6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708"/>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0DE1"/>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3CD"/>
    <w:rsid w:val="002E687A"/>
    <w:rsid w:val="002E6BF2"/>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3D61"/>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2CD6"/>
    <w:rsid w:val="003132BB"/>
    <w:rsid w:val="00313337"/>
    <w:rsid w:val="00313447"/>
    <w:rsid w:val="00313748"/>
    <w:rsid w:val="00313EA3"/>
    <w:rsid w:val="003151FE"/>
    <w:rsid w:val="00315365"/>
    <w:rsid w:val="00315457"/>
    <w:rsid w:val="00315B6F"/>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1A"/>
    <w:rsid w:val="00323881"/>
    <w:rsid w:val="00324885"/>
    <w:rsid w:val="003251A8"/>
    <w:rsid w:val="003254B1"/>
    <w:rsid w:val="00325AD9"/>
    <w:rsid w:val="00325D98"/>
    <w:rsid w:val="0032682A"/>
    <w:rsid w:val="00327A5C"/>
    <w:rsid w:val="0033092C"/>
    <w:rsid w:val="0033122A"/>
    <w:rsid w:val="00331424"/>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B55"/>
    <w:rsid w:val="00337CA8"/>
    <w:rsid w:val="00340381"/>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C2A"/>
    <w:rsid w:val="00356F87"/>
    <w:rsid w:val="00357AC5"/>
    <w:rsid w:val="00357E83"/>
    <w:rsid w:val="00360B68"/>
    <w:rsid w:val="00360CF3"/>
    <w:rsid w:val="00361A59"/>
    <w:rsid w:val="003623A8"/>
    <w:rsid w:val="00363348"/>
    <w:rsid w:val="00363857"/>
    <w:rsid w:val="00363D59"/>
    <w:rsid w:val="00363F08"/>
    <w:rsid w:val="003640F7"/>
    <w:rsid w:val="0036594A"/>
    <w:rsid w:val="00365D3A"/>
    <w:rsid w:val="00365E36"/>
    <w:rsid w:val="003664FF"/>
    <w:rsid w:val="00366BD2"/>
    <w:rsid w:val="003670B8"/>
    <w:rsid w:val="003704A3"/>
    <w:rsid w:val="003706F2"/>
    <w:rsid w:val="003709E8"/>
    <w:rsid w:val="0037124F"/>
    <w:rsid w:val="00373827"/>
    <w:rsid w:val="0037401C"/>
    <w:rsid w:val="0037507B"/>
    <w:rsid w:val="00375C7C"/>
    <w:rsid w:val="00376A63"/>
    <w:rsid w:val="00377027"/>
    <w:rsid w:val="00377135"/>
    <w:rsid w:val="00380272"/>
    <w:rsid w:val="003805DB"/>
    <w:rsid w:val="0038152A"/>
    <w:rsid w:val="0038245D"/>
    <w:rsid w:val="00382BAD"/>
    <w:rsid w:val="003835FD"/>
    <w:rsid w:val="00383EDF"/>
    <w:rsid w:val="00384C5E"/>
    <w:rsid w:val="00384DF1"/>
    <w:rsid w:val="00384FF3"/>
    <w:rsid w:val="00386044"/>
    <w:rsid w:val="00386456"/>
    <w:rsid w:val="003865A9"/>
    <w:rsid w:val="0039092B"/>
    <w:rsid w:val="00390BD9"/>
    <w:rsid w:val="00390F32"/>
    <w:rsid w:val="0039135E"/>
    <w:rsid w:val="0039281A"/>
    <w:rsid w:val="0039285D"/>
    <w:rsid w:val="0039319C"/>
    <w:rsid w:val="00393577"/>
    <w:rsid w:val="00393CAE"/>
    <w:rsid w:val="003945F4"/>
    <w:rsid w:val="00394EB5"/>
    <w:rsid w:val="003953B4"/>
    <w:rsid w:val="0039615F"/>
    <w:rsid w:val="003966A0"/>
    <w:rsid w:val="00396A29"/>
    <w:rsid w:val="00397C34"/>
    <w:rsid w:val="00397FF0"/>
    <w:rsid w:val="003A06CA"/>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00"/>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42C"/>
    <w:rsid w:val="003C1AF4"/>
    <w:rsid w:val="003C1CB8"/>
    <w:rsid w:val="003C22DA"/>
    <w:rsid w:val="003C2550"/>
    <w:rsid w:val="003C287F"/>
    <w:rsid w:val="003C3339"/>
    <w:rsid w:val="003C375A"/>
    <w:rsid w:val="003C4317"/>
    <w:rsid w:val="003C4D9F"/>
    <w:rsid w:val="003C5218"/>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1A1E"/>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31"/>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1D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631"/>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301"/>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47EF7"/>
    <w:rsid w:val="00450846"/>
    <w:rsid w:val="00451A52"/>
    <w:rsid w:val="00451D03"/>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57342"/>
    <w:rsid w:val="00460915"/>
    <w:rsid w:val="00460946"/>
    <w:rsid w:val="004614A9"/>
    <w:rsid w:val="00461E97"/>
    <w:rsid w:val="0046268F"/>
    <w:rsid w:val="0046284F"/>
    <w:rsid w:val="00462B10"/>
    <w:rsid w:val="00462C04"/>
    <w:rsid w:val="00462E1D"/>
    <w:rsid w:val="0046320A"/>
    <w:rsid w:val="00463347"/>
    <w:rsid w:val="004636CC"/>
    <w:rsid w:val="004638E2"/>
    <w:rsid w:val="00464030"/>
    <w:rsid w:val="004647F8"/>
    <w:rsid w:val="004647FB"/>
    <w:rsid w:val="00465347"/>
    <w:rsid w:val="00465677"/>
    <w:rsid w:val="00466392"/>
    <w:rsid w:val="00466616"/>
    <w:rsid w:val="00466A0C"/>
    <w:rsid w:val="00466A53"/>
    <w:rsid w:val="0046719C"/>
    <w:rsid w:val="00470552"/>
    <w:rsid w:val="00470A6A"/>
    <w:rsid w:val="00470D73"/>
    <w:rsid w:val="00470D92"/>
    <w:rsid w:val="00471DF7"/>
    <w:rsid w:val="004734CF"/>
    <w:rsid w:val="00473555"/>
    <w:rsid w:val="004735B9"/>
    <w:rsid w:val="00473F33"/>
    <w:rsid w:val="0047586C"/>
    <w:rsid w:val="00475C5A"/>
    <w:rsid w:val="00475C9C"/>
    <w:rsid w:val="0047676B"/>
    <w:rsid w:val="00476E9E"/>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502"/>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A776F"/>
    <w:rsid w:val="004B07E6"/>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54C"/>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0FD1"/>
    <w:rsid w:val="004E1545"/>
    <w:rsid w:val="004E1F1C"/>
    <w:rsid w:val="004E2513"/>
    <w:rsid w:val="004E2A35"/>
    <w:rsid w:val="004E2CCF"/>
    <w:rsid w:val="004E3152"/>
    <w:rsid w:val="004E3B71"/>
    <w:rsid w:val="004E4055"/>
    <w:rsid w:val="004E40CE"/>
    <w:rsid w:val="004E5736"/>
    <w:rsid w:val="004E5A3C"/>
    <w:rsid w:val="004E5B36"/>
    <w:rsid w:val="004E5D5D"/>
    <w:rsid w:val="004E6045"/>
    <w:rsid w:val="004E667A"/>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A3C"/>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358"/>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257"/>
    <w:rsid w:val="00533CA9"/>
    <w:rsid w:val="005346AD"/>
    <w:rsid w:val="00534EFB"/>
    <w:rsid w:val="00534F60"/>
    <w:rsid w:val="005357F1"/>
    <w:rsid w:val="00535C73"/>
    <w:rsid w:val="00535D15"/>
    <w:rsid w:val="00536053"/>
    <w:rsid w:val="005363C6"/>
    <w:rsid w:val="005369E6"/>
    <w:rsid w:val="00536B52"/>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CE3"/>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2DEF"/>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4F19"/>
    <w:rsid w:val="005657A8"/>
    <w:rsid w:val="00565952"/>
    <w:rsid w:val="00565C58"/>
    <w:rsid w:val="00566866"/>
    <w:rsid w:val="005670A5"/>
    <w:rsid w:val="00567285"/>
    <w:rsid w:val="00567723"/>
    <w:rsid w:val="0056772D"/>
    <w:rsid w:val="0056773E"/>
    <w:rsid w:val="005678F5"/>
    <w:rsid w:val="00567AB8"/>
    <w:rsid w:val="00570A26"/>
    <w:rsid w:val="00570CFD"/>
    <w:rsid w:val="00571120"/>
    <w:rsid w:val="00571872"/>
    <w:rsid w:val="0057200A"/>
    <w:rsid w:val="0057221F"/>
    <w:rsid w:val="00572421"/>
    <w:rsid w:val="00572539"/>
    <w:rsid w:val="00572C37"/>
    <w:rsid w:val="00573355"/>
    <w:rsid w:val="0057337D"/>
    <w:rsid w:val="00573504"/>
    <w:rsid w:val="0057355F"/>
    <w:rsid w:val="00573BA3"/>
    <w:rsid w:val="00574708"/>
    <w:rsid w:val="00574D26"/>
    <w:rsid w:val="00574D81"/>
    <w:rsid w:val="0057501E"/>
    <w:rsid w:val="005756AA"/>
    <w:rsid w:val="0057696F"/>
    <w:rsid w:val="00576DF8"/>
    <w:rsid w:val="0057716D"/>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9EB"/>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BF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4A5C"/>
    <w:rsid w:val="005A53DE"/>
    <w:rsid w:val="005A5608"/>
    <w:rsid w:val="005A5A3D"/>
    <w:rsid w:val="005A6035"/>
    <w:rsid w:val="005A6B75"/>
    <w:rsid w:val="005A6E00"/>
    <w:rsid w:val="005A70B2"/>
    <w:rsid w:val="005A718A"/>
    <w:rsid w:val="005A72DD"/>
    <w:rsid w:val="005A7885"/>
    <w:rsid w:val="005A7A15"/>
    <w:rsid w:val="005B12B2"/>
    <w:rsid w:val="005B143B"/>
    <w:rsid w:val="005B19BD"/>
    <w:rsid w:val="005B1D7A"/>
    <w:rsid w:val="005B1E45"/>
    <w:rsid w:val="005B21C4"/>
    <w:rsid w:val="005B2A28"/>
    <w:rsid w:val="005B35AB"/>
    <w:rsid w:val="005B3621"/>
    <w:rsid w:val="005B3EBE"/>
    <w:rsid w:val="005B4948"/>
    <w:rsid w:val="005B501D"/>
    <w:rsid w:val="005B54CC"/>
    <w:rsid w:val="005B71BB"/>
    <w:rsid w:val="005B74AD"/>
    <w:rsid w:val="005B7C40"/>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394"/>
    <w:rsid w:val="005D1606"/>
    <w:rsid w:val="005D2044"/>
    <w:rsid w:val="005D209E"/>
    <w:rsid w:val="005D2917"/>
    <w:rsid w:val="005D2EB2"/>
    <w:rsid w:val="005D2F48"/>
    <w:rsid w:val="005D3B32"/>
    <w:rsid w:val="005D464B"/>
    <w:rsid w:val="005D466F"/>
    <w:rsid w:val="005D49F0"/>
    <w:rsid w:val="005D51F7"/>
    <w:rsid w:val="005D51FA"/>
    <w:rsid w:val="005D539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4C0"/>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3F"/>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47F"/>
    <w:rsid w:val="00641761"/>
    <w:rsid w:val="0064194F"/>
    <w:rsid w:val="00641BFA"/>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1C4C"/>
    <w:rsid w:val="0066272D"/>
    <w:rsid w:val="00662E58"/>
    <w:rsid w:val="00662F39"/>
    <w:rsid w:val="006635A0"/>
    <w:rsid w:val="00663D26"/>
    <w:rsid w:val="00664351"/>
    <w:rsid w:val="00664A02"/>
    <w:rsid w:val="00665968"/>
    <w:rsid w:val="00665BF7"/>
    <w:rsid w:val="00665E65"/>
    <w:rsid w:val="006660F0"/>
    <w:rsid w:val="00666178"/>
    <w:rsid w:val="0066639E"/>
    <w:rsid w:val="00666473"/>
    <w:rsid w:val="00666B49"/>
    <w:rsid w:val="00666C72"/>
    <w:rsid w:val="00666E6C"/>
    <w:rsid w:val="0066707F"/>
    <w:rsid w:val="00667635"/>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3F6"/>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4FE5"/>
    <w:rsid w:val="006A55EE"/>
    <w:rsid w:val="006A575B"/>
    <w:rsid w:val="006A59DE"/>
    <w:rsid w:val="006A64C6"/>
    <w:rsid w:val="006A6655"/>
    <w:rsid w:val="006A6BF9"/>
    <w:rsid w:val="006A6C32"/>
    <w:rsid w:val="006A7AB8"/>
    <w:rsid w:val="006A7CB5"/>
    <w:rsid w:val="006A7FD0"/>
    <w:rsid w:val="006B025C"/>
    <w:rsid w:val="006B08ED"/>
    <w:rsid w:val="006B16B5"/>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0CF3"/>
    <w:rsid w:val="006C107C"/>
    <w:rsid w:val="006C189C"/>
    <w:rsid w:val="006C2454"/>
    <w:rsid w:val="006C2551"/>
    <w:rsid w:val="006C27B9"/>
    <w:rsid w:val="006C2C98"/>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D7F81"/>
    <w:rsid w:val="006E046C"/>
    <w:rsid w:val="006E0572"/>
    <w:rsid w:val="006E05D8"/>
    <w:rsid w:val="006E087D"/>
    <w:rsid w:val="006E08EE"/>
    <w:rsid w:val="006E0F32"/>
    <w:rsid w:val="006E1110"/>
    <w:rsid w:val="006E155A"/>
    <w:rsid w:val="006E2C34"/>
    <w:rsid w:val="006E329F"/>
    <w:rsid w:val="006E359B"/>
    <w:rsid w:val="006E3937"/>
    <w:rsid w:val="006E39D1"/>
    <w:rsid w:val="006E3B05"/>
    <w:rsid w:val="006E437F"/>
    <w:rsid w:val="006E4D5B"/>
    <w:rsid w:val="006E602F"/>
    <w:rsid w:val="006E6042"/>
    <w:rsid w:val="006E6720"/>
    <w:rsid w:val="006E7275"/>
    <w:rsid w:val="006E77B8"/>
    <w:rsid w:val="006E7AAF"/>
    <w:rsid w:val="006E7E3C"/>
    <w:rsid w:val="006F0F34"/>
    <w:rsid w:val="006F0F74"/>
    <w:rsid w:val="006F1041"/>
    <w:rsid w:val="006F13BA"/>
    <w:rsid w:val="006F15CC"/>
    <w:rsid w:val="006F15F6"/>
    <w:rsid w:val="006F1A96"/>
    <w:rsid w:val="006F2602"/>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1B18"/>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5F9D"/>
    <w:rsid w:val="00726603"/>
    <w:rsid w:val="007266AC"/>
    <w:rsid w:val="00727B1D"/>
    <w:rsid w:val="00727DDC"/>
    <w:rsid w:val="0073017B"/>
    <w:rsid w:val="00730CD6"/>
    <w:rsid w:val="00730F74"/>
    <w:rsid w:val="0073114B"/>
    <w:rsid w:val="00731721"/>
    <w:rsid w:val="00732151"/>
    <w:rsid w:val="007321B0"/>
    <w:rsid w:val="00732EBC"/>
    <w:rsid w:val="00733307"/>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6DC"/>
    <w:rsid w:val="00747C96"/>
    <w:rsid w:val="00750075"/>
    <w:rsid w:val="007502EC"/>
    <w:rsid w:val="00750382"/>
    <w:rsid w:val="0075094E"/>
    <w:rsid w:val="00750FA8"/>
    <w:rsid w:val="00750FB5"/>
    <w:rsid w:val="007520F0"/>
    <w:rsid w:val="007522E8"/>
    <w:rsid w:val="007529DB"/>
    <w:rsid w:val="007534AD"/>
    <w:rsid w:val="00753BAC"/>
    <w:rsid w:val="00754A0B"/>
    <w:rsid w:val="00754B06"/>
    <w:rsid w:val="00755229"/>
    <w:rsid w:val="007552DB"/>
    <w:rsid w:val="00755442"/>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BBA"/>
    <w:rsid w:val="00764EC5"/>
    <w:rsid w:val="007651EF"/>
    <w:rsid w:val="00766D49"/>
    <w:rsid w:val="00766ECC"/>
    <w:rsid w:val="007670FF"/>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759"/>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DC2"/>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37"/>
    <w:rsid w:val="007D2566"/>
    <w:rsid w:val="007D2C18"/>
    <w:rsid w:val="007D2D74"/>
    <w:rsid w:val="007D3693"/>
    <w:rsid w:val="007D3C6D"/>
    <w:rsid w:val="007D481A"/>
    <w:rsid w:val="007D4B96"/>
    <w:rsid w:val="007D4ED0"/>
    <w:rsid w:val="007D5648"/>
    <w:rsid w:val="007D58C5"/>
    <w:rsid w:val="007D5DE8"/>
    <w:rsid w:val="007D79FC"/>
    <w:rsid w:val="007D7CFC"/>
    <w:rsid w:val="007E0812"/>
    <w:rsid w:val="007E0825"/>
    <w:rsid w:val="007E18DF"/>
    <w:rsid w:val="007E204E"/>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3E"/>
    <w:rsid w:val="007F1D9D"/>
    <w:rsid w:val="007F1E28"/>
    <w:rsid w:val="007F1F63"/>
    <w:rsid w:val="007F22A0"/>
    <w:rsid w:val="007F2902"/>
    <w:rsid w:val="007F2903"/>
    <w:rsid w:val="007F2B1B"/>
    <w:rsid w:val="007F2F90"/>
    <w:rsid w:val="007F3320"/>
    <w:rsid w:val="007F3AC1"/>
    <w:rsid w:val="007F3BF2"/>
    <w:rsid w:val="007F46BB"/>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0EC"/>
    <w:rsid w:val="00800E6D"/>
    <w:rsid w:val="008014D9"/>
    <w:rsid w:val="0080150F"/>
    <w:rsid w:val="0080153A"/>
    <w:rsid w:val="00801A2A"/>
    <w:rsid w:val="00802041"/>
    <w:rsid w:val="008022C9"/>
    <w:rsid w:val="00802605"/>
    <w:rsid w:val="00802F9E"/>
    <w:rsid w:val="00803700"/>
    <w:rsid w:val="00803D9D"/>
    <w:rsid w:val="00804A94"/>
    <w:rsid w:val="008059C6"/>
    <w:rsid w:val="00805AD7"/>
    <w:rsid w:val="00805BD6"/>
    <w:rsid w:val="00805DD7"/>
    <w:rsid w:val="00805DE3"/>
    <w:rsid w:val="00807C35"/>
    <w:rsid w:val="00807F35"/>
    <w:rsid w:val="00807F69"/>
    <w:rsid w:val="008100F7"/>
    <w:rsid w:val="00810206"/>
    <w:rsid w:val="0081022B"/>
    <w:rsid w:val="00810A15"/>
    <w:rsid w:val="00811898"/>
    <w:rsid w:val="00811CDC"/>
    <w:rsid w:val="008120AC"/>
    <w:rsid w:val="008124D8"/>
    <w:rsid w:val="00813678"/>
    <w:rsid w:val="00813A7B"/>
    <w:rsid w:val="00813F04"/>
    <w:rsid w:val="0081513E"/>
    <w:rsid w:val="00815DA5"/>
    <w:rsid w:val="00816221"/>
    <w:rsid w:val="008174F3"/>
    <w:rsid w:val="00817661"/>
    <w:rsid w:val="0081766B"/>
    <w:rsid w:val="00817843"/>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5DD"/>
    <w:rsid w:val="008423EC"/>
    <w:rsid w:val="008429A6"/>
    <w:rsid w:val="00843615"/>
    <w:rsid w:val="00843698"/>
    <w:rsid w:val="00843A4B"/>
    <w:rsid w:val="00843B57"/>
    <w:rsid w:val="00843B60"/>
    <w:rsid w:val="00843D33"/>
    <w:rsid w:val="008444F0"/>
    <w:rsid w:val="00844D4F"/>
    <w:rsid w:val="00844F38"/>
    <w:rsid w:val="00845AE3"/>
    <w:rsid w:val="008466A0"/>
    <w:rsid w:val="008466D4"/>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5B29"/>
    <w:rsid w:val="008563B0"/>
    <w:rsid w:val="00856C06"/>
    <w:rsid w:val="0085790B"/>
    <w:rsid w:val="008579B9"/>
    <w:rsid w:val="00857C31"/>
    <w:rsid w:val="00857C95"/>
    <w:rsid w:val="00857E78"/>
    <w:rsid w:val="00860543"/>
    <w:rsid w:val="00860AEF"/>
    <w:rsid w:val="00860B18"/>
    <w:rsid w:val="00860D5E"/>
    <w:rsid w:val="0086122C"/>
    <w:rsid w:val="00861310"/>
    <w:rsid w:val="00861C4D"/>
    <w:rsid w:val="00861D0B"/>
    <w:rsid w:val="00861F53"/>
    <w:rsid w:val="0086289E"/>
    <w:rsid w:val="008629CB"/>
    <w:rsid w:val="00862F60"/>
    <w:rsid w:val="0086394E"/>
    <w:rsid w:val="00863F8A"/>
    <w:rsid w:val="00863FE3"/>
    <w:rsid w:val="008640C4"/>
    <w:rsid w:val="00864241"/>
    <w:rsid w:val="008645CC"/>
    <w:rsid w:val="0086468A"/>
    <w:rsid w:val="008650BE"/>
    <w:rsid w:val="00865EAF"/>
    <w:rsid w:val="0086633B"/>
    <w:rsid w:val="00866495"/>
    <w:rsid w:val="00866881"/>
    <w:rsid w:val="00866931"/>
    <w:rsid w:val="00867512"/>
    <w:rsid w:val="0086788B"/>
    <w:rsid w:val="008678A3"/>
    <w:rsid w:val="00867C13"/>
    <w:rsid w:val="00867C1D"/>
    <w:rsid w:val="0087033C"/>
    <w:rsid w:val="008715ED"/>
    <w:rsid w:val="008717D8"/>
    <w:rsid w:val="00871E3C"/>
    <w:rsid w:val="00872828"/>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3E47"/>
    <w:rsid w:val="0089436B"/>
    <w:rsid w:val="00894436"/>
    <w:rsid w:val="00894BB1"/>
    <w:rsid w:val="008951D0"/>
    <w:rsid w:val="008953FD"/>
    <w:rsid w:val="00895442"/>
    <w:rsid w:val="0089582D"/>
    <w:rsid w:val="008959C6"/>
    <w:rsid w:val="0089606D"/>
    <w:rsid w:val="00896129"/>
    <w:rsid w:val="00896316"/>
    <w:rsid w:val="0089774F"/>
    <w:rsid w:val="00897875"/>
    <w:rsid w:val="00897B8F"/>
    <w:rsid w:val="00897C94"/>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208"/>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7EF"/>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6B67"/>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0DF4"/>
    <w:rsid w:val="008F1056"/>
    <w:rsid w:val="008F249F"/>
    <w:rsid w:val="008F2946"/>
    <w:rsid w:val="008F2E8D"/>
    <w:rsid w:val="008F361D"/>
    <w:rsid w:val="008F387B"/>
    <w:rsid w:val="008F3DD9"/>
    <w:rsid w:val="008F4163"/>
    <w:rsid w:val="008F4814"/>
    <w:rsid w:val="008F4B18"/>
    <w:rsid w:val="008F4DA6"/>
    <w:rsid w:val="008F538E"/>
    <w:rsid w:val="008F55FE"/>
    <w:rsid w:val="008F5A20"/>
    <w:rsid w:val="008F5ABA"/>
    <w:rsid w:val="008F6157"/>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39A6"/>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053"/>
    <w:rsid w:val="00921304"/>
    <w:rsid w:val="00921395"/>
    <w:rsid w:val="00921805"/>
    <w:rsid w:val="00921E63"/>
    <w:rsid w:val="00923396"/>
    <w:rsid w:val="00923F56"/>
    <w:rsid w:val="00924770"/>
    <w:rsid w:val="00925346"/>
    <w:rsid w:val="00925743"/>
    <w:rsid w:val="0092579F"/>
    <w:rsid w:val="00927E8D"/>
    <w:rsid w:val="00927F23"/>
    <w:rsid w:val="009303A2"/>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214B"/>
    <w:rsid w:val="009439B6"/>
    <w:rsid w:val="009444B4"/>
    <w:rsid w:val="00944644"/>
    <w:rsid w:val="00946436"/>
    <w:rsid w:val="00946A24"/>
    <w:rsid w:val="009470D4"/>
    <w:rsid w:val="00947337"/>
    <w:rsid w:val="00947E6E"/>
    <w:rsid w:val="009512FA"/>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2408"/>
    <w:rsid w:val="00992F36"/>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2FF"/>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377"/>
    <w:rsid w:val="009C78A3"/>
    <w:rsid w:val="009C7E68"/>
    <w:rsid w:val="009D00D7"/>
    <w:rsid w:val="009D0156"/>
    <w:rsid w:val="009D03B4"/>
    <w:rsid w:val="009D05DA"/>
    <w:rsid w:val="009D11F6"/>
    <w:rsid w:val="009D1A14"/>
    <w:rsid w:val="009D1E2A"/>
    <w:rsid w:val="009D1FA0"/>
    <w:rsid w:val="009D2976"/>
    <w:rsid w:val="009D2BDF"/>
    <w:rsid w:val="009D3736"/>
    <w:rsid w:val="009D4529"/>
    <w:rsid w:val="009D460F"/>
    <w:rsid w:val="009D4D17"/>
    <w:rsid w:val="009D604F"/>
    <w:rsid w:val="009D61BB"/>
    <w:rsid w:val="009D631B"/>
    <w:rsid w:val="009D6410"/>
    <w:rsid w:val="009D68BB"/>
    <w:rsid w:val="009D6909"/>
    <w:rsid w:val="009D700F"/>
    <w:rsid w:val="009D70C2"/>
    <w:rsid w:val="009D7244"/>
    <w:rsid w:val="009D7ADB"/>
    <w:rsid w:val="009D7B33"/>
    <w:rsid w:val="009E06C3"/>
    <w:rsid w:val="009E0703"/>
    <w:rsid w:val="009E1035"/>
    <w:rsid w:val="009E16DA"/>
    <w:rsid w:val="009E1CD4"/>
    <w:rsid w:val="009E205B"/>
    <w:rsid w:val="009E2363"/>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2B6"/>
    <w:rsid w:val="00A078FB"/>
    <w:rsid w:val="00A07A18"/>
    <w:rsid w:val="00A10209"/>
    <w:rsid w:val="00A1036D"/>
    <w:rsid w:val="00A1069F"/>
    <w:rsid w:val="00A10ACA"/>
    <w:rsid w:val="00A10D08"/>
    <w:rsid w:val="00A11356"/>
    <w:rsid w:val="00A11E78"/>
    <w:rsid w:val="00A12355"/>
    <w:rsid w:val="00A12574"/>
    <w:rsid w:val="00A127D2"/>
    <w:rsid w:val="00A1284E"/>
    <w:rsid w:val="00A13CF5"/>
    <w:rsid w:val="00A143EC"/>
    <w:rsid w:val="00A149E8"/>
    <w:rsid w:val="00A1500F"/>
    <w:rsid w:val="00A15502"/>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370D"/>
    <w:rsid w:val="00A24560"/>
    <w:rsid w:val="00A25B0F"/>
    <w:rsid w:val="00A25BBB"/>
    <w:rsid w:val="00A27FB6"/>
    <w:rsid w:val="00A30121"/>
    <w:rsid w:val="00A30368"/>
    <w:rsid w:val="00A3043A"/>
    <w:rsid w:val="00A30E02"/>
    <w:rsid w:val="00A30F6A"/>
    <w:rsid w:val="00A31060"/>
    <w:rsid w:val="00A31A57"/>
    <w:rsid w:val="00A31C3E"/>
    <w:rsid w:val="00A31DE3"/>
    <w:rsid w:val="00A33078"/>
    <w:rsid w:val="00A34538"/>
    <w:rsid w:val="00A34677"/>
    <w:rsid w:val="00A3540F"/>
    <w:rsid w:val="00A35630"/>
    <w:rsid w:val="00A35914"/>
    <w:rsid w:val="00A36189"/>
    <w:rsid w:val="00A3632D"/>
    <w:rsid w:val="00A368E7"/>
    <w:rsid w:val="00A37E73"/>
    <w:rsid w:val="00A37FB6"/>
    <w:rsid w:val="00A409E2"/>
    <w:rsid w:val="00A40D4D"/>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6BC"/>
    <w:rsid w:val="00A52A53"/>
    <w:rsid w:val="00A52EE5"/>
    <w:rsid w:val="00A53037"/>
    <w:rsid w:val="00A532B9"/>
    <w:rsid w:val="00A5351D"/>
    <w:rsid w:val="00A53E79"/>
    <w:rsid w:val="00A54031"/>
    <w:rsid w:val="00A5426D"/>
    <w:rsid w:val="00A54FC2"/>
    <w:rsid w:val="00A55122"/>
    <w:rsid w:val="00A55B66"/>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3CB"/>
    <w:rsid w:val="00A82923"/>
    <w:rsid w:val="00A82D06"/>
    <w:rsid w:val="00A83BEF"/>
    <w:rsid w:val="00A84443"/>
    <w:rsid w:val="00A8487F"/>
    <w:rsid w:val="00A849A3"/>
    <w:rsid w:val="00A84A0E"/>
    <w:rsid w:val="00A8575D"/>
    <w:rsid w:val="00A861F4"/>
    <w:rsid w:val="00A86E0B"/>
    <w:rsid w:val="00A87C5C"/>
    <w:rsid w:val="00A90F12"/>
    <w:rsid w:val="00A91DAA"/>
    <w:rsid w:val="00A93101"/>
    <w:rsid w:val="00A93239"/>
    <w:rsid w:val="00A9413E"/>
    <w:rsid w:val="00A94293"/>
    <w:rsid w:val="00A9496E"/>
    <w:rsid w:val="00A949F0"/>
    <w:rsid w:val="00A94BDE"/>
    <w:rsid w:val="00A94CE3"/>
    <w:rsid w:val="00A94FCA"/>
    <w:rsid w:val="00A95E4C"/>
    <w:rsid w:val="00A96520"/>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9A"/>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2676"/>
    <w:rsid w:val="00AB358D"/>
    <w:rsid w:val="00AB37A1"/>
    <w:rsid w:val="00AB3BAD"/>
    <w:rsid w:val="00AB3CFD"/>
    <w:rsid w:val="00AB49BC"/>
    <w:rsid w:val="00AB4DEE"/>
    <w:rsid w:val="00AB4E32"/>
    <w:rsid w:val="00AB4EEF"/>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884"/>
    <w:rsid w:val="00AC4AD2"/>
    <w:rsid w:val="00AC4B20"/>
    <w:rsid w:val="00AC5395"/>
    <w:rsid w:val="00AC55C7"/>
    <w:rsid w:val="00AC56F2"/>
    <w:rsid w:val="00AC5D9D"/>
    <w:rsid w:val="00AC71C3"/>
    <w:rsid w:val="00AD09F7"/>
    <w:rsid w:val="00AD13B5"/>
    <w:rsid w:val="00AD1C8F"/>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44C"/>
    <w:rsid w:val="00AE5865"/>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340"/>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793"/>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14F"/>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A24"/>
    <w:rsid w:val="00B17B91"/>
    <w:rsid w:val="00B20209"/>
    <w:rsid w:val="00B203C9"/>
    <w:rsid w:val="00B2068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451"/>
    <w:rsid w:val="00B317AE"/>
    <w:rsid w:val="00B323E0"/>
    <w:rsid w:val="00B32DC0"/>
    <w:rsid w:val="00B32E31"/>
    <w:rsid w:val="00B3346C"/>
    <w:rsid w:val="00B335E4"/>
    <w:rsid w:val="00B33C23"/>
    <w:rsid w:val="00B345B4"/>
    <w:rsid w:val="00B348B1"/>
    <w:rsid w:val="00B34A28"/>
    <w:rsid w:val="00B35046"/>
    <w:rsid w:val="00B357F4"/>
    <w:rsid w:val="00B35B6A"/>
    <w:rsid w:val="00B3661D"/>
    <w:rsid w:val="00B36D2B"/>
    <w:rsid w:val="00B37657"/>
    <w:rsid w:val="00B37AFD"/>
    <w:rsid w:val="00B37B07"/>
    <w:rsid w:val="00B4046F"/>
    <w:rsid w:val="00B406B3"/>
    <w:rsid w:val="00B40A36"/>
    <w:rsid w:val="00B41BCA"/>
    <w:rsid w:val="00B41D39"/>
    <w:rsid w:val="00B422C0"/>
    <w:rsid w:val="00B426CA"/>
    <w:rsid w:val="00B426E1"/>
    <w:rsid w:val="00B427F8"/>
    <w:rsid w:val="00B4387A"/>
    <w:rsid w:val="00B44746"/>
    <w:rsid w:val="00B44854"/>
    <w:rsid w:val="00B44BA5"/>
    <w:rsid w:val="00B458D0"/>
    <w:rsid w:val="00B45E33"/>
    <w:rsid w:val="00B4792C"/>
    <w:rsid w:val="00B50CAE"/>
    <w:rsid w:val="00B512AD"/>
    <w:rsid w:val="00B5196C"/>
    <w:rsid w:val="00B525CB"/>
    <w:rsid w:val="00B52697"/>
    <w:rsid w:val="00B52B5A"/>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24"/>
    <w:rsid w:val="00B669B3"/>
    <w:rsid w:val="00B67FBF"/>
    <w:rsid w:val="00B70832"/>
    <w:rsid w:val="00B71376"/>
    <w:rsid w:val="00B716D7"/>
    <w:rsid w:val="00B72110"/>
    <w:rsid w:val="00B72B91"/>
    <w:rsid w:val="00B73019"/>
    <w:rsid w:val="00B73062"/>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1F61"/>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56C3"/>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5BBE"/>
    <w:rsid w:val="00BB5C0B"/>
    <w:rsid w:val="00BB606C"/>
    <w:rsid w:val="00BB638C"/>
    <w:rsid w:val="00BB65C3"/>
    <w:rsid w:val="00BB662E"/>
    <w:rsid w:val="00BB67A9"/>
    <w:rsid w:val="00BB6C01"/>
    <w:rsid w:val="00BB7942"/>
    <w:rsid w:val="00BB7CD1"/>
    <w:rsid w:val="00BC0F33"/>
    <w:rsid w:val="00BC14A7"/>
    <w:rsid w:val="00BC17CC"/>
    <w:rsid w:val="00BC209F"/>
    <w:rsid w:val="00BC24AD"/>
    <w:rsid w:val="00BC251B"/>
    <w:rsid w:val="00BC2898"/>
    <w:rsid w:val="00BC28B8"/>
    <w:rsid w:val="00BC2928"/>
    <w:rsid w:val="00BC29BD"/>
    <w:rsid w:val="00BC2BB1"/>
    <w:rsid w:val="00BC34A3"/>
    <w:rsid w:val="00BC3E9A"/>
    <w:rsid w:val="00BC3FF9"/>
    <w:rsid w:val="00BC4548"/>
    <w:rsid w:val="00BC4834"/>
    <w:rsid w:val="00BC4A97"/>
    <w:rsid w:val="00BC4DD9"/>
    <w:rsid w:val="00BC5A25"/>
    <w:rsid w:val="00BC5FDD"/>
    <w:rsid w:val="00BC68B4"/>
    <w:rsid w:val="00BC7277"/>
    <w:rsid w:val="00BD0140"/>
    <w:rsid w:val="00BD02CC"/>
    <w:rsid w:val="00BD088E"/>
    <w:rsid w:val="00BD0F18"/>
    <w:rsid w:val="00BD182E"/>
    <w:rsid w:val="00BD2063"/>
    <w:rsid w:val="00BD2950"/>
    <w:rsid w:val="00BD2FB0"/>
    <w:rsid w:val="00BD337A"/>
    <w:rsid w:val="00BD33D9"/>
    <w:rsid w:val="00BD38C5"/>
    <w:rsid w:val="00BD3A6D"/>
    <w:rsid w:val="00BD3AF1"/>
    <w:rsid w:val="00BD3DEA"/>
    <w:rsid w:val="00BD3E97"/>
    <w:rsid w:val="00BD40E4"/>
    <w:rsid w:val="00BD52FE"/>
    <w:rsid w:val="00BD62CF"/>
    <w:rsid w:val="00BD67B2"/>
    <w:rsid w:val="00BD68E2"/>
    <w:rsid w:val="00BD6D41"/>
    <w:rsid w:val="00BD75E5"/>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0C5"/>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0A16"/>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276"/>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1BCD"/>
    <w:rsid w:val="00C31D6D"/>
    <w:rsid w:val="00C32017"/>
    <w:rsid w:val="00C32571"/>
    <w:rsid w:val="00C325CD"/>
    <w:rsid w:val="00C3322E"/>
    <w:rsid w:val="00C337F5"/>
    <w:rsid w:val="00C3383E"/>
    <w:rsid w:val="00C33B90"/>
    <w:rsid w:val="00C34161"/>
    <w:rsid w:val="00C34B5F"/>
    <w:rsid w:val="00C358D4"/>
    <w:rsid w:val="00C36206"/>
    <w:rsid w:val="00C365C6"/>
    <w:rsid w:val="00C366F4"/>
    <w:rsid w:val="00C36785"/>
    <w:rsid w:val="00C3711C"/>
    <w:rsid w:val="00C37256"/>
    <w:rsid w:val="00C37A7B"/>
    <w:rsid w:val="00C37DC1"/>
    <w:rsid w:val="00C37FFE"/>
    <w:rsid w:val="00C40B50"/>
    <w:rsid w:val="00C419E3"/>
    <w:rsid w:val="00C419F4"/>
    <w:rsid w:val="00C41E6A"/>
    <w:rsid w:val="00C42160"/>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284"/>
    <w:rsid w:val="00C51C9A"/>
    <w:rsid w:val="00C520E6"/>
    <w:rsid w:val="00C52C68"/>
    <w:rsid w:val="00C52D98"/>
    <w:rsid w:val="00C52DA1"/>
    <w:rsid w:val="00C53423"/>
    <w:rsid w:val="00C53D24"/>
    <w:rsid w:val="00C54640"/>
    <w:rsid w:val="00C547A6"/>
    <w:rsid w:val="00C54A3A"/>
    <w:rsid w:val="00C5587F"/>
    <w:rsid w:val="00C55C32"/>
    <w:rsid w:val="00C56A67"/>
    <w:rsid w:val="00C56B34"/>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BA6"/>
    <w:rsid w:val="00C80C6B"/>
    <w:rsid w:val="00C81A88"/>
    <w:rsid w:val="00C81D46"/>
    <w:rsid w:val="00C82298"/>
    <w:rsid w:val="00C82DC7"/>
    <w:rsid w:val="00C8331F"/>
    <w:rsid w:val="00C833B4"/>
    <w:rsid w:val="00C83762"/>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97A55"/>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038"/>
    <w:rsid w:val="00CA76FC"/>
    <w:rsid w:val="00CA7958"/>
    <w:rsid w:val="00CA7E7B"/>
    <w:rsid w:val="00CB0236"/>
    <w:rsid w:val="00CB0CB1"/>
    <w:rsid w:val="00CB137C"/>
    <w:rsid w:val="00CB165D"/>
    <w:rsid w:val="00CB1881"/>
    <w:rsid w:val="00CB1969"/>
    <w:rsid w:val="00CB19E3"/>
    <w:rsid w:val="00CB2C3A"/>
    <w:rsid w:val="00CB2D38"/>
    <w:rsid w:val="00CB2F5E"/>
    <w:rsid w:val="00CB3EB6"/>
    <w:rsid w:val="00CB4137"/>
    <w:rsid w:val="00CB5084"/>
    <w:rsid w:val="00CB50D0"/>
    <w:rsid w:val="00CB52D0"/>
    <w:rsid w:val="00CB5578"/>
    <w:rsid w:val="00CB5671"/>
    <w:rsid w:val="00CB591C"/>
    <w:rsid w:val="00CB5943"/>
    <w:rsid w:val="00CB61B3"/>
    <w:rsid w:val="00CB6801"/>
    <w:rsid w:val="00CB6F83"/>
    <w:rsid w:val="00CB72AE"/>
    <w:rsid w:val="00CB72F3"/>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EC0"/>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4F50"/>
    <w:rsid w:val="00CD520B"/>
    <w:rsid w:val="00CD592E"/>
    <w:rsid w:val="00CD5982"/>
    <w:rsid w:val="00CD5A1A"/>
    <w:rsid w:val="00CD7EFA"/>
    <w:rsid w:val="00CE020E"/>
    <w:rsid w:val="00CE0566"/>
    <w:rsid w:val="00CE1CD4"/>
    <w:rsid w:val="00CE2761"/>
    <w:rsid w:val="00CE27CA"/>
    <w:rsid w:val="00CE28FC"/>
    <w:rsid w:val="00CE314E"/>
    <w:rsid w:val="00CE3A85"/>
    <w:rsid w:val="00CE3D5C"/>
    <w:rsid w:val="00CE3E09"/>
    <w:rsid w:val="00CE3E14"/>
    <w:rsid w:val="00CE44C7"/>
    <w:rsid w:val="00CE53CC"/>
    <w:rsid w:val="00CE585C"/>
    <w:rsid w:val="00CE5F60"/>
    <w:rsid w:val="00CE65A7"/>
    <w:rsid w:val="00CE68FE"/>
    <w:rsid w:val="00CE69CC"/>
    <w:rsid w:val="00CE6E1E"/>
    <w:rsid w:val="00CE6EC4"/>
    <w:rsid w:val="00CE7CBF"/>
    <w:rsid w:val="00CE7F26"/>
    <w:rsid w:val="00CF1226"/>
    <w:rsid w:val="00CF1ABB"/>
    <w:rsid w:val="00CF1E1D"/>
    <w:rsid w:val="00CF24FE"/>
    <w:rsid w:val="00CF287F"/>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2DE2"/>
    <w:rsid w:val="00D0368E"/>
    <w:rsid w:val="00D03AC3"/>
    <w:rsid w:val="00D03D2D"/>
    <w:rsid w:val="00D03E7B"/>
    <w:rsid w:val="00D0401A"/>
    <w:rsid w:val="00D047E0"/>
    <w:rsid w:val="00D04B9F"/>
    <w:rsid w:val="00D04D43"/>
    <w:rsid w:val="00D04FFB"/>
    <w:rsid w:val="00D055FE"/>
    <w:rsid w:val="00D058E9"/>
    <w:rsid w:val="00D0612A"/>
    <w:rsid w:val="00D068C1"/>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351"/>
    <w:rsid w:val="00D17951"/>
    <w:rsid w:val="00D17AD8"/>
    <w:rsid w:val="00D2074E"/>
    <w:rsid w:val="00D2104A"/>
    <w:rsid w:val="00D21A58"/>
    <w:rsid w:val="00D21BB5"/>
    <w:rsid w:val="00D21C46"/>
    <w:rsid w:val="00D21FFC"/>
    <w:rsid w:val="00D223B6"/>
    <w:rsid w:val="00D223E8"/>
    <w:rsid w:val="00D224E1"/>
    <w:rsid w:val="00D22DC8"/>
    <w:rsid w:val="00D23C34"/>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693"/>
    <w:rsid w:val="00D33FA4"/>
    <w:rsid w:val="00D34B25"/>
    <w:rsid w:val="00D34C7F"/>
    <w:rsid w:val="00D34F4E"/>
    <w:rsid w:val="00D357F3"/>
    <w:rsid w:val="00D35C0E"/>
    <w:rsid w:val="00D36FBF"/>
    <w:rsid w:val="00D373A8"/>
    <w:rsid w:val="00D3762A"/>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05C5"/>
    <w:rsid w:val="00D507E5"/>
    <w:rsid w:val="00D517F6"/>
    <w:rsid w:val="00D51AB7"/>
    <w:rsid w:val="00D51E15"/>
    <w:rsid w:val="00D52B7E"/>
    <w:rsid w:val="00D52E2F"/>
    <w:rsid w:val="00D52F59"/>
    <w:rsid w:val="00D53445"/>
    <w:rsid w:val="00D53E3E"/>
    <w:rsid w:val="00D54620"/>
    <w:rsid w:val="00D55904"/>
    <w:rsid w:val="00D55D68"/>
    <w:rsid w:val="00D5614E"/>
    <w:rsid w:val="00D5616F"/>
    <w:rsid w:val="00D56A53"/>
    <w:rsid w:val="00D57940"/>
    <w:rsid w:val="00D57AB4"/>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417D"/>
    <w:rsid w:val="00D751B7"/>
    <w:rsid w:val="00D7524B"/>
    <w:rsid w:val="00D7536A"/>
    <w:rsid w:val="00D75396"/>
    <w:rsid w:val="00D759C0"/>
    <w:rsid w:val="00D75E99"/>
    <w:rsid w:val="00D765CE"/>
    <w:rsid w:val="00D766C7"/>
    <w:rsid w:val="00D7692B"/>
    <w:rsid w:val="00D7734F"/>
    <w:rsid w:val="00D7791D"/>
    <w:rsid w:val="00D802C1"/>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968"/>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1E1"/>
    <w:rsid w:val="00DA6719"/>
    <w:rsid w:val="00DA69B2"/>
    <w:rsid w:val="00DA7462"/>
    <w:rsid w:val="00DA7831"/>
    <w:rsid w:val="00DA7AD0"/>
    <w:rsid w:val="00DB02D7"/>
    <w:rsid w:val="00DB03CC"/>
    <w:rsid w:val="00DB12D4"/>
    <w:rsid w:val="00DB14F0"/>
    <w:rsid w:val="00DB1745"/>
    <w:rsid w:val="00DB19BB"/>
    <w:rsid w:val="00DB1AFF"/>
    <w:rsid w:val="00DB219A"/>
    <w:rsid w:val="00DB3165"/>
    <w:rsid w:val="00DB31EE"/>
    <w:rsid w:val="00DB4292"/>
    <w:rsid w:val="00DB5023"/>
    <w:rsid w:val="00DB6E46"/>
    <w:rsid w:val="00DB7117"/>
    <w:rsid w:val="00DB7760"/>
    <w:rsid w:val="00DB7DD4"/>
    <w:rsid w:val="00DC00B4"/>
    <w:rsid w:val="00DC00C6"/>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C7CCB"/>
    <w:rsid w:val="00DD054E"/>
    <w:rsid w:val="00DD0CC0"/>
    <w:rsid w:val="00DD0EA9"/>
    <w:rsid w:val="00DD14D8"/>
    <w:rsid w:val="00DD1599"/>
    <w:rsid w:val="00DD16F1"/>
    <w:rsid w:val="00DD1B03"/>
    <w:rsid w:val="00DD1E43"/>
    <w:rsid w:val="00DD1EDF"/>
    <w:rsid w:val="00DD2A62"/>
    <w:rsid w:val="00DD2F2F"/>
    <w:rsid w:val="00DD2F7A"/>
    <w:rsid w:val="00DD36D2"/>
    <w:rsid w:val="00DD37C4"/>
    <w:rsid w:val="00DD3885"/>
    <w:rsid w:val="00DD3DEA"/>
    <w:rsid w:val="00DD5808"/>
    <w:rsid w:val="00DD5946"/>
    <w:rsid w:val="00DD5B04"/>
    <w:rsid w:val="00DD5DAE"/>
    <w:rsid w:val="00DD5EC6"/>
    <w:rsid w:val="00DD605F"/>
    <w:rsid w:val="00DD6A79"/>
    <w:rsid w:val="00DD72A0"/>
    <w:rsid w:val="00DD735D"/>
    <w:rsid w:val="00DD77A6"/>
    <w:rsid w:val="00DD7F7D"/>
    <w:rsid w:val="00DE0159"/>
    <w:rsid w:val="00DE064A"/>
    <w:rsid w:val="00DE082D"/>
    <w:rsid w:val="00DE1410"/>
    <w:rsid w:val="00DE20C6"/>
    <w:rsid w:val="00DE2FC6"/>
    <w:rsid w:val="00DE3119"/>
    <w:rsid w:val="00DE3C24"/>
    <w:rsid w:val="00DE3FF0"/>
    <w:rsid w:val="00DE4105"/>
    <w:rsid w:val="00DE4984"/>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0BAB"/>
    <w:rsid w:val="00E02186"/>
    <w:rsid w:val="00E025C2"/>
    <w:rsid w:val="00E026BB"/>
    <w:rsid w:val="00E027C5"/>
    <w:rsid w:val="00E03124"/>
    <w:rsid w:val="00E031C3"/>
    <w:rsid w:val="00E03951"/>
    <w:rsid w:val="00E03DB8"/>
    <w:rsid w:val="00E03F17"/>
    <w:rsid w:val="00E0420C"/>
    <w:rsid w:val="00E0451C"/>
    <w:rsid w:val="00E04EDD"/>
    <w:rsid w:val="00E05E70"/>
    <w:rsid w:val="00E06255"/>
    <w:rsid w:val="00E064BC"/>
    <w:rsid w:val="00E07225"/>
    <w:rsid w:val="00E076B4"/>
    <w:rsid w:val="00E07B55"/>
    <w:rsid w:val="00E1049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423B"/>
    <w:rsid w:val="00E24F0A"/>
    <w:rsid w:val="00E257C3"/>
    <w:rsid w:val="00E25CB3"/>
    <w:rsid w:val="00E25DA4"/>
    <w:rsid w:val="00E26237"/>
    <w:rsid w:val="00E26CB8"/>
    <w:rsid w:val="00E26D16"/>
    <w:rsid w:val="00E26FCF"/>
    <w:rsid w:val="00E27165"/>
    <w:rsid w:val="00E275D9"/>
    <w:rsid w:val="00E27B17"/>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6121"/>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0C4"/>
    <w:rsid w:val="00E601BE"/>
    <w:rsid w:val="00E60575"/>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8FD"/>
    <w:rsid w:val="00E73D03"/>
    <w:rsid w:val="00E7471C"/>
    <w:rsid w:val="00E7498A"/>
    <w:rsid w:val="00E7514E"/>
    <w:rsid w:val="00E75DC5"/>
    <w:rsid w:val="00E76537"/>
    <w:rsid w:val="00E77784"/>
    <w:rsid w:val="00E77AF5"/>
    <w:rsid w:val="00E8035B"/>
    <w:rsid w:val="00E80FC4"/>
    <w:rsid w:val="00E820F4"/>
    <w:rsid w:val="00E82263"/>
    <w:rsid w:val="00E823F9"/>
    <w:rsid w:val="00E82C1F"/>
    <w:rsid w:val="00E83671"/>
    <w:rsid w:val="00E83D1E"/>
    <w:rsid w:val="00E840EE"/>
    <w:rsid w:val="00E84314"/>
    <w:rsid w:val="00E849CA"/>
    <w:rsid w:val="00E84A71"/>
    <w:rsid w:val="00E84EB9"/>
    <w:rsid w:val="00E8556F"/>
    <w:rsid w:val="00E86556"/>
    <w:rsid w:val="00E86D35"/>
    <w:rsid w:val="00E86DC2"/>
    <w:rsid w:val="00E86E32"/>
    <w:rsid w:val="00E86F2E"/>
    <w:rsid w:val="00E8732E"/>
    <w:rsid w:val="00E87E4C"/>
    <w:rsid w:val="00E9011F"/>
    <w:rsid w:val="00E906EB"/>
    <w:rsid w:val="00E9170E"/>
    <w:rsid w:val="00E919FB"/>
    <w:rsid w:val="00E9241E"/>
    <w:rsid w:val="00E92460"/>
    <w:rsid w:val="00E92E62"/>
    <w:rsid w:val="00E93804"/>
    <w:rsid w:val="00E9429D"/>
    <w:rsid w:val="00E94464"/>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0CF"/>
    <w:rsid w:val="00EB4AE1"/>
    <w:rsid w:val="00EB5212"/>
    <w:rsid w:val="00EB52F4"/>
    <w:rsid w:val="00EB5694"/>
    <w:rsid w:val="00EB5779"/>
    <w:rsid w:val="00EB5C9B"/>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287"/>
    <w:rsid w:val="00EC3BA2"/>
    <w:rsid w:val="00EC3C94"/>
    <w:rsid w:val="00EC44DF"/>
    <w:rsid w:val="00EC4843"/>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8E8"/>
    <w:rsid w:val="00ED4967"/>
    <w:rsid w:val="00ED5140"/>
    <w:rsid w:val="00ED538C"/>
    <w:rsid w:val="00ED5771"/>
    <w:rsid w:val="00ED587F"/>
    <w:rsid w:val="00ED5964"/>
    <w:rsid w:val="00ED6002"/>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D94"/>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BCD"/>
    <w:rsid w:val="00EF5C6B"/>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03"/>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8C8"/>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2C4C"/>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2AF"/>
    <w:rsid w:val="00F41596"/>
    <w:rsid w:val="00F41D8B"/>
    <w:rsid w:val="00F42121"/>
    <w:rsid w:val="00F424B3"/>
    <w:rsid w:val="00F428B1"/>
    <w:rsid w:val="00F428B4"/>
    <w:rsid w:val="00F4345D"/>
    <w:rsid w:val="00F4387B"/>
    <w:rsid w:val="00F4387F"/>
    <w:rsid w:val="00F44120"/>
    <w:rsid w:val="00F44749"/>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1A7"/>
    <w:rsid w:val="00F612CE"/>
    <w:rsid w:val="00F6133C"/>
    <w:rsid w:val="00F61405"/>
    <w:rsid w:val="00F621D3"/>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721"/>
    <w:rsid w:val="00F76C11"/>
    <w:rsid w:val="00F77021"/>
    <w:rsid w:val="00F770AB"/>
    <w:rsid w:val="00F77DD4"/>
    <w:rsid w:val="00F77E61"/>
    <w:rsid w:val="00F80221"/>
    <w:rsid w:val="00F80411"/>
    <w:rsid w:val="00F80A0A"/>
    <w:rsid w:val="00F80C81"/>
    <w:rsid w:val="00F80E47"/>
    <w:rsid w:val="00F815AC"/>
    <w:rsid w:val="00F83B33"/>
    <w:rsid w:val="00F83CAE"/>
    <w:rsid w:val="00F840BF"/>
    <w:rsid w:val="00F8427A"/>
    <w:rsid w:val="00F843DF"/>
    <w:rsid w:val="00F84646"/>
    <w:rsid w:val="00F84899"/>
    <w:rsid w:val="00F85585"/>
    <w:rsid w:val="00F859F0"/>
    <w:rsid w:val="00F85CC1"/>
    <w:rsid w:val="00F8643C"/>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0C5E"/>
    <w:rsid w:val="00FB12E3"/>
    <w:rsid w:val="00FB1570"/>
    <w:rsid w:val="00FB193B"/>
    <w:rsid w:val="00FB1FBC"/>
    <w:rsid w:val="00FB27B7"/>
    <w:rsid w:val="00FB35E3"/>
    <w:rsid w:val="00FB4C98"/>
    <w:rsid w:val="00FB4CE3"/>
    <w:rsid w:val="00FB4CFF"/>
    <w:rsid w:val="00FB583C"/>
    <w:rsid w:val="00FB630E"/>
    <w:rsid w:val="00FB6738"/>
    <w:rsid w:val="00FB691B"/>
    <w:rsid w:val="00FB6BE6"/>
    <w:rsid w:val="00FB70BD"/>
    <w:rsid w:val="00FB731C"/>
    <w:rsid w:val="00FB7628"/>
    <w:rsid w:val="00FC05A0"/>
    <w:rsid w:val="00FC0811"/>
    <w:rsid w:val="00FC09B3"/>
    <w:rsid w:val="00FC1196"/>
    <w:rsid w:val="00FC15EB"/>
    <w:rsid w:val="00FC162C"/>
    <w:rsid w:val="00FC18DC"/>
    <w:rsid w:val="00FC2477"/>
    <w:rsid w:val="00FC2AC4"/>
    <w:rsid w:val="00FC2F73"/>
    <w:rsid w:val="00FC30B6"/>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39F1"/>
    <w:rsid w:val="00FE42ED"/>
    <w:rsid w:val="00FE4E06"/>
    <w:rsid w:val="00FE55A7"/>
    <w:rsid w:val="00FE5C5A"/>
    <w:rsid w:val="00FE601E"/>
    <w:rsid w:val="00FE60F1"/>
    <w:rsid w:val="00FE6432"/>
    <w:rsid w:val="00FE72A0"/>
    <w:rsid w:val="00FF0050"/>
    <w:rsid w:val="00FF045F"/>
    <w:rsid w:val="00FF13D4"/>
    <w:rsid w:val="00FF2053"/>
    <w:rsid w:val="00FF3B37"/>
    <w:rsid w:val="00FF3CC7"/>
    <w:rsid w:val="00FF3D6F"/>
    <w:rsid w:val="00FF441A"/>
    <w:rsid w:val="00FF4BD8"/>
    <w:rsid w:val="00FF4D11"/>
    <w:rsid w:val="00FF5214"/>
    <w:rsid w:val="00FF596E"/>
    <w:rsid w:val="00FF5B59"/>
    <w:rsid w:val="00FF5BFD"/>
    <w:rsid w:val="00FF5E27"/>
    <w:rsid w:val="00FF6095"/>
    <w:rsid w:val="00FF62FE"/>
    <w:rsid w:val="00FF6553"/>
    <w:rsid w:val="00FF70BD"/>
    <w:rsid w:val="00FF7124"/>
    <w:rsid w:val="00FF7A39"/>
    <w:rsid w:val="00FF7DD1"/>
    <w:rsid w:val="21B6C79E"/>
    <w:rsid w:val="258F20BB"/>
    <w:rsid w:val="382DBB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BBA"/>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E944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apple-converted-space">
    <w:name w:val="apple-converted-space"/>
    <w:basedOn w:val="Fuentedeprrafopredeter"/>
    <w:rsid w:val="003A06CA"/>
  </w:style>
  <w:style w:type="paragraph" w:styleId="Revisin">
    <w:name w:val="Revision"/>
    <w:hidden/>
    <w:uiPriority w:val="99"/>
    <w:semiHidden/>
    <w:rsid w:val="00C31BCD"/>
    <w:pPr>
      <w:spacing w:after="0" w:line="240" w:lineRule="auto"/>
    </w:pPr>
    <w:rPr>
      <w:rFonts w:ascii="Times New Roman" w:eastAsia="Times New Roman" w:hAnsi="Times New Roman" w:cs="Times New Roman"/>
      <w:sz w:val="24"/>
      <w:szCs w:val="24"/>
      <w:lang w:eastAsia="es-ES_tradnl"/>
    </w:rPr>
  </w:style>
  <w:style w:type="character" w:customStyle="1" w:styleId="Ttulo4Car">
    <w:name w:val="Título 4 Car"/>
    <w:basedOn w:val="Fuentedeprrafopredeter"/>
    <w:link w:val="Ttulo4"/>
    <w:uiPriority w:val="9"/>
    <w:semiHidden/>
    <w:rsid w:val="00E94464"/>
    <w:rPr>
      <w:rFonts w:asciiTheme="majorHAnsi" w:eastAsiaTheme="majorEastAsia" w:hAnsiTheme="majorHAnsi" w:cstheme="majorBidi"/>
      <w:i/>
      <w:iCs/>
      <w:color w:val="365F91" w:themeColor="accent1" w:themeShade="BF"/>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230913">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85657439">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4339068">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355929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378885">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731928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1439510">
      <w:bodyDiv w:val="1"/>
      <w:marLeft w:val="0"/>
      <w:marRight w:val="0"/>
      <w:marTop w:val="0"/>
      <w:marBottom w:val="0"/>
      <w:divBdr>
        <w:top w:val="none" w:sz="0" w:space="0" w:color="auto"/>
        <w:left w:val="none" w:sz="0" w:space="0" w:color="auto"/>
        <w:bottom w:val="none" w:sz="0" w:space="0" w:color="auto"/>
        <w:right w:val="none" w:sz="0" w:space="0" w:color="auto"/>
      </w:divBdr>
      <w:divsChild>
        <w:div w:id="1353530803">
          <w:marLeft w:val="0"/>
          <w:marRight w:val="0"/>
          <w:marTop w:val="0"/>
          <w:marBottom w:val="0"/>
          <w:divBdr>
            <w:top w:val="none" w:sz="0" w:space="0" w:color="auto"/>
            <w:left w:val="none" w:sz="0" w:space="0" w:color="auto"/>
            <w:bottom w:val="none" w:sz="0" w:space="0" w:color="auto"/>
            <w:right w:val="none" w:sz="0" w:space="0" w:color="auto"/>
          </w:divBdr>
          <w:divsChild>
            <w:div w:id="952976277">
              <w:marLeft w:val="0"/>
              <w:marRight w:val="0"/>
              <w:marTop w:val="0"/>
              <w:marBottom w:val="0"/>
              <w:divBdr>
                <w:top w:val="none" w:sz="0" w:space="0" w:color="auto"/>
                <w:left w:val="none" w:sz="0" w:space="0" w:color="auto"/>
                <w:bottom w:val="none" w:sz="0" w:space="0" w:color="auto"/>
                <w:right w:val="none" w:sz="0" w:space="0" w:color="auto"/>
              </w:divBdr>
              <w:divsChild>
                <w:div w:id="1339776485">
                  <w:marLeft w:val="0"/>
                  <w:marRight w:val="0"/>
                  <w:marTop w:val="0"/>
                  <w:marBottom w:val="0"/>
                  <w:divBdr>
                    <w:top w:val="none" w:sz="0" w:space="0" w:color="auto"/>
                    <w:left w:val="none" w:sz="0" w:space="0" w:color="auto"/>
                    <w:bottom w:val="none" w:sz="0" w:space="0" w:color="auto"/>
                    <w:right w:val="none" w:sz="0" w:space="0" w:color="auto"/>
                  </w:divBdr>
                  <w:divsChild>
                    <w:div w:id="1331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1891993">
      <w:bodyDiv w:val="1"/>
      <w:marLeft w:val="0"/>
      <w:marRight w:val="0"/>
      <w:marTop w:val="0"/>
      <w:marBottom w:val="0"/>
      <w:divBdr>
        <w:top w:val="none" w:sz="0" w:space="0" w:color="auto"/>
        <w:left w:val="none" w:sz="0" w:space="0" w:color="auto"/>
        <w:bottom w:val="none" w:sz="0" w:space="0" w:color="auto"/>
        <w:right w:val="none" w:sz="0" w:space="0" w:color="auto"/>
      </w:divBdr>
      <w:divsChild>
        <w:div w:id="1802190202">
          <w:marLeft w:val="0"/>
          <w:marRight w:val="0"/>
          <w:marTop w:val="0"/>
          <w:marBottom w:val="0"/>
          <w:divBdr>
            <w:top w:val="none" w:sz="0" w:space="0" w:color="auto"/>
            <w:left w:val="none" w:sz="0" w:space="0" w:color="auto"/>
            <w:bottom w:val="none" w:sz="0" w:space="0" w:color="auto"/>
            <w:right w:val="none" w:sz="0" w:space="0" w:color="auto"/>
          </w:divBdr>
          <w:divsChild>
            <w:div w:id="804082803">
              <w:marLeft w:val="0"/>
              <w:marRight w:val="0"/>
              <w:marTop w:val="0"/>
              <w:marBottom w:val="0"/>
              <w:divBdr>
                <w:top w:val="none" w:sz="0" w:space="0" w:color="auto"/>
                <w:left w:val="none" w:sz="0" w:space="0" w:color="auto"/>
                <w:bottom w:val="none" w:sz="0" w:space="0" w:color="auto"/>
                <w:right w:val="none" w:sz="0" w:space="0" w:color="auto"/>
              </w:divBdr>
              <w:divsChild>
                <w:div w:id="3811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85334">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9336">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82053">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1905314">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16087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05041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441662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00403">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3180127">
      <w:bodyDiv w:val="1"/>
      <w:marLeft w:val="0"/>
      <w:marRight w:val="0"/>
      <w:marTop w:val="0"/>
      <w:marBottom w:val="0"/>
      <w:divBdr>
        <w:top w:val="none" w:sz="0" w:space="0" w:color="auto"/>
        <w:left w:val="none" w:sz="0" w:space="0" w:color="auto"/>
        <w:bottom w:val="none" w:sz="0" w:space="0" w:color="auto"/>
        <w:right w:val="none" w:sz="0" w:space="0" w:color="auto"/>
      </w:divBdr>
      <w:divsChild>
        <w:div w:id="1920870200">
          <w:marLeft w:val="0"/>
          <w:marRight w:val="0"/>
          <w:marTop w:val="0"/>
          <w:marBottom w:val="0"/>
          <w:divBdr>
            <w:top w:val="none" w:sz="0" w:space="0" w:color="auto"/>
            <w:left w:val="none" w:sz="0" w:space="0" w:color="auto"/>
            <w:bottom w:val="none" w:sz="0" w:space="0" w:color="auto"/>
            <w:right w:val="none" w:sz="0" w:space="0" w:color="auto"/>
          </w:divBdr>
          <w:divsChild>
            <w:div w:id="851648674">
              <w:marLeft w:val="0"/>
              <w:marRight w:val="0"/>
              <w:marTop w:val="0"/>
              <w:marBottom w:val="0"/>
              <w:divBdr>
                <w:top w:val="none" w:sz="0" w:space="0" w:color="auto"/>
                <w:left w:val="none" w:sz="0" w:space="0" w:color="auto"/>
                <w:bottom w:val="none" w:sz="0" w:space="0" w:color="auto"/>
                <w:right w:val="none" w:sz="0" w:space="0" w:color="auto"/>
              </w:divBdr>
              <w:divsChild>
                <w:div w:id="12373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8929813">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477408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56203563">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8763757">
      <w:bodyDiv w:val="1"/>
      <w:marLeft w:val="0"/>
      <w:marRight w:val="0"/>
      <w:marTop w:val="0"/>
      <w:marBottom w:val="0"/>
      <w:divBdr>
        <w:top w:val="none" w:sz="0" w:space="0" w:color="auto"/>
        <w:left w:val="none" w:sz="0" w:space="0" w:color="auto"/>
        <w:bottom w:val="none" w:sz="0" w:space="0" w:color="auto"/>
        <w:right w:val="none" w:sz="0" w:space="0" w:color="auto"/>
      </w:divBdr>
      <w:divsChild>
        <w:div w:id="500438486">
          <w:marLeft w:val="0"/>
          <w:marRight w:val="0"/>
          <w:marTop w:val="0"/>
          <w:marBottom w:val="0"/>
          <w:divBdr>
            <w:top w:val="none" w:sz="0" w:space="0" w:color="auto"/>
            <w:left w:val="none" w:sz="0" w:space="0" w:color="auto"/>
            <w:bottom w:val="none" w:sz="0" w:space="0" w:color="auto"/>
            <w:right w:val="none" w:sz="0" w:space="0" w:color="auto"/>
          </w:divBdr>
          <w:divsChild>
            <w:div w:id="781533803">
              <w:marLeft w:val="0"/>
              <w:marRight w:val="0"/>
              <w:marTop w:val="0"/>
              <w:marBottom w:val="0"/>
              <w:divBdr>
                <w:top w:val="none" w:sz="0" w:space="0" w:color="auto"/>
                <w:left w:val="none" w:sz="0" w:space="0" w:color="auto"/>
                <w:bottom w:val="none" w:sz="0" w:space="0" w:color="auto"/>
                <w:right w:val="none" w:sz="0" w:space="0" w:color="auto"/>
              </w:divBdr>
              <w:divsChild>
                <w:div w:id="3870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77424400">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19777667">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715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7142">
      <w:bodyDiv w:val="1"/>
      <w:marLeft w:val="0"/>
      <w:marRight w:val="0"/>
      <w:marTop w:val="0"/>
      <w:marBottom w:val="0"/>
      <w:divBdr>
        <w:top w:val="none" w:sz="0" w:space="0" w:color="auto"/>
        <w:left w:val="none" w:sz="0" w:space="0" w:color="auto"/>
        <w:bottom w:val="none" w:sz="0" w:space="0" w:color="auto"/>
        <w:right w:val="none" w:sz="0" w:space="0" w:color="auto"/>
      </w:divBdr>
    </w:div>
    <w:div w:id="133395195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445578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7862431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432616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6264690">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8633009">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465043">
      <w:bodyDiv w:val="1"/>
      <w:marLeft w:val="0"/>
      <w:marRight w:val="0"/>
      <w:marTop w:val="0"/>
      <w:marBottom w:val="0"/>
      <w:divBdr>
        <w:top w:val="none" w:sz="0" w:space="0" w:color="auto"/>
        <w:left w:val="none" w:sz="0" w:space="0" w:color="auto"/>
        <w:bottom w:val="none" w:sz="0" w:space="0" w:color="auto"/>
        <w:right w:val="none" w:sz="0" w:space="0" w:color="auto"/>
      </w:divBdr>
      <w:divsChild>
        <w:div w:id="960645241">
          <w:marLeft w:val="0"/>
          <w:marRight w:val="0"/>
          <w:marTop w:val="0"/>
          <w:marBottom w:val="0"/>
          <w:divBdr>
            <w:top w:val="none" w:sz="0" w:space="0" w:color="auto"/>
            <w:left w:val="none" w:sz="0" w:space="0" w:color="auto"/>
            <w:bottom w:val="none" w:sz="0" w:space="0" w:color="auto"/>
            <w:right w:val="none" w:sz="0" w:space="0" w:color="auto"/>
          </w:divBdr>
          <w:divsChild>
            <w:div w:id="2127236759">
              <w:marLeft w:val="0"/>
              <w:marRight w:val="0"/>
              <w:marTop w:val="0"/>
              <w:marBottom w:val="0"/>
              <w:divBdr>
                <w:top w:val="none" w:sz="0" w:space="0" w:color="auto"/>
                <w:left w:val="none" w:sz="0" w:space="0" w:color="auto"/>
                <w:bottom w:val="none" w:sz="0" w:space="0" w:color="auto"/>
                <w:right w:val="none" w:sz="0" w:space="0" w:color="auto"/>
              </w:divBdr>
              <w:divsChild>
                <w:div w:id="1740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2724178">
      <w:bodyDiv w:val="1"/>
      <w:marLeft w:val="0"/>
      <w:marRight w:val="0"/>
      <w:marTop w:val="0"/>
      <w:marBottom w:val="0"/>
      <w:divBdr>
        <w:top w:val="none" w:sz="0" w:space="0" w:color="auto"/>
        <w:left w:val="none" w:sz="0" w:space="0" w:color="auto"/>
        <w:bottom w:val="none" w:sz="0" w:space="0" w:color="auto"/>
        <w:right w:val="none" w:sz="0" w:space="0" w:color="auto"/>
      </w:divBdr>
      <w:divsChild>
        <w:div w:id="968902123">
          <w:marLeft w:val="0"/>
          <w:marRight w:val="0"/>
          <w:marTop w:val="0"/>
          <w:marBottom w:val="0"/>
          <w:divBdr>
            <w:top w:val="none" w:sz="0" w:space="0" w:color="auto"/>
            <w:left w:val="none" w:sz="0" w:space="0" w:color="auto"/>
            <w:bottom w:val="none" w:sz="0" w:space="0" w:color="auto"/>
            <w:right w:val="none" w:sz="0" w:space="0" w:color="auto"/>
          </w:divBdr>
          <w:divsChild>
            <w:div w:id="1722092209">
              <w:marLeft w:val="0"/>
              <w:marRight w:val="0"/>
              <w:marTop w:val="0"/>
              <w:marBottom w:val="0"/>
              <w:divBdr>
                <w:top w:val="none" w:sz="0" w:space="0" w:color="auto"/>
                <w:left w:val="none" w:sz="0" w:space="0" w:color="auto"/>
                <w:bottom w:val="none" w:sz="0" w:space="0" w:color="auto"/>
                <w:right w:val="none" w:sz="0" w:space="0" w:color="auto"/>
              </w:divBdr>
              <w:divsChild>
                <w:div w:id="849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2444">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5449241">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1695">
      <w:bodyDiv w:val="1"/>
      <w:marLeft w:val="0"/>
      <w:marRight w:val="0"/>
      <w:marTop w:val="0"/>
      <w:marBottom w:val="0"/>
      <w:divBdr>
        <w:top w:val="none" w:sz="0" w:space="0" w:color="auto"/>
        <w:left w:val="none" w:sz="0" w:space="0" w:color="auto"/>
        <w:bottom w:val="none" w:sz="0" w:space="0" w:color="auto"/>
        <w:right w:val="none" w:sz="0" w:space="0" w:color="auto"/>
      </w:divBdr>
      <w:divsChild>
        <w:div w:id="385646096">
          <w:marLeft w:val="0"/>
          <w:marRight w:val="0"/>
          <w:marTop w:val="0"/>
          <w:marBottom w:val="0"/>
          <w:divBdr>
            <w:top w:val="none" w:sz="0" w:space="0" w:color="auto"/>
            <w:left w:val="none" w:sz="0" w:space="0" w:color="auto"/>
            <w:bottom w:val="none" w:sz="0" w:space="0" w:color="auto"/>
            <w:right w:val="none" w:sz="0" w:space="0" w:color="auto"/>
          </w:divBdr>
          <w:divsChild>
            <w:div w:id="584345147">
              <w:marLeft w:val="0"/>
              <w:marRight w:val="0"/>
              <w:marTop w:val="0"/>
              <w:marBottom w:val="0"/>
              <w:divBdr>
                <w:top w:val="none" w:sz="0" w:space="0" w:color="auto"/>
                <w:left w:val="none" w:sz="0" w:space="0" w:color="auto"/>
                <w:bottom w:val="none" w:sz="0" w:space="0" w:color="auto"/>
                <w:right w:val="none" w:sz="0" w:space="0" w:color="auto"/>
              </w:divBdr>
              <w:divsChild>
                <w:div w:id="304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210108">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799491370">
      <w:bodyDiv w:val="1"/>
      <w:marLeft w:val="0"/>
      <w:marRight w:val="0"/>
      <w:marTop w:val="0"/>
      <w:marBottom w:val="0"/>
      <w:divBdr>
        <w:top w:val="none" w:sz="0" w:space="0" w:color="auto"/>
        <w:left w:val="none" w:sz="0" w:space="0" w:color="auto"/>
        <w:bottom w:val="none" w:sz="0" w:space="0" w:color="auto"/>
        <w:right w:val="none" w:sz="0" w:space="0" w:color="auto"/>
      </w:divBdr>
      <w:divsChild>
        <w:div w:id="2063627975">
          <w:marLeft w:val="0"/>
          <w:marRight w:val="0"/>
          <w:marTop w:val="0"/>
          <w:marBottom w:val="0"/>
          <w:divBdr>
            <w:top w:val="none" w:sz="0" w:space="0" w:color="auto"/>
            <w:left w:val="none" w:sz="0" w:space="0" w:color="auto"/>
            <w:bottom w:val="none" w:sz="0" w:space="0" w:color="auto"/>
            <w:right w:val="none" w:sz="0" w:space="0" w:color="auto"/>
          </w:divBdr>
          <w:divsChild>
            <w:div w:id="686836808">
              <w:marLeft w:val="0"/>
              <w:marRight w:val="0"/>
              <w:marTop w:val="0"/>
              <w:marBottom w:val="0"/>
              <w:divBdr>
                <w:top w:val="none" w:sz="0" w:space="0" w:color="auto"/>
                <w:left w:val="none" w:sz="0" w:space="0" w:color="auto"/>
                <w:bottom w:val="none" w:sz="0" w:space="0" w:color="auto"/>
                <w:right w:val="none" w:sz="0" w:space="0" w:color="auto"/>
              </w:divBdr>
              <w:divsChild>
                <w:div w:id="4664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477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024784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4803211">
      <w:bodyDiv w:val="1"/>
      <w:marLeft w:val="0"/>
      <w:marRight w:val="0"/>
      <w:marTop w:val="0"/>
      <w:marBottom w:val="0"/>
      <w:divBdr>
        <w:top w:val="none" w:sz="0" w:space="0" w:color="auto"/>
        <w:left w:val="none" w:sz="0" w:space="0" w:color="auto"/>
        <w:bottom w:val="none" w:sz="0" w:space="0" w:color="auto"/>
        <w:right w:val="none" w:sz="0" w:space="0" w:color="auto"/>
      </w:divBdr>
      <w:divsChild>
        <w:div w:id="1285579055">
          <w:marLeft w:val="0"/>
          <w:marRight w:val="0"/>
          <w:marTop w:val="0"/>
          <w:marBottom w:val="0"/>
          <w:divBdr>
            <w:top w:val="none" w:sz="0" w:space="0" w:color="auto"/>
            <w:left w:val="none" w:sz="0" w:space="0" w:color="auto"/>
            <w:bottom w:val="none" w:sz="0" w:space="0" w:color="auto"/>
            <w:right w:val="none" w:sz="0" w:space="0" w:color="auto"/>
          </w:divBdr>
          <w:divsChild>
            <w:div w:id="1346983417">
              <w:marLeft w:val="0"/>
              <w:marRight w:val="0"/>
              <w:marTop w:val="0"/>
              <w:marBottom w:val="0"/>
              <w:divBdr>
                <w:top w:val="none" w:sz="0" w:space="0" w:color="auto"/>
                <w:left w:val="none" w:sz="0" w:space="0" w:color="auto"/>
                <w:bottom w:val="none" w:sz="0" w:space="0" w:color="auto"/>
                <w:right w:val="none" w:sz="0" w:space="0" w:color="auto"/>
              </w:divBdr>
              <w:divsChild>
                <w:div w:id="1091009146">
                  <w:marLeft w:val="0"/>
                  <w:marRight w:val="0"/>
                  <w:marTop w:val="0"/>
                  <w:marBottom w:val="0"/>
                  <w:divBdr>
                    <w:top w:val="none" w:sz="0" w:space="0" w:color="auto"/>
                    <w:left w:val="none" w:sz="0" w:space="0" w:color="auto"/>
                    <w:bottom w:val="none" w:sz="0" w:space="0" w:color="auto"/>
                    <w:right w:val="none" w:sz="0" w:space="0" w:color="auto"/>
                  </w:divBdr>
                  <w:divsChild>
                    <w:div w:id="2027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09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145">
          <w:marLeft w:val="0"/>
          <w:marRight w:val="0"/>
          <w:marTop w:val="0"/>
          <w:marBottom w:val="0"/>
          <w:divBdr>
            <w:top w:val="none" w:sz="0" w:space="0" w:color="auto"/>
            <w:left w:val="none" w:sz="0" w:space="0" w:color="auto"/>
            <w:bottom w:val="none" w:sz="0" w:space="0" w:color="auto"/>
            <w:right w:val="none" w:sz="0" w:space="0" w:color="auto"/>
          </w:divBdr>
          <w:divsChild>
            <w:div w:id="1109278803">
              <w:marLeft w:val="0"/>
              <w:marRight w:val="0"/>
              <w:marTop w:val="0"/>
              <w:marBottom w:val="0"/>
              <w:divBdr>
                <w:top w:val="none" w:sz="0" w:space="0" w:color="auto"/>
                <w:left w:val="none" w:sz="0" w:space="0" w:color="auto"/>
                <w:bottom w:val="none" w:sz="0" w:space="0" w:color="auto"/>
                <w:right w:val="none" w:sz="0" w:space="0" w:color="auto"/>
              </w:divBdr>
              <w:divsChild>
                <w:div w:id="983584879">
                  <w:marLeft w:val="0"/>
                  <w:marRight w:val="0"/>
                  <w:marTop w:val="0"/>
                  <w:marBottom w:val="0"/>
                  <w:divBdr>
                    <w:top w:val="none" w:sz="0" w:space="0" w:color="auto"/>
                    <w:left w:val="none" w:sz="0" w:space="0" w:color="auto"/>
                    <w:bottom w:val="none" w:sz="0" w:space="0" w:color="auto"/>
                    <w:right w:val="none" w:sz="0" w:space="0" w:color="auto"/>
                  </w:divBdr>
                  <w:divsChild>
                    <w:div w:id="3069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0310108">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9363418">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52778">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060202">
      <w:bodyDiv w:val="1"/>
      <w:marLeft w:val="0"/>
      <w:marRight w:val="0"/>
      <w:marTop w:val="0"/>
      <w:marBottom w:val="0"/>
      <w:divBdr>
        <w:top w:val="none" w:sz="0" w:space="0" w:color="auto"/>
        <w:left w:val="none" w:sz="0" w:space="0" w:color="auto"/>
        <w:bottom w:val="none" w:sz="0" w:space="0" w:color="auto"/>
        <w:right w:val="none" w:sz="0" w:space="0" w:color="auto"/>
      </w:divBdr>
      <w:divsChild>
        <w:div w:id="198133236">
          <w:marLeft w:val="0"/>
          <w:marRight w:val="0"/>
          <w:marTop w:val="0"/>
          <w:marBottom w:val="0"/>
          <w:divBdr>
            <w:top w:val="single" w:sz="6" w:space="0" w:color="BEE5EB"/>
            <w:left w:val="single" w:sz="6" w:space="0" w:color="BEE5EB"/>
            <w:bottom w:val="single" w:sz="6" w:space="0" w:color="BEE5EB"/>
            <w:right w:val="single" w:sz="6" w:space="0" w:color="BEE5EB"/>
          </w:divBdr>
        </w:div>
        <w:div w:id="997346022">
          <w:marLeft w:val="0"/>
          <w:marRight w:val="0"/>
          <w:marTop w:val="0"/>
          <w:marBottom w:val="0"/>
          <w:divBdr>
            <w:top w:val="single" w:sz="6" w:space="0" w:color="C4C4C4"/>
            <w:left w:val="single" w:sz="6" w:space="0" w:color="C4C4C4"/>
            <w:bottom w:val="single" w:sz="6" w:space="0" w:color="C4C4C4"/>
            <w:right w:val="single" w:sz="6" w:space="0" w:color="C4C4C4"/>
          </w:divBdr>
        </w:div>
      </w:divsChild>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3390309">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120737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8548">
      <w:bodyDiv w:val="1"/>
      <w:marLeft w:val="0"/>
      <w:marRight w:val="0"/>
      <w:marTop w:val="0"/>
      <w:marBottom w:val="0"/>
      <w:divBdr>
        <w:top w:val="none" w:sz="0" w:space="0" w:color="auto"/>
        <w:left w:val="none" w:sz="0" w:space="0" w:color="auto"/>
        <w:bottom w:val="none" w:sz="0" w:space="0" w:color="auto"/>
        <w:right w:val="none" w:sz="0" w:space="0" w:color="auto"/>
      </w:divBdr>
      <w:divsChild>
        <w:div w:id="1152983035">
          <w:marLeft w:val="0"/>
          <w:marRight w:val="0"/>
          <w:marTop w:val="0"/>
          <w:marBottom w:val="0"/>
          <w:divBdr>
            <w:top w:val="none" w:sz="0" w:space="0" w:color="auto"/>
            <w:left w:val="none" w:sz="0" w:space="0" w:color="auto"/>
            <w:bottom w:val="none" w:sz="0" w:space="0" w:color="auto"/>
            <w:right w:val="none" w:sz="0" w:space="0" w:color="auto"/>
          </w:divBdr>
        </w:div>
        <w:div w:id="2081712304">
          <w:marLeft w:val="0"/>
          <w:marRight w:val="0"/>
          <w:marTop w:val="0"/>
          <w:marBottom w:val="0"/>
          <w:divBdr>
            <w:top w:val="none" w:sz="0" w:space="0" w:color="auto"/>
            <w:left w:val="none" w:sz="0" w:space="0" w:color="auto"/>
            <w:bottom w:val="none" w:sz="0" w:space="0" w:color="auto"/>
            <w:right w:val="none" w:sz="0" w:space="0" w:color="auto"/>
          </w:divBdr>
        </w:div>
        <w:div w:id="1163621702">
          <w:marLeft w:val="0"/>
          <w:marRight w:val="0"/>
          <w:marTop w:val="0"/>
          <w:marBottom w:val="0"/>
          <w:divBdr>
            <w:top w:val="none" w:sz="0" w:space="0" w:color="auto"/>
            <w:left w:val="none" w:sz="0" w:space="0" w:color="auto"/>
            <w:bottom w:val="none" w:sz="0" w:space="0" w:color="auto"/>
            <w:right w:val="none" w:sz="0" w:space="0" w:color="auto"/>
          </w:divBdr>
        </w:div>
        <w:div w:id="390614557">
          <w:marLeft w:val="0"/>
          <w:marRight w:val="0"/>
          <w:marTop w:val="0"/>
          <w:marBottom w:val="0"/>
          <w:divBdr>
            <w:top w:val="none" w:sz="0" w:space="0" w:color="auto"/>
            <w:left w:val="none" w:sz="0" w:space="0" w:color="auto"/>
            <w:bottom w:val="none" w:sz="0" w:space="0" w:color="auto"/>
            <w:right w:val="none" w:sz="0" w:space="0" w:color="auto"/>
          </w:divBdr>
        </w:div>
        <w:div w:id="1538815634">
          <w:marLeft w:val="0"/>
          <w:marRight w:val="0"/>
          <w:marTop w:val="0"/>
          <w:marBottom w:val="0"/>
          <w:divBdr>
            <w:top w:val="none" w:sz="0" w:space="0" w:color="auto"/>
            <w:left w:val="none" w:sz="0" w:space="0" w:color="auto"/>
            <w:bottom w:val="none" w:sz="0" w:space="0" w:color="auto"/>
            <w:right w:val="none" w:sz="0" w:space="0" w:color="auto"/>
          </w:divBdr>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208209">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6905">
      <w:bodyDiv w:val="1"/>
      <w:marLeft w:val="0"/>
      <w:marRight w:val="0"/>
      <w:marTop w:val="0"/>
      <w:marBottom w:val="0"/>
      <w:divBdr>
        <w:top w:val="none" w:sz="0" w:space="0" w:color="auto"/>
        <w:left w:val="none" w:sz="0" w:space="0" w:color="auto"/>
        <w:bottom w:val="none" w:sz="0" w:space="0" w:color="auto"/>
        <w:right w:val="none" w:sz="0" w:space="0" w:color="auto"/>
      </w:divBdr>
      <w:divsChild>
        <w:div w:id="734091390">
          <w:marLeft w:val="0"/>
          <w:marRight w:val="0"/>
          <w:marTop w:val="0"/>
          <w:marBottom w:val="0"/>
          <w:divBdr>
            <w:top w:val="none" w:sz="0" w:space="0" w:color="auto"/>
            <w:left w:val="none" w:sz="0" w:space="0" w:color="auto"/>
            <w:bottom w:val="none" w:sz="0" w:space="0" w:color="auto"/>
            <w:right w:val="none" w:sz="0" w:space="0" w:color="auto"/>
          </w:divBdr>
          <w:divsChild>
            <w:div w:id="1822307376">
              <w:marLeft w:val="0"/>
              <w:marRight w:val="0"/>
              <w:marTop w:val="0"/>
              <w:marBottom w:val="0"/>
              <w:divBdr>
                <w:top w:val="none" w:sz="0" w:space="0" w:color="auto"/>
                <w:left w:val="none" w:sz="0" w:space="0" w:color="auto"/>
                <w:bottom w:val="none" w:sz="0" w:space="0" w:color="auto"/>
                <w:right w:val="none" w:sz="0" w:space="0" w:color="auto"/>
              </w:divBdr>
              <w:divsChild>
                <w:div w:id="8637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647BE733-2DED-410D-84D4-C9A0FDD5E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19</Pages>
  <Words>8049</Words>
  <Characters>44271</Characters>
  <Application>Microsoft Office Word</Application>
  <DocSecurity>0</DocSecurity>
  <Lines>368</Lines>
  <Paragraphs>104</Paragraphs>
  <ScaleCrop>false</ScaleCrop>
  <Company/>
  <LinksUpToDate>false</LinksUpToDate>
  <CharactersWithSpaces>52216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2022-04-08T16:49:00Z</dcterms:created>
  <dcterms:modified xsi:type="dcterms:W3CDTF">2022-04-08T16:49:00Z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