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2D0B" w14:textId="196C0B1D" w:rsidR="00904AFB" w:rsidRDefault="00904AFB" w:rsidP="009D1356">
      <w:pPr>
        <w:spacing w:after="0" w:line="240" w:lineRule="auto"/>
        <w:jc w:val="both"/>
        <w:rPr>
          <w:rFonts w:ascii="Arial" w:eastAsia="Calibri" w:hAnsi="Arial" w:cs="Arial"/>
          <w:b/>
          <w:lang w:val="es-MX"/>
        </w:rPr>
      </w:pPr>
      <w:bookmarkStart w:id="0" w:name="_Hlk63880273"/>
      <w:r w:rsidRPr="009D1356">
        <w:rPr>
          <w:rFonts w:ascii="Arial" w:eastAsia="Calibri" w:hAnsi="Arial" w:cs="Arial"/>
          <w:b/>
          <w:lang w:val="es-MX"/>
        </w:rPr>
        <w:t>DOCUMENTOS TIPO – Infraestructura de agua potable y saneamiento básico –</w:t>
      </w:r>
      <w:r>
        <w:rPr>
          <w:rFonts w:ascii="Arial" w:eastAsia="Calibri" w:hAnsi="Arial" w:cs="Arial"/>
          <w:b/>
          <w:lang w:val="es-MX"/>
        </w:rPr>
        <w:t xml:space="preserve"> Inalterabilidad</w:t>
      </w:r>
    </w:p>
    <w:p w14:paraId="60F3278F" w14:textId="6B41727C" w:rsidR="00904AFB" w:rsidRDefault="00904AFB" w:rsidP="009D1356">
      <w:pPr>
        <w:spacing w:after="0" w:line="240" w:lineRule="auto"/>
        <w:jc w:val="both"/>
        <w:rPr>
          <w:rFonts w:ascii="Arial" w:eastAsia="Calibri" w:hAnsi="Arial" w:cs="Arial"/>
          <w:b/>
          <w:lang w:val="es-MX"/>
        </w:rPr>
      </w:pPr>
    </w:p>
    <w:p w14:paraId="5373A825" w14:textId="5CB53969" w:rsidR="00904AFB" w:rsidRDefault="00B76A64" w:rsidP="009D1356">
      <w:pPr>
        <w:spacing w:after="0" w:line="240" w:lineRule="auto"/>
        <w:jc w:val="both"/>
        <w:rPr>
          <w:rFonts w:ascii="Arial" w:eastAsia="Calibri" w:hAnsi="Arial" w:cs="Arial"/>
          <w:sz w:val="20"/>
          <w:szCs w:val="20"/>
          <w:lang w:val="es-MX"/>
        </w:rPr>
      </w:pPr>
      <w:r w:rsidRPr="00B76A64">
        <w:rPr>
          <w:rFonts w:ascii="Arial" w:eastAsia="Calibri" w:hAnsi="Arial" w:cs="Arial"/>
          <w:sz w:val="20"/>
          <w:szCs w:val="20"/>
          <w:lang w:val="es-MX"/>
        </w:rPr>
        <w:t>Conforme al artículo 3 de las Resoluciones No. 248 y 249 del 1° de diciembre de 2020, se reitera que dada lo obligatoriedad de los «Documentos tipo», estos son inalterables por parte de las autoridades administrativas, salvo en aquellos aspectos en los que está permitido su diligenciamiento. En esta medida, las entidades estatales no pueden incluir o modificar en los documentos del proceso las condiciones habilitantes, los factores técnicos y económicos de escogencia y los sistemas de ponderación distintos a los señalados en los documentos tipo. En consecuencia, las condiciones dispuestas en los documentos que adopte el Gobierno Nacional,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previsto en ellos.</w:t>
      </w:r>
    </w:p>
    <w:p w14:paraId="717B8BE1" w14:textId="77777777" w:rsidR="00A11029" w:rsidRDefault="00A11029" w:rsidP="009D1356">
      <w:pPr>
        <w:spacing w:after="0" w:line="240" w:lineRule="auto"/>
        <w:jc w:val="both"/>
        <w:rPr>
          <w:rFonts w:ascii="Arial" w:eastAsia="Calibri" w:hAnsi="Arial" w:cs="Arial"/>
          <w:b/>
          <w:lang w:val="es-MX"/>
        </w:rPr>
      </w:pPr>
    </w:p>
    <w:p w14:paraId="2958536A" w14:textId="409E7679" w:rsidR="008A7D2F" w:rsidRPr="00566EE9" w:rsidRDefault="008A7D2F" w:rsidP="008A7D2F">
      <w:pPr>
        <w:spacing w:after="0" w:line="240" w:lineRule="auto"/>
        <w:jc w:val="both"/>
        <w:rPr>
          <w:rFonts w:ascii="Arial" w:eastAsia="Calibri" w:hAnsi="Arial" w:cs="Arial"/>
          <w:b/>
          <w:lang w:val="es-MX"/>
        </w:rPr>
      </w:pPr>
      <w:r w:rsidRPr="00566EE9">
        <w:rPr>
          <w:rFonts w:ascii="Arial" w:eastAsia="Calibri" w:hAnsi="Arial" w:cs="Arial"/>
          <w:b/>
          <w:lang w:val="es-MX"/>
        </w:rPr>
        <w:t xml:space="preserve">DOCUMENTOS TIPO – Infraestructura de agua potable y saneamiento básico – </w:t>
      </w:r>
      <w:r w:rsidR="00566EE9" w:rsidRPr="00566EE9">
        <w:rPr>
          <w:rFonts w:ascii="Arial" w:eastAsia="Calibri" w:hAnsi="Arial" w:cs="Arial"/>
          <w:b/>
          <w:lang w:val="es-MX"/>
        </w:rPr>
        <w:t>Matriz 1 – Experiencia – Actividad principal</w:t>
      </w:r>
    </w:p>
    <w:p w14:paraId="3C84CD78" w14:textId="77777777" w:rsidR="008A7D2F" w:rsidRPr="008A7D2F" w:rsidRDefault="008A7D2F" w:rsidP="008A7D2F">
      <w:pPr>
        <w:spacing w:after="0" w:line="240" w:lineRule="auto"/>
        <w:jc w:val="both"/>
        <w:rPr>
          <w:rFonts w:ascii="Arial" w:eastAsia="Calibri" w:hAnsi="Arial" w:cs="Arial"/>
          <w:b/>
          <w:highlight w:val="yellow"/>
          <w:lang w:val="es-MX"/>
        </w:rPr>
      </w:pPr>
    </w:p>
    <w:p w14:paraId="4EF38580" w14:textId="377999FA" w:rsidR="00B76A64" w:rsidRDefault="00B76A64" w:rsidP="00B76A64">
      <w:pPr>
        <w:spacing w:after="0" w:line="240" w:lineRule="auto"/>
        <w:contextualSpacing/>
        <w:jc w:val="both"/>
        <w:rPr>
          <w:rFonts w:ascii="Arial" w:eastAsia="Calibri" w:hAnsi="Arial" w:cs="Arial"/>
          <w:sz w:val="20"/>
          <w:szCs w:val="20"/>
          <w:lang w:val="es-MX"/>
        </w:rPr>
      </w:pPr>
      <w:r w:rsidRPr="00B76A64">
        <w:rPr>
          <w:rFonts w:ascii="Arial" w:eastAsia="Calibri" w:hAnsi="Arial" w:cs="Arial"/>
          <w:sz w:val="20"/>
          <w:szCs w:val="20"/>
          <w:lang w:val="es-MX"/>
        </w:rPr>
        <w:t>Salvo los espacios resaltados en corchetes, de acuerdo con el principio de inalterabilidad, la matriz no puede modificarse puesto que allí se estandarizan las condiciones de experiencia general y específica para cada actividad a contratar. Por tanto, la entidad únicamente puede establecer la actividad o actividades más representativas según el listado anteriormente citado. En efecto, la experiencia específica de la actividad 1.2 indica que, de los contratos válidos que se aporten como experiencia, por lo menos uno (1) debe corresponder mínimo al 70% de las cantidades de la obra más representativa que corresponde a «Actividades de intervención o instalación de: redes hidrosanitarias; y/o acueductos y/o alcantarillados, según sea el caso».</w:t>
      </w:r>
    </w:p>
    <w:p w14:paraId="4F14E775" w14:textId="77777777" w:rsidR="00B76A64" w:rsidRPr="00B76A64" w:rsidRDefault="00B76A64" w:rsidP="00B76A64">
      <w:pPr>
        <w:spacing w:after="0" w:line="240" w:lineRule="auto"/>
        <w:contextualSpacing/>
        <w:jc w:val="both"/>
        <w:rPr>
          <w:rFonts w:ascii="Arial" w:eastAsia="Calibri" w:hAnsi="Arial" w:cs="Arial"/>
          <w:sz w:val="20"/>
          <w:szCs w:val="20"/>
          <w:lang w:val="es-MX"/>
        </w:rPr>
      </w:pPr>
    </w:p>
    <w:p w14:paraId="765AEF97" w14:textId="700052F6" w:rsidR="009D1356" w:rsidRPr="008A7D2F" w:rsidRDefault="00B76A64" w:rsidP="00B76A64">
      <w:pPr>
        <w:spacing w:after="0" w:line="240" w:lineRule="auto"/>
        <w:contextualSpacing/>
        <w:jc w:val="both"/>
        <w:rPr>
          <w:rFonts w:ascii="Arial" w:eastAsia="Calibri" w:hAnsi="Arial" w:cs="Arial"/>
          <w:sz w:val="20"/>
          <w:szCs w:val="20"/>
          <w:highlight w:val="yellow"/>
          <w:lang w:val="es-MX"/>
        </w:rPr>
      </w:pPr>
      <w:r w:rsidRPr="00B76A64">
        <w:rPr>
          <w:rFonts w:ascii="Arial" w:eastAsia="Calibri" w:hAnsi="Arial" w:cs="Arial"/>
          <w:sz w:val="20"/>
          <w:szCs w:val="20"/>
          <w:lang w:val="es-MX"/>
        </w:rPr>
        <w:t xml:space="preserve">Por ende, la entidad debe señalar, de esas actividades listadas, cuál es la actividad principal, para que el proponente acredite la experiencia frente a esta. Como se observa en la «Matriz 1 – Experiencia», la actividad principal de la experiencia específica del numeral 1.2 no está determinada por ningún criterio en particular, solo indica que la entidad debe elegir mínimo una actividad principal que sea la más representativa, pero no se indican aspectos adicionales </w:t>
      </w:r>
      <w:proofErr w:type="gramStart"/>
      <w:r w:rsidRPr="00B76A64">
        <w:rPr>
          <w:rFonts w:ascii="Arial" w:eastAsia="Calibri" w:hAnsi="Arial" w:cs="Arial"/>
          <w:sz w:val="20"/>
          <w:szCs w:val="20"/>
          <w:lang w:val="es-MX"/>
        </w:rPr>
        <w:t>a</w:t>
      </w:r>
      <w:proofErr w:type="gramEnd"/>
      <w:r w:rsidRPr="00B76A64">
        <w:rPr>
          <w:rFonts w:ascii="Arial" w:eastAsia="Calibri" w:hAnsi="Arial" w:cs="Arial"/>
          <w:sz w:val="20"/>
          <w:szCs w:val="20"/>
          <w:lang w:val="es-MX"/>
        </w:rPr>
        <w:t xml:space="preserve"> tener en cuenta para definirla, a diferencia del numeral 1.1 que señala la longitud y el material.</w:t>
      </w:r>
    </w:p>
    <w:p w14:paraId="25F2340F" w14:textId="57C3F977" w:rsidR="008A7D2F" w:rsidRDefault="008A7D2F" w:rsidP="009D1356">
      <w:pPr>
        <w:spacing w:after="0" w:line="240" w:lineRule="auto"/>
        <w:contextualSpacing/>
        <w:jc w:val="both"/>
        <w:rPr>
          <w:rFonts w:ascii="Arial" w:eastAsia="Calibri" w:hAnsi="Arial" w:cs="Arial"/>
          <w:sz w:val="20"/>
          <w:szCs w:val="20"/>
          <w:highlight w:val="yellow"/>
          <w:lang w:val="es-MX"/>
        </w:rPr>
      </w:pPr>
    </w:p>
    <w:p w14:paraId="14463827" w14:textId="64E4F58D" w:rsidR="008A7D2F" w:rsidRDefault="008A7D2F" w:rsidP="009D1356">
      <w:pPr>
        <w:spacing w:after="0" w:line="240" w:lineRule="auto"/>
        <w:contextualSpacing/>
        <w:jc w:val="both"/>
        <w:rPr>
          <w:rFonts w:ascii="Arial" w:eastAsia="Calibri" w:hAnsi="Arial" w:cs="Arial"/>
          <w:sz w:val="20"/>
          <w:szCs w:val="20"/>
          <w:highlight w:val="yellow"/>
          <w:lang w:val="es-MX"/>
        </w:rPr>
      </w:pPr>
    </w:p>
    <w:p w14:paraId="3EAD03B4" w14:textId="0E73F64C" w:rsidR="008A7D2F" w:rsidRDefault="008A7D2F" w:rsidP="009D1356">
      <w:pPr>
        <w:spacing w:after="0" w:line="240" w:lineRule="auto"/>
        <w:contextualSpacing/>
        <w:jc w:val="both"/>
        <w:rPr>
          <w:rFonts w:ascii="Arial" w:eastAsia="Calibri" w:hAnsi="Arial" w:cs="Arial"/>
          <w:sz w:val="20"/>
          <w:szCs w:val="20"/>
          <w:highlight w:val="yellow"/>
          <w:lang w:val="es-MX"/>
        </w:rPr>
      </w:pPr>
    </w:p>
    <w:p w14:paraId="11BC764A" w14:textId="06129C99" w:rsidR="008A7D2F" w:rsidRDefault="008A7D2F" w:rsidP="009D1356">
      <w:pPr>
        <w:spacing w:after="0" w:line="240" w:lineRule="auto"/>
        <w:contextualSpacing/>
        <w:jc w:val="both"/>
        <w:rPr>
          <w:rFonts w:ascii="Arial" w:eastAsia="Calibri" w:hAnsi="Arial" w:cs="Arial"/>
          <w:sz w:val="20"/>
          <w:szCs w:val="20"/>
          <w:highlight w:val="yellow"/>
          <w:lang w:val="es-MX"/>
        </w:rPr>
      </w:pPr>
    </w:p>
    <w:p w14:paraId="130E5767" w14:textId="283BB847" w:rsidR="008A7D2F" w:rsidRDefault="008A7D2F" w:rsidP="009D1356">
      <w:pPr>
        <w:spacing w:after="0" w:line="240" w:lineRule="auto"/>
        <w:contextualSpacing/>
        <w:jc w:val="both"/>
        <w:rPr>
          <w:rFonts w:ascii="Arial" w:eastAsia="Calibri" w:hAnsi="Arial" w:cs="Arial"/>
          <w:sz w:val="20"/>
          <w:szCs w:val="20"/>
          <w:highlight w:val="yellow"/>
          <w:lang w:val="es-MX"/>
        </w:rPr>
      </w:pPr>
    </w:p>
    <w:p w14:paraId="16193591" w14:textId="6028B0E0" w:rsidR="008A7D2F" w:rsidRDefault="008A7D2F" w:rsidP="009D1356">
      <w:pPr>
        <w:spacing w:after="0" w:line="240" w:lineRule="auto"/>
        <w:contextualSpacing/>
        <w:jc w:val="both"/>
        <w:rPr>
          <w:rFonts w:ascii="Arial" w:eastAsia="Calibri" w:hAnsi="Arial" w:cs="Arial"/>
          <w:sz w:val="20"/>
          <w:szCs w:val="20"/>
          <w:highlight w:val="yellow"/>
          <w:lang w:val="es-MX"/>
        </w:rPr>
      </w:pPr>
    </w:p>
    <w:p w14:paraId="141659DE" w14:textId="388260FB" w:rsidR="008A7D2F" w:rsidRDefault="008A7D2F" w:rsidP="009D1356">
      <w:pPr>
        <w:spacing w:after="0" w:line="240" w:lineRule="auto"/>
        <w:contextualSpacing/>
        <w:jc w:val="both"/>
        <w:rPr>
          <w:rFonts w:ascii="Arial" w:eastAsia="Calibri" w:hAnsi="Arial" w:cs="Arial"/>
          <w:sz w:val="20"/>
          <w:szCs w:val="20"/>
          <w:highlight w:val="yellow"/>
          <w:lang w:val="es-MX"/>
        </w:rPr>
      </w:pPr>
    </w:p>
    <w:p w14:paraId="7CCF5406" w14:textId="38D75806" w:rsidR="008A7D2F" w:rsidRDefault="008A7D2F" w:rsidP="009D1356">
      <w:pPr>
        <w:spacing w:after="0" w:line="240" w:lineRule="auto"/>
        <w:contextualSpacing/>
        <w:jc w:val="both"/>
        <w:rPr>
          <w:rFonts w:ascii="Arial" w:eastAsia="Calibri" w:hAnsi="Arial" w:cs="Arial"/>
          <w:sz w:val="20"/>
          <w:szCs w:val="20"/>
          <w:highlight w:val="yellow"/>
          <w:lang w:val="es-MX"/>
        </w:rPr>
      </w:pPr>
    </w:p>
    <w:p w14:paraId="3858C31C" w14:textId="4041D659" w:rsidR="008A7D2F" w:rsidRDefault="008A7D2F" w:rsidP="009D1356">
      <w:pPr>
        <w:spacing w:after="0" w:line="240" w:lineRule="auto"/>
        <w:contextualSpacing/>
        <w:jc w:val="both"/>
        <w:rPr>
          <w:rFonts w:ascii="Arial" w:eastAsia="Calibri" w:hAnsi="Arial" w:cs="Arial"/>
          <w:sz w:val="20"/>
          <w:szCs w:val="20"/>
          <w:highlight w:val="yellow"/>
          <w:lang w:val="es-MX"/>
        </w:rPr>
      </w:pPr>
    </w:p>
    <w:p w14:paraId="38C8F19E" w14:textId="0FEA19B6" w:rsidR="008A7D2F" w:rsidRDefault="008A7D2F" w:rsidP="009D1356">
      <w:pPr>
        <w:spacing w:after="0" w:line="240" w:lineRule="auto"/>
        <w:contextualSpacing/>
        <w:jc w:val="both"/>
        <w:rPr>
          <w:rFonts w:ascii="Arial" w:eastAsia="Calibri" w:hAnsi="Arial" w:cs="Arial"/>
          <w:sz w:val="20"/>
          <w:szCs w:val="20"/>
          <w:highlight w:val="yellow"/>
          <w:lang w:val="es-MX"/>
        </w:rPr>
      </w:pPr>
    </w:p>
    <w:p w14:paraId="22E91065" w14:textId="6226ABC9" w:rsidR="008A7D2F" w:rsidRDefault="008A7D2F" w:rsidP="009D1356">
      <w:pPr>
        <w:spacing w:after="0" w:line="240" w:lineRule="auto"/>
        <w:contextualSpacing/>
        <w:jc w:val="both"/>
        <w:rPr>
          <w:rFonts w:ascii="Arial" w:eastAsia="Calibri" w:hAnsi="Arial" w:cs="Arial"/>
          <w:sz w:val="20"/>
          <w:szCs w:val="20"/>
          <w:highlight w:val="yellow"/>
          <w:lang w:val="es-MX"/>
        </w:rPr>
      </w:pPr>
    </w:p>
    <w:p w14:paraId="00992799" w14:textId="0E90C970" w:rsidR="008A7D2F" w:rsidRDefault="008A7D2F" w:rsidP="009D1356">
      <w:pPr>
        <w:spacing w:after="0" w:line="240" w:lineRule="auto"/>
        <w:contextualSpacing/>
        <w:jc w:val="both"/>
        <w:rPr>
          <w:rFonts w:ascii="Arial" w:eastAsia="Calibri" w:hAnsi="Arial" w:cs="Arial"/>
          <w:sz w:val="20"/>
          <w:szCs w:val="20"/>
          <w:highlight w:val="yellow"/>
          <w:lang w:val="es-MX"/>
        </w:rPr>
      </w:pPr>
    </w:p>
    <w:p w14:paraId="638C91A6" w14:textId="22BC68FB" w:rsidR="008A7D2F" w:rsidRDefault="008A7D2F" w:rsidP="009D1356">
      <w:pPr>
        <w:spacing w:after="0" w:line="240" w:lineRule="auto"/>
        <w:contextualSpacing/>
        <w:jc w:val="both"/>
        <w:rPr>
          <w:rFonts w:ascii="Arial" w:eastAsia="Calibri" w:hAnsi="Arial" w:cs="Arial"/>
          <w:sz w:val="20"/>
          <w:szCs w:val="20"/>
          <w:highlight w:val="yellow"/>
          <w:lang w:val="es-MX"/>
        </w:rPr>
      </w:pPr>
    </w:p>
    <w:p w14:paraId="311434E9" w14:textId="6F3E8C4F" w:rsidR="008A7D2F" w:rsidRDefault="008A7D2F" w:rsidP="009D1356">
      <w:pPr>
        <w:spacing w:after="0" w:line="240" w:lineRule="auto"/>
        <w:contextualSpacing/>
        <w:jc w:val="both"/>
        <w:rPr>
          <w:rFonts w:ascii="Arial" w:eastAsia="Calibri" w:hAnsi="Arial" w:cs="Arial"/>
          <w:sz w:val="20"/>
          <w:szCs w:val="20"/>
          <w:highlight w:val="yellow"/>
          <w:lang w:val="es-MX"/>
        </w:rPr>
      </w:pPr>
    </w:p>
    <w:p w14:paraId="4D999F58" w14:textId="1982DB7F" w:rsidR="008A7D2F" w:rsidRDefault="008A7D2F" w:rsidP="009D1356">
      <w:pPr>
        <w:spacing w:after="0" w:line="240" w:lineRule="auto"/>
        <w:contextualSpacing/>
        <w:jc w:val="both"/>
        <w:rPr>
          <w:rFonts w:ascii="Arial" w:eastAsia="Calibri" w:hAnsi="Arial" w:cs="Arial"/>
          <w:sz w:val="20"/>
          <w:szCs w:val="20"/>
          <w:highlight w:val="yellow"/>
          <w:lang w:val="es-MX"/>
        </w:rPr>
      </w:pPr>
    </w:p>
    <w:p w14:paraId="4C2B5986" w14:textId="361640F9" w:rsidR="008A7D2F" w:rsidRDefault="008A7D2F" w:rsidP="009D1356">
      <w:pPr>
        <w:spacing w:after="0" w:line="240" w:lineRule="auto"/>
        <w:contextualSpacing/>
        <w:jc w:val="both"/>
        <w:rPr>
          <w:rFonts w:ascii="Arial" w:eastAsia="Calibri" w:hAnsi="Arial" w:cs="Arial"/>
          <w:sz w:val="20"/>
          <w:szCs w:val="20"/>
          <w:highlight w:val="yellow"/>
          <w:lang w:val="es-MX"/>
        </w:rPr>
      </w:pPr>
    </w:p>
    <w:p w14:paraId="0EC75B63" w14:textId="1109B105" w:rsidR="008A7D2F" w:rsidRPr="00D4364D" w:rsidRDefault="008A7D2F" w:rsidP="009D1356">
      <w:pPr>
        <w:spacing w:after="0" w:line="240" w:lineRule="auto"/>
        <w:contextualSpacing/>
        <w:jc w:val="both"/>
        <w:rPr>
          <w:rFonts w:ascii="Arial" w:eastAsia="Calibri" w:hAnsi="Arial" w:cs="Arial"/>
          <w:highlight w:val="yellow"/>
          <w:lang w:val="es-MX"/>
        </w:rPr>
      </w:pPr>
    </w:p>
    <w:p w14:paraId="3BD8CE4E" w14:textId="52505090" w:rsidR="008A7D2F" w:rsidRDefault="008A7D2F" w:rsidP="009D1356">
      <w:pPr>
        <w:spacing w:after="0" w:line="240" w:lineRule="auto"/>
        <w:contextualSpacing/>
        <w:jc w:val="both"/>
        <w:rPr>
          <w:rFonts w:ascii="Arial" w:eastAsia="Calibri" w:hAnsi="Arial" w:cs="Arial"/>
          <w:highlight w:val="yellow"/>
          <w:lang w:val="es-MX"/>
        </w:rPr>
      </w:pPr>
    </w:p>
    <w:p w14:paraId="6E2F84BE" w14:textId="766AB143" w:rsidR="00A5717C" w:rsidRDefault="00A5717C" w:rsidP="00A5717C">
      <w:pPr>
        <w:spacing w:after="0" w:line="240" w:lineRule="auto"/>
        <w:contextualSpacing/>
        <w:jc w:val="right"/>
        <w:rPr>
          <w:rFonts w:ascii="Arial" w:eastAsia="Calibri" w:hAnsi="Arial" w:cs="Arial"/>
          <w:highlight w:val="yellow"/>
          <w:lang w:val="es-MX"/>
        </w:rPr>
      </w:pPr>
      <w:r w:rsidRPr="00A5717C">
        <w:rPr>
          <w:rFonts w:ascii="Arial" w:eastAsia="Calibri" w:hAnsi="Arial" w:cs="Arial"/>
          <w:lang w:val="es-MX"/>
        </w:rPr>
        <w:drawing>
          <wp:inline distT="0" distB="0" distL="0" distR="0" wp14:anchorId="761F415C" wp14:editId="2375B171">
            <wp:extent cx="2724150" cy="725085"/>
            <wp:effectExtent l="0" t="0" r="0" b="0"/>
            <wp:docPr id="1" name="Imagen 1" descr="Texto,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hat o mensaje de texto&#10;&#10;Descripción generada automáticamente"/>
                    <pic:cNvPicPr/>
                  </pic:nvPicPr>
                  <pic:blipFill>
                    <a:blip r:embed="rId11"/>
                    <a:stretch>
                      <a:fillRect/>
                    </a:stretch>
                  </pic:blipFill>
                  <pic:spPr>
                    <a:xfrm>
                      <a:off x="0" y="0"/>
                      <a:ext cx="2744743" cy="730566"/>
                    </a:xfrm>
                    <a:prstGeom prst="rect">
                      <a:avLst/>
                    </a:prstGeom>
                  </pic:spPr>
                </pic:pic>
              </a:graphicData>
            </a:graphic>
          </wp:inline>
        </w:drawing>
      </w:r>
    </w:p>
    <w:p w14:paraId="338ECB06" w14:textId="080F7BF3" w:rsidR="00A5717C" w:rsidRDefault="00A5717C" w:rsidP="009D1356">
      <w:pPr>
        <w:spacing w:after="0" w:line="240" w:lineRule="auto"/>
        <w:contextualSpacing/>
        <w:jc w:val="both"/>
        <w:rPr>
          <w:rFonts w:ascii="Arial" w:eastAsia="Calibri" w:hAnsi="Arial" w:cs="Arial"/>
          <w:highlight w:val="yellow"/>
          <w:lang w:val="es-MX"/>
        </w:rPr>
      </w:pPr>
    </w:p>
    <w:p w14:paraId="1F9E31CA" w14:textId="7C48C02B" w:rsidR="00657188" w:rsidRPr="009D1356" w:rsidRDefault="003A6D8A" w:rsidP="00B546DB">
      <w:pPr>
        <w:spacing w:after="0" w:line="276" w:lineRule="auto"/>
        <w:jc w:val="right"/>
        <w:rPr>
          <w:rFonts w:ascii="Arial" w:eastAsia="Calibri" w:hAnsi="Arial" w:cs="Arial"/>
          <w:b/>
          <w:bCs/>
          <w:sz w:val="18"/>
          <w:szCs w:val="18"/>
        </w:rPr>
      </w:pPr>
      <w:r>
        <w:rPr>
          <w:rFonts w:ascii="Arial" w:hAnsi="Arial" w:cs="Arial"/>
          <w:b/>
          <w:bCs/>
          <w:sz w:val="18"/>
          <w:szCs w:val="18"/>
        </w:rPr>
        <w:t>C</w:t>
      </w:r>
      <w:r w:rsidR="00657188" w:rsidRPr="009D1356">
        <w:rPr>
          <w:rFonts w:ascii="Arial" w:hAnsi="Arial" w:cs="Arial"/>
          <w:b/>
          <w:bCs/>
          <w:sz w:val="18"/>
          <w:szCs w:val="18"/>
        </w:rPr>
        <w:t>CE-DES-FM-17</w:t>
      </w:r>
    </w:p>
    <w:p w14:paraId="39D741D8" w14:textId="4CE75C48" w:rsidR="00657188" w:rsidRDefault="00657188" w:rsidP="00465318">
      <w:pPr>
        <w:tabs>
          <w:tab w:val="left" w:pos="3374"/>
        </w:tabs>
        <w:spacing w:after="0"/>
        <w:rPr>
          <w:rFonts w:ascii="Arial" w:eastAsia="Calibri" w:hAnsi="Arial" w:cs="Arial"/>
        </w:rPr>
      </w:pPr>
    </w:p>
    <w:p w14:paraId="157CEE69" w14:textId="00214EA8" w:rsidR="00743E8C" w:rsidRDefault="001F0E5B" w:rsidP="00465318">
      <w:pPr>
        <w:tabs>
          <w:tab w:val="left" w:pos="3374"/>
        </w:tabs>
        <w:spacing w:after="0"/>
        <w:rPr>
          <w:rFonts w:ascii="Arial" w:eastAsia="Calibri" w:hAnsi="Arial" w:cs="Arial"/>
        </w:rPr>
      </w:pPr>
      <w:r>
        <w:rPr>
          <w:rFonts w:ascii="Arial" w:eastAsia="Calibri" w:hAnsi="Arial" w:cs="Arial"/>
        </w:rPr>
        <w:t>Bogotá, 29 de abril de 2021</w:t>
      </w:r>
    </w:p>
    <w:p w14:paraId="7C056F9A" w14:textId="77777777" w:rsidR="001F0E5B" w:rsidRPr="009A4A28" w:rsidRDefault="001F0E5B" w:rsidP="00465318">
      <w:pPr>
        <w:tabs>
          <w:tab w:val="left" w:pos="3374"/>
        </w:tabs>
        <w:spacing w:after="0"/>
        <w:rPr>
          <w:rFonts w:ascii="Arial" w:eastAsia="Calibri" w:hAnsi="Arial" w:cs="Arial"/>
        </w:rPr>
      </w:pPr>
    </w:p>
    <w:p w14:paraId="1205CDD1" w14:textId="7F5052C0" w:rsidR="00657188" w:rsidRPr="009A4A28" w:rsidRDefault="00657188" w:rsidP="00657188">
      <w:pPr>
        <w:spacing w:after="0"/>
        <w:rPr>
          <w:rFonts w:ascii="Arial" w:eastAsia="Calibri" w:hAnsi="Arial" w:cs="Arial"/>
        </w:rPr>
      </w:pPr>
      <w:bookmarkStart w:id="1" w:name="_Hlk63878566"/>
      <w:r w:rsidRPr="009A4A28">
        <w:rPr>
          <w:rFonts w:ascii="Arial" w:eastAsia="Calibri" w:hAnsi="Arial" w:cs="Arial"/>
        </w:rPr>
        <w:t>Señor</w:t>
      </w:r>
    </w:p>
    <w:p w14:paraId="03B5964F" w14:textId="71A4292B" w:rsidR="00657188" w:rsidRPr="009A4A28" w:rsidRDefault="0094239B" w:rsidP="00657188">
      <w:pPr>
        <w:spacing w:after="0"/>
        <w:rPr>
          <w:rFonts w:ascii="Arial" w:eastAsia="Calibri" w:hAnsi="Arial" w:cs="Arial"/>
          <w:b/>
          <w:lang w:val="es-ES"/>
        </w:rPr>
      </w:pPr>
      <w:r>
        <w:rPr>
          <w:rFonts w:ascii="Arial" w:eastAsia="Calibri" w:hAnsi="Arial" w:cs="Arial"/>
          <w:b/>
          <w:lang w:val="es-ES"/>
        </w:rPr>
        <w:t xml:space="preserve">Henry Felipe Velandia </w:t>
      </w:r>
      <w:proofErr w:type="spellStart"/>
      <w:r>
        <w:rPr>
          <w:rFonts w:ascii="Arial" w:eastAsia="Calibri" w:hAnsi="Arial" w:cs="Arial"/>
          <w:b/>
          <w:lang w:val="es-ES"/>
        </w:rPr>
        <w:t>Larrotta</w:t>
      </w:r>
      <w:proofErr w:type="spellEnd"/>
    </w:p>
    <w:p w14:paraId="6853FDD5" w14:textId="6F5592EF" w:rsidR="00657188" w:rsidRDefault="00DE2137" w:rsidP="00657188">
      <w:pPr>
        <w:spacing w:after="0"/>
        <w:rPr>
          <w:rFonts w:ascii="Arial" w:eastAsia="Calibri" w:hAnsi="Arial" w:cs="Arial"/>
        </w:rPr>
      </w:pPr>
      <w:r>
        <w:rPr>
          <w:rFonts w:ascii="Arial" w:eastAsia="Calibri" w:hAnsi="Arial" w:cs="Arial"/>
        </w:rPr>
        <w:t>Bogotá D.C.</w:t>
      </w:r>
    </w:p>
    <w:p w14:paraId="793DC9DD" w14:textId="77777777" w:rsidR="00657188" w:rsidRDefault="00657188" w:rsidP="00657188">
      <w:pPr>
        <w:spacing w:after="0"/>
        <w:rPr>
          <w:rFonts w:ascii="Arial" w:eastAsia="Calibri" w:hAnsi="Arial" w:cs="Arial"/>
        </w:rPr>
      </w:pPr>
      <w:r>
        <w:rPr>
          <w:rFonts w:ascii="Arial" w:eastAsia="Calibri" w:hAnsi="Arial" w:cs="Arial"/>
        </w:rPr>
        <w:t xml:space="preserve">                                            </w:t>
      </w:r>
    </w:p>
    <w:p w14:paraId="52761C4B" w14:textId="77777777" w:rsidR="00657188" w:rsidRPr="009A4A28" w:rsidRDefault="00657188" w:rsidP="00657188">
      <w:pPr>
        <w:spacing w:after="0"/>
        <w:rPr>
          <w:rFonts w:ascii="Arial" w:eastAsia="Calibri" w:hAnsi="Arial" w:cs="Arial"/>
        </w:rPr>
      </w:pPr>
    </w:p>
    <w:p w14:paraId="6CC58035" w14:textId="1F894594" w:rsidR="00B546DB" w:rsidRPr="009A4A28" w:rsidRDefault="00657188" w:rsidP="00465318">
      <w:pPr>
        <w:spacing w:after="0"/>
        <w:rPr>
          <w:rFonts w:ascii="Arial" w:eastAsia="Calibri" w:hAnsi="Arial" w:cs="Arial"/>
          <w:b/>
        </w:rPr>
      </w:pPr>
      <w:r>
        <w:rPr>
          <w:rFonts w:ascii="Arial" w:eastAsia="Calibri" w:hAnsi="Arial" w:cs="Arial"/>
          <w:b/>
        </w:rPr>
        <w:t xml:space="preserve">                                            </w:t>
      </w:r>
      <w:r w:rsidRPr="009A4A28">
        <w:rPr>
          <w:rFonts w:ascii="Arial" w:eastAsia="Calibri" w:hAnsi="Arial" w:cs="Arial"/>
          <w:b/>
        </w:rPr>
        <w:t xml:space="preserve">Concepto C </w:t>
      </w:r>
      <w:r>
        <w:rPr>
          <w:rFonts w:ascii="Arial" w:eastAsia="Calibri" w:hAnsi="Arial" w:cs="Arial"/>
          <w:b/>
        </w:rPr>
        <w:t>–</w:t>
      </w:r>
      <w:r w:rsidRPr="009A4A28">
        <w:rPr>
          <w:rFonts w:ascii="Arial" w:eastAsia="Calibri" w:hAnsi="Arial" w:cs="Arial"/>
          <w:b/>
        </w:rPr>
        <w:t xml:space="preserve"> </w:t>
      </w:r>
      <w:r w:rsidR="00D3794E">
        <w:rPr>
          <w:rFonts w:ascii="Arial" w:eastAsia="Calibri" w:hAnsi="Arial" w:cs="Arial"/>
          <w:b/>
        </w:rPr>
        <w:t>1</w:t>
      </w:r>
      <w:r w:rsidR="00AC3E1A">
        <w:rPr>
          <w:rFonts w:ascii="Arial" w:eastAsia="Calibri" w:hAnsi="Arial" w:cs="Arial"/>
          <w:b/>
        </w:rPr>
        <w:t>8</w:t>
      </w:r>
      <w:r w:rsidR="0094239B">
        <w:rPr>
          <w:rFonts w:ascii="Arial" w:eastAsia="Calibri" w:hAnsi="Arial" w:cs="Arial"/>
          <w:b/>
        </w:rPr>
        <w:t>3</w:t>
      </w:r>
      <w:r w:rsidRPr="009A4A28">
        <w:rPr>
          <w:rFonts w:ascii="Arial" w:eastAsia="Calibri" w:hAnsi="Arial" w:cs="Arial"/>
          <w:b/>
        </w:rPr>
        <w:t xml:space="preserve"> de 202</w:t>
      </w:r>
      <w:r>
        <w:rPr>
          <w:rFonts w:ascii="Arial" w:eastAsia="Calibri" w:hAnsi="Arial" w:cs="Arial"/>
          <w:b/>
        </w:rPr>
        <w:t>1</w:t>
      </w:r>
    </w:p>
    <w:p w14:paraId="5DA7DD62" w14:textId="77777777" w:rsidR="00657188" w:rsidRPr="009A4A28" w:rsidRDefault="00657188" w:rsidP="00465318">
      <w:pPr>
        <w:spacing w:after="0"/>
        <w:rPr>
          <w:rFonts w:ascii="Arial" w:eastAsia="Calibri" w:hAnsi="Arial"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57188" w:rsidRPr="009A4A28" w14:paraId="62C14388" w14:textId="77777777" w:rsidTr="00673C14">
        <w:tc>
          <w:tcPr>
            <w:tcW w:w="2689" w:type="dxa"/>
            <w:hideMark/>
          </w:tcPr>
          <w:p w14:paraId="0BE4EB78" w14:textId="77777777" w:rsidR="00657188" w:rsidRPr="009A4A28" w:rsidRDefault="00657188" w:rsidP="00673C14">
            <w:pPr>
              <w:rPr>
                <w:rFonts w:ascii="Arial" w:eastAsia="Calibri" w:hAnsi="Arial" w:cs="Arial"/>
              </w:rPr>
            </w:pPr>
            <w:r w:rsidRPr="009A4A28">
              <w:rPr>
                <w:rFonts w:ascii="Arial" w:eastAsia="Calibri" w:hAnsi="Arial" w:cs="Arial"/>
                <w:b/>
              </w:rPr>
              <w:t>Temas:</w:t>
            </w:r>
            <w:r w:rsidRPr="009A4A28">
              <w:rPr>
                <w:rFonts w:ascii="Arial" w:eastAsia="Calibri" w:hAnsi="Arial" w:cs="Arial"/>
              </w:rPr>
              <w:t xml:space="preserve">           </w:t>
            </w:r>
          </w:p>
          <w:p w14:paraId="682A1F87" w14:textId="77777777" w:rsidR="00657188" w:rsidRPr="009A4A28" w:rsidRDefault="00657188" w:rsidP="00673C14">
            <w:pPr>
              <w:rPr>
                <w:rFonts w:ascii="Arial" w:eastAsia="Calibri" w:hAnsi="Arial" w:cs="Arial"/>
              </w:rPr>
            </w:pPr>
            <w:r w:rsidRPr="009A4A28">
              <w:rPr>
                <w:rFonts w:ascii="Arial" w:eastAsia="Calibri" w:hAnsi="Arial" w:cs="Arial"/>
              </w:rPr>
              <w:t xml:space="preserve">                           </w:t>
            </w:r>
          </w:p>
        </w:tc>
        <w:tc>
          <w:tcPr>
            <w:tcW w:w="6237" w:type="dxa"/>
            <w:hideMark/>
          </w:tcPr>
          <w:p w14:paraId="33085C14" w14:textId="0A58913C" w:rsidR="00657188" w:rsidRPr="009A4A28" w:rsidRDefault="00081320" w:rsidP="00673C14">
            <w:pPr>
              <w:spacing w:after="120"/>
              <w:jc w:val="both"/>
              <w:rPr>
                <w:rFonts w:ascii="Arial" w:eastAsia="Calibri" w:hAnsi="Arial" w:cs="Arial"/>
              </w:rPr>
            </w:pPr>
            <w:r w:rsidRPr="00BF3A94">
              <w:rPr>
                <w:rFonts w:ascii="Arial" w:eastAsia="Calibri" w:hAnsi="Arial" w:cs="Arial"/>
              </w:rPr>
              <w:t xml:space="preserve">DOCUMENTOS TIPO – Infraestructura de agua potable y saneamiento básico – </w:t>
            </w:r>
            <w:r w:rsidRPr="00566EE9">
              <w:rPr>
                <w:rFonts w:ascii="Arial" w:eastAsia="Calibri" w:hAnsi="Arial" w:cs="Arial"/>
              </w:rPr>
              <w:t xml:space="preserve">Inalterabilidad / </w:t>
            </w:r>
            <w:r w:rsidR="00566EE9" w:rsidRPr="00566EE9">
              <w:rPr>
                <w:rFonts w:ascii="Arial" w:eastAsia="Calibri" w:hAnsi="Arial" w:cs="Arial"/>
              </w:rPr>
              <w:t>DOCUMENTOS TIPO – Infraestructura de agua potable y saneamiento básico – Matriz 1 – Experiencia – Actividad principal</w:t>
            </w:r>
          </w:p>
        </w:tc>
      </w:tr>
      <w:tr w:rsidR="00657188" w:rsidRPr="009A4A28" w14:paraId="35EF18DF" w14:textId="77777777" w:rsidTr="00673C14">
        <w:tc>
          <w:tcPr>
            <w:tcW w:w="2689" w:type="dxa"/>
          </w:tcPr>
          <w:p w14:paraId="2B489133" w14:textId="77777777" w:rsidR="00657188" w:rsidRPr="009A4A28" w:rsidRDefault="00657188" w:rsidP="00673C14">
            <w:pPr>
              <w:rPr>
                <w:rFonts w:ascii="Arial" w:eastAsia="Calibri" w:hAnsi="Arial" w:cs="Arial"/>
                <w:b/>
              </w:rPr>
            </w:pPr>
            <w:r w:rsidRPr="009A4A28">
              <w:rPr>
                <w:rFonts w:ascii="Arial" w:eastAsia="Calibri" w:hAnsi="Arial" w:cs="Arial"/>
                <w:b/>
              </w:rPr>
              <w:t>Radicación:</w:t>
            </w:r>
            <w:r w:rsidRPr="009A4A28">
              <w:rPr>
                <w:rFonts w:ascii="Arial" w:eastAsia="Calibri" w:hAnsi="Arial" w:cs="Arial"/>
              </w:rPr>
              <w:t xml:space="preserve">                              </w:t>
            </w:r>
          </w:p>
        </w:tc>
        <w:tc>
          <w:tcPr>
            <w:tcW w:w="6237" w:type="dxa"/>
          </w:tcPr>
          <w:p w14:paraId="19F70E5F" w14:textId="49E305A0" w:rsidR="00657188" w:rsidRPr="009A4A28" w:rsidRDefault="00657188" w:rsidP="00673C14">
            <w:pPr>
              <w:jc w:val="both"/>
              <w:rPr>
                <w:rFonts w:ascii="Arial" w:eastAsia="Calibri" w:hAnsi="Arial" w:cs="Arial"/>
              </w:rPr>
            </w:pPr>
            <w:r w:rsidRPr="009A4A28">
              <w:rPr>
                <w:rFonts w:ascii="Arial" w:eastAsia="Calibri" w:hAnsi="Arial" w:cs="Arial"/>
              </w:rPr>
              <w:t>Respuesta a consulta</w:t>
            </w:r>
            <w:r w:rsidR="0094239B">
              <w:rPr>
                <w:rFonts w:ascii="Arial" w:eastAsia="Calibri" w:hAnsi="Arial" w:cs="Arial"/>
              </w:rPr>
              <w:t>s acumuladas</w:t>
            </w:r>
            <w:r w:rsidRPr="009A4A28">
              <w:rPr>
                <w:rFonts w:ascii="Arial" w:eastAsia="Calibri" w:hAnsi="Arial" w:cs="Arial"/>
              </w:rPr>
              <w:t xml:space="preserve"> # </w:t>
            </w:r>
            <w:r w:rsidR="0094239B" w:rsidRPr="0094239B">
              <w:rPr>
                <w:rFonts w:ascii="Arial" w:eastAsia="Calibri" w:hAnsi="Arial" w:cs="Arial"/>
              </w:rPr>
              <w:t>P20210315002126</w:t>
            </w:r>
            <w:r w:rsidR="0094239B">
              <w:rPr>
                <w:rFonts w:ascii="Arial" w:eastAsia="Calibri" w:hAnsi="Arial" w:cs="Arial"/>
              </w:rPr>
              <w:t xml:space="preserve"> y </w:t>
            </w:r>
            <w:r w:rsidR="0094239B" w:rsidRPr="0094239B">
              <w:rPr>
                <w:rFonts w:ascii="Arial" w:eastAsia="Calibri" w:hAnsi="Arial" w:cs="Arial"/>
              </w:rPr>
              <w:t>P2021031500212</w:t>
            </w:r>
            <w:r w:rsidR="0094239B">
              <w:rPr>
                <w:rFonts w:ascii="Arial" w:eastAsia="Calibri" w:hAnsi="Arial" w:cs="Arial"/>
              </w:rPr>
              <w:t>8</w:t>
            </w:r>
          </w:p>
        </w:tc>
      </w:tr>
    </w:tbl>
    <w:p w14:paraId="3099EBFE" w14:textId="77777777" w:rsidR="00657188" w:rsidRPr="009A4A28" w:rsidRDefault="00657188" w:rsidP="00465318">
      <w:pPr>
        <w:spacing w:after="0"/>
        <w:jc w:val="both"/>
        <w:rPr>
          <w:rFonts w:ascii="Arial" w:eastAsia="Calibri" w:hAnsi="Arial" w:cs="Arial"/>
        </w:rPr>
      </w:pPr>
    </w:p>
    <w:p w14:paraId="1BFF45F8" w14:textId="77777777" w:rsidR="00657188" w:rsidRPr="009A4A28" w:rsidRDefault="00657188" w:rsidP="00465318">
      <w:pPr>
        <w:spacing w:after="0"/>
        <w:rPr>
          <w:rFonts w:ascii="Arial" w:eastAsia="Calibri" w:hAnsi="Arial" w:cs="Arial"/>
        </w:rPr>
      </w:pPr>
    </w:p>
    <w:p w14:paraId="2B2BF4A4" w14:textId="40F2D94E" w:rsidR="00657188" w:rsidRPr="009A4A28" w:rsidRDefault="00657188" w:rsidP="00465318">
      <w:pPr>
        <w:spacing w:after="0"/>
        <w:rPr>
          <w:rFonts w:ascii="Arial" w:eastAsia="Calibri" w:hAnsi="Arial" w:cs="Arial"/>
        </w:rPr>
      </w:pPr>
      <w:r w:rsidRPr="009A4A28">
        <w:rPr>
          <w:rFonts w:ascii="Arial" w:eastAsia="Calibri" w:hAnsi="Arial" w:cs="Arial"/>
        </w:rPr>
        <w:t>Estimad</w:t>
      </w:r>
      <w:r w:rsidR="00D3794E">
        <w:rPr>
          <w:rFonts w:ascii="Arial" w:eastAsia="Calibri" w:hAnsi="Arial" w:cs="Arial"/>
        </w:rPr>
        <w:t>o</w:t>
      </w:r>
      <w:r w:rsidRPr="009A4A28">
        <w:rPr>
          <w:rFonts w:ascii="Arial" w:eastAsia="Calibri" w:hAnsi="Arial" w:cs="Arial"/>
        </w:rPr>
        <w:t xml:space="preserve"> señor </w:t>
      </w:r>
      <w:r w:rsidR="0094239B">
        <w:rPr>
          <w:rFonts w:ascii="Arial" w:eastAsia="Calibri" w:hAnsi="Arial" w:cs="Arial"/>
        </w:rPr>
        <w:t>Velandia</w:t>
      </w:r>
      <w:r w:rsidR="00DE2137">
        <w:rPr>
          <w:rFonts w:ascii="Arial" w:eastAsia="Calibri" w:hAnsi="Arial" w:cs="Arial"/>
        </w:rPr>
        <w:t>:</w:t>
      </w:r>
    </w:p>
    <w:p w14:paraId="5054FE3C" w14:textId="77777777" w:rsidR="00657188" w:rsidRPr="009A4A28" w:rsidRDefault="00657188" w:rsidP="00465318">
      <w:pPr>
        <w:spacing w:after="0"/>
        <w:rPr>
          <w:rFonts w:ascii="Arial" w:eastAsia="Calibri" w:hAnsi="Arial" w:cs="Arial"/>
        </w:rPr>
      </w:pPr>
    </w:p>
    <w:p w14:paraId="67AA28A6" w14:textId="2C97165C" w:rsidR="00657188" w:rsidRPr="009A4A28" w:rsidRDefault="00657188" w:rsidP="00657188">
      <w:pPr>
        <w:spacing w:after="0" w:line="276" w:lineRule="auto"/>
        <w:jc w:val="both"/>
        <w:rPr>
          <w:rFonts w:ascii="Arial" w:eastAsia="Calibri" w:hAnsi="Arial" w:cs="Arial"/>
        </w:rPr>
      </w:pPr>
      <w:r w:rsidRPr="009A4A28">
        <w:rPr>
          <w:rFonts w:ascii="Arial" w:eastAsia="Calibri" w:hAnsi="Arial" w:cs="Arial"/>
        </w:rPr>
        <w:t xml:space="preserve">En ejercicio de la competencia otorgada por el numeral 8 del artículo 11 y el numeral 5 del artículo 3 del Decreto Ley 4170 de 2011, la Agencia Nacional de Contratación Pública </w:t>
      </w:r>
      <w:r w:rsidR="00B546DB">
        <w:rPr>
          <w:rFonts w:ascii="Arial" w:eastAsia="Calibri" w:hAnsi="Arial" w:cs="Arial"/>
        </w:rPr>
        <w:t>–</w:t>
      </w:r>
      <w:r w:rsidRPr="009A4A28">
        <w:rPr>
          <w:rFonts w:ascii="Arial" w:eastAsia="Calibri" w:hAnsi="Arial" w:cs="Arial"/>
        </w:rPr>
        <w:t xml:space="preserve"> Colombia Compra Eficiente responde su</w:t>
      </w:r>
      <w:r w:rsidR="0094239B">
        <w:rPr>
          <w:rFonts w:ascii="Arial" w:eastAsia="Calibri" w:hAnsi="Arial" w:cs="Arial"/>
        </w:rPr>
        <w:t>s</w:t>
      </w:r>
      <w:r w:rsidRPr="009A4A28">
        <w:rPr>
          <w:rFonts w:ascii="Arial" w:eastAsia="Calibri" w:hAnsi="Arial" w:cs="Arial"/>
        </w:rPr>
        <w:t xml:space="preserve"> consulta</w:t>
      </w:r>
      <w:r w:rsidR="0094239B">
        <w:rPr>
          <w:rFonts w:ascii="Arial" w:eastAsia="Calibri" w:hAnsi="Arial" w:cs="Arial"/>
        </w:rPr>
        <w:t>s</w:t>
      </w:r>
      <w:r w:rsidRPr="009A4A28">
        <w:rPr>
          <w:rFonts w:ascii="Arial" w:eastAsia="Calibri" w:hAnsi="Arial" w:cs="Arial"/>
        </w:rPr>
        <w:t xml:space="preserve"> del</w:t>
      </w:r>
      <w:r w:rsidR="00AC3E1A">
        <w:rPr>
          <w:rFonts w:ascii="Arial" w:eastAsia="Calibri" w:hAnsi="Arial" w:cs="Arial"/>
        </w:rPr>
        <w:t xml:space="preserve"> 15</w:t>
      </w:r>
      <w:r w:rsidRPr="009A4A28">
        <w:rPr>
          <w:rFonts w:ascii="Arial" w:eastAsia="Calibri" w:hAnsi="Arial" w:cs="Arial"/>
        </w:rPr>
        <w:t xml:space="preserve"> de </w:t>
      </w:r>
      <w:r w:rsidR="00AC3E1A">
        <w:rPr>
          <w:rFonts w:ascii="Arial" w:eastAsia="Calibri" w:hAnsi="Arial" w:cs="Arial"/>
        </w:rPr>
        <w:t>ma</w:t>
      </w:r>
      <w:r w:rsidR="00D3794E">
        <w:rPr>
          <w:rFonts w:ascii="Arial" w:eastAsia="Calibri" w:hAnsi="Arial" w:cs="Arial"/>
        </w:rPr>
        <w:t>r</w:t>
      </w:r>
      <w:r w:rsidR="00AC3E1A">
        <w:rPr>
          <w:rFonts w:ascii="Arial" w:eastAsia="Calibri" w:hAnsi="Arial" w:cs="Arial"/>
        </w:rPr>
        <w:t>z</w:t>
      </w:r>
      <w:r w:rsidR="00D3794E">
        <w:rPr>
          <w:rFonts w:ascii="Arial" w:eastAsia="Calibri" w:hAnsi="Arial" w:cs="Arial"/>
        </w:rPr>
        <w:t>o</w:t>
      </w:r>
      <w:r w:rsidRPr="009A4A28">
        <w:rPr>
          <w:rFonts w:ascii="Arial" w:eastAsia="Calibri" w:hAnsi="Arial" w:cs="Arial"/>
        </w:rPr>
        <w:t xml:space="preserve"> del 202</w:t>
      </w:r>
      <w:r>
        <w:rPr>
          <w:rFonts w:ascii="Arial" w:eastAsia="Calibri" w:hAnsi="Arial" w:cs="Arial"/>
        </w:rPr>
        <w:t>1</w:t>
      </w:r>
      <w:r w:rsidRPr="009A4A28">
        <w:rPr>
          <w:rFonts w:ascii="Arial" w:eastAsia="Calibri" w:hAnsi="Arial" w:cs="Arial"/>
        </w:rPr>
        <w:t>.</w:t>
      </w:r>
    </w:p>
    <w:p w14:paraId="05E654E1" w14:textId="77777777" w:rsidR="00657188" w:rsidRPr="009A4A28" w:rsidRDefault="00657188" w:rsidP="00657188">
      <w:pPr>
        <w:spacing w:after="0" w:line="276" w:lineRule="auto"/>
        <w:jc w:val="both"/>
        <w:rPr>
          <w:rFonts w:ascii="Arial" w:eastAsia="Calibri" w:hAnsi="Arial" w:cs="Arial"/>
        </w:rPr>
      </w:pPr>
    </w:p>
    <w:p w14:paraId="7052F6C7" w14:textId="20E7D778" w:rsidR="00657188" w:rsidRPr="009A4A28" w:rsidRDefault="00657188" w:rsidP="00657188">
      <w:pPr>
        <w:pStyle w:val="Prrafodelista"/>
        <w:tabs>
          <w:tab w:val="left" w:pos="284"/>
        </w:tabs>
        <w:spacing w:line="276" w:lineRule="auto"/>
        <w:ind w:left="0"/>
        <w:jc w:val="both"/>
        <w:rPr>
          <w:rFonts w:ascii="Arial" w:eastAsia="Calibri" w:hAnsi="Arial" w:cs="Arial"/>
          <w:b/>
          <w:sz w:val="22"/>
        </w:rPr>
      </w:pPr>
      <w:bookmarkStart w:id="2" w:name="_Hlk29890381"/>
      <w:r w:rsidRPr="009A4A28">
        <w:rPr>
          <w:rFonts w:ascii="Arial" w:eastAsia="Calibri" w:hAnsi="Arial" w:cs="Arial"/>
          <w:b/>
          <w:sz w:val="22"/>
        </w:rPr>
        <w:t>1. Problema planteado</w:t>
      </w:r>
    </w:p>
    <w:p w14:paraId="39D23597" w14:textId="77777777" w:rsidR="00657188" w:rsidRPr="009A4A28" w:rsidRDefault="00657188" w:rsidP="00657188">
      <w:pPr>
        <w:tabs>
          <w:tab w:val="left" w:pos="426"/>
        </w:tabs>
        <w:spacing w:after="0" w:line="276" w:lineRule="auto"/>
        <w:jc w:val="both"/>
        <w:rPr>
          <w:rFonts w:ascii="Arial" w:eastAsia="Calibri" w:hAnsi="Arial" w:cs="Arial"/>
          <w:b/>
        </w:rPr>
      </w:pPr>
    </w:p>
    <w:p w14:paraId="60068478" w14:textId="056010C1" w:rsidR="00677990" w:rsidRPr="009A4A28" w:rsidRDefault="007A4273" w:rsidP="005D44B4">
      <w:pPr>
        <w:tabs>
          <w:tab w:val="left" w:pos="426"/>
        </w:tabs>
        <w:spacing w:after="0" w:line="276" w:lineRule="auto"/>
        <w:jc w:val="both"/>
        <w:rPr>
          <w:rFonts w:ascii="Arial" w:eastAsia="Calibri" w:hAnsi="Arial" w:cs="Arial"/>
        </w:rPr>
      </w:pPr>
      <w:bookmarkStart w:id="3" w:name="_Hlk68679800"/>
      <w:bookmarkStart w:id="4" w:name="_Hlk70510229"/>
      <w:r>
        <w:rPr>
          <w:rFonts w:ascii="Arial" w:eastAsia="Calibri" w:hAnsi="Arial" w:cs="Arial"/>
        </w:rPr>
        <w:t xml:space="preserve">Respecto de la experiencia específica de la actividad 1.2 de la </w:t>
      </w:r>
      <w:r w:rsidR="00573224">
        <w:rPr>
          <w:rFonts w:ascii="Arial" w:eastAsia="Calibri" w:hAnsi="Arial" w:cs="Arial"/>
        </w:rPr>
        <w:t>m</w:t>
      </w:r>
      <w:r>
        <w:rPr>
          <w:rFonts w:ascii="Arial" w:eastAsia="Calibri" w:hAnsi="Arial" w:cs="Arial"/>
        </w:rPr>
        <w:t>atriz 1</w:t>
      </w:r>
      <w:r w:rsidR="00573224">
        <w:rPr>
          <w:rFonts w:ascii="Arial" w:eastAsia="Calibri" w:hAnsi="Arial" w:cs="Arial"/>
        </w:rPr>
        <w:t xml:space="preserve"> de</w:t>
      </w:r>
      <w:r w:rsidR="00B546DB">
        <w:rPr>
          <w:rFonts w:ascii="Arial" w:eastAsia="Calibri" w:hAnsi="Arial" w:cs="Arial"/>
        </w:rPr>
        <w:t xml:space="preserve"> </w:t>
      </w:r>
      <w:r w:rsidR="00573224">
        <w:rPr>
          <w:rFonts w:ascii="Arial" w:eastAsia="Calibri" w:hAnsi="Arial" w:cs="Arial"/>
        </w:rPr>
        <w:t>los documentos tipo de agua potable y saneamiento básico</w:t>
      </w:r>
      <w:r w:rsidR="000A344D">
        <w:rPr>
          <w:rFonts w:ascii="Arial" w:eastAsia="Calibri" w:hAnsi="Arial" w:cs="Arial"/>
        </w:rPr>
        <w:t>, u</w:t>
      </w:r>
      <w:r w:rsidR="000A344D" w:rsidRPr="009A4A28">
        <w:rPr>
          <w:rFonts w:ascii="Arial" w:eastAsia="Calibri" w:hAnsi="Arial" w:cs="Arial"/>
        </w:rPr>
        <w:t xml:space="preserve">sted </w:t>
      </w:r>
      <w:r w:rsidR="000A344D">
        <w:rPr>
          <w:rFonts w:ascii="Arial" w:eastAsia="Calibri" w:hAnsi="Arial" w:cs="Arial"/>
        </w:rPr>
        <w:t>solicita aclarar</w:t>
      </w:r>
      <w:r w:rsidR="000A344D" w:rsidRPr="009A4A28">
        <w:rPr>
          <w:rFonts w:ascii="Arial" w:eastAsia="Calibri" w:hAnsi="Arial" w:cs="Arial"/>
        </w:rPr>
        <w:t>:</w:t>
      </w:r>
      <w:r w:rsidR="00573224" w:rsidRPr="009A4A28">
        <w:rPr>
          <w:rFonts w:ascii="Arial" w:eastAsia="Calibri" w:hAnsi="Arial" w:cs="Arial"/>
        </w:rPr>
        <w:t xml:space="preserve"> </w:t>
      </w:r>
      <w:r w:rsidR="00657188" w:rsidRPr="009A4A28">
        <w:rPr>
          <w:rFonts w:ascii="Arial" w:eastAsia="Calibri" w:hAnsi="Arial" w:cs="Arial"/>
        </w:rPr>
        <w:t xml:space="preserve">«[…] </w:t>
      </w:r>
      <w:r w:rsidR="005D44B4" w:rsidRPr="005D44B4">
        <w:rPr>
          <w:rFonts w:ascii="Arial" w:eastAsia="Calibri" w:hAnsi="Arial" w:cs="Arial"/>
        </w:rPr>
        <w:t xml:space="preserve">qué se entiende por ACTIVIDAD PRINCIPAL, si es en la </w:t>
      </w:r>
      <w:proofErr w:type="gramStart"/>
      <w:r w:rsidR="005D44B4" w:rsidRPr="005D44B4">
        <w:rPr>
          <w:rFonts w:ascii="Arial" w:eastAsia="Calibri" w:hAnsi="Arial" w:cs="Arial"/>
        </w:rPr>
        <w:t>mayor</w:t>
      </w:r>
      <w:r w:rsidR="005D44B4">
        <w:rPr>
          <w:rFonts w:ascii="Arial" w:eastAsia="Calibri" w:hAnsi="Arial" w:cs="Arial"/>
        </w:rPr>
        <w:t xml:space="preserve"> </w:t>
      </w:r>
      <w:r w:rsidR="005D44B4" w:rsidRPr="005D44B4">
        <w:rPr>
          <w:rFonts w:ascii="Arial" w:eastAsia="Calibri" w:hAnsi="Arial" w:cs="Arial"/>
        </w:rPr>
        <w:t>longitud o la mayor cuantía</w:t>
      </w:r>
      <w:proofErr w:type="gramEnd"/>
      <w:r w:rsidR="005D44B4" w:rsidRPr="005D44B4">
        <w:rPr>
          <w:rFonts w:ascii="Arial" w:eastAsia="Calibri" w:hAnsi="Arial" w:cs="Arial"/>
        </w:rPr>
        <w:t xml:space="preserve">, si puede ser de uno o varios ítems. Es </w:t>
      </w:r>
      <w:r w:rsidR="007D51A8" w:rsidRPr="005D44B4">
        <w:rPr>
          <w:rFonts w:ascii="Arial" w:eastAsia="Calibri" w:hAnsi="Arial" w:cs="Arial"/>
        </w:rPr>
        <w:t>decir,</w:t>
      </w:r>
      <w:r w:rsidR="005D44B4" w:rsidRPr="005D44B4">
        <w:rPr>
          <w:rFonts w:ascii="Arial" w:eastAsia="Calibri" w:hAnsi="Arial" w:cs="Arial"/>
        </w:rPr>
        <w:t xml:space="preserve"> si se puede exigir en el mismo contrato; por ejemplo, experiencia en 3000 metros lineales de tubería PVC y 59 acometidas domiciliarias</w:t>
      </w:r>
      <w:r w:rsidR="008575F5">
        <w:rPr>
          <w:rFonts w:ascii="Arial" w:eastAsia="Calibri" w:hAnsi="Arial" w:cs="Arial"/>
        </w:rPr>
        <w:t>»</w:t>
      </w:r>
      <w:bookmarkEnd w:id="3"/>
      <w:bookmarkEnd w:id="4"/>
      <w:r>
        <w:rPr>
          <w:rFonts w:ascii="Arial" w:eastAsia="Calibri" w:hAnsi="Arial" w:cs="Arial"/>
        </w:rPr>
        <w:t>.</w:t>
      </w:r>
    </w:p>
    <w:p w14:paraId="5E226406" w14:textId="77777777" w:rsidR="00657188" w:rsidRPr="009A4A28" w:rsidRDefault="00657188" w:rsidP="00657188">
      <w:pPr>
        <w:tabs>
          <w:tab w:val="left" w:pos="426"/>
        </w:tabs>
        <w:spacing w:after="0" w:line="276" w:lineRule="auto"/>
        <w:jc w:val="both"/>
        <w:rPr>
          <w:rFonts w:ascii="Arial" w:eastAsia="Calibri" w:hAnsi="Arial" w:cs="Arial"/>
        </w:rPr>
      </w:pPr>
    </w:p>
    <w:p w14:paraId="68641DC2" w14:textId="77777777" w:rsidR="00657188" w:rsidRPr="009A4A28" w:rsidRDefault="00657188" w:rsidP="00657188">
      <w:pPr>
        <w:tabs>
          <w:tab w:val="left" w:pos="426"/>
        </w:tabs>
        <w:spacing w:after="0" w:line="276" w:lineRule="auto"/>
        <w:jc w:val="both"/>
        <w:rPr>
          <w:rFonts w:ascii="Arial" w:eastAsia="Calibri" w:hAnsi="Arial" w:cs="Arial"/>
          <w:b/>
        </w:rPr>
      </w:pPr>
      <w:r w:rsidRPr="009A4A28">
        <w:rPr>
          <w:rFonts w:ascii="Arial" w:eastAsia="Calibri" w:hAnsi="Arial" w:cs="Arial"/>
          <w:b/>
        </w:rPr>
        <w:t>2. Consideraciones</w:t>
      </w:r>
    </w:p>
    <w:p w14:paraId="63D684AD" w14:textId="77777777" w:rsidR="00657188" w:rsidRDefault="00657188" w:rsidP="00657188">
      <w:pPr>
        <w:spacing w:after="0" w:line="240" w:lineRule="auto"/>
        <w:ind w:firstLine="708"/>
        <w:jc w:val="both"/>
        <w:rPr>
          <w:rFonts w:ascii="Arial" w:eastAsia="Calibri" w:hAnsi="Arial" w:cs="Arial"/>
        </w:rPr>
      </w:pPr>
    </w:p>
    <w:p w14:paraId="37ACBB96" w14:textId="395B3993" w:rsidR="00657188" w:rsidRDefault="00657188" w:rsidP="00D4364D">
      <w:pPr>
        <w:spacing w:after="120" w:line="276" w:lineRule="auto"/>
        <w:jc w:val="both"/>
        <w:rPr>
          <w:rFonts w:ascii="Arial" w:eastAsia="Calibri" w:hAnsi="Arial" w:cs="Arial"/>
        </w:rPr>
      </w:pPr>
      <w:bookmarkStart w:id="5" w:name="_Hlk63843962"/>
      <w:r w:rsidRPr="009A4A28">
        <w:rPr>
          <w:rFonts w:ascii="Arial" w:eastAsia="Calibri" w:hAnsi="Arial" w:cs="Arial"/>
        </w:rPr>
        <w:lastRenderedPageBreak/>
        <w:t xml:space="preserve">La Agencia </w:t>
      </w:r>
      <w:r w:rsidRPr="009A4A28">
        <w:rPr>
          <w:rFonts w:ascii="Arial" w:eastAsia="Calibri" w:hAnsi="Arial" w:cs="Arial"/>
          <w:bCs/>
        </w:rPr>
        <w:t>Nacional de Contratación Pública – Colombia Compra Eficiente,</w:t>
      </w:r>
      <w:r w:rsidRPr="009A4A28">
        <w:t xml:space="preserve"> </w:t>
      </w:r>
      <w:r w:rsidRPr="009A4A28">
        <w:rPr>
          <w:rFonts w:ascii="Arial" w:eastAsia="Calibri" w:hAnsi="Arial" w:cs="Arial"/>
          <w:bCs/>
        </w:rPr>
        <w:t>en el concepto con radicado No. 4201912000004855 del 13 de agosto de 2019, reiterado y desarrollado en los conceptos No.</w:t>
      </w:r>
      <w:r>
        <w:rPr>
          <w:rFonts w:ascii="Arial" w:eastAsia="Calibri" w:hAnsi="Arial" w:cs="Arial"/>
          <w:bCs/>
        </w:rPr>
        <w:t xml:space="preserve"> </w:t>
      </w:r>
      <w:r w:rsidRPr="009A4A28">
        <w:rPr>
          <w:rFonts w:ascii="Arial" w:eastAsia="Calibri" w:hAnsi="Arial" w:cs="Arial"/>
        </w:rPr>
        <w:t>4201912000006117 del 7 de septiembre de 2019</w:t>
      </w:r>
      <w:r>
        <w:rPr>
          <w:rFonts w:ascii="Arial" w:eastAsia="Calibri" w:hAnsi="Arial" w:cs="Arial"/>
        </w:rPr>
        <w:t>,</w:t>
      </w:r>
      <w:r w:rsidRPr="009A4A28">
        <w:rPr>
          <w:rFonts w:ascii="Arial" w:eastAsia="Calibri" w:hAnsi="Arial" w:cs="Arial"/>
          <w:bCs/>
        </w:rPr>
        <w:t xml:space="preserve"> 4201912000005786 del 7 de octubre de 2019</w:t>
      </w:r>
      <w:r w:rsidRPr="009A4A28">
        <w:rPr>
          <w:rFonts w:ascii="Arial" w:eastAsia="Calibri" w:hAnsi="Arial" w:cs="Arial"/>
        </w:rPr>
        <w:t>,</w:t>
      </w:r>
      <w:r>
        <w:rPr>
          <w:rFonts w:ascii="Arial" w:eastAsia="Calibri" w:hAnsi="Arial" w:cs="Arial"/>
        </w:rPr>
        <w:t xml:space="preserve"> </w:t>
      </w:r>
      <w:r w:rsidRPr="009A4A28">
        <w:rPr>
          <w:rFonts w:ascii="Arial" w:hAnsi="Arial" w:cs="Arial"/>
        </w:rPr>
        <w:t>4201912000006928, 4201912000006929 y 4201913000006952 del 8 de octubre de 2019,</w:t>
      </w:r>
      <w:r>
        <w:rPr>
          <w:rFonts w:ascii="Arial" w:hAnsi="Arial" w:cs="Arial"/>
        </w:rPr>
        <w:t xml:space="preserve"> </w:t>
      </w:r>
      <w:r w:rsidRPr="009A4A28">
        <w:rPr>
          <w:rFonts w:ascii="Arial" w:eastAsia="Calibri" w:hAnsi="Arial" w:cs="Arial"/>
        </w:rPr>
        <w:t>4201912000006613 del 24 de octubre de 2019</w:t>
      </w:r>
      <w:r>
        <w:rPr>
          <w:rFonts w:ascii="Arial" w:eastAsia="Calibri" w:hAnsi="Arial" w:cs="Arial"/>
        </w:rPr>
        <w:t xml:space="preserve">, </w:t>
      </w:r>
      <w:r w:rsidRPr="009A4A28">
        <w:rPr>
          <w:rFonts w:ascii="Arial" w:eastAsia="Calibri" w:hAnsi="Arial" w:cs="Arial"/>
        </w:rPr>
        <w:t>4201912000006576 del 6 de noviembre de 2019, 4201912000007375 y 4201912000007452 del 14 de noviembre de 2019,</w:t>
      </w:r>
      <w:r>
        <w:rPr>
          <w:rFonts w:ascii="Arial" w:eastAsia="Calibri" w:hAnsi="Arial" w:cs="Arial"/>
        </w:rPr>
        <w:t xml:space="preserve"> </w:t>
      </w:r>
      <w:r w:rsidRPr="009A4A28">
        <w:rPr>
          <w:rFonts w:ascii="Arial" w:eastAsia="Calibri" w:hAnsi="Arial" w:cs="Arial"/>
        </w:rPr>
        <w:t>4201912000007166 del 2 de diciembre de 2019</w:t>
      </w:r>
      <w:r>
        <w:rPr>
          <w:rFonts w:ascii="Arial" w:eastAsia="Calibri" w:hAnsi="Arial" w:cs="Arial"/>
        </w:rPr>
        <w:t>,</w:t>
      </w:r>
      <w:r w:rsidRPr="009A4A28">
        <w:rPr>
          <w:rFonts w:ascii="Arial" w:eastAsia="Calibri" w:hAnsi="Arial" w:cs="Arial"/>
        </w:rPr>
        <w:t xml:space="preserve"> 4201912000007996 del 9 de diciembre de 2019</w:t>
      </w:r>
      <w:r>
        <w:rPr>
          <w:rFonts w:ascii="Arial" w:eastAsia="Calibri" w:hAnsi="Arial" w:cs="Arial"/>
        </w:rPr>
        <w:t xml:space="preserve">, </w:t>
      </w:r>
      <w:r w:rsidRPr="009A4A28">
        <w:rPr>
          <w:rFonts w:ascii="Arial" w:eastAsia="Calibri" w:hAnsi="Arial" w:cs="Arial"/>
        </w:rPr>
        <w:t>4201912000007465 del 13 de diciembre de 2019, 4201912000007755</w:t>
      </w:r>
      <w:r>
        <w:rPr>
          <w:rFonts w:ascii="Arial" w:eastAsia="Calibri" w:hAnsi="Arial" w:cs="Arial"/>
        </w:rPr>
        <w:t xml:space="preserve"> y </w:t>
      </w:r>
      <w:r w:rsidRPr="009A4A28">
        <w:rPr>
          <w:rFonts w:ascii="Arial" w:eastAsia="Calibri" w:hAnsi="Arial" w:cs="Arial"/>
        </w:rPr>
        <w:t>4201912000007931 del 20 de diciembre de 2019, 4201912000008017 del 26 de diciembre de 2019, 4201912000008465 del 8 de enero de 20</w:t>
      </w:r>
      <w:r>
        <w:rPr>
          <w:rFonts w:ascii="Arial" w:eastAsia="Calibri" w:hAnsi="Arial" w:cs="Arial"/>
        </w:rPr>
        <w:t>20</w:t>
      </w:r>
      <w:r w:rsidRPr="009A4A28">
        <w:rPr>
          <w:rFonts w:ascii="Arial" w:eastAsia="Calibri" w:hAnsi="Arial" w:cs="Arial"/>
        </w:rPr>
        <w:t>, C-133 del 30 de marzo de 2020</w:t>
      </w:r>
      <w:r>
        <w:rPr>
          <w:rFonts w:ascii="Arial" w:eastAsia="Calibri" w:hAnsi="Arial" w:cs="Arial"/>
        </w:rPr>
        <w:t>,</w:t>
      </w:r>
      <w:r w:rsidRPr="009A4A28">
        <w:rPr>
          <w:rFonts w:ascii="Arial" w:eastAsia="Calibri" w:hAnsi="Arial" w:cs="Arial"/>
        </w:rPr>
        <w:t xml:space="preserve"> C-144 del 2 de marzo de 2020</w:t>
      </w:r>
      <w:r w:rsidR="00900F87">
        <w:rPr>
          <w:rFonts w:ascii="Arial" w:eastAsia="Calibri" w:hAnsi="Arial" w:cs="Arial"/>
        </w:rPr>
        <w:t>,</w:t>
      </w:r>
      <w:r>
        <w:rPr>
          <w:rFonts w:ascii="Arial" w:eastAsia="Calibri" w:hAnsi="Arial" w:cs="Arial"/>
        </w:rPr>
        <w:t xml:space="preserve"> C-596 del 8 de septiembre de 2020</w:t>
      </w:r>
      <w:r w:rsidR="00F1479C">
        <w:rPr>
          <w:rFonts w:ascii="Arial" w:eastAsia="Calibri" w:hAnsi="Arial" w:cs="Arial"/>
        </w:rPr>
        <w:t xml:space="preserve">, </w:t>
      </w:r>
      <w:r w:rsidR="00900F87">
        <w:rPr>
          <w:rFonts w:ascii="Arial" w:eastAsia="Calibri" w:hAnsi="Arial" w:cs="Arial"/>
        </w:rPr>
        <w:t>C-033 del 1 de marzo de 2021</w:t>
      </w:r>
      <w:r w:rsidR="006958C9">
        <w:rPr>
          <w:rFonts w:ascii="Arial" w:eastAsia="Calibri" w:hAnsi="Arial" w:cs="Arial"/>
        </w:rPr>
        <w:t>,</w:t>
      </w:r>
      <w:r w:rsidR="00F1479C">
        <w:rPr>
          <w:rFonts w:ascii="Arial" w:eastAsia="Calibri" w:hAnsi="Arial" w:cs="Arial"/>
        </w:rPr>
        <w:t xml:space="preserve"> C-064 del 8 de marzo de 202</w:t>
      </w:r>
      <w:r w:rsidR="00290C1C">
        <w:rPr>
          <w:rFonts w:ascii="Arial" w:eastAsia="Calibri" w:hAnsi="Arial" w:cs="Arial"/>
        </w:rPr>
        <w:t>1</w:t>
      </w:r>
      <w:r w:rsidR="006958C9">
        <w:rPr>
          <w:rFonts w:ascii="Arial" w:eastAsia="Calibri" w:hAnsi="Arial" w:cs="Arial"/>
        </w:rPr>
        <w:t xml:space="preserve"> y C-142 del 7 de abril de 2021</w:t>
      </w:r>
      <w:r w:rsidR="00900F87">
        <w:rPr>
          <w:rFonts w:ascii="Arial" w:eastAsia="Calibri" w:hAnsi="Arial" w:cs="Arial"/>
        </w:rPr>
        <w:t>,</w:t>
      </w:r>
      <w:r>
        <w:rPr>
          <w:rFonts w:ascii="Arial" w:eastAsia="Calibri" w:hAnsi="Arial" w:cs="Arial"/>
        </w:rPr>
        <w:t xml:space="preserve"> </w:t>
      </w:r>
      <w:r w:rsidRPr="009A4A28">
        <w:rPr>
          <w:rFonts w:ascii="Arial" w:eastAsia="Calibri" w:hAnsi="Arial" w:cs="Arial"/>
        </w:rPr>
        <w:t xml:space="preserve">estudió </w:t>
      </w:r>
      <w:r w:rsidR="00290C1C">
        <w:rPr>
          <w:rFonts w:ascii="Arial" w:eastAsia="Calibri" w:hAnsi="Arial" w:cs="Arial"/>
        </w:rPr>
        <w:t>el contexto normativo de los documentos tipo, su inalterabilidad y la solicitud de</w:t>
      </w:r>
      <w:r>
        <w:rPr>
          <w:rFonts w:ascii="Arial" w:eastAsia="Calibri" w:hAnsi="Arial" w:cs="Arial"/>
        </w:rPr>
        <w:t xml:space="preserve"> experiencia en procesos adelantados con documentos tipo. Algunos de los argumentos</w:t>
      </w:r>
      <w:r w:rsidRPr="009A4A28">
        <w:rPr>
          <w:rFonts w:ascii="Arial" w:eastAsia="Calibri" w:hAnsi="Arial" w:cs="Arial"/>
        </w:rPr>
        <w:t xml:space="preserve"> </w:t>
      </w:r>
      <w:r>
        <w:rPr>
          <w:rFonts w:ascii="Arial" w:eastAsia="Calibri" w:hAnsi="Arial" w:cs="Arial"/>
        </w:rPr>
        <w:t xml:space="preserve">expuestos </w:t>
      </w:r>
      <w:r w:rsidRPr="009A4A28">
        <w:rPr>
          <w:rFonts w:ascii="Arial" w:eastAsia="Calibri" w:hAnsi="Arial" w:cs="Arial"/>
        </w:rPr>
        <w:t xml:space="preserve">se </w:t>
      </w:r>
      <w:r>
        <w:rPr>
          <w:rFonts w:ascii="Arial" w:eastAsia="Calibri" w:hAnsi="Arial" w:cs="Arial"/>
        </w:rPr>
        <w:t>r</w:t>
      </w:r>
      <w:r w:rsidR="00753C20">
        <w:rPr>
          <w:rFonts w:ascii="Arial" w:eastAsia="Calibri" w:hAnsi="Arial" w:cs="Arial"/>
        </w:rPr>
        <w:t xml:space="preserve">eiteran </w:t>
      </w:r>
      <w:r w:rsidRPr="009A4A28">
        <w:rPr>
          <w:rFonts w:ascii="Arial" w:eastAsia="Calibri" w:hAnsi="Arial" w:cs="Arial"/>
        </w:rPr>
        <w:t>a continuación</w:t>
      </w:r>
      <w:r w:rsidR="00753C20">
        <w:rPr>
          <w:rFonts w:ascii="Arial" w:eastAsia="Calibri" w:hAnsi="Arial" w:cs="Arial"/>
        </w:rPr>
        <w:t>:</w:t>
      </w:r>
    </w:p>
    <w:bookmarkEnd w:id="5"/>
    <w:p w14:paraId="71D72A42" w14:textId="37393E15" w:rsidR="00290C1C" w:rsidRDefault="00F768E1" w:rsidP="002D76CA">
      <w:pPr>
        <w:spacing w:after="120" w:line="276" w:lineRule="auto"/>
        <w:ind w:firstLine="708"/>
        <w:jc w:val="both"/>
        <w:rPr>
          <w:rFonts w:ascii="Arial" w:eastAsia="Calibri" w:hAnsi="Arial" w:cs="Arial"/>
        </w:rPr>
      </w:pPr>
      <w:r>
        <w:rPr>
          <w:rFonts w:ascii="Arial" w:eastAsia="Calibri" w:hAnsi="Arial" w:cs="Arial"/>
        </w:rPr>
        <w:t>L</w:t>
      </w:r>
      <w:r w:rsidR="00290C1C">
        <w:rPr>
          <w:rFonts w:ascii="Arial" w:eastAsia="Calibri" w:hAnsi="Arial" w:cs="Arial"/>
        </w:rPr>
        <w:t>a Ley 2022 de 2020</w:t>
      </w:r>
      <w:r>
        <w:rPr>
          <w:rFonts w:ascii="Arial" w:eastAsia="Calibri" w:hAnsi="Arial" w:cs="Arial"/>
        </w:rPr>
        <w:t xml:space="preserve"> reguló</w:t>
      </w:r>
      <w:r w:rsidR="00290C1C">
        <w:rPr>
          <w:rFonts w:ascii="Arial" w:eastAsia="Calibri" w:hAnsi="Arial" w:cs="Arial"/>
        </w:rPr>
        <w:t>, entre otros aspecto</w:t>
      </w:r>
      <w:r>
        <w:rPr>
          <w:rFonts w:ascii="Arial" w:eastAsia="Calibri" w:hAnsi="Arial" w:cs="Arial"/>
        </w:rPr>
        <w:t>s</w:t>
      </w:r>
      <w:r w:rsidR="00290C1C">
        <w:rPr>
          <w:rFonts w:ascii="Arial" w:eastAsia="Calibri" w:hAnsi="Arial" w:cs="Arial"/>
        </w:rPr>
        <w:t xml:space="preserve">: i) la competencia de esta entidad para adoptar los documentos tipo, </w:t>
      </w:r>
      <w:proofErr w:type="spellStart"/>
      <w:r w:rsidR="00290C1C">
        <w:rPr>
          <w:rFonts w:ascii="Arial" w:eastAsia="Calibri" w:hAnsi="Arial" w:cs="Arial"/>
        </w:rPr>
        <w:t>ii</w:t>
      </w:r>
      <w:proofErr w:type="spellEnd"/>
      <w:r w:rsidR="00290C1C">
        <w:rPr>
          <w:rFonts w:ascii="Arial" w:eastAsia="Calibri" w:hAnsi="Arial" w:cs="Arial"/>
        </w:rPr>
        <w:t xml:space="preserve">) los elementos mínimos que deben contener y </w:t>
      </w:r>
      <w:proofErr w:type="spellStart"/>
      <w:r w:rsidR="00290C1C">
        <w:rPr>
          <w:rFonts w:ascii="Arial" w:eastAsia="Calibri" w:hAnsi="Arial" w:cs="Arial"/>
        </w:rPr>
        <w:t>iii</w:t>
      </w:r>
      <w:proofErr w:type="spellEnd"/>
      <w:r w:rsidR="00290C1C">
        <w:rPr>
          <w:rFonts w:ascii="Arial" w:eastAsia="Calibri" w:hAnsi="Arial" w:cs="Arial"/>
        </w:rPr>
        <w:t>) la obligación de las entidades públicas de aplicarlos en sus procedimientos de selección</w:t>
      </w:r>
      <w:r w:rsidR="00D4364D">
        <w:rPr>
          <w:rStyle w:val="Refdenotaalpie"/>
          <w:rFonts w:ascii="Arial" w:eastAsia="Calibri" w:hAnsi="Arial" w:cs="Arial"/>
        </w:rPr>
        <w:footnoteReference w:id="1"/>
      </w:r>
      <w:r w:rsidR="00290C1C">
        <w:rPr>
          <w:rFonts w:ascii="Arial" w:eastAsia="Calibri" w:hAnsi="Arial" w:cs="Arial"/>
        </w:rPr>
        <w:t>.</w:t>
      </w:r>
      <w:r w:rsidR="00B546DB">
        <w:rPr>
          <w:rFonts w:ascii="Arial" w:eastAsia="Calibri" w:hAnsi="Arial" w:cs="Arial"/>
        </w:rPr>
        <w:t xml:space="preserve"> </w:t>
      </w:r>
      <w:r w:rsidR="00290C1C" w:rsidRPr="00B546DB">
        <w:rPr>
          <w:rFonts w:ascii="Arial" w:eastAsia="Calibri" w:hAnsi="Arial" w:cs="Arial"/>
        </w:rPr>
        <w:t xml:space="preserve">En cuanto al primer </w:t>
      </w:r>
      <w:r w:rsidR="003C629D" w:rsidRPr="00B546DB">
        <w:rPr>
          <w:rFonts w:ascii="Arial" w:eastAsia="Calibri" w:hAnsi="Arial" w:cs="Arial"/>
        </w:rPr>
        <w:t>aspect</w:t>
      </w:r>
      <w:r w:rsidR="00290C1C" w:rsidRPr="00B546DB">
        <w:rPr>
          <w:rFonts w:ascii="Arial" w:eastAsia="Calibri" w:hAnsi="Arial" w:cs="Arial"/>
        </w:rPr>
        <w:t>o</w:t>
      </w:r>
      <w:r w:rsidR="00290C1C">
        <w:rPr>
          <w:rFonts w:ascii="Arial" w:eastAsia="Calibri" w:hAnsi="Arial" w:cs="Arial"/>
        </w:rPr>
        <w:t>, el legislador otorgó a la Agencia Nacional de Contratación Pública – Colombia Compra Eficiente la competencia para adoptar los documentos tipo</w:t>
      </w:r>
      <w:r w:rsidR="00BA401B">
        <w:rPr>
          <w:rFonts w:ascii="Arial" w:eastAsia="Calibri" w:hAnsi="Arial" w:cs="Arial"/>
        </w:rPr>
        <w:t xml:space="preserve">, para lo </w:t>
      </w:r>
      <w:r w:rsidR="00BA401B">
        <w:rPr>
          <w:rFonts w:ascii="Arial" w:eastAsia="Calibri" w:hAnsi="Arial" w:cs="Arial"/>
        </w:rPr>
        <w:lastRenderedPageBreak/>
        <w:t>cual</w:t>
      </w:r>
      <w:r w:rsidR="00290C1C">
        <w:rPr>
          <w:rFonts w:ascii="Arial" w:eastAsia="Calibri" w:hAnsi="Arial" w:cs="Arial"/>
        </w:rPr>
        <w:t>, en ejercicio de las funciones atribuidas por el Decreto Ley 4170 de 2011, requiere la «coordinación con entidades técnicas o especializadas». Esto para elaborar los cronogramas y procedimientos indispensables para implementarlos de forma estratégica en los distintos sectores de la economía, facilitando su incorporación en el sistema de compra pública.</w:t>
      </w:r>
    </w:p>
    <w:p w14:paraId="667D0821" w14:textId="0AC8D220" w:rsidR="00290C1C" w:rsidRDefault="00290C1C" w:rsidP="00290C1C">
      <w:pPr>
        <w:spacing w:after="120" w:line="276" w:lineRule="auto"/>
        <w:ind w:firstLine="708"/>
        <w:jc w:val="both"/>
        <w:rPr>
          <w:rFonts w:ascii="Arial" w:eastAsia="Calibri" w:hAnsi="Arial" w:cs="Arial"/>
        </w:rPr>
      </w:pPr>
      <w:r>
        <w:rPr>
          <w:rFonts w:ascii="Arial" w:eastAsia="Calibri" w:hAnsi="Arial" w:cs="Arial"/>
        </w:rPr>
        <w:t>En la expedición de los documentos tipo, la Agencia debe realizar un análisis de la información y/o documentos que dan cuenta de la actividad contractual desplegada por las entidades públicas. Para este análisis, deben tenerse en cuenta parámetros tales como la revisión de la contratación en sectores estratégicos, la revisión histórica del gasto público ejecutado en la contratación de las entidades, la revisión de los planes anuales de adquisiciones, entre otros instrumentos que permitan focalizar la implementación gradual y estratégica de dichos documentos en los diferentes sectores de la economía.</w:t>
      </w:r>
    </w:p>
    <w:p w14:paraId="65ADD864" w14:textId="0D97B012" w:rsidR="00290C1C" w:rsidRDefault="00290C1C" w:rsidP="00290C1C">
      <w:pPr>
        <w:spacing w:after="120" w:line="276" w:lineRule="auto"/>
        <w:ind w:firstLine="708"/>
        <w:jc w:val="both"/>
        <w:rPr>
          <w:rFonts w:ascii="Arial" w:eastAsia="Calibri" w:hAnsi="Arial" w:cs="Arial"/>
        </w:rPr>
      </w:pPr>
      <w:r>
        <w:rPr>
          <w:rFonts w:ascii="Arial" w:eastAsia="Calibri" w:hAnsi="Arial" w:cs="Arial"/>
        </w:rPr>
        <w:t xml:space="preserve">En relación con el segundo </w:t>
      </w:r>
      <w:r w:rsidR="003C629D">
        <w:rPr>
          <w:rFonts w:ascii="Arial" w:eastAsia="Calibri" w:hAnsi="Arial" w:cs="Arial"/>
        </w:rPr>
        <w:t>aspec</w:t>
      </w:r>
      <w:r>
        <w:rPr>
          <w:rFonts w:ascii="Arial" w:eastAsia="Calibri" w:hAnsi="Arial" w:cs="Arial"/>
        </w:rPr>
        <w:t>to, los documentos tipo al menos deben contener «[l]os requisitos habilitantes, los factores técnicos, económicos y otros factores de escogencia, así como aquellos requisitos que, previa justificación, representen buenas prácticas contractuales que procuren el adecuado desarrollo de los principios que rigen la contratación pública». En este sentido, para adoptar cada documento tipo es necesario un estudio detallado de cada una de las exigencias que deben quedar plasmadas en los mismos, especialmente, cuando la expedición de cada uno de ellos implica un trabajo que pretende implementar las mejores prácticas en la contratación estatal.</w:t>
      </w:r>
    </w:p>
    <w:p w14:paraId="6EE60B4E" w14:textId="219F2F60" w:rsidR="00012565" w:rsidRDefault="00290C1C" w:rsidP="00012565">
      <w:pPr>
        <w:spacing w:line="276" w:lineRule="auto"/>
        <w:ind w:firstLine="708"/>
        <w:jc w:val="both"/>
        <w:rPr>
          <w:rFonts w:ascii="Arial" w:eastAsia="Calibri" w:hAnsi="Arial" w:cs="Arial"/>
        </w:rPr>
      </w:pPr>
      <w:r>
        <w:rPr>
          <w:rFonts w:ascii="Arial" w:eastAsia="Calibri" w:hAnsi="Arial" w:cs="Arial"/>
        </w:rPr>
        <w:t xml:space="preserve">Finalmente, por disposición expresa de la Ley 2022 de 2020, los «Documentos tipo» adoptados por </w:t>
      </w:r>
      <w:r w:rsidR="00B546DB">
        <w:rPr>
          <w:rFonts w:ascii="Arial" w:eastAsia="Calibri" w:hAnsi="Arial" w:cs="Arial"/>
        </w:rPr>
        <w:t>esta Agencia</w:t>
      </w:r>
      <w:r>
        <w:rPr>
          <w:rFonts w:ascii="Arial" w:eastAsia="Calibri" w:hAnsi="Arial" w:cs="Arial"/>
        </w:rPr>
        <w:t xml:space="preserve"> son de obligatorio cumplimiento por todas las entidades públicas sometid</w:t>
      </w:r>
      <w:r w:rsidR="00B546DB">
        <w:rPr>
          <w:rFonts w:ascii="Arial" w:eastAsia="Calibri" w:hAnsi="Arial" w:cs="Arial"/>
        </w:rPr>
        <w:t>as</w:t>
      </w:r>
      <w:r>
        <w:rPr>
          <w:rFonts w:ascii="Arial" w:eastAsia="Calibri" w:hAnsi="Arial" w:cs="Arial"/>
        </w:rPr>
        <w:t xml:space="preserve"> al Estatuto General de Contratación de la Administración Pública ‒EGCAP‒. Esta obligatoriedad implica que las autoridades deben implementar los documentos tipo que tengan por objeto las actividades contempladas en la «Matriz 1 ‒ Experiencia», sin perjuicio de su «inalterabilidad». </w:t>
      </w:r>
    </w:p>
    <w:p w14:paraId="2042AAB1" w14:textId="775DF7B3" w:rsidR="00290C1C" w:rsidRDefault="003C629D" w:rsidP="00012565">
      <w:pPr>
        <w:spacing w:line="276" w:lineRule="auto"/>
        <w:ind w:firstLine="708"/>
        <w:jc w:val="both"/>
        <w:rPr>
          <w:rFonts w:ascii="Arial" w:eastAsia="Calibri" w:hAnsi="Arial" w:cs="Arial"/>
        </w:rPr>
      </w:pPr>
      <w:r>
        <w:rPr>
          <w:rFonts w:ascii="Arial" w:eastAsia="Calibri" w:hAnsi="Arial" w:cs="Arial"/>
        </w:rPr>
        <w:t>Particularmente, r</w:t>
      </w:r>
      <w:r w:rsidR="00012565">
        <w:rPr>
          <w:rFonts w:ascii="Arial" w:eastAsia="Calibri" w:hAnsi="Arial" w:cs="Arial"/>
        </w:rPr>
        <w:t>especto de los documentos tipo de agua potable y saneamiento básico, e</w:t>
      </w:r>
      <w:r w:rsidR="00290C1C">
        <w:rPr>
          <w:rFonts w:ascii="Arial" w:eastAsia="Calibri" w:hAnsi="Arial" w:cs="Arial"/>
        </w:rPr>
        <w:t>n desarrollo de la</w:t>
      </w:r>
      <w:r>
        <w:rPr>
          <w:rFonts w:ascii="Arial" w:eastAsia="Calibri" w:hAnsi="Arial" w:cs="Arial"/>
        </w:rPr>
        <w:t xml:space="preserve"> citada</w:t>
      </w:r>
      <w:r w:rsidR="00290C1C">
        <w:rPr>
          <w:rFonts w:ascii="Arial" w:eastAsia="Calibri" w:hAnsi="Arial" w:cs="Arial"/>
        </w:rPr>
        <w:t xml:space="preserve"> Ley 2022 de 2020, la Agencia expidió la</w:t>
      </w:r>
      <w:r w:rsidR="00B546DB">
        <w:rPr>
          <w:rFonts w:ascii="Arial" w:eastAsia="Calibri" w:hAnsi="Arial" w:cs="Arial"/>
        </w:rPr>
        <w:t>s</w:t>
      </w:r>
      <w:r w:rsidR="00290C1C">
        <w:rPr>
          <w:rFonts w:ascii="Arial" w:eastAsia="Calibri" w:hAnsi="Arial" w:cs="Arial"/>
        </w:rPr>
        <w:t xml:space="preserve"> Resoluci</w:t>
      </w:r>
      <w:r w:rsidR="00B546DB">
        <w:rPr>
          <w:rFonts w:ascii="Arial" w:eastAsia="Calibri" w:hAnsi="Arial" w:cs="Arial"/>
        </w:rPr>
        <w:t>ones</w:t>
      </w:r>
      <w:r w:rsidR="00290C1C">
        <w:rPr>
          <w:rFonts w:ascii="Arial" w:eastAsia="Calibri" w:hAnsi="Arial" w:cs="Arial"/>
        </w:rPr>
        <w:t xml:space="preserve"> No. 248</w:t>
      </w:r>
      <w:r w:rsidR="00B546DB">
        <w:rPr>
          <w:rFonts w:ascii="Arial" w:eastAsia="Calibri" w:hAnsi="Arial" w:cs="Arial"/>
        </w:rPr>
        <w:t xml:space="preserve"> y 249</w:t>
      </w:r>
      <w:r w:rsidR="00290C1C">
        <w:rPr>
          <w:rFonts w:ascii="Arial" w:eastAsia="Calibri" w:hAnsi="Arial" w:cs="Arial"/>
        </w:rPr>
        <w:t xml:space="preserve"> del 1° de diciembre de 2020. Por medio de </w:t>
      </w:r>
      <w:r w:rsidR="00C574FD">
        <w:rPr>
          <w:rFonts w:ascii="Arial" w:eastAsia="Calibri" w:hAnsi="Arial" w:cs="Arial"/>
        </w:rPr>
        <w:t xml:space="preserve">estos </w:t>
      </w:r>
      <w:r w:rsidR="00290C1C">
        <w:rPr>
          <w:rFonts w:ascii="Arial" w:eastAsia="Calibri" w:hAnsi="Arial" w:cs="Arial"/>
        </w:rPr>
        <w:t>acto</w:t>
      </w:r>
      <w:r w:rsidR="00C574FD">
        <w:rPr>
          <w:rFonts w:ascii="Arial" w:eastAsia="Calibri" w:hAnsi="Arial" w:cs="Arial"/>
        </w:rPr>
        <w:t>s</w:t>
      </w:r>
      <w:r w:rsidR="00290C1C">
        <w:rPr>
          <w:rFonts w:ascii="Arial" w:eastAsia="Calibri" w:hAnsi="Arial" w:cs="Arial"/>
        </w:rPr>
        <w:t xml:space="preserve"> administrativo</w:t>
      </w:r>
      <w:r w:rsidR="00C574FD">
        <w:rPr>
          <w:rFonts w:ascii="Arial" w:eastAsia="Calibri" w:hAnsi="Arial" w:cs="Arial"/>
        </w:rPr>
        <w:t>s</w:t>
      </w:r>
      <w:r w:rsidR="00290C1C">
        <w:rPr>
          <w:rFonts w:ascii="Arial" w:eastAsia="Calibri" w:hAnsi="Arial" w:cs="Arial"/>
        </w:rPr>
        <w:t xml:space="preserve"> se adoptaron los documentos tipo para licitación de obras públicas de infraestructura de agua potable y saneamiento básico. Conforme al artículo 6 </w:t>
      </w:r>
      <w:r w:rsidR="00290C1C">
        <w:rPr>
          <w:rFonts w:ascii="Arial" w:eastAsia="Calibri" w:hAnsi="Arial" w:cs="Arial"/>
          <w:i/>
          <w:iCs/>
        </w:rPr>
        <w:t>ibidem</w:t>
      </w:r>
      <w:r w:rsidR="00290C1C">
        <w:rPr>
          <w:rFonts w:ascii="Arial" w:eastAsia="Calibri" w:hAnsi="Arial" w:cs="Arial"/>
        </w:rPr>
        <w:t>, la implementación de estos documentos es obligatoria en los procedimientos de selección cuyo aviso de convocatoria se publique a partir del 11 de diciembre de 2020.</w:t>
      </w:r>
    </w:p>
    <w:p w14:paraId="389B0345" w14:textId="6AF48755" w:rsidR="00290C1C" w:rsidRDefault="003C629D" w:rsidP="00290C1C">
      <w:pPr>
        <w:spacing w:after="120" w:line="276" w:lineRule="auto"/>
        <w:ind w:firstLine="708"/>
        <w:jc w:val="both"/>
        <w:rPr>
          <w:rFonts w:ascii="Arial" w:eastAsia="Calibri" w:hAnsi="Arial" w:cs="Arial"/>
        </w:rPr>
      </w:pPr>
      <w:r>
        <w:rPr>
          <w:rFonts w:ascii="Arial" w:eastAsia="Calibri" w:hAnsi="Arial" w:cs="Arial"/>
        </w:rPr>
        <w:t>Sobre</w:t>
      </w:r>
      <w:r w:rsidR="00290C1C">
        <w:rPr>
          <w:rFonts w:ascii="Arial" w:eastAsia="Calibri" w:hAnsi="Arial" w:cs="Arial"/>
        </w:rPr>
        <w:t xml:space="preserve"> los documentos tipo propiamente dichos, el artículo 2 </w:t>
      </w:r>
      <w:r w:rsidR="00C574FD">
        <w:rPr>
          <w:rFonts w:ascii="Arial" w:eastAsia="Calibri" w:hAnsi="Arial" w:cs="Arial"/>
        </w:rPr>
        <w:t>de las resoluciones citadas</w:t>
      </w:r>
      <w:r w:rsidR="00290C1C">
        <w:rPr>
          <w:rFonts w:ascii="Arial" w:eastAsia="Calibri" w:hAnsi="Arial" w:cs="Arial"/>
        </w:rPr>
        <w:t xml:space="preserve"> contempló el documento base del pliego tipo, junto con los correspondientes anexos, formatos, matrices y formularios. Los anexos están compuestos por el anexo técnico, cronograma, glosario, pacto de transparencia y minuta del contrato. Entre los formatos se encuentran la carta de presentación de la oferta, conformación de proponente </w:t>
      </w:r>
      <w:r w:rsidR="00290C1C">
        <w:rPr>
          <w:rFonts w:ascii="Arial" w:eastAsia="Calibri" w:hAnsi="Arial" w:cs="Arial"/>
        </w:rPr>
        <w:lastRenderedPageBreak/>
        <w:t>plural, experiencia, capacidad financiera y organizacional para extranjeros, capacidad residual, pagos de seguridad social y aportes legales, factor de calidad, vinculación de personas con discapacidad y puntaje de industria nacional. Las matrices están compuestas por la experiencia, indicadores financieros y organizacionales y riesgos. Finalmente, en los formularios se encuentra el formulario de presupuesto oficial.</w:t>
      </w:r>
    </w:p>
    <w:p w14:paraId="79898061" w14:textId="5531C3DB" w:rsidR="00DD27A3" w:rsidRPr="00F476B4" w:rsidRDefault="00290C1C" w:rsidP="00465318">
      <w:pPr>
        <w:spacing w:line="276" w:lineRule="auto"/>
        <w:ind w:firstLine="708"/>
        <w:jc w:val="both"/>
        <w:rPr>
          <w:rFonts w:ascii="Arial" w:eastAsia="Times New Roman" w:hAnsi="Arial" w:cs="Arial"/>
          <w:b/>
          <w:bCs/>
          <w:color w:val="000000"/>
          <w:lang w:eastAsia="es-CO"/>
        </w:rPr>
      </w:pPr>
      <w:r>
        <w:rPr>
          <w:rFonts w:ascii="Arial" w:eastAsia="Calibri" w:hAnsi="Arial" w:cs="Arial"/>
        </w:rPr>
        <w:t>Conforme al artículo 3 de la</w:t>
      </w:r>
      <w:r w:rsidR="00C574FD">
        <w:rPr>
          <w:rFonts w:ascii="Arial" w:eastAsia="Calibri" w:hAnsi="Arial" w:cs="Arial"/>
        </w:rPr>
        <w:t>s</w:t>
      </w:r>
      <w:r>
        <w:rPr>
          <w:rFonts w:ascii="Arial" w:eastAsia="Calibri" w:hAnsi="Arial" w:cs="Arial"/>
        </w:rPr>
        <w:t xml:space="preserve"> Resoluci</w:t>
      </w:r>
      <w:r w:rsidR="00C574FD">
        <w:rPr>
          <w:rFonts w:ascii="Arial" w:eastAsia="Calibri" w:hAnsi="Arial" w:cs="Arial"/>
        </w:rPr>
        <w:t>ones</w:t>
      </w:r>
      <w:r>
        <w:rPr>
          <w:rFonts w:ascii="Arial" w:eastAsia="Calibri" w:hAnsi="Arial" w:cs="Arial"/>
        </w:rPr>
        <w:t xml:space="preserve"> No. 248</w:t>
      </w:r>
      <w:r w:rsidR="00C574FD">
        <w:rPr>
          <w:rFonts w:ascii="Arial" w:eastAsia="Calibri" w:hAnsi="Arial" w:cs="Arial"/>
        </w:rPr>
        <w:t xml:space="preserve"> y 249</w:t>
      </w:r>
      <w:r>
        <w:rPr>
          <w:rFonts w:ascii="Arial" w:eastAsia="Calibri" w:hAnsi="Arial" w:cs="Arial"/>
        </w:rPr>
        <w:t xml:space="preserve"> del 1° de diciembre de 2020, se reitera que dada lo obligatoriedad de los «Documentos tipo», estos son inalterables por parte de las autoridades administrativas, salvo en aquellos aspectos en lo</w:t>
      </w:r>
      <w:r w:rsidR="00C574FD">
        <w:rPr>
          <w:rFonts w:ascii="Arial" w:eastAsia="Calibri" w:hAnsi="Arial" w:cs="Arial"/>
        </w:rPr>
        <w:t>s</w:t>
      </w:r>
      <w:r>
        <w:rPr>
          <w:rFonts w:ascii="Arial" w:eastAsia="Calibri" w:hAnsi="Arial" w:cs="Arial"/>
        </w:rPr>
        <w:t xml:space="preserve"> que está permitido su diligenciamiento.</w:t>
      </w:r>
      <w:r w:rsidR="00C574FD">
        <w:rPr>
          <w:rFonts w:ascii="Arial" w:eastAsia="Calibri" w:hAnsi="Arial" w:cs="Arial"/>
        </w:rPr>
        <w:t xml:space="preserve"> En esta medida, </w:t>
      </w:r>
      <w:r w:rsidR="00DD27A3" w:rsidRPr="00CA5C6B">
        <w:rPr>
          <w:rFonts w:ascii="Arial" w:eastAsia="Calibri" w:hAnsi="Arial" w:cs="Arial"/>
          <w:bCs/>
          <w:lang w:val="es-ES_tradnl"/>
        </w:rPr>
        <w:t>las entidades estatales no pueden incluir o modificar en los documentos del proceso las condiciones habilitantes, los factores técnicos y económicos de escogencia y los sistemas de ponderación distintos a los señalados en los documentos tipo. En consecuencia</w:t>
      </w:r>
      <w:bookmarkStart w:id="6" w:name="_Hlk64290904"/>
      <w:r w:rsidR="00DD27A3" w:rsidRPr="00CA5C6B">
        <w:rPr>
          <w:rFonts w:ascii="Arial" w:eastAsia="Calibri" w:hAnsi="Arial" w:cs="Arial"/>
          <w:bCs/>
          <w:lang w:val="es-ES_tradnl"/>
        </w:rPr>
        <w:t xml:space="preserve">, las condiciones </w:t>
      </w:r>
      <w:r w:rsidR="00E03A0A">
        <w:rPr>
          <w:rFonts w:ascii="Arial" w:eastAsia="Calibri" w:hAnsi="Arial" w:cs="Arial"/>
          <w:bCs/>
          <w:lang w:val="es-ES_tradnl"/>
        </w:rPr>
        <w:t>dispuestas</w:t>
      </w:r>
      <w:r w:rsidR="00DD27A3" w:rsidRPr="00CA5C6B">
        <w:rPr>
          <w:rFonts w:ascii="Arial" w:eastAsia="Calibri" w:hAnsi="Arial" w:cs="Arial"/>
          <w:bCs/>
          <w:lang w:val="es-ES_tradnl"/>
        </w:rPr>
        <w:t xml:space="preserve"> en los documentos que adopte el Gobierno Nacional,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w:t>
      </w:r>
      <w:r w:rsidR="00813007">
        <w:rPr>
          <w:rFonts w:ascii="Arial" w:eastAsia="Calibri" w:hAnsi="Arial" w:cs="Arial"/>
          <w:bCs/>
          <w:lang w:val="es-ES_tradnl"/>
        </w:rPr>
        <w:t>previsto en ellos</w:t>
      </w:r>
      <w:r w:rsidR="00DD27A3" w:rsidRPr="00CA5C6B">
        <w:rPr>
          <w:rFonts w:ascii="Arial" w:eastAsia="Calibri" w:hAnsi="Arial" w:cs="Arial"/>
          <w:bCs/>
          <w:lang w:val="es-ES_tradnl"/>
        </w:rPr>
        <w:t>.</w:t>
      </w:r>
      <w:bookmarkEnd w:id="6"/>
      <w:r w:rsidR="00DD27A3" w:rsidRPr="00CA5C6B">
        <w:rPr>
          <w:rFonts w:ascii="Arial" w:eastAsia="Calibri" w:hAnsi="Arial" w:cs="Arial"/>
          <w:bCs/>
          <w:lang w:val="es-ES_tradnl"/>
        </w:rPr>
        <w:t xml:space="preserve"> </w:t>
      </w:r>
    </w:p>
    <w:p w14:paraId="0688D3BA" w14:textId="673320AA" w:rsidR="00DD27A3" w:rsidRDefault="00DD27A3" w:rsidP="00DD27A3">
      <w:pPr>
        <w:spacing w:before="120" w:line="276" w:lineRule="auto"/>
        <w:ind w:firstLine="709"/>
        <w:jc w:val="both"/>
        <w:rPr>
          <w:rFonts w:ascii="Arial" w:eastAsia="Calibri" w:hAnsi="Arial" w:cs="Arial"/>
        </w:rPr>
      </w:pPr>
      <w:r w:rsidRPr="00CA5C6B">
        <w:rPr>
          <w:rFonts w:ascii="Arial" w:eastAsia="Calibri" w:hAnsi="Arial" w:cs="Arial"/>
        </w:rPr>
        <w:t xml:space="preserve">Por su parte, la parte introductoria </w:t>
      </w:r>
      <w:r w:rsidR="00813007">
        <w:rPr>
          <w:rFonts w:ascii="Arial" w:eastAsia="Calibri" w:hAnsi="Arial" w:cs="Arial"/>
        </w:rPr>
        <w:t>del documento base</w:t>
      </w:r>
      <w:r w:rsidRPr="00CA5C6B">
        <w:rPr>
          <w:rFonts w:ascii="Arial" w:eastAsia="Calibri" w:hAnsi="Arial" w:cs="Arial"/>
        </w:rPr>
        <w:t xml:space="preserve"> </w:t>
      </w:r>
      <w:r>
        <w:rPr>
          <w:rFonts w:ascii="Arial" w:eastAsia="Calibri" w:hAnsi="Arial" w:cs="Arial"/>
        </w:rPr>
        <w:t>dispone</w:t>
      </w:r>
      <w:r w:rsidRPr="00CA5C6B">
        <w:rPr>
          <w:rFonts w:ascii="Arial" w:eastAsia="Calibri" w:hAnsi="Arial" w:cs="Arial"/>
        </w:rPr>
        <w:t xml:space="preserve"> que los aspectos incluidos en corchetes y resaltado gris</w:t>
      </w:r>
      <w:r>
        <w:rPr>
          <w:rFonts w:ascii="Arial" w:eastAsia="Calibri" w:hAnsi="Arial" w:cs="Arial"/>
        </w:rPr>
        <w:t xml:space="preserve"> –</w:t>
      </w:r>
      <w:r w:rsidRPr="00BD57F2">
        <w:rPr>
          <w:rFonts w:ascii="Arial" w:eastAsia="Calibri" w:hAnsi="Arial" w:cs="Arial"/>
          <w:highlight w:val="lightGray"/>
        </w:rPr>
        <w:t>[texto de ejemplo]</w:t>
      </w:r>
      <w:r>
        <w:rPr>
          <w:rFonts w:ascii="Arial" w:eastAsia="Calibri" w:hAnsi="Arial" w:cs="Arial"/>
        </w:rPr>
        <w:t>–</w:t>
      </w:r>
      <w:r w:rsidRPr="00CA5C6B">
        <w:rPr>
          <w:rFonts w:ascii="Arial" w:eastAsia="Calibri" w:hAnsi="Arial" w:cs="Arial"/>
        </w:rPr>
        <w:t xml:space="preserve"> deben ser diligenciados por la entidad. Excepcionalmente le corresponde al proponente consignar la información incluida en corchetes y resaltada en gris, como, por ejemplo, los formatos que requieren de la firma del proponente o su representante legal. </w:t>
      </w:r>
      <w:r w:rsidR="00876189">
        <w:rPr>
          <w:rFonts w:ascii="Arial" w:eastAsia="Calibri" w:hAnsi="Arial" w:cs="Arial"/>
        </w:rPr>
        <w:t>En todo caso</w:t>
      </w:r>
      <w:r w:rsidRPr="00CA5C6B">
        <w:rPr>
          <w:rFonts w:ascii="Arial" w:eastAsia="Calibri" w:hAnsi="Arial" w:cs="Arial"/>
        </w:rPr>
        <w:t xml:space="preserve">, en cada acápite que esté resaltado en gris la entidad tendrá la libertad de determinar la información que se diligenciará en los </w:t>
      </w:r>
      <w:r w:rsidR="00813007" w:rsidRPr="00CA5C6B">
        <w:rPr>
          <w:rFonts w:ascii="Arial" w:eastAsia="Calibri" w:hAnsi="Arial" w:cs="Arial"/>
        </w:rPr>
        <w:t>documentos tipo</w:t>
      </w:r>
      <w:r w:rsidRPr="00CA5C6B">
        <w:rPr>
          <w:rFonts w:ascii="Arial" w:eastAsia="Calibri" w:hAnsi="Arial" w:cs="Arial"/>
        </w:rPr>
        <w:t xml:space="preserve">, de acuerdo con su necesidad y las instrucciones </w:t>
      </w:r>
      <w:r w:rsidR="00813007">
        <w:rPr>
          <w:rFonts w:ascii="Arial" w:eastAsia="Calibri" w:hAnsi="Arial" w:cs="Arial"/>
        </w:rPr>
        <w:t>d</w:t>
      </w:r>
      <w:r w:rsidRPr="00CA5C6B">
        <w:rPr>
          <w:rFonts w:ascii="Arial" w:eastAsia="Calibri" w:hAnsi="Arial" w:cs="Arial"/>
        </w:rPr>
        <w:t xml:space="preserve">el </w:t>
      </w:r>
      <w:r w:rsidR="00813007">
        <w:rPr>
          <w:rFonts w:ascii="Arial" w:eastAsia="Calibri" w:hAnsi="Arial" w:cs="Arial"/>
        </w:rPr>
        <w:t>p</w:t>
      </w:r>
      <w:r w:rsidRPr="00CA5C6B">
        <w:rPr>
          <w:rFonts w:ascii="Arial" w:eastAsia="Calibri" w:hAnsi="Arial" w:cs="Arial"/>
        </w:rPr>
        <w:t xml:space="preserve">liego. </w:t>
      </w:r>
    </w:p>
    <w:p w14:paraId="4A2F3A0C" w14:textId="4A40CCBE" w:rsidR="00DD27A3" w:rsidRPr="005F293F" w:rsidRDefault="000B3D5F" w:rsidP="00DD27A3">
      <w:pPr>
        <w:spacing w:before="120" w:line="276" w:lineRule="auto"/>
        <w:ind w:firstLine="709"/>
        <w:jc w:val="both"/>
        <w:rPr>
          <w:rFonts w:ascii="Arial" w:eastAsia="Calibri" w:hAnsi="Arial" w:cs="Arial"/>
          <w:bCs/>
        </w:rPr>
      </w:pPr>
      <w:r>
        <w:rPr>
          <w:rFonts w:ascii="Arial" w:eastAsia="Calibri" w:hAnsi="Arial" w:cs="Arial"/>
          <w:bCs/>
        </w:rPr>
        <w:t>Se destaca</w:t>
      </w:r>
      <w:r w:rsidR="00DD27A3">
        <w:rPr>
          <w:rFonts w:ascii="Arial" w:eastAsia="Calibri" w:hAnsi="Arial" w:cs="Arial"/>
          <w:bCs/>
        </w:rPr>
        <w:t xml:space="preserve"> que, </w:t>
      </w:r>
      <w:r w:rsidR="00DD27A3" w:rsidRPr="00BE6266">
        <w:rPr>
          <w:rFonts w:ascii="Arial" w:eastAsia="Calibri" w:hAnsi="Arial" w:cs="Arial"/>
          <w:bCs/>
        </w:rPr>
        <w:t>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1656BDD6" w14:textId="1F7ABAB3" w:rsidR="00DD27A3" w:rsidRPr="00CA5C6B" w:rsidRDefault="00DD27A3" w:rsidP="00DD27A3">
      <w:pPr>
        <w:spacing w:before="120" w:line="276" w:lineRule="auto"/>
        <w:ind w:firstLine="709"/>
        <w:jc w:val="both"/>
        <w:rPr>
          <w:rFonts w:ascii="Arial" w:eastAsia="Calibri" w:hAnsi="Arial" w:cs="Arial"/>
          <w:bCs/>
        </w:rPr>
      </w:pPr>
      <w:r w:rsidRPr="00CA5C6B">
        <w:rPr>
          <w:rFonts w:ascii="Arial" w:eastAsia="Calibri" w:hAnsi="Arial" w:cs="Arial"/>
          <w:bCs/>
        </w:rPr>
        <w:t>Este principio de inalterabilidad también es aplicable a los formatos y anexos implementados junto con el «Documento Base»,</w:t>
      </w:r>
      <w:r w:rsidR="00536C0F">
        <w:rPr>
          <w:rFonts w:ascii="Arial" w:eastAsia="Calibri" w:hAnsi="Arial" w:cs="Arial"/>
          <w:bCs/>
        </w:rPr>
        <w:t xml:space="preserve"> como la </w:t>
      </w:r>
      <w:r w:rsidR="00813007">
        <w:rPr>
          <w:rFonts w:ascii="Arial" w:eastAsia="Calibri" w:hAnsi="Arial" w:cs="Arial"/>
          <w:bCs/>
        </w:rPr>
        <w:t>«</w:t>
      </w:r>
      <w:r w:rsidR="00536C0F">
        <w:rPr>
          <w:rFonts w:ascii="Arial" w:eastAsia="Calibri" w:hAnsi="Arial" w:cs="Arial"/>
          <w:bCs/>
        </w:rPr>
        <w:t>Matriz 1</w:t>
      </w:r>
      <w:r w:rsidR="00813007">
        <w:rPr>
          <w:rFonts w:ascii="Arial" w:eastAsia="Calibri" w:hAnsi="Arial" w:cs="Arial"/>
          <w:bCs/>
        </w:rPr>
        <w:t xml:space="preserve"> – </w:t>
      </w:r>
      <w:r w:rsidR="00536C0F">
        <w:rPr>
          <w:rFonts w:ascii="Arial" w:eastAsia="Calibri" w:hAnsi="Arial" w:cs="Arial"/>
          <w:bCs/>
        </w:rPr>
        <w:t>Experiencia</w:t>
      </w:r>
      <w:r w:rsidR="00813007">
        <w:rPr>
          <w:rFonts w:ascii="Arial" w:eastAsia="Calibri" w:hAnsi="Arial" w:cs="Arial"/>
          <w:bCs/>
        </w:rPr>
        <w:t>»</w:t>
      </w:r>
      <w:r w:rsidR="00536C0F">
        <w:rPr>
          <w:rFonts w:ascii="Arial" w:eastAsia="Calibri" w:hAnsi="Arial" w:cs="Arial"/>
          <w:bCs/>
        </w:rPr>
        <w:t xml:space="preserve"> que es objeto de </w:t>
      </w:r>
      <w:r w:rsidR="008E4FFD">
        <w:rPr>
          <w:rFonts w:ascii="Arial" w:eastAsia="Calibri" w:hAnsi="Arial" w:cs="Arial"/>
          <w:bCs/>
        </w:rPr>
        <w:t xml:space="preserve">la </w:t>
      </w:r>
      <w:r w:rsidR="00536C0F">
        <w:rPr>
          <w:rFonts w:ascii="Arial" w:eastAsia="Calibri" w:hAnsi="Arial" w:cs="Arial"/>
          <w:bCs/>
        </w:rPr>
        <w:t>consulta,</w:t>
      </w:r>
      <w:r w:rsidRPr="00CA5C6B">
        <w:rPr>
          <w:rFonts w:ascii="Arial" w:eastAsia="Calibri" w:hAnsi="Arial" w:cs="Arial"/>
          <w:bCs/>
        </w:rPr>
        <w:t xml:space="preserve"> los cuales deben </w:t>
      </w:r>
      <w:r w:rsidR="00813007">
        <w:rPr>
          <w:rFonts w:ascii="Arial" w:eastAsia="Calibri" w:hAnsi="Arial" w:cs="Arial"/>
          <w:bCs/>
        </w:rPr>
        <w:t>utiliza</w:t>
      </w:r>
      <w:r w:rsidR="00272704">
        <w:rPr>
          <w:rFonts w:ascii="Arial" w:eastAsia="Calibri" w:hAnsi="Arial" w:cs="Arial"/>
          <w:bCs/>
        </w:rPr>
        <w:t>r</w:t>
      </w:r>
      <w:r w:rsidR="00813007">
        <w:rPr>
          <w:rFonts w:ascii="Arial" w:eastAsia="Calibri" w:hAnsi="Arial" w:cs="Arial"/>
          <w:bCs/>
        </w:rPr>
        <w:t>s</w:t>
      </w:r>
      <w:r w:rsidR="00272704">
        <w:rPr>
          <w:rFonts w:ascii="Arial" w:eastAsia="Calibri" w:hAnsi="Arial" w:cs="Arial"/>
          <w:bCs/>
        </w:rPr>
        <w:t>e</w:t>
      </w:r>
      <w:r w:rsidR="00813007" w:rsidRPr="00CA5C6B">
        <w:rPr>
          <w:rFonts w:ascii="Arial" w:eastAsia="Calibri" w:hAnsi="Arial" w:cs="Arial"/>
          <w:bCs/>
        </w:rPr>
        <w:t xml:space="preserve"> </w:t>
      </w:r>
      <w:r w:rsidRPr="00CA5C6B">
        <w:rPr>
          <w:rFonts w:ascii="Arial" w:eastAsia="Calibri" w:hAnsi="Arial" w:cs="Arial"/>
          <w:bCs/>
        </w:rPr>
        <w:t xml:space="preserve">para desarrollar el procedimiento de contratación y </w:t>
      </w:r>
      <w:r w:rsidR="00813007">
        <w:rPr>
          <w:rFonts w:ascii="Arial" w:eastAsia="Calibri" w:hAnsi="Arial" w:cs="Arial"/>
          <w:bCs/>
        </w:rPr>
        <w:t xml:space="preserve">para </w:t>
      </w:r>
      <w:r w:rsidRPr="00CA5C6B">
        <w:rPr>
          <w:rFonts w:ascii="Arial" w:eastAsia="Calibri" w:hAnsi="Arial" w:cs="Arial"/>
          <w:bCs/>
        </w:rPr>
        <w:t xml:space="preserve">que los proponentes acrediten los diferentes requisitos establecidos para participar en </w:t>
      </w:r>
      <w:r w:rsidR="001D6B8A">
        <w:rPr>
          <w:rFonts w:ascii="Arial" w:eastAsia="Calibri" w:hAnsi="Arial" w:cs="Arial"/>
          <w:bCs/>
        </w:rPr>
        <w:t>ellos</w:t>
      </w:r>
      <w:r w:rsidRPr="00CA5C6B">
        <w:rPr>
          <w:rFonts w:ascii="Arial" w:eastAsia="Calibri" w:hAnsi="Arial" w:cs="Arial"/>
          <w:bCs/>
        </w:rPr>
        <w:t>. Estos</w:t>
      </w:r>
      <w:r w:rsidR="00813007">
        <w:rPr>
          <w:rFonts w:ascii="Arial" w:eastAsia="Calibri" w:hAnsi="Arial" w:cs="Arial"/>
          <w:bCs/>
        </w:rPr>
        <w:t xml:space="preserve"> formatos y anexos</w:t>
      </w:r>
      <w:r w:rsidRPr="00CA5C6B">
        <w:rPr>
          <w:rFonts w:ascii="Arial" w:eastAsia="Calibri" w:hAnsi="Arial" w:cs="Arial"/>
          <w:bCs/>
        </w:rPr>
        <w:t>, al igual que el «Documento Base», contienen apartes entre corchetes y resaltados en gris, los cuales debe diligencia</w:t>
      </w:r>
      <w:r w:rsidR="001D6B8A">
        <w:rPr>
          <w:rFonts w:ascii="Arial" w:eastAsia="Calibri" w:hAnsi="Arial" w:cs="Arial"/>
          <w:bCs/>
        </w:rPr>
        <w:t>r</w:t>
      </w:r>
      <w:r w:rsidRPr="00CA5C6B">
        <w:rPr>
          <w:rFonts w:ascii="Arial" w:eastAsia="Calibri" w:hAnsi="Arial" w:cs="Arial"/>
          <w:bCs/>
        </w:rPr>
        <w:t xml:space="preserve"> la </w:t>
      </w:r>
      <w:r w:rsidRPr="00CA5C6B">
        <w:rPr>
          <w:rFonts w:ascii="Arial" w:eastAsia="Calibri" w:hAnsi="Arial" w:cs="Arial"/>
          <w:bCs/>
        </w:rPr>
        <w:lastRenderedPageBreak/>
        <w:t>entidad, al igual que otros aspectos relativos a información que debe</w:t>
      </w:r>
      <w:r w:rsidR="00B57A94">
        <w:rPr>
          <w:rFonts w:ascii="Arial" w:eastAsia="Calibri" w:hAnsi="Arial" w:cs="Arial"/>
          <w:bCs/>
        </w:rPr>
        <w:t>n</w:t>
      </w:r>
      <w:r w:rsidRPr="00CA5C6B">
        <w:rPr>
          <w:rFonts w:ascii="Arial" w:eastAsia="Calibri" w:hAnsi="Arial" w:cs="Arial"/>
          <w:bCs/>
        </w:rPr>
        <w:t xml:space="preserve"> completa</w:t>
      </w:r>
      <w:r w:rsidR="002D1CAD">
        <w:rPr>
          <w:rFonts w:ascii="Arial" w:eastAsia="Calibri" w:hAnsi="Arial" w:cs="Arial"/>
          <w:bCs/>
        </w:rPr>
        <w:t>r</w:t>
      </w:r>
      <w:r w:rsidRPr="00CA5C6B">
        <w:rPr>
          <w:rFonts w:ascii="Arial" w:eastAsia="Calibri" w:hAnsi="Arial" w:cs="Arial"/>
          <w:bCs/>
        </w:rPr>
        <w:t xml:space="preserve"> los oferentes </w:t>
      </w:r>
      <w:r w:rsidR="002D1CAD">
        <w:rPr>
          <w:rFonts w:ascii="Arial" w:eastAsia="Calibri" w:hAnsi="Arial" w:cs="Arial"/>
          <w:bCs/>
        </w:rPr>
        <w:t>al presentar algunos de estos documentos</w:t>
      </w:r>
      <w:r w:rsidRPr="00CA5C6B">
        <w:rPr>
          <w:rFonts w:ascii="Arial" w:eastAsia="Calibri" w:hAnsi="Arial" w:cs="Arial"/>
          <w:bCs/>
        </w:rPr>
        <w:t xml:space="preserve">. </w:t>
      </w:r>
    </w:p>
    <w:p w14:paraId="39DD821D" w14:textId="6E3A1F94" w:rsidR="00DD27A3" w:rsidRPr="00B41612" w:rsidRDefault="00DD27A3" w:rsidP="00DD27A3">
      <w:pPr>
        <w:spacing w:before="120" w:line="276" w:lineRule="auto"/>
        <w:ind w:firstLine="709"/>
        <w:jc w:val="both"/>
        <w:rPr>
          <w:rFonts w:ascii="Arial" w:hAnsi="Arial" w:cs="Arial"/>
        </w:rPr>
      </w:pPr>
      <w:r w:rsidRPr="00CA5C6B">
        <w:rPr>
          <w:rFonts w:ascii="Arial" w:hAnsi="Arial" w:cs="Arial"/>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w:t>
      </w:r>
      <w:r w:rsidR="004B350D" w:rsidRPr="00CA5C6B">
        <w:rPr>
          <w:rFonts w:ascii="Arial" w:hAnsi="Arial" w:cs="Arial"/>
        </w:rPr>
        <w:t>les</w:t>
      </w:r>
      <w:r w:rsidRPr="00CA5C6B">
        <w:rPr>
          <w:rFonts w:ascii="Arial" w:hAnsi="Arial" w:cs="Arial"/>
        </w:rPr>
        <w:t xml:space="preserve"> rinda culto a las formas, pues el deber que le asiste es el de tener en cuenta y aplicar los aspectos sustanciales de los documentos tipo, sin distingo de la formalidad de la que se sirva para ello los actores de la contratación pública</w:t>
      </w:r>
      <w:r w:rsidRPr="00B41612">
        <w:rPr>
          <w:rStyle w:val="Refdenotaalpie"/>
          <w:rFonts w:ascii="Arial" w:hAnsi="Arial" w:cs="Arial"/>
        </w:rPr>
        <w:footnoteReference w:id="2"/>
      </w:r>
      <w:r w:rsidRPr="00B41612">
        <w:rPr>
          <w:rFonts w:ascii="Arial" w:hAnsi="Arial" w:cs="Arial"/>
        </w:rPr>
        <w:t xml:space="preserve">. </w:t>
      </w:r>
    </w:p>
    <w:p w14:paraId="01D5736C" w14:textId="442CD76D" w:rsidR="00DD27A3" w:rsidRPr="007327B2" w:rsidRDefault="00DD27A3" w:rsidP="00DD27A3">
      <w:pPr>
        <w:spacing w:before="120" w:line="276" w:lineRule="auto"/>
        <w:ind w:firstLine="709"/>
        <w:jc w:val="both"/>
        <w:rPr>
          <w:rFonts w:ascii="Arial" w:hAnsi="Arial" w:cs="Arial"/>
        </w:rPr>
      </w:pPr>
      <w:r>
        <w:rPr>
          <w:rFonts w:ascii="Arial" w:hAnsi="Arial" w:cs="Arial"/>
        </w:rPr>
        <w:t>De acuerdo con lo anterior, e</w:t>
      </w:r>
      <w:r w:rsidRPr="00B41612">
        <w:rPr>
          <w:rFonts w:ascii="Arial" w:hAnsi="Arial" w:cs="Arial"/>
        </w:rPr>
        <w:t xml:space="preserve">l carácter inalterable de los </w:t>
      </w:r>
      <w:r w:rsidR="00813007" w:rsidRPr="00B41612">
        <w:rPr>
          <w:rFonts w:ascii="Arial" w:hAnsi="Arial" w:cs="Arial"/>
        </w:rPr>
        <w:t>documentos tipo</w:t>
      </w:r>
      <w:r w:rsidRPr="00B41612">
        <w:rPr>
          <w:rFonts w:ascii="Arial" w:hAnsi="Arial" w:cs="Arial"/>
        </w:rPr>
        <w:t xml:space="preserve"> no puede</w:t>
      </w:r>
      <w:r>
        <w:rPr>
          <w:rFonts w:ascii="Arial" w:hAnsi="Arial" w:cs="Arial"/>
        </w:rPr>
        <w:t xml:space="preserve"> </w:t>
      </w:r>
      <w:r w:rsidRPr="00B41612">
        <w:rPr>
          <w:rFonts w:ascii="Arial" w:hAnsi="Arial" w:cs="Arial"/>
        </w:rPr>
        <w:t>exten</w:t>
      </w:r>
      <w:r w:rsidR="00813007">
        <w:rPr>
          <w:rFonts w:ascii="Arial" w:hAnsi="Arial" w:cs="Arial"/>
        </w:rPr>
        <w:t>derse</w:t>
      </w:r>
      <w:r w:rsidRPr="00B41612">
        <w:rPr>
          <w:rFonts w:ascii="Arial" w:hAnsi="Arial" w:cs="Arial"/>
        </w:rPr>
        <w:t xml:space="preserve"> a los aspectos </w:t>
      </w:r>
      <w:r>
        <w:rPr>
          <w:rFonts w:ascii="Arial" w:hAnsi="Arial" w:cs="Arial"/>
        </w:rPr>
        <w:t>simplemente formales</w:t>
      </w:r>
      <w:r w:rsidRPr="00B41612">
        <w:rPr>
          <w:rFonts w:ascii="Arial" w:hAnsi="Arial" w:cs="Arial"/>
        </w:rPr>
        <w:t xml:space="preserve"> de tales documentos, esto es, el tamaño y tipo de letra, las márgenes o las expresiones que pretenden hacer más comprensible el documento, como es el caso de aquellas que informan que una expresión larga será referida con otra similar pero más corta. </w:t>
      </w:r>
      <w:r>
        <w:rPr>
          <w:rFonts w:ascii="Arial" w:hAnsi="Arial" w:cs="Arial"/>
        </w:rPr>
        <w:t>Lo anterior teniendo en cuenta que</w:t>
      </w:r>
      <w:r w:rsidRPr="00B41612">
        <w:rPr>
          <w:rFonts w:ascii="Arial" w:hAnsi="Arial" w:cs="Arial"/>
        </w:rPr>
        <w:t xml:space="preserve"> estos aspectos en nada afectan la aplicación y alcance de los documentos tipo</w:t>
      </w:r>
      <w:r>
        <w:rPr>
          <w:rFonts w:ascii="Arial" w:hAnsi="Arial" w:cs="Arial"/>
        </w:rPr>
        <w:t xml:space="preserve">, esto es, </w:t>
      </w:r>
      <w:r w:rsidRPr="00B41612">
        <w:rPr>
          <w:rFonts w:ascii="Arial" w:hAnsi="Arial" w:cs="Arial"/>
        </w:rPr>
        <w:t>no afectan su contenido esencial y, mucho menos, las obligaciones, deberes y derechos que se derivan para las partes contratantes.</w:t>
      </w:r>
    </w:p>
    <w:p w14:paraId="2932B1BE" w14:textId="42592C36" w:rsidR="005815B1" w:rsidRDefault="00012565" w:rsidP="00C13DE9">
      <w:pPr>
        <w:spacing w:after="0" w:line="276" w:lineRule="auto"/>
        <w:ind w:firstLine="708"/>
        <w:jc w:val="both"/>
        <w:rPr>
          <w:rFonts w:ascii="Arial" w:eastAsia="Calibri" w:hAnsi="Arial" w:cs="Arial"/>
        </w:rPr>
      </w:pPr>
      <w:r>
        <w:rPr>
          <w:rFonts w:ascii="Arial" w:eastAsia="Calibri" w:hAnsi="Arial" w:cs="Arial"/>
        </w:rPr>
        <w:t>A</w:t>
      </w:r>
      <w:r w:rsidR="00397A17">
        <w:rPr>
          <w:rFonts w:ascii="Arial" w:eastAsia="Calibri" w:hAnsi="Arial" w:cs="Arial"/>
        </w:rPr>
        <w:t>hora bien</w:t>
      </w:r>
      <w:r>
        <w:rPr>
          <w:rFonts w:ascii="Arial" w:eastAsia="Calibri" w:hAnsi="Arial" w:cs="Arial"/>
        </w:rPr>
        <w:t xml:space="preserve">, respecto de la </w:t>
      </w:r>
      <w:r w:rsidR="00813007">
        <w:rPr>
          <w:rFonts w:ascii="Arial" w:eastAsia="Calibri" w:hAnsi="Arial" w:cs="Arial"/>
        </w:rPr>
        <w:t>«</w:t>
      </w:r>
      <w:r>
        <w:rPr>
          <w:rFonts w:ascii="Arial" w:eastAsia="Calibri" w:hAnsi="Arial" w:cs="Arial"/>
        </w:rPr>
        <w:t>Matriz 1</w:t>
      </w:r>
      <w:r w:rsidR="00813007">
        <w:rPr>
          <w:rFonts w:ascii="Arial" w:eastAsia="Calibri" w:hAnsi="Arial" w:cs="Arial"/>
        </w:rPr>
        <w:t xml:space="preserve"> – </w:t>
      </w:r>
      <w:r>
        <w:rPr>
          <w:rFonts w:ascii="Arial" w:eastAsia="Calibri" w:hAnsi="Arial" w:cs="Arial"/>
        </w:rPr>
        <w:t>Experiencia</w:t>
      </w:r>
      <w:r w:rsidR="00813007">
        <w:rPr>
          <w:rFonts w:ascii="Arial" w:eastAsia="Calibri" w:hAnsi="Arial" w:cs="Arial"/>
        </w:rPr>
        <w:t>»</w:t>
      </w:r>
      <w:r>
        <w:rPr>
          <w:rFonts w:ascii="Arial" w:eastAsia="Calibri" w:hAnsi="Arial" w:cs="Arial"/>
        </w:rPr>
        <w:t xml:space="preserve"> de los documentos tipo de agua potable y saneamiento básico</w:t>
      </w:r>
      <w:r w:rsidR="00397A17">
        <w:rPr>
          <w:rFonts w:ascii="Arial" w:eastAsia="Calibri" w:hAnsi="Arial" w:cs="Arial"/>
        </w:rPr>
        <w:t xml:space="preserve">, se aclara que </w:t>
      </w:r>
      <w:r w:rsidR="003B5DEF">
        <w:rPr>
          <w:rFonts w:ascii="Arial" w:eastAsia="Calibri" w:hAnsi="Arial" w:cs="Arial"/>
        </w:rPr>
        <w:t xml:space="preserve">las </w:t>
      </w:r>
      <w:r w:rsidR="00C13DE9">
        <w:rPr>
          <w:rFonts w:ascii="Arial" w:eastAsia="Calibri" w:hAnsi="Arial" w:cs="Arial"/>
        </w:rPr>
        <w:t>«</w:t>
      </w:r>
      <w:r w:rsidR="003B5DEF" w:rsidRPr="003B5DEF">
        <w:rPr>
          <w:rFonts w:ascii="Arial" w:eastAsia="Calibri" w:hAnsi="Arial" w:cs="Arial"/>
        </w:rPr>
        <w:t>obras de acueductos y/o alcantarillados</w:t>
      </w:r>
      <w:r w:rsidR="00C13DE9">
        <w:rPr>
          <w:rFonts w:ascii="Arial" w:eastAsia="Calibri" w:hAnsi="Arial" w:cs="Arial"/>
        </w:rPr>
        <w:t>»</w:t>
      </w:r>
      <w:r w:rsidR="003B5DEF">
        <w:rPr>
          <w:rFonts w:ascii="Arial" w:eastAsia="Calibri" w:hAnsi="Arial" w:cs="Arial"/>
        </w:rPr>
        <w:t xml:space="preserve"> contiene</w:t>
      </w:r>
      <w:r w:rsidR="005815B1">
        <w:rPr>
          <w:rFonts w:ascii="Arial" w:eastAsia="Calibri" w:hAnsi="Arial" w:cs="Arial"/>
        </w:rPr>
        <w:t>n</w:t>
      </w:r>
      <w:r w:rsidR="003B5DEF">
        <w:rPr>
          <w:rFonts w:ascii="Arial" w:eastAsia="Calibri" w:hAnsi="Arial" w:cs="Arial"/>
        </w:rPr>
        <w:t xml:space="preserve"> dos</w:t>
      </w:r>
      <w:r w:rsidR="00C13DE9">
        <w:rPr>
          <w:rFonts w:ascii="Arial" w:eastAsia="Calibri" w:hAnsi="Arial" w:cs="Arial"/>
        </w:rPr>
        <w:t xml:space="preserve"> (2)</w:t>
      </w:r>
      <w:r w:rsidR="003B5DEF">
        <w:rPr>
          <w:rFonts w:ascii="Arial" w:eastAsia="Calibri" w:hAnsi="Arial" w:cs="Arial"/>
        </w:rPr>
        <w:t xml:space="preserve"> actividades a contratar: </w:t>
      </w:r>
      <w:r w:rsidR="003B5DEF" w:rsidRPr="003B5DEF">
        <w:rPr>
          <w:rFonts w:ascii="Arial" w:eastAsia="Calibri" w:hAnsi="Arial" w:cs="Arial"/>
        </w:rPr>
        <w:t xml:space="preserve">1.1 </w:t>
      </w:r>
      <w:r w:rsidR="003B5DEF">
        <w:rPr>
          <w:rFonts w:ascii="Arial" w:eastAsia="Calibri" w:hAnsi="Arial" w:cs="Arial"/>
        </w:rPr>
        <w:t>P</w:t>
      </w:r>
      <w:r w:rsidR="003B5DEF" w:rsidRPr="003B5DEF">
        <w:rPr>
          <w:rFonts w:ascii="Arial" w:eastAsia="Calibri" w:hAnsi="Arial" w:cs="Arial"/>
        </w:rPr>
        <w:t>royectos de construcción de acueductos y/o alcantarillados (urbanos y/o rurales) y/u obras complementarias</w:t>
      </w:r>
      <w:r w:rsidR="003B5DEF">
        <w:rPr>
          <w:rFonts w:ascii="Arial" w:eastAsia="Calibri" w:hAnsi="Arial" w:cs="Arial"/>
        </w:rPr>
        <w:t xml:space="preserve">, y </w:t>
      </w:r>
      <w:r w:rsidR="003B5DEF" w:rsidRPr="003B5DEF">
        <w:rPr>
          <w:rFonts w:ascii="Arial" w:eastAsia="Calibri" w:hAnsi="Arial" w:cs="Arial"/>
        </w:rPr>
        <w:t xml:space="preserve">1.2 </w:t>
      </w:r>
      <w:r w:rsidR="003B5DEF">
        <w:rPr>
          <w:rFonts w:ascii="Arial" w:eastAsia="Calibri" w:hAnsi="Arial" w:cs="Arial"/>
        </w:rPr>
        <w:t>P</w:t>
      </w:r>
      <w:r w:rsidR="003B5DEF" w:rsidRPr="003B5DEF">
        <w:rPr>
          <w:rFonts w:ascii="Arial" w:eastAsia="Calibri" w:hAnsi="Arial" w:cs="Arial"/>
        </w:rPr>
        <w:t>royectos de optimización y/o mejoramiento y/o rehabilitación y/o reforzamiento y/o reconstrucción y/o reposición de acueductos y/o redes de acueducto y/o alcantarillados y/o redes de alcantarillado (urbanos y/o rurales)</w:t>
      </w:r>
      <w:r w:rsidR="005815B1">
        <w:rPr>
          <w:rFonts w:ascii="Arial" w:eastAsia="Calibri" w:hAnsi="Arial" w:cs="Arial"/>
        </w:rPr>
        <w:t>.</w:t>
      </w:r>
      <w:r w:rsidR="00C13DE9">
        <w:rPr>
          <w:rFonts w:ascii="Arial" w:eastAsia="Calibri" w:hAnsi="Arial" w:cs="Arial"/>
        </w:rPr>
        <w:t xml:space="preserve"> Para estas</w:t>
      </w:r>
      <w:r w:rsidR="005815B1">
        <w:rPr>
          <w:rFonts w:ascii="Arial" w:eastAsia="Calibri" w:hAnsi="Arial" w:cs="Arial"/>
        </w:rPr>
        <w:t xml:space="preserve"> actividades, la</w:t>
      </w:r>
      <w:r w:rsidR="00C13DE9">
        <w:rPr>
          <w:rFonts w:ascii="Arial" w:eastAsia="Calibri" w:hAnsi="Arial" w:cs="Arial"/>
        </w:rPr>
        <w:t xml:space="preserve"> </w:t>
      </w:r>
      <w:r w:rsidR="005815B1">
        <w:rPr>
          <w:rFonts w:ascii="Arial" w:eastAsia="Calibri" w:hAnsi="Arial" w:cs="Arial"/>
        </w:rPr>
        <w:t>matriz señala la experiencia específica</w:t>
      </w:r>
      <w:r w:rsidR="00C13DE9">
        <w:rPr>
          <w:rFonts w:ascii="Arial" w:eastAsia="Calibri" w:hAnsi="Arial" w:cs="Arial"/>
        </w:rPr>
        <w:t>.</w:t>
      </w:r>
      <w:r w:rsidR="005815B1">
        <w:rPr>
          <w:rFonts w:ascii="Arial" w:eastAsia="Calibri" w:hAnsi="Arial" w:cs="Arial"/>
        </w:rPr>
        <w:t xml:space="preserve"> </w:t>
      </w:r>
      <w:r w:rsidR="00801C9A">
        <w:rPr>
          <w:rFonts w:ascii="Arial" w:eastAsia="Calibri" w:hAnsi="Arial" w:cs="Arial"/>
        </w:rPr>
        <w:t>Particularmente</w:t>
      </w:r>
      <w:r w:rsidR="005815B1">
        <w:rPr>
          <w:rFonts w:ascii="Arial" w:eastAsia="Calibri" w:hAnsi="Arial" w:cs="Arial"/>
        </w:rPr>
        <w:t>, para la actividad 1.</w:t>
      </w:r>
      <w:r w:rsidR="00801C9A">
        <w:rPr>
          <w:rFonts w:ascii="Arial" w:eastAsia="Calibri" w:hAnsi="Arial" w:cs="Arial"/>
        </w:rPr>
        <w:t>2</w:t>
      </w:r>
      <w:r w:rsidR="005815B1">
        <w:rPr>
          <w:rFonts w:ascii="Arial" w:eastAsia="Calibri" w:hAnsi="Arial" w:cs="Arial"/>
        </w:rPr>
        <w:t xml:space="preserve"> dispone que:</w:t>
      </w:r>
    </w:p>
    <w:p w14:paraId="6043C1B4" w14:textId="77777777" w:rsidR="00C13DE9" w:rsidRDefault="00C13DE9" w:rsidP="00465318">
      <w:pPr>
        <w:spacing w:after="0" w:line="276" w:lineRule="auto"/>
        <w:ind w:firstLine="708"/>
        <w:jc w:val="both"/>
        <w:rPr>
          <w:rFonts w:ascii="Arial" w:eastAsia="Calibri" w:hAnsi="Arial" w:cs="Arial"/>
        </w:rPr>
      </w:pPr>
    </w:p>
    <w:p w14:paraId="7FB359C8" w14:textId="7201DC85" w:rsidR="00801C9A" w:rsidRPr="00801C9A" w:rsidRDefault="00801C9A" w:rsidP="00D4364D">
      <w:pPr>
        <w:spacing w:after="120" w:line="240" w:lineRule="auto"/>
        <w:ind w:left="709" w:right="709"/>
        <w:jc w:val="both"/>
        <w:rPr>
          <w:rFonts w:ascii="Arial" w:eastAsia="Calibri" w:hAnsi="Arial" w:cs="Arial"/>
          <w:sz w:val="21"/>
          <w:szCs w:val="21"/>
        </w:rPr>
      </w:pPr>
      <w:r w:rsidRPr="00801C9A">
        <w:rPr>
          <w:rFonts w:ascii="Arial" w:eastAsia="Calibri" w:hAnsi="Arial" w:cs="Arial"/>
          <w:sz w:val="21"/>
          <w:szCs w:val="21"/>
        </w:rPr>
        <w:t xml:space="preserve">Por lo menos uno (1) de los contratos válidos aportados como experiencia general debe corresponder mínimo al 70% en las cantidades de obra </w:t>
      </w:r>
      <w:r w:rsidR="0056069F" w:rsidRPr="00801C9A">
        <w:rPr>
          <w:rFonts w:ascii="Arial" w:eastAsia="Calibri" w:hAnsi="Arial" w:cs="Arial"/>
          <w:sz w:val="21"/>
          <w:szCs w:val="21"/>
        </w:rPr>
        <w:t>más</w:t>
      </w:r>
      <w:r w:rsidRPr="00801C9A">
        <w:rPr>
          <w:rFonts w:ascii="Arial" w:eastAsia="Calibri" w:hAnsi="Arial" w:cs="Arial"/>
          <w:sz w:val="21"/>
          <w:szCs w:val="21"/>
        </w:rPr>
        <w:t xml:space="preserve"> representativa a las referidas en el presente proceso de contratación, las cuales corresponden a: </w:t>
      </w:r>
    </w:p>
    <w:p w14:paraId="6AFDC6AC" w14:textId="4C75D067" w:rsidR="00801C9A" w:rsidRPr="00801C9A" w:rsidRDefault="00801C9A" w:rsidP="00D4364D">
      <w:pPr>
        <w:spacing w:after="120" w:line="240" w:lineRule="auto"/>
        <w:ind w:left="709" w:right="709"/>
        <w:jc w:val="both"/>
        <w:rPr>
          <w:rFonts w:ascii="Arial" w:eastAsia="Calibri" w:hAnsi="Arial" w:cs="Arial"/>
          <w:sz w:val="21"/>
          <w:szCs w:val="21"/>
        </w:rPr>
      </w:pPr>
      <w:r w:rsidRPr="00801C9A">
        <w:rPr>
          <w:rFonts w:ascii="Arial" w:eastAsia="Calibri" w:hAnsi="Arial" w:cs="Arial"/>
          <w:sz w:val="21"/>
          <w:szCs w:val="21"/>
        </w:rPr>
        <w:t>Actividades de intervención o instalación de: redes hidrosanitarias; y/o acueductos y/o alcantarillados, según sea el caso.</w:t>
      </w:r>
    </w:p>
    <w:p w14:paraId="265B715D" w14:textId="62761E57" w:rsidR="005815B1" w:rsidRDefault="00801C9A" w:rsidP="00801C9A">
      <w:pPr>
        <w:spacing w:after="0" w:line="240" w:lineRule="auto"/>
        <w:ind w:left="709" w:right="709"/>
        <w:jc w:val="both"/>
        <w:rPr>
          <w:rFonts w:ascii="Arial" w:eastAsia="Calibri" w:hAnsi="Arial" w:cs="Arial"/>
          <w:sz w:val="21"/>
          <w:szCs w:val="21"/>
        </w:rPr>
      </w:pPr>
      <w:r w:rsidRPr="00801C9A">
        <w:rPr>
          <w:rFonts w:ascii="Arial" w:eastAsia="Calibri" w:hAnsi="Arial" w:cs="Arial"/>
          <w:sz w:val="21"/>
          <w:szCs w:val="21"/>
        </w:rPr>
        <w:lastRenderedPageBreak/>
        <w:t>[La entidad deberá indicar a los inter</w:t>
      </w:r>
      <w:r w:rsidR="0056069F">
        <w:rPr>
          <w:rFonts w:ascii="Arial" w:eastAsia="Calibri" w:hAnsi="Arial" w:cs="Arial"/>
          <w:sz w:val="21"/>
          <w:szCs w:val="21"/>
        </w:rPr>
        <w:t>e</w:t>
      </w:r>
      <w:r w:rsidRPr="00801C9A">
        <w:rPr>
          <w:rFonts w:ascii="Arial" w:eastAsia="Calibri" w:hAnsi="Arial" w:cs="Arial"/>
          <w:sz w:val="21"/>
          <w:szCs w:val="21"/>
        </w:rPr>
        <w:t>sado</w:t>
      </w:r>
      <w:r w:rsidR="0056069F">
        <w:rPr>
          <w:rFonts w:ascii="Arial" w:eastAsia="Calibri" w:hAnsi="Arial" w:cs="Arial"/>
          <w:sz w:val="21"/>
          <w:szCs w:val="21"/>
        </w:rPr>
        <w:t>s</w:t>
      </w:r>
      <w:r w:rsidRPr="00801C9A">
        <w:rPr>
          <w:rFonts w:ascii="Arial" w:eastAsia="Calibri" w:hAnsi="Arial" w:cs="Arial"/>
          <w:sz w:val="21"/>
          <w:szCs w:val="21"/>
        </w:rPr>
        <w:t xml:space="preserve"> en el proceso de contratación cuales son las cantidades que corresponden a la actividad más representativa del listado anterior, identificando mínimo una (1) actividad como principal.]</w:t>
      </w:r>
    </w:p>
    <w:p w14:paraId="60768661" w14:textId="77777777" w:rsidR="00C13DE9" w:rsidRPr="00465318" w:rsidRDefault="00C13DE9" w:rsidP="00465318">
      <w:pPr>
        <w:spacing w:after="0" w:line="276" w:lineRule="auto"/>
        <w:ind w:left="709" w:right="709"/>
        <w:jc w:val="both"/>
        <w:rPr>
          <w:rFonts w:ascii="Arial" w:eastAsia="Calibri" w:hAnsi="Arial" w:cs="Arial"/>
        </w:rPr>
      </w:pPr>
    </w:p>
    <w:p w14:paraId="195A4E05" w14:textId="1D769C01" w:rsidR="00F10FBF" w:rsidRDefault="00194767">
      <w:pPr>
        <w:spacing w:line="276" w:lineRule="auto"/>
        <w:ind w:firstLine="708"/>
        <w:jc w:val="both"/>
        <w:rPr>
          <w:rFonts w:ascii="Arial" w:eastAsia="Calibri" w:hAnsi="Arial" w:cs="Arial"/>
        </w:rPr>
      </w:pPr>
      <w:bookmarkStart w:id="7" w:name="_Hlk71714277"/>
      <w:r>
        <w:rPr>
          <w:rFonts w:ascii="Arial" w:eastAsia="Calibri" w:hAnsi="Arial" w:cs="Arial"/>
        </w:rPr>
        <w:t>Salvo los espacios resaltados en corchetes, d</w:t>
      </w:r>
      <w:r w:rsidR="00C13DE9" w:rsidRPr="005815B1">
        <w:rPr>
          <w:rFonts w:ascii="Arial" w:eastAsia="Calibri" w:hAnsi="Arial" w:cs="Arial"/>
        </w:rPr>
        <w:t>e acuerdo co</w:t>
      </w:r>
      <w:r w:rsidR="00C13DE9">
        <w:rPr>
          <w:rFonts w:ascii="Arial" w:eastAsia="Calibri" w:hAnsi="Arial" w:cs="Arial"/>
        </w:rPr>
        <w:t>n el principio de inalterabilidad,</w:t>
      </w:r>
      <w:r w:rsidRPr="00194767">
        <w:rPr>
          <w:rFonts w:ascii="Arial" w:eastAsia="Calibri" w:hAnsi="Arial" w:cs="Arial"/>
        </w:rPr>
        <w:t xml:space="preserve"> </w:t>
      </w:r>
      <w:r w:rsidR="00C13DE9">
        <w:rPr>
          <w:rFonts w:ascii="Arial" w:eastAsia="Calibri" w:hAnsi="Arial" w:cs="Arial"/>
        </w:rPr>
        <w:t>la</w:t>
      </w:r>
      <w:r w:rsidR="005815B1" w:rsidRPr="005815B1">
        <w:rPr>
          <w:rFonts w:ascii="Arial" w:eastAsia="Calibri" w:hAnsi="Arial" w:cs="Arial"/>
        </w:rPr>
        <w:t xml:space="preserve"> matriz </w:t>
      </w:r>
      <w:r w:rsidR="005815B1">
        <w:rPr>
          <w:rFonts w:ascii="Arial" w:eastAsia="Calibri" w:hAnsi="Arial" w:cs="Arial"/>
        </w:rPr>
        <w:t>no puede modificar</w:t>
      </w:r>
      <w:r w:rsidR="00C13DE9">
        <w:rPr>
          <w:rFonts w:ascii="Arial" w:eastAsia="Calibri" w:hAnsi="Arial" w:cs="Arial"/>
        </w:rPr>
        <w:t>se</w:t>
      </w:r>
      <w:r w:rsidR="005815B1">
        <w:rPr>
          <w:rFonts w:ascii="Arial" w:eastAsia="Calibri" w:hAnsi="Arial" w:cs="Arial"/>
        </w:rPr>
        <w:t xml:space="preserve"> puesto que allí se </w:t>
      </w:r>
      <w:r w:rsidR="00C13DE9">
        <w:rPr>
          <w:rFonts w:ascii="Arial" w:eastAsia="Calibri" w:hAnsi="Arial" w:cs="Arial"/>
        </w:rPr>
        <w:t xml:space="preserve">estandarizan </w:t>
      </w:r>
      <w:r w:rsidR="005815B1">
        <w:rPr>
          <w:rFonts w:ascii="Arial" w:eastAsia="Calibri" w:hAnsi="Arial" w:cs="Arial"/>
        </w:rPr>
        <w:t xml:space="preserve">las condiciones de experiencia general y </w:t>
      </w:r>
      <w:r w:rsidR="00F10FBF">
        <w:rPr>
          <w:rFonts w:ascii="Arial" w:eastAsia="Calibri" w:hAnsi="Arial" w:cs="Arial"/>
        </w:rPr>
        <w:t>específica</w:t>
      </w:r>
      <w:r w:rsidR="005815B1">
        <w:rPr>
          <w:rFonts w:ascii="Arial" w:eastAsia="Calibri" w:hAnsi="Arial" w:cs="Arial"/>
        </w:rPr>
        <w:t xml:space="preserve"> para cada actividad a contratar</w:t>
      </w:r>
      <w:r w:rsidR="001F09A1">
        <w:rPr>
          <w:rFonts w:ascii="Arial" w:eastAsia="Calibri" w:hAnsi="Arial" w:cs="Arial"/>
        </w:rPr>
        <w:t xml:space="preserve">. Por tanto, </w:t>
      </w:r>
      <w:r w:rsidR="001B23BE">
        <w:rPr>
          <w:rFonts w:ascii="Arial" w:eastAsia="Calibri" w:hAnsi="Arial" w:cs="Arial"/>
        </w:rPr>
        <w:t>l</w:t>
      </w:r>
      <w:r w:rsidR="008179B4" w:rsidRPr="008179B4">
        <w:rPr>
          <w:rFonts w:ascii="Arial" w:eastAsia="Calibri" w:hAnsi="Arial" w:cs="Arial"/>
        </w:rPr>
        <w:t xml:space="preserve">a entidad únicamente puede establecer la actividad o actividades más representativas según el listado </w:t>
      </w:r>
      <w:r w:rsidR="008179B4">
        <w:rPr>
          <w:rFonts w:ascii="Arial" w:eastAsia="Calibri" w:hAnsi="Arial" w:cs="Arial"/>
        </w:rPr>
        <w:t>anteriormente citado</w:t>
      </w:r>
      <w:r w:rsidR="00F464D1">
        <w:rPr>
          <w:rFonts w:ascii="Arial" w:eastAsia="Calibri" w:hAnsi="Arial" w:cs="Arial"/>
        </w:rPr>
        <w:t>.</w:t>
      </w:r>
      <w:r w:rsidR="008179B4">
        <w:rPr>
          <w:rFonts w:ascii="Arial" w:eastAsia="Calibri" w:hAnsi="Arial" w:cs="Arial"/>
        </w:rPr>
        <w:t xml:space="preserve"> En efecto, l</w:t>
      </w:r>
      <w:r w:rsidR="00A773CD">
        <w:rPr>
          <w:rFonts w:ascii="Arial" w:eastAsia="Calibri" w:hAnsi="Arial" w:cs="Arial"/>
        </w:rPr>
        <w:t>a experiencia específica de la actividad 1.2</w:t>
      </w:r>
      <w:r w:rsidR="00F10FBF">
        <w:rPr>
          <w:rFonts w:ascii="Arial" w:eastAsia="Calibri" w:hAnsi="Arial" w:cs="Arial"/>
        </w:rPr>
        <w:t xml:space="preserve"> indica que, de los contratos válidos que se aporten como experiencia, </w:t>
      </w:r>
      <w:r w:rsidR="004B0592">
        <w:rPr>
          <w:rFonts w:ascii="Arial" w:eastAsia="Calibri" w:hAnsi="Arial" w:cs="Arial"/>
        </w:rPr>
        <w:t>por lo menos uno (</w:t>
      </w:r>
      <w:r w:rsidR="00F10FBF">
        <w:rPr>
          <w:rFonts w:ascii="Arial" w:eastAsia="Calibri" w:hAnsi="Arial" w:cs="Arial"/>
        </w:rPr>
        <w:t>1</w:t>
      </w:r>
      <w:r w:rsidR="004B0592">
        <w:rPr>
          <w:rFonts w:ascii="Arial" w:eastAsia="Calibri" w:hAnsi="Arial" w:cs="Arial"/>
        </w:rPr>
        <w:t>)</w:t>
      </w:r>
      <w:r w:rsidR="00F10FBF">
        <w:rPr>
          <w:rFonts w:ascii="Arial" w:eastAsia="Calibri" w:hAnsi="Arial" w:cs="Arial"/>
        </w:rPr>
        <w:t xml:space="preserve"> debe corresponder mínimo al 70% de las cantidades de la obra más representativa que corresponde a «</w:t>
      </w:r>
      <w:r w:rsidR="00F10FBF" w:rsidRPr="00F10FBF">
        <w:rPr>
          <w:rFonts w:ascii="Arial" w:eastAsia="Calibri" w:hAnsi="Arial" w:cs="Arial"/>
        </w:rPr>
        <w:t>Actividades de intervención o instalación de: redes hidrosanitarias; y/o acueductos y/o alcantarillados, según sea el caso</w:t>
      </w:r>
      <w:r w:rsidR="00F10FBF">
        <w:rPr>
          <w:rFonts w:ascii="Arial" w:eastAsia="Calibri" w:hAnsi="Arial" w:cs="Arial"/>
        </w:rPr>
        <w:t>».</w:t>
      </w:r>
    </w:p>
    <w:p w14:paraId="7AA3497B" w14:textId="300D14FF" w:rsidR="00C74EE0" w:rsidRDefault="003469D2" w:rsidP="001F09A1">
      <w:pPr>
        <w:spacing w:after="120" w:line="276" w:lineRule="auto"/>
        <w:ind w:firstLine="709"/>
        <w:jc w:val="both"/>
        <w:rPr>
          <w:rFonts w:ascii="Arial" w:eastAsia="Calibri" w:hAnsi="Arial" w:cs="Arial"/>
        </w:rPr>
      </w:pPr>
      <w:r>
        <w:rPr>
          <w:rFonts w:ascii="Arial" w:eastAsia="Calibri" w:hAnsi="Arial" w:cs="Arial"/>
        </w:rPr>
        <w:t>Por ende, la entidad debe señalar</w:t>
      </w:r>
      <w:r w:rsidR="001F09A1">
        <w:rPr>
          <w:rFonts w:ascii="Arial" w:eastAsia="Calibri" w:hAnsi="Arial" w:cs="Arial"/>
        </w:rPr>
        <w:t>, de esas actividades</w:t>
      </w:r>
      <w:r w:rsidR="003E13DD">
        <w:rPr>
          <w:rFonts w:ascii="Arial" w:eastAsia="Calibri" w:hAnsi="Arial" w:cs="Arial"/>
        </w:rPr>
        <w:t xml:space="preserve"> listadas</w:t>
      </w:r>
      <w:r w:rsidR="001F09A1">
        <w:rPr>
          <w:rFonts w:ascii="Arial" w:eastAsia="Calibri" w:hAnsi="Arial" w:cs="Arial"/>
        </w:rPr>
        <w:t>,</w:t>
      </w:r>
      <w:r>
        <w:rPr>
          <w:rFonts w:ascii="Arial" w:eastAsia="Calibri" w:hAnsi="Arial" w:cs="Arial"/>
        </w:rPr>
        <w:t xml:space="preserve"> cuál es la actividad principal, para que el proponente acredite la experiencia</w:t>
      </w:r>
      <w:r w:rsidR="00CE22B0" w:rsidRPr="00CE22B0">
        <w:rPr>
          <w:rFonts w:ascii="Arial" w:eastAsia="Calibri" w:hAnsi="Arial" w:cs="Arial"/>
        </w:rPr>
        <w:t xml:space="preserve"> </w:t>
      </w:r>
      <w:r w:rsidR="00CE22B0">
        <w:rPr>
          <w:rFonts w:ascii="Arial" w:eastAsia="Calibri" w:hAnsi="Arial" w:cs="Arial"/>
        </w:rPr>
        <w:t>frente a esta</w:t>
      </w:r>
      <w:r w:rsidR="001F09A1">
        <w:rPr>
          <w:rFonts w:ascii="Arial" w:eastAsia="Calibri" w:hAnsi="Arial" w:cs="Arial"/>
        </w:rPr>
        <w:t>. C</w:t>
      </w:r>
      <w:r w:rsidR="00A65E0C">
        <w:rPr>
          <w:rFonts w:ascii="Arial" w:eastAsia="Calibri" w:hAnsi="Arial" w:cs="Arial"/>
        </w:rPr>
        <w:t>omo se observa en la</w:t>
      </w:r>
      <w:r w:rsidR="00A65E0C" w:rsidRPr="00CE4B44">
        <w:rPr>
          <w:rFonts w:ascii="Arial" w:eastAsia="Calibri" w:hAnsi="Arial" w:cs="Arial"/>
        </w:rPr>
        <w:t xml:space="preserve"> </w:t>
      </w:r>
      <w:r w:rsidR="007C3AD3">
        <w:rPr>
          <w:rFonts w:ascii="Arial" w:eastAsia="Calibri" w:hAnsi="Arial" w:cs="Arial"/>
        </w:rPr>
        <w:t>«</w:t>
      </w:r>
      <w:r w:rsidR="00A65E0C">
        <w:rPr>
          <w:rFonts w:ascii="Arial" w:eastAsia="Calibri" w:hAnsi="Arial" w:cs="Arial"/>
        </w:rPr>
        <w:t>Matriz 1 – Experiencia</w:t>
      </w:r>
      <w:r w:rsidR="007C3AD3">
        <w:rPr>
          <w:rFonts w:ascii="Arial" w:eastAsia="Calibri" w:hAnsi="Arial" w:cs="Arial"/>
        </w:rPr>
        <w:t>»</w:t>
      </w:r>
      <w:r w:rsidR="00A65E0C">
        <w:rPr>
          <w:rFonts w:ascii="Arial" w:eastAsia="Calibri" w:hAnsi="Arial" w:cs="Arial"/>
        </w:rPr>
        <w:t xml:space="preserve">, </w:t>
      </w:r>
      <w:r w:rsidR="006C7EA6">
        <w:rPr>
          <w:rFonts w:ascii="Arial" w:eastAsia="Calibri" w:hAnsi="Arial" w:cs="Arial"/>
        </w:rPr>
        <w:t>la actividad principal</w:t>
      </w:r>
      <w:r w:rsidR="00A65E0C">
        <w:rPr>
          <w:rFonts w:ascii="Arial" w:eastAsia="Calibri" w:hAnsi="Arial" w:cs="Arial"/>
        </w:rPr>
        <w:t xml:space="preserve"> de la experiencia específica del numeral 1.2 no está determinada</w:t>
      </w:r>
      <w:r w:rsidR="006C7EA6">
        <w:rPr>
          <w:rFonts w:ascii="Arial" w:eastAsia="Calibri" w:hAnsi="Arial" w:cs="Arial"/>
        </w:rPr>
        <w:t xml:space="preserve"> por ningún criterio en particular</w:t>
      </w:r>
      <w:r w:rsidR="00A65E0C">
        <w:rPr>
          <w:rFonts w:ascii="Arial" w:eastAsia="Calibri" w:hAnsi="Arial" w:cs="Arial"/>
        </w:rPr>
        <w:t xml:space="preserve">, solo indica que </w:t>
      </w:r>
      <w:r w:rsidR="007C3AD3">
        <w:rPr>
          <w:rFonts w:ascii="Arial" w:eastAsia="Calibri" w:hAnsi="Arial" w:cs="Arial"/>
        </w:rPr>
        <w:t xml:space="preserve">la entidad </w:t>
      </w:r>
      <w:r w:rsidR="006C7EA6">
        <w:rPr>
          <w:rFonts w:ascii="Arial" w:eastAsia="Calibri" w:hAnsi="Arial" w:cs="Arial"/>
        </w:rPr>
        <w:t>debe elegir mínimo una actividad principal que sea la más representativa</w:t>
      </w:r>
      <w:r w:rsidR="009D2891">
        <w:rPr>
          <w:rFonts w:ascii="Arial" w:eastAsia="Calibri" w:hAnsi="Arial" w:cs="Arial"/>
        </w:rPr>
        <w:t>,</w:t>
      </w:r>
      <w:r w:rsidR="006C7EA6">
        <w:rPr>
          <w:rFonts w:ascii="Arial" w:eastAsia="Calibri" w:hAnsi="Arial" w:cs="Arial"/>
        </w:rPr>
        <w:t xml:space="preserve"> </w:t>
      </w:r>
      <w:r w:rsidR="00A65E0C">
        <w:rPr>
          <w:rFonts w:ascii="Arial" w:eastAsia="Calibri" w:hAnsi="Arial" w:cs="Arial"/>
        </w:rPr>
        <w:t xml:space="preserve">pero no </w:t>
      </w:r>
      <w:r w:rsidR="006C7EA6">
        <w:rPr>
          <w:rFonts w:ascii="Arial" w:eastAsia="Calibri" w:hAnsi="Arial" w:cs="Arial"/>
        </w:rPr>
        <w:t xml:space="preserve">se </w:t>
      </w:r>
      <w:r w:rsidR="009D2891">
        <w:rPr>
          <w:rFonts w:ascii="Arial" w:eastAsia="Calibri" w:hAnsi="Arial" w:cs="Arial"/>
        </w:rPr>
        <w:t xml:space="preserve">indican </w:t>
      </w:r>
      <w:r w:rsidR="006C7EA6">
        <w:rPr>
          <w:rFonts w:ascii="Arial" w:eastAsia="Calibri" w:hAnsi="Arial" w:cs="Arial"/>
        </w:rPr>
        <w:t xml:space="preserve">aspectos </w:t>
      </w:r>
      <w:r w:rsidR="009D2891">
        <w:rPr>
          <w:rFonts w:ascii="Arial" w:eastAsia="Calibri" w:hAnsi="Arial" w:cs="Arial"/>
        </w:rPr>
        <w:t xml:space="preserve">adicionales </w:t>
      </w:r>
      <w:proofErr w:type="gramStart"/>
      <w:r w:rsidR="006C7EA6">
        <w:rPr>
          <w:rFonts w:ascii="Arial" w:eastAsia="Calibri" w:hAnsi="Arial" w:cs="Arial"/>
        </w:rPr>
        <w:t>a</w:t>
      </w:r>
      <w:proofErr w:type="gramEnd"/>
      <w:r w:rsidR="006C7EA6">
        <w:rPr>
          <w:rFonts w:ascii="Arial" w:eastAsia="Calibri" w:hAnsi="Arial" w:cs="Arial"/>
        </w:rPr>
        <w:t xml:space="preserve"> tener en cuenta para definirla</w:t>
      </w:r>
      <w:r w:rsidR="00A65E0C">
        <w:rPr>
          <w:rFonts w:ascii="Arial" w:eastAsia="Calibri" w:hAnsi="Arial" w:cs="Arial"/>
        </w:rPr>
        <w:t xml:space="preserve">, a diferencia del numeral 1.1 que señala </w:t>
      </w:r>
      <w:r w:rsidR="00442E53">
        <w:rPr>
          <w:rFonts w:ascii="Arial" w:eastAsia="Calibri" w:hAnsi="Arial" w:cs="Arial"/>
        </w:rPr>
        <w:t>la</w:t>
      </w:r>
      <w:r w:rsidR="00A65E0C">
        <w:rPr>
          <w:rFonts w:ascii="Arial" w:eastAsia="Calibri" w:hAnsi="Arial" w:cs="Arial"/>
        </w:rPr>
        <w:t xml:space="preserve"> longitud</w:t>
      </w:r>
      <w:r w:rsidR="00492293">
        <w:rPr>
          <w:rFonts w:ascii="Arial" w:eastAsia="Calibri" w:hAnsi="Arial" w:cs="Arial"/>
        </w:rPr>
        <w:t xml:space="preserve"> y el material. </w:t>
      </w:r>
    </w:p>
    <w:bookmarkEnd w:id="7"/>
    <w:p w14:paraId="608F57CC" w14:textId="11148F67" w:rsidR="00801C9A" w:rsidRDefault="005B5FAD" w:rsidP="00D4364D">
      <w:pPr>
        <w:spacing w:after="120" w:line="276" w:lineRule="auto"/>
        <w:ind w:firstLine="709"/>
        <w:jc w:val="both"/>
        <w:rPr>
          <w:rFonts w:ascii="Arial" w:eastAsia="Calibri" w:hAnsi="Arial" w:cs="Arial"/>
        </w:rPr>
      </w:pPr>
      <w:r>
        <w:rPr>
          <w:rFonts w:ascii="Arial" w:eastAsia="Calibri" w:hAnsi="Arial" w:cs="Arial"/>
        </w:rPr>
        <w:t>P</w:t>
      </w:r>
      <w:r w:rsidR="00492293">
        <w:rPr>
          <w:rFonts w:ascii="Arial" w:eastAsia="Calibri" w:hAnsi="Arial" w:cs="Arial"/>
        </w:rPr>
        <w:t xml:space="preserve">ara efectos del numeral 1.2, </w:t>
      </w:r>
      <w:r w:rsidR="00A65E0C">
        <w:rPr>
          <w:rFonts w:ascii="Arial" w:eastAsia="Calibri" w:hAnsi="Arial" w:cs="Arial"/>
        </w:rPr>
        <w:t xml:space="preserve">la entidad debe determinar </w:t>
      </w:r>
      <w:r w:rsidR="006C7EA6">
        <w:rPr>
          <w:rFonts w:ascii="Arial" w:eastAsia="Calibri" w:hAnsi="Arial" w:cs="Arial"/>
        </w:rPr>
        <w:t>mínimo una actividad principal de las allí enlistadas</w:t>
      </w:r>
      <w:r w:rsidR="00442E53">
        <w:rPr>
          <w:rFonts w:ascii="Arial" w:eastAsia="Calibri" w:hAnsi="Arial" w:cs="Arial"/>
        </w:rPr>
        <w:t>,</w:t>
      </w:r>
      <w:r w:rsidR="00A65E0C">
        <w:rPr>
          <w:rFonts w:ascii="Arial" w:eastAsia="Calibri" w:hAnsi="Arial" w:cs="Arial"/>
        </w:rPr>
        <w:t xml:space="preserve"> </w:t>
      </w:r>
      <w:r w:rsidR="006C7EA6">
        <w:rPr>
          <w:rFonts w:ascii="Arial" w:eastAsia="Calibri" w:hAnsi="Arial" w:cs="Arial"/>
        </w:rPr>
        <w:t>pudiendo seleccionar más de una</w:t>
      </w:r>
      <w:r w:rsidR="00C74EE0">
        <w:rPr>
          <w:rFonts w:ascii="Arial" w:eastAsia="Calibri" w:hAnsi="Arial" w:cs="Arial"/>
        </w:rPr>
        <w:t xml:space="preserve">, sin que la </w:t>
      </w:r>
      <w:r w:rsidR="00085D16">
        <w:rPr>
          <w:rFonts w:ascii="Arial" w:eastAsia="Calibri" w:hAnsi="Arial" w:cs="Arial"/>
        </w:rPr>
        <w:t xml:space="preserve">matriz prevea </w:t>
      </w:r>
      <w:r w:rsidR="00801C9A">
        <w:rPr>
          <w:rFonts w:ascii="Arial" w:eastAsia="Calibri" w:hAnsi="Arial" w:cs="Arial"/>
        </w:rPr>
        <w:t xml:space="preserve">otros espacios o notas que permitan su modificación. De esta manera, no es posible que la entidad solicite </w:t>
      </w:r>
      <w:r w:rsidR="00085D16">
        <w:rPr>
          <w:rFonts w:ascii="Arial" w:eastAsia="Calibri" w:hAnsi="Arial" w:cs="Arial"/>
        </w:rPr>
        <w:t>criterios adicionales</w:t>
      </w:r>
      <w:r w:rsidR="008D33DE">
        <w:rPr>
          <w:rFonts w:ascii="Arial" w:eastAsia="Calibri" w:hAnsi="Arial" w:cs="Arial"/>
        </w:rPr>
        <w:t xml:space="preserve"> como los sugeridos en la consulta</w:t>
      </w:r>
      <w:r w:rsidR="00801C9A">
        <w:rPr>
          <w:rFonts w:ascii="Arial" w:eastAsia="Calibri" w:hAnsi="Arial" w:cs="Arial"/>
        </w:rPr>
        <w:t>, ya que la matriz no lo</w:t>
      </w:r>
      <w:r w:rsidR="006C37B1">
        <w:rPr>
          <w:rFonts w:ascii="Arial" w:eastAsia="Calibri" w:hAnsi="Arial" w:cs="Arial"/>
        </w:rPr>
        <w:t>s</w:t>
      </w:r>
      <w:r w:rsidR="00801C9A">
        <w:rPr>
          <w:rFonts w:ascii="Arial" w:eastAsia="Calibri" w:hAnsi="Arial" w:cs="Arial"/>
        </w:rPr>
        <w:t xml:space="preserve"> incluyó y </w:t>
      </w:r>
      <w:r w:rsidR="006C37B1">
        <w:rPr>
          <w:rFonts w:ascii="Arial" w:eastAsia="Calibri" w:hAnsi="Arial" w:cs="Arial"/>
        </w:rPr>
        <w:t>esta</w:t>
      </w:r>
      <w:r w:rsidR="00801C9A">
        <w:rPr>
          <w:rFonts w:ascii="Arial" w:eastAsia="Calibri" w:hAnsi="Arial" w:cs="Arial"/>
        </w:rPr>
        <w:t xml:space="preserve"> se rige por el principio de inalterabilidad. </w:t>
      </w:r>
    </w:p>
    <w:p w14:paraId="03608431" w14:textId="77777777" w:rsidR="00290C1C" w:rsidRDefault="00290C1C" w:rsidP="003469D2">
      <w:pPr>
        <w:spacing w:after="0" w:line="276" w:lineRule="auto"/>
        <w:jc w:val="both"/>
        <w:rPr>
          <w:rFonts w:ascii="Arial" w:eastAsia="Calibri" w:hAnsi="Arial" w:cs="Arial"/>
        </w:rPr>
      </w:pPr>
    </w:p>
    <w:p w14:paraId="003217C1" w14:textId="7CD141EE" w:rsidR="00657188" w:rsidRPr="009A4A28" w:rsidRDefault="00657188" w:rsidP="00657188">
      <w:pPr>
        <w:pStyle w:val="Prrafodelista"/>
        <w:tabs>
          <w:tab w:val="left" w:pos="284"/>
        </w:tabs>
        <w:spacing w:line="276" w:lineRule="auto"/>
        <w:ind w:left="0"/>
        <w:jc w:val="both"/>
        <w:rPr>
          <w:rFonts w:ascii="Arial" w:eastAsia="Calibri" w:hAnsi="Arial" w:cs="Arial"/>
          <w:sz w:val="22"/>
        </w:rPr>
      </w:pPr>
      <w:r w:rsidRPr="009A4A28">
        <w:rPr>
          <w:rFonts w:ascii="Arial" w:eastAsia="Calibri" w:hAnsi="Arial" w:cs="Arial"/>
          <w:b/>
          <w:sz w:val="22"/>
        </w:rPr>
        <w:t>3. Respuesta</w:t>
      </w:r>
    </w:p>
    <w:p w14:paraId="1CC5E948" w14:textId="77777777" w:rsidR="00657188" w:rsidRPr="009A4A28" w:rsidRDefault="00657188" w:rsidP="00657188">
      <w:pPr>
        <w:spacing w:after="0" w:line="276" w:lineRule="auto"/>
        <w:ind w:left="709" w:right="709"/>
        <w:jc w:val="both"/>
        <w:rPr>
          <w:rFonts w:ascii="Arial" w:eastAsia="Calibri" w:hAnsi="Arial" w:cs="Arial"/>
          <w:i/>
        </w:rPr>
      </w:pPr>
    </w:p>
    <w:p w14:paraId="6F934267" w14:textId="2A325B6B" w:rsidR="00657188" w:rsidRPr="009A4A28" w:rsidRDefault="005B5FAD" w:rsidP="00465318">
      <w:pPr>
        <w:spacing w:after="0" w:line="240" w:lineRule="auto"/>
        <w:ind w:left="709" w:right="709"/>
        <w:jc w:val="both"/>
        <w:rPr>
          <w:rFonts w:ascii="Arial" w:eastAsia="Calibri" w:hAnsi="Arial" w:cs="Arial"/>
          <w:sz w:val="21"/>
          <w:szCs w:val="21"/>
        </w:rPr>
      </w:pPr>
      <w:r w:rsidRPr="005B5FAD">
        <w:rPr>
          <w:rFonts w:ascii="Arial" w:eastAsia="Calibri" w:hAnsi="Arial" w:cs="Arial"/>
          <w:sz w:val="21"/>
          <w:szCs w:val="21"/>
        </w:rPr>
        <w:t xml:space="preserve">Respecto de la experiencia específica de la actividad 1.2 de la matriz 1 de los documentos tipo de agua potable y saneamiento básico, usted solicita aclarar: «[…] qué se entiende por ACTIVIDAD PRINCIPAL, si es en la </w:t>
      </w:r>
      <w:proofErr w:type="gramStart"/>
      <w:r w:rsidRPr="005B5FAD">
        <w:rPr>
          <w:rFonts w:ascii="Arial" w:eastAsia="Calibri" w:hAnsi="Arial" w:cs="Arial"/>
          <w:sz w:val="21"/>
          <w:szCs w:val="21"/>
        </w:rPr>
        <w:t>mayor longitud o la mayor cuantía</w:t>
      </w:r>
      <w:proofErr w:type="gramEnd"/>
      <w:r w:rsidRPr="005B5FAD">
        <w:rPr>
          <w:rFonts w:ascii="Arial" w:eastAsia="Calibri" w:hAnsi="Arial" w:cs="Arial"/>
          <w:sz w:val="21"/>
          <w:szCs w:val="21"/>
        </w:rPr>
        <w:t>, si puede ser de uno o varios ítems. Es decir, si se puede exigir en el mismo contrato; por ejemplo, experiencia en 3000 metros lineales de tubería PVC y 59 acometidas domiciliarias»</w:t>
      </w:r>
      <w:r>
        <w:rPr>
          <w:rFonts w:ascii="Arial" w:eastAsia="Calibri" w:hAnsi="Arial" w:cs="Arial"/>
          <w:sz w:val="21"/>
          <w:szCs w:val="21"/>
        </w:rPr>
        <w:t>.</w:t>
      </w:r>
    </w:p>
    <w:p w14:paraId="7F674A12" w14:textId="77777777" w:rsidR="00657188" w:rsidRPr="009A4A28" w:rsidRDefault="00657188" w:rsidP="009D1356">
      <w:pPr>
        <w:spacing w:after="0" w:line="276" w:lineRule="auto"/>
        <w:ind w:left="709" w:right="709"/>
        <w:jc w:val="both"/>
        <w:rPr>
          <w:rFonts w:ascii="Arial" w:eastAsia="Calibri" w:hAnsi="Arial" w:cs="Arial"/>
        </w:rPr>
      </w:pPr>
    </w:p>
    <w:p w14:paraId="0FD351FF" w14:textId="4D41CFFB" w:rsidR="00657188" w:rsidRDefault="003546C5" w:rsidP="00D4364D">
      <w:pPr>
        <w:spacing w:after="120" w:line="276" w:lineRule="auto"/>
        <w:jc w:val="both"/>
        <w:rPr>
          <w:rFonts w:ascii="Arial" w:eastAsia="Calibri" w:hAnsi="Arial" w:cs="Arial"/>
          <w:lang w:val="es-ES"/>
        </w:rPr>
      </w:pPr>
      <w:r>
        <w:rPr>
          <w:rFonts w:ascii="Arial" w:eastAsia="Calibri" w:hAnsi="Arial" w:cs="Arial"/>
          <w:lang w:val="es-ES"/>
        </w:rPr>
        <w:t>Conforme a</w:t>
      </w:r>
      <w:r w:rsidR="005579BE">
        <w:rPr>
          <w:rFonts w:ascii="Arial" w:eastAsia="Calibri" w:hAnsi="Arial" w:cs="Arial"/>
          <w:lang w:val="es-ES"/>
        </w:rPr>
        <w:t>l</w:t>
      </w:r>
      <w:r w:rsidR="00657188">
        <w:rPr>
          <w:rFonts w:ascii="Arial" w:eastAsia="Calibri" w:hAnsi="Arial" w:cs="Arial"/>
          <w:lang w:val="es-ES"/>
        </w:rPr>
        <w:t xml:space="preserve"> </w:t>
      </w:r>
      <w:r w:rsidR="005579BE" w:rsidRPr="005579BE">
        <w:rPr>
          <w:rFonts w:ascii="Arial" w:eastAsia="Calibri" w:hAnsi="Arial" w:cs="Arial"/>
          <w:lang w:val="es-ES"/>
        </w:rPr>
        <w:t xml:space="preserve">artículo 3 de </w:t>
      </w:r>
      <w:r>
        <w:rPr>
          <w:rFonts w:ascii="Arial" w:eastAsia="Calibri" w:hAnsi="Arial" w:cs="Arial"/>
        </w:rPr>
        <w:t>las Resoluciones No. 248 y 249 del 1º de diciembre de 2020</w:t>
      </w:r>
      <w:r w:rsidR="005579BE">
        <w:rPr>
          <w:rFonts w:ascii="Arial" w:eastAsia="Calibri" w:hAnsi="Arial" w:cs="Arial"/>
          <w:lang w:val="es-ES"/>
        </w:rPr>
        <w:t xml:space="preserve">, los documentos tipo de agua potable y saneamiento básico se rigen por el principio de inalterabilidad, lo cual incluye a la </w:t>
      </w:r>
      <w:r>
        <w:rPr>
          <w:rFonts w:ascii="Arial" w:eastAsia="Calibri" w:hAnsi="Arial" w:cs="Arial"/>
          <w:lang w:val="es-ES"/>
        </w:rPr>
        <w:t>«</w:t>
      </w:r>
      <w:r w:rsidR="005579BE">
        <w:rPr>
          <w:rFonts w:ascii="Arial" w:eastAsia="Calibri" w:hAnsi="Arial" w:cs="Arial"/>
          <w:lang w:val="es-ES"/>
        </w:rPr>
        <w:t>Matriz 1</w:t>
      </w:r>
      <w:r>
        <w:rPr>
          <w:rFonts w:ascii="Arial" w:eastAsia="Calibri" w:hAnsi="Arial" w:cs="Arial"/>
          <w:lang w:val="es-ES"/>
        </w:rPr>
        <w:t xml:space="preserve"> – </w:t>
      </w:r>
      <w:r w:rsidR="005579BE">
        <w:rPr>
          <w:rFonts w:ascii="Arial" w:eastAsia="Calibri" w:hAnsi="Arial" w:cs="Arial"/>
          <w:lang w:val="es-ES"/>
        </w:rPr>
        <w:t>Experiencia</w:t>
      </w:r>
      <w:r>
        <w:rPr>
          <w:rFonts w:ascii="Arial" w:eastAsia="Calibri" w:hAnsi="Arial" w:cs="Arial"/>
          <w:lang w:val="es-ES"/>
        </w:rPr>
        <w:t>»</w:t>
      </w:r>
      <w:r w:rsidR="00E3049A">
        <w:rPr>
          <w:rFonts w:ascii="Arial" w:eastAsia="Calibri" w:hAnsi="Arial" w:cs="Arial"/>
          <w:lang w:val="es-ES"/>
        </w:rPr>
        <w:t>.</w:t>
      </w:r>
      <w:r w:rsidR="005579BE">
        <w:rPr>
          <w:rFonts w:ascii="Arial" w:eastAsia="Calibri" w:hAnsi="Arial" w:cs="Arial"/>
          <w:lang w:val="es-ES"/>
        </w:rPr>
        <w:t xml:space="preserve"> </w:t>
      </w:r>
      <w:r w:rsidR="00E3049A">
        <w:rPr>
          <w:rFonts w:ascii="Arial" w:eastAsia="Calibri" w:hAnsi="Arial" w:cs="Arial"/>
          <w:lang w:val="es-ES"/>
        </w:rPr>
        <w:t>E</w:t>
      </w:r>
      <w:r w:rsidR="005579BE">
        <w:rPr>
          <w:rFonts w:ascii="Arial" w:eastAsia="Calibri" w:hAnsi="Arial" w:cs="Arial"/>
          <w:lang w:val="es-ES"/>
        </w:rPr>
        <w:t>sto implica que</w:t>
      </w:r>
      <w:r>
        <w:rPr>
          <w:rFonts w:ascii="Arial" w:eastAsia="Calibri" w:hAnsi="Arial" w:cs="Arial"/>
          <w:lang w:val="es-ES"/>
        </w:rPr>
        <w:t xml:space="preserve"> las entidades estatales no pueden modificar</w:t>
      </w:r>
      <w:r w:rsidR="005579BE">
        <w:rPr>
          <w:rFonts w:ascii="Arial" w:eastAsia="Calibri" w:hAnsi="Arial" w:cs="Arial"/>
          <w:lang w:val="es-ES"/>
        </w:rPr>
        <w:t xml:space="preserve"> las condiciones de experiencia general y específica </w:t>
      </w:r>
      <w:r>
        <w:rPr>
          <w:rFonts w:ascii="Arial" w:eastAsia="Calibri" w:hAnsi="Arial" w:cs="Arial"/>
          <w:lang w:val="es-ES"/>
        </w:rPr>
        <w:t xml:space="preserve">estandarizadas </w:t>
      </w:r>
      <w:r w:rsidR="005579BE">
        <w:rPr>
          <w:rFonts w:ascii="Arial" w:eastAsia="Calibri" w:hAnsi="Arial" w:cs="Arial"/>
          <w:lang w:val="es-ES"/>
        </w:rPr>
        <w:t xml:space="preserve">allí, salvo que contengan espacios o notas resaltadas en gris y corchetes, lo cual indica que esos aspectos podrán </w:t>
      </w:r>
      <w:r>
        <w:rPr>
          <w:rFonts w:ascii="Arial" w:eastAsia="Calibri" w:hAnsi="Arial" w:cs="Arial"/>
          <w:lang w:val="es-ES"/>
        </w:rPr>
        <w:t>diligenciarse</w:t>
      </w:r>
      <w:r w:rsidR="005579BE">
        <w:rPr>
          <w:rFonts w:ascii="Arial" w:eastAsia="Calibri" w:hAnsi="Arial" w:cs="Arial"/>
          <w:lang w:val="es-ES"/>
        </w:rPr>
        <w:t>.</w:t>
      </w:r>
    </w:p>
    <w:p w14:paraId="7D4102A2" w14:textId="4BD4EBBC" w:rsidR="001A0D18" w:rsidRDefault="005579BE" w:rsidP="00D4364D">
      <w:pPr>
        <w:spacing w:after="120" w:line="276" w:lineRule="auto"/>
        <w:jc w:val="both"/>
        <w:rPr>
          <w:rFonts w:ascii="Arial" w:eastAsia="Calibri" w:hAnsi="Arial" w:cs="Arial"/>
          <w:lang w:val="es-ES"/>
        </w:rPr>
      </w:pPr>
      <w:r>
        <w:rPr>
          <w:rFonts w:ascii="Arial" w:eastAsia="Calibri" w:hAnsi="Arial" w:cs="Arial"/>
          <w:lang w:val="es-ES"/>
        </w:rPr>
        <w:lastRenderedPageBreak/>
        <w:tab/>
      </w:r>
      <w:r w:rsidR="00566625">
        <w:rPr>
          <w:rFonts w:ascii="Arial" w:eastAsia="Calibri" w:hAnsi="Arial" w:cs="Arial"/>
          <w:lang w:val="es-ES"/>
        </w:rPr>
        <w:t>En</w:t>
      </w:r>
      <w:r w:rsidR="00737967">
        <w:rPr>
          <w:rFonts w:ascii="Arial" w:eastAsia="Calibri" w:hAnsi="Arial" w:cs="Arial"/>
          <w:lang w:val="es-ES"/>
        </w:rPr>
        <w:t xml:space="preserve"> la experiencia específica para la actividad 1.</w:t>
      </w:r>
      <w:r w:rsidR="001A0D18">
        <w:rPr>
          <w:rFonts w:ascii="Arial" w:eastAsia="Calibri" w:hAnsi="Arial" w:cs="Arial"/>
          <w:lang w:val="es-ES"/>
        </w:rPr>
        <w:t>2</w:t>
      </w:r>
      <w:r w:rsidR="00737967">
        <w:rPr>
          <w:rFonts w:ascii="Arial" w:eastAsia="Calibri" w:hAnsi="Arial" w:cs="Arial"/>
          <w:lang w:val="es-ES"/>
        </w:rPr>
        <w:t xml:space="preserve"> de la matriz,</w:t>
      </w:r>
      <w:r w:rsidR="00737967" w:rsidRPr="00737967">
        <w:rPr>
          <w:rFonts w:ascii="Arial" w:eastAsia="Calibri" w:hAnsi="Arial" w:cs="Arial"/>
          <w:lang w:val="es-ES"/>
        </w:rPr>
        <w:t xml:space="preserve"> </w:t>
      </w:r>
      <w:r w:rsidR="00737967">
        <w:rPr>
          <w:rFonts w:ascii="Arial" w:eastAsia="Calibri" w:hAnsi="Arial" w:cs="Arial"/>
          <w:lang w:val="es-ES"/>
        </w:rPr>
        <w:t xml:space="preserve">la entidad puede </w:t>
      </w:r>
      <w:r w:rsidR="00613AAF">
        <w:rPr>
          <w:rFonts w:ascii="Arial" w:eastAsia="Calibri" w:hAnsi="Arial" w:cs="Arial"/>
          <w:lang w:val="es-ES"/>
        </w:rPr>
        <w:t xml:space="preserve">establecer </w:t>
      </w:r>
      <w:r w:rsidR="001A0D18">
        <w:rPr>
          <w:rFonts w:ascii="Arial" w:eastAsia="Calibri" w:hAnsi="Arial" w:cs="Arial"/>
          <w:lang w:val="es-ES"/>
        </w:rPr>
        <w:t>la actividad principal frente a la cual el proponente debe acreditar la experiencia allí descrita</w:t>
      </w:r>
      <w:r w:rsidR="005A71AF">
        <w:rPr>
          <w:rFonts w:ascii="Arial" w:eastAsia="Calibri" w:hAnsi="Arial" w:cs="Arial"/>
          <w:lang w:val="es-ES"/>
        </w:rPr>
        <w:t>. Para estos efectos, esta debe corresponder a</w:t>
      </w:r>
      <w:r w:rsidR="001A0D18">
        <w:rPr>
          <w:rFonts w:ascii="Arial" w:eastAsia="Calibri" w:hAnsi="Arial" w:cs="Arial"/>
          <w:lang w:val="es-ES"/>
        </w:rPr>
        <w:t xml:space="preserve"> </w:t>
      </w:r>
      <w:r w:rsidR="001A0D18" w:rsidRPr="001A0D18">
        <w:rPr>
          <w:rFonts w:ascii="Arial" w:eastAsia="Calibri" w:hAnsi="Arial" w:cs="Arial"/>
          <w:lang w:val="es-ES"/>
        </w:rPr>
        <w:t>«Actividades de intervención o instalación de: redes hidrosanitarias; y/o acueductos y/o alcantarillados, según sea el caso»</w:t>
      </w:r>
      <w:r w:rsidR="001A0D18">
        <w:rPr>
          <w:rFonts w:ascii="Arial" w:eastAsia="Calibri" w:hAnsi="Arial" w:cs="Arial"/>
          <w:lang w:val="es-ES"/>
        </w:rPr>
        <w:t>. En consecuencia</w:t>
      </w:r>
      <w:r w:rsidR="0073469B">
        <w:rPr>
          <w:rFonts w:ascii="Arial" w:eastAsia="Calibri" w:hAnsi="Arial" w:cs="Arial"/>
          <w:lang w:val="es-ES"/>
        </w:rPr>
        <w:t>,</w:t>
      </w:r>
      <w:r w:rsidR="00904F4C">
        <w:rPr>
          <w:rFonts w:ascii="Arial" w:eastAsia="Calibri" w:hAnsi="Arial" w:cs="Arial"/>
          <w:lang w:val="es-ES"/>
        </w:rPr>
        <w:t xml:space="preserve"> </w:t>
      </w:r>
      <w:r w:rsidR="001A0D18">
        <w:rPr>
          <w:rFonts w:ascii="Arial" w:eastAsia="Calibri" w:hAnsi="Arial" w:cs="Arial"/>
          <w:lang w:val="es-ES"/>
        </w:rPr>
        <w:t xml:space="preserve">la entidad puede elegirla y diligenciarla entre </w:t>
      </w:r>
      <w:r w:rsidR="00204CFA">
        <w:rPr>
          <w:rFonts w:ascii="Arial" w:eastAsia="Calibri" w:hAnsi="Arial" w:cs="Arial"/>
          <w:lang w:val="es-ES"/>
        </w:rPr>
        <w:t xml:space="preserve">alguna de </w:t>
      </w:r>
      <w:r w:rsidR="001A0D18">
        <w:rPr>
          <w:rFonts w:ascii="Arial" w:eastAsia="Calibri" w:hAnsi="Arial" w:cs="Arial"/>
          <w:lang w:val="es-ES"/>
        </w:rPr>
        <w:t>las posibilidades mencionadas</w:t>
      </w:r>
      <w:r w:rsidR="00566625">
        <w:rPr>
          <w:rFonts w:ascii="Arial" w:eastAsia="Calibri" w:hAnsi="Arial" w:cs="Arial"/>
          <w:lang w:val="es-ES"/>
        </w:rPr>
        <w:t xml:space="preserve">, y puede elegir más de una, teniendo en cuenta que la matriz solicita diligenciar mínimo 1 actividad </w:t>
      </w:r>
      <w:r w:rsidR="00420E49">
        <w:rPr>
          <w:rFonts w:ascii="Arial" w:eastAsia="Calibri" w:hAnsi="Arial" w:cs="Arial"/>
          <w:lang w:val="es-ES"/>
        </w:rPr>
        <w:t xml:space="preserve">como </w:t>
      </w:r>
      <w:r w:rsidR="00566625">
        <w:rPr>
          <w:rFonts w:ascii="Arial" w:eastAsia="Calibri" w:hAnsi="Arial" w:cs="Arial"/>
          <w:lang w:val="es-ES"/>
        </w:rPr>
        <w:t>principal, de las allí enlistadas</w:t>
      </w:r>
      <w:r w:rsidR="001A0D18">
        <w:rPr>
          <w:rFonts w:ascii="Arial" w:eastAsia="Calibri" w:hAnsi="Arial" w:cs="Arial"/>
          <w:lang w:val="es-ES"/>
        </w:rPr>
        <w:t>.</w:t>
      </w:r>
      <w:r w:rsidR="00904F4C">
        <w:rPr>
          <w:rFonts w:ascii="Arial" w:eastAsia="Calibri" w:hAnsi="Arial" w:cs="Arial"/>
          <w:lang w:val="es-ES"/>
        </w:rPr>
        <w:t xml:space="preserve"> </w:t>
      </w:r>
    </w:p>
    <w:p w14:paraId="26414437" w14:textId="7236B135" w:rsidR="000350AE" w:rsidRPr="00D4364D" w:rsidRDefault="00547593" w:rsidP="00D4364D">
      <w:pPr>
        <w:spacing w:after="120" w:line="276" w:lineRule="auto"/>
        <w:ind w:firstLine="709"/>
        <w:jc w:val="both"/>
        <w:rPr>
          <w:rFonts w:ascii="Arial" w:eastAsia="Calibri" w:hAnsi="Arial" w:cs="Arial"/>
        </w:rPr>
      </w:pPr>
      <w:r>
        <w:rPr>
          <w:rFonts w:ascii="Arial" w:eastAsia="Calibri" w:hAnsi="Arial" w:cs="Arial"/>
        </w:rPr>
        <w:t>Como se observa en la</w:t>
      </w:r>
      <w:r w:rsidRPr="00CE4B44">
        <w:rPr>
          <w:rFonts w:ascii="Arial" w:eastAsia="Calibri" w:hAnsi="Arial" w:cs="Arial"/>
        </w:rPr>
        <w:t xml:space="preserve"> </w:t>
      </w:r>
      <w:r>
        <w:rPr>
          <w:rFonts w:ascii="Arial" w:eastAsia="Calibri" w:hAnsi="Arial" w:cs="Arial"/>
        </w:rPr>
        <w:t xml:space="preserve">«Matriz 1 – Experiencia», la actividad principal de la experiencia específica del numeral 1.2 no está determinada por ningún criterio en particular, solo indica que la entidad debe elegir mínimo una actividad principal que sea la más representativa, pero no se indican aspectos adicionales </w:t>
      </w:r>
      <w:proofErr w:type="gramStart"/>
      <w:r>
        <w:rPr>
          <w:rFonts w:ascii="Arial" w:eastAsia="Calibri" w:hAnsi="Arial" w:cs="Arial"/>
        </w:rPr>
        <w:t>a</w:t>
      </w:r>
      <w:proofErr w:type="gramEnd"/>
      <w:r>
        <w:rPr>
          <w:rFonts w:ascii="Arial" w:eastAsia="Calibri" w:hAnsi="Arial" w:cs="Arial"/>
        </w:rPr>
        <w:t xml:space="preserve"> tener en cuenta para definirla, a diferencia del numeral 1.1 que señala la longitud y el material. De esta manera, no es posible que la entidad solicite criterios adicionales como los sugeridos en la consulta, ya que la matriz no los incluyó y esta se rige por el principio de inalterabilidad</w:t>
      </w:r>
      <w:r w:rsidR="000350AE">
        <w:rPr>
          <w:rFonts w:ascii="Arial" w:eastAsia="Calibri" w:hAnsi="Arial" w:cs="Arial"/>
          <w:lang w:val="es-ES"/>
        </w:rPr>
        <w:t>.</w:t>
      </w:r>
    </w:p>
    <w:p w14:paraId="46A54225" w14:textId="77777777" w:rsidR="00C90582" w:rsidRPr="009A4A28" w:rsidRDefault="00C90582" w:rsidP="00D4364D">
      <w:pPr>
        <w:spacing w:after="0" w:line="276" w:lineRule="auto"/>
        <w:jc w:val="both"/>
        <w:rPr>
          <w:rFonts w:ascii="Arial" w:eastAsia="Calibri" w:hAnsi="Arial" w:cs="Arial"/>
        </w:rPr>
      </w:pPr>
    </w:p>
    <w:p w14:paraId="6B1D7888" w14:textId="77777777" w:rsidR="00657188" w:rsidRPr="009A4A28" w:rsidRDefault="00657188" w:rsidP="00D4364D">
      <w:pPr>
        <w:spacing w:after="0" w:line="276" w:lineRule="auto"/>
        <w:jc w:val="both"/>
        <w:rPr>
          <w:rFonts w:ascii="Arial" w:eastAsia="Calibri" w:hAnsi="Arial" w:cs="Arial"/>
        </w:rPr>
      </w:pPr>
      <w:r w:rsidRPr="009A4A28">
        <w:rPr>
          <w:rFonts w:ascii="Arial" w:eastAsia="Calibri" w:hAnsi="Arial" w:cs="Arial"/>
        </w:rPr>
        <w:t>Este concepto tiene el alcance previsto en el artículo 28 del Código de Procedimiento Administrativo y de lo Contencioso Administrativo.</w:t>
      </w:r>
    </w:p>
    <w:p w14:paraId="4B4C4B1D" w14:textId="77777777" w:rsidR="00657188" w:rsidRPr="009A4A28" w:rsidRDefault="00657188" w:rsidP="00657188">
      <w:pPr>
        <w:jc w:val="both"/>
        <w:rPr>
          <w:rFonts w:ascii="Arial" w:eastAsia="Calibri" w:hAnsi="Arial" w:cs="Arial"/>
        </w:rPr>
      </w:pPr>
      <w:r w:rsidRPr="009A4A28">
        <w:rPr>
          <w:noProof/>
        </w:rPr>
        <mc:AlternateContent>
          <mc:Choice Requires="wps">
            <w:drawing>
              <wp:anchor distT="0" distB="0" distL="114300" distR="114300" simplePos="0" relativeHeight="251659264" behindDoc="0" locked="0" layoutInCell="1" allowOverlap="1" wp14:anchorId="6BAEB068" wp14:editId="27B271C1">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8A0A0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8EA6A68" w14:textId="5DEEC7CA" w:rsidR="00657188" w:rsidRDefault="00657188" w:rsidP="00657188">
      <w:pPr>
        <w:rPr>
          <w:rFonts w:ascii="Arial" w:eastAsia="Times New Roman" w:hAnsi="Arial" w:cs="Arial"/>
          <w:lang w:eastAsia="es-CO"/>
        </w:rPr>
      </w:pPr>
      <w:bookmarkStart w:id="8" w:name="_Hlk50986665"/>
      <w:bookmarkStart w:id="9" w:name="_Hlk55258198"/>
      <w:r>
        <w:rPr>
          <w:rFonts w:ascii="Arial" w:hAnsi="Arial" w:cs="Arial"/>
          <w:lang w:eastAsia="es-CO"/>
        </w:rPr>
        <w:t>Atentamente,</w:t>
      </w:r>
    </w:p>
    <w:p w14:paraId="6400ED93" w14:textId="436F6AAE" w:rsidR="00657188" w:rsidRDefault="00657188" w:rsidP="00657188">
      <w:pPr>
        <w:rPr>
          <w:rFonts w:ascii="Arial" w:hAnsi="Arial" w:cs="Arial"/>
          <w:lang w:eastAsia="es-CO"/>
        </w:rPr>
      </w:pPr>
    </w:p>
    <w:p w14:paraId="12A6F96C" w14:textId="07BD0D0A" w:rsidR="00657188" w:rsidRDefault="00A5717C" w:rsidP="00657188">
      <w:pPr>
        <w:jc w:val="center"/>
        <w:rPr>
          <w:rFonts w:ascii="Arial" w:hAnsi="Arial" w:cs="Arial"/>
          <w:sz w:val="18"/>
          <w:szCs w:val="20"/>
          <w:lang w:eastAsia="es-CO"/>
        </w:rPr>
      </w:pPr>
      <w:r>
        <w:rPr>
          <w:noProof/>
        </w:rPr>
        <w:drawing>
          <wp:inline distT="0" distB="0" distL="0" distR="0" wp14:anchorId="7AA9F6F8" wp14:editId="65748D17">
            <wp:extent cx="2047240" cy="905510"/>
            <wp:effectExtent l="0" t="0" r="0" b="889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240" cy="905510"/>
                    </a:xfrm>
                    <a:prstGeom prst="rect">
                      <a:avLst/>
                    </a:prstGeom>
                    <a:noFill/>
                    <a:ln>
                      <a:noFill/>
                    </a:ln>
                  </pic:spPr>
                </pic:pic>
              </a:graphicData>
            </a:graphic>
          </wp:inline>
        </w:drawing>
      </w:r>
    </w:p>
    <w:p w14:paraId="6EEA40C1" w14:textId="77777777" w:rsidR="00657188" w:rsidRDefault="00657188" w:rsidP="00657188">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413"/>
      </w:tblGrid>
      <w:tr w:rsidR="00657188" w14:paraId="380C007E" w14:textId="77777777" w:rsidTr="00465318">
        <w:trPr>
          <w:trHeight w:val="315"/>
        </w:trPr>
        <w:tc>
          <w:tcPr>
            <w:tcW w:w="981" w:type="dxa"/>
            <w:vAlign w:val="center"/>
            <w:hideMark/>
          </w:tcPr>
          <w:p w14:paraId="2BC31C95" w14:textId="77777777" w:rsidR="00657188" w:rsidRDefault="00657188" w:rsidP="00673C14">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72C4C54" w14:textId="77777777" w:rsidR="00657188" w:rsidRDefault="00657188" w:rsidP="00673C14">
            <w:pPr>
              <w:rPr>
                <w:rFonts w:ascii="Arial" w:hAnsi="Arial" w:cs="Arial"/>
                <w:sz w:val="16"/>
                <w:szCs w:val="16"/>
                <w:lang w:eastAsia="es-ES"/>
              </w:rPr>
            </w:pPr>
            <w:r>
              <w:rPr>
                <w:rFonts w:ascii="Arial" w:hAnsi="Arial" w:cs="Arial"/>
                <w:sz w:val="16"/>
                <w:szCs w:val="16"/>
                <w:lang w:eastAsia="es-ES"/>
              </w:rPr>
              <w:t>Ximena Ríos López</w:t>
            </w:r>
          </w:p>
          <w:p w14:paraId="7979284D" w14:textId="77777777" w:rsidR="00657188" w:rsidRDefault="00657188" w:rsidP="00673C14">
            <w:pPr>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657188" w14:paraId="38A5058F" w14:textId="77777777" w:rsidTr="00465318">
        <w:trPr>
          <w:trHeight w:val="330"/>
        </w:trPr>
        <w:tc>
          <w:tcPr>
            <w:tcW w:w="981" w:type="dxa"/>
            <w:vMerge w:val="restart"/>
            <w:vAlign w:val="center"/>
            <w:hideMark/>
          </w:tcPr>
          <w:p w14:paraId="3F7BB89E" w14:textId="3D30ED58" w:rsidR="00657188" w:rsidRDefault="00C90582" w:rsidP="00673C14">
            <w:pPr>
              <w:rPr>
                <w:rFonts w:ascii="Arial" w:hAnsi="Arial" w:cs="Arial"/>
                <w:sz w:val="16"/>
                <w:szCs w:val="16"/>
                <w:lang w:eastAsia="es-ES"/>
              </w:rPr>
            </w:pPr>
            <w:r>
              <w:rPr>
                <w:rFonts w:ascii="Arial" w:hAnsi="Arial" w:cs="Arial"/>
                <w:sz w:val="16"/>
                <w:szCs w:val="16"/>
                <w:lang w:eastAsia="es-ES"/>
              </w:rPr>
              <w:t>Revisaron:</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D20C2F" w14:textId="77777777" w:rsidR="00657188" w:rsidRDefault="00657188" w:rsidP="00673C14">
            <w:pPr>
              <w:rPr>
                <w:rFonts w:ascii="Arial" w:hAnsi="Arial" w:cs="Arial"/>
                <w:sz w:val="16"/>
                <w:szCs w:val="16"/>
                <w:lang w:eastAsia="es-ES"/>
              </w:rPr>
            </w:pPr>
            <w:r>
              <w:rPr>
                <w:rFonts w:ascii="Arial" w:hAnsi="Arial" w:cs="Arial"/>
                <w:sz w:val="16"/>
                <w:szCs w:val="16"/>
                <w:lang w:eastAsia="es-ES"/>
              </w:rPr>
              <w:t>Karlo Fern</w:t>
            </w:r>
            <w:r w:rsidR="00C90582">
              <w:rPr>
                <w:rFonts w:ascii="Arial" w:hAnsi="Arial" w:cs="Arial"/>
                <w:sz w:val="16"/>
                <w:szCs w:val="16"/>
                <w:lang w:eastAsia="es-ES"/>
              </w:rPr>
              <w:t>ández Cala</w:t>
            </w:r>
          </w:p>
          <w:p w14:paraId="57A03884" w14:textId="09E42EC8" w:rsidR="00C90582" w:rsidRDefault="00C90582" w:rsidP="00673C14">
            <w:pPr>
              <w:rPr>
                <w:rFonts w:ascii="Arial" w:hAnsi="Arial" w:cs="Arial"/>
                <w:sz w:val="16"/>
                <w:szCs w:val="16"/>
                <w:lang w:eastAsia="es-ES"/>
              </w:rPr>
            </w:pPr>
            <w:r>
              <w:rPr>
                <w:rFonts w:ascii="Arial" w:hAnsi="Arial" w:cs="Arial"/>
                <w:sz w:val="16"/>
                <w:szCs w:val="16"/>
                <w:lang w:eastAsia="es-ES"/>
              </w:rPr>
              <w:t>Gestor T1-15 de la Dirección General</w:t>
            </w:r>
          </w:p>
        </w:tc>
      </w:tr>
      <w:tr w:rsidR="00657188" w14:paraId="1C178A57" w14:textId="77777777" w:rsidTr="00465318">
        <w:trPr>
          <w:trHeight w:val="330"/>
        </w:trPr>
        <w:tc>
          <w:tcPr>
            <w:tcW w:w="981" w:type="dxa"/>
            <w:vMerge/>
            <w:vAlign w:val="center"/>
          </w:tcPr>
          <w:p w14:paraId="5AE98816" w14:textId="77777777" w:rsidR="00657188" w:rsidRDefault="00657188" w:rsidP="00673C14">
            <w:pPr>
              <w:rPr>
                <w:rFonts w:ascii="Arial" w:hAnsi="Arial" w:cs="Arial"/>
                <w:sz w:val="16"/>
                <w:szCs w:val="16"/>
                <w:lang w:eastAsia="es-ES"/>
              </w:rPr>
            </w:pPr>
          </w:p>
        </w:tc>
        <w:tc>
          <w:tcPr>
            <w:tcW w:w="4413" w:type="dxa"/>
            <w:tcBorders>
              <w:top w:val="dotted" w:sz="4" w:space="0" w:color="7F7F7F" w:themeColor="text1" w:themeTint="80"/>
              <w:left w:val="nil"/>
              <w:bottom w:val="dotted" w:sz="4" w:space="0" w:color="7F7F7F" w:themeColor="text1" w:themeTint="80"/>
              <w:right w:val="nil"/>
            </w:tcBorders>
            <w:vAlign w:val="center"/>
          </w:tcPr>
          <w:p w14:paraId="71300592" w14:textId="6F235184" w:rsidR="00657188" w:rsidRDefault="00D3794E" w:rsidP="00657188">
            <w:pPr>
              <w:rPr>
                <w:rFonts w:ascii="Arial" w:hAnsi="Arial" w:cs="Arial"/>
                <w:sz w:val="16"/>
                <w:szCs w:val="16"/>
                <w:lang w:eastAsia="es-ES"/>
              </w:rPr>
            </w:pPr>
            <w:r>
              <w:rPr>
                <w:rFonts w:ascii="Arial" w:hAnsi="Arial" w:cs="Arial"/>
                <w:sz w:val="16"/>
                <w:szCs w:val="16"/>
                <w:lang w:eastAsia="es-ES"/>
              </w:rPr>
              <w:t>Juan David Montoya</w:t>
            </w:r>
          </w:p>
          <w:p w14:paraId="4C16A728" w14:textId="1530B3F1" w:rsidR="00657188" w:rsidRDefault="00657188" w:rsidP="00657188">
            <w:pPr>
              <w:rPr>
                <w:rFonts w:ascii="Arial" w:hAnsi="Arial" w:cs="Arial"/>
                <w:sz w:val="16"/>
                <w:szCs w:val="16"/>
                <w:lang w:eastAsia="es-ES"/>
              </w:rPr>
            </w:pPr>
            <w:r>
              <w:rPr>
                <w:rFonts w:ascii="Arial" w:hAnsi="Arial" w:cs="Arial"/>
                <w:sz w:val="16"/>
                <w:szCs w:val="16"/>
                <w:lang w:eastAsia="es-ES"/>
              </w:rPr>
              <w:t>Gestor T1-1</w:t>
            </w:r>
            <w:r w:rsidR="00D3794E">
              <w:rPr>
                <w:rFonts w:ascii="Arial" w:hAnsi="Arial" w:cs="Arial"/>
                <w:sz w:val="16"/>
                <w:szCs w:val="16"/>
                <w:lang w:eastAsia="es-ES"/>
              </w:rPr>
              <w:t>5</w:t>
            </w:r>
            <w:r>
              <w:rPr>
                <w:rFonts w:ascii="Arial" w:hAnsi="Arial" w:cs="Arial"/>
                <w:sz w:val="16"/>
                <w:szCs w:val="16"/>
                <w:lang w:eastAsia="es-ES"/>
              </w:rPr>
              <w:t xml:space="preserve"> de la Subdirección de Gestión Contractual</w:t>
            </w:r>
          </w:p>
        </w:tc>
      </w:tr>
      <w:tr w:rsidR="00657188" w14:paraId="7708FF5C" w14:textId="77777777" w:rsidTr="00465318">
        <w:trPr>
          <w:trHeight w:val="300"/>
        </w:trPr>
        <w:tc>
          <w:tcPr>
            <w:tcW w:w="981" w:type="dxa"/>
            <w:vAlign w:val="center"/>
            <w:hideMark/>
          </w:tcPr>
          <w:p w14:paraId="2DD2FE1D" w14:textId="77777777" w:rsidR="00657188" w:rsidRDefault="00657188" w:rsidP="00673C14">
            <w:pPr>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6B7D19" w14:textId="77777777" w:rsidR="00657188" w:rsidRDefault="00657188" w:rsidP="00673C14">
            <w:pPr>
              <w:rPr>
                <w:rFonts w:ascii="Arial" w:hAnsi="Arial" w:cs="Arial"/>
                <w:sz w:val="16"/>
                <w:szCs w:val="16"/>
                <w:lang w:eastAsia="es-ES"/>
              </w:rPr>
            </w:pPr>
            <w:r>
              <w:rPr>
                <w:rFonts w:ascii="Arial" w:hAnsi="Arial" w:cs="Arial"/>
                <w:sz w:val="16"/>
                <w:szCs w:val="16"/>
                <w:lang w:eastAsia="es-ES"/>
              </w:rPr>
              <w:t>Jorge Augusto Tirado Navarro</w:t>
            </w:r>
          </w:p>
          <w:p w14:paraId="40AAE466" w14:textId="22F52C09" w:rsidR="00657188" w:rsidRDefault="00657188" w:rsidP="00673C14">
            <w:pPr>
              <w:rPr>
                <w:rFonts w:ascii="Arial" w:hAnsi="Arial" w:cs="Arial"/>
                <w:sz w:val="16"/>
                <w:szCs w:val="16"/>
                <w:lang w:eastAsia="es-ES"/>
              </w:rPr>
            </w:pPr>
            <w:r>
              <w:rPr>
                <w:rFonts w:ascii="Arial" w:hAnsi="Arial" w:cs="Arial"/>
                <w:sz w:val="16"/>
                <w:szCs w:val="16"/>
                <w:lang w:eastAsia="es-ES"/>
              </w:rPr>
              <w:t>Subdirector de Gestión Contractual</w:t>
            </w:r>
            <w:r w:rsidR="003546C5">
              <w:rPr>
                <w:rFonts w:ascii="Arial" w:hAnsi="Arial" w:cs="Arial"/>
                <w:sz w:val="16"/>
                <w:szCs w:val="16"/>
                <w:lang w:eastAsia="es-ES"/>
              </w:rPr>
              <w:t xml:space="preserve"> ANCP – CCE</w:t>
            </w:r>
          </w:p>
        </w:tc>
      </w:tr>
      <w:bookmarkEnd w:id="0"/>
      <w:bookmarkEnd w:id="1"/>
      <w:bookmarkEnd w:id="2"/>
      <w:bookmarkEnd w:id="8"/>
      <w:bookmarkEnd w:id="9"/>
    </w:tbl>
    <w:p w14:paraId="5C06C04C" w14:textId="77777777" w:rsidR="00620DD2" w:rsidRPr="00657188" w:rsidRDefault="00620DD2"/>
    <w:sectPr w:rsidR="00620DD2" w:rsidRPr="00657188"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FE4C" w14:textId="77777777" w:rsidR="004B1A32" w:rsidRDefault="004B1A32" w:rsidP="00C94306">
      <w:pPr>
        <w:spacing w:after="0" w:line="240" w:lineRule="auto"/>
      </w:pPr>
      <w:r>
        <w:separator/>
      </w:r>
    </w:p>
  </w:endnote>
  <w:endnote w:type="continuationSeparator" w:id="0">
    <w:p w14:paraId="0227F739" w14:textId="77777777" w:rsidR="004B1A32" w:rsidRDefault="004B1A32" w:rsidP="00C9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0856" w14:textId="77777777" w:rsidR="00E70851" w:rsidRDefault="004B1A32" w:rsidP="007B0854">
    <w:pPr>
      <w:pStyle w:val="Sinespaciado"/>
      <w:jc w:val="center"/>
      <w:rPr>
        <w:rFonts w:ascii="Arial" w:hAnsi="Arial" w:cs="Arial"/>
        <w:sz w:val="18"/>
        <w:szCs w:val="18"/>
      </w:rPr>
    </w:pPr>
  </w:p>
  <w:p w14:paraId="232DA6CF" w14:textId="77777777" w:rsidR="00E70851" w:rsidRPr="009D1356" w:rsidRDefault="00181D8D" w:rsidP="005A79FE">
    <w:pPr>
      <w:pStyle w:val="Piedepgina"/>
      <w:jc w:val="right"/>
      <w:rPr>
        <w:rFonts w:ascii="Arial" w:hAnsi="Arial" w:cs="Arial"/>
        <w:color w:val="7F7F7F"/>
        <w:sz w:val="16"/>
        <w:szCs w:val="16"/>
      </w:rPr>
    </w:pPr>
    <w:r w:rsidRPr="009D1356">
      <w:rPr>
        <w:rFonts w:ascii="Arial" w:hAnsi="Arial" w:cs="Arial"/>
        <w:bCs/>
        <w:color w:val="7F7F7F"/>
        <w:sz w:val="16"/>
        <w:szCs w:val="16"/>
      </w:rPr>
      <w:t xml:space="preserve">Página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PAGE  \* Arabic  \* MERGEFORMAT</w:instrText>
    </w:r>
    <w:r w:rsidRPr="009D1356">
      <w:rPr>
        <w:rFonts w:ascii="Arial" w:hAnsi="Arial" w:cs="Arial"/>
        <w:b/>
        <w:bCs/>
        <w:color w:val="7F7F7F"/>
        <w:sz w:val="16"/>
        <w:szCs w:val="16"/>
      </w:rPr>
      <w:fldChar w:fldCharType="separate"/>
    </w:r>
    <w:r w:rsidRPr="009D1356">
      <w:rPr>
        <w:rFonts w:ascii="Arial" w:hAnsi="Arial" w:cs="Arial"/>
        <w:b/>
        <w:bCs/>
        <w:color w:val="7F7F7F"/>
        <w:sz w:val="16"/>
        <w:szCs w:val="16"/>
      </w:rPr>
      <w:t>1</w:t>
    </w:r>
    <w:r w:rsidRPr="009D1356">
      <w:rPr>
        <w:rFonts w:ascii="Arial" w:hAnsi="Arial" w:cs="Arial"/>
        <w:b/>
        <w:bCs/>
        <w:color w:val="7F7F7F"/>
        <w:sz w:val="16"/>
        <w:szCs w:val="16"/>
      </w:rPr>
      <w:fldChar w:fldCharType="end"/>
    </w:r>
    <w:r w:rsidRPr="009D1356">
      <w:rPr>
        <w:rFonts w:ascii="Arial" w:hAnsi="Arial" w:cs="Arial"/>
        <w:color w:val="7F7F7F"/>
        <w:sz w:val="16"/>
        <w:szCs w:val="16"/>
      </w:rPr>
      <w:t xml:space="preserve"> de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NUMPAGES  \* Arabic  \* MERGEFORMAT</w:instrText>
    </w:r>
    <w:r w:rsidRPr="009D1356">
      <w:rPr>
        <w:rFonts w:ascii="Arial" w:hAnsi="Arial" w:cs="Arial"/>
        <w:b/>
        <w:bCs/>
        <w:color w:val="7F7F7F"/>
        <w:sz w:val="16"/>
        <w:szCs w:val="16"/>
      </w:rPr>
      <w:fldChar w:fldCharType="separate"/>
    </w:r>
    <w:r w:rsidRPr="009D1356">
      <w:rPr>
        <w:rFonts w:ascii="Arial" w:hAnsi="Arial" w:cs="Arial"/>
        <w:b/>
        <w:bCs/>
        <w:color w:val="7F7F7F"/>
        <w:sz w:val="16"/>
        <w:szCs w:val="16"/>
      </w:rPr>
      <w:t>10</w:t>
    </w:r>
    <w:r w:rsidRPr="009D1356">
      <w:rPr>
        <w:rFonts w:ascii="Arial" w:hAnsi="Arial" w:cs="Arial"/>
        <w:b/>
        <w:bCs/>
        <w:color w:val="7F7F7F"/>
        <w:sz w:val="16"/>
        <w:szCs w:val="16"/>
      </w:rPr>
      <w:fldChar w:fldCharType="end"/>
    </w:r>
  </w:p>
  <w:p w14:paraId="29650554" w14:textId="77777777" w:rsidR="00E70851" w:rsidRDefault="00181D8D" w:rsidP="007B0854">
    <w:pPr>
      <w:pStyle w:val="Piedepgina"/>
      <w:jc w:val="center"/>
      <w:rPr>
        <w:lang w:val="es-ES"/>
      </w:rPr>
    </w:pPr>
    <w:r>
      <w:rPr>
        <w:noProof/>
      </w:rPr>
      <w:drawing>
        <wp:inline distT="0" distB="0" distL="0" distR="0" wp14:anchorId="402F7AED" wp14:editId="788B9C4D">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238A2ED9" w14:textId="77777777" w:rsidR="00E70851" w:rsidRPr="007B0854" w:rsidRDefault="004B1A3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92A2" w14:textId="77777777" w:rsidR="004B1A32" w:rsidRDefault="004B1A32" w:rsidP="00C94306">
      <w:pPr>
        <w:spacing w:after="0" w:line="240" w:lineRule="auto"/>
      </w:pPr>
      <w:r>
        <w:separator/>
      </w:r>
    </w:p>
  </w:footnote>
  <w:footnote w:type="continuationSeparator" w:id="0">
    <w:p w14:paraId="4DFE2B0B" w14:textId="77777777" w:rsidR="004B1A32" w:rsidRDefault="004B1A32" w:rsidP="00C94306">
      <w:pPr>
        <w:spacing w:after="0" w:line="240" w:lineRule="auto"/>
      </w:pPr>
      <w:r>
        <w:continuationSeparator/>
      </w:r>
    </w:p>
  </w:footnote>
  <w:footnote w:id="1">
    <w:p w14:paraId="55F77B9D" w14:textId="49DAB959" w:rsidR="00D4364D" w:rsidRPr="00D4364D" w:rsidRDefault="00D4364D" w:rsidP="00D4364D">
      <w:pPr>
        <w:pStyle w:val="Textonotapie"/>
        <w:ind w:firstLine="708"/>
        <w:jc w:val="both"/>
        <w:rPr>
          <w:rFonts w:ascii="Arial" w:hAnsi="Arial" w:cs="Arial"/>
          <w:sz w:val="19"/>
          <w:szCs w:val="19"/>
        </w:rPr>
      </w:pPr>
      <w:r w:rsidRPr="00D4364D">
        <w:rPr>
          <w:rStyle w:val="Refdenotaalpie"/>
          <w:rFonts w:ascii="Arial" w:hAnsi="Arial" w:cs="Arial"/>
          <w:sz w:val="19"/>
          <w:szCs w:val="19"/>
        </w:rPr>
        <w:footnoteRef/>
      </w:r>
      <w:r w:rsidRPr="00D4364D">
        <w:rPr>
          <w:rFonts w:ascii="Arial" w:hAnsi="Arial" w:cs="Arial"/>
          <w:sz w:val="19"/>
          <w:szCs w:val="19"/>
        </w:rPr>
        <w:t xml:space="preserve"> Ley 2022 de 2020: «A</w:t>
      </w:r>
      <w:r>
        <w:rPr>
          <w:rFonts w:ascii="Arial" w:hAnsi="Arial" w:cs="Arial"/>
          <w:sz w:val="19"/>
          <w:szCs w:val="19"/>
        </w:rPr>
        <w:t>rtículo</w:t>
      </w:r>
      <w:r w:rsidRPr="00D4364D">
        <w:rPr>
          <w:rFonts w:ascii="Arial" w:hAnsi="Arial" w:cs="Arial"/>
          <w:sz w:val="19"/>
          <w:szCs w:val="19"/>
        </w:rPr>
        <w:t xml:space="preserve"> 1. Modifíquese el artículo 4o de la Ley 1882 de 2018, el cual quedará así:</w:t>
      </w:r>
      <w:r>
        <w:rPr>
          <w:rFonts w:ascii="Arial" w:hAnsi="Arial" w:cs="Arial"/>
          <w:sz w:val="19"/>
          <w:szCs w:val="19"/>
        </w:rPr>
        <w:t xml:space="preserve"> </w:t>
      </w:r>
      <w:r w:rsidRPr="00D4364D">
        <w:rPr>
          <w:rFonts w:ascii="Arial" w:hAnsi="Arial" w:cs="Arial"/>
          <w:sz w:val="19"/>
          <w:szCs w:val="19"/>
        </w:rPr>
        <w:t>Artículo 4o. Adiciónese el siguiente parágrafo al artículo 2o de la Ley 1150 de 2007.</w:t>
      </w:r>
    </w:p>
    <w:p w14:paraId="5A955596" w14:textId="4B5D004C" w:rsidR="00D4364D" w:rsidRPr="00D4364D" w:rsidRDefault="00D4364D" w:rsidP="00D4364D">
      <w:pPr>
        <w:pStyle w:val="Textonotapie"/>
        <w:ind w:firstLine="708"/>
        <w:jc w:val="both"/>
        <w:rPr>
          <w:rFonts w:ascii="Arial" w:hAnsi="Arial" w:cs="Arial"/>
          <w:sz w:val="19"/>
          <w:szCs w:val="19"/>
        </w:rPr>
      </w:pPr>
      <w:r w:rsidRPr="00D4364D">
        <w:rPr>
          <w:rFonts w:ascii="Arial" w:hAnsi="Arial" w:cs="Arial"/>
          <w:sz w:val="19"/>
          <w:szCs w:val="19"/>
        </w:rPr>
        <w:t>»P</w:t>
      </w:r>
      <w:r>
        <w:rPr>
          <w:rFonts w:ascii="Arial" w:hAnsi="Arial" w:cs="Arial"/>
          <w:sz w:val="19"/>
          <w:szCs w:val="19"/>
        </w:rPr>
        <w:t>arágrafo 7</w:t>
      </w:r>
      <w:r w:rsidRPr="00D4364D">
        <w:rPr>
          <w:rFonts w:ascii="Arial" w:hAnsi="Arial" w:cs="Arial"/>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F8D2DDE" w14:textId="624D4D3A" w:rsidR="00D4364D" w:rsidRPr="00D4364D" w:rsidRDefault="00D4364D" w:rsidP="00D4364D">
      <w:pPr>
        <w:pStyle w:val="Textonotapie"/>
        <w:ind w:firstLine="708"/>
        <w:jc w:val="both"/>
        <w:rPr>
          <w:rFonts w:ascii="Arial" w:hAnsi="Arial" w:cs="Arial"/>
          <w:sz w:val="19"/>
          <w:szCs w:val="19"/>
        </w:rPr>
      </w:pPr>
      <w:r w:rsidRPr="00D4364D">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9CCC10C" w14:textId="7BA41F2F" w:rsidR="00D4364D" w:rsidRPr="00D4364D" w:rsidRDefault="00D4364D" w:rsidP="00D4364D">
      <w:pPr>
        <w:pStyle w:val="Textonotapie"/>
        <w:ind w:firstLine="708"/>
        <w:jc w:val="both"/>
        <w:rPr>
          <w:rFonts w:ascii="Arial" w:hAnsi="Arial" w:cs="Arial"/>
          <w:sz w:val="19"/>
          <w:szCs w:val="19"/>
        </w:rPr>
      </w:pPr>
      <w:r w:rsidRPr="00D4364D">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628FA43" w14:textId="626C9BDC" w:rsidR="00D4364D" w:rsidRPr="00D4364D" w:rsidRDefault="00D4364D" w:rsidP="00D4364D">
      <w:pPr>
        <w:pStyle w:val="Textonotapie"/>
        <w:ind w:firstLine="708"/>
        <w:jc w:val="both"/>
        <w:rPr>
          <w:rFonts w:ascii="Arial" w:hAnsi="Arial" w:cs="Arial"/>
          <w:sz w:val="19"/>
          <w:szCs w:val="19"/>
        </w:rPr>
      </w:pPr>
      <w:r w:rsidRPr="00D4364D">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A0F80F9" w14:textId="34F2D1EF" w:rsidR="00D4364D" w:rsidRPr="00D4364D" w:rsidRDefault="00D4364D" w:rsidP="00D4364D">
      <w:pPr>
        <w:pStyle w:val="Textonotapie"/>
        <w:ind w:firstLine="708"/>
        <w:jc w:val="both"/>
        <w:rPr>
          <w:rFonts w:ascii="Arial" w:hAnsi="Arial" w:cs="Arial"/>
          <w:sz w:val="19"/>
          <w:szCs w:val="19"/>
        </w:rPr>
      </w:pPr>
      <w:r w:rsidRPr="00D4364D">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p>
  </w:footnote>
  <w:footnote w:id="2">
    <w:p w14:paraId="43BE9FAF" w14:textId="18E02B6C" w:rsidR="00DD27A3" w:rsidRPr="00D4364D" w:rsidRDefault="00DD27A3" w:rsidP="00D4364D">
      <w:pPr>
        <w:spacing w:line="240" w:lineRule="auto"/>
        <w:ind w:firstLine="708"/>
        <w:jc w:val="both"/>
        <w:rPr>
          <w:rFonts w:ascii="Arial" w:hAnsi="Arial" w:cs="Arial"/>
          <w:color w:val="000000" w:themeColor="text1"/>
          <w:sz w:val="19"/>
          <w:szCs w:val="19"/>
        </w:rPr>
      </w:pPr>
      <w:r w:rsidRPr="00D4364D">
        <w:rPr>
          <w:rStyle w:val="Refdenotaalpie"/>
          <w:rFonts w:ascii="Arial" w:hAnsi="Arial" w:cs="Arial"/>
          <w:color w:val="000000" w:themeColor="text1"/>
          <w:sz w:val="19"/>
          <w:szCs w:val="19"/>
        </w:rPr>
        <w:footnoteRef/>
      </w:r>
      <w:r w:rsidRPr="00D4364D">
        <w:rPr>
          <w:rFonts w:ascii="Arial" w:hAnsi="Arial" w:cs="Arial"/>
          <w:color w:val="000000" w:themeColor="text1"/>
          <w:sz w:val="19"/>
          <w:szCs w:val="19"/>
        </w:rPr>
        <w:t xml:space="preserve"> </w:t>
      </w:r>
      <w:r w:rsidR="00813007" w:rsidRPr="00D4364D">
        <w:rPr>
          <w:rFonts w:ascii="Arial" w:hAnsi="Arial" w:cs="Arial"/>
          <w:color w:val="000000" w:themeColor="text1"/>
          <w:sz w:val="19"/>
          <w:szCs w:val="19"/>
        </w:rPr>
        <w:t>En relación con el principio constitucional sub examine, la Corte Constitucional</w:t>
      </w:r>
      <w:r w:rsidR="00F73FFE" w:rsidRPr="00D4364D">
        <w:rPr>
          <w:rFonts w:ascii="Arial" w:hAnsi="Arial" w:cs="Arial"/>
          <w:color w:val="000000" w:themeColor="text1"/>
          <w:sz w:val="19"/>
          <w:szCs w:val="19"/>
        </w:rPr>
        <w:t>, en Sentencia C-029 de 1995. M.P. Jorge Arango Mejía</w:t>
      </w:r>
      <w:r w:rsidR="00813007" w:rsidRPr="00D4364D">
        <w:rPr>
          <w:rFonts w:ascii="Arial" w:hAnsi="Arial" w:cs="Arial"/>
          <w:color w:val="000000" w:themeColor="text1"/>
          <w:sz w:val="19"/>
          <w:szCs w:val="19"/>
        </w:rPr>
        <w:t xml:space="preserve"> explica que</w:t>
      </w:r>
      <w:r w:rsidR="00F73FFE" w:rsidRPr="00D4364D">
        <w:rPr>
          <w:rFonts w:ascii="Arial" w:hAnsi="Arial" w:cs="Arial"/>
          <w:color w:val="000000" w:themeColor="text1"/>
          <w:sz w:val="19"/>
          <w:szCs w:val="19"/>
        </w:rPr>
        <w:t>:</w:t>
      </w:r>
      <w:r w:rsidR="00813007" w:rsidRPr="00D4364D">
        <w:rPr>
          <w:rFonts w:ascii="Arial" w:hAnsi="Arial" w:cs="Arial"/>
          <w:color w:val="000000" w:themeColor="text1"/>
          <w:sz w:val="19"/>
          <w:szCs w:val="19"/>
        </w:rPr>
        <w:t xml:space="preserv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D4364D">
        <w:rPr>
          <w:rFonts w:ascii="Arial" w:hAnsi="Arial" w:cs="Arial"/>
          <w:color w:val="000000" w:themeColor="text1"/>
          <w:sz w:val="19"/>
          <w:szCs w:val="19"/>
        </w:rPr>
        <w:t>.</w:t>
      </w:r>
    </w:p>
    <w:p w14:paraId="0300DA3D" w14:textId="77777777" w:rsidR="00DD27A3" w:rsidRPr="00D4364D" w:rsidRDefault="00DD27A3" w:rsidP="00D4364D">
      <w:pPr>
        <w:pStyle w:val="Textonotapie"/>
        <w:ind w:firstLine="708"/>
        <w:jc w:val="both"/>
        <w:rPr>
          <w:rFonts w:ascii="Arial" w:hAnsi="Arial" w:cs="Arial"/>
          <w:color w:val="000000" w:themeColor="text1"/>
          <w:sz w:val="19"/>
          <w:szCs w:val="19"/>
        </w:rPr>
      </w:pPr>
      <w:r w:rsidRPr="00D4364D">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5EBC" w14:textId="77777777" w:rsidR="00E70851" w:rsidRDefault="004B1A32">
    <w:pPr>
      <w:pStyle w:val="Encabezado"/>
    </w:pPr>
  </w:p>
  <w:p w14:paraId="6ADE0D6A" w14:textId="77777777" w:rsidR="00E70851" w:rsidRDefault="004B1A32">
    <w:pPr>
      <w:pStyle w:val="Encabezado"/>
    </w:pPr>
  </w:p>
  <w:p w14:paraId="63B58169" w14:textId="77777777" w:rsidR="00E70851" w:rsidRDefault="00181D8D">
    <w:pPr>
      <w:pStyle w:val="Encabezado"/>
    </w:pPr>
    <w:r>
      <w:rPr>
        <w:noProof/>
        <w:lang w:val="es-CO" w:eastAsia="es-CO"/>
      </w:rPr>
      <w:drawing>
        <wp:anchor distT="0" distB="0" distL="114300" distR="114300" simplePos="0" relativeHeight="251659264" behindDoc="1" locked="0" layoutInCell="1" allowOverlap="1" wp14:anchorId="7396E154" wp14:editId="7E4F384A">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2742F" w14:textId="77777777" w:rsidR="00E70851" w:rsidRDefault="004B1A32">
    <w:pPr>
      <w:pStyle w:val="Encabezado"/>
    </w:pPr>
  </w:p>
  <w:p w14:paraId="3B9FFD26" w14:textId="77777777" w:rsidR="00E70851" w:rsidRDefault="004B1A32">
    <w:pPr>
      <w:pStyle w:val="Encabezado"/>
    </w:pPr>
  </w:p>
  <w:p w14:paraId="03BF7EFD" w14:textId="77777777" w:rsidR="00E70851" w:rsidRDefault="004B1A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DC52852"/>
    <w:multiLevelType w:val="multilevel"/>
    <w:tmpl w:val="F5C2CC9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3.5.%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338044406">
    <w:abstractNumId w:val="6"/>
  </w:num>
  <w:num w:numId="2" w16cid:durableId="489294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4467359">
    <w:abstractNumId w:val="3"/>
  </w:num>
  <w:num w:numId="4" w16cid:durableId="501630413">
    <w:abstractNumId w:val="2"/>
  </w:num>
  <w:num w:numId="5" w16cid:durableId="1866286284">
    <w:abstractNumId w:val="4"/>
  </w:num>
  <w:num w:numId="6" w16cid:durableId="1372654540">
    <w:abstractNumId w:val="7"/>
  </w:num>
  <w:num w:numId="7" w16cid:durableId="636185262">
    <w:abstractNumId w:val="10"/>
  </w:num>
  <w:num w:numId="8" w16cid:durableId="16384861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690625">
    <w:abstractNumId w:val="5"/>
  </w:num>
  <w:num w:numId="10" w16cid:durableId="1282029942">
    <w:abstractNumId w:val="9"/>
  </w:num>
  <w:num w:numId="11" w16cid:durableId="9314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C9"/>
    <w:rsid w:val="0000259C"/>
    <w:rsid w:val="000053FB"/>
    <w:rsid w:val="000100CD"/>
    <w:rsid w:val="00012565"/>
    <w:rsid w:val="000350AE"/>
    <w:rsid w:val="00051A86"/>
    <w:rsid w:val="000671EE"/>
    <w:rsid w:val="000754D1"/>
    <w:rsid w:val="00075AA7"/>
    <w:rsid w:val="00081320"/>
    <w:rsid w:val="00081951"/>
    <w:rsid w:val="00083F09"/>
    <w:rsid w:val="000858C5"/>
    <w:rsid w:val="00085D16"/>
    <w:rsid w:val="000A344D"/>
    <w:rsid w:val="000A4B50"/>
    <w:rsid w:val="000A7F78"/>
    <w:rsid w:val="000B3D5F"/>
    <w:rsid w:val="000C0671"/>
    <w:rsid w:val="000C185B"/>
    <w:rsid w:val="000C30D6"/>
    <w:rsid w:val="000E2A66"/>
    <w:rsid w:val="001003E1"/>
    <w:rsid w:val="001104A2"/>
    <w:rsid w:val="00116C9F"/>
    <w:rsid w:val="001356F7"/>
    <w:rsid w:val="00140248"/>
    <w:rsid w:val="001465E2"/>
    <w:rsid w:val="0015030C"/>
    <w:rsid w:val="00154F52"/>
    <w:rsid w:val="00160295"/>
    <w:rsid w:val="00170735"/>
    <w:rsid w:val="001730C1"/>
    <w:rsid w:val="00177CD2"/>
    <w:rsid w:val="00181D8D"/>
    <w:rsid w:val="0018665E"/>
    <w:rsid w:val="0018717F"/>
    <w:rsid w:val="00194767"/>
    <w:rsid w:val="001A0D18"/>
    <w:rsid w:val="001A5F16"/>
    <w:rsid w:val="001B23BE"/>
    <w:rsid w:val="001B6C29"/>
    <w:rsid w:val="001D51E4"/>
    <w:rsid w:val="001D6B8A"/>
    <w:rsid w:val="001F09A1"/>
    <w:rsid w:val="001F0E5B"/>
    <w:rsid w:val="0020252A"/>
    <w:rsid w:val="00204109"/>
    <w:rsid w:val="00204CFA"/>
    <w:rsid w:val="002153DC"/>
    <w:rsid w:val="00234C61"/>
    <w:rsid w:val="002539F1"/>
    <w:rsid w:val="00255B59"/>
    <w:rsid w:val="002645D3"/>
    <w:rsid w:val="00266A5F"/>
    <w:rsid w:val="00272704"/>
    <w:rsid w:val="00286814"/>
    <w:rsid w:val="00286EE5"/>
    <w:rsid w:val="00290C1C"/>
    <w:rsid w:val="0029594A"/>
    <w:rsid w:val="002B1699"/>
    <w:rsid w:val="002B30EA"/>
    <w:rsid w:val="002D1CAD"/>
    <w:rsid w:val="002D6D67"/>
    <w:rsid w:val="002D76CA"/>
    <w:rsid w:val="00301338"/>
    <w:rsid w:val="0030266C"/>
    <w:rsid w:val="00330BDC"/>
    <w:rsid w:val="00330BE2"/>
    <w:rsid w:val="00342808"/>
    <w:rsid w:val="003469D2"/>
    <w:rsid w:val="003546C5"/>
    <w:rsid w:val="00391A88"/>
    <w:rsid w:val="00394209"/>
    <w:rsid w:val="00397A17"/>
    <w:rsid w:val="003A682F"/>
    <w:rsid w:val="003A6D8A"/>
    <w:rsid w:val="003B2284"/>
    <w:rsid w:val="003B4A76"/>
    <w:rsid w:val="003B5DEF"/>
    <w:rsid w:val="003C629D"/>
    <w:rsid w:val="003E0DE2"/>
    <w:rsid w:val="003E13DD"/>
    <w:rsid w:val="003E7310"/>
    <w:rsid w:val="00403CF9"/>
    <w:rsid w:val="00413174"/>
    <w:rsid w:val="00414458"/>
    <w:rsid w:val="004163A4"/>
    <w:rsid w:val="00420C6C"/>
    <w:rsid w:val="00420E49"/>
    <w:rsid w:val="00433EE2"/>
    <w:rsid w:val="00434EDB"/>
    <w:rsid w:val="00436312"/>
    <w:rsid w:val="00442E53"/>
    <w:rsid w:val="00450D20"/>
    <w:rsid w:val="00465318"/>
    <w:rsid w:val="00476BA8"/>
    <w:rsid w:val="00476FC7"/>
    <w:rsid w:val="00482484"/>
    <w:rsid w:val="00484ED6"/>
    <w:rsid w:val="00492293"/>
    <w:rsid w:val="00493565"/>
    <w:rsid w:val="004B0592"/>
    <w:rsid w:val="004B1A32"/>
    <w:rsid w:val="004B350D"/>
    <w:rsid w:val="004B736A"/>
    <w:rsid w:val="004E4636"/>
    <w:rsid w:val="004E5914"/>
    <w:rsid w:val="004F3F40"/>
    <w:rsid w:val="005037B1"/>
    <w:rsid w:val="0052365C"/>
    <w:rsid w:val="00536B5D"/>
    <w:rsid w:val="00536C0F"/>
    <w:rsid w:val="0054607B"/>
    <w:rsid w:val="00547593"/>
    <w:rsid w:val="0055435E"/>
    <w:rsid w:val="00556A68"/>
    <w:rsid w:val="005579BE"/>
    <w:rsid w:val="0056069F"/>
    <w:rsid w:val="00565B47"/>
    <w:rsid w:val="00566625"/>
    <w:rsid w:val="00566EE9"/>
    <w:rsid w:val="00573224"/>
    <w:rsid w:val="00575933"/>
    <w:rsid w:val="005815B1"/>
    <w:rsid w:val="00596385"/>
    <w:rsid w:val="005A255C"/>
    <w:rsid w:val="005A3747"/>
    <w:rsid w:val="005A53F6"/>
    <w:rsid w:val="005A71AF"/>
    <w:rsid w:val="005B5C63"/>
    <w:rsid w:val="005B5FAD"/>
    <w:rsid w:val="005B6D58"/>
    <w:rsid w:val="005D44B4"/>
    <w:rsid w:val="005E4CB6"/>
    <w:rsid w:val="005F4C06"/>
    <w:rsid w:val="006118C9"/>
    <w:rsid w:val="00612FC7"/>
    <w:rsid w:val="00613AAF"/>
    <w:rsid w:val="00620A5F"/>
    <w:rsid w:val="00620DD2"/>
    <w:rsid w:val="00624A65"/>
    <w:rsid w:val="00635140"/>
    <w:rsid w:val="00644CED"/>
    <w:rsid w:val="00651CB3"/>
    <w:rsid w:val="00657188"/>
    <w:rsid w:val="00667838"/>
    <w:rsid w:val="00667C24"/>
    <w:rsid w:val="00677990"/>
    <w:rsid w:val="0068499F"/>
    <w:rsid w:val="00684C15"/>
    <w:rsid w:val="006958C9"/>
    <w:rsid w:val="006A70C5"/>
    <w:rsid w:val="006B5B15"/>
    <w:rsid w:val="006C37B1"/>
    <w:rsid w:val="006C7EA6"/>
    <w:rsid w:val="006E6284"/>
    <w:rsid w:val="00700038"/>
    <w:rsid w:val="0070685C"/>
    <w:rsid w:val="00707A54"/>
    <w:rsid w:val="00707A95"/>
    <w:rsid w:val="00726A77"/>
    <w:rsid w:val="0073348F"/>
    <w:rsid w:val="0073469B"/>
    <w:rsid w:val="00737967"/>
    <w:rsid w:val="00743E8C"/>
    <w:rsid w:val="00745866"/>
    <w:rsid w:val="0075264E"/>
    <w:rsid w:val="00753C20"/>
    <w:rsid w:val="00780899"/>
    <w:rsid w:val="007979BE"/>
    <w:rsid w:val="007A1F26"/>
    <w:rsid w:val="007A4273"/>
    <w:rsid w:val="007B113D"/>
    <w:rsid w:val="007B226C"/>
    <w:rsid w:val="007B5A67"/>
    <w:rsid w:val="007C3AD3"/>
    <w:rsid w:val="007D51A8"/>
    <w:rsid w:val="007D51E6"/>
    <w:rsid w:val="007E3E2E"/>
    <w:rsid w:val="007F1B0A"/>
    <w:rsid w:val="007F63ED"/>
    <w:rsid w:val="00801C9A"/>
    <w:rsid w:val="00813007"/>
    <w:rsid w:val="00814B8C"/>
    <w:rsid w:val="00816FAB"/>
    <w:rsid w:val="008179B4"/>
    <w:rsid w:val="00827013"/>
    <w:rsid w:val="008575F5"/>
    <w:rsid w:val="0086716B"/>
    <w:rsid w:val="008703A8"/>
    <w:rsid w:val="00876189"/>
    <w:rsid w:val="00894389"/>
    <w:rsid w:val="008A7D2F"/>
    <w:rsid w:val="008B0E67"/>
    <w:rsid w:val="008B2A29"/>
    <w:rsid w:val="008B2E18"/>
    <w:rsid w:val="008D0887"/>
    <w:rsid w:val="008D33DE"/>
    <w:rsid w:val="008E4FFD"/>
    <w:rsid w:val="00900F87"/>
    <w:rsid w:val="00904AFB"/>
    <w:rsid w:val="00904F4C"/>
    <w:rsid w:val="00920C21"/>
    <w:rsid w:val="009418F0"/>
    <w:rsid w:val="0094239B"/>
    <w:rsid w:val="009828FA"/>
    <w:rsid w:val="00993C9B"/>
    <w:rsid w:val="009943C4"/>
    <w:rsid w:val="009A6802"/>
    <w:rsid w:val="009C7B58"/>
    <w:rsid w:val="009C7FF8"/>
    <w:rsid w:val="009D1356"/>
    <w:rsid w:val="009D2891"/>
    <w:rsid w:val="009F1540"/>
    <w:rsid w:val="009F482B"/>
    <w:rsid w:val="009F4A1C"/>
    <w:rsid w:val="009F6CCD"/>
    <w:rsid w:val="00A11029"/>
    <w:rsid w:val="00A22686"/>
    <w:rsid w:val="00A54337"/>
    <w:rsid w:val="00A5717C"/>
    <w:rsid w:val="00A61E2F"/>
    <w:rsid w:val="00A65E0C"/>
    <w:rsid w:val="00A773CD"/>
    <w:rsid w:val="00A84937"/>
    <w:rsid w:val="00AA660F"/>
    <w:rsid w:val="00AB20CF"/>
    <w:rsid w:val="00AB2928"/>
    <w:rsid w:val="00AC3E1A"/>
    <w:rsid w:val="00AC6864"/>
    <w:rsid w:val="00AE050E"/>
    <w:rsid w:val="00AE2CEC"/>
    <w:rsid w:val="00AF05DD"/>
    <w:rsid w:val="00B0074C"/>
    <w:rsid w:val="00B01ADD"/>
    <w:rsid w:val="00B06456"/>
    <w:rsid w:val="00B36AD0"/>
    <w:rsid w:val="00B546DB"/>
    <w:rsid w:val="00B57A94"/>
    <w:rsid w:val="00B73F87"/>
    <w:rsid w:val="00B76A64"/>
    <w:rsid w:val="00B8314D"/>
    <w:rsid w:val="00BA401B"/>
    <w:rsid w:val="00BD48A9"/>
    <w:rsid w:val="00BD5B8E"/>
    <w:rsid w:val="00BD7AC4"/>
    <w:rsid w:val="00BE3479"/>
    <w:rsid w:val="00BE74D1"/>
    <w:rsid w:val="00BF3A94"/>
    <w:rsid w:val="00C026A5"/>
    <w:rsid w:val="00C13DE9"/>
    <w:rsid w:val="00C22364"/>
    <w:rsid w:val="00C321F3"/>
    <w:rsid w:val="00C36586"/>
    <w:rsid w:val="00C464C7"/>
    <w:rsid w:val="00C5018E"/>
    <w:rsid w:val="00C574FD"/>
    <w:rsid w:val="00C74EE0"/>
    <w:rsid w:val="00C82A06"/>
    <w:rsid w:val="00C90582"/>
    <w:rsid w:val="00C92A51"/>
    <w:rsid w:val="00C94306"/>
    <w:rsid w:val="00CC372B"/>
    <w:rsid w:val="00CE22B0"/>
    <w:rsid w:val="00CE45E2"/>
    <w:rsid w:val="00CF4B68"/>
    <w:rsid w:val="00D3794E"/>
    <w:rsid w:val="00D4066F"/>
    <w:rsid w:val="00D42C81"/>
    <w:rsid w:val="00D4364D"/>
    <w:rsid w:val="00D47417"/>
    <w:rsid w:val="00D544DD"/>
    <w:rsid w:val="00D60205"/>
    <w:rsid w:val="00D96099"/>
    <w:rsid w:val="00DA008F"/>
    <w:rsid w:val="00DA0CDF"/>
    <w:rsid w:val="00DA0FFC"/>
    <w:rsid w:val="00DA3732"/>
    <w:rsid w:val="00DB66FA"/>
    <w:rsid w:val="00DD27A3"/>
    <w:rsid w:val="00DD75B4"/>
    <w:rsid w:val="00DD7B66"/>
    <w:rsid w:val="00DE2137"/>
    <w:rsid w:val="00E03A0A"/>
    <w:rsid w:val="00E30372"/>
    <w:rsid w:val="00E3049A"/>
    <w:rsid w:val="00E36604"/>
    <w:rsid w:val="00E477B5"/>
    <w:rsid w:val="00E638B5"/>
    <w:rsid w:val="00E676E2"/>
    <w:rsid w:val="00E741CD"/>
    <w:rsid w:val="00E91E1C"/>
    <w:rsid w:val="00E95907"/>
    <w:rsid w:val="00EE09B6"/>
    <w:rsid w:val="00EF0C41"/>
    <w:rsid w:val="00EF6209"/>
    <w:rsid w:val="00F10FBF"/>
    <w:rsid w:val="00F1479C"/>
    <w:rsid w:val="00F22ADA"/>
    <w:rsid w:val="00F26B95"/>
    <w:rsid w:val="00F464D1"/>
    <w:rsid w:val="00F71872"/>
    <w:rsid w:val="00F73FFE"/>
    <w:rsid w:val="00F768E1"/>
    <w:rsid w:val="00F93AA7"/>
    <w:rsid w:val="00FA5E2A"/>
    <w:rsid w:val="00FA7F26"/>
    <w:rsid w:val="00FC269C"/>
    <w:rsid w:val="00FE3B2C"/>
    <w:rsid w:val="00FE4922"/>
    <w:rsid w:val="00FE78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BD75"/>
  <w15:chartTrackingRefBased/>
  <w15:docId w15:val="{20C547A4-6B70-4E62-9A6E-DCBE9EBD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1"/>
    <w:rsid w:val="001465E2"/>
    <w:rPr>
      <w:rFonts w:ascii="Times New Roman" w:eastAsia="Times New Roman" w:hAnsi="Times New Roman" w:cs="Times New Roman"/>
      <w:sz w:val="24"/>
      <w:szCs w:val="24"/>
      <w:lang w:eastAsia="es-CO"/>
    </w:rPr>
  </w:style>
  <w:style w:type="paragraph" w:customStyle="1" w:styleId="bodytext21">
    <w:name w:val="bodytext21"/>
    <w:basedOn w:val="Normal"/>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semiHidden/>
    <w:unhideWhenUsed/>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1465E2"/>
    <w:rPr>
      <w:rFonts w:ascii="Times New Roman" w:eastAsia="Times New Roman" w:hAnsi="Times New Roman" w:cs="Times New Roman"/>
      <w:sz w:val="24"/>
      <w:szCs w:val="24"/>
      <w:lang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741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47417"/>
    <w:pPr>
      <w:spacing w:after="0" w:line="240" w:lineRule="auto"/>
    </w:pPr>
    <w:rPr>
      <w:sz w:val="20"/>
      <w:szCs w:val="20"/>
      <w:lang w:val="es-MX"/>
    </w:rPr>
  </w:style>
  <w:style w:type="character" w:customStyle="1" w:styleId="TextonotapieCar1">
    <w:name w:val="Texto nota pie Car1"/>
    <w:basedOn w:val="Fuentedeprrafopredeter"/>
    <w:uiPriority w:val="99"/>
    <w:semiHidden/>
    <w:rsid w:val="00D47417"/>
    <w:rPr>
      <w:sz w:val="20"/>
      <w:szCs w:val="20"/>
    </w:rPr>
  </w:style>
  <w:style w:type="character" w:customStyle="1" w:styleId="InviasNormalCar">
    <w:name w:val="Invias Normal Car"/>
    <w:link w:val="InviasNormal"/>
    <w:locked/>
    <w:rsid w:val="000053FB"/>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0053FB"/>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numbering" w:customStyle="1" w:styleId="Sinlista1">
    <w:name w:val="Sin lista1"/>
    <w:next w:val="Sinlista"/>
    <w:uiPriority w:val="99"/>
    <w:semiHidden/>
    <w:unhideWhenUsed/>
    <w:rsid w:val="00C94306"/>
  </w:style>
  <w:style w:type="paragraph" w:styleId="Piedepgina">
    <w:name w:val="footer"/>
    <w:basedOn w:val="Normal"/>
    <w:link w:val="PiedepginaCar"/>
    <w:uiPriority w:val="99"/>
    <w:unhideWhenUsed/>
    <w:rsid w:val="00C94306"/>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C94306"/>
    <w:rPr>
      <w:sz w:val="24"/>
      <w:lang w:val="es-MX"/>
    </w:rPr>
  </w:style>
  <w:style w:type="paragraph" w:styleId="Textodeglobo">
    <w:name w:val="Balloon Text"/>
    <w:basedOn w:val="Normal"/>
    <w:link w:val="TextodegloboCar"/>
    <w:uiPriority w:val="99"/>
    <w:semiHidden/>
    <w:unhideWhenUsed/>
    <w:rsid w:val="00C94306"/>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C94306"/>
    <w:rPr>
      <w:rFonts w:ascii="Tahoma" w:hAnsi="Tahoma" w:cs="Tahoma"/>
      <w:sz w:val="16"/>
      <w:szCs w:val="16"/>
      <w:lang w:val="es-MX"/>
    </w:rPr>
  </w:style>
  <w:style w:type="paragraph" w:styleId="Encabezado">
    <w:name w:val="header"/>
    <w:basedOn w:val="Normal"/>
    <w:link w:val="EncabezadoCar"/>
    <w:uiPriority w:val="99"/>
    <w:unhideWhenUsed/>
    <w:rsid w:val="00C94306"/>
    <w:pPr>
      <w:tabs>
        <w:tab w:val="center" w:pos="4252"/>
        <w:tab w:val="right" w:pos="8504"/>
      </w:tabs>
      <w:spacing w:after="0" w:line="240" w:lineRule="auto"/>
    </w:pPr>
    <w:rPr>
      <w:sz w:val="24"/>
      <w:lang w:val="es-MX"/>
    </w:rPr>
  </w:style>
  <w:style w:type="character" w:customStyle="1" w:styleId="EncabezadoCar">
    <w:name w:val="Encabezado Car"/>
    <w:basedOn w:val="Fuentedeprrafopredeter"/>
    <w:link w:val="Encabezado"/>
    <w:uiPriority w:val="99"/>
    <w:rsid w:val="00C94306"/>
    <w:rPr>
      <w:sz w:val="24"/>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C94306"/>
    <w:pPr>
      <w:spacing w:after="0" w:line="240" w:lineRule="auto"/>
      <w:ind w:left="720"/>
      <w:contextualSpacing/>
    </w:pPr>
    <w:rPr>
      <w:sz w:val="24"/>
      <w:lang w:val="es-MX"/>
    </w:rPr>
  </w:style>
  <w:style w:type="character" w:styleId="Refdecomentario">
    <w:name w:val="annotation reference"/>
    <w:basedOn w:val="Fuentedeprrafopredeter"/>
    <w:uiPriority w:val="99"/>
    <w:semiHidden/>
    <w:unhideWhenUsed/>
    <w:rsid w:val="00C94306"/>
    <w:rPr>
      <w:sz w:val="16"/>
      <w:szCs w:val="16"/>
    </w:rPr>
  </w:style>
  <w:style w:type="paragraph" w:styleId="Textocomentario">
    <w:name w:val="annotation text"/>
    <w:basedOn w:val="Normal"/>
    <w:link w:val="TextocomentarioCar"/>
    <w:uiPriority w:val="99"/>
    <w:semiHidden/>
    <w:unhideWhenUsed/>
    <w:rsid w:val="00C94306"/>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semiHidden/>
    <w:rsid w:val="00C9430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306"/>
    <w:rPr>
      <w:b/>
      <w:bCs/>
    </w:rPr>
  </w:style>
  <w:style w:type="character" w:customStyle="1" w:styleId="AsuntodelcomentarioCar">
    <w:name w:val="Asunto del comentario Car"/>
    <w:basedOn w:val="TextocomentarioCar"/>
    <w:link w:val="Asuntodelcomentario"/>
    <w:uiPriority w:val="99"/>
    <w:semiHidden/>
    <w:rsid w:val="00C94306"/>
    <w:rPr>
      <w:b/>
      <w:bCs/>
      <w:sz w:val="20"/>
      <w:szCs w:val="20"/>
      <w:lang w:val="es-MX"/>
    </w:rPr>
  </w:style>
  <w:style w:type="character" w:customStyle="1" w:styleId="Hipervnculo1">
    <w:name w:val="Hipervínculo1"/>
    <w:basedOn w:val="Fuentedeprrafopredeter"/>
    <w:uiPriority w:val="99"/>
    <w:semiHidden/>
    <w:unhideWhenUsed/>
    <w:rsid w:val="00C94306"/>
    <w:rPr>
      <w:color w:val="F2F2F2"/>
      <w:u w:val="single"/>
    </w:rPr>
  </w:style>
  <w:style w:type="paragraph" w:styleId="NormalWeb">
    <w:name w:val="Normal (Web)"/>
    <w:basedOn w:val="Normal"/>
    <w:uiPriority w:val="99"/>
    <w:unhideWhenUsed/>
    <w:rsid w:val="00C943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C94306"/>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94306"/>
    <w:rPr>
      <w:sz w:val="24"/>
      <w:lang w:val="es-MX"/>
    </w:rPr>
  </w:style>
  <w:style w:type="paragraph" w:customStyle="1" w:styleId="Capitulo1">
    <w:name w:val="Capitulo 1"/>
    <w:basedOn w:val="Normal"/>
    <w:qFormat/>
    <w:rsid w:val="00C94306"/>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C94306"/>
    <w:rPr>
      <w:vertAlign w:val="superscript"/>
    </w:rPr>
  </w:style>
  <w:style w:type="character" w:styleId="Textoennegrita">
    <w:name w:val="Strong"/>
    <w:basedOn w:val="Fuentedeprrafopredeter"/>
    <w:uiPriority w:val="22"/>
    <w:qFormat/>
    <w:rsid w:val="00C94306"/>
    <w:rPr>
      <w:b/>
      <w:bCs/>
    </w:rPr>
  </w:style>
  <w:style w:type="paragraph" w:customStyle="1" w:styleId="Default">
    <w:name w:val="Default"/>
    <w:rsid w:val="00C9430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C943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831">
      <w:bodyDiv w:val="1"/>
      <w:marLeft w:val="0"/>
      <w:marRight w:val="0"/>
      <w:marTop w:val="0"/>
      <w:marBottom w:val="0"/>
      <w:divBdr>
        <w:top w:val="none" w:sz="0" w:space="0" w:color="auto"/>
        <w:left w:val="none" w:sz="0" w:space="0" w:color="auto"/>
        <w:bottom w:val="none" w:sz="0" w:space="0" w:color="auto"/>
        <w:right w:val="none" w:sz="0" w:space="0" w:color="auto"/>
      </w:divBdr>
    </w:div>
    <w:div w:id="141045787">
      <w:bodyDiv w:val="1"/>
      <w:marLeft w:val="0"/>
      <w:marRight w:val="0"/>
      <w:marTop w:val="0"/>
      <w:marBottom w:val="0"/>
      <w:divBdr>
        <w:top w:val="none" w:sz="0" w:space="0" w:color="auto"/>
        <w:left w:val="none" w:sz="0" w:space="0" w:color="auto"/>
        <w:bottom w:val="none" w:sz="0" w:space="0" w:color="auto"/>
        <w:right w:val="none" w:sz="0" w:space="0" w:color="auto"/>
      </w:divBdr>
    </w:div>
    <w:div w:id="578104637">
      <w:bodyDiv w:val="1"/>
      <w:marLeft w:val="0"/>
      <w:marRight w:val="0"/>
      <w:marTop w:val="0"/>
      <w:marBottom w:val="0"/>
      <w:divBdr>
        <w:top w:val="none" w:sz="0" w:space="0" w:color="auto"/>
        <w:left w:val="none" w:sz="0" w:space="0" w:color="auto"/>
        <w:bottom w:val="none" w:sz="0" w:space="0" w:color="auto"/>
        <w:right w:val="none" w:sz="0" w:space="0" w:color="auto"/>
      </w:divBdr>
    </w:div>
    <w:div w:id="707490010">
      <w:bodyDiv w:val="1"/>
      <w:marLeft w:val="0"/>
      <w:marRight w:val="0"/>
      <w:marTop w:val="0"/>
      <w:marBottom w:val="0"/>
      <w:divBdr>
        <w:top w:val="none" w:sz="0" w:space="0" w:color="auto"/>
        <w:left w:val="none" w:sz="0" w:space="0" w:color="auto"/>
        <w:bottom w:val="none" w:sz="0" w:space="0" w:color="auto"/>
        <w:right w:val="none" w:sz="0" w:space="0" w:color="auto"/>
      </w:divBdr>
    </w:div>
    <w:div w:id="783959702">
      <w:bodyDiv w:val="1"/>
      <w:marLeft w:val="0"/>
      <w:marRight w:val="0"/>
      <w:marTop w:val="0"/>
      <w:marBottom w:val="0"/>
      <w:divBdr>
        <w:top w:val="none" w:sz="0" w:space="0" w:color="auto"/>
        <w:left w:val="none" w:sz="0" w:space="0" w:color="auto"/>
        <w:bottom w:val="none" w:sz="0" w:space="0" w:color="auto"/>
        <w:right w:val="none" w:sz="0" w:space="0" w:color="auto"/>
      </w:divBdr>
    </w:div>
    <w:div w:id="877401175">
      <w:bodyDiv w:val="1"/>
      <w:marLeft w:val="0"/>
      <w:marRight w:val="0"/>
      <w:marTop w:val="0"/>
      <w:marBottom w:val="0"/>
      <w:divBdr>
        <w:top w:val="none" w:sz="0" w:space="0" w:color="auto"/>
        <w:left w:val="none" w:sz="0" w:space="0" w:color="auto"/>
        <w:bottom w:val="none" w:sz="0" w:space="0" w:color="auto"/>
        <w:right w:val="none" w:sz="0" w:space="0" w:color="auto"/>
      </w:divBdr>
    </w:div>
    <w:div w:id="1330869026">
      <w:bodyDiv w:val="1"/>
      <w:marLeft w:val="0"/>
      <w:marRight w:val="0"/>
      <w:marTop w:val="0"/>
      <w:marBottom w:val="0"/>
      <w:divBdr>
        <w:top w:val="none" w:sz="0" w:space="0" w:color="auto"/>
        <w:left w:val="none" w:sz="0" w:space="0" w:color="auto"/>
        <w:bottom w:val="none" w:sz="0" w:space="0" w:color="auto"/>
        <w:right w:val="none" w:sz="0" w:space="0" w:color="auto"/>
      </w:divBdr>
    </w:div>
    <w:div w:id="20048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24AC7-A3B2-4690-9EEE-7C953982109A}">
  <ds:schemaRefs>
    <ds:schemaRef ds:uri="http://schemas.microsoft.com/sharepoint/v3/contenttype/forms"/>
  </ds:schemaRefs>
</ds:datastoreItem>
</file>

<file path=customXml/itemProps2.xml><?xml version="1.0" encoding="utf-8"?>
<ds:datastoreItem xmlns:ds="http://schemas.openxmlformats.org/officeDocument/2006/customXml" ds:itemID="{9C56E8D9-3982-4342-9128-113489F2540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2302392-1736-4299-B2B0-6A425A6EFBF8}">
  <ds:schemaRefs>
    <ds:schemaRef ds:uri="http://schemas.openxmlformats.org/officeDocument/2006/bibliography"/>
  </ds:schemaRefs>
</ds:datastoreItem>
</file>

<file path=customXml/itemProps4.xml><?xml version="1.0" encoding="utf-8"?>
<ds:datastoreItem xmlns:ds="http://schemas.openxmlformats.org/officeDocument/2006/customXml" ds:itemID="{A7E48C63-08B2-4769-BE2B-7016A8C63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2892</Words>
  <Characters>15910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Martin Rojas Mejia</cp:lastModifiedBy>
  <cp:revision>2</cp:revision>
  <dcterms:created xsi:type="dcterms:W3CDTF">2022-04-07T16:07:00Z</dcterms:created>
  <dcterms:modified xsi:type="dcterms:W3CDTF">2022-04-07T16:07:00Z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