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2876F" w14:textId="77777777" w:rsidR="001241ED" w:rsidRDefault="001241ED" w:rsidP="001241ED">
      <w:pPr>
        <w:jc w:val="both"/>
        <w:rPr>
          <w:rFonts w:ascii="Arial" w:hAnsi="Arial" w:cs="Arial"/>
          <w:b/>
          <w:sz w:val="22"/>
          <w:szCs w:val="22"/>
          <w:lang w:val="es-ES_tradnl" w:eastAsia="es-ES"/>
        </w:rPr>
      </w:pPr>
    </w:p>
    <w:p w14:paraId="1ED2660C" w14:textId="77777777" w:rsidR="001241ED" w:rsidRDefault="001241ED" w:rsidP="001241ED">
      <w:pPr>
        <w:jc w:val="both"/>
        <w:rPr>
          <w:rFonts w:ascii="Arial" w:hAnsi="Arial" w:cs="Arial"/>
          <w:b/>
          <w:sz w:val="22"/>
          <w:szCs w:val="22"/>
          <w:lang w:val="es-ES_tradnl" w:eastAsia="es-ES"/>
        </w:rPr>
      </w:pPr>
    </w:p>
    <w:p w14:paraId="08A1A119" w14:textId="77777777" w:rsidR="001241ED" w:rsidRPr="009C6B45" w:rsidRDefault="001241ED" w:rsidP="001241ED">
      <w:pPr>
        <w:jc w:val="both"/>
        <w:rPr>
          <w:rFonts w:ascii="Arial" w:hAnsi="Arial" w:cs="Arial"/>
          <w:b/>
          <w:sz w:val="22"/>
          <w:szCs w:val="22"/>
          <w:lang w:val="es-ES_tradnl" w:eastAsia="es-ES"/>
        </w:rPr>
      </w:pPr>
      <w:r w:rsidRPr="009C6B45">
        <w:rPr>
          <w:rFonts w:ascii="Arial" w:hAnsi="Arial" w:cs="Arial"/>
          <w:b/>
          <w:sz w:val="22"/>
          <w:szCs w:val="22"/>
          <w:lang w:val="es-ES_tradnl" w:eastAsia="es-ES"/>
        </w:rPr>
        <w:t xml:space="preserve">LIQUIDACIÓN DEL CONTRATO </w:t>
      </w:r>
      <w:r>
        <w:rPr>
          <w:rFonts w:ascii="Arial" w:hAnsi="Arial" w:cs="Arial"/>
          <w:b/>
          <w:sz w:val="22"/>
          <w:szCs w:val="22"/>
          <w:lang w:val="es-ES_tradnl" w:eastAsia="es-ES"/>
        </w:rPr>
        <w:t>–</w:t>
      </w:r>
      <w:r w:rsidRPr="009C6B45">
        <w:rPr>
          <w:rFonts w:ascii="Arial" w:hAnsi="Arial" w:cs="Arial"/>
          <w:b/>
          <w:sz w:val="22"/>
          <w:szCs w:val="22"/>
          <w:lang w:val="es-ES_tradnl" w:eastAsia="es-ES"/>
        </w:rPr>
        <w:t xml:space="preserve"> Definición – Objetivo </w:t>
      </w:r>
    </w:p>
    <w:p w14:paraId="3BADF22E" w14:textId="77777777" w:rsidR="001241ED" w:rsidRPr="009C6B45" w:rsidRDefault="001241ED" w:rsidP="001241ED">
      <w:pPr>
        <w:jc w:val="both"/>
        <w:rPr>
          <w:rFonts w:ascii="Arial" w:hAnsi="Arial" w:cs="Arial"/>
          <w:b/>
          <w:sz w:val="16"/>
          <w:szCs w:val="16"/>
          <w:lang w:val="es-ES_tradnl" w:eastAsia="es-ES"/>
        </w:rPr>
      </w:pPr>
    </w:p>
    <w:p w14:paraId="1B30AE19" w14:textId="77777777" w:rsidR="001241ED" w:rsidRPr="009C6B45" w:rsidRDefault="001241ED" w:rsidP="001241ED">
      <w:pPr>
        <w:jc w:val="both"/>
        <w:rPr>
          <w:rFonts w:ascii="Arial" w:hAnsi="Arial" w:cs="Arial"/>
          <w:sz w:val="20"/>
          <w:szCs w:val="20"/>
          <w:lang w:val="es-ES_tradnl" w:eastAsia="es-ES"/>
        </w:rPr>
      </w:pPr>
      <w:r w:rsidRPr="00056F52">
        <w:rPr>
          <w:rFonts w:ascii="Arial" w:hAnsi="Arial" w:cs="Arial"/>
          <w:sz w:val="20"/>
          <w:szCs w:val="20"/>
          <w:lang w:val="es-ES_tradnl" w:eastAsia="es-ES"/>
        </w:rPr>
        <w:t xml:space="preserve">La liquidación es el momento en el cual, una vez concluido el contrato estatal, las partes cruzan cuentas respecto de sus obligaciones. El objetivo de la liquidación es determinar si las partes pueden declararse a paz y salvo mutuo, o si existen obligaciones por cumplir, y con ocasión de aquella se puede acordar la forma en que deben ser cumplidas. </w:t>
      </w:r>
    </w:p>
    <w:p w14:paraId="3593B153" w14:textId="77777777" w:rsidR="001241ED" w:rsidRPr="009C6B45" w:rsidRDefault="001241ED" w:rsidP="001241ED">
      <w:pPr>
        <w:jc w:val="both"/>
        <w:rPr>
          <w:rFonts w:ascii="Arial" w:hAnsi="Arial" w:cs="Arial"/>
          <w:sz w:val="20"/>
          <w:szCs w:val="20"/>
          <w:lang w:val="es-ES_tradnl" w:eastAsia="es-ES"/>
        </w:rPr>
      </w:pPr>
    </w:p>
    <w:p w14:paraId="7E06987D" w14:textId="77777777" w:rsidR="001241ED" w:rsidRPr="009C6B45" w:rsidRDefault="001241ED" w:rsidP="001241ED">
      <w:pPr>
        <w:jc w:val="both"/>
        <w:rPr>
          <w:rFonts w:ascii="Arial" w:hAnsi="Arial" w:cs="Arial"/>
          <w:b/>
          <w:sz w:val="22"/>
          <w:szCs w:val="22"/>
          <w:lang w:val="es-ES_tradnl" w:eastAsia="es-ES"/>
        </w:rPr>
      </w:pPr>
      <w:r w:rsidRPr="009C6B45">
        <w:rPr>
          <w:rFonts w:ascii="Arial" w:hAnsi="Arial" w:cs="Arial"/>
          <w:b/>
          <w:sz w:val="22"/>
          <w:szCs w:val="22"/>
          <w:lang w:val="es-ES_tradnl" w:eastAsia="es-ES"/>
        </w:rPr>
        <w:t xml:space="preserve">LIQUIDACIÓN DEL CONTRATO – Normativa </w:t>
      </w:r>
    </w:p>
    <w:p w14:paraId="5E14DD5B" w14:textId="77777777" w:rsidR="001241ED" w:rsidRPr="009C6B45" w:rsidRDefault="001241ED" w:rsidP="001241ED">
      <w:pPr>
        <w:jc w:val="both"/>
        <w:rPr>
          <w:rFonts w:ascii="Arial" w:hAnsi="Arial" w:cs="Arial"/>
          <w:sz w:val="20"/>
          <w:szCs w:val="20"/>
          <w:lang w:val="es-ES_tradnl" w:eastAsia="es-ES"/>
        </w:rPr>
      </w:pPr>
    </w:p>
    <w:p w14:paraId="617CE644" w14:textId="77777777" w:rsidR="001241ED" w:rsidRPr="009C6B45" w:rsidRDefault="001241ED" w:rsidP="001241ED">
      <w:pPr>
        <w:jc w:val="both"/>
        <w:rPr>
          <w:rFonts w:ascii="Arial" w:hAnsi="Arial" w:cs="Arial"/>
          <w:sz w:val="20"/>
          <w:szCs w:val="20"/>
          <w:lang w:val="es-ES_tradnl" w:eastAsia="es-ES"/>
        </w:rPr>
      </w:pPr>
      <w:r w:rsidRPr="00056F52">
        <w:rPr>
          <w:rFonts w:ascii="Arial" w:hAnsi="Arial" w:cs="Arial"/>
          <w:sz w:val="20"/>
          <w:szCs w:val="20"/>
          <w:lang w:val="es-ES_tradnl" w:eastAsia="es-ES"/>
        </w:rPr>
        <w:t xml:space="preserve">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mientras que el segundo contiene reglas procedimentales para su manejo. </w:t>
      </w:r>
    </w:p>
    <w:p w14:paraId="0F9AA25C" w14:textId="77777777" w:rsidR="001241ED" w:rsidRPr="009C6B45" w:rsidRDefault="001241ED" w:rsidP="001241ED">
      <w:pPr>
        <w:jc w:val="both"/>
        <w:rPr>
          <w:rFonts w:ascii="Arial" w:hAnsi="Arial" w:cs="Arial"/>
          <w:sz w:val="20"/>
          <w:szCs w:val="20"/>
          <w:lang w:val="es-ES_tradnl" w:eastAsia="es-ES"/>
        </w:rPr>
      </w:pPr>
    </w:p>
    <w:p w14:paraId="3A536D3A" w14:textId="77777777" w:rsidR="001241ED" w:rsidRPr="009C6B45" w:rsidRDefault="001241ED" w:rsidP="001241ED">
      <w:pPr>
        <w:jc w:val="both"/>
        <w:rPr>
          <w:rFonts w:ascii="Arial" w:hAnsi="Arial" w:cs="Arial"/>
          <w:b/>
          <w:sz w:val="22"/>
          <w:szCs w:val="22"/>
          <w:lang w:val="es-ES_tradnl" w:eastAsia="es-ES"/>
        </w:rPr>
      </w:pPr>
      <w:r w:rsidRPr="009C6B45">
        <w:rPr>
          <w:rFonts w:ascii="Arial" w:hAnsi="Arial" w:cs="Arial"/>
          <w:b/>
          <w:sz w:val="22"/>
          <w:szCs w:val="22"/>
          <w:lang w:val="es-ES_tradnl" w:eastAsia="es-ES"/>
        </w:rPr>
        <w:t xml:space="preserve">LIQUIDACIÓN DEL CONTRATO – Oportunidad </w:t>
      </w:r>
    </w:p>
    <w:p w14:paraId="2D9220B0" w14:textId="77777777" w:rsidR="001241ED" w:rsidRDefault="001241ED" w:rsidP="001241ED">
      <w:pPr>
        <w:jc w:val="both"/>
        <w:rPr>
          <w:rFonts w:ascii="Arial" w:hAnsi="Arial" w:cs="Arial"/>
          <w:sz w:val="20"/>
          <w:szCs w:val="20"/>
          <w:lang w:val="es-ES_tradnl" w:eastAsia="es-ES"/>
        </w:rPr>
      </w:pPr>
    </w:p>
    <w:p w14:paraId="59FCD8E0" w14:textId="77777777" w:rsidR="001241ED" w:rsidRPr="00056F52" w:rsidRDefault="001241ED" w:rsidP="001241ED">
      <w:pPr>
        <w:spacing w:after="120"/>
        <w:jc w:val="both"/>
        <w:rPr>
          <w:rFonts w:ascii="Arial" w:hAnsi="Arial" w:cs="Arial"/>
          <w:sz w:val="20"/>
          <w:szCs w:val="20"/>
          <w:lang w:val="es-ES_tradnl" w:eastAsia="es-ES"/>
        </w:rPr>
      </w:pPr>
      <w:r>
        <w:rPr>
          <w:rFonts w:ascii="Arial" w:hAnsi="Arial" w:cs="Arial"/>
          <w:sz w:val="20"/>
          <w:szCs w:val="20"/>
          <w:lang w:val="es-ES_tradnl" w:eastAsia="es-ES"/>
        </w:rPr>
        <w:t xml:space="preserve">[…] </w:t>
      </w:r>
      <w:r w:rsidRPr="00056F52">
        <w:rPr>
          <w:rFonts w:ascii="Arial" w:hAnsi="Arial" w:cs="Arial"/>
          <w:sz w:val="20"/>
          <w:szCs w:val="20"/>
          <w:lang w:val="es-ES_tradnl" w:eastAsia="es-ES"/>
        </w:rPr>
        <w:t>en ejercicio de la autonomía de la voluntad y de conformidad con los criterios de la naturaleza, objeto y plazo del contrato, la entidad puede definir en el pliego de condiciones o en el contrato el plazo para efectuar la liquidación de mutuo acuerdo. En ausencia de pacto contractual, el artículo 11 de la Ley 1150 de 2007 prevé un término supletivo de 4 meses contados desde: (i) el vencimiento del plazo previsto para la ejecución del contrato, (ii) la expedición del acto administrativo que ordene la terminación del contrato o (iii) la fecha del acuerdo que disponga la terminación del contrato.</w:t>
      </w:r>
    </w:p>
    <w:p w14:paraId="5418FA84" w14:textId="77777777" w:rsidR="001241ED" w:rsidRPr="009C6B45" w:rsidRDefault="001241ED" w:rsidP="001241ED">
      <w:pPr>
        <w:jc w:val="both"/>
        <w:rPr>
          <w:rFonts w:ascii="Arial" w:hAnsi="Arial" w:cs="Arial"/>
          <w:sz w:val="20"/>
          <w:szCs w:val="20"/>
          <w:lang w:val="es-ES_tradnl" w:eastAsia="es-ES"/>
        </w:rPr>
      </w:pPr>
      <w:r w:rsidRPr="00056F52">
        <w:rPr>
          <w:rFonts w:ascii="Arial" w:hAnsi="Arial" w:cs="Arial"/>
          <w:sz w:val="20"/>
          <w:szCs w:val="20"/>
          <w:lang w:val="es-ES_tradnl" w:eastAsia="es-ES"/>
        </w:rPr>
        <w:t>Durante este término, el contratista puede solicitar que se adelante el trámite de liquidación. Sin embargo, es responsabilidad de la entidad estatal convocarlo para adelantar la liquidación de común acuerdo o notificarlo para que se presente a la liquidación, de manera que el contrato pueda ser liquidado bilateralmente, bien sea en el plazo previsto en el pliego de condiciones, el acordado por las partes, o los cuatro meses señalados en la Ley, según corresponda. Esta liquidación bilateral puede ser total o parcial, y el documento que la contiene presta mérito ejecutivo, siempre que se satisfagan los elementos para considerarlo como tal.</w:t>
      </w:r>
    </w:p>
    <w:p w14:paraId="5D4F7E6E" w14:textId="77777777" w:rsidR="001241ED" w:rsidRPr="009C6B45" w:rsidRDefault="001241ED" w:rsidP="001241ED">
      <w:pPr>
        <w:jc w:val="both"/>
        <w:rPr>
          <w:rFonts w:ascii="Arial" w:hAnsi="Arial" w:cs="Arial"/>
          <w:sz w:val="20"/>
          <w:szCs w:val="20"/>
          <w:lang w:val="es-ES_tradnl" w:eastAsia="es-ES"/>
        </w:rPr>
      </w:pPr>
    </w:p>
    <w:p w14:paraId="4DB2320E" w14:textId="77777777" w:rsidR="001241ED" w:rsidRDefault="001241ED" w:rsidP="001241ED">
      <w:pPr>
        <w:jc w:val="both"/>
        <w:rPr>
          <w:rFonts w:ascii="Arial" w:hAnsi="Arial" w:cs="Arial"/>
          <w:b/>
          <w:sz w:val="22"/>
          <w:szCs w:val="22"/>
          <w:lang w:val="es-ES_tradnl" w:eastAsia="es-ES"/>
        </w:rPr>
      </w:pPr>
      <w:r>
        <w:rPr>
          <w:rFonts w:ascii="Arial" w:hAnsi="Arial" w:cs="Arial"/>
          <w:b/>
          <w:sz w:val="22"/>
          <w:szCs w:val="22"/>
          <w:lang w:val="es-ES_tradnl" w:eastAsia="es-ES"/>
        </w:rPr>
        <w:t>LIQUIDACIÓN DEL CONTRATO – Pérdida de competencia</w:t>
      </w:r>
    </w:p>
    <w:p w14:paraId="483712BC" w14:textId="77777777" w:rsidR="001241ED" w:rsidRDefault="001241ED" w:rsidP="001241ED">
      <w:pPr>
        <w:jc w:val="both"/>
        <w:rPr>
          <w:rFonts w:ascii="Arial" w:hAnsi="Arial" w:cs="Arial"/>
          <w:b/>
          <w:sz w:val="22"/>
          <w:szCs w:val="22"/>
          <w:lang w:val="es-ES_tradnl" w:eastAsia="es-ES"/>
        </w:rPr>
      </w:pPr>
    </w:p>
    <w:p w14:paraId="03D6935D" w14:textId="77777777" w:rsidR="001241ED" w:rsidRPr="001F520F" w:rsidRDefault="001241ED" w:rsidP="001241ED">
      <w:pPr>
        <w:jc w:val="both"/>
        <w:rPr>
          <w:rFonts w:ascii="Arial" w:hAnsi="Arial" w:cs="Arial"/>
          <w:bCs/>
          <w:sz w:val="20"/>
          <w:szCs w:val="20"/>
          <w:lang w:val="es-ES_tradnl" w:eastAsia="es-ES"/>
        </w:rPr>
      </w:pPr>
      <w:r w:rsidRPr="001F520F">
        <w:rPr>
          <w:rFonts w:ascii="Arial" w:hAnsi="Arial" w:cs="Arial"/>
          <w:bCs/>
          <w:sz w:val="20"/>
          <w:szCs w:val="20"/>
          <w:lang w:val="es-ES_tradnl" w:eastAsia="es-ES"/>
        </w:rPr>
        <w:t>La demanda produce numerosos e importantes efectos jurídicos materiales que equivalen, en general, a un reforzamiento o intensificación, desde el punto de vista del actor, de una situación jurídica sustantiva.  Este reforzamiento se produce creando consecuencias que originalmente no existían, como la constitución en mora, o conservando consecuencias que existían, pero estaban en trance de desaparecer. La consecuencia típica de conservación es la que produce la presentación de la demanda, al interrumpir la prescripción. Al efecto, el Artículo 90 del Código de Procedimiento Civil, modificado por el decreto 2282 de 1989, aplicable a la presente controversia, […] Frente al vacío que se pretende colmar se hace necesario un ejercicio de integración normativa que esté mas (sic) acorde con los efectos que la legislación procesal le atribuye a la presentación de la demanda, y que no están condicionados a su notificación. Desde este enfoque, la Sala declarará que la Administración perdió competencia para liquidar el contrato en forma unilateral, a partir de la fecha en que se presentó la demanda que pretendió su liquidación judicial.»</w:t>
      </w:r>
    </w:p>
    <w:p w14:paraId="59DFFAD3" w14:textId="77777777" w:rsidR="001241ED" w:rsidRDefault="001241ED" w:rsidP="001241ED">
      <w:pPr>
        <w:jc w:val="both"/>
        <w:rPr>
          <w:rFonts w:ascii="Arial" w:hAnsi="Arial" w:cs="Arial"/>
          <w:b/>
          <w:sz w:val="22"/>
          <w:szCs w:val="22"/>
          <w:lang w:val="es-ES_tradnl" w:eastAsia="es-ES"/>
        </w:rPr>
      </w:pPr>
    </w:p>
    <w:p w14:paraId="00A658A8" w14:textId="77777777" w:rsidR="001241ED" w:rsidRPr="009C6B45" w:rsidRDefault="001241ED" w:rsidP="001241ED">
      <w:pPr>
        <w:jc w:val="both"/>
        <w:rPr>
          <w:rFonts w:ascii="Arial" w:hAnsi="Arial" w:cs="Arial"/>
          <w:b/>
          <w:sz w:val="22"/>
          <w:szCs w:val="22"/>
          <w:lang w:val="es-ES_tradnl" w:eastAsia="es-ES"/>
        </w:rPr>
      </w:pPr>
      <w:r w:rsidRPr="009C6B45">
        <w:rPr>
          <w:rFonts w:ascii="Arial" w:hAnsi="Arial" w:cs="Arial"/>
          <w:b/>
          <w:sz w:val="22"/>
          <w:szCs w:val="22"/>
          <w:lang w:val="es-ES_tradnl" w:eastAsia="es-ES"/>
        </w:rPr>
        <w:t xml:space="preserve">GARANTÍA DE CUMPLIMIENTO – Vigencia </w:t>
      </w:r>
    </w:p>
    <w:p w14:paraId="08A3DD02" w14:textId="77777777" w:rsidR="001241ED" w:rsidRPr="009C6B45" w:rsidRDefault="001241ED" w:rsidP="001241ED">
      <w:pPr>
        <w:jc w:val="both"/>
        <w:rPr>
          <w:rFonts w:ascii="Arial" w:hAnsi="Arial" w:cs="Arial"/>
          <w:sz w:val="20"/>
          <w:szCs w:val="20"/>
          <w:lang w:val="es-ES_tradnl" w:eastAsia="es-ES"/>
        </w:rPr>
      </w:pPr>
    </w:p>
    <w:p w14:paraId="11623D25" w14:textId="77777777" w:rsidR="001241ED" w:rsidRPr="009C6B45" w:rsidRDefault="001241ED" w:rsidP="001241ED">
      <w:pPr>
        <w:jc w:val="both"/>
        <w:rPr>
          <w:rFonts w:ascii="Arial" w:hAnsi="Arial" w:cs="Arial"/>
          <w:bCs/>
          <w:sz w:val="20"/>
          <w:szCs w:val="20"/>
          <w:lang w:val="es-ES_tradnl" w:eastAsia="es-ES"/>
        </w:rPr>
      </w:pPr>
      <w:r>
        <w:rPr>
          <w:rFonts w:ascii="Arial" w:hAnsi="Arial" w:cs="Arial"/>
          <w:sz w:val="20"/>
          <w:szCs w:val="20"/>
          <w:lang w:val="es-ES_tradnl" w:eastAsia="es-ES"/>
        </w:rPr>
        <w:lastRenderedPageBreak/>
        <w:t xml:space="preserve">[…] </w:t>
      </w:r>
      <w:r w:rsidRPr="001F520F">
        <w:rPr>
          <w:rFonts w:ascii="Arial" w:hAnsi="Arial" w:cs="Arial"/>
          <w:bCs/>
          <w:sz w:val="20"/>
          <w:szCs w:val="20"/>
          <w:lang w:val="es-ES_tradnl" w:eastAsia="es-ES"/>
        </w:rPr>
        <w:t>según el artículo 2.2.1.2.3.1.12. del Decreto 1082 de 2015, existe la obligación por parte del contratista de mantener la vigencia de la garantía de cumplimiento hasta la liquidación del contrato, siendo esto una estipulación normativa clara, no existe posibilidad de interpretarse de manera distinta. En este sentido, ante la no concreción de la liquidación bilateral o unilateral del contrato, para el contratista no existe otra posibilidad de, por un lado, cumplir con la previsión normativa referida, en el sentido de mantener la vigencia de la garantía de cumplimiento hasta la liquidación del contrato y, por el otro, proceder a interponer la demanda con la pretensión de liquidar judicialmente el contrato, mitigando el incremento de costos.</w:t>
      </w:r>
    </w:p>
    <w:p w14:paraId="00D061E4" w14:textId="77777777" w:rsidR="001241ED" w:rsidRDefault="001241ED" w:rsidP="001241ED">
      <w:pPr>
        <w:tabs>
          <w:tab w:val="left" w:pos="426"/>
        </w:tabs>
        <w:spacing w:line="276" w:lineRule="auto"/>
        <w:jc w:val="both"/>
        <w:rPr>
          <w:rFonts w:ascii="Arial" w:hAnsi="Arial" w:cs="Arial"/>
          <w:bCs/>
          <w:color w:val="000000" w:themeColor="text1"/>
          <w:sz w:val="21"/>
          <w:szCs w:val="21"/>
          <w:lang w:val="es-ES_tradnl"/>
        </w:rPr>
      </w:pPr>
    </w:p>
    <w:p w14:paraId="55480E74" w14:textId="77777777" w:rsidR="001241ED" w:rsidRDefault="001241ED" w:rsidP="001241ED">
      <w:pPr>
        <w:tabs>
          <w:tab w:val="left" w:pos="426"/>
        </w:tabs>
        <w:spacing w:line="276" w:lineRule="auto"/>
        <w:jc w:val="both"/>
        <w:rPr>
          <w:rFonts w:ascii="Arial" w:hAnsi="Arial" w:cs="Arial"/>
          <w:bCs/>
          <w:color w:val="000000" w:themeColor="text1"/>
          <w:sz w:val="21"/>
          <w:szCs w:val="21"/>
          <w:lang w:val="es-ES_tradnl"/>
        </w:rPr>
      </w:pPr>
    </w:p>
    <w:p w14:paraId="485F5730" w14:textId="77777777" w:rsidR="001241ED" w:rsidRDefault="001241ED" w:rsidP="001241ED">
      <w:pPr>
        <w:rPr>
          <w:rFonts w:ascii="Arial" w:hAnsi="Arial" w:cs="Arial"/>
          <w:color w:val="000000" w:themeColor="text1"/>
          <w:sz w:val="22"/>
        </w:rPr>
      </w:pPr>
      <w:r>
        <w:rPr>
          <w:rFonts w:ascii="Arial" w:hAnsi="Arial" w:cs="Arial"/>
          <w:color w:val="000000" w:themeColor="text1"/>
          <w:sz w:val="22"/>
        </w:rPr>
        <w:br w:type="page"/>
      </w:r>
    </w:p>
    <w:p w14:paraId="0CA0AE5F" w14:textId="22FEB65B" w:rsidR="001241ED" w:rsidRDefault="001241ED" w:rsidP="001241ED">
      <w:pPr>
        <w:jc w:val="right"/>
      </w:pPr>
      <w:r>
        <w:lastRenderedPageBreak/>
        <w:fldChar w:fldCharType="begin"/>
      </w:r>
      <w:r w:rsidR="00D4233B">
        <w:instrText xml:space="preserve"> INCLUDEPICTURE "C:\\var\\folders\\tb\\0fmk9b510f57pz5rwhv8lnpw0000gp\\T\\com.microsoft.Word\\WebArchiveCopyPasteTempFiles\\page1image32508144" \* MERGEFORMAT </w:instrText>
      </w:r>
      <w:r>
        <w:fldChar w:fldCharType="separate"/>
      </w:r>
      <w:r>
        <w:rPr>
          <w:noProof/>
        </w:rPr>
        <w:drawing>
          <wp:inline distT="0" distB="0" distL="0" distR="0" wp14:anchorId="1D6F9D77" wp14:editId="5DF88D5C">
            <wp:extent cx="2407285" cy="605155"/>
            <wp:effectExtent l="0" t="0" r="5715" b="4445"/>
            <wp:docPr id="4" name="Imagen 4" descr="page1image32508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25081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7285" cy="605155"/>
                    </a:xfrm>
                    <a:prstGeom prst="rect">
                      <a:avLst/>
                    </a:prstGeom>
                    <a:noFill/>
                    <a:ln>
                      <a:noFill/>
                    </a:ln>
                  </pic:spPr>
                </pic:pic>
              </a:graphicData>
            </a:graphic>
          </wp:inline>
        </w:drawing>
      </w:r>
      <w:r>
        <w:fldChar w:fldCharType="end"/>
      </w:r>
    </w:p>
    <w:p w14:paraId="0B4E3580" w14:textId="77777777" w:rsidR="001241ED" w:rsidRPr="006C15D5" w:rsidRDefault="001241ED" w:rsidP="001241ED">
      <w:pPr>
        <w:rPr>
          <w:rFonts w:ascii="Arial" w:eastAsia="Calibri" w:hAnsi="Arial" w:cs="Arial"/>
          <w:color w:val="000000" w:themeColor="text1"/>
          <w:sz w:val="22"/>
        </w:rPr>
      </w:pPr>
    </w:p>
    <w:p w14:paraId="526731D0" w14:textId="77777777" w:rsidR="001241ED" w:rsidRPr="006C15D5" w:rsidRDefault="001241ED" w:rsidP="001241ED">
      <w:pPr>
        <w:rPr>
          <w:rFonts w:ascii="Arial" w:eastAsia="Calibri" w:hAnsi="Arial" w:cs="Arial"/>
          <w:color w:val="000000" w:themeColor="text1"/>
          <w:sz w:val="22"/>
        </w:rPr>
      </w:pPr>
      <w:r w:rsidRPr="006C15D5">
        <w:rPr>
          <w:rFonts w:ascii="Arial" w:eastAsia="Calibri" w:hAnsi="Arial" w:cs="Arial"/>
          <w:color w:val="000000" w:themeColor="text1"/>
          <w:sz w:val="22"/>
        </w:rPr>
        <w:t>Señor</w:t>
      </w:r>
    </w:p>
    <w:p w14:paraId="5BEEC8E2" w14:textId="77777777" w:rsidR="001241ED" w:rsidRDefault="001241ED" w:rsidP="001241ED">
      <w:pPr>
        <w:rPr>
          <w:rFonts w:ascii="Arial" w:eastAsia="Calibri" w:hAnsi="Arial" w:cs="Arial"/>
          <w:b/>
          <w:color w:val="000000" w:themeColor="text1"/>
          <w:sz w:val="22"/>
        </w:rPr>
      </w:pPr>
      <w:r>
        <w:rPr>
          <w:rFonts w:ascii="Arial" w:eastAsia="Calibri" w:hAnsi="Arial" w:cs="Arial"/>
          <w:b/>
          <w:color w:val="000000" w:themeColor="text1"/>
          <w:sz w:val="22"/>
        </w:rPr>
        <w:t>Jhon Fredy Alvis Caviedes</w:t>
      </w:r>
    </w:p>
    <w:p w14:paraId="729D7B83" w14:textId="77777777" w:rsidR="001241ED" w:rsidRPr="006C15D5" w:rsidRDefault="001241ED" w:rsidP="001241ED">
      <w:pPr>
        <w:rPr>
          <w:rFonts w:ascii="Arial" w:eastAsia="Calibri" w:hAnsi="Arial" w:cs="Arial"/>
          <w:color w:val="000000" w:themeColor="text1"/>
          <w:sz w:val="22"/>
        </w:rPr>
      </w:pPr>
      <w:r>
        <w:rPr>
          <w:rFonts w:ascii="Arial" w:eastAsia="Calibri" w:hAnsi="Arial" w:cs="Arial"/>
          <w:bCs/>
          <w:color w:val="000000" w:themeColor="text1"/>
          <w:sz w:val="22"/>
        </w:rPr>
        <w:t xml:space="preserve">Medellín, Antioquia </w:t>
      </w:r>
    </w:p>
    <w:p w14:paraId="1E9842A2" w14:textId="77777777" w:rsidR="001241ED" w:rsidRDefault="001241ED" w:rsidP="001241ED">
      <w:pPr>
        <w:rPr>
          <w:rFonts w:ascii="Arial" w:eastAsia="Calibri" w:hAnsi="Arial" w:cs="Arial"/>
          <w:color w:val="000000" w:themeColor="text1"/>
          <w:sz w:val="22"/>
        </w:rPr>
      </w:pPr>
    </w:p>
    <w:p w14:paraId="52410602" w14:textId="77777777" w:rsidR="001241ED" w:rsidRPr="006C15D5" w:rsidRDefault="001241ED" w:rsidP="001241ED">
      <w:pPr>
        <w:rPr>
          <w:rFonts w:ascii="Arial" w:eastAsia="Calibri" w:hAnsi="Arial" w:cs="Arial"/>
          <w:color w:val="000000" w:themeColor="text1"/>
          <w:sz w:val="22"/>
        </w:rPr>
      </w:pPr>
    </w:p>
    <w:p w14:paraId="23906DAB" w14:textId="77777777" w:rsidR="001241ED" w:rsidRPr="006C15D5" w:rsidRDefault="001241ED" w:rsidP="001241ED">
      <w:pPr>
        <w:ind w:firstLine="2552"/>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Pr>
          <w:rFonts w:ascii="Arial" w:eastAsia="Calibri" w:hAnsi="Arial" w:cs="Arial"/>
          <w:b/>
          <w:color w:val="000000" w:themeColor="text1"/>
          <w:sz w:val="22"/>
        </w:rPr>
        <w:t xml:space="preserve">078 </w:t>
      </w:r>
      <w:r w:rsidRPr="00BF3AEF">
        <w:rPr>
          <w:rFonts w:ascii="Arial" w:eastAsia="Calibri" w:hAnsi="Arial" w:cs="Arial"/>
          <w:b/>
          <w:color w:val="000000" w:themeColor="text1"/>
          <w:sz w:val="22"/>
        </w:rPr>
        <w:t>de 202</w:t>
      </w:r>
      <w:r>
        <w:rPr>
          <w:rFonts w:ascii="Arial" w:eastAsia="Calibri" w:hAnsi="Arial" w:cs="Arial"/>
          <w:b/>
          <w:color w:val="000000" w:themeColor="text1"/>
          <w:sz w:val="22"/>
        </w:rPr>
        <w:t>1</w:t>
      </w:r>
    </w:p>
    <w:p w14:paraId="76CC0505" w14:textId="77777777" w:rsidR="001241ED" w:rsidRPr="006C15D5" w:rsidRDefault="001241ED" w:rsidP="001241ED">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1241ED" w:rsidRPr="00E96F75" w14:paraId="751D8E25" w14:textId="77777777" w:rsidTr="0023340F">
        <w:tc>
          <w:tcPr>
            <w:tcW w:w="2552" w:type="dxa"/>
            <w:hideMark/>
          </w:tcPr>
          <w:p w14:paraId="0BE99119" w14:textId="77777777" w:rsidR="001241ED" w:rsidRPr="006C15D5" w:rsidRDefault="001241ED" w:rsidP="0023340F">
            <w:pPr>
              <w:rPr>
                <w:rFonts w:ascii="Arial" w:eastAsia="Calibri" w:hAnsi="Arial" w:cs="Arial"/>
                <w:color w:val="000000" w:themeColor="text1"/>
              </w:rPr>
            </w:pPr>
            <w:r w:rsidRPr="006C15D5">
              <w:rPr>
                <w:rFonts w:ascii="Arial" w:eastAsia="Calibri" w:hAnsi="Arial" w:cs="Arial"/>
                <w:b/>
                <w:color w:val="000000" w:themeColor="text1"/>
              </w:rPr>
              <w:t>Temas:</w:t>
            </w:r>
            <w:r w:rsidRPr="006C15D5">
              <w:rPr>
                <w:rFonts w:ascii="Arial" w:eastAsia="Calibri" w:hAnsi="Arial" w:cs="Arial"/>
                <w:color w:val="000000" w:themeColor="text1"/>
              </w:rPr>
              <w:t xml:space="preserve">           </w:t>
            </w:r>
          </w:p>
          <w:p w14:paraId="1A701E5D" w14:textId="77777777" w:rsidR="001241ED" w:rsidRPr="006C15D5" w:rsidRDefault="001241ED" w:rsidP="0023340F">
            <w:pPr>
              <w:rPr>
                <w:rFonts w:ascii="Arial" w:eastAsia="Calibri" w:hAnsi="Arial" w:cs="Arial"/>
                <w:color w:val="000000" w:themeColor="text1"/>
              </w:rPr>
            </w:pPr>
            <w:r w:rsidRPr="006C15D5">
              <w:rPr>
                <w:rFonts w:ascii="Arial" w:eastAsia="Calibri" w:hAnsi="Arial" w:cs="Arial"/>
                <w:color w:val="000000" w:themeColor="text1"/>
              </w:rPr>
              <w:t xml:space="preserve">                           </w:t>
            </w:r>
          </w:p>
        </w:tc>
        <w:tc>
          <w:tcPr>
            <w:tcW w:w="6374" w:type="dxa"/>
            <w:hideMark/>
          </w:tcPr>
          <w:p w14:paraId="5A4984B0" w14:textId="77777777" w:rsidR="001241ED" w:rsidRPr="006D4461" w:rsidRDefault="001241ED" w:rsidP="0023340F">
            <w:pPr>
              <w:jc w:val="both"/>
              <w:rPr>
                <w:rFonts w:ascii="Arial" w:hAnsi="Arial" w:cs="Arial"/>
                <w:bCs/>
                <w:lang w:val="es-ES_tradnl" w:eastAsia="es-ES"/>
              </w:rPr>
            </w:pPr>
            <w:r w:rsidRPr="006D4461">
              <w:rPr>
                <w:rFonts w:ascii="Arial" w:hAnsi="Arial" w:cs="Arial"/>
                <w:bCs/>
                <w:lang w:val="es-ES_tradnl" w:eastAsia="es-ES"/>
              </w:rPr>
              <w:t xml:space="preserve">LIQUIDACIÓN DEL CONTRATO </w:t>
            </w:r>
            <w:r>
              <w:rPr>
                <w:rFonts w:ascii="Arial" w:hAnsi="Arial" w:cs="Arial"/>
                <w:bCs/>
                <w:lang w:val="es-ES_tradnl" w:eastAsia="es-ES"/>
              </w:rPr>
              <w:t>–</w:t>
            </w:r>
            <w:r w:rsidRPr="006D4461">
              <w:rPr>
                <w:rFonts w:ascii="Arial" w:hAnsi="Arial" w:cs="Arial"/>
                <w:bCs/>
                <w:lang w:val="es-ES_tradnl" w:eastAsia="es-ES"/>
              </w:rPr>
              <w:t xml:space="preserve"> Definición – Objetivo / LIQUIDACIÓN DEL CONTRATO – Normativa / LIQUIDACIÓN DEL CONTRATO – Oportunidad / </w:t>
            </w:r>
            <w:r w:rsidRPr="001F520F">
              <w:rPr>
                <w:rFonts w:ascii="Arial" w:hAnsi="Arial" w:cs="Arial"/>
                <w:bCs/>
                <w:lang w:val="es-ES_tradnl" w:eastAsia="es-ES"/>
              </w:rPr>
              <w:t>LIQUIDACIÓN DEL CONTRATO – P</w:t>
            </w:r>
            <w:r>
              <w:rPr>
                <w:rFonts w:ascii="Arial" w:hAnsi="Arial" w:cs="Arial"/>
                <w:bCs/>
                <w:lang w:val="es-ES_tradnl" w:eastAsia="es-ES"/>
              </w:rPr>
              <w:t>é</w:t>
            </w:r>
            <w:r w:rsidRPr="001F520F">
              <w:rPr>
                <w:rFonts w:ascii="Arial" w:hAnsi="Arial" w:cs="Arial"/>
                <w:bCs/>
                <w:lang w:val="es-ES_tradnl" w:eastAsia="es-ES"/>
              </w:rPr>
              <w:t xml:space="preserve">rdida de competencia </w:t>
            </w:r>
            <w:r>
              <w:rPr>
                <w:rFonts w:ascii="Arial" w:hAnsi="Arial" w:cs="Arial"/>
                <w:bCs/>
                <w:lang w:val="es-ES_tradnl" w:eastAsia="es-ES"/>
              </w:rPr>
              <w:t xml:space="preserve">/ </w:t>
            </w:r>
            <w:r w:rsidRPr="006D4461">
              <w:rPr>
                <w:rFonts w:ascii="Arial" w:hAnsi="Arial" w:cs="Arial"/>
                <w:bCs/>
                <w:lang w:val="es-ES_tradnl" w:eastAsia="es-ES"/>
              </w:rPr>
              <w:t xml:space="preserve">GARANTÍA DE CUMPLIMIENTO – Vigencia </w:t>
            </w:r>
          </w:p>
          <w:p w14:paraId="517448E6" w14:textId="77777777" w:rsidR="001241ED" w:rsidRPr="006D4461" w:rsidRDefault="001241ED" w:rsidP="0023340F">
            <w:pPr>
              <w:spacing w:line="276" w:lineRule="auto"/>
              <w:jc w:val="both"/>
              <w:rPr>
                <w:rFonts w:ascii="Arial" w:eastAsia="Calibri" w:hAnsi="Arial" w:cs="Arial"/>
                <w:bCs/>
                <w:color w:val="000000" w:themeColor="text1"/>
                <w:lang w:val="es-ES_tradnl"/>
              </w:rPr>
            </w:pPr>
          </w:p>
        </w:tc>
      </w:tr>
      <w:tr w:rsidR="001241ED" w:rsidRPr="00E96F75" w14:paraId="026C2A9D" w14:textId="77777777" w:rsidTr="0023340F">
        <w:tc>
          <w:tcPr>
            <w:tcW w:w="2552" w:type="dxa"/>
          </w:tcPr>
          <w:p w14:paraId="09E3258B" w14:textId="77777777" w:rsidR="001241ED" w:rsidRPr="006C15D5" w:rsidRDefault="001241ED" w:rsidP="0023340F">
            <w:pPr>
              <w:spacing w:before="120"/>
              <w:rPr>
                <w:rFonts w:ascii="Arial" w:eastAsia="Calibri" w:hAnsi="Arial" w:cs="Arial"/>
                <w:b/>
                <w:color w:val="000000" w:themeColor="text1"/>
              </w:rPr>
            </w:pPr>
            <w:r w:rsidRPr="006C15D5">
              <w:rPr>
                <w:rFonts w:ascii="Arial" w:eastAsia="Calibri" w:hAnsi="Arial" w:cs="Arial"/>
                <w:b/>
                <w:color w:val="000000" w:themeColor="text1"/>
              </w:rPr>
              <w:t>Radicación:</w:t>
            </w:r>
            <w:r w:rsidRPr="006C15D5">
              <w:rPr>
                <w:rFonts w:ascii="Arial" w:eastAsia="Calibri" w:hAnsi="Arial" w:cs="Arial"/>
                <w:color w:val="000000" w:themeColor="text1"/>
              </w:rPr>
              <w:t xml:space="preserve">                              </w:t>
            </w:r>
          </w:p>
        </w:tc>
        <w:tc>
          <w:tcPr>
            <w:tcW w:w="6374" w:type="dxa"/>
          </w:tcPr>
          <w:p w14:paraId="6A2401F6" w14:textId="77777777" w:rsidR="001241ED" w:rsidRPr="00E96F75" w:rsidRDefault="001241ED" w:rsidP="0023340F">
            <w:pPr>
              <w:spacing w:before="120"/>
              <w:jc w:val="both"/>
              <w:rPr>
                <w:rFonts w:ascii="Arial" w:eastAsia="Calibri" w:hAnsi="Arial" w:cs="Arial"/>
                <w:bCs/>
                <w:color w:val="000000" w:themeColor="text1"/>
              </w:rPr>
            </w:pPr>
            <w:r w:rsidRPr="00E96F75">
              <w:rPr>
                <w:rFonts w:ascii="Arial" w:eastAsia="Calibri" w:hAnsi="Arial" w:cs="Arial"/>
                <w:bCs/>
                <w:color w:val="000000" w:themeColor="text1"/>
              </w:rPr>
              <w:t>Respuesta a consulta P2021</w:t>
            </w:r>
            <w:r>
              <w:rPr>
                <w:rFonts w:ascii="Arial" w:eastAsia="Calibri" w:hAnsi="Arial" w:cs="Arial"/>
                <w:bCs/>
                <w:color w:val="000000" w:themeColor="text1"/>
              </w:rPr>
              <w:t>0203000878</w:t>
            </w:r>
          </w:p>
        </w:tc>
      </w:tr>
      <w:tr w:rsidR="001241ED" w:rsidRPr="003F6D32" w14:paraId="4FE3CC41" w14:textId="77777777" w:rsidTr="0023340F">
        <w:trPr>
          <w:trHeight w:val="80"/>
        </w:trPr>
        <w:tc>
          <w:tcPr>
            <w:tcW w:w="2552" w:type="dxa"/>
          </w:tcPr>
          <w:p w14:paraId="0AAB8043" w14:textId="77777777" w:rsidR="001241ED" w:rsidRPr="006C15D5" w:rsidRDefault="001241ED" w:rsidP="0023340F">
            <w:pPr>
              <w:spacing w:before="120"/>
              <w:rPr>
                <w:rFonts w:ascii="Arial" w:eastAsia="Calibri" w:hAnsi="Arial" w:cs="Arial"/>
                <w:b/>
                <w:color w:val="000000" w:themeColor="text1"/>
              </w:rPr>
            </w:pPr>
          </w:p>
        </w:tc>
        <w:tc>
          <w:tcPr>
            <w:tcW w:w="6374" w:type="dxa"/>
          </w:tcPr>
          <w:p w14:paraId="706438CC" w14:textId="77777777" w:rsidR="001241ED" w:rsidRPr="006C15D5" w:rsidRDefault="001241ED" w:rsidP="0023340F">
            <w:pPr>
              <w:spacing w:before="120"/>
              <w:jc w:val="both"/>
              <w:rPr>
                <w:rFonts w:ascii="Arial" w:eastAsia="Calibri" w:hAnsi="Arial" w:cs="Arial"/>
                <w:color w:val="000000" w:themeColor="text1"/>
              </w:rPr>
            </w:pPr>
          </w:p>
        </w:tc>
      </w:tr>
    </w:tbl>
    <w:p w14:paraId="711FC8BB" w14:textId="77777777" w:rsidR="001241ED" w:rsidRPr="006C15D5" w:rsidRDefault="001241ED" w:rsidP="001241ED">
      <w:pPr>
        <w:jc w:val="both"/>
        <w:rPr>
          <w:rFonts w:ascii="Arial" w:eastAsia="Calibri" w:hAnsi="Arial" w:cs="Arial"/>
          <w:color w:val="000000" w:themeColor="text1"/>
          <w:sz w:val="22"/>
        </w:rPr>
      </w:pPr>
    </w:p>
    <w:p w14:paraId="6B649615" w14:textId="77777777" w:rsidR="001241ED" w:rsidRPr="006C15D5" w:rsidRDefault="001241ED" w:rsidP="001241ED">
      <w:pPr>
        <w:rPr>
          <w:rFonts w:ascii="Arial" w:eastAsia="Calibri" w:hAnsi="Arial" w:cs="Arial"/>
          <w:color w:val="000000" w:themeColor="text1"/>
          <w:sz w:val="22"/>
        </w:rPr>
      </w:pPr>
      <w:r w:rsidRPr="006C15D5">
        <w:rPr>
          <w:rFonts w:ascii="Arial" w:eastAsia="Calibri" w:hAnsi="Arial" w:cs="Arial"/>
          <w:color w:val="000000" w:themeColor="text1"/>
          <w:sz w:val="22"/>
        </w:rPr>
        <w:t>Estima</w:t>
      </w:r>
      <w:r>
        <w:rPr>
          <w:rFonts w:ascii="Arial" w:eastAsia="Calibri" w:hAnsi="Arial" w:cs="Arial"/>
          <w:color w:val="000000" w:themeColor="text1"/>
          <w:sz w:val="22"/>
        </w:rPr>
        <w:t>do señor Alvis</w:t>
      </w:r>
      <w:r w:rsidRPr="006C15D5">
        <w:rPr>
          <w:rFonts w:ascii="Arial" w:eastAsia="Calibri" w:hAnsi="Arial" w:cs="Arial"/>
          <w:color w:val="000000" w:themeColor="text1"/>
          <w:sz w:val="22"/>
        </w:rPr>
        <w:t>:</w:t>
      </w:r>
    </w:p>
    <w:p w14:paraId="0CDE900E" w14:textId="77777777" w:rsidR="001241ED" w:rsidRPr="006C15D5" w:rsidRDefault="001241ED" w:rsidP="001241ED">
      <w:pPr>
        <w:rPr>
          <w:rFonts w:ascii="Arial" w:eastAsia="Calibri" w:hAnsi="Arial" w:cs="Arial"/>
          <w:color w:val="000000" w:themeColor="text1"/>
          <w:sz w:val="22"/>
        </w:rPr>
      </w:pPr>
    </w:p>
    <w:p w14:paraId="51491644" w14:textId="77777777" w:rsidR="001241ED" w:rsidRPr="006C15D5" w:rsidRDefault="001241ED" w:rsidP="001241ED">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Pr>
          <w:rFonts w:ascii="Arial" w:eastAsia="Calibri" w:hAnsi="Arial" w:cs="Arial"/>
          <w:color w:val="000000" w:themeColor="text1"/>
          <w:sz w:val="22"/>
        </w:rPr>
        <w:t xml:space="preserve">3 de febrero de 2021. </w:t>
      </w:r>
    </w:p>
    <w:p w14:paraId="7BE81CD8" w14:textId="77777777" w:rsidR="001241ED" w:rsidRPr="006C15D5" w:rsidRDefault="001241ED" w:rsidP="001241ED">
      <w:pPr>
        <w:spacing w:line="276" w:lineRule="auto"/>
        <w:jc w:val="both"/>
        <w:rPr>
          <w:rFonts w:ascii="Arial" w:eastAsia="Calibri" w:hAnsi="Arial" w:cs="Arial"/>
          <w:color w:val="000000" w:themeColor="text1"/>
          <w:sz w:val="22"/>
        </w:rPr>
      </w:pPr>
    </w:p>
    <w:p w14:paraId="12A78B20" w14:textId="77777777" w:rsidR="001241ED" w:rsidRPr="00F61ACC" w:rsidRDefault="001241ED" w:rsidP="001241ED">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Problema</w:t>
      </w:r>
      <w:r>
        <w:rPr>
          <w:rFonts w:ascii="Arial" w:eastAsia="Calibri" w:hAnsi="Arial" w:cs="Arial"/>
          <w:b/>
          <w:color w:val="000000" w:themeColor="text1"/>
          <w:sz w:val="22"/>
        </w:rPr>
        <w:t xml:space="preserve"> </w:t>
      </w:r>
      <w:r w:rsidRPr="006C15D5">
        <w:rPr>
          <w:rFonts w:ascii="Arial" w:eastAsia="Calibri" w:hAnsi="Arial" w:cs="Arial"/>
          <w:b/>
          <w:color w:val="000000" w:themeColor="text1"/>
          <w:sz w:val="22"/>
        </w:rPr>
        <w:t xml:space="preserve">planteado </w:t>
      </w:r>
    </w:p>
    <w:p w14:paraId="4090F975" w14:textId="77777777" w:rsidR="001241ED" w:rsidRDefault="001241ED" w:rsidP="001241ED">
      <w:pPr>
        <w:autoSpaceDE w:val="0"/>
        <w:autoSpaceDN w:val="0"/>
        <w:adjustRightInd w:val="0"/>
        <w:spacing w:line="276" w:lineRule="auto"/>
        <w:jc w:val="both"/>
        <w:rPr>
          <w:rFonts w:ascii="Arial" w:eastAsia="Calibri" w:hAnsi="Arial" w:cs="Arial"/>
          <w:color w:val="000000" w:themeColor="text1"/>
          <w:sz w:val="22"/>
        </w:rPr>
      </w:pPr>
    </w:p>
    <w:p w14:paraId="14BEC523" w14:textId="77777777" w:rsidR="001241ED" w:rsidRPr="00916949" w:rsidRDefault="001241ED" w:rsidP="001241ED">
      <w:pPr>
        <w:spacing w:line="276" w:lineRule="auto"/>
        <w:jc w:val="both"/>
        <w:rPr>
          <w:rFonts w:ascii="Arial" w:hAnsi="Arial" w:cs="Arial"/>
          <w:sz w:val="22"/>
          <w:szCs w:val="22"/>
        </w:rPr>
      </w:pPr>
      <w:r w:rsidRPr="00C56D20">
        <w:rPr>
          <w:rFonts w:ascii="Arial" w:eastAsia="Calibri" w:hAnsi="Arial" w:cs="Arial"/>
          <w:color w:val="000000" w:themeColor="text1"/>
          <w:sz w:val="22"/>
        </w:rPr>
        <w:t>Usted realiza la siguiente</w:t>
      </w:r>
      <w:r>
        <w:rPr>
          <w:rFonts w:ascii="Arial" w:eastAsia="Calibri" w:hAnsi="Arial" w:cs="Arial"/>
          <w:color w:val="000000" w:themeColor="text1"/>
          <w:sz w:val="22"/>
        </w:rPr>
        <w:t xml:space="preserve"> </w:t>
      </w:r>
      <w:r w:rsidRPr="00C56D20">
        <w:rPr>
          <w:rFonts w:ascii="Arial" w:eastAsia="Calibri" w:hAnsi="Arial" w:cs="Arial"/>
          <w:color w:val="000000" w:themeColor="text1"/>
          <w:sz w:val="22"/>
        </w:rPr>
        <w:t>pregun</w:t>
      </w:r>
      <w:r w:rsidRPr="005852AA">
        <w:rPr>
          <w:rFonts w:ascii="Arial" w:eastAsia="Calibri" w:hAnsi="Arial" w:cs="Arial"/>
          <w:color w:val="000000" w:themeColor="text1"/>
          <w:sz w:val="22"/>
          <w:szCs w:val="22"/>
        </w:rPr>
        <w:t xml:space="preserve">ta: </w:t>
      </w:r>
      <w:r w:rsidRPr="00916949">
        <w:rPr>
          <w:rFonts w:ascii="Arial" w:eastAsia="Calibri" w:hAnsi="Arial" w:cs="Arial"/>
          <w:color w:val="000000" w:themeColor="text1"/>
          <w:sz w:val="22"/>
          <w:szCs w:val="22"/>
          <w:lang w:val="es-ES"/>
        </w:rPr>
        <w:t>«</w:t>
      </w:r>
      <w:r w:rsidRPr="00916949">
        <w:rPr>
          <w:rFonts w:ascii="Arial" w:hAnsi="Arial" w:cs="Arial"/>
          <w:color w:val="000000" w:themeColor="text1"/>
          <w:sz w:val="22"/>
          <w:szCs w:val="22"/>
          <w:lang w:val="es-ES"/>
        </w:rPr>
        <w:t>¿</w:t>
      </w:r>
      <w:r w:rsidRPr="00916949">
        <w:rPr>
          <w:rFonts w:ascii="Arial" w:hAnsi="Arial" w:cs="Arial"/>
          <w:sz w:val="22"/>
          <w:szCs w:val="22"/>
        </w:rPr>
        <w:t>Es legalmente posible exigir al contratista la asunción del costo que genera la ampliación de la vigencia del amparo de cumplimiento, a pesar de que por causas ajenas a su voluntad y atribuibles a la entidad contra</w:t>
      </w:r>
      <w:r>
        <w:rPr>
          <w:rFonts w:ascii="Arial" w:hAnsi="Arial" w:cs="Arial"/>
          <w:sz w:val="22"/>
          <w:szCs w:val="22"/>
        </w:rPr>
        <w:t>ta</w:t>
      </w:r>
      <w:r w:rsidRPr="00916949">
        <w:rPr>
          <w:rFonts w:ascii="Arial" w:hAnsi="Arial" w:cs="Arial"/>
          <w:sz w:val="22"/>
          <w:szCs w:val="22"/>
        </w:rPr>
        <w:t>nte, no se logr</w:t>
      </w:r>
      <w:r>
        <w:rPr>
          <w:rFonts w:ascii="Arial" w:hAnsi="Arial" w:cs="Arial"/>
          <w:sz w:val="22"/>
          <w:szCs w:val="22"/>
        </w:rPr>
        <w:t>ó</w:t>
      </w:r>
      <w:r w:rsidRPr="00916949">
        <w:rPr>
          <w:rFonts w:ascii="Arial" w:hAnsi="Arial" w:cs="Arial"/>
          <w:sz w:val="22"/>
          <w:szCs w:val="22"/>
        </w:rPr>
        <w:t xml:space="preserve"> la liquidación del contrato dentro de los plazos para la liquidación bilateral y unilateral</w:t>
      </w:r>
      <w:r w:rsidRPr="00916949">
        <w:rPr>
          <w:rFonts w:ascii="Arial" w:hAnsi="Arial" w:cs="Arial"/>
          <w:color w:val="000000" w:themeColor="text1"/>
          <w:sz w:val="22"/>
          <w:szCs w:val="22"/>
          <w:lang w:val="es-ES"/>
        </w:rPr>
        <w:t>?</w:t>
      </w:r>
      <w:r w:rsidRPr="00916949">
        <w:rPr>
          <w:rFonts w:ascii="Arial" w:eastAsia="Calibri" w:hAnsi="Arial" w:cs="Arial"/>
          <w:color w:val="000000" w:themeColor="text1"/>
          <w:sz w:val="22"/>
          <w:szCs w:val="22"/>
          <w:lang w:val="es-ES"/>
        </w:rPr>
        <w:t>».</w:t>
      </w:r>
    </w:p>
    <w:p w14:paraId="759D9C10" w14:textId="77777777" w:rsidR="001241ED" w:rsidRPr="00064944" w:rsidRDefault="001241ED" w:rsidP="001241ED">
      <w:pPr>
        <w:pStyle w:val="xxmsonospacing"/>
        <w:shd w:val="clear" w:color="auto" w:fill="FFFFFF"/>
        <w:spacing w:before="0" w:beforeAutospacing="0" w:after="0" w:afterAutospacing="0" w:line="276" w:lineRule="auto"/>
        <w:jc w:val="both"/>
        <w:rPr>
          <w:rFonts w:ascii="Arial" w:eastAsia="Calibri" w:hAnsi="Arial" w:cs="Arial"/>
          <w:color w:val="000000" w:themeColor="text1"/>
          <w:sz w:val="22"/>
          <w:szCs w:val="22"/>
          <w:lang w:val="es-ES"/>
        </w:rPr>
      </w:pPr>
    </w:p>
    <w:p w14:paraId="3A79158A" w14:textId="77777777" w:rsidR="001241ED" w:rsidRDefault="001241ED" w:rsidP="001241ED">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523C0F32" w14:textId="77777777" w:rsidR="001241ED" w:rsidRDefault="001241ED" w:rsidP="001241ED">
      <w:pPr>
        <w:tabs>
          <w:tab w:val="left" w:pos="426"/>
        </w:tabs>
        <w:spacing w:line="276" w:lineRule="auto"/>
        <w:jc w:val="both"/>
        <w:rPr>
          <w:rFonts w:ascii="Arial" w:eastAsia="Calibri" w:hAnsi="Arial" w:cs="Arial"/>
          <w:b/>
          <w:color w:val="000000" w:themeColor="text1"/>
          <w:sz w:val="22"/>
        </w:rPr>
      </w:pPr>
    </w:p>
    <w:p w14:paraId="651FD69D" w14:textId="77777777" w:rsidR="001241ED" w:rsidRDefault="001241ED" w:rsidP="001241ED">
      <w:pPr>
        <w:tabs>
          <w:tab w:val="left" w:pos="426"/>
        </w:tabs>
        <w:spacing w:line="276" w:lineRule="auto"/>
        <w:jc w:val="both"/>
        <w:rPr>
          <w:rFonts w:ascii="Arial" w:eastAsia="Calibri" w:hAnsi="Arial" w:cs="Arial"/>
          <w:color w:val="000000" w:themeColor="text1"/>
          <w:sz w:val="22"/>
          <w:lang w:val="es-ES_tradnl"/>
        </w:rPr>
      </w:pPr>
      <w:r w:rsidRPr="00410AF1">
        <w:rPr>
          <w:rFonts w:ascii="Arial" w:eastAsia="Calibri" w:hAnsi="Arial" w:cs="Arial"/>
          <w:bCs/>
          <w:color w:val="000000" w:themeColor="text1"/>
          <w:sz w:val="22"/>
        </w:rPr>
        <w:t>Para responder a sus interrogantes se estudiarán los siguientes t</w:t>
      </w:r>
      <w:r>
        <w:rPr>
          <w:rFonts w:ascii="Arial" w:eastAsia="Calibri" w:hAnsi="Arial" w:cs="Arial"/>
          <w:bCs/>
          <w:color w:val="000000" w:themeColor="text1"/>
          <w:sz w:val="22"/>
        </w:rPr>
        <w:t>emas</w:t>
      </w:r>
      <w:r w:rsidRPr="00410AF1">
        <w:rPr>
          <w:rFonts w:ascii="Arial" w:eastAsia="Calibri" w:hAnsi="Arial" w:cs="Arial"/>
          <w:bCs/>
          <w:color w:val="000000" w:themeColor="text1"/>
          <w:sz w:val="22"/>
        </w:rPr>
        <w:t xml:space="preserve">: i) </w:t>
      </w:r>
      <w:r>
        <w:rPr>
          <w:rFonts w:ascii="Arial" w:eastAsia="Calibri" w:hAnsi="Arial" w:cs="Arial"/>
          <w:bCs/>
          <w:color w:val="000000" w:themeColor="text1"/>
          <w:sz w:val="22"/>
        </w:rPr>
        <w:t>la liquidación</w:t>
      </w:r>
      <w:r>
        <w:rPr>
          <w:rFonts w:ascii="Arial" w:hAnsi="Arial" w:cs="Arial"/>
          <w:bCs/>
          <w:sz w:val="22"/>
          <w:lang w:val="es-ES_tradnl"/>
        </w:rPr>
        <w:t xml:space="preserve"> de los contratos estatales </w:t>
      </w:r>
      <w:r>
        <w:rPr>
          <w:rFonts w:ascii="Arial" w:eastAsia="Calibri" w:hAnsi="Arial" w:cs="Arial"/>
          <w:bCs/>
          <w:color w:val="000000" w:themeColor="text1"/>
          <w:sz w:val="22"/>
        </w:rPr>
        <w:t>y</w:t>
      </w:r>
      <w:r w:rsidRPr="00410AF1">
        <w:rPr>
          <w:rFonts w:ascii="Arial" w:eastAsia="Calibri" w:hAnsi="Arial" w:cs="Arial"/>
          <w:bCs/>
          <w:color w:val="000000" w:themeColor="text1"/>
          <w:sz w:val="22"/>
        </w:rPr>
        <w:t xml:space="preserve"> ii)</w:t>
      </w:r>
      <w:r>
        <w:rPr>
          <w:rFonts w:ascii="Arial" w:eastAsia="Calibri" w:hAnsi="Arial" w:cs="Arial"/>
          <w:bCs/>
          <w:color w:val="000000" w:themeColor="text1"/>
          <w:sz w:val="22"/>
        </w:rPr>
        <w:t xml:space="preserve"> la noción y vigencia de la</w:t>
      </w:r>
      <w:r w:rsidRPr="00410AF1">
        <w:rPr>
          <w:rFonts w:ascii="Arial" w:eastAsia="Calibri" w:hAnsi="Arial" w:cs="Arial"/>
          <w:bCs/>
          <w:color w:val="000000" w:themeColor="text1"/>
          <w:sz w:val="22"/>
        </w:rPr>
        <w:t xml:space="preserve"> </w:t>
      </w:r>
      <w:r>
        <w:rPr>
          <w:rFonts w:ascii="Arial" w:eastAsia="Calibri" w:hAnsi="Arial" w:cs="Arial"/>
          <w:bCs/>
          <w:color w:val="000000" w:themeColor="text1"/>
          <w:sz w:val="22"/>
        </w:rPr>
        <w:t xml:space="preserve">garantía de cumplimiento. </w:t>
      </w:r>
      <w:bookmarkStart w:id="0" w:name="_Hlk38448224"/>
      <w:r w:rsidRPr="00A23E33">
        <w:rPr>
          <w:rFonts w:ascii="Arial" w:hAnsi="Arial" w:cs="Arial"/>
          <w:sz w:val="22"/>
          <w:lang w:val="es-ES_tradnl"/>
        </w:rPr>
        <w:t>La Agencia Nacional de Contratación Pública – Colombia Compra Eficiente</w:t>
      </w:r>
      <w:r w:rsidRPr="00A23E33">
        <w:rPr>
          <w:rFonts w:ascii="Arial" w:hAnsi="Arial" w:cs="Arial"/>
          <w:sz w:val="22"/>
          <w:lang w:val="es-ES"/>
        </w:rPr>
        <w:t xml:space="preserve">, </w:t>
      </w:r>
      <w:r w:rsidRPr="009C6B45">
        <w:rPr>
          <w:rFonts w:ascii="Arial" w:eastAsia="Calibri" w:hAnsi="Arial" w:cs="Arial"/>
          <w:color w:val="000000" w:themeColor="text1"/>
          <w:sz w:val="22"/>
          <w:lang w:val="es-ES_tradnl"/>
        </w:rPr>
        <w:t xml:space="preserve">se pronunció sobre la liquidación </w:t>
      </w:r>
      <w:r>
        <w:rPr>
          <w:rFonts w:ascii="Arial" w:eastAsia="Calibri" w:hAnsi="Arial" w:cs="Arial"/>
          <w:color w:val="000000" w:themeColor="text1"/>
          <w:sz w:val="22"/>
          <w:lang w:val="es-ES_tradnl"/>
        </w:rPr>
        <w:t xml:space="preserve">de los contratos </w:t>
      </w:r>
      <w:r w:rsidRPr="009C6B45">
        <w:rPr>
          <w:rFonts w:ascii="Arial" w:eastAsia="Calibri" w:hAnsi="Arial" w:cs="Arial"/>
          <w:color w:val="000000" w:themeColor="text1"/>
          <w:sz w:val="22"/>
          <w:lang w:val="es-ES_tradnl"/>
        </w:rPr>
        <w:t xml:space="preserve">en </w:t>
      </w:r>
      <w:r>
        <w:rPr>
          <w:rFonts w:ascii="Arial" w:eastAsia="Calibri" w:hAnsi="Arial" w:cs="Arial"/>
          <w:color w:val="000000" w:themeColor="text1"/>
          <w:sz w:val="22"/>
          <w:lang w:val="es-ES_tradnl"/>
        </w:rPr>
        <w:t xml:space="preserve">el concepto con radicado No. 4201912000004908 del 27 de septiembre de 2019 y los conceptos con número interno </w:t>
      </w:r>
      <w:r w:rsidRPr="009C6B45">
        <w:rPr>
          <w:rFonts w:ascii="Arial" w:eastAsia="Calibri" w:hAnsi="Arial" w:cs="Arial"/>
          <w:color w:val="000000" w:themeColor="text1"/>
          <w:sz w:val="22"/>
          <w:lang w:val="es-ES_tradnl"/>
        </w:rPr>
        <w:t>CU-028 de 25 de febrero de 2020</w:t>
      </w:r>
      <w:r>
        <w:rPr>
          <w:rFonts w:ascii="Arial" w:eastAsia="Calibri" w:hAnsi="Arial" w:cs="Arial"/>
          <w:color w:val="000000" w:themeColor="text1"/>
          <w:sz w:val="22"/>
          <w:lang w:val="es-ES_tradnl"/>
        </w:rPr>
        <w:t xml:space="preserve"> y </w:t>
      </w:r>
      <w:r w:rsidRPr="009C6B45">
        <w:rPr>
          <w:rFonts w:ascii="Arial" w:eastAsia="Calibri" w:hAnsi="Arial" w:cs="Arial"/>
          <w:color w:val="000000" w:themeColor="text1"/>
          <w:sz w:val="22"/>
          <w:lang w:val="es-ES_tradnl"/>
        </w:rPr>
        <w:t>C-221 de 21 de abril de 20</w:t>
      </w:r>
      <w:r>
        <w:rPr>
          <w:rFonts w:ascii="Arial" w:eastAsia="Calibri" w:hAnsi="Arial" w:cs="Arial"/>
          <w:color w:val="000000" w:themeColor="text1"/>
          <w:sz w:val="22"/>
          <w:lang w:val="es-ES_tradnl"/>
        </w:rPr>
        <w:t xml:space="preserve">20. Adicionalmente, se analizó la garantía de cumplimiento y la liquidación de los contratos estatales en los conceptos C-479 del 27 de julio de 2020 y </w:t>
      </w:r>
      <w:r>
        <w:rPr>
          <w:rFonts w:ascii="Arial" w:eastAsia="Calibri" w:hAnsi="Arial" w:cs="Arial"/>
          <w:color w:val="000000" w:themeColor="text1"/>
          <w:sz w:val="22"/>
          <w:lang w:val="es-ES_tradnl"/>
        </w:rPr>
        <w:lastRenderedPageBreak/>
        <w:t>C-625 del 28 de septiembre del 2020. Las tesis desarrolladas los conceptos referidos se reiteran a continuación.</w:t>
      </w:r>
    </w:p>
    <w:p w14:paraId="117942FE" w14:textId="77777777" w:rsidR="001241ED" w:rsidRDefault="001241ED" w:rsidP="001241ED">
      <w:pPr>
        <w:tabs>
          <w:tab w:val="left" w:pos="426"/>
          <w:tab w:val="left" w:pos="851"/>
        </w:tabs>
        <w:spacing w:line="276" w:lineRule="auto"/>
        <w:ind w:firstLine="709"/>
        <w:jc w:val="both"/>
        <w:rPr>
          <w:rFonts w:ascii="Arial" w:eastAsia="Calibri" w:hAnsi="Arial" w:cs="Arial"/>
          <w:sz w:val="22"/>
          <w:lang w:val="es-ES"/>
        </w:rPr>
      </w:pPr>
    </w:p>
    <w:bookmarkEnd w:id="0"/>
    <w:p w14:paraId="740BCAB5" w14:textId="77777777" w:rsidR="001241ED" w:rsidRPr="00BC42A3" w:rsidRDefault="001241ED" w:rsidP="001241ED">
      <w:pPr>
        <w:spacing w:line="276" w:lineRule="auto"/>
        <w:jc w:val="both"/>
        <w:rPr>
          <w:rFonts w:ascii="Arial" w:hAnsi="Arial" w:cs="Arial"/>
          <w:b/>
          <w:sz w:val="22"/>
          <w:lang w:val="es-ES_tradnl"/>
        </w:rPr>
      </w:pPr>
      <w:r w:rsidRPr="00866D6C">
        <w:rPr>
          <w:rFonts w:ascii="Arial" w:hAnsi="Arial" w:cs="Arial"/>
          <w:b/>
          <w:bCs/>
          <w:sz w:val="22"/>
        </w:rPr>
        <w:t>2.1.</w:t>
      </w:r>
      <w:r>
        <w:rPr>
          <w:rFonts w:ascii="Arial" w:hAnsi="Arial" w:cs="Arial"/>
          <w:b/>
          <w:sz w:val="22"/>
          <w:lang w:val="es-ES_tradnl"/>
        </w:rPr>
        <w:t xml:space="preserve"> Liquidación de los contratos estatales</w:t>
      </w:r>
    </w:p>
    <w:p w14:paraId="036C8A0D" w14:textId="77777777" w:rsidR="001241ED" w:rsidRDefault="001241ED" w:rsidP="001241ED">
      <w:pPr>
        <w:autoSpaceDE w:val="0"/>
        <w:autoSpaceDN w:val="0"/>
        <w:adjustRightInd w:val="0"/>
        <w:spacing w:line="276" w:lineRule="auto"/>
        <w:jc w:val="both"/>
        <w:rPr>
          <w:rFonts w:ascii="Arial" w:eastAsia="Calibri" w:hAnsi="Arial" w:cs="Arial"/>
          <w:b/>
          <w:color w:val="000000" w:themeColor="text1"/>
          <w:sz w:val="22"/>
        </w:rPr>
      </w:pPr>
    </w:p>
    <w:p w14:paraId="75F8D7C8" w14:textId="77777777" w:rsidR="001241ED" w:rsidRDefault="001241ED" w:rsidP="001241ED">
      <w:pPr>
        <w:pStyle w:val="Sinespaciado"/>
        <w:spacing w:line="276" w:lineRule="auto"/>
        <w:jc w:val="both"/>
        <w:rPr>
          <w:rFonts w:ascii="Arial" w:hAnsi="Arial" w:cs="Arial"/>
          <w:color w:val="000000" w:themeColor="text1"/>
          <w:sz w:val="22"/>
          <w:lang w:val="es-ES_tradnl"/>
        </w:rPr>
      </w:pPr>
      <w:r w:rsidRPr="009C6B45">
        <w:rPr>
          <w:rFonts w:ascii="Arial" w:hAnsi="Arial" w:cs="Arial"/>
          <w:color w:val="000000" w:themeColor="text1"/>
          <w:sz w:val="22"/>
          <w:lang w:val="es-ES_tradnl"/>
        </w:rPr>
        <w:t>La liquidación es el momento en el cual, una vez concluido el contrato estatal, las partes cruzan cuentas respecto de sus obligaciones</w:t>
      </w:r>
      <w:r>
        <w:rPr>
          <w:rFonts w:ascii="Arial" w:hAnsi="Arial" w:cs="Arial"/>
          <w:color w:val="000000" w:themeColor="text1"/>
          <w:sz w:val="22"/>
          <w:lang w:val="es-ES_tradnl"/>
        </w:rPr>
        <w:t>, por tanto, su</w:t>
      </w:r>
      <w:r w:rsidRPr="009C6B45">
        <w:rPr>
          <w:rFonts w:ascii="Arial" w:hAnsi="Arial" w:cs="Arial"/>
          <w:color w:val="000000" w:themeColor="text1"/>
          <w:sz w:val="22"/>
          <w:lang w:val="es-ES_tradnl"/>
        </w:rPr>
        <w:t xml:space="preserve"> objetivo es determinar si pueden declararse a paz y salvo mutuo o si</w:t>
      </w:r>
      <w:r>
        <w:rPr>
          <w:rFonts w:ascii="Arial" w:hAnsi="Arial" w:cs="Arial"/>
          <w:color w:val="000000" w:themeColor="text1"/>
          <w:sz w:val="22"/>
          <w:lang w:val="es-ES_tradnl"/>
        </w:rPr>
        <w:t>, por el contrario,</w:t>
      </w:r>
      <w:r w:rsidRPr="009C6B45">
        <w:rPr>
          <w:rFonts w:ascii="Arial" w:hAnsi="Arial" w:cs="Arial"/>
          <w:color w:val="000000" w:themeColor="text1"/>
          <w:sz w:val="22"/>
          <w:lang w:val="es-ES_tradnl"/>
        </w:rPr>
        <w:t xml:space="preserve"> existen </w:t>
      </w:r>
      <w:r>
        <w:rPr>
          <w:rFonts w:ascii="Arial" w:hAnsi="Arial" w:cs="Arial"/>
          <w:color w:val="000000" w:themeColor="text1"/>
          <w:sz w:val="22"/>
          <w:lang w:val="es-ES_tradnl"/>
        </w:rPr>
        <w:t xml:space="preserve">aún </w:t>
      </w:r>
      <w:r w:rsidRPr="009C6B45">
        <w:rPr>
          <w:rFonts w:ascii="Arial" w:hAnsi="Arial" w:cs="Arial"/>
          <w:color w:val="000000" w:themeColor="text1"/>
          <w:sz w:val="22"/>
          <w:lang w:val="es-ES_tradnl"/>
        </w:rPr>
        <w:t xml:space="preserve">obligaciones por cumplir, </w:t>
      </w:r>
      <w:r>
        <w:rPr>
          <w:rFonts w:ascii="Arial" w:hAnsi="Arial" w:cs="Arial"/>
          <w:color w:val="000000" w:themeColor="text1"/>
          <w:sz w:val="22"/>
          <w:lang w:val="es-ES_tradnl"/>
        </w:rPr>
        <w:t>para a</w:t>
      </w:r>
      <w:r w:rsidRPr="009C6B45">
        <w:rPr>
          <w:rFonts w:ascii="Arial" w:hAnsi="Arial" w:cs="Arial"/>
          <w:color w:val="000000" w:themeColor="text1"/>
          <w:sz w:val="22"/>
          <w:lang w:val="es-ES_tradnl"/>
        </w:rPr>
        <w:t>cordar la forma en que deben ser cumplidas</w:t>
      </w:r>
      <w:r>
        <w:rPr>
          <w:rStyle w:val="Refdenotaalpie"/>
          <w:rFonts w:ascii="Arial" w:hAnsi="Arial" w:cs="Arial"/>
          <w:color w:val="000000" w:themeColor="text1"/>
          <w:sz w:val="22"/>
          <w:lang w:val="es-ES_tradnl"/>
        </w:rPr>
        <w:footnoteReference w:id="1"/>
      </w:r>
      <w:r w:rsidRPr="009C6B45">
        <w:rPr>
          <w:rFonts w:ascii="Arial" w:hAnsi="Arial" w:cs="Arial"/>
          <w:color w:val="000000" w:themeColor="text1"/>
          <w:sz w:val="22"/>
          <w:lang w:val="es-ES_tradnl"/>
        </w:rPr>
        <w:t xml:space="preserve">. </w:t>
      </w:r>
      <w:r>
        <w:rPr>
          <w:rFonts w:ascii="Arial" w:hAnsi="Arial" w:cs="Arial"/>
          <w:color w:val="000000" w:themeColor="text1"/>
          <w:sz w:val="22"/>
          <w:lang w:val="es-ES_tradnl"/>
        </w:rPr>
        <w:t>En armonía con lo anterior, la doctrina ha definido la liquidación de la siguiente manera:</w:t>
      </w:r>
    </w:p>
    <w:p w14:paraId="667B034C" w14:textId="77777777" w:rsidR="001241ED" w:rsidRDefault="001241ED" w:rsidP="001241ED">
      <w:pPr>
        <w:pStyle w:val="Sinespaciado"/>
        <w:spacing w:line="276" w:lineRule="auto"/>
        <w:jc w:val="both"/>
        <w:rPr>
          <w:rFonts w:ascii="Arial" w:hAnsi="Arial" w:cs="Arial"/>
          <w:color w:val="000000" w:themeColor="text1"/>
          <w:sz w:val="22"/>
          <w:lang w:val="es-ES_tradnl"/>
        </w:rPr>
      </w:pPr>
    </w:p>
    <w:p w14:paraId="183A6D54" w14:textId="77777777" w:rsidR="001241ED" w:rsidRPr="00975B5D" w:rsidRDefault="001241ED" w:rsidP="001241ED">
      <w:pPr>
        <w:pStyle w:val="Sinespaciado"/>
        <w:ind w:left="709" w:right="758"/>
        <w:jc w:val="both"/>
        <w:rPr>
          <w:rFonts w:ascii="Arial" w:hAnsi="Arial" w:cs="Arial"/>
          <w:sz w:val="21"/>
          <w:szCs w:val="21"/>
        </w:rPr>
      </w:pPr>
      <w:r w:rsidRPr="00975B5D">
        <w:rPr>
          <w:rFonts w:ascii="Arial" w:hAnsi="Arial" w:cs="Arial"/>
          <w:sz w:val="21"/>
          <w:szCs w:val="21"/>
        </w:rPr>
        <w:t>[…] la liquidación del contrato estatal corresponde al arreglo o ajuste económico, técnico y jurídico al que se llega de forma bilateral (por las partes del negocio), unilateralmente (por la administración), por el juez o por el árbitro, según el caso, para determinar el estado final de la relación contractual, no solo en cuento al cumplimiento del objeto acordado y al recibo a satisfacción de los productos contratados (bienes y servicios), sino, además, para definir la situación en la que quedan los contratantes, luego de la ejecución del contrato, en el sentido de disponer cuánto se adeudan, de qué manera y en qué plazos se han de efectuar los pagos pendientes y las condiciones para el establecimiento del respectivo paz y salvo. En otras palabras, la liquidación es el acto jurídico bilateral, administrativo o judicial, en el que se plasma y formaliza la situación financiera y jurídica de las partes, al término de la relación contractual (aspecto subjetivo) y el grado de cumplimiento del objeto contratado (aspecto objetivo); de ahí que pueda hablarse, en términos amplios, de un doble contenido, que debe estar presente en toda liquidación. En efecto, el corte de cuentas realizado en ella tiene un doble alcance: (i) hacer un balance definitivo del negocio, en sus aspectos técnicos, financieros y jurídicos (aspecto objetivo o material) y ii) definir la situación jurídica de las partes, estableciendo si pueden constituirse o no a paz y salvo; lo que exige, en la práctica, que los negociantes dialoguen e intenten ponerse de acuerdo (aspecto subjetivo)</w:t>
      </w:r>
      <w:r w:rsidRPr="00975B5D">
        <w:rPr>
          <w:sz w:val="21"/>
          <w:szCs w:val="21"/>
        </w:rPr>
        <w:footnoteReference w:id="2"/>
      </w:r>
      <w:r w:rsidRPr="00975B5D">
        <w:rPr>
          <w:rFonts w:ascii="Arial" w:hAnsi="Arial" w:cs="Arial"/>
          <w:sz w:val="21"/>
          <w:szCs w:val="21"/>
        </w:rPr>
        <w:t xml:space="preserve">. </w:t>
      </w:r>
    </w:p>
    <w:p w14:paraId="1480E684" w14:textId="77777777" w:rsidR="001241ED" w:rsidRPr="009C6B45" w:rsidRDefault="001241ED" w:rsidP="001241ED">
      <w:pPr>
        <w:pStyle w:val="Sinespaciado"/>
        <w:spacing w:line="276" w:lineRule="auto"/>
        <w:jc w:val="both"/>
        <w:rPr>
          <w:rFonts w:ascii="Arial" w:hAnsi="Arial" w:cs="Arial"/>
          <w:color w:val="000000" w:themeColor="text1"/>
          <w:sz w:val="22"/>
          <w:lang w:val="es-ES_tradnl"/>
        </w:rPr>
      </w:pPr>
    </w:p>
    <w:p w14:paraId="301815DE" w14:textId="77777777" w:rsidR="001241ED" w:rsidRPr="009C6B45" w:rsidRDefault="001241ED" w:rsidP="001241ED">
      <w:pPr>
        <w:spacing w:after="120" w:line="276" w:lineRule="auto"/>
        <w:ind w:firstLine="709"/>
        <w:jc w:val="both"/>
        <w:rPr>
          <w:rFonts w:ascii="Arial" w:hAnsi="Arial" w:cs="Arial"/>
          <w:color w:val="000000" w:themeColor="text1"/>
          <w:sz w:val="21"/>
          <w:szCs w:val="21"/>
          <w:lang w:val="es-ES_tradnl"/>
        </w:rPr>
      </w:pPr>
      <w:r>
        <w:rPr>
          <w:rFonts w:ascii="Arial" w:hAnsi="Arial" w:cs="Arial"/>
          <w:color w:val="000000" w:themeColor="text1"/>
          <w:sz w:val="22"/>
          <w:lang w:val="es-ES_tradnl"/>
        </w:rPr>
        <w:t xml:space="preserve">En línea con lo anterior, </w:t>
      </w:r>
      <w:r w:rsidRPr="009C6B45">
        <w:rPr>
          <w:rFonts w:ascii="Arial" w:hAnsi="Arial" w:cs="Arial"/>
          <w:color w:val="000000" w:themeColor="text1"/>
          <w:sz w:val="22"/>
          <w:lang w:val="es-ES_tradnl"/>
        </w:rPr>
        <w:t xml:space="preserve">según la jurisprudencia, </w:t>
      </w:r>
      <w:r>
        <w:rPr>
          <w:rFonts w:ascii="Arial" w:hAnsi="Arial" w:cs="Arial"/>
          <w:color w:val="000000" w:themeColor="text1"/>
          <w:sz w:val="22"/>
          <w:lang w:val="es-ES_tradnl"/>
        </w:rPr>
        <w:t xml:space="preserve">la liquidación </w:t>
      </w:r>
      <w:r w:rsidRPr="009C6B45">
        <w:rPr>
          <w:rFonts w:ascii="Arial" w:hAnsi="Arial" w:cs="Arial"/>
          <w:color w:val="000000" w:themeColor="text1"/>
          <w:sz w:val="22"/>
          <w:lang w:val="es-ES_tradnl"/>
        </w:rPr>
        <w:t xml:space="preserve">es el ajuste de cuentas donde las partes hacen un balance económico, técnico y jurídico del cumplimiento de las obligaciones que tienen a su cargo. Así lo manifestó el Consejo de Estado en la </w:t>
      </w:r>
      <w:r w:rsidRPr="009C6B45">
        <w:rPr>
          <w:rFonts w:ascii="Arial" w:hAnsi="Arial" w:cs="Arial"/>
          <w:color w:val="000000" w:themeColor="text1"/>
          <w:sz w:val="22"/>
          <w:lang w:val="es-ES_tradnl"/>
        </w:rPr>
        <w:lastRenderedPageBreak/>
        <w:t xml:space="preserve">sentencia del 20 de octubre de 2014, en la que consideró, por un lado, que </w:t>
      </w:r>
      <w:r w:rsidRPr="009C6B45">
        <w:rPr>
          <w:rFonts w:ascii="Arial" w:hAnsi="Arial" w:cs="Arial"/>
          <w:i/>
          <w:iCs/>
          <w:color w:val="000000" w:themeColor="text1"/>
          <w:sz w:val="22"/>
          <w:lang w:val="es-ES_tradnl"/>
        </w:rPr>
        <w:t>liquidar</w:t>
      </w:r>
      <w:r w:rsidRPr="009C6B45">
        <w:rPr>
          <w:rFonts w:ascii="Arial" w:hAnsi="Arial" w:cs="Arial"/>
          <w:color w:val="000000" w:themeColor="text1"/>
          <w:sz w:val="22"/>
          <w:lang w:val="es-ES_tradnl"/>
        </w:rPr>
        <w:t xml:space="preserve"> supone un ajuste en relación con las cuentas y el estado de cumplimiento del contrato estatal y, por el otro, que la </w:t>
      </w:r>
      <w:r w:rsidRPr="009C6B45">
        <w:rPr>
          <w:rFonts w:ascii="Arial" w:hAnsi="Arial" w:cs="Arial"/>
          <w:i/>
          <w:iCs/>
          <w:color w:val="000000" w:themeColor="text1"/>
          <w:sz w:val="22"/>
          <w:lang w:val="es-ES_tradnl"/>
        </w:rPr>
        <w:t>liquidación</w:t>
      </w:r>
      <w:r w:rsidRPr="009C6B45">
        <w:rPr>
          <w:rFonts w:ascii="Arial" w:hAnsi="Arial" w:cs="Arial"/>
          <w:color w:val="000000" w:themeColor="text1"/>
          <w:sz w:val="22"/>
          <w:lang w:val="es-ES_tradnl"/>
        </w:rPr>
        <w:t xml:space="preserve"> debe incluir el análisis de las condiciones de calidad y oportunidad en la entrega de los bienes, obras o servicios, así como el balance económico y el comportamiento financiero del negocio</w:t>
      </w:r>
      <w:r w:rsidRPr="009C6B45">
        <w:rPr>
          <w:rStyle w:val="Refdenotaalpie"/>
          <w:rFonts w:ascii="Arial" w:hAnsi="Arial" w:cs="Arial"/>
          <w:color w:val="000000" w:themeColor="text1"/>
          <w:sz w:val="22"/>
          <w:lang w:val="es-ES_tradnl"/>
        </w:rPr>
        <w:footnoteReference w:id="3"/>
      </w:r>
      <w:r w:rsidRPr="009C6B45">
        <w:rPr>
          <w:rFonts w:ascii="Arial" w:hAnsi="Arial" w:cs="Arial"/>
          <w:color w:val="000000" w:themeColor="text1"/>
          <w:sz w:val="22"/>
          <w:lang w:val="es-ES_tradnl"/>
        </w:rPr>
        <w:t xml:space="preserve">. </w:t>
      </w:r>
    </w:p>
    <w:p w14:paraId="270BBD2B" w14:textId="77777777" w:rsidR="001241ED" w:rsidRDefault="001241ED" w:rsidP="001241ED">
      <w:pPr>
        <w:pStyle w:val="Sinespaciado"/>
        <w:spacing w:line="276" w:lineRule="auto"/>
        <w:ind w:firstLine="709"/>
        <w:jc w:val="both"/>
        <w:rPr>
          <w:rFonts w:ascii="Arial" w:hAnsi="Arial" w:cs="Arial"/>
          <w:color w:val="000000" w:themeColor="text1"/>
          <w:sz w:val="22"/>
          <w:lang w:val="es-ES_tradnl"/>
        </w:rPr>
      </w:pPr>
      <w:r w:rsidRPr="009C6B45">
        <w:rPr>
          <w:rFonts w:ascii="Arial" w:hAnsi="Arial" w:cs="Arial"/>
          <w:color w:val="000000" w:themeColor="text1"/>
          <w:sz w:val="22"/>
          <w:lang w:val="es-ES_tradnl"/>
        </w:rPr>
        <w:t xml:space="preserve">Las disposiciones legales que </w:t>
      </w:r>
      <w:r>
        <w:rPr>
          <w:rFonts w:ascii="Arial" w:hAnsi="Arial" w:cs="Arial"/>
          <w:color w:val="000000" w:themeColor="text1"/>
          <w:sz w:val="22"/>
          <w:lang w:val="es-ES_tradnl"/>
        </w:rPr>
        <w:t>regulan</w:t>
      </w:r>
      <w:r w:rsidRPr="009C6B45">
        <w:rPr>
          <w:rFonts w:ascii="Arial" w:hAnsi="Arial" w:cs="Arial"/>
          <w:color w:val="000000" w:themeColor="text1"/>
          <w:sz w:val="22"/>
          <w:lang w:val="es-ES_tradnl"/>
        </w:rPr>
        <w:t xml:space="preserve"> la etapa de liquidación de los contratos estatales son el artículo 60 de la Ley 80 de 1993, modificado por el artículo 217 del Decreto 019 de 2012, y el artículo 11 de la Ley 1150 de 2007. El primer</w:t>
      </w:r>
      <w:r>
        <w:rPr>
          <w:rFonts w:ascii="Arial" w:hAnsi="Arial" w:cs="Arial"/>
          <w:color w:val="000000" w:themeColor="text1"/>
          <w:sz w:val="22"/>
          <w:lang w:val="es-ES_tradnl"/>
        </w:rPr>
        <w:t>o</w:t>
      </w:r>
      <w:r w:rsidRPr="009C6B45">
        <w:rPr>
          <w:rFonts w:ascii="Arial" w:hAnsi="Arial" w:cs="Arial"/>
          <w:color w:val="000000" w:themeColor="text1"/>
          <w:sz w:val="22"/>
          <w:lang w:val="es-ES_tradnl"/>
        </w:rPr>
        <w:t xml:space="preserve"> de estos artículos se refiere al alcance sustantivo de la liquidación</w:t>
      </w:r>
      <w:r>
        <w:rPr>
          <w:rFonts w:ascii="Arial" w:hAnsi="Arial" w:cs="Arial"/>
          <w:color w:val="000000" w:themeColor="text1"/>
          <w:sz w:val="22"/>
          <w:lang w:val="es-ES_tradnl"/>
        </w:rPr>
        <w:t xml:space="preserve"> y los contratos en que procede</w:t>
      </w:r>
      <w:r w:rsidRPr="009C6B45">
        <w:rPr>
          <w:rFonts w:ascii="Arial" w:hAnsi="Arial" w:cs="Arial"/>
          <w:color w:val="000000" w:themeColor="text1"/>
          <w:sz w:val="22"/>
          <w:lang w:val="es-ES_tradnl"/>
        </w:rPr>
        <w:t xml:space="preserve">, mientras que </w:t>
      </w:r>
      <w:r>
        <w:rPr>
          <w:rFonts w:ascii="Arial" w:hAnsi="Arial" w:cs="Arial"/>
          <w:color w:val="000000" w:themeColor="text1"/>
          <w:sz w:val="22"/>
          <w:lang w:val="es-ES_tradnl"/>
        </w:rPr>
        <w:t>el</w:t>
      </w:r>
      <w:r w:rsidRPr="009C6B45">
        <w:rPr>
          <w:rFonts w:ascii="Arial" w:hAnsi="Arial" w:cs="Arial"/>
          <w:color w:val="000000" w:themeColor="text1"/>
          <w:sz w:val="22"/>
          <w:lang w:val="es-ES_tradnl"/>
        </w:rPr>
        <w:t xml:space="preserve"> segund</w:t>
      </w:r>
      <w:r>
        <w:rPr>
          <w:rFonts w:ascii="Arial" w:hAnsi="Arial" w:cs="Arial"/>
          <w:color w:val="000000" w:themeColor="text1"/>
          <w:sz w:val="22"/>
          <w:lang w:val="es-ES_tradnl"/>
        </w:rPr>
        <w:t>o</w:t>
      </w:r>
      <w:r w:rsidRPr="009C6B45">
        <w:rPr>
          <w:rFonts w:ascii="Arial" w:hAnsi="Arial" w:cs="Arial"/>
          <w:color w:val="000000" w:themeColor="text1"/>
          <w:sz w:val="22"/>
          <w:lang w:val="es-ES_tradnl"/>
        </w:rPr>
        <w:t xml:space="preserve"> contiene reglas procedimentales para su </w:t>
      </w:r>
      <w:r>
        <w:rPr>
          <w:rFonts w:ascii="Arial" w:hAnsi="Arial" w:cs="Arial"/>
          <w:color w:val="000000" w:themeColor="text1"/>
          <w:sz w:val="22"/>
          <w:lang w:val="es-ES_tradnl"/>
        </w:rPr>
        <w:t>realización</w:t>
      </w:r>
      <w:r w:rsidRPr="009C6B45">
        <w:rPr>
          <w:rFonts w:ascii="Arial" w:hAnsi="Arial" w:cs="Arial"/>
          <w:color w:val="000000" w:themeColor="text1"/>
          <w:sz w:val="22"/>
          <w:lang w:val="es-ES_tradnl"/>
        </w:rPr>
        <w:t xml:space="preserve">. </w:t>
      </w:r>
      <w:r>
        <w:rPr>
          <w:rFonts w:ascii="Arial" w:hAnsi="Arial" w:cs="Arial"/>
          <w:color w:val="000000" w:themeColor="text1"/>
          <w:sz w:val="22"/>
          <w:lang w:val="es-ES_tradnl"/>
        </w:rPr>
        <w:t>En relación con el artículo 60 referido, la doctrina ha indicado que:</w:t>
      </w:r>
    </w:p>
    <w:p w14:paraId="0864D418" w14:textId="77777777" w:rsidR="001241ED" w:rsidRDefault="001241ED" w:rsidP="001241ED">
      <w:pPr>
        <w:pStyle w:val="Sinespaciado"/>
        <w:spacing w:line="276" w:lineRule="auto"/>
        <w:ind w:firstLine="708"/>
        <w:jc w:val="both"/>
        <w:rPr>
          <w:rFonts w:ascii="Arial" w:hAnsi="Arial" w:cs="Arial"/>
          <w:color w:val="000000" w:themeColor="text1"/>
          <w:sz w:val="22"/>
          <w:lang w:val="es-ES_tradnl"/>
        </w:rPr>
      </w:pPr>
    </w:p>
    <w:p w14:paraId="1F295C69" w14:textId="77777777" w:rsidR="001241ED" w:rsidRDefault="001241ED" w:rsidP="001241ED">
      <w:pPr>
        <w:pStyle w:val="Sinespaciado"/>
        <w:ind w:left="709" w:right="758"/>
        <w:jc w:val="both"/>
        <w:rPr>
          <w:rFonts w:ascii="Arial" w:hAnsi="Arial" w:cs="Arial"/>
          <w:color w:val="000000"/>
          <w:sz w:val="21"/>
          <w:szCs w:val="21"/>
          <w:shd w:val="clear" w:color="auto" w:fill="FFFFFF"/>
        </w:rPr>
      </w:pPr>
      <w:r w:rsidRPr="00B16BEC">
        <w:rPr>
          <w:rFonts w:ascii="Arial" w:hAnsi="Arial" w:cs="Arial"/>
          <w:sz w:val="21"/>
          <w:szCs w:val="21"/>
        </w:rPr>
        <w:t xml:space="preserve">La ley 80 de 1993 </w:t>
      </w:r>
      <w:r>
        <w:rPr>
          <w:rFonts w:ascii="Arial" w:hAnsi="Arial" w:cs="Arial"/>
          <w:sz w:val="21"/>
          <w:szCs w:val="21"/>
        </w:rPr>
        <w:t>[</w:t>
      </w:r>
      <w:r w:rsidRPr="00B16BEC">
        <w:rPr>
          <w:rFonts w:ascii="Arial" w:hAnsi="Arial" w:cs="Arial"/>
          <w:sz w:val="21"/>
          <w:szCs w:val="21"/>
        </w:rPr>
        <w:t>…</w:t>
      </w:r>
      <w:r>
        <w:rPr>
          <w:rFonts w:ascii="Arial" w:hAnsi="Arial" w:cs="Arial"/>
          <w:sz w:val="21"/>
          <w:szCs w:val="21"/>
        </w:rPr>
        <w:t>]</w:t>
      </w:r>
      <w:r w:rsidRPr="00B16BEC">
        <w:rPr>
          <w:rFonts w:ascii="Arial" w:hAnsi="Arial" w:cs="Arial"/>
          <w:sz w:val="21"/>
          <w:szCs w:val="21"/>
        </w:rPr>
        <w:t xml:space="preserve"> dispuso en el artículo 60 que serían objeto de liquidación todos los contratos de tracto sucesivo, entendiendo por estos los de ejecución y cumplimiento prolongados en el tiempo, así como los demás que lo requieran </w:t>
      </w:r>
      <w:r>
        <w:rPr>
          <w:rFonts w:ascii="Arial" w:hAnsi="Arial" w:cs="Arial"/>
          <w:sz w:val="21"/>
          <w:szCs w:val="21"/>
        </w:rPr>
        <w:t>–</w:t>
      </w:r>
      <w:r w:rsidRPr="00B16BEC">
        <w:rPr>
          <w:rFonts w:ascii="Arial" w:hAnsi="Arial" w:cs="Arial"/>
          <w:sz w:val="21"/>
          <w:szCs w:val="21"/>
        </w:rPr>
        <w:t>que son generalmente aquellos de ejecución instantánea en los que la misma se ha extendido temporalmente</w:t>
      </w:r>
      <w:r>
        <w:rPr>
          <w:rFonts w:ascii="Arial" w:hAnsi="Arial" w:cs="Arial"/>
          <w:sz w:val="21"/>
          <w:szCs w:val="21"/>
        </w:rPr>
        <w:t>–</w:t>
      </w:r>
      <w:r w:rsidRPr="00B16BEC">
        <w:rPr>
          <w:rFonts w:ascii="Arial" w:hAnsi="Arial" w:cs="Arial"/>
          <w:sz w:val="21"/>
          <w:szCs w:val="21"/>
        </w:rPr>
        <w:t>, etapa en l</w:t>
      </w:r>
      <w:r>
        <w:rPr>
          <w:rFonts w:ascii="Arial" w:hAnsi="Arial" w:cs="Arial"/>
          <w:sz w:val="21"/>
          <w:szCs w:val="21"/>
        </w:rPr>
        <w:t>a</w:t>
      </w:r>
      <w:r w:rsidRPr="00B16BEC">
        <w:rPr>
          <w:rFonts w:ascii="Arial" w:hAnsi="Arial" w:cs="Arial"/>
          <w:sz w:val="21"/>
          <w:szCs w:val="21"/>
        </w:rPr>
        <w:t xml:space="preserve"> cual las partes debían acordar los ajustes, revisiones y reconocimientos a que hubiera lugar, y que el contenido de la misma debía reflejar </w:t>
      </w:r>
      <w:r>
        <w:rPr>
          <w:rFonts w:ascii="Arial" w:hAnsi="Arial" w:cs="Arial"/>
          <w:sz w:val="21"/>
          <w:szCs w:val="21"/>
        </w:rPr>
        <w:t>«</w:t>
      </w:r>
      <w:r w:rsidRPr="00B16BEC">
        <w:rPr>
          <w:rFonts w:ascii="Arial" w:hAnsi="Arial" w:cs="Arial"/>
          <w:sz w:val="21"/>
          <w:szCs w:val="21"/>
        </w:rPr>
        <w:t>los acuerdos, conciliaciones y transacciones a que llegaren las partes para poner fin a las divergencias presentadas y poder declararse a paz y salvo</w:t>
      </w:r>
      <w:r w:rsidRPr="00B16BEC">
        <w:rPr>
          <w:rFonts w:ascii="Arial" w:hAnsi="Arial" w:cs="Arial"/>
          <w:color w:val="000000"/>
          <w:sz w:val="21"/>
          <w:szCs w:val="21"/>
          <w:shd w:val="clear" w:color="auto" w:fill="FFFFFF"/>
        </w:rPr>
        <w:t>»</w:t>
      </w:r>
      <w:r w:rsidRPr="00B16BEC">
        <w:rPr>
          <w:rStyle w:val="Refdenotaalpie"/>
          <w:rFonts w:ascii="Arial" w:hAnsi="Arial" w:cs="Arial"/>
          <w:color w:val="000000"/>
          <w:sz w:val="21"/>
          <w:szCs w:val="21"/>
          <w:shd w:val="clear" w:color="auto" w:fill="FFFFFF"/>
        </w:rPr>
        <w:footnoteReference w:id="4"/>
      </w:r>
      <w:r>
        <w:rPr>
          <w:rFonts w:ascii="Arial" w:hAnsi="Arial" w:cs="Arial"/>
          <w:color w:val="000000"/>
          <w:sz w:val="21"/>
          <w:szCs w:val="21"/>
          <w:shd w:val="clear" w:color="auto" w:fill="FFFFFF"/>
        </w:rPr>
        <w:t>.</w:t>
      </w:r>
    </w:p>
    <w:p w14:paraId="10CAEAC2" w14:textId="77777777" w:rsidR="001241ED" w:rsidRPr="00B16BEC" w:rsidRDefault="001241ED" w:rsidP="001241ED">
      <w:pPr>
        <w:pStyle w:val="Sinespaciado"/>
        <w:ind w:left="709" w:right="758"/>
        <w:jc w:val="both"/>
        <w:rPr>
          <w:rFonts w:ascii="Arial" w:hAnsi="Arial" w:cs="Arial"/>
          <w:color w:val="000000" w:themeColor="text1"/>
          <w:sz w:val="21"/>
          <w:szCs w:val="21"/>
          <w:lang w:val="es-ES_tradnl"/>
        </w:rPr>
      </w:pPr>
    </w:p>
    <w:p w14:paraId="539CDA4F" w14:textId="77777777" w:rsidR="001241ED" w:rsidRPr="009C6B45" w:rsidRDefault="001241ED" w:rsidP="001241ED">
      <w:pPr>
        <w:pStyle w:val="Sinespaciado"/>
        <w:spacing w:after="120" w:line="276" w:lineRule="auto"/>
        <w:ind w:firstLine="708"/>
        <w:jc w:val="both"/>
        <w:rPr>
          <w:rFonts w:ascii="Arial" w:hAnsi="Arial" w:cs="Arial"/>
          <w:color w:val="000000" w:themeColor="text1"/>
          <w:sz w:val="22"/>
          <w:lang w:val="es-ES_tradnl"/>
        </w:rPr>
      </w:pPr>
      <w:r>
        <w:rPr>
          <w:rFonts w:ascii="Arial" w:hAnsi="Arial" w:cs="Arial"/>
          <w:color w:val="000000" w:themeColor="text1"/>
          <w:sz w:val="22"/>
          <w:lang w:val="es-ES_tradnl"/>
        </w:rPr>
        <w:t>Así las cosas, d</w:t>
      </w:r>
      <w:r w:rsidRPr="009C6B45">
        <w:rPr>
          <w:rFonts w:ascii="Arial" w:hAnsi="Arial" w:cs="Arial"/>
          <w:color w:val="000000" w:themeColor="text1"/>
          <w:sz w:val="22"/>
          <w:lang w:val="es-ES_tradnl"/>
        </w:rPr>
        <w:t>e acuerdo con el artículo 60 de la Ley 80 de 1993, los contratos de tracto sucesivo, aquellos cuyo cumplimiento o ejecución se prolongue en el tiempo y los demás que lo requieran «serán objeto de liquidación». El mismo artículo prescribe que no será obligatoria la liquidación en los contratos de prestación de servicios profesionales</w:t>
      </w:r>
      <w:r>
        <w:rPr>
          <w:rFonts w:ascii="Arial" w:hAnsi="Arial" w:cs="Arial"/>
          <w:color w:val="000000" w:themeColor="text1"/>
          <w:sz w:val="22"/>
          <w:lang w:val="es-ES_tradnl"/>
        </w:rPr>
        <w:t xml:space="preserve"> y de apoyo a la gestión</w:t>
      </w:r>
      <w:r w:rsidRPr="009C6B45">
        <w:rPr>
          <w:rFonts w:ascii="Arial" w:hAnsi="Arial" w:cs="Arial"/>
          <w:color w:val="000000" w:themeColor="text1"/>
          <w:sz w:val="22"/>
          <w:lang w:val="es-ES_tradnl"/>
        </w:rPr>
        <w:t xml:space="preserve">. Adicionalmente, </w:t>
      </w:r>
      <w:r>
        <w:rPr>
          <w:rFonts w:ascii="Arial" w:hAnsi="Arial" w:cs="Arial"/>
          <w:color w:val="000000" w:themeColor="text1"/>
          <w:sz w:val="22"/>
          <w:lang w:val="es-ES_tradnl"/>
        </w:rPr>
        <w:t>en los contratos</w:t>
      </w:r>
      <w:r w:rsidRPr="009C6B45">
        <w:rPr>
          <w:rFonts w:ascii="Arial" w:hAnsi="Arial" w:cs="Arial"/>
          <w:color w:val="000000" w:themeColor="text1"/>
          <w:sz w:val="22"/>
          <w:lang w:val="es-ES_tradnl"/>
        </w:rPr>
        <w:t xml:space="preserve"> las entidades estatales deben definir la oportunidad y forma de recibir el objeto contratado y, en cada caso</w:t>
      </w:r>
      <w:r>
        <w:rPr>
          <w:rFonts w:ascii="Arial" w:hAnsi="Arial" w:cs="Arial"/>
          <w:color w:val="000000" w:themeColor="text1"/>
          <w:sz w:val="22"/>
          <w:lang w:val="es-ES_tradnl"/>
        </w:rPr>
        <w:t>,</w:t>
      </w:r>
      <w:r w:rsidRPr="009C6B45">
        <w:rPr>
          <w:rFonts w:ascii="Arial" w:hAnsi="Arial" w:cs="Arial"/>
          <w:color w:val="000000" w:themeColor="text1"/>
          <w:sz w:val="22"/>
          <w:lang w:val="es-ES_tradnl"/>
        </w:rPr>
        <w:t xml:space="preserve"> si un contrato requiere o no de liquidación</w:t>
      </w:r>
      <w:r>
        <w:rPr>
          <w:rFonts w:ascii="Arial" w:hAnsi="Arial" w:cs="Arial"/>
          <w:color w:val="000000" w:themeColor="text1"/>
          <w:sz w:val="22"/>
          <w:lang w:val="es-ES_tradnl"/>
        </w:rPr>
        <w:t>,</w:t>
      </w:r>
      <w:r w:rsidRPr="009C6B45">
        <w:rPr>
          <w:rFonts w:ascii="Arial" w:hAnsi="Arial" w:cs="Arial"/>
          <w:color w:val="000000" w:themeColor="text1"/>
          <w:sz w:val="22"/>
          <w:lang w:val="es-ES_tradnl"/>
        </w:rPr>
        <w:t xml:space="preserve"> con arreglo a criterios tales como la naturaleza, objeto y plazo del contrato</w:t>
      </w:r>
      <w:r w:rsidRPr="009C6B45">
        <w:rPr>
          <w:rStyle w:val="Refdenotaalpie"/>
          <w:rFonts w:ascii="Arial" w:hAnsi="Arial" w:cs="Arial"/>
          <w:color w:val="000000" w:themeColor="text1"/>
          <w:sz w:val="22"/>
          <w:lang w:val="es-ES_tradnl"/>
        </w:rPr>
        <w:footnoteReference w:id="5"/>
      </w:r>
      <w:r w:rsidRPr="009C6B45">
        <w:rPr>
          <w:rFonts w:ascii="Arial" w:hAnsi="Arial" w:cs="Arial"/>
          <w:color w:val="000000" w:themeColor="text1"/>
          <w:sz w:val="22"/>
          <w:lang w:val="es-ES_tradnl"/>
        </w:rPr>
        <w:t xml:space="preserve">, así como la probabilidad de que puedan surgir diferencias durante la ejecución </w:t>
      </w:r>
      <w:r w:rsidRPr="009C6B45">
        <w:rPr>
          <w:rFonts w:ascii="Arial" w:hAnsi="Arial" w:cs="Arial"/>
          <w:color w:val="000000" w:themeColor="text1"/>
          <w:sz w:val="22"/>
          <w:lang w:val="es-ES_tradnl"/>
        </w:rPr>
        <w:lastRenderedPageBreak/>
        <w:t>del contrato</w:t>
      </w:r>
      <w:r>
        <w:rPr>
          <w:rFonts w:ascii="Arial" w:hAnsi="Arial" w:cs="Arial"/>
          <w:color w:val="000000" w:themeColor="text1"/>
          <w:sz w:val="22"/>
          <w:lang w:val="es-ES_tradnl"/>
        </w:rPr>
        <w:t xml:space="preserve">; sin perjuicio de que, como se indicó, todos los contratos estatales de </w:t>
      </w:r>
      <w:r>
        <w:rPr>
          <w:rFonts w:ascii="Arial" w:hAnsi="Arial" w:cs="Arial"/>
          <w:i/>
          <w:iCs/>
          <w:color w:val="000000" w:themeColor="text1"/>
          <w:sz w:val="22"/>
          <w:lang w:val="es-ES_tradnl"/>
        </w:rPr>
        <w:t>tracto sucesivo</w:t>
      </w:r>
      <w:r>
        <w:rPr>
          <w:rFonts w:ascii="Arial" w:hAnsi="Arial" w:cs="Arial"/>
          <w:color w:val="000000" w:themeColor="text1"/>
          <w:sz w:val="22"/>
          <w:lang w:val="es-ES_tradnl"/>
        </w:rPr>
        <w:t xml:space="preserve"> o aquellos cuya ejecución se prolongue en el tiempo siempre deban liquidarse, convirtiéndose en estos contratos en una cláusula de la naturaleza, conforme a la clasificación prevista en el Código Civil.</w:t>
      </w:r>
    </w:p>
    <w:p w14:paraId="436FEDA1" w14:textId="77777777" w:rsidR="001241ED" w:rsidRPr="009C6B45" w:rsidRDefault="001241ED" w:rsidP="001241ED">
      <w:pPr>
        <w:pStyle w:val="Sinespaciado"/>
        <w:spacing w:after="120" w:line="276" w:lineRule="auto"/>
        <w:ind w:firstLine="708"/>
        <w:jc w:val="both"/>
        <w:rPr>
          <w:rFonts w:ascii="Arial" w:hAnsi="Arial" w:cs="Arial"/>
          <w:color w:val="000000" w:themeColor="text1"/>
          <w:sz w:val="22"/>
          <w:lang w:val="es-ES_tradnl"/>
        </w:rPr>
      </w:pPr>
      <w:r>
        <w:rPr>
          <w:rFonts w:ascii="Arial" w:hAnsi="Arial" w:cs="Arial"/>
          <w:color w:val="000000" w:themeColor="text1"/>
          <w:sz w:val="22"/>
          <w:lang w:val="es-ES_tradnl"/>
        </w:rPr>
        <w:t>Por su parte, e</w:t>
      </w:r>
      <w:r w:rsidRPr="009C6B45">
        <w:rPr>
          <w:rFonts w:ascii="Arial" w:hAnsi="Arial" w:cs="Arial"/>
          <w:color w:val="000000" w:themeColor="text1"/>
          <w:sz w:val="22"/>
          <w:lang w:val="es-ES_tradnl"/>
        </w:rPr>
        <w:t>l artículo 11 de la Ley 1150 de 2007</w:t>
      </w:r>
      <w:r w:rsidRPr="009C6B45">
        <w:rPr>
          <w:rStyle w:val="Refdenotaalpie"/>
          <w:rFonts w:ascii="Arial" w:hAnsi="Arial" w:cs="Arial"/>
          <w:color w:val="000000" w:themeColor="text1"/>
          <w:sz w:val="22"/>
          <w:lang w:val="es-ES_tradnl"/>
        </w:rPr>
        <w:footnoteReference w:id="6"/>
      </w:r>
      <w:r w:rsidRPr="009C6B45">
        <w:rPr>
          <w:rFonts w:ascii="Arial" w:hAnsi="Arial" w:cs="Arial"/>
          <w:color w:val="000000" w:themeColor="text1"/>
          <w:sz w:val="22"/>
          <w:lang w:val="es-ES_tradnl"/>
        </w:rPr>
        <w:t xml:space="preserve"> contiene las reglas de tipo procedimental para liquidar los contratos estatales</w:t>
      </w:r>
      <w:r>
        <w:rPr>
          <w:rFonts w:ascii="Arial" w:hAnsi="Arial" w:cs="Arial"/>
          <w:color w:val="000000" w:themeColor="text1"/>
          <w:sz w:val="22"/>
          <w:lang w:val="es-ES_tradnl"/>
        </w:rPr>
        <w:t xml:space="preserve">, las cuales </w:t>
      </w:r>
      <w:r w:rsidRPr="009C6B45">
        <w:rPr>
          <w:rFonts w:ascii="Arial" w:hAnsi="Arial" w:cs="Arial"/>
          <w:color w:val="000000" w:themeColor="text1"/>
          <w:sz w:val="22"/>
          <w:lang w:val="es-ES_tradnl"/>
        </w:rPr>
        <w:t>se pasan a explicar. En primer lugar, en ejercicio de la autonomía de la voluntad y de conformidad con los criterios de la naturaleza, objeto y plazo del contrato, la entidad puede definir en el pliego de condiciones</w:t>
      </w:r>
      <w:r>
        <w:rPr>
          <w:rFonts w:ascii="Arial" w:hAnsi="Arial" w:cs="Arial"/>
          <w:color w:val="000000" w:themeColor="text1"/>
          <w:sz w:val="22"/>
          <w:lang w:val="es-ES_tradnl"/>
        </w:rPr>
        <w:t xml:space="preserve"> o en el contrato</w:t>
      </w:r>
      <w:r w:rsidRPr="009C6B45">
        <w:rPr>
          <w:rFonts w:ascii="Arial" w:hAnsi="Arial" w:cs="Arial"/>
          <w:color w:val="000000" w:themeColor="text1"/>
          <w:sz w:val="22"/>
          <w:lang w:val="es-ES_tradnl"/>
        </w:rPr>
        <w:t xml:space="preserve"> el plazo para efectuar la liquidación de mutuo acuerdo. En ausencia de pacto contractual, el artículo 11 de la Ley 1150 de 2007 prevé un término supletivo de 4 meses contados desde</w:t>
      </w:r>
      <w:r>
        <w:rPr>
          <w:rFonts w:ascii="Arial" w:hAnsi="Arial" w:cs="Arial"/>
          <w:color w:val="000000" w:themeColor="text1"/>
          <w:sz w:val="22"/>
          <w:lang w:val="es-ES_tradnl"/>
        </w:rPr>
        <w:t>:</w:t>
      </w:r>
      <w:r w:rsidRPr="009C6B45">
        <w:rPr>
          <w:rFonts w:ascii="Arial" w:hAnsi="Arial" w:cs="Arial"/>
          <w:color w:val="000000" w:themeColor="text1"/>
          <w:sz w:val="22"/>
          <w:lang w:val="es-ES_tradnl"/>
        </w:rPr>
        <w:t xml:space="preserve"> i) el vencimiento del plazo previsto para la ejecución del contrato, ii) la expedición del acto administrativo que ordene la terminación del contrato o iii) la fecha del acuerdo que disponga la terminación del contrato.</w:t>
      </w:r>
    </w:p>
    <w:p w14:paraId="37FC06AA" w14:textId="77777777" w:rsidR="001241ED" w:rsidRPr="009C6B45" w:rsidRDefault="001241ED" w:rsidP="001241ED">
      <w:pPr>
        <w:pStyle w:val="Sinespaciado"/>
        <w:spacing w:after="120" w:line="276" w:lineRule="auto"/>
        <w:ind w:firstLine="709"/>
        <w:jc w:val="both"/>
        <w:rPr>
          <w:rFonts w:ascii="Arial" w:hAnsi="Arial" w:cs="Arial"/>
          <w:color w:val="000000" w:themeColor="text1"/>
          <w:sz w:val="22"/>
          <w:lang w:val="es-ES_tradnl"/>
        </w:rPr>
      </w:pPr>
      <w:r w:rsidRPr="009C6B45">
        <w:rPr>
          <w:rFonts w:ascii="Arial" w:hAnsi="Arial" w:cs="Arial"/>
          <w:color w:val="000000" w:themeColor="text1"/>
          <w:sz w:val="22"/>
          <w:lang w:val="es-ES_tradnl"/>
        </w:rPr>
        <w:t xml:space="preserve">Durante este término, el contratista puede solicitar que se adelante el trámite de liquidación. Sin embargo, es responsabilidad de la </w:t>
      </w:r>
      <w:r>
        <w:rPr>
          <w:rFonts w:ascii="Arial" w:hAnsi="Arial" w:cs="Arial"/>
          <w:color w:val="000000" w:themeColor="text1"/>
          <w:sz w:val="22"/>
          <w:lang w:val="es-ES_tradnl"/>
        </w:rPr>
        <w:t>e</w:t>
      </w:r>
      <w:r w:rsidRPr="009C6B45">
        <w:rPr>
          <w:rFonts w:ascii="Arial" w:hAnsi="Arial" w:cs="Arial"/>
          <w:color w:val="000000" w:themeColor="text1"/>
          <w:sz w:val="22"/>
          <w:lang w:val="es-ES_tradnl"/>
        </w:rPr>
        <w:t xml:space="preserve">ntidad </w:t>
      </w:r>
      <w:r>
        <w:rPr>
          <w:rFonts w:ascii="Arial" w:hAnsi="Arial" w:cs="Arial"/>
          <w:color w:val="000000" w:themeColor="text1"/>
          <w:sz w:val="22"/>
          <w:lang w:val="es-ES_tradnl"/>
        </w:rPr>
        <w:t>e</w:t>
      </w:r>
      <w:r w:rsidRPr="009C6B45">
        <w:rPr>
          <w:rFonts w:ascii="Arial" w:hAnsi="Arial" w:cs="Arial"/>
          <w:color w:val="000000" w:themeColor="text1"/>
          <w:sz w:val="22"/>
          <w:lang w:val="es-ES_tradnl"/>
        </w:rPr>
        <w:t xml:space="preserve">statal convocarlo para adelantar la liquidación de común acuerdo o notificarlo para que se presente a </w:t>
      </w:r>
      <w:r>
        <w:rPr>
          <w:rFonts w:ascii="Arial" w:hAnsi="Arial" w:cs="Arial"/>
          <w:color w:val="000000" w:themeColor="text1"/>
          <w:sz w:val="22"/>
          <w:lang w:val="es-ES_tradnl"/>
        </w:rPr>
        <w:t>realizarla</w:t>
      </w:r>
      <w:r w:rsidRPr="009C6B45">
        <w:rPr>
          <w:rStyle w:val="Refdenotaalpie"/>
          <w:rFonts w:ascii="Arial" w:hAnsi="Arial" w:cs="Arial"/>
          <w:color w:val="000000" w:themeColor="text1"/>
          <w:sz w:val="22"/>
          <w:lang w:val="es-ES_tradnl"/>
        </w:rPr>
        <w:footnoteReference w:id="7"/>
      </w:r>
      <w:r w:rsidRPr="009C6B45">
        <w:rPr>
          <w:rFonts w:ascii="Arial" w:hAnsi="Arial" w:cs="Arial"/>
          <w:color w:val="000000" w:themeColor="text1"/>
          <w:sz w:val="22"/>
          <w:lang w:val="es-ES_tradnl"/>
        </w:rPr>
        <w:t xml:space="preserve">, de manera que el contrato pueda ser liquidado bilateralmente, bien sea en el plazo previsto en el pliego de condiciones, el acordado por las partes, o </w:t>
      </w:r>
      <w:r>
        <w:rPr>
          <w:rFonts w:ascii="Arial" w:hAnsi="Arial" w:cs="Arial"/>
          <w:color w:val="000000" w:themeColor="text1"/>
          <w:sz w:val="22"/>
          <w:lang w:val="es-ES_tradnl"/>
        </w:rPr>
        <w:t>el supletivo de</w:t>
      </w:r>
      <w:r w:rsidRPr="009C6B45">
        <w:rPr>
          <w:rFonts w:ascii="Arial" w:hAnsi="Arial" w:cs="Arial"/>
          <w:color w:val="000000" w:themeColor="text1"/>
          <w:sz w:val="22"/>
          <w:lang w:val="es-ES_tradnl"/>
        </w:rPr>
        <w:t xml:space="preserve"> cuatro meses señalado en la </w:t>
      </w:r>
      <w:r>
        <w:rPr>
          <w:rFonts w:ascii="Arial" w:hAnsi="Arial" w:cs="Arial"/>
          <w:color w:val="000000" w:themeColor="text1"/>
          <w:sz w:val="22"/>
          <w:lang w:val="es-ES_tradnl"/>
        </w:rPr>
        <w:t>l</w:t>
      </w:r>
      <w:r w:rsidRPr="009C6B45">
        <w:rPr>
          <w:rFonts w:ascii="Arial" w:hAnsi="Arial" w:cs="Arial"/>
          <w:color w:val="000000" w:themeColor="text1"/>
          <w:sz w:val="22"/>
          <w:lang w:val="es-ES_tradnl"/>
        </w:rPr>
        <w:t>ey, según corresponda. Esta liquidación bilateral puede ser total o parcial</w:t>
      </w:r>
      <w:r w:rsidRPr="009C6B45">
        <w:rPr>
          <w:rStyle w:val="Refdenotaalpie"/>
          <w:rFonts w:ascii="Arial" w:hAnsi="Arial" w:cs="Arial"/>
          <w:iCs/>
          <w:color w:val="000000" w:themeColor="text1"/>
          <w:sz w:val="22"/>
          <w:lang w:val="es-ES_tradnl"/>
        </w:rPr>
        <w:footnoteReference w:id="8"/>
      </w:r>
      <w:r w:rsidRPr="009C6B45">
        <w:rPr>
          <w:rFonts w:ascii="Arial" w:hAnsi="Arial" w:cs="Arial"/>
          <w:color w:val="000000" w:themeColor="text1"/>
          <w:sz w:val="22"/>
          <w:lang w:val="es-ES_tradnl"/>
        </w:rPr>
        <w:t xml:space="preserve">, y </w:t>
      </w:r>
      <w:r w:rsidRPr="009C6B45">
        <w:rPr>
          <w:rFonts w:ascii="Arial" w:hAnsi="Arial" w:cs="Arial"/>
          <w:iCs/>
          <w:color w:val="000000" w:themeColor="text1"/>
          <w:sz w:val="22"/>
          <w:lang w:val="es-ES_tradnl"/>
        </w:rPr>
        <w:t xml:space="preserve">el documento </w:t>
      </w:r>
      <w:r w:rsidRPr="009C6B45">
        <w:rPr>
          <w:rFonts w:ascii="Arial" w:hAnsi="Arial" w:cs="Arial"/>
          <w:iCs/>
          <w:color w:val="000000" w:themeColor="text1"/>
          <w:sz w:val="22"/>
          <w:lang w:val="es-ES_tradnl"/>
        </w:rPr>
        <w:lastRenderedPageBreak/>
        <w:t>que la contiene presta mérito ejecutivo</w:t>
      </w:r>
      <w:r>
        <w:rPr>
          <w:rFonts w:ascii="Arial" w:hAnsi="Arial" w:cs="Arial"/>
          <w:iCs/>
          <w:color w:val="000000" w:themeColor="text1"/>
          <w:sz w:val="22"/>
          <w:lang w:val="es-ES_tradnl"/>
        </w:rPr>
        <w:t>, siempre que se satisfagan los elementos para considerarlo como tal</w:t>
      </w:r>
      <w:r w:rsidRPr="009C6B45">
        <w:rPr>
          <w:rFonts w:ascii="Arial" w:hAnsi="Arial" w:cs="Arial"/>
          <w:color w:val="000000" w:themeColor="text1"/>
          <w:sz w:val="22"/>
          <w:lang w:val="es-ES_tradnl"/>
        </w:rPr>
        <w:t>.</w:t>
      </w:r>
    </w:p>
    <w:p w14:paraId="5A98850B" w14:textId="77777777" w:rsidR="001241ED" w:rsidRPr="00F666B7" w:rsidRDefault="001241ED" w:rsidP="001241ED">
      <w:pPr>
        <w:spacing w:line="276" w:lineRule="auto"/>
        <w:ind w:firstLine="705"/>
        <w:jc w:val="both"/>
        <w:rPr>
          <w:rFonts w:ascii="Arial" w:hAnsi="Arial" w:cs="Arial"/>
          <w:color w:val="000000" w:themeColor="text1"/>
          <w:sz w:val="22"/>
          <w:szCs w:val="22"/>
        </w:rPr>
      </w:pPr>
      <w:r w:rsidRPr="00F666B7">
        <w:rPr>
          <w:rFonts w:ascii="Arial" w:hAnsi="Arial" w:cs="Arial"/>
          <w:color w:val="000000" w:themeColor="text1"/>
          <w:sz w:val="22"/>
          <w:szCs w:val="22"/>
          <w:bdr w:val="none" w:sz="0" w:space="0" w:color="auto" w:frame="1"/>
          <w:shd w:val="clear" w:color="auto" w:fill="FFFFFF"/>
          <w:lang w:val="es-ES"/>
        </w:rPr>
        <w:t xml:space="preserve">Si no es posible efectuar la liquidación de manera bilateral, el ordenamiento jurídico prevé una </w:t>
      </w:r>
      <w:r>
        <w:rPr>
          <w:rFonts w:ascii="Arial" w:hAnsi="Arial" w:cs="Arial"/>
          <w:color w:val="000000" w:themeColor="text1"/>
          <w:sz w:val="22"/>
          <w:szCs w:val="22"/>
          <w:bdr w:val="none" w:sz="0" w:space="0" w:color="auto" w:frame="1"/>
          <w:shd w:val="clear" w:color="auto" w:fill="FFFFFF"/>
          <w:lang w:val="es-ES"/>
        </w:rPr>
        <w:t>facultad</w:t>
      </w:r>
      <w:r w:rsidRPr="00F666B7">
        <w:rPr>
          <w:rFonts w:ascii="Arial" w:hAnsi="Arial" w:cs="Arial"/>
          <w:color w:val="000000" w:themeColor="text1"/>
          <w:sz w:val="22"/>
          <w:szCs w:val="22"/>
          <w:bdr w:val="none" w:sz="0" w:space="0" w:color="auto" w:frame="1"/>
          <w:shd w:val="clear" w:color="auto" w:fill="FFFFFF"/>
          <w:lang w:val="es-ES"/>
        </w:rPr>
        <w:t xml:space="preserve">, de carácter subsidiario, para que la entidad estatal realice la liquidación unilateralmente. </w:t>
      </w:r>
      <w:r>
        <w:rPr>
          <w:rFonts w:ascii="Arial" w:hAnsi="Arial" w:cs="Arial"/>
          <w:color w:val="000000" w:themeColor="text1"/>
          <w:sz w:val="22"/>
          <w:szCs w:val="22"/>
          <w:bdr w:val="none" w:sz="0" w:space="0" w:color="auto" w:frame="1"/>
          <w:shd w:val="clear" w:color="auto" w:fill="FFFFFF"/>
          <w:lang w:val="es-ES"/>
        </w:rPr>
        <w:t>En relación con este aspecto</w:t>
      </w:r>
      <w:r w:rsidRPr="00F666B7">
        <w:rPr>
          <w:rFonts w:ascii="Arial" w:hAnsi="Arial" w:cs="Arial"/>
          <w:color w:val="000000" w:themeColor="text1"/>
          <w:sz w:val="22"/>
          <w:szCs w:val="22"/>
          <w:bdr w:val="none" w:sz="0" w:space="0" w:color="auto" w:frame="1"/>
          <w:shd w:val="clear" w:color="auto" w:fill="FFFFFF"/>
          <w:lang w:val="es-ES"/>
        </w:rPr>
        <w:t>, </w:t>
      </w:r>
      <w:r>
        <w:rPr>
          <w:rFonts w:ascii="Arial" w:hAnsi="Arial" w:cs="Arial"/>
          <w:color w:val="000000" w:themeColor="text1"/>
          <w:sz w:val="22"/>
          <w:szCs w:val="22"/>
          <w:bdr w:val="none" w:sz="0" w:space="0" w:color="auto" w:frame="1"/>
          <w:shd w:val="clear" w:color="auto" w:fill="FFFFFF"/>
          <w:lang w:val="es-ES"/>
        </w:rPr>
        <w:t xml:space="preserve">la </w:t>
      </w:r>
      <w:r w:rsidRPr="00F666B7">
        <w:rPr>
          <w:rFonts w:ascii="Arial" w:hAnsi="Arial" w:cs="Arial"/>
          <w:color w:val="000000" w:themeColor="text1"/>
          <w:sz w:val="22"/>
          <w:szCs w:val="22"/>
          <w:bdr w:val="none" w:sz="0" w:space="0" w:color="auto" w:frame="1"/>
          <w:shd w:val="clear" w:color="auto" w:fill="FFFFFF"/>
          <w:lang w:val="es-MX"/>
        </w:rPr>
        <w:t>Sala de Consulta y Servicio Civil</w:t>
      </w:r>
      <w:r>
        <w:rPr>
          <w:rFonts w:ascii="Arial" w:hAnsi="Arial" w:cs="Arial"/>
          <w:color w:val="000000" w:themeColor="text1"/>
          <w:sz w:val="22"/>
          <w:szCs w:val="22"/>
          <w:bdr w:val="none" w:sz="0" w:space="0" w:color="auto" w:frame="1"/>
          <w:shd w:val="clear" w:color="auto" w:fill="FFFFFF"/>
          <w:lang w:val="es-MX"/>
        </w:rPr>
        <w:t xml:space="preserve"> del </w:t>
      </w:r>
      <w:r w:rsidRPr="00F666B7">
        <w:rPr>
          <w:rFonts w:ascii="Arial" w:hAnsi="Arial" w:cs="Arial"/>
          <w:color w:val="000000" w:themeColor="text1"/>
          <w:sz w:val="22"/>
          <w:szCs w:val="22"/>
          <w:bdr w:val="none" w:sz="0" w:space="0" w:color="auto" w:frame="1"/>
          <w:shd w:val="clear" w:color="auto" w:fill="FFFFFF"/>
          <w:lang w:val="es-ES"/>
        </w:rPr>
        <w:t>Consejo de Estado</w:t>
      </w:r>
      <w:r w:rsidRPr="00F666B7">
        <w:rPr>
          <w:rFonts w:ascii="Arial" w:hAnsi="Arial" w:cs="Arial"/>
          <w:color w:val="000000" w:themeColor="text1"/>
          <w:sz w:val="22"/>
          <w:szCs w:val="22"/>
          <w:bdr w:val="none" w:sz="0" w:space="0" w:color="auto" w:frame="1"/>
          <w:shd w:val="clear" w:color="auto" w:fill="FFFFFF"/>
          <w:lang w:val="es-MX"/>
        </w:rPr>
        <w:t>, en concepto del 28 de junio de 2016</w:t>
      </w:r>
      <w:r>
        <w:rPr>
          <w:rStyle w:val="Refdenotaalpie"/>
          <w:rFonts w:ascii="Arial" w:hAnsi="Arial" w:cs="Arial"/>
          <w:color w:val="000000" w:themeColor="text1"/>
          <w:sz w:val="22"/>
          <w:szCs w:val="22"/>
          <w:bdr w:val="none" w:sz="0" w:space="0" w:color="auto" w:frame="1"/>
          <w:shd w:val="clear" w:color="auto" w:fill="FFFFFF"/>
          <w:lang w:val="es-MX"/>
        </w:rPr>
        <w:footnoteReference w:id="9"/>
      </w:r>
      <w:r w:rsidRPr="00F666B7">
        <w:rPr>
          <w:rFonts w:ascii="Arial" w:hAnsi="Arial" w:cs="Arial"/>
          <w:color w:val="000000" w:themeColor="text1"/>
          <w:sz w:val="22"/>
          <w:szCs w:val="22"/>
          <w:bdr w:val="none" w:sz="0" w:space="0" w:color="auto" w:frame="1"/>
          <w:shd w:val="clear" w:color="auto" w:fill="FFFFFF"/>
          <w:lang w:val="es-MX"/>
        </w:rPr>
        <w:t>, manifestó que:  </w:t>
      </w:r>
    </w:p>
    <w:p w14:paraId="2834D64F" w14:textId="77777777" w:rsidR="001241ED" w:rsidRPr="00F666B7" w:rsidRDefault="001241ED" w:rsidP="001241ED">
      <w:pPr>
        <w:spacing w:line="276" w:lineRule="auto"/>
        <w:ind w:left="705" w:right="750"/>
        <w:jc w:val="both"/>
        <w:rPr>
          <w:rFonts w:ascii="Arial" w:hAnsi="Arial" w:cs="Arial"/>
          <w:color w:val="000000" w:themeColor="text1"/>
          <w:sz w:val="22"/>
          <w:szCs w:val="22"/>
        </w:rPr>
      </w:pPr>
    </w:p>
    <w:p w14:paraId="0E0E49FA" w14:textId="77777777" w:rsidR="001241ED" w:rsidRPr="00DD74BB" w:rsidRDefault="001241ED" w:rsidP="001241ED">
      <w:pPr>
        <w:ind w:left="705" w:right="750"/>
        <w:jc w:val="both"/>
        <w:rPr>
          <w:rFonts w:ascii="Arial" w:hAnsi="Arial" w:cs="Arial"/>
          <w:color w:val="000000" w:themeColor="text1"/>
          <w:sz w:val="21"/>
          <w:szCs w:val="21"/>
        </w:rPr>
      </w:pPr>
      <w:r>
        <w:rPr>
          <w:rFonts w:ascii="Arial" w:eastAsia="Calibri" w:hAnsi="Arial" w:cs="Arial"/>
          <w:color w:val="000000" w:themeColor="text1"/>
          <w:sz w:val="21"/>
          <w:szCs w:val="21"/>
          <w:lang w:val="es-ES"/>
        </w:rPr>
        <w:t>[</w:t>
      </w:r>
      <w:r w:rsidRPr="00DD74BB">
        <w:rPr>
          <w:rFonts w:ascii="Arial" w:hAnsi="Arial" w:cs="Arial"/>
          <w:color w:val="000000" w:themeColor="text1"/>
          <w:sz w:val="21"/>
          <w:szCs w:val="21"/>
          <w:bdr w:val="none" w:sz="0" w:space="0" w:color="auto" w:frame="1"/>
          <w:shd w:val="clear" w:color="auto" w:fill="FFFFFF"/>
        </w:rPr>
        <w:t>…</w:t>
      </w:r>
      <w:r>
        <w:rPr>
          <w:rFonts w:ascii="Arial" w:hAnsi="Arial" w:cs="Arial"/>
          <w:color w:val="000000" w:themeColor="text1"/>
          <w:sz w:val="21"/>
          <w:szCs w:val="21"/>
          <w:bdr w:val="none" w:sz="0" w:space="0" w:color="auto" w:frame="1"/>
          <w:shd w:val="clear" w:color="auto" w:fill="FFFFFF"/>
        </w:rPr>
        <w:t>]</w:t>
      </w:r>
      <w:r w:rsidRPr="00DD74BB">
        <w:rPr>
          <w:rFonts w:ascii="Arial" w:hAnsi="Arial" w:cs="Arial"/>
          <w:color w:val="000000" w:themeColor="text1"/>
          <w:sz w:val="21"/>
          <w:szCs w:val="21"/>
          <w:bdr w:val="none" w:sz="0" w:space="0" w:color="auto" w:frame="1"/>
          <w:shd w:val="clear" w:color="auto" w:fill="FFFFFF"/>
          <w:lang w:val="es-ES"/>
        </w:rPr>
        <w:t xml:space="preserve">se debe tener en cuenta que la liquidación unilateral es subsidiaria o supletoria frente a la bilateral, dado que el contratista tiene derecho a acordar la liquidación, debidamente reconocido por el ordenamiento jurídico. Para tal efecto, el contratista debe ser convocado o citado por la entidad contratante con el fin de intentar la liquidación bilateral, puesto que en el supuesto caso de que no sea así, la </w:t>
      </w:r>
      <w:r>
        <w:rPr>
          <w:rFonts w:ascii="Arial" w:hAnsi="Arial" w:cs="Arial"/>
          <w:color w:val="000000" w:themeColor="text1"/>
          <w:sz w:val="21"/>
          <w:szCs w:val="21"/>
          <w:bdr w:val="none" w:sz="0" w:space="0" w:color="auto" w:frame="1"/>
          <w:shd w:val="clear" w:color="auto" w:fill="FFFFFF"/>
          <w:lang w:val="es-ES"/>
        </w:rPr>
        <w:t>(.</w:t>
      </w:r>
      <w:r w:rsidRPr="00DD74BB">
        <w:rPr>
          <w:rFonts w:ascii="Arial" w:hAnsi="Arial" w:cs="Arial"/>
          <w:color w:val="000000" w:themeColor="text1"/>
          <w:sz w:val="21"/>
          <w:szCs w:val="21"/>
          <w:bdr w:val="none" w:sz="0" w:space="0" w:color="auto" w:frame="1"/>
          <w:shd w:val="clear" w:color="auto" w:fill="FFFFFF"/>
          <w:lang w:val="es-ES"/>
        </w:rPr>
        <w:t>liquidación unilateral posterior que llegase a practicar la administración resultaría inválida, dado que no tendría competencia material para hacerla y por cuanto su adopción con tal omisión vulneraría el derecho del contratista al debido proceso y sus corolarios de defensa y contradicción y, además, configuraría un abuso de poder. </w:t>
      </w:r>
      <w:r w:rsidRPr="00DD74BB">
        <w:rPr>
          <w:rFonts w:ascii="Arial" w:hAnsi="Arial" w:cs="Arial"/>
          <w:color w:val="000000" w:themeColor="text1"/>
          <w:sz w:val="21"/>
          <w:szCs w:val="21"/>
          <w:bdr w:val="none" w:sz="0" w:space="0" w:color="auto" w:frame="1"/>
          <w:shd w:val="clear" w:color="auto" w:fill="FFFFFF"/>
        </w:rPr>
        <w:t>  </w:t>
      </w:r>
    </w:p>
    <w:p w14:paraId="5538B4EA" w14:textId="77777777" w:rsidR="001241ED" w:rsidRPr="00F666B7" w:rsidRDefault="001241ED" w:rsidP="001241ED">
      <w:pPr>
        <w:spacing w:line="276" w:lineRule="auto"/>
        <w:ind w:left="705" w:right="750"/>
        <w:jc w:val="both"/>
        <w:rPr>
          <w:rFonts w:ascii="Arial" w:hAnsi="Arial" w:cs="Arial"/>
          <w:color w:val="000000" w:themeColor="text1"/>
          <w:sz w:val="22"/>
          <w:szCs w:val="22"/>
        </w:rPr>
      </w:pPr>
    </w:p>
    <w:p w14:paraId="7B815E94" w14:textId="77777777" w:rsidR="001241ED" w:rsidRPr="00F666B7" w:rsidRDefault="001241ED" w:rsidP="001241ED">
      <w:pPr>
        <w:spacing w:after="120" w:line="276" w:lineRule="auto"/>
        <w:ind w:firstLine="705"/>
        <w:jc w:val="both"/>
        <w:rPr>
          <w:rFonts w:ascii="Arial" w:hAnsi="Arial" w:cs="Arial"/>
          <w:color w:val="000000" w:themeColor="text1"/>
          <w:sz w:val="22"/>
          <w:szCs w:val="22"/>
        </w:rPr>
      </w:pPr>
      <w:r w:rsidRPr="00F666B7">
        <w:rPr>
          <w:rFonts w:ascii="Arial" w:hAnsi="Arial" w:cs="Arial"/>
          <w:color w:val="000000" w:themeColor="text1"/>
          <w:sz w:val="22"/>
          <w:szCs w:val="22"/>
          <w:bdr w:val="none" w:sz="0" w:space="0" w:color="auto" w:frame="1"/>
          <w:shd w:val="clear" w:color="auto" w:fill="FFFFFF"/>
          <w:lang w:val="es-ES"/>
        </w:rPr>
        <w:t>Si no se logra la liquidación bilateral del contrato, la entidad estatal tiene la facultad de liquidar</w:t>
      </w:r>
      <w:r>
        <w:rPr>
          <w:rFonts w:ascii="Arial" w:hAnsi="Arial" w:cs="Arial"/>
          <w:color w:val="000000" w:themeColor="text1"/>
          <w:sz w:val="22"/>
          <w:szCs w:val="22"/>
          <w:bdr w:val="none" w:sz="0" w:space="0" w:color="auto" w:frame="1"/>
          <w:shd w:val="clear" w:color="auto" w:fill="FFFFFF"/>
          <w:lang w:val="es-ES"/>
        </w:rPr>
        <w:t>lo</w:t>
      </w:r>
      <w:r w:rsidRPr="00F666B7">
        <w:rPr>
          <w:rFonts w:ascii="Arial" w:hAnsi="Arial" w:cs="Arial"/>
          <w:color w:val="000000" w:themeColor="text1"/>
          <w:sz w:val="22"/>
          <w:szCs w:val="22"/>
          <w:bdr w:val="none" w:sz="0" w:space="0" w:color="auto" w:frame="1"/>
          <w:shd w:val="clear" w:color="auto" w:fill="FFFFFF"/>
          <w:lang w:val="es-ES"/>
        </w:rPr>
        <w:t xml:space="preserve"> unilateralmente </w:t>
      </w:r>
      <w:r>
        <w:rPr>
          <w:rFonts w:ascii="Arial" w:hAnsi="Arial" w:cs="Arial"/>
          <w:color w:val="000000" w:themeColor="text1"/>
          <w:sz w:val="22"/>
          <w:szCs w:val="22"/>
          <w:bdr w:val="none" w:sz="0" w:space="0" w:color="auto" w:frame="1"/>
          <w:shd w:val="clear" w:color="auto" w:fill="FFFFFF"/>
          <w:lang w:val="es-ES"/>
        </w:rPr>
        <w:t>dentro d</w:t>
      </w:r>
      <w:r w:rsidRPr="00F666B7">
        <w:rPr>
          <w:rFonts w:ascii="Arial" w:hAnsi="Arial" w:cs="Arial"/>
          <w:color w:val="000000" w:themeColor="text1"/>
          <w:sz w:val="22"/>
          <w:szCs w:val="22"/>
          <w:bdr w:val="none" w:sz="0" w:space="0" w:color="auto" w:frame="1"/>
          <w:shd w:val="clear" w:color="auto" w:fill="FFFFFF"/>
          <w:lang w:val="es-ES"/>
        </w:rPr>
        <w:t>el término de 2 meses contados a partir del</w:t>
      </w:r>
      <w:r>
        <w:rPr>
          <w:rFonts w:ascii="Arial" w:hAnsi="Arial" w:cs="Arial"/>
          <w:color w:val="000000" w:themeColor="text1"/>
          <w:sz w:val="22"/>
          <w:szCs w:val="22"/>
          <w:bdr w:val="none" w:sz="0" w:space="0" w:color="auto" w:frame="1"/>
          <w:shd w:val="clear" w:color="auto" w:fill="FFFFFF"/>
          <w:lang w:val="es-ES"/>
        </w:rPr>
        <w:t xml:space="preserve"> </w:t>
      </w:r>
      <w:r w:rsidRPr="00F666B7">
        <w:rPr>
          <w:rFonts w:ascii="Arial" w:hAnsi="Arial" w:cs="Arial"/>
          <w:color w:val="000000" w:themeColor="text1"/>
          <w:sz w:val="22"/>
          <w:szCs w:val="22"/>
          <w:bdr w:val="none" w:sz="0" w:space="0" w:color="auto" w:frame="1"/>
          <w:shd w:val="clear" w:color="auto" w:fill="FFFFFF"/>
          <w:lang w:val="es-ES"/>
        </w:rPr>
        <w:t xml:space="preserve">vencimiento del plazo que acuerden las partes para liquidar bilateralmente o, ante el silencio de estas, del vencimiento de los 4 meses supletivo establecido por la </w:t>
      </w:r>
      <w:r>
        <w:rPr>
          <w:rFonts w:ascii="Arial" w:hAnsi="Arial" w:cs="Arial"/>
          <w:color w:val="000000" w:themeColor="text1"/>
          <w:sz w:val="22"/>
          <w:szCs w:val="22"/>
          <w:bdr w:val="none" w:sz="0" w:space="0" w:color="auto" w:frame="1"/>
          <w:shd w:val="clear" w:color="auto" w:fill="FFFFFF"/>
          <w:lang w:val="es-ES"/>
        </w:rPr>
        <w:t>l</w:t>
      </w:r>
      <w:r w:rsidRPr="00F666B7">
        <w:rPr>
          <w:rFonts w:ascii="Arial" w:hAnsi="Arial" w:cs="Arial"/>
          <w:color w:val="000000" w:themeColor="text1"/>
          <w:sz w:val="22"/>
          <w:szCs w:val="22"/>
          <w:bdr w:val="none" w:sz="0" w:space="0" w:color="auto" w:frame="1"/>
          <w:shd w:val="clear" w:color="auto" w:fill="FFFFFF"/>
          <w:lang w:val="es-ES"/>
        </w:rPr>
        <w:t>ey. </w:t>
      </w:r>
    </w:p>
    <w:p w14:paraId="2D165159" w14:textId="77777777" w:rsidR="001241ED" w:rsidRDefault="001241ED" w:rsidP="001241ED">
      <w:pPr>
        <w:spacing w:line="276" w:lineRule="auto"/>
        <w:ind w:firstLine="705"/>
        <w:jc w:val="both"/>
        <w:rPr>
          <w:rFonts w:ascii="Arial" w:hAnsi="Arial" w:cs="Arial"/>
          <w:color w:val="000000" w:themeColor="text1"/>
          <w:sz w:val="22"/>
          <w:szCs w:val="22"/>
          <w:bdr w:val="none" w:sz="0" w:space="0" w:color="auto" w:frame="1"/>
          <w:shd w:val="clear" w:color="auto" w:fill="FFFFFF"/>
        </w:rPr>
      </w:pPr>
      <w:r w:rsidRPr="00F666B7">
        <w:rPr>
          <w:rFonts w:ascii="Arial" w:hAnsi="Arial" w:cs="Arial"/>
          <w:color w:val="000000" w:themeColor="text1"/>
          <w:sz w:val="22"/>
          <w:szCs w:val="22"/>
          <w:bdr w:val="none" w:sz="0" w:space="0" w:color="auto" w:frame="1"/>
          <w:shd w:val="clear" w:color="auto" w:fill="FFFFFF"/>
          <w:lang w:val="es-ES"/>
        </w:rPr>
        <w:t>Finalmente, transcurridos estos meses, la liquidación podrá ser realizada en cualquier tiempo dentro de los dos años siguientes al vencimiento del término referido</w:t>
      </w:r>
      <w:r>
        <w:rPr>
          <w:rFonts w:ascii="Arial" w:hAnsi="Arial" w:cs="Arial"/>
          <w:color w:val="000000" w:themeColor="text1"/>
          <w:sz w:val="22"/>
          <w:szCs w:val="22"/>
          <w:bdr w:val="none" w:sz="0" w:space="0" w:color="auto" w:frame="1"/>
          <w:shd w:val="clear" w:color="auto" w:fill="FFFFFF"/>
          <w:lang w:val="es-ES"/>
        </w:rPr>
        <w:t>, de mutuo acuerdo o unilateralmente, salvo que el contratista haya presentado la demanda con la cual pretenda la liquidación judicial del contrato</w:t>
      </w:r>
      <w:r w:rsidRPr="00F666B7">
        <w:rPr>
          <w:rFonts w:ascii="Arial" w:hAnsi="Arial" w:cs="Arial"/>
          <w:color w:val="000000" w:themeColor="text1"/>
          <w:sz w:val="22"/>
          <w:szCs w:val="22"/>
          <w:bdr w:val="none" w:sz="0" w:space="0" w:color="auto" w:frame="1"/>
          <w:shd w:val="clear" w:color="auto" w:fill="FFFFFF"/>
          <w:lang w:val="es-ES"/>
        </w:rPr>
        <w:t xml:space="preserve">. </w:t>
      </w:r>
      <w:r>
        <w:rPr>
          <w:rFonts w:ascii="Arial" w:hAnsi="Arial" w:cs="Arial"/>
          <w:color w:val="000000" w:themeColor="text1"/>
          <w:sz w:val="22"/>
          <w:szCs w:val="22"/>
          <w:bdr w:val="none" w:sz="0" w:space="0" w:color="auto" w:frame="1"/>
          <w:shd w:val="clear" w:color="auto" w:fill="FFFFFF"/>
          <w:lang w:val="es-ES"/>
        </w:rPr>
        <w:t>De esta manera, d</w:t>
      </w:r>
      <w:r w:rsidRPr="00F666B7">
        <w:rPr>
          <w:rFonts w:ascii="Arial" w:hAnsi="Arial" w:cs="Arial"/>
          <w:color w:val="000000" w:themeColor="text1"/>
          <w:sz w:val="22"/>
          <w:szCs w:val="22"/>
          <w:bdr w:val="none" w:sz="0" w:space="0" w:color="auto" w:frame="1"/>
          <w:shd w:val="clear" w:color="auto" w:fill="FFFFFF"/>
          <w:lang w:val="es-ES"/>
        </w:rPr>
        <w:t xml:space="preserve">urante estos dos años la liquidación podrá hacerse de mutuo acuerdo, unilateralmente por la entidad, o podrá ser solicitada judicialmente por el interesado. En este sentido, en decisión de </w:t>
      </w:r>
      <w:r>
        <w:rPr>
          <w:rFonts w:ascii="Arial" w:hAnsi="Arial" w:cs="Arial"/>
          <w:color w:val="000000" w:themeColor="text1"/>
          <w:sz w:val="22"/>
          <w:szCs w:val="22"/>
          <w:bdr w:val="none" w:sz="0" w:space="0" w:color="auto" w:frame="1"/>
          <w:shd w:val="clear" w:color="auto" w:fill="FFFFFF"/>
          <w:lang w:val="es-ES"/>
        </w:rPr>
        <w:t>u</w:t>
      </w:r>
      <w:r w:rsidRPr="00F666B7">
        <w:rPr>
          <w:rFonts w:ascii="Arial" w:hAnsi="Arial" w:cs="Arial"/>
          <w:color w:val="000000" w:themeColor="text1"/>
          <w:sz w:val="22"/>
          <w:szCs w:val="22"/>
          <w:bdr w:val="none" w:sz="0" w:space="0" w:color="auto" w:frame="1"/>
          <w:shd w:val="clear" w:color="auto" w:fill="FFFFFF"/>
          <w:lang w:val="es-ES"/>
        </w:rPr>
        <w:t xml:space="preserve">nificación </w:t>
      </w:r>
      <w:r>
        <w:rPr>
          <w:rFonts w:ascii="Arial" w:hAnsi="Arial" w:cs="Arial"/>
          <w:color w:val="000000" w:themeColor="text1"/>
          <w:sz w:val="22"/>
          <w:szCs w:val="22"/>
          <w:bdr w:val="none" w:sz="0" w:space="0" w:color="auto" w:frame="1"/>
          <w:shd w:val="clear" w:color="auto" w:fill="FFFFFF"/>
          <w:lang w:val="es-ES"/>
        </w:rPr>
        <w:t>de la</w:t>
      </w:r>
      <w:r w:rsidRPr="00F666B7">
        <w:rPr>
          <w:rFonts w:ascii="Arial" w:hAnsi="Arial" w:cs="Arial"/>
          <w:color w:val="000000" w:themeColor="text1"/>
          <w:sz w:val="22"/>
          <w:szCs w:val="22"/>
          <w:bdr w:val="none" w:sz="0" w:space="0" w:color="auto" w:frame="1"/>
          <w:shd w:val="clear" w:color="auto" w:fill="FFFFFF"/>
          <w:lang w:val="es-ES"/>
        </w:rPr>
        <w:t xml:space="preserve"> </w:t>
      </w:r>
      <w:r w:rsidRPr="00F666B7">
        <w:rPr>
          <w:rFonts w:ascii="Arial" w:hAnsi="Arial" w:cs="Arial"/>
          <w:color w:val="000000" w:themeColor="text1"/>
          <w:sz w:val="22"/>
          <w:szCs w:val="22"/>
          <w:bdr w:val="none" w:sz="0" w:space="0" w:color="auto" w:frame="1"/>
          <w:shd w:val="clear" w:color="auto" w:fill="FFFFFF"/>
          <w:lang w:val="es-MX"/>
        </w:rPr>
        <w:t>Sección Tercera</w:t>
      </w:r>
      <w:r w:rsidRPr="00F666B7">
        <w:rPr>
          <w:rFonts w:ascii="Arial" w:hAnsi="Arial" w:cs="Arial"/>
          <w:color w:val="000000" w:themeColor="text1"/>
          <w:sz w:val="22"/>
          <w:szCs w:val="22"/>
          <w:bdr w:val="none" w:sz="0" w:space="0" w:color="auto" w:frame="1"/>
          <w:shd w:val="clear" w:color="auto" w:fill="FFFFFF"/>
          <w:lang w:val="es-ES"/>
        </w:rPr>
        <w:t xml:space="preserve"> </w:t>
      </w:r>
      <w:r>
        <w:rPr>
          <w:rFonts w:ascii="Arial" w:hAnsi="Arial" w:cs="Arial"/>
          <w:color w:val="000000" w:themeColor="text1"/>
          <w:sz w:val="22"/>
          <w:szCs w:val="22"/>
          <w:bdr w:val="none" w:sz="0" w:space="0" w:color="auto" w:frame="1"/>
          <w:shd w:val="clear" w:color="auto" w:fill="FFFFFF"/>
          <w:lang w:val="es-ES"/>
        </w:rPr>
        <w:t xml:space="preserve">del </w:t>
      </w:r>
      <w:r w:rsidRPr="00F666B7">
        <w:rPr>
          <w:rFonts w:ascii="Arial" w:hAnsi="Arial" w:cs="Arial"/>
          <w:color w:val="000000" w:themeColor="text1"/>
          <w:sz w:val="22"/>
          <w:szCs w:val="22"/>
          <w:bdr w:val="none" w:sz="0" w:space="0" w:color="auto" w:frame="1"/>
          <w:shd w:val="clear" w:color="auto" w:fill="FFFFFF"/>
          <w:lang w:val="es-ES"/>
        </w:rPr>
        <w:t>Consejo de Estado</w:t>
      </w:r>
      <w:r>
        <w:rPr>
          <w:rFonts w:ascii="Arial" w:hAnsi="Arial" w:cs="Arial"/>
          <w:color w:val="000000" w:themeColor="text1"/>
          <w:sz w:val="22"/>
          <w:szCs w:val="22"/>
          <w:bdr w:val="none" w:sz="0" w:space="0" w:color="auto" w:frame="1"/>
          <w:shd w:val="clear" w:color="auto" w:fill="FFFFFF"/>
          <w:lang w:val="es-ES"/>
        </w:rPr>
        <w:t>, del</w:t>
      </w:r>
      <w:r w:rsidRPr="00F666B7">
        <w:rPr>
          <w:rFonts w:ascii="Arial" w:hAnsi="Arial" w:cs="Arial"/>
          <w:color w:val="000000" w:themeColor="text1"/>
          <w:sz w:val="22"/>
          <w:szCs w:val="22"/>
          <w:bdr w:val="none" w:sz="0" w:space="0" w:color="auto" w:frame="1"/>
          <w:shd w:val="clear" w:color="auto" w:fill="FFFFFF"/>
          <w:lang w:val="es-MX"/>
        </w:rPr>
        <w:t> </w:t>
      </w:r>
      <w:r w:rsidRPr="00F666B7">
        <w:rPr>
          <w:rFonts w:ascii="Arial" w:hAnsi="Arial" w:cs="Arial"/>
          <w:color w:val="000000" w:themeColor="text1"/>
          <w:sz w:val="22"/>
          <w:szCs w:val="22"/>
          <w:bdr w:val="none" w:sz="0" w:space="0" w:color="auto" w:frame="1"/>
          <w:shd w:val="clear" w:color="auto" w:fill="FFFFFF"/>
        </w:rPr>
        <w:t>1 de agosto de 2019</w:t>
      </w:r>
      <w:r>
        <w:rPr>
          <w:rStyle w:val="Refdenotaalpie"/>
          <w:rFonts w:ascii="Arial" w:hAnsi="Arial" w:cs="Arial"/>
          <w:color w:val="000000" w:themeColor="text1"/>
          <w:sz w:val="22"/>
          <w:szCs w:val="22"/>
          <w:bdr w:val="none" w:sz="0" w:space="0" w:color="auto" w:frame="1"/>
          <w:shd w:val="clear" w:color="auto" w:fill="FFFFFF"/>
        </w:rPr>
        <w:footnoteReference w:id="10"/>
      </w:r>
      <w:r>
        <w:rPr>
          <w:rFonts w:ascii="Arial" w:hAnsi="Arial" w:cs="Arial"/>
          <w:color w:val="000000" w:themeColor="text1"/>
          <w:sz w:val="22"/>
          <w:szCs w:val="22"/>
          <w:bdr w:val="none" w:sz="0" w:space="0" w:color="auto" w:frame="1"/>
          <w:shd w:val="clear" w:color="auto" w:fill="FFFFFF"/>
        </w:rPr>
        <w:t>, se expresó</w:t>
      </w:r>
      <w:r w:rsidRPr="00F666B7">
        <w:rPr>
          <w:rFonts w:ascii="Arial" w:hAnsi="Arial" w:cs="Arial"/>
          <w:color w:val="000000" w:themeColor="text1"/>
          <w:sz w:val="22"/>
          <w:szCs w:val="22"/>
          <w:bdr w:val="none" w:sz="0" w:space="0" w:color="auto" w:frame="1"/>
          <w:shd w:val="clear" w:color="auto" w:fill="FFFFFF"/>
        </w:rPr>
        <w:t>: </w:t>
      </w:r>
    </w:p>
    <w:p w14:paraId="4C3B874B" w14:textId="77777777" w:rsidR="001241ED" w:rsidRPr="00F666B7" w:rsidRDefault="001241ED" w:rsidP="001241ED">
      <w:pPr>
        <w:spacing w:line="276" w:lineRule="auto"/>
        <w:ind w:firstLine="705"/>
        <w:jc w:val="both"/>
        <w:rPr>
          <w:rFonts w:ascii="Arial" w:hAnsi="Arial" w:cs="Arial"/>
          <w:color w:val="000000" w:themeColor="text1"/>
          <w:sz w:val="22"/>
          <w:szCs w:val="22"/>
        </w:rPr>
      </w:pPr>
    </w:p>
    <w:p w14:paraId="22C2186C" w14:textId="77777777" w:rsidR="001241ED" w:rsidRPr="00820BC4" w:rsidRDefault="001241ED" w:rsidP="001241ED">
      <w:pPr>
        <w:ind w:left="705" w:right="750"/>
        <w:jc w:val="both"/>
        <w:rPr>
          <w:rFonts w:ascii="Arial" w:hAnsi="Arial" w:cs="Arial"/>
          <w:color w:val="000000" w:themeColor="text1"/>
          <w:sz w:val="21"/>
          <w:szCs w:val="21"/>
        </w:rPr>
      </w:pPr>
      <w:r w:rsidRPr="00820BC4">
        <w:rPr>
          <w:rFonts w:ascii="Arial" w:hAnsi="Arial" w:cs="Arial"/>
          <w:color w:val="000000" w:themeColor="text1"/>
          <w:sz w:val="21"/>
          <w:szCs w:val="21"/>
          <w:bdr w:val="none" w:sz="0" w:space="0" w:color="auto" w:frame="1"/>
          <w:shd w:val="clear" w:color="auto" w:fill="FFFFFF"/>
          <w:lang w:val="es-ES"/>
        </w:rPr>
        <w:t xml:space="preserve">Como pudo apreciarse, este precepto legal permite que la liquidación bilateral se acuerde después del vencimiento del término pactado en el contrato o previsto en los documentos antepuestos, o, del término supletorio que para la concertación de la liquidación establece la ley, e  incluso, después de haber pasado los dos meses subsiguientes a dicho vencimiento sin que la </w:t>
      </w:r>
      <w:r w:rsidRPr="00820BC4">
        <w:rPr>
          <w:rFonts w:ascii="Arial" w:hAnsi="Arial" w:cs="Arial"/>
          <w:color w:val="000000" w:themeColor="text1"/>
          <w:sz w:val="21"/>
          <w:szCs w:val="21"/>
          <w:bdr w:val="none" w:sz="0" w:space="0" w:color="auto" w:frame="1"/>
          <w:shd w:val="clear" w:color="auto" w:fill="FFFFFF"/>
          <w:lang w:val="es-ES"/>
        </w:rPr>
        <w:lastRenderedPageBreak/>
        <w:t>administración lo hubiera liquidado unilateralmente, bajo condición de que el acuerdo liquidatorio se logre dentro del lapso de dos años contados a partir del vencimiento del término legalmente conocido para la liquidación unilateral, pues ese es el lapso que el ordenamiento ha fijado para el ejercicio oportuno de la acción</w:t>
      </w:r>
      <w:r>
        <w:rPr>
          <w:rFonts w:ascii="Arial" w:eastAsia="Calibri" w:hAnsi="Arial" w:cs="Arial"/>
          <w:color w:val="000000" w:themeColor="text1"/>
          <w:sz w:val="21"/>
          <w:szCs w:val="21"/>
          <w:lang w:val="es-ES"/>
        </w:rPr>
        <w:t>.</w:t>
      </w:r>
    </w:p>
    <w:p w14:paraId="0B2FA85A" w14:textId="77777777" w:rsidR="001241ED" w:rsidRPr="00F666B7" w:rsidRDefault="001241ED" w:rsidP="001241ED">
      <w:pPr>
        <w:spacing w:line="276" w:lineRule="auto"/>
        <w:ind w:firstLine="708"/>
        <w:jc w:val="both"/>
        <w:rPr>
          <w:rFonts w:ascii="Arial" w:hAnsi="Arial" w:cs="Arial"/>
          <w:color w:val="000000" w:themeColor="text1"/>
          <w:sz w:val="22"/>
          <w:szCs w:val="22"/>
        </w:rPr>
      </w:pPr>
    </w:p>
    <w:p w14:paraId="3E5A3241" w14:textId="77777777" w:rsidR="001241ED" w:rsidRDefault="001241ED" w:rsidP="001241ED">
      <w:pPr>
        <w:spacing w:line="276" w:lineRule="auto"/>
        <w:ind w:right="106" w:firstLine="705"/>
        <w:jc w:val="both"/>
        <w:rPr>
          <w:rFonts w:ascii="Arial" w:hAnsi="Arial" w:cs="Arial"/>
          <w:color w:val="000000" w:themeColor="text1"/>
          <w:sz w:val="22"/>
          <w:szCs w:val="22"/>
          <w:bdr w:val="none" w:sz="0" w:space="0" w:color="auto" w:frame="1"/>
          <w:shd w:val="clear" w:color="auto" w:fill="FFFFFF"/>
        </w:rPr>
      </w:pPr>
      <w:r>
        <w:rPr>
          <w:rFonts w:ascii="Arial" w:hAnsi="Arial" w:cs="Arial"/>
          <w:color w:val="000000" w:themeColor="text1"/>
          <w:sz w:val="22"/>
          <w:szCs w:val="22"/>
          <w:bdr w:val="none" w:sz="0" w:space="0" w:color="auto" w:frame="1"/>
          <w:shd w:val="clear" w:color="auto" w:fill="FFFFFF"/>
        </w:rPr>
        <w:t>A su turno, en relación con la pérdida de competencia de la administración para liquidar el contrato unilateralmente, ante la presentación de una demanda, el Consejo de Estado, en sentencia del 1 de junio de 2020, varió la línea jurisprudencial, en el sentido de ubicar la pérdida de competencia con la presentación de la demanda, y no en la notificación del auto admisorio, como se sostenía anteriormente. En efecto, se indicó que:</w:t>
      </w:r>
    </w:p>
    <w:p w14:paraId="2546ABE0" w14:textId="77777777" w:rsidR="001241ED" w:rsidRDefault="001241ED" w:rsidP="001241ED">
      <w:pPr>
        <w:spacing w:line="276" w:lineRule="auto"/>
        <w:ind w:right="106" w:firstLine="705"/>
        <w:jc w:val="both"/>
        <w:rPr>
          <w:rFonts w:ascii="Arial" w:hAnsi="Arial" w:cs="Arial"/>
          <w:color w:val="000000" w:themeColor="text1"/>
          <w:sz w:val="22"/>
          <w:szCs w:val="22"/>
          <w:bdr w:val="none" w:sz="0" w:space="0" w:color="auto" w:frame="1"/>
          <w:shd w:val="clear" w:color="auto" w:fill="FFFFFF"/>
        </w:rPr>
      </w:pPr>
    </w:p>
    <w:p w14:paraId="233C760F" w14:textId="77777777" w:rsidR="001241ED" w:rsidRPr="003775F7" w:rsidRDefault="001241ED" w:rsidP="001241ED">
      <w:pPr>
        <w:ind w:left="709" w:right="758"/>
        <w:jc w:val="both"/>
        <w:rPr>
          <w:rFonts w:ascii="Arial" w:hAnsi="Arial" w:cs="Arial"/>
          <w:color w:val="000000" w:themeColor="text1"/>
          <w:sz w:val="21"/>
          <w:szCs w:val="21"/>
          <w:bdr w:val="none" w:sz="0" w:space="0" w:color="auto" w:frame="1"/>
          <w:shd w:val="clear" w:color="auto" w:fill="FFFFFF"/>
        </w:rPr>
      </w:pPr>
      <w:r w:rsidRPr="003775F7">
        <w:rPr>
          <w:rFonts w:ascii="Arial" w:hAnsi="Arial" w:cs="Arial"/>
          <w:color w:val="000000" w:themeColor="text1"/>
          <w:sz w:val="21"/>
          <w:szCs w:val="21"/>
          <w:bdr w:val="none" w:sz="0" w:space="0" w:color="auto" w:frame="1"/>
          <w:shd w:val="clear" w:color="auto" w:fill="FFFFFF"/>
        </w:rPr>
        <w:t xml:space="preserve">La Corporación ha señalado de manera consistente que la Administración pierde la competencia para liquidar el contrato cuando el contratista, previamente, haya instaurado la acción judicial correspondiente, fenómeno que se explica por el traslado de esa competencia a otra autoridad […] La jurisprudencia ha sostenido, a partir de lo preceptuado en el literal d) del numeral 10 del artículo 136 del CCA, </w:t>
      </w:r>
      <w:r>
        <w:rPr>
          <w:rFonts w:ascii="Arial" w:hAnsi="Arial" w:cs="Arial"/>
          <w:color w:val="000000" w:themeColor="text1"/>
          <w:sz w:val="21"/>
          <w:szCs w:val="21"/>
          <w:bdr w:val="none" w:sz="0" w:space="0" w:color="auto" w:frame="1"/>
          <w:shd w:val="clear" w:color="auto" w:fill="FFFFFF"/>
        </w:rPr>
        <w:t>[</w:t>
      </w:r>
      <w:r w:rsidRPr="003775F7">
        <w:rPr>
          <w:rFonts w:ascii="Arial" w:hAnsi="Arial" w:cs="Arial"/>
          <w:color w:val="000000" w:themeColor="text1"/>
          <w:sz w:val="21"/>
          <w:szCs w:val="21"/>
          <w:bdr w:val="none" w:sz="0" w:space="0" w:color="auto" w:frame="1"/>
          <w:shd w:val="clear" w:color="auto" w:fill="FFFFFF"/>
        </w:rPr>
        <w:t>subrogado por el artículo 44 de la ley 446 de 1998] , que la notificación del auto admisorio de la demanda que tenga por objeto la liquidación judicial del contrato es el hito que genera la pérdida de competencia de la entidad para ejercer la facultad de liquidar unilateralmente el contrato, mientras esta no lo haya liquidado unilateral o bilateralmente. […] No obstante, la Sala encuentra que el punto de partida de la pérdida de competencia que se fijó jurisprudencialmente es susceptible de ser revisado, a partir del empleo de un criterio de interpretación que resulte coherente con los efectos procesales que el legislador fijó la presentación de la demanda. […] [L]a demanda produce numerosos e importantes efectos jurídicos materiales que equivalen, en general, a un reforzamiento o intensificación, desde el punto de vista del actor, de una situación jurídica sustantiva.  Este reforzamiento se produce creando consecuencias que originalmente no existían, como la constitución en mora, o conservando consecuencias que existían, pero estaban en trance de desaparecer. La consecuencia típica de conservación es la que produce la presentación de la demanda, al interrumpir la prescripción. Al efecto, el Artículo 90 del Código de Procedimiento Civil, modificado por el decreto 2282 de 1989, aplicable a la presente controversia, […] Frente al vacío que se pretende colmar se hace necesario un ejercicio de integración normativa que esté mas</w:t>
      </w:r>
      <w:r>
        <w:rPr>
          <w:rFonts w:ascii="Arial" w:hAnsi="Arial" w:cs="Arial"/>
          <w:color w:val="000000" w:themeColor="text1"/>
          <w:sz w:val="21"/>
          <w:szCs w:val="21"/>
          <w:bdr w:val="none" w:sz="0" w:space="0" w:color="auto" w:frame="1"/>
          <w:shd w:val="clear" w:color="auto" w:fill="FFFFFF"/>
        </w:rPr>
        <w:t xml:space="preserve"> (sic)</w:t>
      </w:r>
      <w:r w:rsidRPr="003775F7">
        <w:rPr>
          <w:rFonts w:ascii="Arial" w:hAnsi="Arial" w:cs="Arial"/>
          <w:color w:val="000000" w:themeColor="text1"/>
          <w:sz w:val="21"/>
          <w:szCs w:val="21"/>
          <w:bdr w:val="none" w:sz="0" w:space="0" w:color="auto" w:frame="1"/>
          <w:shd w:val="clear" w:color="auto" w:fill="FFFFFF"/>
        </w:rPr>
        <w:t xml:space="preserve"> acorde con los efectos que la legislación procesal le atribuye a la presentación de la demanda, y que no están condicionados a su notificación. Desde este enfoque, la Sala declarará que la Administración perdió competencia para liquidar el contrato en forma unilateral, a partir de la fecha en que se presentó la demanda que pretendió su liquidación judicial</w:t>
      </w:r>
      <w:r>
        <w:rPr>
          <w:rFonts w:ascii="Arial" w:hAnsi="Arial" w:cs="Arial"/>
          <w:color w:val="000000" w:themeColor="text1"/>
          <w:sz w:val="21"/>
          <w:szCs w:val="21"/>
          <w:bdr w:val="none" w:sz="0" w:space="0" w:color="auto" w:frame="1"/>
          <w:shd w:val="clear" w:color="auto" w:fill="FFFFFF"/>
        </w:rPr>
        <w:t>.</w:t>
      </w:r>
    </w:p>
    <w:p w14:paraId="6189F470" w14:textId="77777777" w:rsidR="001241ED" w:rsidRDefault="001241ED" w:rsidP="001241ED">
      <w:pPr>
        <w:spacing w:line="276" w:lineRule="auto"/>
        <w:ind w:right="106" w:firstLine="705"/>
        <w:jc w:val="both"/>
        <w:rPr>
          <w:rFonts w:ascii="Arial" w:hAnsi="Arial" w:cs="Arial"/>
          <w:color w:val="000000" w:themeColor="text1"/>
          <w:sz w:val="22"/>
          <w:szCs w:val="22"/>
          <w:bdr w:val="none" w:sz="0" w:space="0" w:color="auto" w:frame="1"/>
          <w:shd w:val="clear" w:color="auto" w:fill="FFFFFF"/>
        </w:rPr>
      </w:pPr>
    </w:p>
    <w:p w14:paraId="04736879" w14:textId="77777777" w:rsidR="001241ED" w:rsidRPr="00F666B7" w:rsidRDefault="001241ED" w:rsidP="001241ED">
      <w:pPr>
        <w:spacing w:line="276" w:lineRule="auto"/>
        <w:ind w:right="106" w:firstLine="705"/>
        <w:jc w:val="both"/>
        <w:rPr>
          <w:rFonts w:ascii="Arial" w:hAnsi="Arial" w:cs="Arial"/>
          <w:color w:val="000000" w:themeColor="text1"/>
          <w:sz w:val="22"/>
          <w:szCs w:val="22"/>
        </w:rPr>
      </w:pPr>
      <w:r>
        <w:rPr>
          <w:rFonts w:ascii="Arial" w:hAnsi="Arial" w:cs="Arial"/>
          <w:color w:val="000000" w:themeColor="text1"/>
          <w:sz w:val="22"/>
          <w:szCs w:val="22"/>
          <w:bdr w:val="none" w:sz="0" w:space="0" w:color="auto" w:frame="1"/>
          <w:shd w:val="clear" w:color="auto" w:fill="FFFFFF"/>
        </w:rPr>
        <w:t>En armonía con lo anterior, s</w:t>
      </w:r>
      <w:r w:rsidRPr="00F666B7">
        <w:rPr>
          <w:rFonts w:ascii="Arial" w:hAnsi="Arial" w:cs="Arial"/>
          <w:color w:val="000000" w:themeColor="text1"/>
          <w:sz w:val="22"/>
          <w:szCs w:val="22"/>
          <w:bdr w:val="none" w:sz="0" w:space="0" w:color="auto" w:frame="1"/>
          <w:shd w:val="clear" w:color="auto" w:fill="FFFFFF"/>
        </w:rPr>
        <w:t>e podrá, entonces, interponer una demanda ante la jurisdicción de lo contencioso administrativo solicitando la liquidación judicial del contrato mediante el medio de control de controversias contractuales</w:t>
      </w:r>
      <w:r>
        <w:rPr>
          <w:rFonts w:ascii="Arial" w:hAnsi="Arial" w:cs="Arial"/>
          <w:color w:val="000000" w:themeColor="text1"/>
          <w:sz w:val="22"/>
          <w:szCs w:val="22"/>
          <w:bdr w:val="none" w:sz="0" w:space="0" w:color="auto" w:frame="1"/>
          <w:shd w:val="clear" w:color="auto" w:fill="FFFFFF"/>
        </w:rPr>
        <w:t>,</w:t>
      </w:r>
      <w:r w:rsidRPr="00F666B7">
        <w:rPr>
          <w:rFonts w:ascii="Arial" w:hAnsi="Arial" w:cs="Arial"/>
          <w:color w:val="000000" w:themeColor="text1"/>
          <w:sz w:val="22"/>
          <w:szCs w:val="22"/>
          <w:bdr w:val="none" w:sz="0" w:space="0" w:color="auto" w:frame="1"/>
          <w:shd w:val="clear" w:color="auto" w:fill="FFFFFF"/>
        </w:rPr>
        <w:t xml:space="preserve"> en los términos del artículo 141 del Código de Procedimiento Administrativo y de lo Contencioso Administrativo</w:t>
      </w:r>
      <w:r>
        <w:rPr>
          <w:rFonts w:ascii="Arial" w:hAnsi="Arial" w:cs="Arial"/>
          <w:color w:val="000000" w:themeColor="text1"/>
          <w:sz w:val="22"/>
          <w:szCs w:val="22"/>
          <w:bdr w:val="none" w:sz="0" w:space="0" w:color="auto" w:frame="1"/>
          <w:shd w:val="clear" w:color="auto" w:fill="FFFFFF"/>
        </w:rPr>
        <w:t xml:space="preserve"> –</w:t>
      </w:r>
      <w:r>
        <w:rPr>
          <w:rFonts w:ascii="Arial" w:hAnsi="Arial" w:cs="Arial"/>
          <w:color w:val="000000" w:themeColor="text1"/>
          <w:sz w:val="22"/>
          <w:szCs w:val="22"/>
          <w:bdr w:val="none" w:sz="0" w:space="0" w:color="auto" w:frame="1"/>
          <w:shd w:val="clear" w:color="auto" w:fill="FFFFFF"/>
        </w:rPr>
        <w:lastRenderedPageBreak/>
        <w:t>CPACA–</w:t>
      </w:r>
      <w:r w:rsidRPr="00F666B7">
        <w:rPr>
          <w:rFonts w:ascii="Arial" w:hAnsi="Arial" w:cs="Arial"/>
          <w:color w:val="000000" w:themeColor="text1"/>
          <w:sz w:val="22"/>
          <w:szCs w:val="22"/>
          <w:bdr w:val="none" w:sz="0" w:space="0" w:color="auto" w:frame="1"/>
          <w:shd w:val="clear" w:color="auto" w:fill="FFFFFF"/>
        </w:rPr>
        <w:t>. La demanda debe ser presentada dentro del término que establece el artículo 164</w:t>
      </w:r>
      <w:r>
        <w:rPr>
          <w:rFonts w:ascii="Arial" w:hAnsi="Arial" w:cs="Arial"/>
          <w:color w:val="000000" w:themeColor="text1"/>
          <w:sz w:val="22"/>
          <w:szCs w:val="22"/>
          <w:bdr w:val="none" w:sz="0" w:space="0" w:color="auto" w:frame="1"/>
          <w:shd w:val="clear" w:color="auto" w:fill="FFFFFF"/>
        </w:rPr>
        <w:t xml:space="preserve"> </w:t>
      </w:r>
      <w:r w:rsidRPr="00F666B7">
        <w:rPr>
          <w:rFonts w:ascii="Arial" w:hAnsi="Arial" w:cs="Arial"/>
          <w:color w:val="000000" w:themeColor="text1"/>
          <w:sz w:val="22"/>
          <w:szCs w:val="22"/>
          <w:bdr w:val="none" w:sz="0" w:space="0" w:color="auto" w:frame="1"/>
          <w:shd w:val="clear" w:color="auto" w:fill="FFFFFF"/>
        </w:rPr>
        <w:t xml:space="preserve">del </w:t>
      </w:r>
      <w:r>
        <w:rPr>
          <w:rFonts w:ascii="Arial" w:hAnsi="Arial" w:cs="Arial"/>
          <w:color w:val="000000" w:themeColor="text1"/>
          <w:sz w:val="22"/>
          <w:szCs w:val="22"/>
          <w:bdr w:val="none" w:sz="0" w:space="0" w:color="auto" w:frame="1"/>
          <w:shd w:val="clear" w:color="auto" w:fill="FFFFFF"/>
        </w:rPr>
        <w:t>CPACA</w:t>
      </w:r>
      <w:r w:rsidRPr="00F666B7">
        <w:rPr>
          <w:rFonts w:ascii="Arial" w:hAnsi="Arial" w:cs="Arial"/>
          <w:color w:val="000000" w:themeColor="text1"/>
          <w:sz w:val="22"/>
          <w:szCs w:val="22"/>
          <w:bdr w:val="none" w:sz="0" w:space="0" w:color="auto" w:frame="1"/>
          <w:shd w:val="clear" w:color="auto" w:fill="FFFFFF"/>
        </w:rPr>
        <w:t xml:space="preserve">, pues de lo contrario operará el fenómeno de la caducidad, por </w:t>
      </w:r>
      <w:r>
        <w:rPr>
          <w:rFonts w:ascii="Arial" w:hAnsi="Arial" w:cs="Arial"/>
          <w:color w:val="000000" w:themeColor="text1"/>
          <w:sz w:val="22"/>
          <w:szCs w:val="22"/>
          <w:bdr w:val="none" w:sz="0" w:space="0" w:color="auto" w:frame="1"/>
          <w:shd w:val="clear" w:color="auto" w:fill="FFFFFF"/>
        </w:rPr>
        <w:t>lo</w:t>
      </w:r>
      <w:r w:rsidRPr="00F666B7">
        <w:rPr>
          <w:rFonts w:ascii="Arial" w:hAnsi="Arial" w:cs="Arial"/>
          <w:color w:val="000000" w:themeColor="text1"/>
          <w:sz w:val="22"/>
          <w:szCs w:val="22"/>
          <w:bdr w:val="none" w:sz="0" w:space="0" w:color="auto" w:frame="1"/>
          <w:shd w:val="clear" w:color="auto" w:fill="FFFFFF"/>
        </w:rPr>
        <w:t xml:space="preserve"> cual no ser</w:t>
      </w:r>
      <w:r>
        <w:rPr>
          <w:rFonts w:ascii="Arial" w:hAnsi="Arial" w:cs="Arial"/>
          <w:color w:val="000000" w:themeColor="text1"/>
          <w:sz w:val="22"/>
          <w:szCs w:val="22"/>
          <w:bdr w:val="none" w:sz="0" w:space="0" w:color="auto" w:frame="1"/>
          <w:shd w:val="clear" w:color="auto" w:fill="FFFFFF"/>
        </w:rPr>
        <w:t>ía</w:t>
      </w:r>
      <w:r w:rsidRPr="00F666B7">
        <w:rPr>
          <w:rFonts w:ascii="Arial" w:hAnsi="Arial" w:cs="Arial"/>
          <w:color w:val="000000" w:themeColor="text1"/>
          <w:sz w:val="22"/>
          <w:szCs w:val="22"/>
          <w:bdr w:val="none" w:sz="0" w:space="0" w:color="auto" w:frame="1"/>
          <w:shd w:val="clear" w:color="auto" w:fill="FFFFFF"/>
        </w:rPr>
        <w:t xml:space="preserve"> posible realizar la liquidación del contrato por ningún medio. </w:t>
      </w:r>
    </w:p>
    <w:p w14:paraId="5A7BA021" w14:textId="77777777" w:rsidR="001241ED" w:rsidRPr="00F666B7" w:rsidRDefault="001241ED" w:rsidP="001241ED">
      <w:pPr>
        <w:spacing w:before="120" w:line="276" w:lineRule="auto"/>
        <w:ind w:right="110" w:firstLine="705"/>
        <w:jc w:val="both"/>
        <w:rPr>
          <w:rFonts w:ascii="Arial" w:hAnsi="Arial" w:cs="Arial"/>
          <w:color w:val="000000" w:themeColor="text1"/>
          <w:sz w:val="22"/>
          <w:szCs w:val="22"/>
        </w:rPr>
      </w:pPr>
      <w:r w:rsidRPr="00F666B7">
        <w:rPr>
          <w:rFonts w:ascii="Arial" w:hAnsi="Arial" w:cs="Arial"/>
          <w:color w:val="000000" w:themeColor="text1"/>
          <w:sz w:val="22"/>
          <w:szCs w:val="22"/>
          <w:bdr w:val="none" w:sz="0" w:space="0" w:color="auto" w:frame="1"/>
          <w:shd w:val="clear" w:color="auto" w:fill="FFFFFF"/>
        </w:rPr>
        <w:t>En este punto, vale la pena aclarar que en relación con el t</w:t>
      </w:r>
      <w:r>
        <w:rPr>
          <w:rFonts w:ascii="Arial" w:hAnsi="Arial" w:cs="Arial"/>
          <w:color w:val="000000" w:themeColor="text1"/>
          <w:sz w:val="22"/>
          <w:szCs w:val="22"/>
          <w:bdr w:val="none" w:sz="0" w:space="0" w:color="auto" w:frame="1"/>
          <w:shd w:val="clear" w:color="auto" w:fill="FFFFFF"/>
        </w:rPr>
        <w:t>é</w:t>
      </w:r>
      <w:r w:rsidRPr="00F666B7">
        <w:rPr>
          <w:rFonts w:ascii="Arial" w:hAnsi="Arial" w:cs="Arial"/>
          <w:color w:val="000000" w:themeColor="text1"/>
          <w:sz w:val="22"/>
          <w:szCs w:val="22"/>
          <w:bdr w:val="none" w:sz="0" w:space="0" w:color="auto" w:frame="1"/>
          <w:shd w:val="clear" w:color="auto" w:fill="FFFFFF"/>
        </w:rPr>
        <w:t xml:space="preserve">rmino de caducidad para demandar en aquellos contratos </w:t>
      </w:r>
      <w:r>
        <w:rPr>
          <w:rFonts w:ascii="Arial" w:hAnsi="Arial" w:cs="Arial"/>
          <w:color w:val="000000" w:themeColor="text1"/>
          <w:sz w:val="22"/>
          <w:szCs w:val="22"/>
          <w:bdr w:val="none" w:sz="0" w:space="0" w:color="auto" w:frame="1"/>
          <w:shd w:val="clear" w:color="auto" w:fill="FFFFFF"/>
        </w:rPr>
        <w:t xml:space="preserve">que </w:t>
      </w:r>
      <w:r w:rsidRPr="00F666B7">
        <w:rPr>
          <w:rFonts w:ascii="Arial" w:hAnsi="Arial" w:cs="Arial"/>
          <w:color w:val="000000" w:themeColor="text1"/>
          <w:sz w:val="22"/>
          <w:szCs w:val="22"/>
          <w:bdr w:val="none" w:sz="0" w:space="0" w:color="auto" w:frame="1"/>
          <w:shd w:val="clear" w:color="auto" w:fill="FFFFFF"/>
        </w:rPr>
        <w:t>requieran liquidación, la jurisprudencia unificada del Consejo de Estado ha determinado que, en virtud del artículo 164 de la Ley 1437 de 2011, la regla general es que los dos años comiencen a correr a partir de la fecha de expedición del acta de liquidación, bien sea unilateral o de mutuo acuerdo, y solo en caso</w:t>
      </w:r>
      <w:r>
        <w:rPr>
          <w:rFonts w:ascii="Arial" w:hAnsi="Arial" w:cs="Arial"/>
          <w:color w:val="000000" w:themeColor="text1"/>
          <w:sz w:val="22"/>
          <w:szCs w:val="22"/>
          <w:bdr w:val="none" w:sz="0" w:space="0" w:color="auto" w:frame="1"/>
          <w:shd w:val="clear" w:color="auto" w:fill="FFFFFF"/>
        </w:rPr>
        <w:t xml:space="preserve"> de</w:t>
      </w:r>
      <w:r w:rsidRPr="00F666B7">
        <w:rPr>
          <w:rFonts w:ascii="Arial" w:hAnsi="Arial" w:cs="Arial"/>
          <w:color w:val="000000" w:themeColor="text1"/>
          <w:sz w:val="22"/>
          <w:szCs w:val="22"/>
          <w:bdr w:val="none" w:sz="0" w:space="0" w:color="auto" w:frame="1"/>
          <w:shd w:val="clear" w:color="auto" w:fill="FFFFFF"/>
        </w:rPr>
        <w:t xml:space="preserve"> que no exista liquidación de ningún tipo, el t</w:t>
      </w:r>
      <w:r>
        <w:rPr>
          <w:rFonts w:ascii="Arial" w:hAnsi="Arial" w:cs="Arial"/>
          <w:color w:val="000000" w:themeColor="text1"/>
          <w:sz w:val="22"/>
          <w:szCs w:val="22"/>
          <w:bdr w:val="none" w:sz="0" w:space="0" w:color="auto" w:frame="1"/>
          <w:shd w:val="clear" w:color="auto" w:fill="FFFFFF"/>
        </w:rPr>
        <w:t>é</w:t>
      </w:r>
      <w:r w:rsidRPr="00F666B7">
        <w:rPr>
          <w:rFonts w:ascii="Arial" w:hAnsi="Arial" w:cs="Arial"/>
          <w:color w:val="000000" w:themeColor="text1"/>
          <w:sz w:val="22"/>
          <w:szCs w:val="22"/>
          <w:bdr w:val="none" w:sz="0" w:space="0" w:color="auto" w:frame="1"/>
          <w:shd w:val="clear" w:color="auto" w:fill="FFFFFF"/>
        </w:rPr>
        <w:t xml:space="preserve">rmino de dos años comienza a contar a partir de </w:t>
      </w:r>
      <w:r>
        <w:rPr>
          <w:rFonts w:ascii="Arial" w:hAnsi="Arial" w:cs="Arial"/>
          <w:color w:val="000000" w:themeColor="text1"/>
          <w:sz w:val="22"/>
          <w:szCs w:val="22"/>
          <w:bdr w:val="none" w:sz="0" w:space="0" w:color="auto" w:frame="1"/>
          <w:shd w:val="clear" w:color="auto" w:fill="FFFFFF"/>
        </w:rPr>
        <w:t>la suma de los</w:t>
      </w:r>
      <w:r w:rsidRPr="00F666B7">
        <w:rPr>
          <w:rFonts w:ascii="Arial" w:hAnsi="Arial" w:cs="Arial"/>
          <w:color w:val="000000" w:themeColor="text1"/>
          <w:sz w:val="22"/>
          <w:szCs w:val="22"/>
          <w:bdr w:val="none" w:sz="0" w:space="0" w:color="auto" w:frame="1"/>
          <w:shd w:val="clear" w:color="auto" w:fill="FFFFFF"/>
        </w:rPr>
        <w:t xml:space="preserve"> seis meses que </w:t>
      </w:r>
      <w:r>
        <w:rPr>
          <w:rFonts w:ascii="Arial" w:hAnsi="Arial" w:cs="Arial"/>
          <w:color w:val="000000" w:themeColor="text1"/>
          <w:sz w:val="22"/>
          <w:szCs w:val="22"/>
          <w:bdr w:val="none" w:sz="0" w:space="0" w:color="auto" w:frame="1"/>
          <w:shd w:val="clear" w:color="auto" w:fill="FFFFFF"/>
        </w:rPr>
        <w:t>trata</w:t>
      </w:r>
      <w:r w:rsidRPr="00F666B7">
        <w:rPr>
          <w:rFonts w:ascii="Arial" w:hAnsi="Arial" w:cs="Arial"/>
          <w:color w:val="000000" w:themeColor="text1"/>
          <w:sz w:val="22"/>
          <w:szCs w:val="22"/>
          <w:bdr w:val="none" w:sz="0" w:space="0" w:color="auto" w:frame="1"/>
          <w:shd w:val="clear" w:color="auto" w:fill="FFFFFF"/>
        </w:rPr>
        <w:t xml:space="preserve"> en art</w:t>
      </w:r>
      <w:r>
        <w:rPr>
          <w:rFonts w:ascii="Arial" w:hAnsi="Arial" w:cs="Arial"/>
          <w:color w:val="000000" w:themeColor="text1"/>
          <w:sz w:val="22"/>
          <w:szCs w:val="22"/>
          <w:bdr w:val="none" w:sz="0" w:space="0" w:color="auto" w:frame="1"/>
          <w:shd w:val="clear" w:color="auto" w:fill="FFFFFF"/>
        </w:rPr>
        <w:t>í</w:t>
      </w:r>
      <w:r w:rsidRPr="00F666B7">
        <w:rPr>
          <w:rFonts w:ascii="Arial" w:hAnsi="Arial" w:cs="Arial"/>
          <w:color w:val="000000" w:themeColor="text1"/>
          <w:sz w:val="22"/>
          <w:szCs w:val="22"/>
          <w:bdr w:val="none" w:sz="0" w:space="0" w:color="auto" w:frame="1"/>
          <w:shd w:val="clear" w:color="auto" w:fill="FFFFFF"/>
        </w:rPr>
        <w:t>culo 11 de la Ley 1150 de</w:t>
      </w:r>
      <w:r w:rsidRPr="00F666B7">
        <w:rPr>
          <w:rFonts w:ascii="Arial" w:hAnsi="Arial" w:cs="Arial"/>
          <w:color w:val="000000" w:themeColor="text1"/>
          <w:spacing w:val="-25"/>
          <w:sz w:val="22"/>
          <w:szCs w:val="22"/>
          <w:bdr w:val="none" w:sz="0" w:space="0" w:color="auto" w:frame="1"/>
          <w:shd w:val="clear" w:color="auto" w:fill="FFFFFF"/>
        </w:rPr>
        <w:t> </w:t>
      </w:r>
      <w:r w:rsidRPr="00F666B7">
        <w:rPr>
          <w:rFonts w:ascii="Arial" w:hAnsi="Arial" w:cs="Arial"/>
          <w:color w:val="000000" w:themeColor="text1"/>
          <w:sz w:val="22"/>
          <w:szCs w:val="22"/>
          <w:bdr w:val="none" w:sz="0" w:space="0" w:color="auto" w:frame="1"/>
          <w:shd w:val="clear" w:color="auto" w:fill="FFFFFF"/>
        </w:rPr>
        <w:t>2011. </w:t>
      </w:r>
    </w:p>
    <w:p w14:paraId="53BAF857" w14:textId="77777777" w:rsidR="001241ED" w:rsidRPr="00F666B7" w:rsidRDefault="001241ED" w:rsidP="001241ED">
      <w:pPr>
        <w:spacing w:before="120" w:line="276" w:lineRule="auto"/>
        <w:ind w:firstLine="705"/>
        <w:jc w:val="both"/>
        <w:rPr>
          <w:rFonts w:ascii="Arial" w:hAnsi="Arial" w:cs="Arial"/>
          <w:color w:val="000000" w:themeColor="text1"/>
          <w:sz w:val="22"/>
          <w:szCs w:val="22"/>
        </w:rPr>
      </w:pPr>
      <w:r w:rsidRPr="00F666B7">
        <w:rPr>
          <w:rFonts w:ascii="Arial" w:hAnsi="Arial" w:cs="Arial"/>
          <w:color w:val="000000" w:themeColor="text1"/>
          <w:sz w:val="22"/>
          <w:szCs w:val="22"/>
          <w:bdr w:val="none" w:sz="0" w:space="0" w:color="auto" w:frame="1"/>
          <w:shd w:val="clear" w:color="auto" w:fill="FFFFFF"/>
          <w:lang w:val="es-ES"/>
        </w:rPr>
        <w:t xml:space="preserve">Así las cosas, es claro que el ordenamiento jurídico vigente permite la liquidación unilateral, bilateral incluso judicial una vez vencido el plazo establecido por el artículo 11 de la Ley 1150 de 2007. En otras palabras, la </w:t>
      </w:r>
      <w:r>
        <w:rPr>
          <w:rFonts w:ascii="Arial" w:hAnsi="Arial" w:cs="Arial"/>
          <w:color w:val="000000" w:themeColor="text1"/>
          <w:sz w:val="22"/>
          <w:szCs w:val="22"/>
          <w:bdr w:val="none" w:sz="0" w:space="0" w:color="auto" w:frame="1"/>
          <w:shd w:val="clear" w:color="auto" w:fill="FFFFFF"/>
          <w:lang w:val="es-ES"/>
        </w:rPr>
        <w:t>liquidación final de</w:t>
      </w:r>
      <w:r w:rsidRPr="00F666B7">
        <w:rPr>
          <w:rFonts w:ascii="Arial" w:hAnsi="Arial" w:cs="Arial"/>
          <w:color w:val="000000" w:themeColor="text1"/>
          <w:sz w:val="22"/>
          <w:szCs w:val="22"/>
          <w:bdr w:val="none" w:sz="0" w:space="0" w:color="auto" w:frame="1"/>
          <w:shd w:val="clear" w:color="auto" w:fill="FFFFFF"/>
          <w:lang w:val="es-ES"/>
        </w:rPr>
        <w:t xml:space="preserve"> los contratos</w:t>
      </w:r>
      <w:r>
        <w:rPr>
          <w:rFonts w:ascii="Arial" w:hAnsi="Arial" w:cs="Arial"/>
          <w:color w:val="000000" w:themeColor="text1"/>
          <w:sz w:val="22"/>
          <w:szCs w:val="22"/>
          <w:bdr w:val="none" w:sz="0" w:space="0" w:color="auto" w:frame="1"/>
          <w:shd w:val="clear" w:color="auto" w:fill="FFFFFF"/>
          <w:lang w:val="es-ES"/>
        </w:rPr>
        <w:t xml:space="preserve"> estatales</w:t>
      </w:r>
      <w:r w:rsidRPr="00F666B7">
        <w:rPr>
          <w:rFonts w:ascii="Arial" w:hAnsi="Arial" w:cs="Arial"/>
          <w:color w:val="000000" w:themeColor="text1"/>
          <w:sz w:val="22"/>
          <w:szCs w:val="22"/>
          <w:bdr w:val="none" w:sz="0" w:space="0" w:color="auto" w:frame="1"/>
          <w:shd w:val="clear" w:color="auto" w:fill="FFFFFF"/>
          <w:lang w:val="es-ES"/>
        </w:rPr>
        <w:t xml:space="preserve"> tiene un </w:t>
      </w:r>
      <w:r>
        <w:rPr>
          <w:rFonts w:ascii="Arial" w:hAnsi="Arial" w:cs="Arial"/>
          <w:color w:val="000000" w:themeColor="text1"/>
          <w:sz w:val="22"/>
          <w:szCs w:val="22"/>
          <w:bdr w:val="none" w:sz="0" w:space="0" w:color="auto" w:frame="1"/>
          <w:shd w:val="clear" w:color="auto" w:fill="FFFFFF"/>
          <w:lang w:val="es-ES"/>
        </w:rPr>
        <w:t>ámbito</w:t>
      </w:r>
      <w:r w:rsidRPr="00F666B7">
        <w:rPr>
          <w:rFonts w:ascii="Arial" w:hAnsi="Arial" w:cs="Arial"/>
          <w:color w:val="000000" w:themeColor="text1"/>
          <w:sz w:val="22"/>
          <w:szCs w:val="22"/>
          <w:bdr w:val="none" w:sz="0" w:space="0" w:color="auto" w:frame="1"/>
          <w:shd w:val="clear" w:color="auto" w:fill="FFFFFF"/>
          <w:lang w:val="es-ES"/>
        </w:rPr>
        <w:t xml:space="preserve"> temporal que empieza con la terminación del contrato y comprende el período contractual pactado por las partes o supletivo</w:t>
      </w:r>
      <w:r>
        <w:rPr>
          <w:rFonts w:ascii="Arial" w:hAnsi="Arial" w:cs="Arial"/>
          <w:color w:val="000000" w:themeColor="text1"/>
          <w:sz w:val="22"/>
          <w:szCs w:val="22"/>
          <w:bdr w:val="none" w:sz="0" w:space="0" w:color="auto" w:frame="1"/>
          <w:shd w:val="clear" w:color="auto" w:fill="FFFFFF"/>
          <w:lang w:val="es-ES"/>
        </w:rPr>
        <w:t xml:space="preserve"> legal </w:t>
      </w:r>
      <w:r w:rsidRPr="00F666B7">
        <w:rPr>
          <w:rFonts w:ascii="Arial" w:hAnsi="Arial" w:cs="Arial"/>
          <w:color w:val="000000" w:themeColor="text1"/>
          <w:sz w:val="22"/>
          <w:szCs w:val="22"/>
          <w:bdr w:val="none" w:sz="0" w:space="0" w:color="auto" w:frame="1"/>
          <w:shd w:val="clear" w:color="auto" w:fill="FFFFFF"/>
          <w:lang w:val="es-ES"/>
        </w:rPr>
        <w:t>–de 4 meses– para la liquidación bilateral, más el período legal para la liquidación unilateral –de 2 meses–, más el plazo </w:t>
      </w:r>
      <w:r>
        <w:rPr>
          <w:rFonts w:ascii="Arial" w:hAnsi="Arial" w:cs="Arial"/>
          <w:color w:val="000000" w:themeColor="text1"/>
          <w:sz w:val="22"/>
          <w:szCs w:val="22"/>
          <w:bdr w:val="none" w:sz="0" w:space="0" w:color="auto" w:frame="1"/>
          <w:shd w:val="clear" w:color="auto" w:fill="FFFFFF"/>
          <w:lang w:val="es-ES"/>
        </w:rPr>
        <w:t>de dos años para hacerlo de mutuo acuerdo o unilateralmente</w:t>
      </w:r>
      <w:r w:rsidRPr="00F666B7">
        <w:rPr>
          <w:rFonts w:ascii="Arial" w:hAnsi="Arial" w:cs="Arial"/>
          <w:color w:val="000000" w:themeColor="text1"/>
          <w:sz w:val="22"/>
          <w:szCs w:val="22"/>
          <w:bdr w:val="none" w:sz="0" w:space="0" w:color="auto" w:frame="1"/>
          <w:shd w:val="clear" w:color="auto" w:fill="FFFFFF"/>
          <w:lang w:val="es-ES"/>
        </w:rPr>
        <w:t xml:space="preserve">, </w:t>
      </w:r>
      <w:r>
        <w:rPr>
          <w:rFonts w:ascii="Arial" w:hAnsi="Arial" w:cs="Arial"/>
          <w:color w:val="000000" w:themeColor="text1"/>
          <w:sz w:val="22"/>
          <w:szCs w:val="22"/>
          <w:bdr w:val="none" w:sz="0" w:space="0" w:color="auto" w:frame="1"/>
          <w:shd w:val="clear" w:color="auto" w:fill="FFFFFF"/>
          <w:lang w:val="es-ES"/>
        </w:rPr>
        <w:t>sin perjuicio de que se solicite la liquidación judicial</w:t>
      </w:r>
      <w:r w:rsidRPr="00F666B7">
        <w:rPr>
          <w:rFonts w:ascii="Arial" w:hAnsi="Arial" w:cs="Arial"/>
          <w:color w:val="000000" w:themeColor="text1"/>
          <w:sz w:val="22"/>
          <w:szCs w:val="22"/>
          <w:bdr w:val="none" w:sz="0" w:space="0" w:color="auto" w:frame="1"/>
          <w:shd w:val="clear" w:color="auto" w:fill="FFFFFF"/>
          <w:lang w:val="es-ES"/>
        </w:rPr>
        <w:t>.</w:t>
      </w:r>
      <w:r w:rsidRPr="00F666B7">
        <w:rPr>
          <w:rFonts w:ascii="Arial" w:hAnsi="Arial" w:cs="Arial"/>
          <w:color w:val="000000" w:themeColor="text1"/>
          <w:sz w:val="22"/>
          <w:szCs w:val="22"/>
          <w:bdr w:val="none" w:sz="0" w:space="0" w:color="auto" w:frame="1"/>
          <w:shd w:val="clear" w:color="auto" w:fill="FFFFFF"/>
        </w:rPr>
        <w:t> </w:t>
      </w:r>
    </w:p>
    <w:p w14:paraId="46D60017" w14:textId="77777777" w:rsidR="001241ED" w:rsidRPr="00E95B50" w:rsidRDefault="001241ED" w:rsidP="001241ED">
      <w:pPr>
        <w:rPr>
          <w:rFonts w:ascii="Calibri" w:hAnsi="Calibri"/>
          <w:color w:val="000000"/>
          <w:sz w:val="22"/>
          <w:szCs w:val="22"/>
        </w:rPr>
      </w:pPr>
    </w:p>
    <w:p w14:paraId="1ACE4E12" w14:textId="77777777" w:rsidR="001241ED" w:rsidRPr="00064944" w:rsidRDefault="001241ED" w:rsidP="001241ED">
      <w:pPr>
        <w:tabs>
          <w:tab w:val="left" w:pos="426"/>
        </w:tabs>
        <w:spacing w:line="276" w:lineRule="auto"/>
        <w:jc w:val="both"/>
        <w:rPr>
          <w:rFonts w:ascii="Arial" w:hAnsi="Arial" w:cs="Arial"/>
          <w:b/>
          <w:sz w:val="22"/>
          <w:szCs w:val="22"/>
        </w:rPr>
      </w:pPr>
      <w:r w:rsidRPr="00064944">
        <w:rPr>
          <w:rFonts w:ascii="Arial" w:hAnsi="Arial" w:cs="Arial"/>
          <w:b/>
          <w:sz w:val="22"/>
          <w:szCs w:val="22"/>
        </w:rPr>
        <w:t>2.2.</w:t>
      </w:r>
      <w:r w:rsidRPr="00064944">
        <w:rPr>
          <w:rFonts w:ascii="Arial" w:hAnsi="Arial" w:cs="Arial"/>
          <w:b/>
          <w:sz w:val="22"/>
          <w:szCs w:val="22"/>
        </w:rPr>
        <w:tab/>
      </w:r>
      <w:r>
        <w:rPr>
          <w:rFonts w:ascii="Arial" w:eastAsia="Calibri" w:hAnsi="Arial" w:cs="Arial"/>
          <w:b/>
          <w:color w:val="000000" w:themeColor="text1"/>
          <w:sz w:val="22"/>
          <w:szCs w:val="22"/>
        </w:rPr>
        <w:t xml:space="preserve">Garantía de cumplimiento: noción y vigencia </w:t>
      </w:r>
    </w:p>
    <w:p w14:paraId="7795C89A" w14:textId="77777777" w:rsidR="001241ED" w:rsidRPr="00064944" w:rsidRDefault="001241ED" w:rsidP="001241ED">
      <w:pPr>
        <w:spacing w:line="276" w:lineRule="auto"/>
        <w:jc w:val="both"/>
        <w:rPr>
          <w:rFonts w:ascii="Arial" w:eastAsia="Calibri" w:hAnsi="Arial" w:cs="Arial"/>
          <w:sz w:val="22"/>
          <w:szCs w:val="22"/>
          <w:lang w:val="es-ES_tradnl"/>
        </w:rPr>
      </w:pPr>
    </w:p>
    <w:p w14:paraId="483DA166" w14:textId="77777777" w:rsidR="001241ED" w:rsidRPr="009C6B45" w:rsidRDefault="001241ED" w:rsidP="001241ED">
      <w:pPr>
        <w:spacing w:line="276" w:lineRule="auto"/>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 xml:space="preserve">La Guía de Garantías en procesos de Contratación señala que </w:t>
      </w:r>
      <w:r w:rsidRPr="009C6B45">
        <w:rPr>
          <w:rFonts w:ascii="Arial" w:hAnsi="Arial" w:cs="Arial"/>
          <w:bCs/>
          <w:color w:val="000000" w:themeColor="text1"/>
          <w:sz w:val="22"/>
          <w:szCs w:val="22"/>
          <w:lang w:val="es-ES_tradnl"/>
        </w:rPr>
        <w:t>«Las garantías son instrumentos de cobertura de algunos Riesgos comunes en Procesos de Contratación»</w:t>
      </w:r>
      <w:r w:rsidRPr="009C6B45">
        <w:rPr>
          <w:rStyle w:val="Refdenotaalpie"/>
          <w:rFonts w:ascii="Arial" w:hAnsi="Arial" w:cs="Arial"/>
          <w:bCs/>
          <w:color w:val="000000" w:themeColor="text1"/>
          <w:sz w:val="21"/>
          <w:szCs w:val="21"/>
          <w:lang w:val="es-ES_tradnl"/>
        </w:rPr>
        <w:footnoteReference w:id="11"/>
      </w:r>
      <w:r w:rsidRPr="009C6B45">
        <w:rPr>
          <w:rFonts w:ascii="Arial" w:hAnsi="Arial" w:cs="Arial"/>
          <w:bCs/>
          <w:color w:val="000000" w:themeColor="text1"/>
          <w:sz w:val="21"/>
          <w:szCs w:val="21"/>
          <w:lang w:val="es-ES_tradnl"/>
        </w:rPr>
        <w:t xml:space="preserve">. </w:t>
      </w:r>
      <w:r w:rsidRPr="009C6B45">
        <w:rPr>
          <w:rFonts w:ascii="Arial" w:hAnsi="Arial" w:cs="Arial"/>
          <w:bCs/>
          <w:color w:val="000000" w:themeColor="text1"/>
          <w:sz w:val="22"/>
          <w:lang w:val="es-ES_tradnl"/>
        </w:rPr>
        <w:t xml:space="preserve"> </w:t>
      </w:r>
      <w:r>
        <w:rPr>
          <w:rFonts w:ascii="Arial" w:hAnsi="Arial" w:cs="Arial"/>
          <w:bCs/>
          <w:color w:val="000000" w:themeColor="text1"/>
          <w:sz w:val="22"/>
          <w:lang w:val="es-ES_tradnl"/>
        </w:rPr>
        <w:t>En relación con</w:t>
      </w:r>
      <w:r w:rsidRPr="009C6B45">
        <w:rPr>
          <w:rFonts w:ascii="Arial" w:hAnsi="Arial" w:cs="Arial"/>
          <w:bCs/>
          <w:color w:val="000000" w:themeColor="text1"/>
          <w:sz w:val="22"/>
          <w:lang w:val="es-ES_tradnl"/>
        </w:rPr>
        <w:t xml:space="preserve"> la garantía de cumplimiento, la Agencia Nacional de Contratación Pública ha sostenido lo siguiente:</w:t>
      </w:r>
    </w:p>
    <w:p w14:paraId="7F659DCB" w14:textId="77777777" w:rsidR="001241ED" w:rsidRPr="009C6B45" w:rsidRDefault="001241ED" w:rsidP="001241ED">
      <w:pPr>
        <w:ind w:left="709" w:right="758"/>
        <w:jc w:val="both"/>
        <w:rPr>
          <w:rFonts w:ascii="Arial" w:hAnsi="Arial" w:cs="Arial"/>
          <w:bCs/>
          <w:color w:val="000000" w:themeColor="text1"/>
          <w:sz w:val="21"/>
          <w:szCs w:val="21"/>
          <w:lang w:val="es-ES_tradnl"/>
        </w:rPr>
      </w:pPr>
    </w:p>
    <w:p w14:paraId="7863697B" w14:textId="77777777" w:rsidR="001241ED" w:rsidRPr="009C6B45" w:rsidRDefault="001241ED" w:rsidP="001241ED">
      <w:pPr>
        <w:ind w:left="709" w:right="758"/>
        <w:jc w:val="both"/>
        <w:rPr>
          <w:rFonts w:ascii="Arial" w:hAnsi="Arial" w:cs="Arial"/>
          <w:bCs/>
          <w:color w:val="000000" w:themeColor="text1"/>
          <w:sz w:val="21"/>
          <w:szCs w:val="21"/>
          <w:lang w:val="es-ES_tradnl"/>
        </w:rPr>
      </w:pPr>
      <w:r w:rsidRPr="009C6B45">
        <w:rPr>
          <w:rFonts w:ascii="Arial" w:hAnsi="Arial" w:cs="Arial"/>
          <w:bCs/>
          <w:color w:val="000000" w:themeColor="text1"/>
          <w:sz w:val="21"/>
          <w:szCs w:val="21"/>
          <w:lang w:val="es-ES_tradnl"/>
        </w:rPr>
        <w:t>Tiene carácter indemnizatorio dado que su finalidad es proteger el patrimonio público del daño que le puede ocasionar el posible incumplimiento de las obligaciones contractuales por parte del particular contratista, para de esta manera evitar que dicho patrimonio se vea afectado o empobrecido.</w:t>
      </w:r>
    </w:p>
    <w:p w14:paraId="18D293E3" w14:textId="77777777" w:rsidR="001241ED" w:rsidRPr="009C6B45" w:rsidRDefault="001241ED" w:rsidP="001241ED">
      <w:pPr>
        <w:ind w:left="709" w:right="758"/>
        <w:jc w:val="both"/>
        <w:rPr>
          <w:rFonts w:ascii="Arial" w:hAnsi="Arial" w:cs="Arial"/>
          <w:bCs/>
          <w:color w:val="000000" w:themeColor="text1"/>
          <w:sz w:val="21"/>
          <w:szCs w:val="21"/>
          <w:lang w:val="es-ES_tradnl"/>
        </w:rPr>
      </w:pPr>
    </w:p>
    <w:p w14:paraId="61803D36" w14:textId="77777777" w:rsidR="001241ED" w:rsidRPr="009C6B45" w:rsidRDefault="001241ED" w:rsidP="001241ED">
      <w:pPr>
        <w:ind w:left="709" w:right="758"/>
        <w:jc w:val="both"/>
        <w:rPr>
          <w:rFonts w:ascii="Arial" w:hAnsi="Arial" w:cs="Arial"/>
          <w:bCs/>
          <w:color w:val="000000" w:themeColor="text1"/>
          <w:sz w:val="21"/>
          <w:szCs w:val="21"/>
          <w:lang w:val="es-ES_tradnl"/>
        </w:rPr>
      </w:pPr>
      <w:r w:rsidRPr="009C6B45">
        <w:rPr>
          <w:rFonts w:ascii="Arial" w:hAnsi="Arial" w:cs="Arial"/>
          <w:bCs/>
          <w:color w:val="000000" w:themeColor="text1"/>
          <w:sz w:val="21"/>
          <w:szCs w:val="21"/>
          <w:lang w:val="es-ES_tradnl"/>
        </w:rPr>
        <w:t xml:space="preserve">Tiene por finalidad asegurar la ejecución total y oportuna del objeto contratado y proteger el patrimonio público del daño que le puede ocasionar el posible incumplimiento de las obligaciones contractuales por parte del particular contratista. Esta cláusula es de forzosa estipulación, a tal punto que si no es pactada en aquellos contratos en los cuales la ley establece su obligatoriedad, </w:t>
      </w:r>
      <w:r w:rsidRPr="009C6B45">
        <w:rPr>
          <w:rFonts w:ascii="Arial" w:hAnsi="Arial" w:cs="Arial"/>
          <w:bCs/>
          <w:color w:val="000000" w:themeColor="text1"/>
          <w:sz w:val="21"/>
          <w:szCs w:val="21"/>
          <w:lang w:val="es-ES_tradnl"/>
        </w:rPr>
        <w:lastRenderedPageBreak/>
        <w:t>se presume incorporada en el respectivo contrato y no podrá ser renunciada por la Administración</w:t>
      </w:r>
      <w:r w:rsidRPr="009C6B45">
        <w:rPr>
          <w:rStyle w:val="Refdenotaalpie"/>
          <w:rFonts w:ascii="Arial" w:hAnsi="Arial" w:cs="Arial"/>
          <w:bCs/>
          <w:color w:val="000000" w:themeColor="text1"/>
          <w:sz w:val="21"/>
          <w:szCs w:val="21"/>
          <w:lang w:val="es-ES_tradnl"/>
        </w:rPr>
        <w:footnoteReference w:id="12"/>
      </w:r>
      <w:r>
        <w:rPr>
          <w:rFonts w:ascii="Arial" w:eastAsia="Calibri" w:hAnsi="Arial" w:cs="Arial"/>
          <w:color w:val="000000" w:themeColor="text1"/>
          <w:sz w:val="21"/>
          <w:szCs w:val="21"/>
          <w:lang w:val="es-ES"/>
        </w:rPr>
        <w:t>.</w:t>
      </w:r>
    </w:p>
    <w:p w14:paraId="0FB920FA" w14:textId="77777777" w:rsidR="001241ED" w:rsidRPr="009C6B45" w:rsidRDefault="001241ED" w:rsidP="001241ED">
      <w:pPr>
        <w:spacing w:line="276" w:lineRule="auto"/>
        <w:jc w:val="both"/>
        <w:rPr>
          <w:rFonts w:ascii="Arial" w:hAnsi="Arial" w:cs="Arial"/>
          <w:bCs/>
          <w:color w:val="000000" w:themeColor="text1"/>
          <w:sz w:val="22"/>
          <w:lang w:val="es-ES_tradnl"/>
        </w:rPr>
      </w:pPr>
    </w:p>
    <w:p w14:paraId="4C32E0ED" w14:textId="77777777" w:rsidR="001241ED" w:rsidRPr="009C6B45" w:rsidRDefault="001241ED" w:rsidP="001241ED">
      <w:pPr>
        <w:spacing w:after="120" w:line="276" w:lineRule="auto"/>
        <w:ind w:firstLine="709"/>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 xml:space="preserve">Como puede </w:t>
      </w:r>
      <w:r>
        <w:rPr>
          <w:rFonts w:ascii="Arial" w:hAnsi="Arial" w:cs="Arial"/>
          <w:bCs/>
          <w:color w:val="000000" w:themeColor="text1"/>
          <w:sz w:val="22"/>
          <w:lang w:val="es-ES_tradnl"/>
        </w:rPr>
        <w:t>observarse</w:t>
      </w:r>
      <w:r w:rsidRPr="009C6B45">
        <w:rPr>
          <w:rFonts w:ascii="Arial" w:hAnsi="Arial" w:cs="Arial"/>
          <w:bCs/>
          <w:color w:val="000000" w:themeColor="text1"/>
          <w:sz w:val="22"/>
          <w:lang w:val="es-ES_tradnl"/>
        </w:rPr>
        <w:t xml:space="preserve">, la finalidad y principal objetivo de la garantía de cumplimiento es proteger el patrimonio de la entidad de los potenciales riesgos y efectos derivados de un incumplimiento del contratista. Esta función, se advierte, debe irradiar la comprensión de las normas sobre garantías en general y sobre su vigencia en particular. </w:t>
      </w:r>
    </w:p>
    <w:p w14:paraId="56EBB039" w14:textId="77777777" w:rsidR="001241ED" w:rsidRPr="009C6B45" w:rsidRDefault="001241ED" w:rsidP="001241ED">
      <w:pPr>
        <w:spacing w:after="120" w:line="276" w:lineRule="auto"/>
        <w:ind w:firstLine="709"/>
        <w:jc w:val="both"/>
        <w:rPr>
          <w:rFonts w:ascii="Arial" w:hAnsi="Arial" w:cs="Arial"/>
          <w:bCs/>
          <w:color w:val="000000" w:themeColor="text1"/>
          <w:sz w:val="22"/>
          <w:lang w:val="es-ES_tradnl"/>
        </w:rPr>
      </w:pPr>
      <w:r>
        <w:rPr>
          <w:rFonts w:ascii="Arial" w:hAnsi="Arial" w:cs="Arial"/>
          <w:bCs/>
          <w:color w:val="000000" w:themeColor="text1"/>
          <w:sz w:val="22"/>
          <w:lang w:val="es-ES_tradnl"/>
        </w:rPr>
        <w:t>En efecto, s</w:t>
      </w:r>
      <w:r w:rsidRPr="009C6B45">
        <w:rPr>
          <w:rFonts w:ascii="Arial" w:hAnsi="Arial" w:cs="Arial"/>
          <w:bCs/>
          <w:color w:val="000000" w:themeColor="text1"/>
          <w:sz w:val="22"/>
          <w:lang w:val="es-ES_tradnl"/>
        </w:rPr>
        <w:t>egún el 2.2.1.2.3.1.7. del Decreto 1082 de 2015</w:t>
      </w:r>
      <w:r w:rsidRPr="009C6B45">
        <w:rPr>
          <w:rStyle w:val="Refdenotaalpie"/>
          <w:rFonts w:ascii="Arial" w:hAnsi="Arial" w:cs="Arial"/>
          <w:bCs/>
          <w:color w:val="000000" w:themeColor="text1"/>
          <w:sz w:val="22"/>
          <w:lang w:val="es-ES_tradnl"/>
        </w:rPr>
        <w:footnoteReference w:id="13"/>
      </w:r>
      <w:r w:rsidRPr="009C6B45">
        <w:rPr>
          <w:rFonts w:ascii="Arial" w:hAnsi="Arial" w:cs="Arial"/>
          <w:bCs/>
          <w:color w:val="000000" w:themeColor="text1"/>
          <w:sz w:val="22"/>
          <w:lang w:val="es-ES_tradnl"/>
        </w:rPr>
        <w:t>, la garantía única de cumplimiento cuenta con varios amparos</w:t>
      </w:r>
      <w:r>
        <w:rPr>
          <w:rFonts w:ascii="Arial" w:hAnsi="Arial" w:cs="Arial"/>
          <w:bCs/>
          <w:color w:val="000000" w:themeColor="text1"/>
          <w:sz w:val="22"/>
          <w:lang w:val="es-ES_tradnl"/>
        </w:rPr>
        <w:t>,</w:t>
      </w:r>
      <w:r w:rsidRPr="009C6B45">
        <w:rPr>
          <w:rFonts w:ascii="Arial" w:hAnsi="Arial" w:cs="Arial"/>
          <w:bCs/>
          <w:color w:val="000000" w:themeColor="text1"/>
          <w:sz w:val="22"/>
          <w:lang w:val="es-ES_tradnl"/>
        </w:rPr>
        <w:t xml:space="preserve"> que incluyen el de buen manejo y correcta inversión del anticipo</w:t>
      </w:r>
      <w:r>
        <w:rPr>
          <w:rFonts w:ascii="Arial" w:hAnsi="Arial" w:cs="Arial"/>
          <w:bCs/>
          <w:color w:val="000000" w:themeColor="text1"/>
          <w:sz w:val="22"/>
          <w:lang w:val="es-ES_tradnl"/>
        </w:rPr>
        <w:t>;</w:t>
      </w:r>
      <w:r w:rsidRPr="009C6B45">
        <w:rPr>
          <w:rFonts w:ascii="Arial" w:hAnsi="Arial" w:cs="Arial"/>
          <w:bCs/>
          <w:color w:val="000000" w:themeColor="text1"/>
          <w:sz w:val="22"/>
          <w:lang w:val="es-ES_tradnl"/>
        </w:rPr>
        <w:t xml:space="preserve"> la devolución del pago anticipado</w:t>
      </w:r>
      <w:r>
        <w:rPr>
          <w:rFonts w:ascii="Arial" w:hAnsi="Arial" w:cs="Arial"/>
          <w:bCs/>
          <w:color w:val="000000" w:themeColor="text1"/>
          <w:sz w:val="22"/>
          <w:lang w:val="es-ES_tradnl"/>
        </w:rPr>
        <w:t>;</w:t>
      </w:r>
      <w:r w:rsidRPr="009C6B45">
        <w:rPr>
          <w:rFonts w:ascii="Arial" w:hAnsi="Arial" w:cs="Arial"/>
          <w:bCs/>
          <w:color w:val="000000" w:themeColor="text1"/>
          <w:sz w:val="22"/>
          <w:lang w:val="es-ES_tradnl"/>
        </w:rPr>
        <w:t xml:space="preserve"> el amparo de cumplimiento del </w:t>
      </w:r>
      <w:r w:rsidRPr="009C6B45">
        <w:rPr>
          <w:rFonts w:ascii="Arial" w:hAnsi="Arial" w:cs="Arial"/>
          <w:bCs/>
          <w:color w:val="000000" w:themeColor="text1"/>
          <w:sz w:val="22"/>
          <w:lang w:val="es-ES_tradnl"/>
        </w:rPr>
        <w:lastRenderedPageBreak/>
        <w:t>contrato</w:t>
      </w:r>
      <w:r>
        <w:rPr>
          <w:rFonts w:ascii="Arial" w:hAnsi="Arial" w:cs="Arial"/>
          <w:bCs/>
          <w:color w:val="000000" w:themeColor="text1"/>
          <w:sz w:val="22"/>
          <w:lang w:val="es-ES_tradnl"/>
        </w:rPr>
        <w:t>;</w:t>
      </w:r>
      <w:r w:rsidRPr="009C6B45">
        <w:rPr>
          <w:rFonts w:ascii="Arial" w:hAnsi="Arial" w:cs="Arial"/>
          <w:bCs/>
          <w:color w:val="000000" w:themeColor="text1"/>
          <w:sz w:val="22"/>
          <w:lang w:val="es-ES_tradnl"/>
        </w:rPr>
        <w:t xml:space="preserve"> la garantía de pago de salarios</w:t>
      </w:r>
      <w:r>
        <w:rPr>
          <w:rFonts w:ascii="Arial" w:hAnsi="Arial" w:cs="Arial"/>
          <w:bCs/>
          <w:color w:val="000000" w:themeColor="text1"/>
          <w:sz w:val="22"/>
          <w:lang w:val="es-ES_tradnl"/>
        </w:rPr>
        <w:t xml:space="preserve">, </w:t>
      </w:r>
      <w:r w:rsidRPr="00975B5D">
        <w:rPr>
          <w:rFonts w:ascii="Arial" w:hAnsi="Arial" w:cs="Arial"/>
          <w:bCs/>
          <w:color w:val="000000" w:themeColor="text1"/>
          <w:sz w:val="22"/>
          <w:lang w:val="es-ES_tradnl"/>
        </w:rPr>
        <w:t>prestaciones sociales legales e indemnizaciones laborales,</w:t>
      </w:r>
      <w:r w:rsidRPr="009C6B45">
        <w:rPr>
          <w:rFonts w:ascii="Arial" w:hAnsi="Arial" w:cs="Arial"/>
          <w:bCs/>
          <w:color w:val="000000" w:themeColor="text1"/>
          <w:sz w:val="22"/>
          <w:lang w:val="es-ES_tradnl"/>
        </w:rPr>
        <w:t xml:space="preserve"> entre otros.</w:t>
      </w:r>
    </w:p>
    <w:p w14:paraId="2AD46987" w14:textId="77777777" w:rsidR="001241ED" w:rsidRPr="009C6B45" w:rsidRDefault="001241ED" w:rsidP="001241ED">
      <w:pPr>
        <w:spacing w:after="120" w:line="276" w:lineRule="auto"/>
        <w:ind w:firstLine="709"/>
        <w:jc w:val="both"/>
        <w:rPr>
          <w:rFonts w:ascii="Arial" w:hAnsi="Arial" w:cs="Arial"/>
          <w:bCs/>
          <w:color w:val="000000" w:themeColor="text1"/>
          <w:sz w:val="22"/>
          <w:lang w:val="es-ES_tradnl"/>
        </w:rPr>
      </w:pPr>
      <w:r>
        <w:rPr>
          <w:rFonts w:ascii="Arial" w:hAnsi="Arial" w:cs="Arial"/>
          <w:bCs/>
          <w:color w:val="000000" w:themeColor="text1"/>
          <w:sz w:val="22"/>
          <w:lang w:val="es-ES_tradnl"/>
        </w:rPr>
        <w:t>Por tanto, e</w:t>
      </w:r>
      <w:r w:rsidRPr="009C6B45">
        <w:rPr>
          <w:rFonts w:ascii="Arial" w:hAnsi="Arial" w:cs="Arial"/>
          <w:bCs/>
          <w:color w:val="000000" w:themeColor="text1"/>
          <w:sz w:val="22"/>
          <w:lang w:val="es-ES_tradnl"/>
        </w:rPr>
        <w:t>l amparo de cumplimiento, que constituye el objeto central de este concepto, es uno de los múltiples amparos que conforman la garantía única de cumplimiento</w:t>
      </w:r>
      <w:r>
        <w:rPr>
          <w:rFonts w:ascii="Arial" w:hAnsi="Arial" w:cs="Arial"/>
          <w:bCs/>
          <w:color w:val="000000" w:themeColor="text1"/>
          <w:sz w:val="22"/>
          <w:lang w:val="es-ES_tradnl"/>
        </w:rPr>
        <w:t>.</w:t>
      </w:r>
      <w:r w:rsidRPr="009C6B45">
        <w:rPr>
          <w:rFonts w:ascii="Arial" w:hAnsi="Arial" w:cs="Arial"/>
          <w:bCs/>
          <w:color w:val="000000" w:themeColor="text1"/>
          <w:sz w:val="22"/>
          <w:lang w:val="es-ES_tradnl"/>
        </w:rPr>
        <w:t xml:space="preserve"> </w:t>
      </w:r>
      <w:r>
        <w:rPr>
          <w:rFonts w:ascii="Arial" w:hAnsi="Arial" w:cs="Arial"/>
          <w:bCs/>
          <w:color w:val="000000" w:themeColor="text1"/>
          <w:sz w:val="22"/>
          <w:lang w:val="es-ES_tradnl"/>
        </w:rPr>
        <w:t>A</w:t>
      </w:r>
      <w:r w:rsidRPr="009C6B45">
        <w:rPr>
          <w:rFonts w:ascii="Arial" w:hAnsi="Arial" w:cs="Arial"/>
          <w:bCs/>
          <w:color w:val="000000" w:themeColor="text1"/>
          <w:sz w:val="22"/>
          <w:lang w:val="es-ES_tradnl"/>
        </w:rPr>
        <w:t xml:space="preserve">l tenor de lo </w:t>
      </w:r>
      <w:r>
        <w:rPr>
          <w:rFonts w:ascii="Arial" w:hAnsi="Arial" w:cs="Arial"/>
          <w:bCs/>
          <w:color w:val="000000" w:themeColor="text1"/>
          <w:sz w:val="22"/>
          <w:lang w:val="es-ES_tradnl"/>
        </w:rPr>
        <w:t>preceptuado en</w:t>
      </w:r>
      <w:r w:rsidRPr="009C6B45">
        <w:rPr>
          <w:rFonts w:ascii="Arial" w:hAnsi="Arial" w:cs="Arial"/>
          <w:bCs/>
          <w:color w:val="000000" w:themeColor="text1"/>
          <w:sz w:val="22"/>
          <w:lang w:val="es-ES_tradnl"/>
        </w:rPr>
        <w:t xml:space="preserve"> el artículo 2.2.1.2.3.1.7. </w:t>
      </w:r>
      <w:r>
        <w:rPr>
          <w:rFonts w:ascii="Arial" w:hAnsi="Arial" w:cs="Arial"/>
          <w:bCs/>
          <w:i/>
          <w:iCs/>
          <w:color w:val="000000" w:themeColor="text1"/>
          <w:sz w:val="22"/>
          <w:lang w:val="es-ES_tradnl"/>
        </w:rPr>
        <w:t>i</w:t>
      </w:r>
      <w:r w:rsidRPr="009C6B45">
        <w:rPr>
          <w:rFonts w:ascii="Arial" w:hAnsi="Arial" w:cs="Arial"/>
          <w:bCs/>
          <w:i/>
          <w:iCs/>
          <w:color w:val="000000" w:themeColor="text1"/>
          <w:sz w:val="22"/>
          <w:lang w:val="es-ES_tradnl"/>
        </w:rPr>
        <w:t>bídem</w:t>
      </w:r>
      <w:r w:rsidRPr="009C6B45">
        <w:rPr>
          <w:rFonts w:ascii="Arial" w:hAnsi="Arial" w:cs="Arial"/>
          <w:bCs/>
          <w:color w:val="000000" w:themeColor="text1"/>
          <w:sz w:val="22"/>
          <w:lang w:val="es-ES_tradnl"/>
        </w:rPr>
        <w:t xml:space="preserve"> la garantía de cumplimiento debe proteger a la entidad de los perjuicios que se puedan ocasionar con el incumplimiento, total o parcial del contrato, del cumplimiento tardío o defectuoso, de los daños por entregas parciales de la obra, cuando el contrato no prevé entregas parciales, y del valor de las multas y de la cláusula penal pecuniaria. De lo anterior se advierte que el amparo de cumplimiento tiene como objeto proteger a la entidad de los riesgos que puedan concretarse durante la etapa de ejecución del contrato y, más claramente, aquellos derivados de incumplimientos o conductas imputables al contratista. </w:t>
      </w:r>
    </w:p>
    <w:p w14:paraId="31E12C52" w14:textId="77777777" w:rsidR="001241ED" w:rsidRPr="009C6B45" w:rsidRDefault="001241ED" w:rsidP="001241ED">
      <w:pPr>
        <w:spacing w:after="120" w:line="276" w:lineRule="auto"/>
        <w:ind w:firstLine="709"/>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 xml:space="preserve">De otra parte, en relación con la vigencia de las garantías, el artículo 2.2.1.2.3.1.12. del citado </w:t>
      </w:r>
      <w:r>
        <w:rPr>
          <w:rFonts w:ascii="Arial" w:hAnsi="Arial" w:cs="Arial"/>
          <w:bCs/>
          <w:color w:val="000000" w:themeColor="text1"/>
          <w:sz w:val="22"/>
          <w:lang w:val="es-ES_tradnl"/>
        </w:rPr>
        <w:t>D</w:t>
      </w:r>
      <w:r w:rsidRPr="009C6B45">
        <w:rPr>
          <w:rFonts w:ascii="Arial" w:hAnsi="Arial" w:cs="Arial"/>
          <w:bCs/>
          <w:color w:val="000000" w:themeColor="text1"/>
          <w:sz w:val="22"/>
          <w:lang w:val="es-ES_tradnl"/>
        </w:rPr>
        <w:t xml:space="preserve">ecreto señala </w:t>
      </w:r>
      <w:r>
        <w:rPr>
          <w:rFonts w:ascii="Arial" w:hAnsi="Arial" w:cs="Arial"/>
          <w:bCs/>
          <w:color w:val="000000" w:themeColor="text1"/>
          <w:sz w:val="22"/>
          <w:lang w:val="es-ES_tradnl"/>
        </w:rPr>
        <w:t xml:space="preserve">expresamente </w:t>
      </w:r>
      <w:r w:rsidRPr="009C6B45">
        <w:rPr>
          <w:rFonts w:ascii="Arial" w:hAnsi="Arial" w:cs="Arial"/>
          <w:bCs/>
          <w:color w:val="000000" w:themeColor="text1"/>
          <w:sz w:val="22"/>
          <w:lang w:val="es-ES_tradnl"/>
        </w:rPr>
        <w:t xml:space="preserve">que «[l]a garantía de cumplimiento del contrato debe tener una vigencia mínima hasta la liquidación del contrato». </w:t>
      </w:r>
    </w:p>
    <w:p w14:paraId="266E1C2F" w14:textId="77777777" w:rsidR="001241ED" w:rsidRPr="009C6B45" w:rsidRDefault="001241ED" w:rsidP="001241ED">
      <w:pPr>
        <w:spacing w:after="120" w:line="276" w:lineRule="auto"/>
        <w:ind w:firstLine="709"/>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Lo primero que debe ponerse de presente es que esta disposición no se refiere a la garantía única de cumplimiento en su totalidad, sino exclusivamente al amparo de cumplimiento</w:t>
      </w:r>
      <w:r>
        <w:rPr>
          <w:rFonts w:ascii="Arial" w:hAnsi="Arial" w:cs="Arial"/>
          <w:bCs/>
          <w:color w:val="000000" w:themeColor="text1"/>
          <w:sz w:val="22"/>
          <w:lang w:val="es-ES_tradnl"/>
        </w:rPr>
        <w:t>,</w:t>
      </w:r>
      <w:r w:rsidRPr="009C6B45">
        <w:rPr>
          <w:rFonts w:ascii="Arial" w:hAnsi="Arial" w:cs="Arial"/>
          <w:bCs/>
          <w:color w:val="000000" w:themeColor="text1"/>
          <w:sz w:val="22"/>
          <w:lang w:val="es-ES_tradnl"/>
        </w:rPr>
        <w:t xml:space="preserve"> al que se </w:t>
      </w:r>
      <w:r>
        <w:rPr>
          <w:rFonts w:ascii="Arial" w:hAnsi="Arial" w:cs="Arial"/>
          <w:bCs/>
          <w:color w:val="000000" w:themeColor="text1"/>
          <w:sz w:val="22"/>
          <w:lang w:val="es-ES_tradnl"/>
        </w:rPr>
        <w:t>viene</w:t>
      </w:r>
      <w:r w:rsidRPr="009C6B45">
        <w:rPr>
          <w:rFonts w:ascii="Arial" w:hAnsi="Arial" w:cs="Arial"/>
          <w:bCs/>
          <w:color w:val="000000" w:themeColor="text1"/>
          <w:sz w:val="22"/>
          <w:lang w:val="es-ES_tradnl"/>
        </w:rPr>
        <w:t xml:space="preserve"> haciendo referencia</w:t>
      </w:r>
      <w:r>
        <w:rPr>
          <w:rFonts w:ascii="Arial" w:hAnsi="Arial" w:cs="Arial"/>
          <w:bCs/>
          <w:color w:val="000000" w:themeColor="text1"/>
          <w:sz w:val="22"/>
          <w:lang w:val="es-ES_tradnl"/>
        </w:rPr>
        <w:t>, lo cual</w:t>
      </w:r>
      <w:r w:rsidRPr="009C6B45">
        <w:rPr>
          <w:rFonts w:ascii="Arial" w:hAnsi="Arial" w:cs="Arial"/>
          <w:bCs/>
          <w:color w:val="000000" w:themeColor="text1"/>
          <w:sz w:val="22"/>
          <w:lang w:val="es-ES_tradnl"/>
        </w:rPr>
        <w:t xml:space="preserve"> explica que los artículos anteriores y subsiguientes establezcan términos diferentes para los demás amparos que conforman la garantía única de cumplimiento. Así, por ejemplo, el artículo 2.2.1.2.3.1.13 </w:t>
      </w:r>
      <w:r w:rsidRPr="009C6B45">
        <w:rPr>
          <w:rFonts w:ascii="Arial" w:hAnsi="Arial" w:cs="Arial"/>
          <w:bCs/>
          <w:i/>
          <w:iCs/>
          <w:color w:val="000000" w:themeColor="text1"/>
          <w:sz w:val="22"/>
          <w:lang w:val="es-ES_tradnl"/>
        </w:rPr>
        <w:t>Ibídem</w:t>
      </w:r>
      <w:r w:rsidRPr="009C6B45">
        <w:rPr>
          <w:rFonts w:ascii="Arial" w:hAnsi="Arial" w:cs="Arial"/>
          <w:bCs/>
          <w:color w:val="000000" w:themeColor="text1"/>
          <w:sz w:val="22"/>
          <w:lang w:val="es-ES_tradnl"/>
        </w:rPr>
        <w:t xml:space="preserve"> prescribe que la garantía de pago de salarios y prestaciones sociales debe estar vigente por el plazo del contrato y 3 años adicionales y, a su vez, el artículo 2.2.1.2.3.1.14 establece un término no inferior a 5 años para la garantía de estabilidad de la obra. </w:t>
      </w:r>
    </w:p>
    <w:p w14:paraId="693BFB1B" w14:textId="77777777" w:rsidR="001241ED" w:rsidRPr="009C6B45" w:rsidRDefault="001241ED" w:rsidP="001241ED">
      <w:pPr>
        <w:spacing w:after="120" w:line="276" w:lineRule="auto"/>
        <w:ind w:firstLine="709"/>
        <w:jc w:val="both"/>
        <w:rPr>
          <w:rFonts w:ascii="Arial" w:hAnsi="Arial" w:cs="Arial"/>
          <w:bCs/>
          <w:color w:val="000000" w:themeColor="text1"/>
          <w:sz w:val="22"/>
          <w:lang w:val="es-ES_tradnl"/>
        </w:rPr>
      </w:pPr>
      <w:r>
        <w:rPr>
          <w:rFonts w:ascii="Arial" w:hAnsi="Arial" w:cs="Arial"/>
          <w:bCs/>
          <w:color w:val="000000" w:themeColor="text1"/>
          <w:sz w:val="22"/>
          <w:lang w:val="es-ES_tradnl"/>
        </w:rPr>
        <w:t xml:space="preserve">Al respecto, tal como se indicó en Concepto C-479 de esta Agencia, </w:t>
      </w:r>
      <w:r w:rsidRPr="009C6B45">
        <w:rPr>
          <w:rFonts w:ascii="Arial" w:hAnsi="Arial" w:cs="Arial"/>
          <w:bCs/>
          <w:color w:val="000000" w:themeColor="text1"/>
          <w:sz w:val="22"/>
          <w:lang w:val="es-ES_tradnl"/>
        </w:rPr>
        <w:t>es preciso distinguir dos conceptos jurídicos relevantes para comprender el alcance del artículo 2.2.1.2.3.1.12.</w:t>
      </w:r>
      <w:r>
        <w:rPr>
          <w:rFonts w:ascii="Arial" w:hAnsi="Arial" w:cs="Arial"/>
          <w:bCs/>
          <w:color w:val="000000" w:themeColor="text1"/>
          <w:sz w:val="22"/>
          <w:lang w:val="es-ES_tradnl"/>
        </w:rPr>
        <w:t>,</w:t>
      </w:r>
      <w:r w:rsidRPr="009C6B45">
        <w:rPr>
          <w:rFonts w:ascii="Arial" w:hAnsi="Arial" w:cs="Arial"/>
          <w:bCs/>
          <w:color w:val="000000" w:themeColor="text1"/>
          <w:sz w:val="22"/>
          <w:lang w:val="es-ES_tradnl"/>
        </w:rPr>
        <w:t xml:space="preserve"> esto </w:t>
      </w:r>
      <w:r>
        <w:rPr>
          <w:rFonts w:ascii="Arial" w:hAnsi="Arial" w:cs="Arial"/>
          <w:bCs/>
          <w:color w:val="000000" w:themeColor="text1"/>
          <w:sz w:val="22"/>
          <w:lang w:val="es-ES_tradnl"/>
        </w:rPr>
        <w:t>e</w:t>
      </w:r>
      <w:r w:rsidRPr="009C6B45">
        <w:rPr>
          <w:rFonts w:ascii="Arial" w:hAnsi="Arial" w:cs="Arial"/>
          <w:bCs/>
          <w:color w:val="000000" w:themeColor="text1"/>
          <w:sz w:val="22"/>
          <w:lang w:val="es-ES_tradnl"/>
        </w:rPr>
        <w:t>s, de un lado, la vigencia de la garantía y, de otro, el plazo para su reclamación. Esta distinción es importante</w:t>
      </w:r>
      <w:r>
        <w:rPr>
          <w:rFonts w:ascii="Arial" w:hAnsi="Arial" w:cs="Arial"/>
          <w:bCs/>
          <w:color w:val="000000" w:themeColor="text1"/>
          <w:sz w:val="22"/>
          <w:lang w:val="es-ES_tradnl"/>
        </w:rPr>
        <w:t>,</w:t>
      </w:r>
      <w:r w:rsidRPr="009C6B45">
        <w:rPr>
          <w:rFonts w:ascii="Arial" w:hAnsi="Arial" w:cs="Arial"/>
          <w:bCs/>
          <w:color w:val="000000" w:themeColor="text1"/>
          <w:sz w:val="22"/>
          <w:lang w:val="es-ES_tradnl"/>
        </w:rPr>
        <w:t xml:space="preserve"> pues para hacer una reclamación válida al garante no es indispensable que la garantía se encuentre vigente, sino que lo haya estado en el momento de la concreción de riesgo, como se pasa a explicar.</w:t>
      </w:r>
    </w:p>
    <w:p w14:paraId="3D1D3850" w14:textId="77777777" w:rsidR="001241ED" w:rsidRPr="009C6B45" w:rsidRDefault="001241ED" w:rsidP="001241ED">
      <w:pPr>
        <w:spacing w:line="276" w:lineRule="auto"/>
        <w:ind w:firstLine="709"/>
        <w:jc w:val="both"/>
        <w:rPr>
          <w:rFonts w:ascii="Arial" w:hAnsi="Arial" w:cs="Arial"/>
          <w:bCs/>
          <w:color w:val="000000" w:themeColor="text1"/>
          <w:sz w:val="22"/>
          <w:lang w:val="es-ES_tradnl"/>
        </w:rPr>
      </w:pPr>
      <w:r>
        <w:rPr>
          <w:rFonts w:ascii="Arial" w:hAnsi="Arial" w:cs="Arial"/>
          <w:bCs/>
          <w:color w:val="000000" w:themeColor="text1"/>
          <w:sz w:val="22"/>
          <w:lang w:val="es-ES_tradnl"/>
        </w:rPr>
        <w:t>En relación con este aspecto</w:t>
      </w:r>
      <w:r w:rsidRPr="009C6B45">
        <w:rPr>
          <w:rFonts w:ascii="Arial" w:hAnsi="Arial" w:cs="Arial"/>
          <w:bCs/>
          <w:color w:val="000000" w:themeColor="text1"/>
          <w:sz w:val="22"/>
          <w:lang w:val="es-ES_tradnl"/>
        </w:rPr>
        <w:t xml:space="preserve">, el artículo 1047 del Código de Comercio establece que la póliza debe expresar, entre otros, «ii) la vigencia del contrato, con indicación de las fechas y horas de iniciación y vencimiento, o el modo de determinar unas y otras». El Consejo de Estado se pronunció sobre esta disposición en los siguientes términos: </w:t>
      </w:r>
    </w:p>
    <w:p w14:paraId="2506386B" w14:textId="77777777" w:rsidR="001241ED" w:rsidRPr="009C6B45" w:rsidRDefault="001241ED" w:rsidP="001241ED">
      <w:pPr>
        <w:ind w:left="709" w:right="758"/>
        <w:jc w:val="both"/>
        <w:rPr>
          <w:rFonts w:ascii="Arial" w:hAnsi="Arial" w:cs="Arial"/>
          <w:bCs/>
          <w:color w:val="000000" w:themeColor="text1"/>
          <w:sz w:val="21"/>
          <w:szCs w:val="21"/>
          <w:lang w:val="es-ES_tradnl"/>
        </w:rPr>
      </w:pPr>
    </w:p>
    <w:p w14:paraId="7AAF352A" w14:textId="77777777" w:rsidR="001241ED" w:rsidRPr="009C6B45" w:rsidRDefault="001241ED" w:rsidP="001241ED">
      <w:pPr>
        <w:ind w:left="709" w:right="758"/>
        <w:jc w:val="both"/>
        <w:rPr>
          <w:rFonts w:ascii="Arial" w:hAnsi="Arial" w:cs="Arial"/>
          <w:bCs/>
          <w:color w:val="000000" w:themeColor="text1"/>
          <w:sz w:val="21"/>
          <w:szCs w:val="21"/>
          <w:lang w:val="es-ES_tradnl"/>
        </w:rPr>
      </w:pPr>
      <w:r w:rsidRPr="009C6B45">
        <w:rPr>
          <w:rFonts w:ascii="Arial" w:hAnsi="Arial" w:cs="Arial"/>
          <w:bCs/>
          <w:color w:val="000000" w:themeColor="text1"/>
          <w:sz w:val="21"/>
          <w:szCs w:val="21"/>
          <w:lang w:val="es-ES_tradnl"/>
        </w:rPr>
        <w:t xml:space="preserve">Dada la naturaleza de la obligación que contrae el asegurador, resulta de la mayor importancia la determinación del momento exacto a partir del cual aquel asume el riesgo que le es trasladado y así mismo, la hora y el día hasta los cuales va tal asunción, puesto que únicamente estará obligado a ejecutar la </w:t>
      </w:r>
      <w:r w:rsidRPr="009C6B45">
        <w:rPr>
          <w:rFonts w:ascii="Arial" w:hAnsi="Arial" w:cs="Arial"/>
          <w:bCs/>
          <w:color w:val="000000" w:themeColor="text1"/>
          <w:sz w:val="21"/>
          <w:szCs w:val="21"/>
          <w:lang w:val="es-ES_tradnl"/>
        </w:rPr>
        <w:lastRenderedPageBreak/>
        <w:t>prestación a su cargo cuando el riesgo se realice dentro de ese lapso, es decir si el siniestro se presenta dentro de esos límites temporales</w:t>
      </w:r>
      <w:r w:rsidRPr="009C6B45">
        <w:rPr>
          <w:rStyle w:val="Refdenotaalpie"/>
          <w:rFonts w:ascii="Arial" w:hAnsi="Arial" w:cs="Arial"/>
          <w:bCs/>
          <w:color w:val="000000" w:themeColor="text1"/>
          <w:sz w:val="21"/>
          <w:szCs w:val="21"/>
          <w:lang w:val="es-ES_tradnl"/>
        </w:rPr>
        <w:footnoteReference w:id="14"/>
      </w:r>
      <w:r w:rsidRPr="009C6B45">
        <w:rPr>
          <w:rFonts w:ascii="Arial" w:hAnsi="Arial" w:cs="Arial"/>
          <w:bCs/>
          <w:color w:val="000000" w:themeColor="text1"/>
          <w:sz w:val="21"/>
          <w:szCs w:val="21"/>
          <w:lang w:val="es-ES_tradnl"/>
        </w:rPr>
        <w:t xml:space="preserve">. </w:t>
      </w:r>
    </w:p>
    <w:p w14:paraId="2E97735C" w14:textId="77777777" w:rsidR="001241ED" w:rsidRPr="009C6B45" w:rsidRDefault="001241ED" w:rsidP="001241ED">
      <w:pPr>
        <w:ind w:left="709" w:right="758"/>
        <w:jc w:val="both"/>
        <w:rPr>
          <w:rFonts w:ascii="Arial" w:hAnsi="Arial" w:cs="Arial"/>
          <w:bCs/>
          <w:color w:val="000000" w:themeColor="text1"/>
          <w:sz w:val="21"/>
          <w:szCs w:val="21"/>
          <w:lang w:val="es-ES_tradnl"/>
        </w:rPr>
      </w:pPr>
    </w:p>
    <w:p w14:paraId="033167DE" w14:textId="77777777" w:rsidR="001241ED" w:rsidRDefault="001241ED" w:rsidP="001241ED">
      <w:pPr>
        <w:spacing w:after="120" w:line="276" w:lineRule="auto"/>
        <w:ind w:firstLine="709"/>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 xml:space="preserve">Resulta claro que el riesgo que se traslada al garante solamente será aquel </w:t>
      </w:r>
      <w:r>
        <w:rPr>
          <w:rFonts w:ascii="Arial" w:hAnsi="Arial" w:cs="Arial"/>
          <w:bCs/>
          <w:color w:val="000000" w:themeColor="text1"/>
          <w:sz w:val="22"/>
          <w:lang w:val="es-ES_tradnl"/>
        </w:rPr>
        <w:t xml:space="preserve">que </w:t>
      </w:r>
      <w:r w:rsidRPr="009C6B45">
        <w:rPr>
          <w:rFonts w:ascii="Arial" w:hAnsi="Arial" w:cs="Arial"/>
          <w:bCs/>
          <w:color w:val="000000" w:themeColor="text1"/>
          <w:sz w:val="22"/>
          <w:lang w:val="es-ES_tradnl"/>
        </w:rPr>
        <w:t>se realice dentro del plazo de vigencia del contrato</w:t>
      </w:r>
      <w:r>
        <w:rPr>
          <w:rFonts w:ascii="Arial" w:hAnsi="Arial" w:cs="Arial"/>
          <w:bCs/>
          <w:color w:val="000000" w:themeColor="text1"/>
          <w:sz w:val="22"/>
          <w:lang w:val="es-ES_tradnl"/>
        </w:rPr>
        <w:t>,</w:t>
      </w:r>
      <w:r w:rsidRPr="009C6B45">
        <w:rPr>
          <w:rFonts w:ascii="Arial" w:hAnsi="Arial" w:cs="Arial"/>
          <w:bCs/>
          <w:color w:val="000000" w:themeColor="text1"/>
          <w:sz w:val="22"/>
          <w:lang w:val="es-ES_tradnl"/>
        </w:rPr>
        <w:t xml:space="preserve"> es decir, si el siniestro se presenta dentro de esos límites temporales el garante deberá asumir sus consecuencias. Sin embargo, ello no puede confundirse con el término para hacer la reclamación de un riesgo ocurrido durante el término de vigencia de la garantía, pues para ello resulta necesario recurrir a las normas sobre prescripción de las acciones. </w:t>
      </w:r>
    </w:p>
    <w:p w14:paraId="196A6227" w14:textId="77777777" w:rsidR="001241ED" w:rsidRPr="009C6B45" w:rsidRDefault="001241ED" w:rsidP="001241ED">
      <w:pPr>
        <w:spacing w:after="120" w:line="276" w:lineRule="auto"/>
        <w:ind w:firstLine="709"/>
        <w:jc w:val="both"/>
        <w:rPr>
          <w:rFonts w:ascii="Arial" w:hAnsi="Arial" w:cs="Arial"/>
          <w:bCs/>
          <w:color w:val="000000" w:themeColor="text1"/>
          <w:sz w:val="22"/>
          <w:lang w:val="es-ES_tradnl"/>
        </w:rPr>
      </w:pPr>
      <w:r>
        <w:rPr>
          <w:rFonts w:ascii="Arial" w:hAnsi="Arial" w:cs="Arial"/>
          <w:bCs/>
          <w:color w:val="000000" w:themeColor="text1"/>
          <w:sz w:val="22"/>
          <w:lang w:val="es-ES_tradnl"/>
        </w:rPr>
        <w:t xml:space="preserve">De otro lado, puede afirmarse que, en términos ideales, una vez culmina el plazo de ejecución, deja de existir también, en gran medida, el riesgo de incumplimiento por parte del contratista, pues los incumplimientos del contrato suelen ocurrir durante la etapa de cumplimiento, o ejecución de las obligaciones. Lo anterior no pretende desconocer que para ciertos contratos algunas obligaciones y su exigibilidad subsisten más allá del plazo acordado para la ejecución del objeto principal, tal puede ser el caso de los aportes a la seguridad social de los trabajadores vinculados a la ejecución del objeto del contrato. Sin perjuicio de lo anterior, el vencimiento del plazo de ejecución del contrato, cuando es suspensivo, sin que el contratista haya ejecutado sus obligaciones, también es determinante para constatar el incumplimiento del contratista. </w:t>
      </w:r>
      <w:r w:rsidRPr="00885A17">
        <w:rPr>
          <w:rFonts w:ascii="Arial" w:hAnsi="Arial" w:cs="Arial"/>
          <w:bCs/>
          <w:color w:val="000000" w:themeColor="text1"/>
          <w:sz w:val="22"/>
          <w:lang w:val="es-ES_tradnl"/>
        </w:rPr>
        <w:t>La apreciación general anterior</w:t>
      </w:r>
      <w:r w:rsidRPr="000771CF">
        <w:rPr>
          <w:rFonts w:ascii="Arial" w:hAnsi="Arial" w:cs="Arial"/>
          <w:bCs/>
          <w:color w:val="000000" w:themeColor="text1"/>
          <w:sz w:val="22"/>
          <w:lang w:val="es-ES_tradnl"/>
        </w:rPr>
        <w:t xml:space="preserve">, según lo explicado, </w:t>
      </w:r>
      <w:r>
        <w:rPr>
          <w:rFonts w:ascii="Arial" w:hAnsi="Arial" w:cs="Arial"/>
          <w:bCs/>
          <w:color w:val="000000" w:themeColor="text1"/>
          <w:sz w:val="22"/>
          <w:lang w:val="es-ES_tradnl"/>
        </w:rPr>
        <w:t>indica que muchos de los incumplimientos pueden darse durante la ejecución del contrato, pero es posible que este también ocurra una vez vencido el plazo de ejecución.</w:t>
      </w:r>
    </w:p>
    <w:p w14:paraId="214435FC" w14:textId="77777777" w:rsidR="001241ED" w:rsidRDefault="001241ED" w:rsidP="001241ED">
      <w:pPr>
        <w:spacing w:after="120" w:line="276" w:lineRule="auto"/>
        <w:ind w:firstLine="709"/>
        <w:jc w:val="both"/>
        <w:rPr>
          <w:rFonts w:ascii="Arial" w:hAnsi="Arial" w:cs="Arial"/>
          <w:bCs/>
          <w:color w:val="000000" w:themeColor="text1"/>
          <w:sz w:val="22"/>
          <w:lang w:val="es-ES_tradnl"/>
        </w:rPr>
      </w:pPr>
      <w:r>
        <w:rPr>
          <w:rFonts w:ascii="Arial" w:hAnsi="Arial" w:cs="Arial"/>
          <w:bCs/>
          <w:color w:val="000000" w:themeColor="text1"/>
          <w:sz w:val="22"/>
          <w:lang w:val="es-ES_tradnl"/>
        </w:rPr>
        <w:t>Ahora bien, volviendo sobre la vigencia de la garantía de cumplimiento, en cuanto al amparo de cumplimiento del contrato, l</w:t>
      </w:r>
      <w:r w:rsidRPr="009C6B45">
        <w:rPr>
          <w:rFonts w:ascii="Arial" w:hAnsi="Arial" w:cs="Arial"/>
          <w:bCs/>
          <w:color w:val="000000" w:themeColor="text1"/>
          <w:sz w:val="22"/>
          <w:lang w:val="es-ES_tradnl"/>
        </w:rPr>
        <w:t>a norma reglamentaria</w:t>
      </w:r>
      <w:r>
        <w:rPr>
          <w:rFonts w:ascii="Arial" w:hAnsi="Arial" w:cs="Arial"/>
          <w:bCs/>
          <w:color w:val="000000" w:themeColor="text1"/>
          <w:sz w:val="22"/>
          <w:lang w:val="es-ES_tradnl"/>
        </w:rPr>
        <w:t xml:space="preserve"> citada con anterioridad</w:t>
      </w:r>
      <w:r w:rsidRPr="009C6B45">
        <w:rPr>
          <w:rFonts w:ascii="Arial" w:hAnsi="Arial" w:cs="Arial"/>
          <w:bCs/>
          <w:color w:val="000000" w:themeColor="text1"/>
          <w:sz w:val="22"/>
          <w:lang w:val="es-ES_tradnl"/>
        </w:rPr>
        <w:t xml:space="preserve"> es clara y exige que la garantía permanezca vigente hasta la liquidación del contrato</w:t>
      </w:r>
      <w:r>
        <w:rPr>
          <w:rFonts w:ascii="Arial" w:hAnsi="Arial" w:cs="Arial"/>
          <w:bCs/>
          <w:color w:val="000000" w:themeColor="text1"/>
          <w:sz w:val="22"/>
          <w:lang w:val="es-ES_tradnl"/>
        </w:rPr>
        <w:t>,</w:t>
      </w:r>
      <w:r w:rsidRPr="009C6B45">
        <w:rPr>
          <w:rFonts w:ascii="Arial" w:hAnsi="Arial" w:cs="Arial"/>
          <w:bCs/>
          <w:color w:val="000000" w:themeColor="text1"/>
          <w:sz w:val="22"/>
          <w:lang w:val="es-ES_tradnl"/>
        </w:rPr>
        <w:t xml:space="preserve"> esto es</w:t>
      </w:r>
      <w:r>
        <w:rPr>
          <w:rFonts w:ascii="Arial" w:hAnsi="Arial" w:cs="Arial"/>
          <w:bCs/>
          <w:color w:val="000000" w:themeColor="text1"/>
          <w:sz w:val="22"/>
          <w:lang w:val="es-ES_tradnl"/>
        </w:rPr>
        <w:t>,</w:t>
      </w:r>
      <w:r w:rsidRPr="009C6B45">
        <w:rPr>
          <w:rFonts w:ascii="Arial" w:hAnsi="Arial" w:cs="Arial"/>
          <w:bCs/>
          <w:color w:val="000000" w:themeColor="text1"/>
          <w:sz w:val="22"/>
          <w:lang w:val="es-ES_tradnl"/>
        </w:rPr>
        <w:t xml:space="preserve"> más allá del plazo de ejecución</w:t>
      </w:r>
      <w:r>
        <w:rPr>
          <w:rFonts w:ascii="Arial" w:hAnsi="Arial" w:cs="Arial"/>
          <w:bCs/>
          <w:color w:val="000000" w:themeColor="text1"/>
          <w:sz w:val="22"/>
          <w:lang w:val="es-ES_tradnl"/>
        </w:rPr>
        <w:t xml:space="preserve"> y de vigencia del contrato estatal. Por tanto,</w:t>
      </w:r>
      <w:r w:rsidRPr="009C6B45">
        <w:rPr>
          <w:rFonts w:ascii="Arial" w:hAnsi="Arial" w:cs="Arial"/>
          <w:bCs/>
          <w:color w:val="000000" w:themeColor="text1"/>
          <w:sz w:val="22"/>
          <w:lang w:val="es-ES_tradnl"/>
        </w:rPr>
        <w:t xml:space="preserve"> en virtud </w:t>
      </w:r>
      <w:r>
        <w:rPr>
          <w:rFonts w:ascii="Arial" w:hAnsi="Arial" w:cs="Arial"/>
          <w:bCs/>
          <w:color w:val="000000" w:themeColor="text1"/>
          <w:sz w:val="22"/>
          <w:lang w:val="es-ES_tradnl"/>
        </w:rPr>
        <w:t>de dicha disposición</w:t>
      </w:r>
      <w:r w:rsidRPr="009C6B45">
        <w:rPr>
          <w:rFonts w:ascii="Arial" w:hAnsi="Arial" w:cs="Arial"/>
          <w:bCs/>
          <w:color w:val="000000" w:themeColor="text1"/>
          <w:sz w:val="22"/>
          <w:lang w:val="es-ES_tradnl"/>
        </w:rPr>
        <w:t xml:space="preserve">, </w:t>
      </w:r>
      <w:r>
        <w:rPr>
          <w:rFonts w:ascii="Arial" w:hAnsi="Arial" w:cs="Arial"/>
          <w:bCs/>
          <w:color w:val="000000" w:themeColor="text1"/>
          <w:sz w:val="22"/>
          <w:lang w:val="es-ES_tradnl"/>
        </w:rPr>
        <w:t>el contratista debe cumplir con la obligación consistente en mantener la</w:t>
      </w:r>
      <w:r w:rsidRPr="009C6B45">
        <w:rPr>
          <w:rFonts w:ascii="Arial" w:hAnsi="Arial" w:cs="Arial"/>
          <w:bCs/>
          <w:color w:val="000000" w:themeColor="text1"/>
          <w:sz w:val="22"/>
          <w:lang w:val="es-ES_tradnl"/>
        </w:rPr>
        <w:t xml:space="preserve"> vigencia mínima </w:t>
      </w:r>
      <w:r>
        <w:rPr>
          <w:rFonts w:ascii="Arial" w:hAnsi="Arial" w:cs="Arial"/>
          <w:bCs/>
          <w:color w:val="000000" w:themeColor="text1"/>
          <w:sz w:val="22"/>
          <w:lang w:val="es-ES_tradnl"/>
        </w:rPr>
        <w:t xml:space="preserve">del amparo de cumplimiento </w:t>
      </w:r>
      <w:r w:rsidRPr="009C6B45">
        <w:rPr>
          <w:rFonts w:ascii="Arial" w:hAnsi="Arial" w:cs="Arial"/>
          <w:bCs/>
          <w:color w:val="000000" w:themeColor="text1"/>
          <w:sz w:val="22"/>
          <w:lang w:val="es-ES_tradnl"/>
        </w:rPr>
        <w:t xml:space="preserve">hasta la liquidación del contrato. </w:t>
      </w:r>
    </w:p>
    <w:p w14:paraId="50D7B76C" w14:textId="77777777" w:rsidR="001241ED" w:rsidRDefault="001241ED" w:rsidP="001241ED">
      <w:pPr>
        <w:spacing w:line="276" w:lineRule="auto"/>
        <w:ind w:firstLine="708"/>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P</w:t>
      </w:r>
      <w:r>
        <w:rPr>
          <w:rFonts w:ascii="Arial" w:hAnsi="Arial" w:cs="Arial"/>
          <w:bCs/>
          <w:color w:val="000000" w:themeColor="text1"/>
          <w:sz w:val="22"/>
          <w:lang w:val="es-ES_tradnl"/>
        </w:rPr>
        <w:t>or lo tanto, la vigencia de dicha garantía no entra dentro del ámbito de discrecionalidad de la entidad contratante y, de este modo, es necesario concluir que</w:t>
      </w:r>
      <w:r w:rsidRPr="009C6B45">
        <w:rPr>
          <w:rFonts w:ascii="Arial" w:hAnsi="Arial" w:cs="Arial"/>
          <w:bCs/>
          <w:color w:val="000000" w:themeColor="text1"/>
          <w:sz w:val="22"/>
          <w:lang w:val="es-ES_tradnl"/>
        </w:rPr>
        <w:t xml:space="preserve"> la </w:t>
      </w:r>
      <w:r>
        <w:rPr>
          <w:rFonts w:ascii="Arial" w:hAnsi="Arial" w:cs="Arial"/>
          <w:bCs/>
          <w:color w:val="000000" w:themeColor="text1"/>
          <w:sz w:val="22"/>
          <w:lang w:val="es-ES_tradnl"/>
        </w:rPr>
        <w:t>garantía debe mantenerse vigente durante los plazos dispuestos para la liquidación desarrollados en el numeral anterior o hasta que esta efectivamente se realice.</w:t>
      </w:r>
    </w:p>
    <w:p w14:paraId="7EA490E2" w14:textId="77777777" w:rsidR="001241ED" w:rsidRPr="00064944" w:rsidRDefault="001241ED" w:rsidP="001241ED">
      <w:pPr>
        <w:spacing w:line="276" w:lineRule="auto"/>
        <w:ind w:firstLine="708"/>
        <w:jc w:val="both"/>
        <w:rPr>
          <w:rFonts w:ascii="Arial" w:eastAsia="Calibri" w:hAnsi="Arial" w:cs="Arial"/>
          <w:bCs/>
          <w:color w:val="000000" w:themeColor="text1"/>
          <w:sz w:val="22"/>
          <w:szCs w:val="22"/>
        </w:rPr>
      </w:pPr>
    </w:p>
    <w:p w14:paraId="0A572877" w14:textId="77777777" w:rsidR="001241ED" w:rsidRPr="00064944" w:rsidRDefault="001241ED" w:rsidP="001241ED">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064944">
        <w:rPr>
          <w:rFonts w:ascii="Arial" w:hAnsi="Arial" w:cs="Arial"/>
          <w:b/>
          <w:bCs/>
          <w:color w:val="000000" w:themeColor="text1"/>
          <w:sz w:val="22"/>
          <w:lang w:val="es-CO"/>
        </w:rPr>
        <w:t>Respuesta</w:t>
      </w:r>
    </w:p>
    <w:p w14:paraId="4CB8022B" w14:textId="77777777" w:rsidR="001241ED" w:rsidRPr="00064944" w:rsidRDefault="001241ED" w:rsidP="001241ED">
      <w:pPr>
        <w:pStyle w:val="Prrafodelista"/>
        <w:tabs>
          <w:tab w:val="left" w:pos="284"/>
        </w:tabs>
        <w:spacing w:line="276" w:lineRule="auto"/>
        <w:ind w:left="0"/>
        <w:rPr>
          <w:rFonts w:ascii="Arial" w:hAnsi="Arial" w:cs="Arial"/>
          <w:b/>
          <w:bCs/>
          <w:color w:val="000000" w:themeColor="text1"/>
          <w:sz w:val="22"/>
          <w:lang w:val="es-CO"/>
        </w:rPr>
      </w:pPr>
      <w:r w:rsidRPr="00064944">
        <w:rPr>
          <w:rFonts w:ascii="Arial" w:hAnsi="Arial" w:cs="Arial"/>
          <w:b/>
          <w:bCs/>
          <w:color w:val="000000" w:themeColor="text1"/>
          <w:sz w:val="22"/>
          <w:lang w:val="es-CO"/>
        </w:rPr>
        <w:t xml:space="preserve"> </w:t>
      </w:r>
    </w:p>
    <w:p w14:paraId="4A381A84" w14:textId="77777777" w:rsidR="001241ED" w:rsidRPr="002A1B2B" w:rsidRDefault="001241ED" w:rsidP="001241ED">
      <w:pPr>
        <w:ind w:left="709" w:right="709"/>
        <w:jc w:val="both"/>
        <w:rPr>
          <w:rFonts w:ascii="Arial" w:hAnsi="Arial" w:cs="Arial"/>
          <w:sz w:val="22"/>
          <w:szCs w:val="22"/>
        </w:rPr>
      </w:pPr>
      <w:r w:rsidRPr="002A1B2B">
        <w:rPr>
          <w:rFonts w:ascii="Arial" w:hAnsi="Arial" w:cs="Arial"/>
          <w:color w:val="000000" w:themeColor="text1"/>
          <w:sz w:val="22"/>
          <w:szCs w:val="22"/>
          <w:lang w:val="es-ES"/>
        </w:rPr>
        <w:t>¿</w:t>
      </w:r>
      <w:r w:rsidRPr="002A1B2B">
        <w:rPr>
          <w:rFonts w:ascii="Arial" w:hAnsi="Arial" w:cs="Arial"/>
          <w:sz w:val="22"/>
          <w:szCs w:val="22"/>
        </w:rPr>
        <w:t xml:space="preserve">Es legalmente posible exigir al contratista la asunción del costo que genera la ampliación de la vigencia del amparo de cumplimiento, a pesar de que por </w:t>
      </w:r>
      <w:r w:rsidRPr="002A1B2B">
        <w:rPr>
          <w:rFonts w:ascii="Arial" w:hAnsi="Arial" w:cs="Arial"/>
          <w:sz w:val="22"/>
          <w:szCs w:val="22"/>
        </w:rPr>
        <w:lastRenderedPageBreak/>
        <w:t>causas ajenas a su voluntad y atribuibles a la entidad contra</w:t>
      </w:r>
      <w:r>
        <w:rPr>
          <w:rFonts w:ascii="Arial" w:hAnsi="Arial" w:cs="Arial"/>
          <w:sz w:val="22"/>
          <w:szCs w:val="22"/>
        </w:rPr>
        <w:t>ta</w:t>
      </w:r>
      <w:r w:rsidRPr="002A1B2B">
        <w:rPr>
          <w:rFonts w:ascii="Arial" w:hAnsi="Arial" w:cs="Arial"/>
          <w:sz w:val="22"/>
          <w:szCs w:val="22"/>
        </w:rPr>
        <w:t>nte, no se logr</w:t>
      </w:r>
      <w:r>
        <w:rPr>
          <w:rFonts w:ascii="Arial" w:hAnsi="Arial" w:cs="Arial"/>
          <w:sz w:val="22"/>
          <w:szCs w:val="22"/>
        </w:rPr>
        <w:t>ó</w:t>
      </w:r>
      <w:r w:rsidRPr="002A1B2B">
        <w:rPr>
          <w:rFonts w:ascii="Arial" w:hAnsi="Arial" w:cs="Arial"/>
          <w:sz w:val="22"/>
          <w:szCs w:val="22"/>
        </w:rPr>
        <w:t xml:space="preserve"> la liquidación del contrato dentro de los plazos para la liquidación bilateral y unilateral</w:t>
      </w:r>
      <w:r w:rsidRPr="002A1B2B">
        <w:rPr>
          <w:rFonts w:ascii="Arial" w:hAnsi="Arial" w:cs="Arial"/>
          <w:color w:val="000000" w:themeColor="text1"/>
          <w:sz w:val="22"/>
          <w:szCs w:val="22"/>
          <w:lang w:val="es-ES"/>
        </w:rPr>
        <w:t>?</w:t>
      </w:r>
      <w:r w:rsidRPr="002A1B2B">
        <w:rPr>
          <w:rFonts w:ascii="Arial" w:eastAsia="Calibri" w:hAnsi="Arial" w:cs="Arial"/>
          <w:color w:val="000000" w:themeColor="text1"/>
          <w:sz w:val="22"/>
          <w:szCs w:val="22"/>
          <w:lang w:val="es-ES"/>
        </w:rPr>
        <w:t>.</w:t>
      </w:r>
    </w:p>
    <w:p w14:paraId="655E0D32" w14:textId="77777777" w:rsidR="001241ED" w:rsidRPr="00B81C07" w:rsidRDefault="001241ED" w:rsidP="001241ED">
      <w:pPr>
        <w:spacing w:line="276" w:lineRule="auto"/>
        <w:ind w:left="709" w:right="709"/>
        <w:jc w:val="both"/>
        <w:rPr>
          <w:rFonts w:ascii="Arial" w:eastAsia="Calibri" w:hAnsi="Arial" w:cs="Arial"/>
          <w:sz w:val="22"/>
          <w:szCs w:val="22"/>
          <w:lang w:val="es-ES"/>
        </w:rPr>
      </w:pPr>
    </w:p>
    <w:p w14:paraId="642D2FCC" w14:textId="77777777" w:rsidR="001241ED" w:rsidRPr="00916949" w:rsidRDefault="001241ED" w:rsidP="001241ED">
      <w:pPr>
        <w:spacing w:after="120" w:line="276" w:lineRule="auto"/>
        <w:ind w:right="105"/>
        <w:jc w:val="both"/>
        <w:rPr>
          <w:rFonts w:ascii="Arial" w:hAnsi="Arial" w:cs="Arial"/>
          <w:color w:val="000000"/>
          <w:sz w:val="22"/>
          <w:szCs w:val="22"/>
        </w:rPr>
      </w:pPr>
      <w:r w:rsidRPr="00916949">
        <w:rPr>
          <w:rFonts w:ascii="Arial" w:hAnsi="Arial" w:cs="Arial"/>
          <w:color w:val="201F1E"/>
          <w:sz w:val="22"/>
          <w:szCs w:val="22"/>
          <w:bdr w:val="none" w:sz="0" w:space="0" w:color="auto" w:frame="1"/>
          <w:shd w:val="clear" w:color="auto" w:fill="FFFFFF"/>
        </w:rPr>
        <w:t>Con base en las consideraciones anteriores, es posible afirmar que el proceso de liquidación cuenta con unos plazos específicos establecidos por el artículo 11 de la Ley 1150 de 2007</w:t>
      </w:r>
      <w:r>
        <w:rPr>
          <w:rFonts w:ascii="Arial" w:hAnsi="Arial" w:cs="Arial"/>
          <w:color w:val="201F1E"/>
          <w:sz w:val="22"/>
          <w:szCs w:val="22"/>
          <w:bdr w:val="none" w:sz="0" w:space="0" w:color="auto" w:frame="1"/>
          <w:shd w:val="clear" w:color="auto" w:fill="FFFFFF"/>
        </w:rPr>
        <w:t>:</w:t>
      </w:r>
      <w:r w:rsidRPr="00916949">
        <w:rPr>
          <w:rFonts w:ascii="Arial" w:hAnsi="Arial" w:cs="Arial"/>
          <w:color w:val="201F1E"/>
          <w:sz w:val="22"/>
          <w:szCs w:val="22"/>
          <w:bdr w:val="none" w:sz="0" w:space="0" w:color="auto" w:frame="1"/>
          <w:shd w:val="clear" w:color="auto" w:fill="FFFFFF"/>
        </w:rPr>
        <w:t xml:space="preserve"> </w:t>
      </w:r>
      <w:r>
        <w:rPr>
          <w:rFonts w:ascii="Arial" w:hAnsi="Arial" w:cs="Arial"/>
          <w:color w:val="201F1E"/>
          <w:sz w:val="22"/>
          <w:szCs w:val="22"/>
          <w:bdr w:val="none" w:sz="0" w:space="0" w:color="auto" w:frame="1"/>
          <w:shd w:val="clear" w:color="auto" w:fill="FFFFFF"/>
        </w:rPr>
        <w:t>i) el plazo convencionalmente establecido por las partes o, en su ausencia, el término supletivo establecido para la</w:t>
      </w:r>
      <w:r w:rsidRPr="00916949">
        <w:rPr>
          <w:rFonts w:ascii="Arial" w:hAnsi="Arial" w:cs="Arial"/>
          <w:color w:val="201F1E"/>
          <w:sz w:val="22"/>
          <w:szCs w:val="22"/>
          <w:bdr w:val="none" w:sz="0" w:space="0" w:color="auto" w:frame="1"/>
          <w:shd w:val="clear" w:color="auto" w:fill="FFFFFF"/>
        </w:rPr>
        <w:t xml:space="preserve"> liquidación bilateral de 4 meses</w:t>
      </w:r>
      <w:r>
        <w:rPr>
          <w:rFonts w:ascii="Arial" w:hAnsi="Arial" w:cs="Arial"/>
          <w:color w:val="201F1E"/>
          <w:sz w:val="22"/>
          <w:szCs w:val="22"/>
          <w:bdr w:val="none" w:sz="0" w:space="0" w:color="auto" w:frame="1"/>
          <w:shd w:val="clear" w:color="auto" w:fill="FFFFFF"/>
        </w:rPr>
        <w:t>; ii)</w:t>
      </w:r>
      <w:r w:rsidRPr="00916949">
        <w:rPr>
          <w:rFonts w:ascii="Arial" w:hAnsi="Arial" w:cs="Arial"/>
          <w:color w:val="201F1E"/>
          <w:sz w:val="22"/>
          <w:szCs w:val="22"/>
          <w:bdr w:val="none" w:sz="0" w:space="0" w:color="auto" w:frame="1"/>
          <w:shd w:val="clear" w:color="auto" w:fill="FFFFFF"/>
        </w:rPr>
        <w:t xml:space="preserve"> uno siguiente de 2 meses para </w:t>
      </w:r>
      <w:r>
        <w:rPr>
          <w:rFonts w:ascii="Arial" w:hAnsi="Arial" w:cs="Arial"/>
          <w:color w:val="201F1E"/>
          <w:sz w:val="22"/>
          <w:szCs w:val="22"/>
          <w:bdr w:val="none" w:sz="0" w:space="0" w:color="auto" w:frame="1"/>
          <w:shd w:val="clear" w:color="auto" w:fill="FFFFFF"/>
        </w:rPr>
        <w:t xml:space="preserve">realizar la </w:t>
      </w:r>
      <w:r w:rsidRPr="00916949">
        <w:rPr>
          <w:rFonts w:ascii="Arial" w:hAnsi="Arial" w:cs="Arial"/>
          <w:color w:val="201F1E"/>
          <w:sz w:val="22"/>
          <w:szCs w:val="22"/>
          <w:bdr w:val="none" w:sz="0" w:space="0" w:color="auto" w:frame="1"/>
          <w:shd w:val="clear" w:color="auto" w:fill="FFFFFF"/>
        </w:rPr>
        <w:t xml:space="preserve">liquidación de forma unilateral por parte de la entidad estatal. </w:t>
      </w:r>
      <w:r>
        <w:rPr>
          <w:rFonts w:ascii="Arial" w:hAnsi="Arial" w:cs="Arial"/>
          <w:color w:val="201F1E"/>
          <w:sz w:val="22"/>
          <w:szCs w:val="22"/>
          <w:bdr w:val="none" w:sz="0" w:space="0" w:color="auto" w:frame="1"/>
          <w:shd w:val="clear" w:color="auto" w:fill="FFFFFF"/>
        </w:rPr>
        <w:t xml:space="preserve">iii) </w:t>
      </w:r>
      <w:r w:rsidRPr="00916949">
        <w:rPr>
          <w:rFonts w:ascii="Arial" w:hAnsi="Arial" w:cs="Arial"/>
          <w:color w:val="201F1E"/>
          <w:sz w:val="22"/>
          <w:szCs w:val="22"/>
          <w:bdr w:val="none" w:sz="0" w:space="0" w:color="auto" w:frame="1"/>
          <w:shd w:val="clear" w:color="auto" w:fill="FFFFFF"/>
        </w:rPr>
        <w:t>Vencidos estos plazos, existe la posibilidad</w:t>
      </w:r>
      <w:r>
        <w:rPr>
          <w:rFonts w:ascii="Arial" w:hAnsi="Arial" w:cs="Arial"/>
          <w:color w:val="201F1E"/>
          <w:sz w:val="22"/>
          <w:szCs w:val="22"/>
          <w:bdr w:val="none" w:sz="0" w:space="0" w:color="auto" w:frame="1"/>
          <w:shd w:val="clear" w:color="auto" w:fill="FFFFFF"/>
        </w:rPr>
        <w:t xml:space="preserve"> liquidar de mutuo acuerdo o</w:t>
      </w:r>
      <w:r w:rsidRPr="00916949">
        <w:rPr>
          <w:rFonts w:ascii="Arial" w:hAnsi="Arial" w:cs="Arial"/>
          <w:color w:val="201F1E"/>
          <w:sz w:val="22"/>
          <w:szCs w:val="22"/>
          <w:bdr w:val="none" w:sz="0" w:space="0" w:color="auto" w:frame="1"/>
          <w:shd w:val="clear" w:color="auto" w:fill="FFFFFF"/>
        </w:rPr>
        <w:t xml:space="preserve"> </w:t>
      </w:r>
      <w:r>
        <w:rPr>
          <w:rFonts w:ascii="Arial" w:hAnsi="Arial" w:cs="Arial"/>
          <w:color w:val="201F1E"/>
          <w:sz w:val="22"/>
          <w:szCs w:val="22"/>
          <w:bdr w:val="none" w:sz="0" w:space="0" w:color="auto" w:frame="1"/>
          <w:shd w:val="clear" w:color="auto" w:fill="FFFFFF"/>
        </w:rPr>
        <w:t>unilateralmente el contrato dentro de los 2 años siguientes, sin perjuicio de acudir a</w:t>
      </w:r>
      <w:r w:rsidRPr="00916949">
        <w:rPr>
          <w:rFonts w:ascii="Arial" w:hAnsi="Arial" w:cs="Arial"/>
          <w:color w:val="201F1E"/>
          <w:sz w:val="22"/>
          <w:szCs w:val="22"/>
          <w:bdr w:val="none" w:sz="0" w:space="0" w:color="auto" w:frame="1"/>
          <w:shd w:val="clear" w:color="auto" w:fill="FFFFFF"/>
        </w:rPr>
        <w:t xml:space="preserve"> un proceso </w:t>
      </w:r>
      <w:r>
        <w:rPr>
          <w:rFonts w:ascii="Arial" w:hAnsi="Arial" w:cs="Arial"/>
          <w:color w:val="201F1E"/>
          <w:sz w:val="22"/>
          <w:szCs w:val="22"/>
          <w:bdr w:val="none" w:sz="0" w:space="0" w:color="auto" w:frame="1"/>
          <w:shd w:val="clear" w:color="auto" w:fill="FFFFFF"/>
        </w:rPr>
        <w:t>donde se pretenda la</w:t>
      </w:r>
      <w:r w:rsidRPr="00916949">
        <w:rPr>
          <w:rFonts w:ascii="Arial" w:hAnsi="Arial" w:cs="Arial"/>
          <w:color w:val="201F1E"/>
          <w:sz w:val="22"/>
          <w:szCs w:val="22"/>
          <w:bdr w:val="none" w:sz="0" w:space="0" w:color="auto" w:frame="1"/>
          <w:shd w:val="clear" w:color="auto" w:fill="FFFFFF"/>
        </w:rPr>
        <w:t xml:space="preserve"> liquidación judicial. </w:t>
      </w:r>
    </w:p>
    <w:p w14:paraId="348F8FE2" w14:textId="77777777" w:rsidR="001241ED" w:rsidRDefault="001241ED" w:rsidP="001241ED">
      <w:pPr>
        <w:spacing w:after="120" w:line="276" w:lineRule="auto"/>
        <w:ind w:right="105" w:firstLine="708"/>
        <w:jc w:val="both"/>
        <w:rPr>
          <w:rFonts w:ascii="Arial" w:hAnsi="Arial" w:cs="Arial"/>
          <w:color w:val="000000"/>
          <w:sz w:val="22"/>
          <w:szCs w:val="22"/>
          <w:bdr w:val="none" w:sz="0" w:space="0" w:color="auto" w:frame="1"/>
          <w:shd w:val="clear" w:color="auto" w:fill="FFFFFF"/>
        </w:rPr>
      </w:pPr>
      <w:r>
        <w:rPr>
          <w:rFonts w:ascii="Arial" w:hAnsi="Arial" w:cs="Arial"/>
          <w:color w:val="201F1E"/>
          <w:sz w:val="22"/>
          <w:szCs w:val="22"/>
          <w:bdr w:val="none" w:sz="0" w:space="0" w:color="auto" w:frame="1"/>
          <w:shd w:val="clear" w:color="auto" w:fill="FFFFFF"/>
        </w:rPr>
        <w:t>Teniendo en cuenta lo anterior,</w:t>
      </w:r>
      <w:r w:rsidRPr="00916949">
        <w:rPr>
          <w:rFonts w:ascii="Arial" w:hAnsi="Arial" w:cs="Arial"/>
          <w:color w:val="201F1E"/>
          <w:sz w:val="22"/>
          <w:szCs w:val="22"/>
          <w:bdr w:val="none" w:sz="0" w:space="0" w:color="auto" w:frame="1"/>
          <w:shd w:val="clear" w:color="auto" w:fill="FFFFFF"/>
        </w:rPr>
        <w:t xml:space="preserve"> </w:t>
      </w:r>
      <w:r>
        <w:rPr>
          <w:rFonts w:ascii="Arial" w:hAnsi="Arial" w:cs="Arial"/>
          <w:color w:val="201F1E"/>
          <w:sz w:val="22"/>
          <w:szCs w:val="22"/>
          <w:bdr w:val="none" w:sz="0" w:space="0" w:color="auto" w:frame="1"/>
          <w:shd w:val="clear" w:color="auto" w:fill="FFFFFF"/>
        </w:rPr>
        <w:t>de acuerdo con</w:t>
      </w:r>
      <w:r w:rsidRPr="00916949">
        <w:rPr>
          <w:rFonts w:ascii="Arial" w:hAnsi="Arial" w:cs="Arial"/>
          <w:color w:val="201F1E"/>
          <w:sz w:val="22"/>
          <w:szCs w:val="22"/>
          <w:bdr w:val="none" w:sz="0" w:space="0" w:color="auto" w:frame="1"/>
          <w:shd w:val="clear" w:color="auto" w:fill="FFFFFF"/>
        </w:rPr>
        <w:t xml:space="preserve"> el artículo </w:t>
      </w:r>
      <w:r w:rsidRPr="00916949">
        <w:rPr>
          <w:rFonts w:ascii="Arial" w:hAnsi="Arial" w:cs="Arial"/>
          <w:color w:val="000000"/>
          <w:sz w:val="22"/>
          <w:szCs w:val="22"/>
          <w:bdr w:val="none" w:sz="0" w:space="0" w:color="auto" w:frame="1"/>
          <w:shd w:val="clear" w:color="auto" w:fill="FFFFFF"/>
        </w:rPr>
        <w:t>2.2.1.2.3.1.12. del Decreto 1082 de 2015, existe la obligación por parte del contratista de mantener la vigencia de la garantía de cumplimiento</w:t>
      </w:r>
      <w:r>
        <w:rPr>
          <w:rFonts w:ascii="Arial" w:hAnsi="Arial" w:cs="Arial"/>
          <w:color w:val="000000"/>
          <w:sz w:val="22"/>
          <w:szCs w:val="22"/>
          <w:bdr w:val="none" w:sz="0" w:space="0" w:color="auto" w:frame="1"/>
          <w:shd w:val="clear" w:color="auto" w:fill="FFFFFF"/>
        </w:rPr>
        <w:t>, en cuanto al amparo de cumplimiento del contrato,</w:t>
      </w:r>
      <w:r w:rsidRPr="00916949">
        <w:rPr>
          <w:rFonts w:ascii="Arial" w:hAnsi="Arial" w:cs="Arial"/>
          <w:color w:val="000000"/>
          <w:sz w:val="22"/>
          <w:szCs w:val="22"/>
          <w:bdr w:val="none" w:sz="0" w:space="0" w:color="auto" w:frame="1"/>
          <w:shd w:val="clear" w:color="auto" w:fill="FFFFFF"/>
        </w:rPr>
        <w:t xml:space="preserve"> hasta la liquidación del contrato. </w:t>
      </w:r>
      <w:r>
        <w:rPr>
          <w:rFonts w:ascii="Arial" w:hAnsi="Arial" w:cs="Arial"/>
          <w:color w:val="000000"/>
          <w:sz w:val="22"/>
          <w:szCs w:val="22"/>
          <w:bdr w:val="none" w:sz="0" w:space="0" w:color="auto" w:frame="1"/>
          <w:shd w:val="clear" w:color="auto" w:fill="FFFFFF"/>
        </w:rPr>
        <w:t>En este sentido</w:t>
      </w:r>
      <w:r w:rsidRPr="00916949">
        <w:rPr>
          <w:rFonts w:ascii="Arial" w:hAnsi="Arial" w:cs="Arial"/>
          <w:color w:val="000000"/>
          <w:sz w:val="22"/>
          <w:szCs w:val="22"/>
          <w:bdr w:val="none" w:sz="0" w:space="0" w:color="auto" w:frame="1"/>
          <w:shd w:val="clear" w:color="auto" w:fill="FFFFFF"/>
        </w:rPr>
        <w:t xml:space="preserve">, ante la </w:t>
      </w:r>
      <w:r>
        <w:rPr>
          <w:rFonts w:ascii="Arial" w:hAnsi="Arial" w:cs="Arial"/>
          <w:color w:val="000000"/>
          <w:sz w:val="22"/>
          <w:szCs w:val="22"/>
          <w:bdr w:val="none" w:sz="0" w:space="0" w:color="auto" w:frame="1"/>
          <w:shd w:val="clear" w:color="auto" w:fill="FFFFFF"/>
        </w:rPr>
        <w:t>falta</w:t>
      </w:r>
      <w:r w:rsidRPr="00916949">
        <w:rPr>
          <w:rFonts w:ascii="Arial" w:hAnsi="Arial" w:cs="Arial"/>
          <w:color w:val="000000"/>
          <w:sz w:val="22"/>
          <w:szCs w:val="22"/>
          <w:bdr w:val="none" w:sz="0" w:space="0" w:color="auto" w:frame="1"/>
          <w:shd w:val="clear" w:color="auto" w:fill="FFFFFF"/>
        </w:rPr>
        <w:t xml:space="preserve"> de liquidación bilateral o unilateral del contrato, el contratista </w:t>
      </w:r>
      <w:r>
        <w:rPr>
          <w:rFonts w:ascii="Arial" w:hAnsi="Arial" w:cs="Arial"/>
          <w:color w:val="000000"/>
          <w:sz w:val="22"/>
          <w:szCs w:val="22"/>
          <w:bdr w:val="none" w:sz="0" w:space="0" w:color="auto" w:frame="1"/>
          <w:shd w:val="clear" w:color="auto" w:fill="FFFFFF"/>
        </w:rPr>
        <w:t>debe</w:t>
      </w:r>
      <w:r w:rsidRPr="00916949">
        <w:rPr>
          <w:rFonts w:ascii="Arial" w:hAnsi="Arial" w:cs="Arial"/>
          <w:color w:val="000000"/>
          <w:sz w:val="22"/>
          <w:szCs w:val="22"/>
          <w:bdr w:val="none" w:sz="0" w:space="0" w:color="auto" w:frame="1"/>
          <w:shd w:val="clear" w:color="auto" w:fill="FFFFFF"/>
        </w:rPr>
        <w:t xml:space="preserve"> cumplir con la previsión normativa referida, en el sentido de mantener la vigencia de la garantía de cumplimiento hasta la liquidación del contrato, </w:t>
      </w:r>
      <w:r>
        <w:rPr>
          <w:rFonts w:ascii="Arial" w:hAnsi="Arial" w:cs="Arial"/>
          <w:color w:val="000000"/>
          <w:sz w:val="22"/>
          <w:szCs w:val="22"/>
          <w:bdr w:val="none" w:sz="0" w:space="0" w:color="auto" w:frame="1"/>
          <w:shd w:val="clear" w:color="auto" w:fill="FFFFFF"/>
        </w:rPr>
        <w:t>sin perjuicio de</w:t>
      </w:r>
      <w:r w:rsidRPr="00916949">
        <w:rPr>
          <w:rFonts w:ascii="Arial" w:hAnsi="Arial" w:cs="Arial"/>
          <w:color w:val="000000"/>
          <w:sz w:val="22"/>
          <w:szCs w:val="22"/>
          <w:bdr w:val="none" w:sz="0" w:space="0" w:color="auto" w:frame="1"/>
          <w:shd w:val="clear" w:color="auto" w:fill="FFFFFF"/>
        </w:rPr>
        <w:t xml:space="preserve"> </w:t>
      </w:r>
      <w:r>
        <w:rPr>
          <w:rFonts w:ascii="Arial" w:hAnsi="Arial" w:cs="Arial"/>
          <w:color w:val="000000"/>
          <w:sz w:val="22"/>
          <w:szCs w:val="22"/>
          <w:bdr w:val="none" w:sz="0" w:space="0" w:color="auto" w:frame="1"/>
          <w:shd w:val="clear" w:color="auto" w:fill="FFFFFF"/>
        </w:rPr>
        <w:t>interponer</w:t>
      </w:r>
      <w:r w:rsidRPr="00916949">
        <w:rPr>
          <w:rFonts w:ascii="Arial" w:hAnsi="Arial" w:cs="Arial"/>
          <w:color w:val="000000"/>
          <w:sz w:val="22"/>
          <w:szCs w:val="22"/>
          <w:bdr w:val="none" w:sz="0" w:space="0" w:color="auto" w:frame="1"/>
          <w:shd w:val="clear" w:color="auto" w:fill="FFFFFF"/>
        </w:rPr>
        <w:t xml:space="preserve"> la</w:t>
      </w:r>
      <w:r>
        <w:rPr>
          <w:rFonts w:ascii="Arial" w:hAnsi="Arial" w:cs="Arial"/>
          <w:color w:val="000000"/>
          <w:sz w:val="22"/>
          <w:szCs w:val="22"/>
          <w:bdr w:val="none" w:sz="0" w:space="0" w:color="auto" w:frame="1"/>
          <w:shd w:val="clear" w:color="auto" w:fill="FFFFFF"/>
        </w:rPr>
        <w:t xml:space="preserve"> demanda con la pretensión de</w:t>
      </w:r>
      <w:r w:rsidRPr="00916949">
        <w:rPr>
          <w:rFonts w:ascii="Arial" w:hAnsi="Arial" w:cs="Arial"/>
          <w:color w:val="000000"/>
          <w:sz w:val="22"/>
          <w:szCs w:val="22"/>
          <w:bdr w:val="none" w:sz="0" w:space="0" w:color="auto" w:frame="1"/>
          <w:shd w:val="clear" w:color="auto" w:fill="FFFFFF"/>
        </w:rPr>
        <w:t xml:space="preserve"> liquida</w:t>
      </w:r>
      <w:r>
        <w:rPr>
          <w:rFonts w:ascii="Arial" w:hAnsi="Arial" w:cs="Arial"/>
          <w:color w:val="000000"/>
          <w:sz w:val="22"/>
          <w:szCs w:val="22"/>
          <w:bdr w:val="none" w:sz="0" w:space="0" w:color="auto" w:frame="1"/>
          <w:shd w:val="clear" w:color="auto" w:fill="FFFFFF"/>
        </w:rPr>
        <w:t xml:space="preserve">rlo </w:t>
      </w:r>
      <w:r w:rsidRPr="00916949">
        <w:rPr>
          <w:rFonts w:ascii="Arial" w:hAnsi="Arial" w:cs="Arial"/>
          <w:color w:val="000000"/>
          <w:sz w:val="22"/>
          <w:szCs w:val="22"/>
          <w:bdr w:val="none" w:sz="0" w:space="0" w:color="auto" w:frame="1"/>
          <w:shd w:val="clear" w:color="auto" w:fill="FFFFFF"/>
        </w:rPr>
        <w:t>judicial</w:t>
      </w:r>
      <w:r>
        <w:rPr>
          <w:rFonts w:ascii="Arial" w:hAnsi="Arial" w:cs="Arial"/>
          <w:color w:val="000000"/>
          <w:sz w:val="22"/>
          <w:szCs w:val="22"/>
          <w:bdr w:val="none" w:sz="0" w:space="0" w:color="auto" w:frame="1"/>
          <w:shd w:val="clear" w:color="auto" w:fill="FFFFFF"/>
        </w:rPr>
        <w:t>mente</w:t>
      </w:r>
      <w:r w:rsidRPr="00916949">
        <w:rPr>
          <w:rFonts w:ascii="Arial" w:hAnsi="Arial" w:cs="Arial"/>
          <w:color w:val="000000"/>
          <w:sz w:val="22"/>
          <w:szCs w:val="22"/>
          <w:bdr w:val="none" w:sz="0" w:space="0" w:color="auto" w:frame="1"/>
          <w:shd w:val="clear" w:color="auto" w:fill="FFFFFF"/>
        </w:rPr>
        <w:t>.</w:t>
      </w:r>
    </w:p>
    <w:p w14:paraId="028FA4BA" w14:textId="77777777" w:rsidR="001241ED" w:rsidRPr="00916949" w:rsidRDefault="001241ED" w:rsidP="001241ED">
      <w:pPr>
        <w:spacing w:after="120" w:line="276" w:lineRule="auto"/>
        <w:ind w:right="105" w:firstLine="708"/>
        <w:jc w:val="both"/>
        <w:rPr>
          <w:rFonts w:ascii="Arial" w:hAnsi="Arial" w:cs="Arial"/>
          <w:color w:val="000000"/>
          <w:sz w:val="22"/>
          <w:szCs w:val="22"/>
        </w:rPr>
      </w:pPr>
    </w:p>
    <w:p w14:paraId="5BAF1BF5" w14:textId="77777777" w:rsidR="001241ED" w:rsidRPr="006C15D5" w:rsidRDefault="001241ED" w:rsidP="001241ED">
      <w:pPr>
        <w:spacing w:line="276" w:lineRule="auto"/>
        <w:jc w:val="both"/>
        <w:rPr>
          <w:rFonts w:ascii="Arial" w:eastAsia="Calibri" w:hAnsi="Arial" w:cs="Arial"/>
          <w:color w:val="000000" w:themeColor="text1"/>
          <w:sz w:val="22"/>
        </w:rPr>
      </w:pPr>
      <w:r w:rsidRPr="006A443A">
        <w:rPr>
          <w:rFonts w:ascii="Arial" w:eastAsia="Calibri" w:hAnsi="Arial" w:cs="Arial"/>
          <w:color w:val="000000" w:themeColor="text1"/>
          <w:sz w:val="22"/>
          <w:szCs w:val="22"/>
        </w:rPr>
        <w:t>Este concepto tiene el alcance previsto en el artículo 28 del Cód</w:t>
      </w:r>
      <w:r w:rsidRPr="006C15D5">
        <w:rPr>
          <w:rFonts w:ascii="Arial" w:eastAsia="Calibri" w:hAnsi="Arial" w:cs="Arial"/>
          <w:color w:val="000000" w:themeColor="text1"/>
          <w:sz w:val="22"/>
        </w:rPr>
        <w:t>igo de Procedimiento Administrativo y de lo Contencioso Administrativo.</w:t>
      </w:r>
    </w:p>
    <w:p w14:paraId="67D05C2C" w14:textId="77777777" w:rsidR="001241ED" w:rsidRPr="006C15D5" w:rsidRDefault="001241ED" w:rsidP="001241ED">
      <w:pPr>
        <w:ind w:firstLine="709"/>
        <w:jc w:val="both"/>
        <w:rPr>
          <w:rFonts w:ascii="Arial" w:eastAsia="Calibri" w:hAnsi="Arial" w:cs="Arial"/>
          <w:color w:val="000000" w:themeColor="text1"/>
          <w:sz w:val="22"/>
        </w:rPr>
      </w:pPr>
    </w:p>
    <w:p w14:paraId="3F6CF07B" w14:textId="77777777" w:rsidR="001241ED" w:rsidRDefault="001241ED" w:rsidP="001241ED">
      <w:pPr>
        <w:jc w:val="both"/>
        <w:rPr>
          <w:rFonts w:ascii="Arial" w:hAnsi="Arial" w:cs="Arial"/>
          <w:color w:val="000000" w:themeColor="text1"/>
          <w:sz w:val="22"/>
          <w:lang w:eastAsia="es-CO"/>
        </w:rPr>
      </w:pPr>
      <w:r w:rsidRPr="006C15D5">
        <w:rPr>
          <w:rFonts w:ascii="Arial" w:hAnsi="Arial" w:cs="Arial"/>
          <w:color w:val="000000" w:themeColor="text1"/>
          <w:sz w:val="22"/>
          <w:lang w:eastAsia="es-CO"/>
        </w:rPr>
        <w:t>Atentamente,</w:t>
      </w:r>
    </w:p>
    <w:p w14:paraId="5152791F" w14:textId="4F06FCEB" w:rsidR="001241ED" w:rsidRDefault="00D4233B" w:rsidP="001241ED">
      <w:pPr>
        <w:jc w:val="center"/>
        <w:rPr>
          <w:rFonts w:ascii="Arial" w:hAnsi="Arial" w:cs="Arial"/>
          <w:color w:val="000000" w:themeColor="text1"/>
          <w:sz w:val="22"/>
          <w:lang w:eastAsia="es-CO"/>
        </w:rPr>
      </w:pPr>
      <w:r>
        <w:rPr>
          <w:noProof/>
          <w:lang w:val="es-ES" w:eastAsia="es-ES"/>
        </w:rPr>
        <w:drawing>
          <wp:inline distT="0" distB="0" distL="0" distR="0" wp14:anchorId="5A21A287" wp14:editId="5765091B">
            <wp:extent cx="2342661" cy="1038225"/>
            <wp:effectExtent l="0" t="0" r="635"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342661" cy="1038225"/>
                    </a:xfrm>
                    <a:prstGeom prst="rect">
                      <a:avLst/>
                    </a:prstGeom>
                  </pic:spPr>
                </pic:pic>
              </a:graphicData>
            </a:graphic>
          </wp:inline>
        </w:drawing>
      </w:r>
    </w:p>
    <w:p w14:paraId="63FD7D51" w14:textId="77777777" w:rsidR="001241ED" w:rsidRDefault="001241ED" w:rsidP="001241ED">
      <w:pPr>
        <w:jc w:val="center"/>
        <w:rPr>
          <w:rFonts w:ascii="Arial" w:hAnsi="Arial" w:cs="Arial"/>
          <w:color w:val="000000" w:themeColor="text1"/>
          <w:sz w:val="18"/>
          <w:szCs w:val="20"/>
          <w:lang w:eastAsia="es-CO"/>
        </w:rPr>
      </w:pPr>
    </w:p>
    <w:p w14:paraId="0EBD6B37" w14:textId="77777777" w:rsidR="001241ED" w:rsidRPr="006C15D5" w:rsidRDefault="001241ED" w:rsidP="001241ED">
      <w:pPr>
        <w:jc w:val="center"/>
        <w:rPr>
          <w:rFonts w:ascii="Arial"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241ED" w:rsidRPr="003F6D32" w14:paraId="5D11AE91" w14:textId="77777777" w:rsidTr="0023340F">
        <w:trPr>
          <w:trHeight w:val="315"/>
        </w:trPr>
        <w:tc>
          <w:tcPr>
            <w:tcW w:w="812" w:type="dxa"/>
            <w:vAlign w:val="center"/>
            <w:hideMark/>
          </w:tcPr>
          <w:p w14:paraId="13C6C7D8" w14:textId="77777777" w:rsidR="001241ED" w:rsidRPr="006C15D5" w:rsidRDefault="001241ED" w:rsidP="0023340F">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BED590C" w14:textId="77777777" w:rsidR="001241ED" w:rsidRPr="006C15D5" w:rsidRDefault="001241ED" w:rsidP="0023340F">
            <w:pPr>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Camilo Perdomo Villamil </w:t>
            </w:r>
          </w:p>
          <w:p w14:paraId="6B7E084F" w14:textId="77777777" w:rsidR="001241ED" w:rsidRPr="006C15D5" w:rsidRDefault="001241ED" w:rsidP="0023340F">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Contratista de la Subdirección de Gestión Contractual</w:t>
            </w:r>
          </w:p>
        </w:tc>
      </w:tr>
      <w:tr w:rsidR="001241ED" w:rsidRPr="003F6D32" w14:paraId="1655040D" w14:textId="77777777" w:rsidTr="0023340F">
        <w:trPr>
          <w:trHeight w:val="330"/>
        </w:trPr>
        <w:tc>
          <w:tcPr>
            <w:tcW w:w="812" w:type="dxa"/>
            <w:vAlign w:val="center"/>
            <w:hideMark/>
          </w:tcPr>
          <w:p w14:paraId="0A62D1DD" w14:textId="77777777" w:rsidR="001241ED" w:rsidRPr="006C15D5" w:rsidRDefault="001241ED" w:rsidP="0023340F">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C19AEF4" w14:textId="77777777" w:rsidR="001241ED" w:rsidRDefault="001241ED" w:rsidP="0023340F">
            <w:pPr>
              <w:rPr>
                <w:rFonts w:ascii="Arial" w:hAnsi="Arial" w:cs="Arial"/>
                <w:color w:val="000000" w:themeColor="text1"/>
                <w:sz w:val="16"/>
                <w:szCs w:val="16"/>
                <w:lang w:eastAsia="es-ES"/>
              </w:rPr>
            </w:pPr>
            <w:r>
              <w:rPr>
                <w:rFonts w:ascii="Arial" w:hAnsi="Arial" w:cs="Arial"/>
                <w:color w:val="000000" w:themeColor="text1"/>
                <w:sz w:val="16"/>
                <w:szCs w:val="16"/>
                <w:lang w:eastAsia="es-ES"/>
              </w:rPr>
              <w:t>Sebastián Ramírez Grisales</w:t>
            </w:r>
          </w:p>
          <w:p w14:paraId="50598BCC" w14:textId="77777777" w:rsidR="001241ED" w:rsidRPr="006C15D5" w:rsidRDefault="001241ED" w:rsidP="0023340F">
            <w:pPr>
              <w:rPr>
                <w:rFonts w:ascii="Arial" w:hAnsi="Arial" w:cs="Arial"/>
                <w:color w:val="000000" w:themeColor="text1"/>
                <w:sz w:val="16"/>
                <w:szCs w:val="16"/>
                <w:lang w:eastAsia="es-ES"/>
              </w:rPr>
            </w:pPr>
            <w:r w:rsidRPr="004D6EB0">
              <w:rPr>
                <w:rFonts w:ascii="Arial" w:hAnsi="Arial" w:cs="Arial"/>
                <w:color w:val="000000" w:themeColor="text1"/>
                <w:sz w:val="16"/>
                <w:szCs w:val="16"/>
                <w:lang w:eastAsia="es-ES"/>
              </w:rPr>
              <w:t>Gestor T1-15 de la Subdirección de Gestión Contractual</w:t>
            </w:r>
          </w:p>
        </w:tc>
      </w:tr>
      <w:tr w:rsidR="001241ED" w:rsidRPr="003F6D32" w14:paraId="5289B8B3" w14:textId="77777777" w:rsidTr="0023340F">
        <w:trPr>
          <w:trHeight w:val="300"/>
        </w:trPr>
        <w:tc>
          <w:tcPr>
            <w:tcW w:w="812" w:type="dxa"/>
            <w:vAlign w:val="center"/>
            <w:hideMark/>
          </w:tcPr>
          <w:p w14:paraId="568932A0" w14:textId="77777777" w:rsidR="001241ED" w:rsidRPr="006C15D5" w:rsidRDefault="001241ED" w:rsidP="0023340F">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867FE09" w14:textId="77777777" w:rsidR="001241ED" w:rsidRDefault="001241ED" w:rsidP="0023340F">
            <w:pPr>
              <w:rPr>
                <w:rFonts w:ascii="Arial" w:hAnsi="Arial" w:cs="Arial"/>
                <w:color w:val="000000" w:themeColor="text1"/>
                <w:sz w:val="16"/>
                <w:szCs w:val="16"/>
                <w:lang w:eastAsia="es-ES"/>
              </w:rPr>
            </w:pPr>
            <w:r>
              <w:rPr>
                <w:rFonts w:ascii="Arial" w:hAnsi="Arial" w:cs="Arial"/>
                <w:color w:val="000000" w:themeColor="text1"/>
                <w:sz w:val="16"/>
                <w:szCs w:val="16"/>
                <w:lang w:eastAsia="es-ES"/>
              </w:rPr>
              <w:t>Jorge Augusto Tirado Navarro</w:t>
            </w:r>
          </w:p>
          <w:p w14:paraId="78899E45" w14:textId="77777777" w:rsidR="001241ED" w:rsidRPr="006C15D5" w:rsidRDefault="001241ED" w:rsidP="0023340F">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Subdirector de Gestión Contractual</w:t>
            </w:r>
            <w:r>
              <w:rPr>
                <w:rFonts w:ascii="Arial" w:hAnsi="Arial" w:cs="Arial"/>
                <w:color w:val="000000" w:themeColor="text1"/>
                <w:sz w:val="16"/>
                <w:szCs w:val="16"/>
                <w:lang w:eastAsia="es-ES"/>
              </w:rPr>
              <w:t xml:space="preserve"> ANCP – CCE</w:t>
            </w:r>
          </w:p>
        </w:tc>
      </w:tr>
    </w:tbl>
    <w:p w14:paraId="087F79C8" w14:textId="77777777" w:rsidR="001241ED" w:rsidRDefault="001241ED" w:rsidP="001241ED"/>
    <w:p w14:paraId="707B50AF" w14:textId="77777777" w:rsidR="001241ED" w:rsidRDefault="001241ED"/>
    <w:sectPr w:rsidR="001241ED" w:rsidSect="00431ADF">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E143D" w14:textId="77777777" w:rsidR="00F40030" w:rsidRDefault="00F40030" w:rsidP="001241ED">
      <w:r>
        <w:separator/>
      </w:r>
    </w:p>
  </w:endnote>
  <w:endnote w:type="continuationSeparator" w:id="0">
    <w:p w14:paraId="3810A539" w14:textId="77777777" w:rsidR="00F40030" w:rsidRDefault="00F40030" w:rsidP="00124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0336" w14:textId="77777777" w:rsidR="003E1BA9" w:rsidRDefault="00F40030" w:rsidP="00431ADF">
    <w:pPr>
      <w:pStyle w:val="Sinespaciado"/>
      <w:jc w:val="right"/>
      <w:rPr>
        <w:rFonts w:ascii="Arial" w:hAnsi="Arial" w:cs="Arial"/>
        <w:sz w:val="18"/>
        <w:szCs w:val="18"/>
      </w:rPr>
    </w:pPr>
  </w:p>
  <w:p w14:paraId="2A80198B" w14:textId="77777777" w:rsidR="003E1BA9" w:rsidRDefault="00F40030" w:rsidP="00431ADF">
    <w:pPr>
      <w:pStyle w:val="Sinespaciado"/>
      <w:jc w:val="right"/>
      <w:rPr>
        <w:rFonts w:ascii="Arial" w:hAnsi="Arial" w:cs="Arial"/>
        <w:sz w:val="18"/>
        <w:szCs w:val="18"/>
      </w:rPr>
    </w:pPr>
  </w:p>
  <w:p w14:paraId="0F60A4C5" w14:textId="77777777" w:rsidR="003E1BA9" w:rsidRPr="008217B7" w:rsidRDefault="00825678" w:rsidP="00431ADF">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099DC0AF" w14:textId="77777777" w:rsidR="003E1BA9" w:rsidRDefault="00825678" w:rsidP="00431ADF">
    <w:pPr>
      <w:pStyle w:val="Piedepgina"/>
      <w:jc w:val="center"/>
      <w:rPr>
        <w:lang w:val="es-ES"/>
      </w:rPr>
    </w:pPr>
    <w:r>
      <w:rPr>
        <w:noProof/>
      </w:rPr>
      <w:drawing>
        <wp:inline distT="0" distB="0" distL="0" distR="0" wp14:anchorId="4C9E9D22" wp14:editId="7BFEEC6D">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03F5A603" w14:textId="77777777" w:rsidR="003E1BA9" w:rsidRPr="00E756AC" w:rsidRDefault="00F40030" w:rsidP="00431ADF">
    <w:pPr>
      <w:pStyle w:val="Piedepgina"/>
      <w:jc w:val="center"/>
      <w:rPr>
        <w:sz w:val="18"/>
        <w:szCs w:val="18"/>
        <w:lang w:val="es-ES"/>
      </w:rPr>
    </w:pPr>
  </w:p>
  <w:p w14:paraId="01EE698E" w14:textId="77777777" w:rsidR="003E1BA9" w:rsidRPr="00E756AC" w:rsidRDefault="00F40030" w:rsidP="00431ADF">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516F3" w14:textId="77777777" w:rsidR="00F40030" w:rsidRDefault="00F40030" w:rsidP="001241ED">
      <w:r>
        <w:separator/>
      </w:r>
    </w:p>
  </w:footnote>
  <w:footnote w:type="continuationSeparator" w:id="0">
    <w:p w14:paraId="3B267704" w14:textId="77777777" w:rsidR="00F40030" w:rsidRDefault="00F40030" w:rsidP="001241ED">
      <w:r>
        <w:continuationSeparator/>
      </w:r>
    </w:p>
  </w:footnote>
  <w:footnote w:id="1">
    <w:p w14:paraId="32C25060" w14:textId="77777777" w:rsidR="001241ED" w:rsidRPr="00770A31" w:rsidRDefault="001241ED" w:rsidP="001241ED">
      <w:pPr>
        <w:pStyle w:val="Textonotapie"/>
        <w:ind w:firstLine="708"/>
        <w:jc w:val="both"/>
        <w:rPr>
          <w:rFonts w:ascii="Arial" w:hAnsi="Arial" w:cs="Arial"/>
          <w:sz w:val="19"/>
          <w:szCs w:val="19"/>
        </w:rPr>
      </w:pPr>
      <w:r w:rsidRPr="00770A31">
        <w:rPr>
          <w:rStyle w:val="Refdenotaalpie"/>
          <w:rFonts w:ascii="Arial" w:hAnsi="Arial" w:cs="Arial"/>
          <w:sz w:val="19"/>
          <w:szCs w:val="19"/>
        </w:rPr>
        <w:footnoteRef/>
      </w:r>
      <w:r w:rsidRPr="00770A31">
        <w:rPr>
          <w:rFonts w:ascii="Arial" w:hAnsi="Arial" w:cs="Arial"/>
          <w:sz w:val="19"/>
          <w:szCs w:val="19"/>
        </w:rPr>
        <w:t xml:space="preserve"> «La última formalidad que deben cumplir los contratos de la Administración dentro del marco jurídico de la contratación estatal se refiere a la liquidación, definida, en principio, como un negocio jurídico bilateral cuyo objeto es la realización del corte de cuentas entre las partes contratantes, en el cual queda establecida la relación directa entre las prestaciones ejecutaras, el valor cobrado por las mismas y su cancelación por parte del deudor de estas, sin perjuicio de los descuentos económicos a que haya lugar con motivo de la aplicación de estipulaciones contractuales específicas.</w:t>
      </w:r>
      <w:r w:rsidRPr="00770A31">
        <w:rPr>
          <w:rFonts w:ascii="Arial" w:hAnsi="Arial" w:cs="Arial"/>
          <w:color w:val="000000"/>
          <w:sz w:val="19"/>
          <w:szCs w:val="19"/>
          <w:shd w:val="clear" w:color="auto" w:fill="FFFFFF"/>
        </w:rPr>
        <w:t>»</w:t>
      </w:r>
      <w:r w:rsidRPr="00770A31">
        <w:rPr>
          <w:rFonts w:ascii="Arial" w:hAnsi="Arial" w:cs="Arial"/>
          <w:sz w:val="19"/>
          <w:szCs w:val="19"/>
        </w:rPr>
        <w:t xml:space="preserve"> EXPOSITO, Juan Carlos. Forma y contenido del contrato estatal. Bogotá: Universidad Externado de Colombia, p. 89 y 90.</w:t>
      </w:r>
    </w:p>
    <w:p w14:paraId="63924B10" w14:textId="77777777" w:rsidR="001241ED" w:rsidRPr="00770A31" w:rsidRDefault="001241ED" w:rsidP="001241ED">
      <w:pPr>
        <w:pStyle w:val="Textonotapie"/>
        <w:ind w:firstLine="708"/>
        <w:jc w:val="both"/>
        <w:rPr>
          <w:rFonts w:ascii="Arial" w:hAnsi="Arial" w:cs="Arial"/>
          <w:sz w:val="19"/>
          <w:szCs w:val="19"/>
        </w:rPr>
      </w:pPr>
      <w:r w:rsidRPr="00770A31">
        <w:rPr>
          <w:rFonts w:ascii="Arial" w:hAnsi="Arial" w:cs="Arial"/>
          <w:sz w:val="19"/>
          <w:szCs w:val="19"/>
        </w:rPr>
        <w:t xml:space="preserve"> </w:t>
      </w:r>
    </w:p>
  </w:footnote>
  <w:footnote w:id="2">
    <w:p w14:paraId="7E569CFE" w14:textId="77777777" w:rsidR="001241ED" w:rsidRPr="00975B5D" w:rsidRDefault="001241ED" w:rsidP="001241ED">
      <w:pPr>
        <w:pStyle w:val="Textonotapie"/>
        <w:ind w:firstLine="708"/>
        <w:jc w:val="both"/>
        <w:rPr>
          <w:rFonts w:ascii="Arial" w:hAnsi="Arial" w:cs="Arial"/>
          <w:sz w:val="19"/>
          <w:szCs w:val="19"/>
          <w:lang w:val="es-CO"/>
        </w:rPr>
      </w:pPr>
      <w:r w:rsidRPr="00975B5D">
        <w:rPr>
          <w:rStyle w:val="Refdenotaalpie"/>
          <w:rFonts w:ascii="Arial" w:hAnsi="Arial" w:cs="Arial"/>
          <w:sz w:val="19"/>
          <w:szCs w:val="19"/>
        </w:rPr>
        <w:footnoteRef/>
      </w:r>
      <w:r w:rsidRPr="00975B5D">
        <w:rPr>
          <w:rFonts w:ascii="Arial" w:hAnsi="Arial" w:cs="Arial"/>
          <w:sz w:val="19"/>
          <w:szCs w:val="19"/>
        </w:rPr>
        <w:t xml:space="preserve"> DÍAZ DÍEZ, Cristian Andrés. La liquidación. Serie: Las Cláusulas del Contrato Estatal. Medellín: Librería Jurídica Sánchez y Centro de Estudios de Derecho Administrativo –CEDA–, 2013, pp. 53-54.</w:t>
      </w:r>
    </w:p>
  </w:footnote>
  <w:footnote w:id="3">
    <w:p w14:paraId="5BD1C9F6" w14:textId="77777777" w:rsidR="001241ED" w:rsidRPr="00770A31" w:rsidRDefault="001241ED" w:rsidP="001241ED">
      <w:pPr>
        <w:ind w:firstLine="708"/>
        <w:jc w:val="both"/>
        <w:rPr>
          <w:rFonts w:ascii="Arial" w:hAnsi="Arial" w:cs="Arial"/>
          <w:color w:val="000000" w:themeColor="text1"/>
          <w:sz w:val="19"/>
          <w:szCs w:val="19"/>
        </w:rPr>
      </w:pPr>
      <w:r w:rsidRPr="00770A31">
        <w:rPr>
          <w:rStyle w:val="Refdenotaalpie"/>
          <w:rFonts w:ascii="Arial" w:hAnsi="Arial" w:cs="Arial"/>
          <w:color w:val="000000" w:themeColor="text1"/>
          <w:sz w:val="19"/>
          <w:szCs w:val="19"/>
        </w:rPr>
        <w:footnoteRef/>
      </w:r>
      <w:r w:rsidRPr="00770A31">
        <w:rPr>
          <w:rFonts w:ascii="Arial" w:hAnsi="Arial" w:cs="Arial"/>
          <w:color w:val="000000" w:themeColor="text1"/>
          <w:sz w:val="19"/>
          <w:szCs w:val="19"/>
        </w:rPr>
        <w:t xml:space="preserve"> Consejo de Estado</w:t>
      </w:r>
      <w:r>
        <w:rPr>
          <w:rFonts w:ascii="Arial" w:hAnsi="Arial" w:cs="Arial"/>
          <w:color w:val="000000" w:themeColor="text1"/>
          <w:sz w:val="19"/>
          <w:szCs w:val="19"/>
        </w:rPr>
        <w:t>.</w:t>
      </w:r>
      <w:r w:rsidRPr="00770A31">
        <w:rPr>
          <w:rFonts w:ascii="Arial" w:hAnsi="Arial" w:cs="Arial"/>
          <w:color w:val="000000" w:themeColor="text1"/>
          <w:sz w:val="19"/>
          <w:szCs w:val="19"/>
        </w:rPr>
        <w:t xml:space="preserve"> Sección Tercera. Subsección C</w:t>
      </w:r>
      <w:r>
        <w:rPr>
          <w:rFonts w:ascii="Arial" w:hAnsi="Arial" w:cs="Arial"/>
          <w:color w:val="000000" w:themeColor="text1"/>
          <w:sz w:val="19"/>
          <w:szCs w:val="19"/>
        </w:rPr>
        <w:t>. 20 de octubre de 2014, M.P: Enrique Gil Botero.</w:t>
      </w:r>
      <w:r w:rsidRPr="00770A31">
        <w:rPr>
          <w:rFonts w:ascii="Arial" w:hAnsi="Arial" w:cs="Arial"/>
          <w:color w:val="000000" w:themeColor="text1"/>
          <w:sz w:val="19"/>
          <w:szCs w:val="19"/>
        </w:rPr>
        <w:t xml:space="preserve"> </w:t>
      </w:r>
      <w:r>
        <w:rPr>
          <w:rFonts w:ascii="Arial" w:hAnsi="Arial" w:cs="Arial"/>
          <w:color w:val="000000" w:themeColor="text1"/>
          <w:sz w:val="19"/>
          <w:szCs w:val="19"/>
        </w:rPr>
        <w:t>Exp.</w:t>
      </w:r>
      <w:r w:rsidRPr="00770A31">
        <w:rPr>
          <w:rFonts w:ascii="Arial" w:hAnsi="Arial" w:cs="Arial"/>
          <w:color w:val="000000" w:themeColor="text1"/>
          <w:sz w:val="19"/>
          <w:szCs w:val="19"/>
        </w:rPr>
        <w:t xml:space="preserve"> 27.777. Allí se dijo: «[…]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p w14:paraId="1A3DCECB" w14:textId="77777777" w:rsidR="001241ED" w:rsidRPr="00770A31" w:rsidRDefault="001241ED" w:rsidP="001241ED">
      <w:pPr>
        <w:pStyle w:val="Textonotapie"/>
        <w:ind w:firstLine="708"/>
        <w:jc w:val="both"/>
        <w:rPr>
          <w:rFonts w:ascii="Arial" w:hAnsi="Arial" w:cs="Arial"/>
          <w:color w:val="000000" w:themeColor="text1"/>
          <w:sz w:val="19"/>
          <w:szCs w:val="19"/>
          <w:lang w:val="es-ES"/>
        </w:rPr>
      </w:pPr>
    </w:p>
  </w:footnote>
  <w:footnote w:id="4">
    <w:p w14:paraId="5032EEDA" w14:textId="77777777" w:rsidR="001241ED" w:rsidRPr="00770A31" w:rsidRDefault="001241ED" w:rsidP="001241ED">
      <w:pPr>
        <w:pStyle w:val="Textonotapie"/>
        <w:ind w:firstLine="708"/>
        <w:rPr>
          <w:rFonts w:ascii="Arial" w:hAnsi="Arial" w:cs="Arial"/>
          <w:sz w:val="19"/>
          <w:szCs w:val="19"/>
        </w:rPr>
      </w:pPr>
      <w:r w:rsidRPr="00770A31">
        <w:rPr>
          <w:rStyle w:val="Refdenotaalpie"/>
          <w:rFonts w:ascii="Arial" w:hAnsi="Arial" w:cs="Arial"/>
          <w:sz w:val="19"/>
          <w:szCs w:val="19"/>
        </w:rPr>
        <w:footnoteRef/>
      </w:r>
      <w:r w:rsidRPr="00770A31">
        <w:rPr>
          <w:rFonts w:ascii="Arial" w:hAnsi="Arial" w:cs="Arial"/>
          <w:sz w:val="19"/>
          <w:szCs w:val="19"/>
        </w:rPr>
        <w:t xml:space="preserve"> </w:t>
      </w:r>
      <w:r>
        <w:rPr>
          <w:rFonts w:ascii="Arial" w:hAnsi="Arial" w:cs="Arial"/>
          <w:sz w:val="19"/>
          <w:szCs w:val="19"/>
        </w:rPr>
        <w:t>Exposito Velez. Juan Carlos. Forma y contenido del contrato estatal</w:t>
      </w:r>
      <w:r w:rsidRPr="00770A31">
        <w:rPr>
          <w:rFonts w:ascii="Arial" w:hAnsi="Arial" w:cs="Arial"/>
          <w:sz w:val="19"/>
          <w:szCs w:val="19"/>
        </w:rPr>
        <w:t>, p. 90.</w:t>
      </w:r>
    </w:p>
  </w:footnote>
  <w:footnote w:id="5">
    <w:p w14:paraId="4D02085F" w14:textId="77777777" w:rsidR="001241ED" w:rsidRPr="00770A31" w:rsidRDefault="001241ED" w:rsidP="001241ED">
      <w:pPr>
        <w:pStyle w:val="Textonotapie"/>
        <w:ind w:firstLine="708"/>
        <w:jc w:val="both"/>
        <w:rPr>
          <w:rFonts w:ascii="Arial" w:hAnsi="Arial" w:cs="Arial"/>
          <w:sz w:val="19"/>
          <w:szCs w:val="19"/>
        </w:rPr>
      </w:pPr>
    </w:p>
    <w:p w14:paraId="620802EB" w14:textId="77777777" w:rsidR="001241ED" w:rsidRPr="00770A31" w:rsidRDefault="001241ED" w:rsidP="001241ED">
      <w:pPr>
        <w:pStyle w:val="Textonotapie"/>
        <w:ind w:firstLine="708"/>
        <w:jc w:val="both"/>
        <w:rPr>
          <w:rFonts w:ascii="Arial" w:hAnsi="Arial" w:cs="Arial"/>
          <w:sz w:val="19"/>
          <w:szCs w:val="19"/>
        </w:rPr>
      </w:pPr>
      <w:r w:rsidRPr="00770A31">
        <w:rPr>
          <w:rStyle w:val="Refdenotaalpie"/>
          <w:rFonts w:ascii="Arial" w:hAnsi="Arial" w:cs="Arial"/>
          <w:sz w:val="19"/>
          <w:szCs w:val="19"/>
        </w:rPr>
        <w:footnoteRef/>
      </w:r>
      <w:r w:rsidRPr="00770A31">
        <w:rPr>
          <w:rFonts w:ascii="Arial" w:hAnsi="Arial" w:cs="Arial"/>
          <w:sz w:val="19"/>
          <w:szCs w:val="19"/>
        </w:rPr>
        <w:t xml:space="preserve"> CONSEJO DE ESTADO, Sala de Consulta y Servicio Civil. Radicado No. 1453. Concepto de 6 de agosto de 2003. MP. Augusto Trejos.</w:t>
      </w:r>
    </w:p>
    <w:p w14:paraId="6864EC7A" w14:textId="77777777" w:rsidR="001241ED" w:rsidRPr="00770A31" w:rsidRDefault="001241ED" w:rsidP="001241ED">
      <w:pPr>
        <w:pStyle w:val="Textonotapie"/>
        <w:ind w:firstLine="708"/>
        <w:jc w:val="both"/>
        <w:rPr>
          <w:rFonts w:ascii="Arial" w:hAnsi="Arial" w:cs="Arial"/>
          <w:sz w:val="19"/>
          <w:szCs w:val="19"/>
        </w:rPr>
      </w:pPr>
    </w:p>
  </w:footnote>
  <w:footnote w:id="6">
    <w:p w14:paraId="02D0EEDF" w14:textId="77777777" w:rsidR="001241ED" w:rsidRPr="00770A31" w:rsidRDefault="001241ED" w:rsidP="001241ED">
      <w:pPr>
        <w:pStyle w:val="Textonotapie"/>
        <w:ind w:firstLine="708"/>
        <w:jc w:val="both"/>
        <w:rPr>
          <w:rFonts w:ascii="Arial" w:hAnsi="Arial" w:cs="Arial"/>
          <w:sz w:val="19"/>
          <w:szCs w:val="19"/>
          <w:lang w:val="es-ES"/>
        </w:rPr>
      </w:pPr>
      <w:r w:rsidRPr="00770A31">
        <w:rPr>
          <w:rStyle w:val="Refdenotaalpie"/>
          <w:rFonts w:ascii="Arial" w:hAnsi="Arial" w:cs="Arial"/>
          <w:sz w:val="19"/>
          <w:szCs w:val="19"/>
        </w:rPr>
        <w:footnoteRef/>
      </w:r>
      <w:r w:rsidRPr="00770A31">
        <w:rPr>
          <w:rFonts w:ascii="Arial" w:hAnsi="Arial" w:cs="Arial"/>
          <w:sz w:val="19"/>
          <w:szCs w:val="19"/>
        </w:rPr>
        <w:t xml:space="preserve"> </w:t>
      </w:r>
      <w:r w:rsidRPr="00770A31">
        <w:rPr>
          <w:rFonts w:ascii="Arial" w:hAnsi="Arial" w:cs="Arial"/>
          <w:sz w:val="19"/>
          <w:szCs w:val="19"/>
          <w:lang w:val="es-ES"/>
        </w:rPr>
        <w:t>El artículo 11 de la Ley 1150 de 2007 prescribe: «</w:t>
      </w:r>
      <w:r>
        <w:rPr>
          <w:rFonts w:ascii="Arial" w:hAnsi="Arial" w:cs="Arial"/>
          <w:sz w:val="19"/>
          <w:szCs w:val="19"/>
          <w:lang w:val="es-ES"/>
        </w:rPr>
        <w:t>A</w:t>
      </w:r>
      <w:r w:rsidRPr="00770A31">
        <w:rPr>
          <w:rFonts w:ascii="Arial" w:hAnsi="Arial" w:cs="Arial"/>
          <w:sz w:val="19"/>
          <w:szCs w:val="19"/>
          <w:lang w:val="es-ES"/>
        </w:rPr>
        <w:t xml:space="preserve">rtículo 11. </w:t>
      </w:r>
      <w:r>
        <w:rPr>
          <w:rFonts w:ascii="Arial" w:hAnsi="Arial" w:cs="Arial"/>
          <w:sz w:val="19"/>
          <w:szCs w:val="19"/>
          <w:lang w:val="es-ES"/>
        </w:rPr>
        <w:t>D</w:t>
      </w:r>
      <w:r w:rsidRPr="00770A31">
        <w:rPr>
          <w:rFonts w:ascii="Arial" w:hAnsi="Arial" w:cs="Arial"/>
          <w:sz w:val="19"/>
          <w:szCs w:val="19"/>
          <w:lang w:val="es-ES"/>
        </w:rPr>
        <w:t>el plazo para la liquidación de los contratos.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14:paraId="24689FBB" w14:textId="77777777" w:rsidR="001241ED" w:rsidRPr="00770A31" w:rsidRDefault="001241ED" w:rsidP="001241ED">
      <w:pPr>
        <w:pStyle w:val="Textonotapie"/>
        <w:ind w:firstLine="708"/>
        <w:jc w:val="both"/>
        <w:rPr>
          <w:rFonts w:ascii="Arial" w:hAnsi="Arial" w:cs="Arial"/>
          <w:sz w:val="19"/>
          <w:szCs w:val="19"/>
          <w:lang w:val="es-ES"/>
        </w:rPr>
      </w:pPr>
      <w:r w:rsidRPr="00770A31">
        <w:rPr>
          <w:rFonts w:ascii="Arial" w:hAnsi="Arial" w:cs="Arial"/>
          <w:sz w:val="19"/>
          <w:szCs w:val="19"/>
          <w:lang w:val="es-ES"/>
        </w:rPr>
        <w:t>» 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p>
    <w:p w14:paraId="5CC47DAF" w14:textId="77777777" w:rsidR="001241ED" w:rsidRPr="00770A31" w:rsidRDefault="001241ED" w:rsidP="001241ED">
      <w:pPr>
        <w:pStyle w:val="Textonotapie"/>
        <w:ind w:firstLine="708"/>
        <w:jc w:val="both"/>
        <w:rPr>
          <w:rFonts w:ascii="Arial" w:hAnsi="Arial" w:cs="Arial"/>
          <w:sz w:val="19"/>
          <w:szCs w:val="19"/>
          <w:lang w:val="es-ES"/>
        </w:rPr>
      </w:pPr>
      <w:r w:rsidRPr="00770A31">
        <w:rPr>
          <w:rFonts w:ascii="Arial" w:hAnsi="Arial" w:cs="Arial"/>
          <w:sz w:val="19"/>
          <w:szCs w:val="19"/>
          <w:lang w:val="es-ES"/>
        </w:rPr>
        <w:t>» 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w:t>
      </w:r>
    </w:p>
    <w:p w14:paraId="79168E9E" w14:textId="77777777" w:rsidR="001241ED" w:rsidRPr="00770A31" w:rsidRDefault="001241ED" w:rsidP="001241ED">
      <w:pPr>
        <w:pStyle w:val="Textonotapie"/>
        <w:ind w:firstLine="708"/>
        <w:jc w:val="both"/>
        <w:rPr>
          <w:rFonts w:ascii="Arial" w:hAnsi="Arial" w:cs="Arial"/>
          <w:sz w:val="19"/>
          <w:szCs w:val="19"/>
          <w:lang w:val="es-ES"/>
        </w:rPr>
      </w:pPr>
      <w:r w:rsidRPr="00770A31">
        <w:rPr>
          <w:rFonts w:ascii="Arial" w:hAnsi="Arial" w:cs="Arial"/>
          <w:sz w:val="19"/>
          <w:szCs w:val="19"/>
          <w:lang w:val="es-ES"/>
        </w:rPr>
        <w:t>» Los contratistas tendrán derecho a efectuar salvedades a la liquidación por mutuo acuerdo, y en este evento la liquidación unilateral solo procederá en relación con los aspectos que no hayan sido objeto de acuerdo».</w:t>
      </w:r>
    </w:p>
    <w:p w14:paraId="716A40C0" w14:textId="77777777" w:rsidR="001241ED" w:rsidRPr="00770A31" w:rsidRDefault="001241ED" w:rsidP="001241ED">
      <w:pPr>
        <w:pStyle w:val="Textonotapie"/>
        <w:ind w:firstLine="708"/>
        <w:jc w:val="both"/>
        <w:rPr>
          <w:rFonts w:ascii="Arial" w:hAnsi="Arial" w:cs="Arial"/>
          <w:sz w:val="19"/>
          <w:szCs w:val="19"/>
          <w:lang w:val="es-ES"/>
        </w:rPr>
      </w:pPr>
    </w:p>
  </w:footnote>
  <w:footnote w:id="7">
    <w:p w14:paraId="1443019C" w14:textId="77777777" w:rsidR="001241ED" w:rsidRDefault="001241ED" w:rsidP="001241ED">
      <w:pPr>
        <w:pStyle w:val="Textonotapie"/>
        <w:ind w:firstLine="708"/>
        <w:jc w:val="both"/>
        <w:rPr>
          <w:rFonts w:ascii="Arial" w:hAnsi="Arial" w:cs="Arial"/>
          <w:sz w:val="19"/>
          <w:szCs w:val="19"/>
        </w:rPr>
      </w:pPr>
      <w:r w:rsidRPr="00770A31">
        <w:rPr>
          <w:rStyle w:val="Refdenotaalpie"/>
          <w:rFonts w:ascii="Arial" w:hAnsi="Arial" w:cs="Arial"/>
          <w:sz w:val="19"/>
          <w:szCs w:val="19"/>
        </w:rPr>
        <w:footnoteRef/>
      </w:r>
      <w:r w:rsidRPr="00770A31">
        <w:rPr>
          <w:rFonts w:ascii="Arial" w:hAnsi="Arial" w:cs="Arial"/>
          <w:sz w:val="19"/>
          <w:szCs w:val="19"/>
        </w:rPr>
        <w:t xml:space="preserve"> COLOMBIA COMPRA EFICIENTE. Guía para la Liquidación de los Procesos de Contratación. página 5, disponible en: </w:t>
      </w:r>
      <w:hyperlink r:id="rId1" w:history="1">
        <w:r w:rsidRPr="00770A31">
          <w:rPr>
            <w:rStyle w:val="Hipervnculo"/>
            <w:rFonts w:ascii="Arial" w:hAnsi="Arial" w:cs="Arial"/>
            <w:sz w:val="19"/>
            <w:szCs w:val="19"/>
          </w:rPr>
          <w:t>https://www.colombiacompra.gov.co/sites/cce_public/files/cce_documents/cce_guia_liquidacion_procesos.pdf</w:t>
        </w:r>
      </w:hyperlink>
      <w:r w:rsidRPr="00770A31">
        <w:rPr>
          <w:rFonts w:ascii="Arial" w:hAnsi="Arial" w:cs="Arial"/>
          <w:sz w:val="19"/>
          <w:szCs w:val="19"/>
        </w:rPr>
        <w:t xml:space="preserve"> </w:t>
      </w:r>
    </w:p>
    <w:p w14:paraId="69A17AE3" w14:textId="77777777" w:rsidR="001241ED" w:rsidRPr="00770A31" w:rsidRDefault="001241ED" w:rsidP="001241ED">
      <w:pPr>
        <w:pStyle w:val="Textonotapie"/>
        <w:ind w:firstLine="708"/>
        <w:jc w:val="both"/>
        <w:rPr>
          <w:rFonts w:ascii="Arial" w:hAnsi="Arial" w:cs="Arial"/>
          <w:sz w:val="19"/>
          <w:szCs w:val="19"/>
          <w:lang w:val="es-ES"/>
        </w:rPr>
      </w:pPr>
    </w:p>
  </w:footnote>
  <w:footnote w:id="8">
    <w:p w14:paraId="72F43FA9" w14:textId="77777777" w:rsidR="001241ED" w:rsidRPr="00770A31" w:rsidRDefault="001241ED" w:rsidP="001241ED">
      <w:pPr>
        <w:pStyle w:val="Textonotapie"/>
        <w:ind w:firstLine="708"/>
        <w:jc w:val="both"/>
        <w:rPr>
          <w:rFonts w:ascii="Arial" w:hAnsi="Arial" w:cs="Arial"/>
          <w:color w:val="000000" w:themeColor="text1"/>
          <w:sz w:val="19"/>
          <w:szCs w:val="19"/>
        </w:rPr>
      </w:pPr>
      <w:r w:rsidRPr="00770A31">
        <w:rPr>
          <w:rStyle w:val="Refdenotaalpie"/>
          <w:rFonts w:ascii="Arial" w:hAnsi="Arial" w:cs="Arial"/>
          <w:color w:val="000000" w:themeColor="text1"/>
          <w:sz w:val="19"/>
          <w:szCs w:val="19"/>
        </w:rPr>
        <w:footnoteRef/>
      </w:r>
      <w:r w:rsidRPr="00770A31">
        <w:rPr>
          <w:rFonts w:ascii="Arial" w:hAnsi="Arial" w:cs="Arial"/>
          <w:color w:val="000000" w:themeColor="text1"/>
          <w:sz w:val="19"/>
          <w:szCs w:val="19"/>
        </w:rPr>
        <w:t xml:space="preserve"> Conviene recordar que es válida la liquidación bilateral parcial, debido a que las partes no logran ponerse de acuerdo en todos los asuntos referentes al contrato. En este evento, se debe hacer uso de las glosas o salvedades, y únicamente sobre tal glosa o salvedad girará el debate judicial que se da con ocasión de la demanda en ejercicio del medio de control de controversias contractuales.</w:t>
      </w:r>
    </w:p>
    <w:p w14:paraId="1F3B3780" w14:textId="77777777" w:rsidR="001241ED" w:rsidRPr="00975B5D" w:rsidRDefault="001241ED" w:rsidP="001241ED">
      <w:pPr>
        <w:pStyle w:val="Textonotapie"/>
        <w:ind w:firstLine="708"/>
        <w:jc w:val="both"/>
        <w:rPr>
          <w:rFonts w:ascii="Arial" w:hAnsi="Arial" w:cs="Arial"/>
          <w:color w:val="000000" w:themeColor="text1"/>
          <w:sz w:val="19"/>
          <w:szCs w:val="19"/>
          <w:lang w:val="es-ES"/>
        </w:rPr>
      </w:pPr>
    </w:p>
  </w:footnote>
  <w:footnote w:id="9">
    <w:p w14:paraId="3DCCDBC7" w14:textId="77777777" w:rsidR="001241ED" w:rsidRPr="00975B5D" w:rsidRDefault="001241ED" w:rsidP="001241ED">
      <w:pPr>
        <w:pStyle w:val="Textonotapie"/>
        <w:ind w:firstLine="708"/>
        <w:jc w:val="both"/>
        <w:rPr>
          <w:rFonts w:ascii="Arial" w:hAnsi="Arial" w:cs="Arial"/>
          <w:sz w:val="19"/>
          <w:szCs w:val="19"/>
        </w:rPr>
      </w:pPr>
      <w:r w:rsidRPr="00975B5D">
        <w:rPr>
          <w:rStyle w:val="Refdenotaalpie"/>
          <w:rFonts w:ascii="Arial" w:hAnsi="Arial" w:cs="Arial"/>
          <w:sz w:val="19"/>
          <w:szCs w:val="19"/>
        </w:rPr>
        <w:footnoteRef/>
      </w:r>
      <w:r w:rsidRPr="00975B5D">
        <w:rPr>
          <w:rFonts w:ascii="Arial" w:hAnsi="Arial" w:cs="Arial"/>
          <w:sz w:val="19"/>
          <w:szCs w:val="19"/>
        </w:rPr>
        <w:t xml:space="preserve"> CONSEJO DE ESTADO. Sala de Consulta y Servicio Civil. Concepto de 28 de Junio de 2016. Radicación: 2253. C.P. Álvaro Namén Vargas. </w:t>
      </w:r>
    </w:p>
    <w:p w14:paraId="7718368F" w14:textId="77777777" w:rsidR="001241ED" w:rsidRPr="00975B5D" w:rsidRDefault="001241ED" w:rsidP="001241ED">
      <w:pPr>
        <w:pStyle w:val="Textonotapie"/>
        <w:rPr>
          <w:rFonts w:ascii="Arial" w:hAnsi="Arial" w:cs="Arial"/>
          <w:sz w:val="19"/>
          <w:szCs w:val="19"/>
          <w:lang w:val="es-ES"/>
        </w:rPr>
      </w:pPr>
    </w:p>
  </w:footnote>
  <w:footnote w:id="10">
    <w:p w14:paraId="76F200E9" w14:textId="77777777" w:rsidR="001241ED" w:rsidRPr="00975B5D" w:rsidRDefault="001241ED" w:rsidP="001241ED">
      <w:pPr>
        <w:pStyle w:val="Textonotapie"/>
        <w:ind w:firstLine="708"/>
        <w:rPr>
          <w:lang w:val="es-ES"/>
        </w:rPr>
      </w:pPr>
      <w:r w:rsidRPr="00975B5D">
        <w:rPr>
          <w:rStyle w:val="Refdenotaalpie"/>
          <w:rFonts w:ascii="Arial" w:hAnsi="Arial" w:cs="Arial"/>
          <w:sz w:val="19"/>
          <w:szCs w:val="19"/>
        </w:rPr>
        <w:footnoteRef/>
      </w:r>
      <w:r w:rsidRPr="00975B5D">
        <w:rPr>
          <w:rFonts w:ascii="Arial" w:hAnsi="Arial" w:cs="Arial"/>
          <w:sz w:val="19"/>
          <w:szCs w:val="19"/>
        </w:rPr>
        <w:t xml:space="preserve"> CONSEJO DE ESTADO. Sección Tercera. </w:t>
      </w:r>
      <w:r w:rsidRPr="00975B5D">
        <w:rPr>
          <w:rFonts w:ascii="Arial" w:hAnsi="Arial" w:cs="Arial"/>
          <w:sz w:val="19"/>
          <w:szCs w:val="19"/>
          <w:lang w:val="es-CO"/>
        </w:rPr>
        <w:t xml:space="preserve">Sala Plena. Auto del 1 de agosto de 2019. </w:t>
      </w:r>
      <w:r w:rsidRPr="00975B5D">
        <w:rPr>
          <w:rFonts w:ascii="Arial" w:hAnsi="Arial" w:cs="Arial"/>
          <w:sz w:val="19"/>
          <w:szCs w:val="19"/>
        </w:rPr>
        <w:t>Exp. 62009. C.P. Jaime Enrique Rodríguez Navas.</w:t>
      </w:r>
      <w:r w:rsidRPr="00DE5B4E">
        <w:rPr>
          <w:rFonts w:ascii="Arial" w:hAnsi="Arial" w:cs="Arial"/>
          <w:sz w:val="19"/>
          <w:szCs w:val="19"/>
        </w:rPr>
        <w:t xml:space="preserve"> </w:t>
      </w:r>
      <w:r>
        <w:rPr>
          <w:lang w:val="es-ES"/>
        </w:rPr>
        <w:t xml:space="preserve"> </w:t>
      </w:r>
    </w:p>
  </w:footnote>
  <w:footnote w:id="11">
    <w:p w14:paraId="3D19D950" w14:textId="77777777" w:rsidR="001241ED" w:rsidRPr="00770A31" w:rsidRDefault="001241ED" w:rsidP="001241ED">
      <w:pPr>
        <w:pStyle w:val="Textonotapie"/>
        <w:ind w:firstLine="708"/>
        <w:jc w:val="both"/>
        <w:rPr>
          <w:rFonts w:ascii="Arial" w:hAnsi="Arial" w:cs="Arial"/>
          <w:sz w:val="19"/>
          <w:szCs w:val="19"/>
          <w:lang w:val="es-ES"/>
        </w:rPr>
      </w:pPr>
      <w:r w:rsidRPr="00770A31">
        <w:rPr>
          <w:rStyle w:val="Refdenotaalpie"/>
          <w:rFonts w:ascii="Arial" w:hAnsi="Arial" w:cs="Arial"/>
          <w:sz w:val="19"/>
          <w:szCs w:val="19"/>
        </w:rPr>
        <w:footnoteRef/>
      </w:r>
      <w:r w:rsidRPr="00770A31">
        <w:rPr>
          <w:rFonts w:ascii="Arial" w:hAnsi="Arial" w:cs="Arial"/>
          <w:sz w:val="19"/>
          <w:szCs w:val="19"/>
        </w:rPr>
        <w:t xml:space="preserve"> </w:t>
      </w:r>
      <w:r w:rsidRPr="00770A31">
        <w:rPr>
          <w:rFonts w:ascii="Arial" w:hAnsi="Arial" w:cs="Arial"/>
          <w:sz w:val="19"/>
          <w:szCs w:val="19"/>
          <w:lang w:val="es-ES"/>
        </w:rPr>
        <w:t xml:space="preserve">COLOMBIA COMPRA EFICIENTE. Guía de Garantías en Proceso de Contratación. Disponible en: </w:t>
      </w:r>
      <w:hyperlink r:id="rId2" w:history="1">
        <w:r w:rsidRPr="00770A31">
          <w:rPr>
            <w:rStyle w:val="Hipervnculo"/>
            <w:rFonts w:ascii="Arial" w:hAnsi="Arial" w:cs="Arial"/>
            <w:sz w:val="19"/>
            <w:szCs w:val="19"/>
            <w:lang w:val="es-ES"/>
          </w:rPr>
          <w:t>https://www.colombiacompra.gov.co/sites/cce_public/files/cce_documents/cce_guia_garantias.pdf</w:t>
        </w:r>
      </w:hyperlink>
      <w:r w:rsidRPr="00770A31">
        <w:rPr>
          <w:rFonts w:ascii="Arial" w:hAnsi="Arial" w:cs="Arial"/>
          <w:sz w:val="19"/>
          <w:szCs w:val="19"/>
          <w:lang w:val="es-ES"/>
        </w:rPr>
        <w:t xml:space="preserve"> </w:t>
      </w:r>
    </w:p>
    <w:p w14:paraId="23B2B6D8" w14:textId="77777777" w:rsidR="001241ED" w:rsidRPr="00770A31" w:rsidRDefault="001241ED" w:rsidP="001241ED">
      <w:pPr>
        <w:pStyle w:val="Textonotapie"/>
        <w:jc w:val="both"/>
        <w:rPr>
          <w:rFonts w:ascii="Arial" w:hAnsi="Arial" w:cs="Arial"/>
          <w:sz w:val="19"/>
          <w:szCs w:val="19"/>
        </w:rPr>
      </w:pPr>
    </w:p>
  </w:footnote>
  <w:footnote w:id="12">
    <w:p w14:paraId="1A1D3BB6" w14:textId="77777777" w:rsidR="001241ED" w:rsidRPr="00770A31" w:rsidRDefault="001241ED" w:rsidP="001241ED">
      <w:pPr>
        <w:pStyle w:val="Textonotapie"/>
        <w:ind w:firstLine="708"/>
        <w:jc w:val="both"/>
        <w:rPr>
          <w:rFonts w:ascii="Arial" w:hAnsi="Arial" w:cs="Arial"/>
          <w:sz w:val="19"/>
          <w:szCs w:val="19"/>
          <w:lang w:val="es-ES"/>
        </w:rPr>
      </w:pPr>
      <w:r w:rsidRPr="00770A31">
        <w:rPr>
          <w:rStyle w:val="Refdenotaalpie"/>
          <w:rFonts w:ascii="Arial" w:hAnsi="Arial" w:cs="Arial"/>
          <w:sz w:val="19"/>
          <w:szCs w:val="19"/>
        </w:rPr>
        <w:footnoteRef/>
      </w:r>
      <w:r w:rsidRPr="00770A31">
        <w:rPr>
          <w:rFonts w:ascii="Arial" w:hAnsi="Arial" w:cs="Arial"/>
          <w:sz w:val="19"/>
          <w:szCs w:val="19"/>
        </w:rPr>
        <w:t xml:space="preserve"> </w:t>
      </w:r>
      <w:r w:rsidRPr="00770A31">
        <w:rPr>
          <w:rFonts w:ascii="Arial" w:hAnsi="Arial" w:cs="Arial"/>
          <w:sz w:val="19"/>
          <w:szCs w:val="19"/>
          <w:lang w:val="es-ES"/>
        </w:rPr>
        <w:t xml:space="preserve">COLOMBIA COMPRA EFICIENTE. Síntesis: 8. Etapa precontractual: Garantía de cumplimiento del contrato estatal. </w:t>
      </w:r>
    </w:p>
    <w:p w14:paraId="6E887447" w14:textId="77777777" w:rsidR="001241ED" w:rsidRPr="00770A31" w:rsidRDefault="001241ED" w:rsidP="001241ED">
      <w:pPr>
        <w:pStyle w:val="Textonotapie"/>
        <w:ind w:firstLine="708"/>
        <w:jc w:val="both"/>
        <w:rPr>
          <w:rFonts w:ascii="Arial" w:hAnsi="Arial" w:cs="Arial"/>
          <w:sz w:val="19"/>
          <w:szCs w:val="19"/>
        </w:rPr>
      </w:pPr>
    </w:p>
  </w:footnote>
  <w:footnote w:id="13">
    <w:p w14:paraId="03E1CCB8" w14:textId="77777777" w:rsidR="001241ED" w:rsidRPr="00770A31" w:rsidRDefault="001241ED" w:rsidP="001241ED">
      <w:pPr>
        <w:pStyle w:val="Textonotapie"/>
        <w:ind w:firstLine="708"/>
        <w:jc w:val="both"/>
        <w:rPr>
          <w:rFonts w:ascii="Arial" w:hAnsi="Arial" w:cs="Arial"/>
          <w:sz w:val="19"/>
          <w:szCs w:val="19"/>
        </w:rPr>
      </w:pPr>
      <w:r w:rsidRPr="00770A31">
        <w:rPr>
          <w:rStyle w:val="Refdenotaalpie"/>
          <w:rFonts w:ascii="Arial" w:hAnsi="Arial" w:cs="Arial"/>
          <w:sz w:val="19"/>
          <w:szCs w:val="19"/>
        </w:rPr>
        <w:footnoteRef/>
      </w:r>
      <w:r w:rsidRPr="00770A31">
        <w:rPr>
          <w:rFonts w:ascii="Arial" w:hAnsi="Arial" w:cs="Arial"/>
          <w:sz w:val="19"/>
          <w:szCs w:val="19"/>
        </w:rPr>
        <w:t xml:space="preserve"> La norma citada dispone: «Artículo 2.2.1.2.3.1.7. Garantía de cumplimiento. La garantía de cumplimiento del contrato debe cubrir:</w:t>
      </w:r>
    </w:p>
    <w:p w14:paraId="08776B51" w14:textId="77777777" w:rsidR="001241ED" w:rsidRPr="00770A31" w:rsidRDefault="001241ED" w:rsidP="001241ED">
      <w:pPr>
        <w:pStyle w:val="Textonotapie"/>
        <w:ind w:firstLine="708"/>
        <w:jc w:val="both"/>
        <w:rPr>
          <w:rFonts w:ascii="Arial" w:hAnsi="Arial" w:cs="Arial"/>
          <w:sz w:val="19"/>
          <w:szCs w:val="19"/>
        </w:rPr>
      </w:pPr>
      <w:r w:rsidRPr="00770A31">
        <w:rPr>
          <w:rFonts w:ascii="Arial" w:hAnsi="Arial" w:cs="Arial"/>
          <w:sz w:val="19"/>
          <w:szCs w:val="19"/>
        </w:rPr>
        <w:t>»1.    Buen manejo y correcta inversión del anticipo. Este amparo cubre los perjuicios sufridos por la Entidad Estatal con ocasión de: (i) la no inversión del anticipo; (ii) el uso indebido del anticipo; y (iii) la apropiación indebida de los recursos recibidos en calidad de anticipo.</w:t>
      </w:r>
    </w:p>
    <w:p w14:paraId="685CA5F1" w14:textId="77777777" w:rsidR="001241ED" w:rsidRPr="00770A31" w:rsidRDefault="001241ED" w:rsidP="001241ED">
      <w:pPr>
        <w:pStyle w:val="Textonotapie"/>
        <w:ind w:firstLine="708"/>
        <w:jc w:val="both"/>
        <w:rPr>
          <w:rFonts w:ascii="Arial" w:hAnsi="Arial" w:cs="Arial"/>
          <w:sz w:val="19"/>
          <w:szCs w:val="19"/>
        </w:rPr>
      </w:pPr>
      <w:r w:rsidRPr="00770A31">
        <w:rPr>
          <w:rFonts w:ascii="Arial" w:hAnsi="Arial" w:cs="Arial"/>
          <w:sz w:val="19"/>
          <w:szCs w:val="19"/>
        </w:rPr>
        <w:t>»2.    Devolución del pago anticipado. Este amparo cubre los perjuicios sufridos por la Entidad Estatal por la no devolución total o parcial del dinero entregado al contratista a título de pago anticipado, cuando a ello hubiere lugar.</w:t>
      </w:r>
    </w:p>
    <w:p w14:paraId="4556EC23" w14:textId="77777777" w:rsidR="001241ED" w:rsidRPr="00770A31" w:rsidRDefault="001241ED" w:rsidP="001241ED">
      <w:pPr>
        <w:pStyle w:val="Textonotapie"/>
        <w:ind w:firstLine="708"/>
        <w:jc w:val="both"/>
        <w:rPr>
          <w:rFonts w:ascii="Arial" w:hAnsi="Arial" w:cs="Arial"/>
          <w:sz w:val="19"/>
          <w:szCs w:val="19"/>
        </w:rPr>
      </w:pPr>
      <w:r w:rsidRPr="00770A31">
        <w:rPr>
          <w:rFonts w:ascii="Arial" w:hAnsi="Arial" w:cs="Arial"/>
          <w:sz w:val="19"/>
          <w:szCs w:val="19"/>
        </w:rPr>
        <w:t>»3.    Cumplimiento del contrato. Este amparo cubre a la Entidad Estatal de los perjuicios derivados de:</w:t>
      </w:r>
    </w:p>
    <w:p w14:paraId="32ADCF89" w14:textId="77777777" w:rsidR="001241ED" w:rsidRPr="00770A31" w:rsidRDefault="001241ED" w:rsidP="001241ED">
      <w:pPr>
        <w:pStyle w:val="Textonotapie"/>
        <w:ind w:firstLine="708"/>
        <w:jc w:val="both"/>
        <w:rPr>
          <w:rFonts w:ascii="Arial" w:hAnsi="Arial" w:cs="Arial"/>
          <w:sz w:val="19"/>
          <w:szCs w:val="19"/>
        </w:rPr>
      </w:pPr>
      <w:r w:rsidRPr="00770A31">
        <w:rPr>
          <w:rFonts w:ascii="Arial" w:hAnsi="Arial" w:cs="Arial"/>
          <w:sz w:val="19"/>
          <w:szCs w:val="19"/>
        </w:rPr>
        <w:t>»3.1.   El incumplimiento total o parcial del contrato, cuando el incumplimiento es imputable al contratista;</w:t>
      </w:r>
    </w:p>
    <w:p w14:paraId="50FF85EC" w14:textId="77777777" w:rsidR="001241ED" w:rsidRPr="00770A31" w:rsidRDefault="001241ED" w:rsidP="001241ED">
      <w:pPr>
        <w:pStyle w:val="Textonotapie"/>
        <w:ind w:firstLine="708"/>
        <w:jc w:val="both"/>
        <w:rPr>
          <w:rFonts w:ascii="Arial" w:hAnsi="Arial" w:cs="Arial"/>
          <w:sz w:val="19"/>
          <w:szCs w:val="19"/>
        </w:rPr>
      </w:pPr>
      <w:r w:rsidRPr="00770A31">
        <w:rPr>
          <w:rFonts w:ascii="Arial" w:hAnsi="Arial" w:cs="Arial"/>
          <w:sz w:val="19"/>
          <w:szCs w:val="19"/>
        </w:rPr>
        <w:t>»3.2.   El cumplimiento tardío o defectuoso del contrato, cuando el incumplimiento es imputable al contratista;</w:t>
      </w:r>
    </w:p>
    <w:p w14:paraId="75C18FB0" w14:textId="77777777" w:rsidR="001241ED" w:rsidRPr="00770A31" w:rsidRDefault="001241ED" w:rsidP="001241ED">
      <w:pPr>
        <w:pStyle w:val="Textonotapie"/>
        <w:ind w:firstLine="708"/>
        <w:jc w:val="both"/>
        <w:rPr>
          <w:rFonts w:ascii="Arial" w:hAnsi="Arial" w:cs="Arial"/>
          <w:sz w:val="19"/>
          <w:szCs w:val="19"/>
        </w:rPr>
      </w:pPr>
      <w:r w:rsidRPr="00770A31">
        <w:rPr>
          <w:rFonts w:ascii="Arial" w:hAnsi="Arial" w:cs="Arial"/>
          <w:sz w:val="19"/>
          <w:szCs w:val="19"/>
        </w:rPr>
        <w:t>»3.3.   Los daños imputables al contratista por entregas parciales de la obra, cuando el contrato no prevé entregas parciales; y</w:t>
      </w:r>
    </w:p>
    <w:p w14:paraId="1DB254CA" w14:textId="77777777" w:rsidR="001241ED" w:rsidRPr="00770A31" w:rsidRDefault="001241ED" w:rsidP="001241ED">
      <w:pPr>
        <w:pStyle w:val="Textonotapie"/>
        <w:ind w:firstLine="708"/>
        <w:jc w:val="both"/>
        <w:rPr>
          <w:rFonts w:ascii="Arial" w:hAnsi="Arial" w:cs="Arial"/>
          <w:sz w:val="19"/>
          <w:szCs w:val="19"/>
        </w:rPr>
      </w:pPr>
      <w:r w:rsidRPr="00770A31">
        <w:rPr>
          <w:rFonts w:ascii="Arial" w:hAnsi="Arial" w:cs="Arial"/>
          <w:sz w:val="19"/>
          <w:szCs w:val="19"/>
        </w:rPr>
        <w:t>»3.4.   El pago del valor de las multas y de la cláusula penal pecuniaria.</w:t>
      </w:r>
    </w:p>
    <w:p w14:paraId="5D6B9AFA" w14:textId="77777777" w:rsidR="001241ED" w:rsidRPr="00770A31" w:rsidRDefault="001241ED" w:rsidP="001241ED">
      <w:pPr>
        <w:pStyle w:val="Textonotapie"/>
        <w:ind w:firstLine="708"/>
        <w:jc w:val="both"/>
        <w:rPr>
          <w:rFonts w:ascii="Arial" w:hAnsi="Arial" w:cs="Arial"/>
          <w:sz w:val="19"/>
          <w:szCs w:val="19"/>
        </w:rPr>
      </w:pPr>
      <w:r w:rsidRPr="00770A31">
        <w:rPr>
          <w:rFonts w:ascii="Arial" w:hAnsi="Arial" w:cs="Arial"/>
          <w:sz w:val="19"/>
          <w:szCs w:val="19"/>
        </w:rPr>
        <w:t>»4.    Pago de salarios, prestaciones sociales legales e indemnizaciones laborales. Este amparo debe cubrir a la Entidad Estatal de los perjuicios ocasionados por el incumplimiento de las obligaciones laborales del contratista derivadas de la contratación del personal utilizado en el territorio nacional para la ejecución del contrato amparado.</w:t>
      </w:r>
    </w:p>
    <w:p w14:paraId="0425619C" w14:textId="77777777" w:rsidR="001241ED" w:rsidRPr="00770A31" w:rsidRDefault="001241ED" w:rsidP="001241ED">
      <w:pPr>
        <w:pStyle w:val="Textonotapie"/>
        <w:ind w:firstLine="708"/>
        <w:jc w:val="both"/>
        <w:rPr>
          <w:rFonts w:ascii="Arial" w:hAnsi="Arial" w:cs="Arial"/>
          <w:sz w:val="19"/>
          <w:szCs w:val="19"/>
        </w:rPr>
      </w:pPr>
      <w:r w:rsidRPr="00770A31">
        <w:rPr>
          <w:rFonts w:ascii="Arial" w:hAnsi="Arial" w:cs="Arial"/>
          <w:sz w:val="19"/>
          <w:szCs w:val="19"/>
        </w:rPr>
        <w:t>»La Entidad Estatal no debe exigir una garantía para cubrir este Riesgo en los contratos que se ejecuten fuera del territorio nacional con personal contratado bajo un régimen jurídico distinto al colombiano.</w:t>
      </w:r>
    </w:p>
    <w:p w14:paraId="291E49A8" w14:textId="77777777" w:rsidR="001241ED" w:rsidRPr="00770A31" w:rsidRDefault="001241ED" w:rsidP="001241ED">
      <w:pPr>
        <w:pStyle w:val="Textonotapie"/>
        <w:ind w:firstLine="708"/>
        <w:jc w:val="both"/>
        <w:rPr>
          <w:rFonts w:ascii="Arial" w:hAnsi="Arial" w:cs="Arial"/>
          <w:sz w:val="19"/>
          <w:szCs w:val="19"/>
        </w:rPr>
      </w:pPr>
      <w:r w:rsidRPr="00770A31">
        <w:rPr>
          <w:rFonts w:ascii="Arial" w:hAnsi="Arial" w:cs="Arial"/>
          <w:sz w:val="19"/>
          <w:szCs w:val="19"/>
        </w:rPr>
        <w:t>»5.    Estabilidad y calidad de la obra. Este amparo cubre a la Entidad Estatal de los perjuicios ocasionados por cualquier tipo de daño o deterioro, imputable al contratista, sufrido por la obra entregada a satisfacción.</w:t>
      </w:r>
    </w:p>
    <w:p w14:paraId="09FC7D6A" w14:textId="77777777" w:rsidR="001241ED" w:rsidRPr="00770A31" w:rsidRDefault="001241ED" w:rsidP="001241ED">
      <w:pPr>
        <w:pStyle w:val="Textonotapie"/>
        <w:ind w:firstLine="708"/>
        <w:jc w:val="both"/>
        <w:rPr>
          <w:rFonts w:ascii="Arial" w:hAnsi="Arial" w:cs="Arial"/>
          <w:sz w:val="19"/>
          <w:szCs w:val="19"/>
        </w:rPr>
      </w:pPr>
      <w:r w:rsidRPr="00770A31">
        <w:rPr>
          <w:rFonts w:ascii="Arial" w:hAnsi="Arial" w:cs="Arial"/>
          <w:sz w:val="19"/>
          <w:szCs w:val="19"/>
        </w:rPr>
        <w:t>»6.    Calidad del servicio. Este amparo cubre a la Entidad Estatal por los perjuicios deri­vados de la deficiente calidad del servicio prestado.</w:t>
      </w:r>
    </w:p>
    <w:p w14:paraId="3663F4A5" w14:textId="77777777" w:rsidR="001241ED" w:rsidRPr="00770A31" w:rsidRDefault="001241ED" w:rsidP="001241ED">
      <w:pPr>
        <w:pStyle w:val="Textonotapie"/>
        <w:ind w:firstLine="708"/>
        <w:jc w:val="both"/>
        <w:rPr>
          <w:rFonts w:ascii="Arial" w:hAnsi="Arial" w:cs="Arial"/>
          <w:sz w:val="19"/>
          <w:szCs w:val="19"/>
        </w:rPr>
      </w:pPr>
      <w:r w:rsidRPr="00770A31">
        <w:rPr>
          <w:rFonts w:ascii="Arial" w:hAnsi="Arial" w:cs="Arial"/>
          <w:sz w:val="19"/>
          <w:szCs w:val="19"/>
        </w:rPr>
        <w:t>»7.    Calidad y correcto funcionamiento de los bienes. Este amparo debe cubrir la calidad y el correcto funcionamiento de los bienes que recibe la Entidad Estatal en cumplimiento de un contrato.</w:t>
      </w:r>
    </w:p>
    <w:p w14:paraId="33AD2D11" w14:textId="77777777" w:rsidR="001241ED" w:rsidRPr="00770A31" w:rsidRDefault="001241ED" w:rsidP="001241ED">
      <w:pPr>
        <w:pStyle w:val="Textonotapie"/>
        <w:ind w:firstLine="708"/>
        <w:jc w:val="both"/>
        <w:rPr>
          <w:rFonts w:ascii="Arial" w:hAnsi="Arial" w:cs="Arial"/>
          <w:sz w:val="19"/>
          <w:szCs w:val="19"/>
        </w:rPr>
      </w:pPr>
      <w:r w:rsidRPr="00770A31">
        <w:rPr>
          <w:rFonts w:ascii="Arial" w:hAnsi="Arial" w:cs="Arial"/>
          <w:sz w:val="19"/>
          <w:szCs w:val="19"/>
        </w:rPr>
        <w:t>»8.    Los demás incumplimientos de obligaciones que la Entidad Estatal considere deben ser amparados de manera proporcional y acorde a la naturaleza del contrato».</w:t>
      </w:r>
    </w:p>
  </w:footnote>
  <w:footnote w:id="14">
    <w:p w14:paraId="15A6B7D3" w14:textId="77777777" w:rsidR="001241ED" w:rsidRPr="00770A31" w:rsidRDefault="001241ED" w:rsidP="001241ED">
      <w:pPr>
        <w:pStyle w:val="Textonotapie"/>
        <w:ind w:firstLine="708"/>
        <w:jc w:val="both"/>
        <w:rPr>
          <w:rFonts w:ascii="Arial" w:hAnsi="Arial" w:cs="Arial"/>
          <w:sz w:val="19"/>
          <w:szCs w:val="19"/>
        </w:rPr>
      </w:pPr>
      <w:r w:rsidRPr="00770A31">
        <w:rPr>
          <w:rStyle w:val="Refdenotaalpie"/>
          <w:rFonts w:ascii="Arial" w:hAnsi="Arial" w:cs="Arial"/>
          <w:sz w:val="19"/>
          <w:szCs w:val="19"/>
        </w:rPr>
        <w:footnoteRef/>
      </w:r>
      <w:r w:rsidRPr="00770A31">
        <w:rPr>
          <w:rFonts w:ascii="Arial" w:hAnsi="Arial" w:cs="Arial"/>
          <w:sz w:val="19"/>
          <w:szCs w:val="19"/>
        </w:rPr>
        <w:t xml:space="preserve"> Consejo de Estado. Sección Tercera. Subsección B. Sentencia de 19 de junio de 2013. Exp. 25472.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DA8B" w14:textId="77777777" w:rsidR="003E1BA9" w:rsidRDefault="00825678">
    <w:pPr>
      <w:pStyle w:val="Encabezado"/>
    </w:pPr>
    <w:r>
      <w:rPr>
        <w:noProof/>
        <w:lang w:val="es-CO" w:eastAsia="es-CO"/>
      </w:rPr>
      <w:drawing>
        <wp:anchor distT="0" distB="0" distL="114300" distR="114300" simplePos="0" relativeHeight="251659264" behindDoc="1" locked="0" layoutInCell="1" allowOverlap="1" wp14:anchorId="60DD51CB" wp14:editId="2597D3A1">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D2D0F12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1ED"/>
    <w:rsid w:val="001241ED"/>
    <w:rsid w:val="00825678"/>
    <w:rsid w:val="00D4233B"/>
    <w:rsid w:val="00F400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FAA97"/>
  <w15:chartTrackingRefBased/>
  <w15:docId w15:val="{6E8AA51C-F018-E04A-8B29-F664533B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1ED"/>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241ED"/>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1241ED"/>
    <w:rPr>
      <w:szCs w:val="22"/>
      <w:lang w:val="es-MX"/>
    </w:rPr>
  </w:style>
  <w:style w:type="paragraph" w:styleId="Encabezado">
    <w:name w:val="header"/>
    <w:basedOn w:val="Normal"/>
    <w:link w:val="EncabezadoCar"/>
    <w:uiPriority w:val="99"/>
    <w:unhideWhenUsed/>
    <w:rsid w:val="001241ED"/>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1241ED"/>
    <w:rPr>
      <w:szCs w:val="22"/>
      <w:lang w:val="es-MX"/>
    </w:rPr>
  </w:style>
  <w:style w:type="table" w:styleId="Tablaconcuadrcula">
    <w:name w:val="Table Grid"/>
    <w:basedOn w:val="Tablanormal"/>
    <w:uiPriority w:val="39"/>
    <w:rsid w:val="001241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1241ED"/>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1241ED"/>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241ED"/>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1241ED"/>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1241ED"/>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241ED"/>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1241ED"/>
    <w:rPr>
      <w:vertAlign w:val="superscript"/>
    </w:rPr>
  </w:style>
  <w:style w:type="paragraph" w:customStyle="1" w:styleId="xxmsonospacing">
    <w:name w:val="x_xmsonospacing"/>
    <w:basedOn w:val="Normal"/>
    <w:rsid w:val="001241ED"/>
    <w:pPr>
      <w:spacing w:before="100" w:beforeAutospacing="1" w:after="100" w:afterAutospacing="1"/>
    </w:pPr>
  </w:style>
  <w:style w:type="paragraph" w:customStyle="1" w:styleId="Appelnotedebasde">
    <w:name w:val="Appel note de bas de..."/>
    <w:basedOn w:val="Normal"/>
    <w:link w:val="Refdenotaalpie"/>
    <w:uiPriority w:val="99"/>
    <w:rsid w:val="001241ED"/>
    <w:pPr>
      <w:spacing w:after="160" w:line="240" w:lineRule="exact"/>
    </w:pPr>
    <w:rPr>
      <w:rFonts w:asciiTheme="minorHAnsi" w:eastAsiaTheme="minorHAnsi" w:hAnsiTheme="minorHAnsi" w:cstheme="minorBidi"/>
      <w:vertAlign w:val="superscript"/>
      <w:lang w:eastAsia="en-US"/>
    </w:rPr>
  </w:style>
  <w:style w:type="character" w:styleId="Hipervnculo">
    <w:name w:val="Hyperlink"/>
    <w:basedOn w:val="Fuentedeprrafopredeter"/>
    <w:uiPriority w:val="99"/>
    <w:unhideWhenUsed/>
    <w:rsid w:val="001241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s/cce_guia_garantias.pdf" TargetMode="External"/><Relationship Id="rId1" Type="http://schemas.openxmlformats.org/officeDocument/2006/relationships/hyperlink" Target="https://www.colombiacompra.gov.co/sites/cce_public/files/cce_documents/cce_guia_liquidacion_proces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8ECA130-2DBE-4BCC-ACAA-EF16B2C4974D}">
  <ds:schemaRefs>
    <ds:schemaRef ds:uri="http://schemas.microsoft.com/sharepoint/v3/contenttype/forms"/>
  </ds:schemaRefs>
</ds:datastoreItem>
</file>

<file path=customXml/itemProps2.xml><?xml version="1.0" encoding="utf-8"?>
<ds:datastoreItem xmlns:ds="http://schemas.openxmlformats.org/officeDocument/2006/customXml" ds:itemID="{621A37CE-CF47-4697-ABE3-770958B98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AE02-F6B4-4449-9B64-340528796D93}">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4477</Words>
  <Characters>24628</Characters>
  <Application>Microsoft Office Word</Application>
  <DocSecurity>0</DocSecurity>
  <Lines>205</Lines>
  <Paragraphs>58</Paragraphs>
  <ScaleCrop>false</ScaleCrop>
  <Company/>
  <LinksUpToDate>false</LinksUpToDate>
  <CharactersWithSpaces>29047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Martin Rojas Mejia</cp:lastModifiedBy>
  <cp:revision>2</cp:revision>
  <dcterms:created xsi:type="dcterms:W3CDTF">2022-03-31T17:19:00Z</dcterms:created>
  <dcterms:modified xsi:type="dcterms:W3CDTF">2022-03-31T17:19:00Z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