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D74EE" w:rsidRDefault="00B55C69" w:rsidP="00912D26">
      <w:pPr>
        <w:ind w:left="708" w:hanging="708"/>
        <w:jc w:val="right"/>
        <w:rPr>
          <w:rFonts w:ascii="Arial" w:eastAsia="Calibri" w:hAnsi="Arial" w:cs="Arial"/>
          <w:b/>
          <w:sz w:val="20"/>
          <w:szCs w:val="20"/>
          <w:lang w:val="es-ES_tradnl"/>
        </w:rPr>
      </w:pPr>
      <w:bookmarkStart w:id="0" w:name="_Hlk28946138"/>
      <w:bookmarkStart w:id="1" w:name="_Hlk29548183"/>
      <w:r w:rsidRPr="008D74EE">
        <w:rPr>
          <w:rFonts w:ascii="Arial" w:hAnsi="Arial" w:cs="Arial"/>
          <w:bCs/>
          <w:sz w:val="16"/>
          <w:szCs w:val="16"/>
          <w:lang w:val="es-ES_tradnl" w:eastAsia="es-ES"/>
        </w:rPr>
        <w:t>CCE-DES-FM-17</w:t>
      </w:r>
      <w:bookmarkEnd w:id="0"/>
      <w:bookmarkEnd w:id="1"/>
    </w:p>
    <w:p w14:paraId="17A05F16" w14:textId="77777777" w:rsidR="00580772" w:rsidRPr="008D74EE" w:rsidRDefault="00580772" w:rsidP="00E52CE7">
      <w:pPr>
        <w:jc w:val="both"/>
        <w:rPr>
          <w:rFonts w:ascii="Arial" w:eastAsia="Calibri" w:hAnsi="Arial" w:cs="Arial"/>
          <w:b/>
          <w:sz w:val="22"/>
          <w:lang w:val="es-ES_tradnl"/>
        </w:rPr>
      </w:pPr>
    </w:p>
    <w:p w14:paraId="485EEDB2" w14:textId="32E5B2BC" w:rsidR="008617D8" w:rsidRPr="008D74EE" w:rsidRDefault="008617D8" w:rsidP="008617D8">
      <w:pPr>
        <w:jc w:val="both"/>
        <w:rPr>
          <w:rFonts w:ascii="Arial" w:hAnsi="Arial" w:cs="Arial"/>
          <w:b/>
          <w:sz w:val="22"/>
          <w:szCs w:val="22"/>
          <w:lang w:val="es-ES_tradnl" w:eastAsia="es-ES"/>
        </w:rPr>
      </w:pPr>
      <w:r w:rsidRPr="008D74EE">
        <w:rPr>
          <w:rFonts w:ascii="Arial" w:hAnsi="Arial" w:cs="Arial"/>
          <w:b/>
          <w:sz w:val="22"/>
          <w:szCs w:val="22"/>
          <w:lang w:val="es-ES_tradnl" w:eastAsia="es-ES"/>
        </w:rPr>
        <w:t>PRINCIPIO DE PUBLICIDAD – Democracia – Estado social de Derecho – Fundamento axiológico</w:t>
      </w:r>
    </w:p>
    <w:p w14:paraId="7CD1AEA0" w14:textId="77777777" w:rsidR="008617D8" w:rsidRPr="008D74EE" w:rsidRDefault="008617D8" w:rsidP="008617D8">
      <w:pPr>
        <w:jc w:val="both"/>
        <w:rPr>
          <w:rFonts w:ascii="Arial" w:hAnsi="Arial" w:cs="Arial"/>
          <w:noProof/>
          <w:sz w:val="22"/>
          <w:lang w:val="es-ES_tradnl"/>
        </w:rPr>
      </w:pPr>
    </w:p>
    <w:p w14:paraId="13253367" w14:textId="77777777" w:rsidR="008617D8" w:rsidRPr="008D74EE" w:rsidRDefault="008617D8" w:rsidP="008617D8">
      <w:pPr>
        <w:jc w:val="both"/>
        <w:rPr>
          <w:rFonts w:ascii="Arial" w:eastAsia="Calibri" w:hAnsi="Arial" w:cs="Arial"/>
          <w:sz w:val="20"/>
          <w:szCs w:val="20"/>
          <w:lang w:val="es-ES_tradnl"/>
        </w:rPr>
      </w:pPr>
      <w:r w:rsidRPr="008D74EE">
        <w:rPr>
          <w:rFonts w:ascii="Arial" w:eastAsia="Calibri" w:hAnsi="Arial" w:cs="Arial"/>
          <w:sz w:val="20"/>
          <w:szCs w:val="20"/>
          <w:lang w:val="es-ES_tradnl"/>
        </w:rPr>
        <w:t xml:space="preserve">Uno de los postulados más importantes de un Estado social y democrático de derecho es el principio de </w:t>
      </w:r>
      <w:r w:rsidRPr="008D74EE">
        <w:rPr>
          <w:rFonts w:ascii="Arial" w:eastAsia="Calibri" w:hAnsi="Arial" w:cs="Arial"/>
          <w:i/>
          <w:iCs/>
          <w:sz w:val="20"/>
          <w:szCs w:val="20"/>
          <w:lang w:val="es-ES_tradnl"/>
        </w:rPr>
        <w:t>publicidad</w:t>
      </w:r>
      <w:r w:rsidRPr="008D74EE">
        <w:rPr>
          <w:rFonts w:ascii="Arial" w:eastAsia="Calibri" w:hAnsi="Arial" w:cs="Arial"/>
          <w:sz w:val="20"/>
          <w:szCs w:val="20"/>
          <w:lang w:val="es-ES_tradnl"/>
        </w:rPr>
        <w:t xml:space="preserve">,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1531B2E3" w14:textId="77777777" w:rsidR="008617D8" w:rsidRPr="008D74EE" w:rsidRDefault="008617D8" w:rsidP="008617D8">
      <w:pPr>
        <w:jc w:val="both"/>
        <w:rPr>
          <w:rFonts w:ascii="Arial" w:hAnsi="Arial" w:cs="Arial"/>
          <w:sz w:val="20"/>
          <w:szCs w:val="20"/>
          <w:lang w:val="es-ES_tradnl" w:eastAsia="es-ES"/>
        </w:rPr>
      </w:pPr>
    </w:p>
    <w:p w14:paraId="2EA87858" w14:textId="77777777" w:rsidR="008617D8" w:rsidRPr="008D74EE" w:rsidRDefault="008617D8" w:rsidP="008617D8">
      <w:pPr>
        <w:jc w:val="both"/>
        <w:rPr>
          <w:rFonts w:ascii="Arial" w:hAnsi="Arial" w:cs="Arial"/>
          <w:b/>
          <w:sz w:val="22"/>
          <w:szCs w:val="22"/>
          <w:lang w:val="es-ES_tradnl" w:eastAsia="es-ES"/>
        </w:rPr>
      </w:pPr>
      <w:r w:rsidRPr="008D74EE">
        <w:rPr>
          <w:rFonts w:ascii="Arial" w:hAnsi="Arial" w:cs="Arial"/>
          <w:b/>
          <w:sz w:val="22"/>
          <w:szCs w:val="22"/>
          <w:lang w:val="es-ES_tradnl" w:eastAsia="es-ES"/>
        </w:rPr>
        <w:t>SECOP – Entidades exceptuadas – Información oficial – Auto del 25 de febrero de 2021 – Efectos</w:t>
      </w:r>
    </w:p>
    <w:p w14:paraId="101DA58F" w14:textId="77777777" w:rsidR="008617D8" w:rsidRPr="008D74EE" w:rsidRDefault="008617D8" w:rsidP="008617D8">
      <w:pPr>
        <w:jc w:val="both"/>
        <w:rPr>
          <w:rFonts w:ascii="Arial" w:hAnsi="Arial" w:cs="Arial"/>
          <w:sz w:val="20"/>
          <w:szCs w:val="20"/>
          <w:lang w:val="es-ES_tradnl" w:eastAsia="es-ES"/>
        </w:rPr>
      </w:pPr>
    </w:p>
    <w:p w14:paraId="5C650D67" w14:textId="77777777" w:rsidR="008617D8" w:rsidRPr="008D74EE" w:rsidRDefault="008617D8" w:rsidP="008617D8">
      <w:pPr>
        <w:jc w:val="both"/>
        <w:rPr>
          <w:rFonts w:ascii="Arial" w:hAnsi="Arial" w:cs="Arial"/>
          <w:sz w:val="20"/>
          <w:szCs w:val="20"/>
          <w:lang w:val="es-ES_tradnl"/>
        </w:rPr>
      </w:pPr>
      <w:r w:rsidRPr="008D74EE">
        <w:rPr>
          <w:rFonts w:ascii="Arial" w:hAnsi="Arial" w:cs="Arial"/>
          <w:sz w:val="20"/>
          <w:szCs w:val="20"/>
          <w:lang w:val="es-ES_tradnl"/>
        </w:rPr>
        <w:t xml:space="preserve">[…], en el auto bajo análisis la Sección Tercera admite que a las entidades exceptuadas de la aplicación del Estatuto General de Contratación de la Administración Pública </w:t>
      </w:r>
      <w:r w:rsidRPr="008D74EE">
        <w:rPr>
          <w:rFonts w:ascii="Arial" w:hAnsi="Arial" w:cs="Arial"/>
          <w:i/>
          <w:iCs/>
          <w:sz w:val="20"/>
          <w:szCs w:val="20"/>
          <w:lang w:val="es-ES_tradnl"/>
        </w:rPr>
        <w:t>sí</w:t>
      </w:r>
      <w:r w:rsidRPr="008D74EE">
        <w:rPr>
          <w:rFonts w:ascii="Arial" w:hAnsi="Arial" w:cs="Arial"/>
          <w:sz w:val="20"/>
          <w:szCs w:val="20"/>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8D74EE">
        <w:rPr>
          <w:rFonts w:ascii="Arial" w:hAnsi="Arial" w:cs="Arial"/>
          <w:sz w:val="20"/>
          <w:szCs w:val="20"/>
          <w:lang w:val="es-ES_tradnl"/>
        </w:rPr>
        <w:t>Nº</w:t>
      </w:r>
      <w:proofErr w:type="spellEnd"/>
      <w:r w:rsidRPr="008D74EE">
        <w:rPr>
          <w:rFonts w:ascii="Arial" w:hAnsi="Arial" w:cs="Arial"/>
          <w:sz w:val="20"/>
          <w:szCs w:val="20"/>
          <w:lang w:val="es-ES_tradnl"/>
        </w:rPr>
        <w:t xml:space="preserve">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y no la Agencia mediante una circular.</w:t>
      </w:r>
    </w:p>
    <w:p w14:paraId="2BC019F0" w14:textId="77777777" w:rsidR="008617D8" w:rsidRPr="008D74EE" w:rsidRDefault="008617D8" w:rsidP="008617D8">
      <w:pPr>
        <w:jc w:val="both"/>
        <w:rPr>
          <w:rFonts w:ascii="Arial" w:hAnsi="Arial" w:cs="Arial"/>
          <w:sz w:val="20"/>
          <w:szCs w:val="20"/>
          <w:lang w:val="es-ES_tradnl"/>
        </w:rPr>
      </w:pPr>
    </w:p>
    <w:p w14:paraId="03AFC6C9" w14:textId="77777777" w:rsidR="008617D8" w:rsidRPr="008D74EE" w:rsidRDefault="008617D8" w:rsidP="008617D8">
      <w:pPr>
        <w:jc w:val="both"/>
        <w:rPr>
          <w:rFonts w:ascii="Arial" w:hAnsi="Arial" w:cs="Arial"/>
          <w:sz w:val="20"/>
          <w:szCs w:val="20"/>
          <w:lang w:val="es-ES_tradnl"/>
        </w:rPr>
      </w:pPr>
      <w:r w:rsidRPr="008D74EE">
        <w:rPr>
          <w:rFonts w:ascii="Arial" w:hAnsi="Arial" w:cs="Arial"/>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«No hay duda de que el literal c) del artículo 3o pertenece a este grupo de normas. Expresamente establece que ese aparte del artículo se aplica a la “</w:t>
      </w:r>
      <w:r w:rsidRPr="008D74EE">
        <w:rPr>
          <w:rFonts w:ascii="Arial" w:hAnsi="Arial" w:cs="Arial"/>
          <w:i/>
          <w:iCs/>
          <w:sz w:val="20"/>
          <w:szCs w:val="20"/>
          <w:lang w:val="es-ES_tradnl"/>
        </w:rPr>
        <w:t>contratación realizada con dineros públicos</w:t>
      </w:r>
      <w:r w:rsidRPr="008D74EE">
        <w:rPr>
          <w:rFonts w:ascii="Arial" w:hAnsi="Arial" w:cs="Arial"/>
          <w:sz w:val="20"/>
          <w:szCs w:val="20"/>
          <w:lang w:val="es-ES_tradnl"/>
        </w:rPr>
        <w:t xml:space="preserve">”. Para su aplicación resulta irrelevante el régimen contractual del contrato. La publicación de la información oficial de la contratación debe realizarse si los negocios jurídicos adelantados fueron financiados con recursos públicos». </w:t>
      </w:r>
    </w:p>
    <w:p w14:paraId="0969C226" w14:textId="77777777" w:rsidR="008617D8" w:rsidRPr="008D74EE" w:rsidRDefault="008617D8" w:rsidP="008617D8">
      <w:pPr>
        <w:jc w:val="both"/>
        <w:rPr>
          <w:rFonts w:ascii="Arial" w:hAnsi="Arial" w:cs="Arial"/>
          <w:sz w:val="20"/>
          <w:szCs w:val="20"/>
          <w:lang w:val="es-ES_tradnl" w:eastAsia="es-ES"/>
        </w:rPr>
      </w:pPr>
    </w:p>
    <w:p w14:paraId="3949D6F7" w14:textId="77777777" w:rsidR="008617D8" w:rsidRPr="008D74EE" w:rsidRDefault="008617D8" w:rsidP="008617D8">
      <w:pPr>
        <w:jc w:val="both"/>
        <w:rPr>
          <w:rFonts w:ascii="Arial" w:hAnsi="Arial" w:cs="Arial"/>
          <w:b/>
          <w:sz w:val="22"/>
          <w:szCs w:val="22"/>
          <w:lang w:val="es-ES_tradnl" w:eastAsia="es-ES"/>
        </w:rPr>
      </w:pPr>
      <w:r w:rsidRPr="008D74EE">
        <w:rPr>
          <w:rFonts w:ascii="Arial" w:hAnsi="Arial" w:cs="Arial"/>
          <w:b/>
          <w:sz w:val="22"/>
          <w:szCs w:val="22"/>
          <w:lang w:val="es-ES_tradnl" w:eastAsia="es-ES"/>
        </w:rPr>
        <w:lastRenderedPageBreak/>
        <w:t>SECOP – Entidades exceptuadas – Publicidad – Documentos – Información oficial – Concepto CU-003</w:t>
      </w:r>
    </w:p>
    <w:p w14:paraId="60C88D2E" w14:textId="77777777" w:rsidR="008617D8" w:rsidRPr="008D74EE" w:rsidRDefault="008617D8" w:rsidP="008617D8">
      <w:pPr>
        <w:jc w:val="both"/>
        <w:rPr>
          <w:rFonts w:ascii="Arial" w:hAnsi="Arial" w:cs="Arial"/>
          <w:b/>
          <w:sz w:val="22"/>
          <w:szCs w:val="22"/>
          <w:lang w:val="es-ES_tradnl" w:eastAsia="es-ES"/>
        </w:rPr>
      </w:pPr>
    </w:p>
    <w:p w14:paraId="08DD1A8C" w14:textId="77777777" w:rsidR="008617D8" w:rsidRPr="008D74EE" w:rsidRDefault="008617D8" w:rsidP="008617D8">
      <w:pPr>
        <w:jc w:val="both"/>
        <w:rPr>
          <w:rFonts w:ascii="Arial" w:eastAsia="Calibri" w:hAnsi="Arial" w:cs="Arial"/>
          <w:sz w:val="20"/>
          <w:szCs w:val="20"/>
          <w:lang w:val="es-ES_tradnl"/>
        </w:rPr>
      </w:pPr>
      <w:r w:rsidRPr="008D74EE">
        <w:rPr>
          <w:rFonts w:ascii="Arial" w:eastAsia="Calibri" w:hAnsi="Arial" w:cs="Arial"/>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8D74EE">
        <w:rPr>
          <w:rFonts w:ascii="Arial" w:eastAsia="Calibri" w:hAnsi="Arial" w:cs="Arial"/>
          <w:i/>
          <w:iCs/>
          <w:sz w:val="20"/>
          <w:szCs w:val="20"/>
          <w:lang w:val="es-ES_tradnl"/>
        </w:rPr>
        <w:t>sujeto obligado</w:t>
      </w:r>
      <w:r w:rsidRPr="008D74EE">
        <w:rPr>
          <w:rFonts w:ascii="Arial" w:eastAsia="Calibri" w:hAnsi="Arial" w:cs="Arial"/>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5501180" w14:textId="77777777" w:rsidR="008617D8" w:rsidRPr="008D74EE" w:rsidRDefault="008617D8" w:rsidP="008617D8">
      <w:pPr>
        <w:jc w:val="both"/>
        <w:rPr>
          <w:rFonts w:ascii="Arial" w:eastAsia="Calibri" w:hAnsi="Arial" w:cs="Arial"/>
          <w:sz w:val="20"/>
          <w:szCs w:val="20"/>
          <w:lang w:val="es-ES_tradnl"/>
        </w:rPr>
      </w:pPr>
    </w:p>
    <w:p w14:paraId="0BBC2E86" w14:textId="77777777" w:rsidR="008617D8" w:rsidRPr="008D74EE" w:rsidRDefault="008617D8" w:rsidP="008617D8">
      <w:pPr>
        <w:jc w:val="both"/>
        <w:rPr>
          <w:rFonts w:ascii="Arial" w:eastAsia="Calibri" w:hAnsi="Arial" w:cs="Arial"/>
          <w:sz w:val="20"/>
          <w:szCs w:val="20"/>
          <w:lang w:val="es-ES_tradnl"/>
        </w:rPr>
      </w:pPr>
      <w:r w:rsidRPr="008D74EE">
        <w:rPr>
          <w:rFonts w:ascii="Arial" w:eastAsia="Calibri" w:hAnsi="Arial" w:cs="Arial"/>
          <w:sz w:val="20"/>
          <w:szCs w:val="20"/>
          <w:lang w:val="es-ES_tradnl"/>
        </w:rPr>
        <w:t>[…],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sidRPr="008D74EE">
        <w:rPr>
          <w:rFonts w:ascii="Arial" w:hAnsi="Arial" w:cs="Arial"/>
          <w:sz w:val="20"/>
          <w:szCs w:val="20"/>
          <w:lang w:val="es-ES_tradnl"/>
        </w:rPr>
        <w:t xml:space="preserve">artículo </w:t>
      </w:r>
      <w:r w:rsidRPr="008D74EE">
        <w:rPr>
          <w:rFonts w:ascii="Arial" w:eastAsia="Calibri" w:hAnsi="Arial" w:cs="Arial"/>
          <w:sz w:val="20"/>
          <w:szCs w:val="20"/>
          <w:lang w:val="es-ES_tradnl"/>
        </w:rPr>
        <w:t>2.1.1.2.1.10. del Decreto 1081 de 2015– consagra la obligación que tienen las entidades estatales de publicar en el SECOP el Plan Anual de Adquisiciones.</w:t>
      </w:r>
    </w:p>
    <w:p w14:paraId="4D51880C" w14:textId="77777777" w:rsidR="008617D8" w:rsidRPr="008D74EE" w:rsidRDefault="008617D8" w:rsidP="008617D8">
      <w:pPr>
        <w:jc w:val="both"/>
        <w:rPr>
          <w:rFonts w:ascii="Arial" w:hAnsi="Arial" w:cs="Arial"/>
          <w:sz w:val="20"/>
          <w:szCs w:val="20"/>
          <w:lang w:val="es-ES_tradnl" w:eastAsia="es-ES"/>
        </w:rPr>
      </w:pPr>
    </w:p>
    <w:p w14:paraId="4BDD0522" w14:textId="77777777" w:rsidR="008617D8" w:rsidRPr="008D74EE" w:rsidRDefault="008617D8" w:rsidP="008617D8">
      <w:pPr>
        <w:jc w:val="both"/>
        <w:rPr>
          <w:rFonts w:ascii="Arial" w:hAnsi="Arial" w:cs="Arial"/>
          <w:b/>
          <w:sz w:val="22"/>
          <w:szCs w:val="22"/>
          <w:lang w:val="es-ES_tradnl" w:eastAsia="es-ES"/>
        </w:rPr>
      </w:pPr>
      <w:r w:rsidRPr="008D74EE">
        <w:rPr>
          <w:rFonts w:ascii="Arial" w:hAnsi="Arial" w:cs="Arial"/>
          <w:b/>
          <w:sz w:val="22"/>
          <w:szCs w:val="22"/>
          <w:lang w:val="es-ES_tradnl" w:eastAsia="es-ES"/>
        </w:rPr>
        <w:t>SECOP – Auto del 25 de febrero de 2021 – Publicidad – Mandato vigente</w:t>
      </w:r>
    </w:p>
    <w:p w14:paraId="791ABBD8" w14:textId="77777777" w:rsidR="008617D8" w:rsidRPr="008D74EE" w:rsidRDefault="008617D8" w:rsidP="008617D8">
      <w:pPr>
        <w:jc w:val="both"/>
        <w:rPr>
          <w:rFonts w:ascii="Arial" w:hAnsi="Arial" w:cs="Arial"/>
          <w:sz w:val="20"/>
          <w:szCs w:val="20"/>
          <w:lang w:val="es-ES_tradnl" w:eastAsia="es-ES"/>
        </w:rPr>
      </w:pPr>
    </w:p>
    <w:p w14:paraId="6FBB36D7" w14:textId="616F022F" w:rsidR="007A6D5B" w:rsidRPr="008D74EE" w:rsidRDefault="008617D8" w:rsidP="008617D8">
      <w:pPr>
        <w:jc w:val="both"/>
        <w:rPr>
          <w:rFonts w:ascii="Arial" w:hAnsi="Arial" w:cs="Arial"/>
          <w:sz w:val="20"/>
          <w:szCs w:val="20"/>
          <w:lang w:val="es-ES_tradnl"/>
        </w:rPr>
      </w:pPr>
      <w:r w:rsidRPr="008D74EE">
        <w:rPr>
          <w:rFonts w:ascii="Arial" w:hAnsi="Arial" w:cs="Arial"/>
          <w:sz w:val="20"/>
          <w:szCs w:val="20"/>
          <w:lang w:val="es-ES_tradnl" w:eastAsia="es-CO"/>
        </w:rPr>
        <w:t xml:space="preserve">[…]No </w:t>
      </w:r>
      <w:r w:rsidRPr="008D74EE">
        <w:rPr>
          <w:rFonts w:ascii="Arial" w:hAnsi="Arial" w:cs="Arial"/>
          <w:sz w:val="20"/>
          <w:szCs w:val="20"/>
          <w:lang w:val="es-ES_tradnl"/>
        </w:rPr>
        <w:t xml:space="preserve">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8D74EE">
        <w:rPr>
          <w:rFonts w:ascii="Arial" w:hAnsi="Arial" w:cs="Arial"/>
          <w:i/>
          <w:iCs/>
          <w:sz w:val="20"/>
          <w:szCs w:val="20"/>
          <w:lang w:val="es-ES_tradnl"/>
        </w:rPr>
        <w:t>sujetos obligados</w:t>
      </w:r>
      <w:r w:rsidRPr="008D74EE">
        <w:rPr>
          <w:rFonts w:ascii="Arial" w:hAnsi="Arial" w:cs="Arial"/>
          <w:sz w:val="20"/>
          <w:szCs w:val="20"/>
          <w:lang w:val="es-ES_tradnl"/>
        </w:rPr>
        <w:t xml:space="preserve"> a garantizar el derecho de acceso a la información y a los documentos públicos, deben publicar en el SECOP los documentos a los que se refiere el literal e), del artículo 9 y el </w:t>
      </w:r>
      <w:r w:rsidRPr="008D74EE">
        <w:rPr>
          <w:rFonts w:ascii="Arial" w:eastAsia="Calibri" w:hAnsi="Arial" w:cs="Arial"/>
          <w:sz w:val="20"/>
          <w:szCs w:val="20"/>
          <w:lang w:val="es-ES_tradnl"/>
        </w:rPr>
        <w:t>literal g), del artículo 11, de la Ley 1712 de 2014, como los artículos 7 al 10 del Decreto 103 de 2015 –compilado en los artículos 2.1.1.1.1. al 2.1.1.6.1. del Decreto 1081 de 2015–</w:t>
      </w:r>
      <w:r w:rsidRPr="008D74EE">
        <w:rPr>
          <w:rFonts w:ascii="Arial" w:hAnsi="Arial" w:cs="Arial"/>
          <w:sz w:val="20"/>
          <w:szCs w:val="20"/>
          <w:lang w:val="es-ES_tradnl"/>
        </w:rPr>
        <w:t xml:space="preserve">. Cuarto, porque, el auto del 25 de febrero de 2021 no suspende todo el contenido de las circulares </w:t>
      </w:r>
      <w:r w:rsidRPr="008D74EE">
        <w:rPr>
          <w:rFonts w:ascii="Arial" w:eastAsia="Arial" w:hAnsi="Arial" w:cs="Arial"/>
          <w:sz w:val="20"/>
          <w:szCs w:val="20"/>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8D74EE">
        <w:rPr>
          <w:rFonts w:ascii="Arial" w:hAnsi="Arial" w:cs="Arial"/>
          <w:bCs/>
          <w:sz w:val="20"/>
          <w:szCs w:val="20"/>
          <w:lang w:val="es-ES_tradnl"/>
        </w:rPr>
        <w:t>No. 23 del 16 de marzo de 2017 y No. 007 de 2020, así como de la Circular Externa Única –actualizada el 16 de abril de 2019–, las cuales se encuentran vigentes.</w:t>
      </w:r>
      <w:r w:rsidR="007A6D5B" w:rsidRPr="008D74EE">
        <w:rPr>
          <w:rFonts w:ascii="Arial" w:hAnsi="Arial" w:cs="Arial"/>
          <w:sz w:val="20"/>
          <w:szCs w:val="20"/>
          <w:lang w:val="es-ES_tradnl"/>
        </w:rPr>
        <w:t xml:space="preserve"> </w:t>
      </w:r>
    </w:p>
    <w:p w14:paraId="7AB3AF52" w14:textId="3746B5CB" w:rsidR="00135128" w:rsidRPr="008D74EE" w:rsidRDefault="00135128" w:rsidP="008617D8">
      <w:pPr>
        <w:jc w:val="both"/>
        <w:rPr>
          <w:rFonts w:ascii="Arial" w:hAnsi="Arial" w:cs="Arial"/>
          <w:sz w:val="20"/>
          <w:szCs w:val="20"/>
          <w:lang w:val="es-ES_tradnl"/>
        </w:rPr>
      </w:pPr>
    </w:p>
    <w:p w14:paraId="2EB90756" w14:textId="0B5B38E0" w:rsidR="001155AD" w:rsidRPr="008D74EE" w:rsidRDefault="001155AD" w:rsidP="008617D8">
      <w:pPr>
        <w:jc w:val="both"/>
        <w:rPr>
          <w:rFonts w:ascii="Arial" w:hAnsi="Arial" w:cs="Arial"/>
          <w:sz w:val="20"/>
          <w:szCs w:val="20"/>
          <w:lang w:val="es-ES_tradnl"/>
        </w:rPr>
      </w:pPr>
    </w:p>
    <w:p w14:paraId="45A1998E" w14:textId="638CAE8E" w:rsidR="001155AD" w:rsidRPr="008D74EE" w:rsidRDefault="001155AD" w:rsidP="008617D8">
      <w:pPr>
        <w:jc w:val="both"/>
        <w:rPr>
          <w:rFonts w:ascii="Arial" w:hAnsi="Arial" w:cs="Arial"/>
          <w:sz w:val="20"/>
          <w:szCs w:val="20"/>
          <w:lang w:val="es-ES_tradnl"/>
        </w:rPr>
      </w:pPr>
    </w:p>
    <w:p w14:paraId="271172DA" w14:textId="77777777" w:rsidR="001155AD" w:rsidRPr="008D74EE" w:rsidRDefault="001155AD" w:rsidP="008617D8">
      <w:pPr>
        <w:jc w:val="both"/>
        <w:rPr>
          <w:rFonts w:ascii="Arial" w:hAnsi="Arial" w:cs="Arial"/>
          <w:sz w:val="20"/>
          <w:szCs w:val="20"/>
          <w:lang w:val="es-ES_tradnl"/>
        </w:rPr>
      </w:pPr>
    </w:p>
    <w:p w14:paraId="29D2ADC6" w14:textId="6AE3B10F" w:rsidR="00135128" w:rsidRPr="008D74EE" w:rsidRDefault="00135128" w:rsidP="008617D8">
      <w:pPr>
        <w:jc w:val="both"/>
        <w:rPr>
          <w:rFonts w:ascii="Arial" w:hAnsi="Arial" w:cs="Arial"/>
          <w:b/>
          <w:bCs/>
          <w:sz w:val="22"/>
          <w:szCs w:val="22"/>
          <w:lang w:val="es-ES_tradnl"/>
        </w:rPr>
      </w:pPr>
      <w:r w:rsidRPr="008D74EE">
        <w:rPr>
          <w:rFonts w:ascii="Arial" w:hAnsi="Arial" w:cs="Arial"/>
          <w:b/>
          <w:bCs/>
          <w:sz w:val="22"/>
          <w:szCs w:val="22"/>
          <w:lang w:val="es-ES_tradnl"/>
        </w:rPr>
        <w:lastRenderedPageBreak/>
        <w:t xml:space="preserve">RECURSOS PÚBLICOS – Ley 1150 de 2007 – Noción – Publicidad – Contratación </w:t>
      </w:r>
      <w:r w:rsidR="001155AD" w:rsidRPr="008D74EE">
        <w:rPr>
          <w:rFonts w:ascii="Arial" w:hAnsi="Arial" w:cs="Arial"/>
          <w:b/>
          <w:bCs/>
          <w:sz w:val="22"/>
          <w:szCs w:val="22"/>
          <w:lang w:val="es-ES_tradnl"/>
        </w:rPr>
        <w:t xml:space="preserve">con cargo a recursos públicos </w:t>
      </w:r>
      <w:r w:rsidR="001155AD" w:rsidRPr="008D74EE">
        <w:rPr>
          <w:rFonts w:ascii="Arial" w:hAnsi="Arial" w:cs="Arial"/>
          <w:b/>
          <w:bCs/>
          <w:sz w:val="22"/>
          <w:szCs w:val="22"/>
          <w:lang w:val="es-ES_tradnl"/>
        </w:rPr>
        <w:softHyphen/>
      </w:r>
      <w:r w:rsidR="009E7DE3" w:rsidRPr="008D74EE">
        <w:rPr>
          <w:rFonts w:ascii="Arial" w:hAnsi="Arial" w:cs="Arial"/>
          <w:b/>
          <w:bCs/>
          <w:sz w:val="22"/>
          <w:szCs w:val="22"/>
          <w:lang w:val="es-ES_tradnl"/>
        </w:rPr>
        <w:t>–</w:t>
      </w:r>
      <w:r w:rsidR="001155AD" w:rsidRPr="008D74EE">
        <w:rPr>
          <w:rFonts w:ascii="Arial" w:hAnsi="Arial" w:cs="Arial"/>
          <w:b/>
          <w:bCs/>
          <w:sz w:val="22"/>
          <w:szCs w:val="22"/>
          <w:lang w:val="es-ES_tradnl"/>
        </w:rPr>
        <w:t xml:space="preserve"> </w:t>
      </w:r>
      <w:r w:rsidR="009E7DE3" w:rsidRPr="008D74EE">
        <w:rPr>
          <w:rFonts w:ascii="Arial" w:hAnsi="Arial" w:cs="Arial"/>
          <w:b/>
          <w:bCs/>
          <w:sz w:val="22"/>
          <w:szCs w:val="22"/>
          <w:lang w:val="es-ES_tradnl"/>
        </w:rPr>
        <w:t xml:space="preserve">EICE – Sociedades de economía mixta </w:t>
      </w:r>
    </w:p>
    <w:p w14:paraId="37DD3285" w14:textId="77777777" w:rsidR="00135128" w:rsidRPr="008D74EE" w:rsidRDefault="00135128" w:rsidP="008617D8">
      <w:pPr>
        <w:jc w:val="both"/>
        <w:rPr>
          <w:rFonts w:ascii="Arial" w:hAnsi="Arial" w:cs="Arial"/>
          <w:sz w:val="20"/>
          <w:szCs w:val="20"/>
          <w:lang w:val="es-ES_tradnl"/>
        </w:rPr>
      </w:pPr>
    </w:p>
    <w:p w14:paraId="5ED729D0" w14:textId="1EDC9104" w:rsidR="00135128" w:rsidRPr="008D74EE" w:rsidRDefault="00135128" w:rsidP="00135128">
      <w:pPr>
        <w:jc w:val="both"/>
        <w:rPr>
          <w:rFonts w:ascii="Arial" w:hAnsi="Arial" w:cs="Arial"/>
          <w:sz w:val="20"/>
          <w:szCs w:val="20"/>
          <w:lang w:val="es-ES_tradnl" w:eastAsia="es-CO"/>
        </w:rPr>
      </w:pPr>
      <w:r w:rsidRPr="008D74EE">
        <w:rPr>
          <w:rFonts w:ascii="Arial" w:hAnsi="Arial" w:cs="Arial"/>
          <w:sz w:val="20"/>
          <w:szCs w:val="20"/>
          <w:lang w:val="es-ES_tradnl" w:eastAsia="es-CO"/>
        </w:rPr>
        <w:t xml:space="preserve">[…] la expresión recursos públicos contenida en la Circular Externa Única del 17 de julio de 2018, es tomada de la Ley 1150 de 2007. En el contexto de dicha ley, el concepto de recursos públicos debe ser entendido a partir de lo establecido en el inciso segundo del artículo 128 de constitucional, que establece que el tesoro público está conformado por los recursos de la nación, las entidades territoriales y descentralizadas. En atención a esto, tanto las empresas industriales y comerciales del Estado como las sociedades de economía mixta constituyen entidades descentralizadas, por lo que de conformidad con el artículo 128 superior, sus recursos tienen la naturaleza de públicos y están sujetos al control fiscal en los términos del artículo 267 de la Constitución. </w:t>
      </w:r>
    </w:p>
    <w:p w14:paraId="19A028CB" w14:textId="77777777" w:rsidR="00135128" w:rsidRPr="008D74EE" w:rsidRDefault="00135128" w:rsidP="00135128">
      <w:pPr>
        <w:jc w:val="both"/>
        <w:rPr>
          <w:rFonts w:ascii="Arial" w:hAnsi="Arial" w:cs="Arial"/>
          <w:sz w:val="20"/>
          <w:szCs w:val="20"/>
          <w:lang w:val="es-ES_tradnl" w:eastAsia="es-CO"/>
        </w:rPr>
      </w:pPr>
    </w:p>
    <w:p w14:paraId="6E07D96F" w14:textId="599078BD" w:rsidR="00135128" w:rsidRPr="008D74EE" w:rsidRDefault="00135128" w:rsidP="00135128">
      <w:pPr>
        <w:jc w:val="both"/>
        <w:rPr>
          <w:rFonts w:ascii="Arial" w:hAnsi="Arial" w:cs="Arial"/>
          <w:sz w:val="20"/>
          <w:szCs w:val="20"/>
          <w:lang w:val="es-ES_tradnl" w:eastAsia="es-CO"/>
        </w:rPr>
      </w:pPr>
      <w:r w:rsidRPr="008D74EE">
        <w:rPr>
          <w:rFonts w:ascii="Arial" w:hAnsi="Arial" w:cs="Arial"/>
          <w:sz w:val="20"/>
          <w:szCs w:val="20"/>
          <w:lang w:val="es-ES_tradnl" w:eastAsia="es-CO"/>
        </w:rPr>
        <w:t>De acuerdo con la naturaleza jurídica de las empresas industriales y comerciales del Estado, estas son conformadas exclusivamente con aportes estatales, por lo que los recursos que reciben tienen un origen exclusivamente público. En ese sentido, al ejecutar tales recursos en ejercicio de la actividad contractual están obligadas a publicar los documentos antes enunciados. Por su parte, las sociedades de economía mixta involucran aportes privados y públicos que se aúnan para conformar el capital social y patrimonio de tales entidades, por lo que respecto de la contratación a la que se destinen los mismos, también deben publicarse el SECOP los documentos antes mencionados. Ahora bien, si en desarrollo del objeto social de la respectiva sociedad de economía mixta se gestiona el aporte privado de manera separada del público, o si se gestionan dineros de propiedad del socio privado como utilidades o excedentes, siendo objetivamente palpable tal distinción, la contratación de celebrada con cargo a tales dineros estará relevada del deber de publicidad en el SECOP, en el entendido de que no se ha realizado con cargo a recursos públicos.</w:t>
      </w:r>
    </w:p>
    <w:p w14:paraId="59608A2C" w14:textId="7C33D555" w:rsidR="00337A59" w:rsidRPr="008D74EE" w:rsidRDefault="00337A59" w:rsidP="00337A59">
      <w:pPr>
        <w:jc w:val="both"/>
        <w:rPr>
          <w:rFonts w:ascii="Arial" w:hAnsi="Arial" w:cs="Arial"/>
          <w:sz w:val="20"/>
          <w:szCs w:val="20"/>
          <w:lang w:val="es-ES_tradnl" w:eastAsia="es-CO"/>
        </w:rPr>
      </w:pPr>
    </w:p>
    <w:p w14:paraId="396B030B" w14:textId="77777777" w:rsidR="00337A59" w:rsidRPr="008D74EE" w:rsidRDefault="00337A59" w:rsidP="00E233B2">
      <w:pPr>
        <w:jc w:val="both"/>
        <w:rPr>
          <w:rFonts w:ascii="Arial" w:hAnsi="Arial" w:cs="Arial"/>
          <w:sz w:val="20"/>
          <w:szCs w:val="20"/>
          <w:lang w:val="es-ES_tradnl" w:eastAsia="es-ES"/>
        </w:rPr>
      </w:pPr>
    </w:p>
    <w:p w14:paraId="494AA7C9" w14:textId="77777777" w:rsidR="00E233B2" w:rsidRPr="008D74EE" w:rsidRDefault="00E233B2" w:rsidP="00357DFE">
      <w:pPr>
        <w:jc w:val="both"/>
        <w:rPr>
          <w:rFonts w:ascii="Arial" w:hAnsi="Arial" w:cs="Arial"/>
          <w:b/>
          <w:sz w:val="22"/>
          <w:szCs w:val="22"/>
          <w:lang w:val="es-ES_tradnl" w:eastAsia="es-ES"/>
        </w:rPr>
      </w:pPr>
    </w:p>
    <w:p w14:paraId="74FEB9C1" w14:textId="77777777" w:rsidR="008A1705" w:rsidRPr="008D74EE" w:rsidRDefault="008A1705" w:rsidP="00BE6860">
      <w:pPr>
        <w:spacing w:after="160" w:line="259" w:lineRule="auto"/>
        <w:rPr>
          <w:rFonts w:ascii="Arial" w:hAnsi="Arial" w:cs="Arial"/>
          <w:noProof/>
          <w:sz w:val="22"/>
          <w:lang w:val="es-ES_tradnl"/>
        </w:rPr>
      </w:pPr>
    </w:p>
    <w:p w14:paraId="22D5DB6A" w14:textId="77777777" w:rsidR="00781DCF" w:rsidRPr="008D74EE" w:rsidRDefault="00781DCF" w:rsidP="00BE6860">
      <w:pPr>
        <w:spacing w:after="160" w:line="259" w:lineRule="auto"/>
        <w:rPr>
          <w:rFonts w:ascii="Arial" w:hAnsi="Arial" w:cs="Arial"/>
          <w:noProof/>
          <w:sz w:val="22"/>
          <w:lang w:val="es-ES_tradnl"/>
        </w:rPr>
      </w:pPr>
    </w:p>
    <w:p w14:paraId="06404868" w14:textId="36DD0557" w:rsidR="0026368F" w:rsidRPr="008D74EE" w:rsidRDefault="0026368F" w:rsidP="00B95C30">
      <w:pPr>
        <w:jc w:val="both"/>
        <w:rPr>
          <w:rFonts w:ascii="Arial" w:hAnsi="Arial" w:cs="Arial"/>
          <w:b/>
          <w:sz w:val="22"/>
          <w:lang w:val="es-ES_tradnl"/>
        </w:rPr>
      </w:pPr>
    </w:p>
    <w:p w14:paraId="5822A130" w14:textId="438E8C53" w:rsidR="0026368F" w:rsidRPr="008D74EE" w:rsidRDefault="0026368F" w:rsidP="00B95C30">
      <w:pPr>
        <w:jc w:val="both"/>
        <w:rPr>
          <w:rFonts w:ascii="Arial" w:hAnsi="Arial" w:cs="Arial"/>
          <w:b/>
          <w:sz w:val="22"/>
          <w:lang w:val="es-ES_tradnl"/>
        </w:rPr>
      </w:pPr>
    </w:p>
    <w:p w14:paraId="4EAA167B" w14:textId="6E2D4DB7" w:rsidR="0026368F" w:rsidRPr="008D74EE" w:rsidRDefault="0026368F" w:rsidP="00B95C30">
      <w:pPr>
        <w:jc w:val="both"/>
        <w:rPr>
          <w:rFonts w:ascii="Arial" w:hAnsi="Arial" w:cs="Arial"/>
          <w:b/>
          <w:sz w:val="22"/>
          <w:lang w:val="es-ES_tradnl"/>
        </w:rPr>
      </w:pPr>
    </w:p>
    <w:p w14:paraId="5B0B47EF" w14:textId="5AD38FBD" w:rsidR="0026368F" w:rsidRPr="008D74EE" w:rsidRDefault="0026368F" w:rsidP="00B95C30">
      <w:pPr>
        <w:jc w:val="both"/>
        <w:rPr>
          <w:rFonts w:ascii="Arial" w:hAnsi="Arial" w:cs="Arial"/>
          <w:b/>
          <w:sz w:val="22"/>
          <w:lang w:val="es-ES_tradnl"/>
        </w:rPr>
      </w:pPr>
    </w:p>
    <w:p w14:paraId="013E1F6E" w14:textId="4748634D" w:rsidR="0026368F" w:rsidRPr="008D74EE" w:rsidRDefault="0026368F" w:rsidP="00B95C30">
      <w:pPr>
        <w:jc w:val="both"/>
        <w:rPr>
          <w:rFonts w:ascii="Arial" w:hAnsi="Arial" w:cs="Arial"/>
          <w:b/>
          <w:sz w:val="22"/>
          <w:lang w:val="es-ES_tradnl"/>
        </w:rPr>
      </w:pPr>
    </w:p>
    <w:p w14:paraId="3F165E7C" w14:textId="5833945C" w:rsidR="0026368F" w:rsidRPr="008D74EE" w:rsidRDefault="0026368F" w:rsidP="00B95C30">
      <w:pPr>
        <w:jc w:val="both"/>
        <w:rPr>
          <w:rFonts w:ascii="Arial" w:hAnsi="Arial" w:cs="Arial"/>
          <w:b/>
          <w:sz w:val="22"/>
          <w:lang w:val="es-ES_tradnl"/>
        </w:rPr>
      </w:pPr>
    </w:p>
    <w:p w14:paraId="4DCF7B0B" w14:textId="2BB024DF" w:rsidR="0026368F" w:rsidRPr="008D74EE" w:rsidRDefault="0026368F" w:rsidP="00B95C30">
      <w:pPr>
        <w:jc w:val="both"/>
        <w:rPr>
          <w:rFonts w:ascii="Arial" w:hAnsi="Arial" w:cs="Arial"/>
          <w:b/>
          <w:sz w:val="22"/>
          <w:lang w:val="es-ES_tradnl"/>
        </w:rPr>
      </w:pPr>
    </w:p>
    <w:p w14:paraId="1F834A9E" w14:textId="0AD24D71" w:rsidR="0026368F" w:rsidRPr="008D74EE" w:rsidRDefault="0026368F" w:rsidP="00B95C30">
      <w:pPr>
        <w:jc w:val="both"/>
        <w:rPr>
          <w:rFonts w:ascii="Arial" w:hAnsi="Arial" w:cs="Arial"/>
          <w:b/>
          <w:sz w:val="22"/>
          <w:lang w:val="es-ES_tradnl"/>
        </w:rPr>
      </w:pPr>
    </w:p>
    <w:p w14:paraId="40F1AAD0" w14:textId="1232C156" w:rsidR="0026368F" w:rsidRPr="008D74EE" w:rsidRDefault="0026368F" w:rsidP="00B95C30">
      <w:pPr>
        <w:jc w:val="both"/>
        <w:rPr>
          <w:rFonts w:ascii="Arial" w:hAnsi="Arial" w:cs="Arial"/>
          <w:b/>
          <w:sz w:val="22"/>
          <w:lang w:val="es-ES_tradnl"/>
        </w:rPr>
      </w:pPr>
    </w:p>
    <w:p w14:paraId="402FB691" w14:textId="017BA69B" w:rsidR="0026368F" w:rsidRPr="008D74EE" w:rsidRDefault="0026368F" w:rsidP="00B95C30">
      <w:pPr>
        <w:jc w:val="both"/>
        <w:rPr>
          <w:rFonts w:ascii="Arial" w:hAnsi="Arial" w:cs="Arial"/>
          <w:b/>
          <w:sz w:val="22"/>
          <w:lang w:val="es-ES_tradnl"/>
        </w:rPr>
      </w:pPr>
    </w:p>
    <w:p w14:paraId="7FB3382F" w14:textId="197F65E7" w:rsidR="0026368F" w:rsidRPr="008D74EE" w:rsidRDefault="0026368F" w:rsidP="00B95C30">
      <w:pPr>
        <w:jc w:val="both"/>
        <w:rPr>
          <w:rFonts w:ascii="Arial" w:hAnsi="Arial" w:cs="Arial"/>
          <w:b/>
          <w:sz w:val="22"/>
          <w:lang w:val="es-ES_tradnl"/>
        </w:rPr>
      </w:pPr>
    </w:p>
    <w:p w14:paraId="4775137A" w14:textId="717910E0" w:rsidR="0026368F" w:rsidRPr="008D74EE" w:rsidRDefault="0026368F" w:rsidP="00B95C30">
      <w:pPr>
        <w:jc w:val="both"/>
        <w:rPr>
          <w:rFonts w:ascii="Arial" w:hAnsi="Arial" w:cs="Arial"/>
          <w:b/>
          <w:sz w:val="22"/>
          <w:lang w:val="es-ES_tradnl"/>
        </w:rPr>
      </w:pPr>
    </w:p>
    <w:p w14:paraId="4C894E3F" w14:textId="4A8B9DE1" w:rsidR="0026368F" w:rsidRPr="008D74EE" w:rsidRDefault="0026368F" w:rsidP="00B95C30">
      <w:pPr>
        <w:jc w:val="both"/>
        <w:rPr>
          <w:rFonts w:ascii="Arial" w:hAnsi="Arial" w:cs="Arial"/>
          <w:b/>
          <w:sz w:val="22"/>
          <w:lang w:val="es-ES_tradnl"/>
        </w:rPr>
      </w:pPr>
    </w:p>
    <w:p w14:paraId="69349628" w14:textId="21715912" w:rsidR="0026368F" w:rsidRPr="008D74EE" w:rsidRDefault="0026368F" w:rsidP="00B95C30">
      <w:pPr>
        <w:jc w:val="both"/>
        <w:rPr>
          <w:rFonts w:ascii="Arial" w:hAnsi="Arial" w:cs="Arial"/>
          <w:b/>
          <w:sz w:val="22"/>
          <w:lang w:val="es-ES_tradnl"/>
        </w:rPr>
      </w:pPr>
    </w:p>
    <w:p w14:paraId="1472C788" w14:textId="125D6488" w:rsidR="0026368F" w:rsidRPr="008D74EE" w:rsidRDefault="0026368F" w:rsidP="00B95C30">
      <w:pPr>
        <w:jc w:val="both"/>
        <w:rPr>
          <w:rFonts w:ascii="Arial" w:hAnsi="Arial" w:cs="Arial"/>
          <w:b/>
          <w:sz w:val="22"/>
          <w:lang w:val="es-ES_tradnl"/>
        </w:rPr>
      </w:pPr>
    </w:p>
    <w:p w14:paraId="23E66AC2" w14:textId="599A548A" w:rsidR="0026368F" w:rsidRPr="008D74EE" w:rsidRDefault="0026368F" w:rsidP="00B95C30">
      <w:pPr>
        <w:jc w:val="both"/>
        <w:rPr>
          <w:rFonts w:ascii="Arial" w:hAnsi="Arial" w:cs="Arial"/>
          <w:b/>
          <w:sz w:val="22"/>
          <w:lang w:val="es-ES_tradnl"/>
        </w:rPr>
      </w:pPr>
    </w:p>
    <w:p w14:paraId="10AA1797" w14:textId="6857AD15" w:rsidR="0026368F" w:rsidRPr="008D74EE" w:rsidRDefault="0026368F" w:rsidP="00B95C30">
      <w:pPr>
        <w:jc w:val="both"/>
        <w:rPr>
          <w:rFonts w:ascii="Arial" w:hAnsi="Arial" w:cs="Arial"/>
          <w:b/>
          <w:sz w:val="22"/>
          <w:lang w:val="es-ES_tradnl"/>
        </w:rPr>
      </w:pPr>
    </w:p>
    <w:p w14:paraId="0697E56F" w14:textId="0C498EE5" w:rsidR="0026368F" w:rsidRPr="008D74EE" w:rsidRDefault="0026368F" w:rsidP="00B95C30">
      <w:pPr>
        <w:jc w:val="both"/>
        <w:rPr>
          <w:rFonts w:ascii="Arial" w:hAnsi="Arial" w:cs="Arial"/>
          <w:b/>
          <w:sz w:val="22"/>
          <w:lang w:val="es-ES_tradnl"/>
        </w:rPr>
      </w:pPr>
    </w:p>
    <w:p w14:paraId="7CFBAA2D" w14:textId="0F38D97B" w:rsidR="0026368F" w:rsidRDefault="0026368F" w:rsidP="00B95C30">
      <w:pPr>
        <w:jc w:val="both"/>
        <w:rPr>
          <w:rFonts w:ascii="Arial" w:hAnsi="Arial" w:cs="Arial"/>
          <w:b/>
          <w:sz w:val="22"/>
          <w:lang w:val="es-ES_tradnl"/>
        </w:rPr>
      </w:pPr>
    </w:p>
    <w:p w14:paraId="12FC082C" w14:textId="453C9234" w:rsidR="00DB5CD6" w:rsidRDefault="002B3725" w:rsidP="002B3725">
      <w:pPr>
        <w:jc w:val="right"/>
        <w:rPr>
          <w:rFonts w:ascii="Arial" w:hAnsi="Arial" w:cs="Arial"/>
          <w:b/>
          <w:sz w:val="22"/>
          <w:lang w:val="es-ES_tradnl"/>
        </w:rPr>
      </w:pPr>
      <w:r w:rsidRPr="002B3725">
        <w:rPr>
          <w:rFonts w:ascii="Arial" w:hAnsi="Arial" w:cs="Arial"/>
          <w:b/>
          <w:sz w:val="22"/>
          <w:lang w:val="es-ES_tradnl"/>
        </w:rPr>
        <w:drawing>
          <wp:inline distT="0" distB="0" distL="0" distR="0" wp14:anchorId="3FC1B446" wp14:editId="66CBD008">
            <wp:extent cx="2828924" cy="788158"/>
            <wp:effectExtent l="0" t="0" r="0"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1"/>
                    <a:stretch>
                      <a:fillRect/>
                    </a:stretch>
                  </pic:blipFill>
                  <pic:spPr>
                    <a:xfrm>
                      <a:off x="0" y="0"/>
                      <a:ext cx="2844458" cy="792486"/>
                    </a:xfrm>
                    <a:prstGeom prst="rect">
                      <a:avLst/>
                    </a:prstGeom>
                  </pic:spPr>
                </pic:pic>
              </a:graphicData>
            </a:graphic>
          </wp:inline>
        </w:drawing>
      </w:r>
    </w:p>
    <w:p w14:paraId="4029C63F" w14:textId="32F837B1" w:rsidR="00DB5CD6" w:rsidRDefault="00DB5CD6" w:rsidP="00B95C30">
      <w:pPr>
        <w:jc w:val="both"/>
        <w:rPr>
          <w:rFonts w:ascii="Arial" w:hAnsi="Arial" w:cs="Arial"/>
          <w:b/>
          <w:sz w:val="22"/>
          <w:lang w:val="es-ES_tradnl"/>
        </w:rPr>
      </w:pPr>
    </w:p>
    <w:p w14:paraId="15851F59" w14:textId="77777777" w:rsidR="002B3725" w:rsidRDefault="002B3725" w:rsidP="00B95C30">
      <w:pPr>
        <w:jc w:val="both"/>
        <w:rPr>
          <w:rFonts w:ascii="Arial" w:hAnsi="Arial" w:cs="Arial"/>
          <w:b/>
          <w:sz w:val="22"/>
          <w:lang w:val="es-ES_tradnl"/>
        </w:rPr>
      </w:pPr>
    </w:p>
    <w:p w14:paraId="6F0C2DD8" w14:textId="64A898BB" w:rsidR="00A441D5" w:rsidRPr="00A441D5" w:rsidRDefault="00A441D5" w:rsidP="002B3725">
      <w:pPr>
        <w:jc w:val="both"/>
        <w:rPr>
          <w:rFonts w:ascii="Arial" w:hAnsi="Arial" w:cs="Arial"/>
          <w:bCs/>
          <w:sz w:val="22"/>
          <w:lang w:val="es-ES_tradnl"/>
        </w:rPr>
      </w:pPr>
      <w:r w:rsidRPr="00A441D5">
        <w:rPr>
          <w:rFonts w:ascii="Arial" w:hAnsi="Arial" w:cs="Arial"/>
          <w:bCs/>
          <w:sz w:val="22"/>
          <w:lang w:val="es-ES_tradnl"/>
        </w:rPr>
        <w:t xml:space="preserve">Bogotá, 29 </w:t>
      </w:r>
      <w:proofErr w:type="gramStart"/>
      <w:r w:rsidRPr="00A441D5">
        <w:rPr>
          <w:rFonts w:ascii="Arial" w:hAnsi="Arial" w:cs="Arial"/>
          <w:bCs/>
          <w:sz w:val="22"/>
          <w:lang w:val="es-ES_tradnl"/>
        </w:rPr>
        <w:t>Abril</w:t>
      </w:r>
      <w:proofErr w:type="gramEnd"/>
      <w:r w:rsidRPr="00A441D5">
        <w:rPr>
          <w:rFonts w:ascii="Arial" w:hAnsi="Arial" w:cs="Arial"/>
          <w:bCs/>
          <w:sz w:val="22"/>
          <w:lang w:val="es-ES_tradnl"/>
        </w:rPr>
        <w:t xml:space="preserve"> 2021</w:t>
      </w:r>
    </w:p>
    <w:p w14:paraId="7922F30A" w14:textId="77777777" w:rsidR="00C52795" w:rsidRPr="008D74EE" w:rsidRDefault="00C52795" w:rsidP="00B95C30">
      <w:pPr>
        <w:jc w:val="both"/>
        <w:rPr>
          <w:rFonts w:ascii="Arial" w:hAnsi="Arial" w:cs="Arial"/>
          <w:b/>
          <w:sz w:val="22"/>
          <w:lang w:val="es-ES_tradnl"/>
        </w:rPr>
      </w:pPr>
    </w:p>
    <w:p w14:paraId="5F5AE9EF" w14:textId="3A79817F" w:rsidR="00B95C30" w:rsidRPr="008D74EE" w:rsidRDefault="00B95C30" w:rsidP="00B95C30">
      <w:pPr>
        <w:jc w:val="both"/>
        <w:rPr>
          <w:rFonts w:ascii="Arial" w:eastAsia="Calibri" w:hAnsi="Arial" w:cs="Arial"/>
          <w:sz w:val="22"/>
          <w:lang w:val="es-ES_tradnl"/>
        </w:rPr>
      </w:pPr>
      <w:bookmarkStart w:id="2" w:name="_Hlk70617870"/>
      <w:r w:rsidRPr="008D74EE">
        <w:rPr>
          <w:rFonts w:ascii="Arial" w:eastAsia="Calibri" w:hAnsi="Arial" w:cs="Arial"/>
          <w:sz w:val="22"/>
          <w:lang w:val="es-ES_tradnl"/>
        </w:rPr>
        <w:t>Señor</w:t>
      </w:r>
    </w:p>
    <w:p w14:paraId="0DED7EE4" w14:textId="504006CA" w:rsidR="00F35404" w:rsidRPr="008D74EE" w:rsidRDefault="00F35404" w:rsidP="00B95C30">
      <w:pPr>
        <w:jc w:val="both"/>
        <w:rPr>
          <w:rFonts w:ascii="Arial" w:eastAsia="Calibri" w:hAnsi="Arial" w:cs="Arial"/>
          <w:b/>
          <w:sz w:val="22"/>
          <w:lang w:val="es-ES_tradnl"/>
        </w:rPr>
      </w:pPr>
      <w:r w:rsidRPr="008D74EE">
        <w:rPr>
          <w:rFonts w:ascii="Arial" w:eastAsia="Calibri" w:hAnsi="Arial" w:cs="Arial"/>
          <w:b/>
          <w:sz w:val="22"/>
          <w:lang w:val="es-ES_tradnl"/>
        </w:rPr>
        <w:t>Juan José Badel Camargo</w:t>
      </w:r>
    </w:p>
    <w:p w14:paraId="09D4AEA8" w14:textId="46E576AC" w:rsidR="00B95C30" w:rsidRPr="008D74EE" w:rsidRDefault="00F35404" w:rsidP="00B95C30">
      <w:pPr>
        <w:jc w:val="both"/>
        <w:rPr>
          <w:rFonts w:ascii="Arial" w:eastAsia="Calibri" w:hAnsi="Arial" w:cs="Arial"/>
          <w:sz w:val="22"/>
          <w:lang w:val="es-ES_tradnl"/>
        </w:rPr>
      </w:pPr>
      <w:r w:rsidRPr="008D74EE">
        <w:rPr>
          <w:rFonts w:ascii="Arial" w:eastAsia="Calibri" w:hAnsi="Arial" w:cs="Arial"/>
          <w:sz w:val="22"/>
          <w:lang w:val="es-ES_tradnl"/>
        </w:rPr>
        <w:t>Cartagena, Bolívar</w:t>
      </w:r>
    </w:p>
    <w:p w14:paraId="24E8D2A9" w14:textId="44BD5248" w:rsidR="00B95C30" w:rsidRPr="008D74EE" w:rsidRDefault="00B95C30" w:rsidP="00B95C30">
      <w:pPr>
        <w:jc w:val="both"/>
        <w:rPr>
          <w:rFonts w:ascii="Arial" w:eastAsia="Calibri" w:hAnsi="Arial" w:cs="Arial"/>
          <w:sz w:val="22"/>
          <w:lang w:val="es-ES_tradnl"/>
        </w:rPr>
      </w:pPr>
    </w:p>
    <w:p w14:paraId="2E0A6BC0" w14:textId="77777777" w:rsidR="002C2851" w:rsidRPr="008D74EE" w:rsidRDefault="002C2851" w:rsidP="00B95C30">
      <w:pPr>
        <w:jc w:val="both"/>
        <w:rPr>
          <w:rFonts w:ascii="Arial" w:eastAsia="Calibri" w:hAnsi="Arial" w:cs="Arial"/>
          <w:sz w:val="22"/>
          <w:lang w:val="es-ES_tradnl"/>
        </w:rPr>
      </w:pPr>
    </w:p>
    <w:p w14:paraId="12E66182" w14:textId="161F2AE5" w:rsidR="00B95C30" w:rsidRPr="008D74EE" w:rsidRDefault="002C2851" w:rsidP="002C2851">
      <w:pPr>
        <w:rPr>
          <w:rFonts w:ascii="Arial" w:eastAsia="Calibri" w:hAnsi="Arial" w:cs="Arial"/>
          <w:b/>
          <w:bCs/>
          <w:sz w:val="22"/>
          <w:lang w:val="es-ES_tradnl"/>
        </w:rPr>
      </w:pPr>
      <w:r w:rsidRPr="008D74EE">
        <w:rPr>
          <w:rFonts w:ascii="Arial" w:eastAsia="Calibri" w:hAnsi="Arial" w:cs="Arial"/>
          <w:b/>
          <w:bCs/>
          <w:sz w:val="22"/>
          <w:lang w:val="es-ES_tradnl"/>
        </w:rPr>
        <w:t xml:space="preserve">                                            </w:t>
      </w:r>
      <w:r w:rsidR="00B95C30" w:rsidRPr="008D74EE">
        <w:rPr>
          <w:rFonts w:ascii="Arial" w:eastAsia="Calibri" w:hAnsi="Arial" w:cs="Arial"/>
          <w:b/>
          <w:bCs/>
          <w:sz w:val="22"/>
          <w:lang w:val="es-ES_tradnl"/>
        </w:rPr>
        <w:t xml:space="preserve">Concepto C ‒ </w:t>
      </w:r>
      <w:r w:rsidR="0058385E" w:rsidRPr="008D74EE">
        <w:rPr>
          <w:rFonts w:ascii="Arial" w:eastAsia="Calibri" w:hAnsi="Arial" w:cs="Arial"/>
          <w:b/>
          <w:bCs/>
          <w:sz w:val="22"/>
          <w:lang w:val="es-ES_tradnl"/>
        </w:rPr>
        <w:t>1</w:t>
      </w:r>
      <w:r w:rsidR="00C52795" w:rsidRPr="008D74EE">
        <w:rPr>
          <w:rFonts w:ascii="Arial" w:eastAsia="Calibri" w:hAnsi="Arial" w:cs="Arial"/>
          <w:b/>
          <w:bCs/>
          <w:sz w:val="22"/>
          <w:lang w:val="es-ES_tradnl"/>
        </w:rPr>
        <w:t>85</w:t>
      </w:r>
      <w:r w:rsidR="00B95C30" w:rsidRPr="008D74EE">
        <w:rPr>
          <w:rFonts w:ascii="Arial" w:eastAsia="Calibri" w:hAnsi="Arial" w:cs="Arial"/>
          <w:b/>
          <w:bCs/>
          <w:sz w:val="22"/>
          <w:lang w:val="es-ES_tradnl"/>
        </w:rPr>
        <w:t xml:space="preserve"> de 202</w:t>
      </w:r>
      <w:r w:rsidR="00C56976" w:rsidRPr="008D74EE">
        <w:rPr>
          <w:rFonts w:ascii="Arial" w:eastAsia="Calibri" w:hAnsi="Arial" w:cs="Arial"/>
          <w:b/>
          <w:bCs/>
          <w:sz w:val="22"/>
          <w:lang w:val="es-ES_tradnl"/>
        </w:rPr>
        <w:t>1</w:t>
      </w:r>
    </w:p>
    <w:p w14:paraId="1BD594F9" w14:textId="77777777" w:rsidR="00B95C30" w:rsidRPr="008D74EE"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E7DE3" w:rsidRPr="008D74EE" w14:paraId="19DFC051" w14:textId="77777777" w:rsidTr="003D3D44">
        <w:tc>
          <w:tcPr>
            <w:tcW w:w="2689" w:type="dxa"/>
          </w:tcPr>
          <w:p w14:paraId="6BC0D1AC" w14:textId="77777777" w:rsidR="00B95C30" w:rsidRPr="008D74EE" w:rsidRDefault="00B95C30" w:rsidP="003D3D44">
            <w:pPr>
              <w:jc w:val="both"/>
              <w:rPr>
                <w:rFonts w:ascii="Arial" w:eastAsia="Calibri" w:hAnsi="Arial" w:cs="Arial"/>
                <w:sz w:val="22"/>
                <w:lang w:val="es-ES_tradnl"/>
              </w:rPr>
            </w:pPr>
            <w:r w:rsidRPr="008D74EE">
              <w:rPr>
                <w:rFonts w:ascii="Arial" w:eastAsia="Calibri" w:hAnsi="Arial" w:cs="Arial"/>
                <w:b/>
                <w:sz w:val="22"/>
                <w:lang w:val="es-ES_tradnl"/>
              </w:rPr>
              <w:t>Temas:</w:t>
            </w:r>
            <w:r w:rsidRPr="008D74EE">
              <w:rPr>
                <w:rFonts w:ascii="Arial" w:eastAsia="Calibri" w:hAnsi="Arial" w:cs="Arial"/>
                <w:sz w:val="22"/>
                <w:lang w:val="es-ES_tradnl"/>
              </w:rPr>
              <w:t xml:space="preserve">                                      </w:t>
            </w:r>
          </w:p>
        </w:tc>
        <w:tc>
          <w:tcPr>
            <w:tcW w:w="6237" w:type="dxa"/>
          </w:tcPr>
          <w:p w14:paraId="5F389CAF" w14:textId="03B98A97" w:rsidR="00B95C30" w:rsidRPr="008D74EE" w:rsidRDefault="007A6D5B" w:rsidP="0038512F">
            <w:pPr>
              <w:pStyle w:val="Sinespaciado"/>
              <w:jc w:val="both"/>
              <w:rPr>
                <w:rFonts w:ascii="Arial" w:hAnsi="Arial" w:cs="Arial"/>
                <w:bCs/>
                <w:sz w:val="22"/>
                <w:lang w:val="es-ES_tradnl"/>
              </w:rPr>
            </w:pPr>
            <w:r w:rsidRPr="008D74EE">
              <w:rPr>
                <w:rFonts w:ascii="Arial" w:eastAsia="Calibri" w:hAnsi="Arial" w:cs="Arial"/>
                <w:sz w:val="22"/>
                <w:lang w:val="es-ES_tradnl"/>
              </w:rPr>
              <w:t>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vigente</w:t>
            </w:r>
            <w:r w:rsidR="00F42B8C" w:rsidRPr="008D74EE">
              <w:rPr>
                <w:rFonts w:ascii="Arial" w:eastAsia="Calibri" w:hAnsi="Arial" w:cs="Arial"/>
                <w:sz w:val="22"/>
                <w:lang w:val="es-ES_tradnl"/>
              </w:rPr>
              <w:t xml:space="preserve"> </w:t>
            </w:r>
            <w:r w:rsidR="009E7DE3" w:rsidRPr="008D74EE">
              <w:rPr>
                <w:rFonts w:ascii="Arial" w:eastAsia="Calibri" w:hAnsi="Arial" w:cs="Arial"/>
                <w:sz w:val="22"/>
                <w:lang w:val="es-ES_tradnl"/>
              </w:rPr>
              <w:t xml:space="preserve">/ RECURSOS PÚBLICOS – Ley 1150 de 2007 – Noción – Publicidad – Contratación con cargo a recursos públicos – EICE – Sociedades de economía mixta </w:t>
            </w:r>
            <w:r w:rsidR="00F42B8C" w:rsidRPr="008D74EE">
              <w:rPr>
                <w:rFonts w:ascii="Arial" w:eastAsia="Calibri" w:hAnsi="Arial" w:cs="Arial"/>
                <w:sz w:val="22"/>
                <w:lang w:val="es-ES_tradnl"/>
              </w:rPr>
              <w:t xml:space="preserve">      </w:t>
            </w:r>
          </w:p>
        </w:tc>
      </w:tr>
      <w:tr w:rsidR="009E7DE3" w:rsidRPr="008D74EE" w14:paraId="27CD52AB" w14:textId="77777777" w:rsidTr="003D3D44">
        <w:tc>
          <w:tcPr>
            <w:tcW w:w="2689" w:type="dxa"/>
          </w:tcPr>
          <w:p w14:paraId="37E195A1" w14:textId="4C368209" w:rsidR="00B95C30" w:rsidRPr="008D74EE" w:rsidRDefault="00B95C30" w:rsidP="003D3D44">
            <w:pPr>
              <w:spacing w:before="120"/>
              <w:jc w:val="both"/>
              <w:rPr>
                <w:rFonts w:ascii="Arial" w:eastAsia="Calibri" w:hAnsi="Arial" w:cs="Arial"/>
                <w:b/>
                <w:sz w:val="22"/>
                <w:lang w:val="es-ES_tradnl"/>
              </w:rPr>
            </w:pPr>
            <w:r w:rsidRPr="008D74EE">
              <w:rPr>
                <w:rFonts w:ascii="Arial" w:eastAsia="Calibri" w:hAnsi="Arial" w:cs="Arial"/>
                <w:b/>
                <w:sz w:val="22"/>
                <w:lang w:val="es-ES_tradnl"/>
              </w:rPr>
              <w:t>Radicación:</w:t>
            </w:r>
            <w:r w:rsidRPr="008D74EE">
              <w:rPr>
                <w:rFonts w:ascii="Arial" w:eastAsia="Calibri" w:hAnsi="Arial" w:cs="Arial"/>
                <w:sz w:val="22"/>
                <w:lang w:val="es-ES_tradnl"/>
              </w:rPr>
              <w:t xml:space="preserve">                              </w:t>
            </w:r>
          </w:p>
        </w:tc>
        <w:tc>
          <w:tcPr>
            <w:tcW w:w="6237" w:type="dxa"/>
          </w:tcPr>
          <w:p w14:paraId="09088B1B" w14:textId="4F3AC45E" w:rsidR="00B95C30" w:rsidRPr="008D74EE" w:rsidRDefault="00B95C30" w:rsidP="003D3D44">
            <w:pPr>
              <w:spacing w:before="120"/>
              <w:jc w:val="both"/>
              <w:rPr>
                <w:rFonts w:ascii="Arial" w:eastAsia="Calibri" w:hAnsi="Arial" w:cs="Arial"/>
                <w:sz w:val="22"/>
                <w:lang w:val="es-ES_tradnl"/>
              </w:rPr>
            </w:pPr>
            <w:r w:rsidRPr="008D74EE">
              <w:rPr>
                <w:rFonts w:ascii="Arial" w:eastAsia="Calibri" w:hAnsi="Arial" w:cs="Arial"/>
                <w:sz w:val="22"/>
                <w:lang w:val="es-ES_tradnl"/>
              </w:rPr>
              <w:t xml:space="preserve">Respuesta a consulta # </w:t>
            </w:r>
            <w:r w:rsidR="00F35404" w:rsidRPr="008D74EE">
              <w:rPr>
                <w:rFonts w:ascii="Arial" w:eastAsia="Calibri" w:hAnsi="Arial" w:cs="Arial"/>
                <w:sz w:val="22"/>
                <w:lang w:val="es-ES_tradnl"/>
              </w:rPr>
              <w:t>P20210315002116</w:t>
            </w:r>
          </w:p>
        </w:tc>
      </w:tr>
    </w:tbl>
    <w:p w14:paraId="799DAEAF" w14:textId="77777777" w:rsidR="002C2851" w:rsidRPr="008D74EE" w:rsidRDefault="002C2851" w:rsidP="003C3339">
      <w:pPr>
        <w:jc w:val="both"/>
        <w:rPr>
          <w:rFonts w:ascii="Arial" w:eastAsia="Calibri" w:hAnsi="Arial" w:cs="Arial"/>
          <w:sz w:val="22"/>
          <w:lang w:val="es-ES_tradnl"/>
        </w:rPr>
      </w:pPr>
    </w:p>
    <w:p w14:paraId="04042CF5" w14:textId="77777777" w:rsidR="002C2851" w:rsidRPr="008D74EE" w:rsidRDefault="002C2851" w:rsidP="003C3339">
      <w:pPr>
        <w:jc w:val="both"/>
        <w:rPr>
          <w:rFonts w:ascii="Arial" w:eastAsia="Calibri" w:hAnsi="Arial" w:cs="Arial"/>
          <w:sz w:val="22"/>
          <w:lang w:val="es-ES_tradnl"/>
        </w:rPr>
      </w:pPr>
    </w:p>
    <w:p w14:paraId="1CF4AEA0" w14:textId="3143759F" w:rsidR="003C3339" w:rsidRPr="008D74EE" w:rsidRDefault="003C3339" w:rsidP="003C3339">
      <w:pPr>
        <w:jc w:val="both"/>
        <w:rPr>
          <w:rFonts w:ascii="Arial" w:eastAsia="Calibri" w:hAnsi="Arial" w:cs="Arial"/>
          <w:sz w:val="22"/>
          <w:lang w:val="es-ES_tradnl"/>
        </w:rPr>
      </w:pPr>
      <w:r w:rsidRPr="008D74EE">
        <w:rPr>
          <w:rFonts w:ascii="Arial" w:eastAsia="Calibri" w:hAnsi="Arial" w:cs="Arial"/>
          <w:sz w:val="22"/>
          <w:lang w:val="es-ES_tradnl"/>
        </w:rPr>
        <w:t>Estimad</w:t>
      </w:r>
      <w:r w:rsidR="009E5A77" w:rsidRPr="008D74EE">
        <w:rPr>
          <w:rFonts w:ascii="Arial" w:eastAsia="Calibri" w:hAnsi="Arial" w:cs="Arial"/>
          <w:sz w:val="22"/>
          <w:lang w:val="es-ES_tradnl"/>
        </w:rPr>
        <w:t>o</w:t>
      </w:r>
      <w:r w:rsidRPr="008D74EE">
        <w:rPr>
          <w:rFonts w:ascii="Arial" w:eastAsia="Calibri" w:hAnsi="Arial" w:cs="Arial"/>
          <w:sz w:val="22"/>
          <w:lang w:val="es-ES_tradnl"/>
        </w:rPr>
        <w:t xml:space="preserve"> </w:t>
      </w:r>
      <w:r w:rsidR="00677E9C" w:rsidRPr="008D74EE">
        <w:rPr>
          <w:rFonts w:ascii="Arial" w:eastAsia="Calibri" w:hAnsi="Arial" w:cs="Arial"/>
          <w:sz w:val="22"/>
          <w:lang w:val="es-ES_tradnl"/>
        </w:rPr>
        <w:t xml:space="preserve">señor </w:t>
      </w:r>
      <w:r w:rsidR="00F35404" w:rsidRPr="008D74EE">
        <w:rPr>
          <w:rFonts w:ascii="Arial" w:eastAsia="Calibri" w:hAnsi="Arial" w:cs="Arial"/>
          <w:sz w:val="22"/>
          <w:lang w:val="es-ES_tradnl"/>
        </w:rPr>
        <w:t>Badel</w:t>
      </w:r>
      <w:r w:rsidRPr="008D74EE">
        <w:rPr>
          <w:rFonts w:ascii="Arial" w:eastAsia="Calibri" w:hAnsi="Arial" w:cs="Arial"/>
          <w:sz w:val="22"/>
          <w:lang w:val="es-ES_tradnl"/>
        </w:rPr>
        <w:t>:</w:t>
      </w:r>
    </w:p>
    <w:p w14:paraId="1EAE5543" w14:textId="77777777" w:rsidR="00DD5B04" w:rsidRPr="008D74EE" w:rsidRDefault="00DD5B04" w:rsidP="00DF76A2">
      <w:pPr>
        <w:jc w:val="both"/>
        <w:rPr>
          <w:rFonts w:ascii="Arial" w:eastAsia="Calibri" w:hAnsi="Arial" w:cs="Arial"/>
          <w:sz w:val="22"/>
          <w:lang w:val="es-ES_tradnl"/>
        </w:rPr>
      </w:pPr>
    </w:p>
    <w:p w14:paraId="2109B2D3" w14:textId="521875D4" w:rsidR="00DD5B04" w:rsidRPr="008D74EE" w:rsidRDefault="00DD5B04" w:rsidP="00DF76A2">
      <w:pPr>
        <w:spacing w:line="276" w:lineRule="auto"/>
        <w:jc w:val="both"/>
        <w:rPr>
          <w:rFonts w:ascii="Arial" w:eastAsia="Calibri" w:hAnsi="Arial" w:cs="Arial"/>
          <w:sz w:val="22"/>
          <w:lang w:val="es-ES_tradnl"/>
        </w:rPr>
      </w:pPr>
      <w:r w:rsidRPr="008D74EE">
        <w:rPr>
          <w:rFonts w:ascii="Arial" w:eastAsia="Calibri" w:hAnsi="Arial" w:cs="Arial"/>
          <w:sz w:val="22"/>
          <w:lang w:val="es-ES_tradnl"/>
        </w:rPr>
        <w:t>En ejercicio de la competencia otorgada por el numeral 8 del artículo 11 y el numeral 5 del artículo 3 del Decreto Ley 4170 de 2011,</w:t>
      </w:r>
      <w:r w:rsidR="006A0F2B" w:rsidRPr="008D74EE">
        <w:rPr>
          <w:rFonts w:ascii="Arial" w:eastAsia="Calibri" w:hAnsi="Arial" w:cs="Arial"/>
          <w:sz w:val="22"/>
          <w:lang w:val="es-ES_tradnl"/>
        </w:rPr>
        <w:t xml:space="preserve"> </w:t>
      </w:r>
      <w:r w:rsidRPr="008D74EE">
        <w:rPr>
          <w:rFonts w:ascii="Arial" w:eastAsia="Calibri" w:hAnsi="Arial" w:cs="Arial"/>
          <w:sz w:val="22"/>
          <w:lang w:val="es-ES_tradnl"/>
        </w:rPr>
        <w:t>la Agencia Nacional de Contratación Pública ― Colombia Compra Eficiente</w:t>
      </w:r>
      <w:r w:rsidR="008C3C57" w:rsidRPr="008D74EE">
        <w:rPr>
          <w:rFonts w:ascii="Arial" w:eastAsia="Calibri" w:hAnsi="Arial" w:cs="Arial"/>
          <w:sz w:val="22"/>
          <w:lang w:val="es-ES_tradnl"/>
        </w:rPr>
        <w:t xml:space="preserve"> </w:t>
      </w:r>
      <w:r w:rsidRPr="008D74EE">
        <w:rPr>
          <w:rFonts w:ascii="Arial" w:eastAsia="Calibri" w:hAnsi="Arial" w:cs="Arial"/>
          <w:sz w:val="22"/>
          <w:lang w:val="es-ES_tradnl"/>
        </w:rPr>
        <w:t xml:space="preserve">responde su consulta del </w:t>
      </w:r>
      <w:r w:rsidR="00C705FC" w:rsidRPr="008D74EE">
        <w:rPr>
          <w:rFonts w:ascii="Arial" w:eastAsia="Calibri" w:hAnsi="Arial" w:cs="Arial"/>
          <w:sz w:val="22"/>
          <w:lang w:val="es-ES_tradnl"/>
        </w:rPr>
        <w:t>15</w:t>
      </w:r>
      <w:r w:rsidR="00FD4AF3" w:rsidRPr="008D74EE">
        <w:rPr>
          <w:rFonts w:ascii="Arial" w:eastAsia="Calibri" w:hAnsi="Arial" w:cs="Arial"/>
          <w:sz w:val="22"/>
          <w:lang w:val="es-ES_tradnl"/>
        </w:rPr>
        <w:t xml:space="preserve"> de </w:t>
      </w:r>
      <w:r w:rsidR="00367A7A" w:rsidRPr="008D74EE">
        <w:rPr>
          <w:rFonts w:ascii="Arial" w:eastAsia="Calibri" w:hAnsi="Arial" w:cs="Arial"/>
          <w:sz w:val="22"/>
          <w:lang w:val="es-ES_tradnl"/>
        </w:rPr>
        <w:t>marzo</w:t>
      </w:r>
      <w:r w:rsidRPr="008D74EE">
        <w:rPr>
          <w:rFonts w:ascii="Arial" w:eastAsia="Calibri" w:hAnsi="Arial" w:cs="Arial"/>
          <w:sz w:val="22"/>
          <w:lang w:val="es-ES_tradnl"/>
        </w:rPr>
        <w:t xml:space="preserve"> del</w:t>
      </w:r>
      <w:r w:rsidR="007E74BF" w:rsidRPr="008D74EE">
        <w:rPr>
          <w:rFonts w:ascii="Arial" w:eastAsia="Calibri" w:hAnsi="Arial" w:cs="Arial"/>
          <w:sz w:val="22"/>
          <w:lang w:val="es-ES_tradnl"/>
        </w:rPr>
        <w:t xml:space="preserve"> </w:t>
      </w:r>
      <w:r w:rsidRPr="008D74EE">
        <w:rPr>
          <w:rFonts w:ascii="Arial" w:eastAsia="Calibri" w:hAnsi="Arial" w:cs="Arial"/>
          <w:sz w:val="22"/>
          <w:lang w:val="es-ES_tradnl"/>
        </w:rPr>
        <w:t>202</w:t>
      </w:r>
      <w:r w:rsidR="004673A8" w:rsidRPr="008D74EE">
        <w:rPr>
          <w:rFonts w:ascii="Arial" w:eastAsia="Calibri" w:hAnsi="Arial" w:cs="Arial"/>
          <w:sz w:val="22"/>
          <w:lang w:val="es-ES_tradnl"/>
        </w:rPr>
        <w:t>1</w:t>
      </w:r>
      <w:r w:rsidR="008C3C57" w:rsidRPr="008D74EE">
        <w:rPr>
          <w:rFonts w:ascii="Arial" w:eastAsia="Calibri" w:hAnsi="Arial" w:cs="Arial"/>
          <w:sz w:val="22"/>
          <w:lang w:val="es-ES_tradnl"/>
        </w:rPr>
        <w:t>.</w:t>
      </w:r>
    </w:p>
    <w:p w14:paraId="0C1E0712" w14:textId="77777777" w:rsidR="00DD5B04" w:rsidRPr="008D74EE" w:rsidRDefault="00DD5B04" w:rsidP="00DF76A2">
      <w:pPr>
        <w:spacing w:line="276" w:lineRule="auto"/>
        <w:jc w:val="both"/>
        <w:rPr>
          <w:rFonts w:ascii="Arial" w:eastAsia="Calibri" w:hAnsi="Arial" w:cs="Arial"/>
          <w:b/>
          <w:sz w:val="22"/>
          <w:lang w:val="es-ES_tradnl"/>
        </w:rPr>
      </w:pPr>
    </w:p>
    <w:p w14:paraId="7701FCC7" w14:textId="77777777" w:rsidR="00DD5B04" w:rsidRPr="008D74E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8D74EE">
        <w:rPr>
          <w:rFonts w:ascii="Arial" w:eastAsia="Calibri" w:hAnsi="Arial" w:cs="Arial"/>
          <w:b/>
          <w:sz w:val="22"/>
          <w:lang w:val="es-ES_tradnl"/>
        </w:rPr>
        <w:t xml:space="preserve">Problema planteado </w:t>
      </w:r>
    </w:p>
    <w:p w14:paraId="224B43D3" w14:textId="77777777" w:rsidR="00DD5B04" w:rsidRPr="008D74EE" w:rsidRDefault="00DD5B04" w:rsidP="00DF76A2">
      <w:pPr>
        <w:tabs>
          <w:tab w:val="left" w:pos="426"/>
        </w:tabs>
        <w:spacing w:line="276" w:lineRule="auto"/>
        <w:jc w:val="both"/>
        <w:rPr>
          <w:rFonts w:ascii="Arial" w:eastAsia="Calibri" w:hAnsi="Arial" w:cs="Arial"/>
          <w:b/>
          <w:sz w:val="22"/>
          <w:lang w:val="es-ES_tradnl"/>
        </w:rPr>
      </w:pPr>
    </w:p>
    <w:p w14:paraId="3C575DE9" w14:textId="47661B2D" w:rsidR="00443B55" w:rsidRPr="008D74EE" w:rsidRDefault="00DD5B04" w:rsidP="0099583D">
      <w:pPr>
        <w:spacing w:line="276" w:lineRule="auto"/>
        <w:jc w:val="both"/>
        <w:rPr>
          <w:rFonts w:ascii="Arial" w:hAnsi="Arial" w:cs="Arial"/>
          <w:sz w:val="22"/>
          <w:lang w:val="es-ES_tradnl"/>
        </w:rPr>
      </w:pPr>
      <w:r w:rsidRPr="008D74EE">
        <w:rPr>
          <w:rFonts w:ascii="Arial" w:hAnsi="Arial" w:cs="Arial"/>
          <w:sz w:val="22"/>
          <w:lang w:val="es-ES_tradnl"/>
        </w:rPr>
        <w:t xml:space="preserve">Usted </w:t>
      </w:r>
      <w:r w:rsidR="00B422C0" w:rsidRPr="008D74EE">
        <w:rPr>
          <w:rFonts w:ascii="Arial" w:hAnsi="Arial" w:cs="Arial"/>
          <w:sz w:val="22"/>
          <w:lang w:val="es-ES_tradnl"/>
        </w:rPr>
        <w:t>formula</w:t>
      </w:r>
      <w:r w:rsidR="006D46A3" w:rsidRPr="008D74EE">
        <w:rPr>
          <w:rFonts w:ascii="Arial" w:hAnsi="Arial" w:cs="Arial"/>
          <w:sz w:val="22"/>
          <w:lang w:val="es-ES_tradnl"/>
        </w:rPr>
        <w:t xml:space="preserve"> la siguiente </w:t>
      </w:r>
      <w:r w:rsidR="00B46915" w:rsidRPr="008D74EE">
        <w:rPr>
          <w:rFonts w:ascii="Arial" w:hAnsi="Arial" w:cs="Arial"/>
          <w:sz w:val="22"/>
          <w:lang w:val="es-ES_tradnl"/>
        </w:rPr>
        <w:t>consulta</w:t>
      </w:r>
      <w:r w:rsidR="000314BD" w:rsidRPr="008D74EE">
        <w:rPr>
          <w:rFonts w:ascii="Arial" w:hAnsi="Arial" w:cs="Arial"/>
          <w:sz w:val="22"/>
          <w:lang w:val="es-ES_tradnl"/>
        </w:rPr>
        <w:t>:</w:t>
      </w:r>
      <w:r w:rsidR="007E18DF" w:rsidRPr="008D74EE">
        <w:rPr>
          <w:rFonts w:ascii="Arial" w:hAnsi="Arial" w:cs="Arial"/>
          <w:sz w:val="22"/>
          <w:lang w:val="es-ES_tradnl"/>
        </w:rPr>
        <w:t xml:space="preserve"> </w:t>
      </w:r>
    </w:p>
    <w:p w14:paraId="559EE20C" w14:textId="77777777" w:rsidR="00443B55" w:rsidRPr="008D74EE" w:rsidRDefault="00443B55" w:rsidP="0099583D">
      <w:pPr>
        <w:spacing w:line="276" w:lineRule="auto"/>
        <w:jc w:val="both"/>
        <w:rPr>
          <w:rFonts w:ascii="Arial" w:hAnsi="Arial" w:cs="Arial"/>
          <w:sz w:val="22"/>
          <w:lang w:val="es-ES_tradnl"/>
        </w:rPr>
      </w:pPr>
    </w:p>
    <w:p w14:paraId="39F5B986" w14:textId="0C17CC31" w:rsidR="00C705FC" w:rsidRPr="008D74EE" w:rsidRDefault="00463B45" w:rsidP="00C705FC">
      <w:pPr>
        <w:autoSpaceDE w:val="0"/>
        <w:autoSpaceDN w:val="0"/>
        <w:adjustRightInd w:val="0"/>
        <w:ind w:left="709" w:right="709"/>
        <w:jc w:val="both"/>
        <w:rPr>
          <w:rFonts w:ascii="Arial" w:eastAsiaTheme="minorHAnsi" w:hAnsi="Arial" w:cs="Arial"/>
          <w:sz w:val="21"/>
          <w:szCs w:val="21"/>
          <w:lang w:eastAsia="en-US"/>
        </w:rPr>
      </w:pPr>
      <w:r w:rsidRPr="008D74EE">
        <w:rPr>
          <w:rFonts w:ascii="Arial" w:hAnsi="Arial" w:cs="Arial"/>
          <w:sz w:val="21"/>
          <w:szCs w:val="21"/>
          <w:lang w:val="es-ES_tradnl"/>
        </w:rPr>
        <w:t>«</w:t>
      </w:r>
      <w:r w:rsidR="00C705FC" w:rsidRPr="008D74EE">
        <w:rPr>
          <w:rFonts w:ascii="Arial" w:eastAsiaTheme="minorHAnsi" w:hAnsi="Arial" w:cs="Arial"/>
          <w:sz w:val="21"/>
          <w:szCs w:val="21"/>
          <w:lang w:eastAsia="en-US"/>
        </w:rPr>
        <w:t xml:space="preserve">2.1. ¿Se encuentra vigente y es de </w:t>
      </w:r>
      <w:r w:rsidR="000C37FB" w:rsidRPr="008D74EE">
        <w:rPr>
          <w:rFonts w:ascii="Arial" w:eastAsiaTheme="minorHAnsi" w:hAnsi="Arial" w:cs="Arial"/>
          <w:sz w:val="21"/>
          <w:szCs w:val="21"/>
          <w:lang w:eastAsia="en-US"/>
        </w:rPr>
        <w:t>obligatorio</w:t>
      </w:r>
      <w:r w:rsidR="00C705FC" w:rsidRPr="008D74EE">
        <w:rPr>
          <w:rFonts w:ascii="Arial" w:eastAsiaTheme="minorHAnsi" w:hAnsi="Arial" w:cs="Arial"/>
          <w:sz w:val="21"/>
          <w:szCs w:val="21"/>
          <w:lang w:eastAsia="en-US"/>
        </w:rPr>
        <w:t xml:space="preserve"> cumplimiento los lineamientos y directrices impartidos en la Circular Externa Única del 17 de julio de 2018 en torno a la publicidad de la actividad contractual de las sociedades de economía mixta-SEM y las Empresas Industriales y Comerciales del Estado-EIC?</w:t>
      </w:r>
    </w:p>
    <w:p w14:paraId="6D463178" w14:textId="77777777" w:rsidR="00C705FC" w:rsidRPr="008D74EE" w:rsidRDefault="00C705FC" w:rsidP="00C705FC">
      <w:pPr>
        <w:autoSpaceDE w:val="0"/>
        <w:autoSpaceDN w:val="0"/>
        <w:adjustRightInd w:val="0"/>
        <w:ind w:left="709" w:right="709"/>
        <w:jc w:val="both"/>
        <w:rPr>
          <w:rFonts w:ascii="Arial" w:eastAsiaTheme="minorHAnsi" w:hAnsi="Arial" w:cs="Arial"/>
          <w:sz w:val="21"/>
          <w:szCs w:val="21"/>
          <w:lang w:eastAsia="en-US"/>
        </w:rPr>
      </w:pPr>
    </w:p>
    <w:p w14:paraId="22DB2851" w14:textId="2988BDEF" w:rsidR="00C705FC" w:rsidRPr="008D74EE" w:rsidRDefault="00C705FC" w:rsidP="00C705FC">
      <w:pPr>
        <w:autoSpaceDE w:val="0"/>
        <w:autoSpaceDN w:val="0"/>
        <w:adjustRightInd w:val="0"/>
        <w:ind w:left="709" w:right="709"/>
        <w:jc w:val="both"/>
        <w:rPr>
          <w:rFonts w:ascii="Arial" w:eastAsiaTheme="minorHAnsi" w:hAnsi="Arial" w:cs="Arial"/>
          <w:sz w:val="21"/>
          <w:szCs w:val="21"/>
          <w:lang w:eastAsia="en-US"/>
        </w:rPr>
      </w:pPr>
      <w:r w:rsidRPr="008D74EE">
        <w:rPr>
          <w:rFonts w:ascii="Arial" w:eastAsiaTheme="minorHAnsi" w:hAnsi="Arial" w:cs="Arial"/>
          <w:sz w:val="21"/>
          <w:szCs w:val="21"/>
          <w:lang w:eastAsia="en-US"/>
        </w:rPr>
        <w:t>2.2. En caso afirmativo:</w:t>
      </w:r>
    </w:p>
    <w:p w14:paraId="7DEB364A" w14:textId="77777777" w:rsidR="00C705FC" w:rsidRPr="008D74EE" w:rsidRDefault="00C705FC" w:rsidP="00C705FC">
      <w:pPr>
        <w:autoSpaceDE w:val="0"/>
        <w:autoSpaceDN w:val="0"/>
        <w:adjustRightInd w:val="0"/>
        <w:ind w:left="709" w:right="709"/>
        <w:jc w:val="both"/>
        <w:rPr>
          <w:rFonts w:ascii="Arial" w:eastAsiaTheme="minorHAnsi" w:hAnsi="Arial" w:cs="Arial"/>
          <w:sz w:val="21"/>
          <w:szCs w:val="21"/>
          <w:lang w:eastAsia="en-US"/>
        </w:rPr>
      </w:pPr>
    </w:p>
    <w:p w14:paraId="13DCA8E6" w14:textId="3682E4C8" w:rsidR="00C705FC" w:rsidRPr="008D74EE" w:rsidRDefault="00C705FC" w:rsidP="00C705FC">
      <w:pPr>
        <w:autoSpaceDE w:val="0"/>
        <w:autoSpaceDN w:val="0"/>
        <w:adjustRightInd w:val="0"/>
        <w:ind w:left="709" w:right="709"/>
        <w:jc w:val="both"/>
        <w:rPr>
          <w:rFonts w:ascii="Arial" w:eastAsiaTheme="minorHAnsi" w:hAnsi="Arial" w:cs="Arial"/>
          <w:sz w:val="21"/>
          <w:szCs w:val="21"/>
          <w:lang w:eastAsia="en-US"/>
        </w:rPr>
      </w:pPr>
      <w:r w:rsidRPr="008D74EE">
        <w:rPr>
          <w:rFonts w:ascii="Arial" w:eastAsiaTheme="minorHAnsi" w:hAnsi="Arial" w:cs="Arial"/>
          <w:sz w:val="21"/>
          <w:szCs w:val="21"/>
          <w:lang w:eastAsia="en-US"/>
        </w:rPr>
        <w:t xml:space="preserve">2.2.1. ¿Cuáles son los documentos que deben publicar las cuales las sociedades de economía mixta –SEM-, y las empresas industriales y comerciales del Estado –EICE- que tengan participación accionaria igual o superior al 50%, cuando ejecutan recursos </w:t>
      </w:r>
      <w:proofErr w:type="gramStart"/>
      <w:r w:rsidRPr="008D74EE">
        <w:rPr>
          <w:rFonts w:ascii="Arial" w:eastAsiaTheme="minorHAnsi" w:hAnsi="Arial" w:cs="Arial"/>
          <w:sz w:val="21"/>
          <w:szCs w:val="21"/>
          <w:lang w:eastAsia="en-US"/>
        </w:rPr>
        <w:t>públicos?.</w:t>
      </w:r>
      <w:proofErr w:type="gramEnd"/>
    </w:p>
    <w:p w14:paraId="568F9376" w14:textId="77777777" w:rsidR="00C705FC" w:rsidRPr="008D74EE" w:rsidRDefault="00C705FC" w:rsidP="00C705FC">
      <w:pPr>
        <w:autoSpaceDE w:val="0"/>
        <w:autoSpaceDN w:val="0"/>
        <w:adjustRightInd w:val="0"/>
        <w:ind w:left="709" w:right="709"/>
        <w:jc w:val="both"/>
        <w:rPr>
          <w:rFonts w:ascii="Arial" w:eastAsiaTheme="minorHAnsi" w:hAnsi="Arial" w:cs="Arial"/>
          <w:sz w:val="21"/>
          <w:szCs w:val="21"/>
          <w:lang w:eastAsia="en-US"/>
        </w:rPr>
      </w:pPr>
    </w:p>
    <w:p w14:paraId="4B4AC621" w14:textId="3234AAC9" w:rsidR="00C705FC" w:rsidRPr="008D74EE" w:rsidRDefault="00C705FC" w:rsidP="00C705FC">
      <w:pPr>
        <w:autoSpaceDE w:val="0"/>
        <w:autoSpaceDN w:val="0"/>
        <w:adjustRightInd w:val="0"/>
        <w:ind w:left="709" w:right="709"/>
        <w:jc w:val="both"/>
        <w:rPr>
          <w:rFonts w:ascii="Arial" w:eastAsiaTheme="minorHAnsi" w:hAnsi="Arial" w:cs="Arial"/>
          <w:sz w:val="21"/>
          <w:szCs w:val="21"/>
          <w:lang w:eastAsia="en-US"/>
        </w:rPr>
      </w:pPr>
      <w:r w:rsidRPr="008D74EE">
        <w:rPr>
          <w:rFonts w:ascii="Arial" w:eastAsiaTheme="minorHAnsi" w:hAnsi="Arial" w:cs="Arial"/>
          <w:sz w:val="21"/>
          <w:szCs w:val="21"/>
          <w:lang w:eastAsia="en-US"/>
        </w:rPr>
        <w:t xml:space="preserve">2.2.2. ¿Cuáles son los documentos que deben publicar las cuales las sociedades de economía mixta –SEM-, y las empresas industriales y comerciales del Estado –EICE- que tengan participación accionaria igual o superior al 50%, cuando no ejecutan recursos </w:t>
      </w:r>
      <w:proofErr w:type="gramStart"/>
      <w:r w:rsidRPr="008D74EE">
        <w:rPr>
          <w:rFonts w:ascii="Arial" w:eastAsiaTheme="minorHAnsi" w:hAnsi="Arial" w:cs="Arial"/>
          <w:sz w:val="21"/>
          <w:szCs w:val="21"/>
          <w:lang w:eastAsia="en-US"/>
        </w:rPr>
        <w:t>públicos?.</w:t>
      </w:r>
      <w:proofErr w:type="gramEnd"/>
    </w:p>
    <w:p w14:paraId="52619A5C" w14:textId="77777777" w:rsidR="00C705FC" w:rsidRPr="008D74EE" w:rsidRDefault="00C705FC" w:rsidP="00C705FC">
      <w:pPr>
        <w:autoSpaceDE w:val="0"/>
        <w:autoSpaceDN w:val="0"/>
        <w:adjustRightInd w:val="0"/>
        <w:ind w:left="709" w:right="709"/>
        <w:jc w:val="both"/>
        <w:rPr>
          <w:rFonts w:ascii="Arial" w:eastAsiaTheme="minorHAnsi" w:hAnsi="Arial" w:cs="Arial"/>
          <w:sz w:val="21"/>
          <w:szCs w:val="21"/>
          <w:lang w:eastAsia="en-US"/>
        </w:rPr>
      </w:pPr>
    </w:p>
    <w:p w14:paraId="0846CB2B" w14:textId="0D4A5346" w:rsidR="00C705FC" w:rsidRPr="008D74EE" w:rsidRDefault="00C705FC" w:rsidP="00C705FC">
      <w:pPr>
        <w:autoSpaceDE w:val="0"/>
        <w:autoSpaceDN w:val="0"/>
        <w:adjustRightInd w:val="0"/>
        <w:ind w:left="709" w:right="709"/>
        <w:jc w:val="both"/>
        <w:rPr>
          <w:rFonts w:ascii="Arial" w:eastAsiaTheme="minorHAnsi" w:hAnsi="Arial" w:cs="Arial"/>
          <w:sz w:val="21"/>
          <w:szCs w:val="21"/>
          <w:lang w:eastAsia="en-US"/>
        </w:rPr>
      </w:pPr>
      <w:r w:rsidRPr="008D74EE">
        <w:rPr>
          <w:rFonts w:ascii="Arial" w:eastAsiaTheme="minorHAnsi" w:hAnsi="Arial" w:cs="Arial"/>
          <w:sz w:val="21"/>
          <w:szCs w:val="21"/>
          <w:lang w:eastAsia="en-US"/>
        </w:rPr>
        <w:t xml:space="preserve">2.3. En consideración a que </w:t>
      </w:r>
      <w:proofErr w:type="gramStart"/>
      <w:r w:rsidRPr="008D74EE">
        <w:rPr>
          <w:rFonts w:ascii="Arial" w:eastAsiaTheme="minorHAnsi" w:hAnsi="Arial" w:cs="Arial"/>
          <w:sz w:val="21"/>
          <w:szCs w:val="21"/>
          <w:lang w:eastAsia="en-US"/>
        </w:rPr>
        <w:t>las directrices impartidas en la Circular Externa Única del 17 de julio de 2018 hace</w:t>
      </w:r>
      <w:proofErr w:type="gramEnd"/>
      <w:r w:rsidRPr="008D74EE">
        <w:rPr>
          <w:rFonts w:ascii="Arial" w:eastAsiaTheme="minorHAnsi" w:hAnsi="Arial" w:cs="Arial"/>
          <w:sz w:val="21"/>
          <w:szCs w:val="21"/>
          <w:lang w:eastAsia="en-US"/>
        </w:rPr>
        <w:t xml:space="preserve"> una clara diferenciación en torno a la publicidad en el SECOP si las sociedades de economía mixta-SEM SEM o las Empresas Industriales y Comerciales del Estado-EIC contratan con o sin recursos públicos ¿Qué se debe entender por recursos públicos? […]».</w:t>
      </w:r>
    </w:p>
    <w:p w14:paraId="6DF81CDF" w14:textId="77777777" w:rsidR="00AC1957" w:rsidRPr="008D74EE" w:rsidRDefault="00AC1957" w:rsidP="005A5F0E">
      <w:pPr>
        <w:ind w:left="709" w:right="709"/>
        <w:jc w:val="both"/>
        <w:rPr>
          <w:rFonts w:ascii="Arial" w:hAnsi="Arial" w:cs="Arial"/>
          <w:sz w:val="22"/>
          <w:lang w:val="es-ES_tradnl"/>
        </w:rPr>
      </w:pPr>
    </w:p>
    <w:p w14:paraId="124D2DCA" w14:textId="77777777" w:rsidR="00DD5B04" w:rsidRPr="008D74E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8D74EE">
        <w:rPr>
          <w:rFonts w:ascii="Arial" w:eastAsia="Calibri" w:hAnsi="Arial" w:cs="Arial"/>
          <w:b/>
          <w:sz w:val="22"/>
          <w:lang w:val="es-ES_tradnl"/>
        </w:rPr>
        <w:t>Consideraciones</w:t>
      </w:r>
    </w:p>
    <w:p w14:paraId="7D050D2E" w14:textId="4381E36A" w:rsidR="00435703" w:rsidRPr="008D74EE" w:rsidRDefault="00435703" w:rsidP="00DF76A2">
      <w:pPr>
        <w:spacing w:line="276" w:lineRule="auto"/>
        <w:jc w:val="both"/>
        <w:rPr>
          <w:rFonts w:ascii="Arial" w:eastAsia="Calibri" w:hAnsi="Arial" w:cs="Arial"/>
          <w:sz w:val="22"/>
          <w:szCs w:val="22"/>
          <w:lang w:val="es-ES_tradnl"/>
        </w:rPr>
      </w:pPr>
    </w:p>
    <w:p w14:paraId="79BDCA12" w14:textId="229EE98F" w:rsidR="00494C65" w:rsidRPr="008D74EE" w:rsidRDefault="00122161" w:rsidP="004D1C27">
      <w:pPr>
        <w:spacing w:line="276" w:lineRule="auto"/>
        <w:jc w:val="both"/>
        <w:rPr>
          <w:rFonts w:ascii="Arial" w:eastAsia="Calibri" w:hAnsi="Arial" w:cs="Arial"/>
          <w:sz w:val="22"/>
          <w:lang w:val="es-ES_tradnl"/>
        </w:rPr>
      </w:pPr>
      <w:r w:rsidRPr="008D74EE">
        <w:rPr>
          <w:rFonts w:ascii="Arial" w:eastAsia="Calibri" w:hAnsi="Arial" w:cs="Arial"/>
          <w:bCs/>
          <w:sz w:val="22"/>
          <w:lang w:val="es-ES_tradnl"/>
        </w:rPr>
        <w:t>Para responder la consulta</w:t>
      </w:r>
      <w:r w:rsidR="00DF5A69" w:rsidRPr="008D74EE">
        <w:rPr>
          <w:rFonts w:ascii="Arial" w:eastAsia="Calibri" w:hAnsi="Arial" w:cs="Arial"/>
          <w:bCs/>
          <w:sz w:val="22"/>
          <w:lang w:val="es-ES_tradnl"/>
        </w:rPr>
        <w:t xml:space="preserve"> </w:t>
      </w:r>
      <w:r w:rsidRPr="008D74EE">
        <w:rPr>
          <w:rFonts w:ascii="Arial" w:eastAsia="Calibri" w:hAnsi="Arial" w:cs="Arial"/>
          <w:bCs/>
          <w:sz w:val="22"/>
          <w:lang w:val="es-ES_tradnl"/>
        </w:rPr>
        <w:t>se analizará</w:t>
      </w:r>
      <w:r w:rsidR="004A3CF6" w:rsidRPr="008D74EE">
        <w:rPr>
          <w:rFonts w:ascii="Arial" w:eastAsia="Calibri" w:hAnsi="Arial" w:cs="Arial"/>
          <w:bCs/>
          <w:sz w:val="22"/>
          <w:lang w:val="es-ES_tradnl"/>
        </w:rPr>
        <w:t>n los siguientes temas</w:t>
      </w:r>
      <w:r w:rsidR="00FD5C35" w:rsidRPr="008D74EE">
        <w:rPr>
          <w:rFonts w:ascii="Arial" w:eastAsia="Calibri" w:hAnsi="Arial" w:cs="Arial"/>
          <w:bCs/>
          <w:sz w:val="22"/>
          <w:lang w:val="es-ES_tradnl"/>
        </w:rPr>
        <w:t xml:space="preserve">: i) fundamento axiológico de la publicidad de la información oficial de la contratación estatal en el Sistema Electrónico </w:t>
      </w:r>
      <w:r w:rsidR="007A6D5B" w:rsidRPr="008D74EE">
        <w:rPr>
          <w:rFonts w:ascii="Arial" w:eastAsia="Calibri" w:hAnsi="Arial" w:cs="Arial"/>
          <w:bCs/>
          <w:sz w:val="22"/>
          <w:lang w:val="es-ES_tradnl"/>
        </w:rPr>
        <w:t xml:space="preserve">para la </w:t>
      </w:r>
      <w:r w:rsidR="00FD5C35" w:rsidRPr="008D74EE">
        <w:rPr>
          <w:rFonts w:ascii="Arial" w:eastAsia="Calibri" w:hAnsi="Arial" w:cs="Arial"/>
          <w:bCs/>
          <w:sz w:val="22"/>
          <w:lang w:val="es-ES_tradnl"/>
        </w:rPr>
        <w:t>Contratación Pública –SECOP–</w:t>
      </w:r>
      <w:r w:rsidR="00FA6D7A" w:rsidRPr="008D74EE">
        <w:rPr>
          <w:rFonts w:ascii="Arial" w:eastAsia="Calibri" w:hAnsi="Arial" w:cs="Arial"/>
          <w:bCs/>
          <w:sz w:val="22"/>
          <w:lang w:val="es-ES_tradnl"/>
        </w:rPr>
        <w:t>, ii) efectos del auto del Consejo de Estado del 25 de febrero de 2021 sobre la publicación en el SECOP por parte de las entidades estatales con régimen especial de contratación</w:t>
      </w:r>
      <w:r w:rsidR="00217A3C" w:rsidRPr="008D74EE">
        <w:rPr>
          <w:rFonts w:ascii="Arial" w:eastAsia="Calibri" w:hAnsi="Arial" w:cs="Arial"/>
          <w:bCs/>
          <w:sz w:val="22"/>
          <w:lang w:val="es-ES_tradnl"/>
        </w:rPr>
        <w:t>;</w:t>
      </w:r>
      <w:r w:rsidR="00FA6D7A" w:rsidRPr="008D74EE">
        <w:rPr>
          <w:rFonts w:ascii="Arial" w:eastAsia="Calibri" w:hAnsi="Arial" w:cs="Arial"/>
          <w:bCs/>
          <w:sz w:val="22"/>
          <w:lang w:val="es-ES_tradnl"/>
        </w:rPr>
        <w:t xml:space="preserve"> iii) documentos que deben publicar en el SECOP las entidades estatales </w:t>
      </w:r>
      <w:r w:rsidR="005D7FCC" w:rsidRPr="008D74EE">
        <w:rPr>
          <w:rFonts w:ascii="Arial" w:eastAsia="Calibri" w:hAnsi="Arial" w:cs="Arial"/>
          <w:bCs/>
          <w:sz w:val="22"/>
          <w:lang w:val="es-ES_tradnl"/>
        </w:rPr>
        <w:t>que</w:t>
      </w:r>
      <w:r w:rsidR="000601EE" w:rsidRPr="008D74EE">
        <w:rPr>
          <w:rFonts w:ascii="Arial" w:eastAsia="Calibri" w:hAnsi="Arial" w:cs="Arial"/>
          <w:bCs/>
          <w:sz w:val="22"/>
          <w:lang w:val="es-ES_tradnl"/>
        </w:rPr>
        <w:t>, por regla general,</w:t>
      </w:r>
      <w:r w:rsidR="005D7FCC" w:rsidRPr="008D74EE">
        <w:rPr>
          <w:rFonts w:ascii="Arial" w:eastAsia="Calibri" w:hAnsi="Arial" w:cs="Arial"/>
          <w:bCs/>
          <w:sz w:val="22"/>
          <w:lang w:val="es-ES_tradnl"/>
        </w:rPr>
        <w:t xml:space="preserve"> </w:t>
      </w:r>
      <w:r w:rsidR="000601EE" w:rsidRPr="008D74EE">
        <w:rPr>
          <w:rFonts w:ascii="Arial" w:eastAsia="Calibri" w:hAnsi="Arial" w:cs="Arial"/>
          <w:bCs/>
          <w:sz w:val="22"/>
          <w:lang w:val="es-ES_tradnl"/>
        </w:rPr>
        <w:t>se rigen por el derecho privado en su actividad contractual</w:t>
      </w:r>
      <w:r w:rsidR="00217A3C" w:rsidRPr="008D74EE">
        <w:rPr>
          <w:rFonts w:ascii="Arial" w:eastAsia="Calibri" w:hAnsi="Arial" w:cs="Arial"/>
          <w:bCs/>
          <w:sz w:val="22"/>
          <w:lang w:val="es-ES_tradnl"/>
        </w:rPr>
        <w:t>; y iv) la noción de recursos públicos en la Ley 1150 de 2007.</w:t>
      </w:r>
    </w:p>
    <w:p w14:paraId="2E5274D0" w14:textId="4351D210" w:rsidR="00122161" w:rsidRPr="008D74EE" w:rsidRDefault="00122161" w:rsidP="00494C65">
      <w:pPr>
        <w:spacing w:before="120" w:line="276" w:lineRule="auto"/>
        <w:ind w:firstLine="709"/>
        <w:jc w:val="both"/>
        <w:rPr>
          <w:rFonts w:ascii="Arial" w:eastAsia="Calibri" w:hAnsi="Arial" w:cs="Arial"/>
          <w:bCs/>
          <w:sz w:val="22"/>
          <w:lang w:val="es-ES_tradnl"/>
        </w:rPr>
      </w:pPr>
      <w:r w:rsidRPr="008D74EE">
        <w:rPr>
          <w:rFonts w:ascii="Arial" w:eastAsia="Calibri" w:hAnsi="Arial" w:cs="Arial"/>
          <w:bCs/>
          <w:sz w:val="22"/>
          <w:lang w:val="es-ES_tradnl"/>
        </w:rPr>
        <w:t xml:space="preserve">La Agencia Nacional de Contratación Pública </w:t>
      </w:r>
      <w:r w:rsidR="00D30FCE" w:rsidRPr="008D74EE">
        <w:rPr>
          <w:rFonts w:ascii="Arial" w:eastAsia="Calibri" w:hAnsi="Arial" w:cs="Arial"/>
          <w:bCs/>
          <w:sz w:val="22"/>
          <w:lang w:val="es-ES_tradnl"/>
        </w:rPr>
        <w:t xml:space="preserve">– </w:t>
      </w:r>
      <w:r w:rsidRPr="008D74EE">
        <w:rPr>
          <w:rFonts w:ascii="Arial" w:eastAsia="Calibri" w:hAnsi="Arial" w:cs="Arial"/>
          <w:bCs/>
          <w:sz w:val="22"/>
          <w:lang w:val="es-ES_tradnl"/>
        </w:rPr>
        <w:t>Colombia Compra Eficiente</w:t>
      </w:r>
      <w:r w:rsidR="00CF625F" w:rsidRPr="008D74EE">
        <w:rPr>
          <w:rFonts w:ascii="Arial" w:eastAsia="Calibri" w:hAnsi="Arial" w:cs="Arial"/>
          <w:bCs/>
          <w:sz w:val="22"/>
          <w:lang w:val="es-ES_tradnl"/>
        </w:rPr>
        <w:t xml:space="preserve">, en el concepto CU-003 del 15 de enero de 2020, </w:t>
      </w:r>
      <w:r w:rsidR="00432A42" w:rsidRPr="008D74EE">
        <w:rPr>
          <w:rFonts w:ascii="Arial" w:eastAsia="Calibri" w:hAnsi="Arial" w:cs="Arial"/>
          <w:bCs/>
          <w:sz w:val="22"/>
          <w:lang w:val="es-ES_tradnl"/>
        </w:rPr>
        <w:t xml:space="preserve">unificó su doctrina sobre </w:t>
      </w:r>
      <w:r w:rsidR="00372FC3" w:rsidRPr="008D74EE">
        <w:rPr>
          <w:rFonts w:ascii="Arial" w:eastAsia="Calibri" w:hAnsi="Arial" w:cs="Arial"/>
          <w:bCs/>
          <w:sz w:val="22"/>
          <w:lang w:val="es-ES_tradnl"/>
        </w:rPr>
        <w:t xml:space="preserve">el deber de las entidades </w:t>
      </w:r>
      <w:r w:rsidR="00AB67A0" w:rsidRPr="008D74EE">
        <w:rPr>
          <w:rFonts w:ascii="Arial" w:eastAsia="Calibri" w:hAnsi="Arial" w:cs="Arial"/>
          <w:bCs/>
          <w:sz w:val="22"/>
          <w:lang w:val="es-ES_tradnl"/>
        </w:rPr>
        <w:t>exceptuadas del Estatuto General de Contratación de la Administración Pública –o con régimen especial– de publicar</w:t>
      </w:r>
      <w:r w:rsidR="00C04549" w:rsidRPr="008D74EE">
        <w:rPr>
          <w:rFonts w:ascii="Arial" w:eastAsia="Calibri" w:hAnsi="Arial" w:cs="Arial"/>
          <w:bCs/>
          <w:sz w:val="22"/>
          <w:lang w:val="es-ES_tradnl"/>
        </w:rPr>
        <w:t xml:space="preserve"> sus actuaciones contractuales en el SECOP</w:t>
      </w:r>
      <w:r w:rsidR="00A4771A" w:rsidRPr="008D74EE">
        <w:rPr>
          <w:rFonts w:ascii="Arial" w:eastAsia="Calibri" w:hAnsi="Arial" w:cs="Arial"/>
          <w:bCs/>
          <w:sz w:val="22"/>
          <w:lang w:val="es-ES_tradnl"/>
        </w:rPr>
        <w:t>.</w:t>
      </w:r>
      <w:r w:rsidR="00AB67A0" w:rsidRPr="008D74EE">
        <w:rPr>
          <w:rFonts w:ascii="Arial" w:eastAsia="Calibri" w:hAnsi="Arial" w:cs="Arial"/>
          <w:bCs/>
          <w:sz w:val="22"/>
          <w:lang w:val="es-ES_tradnl"/>
        </w:rPr>
        <w:t xml:space="preserve"> </w:t>
      </w:r>
      <w:r w:rsidR="0044785E" w:rsidRPr="008D74EE">
        <w:rPr>
          <w:rFonts w:ascii="Arial" w:eastAsia="Calibri" w:hAnsi="Arial" w:cs="Arial"/>
          <w:bCs/>
          <w:sz w:val="22"/>
          <w:lang w:val="es-ES_tradnl"/>
        </w:rPr>
        <w:t xml:space="preserve"> </w:t>
      </w:r>
      <w:r w:rsidR="00AC7862" w:rsidRPr="008D74EE">
        <w:rPr>
          <w:rFonts w:ascii="Arial" w:eastAsia="Calibri" w:hAnsi="Arial" w:cs="Arial"/>
          <w:bCs/>
          <w:sz w:val="22"/>
          <w:lang w:val="es-ES_tradnl"/>
        </w:rPr>
        <w:t xml:space="preserve">Este concepto se reiterará a continuación, porque, </w:t>
      </w:r>
      <w:r w:rsidR="00FE506E" w:rsidRPr="008D74EE">
        <w:rPr>
          <w:rFonts w:ascii="Arial" w:eastAsia="Calibri" w:hAnsi="Arial" w:cs="Arial"/>
          <w:bCs/>
          <w:sz w:val="22"/>
          <w:lang w:val="es-ES_tradnl"/>
        </w:rPr>
        <w:t>tal como se explic</w:t>
      </w:r>
      <w:r w:rsidR="007E7E88" w:rsidRPr="008D74EE">
        <w:rPr>
          <w:rFonts w:ascii="Arial" w:eastAsia="Calibri" w:hAnsi="Arial" w:cs="Arial"/>
          <w:bCs/>
          <w:sz w:val="22"/>
          <w:lang w:val="es-ES_tradnl"/>
        </w:rPr>
        <w:t xml:space="preserve">ó en los conceptos C-094 </w:t>
      </w:r>
      <w:r w:rsidR="007A798F" w:rsidRPr="008D74EE">
        <w:rPr>
          <w:rFonts w:ascii="Arial" w:eastAsia="Calibri" w:hAnsi="Arial" w:cs="Arial"/>
          <w:bCs/>
          <w:sz w:val="22"/>
          <w:lang w:val="es-ES_tradnl"/>
        </w:rPr>
        <w:t xml:space="preserve">y C-137 </w:t>
      </w:r>
      <w:r w:rsidR="007E7E88" w:rsidRPr="008D74EE">
        <w:rPr>
          <w:rFonts w:ascii="Arial" w:eastAsia="Calibri" w:hAnsi="Arial" w:cs="Arial"/>
          <w:bCs/>
          <w:sz w:val="22"/>
          <w:lang w:val="es-ES_tradnl"/>
        </w:rPr>
        <w:t>del 13 de abril de 2021</w:t>
      </w:r>
      <w:r w:rsidR="007A798F" w:rsidRPr="008D74EE">
        <w:rPr>
          <w:rFonts w:ascii="Arial" w:eastAsia="Calibri" w:hAnsi="Arial" w:cs="Arial"/>
          <w:bCs/>
          <w:sz w:val="22"/>
          <w:lang w:val="es-ES_tradnl"/>
        </w:rPr>
        <w:t>,</w:t>
      </w:r>
      <w:r w:rsidR="00AC7862" w:rsidRPr="008D74EE">
        <w:rPr>
          <w:rFonts w:ascii="Arial" w:eastAsia="Calibri" w:hAnsi="Arial" w:cs="Arial"/>
          <w:bCs/>
          <w:sz w:val="22"/>
          <w:lang w:val="es-ES_tradnl"/>
        </w:rPr>
        <w:t xml:space="preserve"> </w:t>
      </w:r>
      <w:r w:rsidR="00BA6BF1" w:rsidRPr="008D74EE">
        <w:rPr>
          <w:rFonts w:ascii="Arial" w:eastAsia="Calibri" w:hAnsi="Arial" w:cs="Arial"/>
          <w:bCs/>
          <w:sz w:val="22"/>
          <w:lang w:val="es-ES_tradnl"/>
        </w:rPr>
        <w:t xml:space="preserve">no es contrario al contenido del </w:t>
      </w:r>
      <w:r w:rsidR="00CF625F" w:rsidRPr="008D74EE">
        <w:rPr>
          <w:rFonts w:ascii="Arial" w:eastAsia="Calibri" w:hAnsi="Arial" w:cs="Arial"/>
          <w:bCs/>
          <w:sz w:val="22"/>
          <w:lang w:val="es-ES_tradnl"/>
        </w:rPr>
        <w:t>A</w:t>
      </w:r>
      <w:r w:rsidR="00BA6BF1" w:rsidRPr="008D74EE">
        <w:rPr>
          <w:rFonts w:ascii="Arial" w:eastAsia="Calibri" w:hAnsi="Arial" w:cs="Arial"/>
          <w:bCs/>
          <w:sz w:val="22"/>
          <w:lang w:val="es-ES_tradnl"/>
        </w:rPr>
        <w:t>uto del Consejo de Estado del 25 de febrero de 2021</w:t>
      </w:r>
      <w:r w:rsidR="00AB56F0" w:rsidRPr="008D74EE">
        <w:rPr>
          <w:rFonts w:ascii="Arial" w:eastAsia="Calibri" w:hAnsi="Arial" w:cs="Arial"/>
          <w:bCs/>
          <w:sz w:val="22"/>
          <w:lang w:val="es-ES_tradnl"/>
        </w:rPr>
        <w:t xml:space="preserve">. </w:t>
      </w:r>
    </w:p>
    <w:p w14:paraId="3347C0F4" w14:textId="7DA345A3" w:rsidR="00D24BBC" w:rsidRPr="008D74EE" w:rsidRDefault="00D24BBC" w:rsidP="00471305">
      <w:pPr>
        <w:spacing w:line="276" w:lineRule="auto"/>
        <w:jc w:val="both"/>
        <w:rPr>
          <w:rFonts w:ascii="Arial" w:hAnsi="Arial" w:cs="Arial"/>
          <w:b/>
          <w:bCs/>
          <w:sz w:val="22"/>
          <w:lang w:val="es-ES_tradnl"/>
        </w:rPr>
      </w:pPr>
    </w:p>
    <w:p w14:paraId="0B8D5217" w14:textId="77777777" w:rsidR="008617D8" w:rsidRPr="008D74EE" w:rsidRDefault="008617D8" w:rsidP="008617D8">
      <w:pPr>
        <w:tabs>
          <w:tab w:val="left" w:pos="426"/>
        </w:tabs>
        <w:spacing w:line="276" w:lineRule="auto"/>
        <w:jc w:val="both"/>
        <w:rPr>
          <w:rFonts w:ascii="Arial" w:eastAsia="Calibri" w:hAnsi="Arial" w:cs="Arial"/>
          <w:b/>
          <w:sz w:val="22"/>
          <w:lang w:val="es-ES_tradnl"/>
        </w:rPr>
      </w:pPr>
      <w:bookmarkStart w:id="3" w:name="_Hlk69128905"/>
      <w:r w:rsidRPr="008D74EE">
        <w:rPr>
          <w:rFonts w:ascii="Arial" w:eastAsia="Calibri" w:hAnsi="Arial" w:cs="Arial"/>
          <w:b/>
          <w:sz w:val="22"/>
          <w:lang w:val="es-ES_tradnl"/>
        </w:rPr>
        <w:t>2.1. Fundamento axiológico de la publicidad de la información oficial de la contratación estatal en el Sistema Electrónico para la Contratación Pública –SECOP–</w:t>
      </w:r>
    </w:p>
    <w:p w14:paraId="4792F740" w14:textId="77777777" w:rsidR="008617D8" w:rsidRPr="008D74EE" w:rsidRDefault="008617D8" w:rsidP="008617D8">
      <w:pPr>
        <w:pStyle w:val="Prrafodelista"/>
        <w:spacing w:line="276" w:lineRule="auto"/>
        <w:ind w:left="0" w:firstLine="709"/>
        <w:jc w:val="both"/>
        <w:rPr>
          <w:rFonts w:ascii="Arial" w:eastAsia="Calibri" w:hAnsi="Arial" w:cs="Arial"/>
          <w:b/>
          <w:sz w:val="22"/>
          <w:lang w:val="es-ES_tradnl"/>
        </w:rPr>
      </w:pPr>
    </w:p>
    <w:p w14:paraId="6C24233F" w14:textId="77777777" w:rsidR="008617D8" w:rsidRPr="008D74EE" w:rsidRDefault="008617D8" w:rsidP="008617D8">
      <w:pPr>
        <w:spacing w:line="276" w:lineRule="auto"/>
        <w:jc w:val="both"/>
        <w:rPr>
          <w:rFonts w:ascii="Arial" w:eastAsia="Calibri" w:hAnsi="Arial" w:cs="Arial"/>
          <w:sz w:val="22"/>
          <w:lang w:val="es-ES_tradnl"/>
        </w:rPr>
      </w:pPr>
      <w:r w:rsidRPr="008D74EE">
        <w:rPr>
          <w:rFonts w:ascii="Arial" w:eastAsia="Calibri" w:hAnsi="Arial" w:cs="Arial"/>
          <w:sz w:val="22"/>
          <w:lang w:val="es-ES_tradnl"/>
        </w:rPr>
        <w:t xml:space="preserve">Uno de los postulados más importantes de un Estado social y democrático de derecho es el principio de </w:t>
      </w:r>
      <w:r w:rsidRPr="008D74EE">
        <w:rPr>
          <w:rFonts w:ascii="Arial" w:eastAsia="Calibri" w:hAnsi="Arial" w:cs="Arial"/>
          <w:i/>
          <w:iCs/>
          <w:sz w:val="22"/>
          <w:lang w:val="es-ES_tradnl"/>
        </w:rPr>
        <w:t>publicidad</w:t>
      </w:r>
      <w:r w:rsidRPr="008D74EE">
        <w:rPr>
          <w:rFonts w:ascii="Arial" w:eastAsia="Calibri" w:hAnsi="Arial" w:cs="Arial"/>
          <w:sz w:val="22"/>
          <w:lang w:val="es-ES_tradnl"/>
        </w:rPr>
        <w:t xml:space="preserve">, pues este permite que las actuaciones de las autoridades gocen de visibilidad. En tal sentido, la filosofía política ha indicado que la democracia «[…] es idealmente el gobierno de un poder visible, es decir, el gobierno cuyos actos se realizan </w:t>
      </w:r>
      <w:r w:rsidRPr="008D74EE">
        <w:rPr>
          <w:rFonts w:ascii="Arial" w:eastAsia="Calibri" w:hAnsi="Arial" w:cs="Arial"/>
          <w:sz w:val="22"/>
          <w:lang w:val="es-ES_tradnl"/>
        </w:rPr>
        <w:lastRenderedPageBreak/>
        <w:t>ante el público y bajo la supervisión de la opinión pública»</w:t>
      </w:r>
      <w:r w:rsidRPr="008D74EE">
        <w:rPr>
          <w:rStyle w:val="Refdenotaalpie"/>
          <w:rFonts w:ascii="Arial" w:eastAsia="Calibri" w:hAnsi="Arial" w:cs="Arial"/>
          <w:sz w:val="22"/>
          <w:lang w:val="es-ES_tradnl"/>
        </w:rPr>
        <w:footnoteReference w:id="2"/>
      </w:r>
      <w:r w:rsidRPr="008D74EE">
        <w:rPr>
          <w:rFonts w:ascii="Arial" w:eastAsia="Calibri" w:hAnsi="Arial" w:cs="Arial"/>
          <w:sz w:val="22"/>
          <w:lang w:val="es-ES_tradnl"/>
        </w:rPr>
        <w:t>.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indica:</w:t>
      </w:r>
    </w:p>
    <w:p w14:paraId="41690F4A" w14:textId="77777777" w:rsidR="008617D8" w:rsidRPr="008D74EE" w:rsidRDefault="008617D8" w:rsidP="008617D8">
      <w:pPr>
        <w:ind w:firstLine="709"/>
        <w:jc w:val="both"/>
        <w:rPr>
          <w:rFonts w:ascii="Arial" w:eastAsia="Calibri" w:hAnsi="Arial" w:cs="Arial"/>
          <w:sz w:val="22"/>
          <w:lang w:val="es-ES_tradnl"/>
        </w:rPr>
      </w:pPr>
    </w:p>
    <w:p w14:paraId="767C56D5" w14:textId="77777777" w:rsidR="008617D8" w:rsidRPr="008D74EE" w:rsidRDefault="008617D8" w:rsidP="008617D8">
      <w:pPr>
        <w:tabs>
          <w:tab w:val="left" w:pos="3885"/>
        </w:tabs>
        <w:ind w:left="709" w:right="709"/>
        <w:jc w:val="both"/>
        <w:rPr>
          <w:rFonts w:ascii="Arial" w:hAnsi="Arial" w:cs="Arial"/>
          <w:sz w:val="21"/>
          <w:szCs w:val="21"/>
          <w:lang w:val="es-ES_tradnl"/>
        </w:rPr>
      </w:pPr>
      <w:r w:rsidRPr="008D74EE">
        <w:rPr>
          <w:rFonts w:ascii="Arial" w:hAnsi="Arial" w:cs="Arial"/>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B1C1820" w14:textId="77777777" w:rsidR="008617D8" w:rsidRPr="008D74EE" w:rsidRDefault="008617D8" w:rsidP="008617D8">
      <w:pPr>
        <w:tabs>
          <w:tab w:val="left" w:pos="3885"/>
        </w:tabs>
        <w:ind w:left="709" w:right="709"/>
        <w:jc w:val="both"/>
        <w:rPr>
          <w:rFonts w:ascii="Arial" w:hAnsi="Arial" w:cs="Arial"/>
          <w:sz w:val="21"/>
          <w:szCs w:val="21"/>
          <w:lang w:val="es-ES_tradnl"/>
        </w:rPr>
      </w:pPr>
    </w:p>
    <w:p w14:paraId="1FD64916" w14:textId="77777777" w:rsidR="008617D8" w:rsidRPr="008D74EE" w:rsidRDefault="008617D8" w:rsidP="008617D8">
      <w:pPr>
        <w:tabs>
          <w:tab w:val="left" w:pos="3885"/>
          <w:tab w:val="left" w:pos="8222"/>
        </w:tabs>
        <w:ind w:left="709" w:right="709"/>
        <w:jc w:val="both"/>
        <w:rPr>
          <w:rFonts w:ascii="Arial" w:hAnsi="Arial" w:cs="Arial"/>
          <w:sz w:val="22"/>
          <w:lang w:val="es-ES_tradnl"/>
        </w:rPr>
      </w:pPr>
      <w:r w:rsidRPr="008D74EE">
        <w:rPr>
          <w:rFonts w:ascii="Arial" w:hAnsi="Arial" w:cs="Arial"/>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8D74EE">
        <w:rPr>
          <w:rFonts w:ascii="Arial" w:hAnsi="Arial" w:cs="Arial"/>
          <w:sz w:val="21"/>
          <w:szCs w:val="21"/>
          <w:lang w:val="es-ES_tradnl"/>
        </w:rPr>
        <w:t>autoridades públicas</w:t>
      </w:r>
      <w:proofErr w:type="gramEnd"/>
      <w:r w:rsidRPr="008D74EE">
        <w:rPr>
          <w:rFonts w:ascii="Arial" w:hAnsi="Arial" w:cs="Arial"/>
          <w:sz w:val="21"/>
          <w:szCs w:val="21"/>
          <w:lang w:val="es-ES_tradnl"/>
        </w:rPr>
        <w:t xml:space="preserve"> y, a través de ese conocimiento, a exigir que ellas se surtan conforme a la ley</w:t>
      </w:r>
      <w:r w:rsidRPr="008D74EE">
        <w:rPr>
          <w:rStyle w:val="Refdenotaalpie"/>
          <w:rFonts w:ascii="Arial" w:eastAsia="Calibri" w:hAnsi="Arial" w:cs="Arial"/>
          <w:sz w:val="21"/>
          <w:szCs w:val="21"/>
          <w:lang w:val="es-ES_tradnl"/>
        </w:rPr>
        <w:footnoteReference w:id="3"/>
      </w:r>
      <w:r w:rsidRPr="008D74EE">
        <w:rPr>
          <w:rFonts w:ascii="Arial" w:eastAsia="Calibri" w:hAnsi="Arial" w:cs="Arial"/>
          <w:sz w:val="21"/>
          <w:szCs w:val="21"/>
          <w:lang w:val="es-ES_tradnl"/>
        </w:rPr>
        <w:t>.</w:t>
      </w:r>
    </w:p>
    <w:p w14:paraId="7ABE9313" w14:textId="77777777" w:rsidR="008617D8" w:rsidRPr="008D74EE" w:rsidRDefault="008617D8" w:rsidP="008617D8">
      <w:pPr>
        <w:spacing w:line="276" w:lineRule="auto"/>
        <w:ind w:right="709"/>
        <w:jc w:val="both"/>
        <w:rPr>
          <w:rFonts w:ascii="Arial" w:eastAsia="Calibri" w:hAnsi="Arial" w:cs="Arial"/>
          <w:sz w:val="22"/>
          <w:lang w:val="es-ES_tradnl"/>
        </w:rPr>
      </w:pPr>
    </w:p>
    <w:p w14:paraId="7C1D480B" w14:textId="77777777" w:rsidR="008617D8" w:rsidRPr="008D74EE" w:rsidRDefault="008617D8" w:rsidP="008617D8">
      <w:pPr>
        <w:spacing w:line="276" w:lineRule="auto"/>
        <w:ind w:firstLine="709"/>
        <w:jc w:val="both"/>
        <w:rPr>
          <w:rFonts w:ascii="Arial" w:eastAsia="Calibri" w:hAnsi="Arial" w:cs="Arial"/>
          <w:sz w:val="22"/>
          <w:lang w:val="es-ES_tradnl"/>
        </w:rPr>
      </w:pPr>
      <w:r w:rsidRPr="008D74EE">
        <w:rPr>
          <w:rFonts w:ascii="Arial" w:eastAsia="Calibri" w:hAnsi="Arial" w:cs="Arial"/>
          <w:sz w:val="22"/>
          <w:lang w:val="es-ES_tradnl"/>
        </w:rPr>
        <w:t xml:space="preserve">El principio de publicidad impone a las autoridades administrativas el deber de dar a conocer sus actos, contratos y decisiones, para que se divulguen y eventualmente se controlen dichas actuaciones. Es por eso </w:t>
      </w:r>
      <w:proofErr w:type="gramStart"/>
      <w:r w:rsidRPr="008D74EE">
        <w:rPr>
          <w:rFonts w:ascii="Arial" w:eastAsia="Calibri" w:hAnsi="Arial" w:cs="Arial"/>
          <w:sz w:val="22"/>
          <w:lang w:val="es-ES_tradnl"/>
        </w:rPr>
        <w:t>que</w:t>
      </w:r>
      <w:proofErr w:type="gramEnd"/>
      <w:r w:rsidRPr="008D74EE">
        <w:rPr>
          <w:rFonts w:ascii="Arial" w:eastAsia="Calibri" w:hAnsi="Arial" w:cs="Arial"/>
          <w:sz w:val="22"/>
          <w:lang w:val="es-ES_tradn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8D74EE">
        <w:rPr>
          <w:rStyle w:val="Refdenotaalpie"/>
          <w:rFonts w:ascii="Arial" w:eastAsia="Calibri" w:hAnsi="Arial" w:cs="Arial"/>
          <w:sz w:val="22"/>
          <w:lang w:val="es-ES_tradnl"/>
        </w:rPr>
        <w:footnoteReference w:id="4"/>
      </w:r>
      <w:r w:rsidRPr="008D74EE">
        <w:rPr>
          <w:rFonts w:ascii="Arial" w:eastAsia="Calibri" w:hAnsi="Arial" w:cs="Arial"/>
          <w:sz w:val="22"/>
          <w:lang w:val="es-ES_tradnl"/>
        </w:rPr>
        <w:t xml:space="preserve">. </w:t>
      </w:r>
    </w:p>
    <w:p w14:paraId="0A61CFDA" w14:textId="77777777" w:rsidR="008617D8" w:rsidRPr="008D74EE" w:rsidRDefault="008617D8" w:rsidP="008617D8">
      <w:pPr>
        <w:spacing w:before="120" w:line="276" w:lineRule="auto"/>
        <w:ind w:firstLine="709"/>
        <w:jc w:val="both"/>
        <w:rPr>
          <w:rFonts w:ascii="Arial" w:eastAsia="Calibri" w:hAnsi="Arial" w:cs="Arial"/>
          <w:sz w:val="22"/>
          <w:lang w:val="es-ES_tradnl"/>
        </w:rPr>
      </w:pPr>
      <w:r w:rsidRPr="008D74EE">
        <w:rPr>
          <w:rFonts w:ascii="Arial" w:hAnsi="Arial" w:cs="Arial"/>
          <w:sz w:val="22"/>
          <w:lang w:val="es-ES_tradnl"/>
        </w:rPr>
        <w:lastRenderedPageBreak/>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8D74EE">
        <w:rPr>
          <w:rStyle w:val="Refdenotaalpie"/>
          <w:rFonts w:ascii="Arial" w:hAnsi="Arial" w:cs="Arial"/>
          <w:sz w:val="22"/>
          <w:lang w:val="es-ES_tradnl"/>
        </w:rPr>
        <w:footnoteReference w:id="5"/>
      </w:r>
      <w:r w:rsidRPr="008D74EE">
        <w:rPr>
          <w:rFonts w:ascii="Arial" w:hAnsi="Arial" w:cs="Arial"/>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sidRPr="008D74EE">
        <w:rPr>
          <w:rFonts w:ascii="Arial" w:eastAsiaTheme="minorHAnsi" w:hAnsi="Arial" w:cs="Arial"/>
          <w:sz w:val="22"/>
          <w:szCs w:val="22"/>
          <w:lang w:val="es-ES_tradnl" w:eastAsia="en-US"/>
        </w:rPr>
        <w:t>La ley estatutaria citada establece, en el literal e) del artículo 9, que los sujetos obligados, que son todas las entidades públicas</w:t>
      </w:r>
      <w:r w:rsidRPr="008D74EE">
        <w:rPr>
          <w:rStyle w:val="Refdenotaalpie"/>
          <w:rFonts w:ascii="Arial" w:eastAsiaTheme="minorHAnsi" w:hAnsi="Arial" w:cs="Arial"/>
          <w:sz w:val="22"/>
          <w:szCs w:val="22"/>
          <w:lang w:val="es-ES_tradnl" w:eastAsia="en-US"/>
        </w:rPr>
        <w:footnoteReference w:id="6"/>
      </w:r>
      <w:r w:rsidRPr="008D74EE">
        <w:rPr>
          <w:rFonts w:ascii="Arial" w:eastAsiaTheme="minorHAnsi" w:hAnsi="Arial" w:cs="Arial"/>
          <w:sz w:val="22"/>
          <w:szCs w:val="22"/>
          <w:lang w:val="es-ES_tradnl" w:eastAsia="en-US"/>
        </w:rPr>
        <w:t>, deben publicar la información relativa a su contratación. Esta obligación fue desarrollada por el Decreto Único Reglamentario 1081 de 2015</w:t>
      </w:r>
      <w:r w:rsidRPr="008D74EE">
        <w:rPr>
          <w:rStyle w:val="Refdenotaalpie"/>
          <w:rFonts w:ascii="Arial" w:eastAsiaTheme="minorHAnsi" w:hAnsi="Arial" w:cs="Arial"/>
          <w:sz w:val="22"/>
          <w:szCs w:val="22"/>
          <w:lang w:val="es-ES_tradnl" w:eastAsia="en-US"/>
        </w:rPr>
        <w:footnoteReference w:id="7"/>
      </w:r>
      <w:r w:rsidRPr="008D74EE">
        <w:rPr>
          <w:rFonts w:ascii="Arial" w:eastAsiaTheme="minorHAnsi" w:hAnsi="Arial" w:cs="Arial"/>
          <w:sz w:val="22"/>
          <w:szCs w:val="22"/>
          <w:lang w:val="es-ES_tradnl" w:eastAsia="en-US"/>
        </w:rPr>
        <w:t>, el cual dispuso que la publicación de la información contractual de los sujetos obligados, que contratan con cargo a recursos públicos, debe hacerse en el Sistema Electrónico para la Contratación Pública ─</w:t>
      </w:r>
      <w:r w:rsidRPr="008D74EE">
        <w:rPr>
          <w:rFonts w:ascii="Arial" w:eastAsiaTheme="minorHAnsi" w:hAnsi="Arial" w:cs="Arial"/>
          <w:sz w:val="22"/>
          <w:szCs w:val="22"/>
          <w:lang w:val="es-ES_tradnl" w:eastAsia="en-US"/>
        </w:rPr>
        <w:softHyphen/>
        <w:t xml:space="preserve"> </w:t>
      </w:r>
      <w:r w:rsidRPr="008D74EE">
        <w:rPr>
          <w:rFonts w:ascii="Arial" w:eastAsiaTheme="minorHAnsi" w:hAnsi="Arial" w:cs="Arial"/>
          <w:sz w:val="22"/>
          <w:szCs w:val="22"/>
          <w:lang w:val="es-ES_tradnl" w:eastAsia="en-US"/>
        </w:rPr>
        <w:softHyphen/>
        <w:t>SECOP–.</w:t>
      </w:r>
    </w:p>
    <w:p w14:paraId="656F896D" w14:textId="77777777"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hAnsi="Arial" w:cs="Arial"/>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w:t>
      </w:r>
      <w:r w:rsidRPr="008D74EE">
        <w:rPr>
          <w:rFonts w:ascii="Arial" w:hAnsi="Arial" w:cs="Arial"/>
          <w:sz w:val="22"/>
          <w:lang w:val="es-ES_tradnl"/>
        </w:rPr>
        <w:lastRenderedPageBreak/>
        <w:t xml:space="preserve">licitaciones», y esta información también debe estar en el SECOP. </w:t>
      </w:r>
      <w:r w:rsidRPr="008D74EE">
        <w:rPr>
          <w:rFonts w:ascii="Arial" w:eastAsia="Calibri" w:hAnsi="Arial" w:cs="Arial"/>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8D74EE">
        <w:rPr>
          <w:rStyle w:val="Refdenotaalpie"/>
          <w:rFonts w:ascii="Arial" w:eastAsia="Calibri" w:hAnsi="Arial" w:cs="Arial"/>
          <w:sz w:val="22"/>
          <w:lang w:val="es-ES_tradnl"/>
        </w:rPr>
        <w:footnoteReference w:id="8"/>
      </w:r>
      <w:r w:rsidRPr="008D74EE">
        <w:rPr>
          <w:rFonts w:ascii="Arial" w:eastAsia="Calibri" w:hAnsi="Arial" w:cs="Arial"/>
          <w:sz w:val="22"/>
          <w:lang w:val="es-ES_tradnl"/>
        </w:rPr>
        <w:t>.</w:t>
      </w:r>
    </w:p>
    <w:p w14:paraId="02F81363" w14:textId="6A469EEF"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hAnsi="Arial" w:cs="Arial"/>
          <w:sz w:val="22"/>
          <w:lang w:val="es-ES_tradnl"/>
        </w:rPr>
        <w:t xml:space="preserve">Para el año 2013, la Agencia Nacional de Contratación Pública </w:t>
      </w:r>
      <w:r w:rsidR="003C1801" w:rsidRPr="008D74EE">
        <w:rPr>
          <w:rFonts w:ascii="Arial" w:hAnsi="Arial" w:cs="Arial"/>
          <w:sz w:val="22"/>
          <w:lang w:val="es-ES_tradnl"/>
        </w:rPr>
        <w:t>–</w:t>
      </w:r>
      <w:r w:rsidRPr="008D74EE">
        <w:rPr>
          <w:rFonts w:ascii="Arial" w:hAnsi="Arial" w:cs="Arial"/>
          <w:sz w:val="22"/>
          <w:lang w:val="es-ES_tradnl"/>
        </w:rPr>
        <w:t xml:space="preserve">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8D74EE">
        <w:rPr>
          <w:rStyle w:val="Refdenotaalpie"/>
          <w:rFonts w:ascii="Arial" w:hAnsi="Arial" w:cs="Arial"/>
          <w:sz w:val="22"/>
          <w:lang w:val="es-ES_tradnl"/>
        </w:rPr>
        <w:footnoteReference w:id="9"/>
      </w:r>
      <w:r w:rsidRPr="008D74EE">
        <w:rPr>
          <w:rFonts w:ascii="Arial" w:hAnsi="Arial" w:cs="Arial"/>
          <w:sz w:val="22"/>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020C68F4" w14:textId="77777777"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hAnsi="Arial" w:cs="Arial"/>
          <w:sz w:val="22"/>
          <w:lang w:val="es-ES_tradnl"/>
        </w:rPr>
        <w:t>El debate sobre la obligatoriedad o no de publicar en el SECOP, para las entidades con régimen especial de contratación, había sido definido, al menos de manera preliminar, por el Consejo de Estado. En este sentido, la Sección Tercera, Subsección C, en el Auto del 14 de agosto de 2017</w:t>
      </w:r>
      <w:r w:rsidRPr="008D74EE">
        <w:rPr>
          <w:rStyle w:val="Refdenotaalpie"/>
          <w:rFonts w:ascii="Arial" w:hAnsi="Arial" w:cs="Arial"/>
          <w:sz w:val="22"/>
          <w:lang w:val="es-ES_tradnl"/>
        </w:rPr>
        <w:footnoteReference w:id="10"/>
      </w:r>
      <w:r w:rsidRPr="008D74EE">
        <w:rPr>
          <w:rFonts w:ascii="Arial" w:hAnsi="Arial" w:cs="Arial"/>
          <w:sz w:val="22"/>
          <w:lang w:val="es-ES_tradnl"/>
        </w:rPr>
        <w:t>, expresó que la obligación prevista en la Circular Externa No. 1 se ajusta a la normativa superior, en los siguientes términos:</w:t>
      </w:r>
    </w:p>
    <w:p w14:paraId="3122FDA9" w14:textId="77777777" w:rsidR="008617D8" w:rsidRPr="008D74EE" w:rsidRDefault="008617D8" w:rsidP="008617D8">
      <w:pPr>
        <w:spacing w:line="276" w:lineRule="auto"/>
        <w:jc w:val="both"/>
        <w:rPr>
          <w:rFonts w:ascii="Arial" w:hAnsi="Arial" w:cs="Arial"/>
          <w:sz w:val="22"/>
          <w:lang w:val="es-ES_tradnl"/>
        </w:rPr>
      </w:pPr>
    </w:p>
    <w:p w14:paraId="2669FC88" w14:textId="77777777" w:rsidR="008617D8" w:rsidRPr="008D74EE" w:rsidRDefault="008617D8" w:rsidP="008617D8">
      <w:pPr>
        <w:tabs>
          <w:tab w:val="left" w:pos="3885"/>
        </w:tabs>
        <w:ind w:left="709" w:right="709"/>
        <w:jc w:val="both"/>
        <w:rPr>
          <w:rFonts w:ascii="Arial" w:hAnsi="Arial" w:cs="Arial"/>
          <w:sz w:val="21"/>
          <w:szCs w:val="21"/>
          <w:lang w:val="es-ES_tradnl"/>
        </w:rPr>
      </w:pPr>
      <w:r w:rsidRPr="008D74EE">
        <w:rPr>
          <w:rFonts w:ascii="Arial" w:hAnsi="Arial" w:cs="Arial"/>
          <w:sz w:val="21"/>
          <w:szCs w:val="21"/>
          <w:lang w:val="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B09ABD2" w14:textId="77777777" w:rsidR="008617D8" w:rsidRPr="008D74EE" w:rsidRDefault="008617D8" w:rsidP="008617D8">
      <w:pPr>
        <w:tabs>
          <w:tab w:val="left" w:pos="3885"/>
        </w:tabs>
        <w:ind w:left="709" w:right="709"/>
        <w:jc w:val="both"/>
        <w:rPr>
          <w:rFonts w:ascii="Arial" w:hAnsi="Arial" w:cs="Arial"/>
          <w:sz w:val="21"/>
          <w:szCs w:val="21"/>
          <w:lang w:val="es-ES_tradnl"/>
        </w:rPr>
      </w:pPr>
    </w:p>
    <w:p w14:paraId="4D117CE4" w14:textId="77777777" w:rsidR="008617D8" w:rsidRPr="008D74EE" w:rsidRDefault="008617D8" w:rsidP="008617D8">
      <w:pPr>
        <w:tabs>
          <w:tab w:val="left" w:pos="3885"/>
        </w:tabs>
        <w:ind w:left="709" w:right="709"/>
        <w:jc w:val="both"/>
        <w:rPr>
          <w:rFonts w:ascii="Arial" w:hAnsi="Arial" w:cs="Arial"/>
          <w:sz w:val="21"/>
          <w:szCs w:val="21"/>
          <w:lang w:val="es-ES_tradnl"/>
        </w:rPr>
      </w:pPr>
      <w:r w:rsidRPr="008D74EE">
        <w:rPr>
          <w:rFonts w:ascii="Arial" w:hAnsi="Arial" w:cs="Arial"/>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8D74EE">
        <w:rPr>
          <w:rFonts w:ascii="Arial" w:hAnsi="Arial" w:cs="Arial"/>
          <w:sz w:val="21"/>
          <w:szCs w:val="21"/>
          <w:lang w:val="es-ES_tradnl"/>
        </w:rPr>
        <w:t>en razón de</w:t>
      </w:r>
      <w:proofErr w:type="gramEnd"/>
      <w:r w:rsidRPr="008D74EE">
        <w:rPr>
          <w:rFonts w:ascii="Arial" w:hAnsi="Arial" w:cs="Arial"/>
          <w:sz w:val="21"/>
          <w:szCs w:val="21"/>
          <w:lang w:val="es-ES_tradnl"/>
        </w:rPr>
        <w:t xml:space="preserve"> qué están obligados? En razón al manejo de tales recursos </w:t>
      </w:r>
      <w:r w:rsidRPr="008D74EE">
        <w:rPr>
          <w:rFonts w:ascii="Arial" w:hAnsi="Arial" w:cs="Arial"/>
          <w:sz w:val="21"/>
          <w:szCs w:val="21"/>
          <w:lang w:val="es-ES_tradnl"/>
        </w:rPr>
        <w:lastRenderedPageBreak/>
        <w:t>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32F11C5B" w14:textId="77777777" w:rsidR="008617D8" w:rsidRPr="008D74EE" w:rsidRDefault="008617D8" w:rsidP="008617D8">
      <w:pPr>
        <w:tabs>
          <w:tab w:val="left" w:pos="3885"/>
        </w:tabs>
        <w:ind w:left="709" w:right="709"/>
        <w:jc w:val="both"/>
        <w:rPr>
          <w:rFonts w:ascii="Arial" w:hAnsi="Arial" w:cs="Arial"/>
          <w:sz w:val="21"/>
          <w:szCs w:val="21"/>
          <w:lang w:val="es-ES_tradnl"/>
        </w:rPr>
      </w:pPr>
      <w:r w:rsidRPr="008D74EE">
        <w:rPr>
          <w:rFonts w:ascii="Arial" w:hAnsi="Arial" w:cs="Arial"/>
          <w:sz w:val="21"/>
          <w:szCs w:val="21"/>
          <w:lang w:val="es-ES_tradnl"/>
        </w:rPr>
        <w:t>[…]</w:t>
      </w:r>
    </w:p>
    <w:p w14:paraId="66D9AD9E" w14:textId="77777777" w:rsidR="008617D8" w:rsidRPr="008D74EE" w:rsidRDefault="008617D8" w:rsidP="008617D8">
      <w:pPr>
        <w:tabs>
          <w:tab w:val="left" w:pos="3885"/>
        </w:tabs>
        <w:ind w:left="709" w:right="709"/>
        <w:jc w:val="both"/>
        <w:rPr>
          <w:rFonts w:ascii="Arial" w:hAnsi="Arial" w:cs="Arial"/>
          <w:sz w:val="21"/>
          <w:szCs w:val="21"/>
          <w:lang w:val="es-ES_tradnl"/>
        </w:rPr>
      </w:pPr>
    </w:p>
    <w:p w14:paraId="47E66914" w14:textId="77777777" w:rsidR="008617D8" w:rsidRPr="008D74EE" w:rsidRDefault="008617D8" w:rsidP="008617D8">
      <w:pPr>
        <w:tabs>
          <w:tab w:val="left" w:pos="3885"/>
        </w:tabs>
        <w:ind w:left="709" w:right="709"/>
        <w:jc w:val="both"/>
        <w:rPr>
          <w:rFonts w:ascii="Arial" w:hAnsi="Arial" w:cs="Arial"/>
          <w:sz w:val="21"/>
          <w:szCs w:val="21"/>
          <w:lang w:val="es-ES_tradnl"/>
        </w:rPr>
      </w:pPr>
      <w:r w:rsidRPr="008D74EE">
        <w:rPr>
          <w:rFonts w:ascii="Arial" w:hAnsi="Arial" w:cs="Arial"/>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8D74EE">
        <w:rPr>
          <w:rStyle w:val="Refdenotaalpie"/>
          <w:rFonts w:ascii="Arial" w:hAnsi="Arial" w:cs="Arial"/>
          <w:sz w:val="21"/>
          <w:szCs w:val="21"/>
          <w:lang w:val="es-ES_tradnl"/>
        </w:rPr>
        <w:footnoteReference w:id="11"/>
      </w:r>
      <w:r w:rsidRPr="008D74EE">
        <w:rPr>
          <w:rFonts w:ascii="Arial" w:hAnsi="Arial" w:cs="Arial"/>
          <w:sz w:val="21"/>
          <w:szCs w:val="21"/>
          <w:lang w:val="es-ES_tradnl"/>
        </w:rPr>
        <w:t>.</w:t>
      </w:r>
    </w:p>
    <w:p w14:paraId="6D5A0692" w14:textId="77777777" w:rsidR="008617D8" w:rsidRPr="008D74EE" w:rsidRDefault="008617D8" w:rsidP="008617D8">
      <w:pPr>
        <w:tabs>
          <w:tab w:val="left" w:pos="3885"/>
        </w:tabs>
        <w:spacing w:line="276" w:lineRule="auto"/>
        <w:ind w:left="709" w:right="709"/>
        <w:jc w:val="both"/>
        <w:rPr>
          <w:rFonts w:ascii="Arial" w:eastAsia="Calibri" w:hAnsi="Arial" w:cs="Arial"/>
          <w:sz w:val="22"/>
          <w:lang w:val="es-ES_tradnl"/>
        </w:rPr>
      </w:pPr>
    </w:p>
    <w:p w14:paraId="31BAF4DE" w14:textId="77777777" w:rsidR="008617D8" w:rsidRPr="008D74EE" w:rsidRDefault="008617D8" w:rsidP="008617D8">
      <w:pPr>
        <w:spacing w:line="276" w:lineRule="auto"/>
        <w:ind w:firstLine="708"/>
        <w:jc w:val="both"/>
        <w:rPr>
          <w:rFonts w:ascii="Arial" w:hAnsi="Arial" w:cs="Arial"/>
          <w:sz w:val="22"/>
          <w:lang w:val="es-ES_tradnl"/>
        </w:rPr>
      </w:pPr>
      <w:r w:rsidRPr="008D74EE">
        <w:rPr>
          <w:rFonts w:ascii="Arial" w:hAnsi="Arial" w:cs="Arial"/>
          <w:sz w:val="22"/>
          <w:lang w:val="es-ES_tradnl"/>
        </w:rPr>
        <w:t xml:space="preserve">Adicionalmente, el deber de hacer pública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6C50BCCA" w14:textId="77777777" w:rsidR="008617D8" w:rsidRPr="008D74EE" w:rsidRDefault="008617D8" w:rsidP="008617D8">
      <w:pPr>
        <w:ind w:leftChars="709" w:left="1702" w:right="709" w:firstLine="2"/>
        <w:jc w:val="both"/>
        <w:rPr>
          <w:rFonts w:ascii="Arial" w:hAnsi="Arial" w:cs="Arial"/>
          <w:sz w:val="21"/>
          <w:szCs w:val="21"/>
          <w:lang w:val="es-ES_tradnl"/>
        </w:rPr>
      </w:pPr>
    </w:p>
    <w:p w14:paraId="706790E8" w14:textId="77777777" w:rsidR="008617D8" w:rsidRPr="008D74EE" w:rsidRDefault="008617D8" w:rsidP="008617D8">
      <w:pPr>
        <w:ind w:left="709" w:right="709"/>
        <w:jc w:val="both"/>
        <w:rPr>
          <w:rFonts w:ascii="Arial" w:hAnsi="Arial" w:cs="Arial"/>
          <w:sz w:val="21"/>
          <w:szCs w:val="21"/>
          <w:lang w:val="es-ES_tradnl"/>
        </w:rPr>
      </w:pPr>
      <w:r w:rsidRPr="008D74EE">
        <w:rPr>
          <w:rFonts w:ascii="Arial" w:hAnsi="Arial" w:cs="Arial"/>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8D74EE">
        <w:rPr>
          <w:rStyle w:val="Refdenotaalpie"/>
          <w:rFonts w:ascii="Arial" w:hAnsi="Arial" w:cs="Arial"/>
          <w:sz w:val="21"/>
          <w:szCs w:val="21"/>
          <w:lang w:val="es-ES_tradnl"/>
        </w:rPr>
        <w:footnoteReference w:id="12"/>
      </w:r>
      <w:r w:rsidRPr="008D74EE">
        <w:rPr>
          <w:rFonts w:ascii="Arial" w:hAnsi="Arial" w:cs="Arial"/>
          <w:sz w:val="21"/>
          <w:szCs w:val="21"/>
          <w:lang w:val="es-ES_tradnl"/>
        </w:rPr>
        <w:t>.</w:t>
      </w:r>
    </w:p>
    <w:p w14:paraId="502F1A7A" w14:textId="77777777" w:rsidR="008617D8" w:rsidRPr="008D74EE" w:rsidRDefault="008617D8" w:rsidP="008617D8">
      <w:pPr>
        <w:spacing w:line="276" w:lineRule="auto"/>
        <w:ind w:leftChars="709" w:left="1702" w:right="709"/>
        <w:jc w:val="both"/>
        <w:rPr>
          <w:rFonts w:ascii="Arial" w:hAnsi="Arial" w:cs="Arial"/>
          <w:sz w:val="21"/>
          <w:szCs w:val="21"/>
          <w:lang w:val="es-ES_tradnl"/>
        </w:rPr>
      </w:pPr>
    </w:p>
    <w:p w14:paraId="3A17A073" w14:textId="77777777" w:rsidR="008617D8" w:rsidRPr="008D74EE" w:rsidRDefault="008617D8" w:rsidP="008617D8">
      <w:pPr>
        <w:spacing w:line="276" w:lineRule="auto"/>
        <w:ind w:firstLine="708"/>
        <w:jc w:val="both"/>
        <w:rPr>
          <w:rFonts w:ascii="Arial" w:hAnsi="Arial" w:cs="Arial"/>
          <w:sz w:val="22"/>
          <w:lang w:val="es-ES_tradnl"/>
        </w:rPr>
      </w:pPr>
      <w:r w:rsidRPr="008D74EE">
        <w:rPr>
          <w:rFonts w:ascii="Arial" w:hAnsi="Arial" w:cs="Arial"/>
          <w:sz w:val="22"/>
          <w:lang w:val="es-ES_tradnl"/>
        </w:rPr>
        <w:t xml:space="preserve">Nótese, entonces, que en ese momento el Consejo de Estado asumió como criterio para determinar la obligatoriedad de publicar en el SECOP que la contratación se realizara con recursos públicos, conclusión que extrajo del literal c) del artículo 3 de la Ley 1150 de 2007. Así, la decisión judicial citada vino a reforzar la obligación de publicar en el SECOP, mandato que además está expresamente consagrado en las Leyes 1150 de 2007, 1712 de 2014 y la Circular Externa Única. </w:t>
      </w:r>
    </w:p>
    <w:p w14:paraId="3DC02563" w14:textId="77777777" w:rsidR="00C560BF" w:rsidRPr="008D74EE" w:rsidRDefault="00C560BF" w:rsidP="008617D8">
      <w:pPr>
        <w:pStyle w:val="Prrafodelista"/>
        <w:tabs>
          <w:tab w:val="left" w:pos="284"/>
          <w:tab w:val="left" w:pos="426"/>
        </w:tabs>
        <w:spacing w:line="276" w:lineRule="auto"/>
        <w:ind w:left="0"/>
        <w:jc w:val="both"/>
        <w:rPr>
          <w:rFonts w:ascii="Arial" w:hAnsi="Arial" w:cs="Arial"/>
          <w:b/>
          <w:sz w:val="22"/>
          <w:lang w:val="es-ES_tradnl"/>
        </w:rPr>
      </w:pPr>
    </w:p>
    <w:p w14:paraId="576CFC22" w14:textId="77777777" w:rsidR="008617D8" w:rsidRPr="008D74EE" w:rsidRDefault="008617D8" w:rsidP="008617D8">
      <w:pPr>
        <w:spacing w:line="276" w:lineRule="auto"/>
        <w:jc w:val="both"/>
        <w:rPr>
          <w:rFonts w:ascii="Arial" w:eastAsia="Calibri" w:hAnsi="Arial" w:cs="Arial"/>
          <w:b/>
          <w:sz w:val="22"/>
          <w:lang w:val="es-ES_tradnl"/>
        </w:rPr>
      </w:pPr>
      <w:r w:rsidRPr="008D74EE">
        <w:rPr>
          <w:rFonts w:ascii="Arial" w:eastAsia="Calibri" w:hAnsi="Arial" w:cs="Arial"/>
          <w:b/>
          <w:sz w:val="22"/>
          <w:lang w:val="es-ES_tradnl"/>
        </w:rPr>
        <w:lastRenderedPageBreak/>
        <w:t>2.2. Efectos del auto del Consejo de Estado del 25 de febrero de 2021 sobre la publicación en el SECOP por parte de las entidades estatales con régimen especial de contratación</w:t>
      </w:r>
    </w:p>
    <w:p w14:paraId="0B1189A8" w14:textId="77777777" w:rsidR="008617D8" w:rsidRPr="008D74EE" w:rsidRDefault="008617D8" w:rsidP="008617D8">
      <w:pPr>
        <w:pStyle w:val="Prrafodelista"/>
        <w:tabs>
          <w:tab w:val="left" w:pos="284"/>
          <w:tab w:val="left" w:pos="426"/>
        </w:tabs>
        <w:spacing w:line="276" w:lineRule="auto"/>
        <w:ind w:left="0"/>
        <w:jc w:val="both"/>
        <w:rPr>
          <w:rFonts w:ascii="Arial" w:hAnsi="Arial" w:cs="Arial"/>
          <w:b/>
          <w:sz w:val="22"/>
          <w:lang w:val="es-ES_tradnl"/>
        </w:rPr>
      </w:pPr>
    </w:p>
    <w:p w14:paraId="3ADABBB0" w14:textId="7D2C4E7D" w:rsidR="008617D8" w:rsidRPr="008D74EE" w:rsidRDefault="008617D8" w:rsidP="008617D8">
      <w:pPr>
        <w:pStyle w:val="Prrafodelista"/>
        <w:tabs>
          <w:tab w:val="left" w:pos="284"/>
          <w:tab w:val="left" w:pos="426"/>
        </w:tabs>
        <w:spacing w:line="276" w:lineRule="auto"/>
        <w:ind w:left="0"/>
        <w:jc w:val="both"/>
        <w:rPr>
          <w:rFonts w:ascii="Arial" w:hAnsi="Arial" w:cs="Arial"/>
          <w:bCs/>
          <w:sz w:val="22"/>
          <w:lang w:val="es-ES_tradnl"/>
        </w:rPr>
      </w:pPr>
      <w:r w:rsidRPr="008D74EE">
        <w:rPr>
          <w:rFonts w:ascii="Arial" w:hAnsi="Arial" w:cs="Arial"/>
          <w:bCs/>
          <w:sz w:val="22"/>
          <w:lang w:val="es-ES_tradnl"/>
        </w:rPr>
        <w:t>El 25 de febrero de 2021</w:t>
      </w:r>
      <w:r w:rsidR="005B598C" w:rsidRPr="008D74EE">
        <w:rPr>
          <w:rFonts w:ascii="Arial" w:hAnsi="Arial" w:cs="Arial"/>
          <w:bCs/>
          <w:sz w:val="22"/>
          <w:lang w:val="es-ES_tradnl"/>
        </w:rPr>
        <w:t>,</w:t>
      </w:r>
      <w:r w:rsidRPr="008D74EE">
        <w:rPr>
          <w:rFonts w:ascii="Arial" w:hAnsi="Arial" w:cs="Arial"/>
          <w:bCs/>
          <w:sz w:val="22"/>
          <w:lang w:val="es-ES_tradnl"/>
        </w:rPr>
        <w:t xml:space="preserve"> la Sección Tercera del Consejo de Estado expidió un auto</w:t>
      </w:r>
      <w:r w:rsidRPr="008D74EE">
        <w:rPr>
          <w:rStyle w:val="Refdenotaalpie"/>
          <w:rFonts w:ascii="Arial" w:hAnsi="Arial" w:cs="Arial"/>
          <w:bCs/>
          <w:sz w:val="22"/>
          <w:lang w:val="es-ES_tradnl"/>
        </w:rPr>
        <w:footnoteReference w:id="13"/>
      </w:r>
      <w:r w:rsidRPr="008D74EE">
        <w:rPr>
          <w:rFonts w:ascii="Arial" w:hAnsi="Arial" w:cs="Arial"/>
          <w:bCs/>
          <w:sz w:val="22"/>
          <w:lang w:val="es-ES_tradnl"/>
        </w:rPr>
        <w:t xml:space="preserve"> mediante el cual decretó la suspensión provisional de algunos apartes de las circulares externas No. 1 del 21 de junio de 2013 y No. 20 del 27 de agosto de 2015. Teniendo en cuenta que esta decisión judicial es la razón que motiva la presente consulta, se efectuará una síntesis de la providencia y de los argumentos en los que se apoya el Consejo de Estado. Sin embargo, antes de proceder con ello, es importante hacer tres aclaraciones importantes: </w:t>
      </w:r>
    </w:p>
    <w:p w14:paraId="745F179D" w14:textId="77777777" w:rsidR="008617D8" w:rsidRPr="008D74EE" w:rsidRDefault="008617D8" w:rsidP="008617D8">
      <w:pPr>
        <w:spacing w:before="120" w:line="276" w:lineRule="auto"/>
        <w:ind w:firstLine="709"/>
        <w:jc w:val="both"/>
        <w:rPr>
          <w:rFonts w:ascii="Arial" w:hAnsi="Arial" w:cs="Arial"/>
          <w:bCs/>
          <w:sz w:val="22"/>
          <w:lang w:val="es-ES_tradnl"/>
        </w:rPr>
      </w:pPr>
      <w:r w:rsidRPr="008D74EE">
        <w:rPr>
          <w:rFonts w:ascii="Arial" w:hAnsi="Arial" w:cs="Arial"/>
          <w:bCs/>
          <w:sz w:val="22"/>
          <w:lang w:val="es-ES_tradnl"/>
        </w:rPr>
        <w:t>La primera es que la suspensión provisional es una medida cautelar consagrada en el artículo 238 de la Constitución Política</w:t>
      </w:r>
      <w:r w:rsidRPr="008D74EE">
        <w:rPr>
          <w:rStyle w:val="Refdenotaalpie"/>
          <w:rFonts w:ascii="Arial" w:hAnsi="Arial" w:cs="Arial"/>
          <w:bCs/>
          <w:sz w:val="22"/>
          <w:lang w:val="es-ES_tradnl"/>
        </w:rPr>
        <w:footnoteReference w:id="14"/>
      </w:r>
      <w:r w:rsidRPr="008D74EE">
        <w:rPr>
          <w:rFonts w:ascii="Arial" w:hAnsi="Arial" w:cs="Arial"/>
          <w:bCs/>
          <w:sz w:val="22"/>
          <w:lang w:val="es-ES_tradnl"/>
        </w:rPr>
        <w:t xml:space="preserve"> y en el artículo 230, numeral 3 de la Ley 1437 de 2011</w:t>
      </w:r>
      <w:r w:rsidRPr="008D74EE">
        <w:rPr>
          <w:rStyle w:val="Refdenotaalpie"/>
          <w:rFonts w:ascii="Arial" w:hAnsi="Arial" w:cs="Arial"/>
          <w:bCs/>
          <w:sz w:val="22"/>
          <w:lang w:val="es-ES_tradnl"/>
        </w:rPr>
        <w:footnoteReference w:id="15"/>
      </w:r>
      <w:r w:rsidRPr="008D74EE">
        <w:rPr>
          <w:rFonts w:ascii="Arial" w:hAnsi="Arial" w:cs="Arial"/>
          <w:bCs/>
          <w:sz w:val="22"/>
          <w:lang w:val="es-ES_tradnl"/>
        </w:rPr>
        <w:t>, que genera –al menos mientras se expide la sentencia– la pérdida de fuerza ejecutoria de los actos administrativos</w:t>
      </w:r>
      <w:r w:rsidRPr="008D74EE">
        <w:rPr>
          <w:rStyle w:val="Refdenotaalpie"/>
          <w:rFonts w:ascii="Arial" w:hAnsi="Arial" w:cs="Arial"/>
          <w:bCs/>
          <w:sz w:val="22"/>
          <w:lang w:val="es-ES_tradnl"/>
        </w:rPr>
        <w:footnoteReference w:id="16"/>
      </w:r>
      <w:r w:rsidRPr="008D74EE">
        <w:rPr>
          <w:rFonts w:ascii="Arial" w:hAnsi="Arial" w:cs="Arial"/>
          <w:bCs/>
          <w:sz w:val="22"/>
          <w:lang w:val="es-ES_tradnl"/>
        </w:rPr>
        <w:t xml:space="preserve">, pero no la pérdida de su presunción de legalidad, pues el artículo 88 de la Ley 1437 de 2011 dispone que esta solo desaparece cuando los actos administrativos «hayan sido anulados por la Jurisdicción de lo Contencioso Administrativo». Por consiguiente, las circulares externas No. 1 del 21 de junio de 2013 y No. 20 del 27 de agosto de 2015 continúan presumiéndose legales.  </w:t>
      </w:r>
    </w:p>
    <w:p w14:paraId="7F19E994" w14:textId="77777777" w:rsidR="008617D8" w:rsidRPr="008D74EE" w:rsidRDefault="008617D8" w:rsidP="008617D8">
      <w:pPr>
        <w:spacing w:before="120" w:line="276" w:lineRule="auto"/>
        <w:ind w:firstLine="709"/>
        <w:jc w:val="both"/>
        <w:rPr>
          <w:rFonts w:ascii="Arial" w:hAnsi="Arial" w:cs="Arial"/>
          <w:bCs/>
          <w:sz w:val="22"/>
          <w:lang w:val="es-ES_tradnl"/>
        </w:rPr>
      </w:pPr>
      <w:r w:rsidRPr="008D74EE">
        <w:rPr>
          <w:rFonts w:ascii="Arial" w:hAnsi="Arial" w:cs="Arial"/>
          <w:bCs/>
          <w:sz w:val="22"/>
          <w:lang w:val="es-ES_tradnl"/>
        </w:rPr>
        <w:t xml:space="preserve">La segunda precisión es que en el auto que se comentará a continuación, no se declara la suspensión provisional de todo el contenido de las circulares externas No. 1 del </w:t>
      </w:r>
      <w:r w:rsidRPr="008D74EE">
        <w:rPr>
          <w:rFonts w:ascii="Arial" w:hAnsi="Arial" w:cs="Arial"/>
          <w:bCs/>
          <w:sz w:val="22"/>
          <w:lang w:val="es-ES_tradnl"/>
        </w:rPr>
        <w:lastRenderedPageBreak/>
        <w:t xml:space="preserve">21 de junio de 2013 y No. 20 del 27 de agosto de 2015, sino solo de algunos apartes que utilizan la expresión «actividad contractual», lo que por supuesto, exige determinar en qué estado queda la obligación de las entidades estatales con régimen especial de contratación de publicar la documentación contractual en el SECOP. </w:t>
      </w:r>
    </w:p>
    <w:p w14:paraId="2022C33C" w14:textId="77777777" w:rsidR="008617D8" w:rsidRPr="008D74EE" w:rsidRDefault="008617D8" w:rsidP="008617D8">
      <w:pPr>
        <w:spacing w:before="120" w:line="276" w:lineRule="auto"/>
        <w:ind w:firstLine="709"/>
        <w:jc w:val="both"/>
        <w:rPr>
          <w:rFonts w:ascii="Arial" w:hAnsi="Arial" w:cs="Arial"/>
          <w:bCs/>
          <w:sz w:val="22"/>
          <w:lang w:val="es-ES_tradnl"/>
        </w:rPr>
      </w:pPr>
      <w:r w:rsidRPr="008D74EE">
        <w:rPr>
          <w:rFonts w:ascii="Arial" w:hAnsi="Arial" w:cs="Arial"/>
          <w:bCs/>
          <w:sz w:val="22"/>
          <w:lang w:val="es-ES_tradnl"/>
        </w:rPr>
        <w:t>La tercera salvedad es que la Circular Externa Única –actualizada el 16 de abril de 2019–</w:t>
      </w:r>
      <w:r w:rsidRPr="008D74EE">
        <w:rPr>
          <w:rStyle w:val="Refdenotaalpie"/>
          <w:rFonts w:ascii="Arial" w:hAnsi="Arial" w:cs="Arial"/>
          <w:bCs/>
          <w:sz w:val="22"/>
          <w:lang w:val="es-ES_tradnl"/>
        </w:rPr>
        <w:footnoteReference w:id="17"/>
      </w:r>
      <w:r w:rsidRPr="008D74EE">
        <w:rPr>
          <w:rFonts w:ascii="Arial" w:hAnsi="Arial" w:cs="Arial"/>
          <w:bCs/>
          <w:sz w:val="22"/>
          <w:lang w:val="es-ES_tradnl"/>
        </w:rPr>
        <w:t xml:space="preserve">, la Circular No. 007 de 2020 </w:t>
      </w:r>
      <w:r w:rsidRPr="008D74EE">
        <w:rPr>
          <w:rFonts w:ascii="Arial" w:hAnsi="Arial" w:cs="Arial"/>
          <w:bCs/>
          <w:sz w:val="22"/>
          <w:lang w:val="es-ES_tradnl"/>
        </w:rPr>
        <w:softHyphen/>
        <w:t>–sobre actualización y diligenciamiento de información en el Sistema Electrónico para la Contratación Pública – SECOP–</w:t>
      </w:r>
      <w:r w:rsidRPr="008D74EE">
        <w:rPr>
          <w:rStyle w:val="Refdenotaalpie"/>
          <w:rFonts w:ascii="Arial" w:hAnsi="Arial" w:cs="Arial"/>
          <w:bCs/>
          <w:sz w:val="22"/>
          <w:lang w:val="es-ES_tradnl"/>
        </w:rPr>
        <w:footnoteReference w:id="18"/>
      </w:r>
      <w:r w:rsidRPr="008D74EE">
        <w:rPr>
          <w:rFonts w:ascii="Arial" w:hAnsi="Arial" w:cs="Arial"/>
          <w:bCs/>
          <w:sz w:val="22"/>
          <w:lang w:val="es-ES_tradnl"/>
        </w:rPr>
        <w:t xml:space="preserve"> y la Circular </w:t>
      </w:r>
      <w:proofErr w:type="spellStart"/>
      <w:r w:rsidRPr="008D74EE">
        <w:rPr>
          <w:rFonts w:ascii="Arial" w:hAnsi="Arial" w:cs="Arial"/>
          <w:bCs/>
          <w:sz w:val="22"/>
          <w:lang w:val="es-ES_tradnl"/>
        </w:rPr>
        <w:t>Nº</w:t>
      </w:r>
      <w:proofErr w:type="spellEnd"/>
      <w:r w:rsidRPr="008D74EE">
        <w:rPr>
          <w:rFonts w:ascii="Arial" w:hAnsi="Arial" w:cs="Arial"/>
          <w:bCs/>
          <w:sz w:val="22"/>
          <w:lang w:val="es-ES_tradnl"/>
        </w:rPr>
        <w:t xml:space="preserve"> 23 del 16 de marzo de 2017 –sobre la calidad y oportunidad de la información del Sistema de Compra Pública disponible en el SECOP–</w:t>
      </w:r>
      <w:r w:rsidRPr="008D74EE">
        <w:rPr>
          <w:rStyle w:val="Refdenotaalpie"/>
          <w:rFonts w:ascii="Arial" w:hAnsi="Arial" w:cs="Arial"/>
          <w:bCs/>
          <w:sz w:val="22"/>
          <w:lang w:val="es-ES_tradnl"/>
        </w:rPr>
        <w:footnoteReference w:id="19"/>
      </w:r>
      <w:r w:rsidRPr="008D74EE">
        <w:rPr>
          <w:rFonts w:ascii="Arial" w:hAnsi="Arial" w:cs="Arial"/>
          <w:bCs/>
          <w:sz w:val="22"/>
          <w:lang w:val="es-ES_tradnl"/>
        </w:rPr>
        <w:t xml:space="preserve">, permanecen vigentes, pues no fueron tampoco suspendidas por dicho auto. Como se verá, no </w:t>
      </w:r>
      <w:proofErr w:type="gramStart"/>
      <w:r w:rsidRPr="008D74EE">
        <w:rPr>
          <w:rFonts w:ascii="Arial" w:hAnsi="Arial" w:cs="Arial"/>
          <w:bCs/>
          <w:sz w:val="22"/>
          <w:lang w:val="es-ES_tradnl"/>
        </w:rPr>
        <w:t>obstante</w:t>
      </w:r>
      <w:proofErr w:type="gramEnd"/>
      <w:r w:rsidRPr="008D74EE">
        <w:rPr>
          <w:rFonts w:ascii="Arial" w:hAnsi="Arial" w:cs="Arial"/>
          <w:bCs/>
          <w:sz w:val="22"/>
          <w:lang w:val="es-ES_tradnl"/>
        </w:rPr>
        <w:t xml:space="preserve"> la suspensión provisional de los apartes de las circulares externas No. 1 del 21 de junio de 2013 y No. 20 del 27 de agosto de 2015, las otras circulares mencionadas, que no fueron suspendidas, continúan estableciendo directrices sobre la publicación de los documentos de la contratación en el SECOP para las entidades estatales que contratan con recursos públicos, incluidas aquellas que tienen régimen especial. Este deber se sustenta no solo en dichas circulares, sino, especialmente, en normas de rango constitucional, legal y reglamentario, como las señaladas en los numerales 2.1. y 2.3. de este concepto. Hechas estas aclaraciones, se comentará el auto del 25 de febrero de 2021.</w:t>
      </w:r>
    </w:p>
    <w:p w14:paraId="70A8A0FF" w14:textId="77777777"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hAnsi="Arial" w:cs="Arial"/>
          <w:sz w:val="22"/>
          <w:lang w:val="es-ES_tradnl"/>
        </w:rPr>
        <w:t>En ejercicio del medio de control de nulidad simple, dos empresas prestadoras de servicios públicos domiciliarios interpusieron demandas en contra de la Agencia Nacional de Contratación Pública – Colombia Compra Eficiente, para que se declarara la nulidad de las circulares externas No. 1 de 21 de junio de 2013 y No. 20 de 27 de agosto de 2015, considerando que dichas circulares se expidieron con falta de competencia e inobservancia de las normas en que deberían fundarse, solicitando a su vez la suspensión provisional de las mismas. En dichas circulares se trata, respectivamente, el deber de publicar la actividad contractual en el SECOP y las condiciones de publicidad de esta información por parte de las empresas industriales y comerciales del Estado, las sociedades de economía mixta y las empresas de servicios públicos domiciliarios.</w:t>
      </w:r>
    </w:p>
    <w:p w14:paraId="10354C6D" w14:textId="77777777"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hAnsi="Arial" w:cs="Arial"/>
          <w:sz w:val="22"/>
          <w:lang w:val="es-ES_tradnl"/>
        </w:rPr>
        <w:t xml:space="preserve">Luego de verificar las condiciones de procedencia de la medida cautelar solicitada, en el auto del 25 de febrero de 2021 la Sección Tercera del Consejo de Estado decreta la </w:t>
      </w:r>
      <w:r w:rsidRPr="008D74EE">
        <w:rPr>
          <w:rFonts w:ascii="Arial" w:hAnsi="Arial" w:cs="Arial"/>
          <w:sz w:val="22"/>
          <w:lang w:val="es-ES_tradnl"/>
        </w:rPr>
        <w:lastRenderedPageBreak/>
        <w:t xml:space="preserve">suspensión provisional de los apartes de las mencionadas circulares que establecen que dichas entidades deben publicar su </w:t>
      </w:r>
      <w:r w:rsidRPr="008D74EE">
        <w:rPr>
          <w:rFonts w:ascii="Arial" w:hAnsi="Arial" w:cs="Arial"/>
          <w:i/>
          <w:iCs/>
          <w:sz w:val="22"/>
          <w:lang w:val="es-ES_tradnl"/>
        </w:rPr>
        <w:t>actividad contractual</w:t>
      </w:r>
      <w:r w:rsidRPr="008D74EE">
        <w:rPr>
          <w:rFonts w:ascii="Arial" w:hAnsi="Arial" w:cs="Arial"/>
          <w:sz w:val="22"/>
          <w:lang w:val="es-ES_tradnl"/>
        </w:rPr>
        <w:t xml:space="preserve"> en el SECOP. Los argumentos en los que se apoya el alto tribunal para suspender provisionalmente tales expresiones son básicamente dos: «(i) las circulares se expidieron por fuera del ámbito de competencia de Colombia Compra Eficiente; y (ii) las Circulares Externas No. 1 de 21 de junio de 2013 y 20 de 27 de agosto de 2015 contrarían lo previsto en el artículo 3o de la Ley 1150 de 2007»</w:t>
      </w:r>
      <w:r w:rsidRPr="008D74EE">
        <w:rPr>
          <w:rStyle w:val="Refdenotaalpie"/>
          <w:rFonts w:ascii="Arial" w:hAnsi="Arial" w:cs="Arial"/>
          <w:sz w:val="22"/>
          <w:lang w:val="es-ES_tradnl"/>
        </w:rPr>
        <w:footnoteReference w:id="20"/>
      </w:r>
      <w:r w:rsidRPr="008D74EE">
        <w:rPr>
          <w:rFonts w:ascii="Arial" w:hAnsi="Arial" w:cs="Arial"/>
          <w:sz w:val="22"/>
          <w:lang w:val="es-ES_tradnl"/>
        </w:rPr>
        <w:t>. La providencia, además, indica que se aparta del auto de la Sección Tercera del 14 de agosto de 2017, que había negado la suspensión provisional de la circular externa No. 1 de 21 de junio de 2013, por considerar que no hace un análisis adecuado sobre la viabilidad de dicha medida y porque no existe en él cosa juzgada.</w:t>
      </w:r>
    </w:p>
    <w:p w14:paraId="67C1B9C0" w14:textId="77777777"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hAnsi="Arial" w:cs="Arial"/>
          <w:sz w:val="22"/>
          <w:lang w:val="es-ES_tradnl"/>
        </w:rPr>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8D74EE">
        <w:rPr>
          <w:rFonts w:ascii="Arial" w:hAnsi="Arial" w:cs="Arial"/>
          <w:i/>
          <w:iCs/>
          <w:sz w:val="22"/>
          <w:lang w:val="es-ES_tradnl"/>
        </w:rPr>
        <w:t>información oficial</w:t>
      </w:r>
      <w:r w:rsidRPr="008D74EE">
        <w:rPr>
          <w:rFonts w:ascii="Arial" w:hAnsi="Arial" w:cs="Arial"/>
          <w:sz w:val="22"/>
          <w:lang w:val="es-ES_tradnl"/>
        </w:rPr>
        <w:t xml:space="preserve"> de la contratación realizada con dineros públicos, […]» (cursiva fuera de texto), la expresión «información contractual» no se puede entender, para las entidades estatales que en la 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 ‒en adelante también EGCAP‒. En consecuencia, para el Consejo de Estado, Colombia Compra eficiente ejerció una potestad reglamentaria sobre el mencionado literal de la Ley 1150 de 2007, para la cual carecía de competencia.</w:t>
      </w:r>
    </w:p>
    <w:p w14:paraId="0DFFF7E2" w14:textId="52585D2E"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hAnsi="Arial" w:cs="Arial"/>
          <w:sz w:val="22"/>
          <w:lang w:val="es-ES_tradnl"/>
        </w:rPr>
        <w:t xml:space="preserve">No obstante, en el auto bajo análisis la Sección Tercera admite que a las entidades exceptuadas de la aplicación del Estatuto General de Contratación de la Administración Pública </w:t>
      </w:r>
      <w:r w:rsidRPr="008D74EE">
        <w:rPr>
          <w:rFonts w:ascii="Arial" w:hAnsi="Arial" w:cs="Arial"/>
          <w:i/>
          <w:iCs/>
          <w:sz w:val="22"/>
          <w:lang w:val="es-ES_tradnl"/>
        </w:rPr>
        <w:t>sí</w:t>
      </w:r>
      <w:r w:rsidRPr="008D74EE">
        <w:rPr>
          <w:rFonts w:ascii="Arial" w:hAnsi="Arial" w:cs="Arial"/>
          <w:sz w:val="22"/>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8D74EE">
        <w:rPr>
          <w:rFonts w:ascii="Arial" w:hAnsi="Arial" w:cs="Arial"/>
          <w:sz w:val="22"/>
          <w:lang w:val="es-ES_tradnl"/>
        </w:rPr>
        <w:t>Nº</w:t>
      </w:r>
      <w:proofErr w:type="spellEnd"/>
      <w:r w:rsidRPr="008D74EE">
        <w:rPr>
          <w:rFonts w:ascii="Arial" w:hAnsi="Arial" w:cs="Arial"/>
          <w:sz w:val="22"/>
          <w:lang w:val="es-ES_tradnl"/>
        </w:rPr>
        <w:t xml:space="preserve">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w:t>
      </w:r>
      <w:r w:rsidRPr="008D74EE">
        <w:rPr>
          <w:rFonts w:ascii="Arial" w:hAnsi="Arial" w:cs="Arial"/>
          <w:sz w:val="22"/>
          <w:lang w:val="es-ES_tradnl"/>
        </w:rPr>
        <w:lastRenderedPageBreak/>
        <w:t>contratación”»</w:t>
      </w:r>
      <w:r w:rsidRPr="008D74EE">
        <w:rPr>
          <w:rStyle w:val="Refdenotaalpie"/>
          <w:rFonts w:ascii="Arial" w:hAnsi="Arial" w:cs="Arial"/>
          <w:sz w:val="22"/>
          <w:lang w:val="es-ES_tradnl"/>
        </w:rPr>
        <w:footnoteReference w:id="21"/>
      </w:r>
      <w:r w:rsidRPr="008D74EE">
        <w:rPr>
          <w:rFonts w:ascii="Arial" w:hAnsi="Arial" w:cs="Arial"/>
          <w:sz w:val="22"/>
          <w:lang w:val="es-ES_tradnl"/>
        </w:rPr>
        <w:t>. Para el Consejo de Estado, quien debe decir qué debe entenderse por la expresión «información oficial de la contratación» es el legislador o a lo sumo el gobierno nacional, a través de un decreto reglamentario, y no la Agencia mediante una circular.</w:t>
      </w:r>
    </w:p>
    <w:p w14:paraId="2FD5599E" w14:textId="0FA9374F" w:rsidR="008617D8" w:rsidRPr="008D74EE" w:rsidRDefault="008617D8" w:rsidP="008617D8">
      <w:pPr>
        <w:spacing w:before="120" w:line="276" w:lineRule="auto"/>
        <w:ind w:firstLine="709"/>
        <w:jc w:val="both"/>
        <w:rPr>
          <w:rFonts w:ascii="Arial" w:hAnsi="Arial" w:cs="Arial"/>
          <w:sz w:val="22"/>
          <w:szCs w:val="22"/>
          <w:lang w:val="es-ES_tradnl"/>
        </w:rPr>
      </w:pPr>
      <w:r w:rsidRPr="008D74EE">
        <w:rPr>
          <w:rFonts w:ascii="Arial" w:hAnsi="Arial" w:cs="Arial"/>
          <w:sz w:val="22"/>
          <w:szCs w:val="22"/>
          <w:lang w:val="es-ES_tradnl"/>
        </w:rPr>
        <w:t xml:space="preserve">Sin embargo, se </w:t>
      </w:r>
      <w:r w:rsidR="00EC1B16" w:rsidRPr="008D74EE">
        <w:rPr>
          <w:rFonts w:ascii="Arial" w:hAnsi="Arial" w:cs="Arial"/>
          <w:sz w:val="22"/>
          <w:szCs w:val="22"/>
          <w:lang w:val="es-ES_tradnl"/>
        </w:rPr>
        <w:t>reitera</w:t>
      </w:r>
      <w:r w:rsidRPr="008D74EE">
        <w:rPr>
          <w:rFonts w:ascii="Arial" w:hAnsi="Arial" w:cs="Arial"/>
          <w:sz w:val="22"/>
          <w:szCs w:val="22"/>
          <w:lang w:val="es-ES_tradnl"/>
        </w:rPr>
        <w:t xml:space="preserve">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«No hay duda de que el literal c) del artículo 3o pertenece a este grupo de normas. Expresamente establece que ese aparte del artículo se aplica a la “</w:t>
      </w:r>
      <w:r w:rsidRPr="008D74EE">
        <w:rPr>
          <w:rFonts w:ascii="Arial" w:hAnsi="Arial" w:cs="Arial"/>
          <w:i/>
          <w:iCs/>
          <w:sz w:val="22"/>
          <w:szCs w:val="22"/>
          <w:lang w:val="es-ES_tradnl"/>
        </w:rPr>
        <w:t>contratación realizada con dineros públicos</w:t>
      </w:r>
      <w:r w:rsidRPr="008D74EE">
        <w:rPr>
          <w:rFonts w:ascii="Arial" w:hAnsi="Arial" w:cs="Arial"/>
          <w:sz w:val="22"/>
          <w:szCs w:val="22"/>
          <w:lang w:val="es-ES_tradnl"/>
        </w:rPr>
        <w:t>”. Para su aplicación resulta irrelevante el régimen contractual del contrato. La publicación de la información oficial de la contratación debe realizarse si los negocios jurídicos adelantados fueron financiados con recursos públicos»</w:t>
      </w:r>
      <w:r w:rsidRPr="008D74EE">
        <w:rPr>
          <w:rStyle w:val="Refdenotaalpie"/>
          <w:rFonts w:ascii="Arial" w:hAnsi="Arial" w:cs="Arial"/>
          <w:sz w:val="22"/>
          <w:szCs w:val="22"/>
          <w:lang w:val="es-ES_tradnl"/>
        </w:rPr>
        <w:footnoteReference w:id="22"/>
      </w:r>
      <w:r w:rsidRPr="008D74EE">
        <w:rPr>
          <w:rFonts w:ascii="Arial" w:hAnsi="Arial" w:cs="Arial"/>
          <w:sz w:val="22"/>
          <w:szCs w:val="22"/>
          <w:lang w:val="es-ES_tradnl"/>
        </w:rPr>
        <w:t xml:space="preserve">. </w:t>
      </w:r>
    </w:p>
    <w:p w14:paraId="26DBC4F0" w14:textId="676A6F0D" w:rsidR="008617D8" w:rsidRPr="008D74EE" w:rsidRDefault="008617D8" w:rsidP="008617D8">
      <w:pPr>
        <w:spacing w:before="120" w:line="276" w:lineRule="auto"/>
        <w:ind w:firstLine="709"/>
        <w:jc w:val="both"/>
        <w:rPr>
          <w:rFonts w:ascii="Arial" w:hAnsi="Arial" w:cs="Arial"/>
          <w:sz w:val="22"/>
          <w:szCs w:val="22"/>
          <w:lang w:val="es-ES_tradnl"/>
        </w:rPr>
      </w:pPr>
      <w:r w:rsidRPr="008D74EE">
        <w:rPr>
          <w:rFonts w:ascii="Arial" w:hAnsi="Arial" w:cs="Arial"/>
          <w:sz w:val="22"/>
          <w:szCs w:val="22"/>
          <w:lang w:val="es-ES_tradnl"/>
        </w:rPr>
        <w:t xml:space="preserve">El Consejo de Estado admite, por tanto, en armonía con lo sostenido por esta Agencia, que el mandato de publicar la «información oficial de la contratación» se predica de la contratación </w:t>
      </w:r>
      <w:r w:rsidRPr="008D74EE">
        <w:rPr>
          <w:rFonts w:ascii="Arial" w:hAnsi="Arial" w:cs="Arial"/>
          <w:i/>
          <w:iCs/>
          <w:sz w:val="22"/>
          <w:szCs w:val="22"/>
          <w:lang w:val="es-ES_tradnl"/>
        </w:rPr>
        <w:t>con recursos públicos</w:t>
      </w:r>
      <w:r w:rsidRPr="008D74EE">
        <w:rPr>
          <w:rFonts w:ascii="Arial" w:hAnsi="Arial" w:cs="Arial"/>
          <w:sz w:val="22"/>
          <w:szCs w:val="22"/>
          <w:lang w:val="es-ES_tradnl"/>
        </w:rPr>
        <w:t>, independientemente de si es adelantada por una entidad estatal sometida o exceptuada del Estatuto General de Contratación de la Administración Pública ‒EGCAP‒. Sin embargo, aclara que el alcance de dicha obligación no es igual para las entidades que se rigen por la Ley 80 de 1993 y demás normas complementarias, que para las que aplican el derecho privado o cuentan con un régimen especial. Al respecto, afirma que mientras que una entidad sometida al EGCAP debe publicar «todos los actos relacionados con la actividad contractual», esto mismo no lo exige el artículo 3 de la Ley 1150 de 2007 para las entidades exceptuadas de dicho Estatuto. Según el alto tribunal, esta interpretación es acorde con los principios de publicidad y de la gestión fiscal, consagrados en los artículo</w:t>
      </w:r>
      <w:r w:rsidR="00400747" w:rsidRPr="008D74EE">
        <w:rPr>
          <w:rFonts w:ascii="Arial" w:hAnsi="Arial" w:cs="Arial"/>
          <w:sz w:val="22"/>
          <w:szCs w:val="22"/>
          <w:lang w:val="es-ES_tradnl"/>
        </w:rPr>
        <w:t>s</w:t>
      </w:r>
      <w:r w:rsidRPr="008D74EE">
        <w:rPr>
          <w:rFonts w:ascii="Arial" w:hAnsi="Arial" w:cs="Arial"/>
          <w:sz w:val="22"/>
          <w:szCs w:val="22"/>
          <w:lang w:val="es-ES_tradnl"/>
        </w:rPr>
        <w:t xml:space="preserve"> 209 y 267 de la Constitución, respectivamente, así como con los principios de igualdad y de libertad de empresa previstos en los artículos 13 y 333 de la misma Carta, en la medida en que, como la mayoría de las entidades exceptuadas del Estatuto General de Contratación de la Administración Pública actúan en competencia en el mercado, exigir que deban publicar en el SECOP la información de toda la actividad contractual podría ponerlas en una situación de desventaja respecto de sus competidores.</w:t>
      </w:r>
    </w:p>
    <w:p w14:paraId="581EEA0D" w14:textId="77777777"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hAnsi="Arial" w:cs="Arial"/>
          <w:sz w:val="22"/>
          <w:szCs w:val="22"/>
          <w:lang w:val="es-ES_tradnl"/>
        </w:rPr>
        <w:t xml:space="preserve">Sin embargo, como se indicó al inicio de este numeral, en el auto del 25 de febrero de 2021 no se decreta la suspensión provisional de todo el contenido de las circulares </w:t>
      </w:r>
      <w:r w:rsidRPr="008D74EE">
        <w:rPr>
          <w:rFonts w:ascii="Arial" w:hAnsi="Arial" w:cs="Arial"/>
          <w:sz w:val="22"/>
          <w:lang w:val="es-ES_tradnl"/>
        </w:rPr>
        <w:t xml:space="preserve">No. </w:t>
      </w:r>
      <w:r w:rsidRPr="008D74EE">
        <w:rPr>
          <w:rFonts w:ascii="Arial" w:hAnsi="Arial" w:cs="Arial"/>
          <w:sz w:val="22"/>
          <w:lang w:val="es-ES_tradnl"/>
        </w:rPr>
        <w:lastRenderedPageBreak/>
        <w:t xml:space="preserve">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8D74EE">
        <w:rPr>
          <w:rFonts w:ascii="Arial" w:hAnsi="Arial" w:cs="Arial"/>
          <w:i/>
          <w:iCs/>
          <w:sz w:val="22"/>
          <w:lang w:val="es-ES_tradnl"/>
        </w:rPr>
        <w:t>quedaron vigentes</w:t>
      </w:r>
      <w:r w:rsidRPr="008D74EE">
        <w:rPr>
          <w:rFonts w:ascii="Arial" w:hAnsi="Arial" w:cs="Arial"/>
          <w:sz w:val="22"/>
          <w:lang w:val="es-ES_tradnl"/>
        </w:rPr>
        <w:t>, redactadas en los siguientes términos –solo hay que entender suspendidas las expresiones tachadas–:</w:t>
      </w:r>
    </w:p>
    <w:p w14:paraId="3505DDC6" w14:textId="77777777" w:rsidR="008617D8" w:rsidRPr="008D74EE" w:rsidRDefault="008617D8" w:rsidP="008617D8">
      <w:pPr>
        <w:ind w:left="709" w:right="709"/>
        <w:jc w:val="both"/>
        <w:rPr>
          <w:rFonts w:ascii="Arial" w:hAnsi="Arial" w:cs="Arial"/>
          <w:sz w:val="21"/>
          <w:szCs w:val="21"/>
          <w:lang w:val="es-ES_tradnl"/>
        </w:rPr>
      </w:pPr>
    </w:p>
    <w:p w14:paraId="202A03BE" w14:textId="01D29935" w:rsidR="008617D8" w:rsidRPr="008D74EE" w:rsidRDefault="008617D8" w:rsidP="0036796F">
      <w:pPr>
        <w:widowControl w:val="0"/>
        <w:ind w:left="709" w:right="709"/>
        <w:jc w:val="both"/>
        <w:rPr>
          <w:rFonts w:ascii="Arial" w:eastAsia="Arial" w:hAnsi="Arial" w:cs="Arial"/>
          <w:sz w:val="21"/>
          <w:szCs w:val="21"/>
          <w:lang w:val="es-ES_tradnl"/>
        </w:rPr>
      </w:pPr>
      <w:r w:rsidRPr="008D74EE">
        <w:rPr>
          <w:rFonts w:ascii="Arial" w:eastAsia="Arial" w:hAnsi="Arial" w:cs="Arial"/>
          <w:sz w:val="21"/>
          <w:szCs w:val="21"/>
          <w:lang w:val="es-ES_tradnl"/>
        </w:rPr>
        <w:t>Circular Externa No. 1 del 21 de junio de 2013:</w:t>
      </w:r>
    </w:p>
    <w:p w14:paraId="074C3862" w14:textId="77777777" w:rsidR="003F6918" w:rsidRPr="008D74EE" w:rsidRDefault="003F6918" w:rsidP="0036796F">
      <w:pPr>
        <w:widowControl w:val="0"/>
        <w:ind w:left="709" w:right="709"/>
        <w:jc w:val="both"/>
        <w:rPr>
          <w:rFonts w:ascii="Arial" w:eastAsia="Arial" w:hAnsi="Arial" w:cs="Arial"/>
          <w:sz w:val="21"/>
          <w:szCs w:val="21"/>
          <w:lang w:val="es-ES_tradnl"/>
        </w:rPr>
      </w:pPr>
    </w:p>
    <w:p w14:paraId="06DE5D94" w14:textId="121BCEF0" w:rsidR="008617D8" w:rsidRPr="008D74EE" w:rsidRDefault="008617D8" w:rsidP="008617D8">
      <w:pPr>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&lt;&lt;Para: Entidades que contratan con recursos públicos</w:t>
      </w:r>
    </w:p>
    <w:p w14:paraId="4FDE94A9" w14:textId="77777777" w:rsidR="003F6918" w:rsidRPr="008D74EE" w:rsidRDefault="003F6918" w:rsidP="008617D8">
      <w:pPr>
        <w:ind w:left="709" w:right="709"/>
        <w:jc w:val="both"/>
        <w:rPr>
          <w:rFonts w:ascii="Arial" w:eastAsia="Arial" w:hAnsi="Arial" w:cs="Arial"/>
          <w:i/>
          <w:sz w:val="21"/>
          <w:szCs w:val="21"/>
          <w:lang w:val="es-ES_tradnl"/>
        </w:rPr>
      </w:pPr>
    </w:p>
    <w:p w14:paraId="1664FE54" w14:textId="60F4B2E2" w:rsidR="008617D8" w:rsidRPr="008D74EE" w:rsidRDefault="008617D8" w:rsidP="008D74EE">
      <w:pPr>
        <w:spacing w:after="120"/>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 xml:space="preserve">Asunto: Publicación </w:t>
      </w:r>
      <w:r w:rsidRPr="008D74EE">
        <w:rPr>
          <w:rFonts w:ascii="Arial" w:eastAsia="Arial" w:hAnsi="Arial" w:cs="Arial"/>
          <w:i/>
          <w:strike/>
          <w:sz w:val="21"/>
          <w:szCs w:val="21"/>
          <w:lang w:val="es-ES_tradnl"/>
        </w:rPr>
        <w:t>de la actividad contractual</w:t>
      </w:r>
      <w:r w:rsidRPr="008D74EE">
        <w:rPr>
          <w:rFonts w:ascii="Arial" w:eastAsia="Arial" w:hAnsi="Arial" w:cs="Arial"/>
          <w:i/>
          <w:sz w:val="21"/>
          <w:szCs w:val="21"/>
          <w:lang w:val="es-ES_tradnl"/>
        </w:rPr>
        <w:t xml:space="preserve"> en el SECOP</w:t>
      </w:r>
    </w:p>
    <w:p w14:paraId="5B96AE9B" w14:textId="267F6F0E" w:rsidR="008617D8" w:rsidRPr="008D74EE" w:rsidRDefault="008617D8" w:rsidP="008D74EE">
      <w:pPr>
        <w:spacing w:after="120"/>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8D74EE">
        <w:rPr>
          <w:rFonts w:ascii="Arial" w:eastAsia="Arial" w:hAnsi="Arial" w:cs="Arial"/>
          <w:i/>
          <w:strike/>
          <w:sz w:val="21"/>
          <w:szCs w:val="21"/>
          <w:lang w:val="es-ES_tradnl"/>
        </w:rPr>
        <w:t xml:space="preserve">su actividad contractual </w:t>
      </w:r>
      <w:r w:rsidRPr="008D74EE">
        <w:rPr>
          <w:rFonts w:ascii="Arial" w:eastAsia="Arial" w:hAnsi="Arial" w:cs="Arial"/>
          <w:i/>
          <w:sz w:val="21"/>
          <w:szCs w:val="21"/>
          <w:lang w:val="es-ES_tradnl"/>
        </w:rPr>
        <w:t>en el Sistema Electrónico para la Contratación Pública -SECOP-.</w:t>
      </w:r>
    </w:p>
    <w:p w14:paraId="5014D57F" w14:textId="01D43598" w:rsidR="008617D8" w:rsidRPr="008D74EE" w:rsidRDefault="008617D8" w:rsidP="008D74EE">
      <w:pPr>
        <w:spacing w:after="120"/>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 xml:space="preserve">Las entidades que contratan con cargo a recursos públicos están obligadas a publicar oportunamente </w:t>
      </w:r>
      <w:r w:rsidRPr="008D74EE">
        <w:rPr>
          <w:rFonts w:ascii="Arial" w:eastAsia="Arial" w:hAnsi="Arial" w:cs="Arial"/>
          <w:i/>
          <w:strike/>
          <w:sz w:val="21"/>
          <w:szCs w:val="21"/>
          <w:lang w:val="es-ES_tradnl"/>
        </w:rPr>
        <w:t>su actividad contractual</w:t>
      </w:r>
      <w:r w:rsidRPr="008D74EE">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8D74EE">
        <w:rPr>
          <w:rFonts w:ascii="Arial" w:eastAsia="Arial" w:hAnsi="Arial" w:cs="Arial"/>
          <w:i/>
          <w:strike/>
          <w:sz w:val="21"/>
          <w:szCs w:val="21"/>
          <w:lang w:val="es-ES_tradnl"/>
        </w:rPr>
        <w:t>su actividad contractual</w:t>
      </w:r>
      <w:r w:rsidRPr="008D74EE">
        <w:rPr>
          <w:rFonts w:ascii="Arial" w:eastAsia="Arial" w:hAnsi="Arial" w:cs="Arial"/>
          <w:i/>
          <w:sz w:val="21"/>
          <w:szCs w:val="21"/>
          <w:lang w:val="es-ES_tradnl"/>
        </w:rPr>
        <w:t xml:space="preserve"> que se ejecute con cargo a recursos públicos.</w:t>
      </w:r>
    </w:p>
    <w:p w14:paraId="5E8F9991" w14:textId="4518C2F6" w:rsidR="008617D8" w:rsidRPr="008D74EE" w:rsidRDefault="008617D8" w:rsidP="008D74EE">
      <w:pPr>
        <w:spacing w:after="120"/>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05AC787A" w14:textId="61FC40CB" w:rsidR="008617D8" w:rsidRPr="008D74EE" w:rsidRDefault="008617D8" w:rsidP="008D74EE">
      <w:pPr>
        <w:spacing w:after="120"/>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 xml:space="preserve">Las entidades que contraten de acuerdo con regímenes especiales deben publicar </w:t>
      </w:r>
      <w:r w:rsidRPr="008D74EE">
        <w:rPr>
          <w:rFonts w:ascii="Arial" w:eastAsia="Arial" w:hAnsi="Arial" w:cs="Arial"/>
          <w:i/>
          <w:strike/>
          <w:sz w:val="21"/>
          <w:szCs w:val="21"/>
          <w:lang w:val="es-ES_tradnl"/>
        </w:rPr>
        <w:t>la actividad contractual</w:t>
      </w:r>
      <w:r w:rsidRPr="008D74EE">
        <w:rPr>
          <w:rFonts w:ascii="Arial" w:eastAsia="Arial" w:hAnsi="Arial" w:cs="Arial"/>
          <w:i/>
          <w:sz w:val="21"/>
          <w:szCs w:val="21"/>
          <w:lang w:val="es-ES_tradnl"/>
        </w:rPr>
        <w:t xml:space="preserve"> en el SECOP utilizando la clasificación "régimen especial".</w:t>
      </w:r>
    </w:p>
    <w:p w14:paraId="44969F43" w14:textId="77777777" w:rsidR="008617D8" w:rsidRPr="008D74EE" w:rsidRDefault="008617D8" w:rsidP="008617D8">
      <w:pPr>
        <w:ind w:left="709" w:right="709"/>
        <w:jc w:val="both"/>
        <w:rPr>
          <w:rFonts w:ascii="Arial" w:eastAsia="Arial" w:hAnsi="Arial" w:cs="Arial"/>
          <w:sz w:val="21"/>
          <w:szCs w:val="21"/>
          <w:lang w:val="es-ES_tradnl"/>
        </w:rPr>
      </w:pPr>
      <w:r w:rsidRPr="008D74EE">
        <w:rPr>
          <w:rFonts w:ascii="Arial" w:eastAsia="Arial" w:hAnsi="Arial" w:cs="Arial"/>
          <w:i/>
          <w:sz w:val="21"/>
          <w:szCs w:val="21"/>
          <w:lang w:val="es-ES_tradnl"/>
        </w:rPr>
        <w:t xml:space="preserve">En http://www.colombiacompra.gov.co/es/compradores está publicado el instructivo para obtener el permiso para publicar </w:t>
      </w:r>
      <w:r w:rsidRPr="008D74EE">
        <w:rPr>
          <w:rFonts w:ascii="Arial" w:eastAsia="Arial" w:hAnsi="Arial" w:cs="Arial"/>
          <w:i/>
          <w:strike/>
          <w:sz w:val="21"/>
          <w:szCs w:val="21"/>
          <w:lang w:val="es-ES_tradnl"/>
        </w:rPr>
        <w:t>la actividad contractual</w:t>
      </w:r>
      <w:r w:rsidRPr="008D74EE">
        <w:rPr>
          <w:rFonts w:ascii="Arial" w:eastAsia="Arial" w:hAnsi="Arial" w:cs="Arial"/>
          <w:i/>
          <w:sz w:val="21"/>
          <w:szCs w:val="21"/>
          <w:lang w:val="es-ES_tradnl"/>
        </w:rPr>
        <w:t>. Si tiene dudas sobre el particular comuníquese en Bogotá al 5953525 opción 5 y para el resto del país al 018000952525 opción 5.&gt;&gt;</w:t>
      </w:r>
    </w:p>
    <w:p w14:paraId="616896FE" w14:textId="77777777" w:rsidR="008617D8" w:rsidRPr="008D74EE" w:rsidRDefault="008617D8" w:rsidP="008617D8">
      <w:pPr>
        <w:widowControl w:val="0"/>
        <w:ind w:left="709" w:right="709"/>
        <w:jc w:val="both"/>
        <w:rPr>
          <w:rFonts w:ascii="Arial" w:eastAsia="Arial" w:hAnsi="Arial" w:cs="Arial"/>
          <w:sz w:val="21"/>
          <w:szCs w:val="21"/>
          <w:lang w:val="es-ES_tradnl"/>
        </w:rPr>
      </w:pPr>
    </w:p>
    <w:p w14:paraId="04757D52" w14:textId="77777777" w:rsidR="008617D8" w:rsidRPr="008D74EE" w:rsidRDefault="008617D8" w:rsidP="008617D8">
      <w:pPr>
        <w:widowControl w:val="0"/>
        <w:ind w:left="709" w:right="709"/>
        <w:jc w:val="both"/>
        <w:rPr>
          <w:rFonts w:ascii="Arial" w:eastAsia="Arial" w:hAnsi="Arial" w:cs="Arial"/>
          <w:sz w:val="21"/>
          <w:szCs w:val="21"/>
          <w:u w:val="single"/>
          <w:lang w:val="es-ES_tradnl"/>
        </w:rPr>
      </w:pPr>
      <w:r w:rsidRPr="008D74EE">
        <w:rPr>
          <w:rFonts w:ascii="Arial" w:eastAsia="Arial" w:hAnsi="Arial" w:cs="Arial"/>
          <w:sz w:val="21"/>
          <w:szCs w:val="21"/>
          <w:u w:val="single"/>
          <w:lang w:val="es-ES_tradnl"/>
        </w:rPr>
        <w:t>Circular Externa No. 20 del 27 de agosto de 2015:</w:t>
      </w:r>
    </w:p>
    <w:p w14:paraId="2A556D9C" w14:textId="77777777" w:rsidR="008617D8" w:rsidRPr="008D74EE" w:rsidRDefault="008617D8" w:rsidP="008617D8">
      <w:pPr>
        <w:widowControl w:val="0"/>
        <w:ind w:left="709" w:right="709"/>
        <w:jc w:val="both"/>
        <w:rPr>
          <w:rFonts w:ascii="Arial" w:eastAsia="Arial" w:hAnsi="Arial" w:cs="Arial"/>
          <w:sz w:val="21"/>
          <w:szCs w:val="21"/>
          <w:lang w:val="es-ES_tradnl"/>
        </w:rPr>
      </w:pPr>
    </w:p>
    <w:p w14:paraId="2A5AC3B4" w14:textId="6ACCCC5A" w:rsidR="008617D8" w:rsidRPr="008D74EE" w:rsidRDefault="008617D8" w:rsidP="008617D8">
      <w:pPr>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 xml:space="preserve">&lt;&lt;Para: Entidades que contratan con recursos públicos </w:t>
      </w:r>
    </w:p>
    <w:p w14:paraId="4DC894C7" w14:textId="77777777" w:rsidR="003F6918" w:rsidRPr="008D74EE" w:rsidRDefault="003F6918" w:rsidP="008617D8">
      <w:pPr>
        <w:ind w:left="709" w:right="709"/>
        <w:jc w:val="both"/>
        <w:rPr>
          <w:rFonts w:ascii="Arial" w:eastAsia="Arial" w:hAnsi="Arial" w:cs="Arial"/>
          <w:i/>
          <w:sz w:val="21"/>
          <w:szCs w:val="21"/>
          <w:lang w:val="es-ES_tradnl"/>
        </w:rPr>
      </w:pPr>
    </w:p>
    <w:p w14:paraId="1F000ECD" w14:textId="254E8C08" w:rsidR="008617D8" w:rsidRPr="008D74EE" w:rsidRDefault="008617D8" w:rsidP="008D74EE">
      <w:pPr>
        <w:spacing w:after="120"/>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42E8EE88" w14:textId="515ED20B" w:rsidR="008617D8" w:rsidRPr="008D74EE" w:rsidRDefault="008617D8" w:rsidP="008D74EE">
      <w:pPr>
        <w:spacing w:after="120"/>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lastRenderedPageBreak/>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8D74EE">
        <w:rPr>
          <w:rFonts w:ascii="Arial" w:eastAsia="Arial" w:hAnsi="Arial" w:cs="Arial"/>
          <w:i/>
          <w:strike/>
          <w:sz w:val="21"/>
          <w:szCs w:val="21"/>
          <w:lang w:val="es-ES_tradnl"/>
        </w:rPr>
        <w:t>de la actividad contractual</w:t>
      </w:r>
      <w:r w:rsidRPr="008D74EE">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76195FDA" w14:textId="3DACC03F" w:rsidR="008617D8" w:rsidRPr="008D74EE" w:rsidRDefault="008617D8" w:rsidP="008D74EE">
      <w:pPr>
        <w:spacing w:after="120"/>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8D74EE">
        <w:rPr>
          <w:rFonts w:ascii="Arial" w:eastAsia="Arial" w:hAnsi="Arial" w:cs="Arial"/>
          <w:i/>
          <w:strike/>
          <w:sz w:val="21"/>
          <w:szCs w:val="21"/>
          <w:lang w:val="es-ES_tradnl"/>
        </w:rPr>
        <w:t>de la actividad contractual</w:t>
      </w:r>
      <w:r w:rsidRPr="008D74EE">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8D74EE">
        <w:rPr>
          <w:rFonts w:ascii="Arial" w:eastAsia="Arial" w:hAnsi="Arial" w:cs="Arial"/>
          <w:i/>
          <w:strike/>
          <w:sz w:val="21"/>
          <w:szCs w:val="21"/>
          <w:lang w:val="es-ES_tradnl"/>
        </w:rPr>
        <w:t>de su actividad contractual</w:t>
      </w:r>
      <w:r w:rsidRPr="008D74EE">
        <w:rPr>
          <w:rFonts w:ascii="Arial" w:eastAsia="Arial" w:hAnsi="Arial" w:cs="Arial"/>
          <w:i/>
          <w:sz w:val="21"/>
          <w:szCs w:val="21"/>
          <w:lang w:val="es-ES_tradnl"/>
        </w:rPr>
        <w:t xml:space="preserve">. La información </w:t>
      </w:r>
      <w:r w:rsidRPr="008D74EE">
        <w:rPr>
          <w:rFonts w:ascii="Arial" w:eastAsia="Arial" w:hAnsi="Arial" w:cs="Arial"/>
          <w:i/>
          <w:strike/>
          <w:sz w:val="21"/>
          <w:szCs w:val="21"/>
          <w:lang w:val="es-ES_tradnl"/>
        </w:rPr>
        <w:t>de la actividad contractual</w:t>
      </w:r>
      <w:r w:rsidRPr="008D74EE">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467F1C1D" w14:textId="77777777" w:rsidR="008617D8" w:rsidRPr="008D74EE" w:rsidRDefault="008617D8" w:rsidP="008617D8">
      <w:pPr>
        <w:ind w:left="709" w:right="709"/>
        <w:jc w:val="both"/>
        <w:rPr>
          <w:rFonts w:ascii="Arial" w:eastAsia="Arial" w:hAnsi="Arial" w:cs="Arial"/>
          <w:i/>
          <w:sz w:val="21"/>
          <w:szCs w:val="21"/>
          <w:lang w:val="es-ES_tradnl"/>
        </w:rPr>
      </w:pPr>
      <w:r w:rsidRPr="008D74EE">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8D74EE">
        <w:rPr>
          <w:rFonts w:ascii="Arial" w:eastAsia="Arial" w:hAnsi="Arial" w:cs="Arial"/>
          <w:i/>
          <w:strike/>
          <w:sz w:val="21"/>
          <w:szCs w:val="21"/>
          <w:lang w:val="es-ES_tradnl"/>
        </w:rPr>
        <w:t xml:space="preserve">su actividad contractual </w:t>
      </w:r>
      <w:r w:rsidRPr="008D74EE">
        <w:rPr>
          <w:rFonts w:ascii="Arial" w:eastAsia="Arial" w:hAnsi="Arial" w:cs="Arial"/>
          <w:i/>
          <w:sz w:val="21"/>
          <w:szCs w:val="21"/>
          <w:lang w:val="es-ES_tradnl"/>
        </w:rPr>
        <w:t>en el SECOP utilizando la clasificación "régimen especial”.&gt;&gt;</w:t>
      </w:r>
    </w:p>
    <w:p w14:paraId="1566705C" w14:textId="77777777" w:rsidR="008617D8" w:rsidRPr="008D74EE" w:rsidRDefault="008617D8" w:rsidP="008617D8">
      <w:pPr>
        <w:ind w:right="709"/>
        <w:jc w:val="both"/>
        <w:rPr>
          <w:rFonts w:ascii="Arial" w:hAnsi="Arial" w:cs="Arial"/>
          <w:sz w:val="21"/>
          <w:szCs w:val="21"/>
          <w:lang w:val="es-ES_tradnl"/>
        </w:rPr>
      </w:pPr>
    </w:p>
    <w:p w14:paraId="15F13B83" w14:textId="77777777" w:rsidR="008617D8" w:rsidRPr="008D74EE" w:rsidRDefault="008617D8" w:rsidP="008617D8">
      <w:pPr>
        <w:spacing w:line="276" w:lineRule="auto"/>
        <w:ind w:firstLine="709"/>
        <w:jc w:val="both"/>
        <w:rPr>
          <w:rFonts w:ascii="Arial" w:hAnsi="Arial" w:cs="Arial"/>
          <w:sz w:val="22"/>
          <w:szCs w:val="22"/>
          <w:lang w:val="es-ES_tradnl"/>
        </w:rPr>
      </w:pPr>
      <w:r w:rsidRPr="008D74EE">
        <w:rPr>
          <w:rFonts w:ascii="Arial" w:hAnsi="Arial" w:cs="Arial"/>
          <w:sz w:val="22"/>
          <w:szCs w:val="22"/>
          <w:lang w:val="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Dicha obligación se fundamenta, entre otros, en los siguientes enunciados normativos: i) los artículos 74 y 209 de la Constitución, ii) el artículo 3, literal c) de la Ley 1150 de 2007, iii) los artículos 3, 9, literal e) y 11, literal g), de la Ley 1712 de 2014, iv) </w:t>
      </w:r>
      <w:r w:rsidRPr="008D74EE">
        <w:rPr>
          <w:rFonts w:ascii="Arial" w:eastAsia="Calibri" w:hAnsi="Arial" w:cs="Arial"/>
          <w:sz w:val="22"/>
          <w:lang w:val="es-ES_tradnl"/>
        </w:rPr>
        <w:t>los artículos 7 al 10 del Decreto 103 de 2015 –compilado en los artículos 2.1.1.1.1. al 2.1.1.6.1. del Decreto 1081 de 2015–</w:t>
      </w:r>
      <w:r w:rsidRPr="008D74EE">
        <w:rPr>
          <w:rFonts w:ascii="Arial" w:hAnsi="Arial" w:cs="Arial"/>
          <w:sz w:val="22"/>
          <w:szCs w:val="22"/>
          <w:lang w:val="es-ES_tradnl"/>
        </w:rPr>
        <w:t xml:space="preserve"> y v) las circulares </w:t>
      </w:r>
      <w:r w:rsidRPr="008D74EE">
        <w:rPr>
          <w:rFonts w:ascii="Arial" w:eastAsia="Arial" w:hAnsi="Arial" w:cs="Arial"/>
          <w:sz w:val="22"/>
          <w:szCs w:val="22"/>
          <w:lang w:val="es-ES_tradnl"/>
        </w:rPr>
        <w:t xml:space="preserve">No. 1 del 21 de junio de 2013, No. 20 del 27 de agosto de 2015, </w:t>
      </w:r>
      <w:r w:rsidRPr="008D74EE">
        <w:rPr>
          <w:rFonts w:ascii="Arial" w:hAnsi="Arial" w:cs="Arial"/>
          <w:bCs/>
          <w:sz w:val="22"/>
          <w:szCs w:val="22"/>
          <w:lang w:val="es-ES_tradnl"/>
        </w:rPr>
        <w:t>No. 23 del 16 de marzo de 2017, No. 007 de 2020 y la Circular Externa Única –actualizada el 16 de abril de 2019–</w:t>
      </w:r>
      <w:r w:rsidRPr="008D74EE">
        <w:rPr>
          <w:rStyle w:val="Refdenotaalpie"/>
          <w:rFonts w:ascii="Arial" w:hAnsi="Arial" w:cs="Arial"/>
          <w:bCs/>
          <w:sz w:val="22"/>
          <w:szCs w:val="22"/>
          <w:lang w:val="es-ES_tradnl"/>
        </w:rPr>
        <w:footnoteReference w:id="23"/>
      </w:r>
      <w:r w:rsidRPr="008D74EE">
        <w:rPr>
          <w:rFonts w:ascii="Arial" w:hAnsi="Arial" w:cs="Arial"/>
          <w:bCs/>
          <w:sz w:val="22"/>
          <w:szCs w:val="22"/>
          <w:lang w:val="es-ES_tradnl"/>
        </w:rPr>
        <w:t>, de la Agencia Nacional de Contratación Pública – Colombia Compra Eficiente.</w:t>
      </w:r>
    </w:p>
    <w:p w14:paraId="6284CC02" w14:textId="69BB7B95" w:rsidR="008617D8" w:rsidRPr="008D74EE" w:rsidRDefault="008617D8" w:rsidP="008617D8">
      <w:pPr>
        <w:spacing w:before="120" w:line="276" w:lineRule="auto"/>
        <w:ind w:firstLine="709"/>
        <w:jc w:val="both"/>
        <w:rPr>
          <w:rFonts w:ascii="Arial" w:hAnsi="Arial" w:cs="Arial"/>
          <w:bCs/>
          <w:sz w:val="22"/>
          <w:lang w:val="es-ES_tradnl"/>
        </w:rPr>
      </w:pPr>
      <w:r w:rsidRPr="008D74EE">
        <w:rPr>
          <w:rFonts w:ascii="Arial" w:hAnsi="Arial" w:cs="Arial"/>
          <w:bCs/>
          <w:sz w:val="22"/>
          <w:lang w:val="es-ES_tradnl"/>
        </w:rPr>
        <w:lastRenderedPageBreak/>
        <w:t xml:space="preserve">Ahora, en lo que respecta al contenido o alcance de la expresión «información oficial de la contratación», empleada por el Congreso de la República en el artículo 3, literal c) de la Ley 1150 de 2007, la Agencia Nacional de Contratación Pública considera que el auto del 25 de febrero de 2021 no afecta la interpretación adoptada por esta misma Agencia en el Concepto CU-003 del 15 de enero de 2020 y, en consecuencia, mantendrá los argumentos que allí se expusieron y que a continuación se reproducirán. </w:t>
      </w:r>
      <w:r w:rsidR="003A125E" w:rsidRPr="008D74EE">
        <w:rPr>
          <w:rFonts w:ascii="Arial" w:hAnsi="Arial" w:cs="Arial"/>
          <w:bCs/>
          <w:sz w:val="22"/>
          <w:lang w:val="es-ES_tradnl"/>
        </w:rPr>
        <w:t>Sin embargo</w:t>
      </w:r>
      <w:r w:rsidRPr="008D74EE">
        <w:rPr>
          <w:rFonts w:ascii="Arial" w:hAnsi="Arial" w:cs="Arial"/>
          <w:bCs/>
          <w:sz w:val="22"/>
          <w:lang w:val="es-ES_tradnl"/>
        </w:rPr>
        <w:t>, antes de eso, se explica por qué el referido auto no se aparta de la interpretación que en el siguiente numeral de este concepto reiterará la Subdirección de Gestión Contractual:</w:t>
      </w:r>
    </w:p>
    <w:p w14:paraId="1B934424" w14:textId="5880F192" w:rsidR="008617D8" w:rsidRPr="008D74EE" w:rsidRDefault="008617D8" w:rsidP="008617D8">
      <w:pPr>
        <w:spacing w:before="120" w:line="276" w:lineRule="auto"/>
        <w:ind w:firstLine="709"/>
        <w:jc w:val="both"/>
        <w:rPr>
          <w:rFonts w:ascii="Arial" w:eastAsia="Calibri" w:hAnsi="Arial" w:cs="Arial"/>
          <w:sz w:val="22"/>
          <w:lang w:val="es-ES_tradnl"/>
        </w:rPr>
      </w:pPr>
      <w:r w:rsidRPr="008D74EE">
        <w:rPr>
          <w:rFonts w:ascii="Arial" w:hAnsi="Arial" w:cs="Arial"/>
          <w:bCs/>
          <w:sz w:val="22"/>
          <w:lang w:val="es-ES_tradnl"/>
        </w:rPr>
        <w:t xml:space="preserve">a) En dicha providencia se </w:t>
      </w:r>
      <w:r w:rsidR="00EB7764" w:rsidRPr="008D74EE">
        <w:rPr>
          <w:rFonts w:ascii="Arial" w:hAnsi="Arial" w:cs="Arial"/>
          <w:bCs/>
          <w:sz w:val="22"/>
          <w:lang w:val="es-ES_tradnl"/>
        </w:rPr>
        <w:t xml:space="preserve">explica </w:t>
      </w:r>
      <w:r w:rsidRPr="008D74EE">
        <w:rPr>
          <w:rFonts w:ascii="Arial" w:hAnsi="Arial" w:cs="Arial"/>
          <w:bCs/>
          <w:sz w:val="22"/>
          <w:lang w:val="es-ES_tradnl"/>
        </w:rPr>
        <w:t xml:space="preserve">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pública. Esta habilitación se encuentra en </w:t>
      </w:r>
      <w:r w:rsidRPr="008D74EE">
        <w:rPr>
          <w:rFonts w:ascii="Arial" w:eastAsia="Calibri" w:hAnsi="Arial" w:cs="Arial"/>
          <w:sz w:val="22"/>
          <w:lang w:val="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 por lo tanto, no es un reglamento, sino que es un criterio doctrinario o auxiliar, según el efecto que a aquellos les confiere el segundo inciso del artículo 230 de la Constitución Política y el artículo 28 de la Ley 1437 de 2011.</w:t>
      </w:r>
    </w:p>
    <w:p w14:paraId="7BA9E3A1" w14:textId="77777777" w:rsidR="008617D8" w:rsidRPr="008D74EE" w:rsidRDefault="008617D8" w:rsidP="008617D8">
      <w:pPr>
        <w:spacing w:before="120" w:line="276" w:lineRule="auto"/>
        <w:ind w:firstLine="709"/>
        <w:jc w:val="both"/>
        <w:rPr>
          <w:rFonts w:ascii="Arial" w:eastAsia="Calibri" w:hAnsi="Arial" w:cs="Arial"/>
          <w:sz w:val="22"/>
          <w:lang w:val="es-ES_tradnl"/>
        </w:rPr>
      </w:pPr>
      <w:r w:rsidRPr="008D74EE">
        <w:rPr>
          <w:rFonts w:ascii="Arial" w:eastAsia="Calibri" w:hAnsi="Arial" w:cs="Arial"/>
          <w:sz w:val="22"/>
          <w:lang w:val="es-ES_tradnl"/>
        </w:rPr>
        <w:t>b) En el auto del 25 de febrero de 2021 la Sección Tercera del Consejo de Estado señala que las entidades exceptuadas del Estatuto General de Contratación de la Administración Pública –es decir, las que cuentan con un régimen especial, preponderantemente de derecho privado– no deben publicar la misma información en el SECOP que las sometidas a dicho Estatuto. Pues bien, en el concepto CU-003 del 15 de enero de 2020 Colombia Compra Eficiente acoge una tesis similar, explicando cuáles deberían ser entonces los documentos que han de publicar en el SECOP las entidades que se rigen por el derecho privado en su contratación, que no son los mismos que aquellos que deben publicar las que se rigen por la Ley 80 de 1993 y demás disposiciones complementarias de esta.</w:t>
      </w:r>
    </w:p>
    <w:p w14:paraId="3F8E8D6D" w14:textId="77777777" w:rsidR="008617D8" w:rsidRPr="008D74EE" w:rsidRDefault="008617D8" w:rsidP="008617D8">
      <w:pPr>
        <w:spacing w:before="120" w:line="276" w:lineRule="auto"/>
        <w:ind w:firstLine="709"/>
        <w:jc w:val="both"/>
        <w:rPr>
          <w:rFonts w:ascii="Arial" w:hAnsi="Arial" w:cs="Arial"/>
          <w:bCs/>
          <w:sz w:val="22"/>
          <w:lang w:val="es-ES_tradnl"/>
        </w:rPr>
      </w:pPr>
      <w:r w:rsidRPr="008D74EE">
        <w:rPr>
          <w:rFonts w:ascii="Arial" w:eastAsia="Calibri" w:hAnsi="Arial" w:cs="Arial"/>
          <w:sz w:val="22"/>
          <w:lang w:val="es-ES_tradnl"/>
        </w:rPr>
        <w:t xml:space="preserve">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w:t>
      </w:r>
      <w:r w:rsidRPr="008D74EE">
        <w:rPr>
          <w:rFonts w:ascii="Arial" w:eastAsia="Calibri" w:hAnsi="Arial" w:cs="Arial"/>
          <w:sz w:val="22"/>
          <w:lang w:val="es-ES_tradnl"/>
        </w:rPr>
        <w:lastRenderedPageBreak/>
        <w:t>literal g) de la Ley 1712 de 2014 y en los artículos 7 al 10 del Decreto 103 de 2015 –compilado en los artículos 2.1.1.1.1. al 2.1.1.6.1. del Decreto 1081 de 2015–. Es decir, la Agencia respetó el régimen legal y reglamentario que en la actualidad desarrolla el derecho de transparencia y de acceso a la información pública. Por ende, el auto del Consejo de Estado del 25 de febrero de 2021 no es contrario a la interpretación aquí expuesta.</w:t>
      </w:r>
    </w:p>
    <w:p w14:paraId="1F189AFA" w14:textId="6C0471FA" w:rsidR="00616FC2" w:rsidRPr="008D74EE" w:rsidRDefault="008617D8" w:rsidP="00570214">
      <w:pPr>
        <w:ind w:left="709" w:right="709"/>
        <w:jc w:val="both"/>
        <w:rPr>
          <w:rFonts w:ascii="Arial" w:hAnsi="Arial" w:cs="Arial"/>
          <w:b/>
          <w:sz w:val="22"/>
          <w:lang w:val="es-ES_tradnl"/>
        </w:rPr>
      </w:pPr>
      <w:r w:rsidRPr="008D74EE">
        <w:rPr>
          <w:rFonts w:ascii="Arial" w:hAnsi="Arial" w:cs="Arial"/>
          <w:sz w:val="21"/>
          <w:szCs w:val="21"/>
          <w:lang w:val="es-ES_tradnl"/>
        </w:rPr>
        <w:t xml:space="preserve">  </w:t>
      </w:r>
    </w:p>
    <w:p w14:paraId="212D6892" w14:textId="31D04CA1" w:rsidR="008617D8" w:rsidRPr="008D74EE" w:rsidRDefault="008617D8" w:rsidP="008617D8">
      <w:pPr>
        <w:pStyle w:val="Prrafodelista"/>
        <w:tabs>
          <w:tab w:val="left" w:pos="284"/>
          <w:tab w:val="left" w:pos="426"/>
        </w:tabs>
        <w:spacing w:line="276" w:lineRule="auto"/>
        <w:ind w:left="0"/>
        <w:jc w:val="both"/>
        <w:rPr>
          <w:rFonts w:ascii="Arial" w:hAnsi="Arial" w:cs="Arial"/>
          <w:b/>
          <w:sz w:val="22"/>
          <w:lang w:val="es-ES_tradnl"/>
        </w:rPr>
      </w:pPr>
      <w:r w:rsidRPr="008D74EE">
        <w:rPr>
          <w:rFonts w:ascii="Arial" w:hAnsi="Arial" w:cs="Arial"/>
          <w:b/>
          <w:sz w:val="22"/>
          <w:lang w:val="es-ES_tradnl"/>
        </w:rPr>
        <w:t xml:space="preserve">2.3. Documentos que deben publicar en el SECOP las entidades estatales de régimen especial. Reiteración del concepto CU-003 del 15 de enero de 2020 </w:t>
      </w:r>
    </w:p>
    <w:p w14:paraId="6611620F" w14:textId="77777777" w:rsidR="008617D8" w:rsidRPr="008D74EE" w:rsidRDefault="008617D8" w:rsidP="008617D8">
      <w:pPr>
        <w:pStyle w:val="Prrafodelista"/>
        <w:spacing w:line="276" w:lineRule="auto"/>
        <w:ind w:left="0"/>
        <w:jc w:val="both"/>
        <w:rPr>
          <w:rFonts w:ascii="Arial" w:hAnsi="Arial" w:cs="Arial"/>
          <w:b/>
          <w:sz w:val="22"/>
          <w:lang w:val="es-ES_tradnl"/>
        </w:rPr>
      </w:pPr>
    </w:p>
    <w:p w14:paraId="43EBBC0E" w14:textId="77777777" w:rsidR="008617D8" w:rsidRPr="008D74EE" w:rsidRDefault="008617D8" w:rsidP="008617D8">
      <w:pPr>
        <w:pStyle w:val="Prrafodelista"/>
        <w:spacing w:line="276" w:lineRule="auto"/>
        <w:ind w:left="0"/>
        <w:jc w:val="both"/>
        <w:rPr>
          <w:rFonts w:ascii="Arial" w:eastAsia="Calibri" w:hAnsi="Arial" w:cs="Arial"/>
          <w:sz w:val="22"/>
          <w:lang w:val="es-ES_tradnl"/>
        </w:rPr>
      </w:pPr>
      <w:r w:rsidRPr="008D74EE">
        <w:rPr>
          <w:rFonts w:ascii="Arial" w:eastAsia="Calibri" w:hAnsi="Arial" w:cs="Arial"/>
          <w:sz w:val="22"/>
          <w:lang w:val="es-ES_tradnl"/>
        </w:rPr>
        <w:t xml:space="preserve">Determinada la obligación que tienen las entidades sujetas a un régimen especial de publicar la información oficial de su contratación con recursos públicos en el SECOP, a </w:t>
      </w:r>
      <w:proofErr w:type="gramStart"/>
      <w:r w:rsidRPr="008D74EE">
        <w:rPr>
          <w:rFonts w:ascii="Arial" w:eastAsia="Calibri" w:hAnsi="Arial" w:cs="Arial"/>
          <w:sz w:val="22"/>
          <w:lang w:val="es-ES_tradnl"/>
        </w:rPr>
        <w:t>continuación</w:t>
      </w:r>
      <w:proofErr w:type="gramEnd"/>
      <w:r w:rsidRPr="008D74EE">
        <w:rPr>
          <w:rFonts w:ascii="Arial" w:eastAsia="Calibri" w:hAnsi="Arial" w:cs="Arial"/>
          <w:sz w:val="22"/>
          <w:lang w:val="es-ES_tradnl"/>
        </w:rPr>
        <w:t xml:space="preserve"> se identificarán los documentos que deben publicar, n</w:t>
      </w:r>
      <w:r w:rsidRPr="008D74EE">
        <w:rPr>
          <w:rFonts w:ascii="Arial" w:hAnsi="Arial" w:cs="Arial"/>
          <w:bCs/>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459A406C" w14:textId="77777777" w:rsidR="008617D8" w:rsidRPr="008D74EE" w:rsidRDefault="008617D8" w:rsidP="008617D8">
      <w:pPr>
        <w:spacing w:before="120" w:line="276" w:lineRule="auto"/>
        <w:ind w:firstLine="709"/>
        <w:jc w:val="both"/>
        <w:rPr>
          <w:rFonts w:ascii="Arial" w:hAnsi="Arial" w:cs="Arial"/>
          <w:sz w:val="22"/>
          <w:lang w:val="es-ES_tradnl"/>
        </w:rPr>
      </w:pPr>
      <w:r w:rsidRPr="008D74EE">
        <w:rPr>
          <w:rFonts w:ascii="Arial" w:eastAsia="Calibri" w:hAnsi="Arial" w:cs="Arial"/>
          <w:sz w:val="22"/>
          <w:lang w:val="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8D74EE">
        <w:rPr>
          <w:rFonts w:ascii="Arial" w:hAnsi="Arial" w:cs="Arial"/>
          <w:bCs/>
          <w:sz w:val="22"/>
          <w:lang w:val="es-ES_tradnl"/>
        </w:rPr>
        <w:t>P todos los documentos del proceso que define el Decreto 1082 de 2015, así como lo relativo a la ejecución del contrato. Lo anterior, a partir de lo dispuesto en el literal c) del artículo 3 de la Ley 1150 de 2007</w:t>
      </w:r>
      <w:r w:rsidRPr="008D74EE">
        <w:rPr>
          <w:rStyle w:val="Refdenotaalpie"/>
          <w:rFonts w:ascii="Arial" w:hAnsi="Arial" w:cs="Arial"/>
          <w:bCs/>
          <w:sz w:val="22"/>
          <w:lang w:val="es-ES_tradnl"/>
        </w:rPr>
        <w:footnoteReference w:id="24"/>
      </w:r>
      <w:r w:rsidRPr="008D74EE">
        <w:rPr>
          <w:rFonts w:ascii="Arial" w:hAnsi="Arial" w:cs="Arial"/>
          <w:bCs/>
          <w:sz w:val="22"/>
          <w:lang w:val="es-ES_tradnl"/>
        </w:rPr>
        <w:t xml:space="preserve">. </w:t>
      </w:r>
      <w:r w:rsidRPr="008D74EE">
        <w:rPr>
          <w:rFonts w:ascii="Arial" w:hAnsi="Arial" w:cs="Arial"/>
          <w:sz w:val="22"/>
          <w:lang w:val="es-ES_tradnl"/>
        </w:rPr>
        <w:t xml:space="preserve">En este sentido, reconoció la obligatoriedad, por parte de las entidades de régimen especial, de publicar su </w:t>
      </w:r>
      <w:r w:rsidRPr="008D74EE">
        <w:rPr>
          <w:rFonts w:ascii="Arial" w:hAnsi="Arial" w:cs="Arial"/>
          <w:i/>
          <w:iCs/>
          <w:sz w:val="22"/>
          <w:lang w:val="es-ES_tradnl"/>
        </w:rPr>
        <w:t>actividad contractual</w:t>
      </w:r>
      <w:r w:rsidRPr="008D74EE">
        <w:rPr>
          <w:rFonts w:ascii="Arial" w:hAnsi="Arial" w:cs="Arial"/>
          <w:sz w:val="22"/>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49A6592F" w14:textId="77777777" w:rsidR="008617D8" w:rsidRPr="008D74EE" w:rsidRDefault="008617D8" w:rsidP="008617D8">
      <w:pPr>
        <w:spacing w:before="120" w:line="276" w:lineRule="auto"/>
        <w:ind w:firstLine="709"/>
        <w:jc w:val="both"/>
        <w:rPr>
          <w:rFonts w:ascii="Arial" w:eastAsia="Calibri" w:hAnsi="Arial" w:cs="Arial"/>
          <w:sz w:val="22"/>
          <w:lang w:val="es-ES_tradnl"/>
        </w:rPr>
      </w:pPr>
      <w:r w:rsidRPr="008D74EE">
        <w:rPr>
          <w:rFonts w:ascii="Arial" w:eastAsia="Calibri" w:hAnsi="Arial" w:cs="Arial"/>
          <w:sz w:val="22"/>
          <w:lang w:val="es-ES_tradnl"/>
        </w:rPr>
        <w:t xml:space="preserve">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w:t>
      </w:r>
      <w:r w:rsidRPr="008D74EE">
        <w:rPr>
          <w:rFonts w:ascii="Arial" w:eastAsia="Calibri" w:hAnsi="Arial" w:cs="Arial"/>
          <w:sz w:val="22"/>
          <w:lang w:val="es-ES_tradnl"/>
        </w:rPr>
        <w:lastRenderedPageBreak/>
        <w:t>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8D74EE">
        <w:rPr>
          <w:rStyle w:val="Refdenotaalpie"/>
          <w:rFonts w:ascii="Arial" w:eastAsia="Calibri" w:hAnsi="Arial" w:cs="Arial"/>
          <w:sz w:val="22"/>
          <w:lang w:val="es-ES_tradnl"/>
        </w:rPr>
        <w:footnoteReference w:id="25"/>
      </w:r>
      <w:r w:rsidRPr="008D74EE">
        <w:rPr>
          <w:rFonts w:ascii="Arial" w:eastAsia="Calibri" w:hAnsi="Arial" w:cs="Arial"/>
          <w:sz w:val="22"/>
          <w:lang w:val="es-ES_tradnl"/>
        </w:rPr>
        <w:t xml:space="preserve">. </w:t>
      </w:r>
    </w:p>
    <w:p w14:paraId="0DB833C6" w14:textId="77777777" w:rsidR="008617D8" w:rsidRPr="008D74EE" w:rsidRDefault="008617D8" w:rsidP="008617D8">
      <w:pPr>
        <w:spacing w:before="120" w:line="276" w:lineRule="auto"/>
        <w:ind w:firstLine="709"/>
        <w:jc w:val="both"/>
        <w:rPr>
          <w:rFonts w:ascii="Arial" w:eastAsia="Calibri" w:hAnsi="Arial" w:cs="Arial"/>
          <w:sz w:val="22"/>
          <w:lang w:val="es-ES_tradnl"/>
        </w:rPr>
      </w:pPr>
      <w:r w:rsidRPr="008D74EE">
        <w:rPr>
          <w:rFonts w:ascii="Arial" w:eastAsia="Calibri" w:hAnsi="Arial" w:cs="Arial"/>
          <w:sz w:val="22"/>
          <w:lang w:val="es-ES_tradnl"/>
        </w:rPr>
        <w:t>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6EA6E248" w14:textId="77777777" w:rsidR="008617D8" w:rsidRPr="008D74EE" w:rsidRDefault="008617D8" w:rsidP="008617D8">
      <w:pPr>
        <w:spacing w:before="120" w:line="276" w:lineRule="auto"/>
        <w:ind w:firstLine="709"/>
        <w:jc w:val="both"/>
        <w:rPr>
          <w:rFonts w:ascii="Arial" w:eastAsia="Calibri" w:hAnsi="Arial" w:cs="Arial"/>
          <w:sz w:val="22"/>
          <w:lang w:val="es-ES_tradnl"/>
        </w:rPr>
      </w:pPr>
      <w:r w:rsidRPr="008D74EE">
        <w:rPr>
          <w:rFonts w:ascii="Arial" w:eastAsia="Calibri" w:hAnsi="Arial" w:cs="Arial"/>
          <w:sz w:val="22"/>
          <w:lang w:val="es-ES_tradnl"/>
        </w:rPr>
        <w:t xml:space="preserve">En efecto, la Ley 1712 de 2014 –«Por medio de la cual se crea la Ley de Transparencia y del Derecho de Acceso a la Información Pública Nacional y se dictan otras disposiciones»–, señala en el artículo 11, literal g), que todo </w:t>
      </w:r>
      <w:r w:rsidRPr="008D74EE">
        <w:rPr>
          <w:rFonts w:ascii="Arial" w:eastAsia="Calibri" w:hAnsi="Arial" w:cs="Arial"/>
          <w:i/>
          <w:iCs/>
          <w:sz w:val="22"/>
          <w:lang w:val="es-ES_tradnl"/>
        </w:rPr>
        <w:t>sujeto obligado</w:t>
      </w:r>
      <w:r w:rsidRPr="008D74EE">
        <w:rPr>
          <w:rFonts w:ascii="Arial" w:eastAsia="Calibri" w:hAnsi="Arial" w:cs="Arial"/>
          <w:sz w:val="22"/>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1343DC92" w14:textId="77777777" w:rsidR="008617D8" w:rsidRPr="008D74EE" w:rsidRDefault="008617D8" w:rsidP="008617D8">
      <w:pPr>
        <w:spacing w:before="120" w:line="276" w:lineRule="auto"/>
        <w:ind w:firstLine="709"/>
        <w:jc w:val="both"/>
        <w:rPr>
          <w:rFonts w:ascii="Arial" w:eastAsia="Calibri" w:hAnsi="Arial" w:cs="Arial"/>
          <w:sz w:val="22"/>
          <w:szCs w:val="22"/>
          <w:lang w:val="es-ES_tradnl"/>
        </w:rPr>
      </w:pPr>
      <w:r w:rsidRPr="008D74EE">
        <w:rPr>
          <w:rFonts w:ascii="Arial" w:eastAsia="Calibri" w:hAnsi="Arial" w:cs="Arial"/>
          <w:sz w:val="22"/>
          <w:szCs w:val="22"/>
          <w:lang w:val="es-ES_tradnl"/>
        </w:rPr>
        <w:t xml:space="preserve">Luego,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w:t>
      </w:r>
      <w:r w:rsidRPr="008D74EE">
        <w:rPr>
          <w:rFonts w:ascii="Arial" w:eastAsia="Calibri" w:hAnsi="Arial" w:cs="Arial"/>
          <w:sz w:val="22"/>
          <w:szCs w:val="22"/>
          <w:lang w:val="es-ES_tradnl"/>
        </w:rPr>
        <w:lastRenderedPageBreak/>
        <w:t>ejecución del contrato</w:t>
      </w:r>
      <w:r w:rsidRPr="008D74EE">
        <w:rPr>
          <w:rStyle w:val="Refdenotaalpie"/>
          <w:rFonts w:ascii="Arial" w:eastAsia="Calibri" w:hAnsi="Arial" w:cs="Arial"/>
          <w:sz w:val="22"/>
          <w:szCs w:val="22"/>
          <w:lang w:val="es-ES_tradnl"/>
        </w:rPr>
        <w:footnoteReference w:id="26"/>
      </w:r>
      <w:r w:rsidRPr="008D74EE">
        <w:rPr>
          <w:rFonts w:ascii="Arial" w:eastAsia="Calibri" w:hAnsi="Arial" w:cs="Arial"/>
          <w:sz w:val="22"/>
          <w:szCs w:val="22"/>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8D74EE">
        <w:rPr>
          <w:rStyle w:val="Refdenotaalpie"/>
          <w:rFonts w:ascii="Arial" w:eastAsia="Calibri" w:hAnsi="Arial" w:cs="Arial"/>
          <w:sz w:val="22"/>
          <w:szCs w:val="22"/>
          <w:lang w:val="es-ES_tradnl"/>
        </w:rPr>
        <w:footnoteReference w:id="27"/>
      </w:r>
      <w:r w:rsidRPr="008D74EE">
        <w:rPr>
          <w:rFonts w:ascii="Arial" w:eastAsia="Calibri" w:hAnsi="Arial" w:cs="Arial"/>
          <w:sz w:val="22"/>
          <w:szCs w:val="22"/>
          <w:lang w:val="es-ES_tradnl"/>
        </w:rPr>
        <w:t>. Finalmente, el artículo 10 del Decreto 103 de 2015 –</w:t>
      </w:r>
      <w:r w:rsidRPr="008D74EE">
        <w:rPr>
          <w:rFonts w:ascii="Arial" w:hAnsi="Arial" w:cs="Arial"/>
          <w:sz w:val="22"/>
          <w:szCs w:val="22"/>
          <w:lang w:val="es-ES_tradnl"/>
        </w:rPr>
        <w:t xml:space="preserve">artículo </w:t>
      </w:r>
      <w:r w:rsidRPr="008D74EE">
        <w:rPr>
          <w:rFonts w:ascii="Arial" w:eastAsia="Calibri" w:hAnsi="Arial" w:cs="Arial"/>
          <w:sz w:val="22"/>
          <w:szCs w:val="22"/>
          <w:lang w:val="es-ES_tradnl"/>
        </w:rPr>
        <w:t>2.1.1.2.1.10. del Decreto 1081 de 2015– consagra la obligación que tienen las entidades estatales de publicar en el SECOP el Plan Anual de Adquisiciones</w:t>
      </w:r>
      <w:r w:rsidRPr="008D74EE">
        <w:rPr>
          <w:rStyle w:val="Refdenotaalpie"/>
          <w:rFonts w:ascii="Arial" w:eastAsia="Calibri" w:hAnsi="Arial" w:cs="Arial"/>
          <w:sz w:val="22"/>
          <w:szCs w:val="22"/>
          <w:lang w:val="es-ES_tradnl"/>
        </w:rPr>
        <w:footnoteReference w:id="28"/>
      </w:r>
      <w:r w:rsidRPr="008D74EE">
        <w:rPr>
          <w:rFonts w:ascii="Arial" w:eastAsia="Calibri" w:hAnsi="Arial" w:cs="Arial"/>
          <w:sz w:val="22"/>
          <w:szCs w:val="22"/>
          <w:lang w:val="es-ES_tradnl"/>
        </w:rPr>
        <w:t>.</w:t>
      </w:r>
    </w:p>
    <w:p w14:paraId="2D717C9F" w14:textId="77777777" w:rsidR="008617D8" w:rsidRPr="008D74EE" w:rsidRDefault="008617D8" w:rsidP="008617D8">
      <w:pPr>
        <w:spacing w:before="120" w:line="276" w:lineRule="auto"/>
        <w:ind w:firstLine="709"/>
        <w:jc w:val="both"/>
        <w:rPr>
          <w:rFonts w:ascii="Arial" w:eastAsia="Calibri" w:hAnsi="Arial" w:cs="Arial"/>
          <w:sz w:val="22"/>
          <w:lang w:val="es-ES_tradnl"/>
        </w:rPr>
      </w:pPr>
      <w:r w:rsidRPr="008D74EE">
        <w:rPr>
          <w:rFonts w:ascii="Arial" w:eastAsia="Calibri" w:hAnsi="Arial" w:cs="Arial"/>
          <w:sz w:val="22"/>
          <w:lang w:val="es-ES_tradnl"/>
        </w:rPr>
        <w:t xml:space="preserve">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ii) los procedimientos, lineamientos y políticas en materia de adquisición que corresponden a los  documentos que </w:t>
      </w:r>
      <w:r w:rsidRPr="008D74EE">
        <w:rPr>
          <w:rFonts w:ascii="Arial" w:eastAsia="Calibri" w:hAnsi="Arial" w:cs="Arial"/>
          <w:sz w:val="22"/>
          <w:lang w:val="es-ES_tradnl"/>
        </w:rPr>
        <w:lastRenderedPageBreak/>
        <w:t>los conforman, previstos en el manual de contratación de la entidad, y finalmente, iii) el plan anual de adquisiciones.</w:t>
      </w:r>
    </w:p>
    <w:p w14:paraId="75C6A059" w14:textId="77777777" w:rsidR="008617D8" w:rsidRPr="008D74EE" w:rsidRDefault="008617D8" w:rsidP="008617D8">
      <w:pPr>
        <w:spacing w:before="120" w:line="276" w:lineRule="auto"/>
        <w:ind w:firstLine="709"/>
        <w:jc w:val="both"/>
        <w:rPr>
          <w:rFonts w:ascii="Arial" w:eastAsia="Calibri" w:hAnsi="Arial" w:cs="Arial"/>
          <w:sz w:val="22"/>
          <w:lang w:val="es-ES_tradnl"/>
        </w:rPr>
      </w:pPr>
      <w:r w:rsidRPr="008D74EE">
        <w:rPr>
          <w:rFonts w:ascii="Arial" w:eastAsia="Calibri" w:hAnsi="Arial" w:cs="Arial"/>
          <w:sz w:val="22"/>
          <w:lang w:val="es-ES_tradnl"/>
        </w:rPr>
        <w:t>En relación con el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60026633" w14:textId="77777777" w:rsidR="008617D8" w:rsidRPr="008D74EE" w:rsidRDefault="008617D8" w:rsidP="008617D8">
      <w:pPr>
        <w:spacing w:before="120" w:line="276" w:lineRule="auto"/>
        <w:ind w:firstLine="709"/>
        <w:jc w:val="both"/>
        <w:rPr>
          <w:rFonts w:ascii="Arial" w:hAnsi="Arial" w:cs="Arial"/>
          <w:sz w:val="22"/>
          <w:lang w:val="es-ES_tradnl" w:eastAsia="es-CO"/>
        </w:rPr>
      </w:pPr>
      <w:r w:rsidRPr="008D74EE">
        <w:rPr>
          <w:rFonts w:ascii="Arial" w:eastAsia="Calibri" w:hAnsi="Arial" w:cs="Arial"/>
          <w:sz w:val="22"/>
          <w:lang w:val="es-ES_tradnl"/>
        </w:rPr>
        <w:t>Por lo tanto, en estos casos aplica la Ley 1712 de 2014 y el Decreto 103 de 2015, no el Decreto 1082 de 2015, porque esta última norma rige a las entidades sometidas al Estatuto General de Contratación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le aplican a cualquier entidad pública, incluyendo</w:t>
      </w:r>
      <w:r w:rsidRPr="008D74EE">
        <w:rPr>
          <w:rFonts w:ascii="Arial" w:hAnsi="Arial" w:cs="Arial"/>
          <w:sz w:val="22"/>
          <w:lang w:val="es-ES_tradnl"/>
        </w:rPr>
        <w:t xml:space="preserve"> </w:t>
      </w:r>
      <w:r w:rsidRPr="008D74EE">
        <w:rPr>
          <w:rFonts w:ascii="Arial" w:hAnsi="Arial" w:cs="Arial"/>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01B48061" w14:textId="16654EAE" w:rsidR="00AD6541" w:rsidRPr="008D74EE" w:rsidRDefault="008617D8" w:rsidP="008D74EE">
      <w:pPr>
        <w:spacing w:before="120" w:line="276" w:lineRule="auto"/>
        <w:ind w:firstLine="708"/>
        <w:jc w:val="both"/>
        <w:rPr>
          <w:rFonts w:ascii="Arial" w:hAnsi="Arial" w:cs="Arial"/>
          <w:sz w:val="22"/>
          <w:szCs w:val="22"/>
          <w:lang w:val="es-ES_tradnl"/>
        </w:rPr>
      </w:pPr>
      <w:r w:rsidRPr="008D74EE">
        <w:rPr>
          <w:rFonts w:ascii="Arial" w:hAnsi="Arial" w:cs="Arial"/>
          <w:sz w:val="22"/>
          <w:lang w:val="es-ES_tradnl" w:eastAsia="es-CO"/>
        </w:rPr>
        <w:t>Se concluye entonces que no</w:t>
      </w:r>
      <w:r w:rsidRPr="008D74EE">
        <w:rPr>
          <w:rFonts w:ascii="Arial" w:hAnsi="Arial" w:cs="Arial"/>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8D74EE">
        <w:rPr>
          <w:rFonts w:ascii="Arial" w:hAnsi="Arial" w:cs="Arial"/>
          <w:i/>
          <w:iCs/>
          <w:sz w:val="22"/>
          <w:szCs w:val="22"/>
          <w:lang w:val="es-ES_tradnl"/>
        </w:rPr>
        <w:t>sujetos obligados</w:t>
      </w:r>
      <w:r w:rsidRPr="008D74EE">
        <w:rPr>
          <w:rFonts w:ascii="Arial" w:hAnsi="Arial" w:cs="Arial"/>
          <w:sz w:val="22"/>
          <w:szCs w:val="22"/>
          <w:lang w:val="es-ES_tradnl"/>
        </w:rPr>
        <w:t xml:space="preserve"> a garantizar el derecho de acceso a la información y a los documentos públicos, deben publicar en el SECOP los documentos a los que se refiere el literal e), del artículo 9 y el </w:t>
      </w:r>
      <w:r w:rsidRPr="008D74EE">
        <w:rPr>
          <w:rFonts w:ascii="Arial" w:eastAsia="Calibri" w:hAnsi="Arial" w:cs="Arial"/>
          <w:sz w:val="22"/>
          <w:szCs w:val="22"/>
          <w:lang w:val="es-ES_tradnl"/>
        </w:rPr>
        <w:t>literal g), del artículo 11, de la Ley 1712 de 2014, como los artículos 7 al 10 del Decreto 103 de 2015 –compilado en los artículos 2.1.1.1.1. al 2.1.1.6.1. del Decreto 1081 de 2015–</w:t>
      </w:r>
      <w:r w:rsidRPr="008D74EE">
        <w:rPr>
          <w:rFonts w:ascii="Arial" w:hAnsi="Arial" w:cs="Arial"/>
          <w:sz w:val="22"/>
          <w:szCs w:val="22"/>
          <w:lang w:val="es-ES_tradnl"/>
        </w:rPr>
        <w:t xml:space="preserve">. Cuarto, porque, el auto del 25 de febrero de 2021 no suspende todo el contenido de las circulares </w:t>
      </w:r>
      <w:r w:rsidRPr="008D74EE">
        <w:rPr>
          <w:rFonts w:ascii="Arial" w:eastAsia="Arial" w:hAnsi="Arial" w:cs="Arial"/>
          <w:sz w:val="22"/>
          <w:szCs w:val="22"/>
          <w:lang w:val="es-ES_tradnl"/>
        </w:rPr>
        <w:t xml:space="preserve">No. 1 del 21 de junio de 2013 y No. 20 del 27 de agosto </w:t>
      </w:r>
      <w:r w:rsidRPr="008D74EE">
        <w:rPr>
          <w:rFonts w:ascii="Arial" w:eastAsia="Arial" w:hAnsi="Arial" w:cs="Arial"/>
          <w:sz w:val="22"/>
          <w:szCs w:val="22"/>
          <w:lang w:val="es-ES_tradnl"/>
        </w:rPr>
        <w:lastRenderedPageBreak/>
        <w:t xml:space="preserve">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8D74EE">
        <w:rPr>
          <w:rFonts w:ascii="Arial" w:hAnsi="Arial" w:cs="Arial"/>
          <w:bCs/>
          <w:sz w:val="22"/>
          <w:szCs w:val="22"/>
          <w:lang w:val="es-ES_tradnl"/>
        </w:rPr>
        <w:t>No. 23 del 16 de marzo de 2017 y No. 007 de 2020, así como de la Circular Externa Única –actualizada el 16 de abril de 2019–, las cuales se encuentran vigentes.</w:t>
      </w:r>
      <w:bookmarkEnd w:id="3"/>
      <w:r w:rsidR="007A6D5B" w:rsidRPr="008D74EE">
        <w:rPr>
          <w:rFonts w:ascii="Arial" w:hAnsi="Arial" w:cs="Arial"/>
          <w:sz w:val="22"/>
          <w:szCs w:val="22"/>
          <w:lang w:val="es-ES_tradnl"/>
        </w:rPr>
        <w:t xml:space="preserve"> </w:t>
      </w:r>
    </w:p>
    <w:p w14:paraId="3202B562" w14:textId="77777777" w:rsidR="00FE120D" w:rsidRPr="008D74EE" w:rsidRDefault="00FE120D" w:rsidP="00FE120D">
      <w:pPr>
        <w:spacing w:line="276" w:lineRule="auto"/>
        <w:jc w:val="both"/>
        <w:rPr>
          <w:rFonts w:ascii="Arial" w:hAnsi="Arial" w:cs="Arial"/>
          <w:b/>
          <w:bCs/>
          <w:sz w:val="22"/>
          <w:szCs w:val="22"/>
          <w:lang w:val="es-ES_tradnl"/>
        </w:rPr>
      </w:pPr>
    </w:p>
    <w:p w14:paraId="08F8BEE2" w14:textId="5318F40B" w:rsidR="008A20F8" w:rsidRPr="008D74EE" w:rsidRDefault="00570214" w:rsidP="00FE120D">
      <w:pPr>
        <w:spacing w:line="276" w:lineRule="auto"/>
        <w:jc w:val="both"/>
        <w:rPr>
          <w:rFonts w:ascii="Arial" w:hAnsi="Arial" w:cs="Arial"/>
          <w:b/>
          <w:bCs/>
          <w:sz w:val="22"/>
          <w:szCs w:val="22"/>
          <w:lang w:val="es-ES_tradnl"/>
        </w:rPr>
      </w:pPr>
      <w:r w:rsidRPr="008D74EE">
        <w:rPr>
          <w:rFonts w:ascii="Arial" w:hAnsi="Arial" w:cs="Arial"/>
          <w:b/>
          <w:bCs/>
          <w:sz w:val="22"/>
          <w:szCs w:val="22"/>
          <w:lang w:val="es-ES_tradnl"/>
        </w:rPr>
        <w:t xml:space="preserve">2.4. </w:t>
      </w:r>
      <w:r w:rsidR="00FE120D" w:rsidRPr="008D74EE">
        <w:rPr>
          <w:rFonts w:ascii="Arial" w:hAnsi="Arial" w:cs="Arial"/>
          <w:b/>
          <w:bCs/>
          <w:sz w:val="22"/>
          <w:szCs w:val="22"/>
          <w:lang w:val="es-ES_tradnl"/>
        </w:rPr>
        <w:t>La noción de recursos públicos en la Ley 1150 de 2007</w:t>
      </w:r>
    </w:p>
    <w:p w14:paraId="7F572687" w14:textId="77777777" w:rsidR="0004024E" w:rsidRPr="008D74EE" w:rsidRDefault="0004024E" w:rsidP="00FE120D">
      <w:pPr>
        <w:spacing w:line="276" w:lineRule="auto"/>
        <w:jc w:val="both"/>
        <w:rPr>
          <w:rFonts w:ascii="Arial" w:hAnsi="Arial" w:cs="Arial"/>
          <w:b/>
          <w:bCs/>
          <w:sz w:val="22"/>
          <w:szCs w:val="22"/>
          <w:lang w:val="es-ES_tradnl"/>
        </w:rPr>
      </w:pPr>
    </w:p>
    <w:p w14:paraId="524F5A23" w14:textId="193CC371" w:rsidR="00AD6541" w:rsidRPr="008D74EE" w:rsidRDefault="008A20F8" w:rsidP="008D74EE">
      <w:pPr>
        <w:spacing w:line="276" w:lineRule="auto"/>
        <w:jc w:val="both"/>
        <w:rPr>
          <w:rFonts w:ascii="Arial" w:hAnsi="Arial" w:cs="Arial"/>
          <w:b/>
          <w:bCs/>
          <w:sz w:val="22"/>
          <w:szCs w:val="22"/>
          <w:lang w:val="es-ES_tradnl"/>
        </w:rPr>
      </w:pPr>
      <w:r w:rsidRPr="008D74EE">
        <w:rPr>
          <w:rFonts w:ascii="Arial" w:hAnsi="Arial" w:cs="Arial"/>
          <w:sz w:val="22"/>
          <w:szCs w:val="22"/>
          <w:lang w:val="es-ES_tradnl"/>
        </w:rPr>
        <w:t>L</w:t>
      </w:r>
      <w:r w:rsidR="002C5C39" w:rsidRPr="008D74EE">
        <w:rPr>
          <w:rFonts w:ascii="Arial" w:hAnsi="Arial" w:cs="Arial"/>
          <w:sz w:val="22"/>
          <w:szCs w:val="22"/>
          <w:lang w:val="es-ES_tradnl"/>
        </w:rPr>
        <w:t xml:space="preserve">a inversión de </w:t>
      </w:r>
      <w:r w:rsidR="00AE3DE2" w:rsidRPr="008D74EE">
        <w:rPr>
          <w:rFonts w:ascii="Arial" w:hAnsi="Arial" w:cs="Arial"/>
          <w:sz w:val="22"/>
          <w:lang w:val="es-ES_tradnl" w:eastAsia="es-CO"/>
        </w:rPr>
        <w:t>recursos públicos</w:t>
      </w:r>
      <w:r w:rsidR="002C5C39" w:rsidRPr="008D74EE">
        <w:rPr>
          <w:rFonts w:ascii="Arial" w:hAnsi="Arial" w:cs="Arial"/>
          <w:sz w:val="22"/>
          <w:lang w:val="es-ES_tradnl" w:eastAsia="es-CO"/>
        </w:rPr>
        <w:t xml:space="preserve"> para la consecución de objetivos asociados a los fines del estado, así </w:t>
      </w:r>
      <w:r w:rsidR="00AE3DE2" w:rsidRPr="008D74EE">
        <w:rPr>
          <w:rFonts w:ascii="Arial" w:hAnsi="Arial" w:cs="Arial"/>
          <w:sz w:val="22"/>
          <w:lang w:val="es-ES_tradnl" w:eastAsia="es-CO"/>
        </w:rPr>
        <w:t>como la actividad financiera</w:t>
      </w:r>
      <w:r w:rsidR="00465338" w:rsidRPr="008D74EE">
        <w:rPr>
          <w:rFonts w:ascii="Arial" w:hAnsi="Arial" w:cs="Arial"/>
          <w:sz w:val="22"/>
          <w:lang w:val="es-ES_tradnl" w:eastAsia="es-CO"/>
        </w:rPr>
        <w:t xml:space="preserve">, los ingresos y los gastos </w:t>
      </w:r>
      <w:r w:rsidR="003617FD" w:rsidRPr="008D74EE">
        <w:rPr>
          <w:rFonts w:ascii="Arial" w:hAnsi="Arial" w:cs="Arial"/>
          <w:sz w:val="22"/>
          <w:lang w:val="es-ES_tradnl" w:eastAsia="es-CO"/>
        </w:rPr>
        <w:t>presupuestales de</w:t>
      </w:r>
      <w:r w:rsidR="00AE3DE2" w:rsidRPr="008D74EE">
        <w:rPr>
          <w:rFonts w:ascii="Arial" w:hAnsi="Arial" w:cs="Arial"/>
          <w:sz w:val="22"/>
          <w:lang w:val="es-ES_tradnl" w:eastAsia="es-CO"/>
        </w:rPr>
        <w:t xml:space="preserve"> las entidades estatales, en principio,</w:t>
      </w:r>
      <w:r w:rsidR="006A329D" w:rsidRPr="008D74EE">
        <w:rPr>
          <w:rFonts w:ascii="Arial" w:hAnsi="Arial" w:cs="Arial"/>
          <w:sz w:val="22"/>
          <w:lang w:val="es-ES_tradnl" w:eastAsia="es-CO"/>
        </w:rPr>
        <w:t xml:space="preserve"> son</w:t>
      </w:r>
      <w:r w:rsidR="002F7522" w:rsidRPr="008D74EE">
        <w:rPr>
          <w:rFonts w:ascii="Arial" w:hAnsi="Arial" w:cs="Arial"/>
          <w:sz w:val="22"/>
          <w:lang w:val="es-ES_tradnl" w:eastAsia="es-CO"/>
        </w:rPr>
        <w:t xml:space="preserve"> objeto de estudio de la hacie</w:t>
      </w:r>
      <w:r w:rsidR="009F29BB" w:rsidRPr="008D74EE">
        <w:rPr>
          <w:rFonts w:ascii="Arial" w:hAnsi="Arial" w:cs="Arial"/>
          <w:sz w:val="22"/>
          <w:lang w:val="es-ES_tradnl" w:eastAsia="es-CO"/>
        </w:rPr>
        <w:t>nda pública</w:t>
      </w:r>
      <w:r w:rsidR="00452C51" w:rsidRPr="008D74EE">
        <w:rPr>
          <w:rStyle w:val="Refdenotaalpie"/>
          <w:rFonts w:ascii="Arial" w:hAnsi="Arial" w:cs="Arial"/>
          <w:sz w:val="22"/>
          <w:lang w:val="es-ES_tradnl" w:eastAsia="es-CO"/>
        </w:rPr>
        <w:footnoteReference w:id="29"/>
      </w:r>
      <w:r w:rsidR="009F29BB" w:rsidRPr="008D74EE">
        <w:rPr>
          <w:rFonts w:ascii="Arial" w:hAnsi="Arial" w:cs="Arial"/>
          <w:sz w:val="22"/>
          <w:lang w:val="es-ES_tradnl" w:eastAsia="es-CO"/>
        </w:rPr>
        <w:t>.</w:t>
      </w:r>
      <w:r w:rsidR="00452C51" w:rsidRPr="008D74EE">
        <w:rPr>
          <w:rFonts w:ascii="Arial" w:hAnsi="Arial" w:cs="Arial"/>
          <w:sz w:val="22"/>
          <w:lang w:val="es-ES_tradnl" w:eastAsia="es-CO"/>
        </w:rPr>
        <w:t xml:space="preserve"> </w:t>
      </w:r>
      <w:r w:rsidR="004A5FFA" w:rsidRPr="008D74EE">
        <w:rPr>
          <w:rFonts w:ascii="Arial" w:hAnsi="Arial" w:cs="Arial"/>
          <w:sz w:val="22"/>
          <w:lang w:val="es-ES_tradnl" w:eastAsia="es-CO"/>
        </w:rPr>
        <w:t xml:space="preserve">No obstante, </w:t>
      </w:r>
      <w:r w:rsidR="00D91881" w:rsidRPr="008D74EE">
        <w:rPr>
          <w:rFonts w:ascii="Arial" w:hAnsi="Arial" w:cs="Arial"/>
          <w:sz w:val="22"/>
          <w:lang w:val="es-ES_tradnl" w:eastAsia="es-CO"/>
        </w:rPr>
        <w:t xml:space="preserve">son </w:t>
      </w:r>
      <w:r w:rsidR="008B16A3" w:rsidRPr="008D74EE">
        <w:rPr>
          <w:rFonts w:ascii="Arial" w:hAnsi="Arial" w:cs="Arial"/>
          <w:sz w:val="22"/>
          <w:lang w:val="es-ES_tradnl" w:eastAsia="es-CO"/>
        </w:rPr>
        <w:t>asuntos relacionados con la contratac</w:t>
      </w:r>
      <w:r w:rsidR="00AA05AB" w:rsidRPr="008D74EE">
        <w:rPr>
          <w:rFonts w:ascii="Arial" w:hAnsi="Arial" w:cs="Arial"/>
          <w:sz w:val="22"/>
          <w:lang w:val="es-ES_tradnl" w:eastAsia="es-CO"/>
        </w:rPr>
        <w:t xml:space="preserve">ión estatal, </w:t>
      </w:r>
      <w:r w:rsidR="000A6AEA" w:rsidRPr="008D74EE">
        <w:rPr>
          <w:rFonts w:ascii="Arial" w:hAnsi="Arial" w:cs="Arial"/>
          <w:sz w:val="22"/>
          <w:lang w:val="es-ES_tradnl" w:eastAsia="es-CO"/>
        </w:rPr>
        <w:t>ámbito</w:t>
      </w:r>
      <w:r w:rsidR="00AA05AB" w:rsidRPr="008D74EE">
        <w:rPr>
          <w:rFonts w:ascii="Arial" w:hAnsi="Arial" w:cs="Arial"/>
          <w:sz w:val="22"/>
          <w:lang w:val="es-ES_tradnl" w:eastAsia="es-CO"/>
        </w:rPr>
        <w:t xml:space="preserve"> del derecho donde se estudi</w:t>
      </w:r>
      <w:r w:rsidR="000A6AEA" w:rsidRPr="008D74EE">
        <w:rPr>
          <w:rFonts w:ascii="Arial" w:hAnsi="Arial" w:cs="Arial"/>
          <w:sz w:val="22"/>
          <w:lang w:val="es-ES_tradnl" w:eastAsia="es-CO"/>
        </w:rPr>
        <w:t>an relaciones contractuales de las entidades estatales,</w:t>
      </w:r>
      <w:r w:rsidR="00DB771A" w:rsidRPr="008D74EE">
        <w:rPr>
          <w:rFonts w:ascii="Arial" w:hAnsi="Arial" w:cs="Arial"/>
          <w:sz w:val="22"/>
          <w:lang w:val="es-ES_tradnl" w:eastAsia="es-CO"/>
        </w:rPr>
        <w:t xml:space="preserve"> mediante</w:t>
      </w:r>
      <w:r w:rsidR="000A6AEA" w:rsidRPr="008D74EE">
        <w:rPr>
          <w:rFonts w:ascii="Arial" w:hAnsi="Arial" w:cs="Arial"/>
          <w:sz w:val="22"/>
          <w:lang w:val="es-ES_tradnl" w:eastAsia="es-CO"/>
        </w:rPr>
        <w:t xml:space="preserve"> las cual</w:t>
      </w:r>
      <w:r w:rsidR="00F21F46" w:rsidRPr="008D74EE">
        <w:rPr>
          <w:rFonts w:ascii="Arial" w:hAnsi="Arial" w:cs="Arial"/>
          <w:sz w:val="22"/>
          <w:lang w:val="es-ES_tradnl" w:eastAsia="es-CO"/>
        </w:rPr>
        <w:t>es</w:t>
      </w:r>
      <w:r w:rsidR="000A6AEA" w:rsidRPr="008D74EE">
        <w:rPr>
          <w:rFonts w:ascii="Arial" w:hAnsi="Arial" w:cs="Arial"/>
          <w:sz w:val="22"/>
          <w:lang w:val="es-ES_tradnl" w:eastAsia="es-CO"/>
        </w:rPr>
        <w:t xml:space="preserve"> se ejecutan recursos públicos dirigidos </w:t>
      </w:r>
      <w:r w:rsidR="00895867" w:rsidRPr="008D74EE">
        <w:rPr>
          <w:rFonts w:ascii="Arial" w:hAnsi="Arial" w:cs="Arial"/>
          <w:sz w:val="22"/>
          <w:lang w:val="es-ES_tradnl" w:eastAsia="es-CO"/>
        </w:rPr>
        <w:t>al c</w:t>
      </w:r>
      <w:r w:rsidR="007D0A55" w:rsidRPr="008D74EE">
        <w:rPr>
          <w:rFonts w:ascii="Arial" w:hAnsi="Arial" w:cs="Arial"/>
          <w:sz w:val="22"/>
          <w:lang w:val="es-ES_tradnl" w:eastAsia="es-CO"/>
        </w:rPr>
        <w:t>u</w:t>
      </w:r>
      <w:r w:rsidR="00895867" w:rsidRPr="008D74EE">
        <w:rPr>
          <w:rFonts w:ascii="Arial" w:hAnsi="Arial" w:cs="Arial"/>
          <w:sz w:val="22"/>
          <w:lang w:val="es-ES_tradnl" w:eastAsia="es-CO"/>
        </w:rPr>
        <w:t>mplimiento de los</w:t>
      </w:r>
      <w:r w:rsidR="005F3F63" w:rsidRPr="008D74EE">
        <w:rPr>
          <w:rFonts w:ascii="Arial" w:hAnsi="Arial" w:cs="Arial"/>
          <w:sz w:val="22"/>
          <w:lang w:val="es-ES_tradnl" w:eastAsia="es-CO"/>
        </w:rPr>
        <w:t xml:space="preserve"> </w:t>
      </w:r>
      <w:r w:rsidR="00711535" w:rsidRPr="008D74EE">
        <w:rPr>
          <w:rFonts w:ascii="Arial" w:hAnsi="Arial" w:cs="Arial"/>
          <w:sz w:val="22"/>
          <w:lang w:val="es-ES_tradnl" w:eastAsia="es-CO"/>
        </w:rPr>
        <w:t>fines</w:t>
      </w:r>
      <w:r w:rsidR="005F3F63" w:rsidRPr="008D74EE">
        <w:rPr>
          <w:rFonts w:ascii="Arial" w:hAnsi="Arial" w:cs="Arial"/>
          <w:sz w:val="22"/>
          <w:lang w:val="es-ES_tradnl" w:eastAsia="es-CO"/>
        </w:rPr>
        <w:t xml:space="preserve"> </w:t>
      </w:r>
      <w:r w:rsidR="00895867" w:rsidRPr="008D74EE">
        <w:rPr>
          <w:rFonts w:ascii="Arial" w:hAnsi="Arial" w:cs="Arial"/>
          <w:sz w:val="22"/>
          <w:lang w:val="es-ES_tradnl" w:eastAsia="es-CO"/>
        </w:rPr>
        <w:t>del Estado</w:t>
      </w:r>
      <w:r w:rsidR="005F3F63" w:rsidRPr="008D74EE">
        <w:rPr>
          <w:rFonts w:ascii="Arial" w:hAnsi="Arial" w:cs="Arial"/>
          <w:sz w:val="22"/>
          <w:lang w:val="es-ES_tradnl" w:eastAsia="es-CO"/>
        </w:rPr>
        <w:t>.</w:t>
      </w:r>
    </w:p>
    <w:p w14:paraId="3C5D81CA" w14:textId="3254BA0A" w:rsidR="004A369B" w:rsidRPr="008D74EE" w:rsidRDefault="00711535" w:rsidP="00F7796E">
      <w:pPr>
        <w:spacing w:before="120" w:after="120" w:line="276" w:lineRule="auto"/>
        <w:jc w:val="both"/>
        <w:rPr>
          <w:rFonts w:ascii="Arial" w:hAnsi="Arial" w:cs="Arial"/>
          <w:sz w:val="22"/>
          <w:lang w:val="es-ES_tradnl" w:eastAsia="es-CO"/>
        </w:rPr>
      </w:pPr>
      <w:r w:rsidRPr="008D74EE">
        <w:rPr>
          <w:rFonts w:ascii="Arial" w:hAnsi="Arial" w:cs="Arial"/>
          <w:sz w:val="22"/>
          <w:lang w:val="es-ES_tradnl" w:eastAsia="es-CO"/>
        </w:rPr>
        <w:tab/>
      </w:r>
      <w:r w:rsidR="00E513D9" w:rsidRPr="008D74EE">
        <w:rPr>
          <w:rFonts w:ascii="Arial" w:hAnsi="Arial" w:cs="Arial"/>
          <w:sz w:val="22"/>
          <w:lang w:val="es-ES_tradnl" w:eastAsia="es-CO"/>
        </w:rPr>
        <w:t xml:space="preserve">De hecho, la </w:t>
      </w:r>
      <w:r w:rsidRPr="008D74EE">
        <w:rPr>
          <w:rFonts w:ascii="Arial" w:hAnsi="Arial" w:cs="Arial"/>
          <w:i/>
          <w:iCs/>
          <w:sz w:val="22"/>
          <w:lang w:val="es-ES_tradnl" w:eastAsia="es-CO"/>
        </w:rPr>
        <w:t>contratación con</w:t>
      </w:r>
      <w:r w:rsidR="00E513D9" w:rsidRPr="008D74EE">
        <w:rPr>
          <w:rFonts w:ascii="Arial" w:hAnsi="Arial" w:cs="Arial"/>
          <w:i/>
          <w:iCs/>
          <w:sz w:val="22"/>
          <w:lang w:val="es-ES_tradnl" w:eastAsia="es-CO"/>
        </w:rPr>
        <w:t xml:space="preserve"> cargo</w:t>
      </w:r>
      <w:r w:rsidRPr="008D74EE">
        <w:rPr>
          <w:rFonts w:ascii="Arial" w:hAnsi="Arial" w:cs="Arial"/>
          <w:i/>
          <w:iCs/>
          <w:sz w:val="22"/>
          <w:lang w:val="es-ES_tradnl" w:eastAsia="es-CO"/>
        </w:rPr>
        <w:t xml:space="preserve"> recursos</w:t>
      </w:r>
      <w:r w:rsidR="00605B75" w:rsidRPr="008D74EE">
        <w:rPr>
          <w:rFonts w:ascii="Arial" w:hAnsi="Arial" w:cs="Arial"/>
          <w:i/>
          <w:iCs/>
          <w:sz w:val="22"/>
          <w:lang w:val="es-ES_tradnl" w:eastAsia="es-CO"/>
        </w:rPr>
        <w:t xml:space="preserve"> públicos</w:t>
      </w:r>
      <w:r w:rsidR="00605B75" w:rsidRPr="008D74EE">
        <w:rPr>
          <w:rFonts w:ascii="Arial" w:hAnsi="Arial" w:cs="Arial"/>
          <w:sz w:val="22"/>
          <w:lang w:val="es-ES_tradnl" w:eastAsia="es-CO"/>
        </w:rPr>
        <w:t xml:space="preserve"> es un </w:t>
      </w:r>
      <w:r w:rsidR="00747A7F" w:rsidRPr="008D74EE">
        <w:rPr>
          <w:rFonts w:ascii="Arial" w:hAnsi="Arial" w:cs="Arial"/>
          <w:sz w:val="22"/>
          <w:lang w:val="es-ES_tradnl" w:eastAsia="es-CO"/>
        </w:rPr>
        <w:t>concepto</w:t>
      </w:r>
      <w:r w:rsidR="00E513D9" w:rsidRPr="008D74EE">
        <w:rPr>
          <w:rFonts w:ascii="Arial" w:hAnsi="Arial" w:cs="Arial"/>
          <w:sz w:val="22"/>
          <w:lang w:val="es-ES_tradnl" w:eastAsia="es-CO"/>
        </w:rPr>
        <w:t xml:space="preserve"> al que alude expresamente</w:t>
      </w:r>
      <w:r w:rsidR="004052CB" w:rsidRPr="008D74EE">
        <w:rPr>
          <w:rFonts w:ascii="Arial" w:hAnsi="Arial" w:cs="Arial"/>
          <w:sz w:val="22"/>
          <w:lang w:val="es-ES_tradnl" w:eastAsia="es-CO"/>
        </w:rPr>
        <w:t xml:space="preserve"> la</w:t>
      </w:r>
      <w:r w:rsidR="00E513D9" w:rsidRPr="008D74EE">
        <w:rPr>
          <w:rFonts w:ascii="Arial" w:hAnsi="Arial" w:cs="Arial"/>
          <w:sz w:val="22"/>
          <w:lang w:val="es-ES_tradnl" w:eastAsia="es-CO"/>
        </w:rPr>
        <w:t xml:space="preserve"> Ley 1150 de 2007</w:t>
      </w:r>
      <w:r w:rsidR="00D841C4" w:rsidRPr="008D74EE">
        <w:rPr>
          <w:rFonts w:ascii="Arial" w:hAnsi="Arial" w:cs="Arial"/>
          <w:sz w:val="22"/>
          <w:lang w:val="es-ES_tradnl" w:eastAsia="es-CO"/>
        </w:rPr>
        <w:t>, artículo primero,</w:t>
      </w:r>
      <w:r w:rsidR="004052CB" w:rsidRPr="008D74EE">
        <w:rPr>
          <w:rFonts w:ascii="Arial" w:hAnsi="Arial" w:cs="Arial"/>
          <w:sz w:val="22"/>
          <w:lang w:val="es-ES_tradnl" w:eastAsia="es-CO"/>
        </w:rPr>
        <w:t xml:space="preserve"> al definir el ámbito de aplicación </w:t>
      </w:r>
      <w:r w:rsidR="007D0A55" w:rsidRPr="008D74EE">
        <w:rPr>
          <w:rFonts w:ascii="Arial" w:hAnsi="Arial" w:cs="Arial"/>
          <w:sz w:val="22"/>
          <w:lang w:val="es-ES_tradnl" w:eastAsia="es-CO"/>
        </w:rPr>
        <w:t xml:space="preserve">de </w:t>
      </w:r>
      <w:r w:rsidR="004052CB" w:rsidRPr="008D74EE">
        <w:rPr>
          <w:rFonts w:ascii="Arial" w:hAnsi="Arial" w:cs="Arial"/>
          <w:sz w:val="22"/>
          <w:lang w:val="es-ES_tradnl" w:eastAsia="es-CO"/>
        </w:rPr>
        <w:t>sus disposiciones</w:t>
      </w:r>
      <w:r w:rsidR="00C8665E" w:rsidRPr="008D74EE">
        <w:rPr>
          <w:rStyle w:val="Refdenotaalpie"/>
          <w:rFonts w:ascii="Arial" w:hAnsi="Arial" w:cs="Arial"/>
          <w:sz w:val="22"/>
          <w:lang w:val="es-ES_tradnl" w:eastAsia="es-CO"/>
        </w:rPr>
        <w:footnoteReference w:id="30"/>
      </w:r>
      <w:r w:rsidR="004052CB" w:rsidRPr="008D74EE">
        <w:rPr>
          <w:rFonts w:ascii="Arial" w:hAnsi="Arial" w:cs="Arial"/>
          <w:sz w:val="22"/>
          <w:lang w:val="es-ES_tradnl" w:eastAsia="es-CO"/>
        </w:rPr>
        <w:t xml:space="preserve">. </w:t>
      </w:r>
      <w:r w:rsidR="005B797B" w:rsidRPr="008D74EE">
        <w:rPr>
          <w:rFonts w:ascii="Arial" w:hAnsi="Arial" w:cs="Arial"/>
          <w:sz w:val="22"/>
          <w:lang w:val="es-ES_tradnl" w:eastAsia="es-CO"/>
        </w:rPr>
        <w:t xml:space="preserve">Dicho concepto </w:t>
      </w:r>
      <w:r w:rsidR="002D508D" w:rsidRPr="008D74EE">
        <w:rPr>
          <w:rFonts w:ascii="Arial" w:hAnsi="Arial" w:cs="Arial"/>
          <w:sz w:val="22"/>
          <w:lang w:val="es-ES_tradnl" w:eastAsia="es-CO"/>
        </w:rPr>
        <w:t xml:space="preserve">también </w:t>
      </w:r>
      <w:r w:rsidR="005B797B" w:rsidRPr="008D74EE">
        <w:rPr>
          <w:rFonts w:ascii="Arial" w:hAnsi="Arial" w:cs="Arial"/>
          <w:sz w:val="22"/>
          <w:lang w:val="es-ES_tradnl" w:eastAsia="es-CO"/>
        </w:rPr>
        <w:t xml:space="preserve">está presente </w:t>
      </w:r>
      <w:r w:rsidR="00F216C3" w:rsidRPr="008D74EE">
        <w:rPr>
          <w:rFonts w:ascii="Arial" w:hAnsi="Arial" w:cs="Arial"/>
          <w:sz w:val="22"/>
          <w:lang w:val="es-ES_tradnl" w:eastAsia="es-CO"/>
        </w:rPr>
        <w:t xml:space="preserve">en el </w:t>
      </w:r>
      <w:r w:rsidR="00A428A1" w:rsidRPr="008D74EE">
        <w:rPr>
          <w:rFonts w:ascii="Arial" w:hAnsi="Arial" w:cs="Arial"/>
          <w:sz w:val="22"/>
          <w:lang w:val="es-ES_tradnl" w:eastAsia="es-CO"/>
        </w:rPr>
        <w:t xml:space="preserve">literal c) del </w:t>
      </w:r>
      <w:r w:rsidR="00F216C3" w:rsidRPr="008D74EE">
        <w:rPr>
          <w:rFonts w:ascii="Arial" w:hAnsi="Arial" w:cs="Arial"/>
          <w:sz w:val="22"/>
          <w:lang w:val="es-ES_tradnl" w:eastAsia="es-CO"/>
        </w:rPr>
        <w:t>artículo 3</w:t>
      </w:r>
      <w:r w:rsidR="00A428A1" w:rsidRPr="008D74EE">
        <w:rPr>
          <w:rFonts w:ascii="Arial" w:hAnsi="Arial" w:cs="Arial"/>
          <w:sz w:val="22"/>
          <w:lang w:val="es-ES_tradnl" w:eastAsia="es-CO"/>
        </w:rPr>
        <w:t xml:space="preserve">, del que </w:t>
      </w:r>
      <w:r w:rsidR="002D508D" w:rsidRPr="008D74EE">
        <w:rPr>
          <w:rFonts w:ascii="Arial" w:hAnsi="Arial" w:cs="Arial"/>
          <w:sz w:val="22"/>
          <w:lang w:val="es-ES_tradnl" w:eastAsia="es-CO"/>
        </w:rPr>
        <w:t xml:space="preserve">surge </w:t>
      </w:r>
      <w:r w:rsidR="00746CE0" w:rsidRPr="008D74EE">
        <w:rPr>
          <w:rFonts w:ascii="Arial" w:hAnsi="Arial" w:cs="Arial"/>
          <w:sz w:val="22"/>
          <w:lang w:val="es-ES_tradnl" w:eastAsia="es-CO"/>
        </w:rPr>
        <w:t>el deber de publicar en SECOP</w:t>
      </w:r>
      <w:r w:rsidR="00D62175" w:rsidRPr="008D74EE">
        <w:rPr>
          <w:rFonts w:ascii="Arial" w:hAnsi="Arial" w:cs="Arial"/>
          <w:sz w:val="22"/>
          <w:lang w:val="es-ES_tradnl" w:eastAsia="es-CO"/>
        </w:rPr>
        <w:t xml:space="preserve">, el </w:t>
      </w:r>
      <w:r w:rsidR="007545B8" w:rsidRPr="008D74EE">
        <w:rPr>
          <w:rFonts w:ascii="Arial" w:hAnsi="Arial" w:cs="Arial"/>
          <w:sz w:val="22"/>
          <w:lang w:val="es-ES_tradnl" w:eastAsia="es-CO"/>
        </w:rPr>
        <w:t>cual,</w:t>
      </w:r>
      <w:r w:rsidR="00D62175" w:rsidRPr="008D74EE">
        <w:rPr>
          <w:rFonts w:ascii="Arial" w:hAnsi="Arial" w:cs="Arial"/>
          <w:sz w:val="22"/>
          <w:lang w:val="es-ES_tradnl" w:eastAsia="es-CO"/>
        </w:rPr>
        <w:t xml:space="preserve"> </w:t>
      </w:r>
      <w:r w:rsidR="003723CD" w:rsidRPr="008D74EE">
        <w:rPr>
          <w:rFonts w:ascii="Arial" w:hAnsi="Arial" w:cs="Arial"/>
          <w:sz w:val="22"/>
          <w:lang w:val="es-ES_tradnl" w:eastAsia="es-CO"/>
        </w:rPr>
        <w:t>según lo precisado por</w:t>
      </w:r>
      <w:r w:rsidR="004C3CBF" w:rsidRPr="008D74EE">
        <w:rPr>
          <w:rFonts w:ascii="Arial" w:hAnsi="Arial" w:cs="Arial"/>
          <w:sz w:val="22"/>
          <w:lang w:val="es-ES_tradnl" w:eastAsia="es-CO"/>
        </w:rPr>
        <w:t xml:space="preserve"> la </w:t>
      </w:r>
      <w:r w:rsidR="004C3CBF" w:rsidRPr="008D74EE">
        <w:rPr>
          <w:rFonts w:ascii="Arial" w:hAnsi="Arial" w:cs="Arial"/>
          <w:sz w:val="22"/>
          <w:lang w:val="es-ES_tradnl"/>
        </w:rPr>
        <w:t>Subsección C</w:t>
      </w:r>
      <w:r w:rsidR="003723CD" w:rsidRPr="008D74EE">
        <w:rPr>
          <w:rFonts w:ascii="Arial" w:hAnsi="Arial" w:cs="Arial"/>
          <w:sz w:val="22"/>
          <w:lang w:val="es-ES_tradnl" w:eastAsia="es-CO"/>
        </w:rPr>
        <w:t xml:space="preserve"> </w:t>
      </w:r>
      <w:r w:rsidR="004C3CBF" w:rsidRPr="008D74EE">
        <w:rPr>
          <w:rFonts w:ascii="Arial" w:hAnsi="Arial" w:cs="Arial"/>
          <w:sz w:val="22"/>
          <w:lang w:val="es-ES_tradnl" w:eastAsia="es-CO"/>
        </w:rPr>
        <w:t xml:space="preserve">de </w:t>
      </w:r>
      <w:r w:rsidR="003723CD" w:rsidRPr="008D74EE">
        <w:rPr>
          <w:rFonts w:ascii="Arial" w:hAnsi="Arial" w:cs="Arial"/>
          <w:sz w:val="22"/>
          <w:lang w:val="es-ES_tradnl" w:eastAsia="es-CO"/>
        </w:rPr>
        <w:t>la</w:t>
      </w:r>
      <w:r w:rsidR="004C3CBF" w:rsidRPr="008D74EE">
        <w:rPr>
          <w:rFonts w:ascii="Arial" w:hAnsi="Arial" w:cs="Arial"/>
          <w:sz w:val="22"/>
          <w:lang w:val="es-ES_tradnl" w:eastAsia="es-CO"/>
        </w:rPr>
        <w:t xml:space="preserve"> Sección Tercera del Consejo de Estado</w:t>
      </w:r>
      <w:r w:rsidR="00D62175" w:rsidRPr="008D74EE">
        <w:rPr>
          <w:rFonts w:ascii="Arial" w:hAnsi="Arial" w:cs="Arial"/>
          <w:sz w:val="22"/>
          <w:lang w:val="es-ES_tradnl"/>
        </w:rPr>
        <w:t xml:space="preserve"> en el Auto del 14 de agosto de 2017,</w:t>
      </w:r>
      <w:r w:rsidR="004C3CBF" w:rsidRPr="008D74EE">
        <w:rPr>
          <w:rFonts w:ascii="Arial" w:hAnsi="Arial" w:cs="Arial"/>
          <w:sz w:val="22"/>
          <w:lang w:val="es-ES_tradnl"/>
        </w:rPr>
        <w:t xml:space="preserve"> </w:t>
      </w:r>
      <w:r w:rsidR="002D508D" w:rsidRPr="008D74EE">
        <w:rPr>
          <w:rFonts w:ascii="Arial" w:hAnsi="Arial" w:cs="Arial"/>
          <w:sz w:val="22"/>
          <w:lang w:val="es-ES_tradnl"/>
        </w:rPr>
        <w:t xml:space="preserve">corresponde </w:t>
      </w:r>
      <w:r w:rsidR="003523F5" w:rsidRPr="008D74EE">
        <w:rPr>
          <w:rFonts w:ascii="Arial" w:hAnsi="Arial" w:cs="Arial"/>
          <w:sz w:val="22"/>
          <w:lang w:val="es-ES_tradnl"/>
        </w:rPr>
        <w:t xml:space="preserve">a las entidades estatales </w:t>
      </w:r>
      <w:r w:rsidR="002B1B25" w:rsidRPr="008D74EE">
        <w:rPr>
          <w:rFonts w:ascii="Arial" w:hAnsi="Arial" w:cs="Arial"/>
          <w:sz w:val="22"/>
          <w:lang w:val="es-ES_tradnl"/>
        </w:rPr>
        <w:t xml:space="preserve">que ejecutan dineros públicos. </w:t>
      </w:r>
      <w:r w:rsidR="000C0CD1" w:rsidRPr="008D74EE">
        <w:rPr>
          <w:rFonts w:ascii="Arial" w:hAnsi="Arial" w:cs="Arial"/>
          <w:sz w:val="22"/>
          <w:lang w:val="es-ES_tradnl"/>
        </w:rPr>
        <w:t>Sin perjuicio de lo anterior,</w:t>
      </w:r>
      <w:r w:rsidR="00413D85" w:rsidRPr="008D74EE">
        <w:rPr>
          <w:rFonts w:ascii="Arial" w:hAnsi="Arial" w:cs="Arial"/>
          <w:sz w:val="22"/>
          <w:lang w:val="es-ES_tradnl"/>
        </w:rPr>
        <w:t xml:space="preserve"> es necesario destacar que la Ley 1150 de 2007 no establece una definición de lo que </w:t>
      </w:r>
      <w:r w:rsidR="00AA42D6" w:rsidRPr="008D74EE">
        <w:rPr>
          <w:rFonts w:ascii="Arial" w:hAnsi="Arial" w:cs="Arial"/>
          <w:sz w:val="22"/>
          <w:lang w:val="es-ES_tradnl"/>
        </w:rPr>
        <w:t>debe entenderse</w:t>
      </w:r>
      <w:r w:rsidR="00EC5736" w:rsidRPr="008D74EE">
        <w:rPr>
          <w:rFonts w:ascii="Arial" w:hAnsi="Arial" w:cs="Arial"/>
          <w:sz w:val="22"/>
          <w:lang w:val="es-ES_tradnl"/>
        </w:rPr>
        <w:t xml:space="preserve"> por </w:t>
      </w:r>
      <w:r w:rsidR="00EC5736" w:rsidRPr="008D74EE">
        <w:rPr>
          <w:rFonts w:ascii="Arial" w:hAnsi="Arial" w:cs="Arial"/>
          <w:i/>
          <w:iCs/>
          <w:sz w:val="22"/>
          <w:lang w:val="es-ES_tradnl"/>
        </w:rPr>
        <w:t>recursos</w:t>
      </w:r>
      <w:r w:rsidR="00F65A76" w:rsidRPr="008D74EE">
        <w:rPr>
          <w:rFonts w:ascii="Arial" w:hAnsi="Arial" w:cs="Arial"/>
          <w:i/>
          <w:iCs/>
          <w:sz w:val="22"/>
          <w:lang w:val="es-ES_tradnl"/>
        </w:rPr>
        <w:t xml:space="preserve"> o dineros</w:t>
      </w:r>
      <w:r w:rsidR="00EC5736" w:rsidRPr="008D74EE">
        <w:rPr>
          <w:rFonts w:ascii="Arial" w:hAnsi="Arial" w:cs="Arial"/>
          <w:i/>
          <w:iCs/>
          <w:sz w:val="22"/>
          <w:lang w:val="es-ES_tradnl"/>
        </w:rPr>
        <w:t xml:space="preserve"> públicos</w:t>
      </w:r>
      <w:r w:rsidR="00EC5736" w:rsidRPr="008D74EE">
        <w:rPr>
          <w:rFonts w:ascii="Arial" w:hAnsi="Arial" w:cs="Arial"/>
          <w:sz w:val="22"/>
          <w:lang w:val="es-ES_tradnl"/>
        </w:rPr>
        <w:t xml:space="preserve"> a efectos de la aplicación de sus disposiciones, </w:t>
      </w:r>
      <w:r w:rsidR="0042334B" w:rsidRPr="008D74EE">
        <w:rPr>
          <w:rFonts w:ascii="Arial" w:hAnsi="Arial" w:cs="Arial"/>
          <w:sz w:val="22"/>
          <w:lang w:val="es-ES_tradnl"/>
        </w:rPr>
        <w:t>noción que tampoco es precisada en estricto sentido por su reglamentación</w:t>
      </w:r>
      <w:r w:rsidR="0042334B" w:rsidRPr="008D74EE">
        <w:rPr>
          <w:rStyle w:val="Refdenotaalpie"/>
          <w:rFonts w:ascii="Arial" w:hAnsi="Arial" w:cs="Arial"/>
          <w:sz w:val="22"/>
          <w:lang w:val="es-ES_tradnl"/>
        </w:rPr>
        <w:footnoteReference w:id="31"/>
      </w:r>
      <w:r w:rsidR="0042334B" w:rsidRPr="008D74EE">
        <w:rPr>
          <w:rFonts w:ascii="Arial" w:hAnsi="Arial" w:cs="Arial"/>
          <w:sz w:val="22"/>
          <w:lang w:val="es-ES_tradnl"/>
        </w:rPr>
        <w:t>.</w:t>
      </w:r>
      <w:r w:rsidR="00413D85" w:rsidRPr="008D74EE">
        <w:rPr>
          <w:rFonts w:ascii="Arial" w:hAnsi="Arial" w:cs="Arial"/>
          <w:sz w:val="22"/>
          <w:lang w:val="es-ES_tradnl"/>
        </w:rPr>
        <w:t xml:space="preserve">  </w:t>
      </w:r>
    </w:p>
    <w:p w14:paraId="4BF3C24D" w14:textId="7D3418FC" w:rsidR="00BB6183" w:rsidRPr="008D74EE" w:rsidRDefault="00F7796E" w:rsidP="00B841D2">
      <w:pPr>
        <w:spacing w:after="120" w:line="276" w:lineRule="auto"/>
        <w:jc w:val="both"/>
        <w:rPr>
          <w:rFonts w:ascii="Arial" w:eastAsia="Calibri" w:hAnsi="Arial" w:cs="Arial"/>
          <w:bCs/>
          <w:sz w:val="22"/>
          <w:szCs w:val="22"/>
          <w:lang w:val="es-ES_tradnl"/>
        </w:rPr>
      </w:pPr>
      <w:r w:rsidRPr="008D74EE">
        <w:rPr>
          <w:rFonts w:ascii="Arial" w:eastAsia="Calibri" w:hAnsi="Arial" w:cs="Arial"/>
          <w:b/>
          <w:sz w:val="22"/>
          <w:szCs w:val="22"/>
          <w:lang w:val="es-ES_tradnl"/>
        </w:rPr>
        <w:tab/>
      </w:r>
      <w:r w:rsidR="00C33A73" w:rsidRPr="008D74EE">
        <w:rPr>
          <w:rFonts w:ascii="Arial" w:eastAsia="Calibri" w:hAnsi="Arial" w:cs="Arial"/>
          <w:bCs/>
          <w:sz w:val="22"/>
          <w:szCs w:val="22"/>
          <w:lang w:val="es-ES_tradnl"/>
        </w:rPr>
        <w:t xml:space="preserve">Ante la ausencia de una definición normativa </w:t>
      </w:r>
      <w:r w:rsidR="00E84756" w:rsidRPr="008D74EE">
        <w:rPr>
          <w:rFonts w:ascii="Arial" w:eastAsia="Calibri" w:hAnsi="Arial" w:cs="Arial"/>
          <w:bCs/>
          <w:sz w:val="22"/>
          <w:szCs w:val="22"/>
          <w:lang w:val="es-ES_tradnl"/>
        </w:rPr>
        <w:t>en</w:t>
      </w:r>
      <w:r w:rsidR="00C33A73" w:rsidRPr="008D74EE">
        <w:rPr>
          <w:rFonts w:ascii="Arial" w:eastAsia="Calibri" w:hAnsi="Arial" w:cs="Arial"/>
          <w:bCs/>
          <w:sz w:val="22"/>
          <w:szCs w:val="22"/>
          <w:lang w:val="es-ES_tradnl"/>
        </w:rPr>
        <w:t xml:space="preserve"> la Ley 1150 de 2007,</w:t>
      </w:r>
      <w:r w:rsidR="00F62096" w:rsidRPr="008D74EE">
        <w:rPr>
          <w:rFonts w:ascii="Arial" w:eastAsia="Calibri" w:hAnsi="Arial" w:cs="Arial"/>
          <w:bCs/>
          <w:sz w:val="22"/>
          <w:szCs w:val="22"/>
          <w:lang w:val="es-ES_tradnl"/>
        </w:rPr>
        <w:t xml:space="preserve"> </w:t>
      </w:r>
      <w:r w:rsidR="00C91652" w:rsidRPr="008D74EE">
        <w:rPr>
          <w:rFonts w:ascii="Arial" w:eastAsia="Calibri" w:hAnsi="Arial" w:cs="Arial"/>
          <w:bCs/>
          <w:sz w:val="22"/>
          <w:szCs w:val="22"/>
          <w:lang w:val="es-ES_tradnl"/>
        </w:rPr>
        <w:t xml:space="preserve">la noción de </w:t>
      </w:r>
      <w:r w:rsidR="00D31824" w:rsidRPr="008D74EE">
        <w:rPr>
          <w:rFonts w:ascii="Arial" w:eastAsia="Calibri" w:hAnsi="Arial" w:cs="Arial"/>
          <w:bCs/>
          <w:sz w:val="22"/>
          <w:szCs w:val="22"/>
          <w:lang w:val="es-ES_tradnl"/>
        </w:rPr>
        <w:t xml:space="preserve">lo que constituyen </w:t>
      </w:r>
      <w:r w:rsidR="00C91652" w:rsidRPr="008D74EE">
        <w:rPr>
          <w:rFonts w:ascii="Arial" w:eastAsia="Calibri" w:hAnsi="Arial" w:cs="Arial"/>
          <w:bCs/>
          <w:i/>
          <w:iCs/>
          <w:sz w:val="22"/>
          <w:szCs w:val="22"/>
          <w:lang w:val="es-ES_tradnl"/>
        </w:rPr>
        <w:t>recursos públicos</w:t>
      </w:r>
      <w:r w:rsidR="00D31824" w:rsidRPr="008D74EE">
        <w:rPr>
          <w:rFonts w:ascii="Arial" w:eastAsia="Calibri" w:hAnsi="Arial" w:cs="Arial"/>
          <w:bCs/>
          <w:sz w:val="22"/>
          <w:szCs w:val="22"/>
          <w:lang w:val="es-ES_tradnl"/>
        </w:rPr>
        <w:t>,</w:t>
      </w:r>
      <w:r w:rsidR="00C91652" w:rsidRPr="008D74EE">
        <w:rPr>
          <w:rFonts w:ascii="Arial" w:eastAsia="Calibri" w:hAnsi="Arial" w:cs="Arial"/>
          <w:bCs/>
          <w:sz w:val="22"/>
          <w:szCs w:val="22"/>
          <w:lang w:val="es-ES_tradnl"/>
        </w:rPr>
        <w:t xml:space="preserve"> </w:t>
      </w:r>
      <w:r w:rsidR="00C33A73" w:rsidRPr="008D74EE">
        <w:rPr>
          <w:rFonts w:ascii="Arial" w:eastAsia="Calibri" w:hAnsi="Arial" w:cs="Arial"/>
          <w:bCs/>
          <w:sz w:val="22"/>
          <w:szCs w:val="22"/>
          <w:lang w:val="es-ES_tradnl"/>
        </w:rPr>
        <w:t>a efectos de su aplicación</w:t>
      </w:r>
      <w:r w:rsidR="00D31824" w:rsidRPr="008D74EE">
        <w:rPr>
          <w:rFonts w:ascii="Arial" w:eastAsia="Calibri" w:hAnsi="Arial" w:cs="Arial"/>
          <w:bCs/>
          <w:sz w:val="22"/>
          <w:szCs w:val="22"/>
          <w:lang w:val="es-ES_tradnl"/>
        </w:rPr>
        <w:t xml:space="preserve">, debe ser precisada a la luz de las </w:t>
      </w:r>
      <w:r w:rsidR="00463EC6" w:rsidRPr="008D74EE">
        <w:rPr>
          <w:rFonts w:ascii="Arial" w:eastAsia="Calibri" w:hAnsi="Arial" w:cs="Arial"/>
          <w:bCs/>
          <w:sz w:val="22"/>
          <w:szCs w:val="22"/>
          <w:lang w:val="es-ES_tradnl"/>
        </w:rPr>
        <w:t>disposiciones normativas que permiten una aproximación</w:t>
      </w:r>
      <w:r w:rsidR="00051C41" w:rsidRPr="008D74EE">
        <w:rPr>
          <w:rFonts w:ascii="Arial" w:eastAsia="Calibri" w:hAnsi="Arial" w:cs="Arial"/>
          <w:bCs/>
          <w:sz w:val="22"/>
          <w:szCs w:val="22"/>
          <w:lang w:val="es-ES_tradnl"/>
        </w:rPr>
        <w:t xml:space="preserve">. </w:t>
      </w:r>
      <w:r w:rsidR="002C4C5F" w:rsidRPr="008D74EE">
        <w:rPr>
          <w:rFonts w:ascii="Arial" w:eastAsia="Calibri" w:hAnsi="Arial" w:cs="Arial"/>
          <w:bCs/>
          <w:sz w:val="22"/>
          <w:szCs w:val="22"/>
          <w:lang w:val="es-ES_tradnl"/>
        </w:rPr>
        <w:t>Además, e</w:t>
      </w:r>
      <w:r w:rsidR="00F823C8" w:rsidRPr="008D74EE">
        <w:rPr>
          <w:rFonts w:ascii="Arial" w:eastAsia="Calibri" w:hAnsi="Arial" w:cs="Arial"/>
          <w:bCs/>
          <w:sz w:val="22"/>
          <w:szCs w:val="22"/>
          <w:lang w:val="es-ES_tradnl"/>
        </w:rPr>
        <w:t xml:space="preserve">sta noción </w:t>
      </w:r>
      <w:r w:rsidR="00F823C8" w:rsidRPr="008D74EE">
        <w:rPr>
          <w:rFonts w:ascii="Arial" w:eastAsia="Calibri" w:hAnsi="Arial" w:cs="Arial"/>
          <w:bCs/>
          <w:sz w:val="22"/>
          <w:szCs w:val="22"/>
          <w:lang w:val="es-ES_tradnl"/>
        </w:rPr>
        <w:lastRenderedPageBreak/>
        <w:t xml:space="preserve">resulta indispensable </w:t>
      </w:r>
      <w:r w:rsidR="00CF76CC" w:rsidRPr="008D74EE">
        <w:rPr>
          <w:rFonts w:ascii="Arial" w:eastAsia="Calibri" w:hAnsi="Arial" w:cs="Arial"/>
          <w:bCs/>
          <w:sz w:val="22"/>
          <w:szCs w:val="22"/>
          <w:lang w:val="es-ES_tradnl"/>
        </w:rPr>
        <w:t xml:space="preserve">para </w:t>
      </w:r>
      <w:r w:rsidR="002D4CF8" w:rsidRPr="008D74EE">
        <w:rPr>
          <w:rFonts w:ascii="Arial" w:eastAsia="Calibri" w:hAnsi="Arial" w:cs="Arial"/>
          <w:bCs/>
          <w:sz w:val="22"/>
          <w:szCs w:val="22"/>
          <w:lang w:val="es-ES_tradnl"/>
        </w:rPr>
        <w:t>aplicar lo dispuesto</w:t>
      </w:r>
      <w:r w:rsidR="00CF76CC" w:rsidRPr="008D74EE">
        <w:rPr>
          <w:rFonts w:ascii="Arial" w:eastAsia="Calibri" w:hAnsi="Arial" w:cs="Arial"/>
          <w:bCs/>
          <w:sz w:val="22"/>
          <w:szCs w:val="22"/>
          <w:lang w:val="es-ES_tradnl"/>
        </w:rPr>
        <w:t xml:space="preserve"> en la</w:t>
      </w:r>
      <w:r w:rsidR="002D4CF8" w:rsidRPr="008D74EE">
        <w:rPr>
          <w:rFonts w:ascii="Arial" w:eastAsia="Calibri" w:hAnsi="Arial" w:cs="Arial"/>
          <w:bCs/>
          <w:sz w:val="22"/>
          <w:szCs w:val="22"/>
          <w:lang w:val="es-ES_tradnl"/>
        </w:rPr>
        <w:t xml:space="preserve"> Circular Externa Única del 17 de julio de 2018, actualizada el 16 de abril de 2019,</w:t>
      </w:r>
      <w:r w:rsidR="00CF76CC" w:rsidRPr="008D74EE">
        <w:rPr>
          <w:rFonts w:ascii="Arial" w:eastAsia="Calibri" w:hAnsi="Arial" w:cs="Arial"/>
          <w:bCs/>
          <w:sz w:val="22"/>
          <w:szCs w:val="22"/>
          <w:lang w:val="es-ES_tradnl"/>
        </w:rPr>
        <w:t xml:space="preserve"> en la medida</w:t>
      </w:r>
      <w:r w:rsidR="00767F7B" w:rsidRPr="008D74EE">
        <w:rPr>
          <w:rFonts w:ascii="Arial" w:eastAsia="Calibri" w:hAnsi="Arial" w:cs="Arial"/>
          <w:bCs/>
          <w:sz w:val="22"/>
          <w:szCs w:val="22"/>
          <w:lang w:val="es-ES_tradnl"/>
        </w:rPr>
        <w:t xml:space="preserve"> en</w:t>
      </w:r>
      <w:r w:rsidR="00CF76CC" w:rsidRPr="008D74EE">
        <w:rPr>
          <w:rFonts w:ascii="Arial" w:eastAsia="Calibri" w:hAnsi="Arial" w:cs="Arial"/>
          <w:bCs/>
          <w:sz w:val="22"/>
          <w:szCs w:val="22"/>
          <w:lang w:val="es-ES_tradnl"/>
        </w:rPr>
        <w:t xml:space="preserve"> que la contratación con cargo a recursos públicos</w:t>
      </w:r>
      <w:r w:rsidR="00767F7B" w:rsidRPr="008D74EE">
        <w:rPr>
          <w:rFonts w:ascii="Arial" w:eastAsia="Calibri" w:hAnsi="Arial" w:cs="Arial"/>
          <w:bCs/>
          <w:sz w:val="22"/>
          <w:szCs w:val="22"/>
          <w:lang w:val="es-ES_tradnl"/>
        </w:rPr>
        <w:t xml:space="preserve"> a la que esta alude procede de la aplicación de lo dispuesto en el literal c) del artículo 3 de la Ley 1150 de 2007.</w:t>
      </w:r>
    </w:p>
    <w:p w14:paraId="4137FF60" w14:textId="6EC7EBD4" w:rsidR="00B841D2" w:rsidRPr="008D74EE" w:rsidRDefault="00051C41" w:rsidP="00E81CAF">
      <w:pPr>
        <w:spacing w:after="120" w:line="276" w:lineRule="auto"/>
        <w:ind w:firstLine="708"/>
        <w:jc w:val="both"/>
        <w:rPr>
          <w:rFonts w:ascii="Arial" w:hAnsi="Arial" w:cs="Arial"/>
          <w:sz w:val="22"/>
          <w:szCs w:val="22"/>
        </w:rPr>
      </w:pPr>
      <w:r w:rsidRPr="008D74EE">
        <w:rPr>
          <w:rFonts w:ascii="Arial" w:eastAsia="Calibri" w:hAnsi="Arial" w:cs="Arial"/>
          <w:bCs/>
          <w:sz w:val="22"/>
          <w:szCs w:val="22"/>
          <w:lang w:val="es-ES_tradnl"/>
        </w:rPr>
        <w:t>En ese cometido es indispensable tener en cuenta</w:t>
      </w:r>
      <w:r w:rsidR="007870B7" w:rsidRPr="008D74EE">
        <w:rPr>
          <w:rFonts w:ascii="Arial" w:eastAsia="Calibri" w:hAnsi="Arial" w:cs="Arial"/>
          <w:bCs/>
          <w:sz w:val="22"/>
          <w:szCs w:val="22"/>
          <w:lang w:val="es-ES_tradnl"/>
        </w:rPr>
        <w:t xml:space="preserve"> el artículo 128 de la Constitución Política</w:t>
      </w:r>
      <w:r w:rsidR="00B003C4" w:rsidRPr="008D74EE">
        <w:rPr>
          <w:rFonts w:ascii="Arial" w:eastAsia="Calibri" w:hAnsi="Arial" w:cs="Arial"/>
          <w:bCs/>
          <w:sz w:val="22"/>
          <w:szCs w:val="22"/>
          <w:lang w:val="es-ES_tradnl"/>
        </w:rPr>
        <w:t>,</w:t>
      </w:r>
      <w:r w:rsidR="0070657C" w:rsidRPr="008D74EE">
        <w:rPr>
          <w:rFonts w:ascii="Arial" w:eastAsia="Calibri" w:hAnsi="Arial" w:cs="Arial"/>
          <w:bCs/>
          <w:sz w:val="22"/>
          <w:szCs w:val="22"/>
          <w:lang w:val="es-ES_tradnl"/>
        </w:rPr>
        <w:t xml:space="preserve"> el cual establece la prohibición de recibir más de una asignación proveniente del tesoro público</w:t>
      </w:r>
      <w:r w:rsidR="008B43CD" w:rsidRPr="008D74EE">
        <w:rPr>
          <w:rStyle w:val="Refdenotaalpie"/>
          <w:rFonts w:ascii="Arial" w:eastAsia="Calibri" w:hAnsi="Arial" w:cs="Arial"/>
          <w:bCs/>
          <w:sz w:val="22"/>
          <w:szCs w:val="22"/>
          <w:lang w:val="es-ES_tradnl"/>
        </w:rPr>
        <w:footnoteReference w:id="32"/>
      </w:r>
      <w:r w:rsidR="008B43CD" w:rsidRPr="008D74EE">
        <w:rPr>
          <w:rFonts w:ascii="Arial" w:eastAsia="Calibri" w:hAnsi="Arial" w:cs="Arial"/>
          <w:bCs/>
          <w:sz w:val="22"/>
          <w:szCs w:val="22"/>
          <w:lang w:val="es-ES_tradnl"/>
        </w:rPr>
        <w:t xml:space="preserve">. Esto en la medida que </w:t>
      </w:r>
      <w:r w:rsidR="00613836" w:rsidRPr="008D74EE">
        <w:rPr>
          <w:rFonts w:ascii="Arial" w:hAnsi="Arial" w:cs="Arial"/>
          <w:sz w:val="22"/>
          <w:szCs w:val="22"/>
        </w:rPr>
        <w:t>e</w:t>
      </w:r>
      <w:r w:rsidR="0008692F" w:rsidRPr="008D74EE">
        <w:rPr>
          <w:rFonts w:ascii="Arial" w:hAnsi="Arial" w:cs="Arial"/>
          <w:sz w:val="22"/>
          <w:szCs w:val="22"/>
        </w:rPr>
        <w:t xml:space="preserve">l segundo inciso </w:t>
      </w:r>
      <w:r w:rsidR="0000250A" w:rsidRPr="008D74EE">
        <w:rPr>
          <w:rFonts w:ascii="Arial" w:hAnsi="Arial" w:cs="Arial"/>
          <w:sz w:val="22"/>
          <w:szCs w:val="22"/>
        </w:rPr>
        <w:t>dispone</w:t>
      </w:r>
      <w:r w:rsidR="00613836" w:rsidRPr="008D74EE">
        <w:rPr>
          <w:rFonts w:ascii="Arial" w:hAnsi="Arial" w:cs="Arial"/>
          <w:sz w:val="22"/>
          <w:szCs w:val="22"/>
        </w:rPr>
        <w:t>:</w:t>
      </w:r>
      <w:r w:rsidR="0008692F" w:rsidRPr="008D74EE">
        <w:rPr>
          <w:rFonts w:ascii="Arial" w:hAnsi="Arial" w:cs="Arial"/>
          <w:sz w:val="22"/>
          <w:szCs w:val="22"/>
        </w:rPr>
        <w:t xml:space="preserve"> </w:t>
      </w:r>
      <w:r w:rsidR="00613836" w:rsidRPr="008D74EE">
        <w:rPr>
          <w:rFonts w:ascii="Arial" w:hAnsi="Arial" w:cs="Arial"/>
          <w:sz w:val="22"/>
          <w:szCs w:val="22"/>
        </w:rPr>
        <w:t>«Entiéndese por tesoro público el de la Nación, el de las entidades territoriales y el de las descentralizadas»</w:t>
      </w:r>
      <w:r w:rsidR="009B0DAC" w:rsidRPr="008D74EE">
        <w:rPr>
          <w:rStyle w:val="Refdenotaalpie"/>
          <w:rFonts w:ascii="Arial" w:hAnsi="Arial" w:cs="Arial"/>
          <w:sz w:val="22"/>
          <w:szCs w:val="22"/>
        </w:rPr>
        <w:footnoteReference w:id="33"/>
      </w:r>
      <w:r w:rsidR="00613836" w:rsidRPr="008D74EE">
        <w:rPr>
          <w:rFonts w:ascii="Arial" w:hAnsi="Arial" w:cs="Arial"/>
          <w:sz w:val="22"/>
          <w:szCs w:val="22"/>
        </w:rPr>
        <w:t>.</w:t>
      </w:r>
      <w:r w:rsidR="0008692F" w:rsidRPr="008D74EE">
        <w:rPr>
          <w:rFonts w:ascii="Arial" w:hAnsi="Arial" w:cs="Arial"/>
          <w:sz w:val="22"/>
          <w:szCs w:val="22"/>
        </w:rPr>
        <w:t xml:space="preserve"> </w:t>
      </w:r>
      <w:r w:rsidR="00E81CAF" w:rsidRPr="008D74EE">
        <w:rPr>
          <w:rFonts w:ascii="Arial" w:hAnsi="Arial" w:cs="Arial"/>
          <w:sz w:val="22"/>
          <w:szCs w:val="22"/>
        </w:rPr>
        <w:t xml:space="preserve"> </w:t>
      </w:r>
      <w:r w:rsidR="003731DC" w:rsidRPr="008D74EE">
        <w:rPr>
          <w:rFonts w:ascii="Arial" w:hAnsi="Arial" w:cs="Arial"/>
          <w:sz w:val="22"/>
          <w:szCs w:val="22"/>
        </w:rPr>
        <w:t>A partir de lo</w:t>
      </w:r>
      <w:r w:rsidR="00E81CAF" w:rsidRPr="008D74EE">
        <w:rPr>
          <w:rFonts w:ascii="Arial" w:hAnsi="Arial" w:cs="Arial"/>
          <w:sz w:val="22"/>
          <w:szCs w:val="22"/>
        </w:rPr>
        <w:t xml:space="preserve"> dispuesto en </w:t>
      </w:r>
      <w:r w:rsidR="0000250A" w:rsidRPr="008D74EE">
        <w:rPr>
          <w:rFonts w:ascii="Arial" w:hAnsi="Arial" w:cs="Arial"/>
          <w:sz w:val="22"/>
          <w:szCs w:val="22"/>
        </w:rPr>
        <w:t>este artículo</w:t>
      </w:r>
      <w:r w:rsidR="00E81CAF" w:rsidRPr="008D74EE">
        <w:rPr>
          <w:rFonts w:ascii="Arial" w:hAnsi="Arial" w:cs="Arial"/>
          <w:sz w:val="22"/>
          <w:szCs w:val="22"/>
        </w:rPr>
        <w:t xml:space="preserve">, </w:t>
      </w:r>
      <w:r w:rsidR="003731DC" w:rsidRPr="008D74EE">
        <w:rPr>
          <w:rFonts w:ascii="Arial" w:hAnsi="Arial" w:cs="Arial"/>
          <w:sz w:val="22"/>
          <w:szCs w:val="22"/>
        </w:rPr>
        <w:t xml:space="preserve">se estima que </w:t>
      </w:r>
      <w:r w:rsidR="005C2CF8" w:rsidRPr="008D74EE">
        <w:rPr>
          <w:rFonts w:ascii="Arial" w:hAnsi="Arial" w:cs="Arial"/>
          <w:sz w:val="22"/>
          <w:szCs w:val="22"/>
        </w:rPr>
        <w:t xml:space="preserve">la expresión </w:t>
      </w:r>
      <w:r w:rsidR="005C2CF8" w:rsidRPr="008D74EE">
        <w:rPr>
          <w:rFonts w:ascii="Arial" w:hAnsi="Arial" w:cs="Arial"/>
          <w:i/>
          <w:iCs/>
          <w:sz w:val="22"/>
          <w:szCs w:val="22"/>
        </w:rPr>
        <w:t>recursos</w:t>
      </w:r>
      <w:r w:rsidR="005C2CF8" w:rsidRPr="008D74EE">
        <w:rPr>
          <w:rFonts w:ascii="Arial" w:hAnsi="Arial" w:cs="Arial"/>
          <w:sz w:val="22"/>
          <w:szCs w:val="22"/>
        </w:rPr>
        <w:t xml:space="preserve"> </w:t>
      </w:r>
      <w:r w:rsidR="005C2CF8" w:rsidRPr="008D74EE">
        <w:rPr>
          <w:rFonts w:ascii="Arial" w:hAnsi="Arial" w:cs="Arial"/>
          <w:i/>
          <w:iCs/>
          <w:sz w:val="22"/>
          <w:szCs w:val="22"/>
        </w:rPr>
        <w:t xml:space="preserve">públicos </w:t>
      </w:r>
      <w:r w:rsidR="00525916" w:rsidRPr="008D74EE">
        <w:rPr>
          <w:rFonts w:ascii="Arial" w:hAnsi="Arial" w:cs="Arial"/>
          <w:sz w:val="22"/>
          <w:szCs w:val="22"/>
        </w:rPr>
        <w:t>está determinada por lo que constituye</w:t>
      </w:r>
      <w:r w:rsidR="005C2CF8" w:rsidRPr="008D74EE">
        <w:rPr>
          <w:rFonts w:ascii="Arial" w:hAnsi="Arial" w:cs="Arial"/>
          <w:sz w:val="22"/>
          <w:szCs w:val="22"/>
        </w:rPr>
        <w:t xml:space="preserve"> el </w:t>
      </w:r>
      <w:r w:rsidR="005C2CF8" w:rsidRPr="008D74EE">
        <w:rPr>
          <w:rFonts w:ascii="Arial" w:hAnsi="Arial" w:cs="Arial"/>
          <w:i/>
          <w:iCs/>
          <w:sz w:val="22"/>
          <w:szCs w:val="22"/>
        </w:rPr>
        <w:t>tesoro público</w:t>
      </w:r>
      <w:r w:rsidR="005C2CF8" w:rsidRPr="008D74EE">
        <w:rPr>
          <w:rFonts w:ascii="Arial" w:hAnsi="Arial" w:cs="Arial"/>
          <w:sz w:val="22"/>
          <w:szCs w:val="22"/>
        </w:rPr>
        <w:t>,</w:t>
      </w:r>
      <w:r w:rsidR="00E81CAF" w:rsidRPr="008D74EE">
        <w:rPr>
          <w:rFonts w:ascii="Arial" w:hAnsi="Arial" w:cs="Arial"/>
          <w:sz w:val="22"/>
          <w:szCs w:val="22"/>
        </w:rPr>
        <w:t xml:space="preserve"> </w:t>
      </w:r>
      <w:r w:rsidR="00B95DFE" w:rsidRPr="008D74EE">
        <w:rPr>
          <w:rFonts w:ascii="Arial" w:hAnsi="Arial" w:cs="Arial"/>
          <w:sz w:val="22"/>
          <w:szCs w:val="22"/>
        </w:rPr>
        <w:t>comoquiera que</w:t>
      </w:r>
      <w:r w:rsidR="00EE19F9" w:rsidRPr="008D74EE">
        <w:rPr>
          <w:rFonts w:ascii="Arial" w:hAnsi="Arial" w:cs="Arial"/>
          <w:sz w:val="22"/>
          <w:szCs w:val="22"/>
        </w:rPr>
        <w:t xml:space="preserve"> </w:t>
      </w:r>
      <w:r w:rsidR="00525916" w:rsidRPr="008D74EE">
        <w:rPr>
          <w:rFonts w:ascii="Arial" w:hAnsi="Arial" w:cs="Arial"/>
          <w:sz w:val="22"/>
          <w:szCs w:val="22"/>
        </w:rPr>
        <w:t xml:space="preserve">es posible </w:t>
      </w:r>
      <w:r w:rsidR="00EE19F9" w:rsidRPr="008D74EE">
        <w:rPr>
          <w:rFonts w:ascii="Arial" w:hAnsi="Arial" w:cs="Arial"/>
          <w:sz w:val="22"/>
          <w:szCs w:val="22"/>
        </w:rPr>
        <w:t>asimila</w:t>
      </w:r>
      <w:r w:rsidR="00525916" w:rsidRPr="008D74EE">
        <w:rPr>
          <w:rFonts w:ascii="Arial" w:hAnsi="Arial" w:cs="Arial"/>
          <w:sz w:val="22"/>
          <w:szCs w:val="22"/>
        </w:rPr>
        <w:t>r</w:t>
      </w:r>
      <w:r w:rsidR="00EE19F9" w:rsidRPr="008D74EE">
        <w:rPr>
          <w:rFonts w:ascii="Arial" w:hAnsi="Arial" w:cs="Arial"/>
          <w:sz w:val="22"/>
          <w:szCs w:val="22"/>
        </w:rPr>
        <w:t xml:space="preserve"> a aquellos l</w:t>
      </w:r>
      <w:r w:rsidR="00663183" w:rsidRPr="008D74EE">
        <w:rPr>
          <w:rFonts w:ascii="Arial" w:hAnsi="Arial" w:cs="Arial"/>
          <w:sz w:val="22"/>
          <w:szCs w:val="22"/>
        </w:rPr>
        <w:t>as sumas de dinero</w:t>
      </w:r>
      <w:r w:rsidR="00EE19F9" w:rsidRPr="008D74EE">
        <w:rPr>
          <w:rFonts w:ascii="Arial" w:hAnsi="Arial" w:cs="Arial"/>
          <w:sz w:val="22"/>
          <w:szCs w:val="22"/>
        </w:rPr>
        <w:t xml:space="preserve"> provenientes </w:t>
      </w:r>
      <w:r w:rsidR="00855055" w:rsidRPr="008D74EE">
        <w:rPr>
          <w:rFonts w:ascii="Arial" w:hAnsi="Arial" w:cs="Arial"/>
          <w:sz w:val="22"/>
          <w:szCs w:val="22"/>
        </w:rPr>
        <w:t>de este último</w:t>
      </w:r>
      <w:r w:rsidR="00EE19F9" w:rsidRPr="008D74EE">
        <w:rPr>
          <w:rFonts w:ascii="Arial" w:hAnsi="Arial" w:cs="Arial"/>
          <w:sz w:val="22"/>
          <w:szCs w:val="22"/>
        </w:rPr>
        <w:t xml:space="preserve">. En ese sentido, </w:t>
      </w:r>
      <w:r w:rsidR="00991CE0" w:rsidRPr="008D74EE">
        <w:rPr>
          <w:rFonts w:ascii="Arial" w:hAnsi="Arial" w:cs="Arial"/>
          <w:sz w:val="22"/>
          <w:szCs w:val="22"/>
        </w:rPr>
        <w:t xml:space="preserve">es posible </w:t>
      </w:r>
      <w:r w:rsidR="00855055" w:rsidRPr="008D74EE">
        <w:rPr>
          <w:rFonts w:ascii="Arial" w:hAnsi="Arial" w:cs="Arial"/>
          <w:sz w:val="22"/>
          <w:szCs w:val="22"/>
        </w:rPr>
        <w:t xml:space="preserve">concluir </w:t>
      </w:r>
      <w:r w:rsidR="00991CE0" w:rsidRPr="008D74EE">
        <w:rPr>
          <w:rFonts w:ascii="Arial" w:hAnsi="Arial" w:cs="Arial"/>
          <w:sz w:val="22"/>
          <w:szCs w:val="22"/>
        </w:rPr>
        <w:t xml:space="preserve">que cuando </w:t>
      </w:r>
      <w:r w:rsidR="0025147C" w:rsidRPr="008D74EE">
        <w:rPr>
          <w:rFonts w:ascii="Arial" w:hAnsi="Arial" w:cs="Arial"/>
          <w:sz w:val="22"/>
          <w:szCs w:val="22"/>
        </w:rPr>
        <w:t xml:space="preserve">la Ley 1150 de 2007 </w:t>
      </w:r>
      <w:r w:rsidR="00A80FA8" w:rsidRPr="008D74EE">
        <w:rPr>
          <w:rFonts w:ascii="Arial" w:hAnsi="Arial" w:cs="Arial"/>
          <w:sz w:val="22"/>
          <w:szCs w:val="22"/>
        </w:rPr>
        <w:t>s</w:t>
      </w:r>
      <w:r w:rsidR="00991CE0" w:rsidRPr="008D74EE">
        <w:rPr>
          <w:rFonts w:ascii="Arial" w:hAnsi="Arial" w:cs="Arial"/>
          <w:sz w:val="22"/>
          <w:szCs w:val="22"/>
        </w:rPr>
        <w:t>e</w:t>
      </w:r>
      <w:r w:rsidR="00A80FA8" w:rsidRPr="008D74EE">
        <w:rPr>
          <w:rFonts w:ascii="Arial" w:hAnsi="Arial" w:cs="Arial"/>
          <w:sz w:val="22"/>
          <w:szCs w:val="22"/>
        </w:rPr>
        <w:t xml:space="preserve"> </w:t>
      </w:r>
      <w:r w:rsidR="00991CE0" w:rsidRPr="008D74EE">
        <w:rPr>
          <w:rFonts w:ascii="Arial" w:hAnsi="Arial" w:cs="Arial"/>
          <w:sz w:val="22"/>
          <w:szCs w:val="22"/>
        </w:rPr>
        <w:t>refiere a recursos públicos</w:t>
      </w:r>
      <w:r w:rsidR="0063411F" w:rsidRPr="008D74EE">
        <w:rPr>
          <w:rFonts w:ascii="Arial" w:hAnsi="Arial" w:cs="Arial"/>
          <w:sz w:val="22"/>
          <w:szCs w:val="22"/>
        </w:rPr>
        <w:t xml:space="preserve">, </w:t>
      </w:r>
      <w:r w:rsidR="00722452" w:rsidRPr="008D74EE">
        <w:rPr>
          <w:rFonts w:ascii="Arial" w:hAnsi="Arial" w:cs="Arial"/>
          <w:sz w:val="22"/>
          <w:szCs w:val="22"/>
        </w:rPr>
        <w:t>hace alusión</w:t>
      </w:r>
      <w:r w:rsidR="0063411F" w:rsidRPr="008D74EE">
        <w:rPr>
          <w:rFonts w:ascii="Arial" w:hAnsi="Arial" w:cs="Arial"/>
          <w:sz w:val="22"/>
          <w:szCs w:val="22"/>
        </w:rPr>
        <w:t xml:space="preserve"> a los recursos que hacen </w:t>
      </w:r>
      <w:r w:rsidR="00722452" w:rsidRPr="008D74EE">
        <w:rPr>
          <w:rFonts w:ascii="Arial" w:hAnsi="Arial" w:cs="Arial"/>
          <w:sz w:val="22"/>
          <w:szCs w:val="22"/>
        </w:rPr>
        <w:t xml:space="preserve">de las </w:t>
      </w:r>
      <w:r w:rsidR="008F6D11" w:rsidRPr="008D74EE">
        <w:rPr>
          <w:rFonts w:ascii="Arial" w:hAnsi="Arial" w:cs="Arial"/>
          <w:sz w:val="22"/>
          <w:szCs w:val="22"/>
        </w:rPr>
        <w:t>entidades estatales,</w:t>
      </w:r>
      <w:r w:rsidR="00206736" w:rsidRPr="008D74EE">
        <w:rPr>
          <w:rFonts w:ascii="Arial" w:hAnsi="Arial" w:cs="Arial"/>
          <w:sz w:val="22"/>
          <w:szCs w:val="22"/>
        </w:rPr>
        <w:t xml:space="preserve"> tanto las del orden nacional como las del </w:t>
      </w:r>
      <w:r w:rsidR="008F6D11" w:rsidRPr="008D74EE">
        <w:rPr>
          <w:rFonts w:ascii="Arial" w:hAnsi="Arial" w:cs="Arial"/>
          <w:sz w:val="22"/>
          <w:szCs w:val="22"/>
        </w:rPr>
        <w:t>territorial</w:t>
      </w:r>
      <w:r w:rsidR="00952A89" w:rsidRPr="008D74EE">
        <w:rPr>
          <w:rFonts w:ascii="Arial" w:hAnsi="Arial" w:cs="Arial"/>
          <w:sz w:val="22"/>
          <w:szCs w:val="22"/>
        </w:rPr>
        <w:t>, así como</w:t>
      </w:r>
      <w:r w:rsidR="008F6D11" w:rsidRPr="008D74EE">
        <w:rPr>
          <w:rFonts w:ascii="Arial" w:hAnsi="Arial" w:cs="Arial"/>
          <w:sz w:val="22"/>
          <w:szCs w:val="22"/>
        </w:rPr>
        <w:t xml:space="preserve"> </w:t>
      </w:r>
      <w:r w:rsidR="00952A89" w:rsidRPr="008D74EE">
        <w:rPr>
          <w:rFonts w:ascii="Arial" w:hAnsi="Arial" w:cs="Arial"/>
          <w:sz w:val="22"/>
          <w:szCs w:val="22"/>
        </w:rPr>
        <w:t xml:space="preserve">a las descentralizadas </w:t>
      </w:r>
      <w:r w:rsidR="00A811C5" w:rsidRPr="008D74EE">
        <w:rPr>
          <w:rFonts w:ascii="Arial" w:hAnsi="Arial" w:cs="Arial"/>
          <w:sz w:val="22"/>
          <w:szCs w:val="22"/>
        </w:rPr>
        <w:t>por servicios.</w:t>
      </w:r>
    </w:p>
    <w:p w14:paraId="57379165" w14:textId="4063DDCB" w:rsidR="00E336A3" w:rsidRPr="008D74EE" w:rsidRDefault="00A811C5" w:rsidP="005855E3">
      <w:pPr>
        <w:spacing w:after="120" w:line="276" w:lineRule="auto"/>
        <w:jc w:val="both"/>
        <w:rPr>
          <w:rFonts w:ascii="Arial" w:hAnsi="Arial" w:cs="Arial"/>
          <w:sz w:val="22"/>
          <w:szCs w:val="22"/>
        </w:rPr>
      </w:pPr>
      <w:r w:rsidRPr="008D74EE">
        <w:rPr>
          <w:rFonts w:ascii="Arial" w:hAnsi="Arial" w:cs="Arial"/>
          <w:sz w:val="22"/>
          <w:szCs w:val="22"/>
        </w:rPr>
        <w:lastRenderedPageBreak/>
        <w:tab/>
        <w:t>Esta interpretació</w:t>
      </w:r>
      <w:r w:rsidR="00F4597B" w:rsidRPr="008D74EE">
        <w:rPr>
          <w:rFonts w:ascii="Arial" w:hAnsi="Arial" w:cs="Arial"/>
          <w:sz w:val="22"/>
          <w:szCs w:val="22"/>
        </w:rPr>
        <w:t xml:space="preserve">n </w:t>
      </w:r>
      <w:r w:rsidR="00561302" w:rsidRPr="008D74EE">
        <w:rPr>
          <w:rFonts w:ascii="Arial" w:hAnsi="Arial" w:cs="Arial"/>
          <w:sz w:val="22"/>
          <w:szCs w:val="22"/>
        </w:rPr>
        <w:t>concuerda</w:t>
      </w:r>
      <w:r w:rsidR="00A828E6" w:rsidRPr="008D74EE">
        <w:rPr>
          <w:rFonts w:ascii="Arial" w:hAnsi="Arial" w:cs="Arial"/>
          <w:sz w:val="22"/>
          <w:szCs w:val="22"/>
        </w:rPr>
        <w:t xml:space="preserve"> con</w:t>
      </w:r>
      <w:r w:rsidR="00F4597B" w:rsidRPr="008D74EE">
        <w:rPr>
          <w:rFonts w:ascii="Arial" w:hAnsi="Arial" w:cs="Arial"/>
          <w:sz w:val="22"/>
          <w:szCs w:val="22"/>
        </w:rPr>
        <w:t xml:space="preserve"> lo que la Ley 1150 de 2007</w:t>
      </w:r>
      <w:r w:rsidR="002637A4" w:rsidRPr="008D74EE">
        <w:rPr>
          <w:rFonts w:ascii="Arial" w:hAnsi="Arial" w:cs="Arial"/>
          <w:sz w:val="22"/>
          <w:szCs w:val="22"/>
        </w:rPr>
        <w:t xml:space="preserve"> considera como </w:t>
      </w:r>
      <w:r w:rsidR="002637A4" w:rsidRPr="008D74EE">
        <w:rPr>
          <w:rFonts w:ascii="Arial" w:hAnsi="Arial" w:cs="Arial"/>
          <w:i/>
          <w:iCs/>
          <w:sz w:val="22"/>
          <w:szCs w:val="22"/>
        </w:rPr>
        <w:t xml:space="preserve">contratación </w:t>
      </w:r>
      <w:r w:rsidR="0062427A" w:rsidRPr="008D74EE">
        <w:rPr>
          <w:rFonts w:ascii="Arial" w:hAnsi="Arial" w:cs="Arial"/>
          <w:i/>
          <w:iCs/>
          <w:sz w:val="22"/>
          <w:szCs w:val="22"/>
        </w:rPr>
        <w:t>con recursos públicos</w:t>
      </w:r>
      <w:r w:rsidR="005855E3" w:rsidRPr="008D74EE">
        <w:rPr>
          <w:rFonts w:ascii="Arial" w:hAnsi="Arial" w:cs="Arial"/>
          <w:sz w:val="22"/>
          <w:szCs w:val="22"/>
        </w:rPr>
        <w:t xml:space="preserve">, ámbito al que se encuentran destinadas las disposiciones del Título II de dicha norma, titulado «DISPOSICIONES GENERALES PARA LA CONTRATACION CON RECURSOS PUBLICOS». </w:t>
      </w:r>
      <w:r w:rsidR="00A20023" w:rsidRPr="008D74EE">
        <w:rPr>
          <w:rFonts w:ascii="Arial" w:hAnsi="Arial" w:cs="Arial"/>
          <w:sz w:val="22"/>
          <w:szCs w:val="22"/>
        </w:rPr>
        <w:t>Este título contiene una serie de normas</w:t>
      </w:r>
      <w:r w:rsidR="00A64EAA" w:rsidRPr="008D74EE">
        <w:rPr>
          <w:rFonts w:ascii="Arial" w:hAnsi="Arial" w:cs="Arial"/>
          <w:sz w:val="22"/>
          <w:szCs w:val="22"/>
        </w:rPr>
        <w:t xml:space="preserve">, </w:t>
      </w:r>
      <w:r w:rsidR="0035719F" w:rsidRPr="008D74EE">
        <w:rPr>
          <w:rFonts w:ascii="Arial" w:hAnsi="Arial" w:cs="Arial"/>
          <w:sz w:val="22"/>
          <w:szCs w:val="22"/>
        </w:rPr>
        <w:t xml:space="preserve">dirigidas a: i) </w:t>
      </w:r>
      <w:r w:rsidR="00FF1A72" w:rsidRPr="008D74EE">
        <w:rPr>
          <w:rFonts w:ascii="Arial" w:hAnsi="Arial" w:cs="Arial"/>
          <w:sz w:val="22"/>
          <w:szCs w:val="22"/>
        </w:rPr>
        <w:t xml:space="preserve">promover </w:t>
      </w:r>
      <w:r w:rsidR="0035719F" w:rsidRPr="008D74EE">
        <w:rPr>
          <w:rFonts w:ascii="Arial" w:hAnsi="Arial" w:cs="Arial"/>
          <w:sz w:val="22"/>
          <w:szCs w:val="22"/>
        </w:rPr>
        <w:t xml:space="preserve">el acceso de las </w:t>
      </w:r>
      <w:proofErr w:type="spellStart"/>
      <w:r w:rsidR="0035719F" w:rsidRPr="008D74EE">
        <w:rPr>
          <w:rFonts w:ascii="Arial" w:hAnsi="Arial" w:cs="Arial"/>
          <w:sz w:val="22"/>
          <w:szCs w:val="22"/>
        </w:rPr>
        <w:t>Mipymes</w:t>
      </w:r>
      <w:proofErr w:type="spellEnd"/>
      <w:r w:rsidR="0035719F" w:rsidRPr="008D74EE">
        <w:rPr>
          <w:rFonts w:ascii="Arial" w:hAnsi="Arial" w:cs="Arial"/>
          <w:sz w:val="22"/>
          <w:szCs w:val="22"/>
        </w:rPr>
        <w:t xml:space="preserve"> a la contratación con cargo recursos públicos</w:t>
      </w:r>
      <w:r w:rsidR="00E336A3" w:rsidRPr="008D74EE">
        <w:rPr>
          <w:rFonts w:ascii="Arial" w:hAnsi="Arial" w:cs="Arial"/>
          <w:sz w:val="22"/>
          <w:szCs w:val="22"/>
        </w:rPr>
        <w:t xml:space="preserve"> </w:t>
      </w:r>
      <w:r w:rsidR="00561302" w:rsidRPr="008D74EE">
        <w:rPr>
          <w:rFonts w:ascii="Arial" w:hAnsi="Arial" w:cs="Arial"/>
          <w:sz w:val="22"/>
          <w:szCs w:val="22"/>
        </w:rPr>
        <w:t>–</w:t>
      </w:r>
      <w:r w:rsidR="00E336A3" w:rsidRPr="008D74EE">
        <w:rPr>
          <w:rFonts w:ascii="Arial" w:hAnsi="Arial" w:cs="Arial"/>
          <w:sz w:val="22"/>
          <w:szCs w:val="22"/>
        </w:rPr>
        <w:t>Art. 12</w:t>
      </w:r>
      <w:r w:rsidR="00561302" w:rsidRPr="008D74EE">
        <w:rPr>
          <w:rFonts w:ascii="Arial" w:hAnsi="Arial" w:cs="Arial"/>
          <w:sz w:val="22"/>
          <w:szCs w:val="22"/>
        </w:rPr>
        <w:t>–</w:t>
      </w:r>
      <w:r w:rsidR="0035719F" w:rsidRPr="008D74EE">
        <w:rPr>
          <w:rFonts w:ascii="Arial" w:hAnsi="Arial" w:cs="Arial"/>
          <w:sz w:val="22"/>
          <w:szCs w:val="22"/>
        </w:rPr>
        <w:t>; ii) disponer la aplic</w:t>
      </w:r>
      <w:r w:rsidR="00442FB7" w:rsidRPr="008D74EE">
        <w:rPr>
          <w:rFonts w:ascii="Arial" w:hAnsi="Arial" w:cs="Arial"/>
          <w:sz w:val="22"/>
          <w:szCs w:val="22"/>
        </w:rPr>
        <w:t>abilidad de los principios de la función administrativa y la gestión fiscal</w:t>
      </w:r>
      <w:r w:rsidR="009166D4" w:rsidRPr="008D74EE">
        <w:rPr>
          <w:rFonts w:ascii="Arial" w:hAnsi="Arial" w:cs="Arial"/>
          <w:sz w:val="22"/>
          <w:szCs w:val="22"/>
        </w:rPr>
        <w:t xml:space="preserve"> en los regímenes exceptuados</w:t>
      </w:r>
      <w:r w:rsidR="00442FB7" w:rsidRPr="008D74EE">
        <w:rPr>
          <w:rFonts w:ascii="Arial" w:hAnsi="Arial" w:cs="Arial"/>
          <w:sz w:val="22"/>
          <w:szCs w:val="22"/>
        </w:rPr>
        <w:t xml:space="preserve"> </w:t>
      </w:r>
      <w:r w:rsidR="00561302" w:rsidRPr="008D74EE">
        <w:rPr>
          <w:rFonts w:ascii="Arial" w:hAnsi="Arial" w:cs="Arial"/>
          <w:sz w:val="22"/>
          <w:szCs w:val="22"/>
        </w:rPr>
        <w:t>–</w:t>
      </w:r>
      <w:r w:rsidR="00E336A3" w:rsidRPr="008D74EE">
        <w:rPr>
          <w:rFonts w:ascii="Arial" w:hAnsi="Arial" w:cs="Arial"/>
          <w:sz w:val="22"/>
          <w:szCs w:val="22"/>
        </w:rPr>
        <w:t>Art. 13</w:t>
      </w:r>
      <w:r w:rsidR="00561302" w:rsidRPr="008D74EE">
        <w:rPr>
          <w:rFonts w:ascii="Arial" w:hAnsi="Arial" w:cs="Arial"/>
          <w:sz w:val="22"/>
          <w:szCs w:val="22"/>
        </w:rPr>
        <w:t>–</w:t>
      </w:r>
      <w:r w:rsidR="00E336A3" w:rsidRPr="008D74EE">
        <w:rPr>
          <w:rFonts w:ascii="Arial" w:hAnsi="Arial" w:cs="Arial"/>
          <w:sz w:val="22"/>
          <w:szCs w:val="22"/>
        </w:rPr>
        <w:t xml:space="preserve">; iii) </w:t>
      </w:r>
      <w:r w:rsidR="00763FAF" w:rsidRPr="008D74EE">
        <w:rPr>
          <w:rFonts w:ascii="Arial" w:hAnsi="Arial" w:cs="Arial"/>
          <w:sz w:val="22"/>
          <w:szCs w:val="22"/>
        </w:rPr>
        <w:t>establecer el régimen de contratación de diferentes entidades descentralizadas como empresas industriales del Estado</w:t>
      </w:r>
      <w:r w:rsidR="002D2AB8" w:rsidRPr="008D74EE">
        <w:rPr>
          <w:rFonts w:ascii="Arial" w:hAnsi="Arial" w:cs="Arial"/>
          <w:sz w:val="22"/>
          <w:szCs w:val="22"/>
        </w:rPr>
        <w:t xml:space="preserve">, sociedades de economía mixta y sociedades públicas con participación estatal </w:t>
      </w:r>
      <w:r w:rsidR="00561302" w:rsidRPr="008D74EE">
        <w:rPr>
          <w:rFonts w:ascii="Arial" w:hAnsi="Arial" w:cs="Arial"/>
          <w:sz w:val="22"/>
          <w:szCs w:val="22"/>
        </w:rPr>
        <w:t>–</w:t>
      </w:r>
      <w:r w:rsidR="002D2AB8" w:rsidRPr="008D74EE">
        <w:rPr>
          <w:rFonts w:ascii="Arial" w:hAnsi="Arial" w:cs="Arial"/>
          <w:sz w:val="22"/>
          <w:szCs w:val="22"/>
        </w:rPr>
        <w:t>Art. 14</w:t>
      </w:r>
      <w:r w:rsidR="00561302" w:rsidRPr="008D74EE">
        <w:rPr>
          <w:rFonts w:ascii="Arial" w:hAnsi="Arial" w:cs="Arial"/>
          <w:sz w:val="22"/>
          <w:szCs w:val="22"/>
        </w:rPr>
        <w:t>–</w:t>
      </w:r>
      <w:r w:rsidR="002D2AB8" w:rsidRPr="008D74EE">
        <w:rPr>
          <w:rFonts w:ascii="Arial" w:hAnsi="Arial" w:cs="Arial"/>
          <w:sz w:val="22"/>
          <w:szCs w:val="22"/>
        </w:rPr>
        <w:t>; iv)</w:t>
      </w:r>
      <w:r w:rsidR="00154F04" w:rsidRPr="008D74EE">
        <w:rPr>
          <w:rFonts w:ascii="Arial" w:hAnsi="Arial" w:cs="Arial"/>
          <w:sz w:val="22"/>
          <w:szCs w:val="22"/>
        </w:rPr>
        <w:t xml:space="preserve"> </w:t>
      </w:r>
      <w:r w:rsidR="005654B3" w:rsidRPr="008D74EE">
        <w:rPr>
          <w:rFonts w:ascii="Arial" w:hAnsi="Arial" w:cs="Arial"/>
          <w:sz w:val="22"/>
          <w:szCs w:val="22"/>
        </w:rPr>
        <w:t>disponer</w:t>
      </w:r>
      <w:r w:rsidR="00154F04" w:rsidRPr="008D74EE">
        <w:rPr>
          <w:rFonts w:ascii="Arial" w:hAnsi="Arial" w:cs="Arial"/>
          <w:sz w:val="22"/>
          <w:szCs w:val="22"/>
        </w:rPr>
        <w:t xml:space="preserve"> un régimen de contratación exceptuado para los establecimientos de crédito, las compañías de seguros y las demás entidades financieras</w:t>
      </w:r>
      <w:r w:rsidR="00DB23B5" w:rsidRPr="008D74EE">
        <w:rPr>
          <w:rFonts w:ascii="Arial" w:hAnsi="Arial" w:cs="Arial"/>
          <w:sz w:val="22"/>
          <w:szCs w:val="22"/>
        </w:rPr>
        <w:t xml:space="preserve"> de carácter estatal </w:t>
      </w:r>
      <w:r w:rsidR="00561302" w:rsidRPr="008D74EE">
        <w:rPr>
          <w:rFonts w:ascii="Arial" w:hAnsi="Arial" w:cs="Arial"/>
          <w:sz w:val="22"/>
          <w:szCs w:val="22"/>
        </w:rPr>
        <w:t>–</w:t>
      </w:r>
      <w:r w:rsidR="00DB23B5" w:rsidRPr="008D74EE">
        <w:rPr>
          <w:rFonts w:ascii="Arial" w:hAnsi="Arial" w:cs="Arial"/>
          <w:sz w:val="22"/>
          <w:szCs w:val="22"/>
        </w:rPr>
        <w:t>Art. 15</w:t>
      </w:r>
      <w:r w:rsidR="00561302" w:rsidRPr="008D74EE">
        <w:rPr>
          <w:rFonts w:ascii="Arial" w:hAnsi="Arial" w:cs="Arial"/>
          <w:sz w:val="22"/>
          <w:szCs w:val="22"/>
        </w:rPr>
        <w:t>–</w:t>
      </w:r>
      <w:r w:rsidR="00DB23B5" w:rsidRPr="008D74EE">
        <w:rPr>
          <w:rFonts w:ascii="Arial" w:hAnsi="Arial" w:cs="Arial"/>
          <w:sz w:val="22"/>
          <w:szCs w:val="22"/>
        </w:rPr>
        <w:t xml:space="preserve">; v) la consagración de régimen exceptuado para algunas entidades descentralizadas del sector defensa </w:t>
      </w:r>
      <w:r w:rsidR="00561302" w:rsidRPr="008D74EE">
        <w:rPr>
          <w:rFonts w:ascii="Arial" w:hAnsi="Arial" w:cs="Arial"/>
          <w:sz w:val="22"/>
          <w:szCs w:val="22"/>
        </w:rPr>
        <w:t>–</w:t>
      </w:r>
      <w:r w:rsidR="00DB23B5" w:rsidRPr="008D74EE">
        <w:rPr>
          <w:rFonts w:ascii="Arial" w:hAnsi="Arial" w:cs="Arial"/>
          <w:sz w:val="22"/>
          <w:szCs w:val="22"/>
        </w:rPr>
        <w:t>Art. 16</w:t>
      </w:r>
      <w:r w:rsidR="00561302" w:rsidRPr="008D74EE">
        <w:rPr>
          <w:rFonts w:ascii="Arial" w:hAnsi="Arial" w:cs="Arial"/>
          <w:sz w:val="22"/>
          <w:szCs w:val="22"/>
        </w:rPr>
        <w:t>–</w:t>
      </w:r>
      <w:r w:rsidR="00DB23B5" w:rsidRPr="008D74EE">
        <w:rPr>
          <w:rFonts w:ascii="Arial" w:hAnsi="Arial" w:cs="Arial"/>
          <w:sz w:val="22"/>
          <w:szCs w:val="22"/>
        </w:rPr>
        <w:t>.</w:t>
      </w:r>
    </w:p>
    <w:p w14:paraId="766C7C35" w14:textId="44E8DA4A" w:rsidR="004B3BBC" w:rsidRPr="008D74EE" w:rsidRDefault="00F04802" w:rsidP="005855E3">
      <w:pPr>
        <w:spacing w:after="120" w:line="276" w:lineRule="auto"/>
        <w:jc w:val="both"/>
        <w:rPr>
          <w:rFonts w:ascii="Arial" w:hAnsi="Arial" w:cs="Arial"/>
          <w:sz w:val="22"/>
          <w:szCs w:val="22"/>
        </w:rPr>
      </w:pPr>
      <w:r w:rsidRPr="008D74EE">
        <w:rPr>
          <w:rFonts w:ascii="Arial" w:hAnsi="Arial" w:cs="Arial"/>
          <w:sz w:val="22"/>
          <w:szCs w:val="22"/>
        </w:rPr>
        <w:tab/>
        <w:t xml:space="preserve">Considerando </w:t>
      </w:r>
      <w:r w:rsidR="002C2BCE" w:rsidRPr="008D74EE">
        <w:rPr>
          <w:rFonts w:ascii="Arial" w:hAnsi="Arial" w:cs="Arial"/>
          <w:sz w:val="22"/>
          <w:szCs w:val="22"/>
        </w:rPr>
        <w:t>el contenido de las</w:t>
      </w:r>
      <w:r w:rsidRPr="008D74EE">
        <w:rPr>
          <w:rFonts w:ascii="Arial" w:hAnsi="Arial" w:cs="Arial"/>
          <w:sz w:val="22"/>
          <w:szCs w:val="22"/>
        </w:rPr>
        <w:t xml:space="preserve"> diferentes disposiciones </w:t>
      </w:r>
      <w:r w:rsidR="004130A1" w:rsidRPr="008D74EE">
        <w:rPr>
          <w:rFonts w:ascii="Arial" w:hAnsi="Arial" w:cs="Arial"/>
          <w:sz w:val="22"/>
          <w:szCs w:val="22"/>
        </w:rPr>
        <w:t xml:space="preserve">que integran </w:t>
      </w:r>
      <w:r w:rsidRPr="008D74EE">
        <w:rPr>
          <w:rFonts w:ascii="Arial" w:hAnsi="Arial" w:cs="Arial"/>
          <w:sz w:val="22"/>
          <w:szCs w:val="22"/>
        </w:rPr>
        <w:t>el Titulo II de la Ley 1150 de 2007</w:t>
      </w:r>
      <w:r w:rsidR="00F40861" w:rsidRPr="008D74EE">
        <w:rPr>
          <w:rFonts w:ascii="Arial" w:hAnsi="Arial" w:cs="Arial"/>
          <w:sz w:val="22"/>
          <w:szCs w:val="22"/>
        </w:rPr>
        <w:t>, en concordancia con lo establecido en el artículo 1 de dicha ley, s</w:t>
      </w:r>
      <w:r w:rsidR="004130A1" w:rsidRPr="008D74EE">
        <w:rPr>
          <w:rFonts w:ascii="Arial" w:hAnsi="Arial" w:cs="Arial"/>
          <w:sz w:val="22"/>
          <w:szCs w:val="22"/>
        </w:rPr>
        <w:t xml:space="preserve">e advierte </w:t>
      </w:r>
      <w:r w:rsidR="00287C82" w:rsidRPr="008D74EE">
        <w:rPr>
          <w:rFonts w:ascii="Arial" w:hAnsi="Arial" w:cs="Arial"/>
          <w:sz w:val="22"/>
          <w:szCs w:val="22"/>
        </w:rPr>
        <w:t xml:space="preserve">que tales disposiciones parten de la base de que </w:t>
      </w:r>
      <w:r w:rsidR="00D63A34" w:rsidRPr="008D74EE">
        <w:rPr>
          <w:rFonts w:ascii="Arial" w:hAnsi="Arial" w:cs="Arial"/>
          <w:sz w:val="22"/>
          <w:szCs w:val="22"/>
        </w:rPr>
        <w:t xml:space="preserve">existen unas entidades que a pesar de no celebrar </w:t>
      </w:r>
      <w:r w:rsidR="0009004D" w:rsidRPr="008D74EE">
        <w:rPr>
          <w:rFonts w:ascii="Arial" w:hAnsi="Arial" w:cs="Arial"/>
          <w:sz w:val="22"/>
          <w:szCs w:val="22"/>
        </w:rPr>
        <w:t>contratos aplicando el Estatuto General de Contratación de la Administración Pública</w:t>
      </w:r>
      <w:r w:rsidR="001C562B" w:rsidRPr="008D74EE">
        <w:rPr>
          <w:rFonts w:ascii="Arial" w:hAnsi="Arial" w:cs="Arial"/>
          <w:sz w:val="22"/>
          <w:szCs w:val="22"/>
        </w:rPr>
        <w:t xml:space="preserve">, contratan con cargo a recursos públicos. </w:t>
      </w:r>
      <w:r w:rsidR="004B3BBC" w:rsidRPr="008D74EE">
        <w:rPr>
          <w:rFonts w:ascii="Arial" w:hAnsi="Arial" w:cs="Arial"/>
          <w:sz w:val="22"/>
          <w:szCs w:val="22"/>
        </w:rPr>
        <w:tab/>
      </w:r>
      <w:r w:rsidR="003759DC" w:rsidRPr="008D74EE">
        <w:rPr>
          <w:rFonts w:ascii="Arial" w:hAnsi="Arial" w:cs="Arial"/>
          <w:sz w:val="22"/>
          <w:szCs w:val="22"/>
        </w:rPr>
        <w:t xml:space="preserve">Esta </w:t>
      </w:r>
      <w:r w:rsidR="004B3BBC" w:rsidRPr="008D74EE">
        <w:rPr>
          <w:rFonts w:ascii="Arial" w:hAnsi="Arial" w:cs="Arial"/>
          <w:sz w:val="22"/>
          <w:szCs w:val="22"/>
        </w:rPr>
        <w:t>conclusión</w:t>
      </w:r>
      <w:r w:rsidR="003759DC" w:rsidRPr="008D74EE">
        <w:rPr>
          <w:rFonts w:ascii="Arial" w:hAnsi="Arial" w:cs="Arial"/>
          <w:sz w:val="22"/>
          <w:szCs w:val="22"/>
        </w:rPr>
        <w:t xml:space="preserve"> también</w:t>
      </w:r>
      <w:r w:rsidR="004B3BBC" w:rsidRPr="008D74EE">
        <w:rPr>
          <w:rFonts w:ascii="Arial" w:hAnsi="Arial" w:cs="Arial"/>
          <w:sz w:val="22"/>
          <w:szCs w:val="22"/>
        </w:rPr>
        <w:t xml:space="preserve"> es </w:t>
      </w:r>
      <w:r w:rsidR="003759DC" w:rsidRPr="008D74EE">
        <w:rPr>
          <w:rFonts w:ascii="Arial" w:hAnsi="Arial" w:cs="Arial"/>
          <w:sz w:val="22"/>
          <w:szCs w:val="22"/>
        </w:rPr>
        <w:t xml:space="preserve">congruente </w:t>
      </w:r>
      <w:r w:rsidR="004B3BBC" w:rsidRPr="008D74EE">
        <w:rPr>
          <w:rFonts w:ascii="Arial" w:hAnsi="Arial" w:cs="Arial"/>
          <w:sz w:val="22"/>
          <w:szCs w:val="22"/>
        </w:rPr>
        <w:t xml:space="preserve">con la aproximación al </w:t>
      </w:r>
      <w:r w:rsidR="0094141A" w:rsidRPr="008D74EE">
        <w:rPr>
          <w:rFonts w:ascii="Arial" w:hAnsi="Arial" w:cs="Arial"/>
          <w:sz w:val="22"/>
          <w:szCs w:val="22"/>
        </w:rPr>
        <w:t xml:space="preserve">concepto de </w:t>
      </w:r>
      <w:r w:rsidR="0094141A" w:rsidRPr="008D74EE">
        <w:rPr>
          <w:rFonts w:ascii="Arial" w:hAnsi="Arial" w:cs="Arial"/>
          <w:i/>
          <w:iCs/>
          <w:sz w:val="22"/>
          <w:szCs w:val="22"/>
        </w:rPr>
        <w:t>recursos público</w:t>
      </w:r>
      <w:r w:rsidR="00483AED" w:rsidRPr="008D74EE">
        <w:rPr>
          <w:rFonts w:ascii="Arial" w:hAnsi="Arial" w:cs="Arial"/>
          <w:i/>
          <w:iCs/>
          <w:sz w:val="22"/>
          <w:szCs w:val="22"/>
        </w:rPr>
        <w:t>s</w:t>
      </w:r>
      <w:r w:rsidR="0094141A" w:rsidRPr="008D74EE">
        <w:rPr>
          <w:rFonts w:ascii="Arial" w:hAnsi="Arial" w:cs="Arial"/>
          <w:sz w:val="22"/>
          <w:szCs w:val="22"/>
        </w:rPr>
        <w:t xml:space="preserve"> </w:t>
      </w:r>
      <w:r w:rsidR="00687E35" w:rsidRPr="008D74EE">
        <w:rPr>
          <w:rFonts w:ascii="Arial" w:hAnsi="Arial" w:cs="Arial"/>
          <w:sz w:val="22"/>
          <w:szCs w:val="22"/>
        </w:rPr>
        <w:t xml:space="preserve">a partir de su asimilación con la categoría </w:t>
      </w:r>
      <w:r w:rsidR="0094141A" w:rsidRPr="008D74EE">
        <w:rPr>
          <w:rFonts w:ascii="Arial" w:hAnsi="Arial" w:cs="Arial"/>
          <w:i/>
          <w:iCs/>
          <w:sz w:val="22"/>
          <w:szCs w:val="22"/>
        </w:rPr>
        <w:t>tesoro público</w:t>
      </w:r>
      <w:r w:rsidR="0094141A" w:rsidRPr="008D74EE">
        <w:rPr>
          <w:rFonts w:ascii="Arial" w:hAnsi="Arial" w:cs="Arial"/>
          <w:sz w:val="22"/>
          <w:szCs w:val="22"/>
        </w:rPr>
        <w:t>, en la medida en que dicho concepto</w:t>
      </w:r>
      <w:r w:rsidR="009E3A94" w:rsidRPr="008D74EE">
        <w:rPr>
          <w:rFonts w:ascii="Arial" w:hAnsi="Arial" w:cs="Arial"/>
          <w:sz w:val="22"/>
          <w:szCs w:val="22"/>
        </w:rPr>
        <w:t xml:space="preserve"> también abarca </w:t>
      </w:r>
      <w:r w:rsidR="00687E35" w:rsidRPr="008D74EE">
        <w:rPr>
          <w:rFonts w:ascii="Arial" w:hAnsi="Arial" w:cs="Arial"/>
          <w:sz w:val="22"/>
          <w:szCs w:val="22"/>
        </w:rPr>
        <w:t>los</w:t>
      </w:r>
      <w:r w:rsidR="009E3A94" w:rsidRPr="008D74EE">
        <w:rPr>
          <w:rFonts w:ascii="Arial" w:hAnsi="Arial" w:cs="Arial"/>
          <w:sz w:val="22"/>
          <w:szCs w:val="22"/>
        </w:rPr>
        <w:t xml:space="preserve"> de</w:t>
      </w:r>
      <w:r w:rsidR="00687E35" w:rsidRPr="008D74EE">
        <w:rPr>
          <w:rFonts w:ascii="Arial" w:hAnsi="Arial" w:cs="Arial"/>
          <w:sz w:val="22"/>
          <w:szCs w:val="22"/>
        </w:rPr>
        <w:t xml:space="preserve"> las</w:t>
      </w:r>
      <w:r w:rsidR="009E3A94" w:rsidRPr="008D74EE">
        <w:rPr>
          <w:rFonts w:ascii="Arial" w:hAnsi="Arial" w:cs="Arial"/>
          <w:sz w:val="22"/>
          <w:szCs w:val="22"/>
        </w:rPr>
        <w:t xml:space="preserve"> entidades descentralizadas, </w:t>
      </w:r>
      <w:r w:rsidR="008B5944" w:rsidRPr="008D74EE">
        <w:rPr>
          <w:rFonts w:ascii="Arial" w:hAnsi="Arial" w:cs="Arial"/>
          <w:sz w:val="22"/>
          <w:szCs w:val="22"/>
        </w:rPr>
        <w:t>que,</w:t>
      </w:r>
      <w:r w:rsidR="009E3A94" w:rsidRPr="008D74EE">
        <w:rPr>
          <w:rFonts w:ascii="Arial" w:hAnsi="Arial" w:cs="Arial"/>
          <w:sz w:val="22"/>
          <w:szCs w:val="22"/>
        </w:rPr>
        <w:t xml:space="preserve"> como las empresas industriales y comerciales del Estado</w:t>
      </w:r>
      <w:r w:rsidR="008B5944" w:rsidRPr="008D74EE">
        <w:rPr>
          <w:rFonts w:ascii="Arial" w:hAnsi="Arial" w:cs="Arial"/>
          <w:sz w:val="22"/>
          <w:szCs w:val="22"/>
        </w:rPr>
        <w:t xml:space="preserve"> y sociedades de economía mixta</w:t>
      </w:r>
      <w:r w:rsidR="009E3A94" w:rsidRPr="008D74EE">
        <w:rPr>
          <w:rFonts w:ascii="Arial" w:hAnsi="Arial" w:cs="Arial"/>
          <w:sz w:val="22"/>
          <w:szCs w:val="22"/>
        </w:rPr>
        <w:t xml:space="preserve">, </w:t>
      </w:r>
      <w:r w:rsidR="005B195C" w:rsidRPr="008D74EE">
        <w:rPr>
          <w:rFonts w:ascii="Arial" w:hAnsi="Arial" w:cs="Arial"/>
          <w:sz w:val="22"/>
          <w:szCs w:val="22"/>
        </w:rPr>
        <w:t>pueden estar sometidas a regímenes exceptuados</w:t>
      </w:r>
      <w:r w:rsidR="008B5944" w:rsidRPr="008D74EE">
        <w:rPr>
          <w:rFonts w:ascii="Arial" w:hAnsi="Arial" w:cs="Arial"/>
          <w:sz w:val="22"/>
          <w:szCs w:val="22"/>
        </w:rPr>
        <w:t>, en los que se contrata conforme al derecho privado.</w:t>
      </w:r>
      <w:r w:rsidR="0008346C" w:rsidRPr="008D74EE">
        <w:rPr>
          <w:rFonts w:ascii="Arial" w:hAnsi="Arial" w:cs="Arial"/>
          <w:sz w:val="22"/>
          <w:szCs w:val="22"/>
        </w:rPr>
        <w:t xml:space="preserve"> En ese sentido, </w:t>
      </w:r>
      <w:r w:rsidR="0051067B" w:rsidRPr="008D74EE">
        <w:rPr>
          <w:rFonts w:ascii="Arial" w:hAnsi="Arial" w:cs="Arial"/>
          <w:sz w:val="22"/>
          <w:szCs w:val="22"/>
        </w:rPr>
        <w:t xml:space="preserve">lo que constituye </w:t>
      </w:r>
      <w:r w:rsidR="0008346C" w:rsidRPr="008D74EE">
        <w:rPr>
          <w:rFonts w:ascii="Arial" w:hAnsi="Arial" w:cs="Arial"/>
          <w:i/>
          <w:iCs/>
          <w:sz w:val="22"/>
          <w:szCs w:val="22"/>
        </w:rPr>
        <w:t>recursos públicos</w:t>
      </w:r>
      <w:r w:rsidR="0051067B" w:rsidRPr="008D74EE">
        <w:rPr>
          <w:rFonts w:ascii="Arial" w:hAnsi="Arial" w:cs="Arial"/>
          <w:sz w:val="22"/>
          <w:szCs w:val="22"/>
        </w:rPr>
        <w:t xml:space="preserve"> no se encuentra vinculado </w:t>
      </w:r>
      <w:r w:rsidR="000C2460" w:rsidRPr="008D74EE">
        <w:rPr>
          <w:rFonts w:ascii="Arial" w:hAnsi="Arial" w:cs="Arial"/>
          <w:sz w:val="22"/>
          <w:szCs w:val="22"/>
        </w:rPr>
        <w:t xml:space="preserve">al régimen de contratación de la entidad que los ejecuta, sino a </w:t>
      </w:r>
      <w:r w:rsidR="003A0C7E" w:rsidRPr="008D74EE">
        <w:rPr>
          <w:rFonts w:ascii="Arial" w:hAnsi="Arial" w:cs="Arial"/>
          <w:sz w:val="22"/>
          <w:szCs w:val="22"/>
        </w:rPr>
        <w:t>un origen en entidad</w:t>
      </w:r>
      <w:r w:rsidR="00E71525" w:rsidRPr="008D74EE">
        <w:rPr>
          <w:rFonts w:ascii="Arial" w:hAnsi="Arial" w:cs="Arial"/>
          <w:sz w:val="22"/>
          <w:szCs w:val="22"/>
        </w:rPr>
        <w:t>es</w:t>
      </w:r>
      <w:r w:rsidR="003A0C7E" w:rsidRPr="008D74EE">
        <w:rPr>
          <w:rFonts w:ascii="Arial" w:hAnsi="Arial" w:cs="Arial"/>
          <w:sz w:val="22"/>
          <w:szCs w:val="22"/>
        </w:rPr>
        <w:t xml:space="preserve"> estatal</w:t>
      </w:r>
      <w:r w:rsidR="00E71525" w:rsidRPr="008D74EE">
        <w:rPr>
          <w:rFonts w:ascii="Arial" w:hAnsi="Arial" w:cs="Arial"/>
          <w:sz w:val="22"/>
          <w:szCs w:val="22"/>
        </w:rPr>
        <w:t xml:space="preserve">es, </w:t>
      </w:r>
      <w:r w:rsidR="00687E35" w:rsidRPr="008D74EE">
        <w:rPr>
          <w:rFonts w:ascii="Arial" w:hAnsi="Arial" w:cs="Arial"/>
          <w:sz w:val="22"/>
          <w:szCs w:val="22"/>
        </w:rPr>
        <w:t>lo</w:t>
      </w:r>
      <w:r w:rsidR="00300F2F" w:rsidRPr="008D74EE">
        <w:rPr>
          <w:rFonts w:ascii="Arial" w:hAnsi="Arial" w:cs="Arial"/>
          <w:sz w:val="22"/>
          <w:szCs w:val="22"/>
        </w:rPr>
        <w:t xml:space="preserve"> que </w:t>
      </w:r>
      <w:r w:rsidR="00687E35" w:rsidRPr="008D74EE">
        <w:rPr>
          <w:rFonts w:ascii="Arial" w:hAnsi="Arial" w:cs="Arial"/>
          <w:sz w:val="22"/>
          <w:szCs w:val="22"/>
        </w:rPr>
        <w:t>implica</w:t>
      </w:r>
      <w:r w:rsidR="00313882" w:rsidRPr="008D74EE">
        <w:rPr>
          <w:rFonts w:ascii="Arial" w:hAnsi="Arial" w:cs="Arial"/>
          <w:sz w:val="22"/>
          <w:szCs w:val="22"/>
        </w:rPr>
        <w:t xml:space="preserve"> </w:t>
      </w:r>
      <w:r w:rsidR="00A24F85" w:rsidRPr="008D74EE">
        <w:rPr>
          <w:rFonts w:ascii="Arial" w:hAnsi="Arial" w:cs="Arial"/>
          <w:sz w:val="22"/>
          <w:szCs w:val="22"/>
        </w:rPr>
        <w:t>que incluso los</w:t>
      </w:r>
      <w:r w:rsidR="00E71525" w:rsidRPr="008D74EE">
        <w:rPr>
          <w:rFonts w:ascii="Arial" w:hAnsi="Arial" w:cs="Arial"/>
          <w:sz w:val="22"/>
          <w:szCs w:val="22"/>
        </w:rPr>
        <w:t xml:space="preserve"> </w:t>
      </w:r>
      <w:r w:rsidR="00A24F85" w:rsidRPr="008D74EE">
        <w:rPr>
          <w:rFonts w:ascii="Arial" w:hAnsi="Arial" w:cs="Arial"/>
          <w:sz w:val="22"/>
          <w:szCs w:val="22"/>
        </w:rPr>
        <w:t>recursos de entidades</w:t>
      </w:r>
      <w:r w:rsidR="00E71525" w:rsidRPr="008D74EE">
        <w:rPr>
          <w:rFonts w:ascii="Arial" w:hAnsi="Arial" w:cs="Arial"/>
          <w:sz w:val="22"/>
          <w:szCs w:val="22"/>
        </w:rPr>
        <w:t xml:space="preserve"> descentralizadas</w:t>
      </w:r>
      <w:r w:rsidR="006C6021" w:rsidRPr="008D74EE">
        <w:rPr>
          <w:rFonts w:ascii="Arial" w:hAnsi="Arial" w:cs="Arial"/>
          <w:sz w:val="22"/>
          <w:szCs w:val="22"/>
        </w:rPr>
        <w:t>,</w:t>
      </w:r>
      <w:r w:rsidR="00A24F85" w:rsidRPr="008D74EE">
        <w:rPr>
          <w:rFonts w:ascii="Arial" w:hAnsi="Arial" w:cs="Arial"/>
          <w:sz w:val="22"/>
          <w:szCs w:val="22"/>
        </w:rPr>
        <w:t xml:space="preserve"> que contratan en el marco del derecho privado, pueden ser</w:t>
      </w:r>
      <w:r w:rsidR="006C6021" w:rsidRPr="008D74EE">
        <w:rPr>
          <w:rFonts w:ascii="Arial" w:hAnsi="Arial" w:cs="Arial"/>
          <w:sz w:val="22"/>
          <w:szCs w:val="22"/>
        </w:rPr>
        <w:t xml:space="preserve"> considerados recursos públicos.</w:t>
      </w:r>
      <w:r w:rsidR="00E71525" w:rsidRPr="008D74EE">
        <w:rPr>
          <w:rFonts w:ascii="Arial" w:hAnsi="Arial" w:cs="Arial"/>
          <w:sz w:val="22"/>
          <w:szCs w:val="22"/>
        </w:rPr>
        <w:t xml:space="preserve"> </w:t>
      </w:r>
      <w:r w:rsidR="003A0C7E" w:rsidRPr="008D74EE">
        <w:rPr>
          <w:rFonts w:ascii="Arial" w:hAnsi="Arial" w:cs="Arial"/>
          <w:sz w:val="22"/>
          <w:szCs w:val="22"/>
        </w:rPr>
        <w:t xml:space="preserve"> </w:t>
      </w:r>
    </w:p>
    <w:p w14:paraId="326B39F8" w14:textId="2FCD4C06" w:rsidR="00F7796E" w:rsidRPr="008D74EE" w:rsidRDefault="00D968DD" w:rsidP="0032539E">
      <w:pPr>
        <w:spacing w:after="120" w:line="276" w:lineRule="auto"/>
        <w:jc w:val="both"/>
        <w:rPr>
          <w:rFonts w:ascii="Arial" w:eastAsia="Calibri" w:hAnsi="Arial" w:cs="Arial"/>
          <w:bCs/>
          <w:sz w:val="22"/>
          <w:lang w:val="es-ES_tradnl"/>
        </w:rPr>
      </w:pPr>
      <w:r w:rsidRPr="008D74EE">
        <w:rPr>
          <w:rFonts w:ascii="Arial" w:hAnsi="Arial" w:cs="Arial"/>
          <w:sz w:val="22"/>
          <w:szCs w:val="22"/>
        </w:rPr>
        <w:tab/>
      </w:r>
      <w:r w:rsidR="00C555B9" w:rsidRPr="008D74EE">
        <w:rPr>
          <w:rFonts w:ascii="Arial" w:hAnsi="Arial" w:cs="Arial"/>
          <w:sz w:val="22"/>
          <w:szCs w:val="22"/>
        </w:rPr>
        <w:t xml:space="preserve"> </w:t>
      </w:r>
      <w:r w:rsidR="008415A0" w:rsidRPr="008D74EE">
        <w:rPr>
          <w:rFonts w:ascii="Arial" w:hAnsi="Arial" w:cs="Arial"/>
          <w:sz w:val="22"/>
          <w:szCs w:val="22"/>
        </w:rPr>
        <w:t xml:space="preserve"> </w:t>
      </w:r>
      <w:r w:rsidR="00F40861" w:rsidRPr="008D74EE">
        <w:rPr>
          <w:rFonts w:ascii="Arial" w:hAnsi="Arial" w:cs="Arial"/>
          <w:sz w:val="22"/>
          <w:szCs w:val="22"/>
        </w:rPr>
        <w:t xml:space="preserve"> </w:t>
      </w:r>
      <w:r w:rsidR="006C6021" w:rsidRPr="008D74EE">
        <w:rPr>
          <w:rFonts w:ascii="Arial" w:hAnsi="Arial" w:cs="Arial"/>
          <w:sz w:val="22"/>
          <w:szCs w:val="22"/>
        </w:rPr>
        <w:t>L</w:t>
      </w:r>
      <w:r w:rsidR="00D01B78" w:rsidRPr="008D74EE">
        <w:rPr>
          <w:rFonts w:ascii="Arial" w:hAnsi="Arial" w:cs="Arial"/>
          <w:sz w:val="22"/>
          <w:szCs w:val="22"/>
        </w:rPr>
        <w:t>a</w:t>
      </w:r>
      <w:r w:rsidR="0048502C" w:rsidRPr="008D74EE">
        <w:rPr>
          <w:rFonts w:ascii="Arial" w:hAnsi="Arial" w:cs="Arial"/>
          <w:sz w:val="22"/>
          <w:szCs w:val="22"/>
        </w:rPr>
        <w:t>s empresas industriales</w:t>
      </w:r>
      <w:r w:rsidR="006C6021" w:rsidRPr="008D74EE">
        <w:rPr>
          <w:rFonts w:ascii="Arial" w:hAnsi="Arial" w:cs="Arial"/>
          <w:sz w:val="22"/>
          <w:szCs w:val="22"/>
        </w:rPr>
        <w:t xml:space="preserve"> y comerciales</w:t>
      </w:r>
      <w:r w:rsidR="0048502C" w:rsidRPr="008D74EE">
        <w:rPr>
          <w:rFonts w:ascii="Arial" w:hAnsi="Arial" w:cs="Arial"/>
          <w:sz w:val="22"/>
          <w:szCs w:val="22"/>
        </w:rPr>
        <w:t xml:space="preserve"> del </w:t>
      </w:r>
      <w:r w:rsidR="006C6021" w:rsidRPr="008D74EE">
        <w:rPr>
          <w:rFonts w:ascii="Arial" w:hAnsi="Arial" w:cs="Arial"/>
          <w:sz w:val="22"/>
          <w:szCs w:val="22"/>
        </w:rPr>
        <w:t>E</w:t>
      </w:r>
      <w:r w:rsidR="0048502C" w:rsidRPr="008D74EE">
        <w:rPr>
          <w:rFonts w:ascii="Arial" w:hAnsi="Arial" w:cs="Arial"/>
          <w:sz w:val="22"/>
          <w:szCs w:val="22"/>
        </w:rPr>
        <w:t>stado, así como las sociedades de economía mixta, son consideradas e</w:t>
      </w:r>
      <w:r w:rsidR="00B64DCC" w:rsidRPr="008D74EE">
        <w:rPr>
          <w:rFonts w:ascii="Arial" w:hAnsi="Arial" w:cs="Arial"/>
          <w:sz w:val="22"/>
          <w:szCs w:val="22"/>
        </w:rPr>
        <w:t>ntidades descentralizadas por servicios vinculadas a la Rama Ejecutiva, tal como se desprende del artículo 38 de la Ley 489 de 199</w:t>
      </w:r>
      <w:r w:rsidR="0066177D" w:rsidRPr="008D74EE">
        <w:rPr>
          <w:rFonts w:ascii="Arial" w:hAnsi="Arial" w:cs="Arial"/>
          <w:sz w:val="22"/>
          <w:szCs w:val="22"/>
        </w:rPr>
        <w:t xml:space="preserve">8. Ambos tipos de </w:t>
      </w:r>
      <w:r w:rsidR="00387F4F" w:rsidRPr="008D74EE">
        <w:rPr>
          <w:rFonts w:ascii="Arial" w:hAnsi="Arial" w:cs="Arial"/>
          <w:sz w:val="22"/>
          <w:szCs w:val="22"/>
        </w:rPr>
        <w:t>entidades descentralizadas coinciden en tener un régimen general de derecho privado</w:t>
      </w:r>
      <w:r w:rsidR="001553CA" w:rsidRPr="008D74EE">
        <w:rPr>
          <w:rFonts w:ascii="Arial" w:hAnsi="Arial" w:cs="Arial"/>
          <w:sz w:val="22"/>
          <w:szCs w:val="22"/>
        </w:rPr>
        <w:t xml:space="preserve"> para el desarrollo de sus objetos sociales, los cuales </w:t>
      </w:r>
      <w:r w:rsidR="00DA6998" w:rsidRPr="008D74EE">
        <w:rPr>
          <w:rFonts w:ascii="Arial" w:hAnsi="Arial" w:cs="Arial"/>
          <w:sz w:val="22"/>
          <w:szCs w:val="22"/>
        </w:rPr>
        <w:t xml:space="preserve">consisten en </w:t>
      </w:r>
      <w:r w:rsidR="00C87101" w:rsidRPr="008D74EE">
        <w:rPr>
          <w:rFonts w:ascii="Arial" w:hAnsi="Arial" w:cs="Arial"/>
          <w:sz w:val="22"/>
          <w:szCs w:val="22"/>
        </w:rPr>
        <w:t>el desarrollo de actividades</w:t>
      </w:r>
      <w:r w:rsidR="003B46CE" w:rsidRPr="008D74EE">
        <w:rPr>
          <w:rFonts w:ascii="Arial" w:hAnsi="Arial" w:cs="Arial"/>
          <w:sz w:val="22"/>
          <w:szCs w:val="22"/>
        </w:rPr>
        <w:t xml:space="preserve"> industriales o comerciales</w:t>
      </w:r>
      <w:r w:rsidR="007644FC" w:rsidRPr="008D74EE">
        <w:rPr>
          <w:rStyle w:val="Refdenotaalpie"/>
          <w:rFonts w:ascii="Arial" w:hAnsi="Arial" w:cs="Arial"/>
          <w:sz w:val="22"/>
          <w:szCs w:val="22"/>
        </w:rPr>
        <w:footnoteReference w:id="34"/>
      </w:r>
      <w:r w:rsidR="00E27666" w:rsidRPr="008D74EE">
        <w:rPr>
          <w:rFonts w:ascii="Arial" w:hAnsi="Arial" w:cs="Arial"/>
          <w:sz w:val="22"/>
          <w:szCs w:val="22"/>
        </w:rPr>
        <w:t>. Sin embargo, las sociedades de economía</w:t>
      </w:r>
      <w:r w:rsidR="00C8082A" w:rsidRPr="008D74EE">
        <w:rPr>
          <w:rFonts w:ascii="Arial" w:hAnsi="Arial" w:cs="Arial"/>
          <w:sz w:val="22"/>
          <w:szCs w:val="22"/>
        </w:rPr>
        <w:t xml:space="preserve"> mixta</w:t>
      </w:r>
      <w:r w:rsidR="00E27666" w:rsidRPr="008D74EE">
        <w:rPr>
          <w:rFonts w:ascii="Arial" w:hAnsi="Arial" w:cs="Arial"/>
          <w:sz w:val="22"/>
          <w:szCs w:val="22"/>
        </w:rPr>
        <w:t xml:space="preserve"> </w:t>
      </w:r>
      <w:r w:rsidR="00E27666" w:rsidRPr="008D74EE">
        <w:rPr>
          <w:rFonts w:ascii="Arial" w:hAnsi="Arial" w:cs="Arial"/>
          <w:sz w:val="22"/>
          <w:szCs w:val="22"/>
        </w:rPr>
        <w:lastRenderedPageBreak/>
        <w:t xml:space="preserve">difieren de las empresas industriales del </w:t>
      </w:r>
      <w:r w:rsidR="00C8082A" w:rsidRPr="008D74EE">
        <w:rPr>
          <w:rFonts w:ascii="Arial" w:hAnsi="Arial" w:cs="Arial"/>
          <w:sz w:val="22"/>
          <w:szCs w:val="22"/>
        </w:rPr>
        <w:t xml:space="preserve">Estado en el hecho de que estas son creadas exclusivamente con capital público, mientras que </w:t>
      </w:r>
      <w:r w:rsidR="00CF115E" w:rsidRPr="008D74EE">
        <w:rPr>
          <w:rFonts w:ascii="Arial" w:hAnsi="Arial" w:cs="Arial"/>
          <w:sz w:val="22"/>
          <w:szCs w:val="22"/>
        </w:rPr>
        <w:t>aquellas involucran la inversión de capital público y privado</w:t>
      </w:r>
      <w:r w:rsidR="00146EF0" w:rsidRPr="008D74EE">
        <w:rPr>
          <w:rFonts w:ascii="Arial" w:hAnsi="Arial" w:cs="Arial"/>
          <w:sz w:val="22"/>
          <w:szCs w:val="22"/>
        </w:rPr>
        <w:t>, lo que no desvirtúa su calidad de entidad</w:t>
      </w:r>
      <w:r w:rsidR="00165CA8" w:rsidRPr="008D74EE">
        <w:rPr>
          <w:rFonts w:ascii="Arial" w:hAnsi="Arial" w:cs="Arial"/>
          <w:sz w:val="22"/>
          <w:szCs w:val="22"/>
        </w:rPr>
        <w:t xml:space="preserve"> descentralizada</w:t>
      </w:r>
      <w:r w:rsidR="000C4AF7" w:rsidRPr="008D74EE">
        <w:rPr>
          <w:rStyle w:val="Refdenotaalpie"/>
          <w:rFonts w:ascii="Arial" w:hAnsi="Arial" w:cs="Arial"/>
          <w:sz w:val="22"/>
          <w:szCs w:val="22"/>
        </w:rPr>
        <w:footnoteReference w:id="35"/>
      </w:r>
      <w:r w:rsidR="00146CE0" w:rsidRPr="008D74EE">
        <w:rPr>
          <w:rFonts w:ascii="Arial" w:hAnsi="Arial" w:cs="Arial"/>
          <w:sz w:val="22"/>
          <w:szCs w:val="22"/>
        </w:rPr>
        <w:t xml:space="preserve">. Conforme a </w:t>
      </w:r>
      <w:r w:rsidR="00146CE0" w:rsidRPr="008D74EE">
        <w:rPr>
          <w:rFonts w:ascii="Arial" w:hAnsi="Arial" w:cs="Arial"/>
          <w:sz w:val="22"/>
          <w:szCs w:val="22"/>
        </w:rPr>
        <w:lastRenderedPageBreak/>
        <w:t xml:space="preserve">esto, en tanto las empresas industriales y comerciales del Estado </w:t>
      </w:r>
      <w:r w:rsidR="00CC2A9C" w:rsidRPr="008D74EE">
        <w:rPr>
          <w:rFonts w:ascii="Arial" w:hAnsi="Arial" w:cs="Arial"/>
          <w:sz w:val="22"/>
          <w:szCs w:val="22"/>
        </w:rPr>
        <w:t>y las sociedades de economía mixta son entidades descentralizadas, sus recursos hacen parte del tesoro público</w:t>
      </w:r>
      <w:r w:rsidR="005D7F75" w:rsidRPr="008D74EE">
        <w:rPr>
          <w:rFonts w:ascii="Arial" w:hAnsi="Arial" w:cs="Arial"/>
          <w:sz w:val="22"/>
          <w:szCs w:val="22"/>
        </w:rPr>
        <w:t>,</w:t>
      </w:r>
      <w:r w:rsidR="00CE03B8" w:rsidRPr="008D74EE">
        <w:rPr>
          <w:rFonts w:ascii="Arial" w:hAnsi="Arial" w:cs="Arial"/>
          <w:sz w:val="22"/>
          <w:szCs w:val="22"/>
        </w:rPr>
        <w:t xml:space="preserve"> con arreglo a la definición del inciso segundo del artículo 128 superior</w:t>
      </w:r>
      <w:r w:rsidR="005D7F75" w:rsidRPr="008D74EE">
        <w:rPr>
          <w:rFonts w:ascii="Arial" w:hAnsi="Arial" w:cs="Arial"/>
          <w:sz w:val="22"/>
          <w:szCs w:val="22"/>
        </w:rPr>
        <w:t>.</w:t>
      </w:r>
      <w:r w:rsidR="005E7417" w:rsidRPr="008D74EE">
        <w:rPr>
          <w:rFonts w:ascii="Arial" w:hAnsi="Arial" w:cs="Arial"/>
          <w:sz w:val="22"/>
          <w:szCs w:val="22"/>
        </w:rPr>
        <w:t xml:space="preserve"> </w:t>
      </w:r>
      <w:r w:rsidR="00EF10A5" w:rsidRPr="008D74EE">
        <w:rPr>
          <w:rFonts w:ascii="Arial" w:eastAsia="Calibri" w:hAnsi="Arial" w:cs="Arial"/>
          <w:b/>
          <w:sz w:val="22"/>
          <w:lang w:val="es-ES_tradnl"/>
        </w:rPr>
        <w:tab/>
      </w:r>
      <w:r w:rsidR="00392B66" w:rsidRPr="008D74EE">
        <w:rPr>
          <w:rFonts w:ascii="Arial" w:eastAsia="Calibri" w:hAnsi="Arial" w:cs="Arial"/>
          <w:bCs/>
          <w:sz w:val="22"/>
          <w:lang w:val="es-ES_tradnl"/>
        </w:rPr>
        <w:t>Dado esto,</w:t>
      </w:r>
      <w:r w:rsidR="00EF10A5" w:rsidRPr="008D74EE">
        <w:rPr>
          <w:rFonts w:ascii="Arial" w:eastAsia="Calibri" w:hAnsi="Arial" w:cs="Arial"/>
          <w:bCs/>
          <w:sz w:val="22"/>
          <w:lang w:val="es-ES_tradnl"/>
        </w:rPr>
        <w:t xml:space="preserve"> los recursos </w:t>
      </w:r>
      <w:r w:rsidR="00392B66" w:rsidRPr="008D74EE">
        <w:rPr>
          <w:rFonts w:ascii="Arial" w:eastAsia="Calibri" w:hAnsi="Arial" w:cs="Arial"/>
          <w:bCs/>
          <w:sz w:val="22"/>
          <w:lang w:val="es-ES_tradnl"/>
        </w:rPr>
        <w:t xml:space="preserve">que </w:t>
      </w:r>
      <w:r w:rsidR="00EF10A5" w:rsidRPr="008D74EE">
        <w:rPr>
          <w:rFonts w:ascii="Arial" w:eastAsia="Calibri" w:hAnsi="Arial" w:cs="Arial"/>
          <w:bCs/>
          <w:sz w:val="22"/>
          <w:lang w:val="es-ES_tradnl"/>
        </w:rPr>
        <w:t>dichas entidades descentralizadas</w:t>
      </w:r>
      <w:r w:rsidR="002F6363" w:rsidRPr="008D74EE">
        <w:rPr>
          <w:rFonts w:ascii="Arial" w:eastAsia="Calibri" w:hAnsi="Arial" w:cs="Arial"/>
          <w:bCs/>
          <w:sz w:val="22"/>
          <w:lang w:val="es-ES_tradnl"/>
        </w:rPr>
        <w:t xml:space="preserve"> perciben por el desarrollo de sus actividades industriales y </w:t>
      </w:r>
      <w:r w:rsidR="00392B66" w:rsidRPr="008D74EE">
        <w:rPr>
          <w:rFonts w:ascii="Arial" w:eastAsia="Calibri" w:hAnsi="Arial" w:cs="Arial"/>
          <w:bCs/>
          <w:sz w:val="22"/>
          <w:lang w:val="es-ES_tradnl"/>
        </w:rPr>
        <w:t>comerciales</w:t>
      </w:r>
      <w:r w:rsidR="002F6363" w:rsidRPr="008D74EE">
        <w:rPr>
          <w:rFonts w:ascii="Arial" w:eastAsia="Calibri" w:hAnsi="Arial" w:cs="Arial"/>
          <w:bCs/>
          <w:sz w:val="22"/>
          <w:lang w:val="es-ES_tradnl"/>
        </w:rPr>
        <w:t xml:space="preserve"> </w:t>
      </w:r>
      <w:r w:rsidR="00F50635" w:rsidRPr="008D74EE">
        <w:rPr>
          <w:rFonts w:ascii="Arial" w:eastAsia="Calibri" w:hAnsi="Arial" w:cs="Arial"/>
          <w:bCs/>
          <w:sz w:val="22"/>
          <w:lang w:val="es-ES_tradnl"/>
        </w:rPr>
        <w:t>también</w:t>
      </w:r>
      <w:r w:rsidR="002F6363" w:rsidRPr="008D74EE">
        <w:rPr>
          <w:rFonts w:ascii="Arial" w:eastAsia="Calibri" w:hAnsi="Arial" w:cs="Arial"/>
          <w:bCs/>
          <w:sz w:val="22"/>
          <w:lang w:val="es-ES_tradnl"/>
        </w:rPr>
        <w:t xml:space="preserve"> son considerados </w:t>
      </w:r>
      <w:r w:rsidR="00BC3565" w:rsidRPr="008D74EE">
        <w:rPr>
          <w:rFonts w:ascii="Arial" w:eastAsia="Calibri" w:hAnsi="Arial" w:cs="Arial"/>
          <w:bCs/>
          <w:sz w:val="22"/>
          <w:lang w:val="es-ES_tradnl"/>
        </w:rPr>
        <w:t>recursos públicos</w:t>
      </w:r>
      <w:r w:rsidR="00F50635" w:rsidRPr="008D74EE">
        <w:rPr>
          <w:rStyle w:val="Refdenotaalpie"/>
          <w:rFonts w:ascii="Arial" w:eastAsia="Calibri" w:hAnsi="Arial" w:cs="Arial"/>
          <w:bCs/>
          <w:sz w:val="22"/>
          <w:lang w:val="es-ES_tradnl"/>
        </w:rPr>
        <w:footnoteReference w:id="36"/>
      </w:r>
      <w:r w:rsidR="00BC3565" w:rsidRPr="008D74EE">
        <w:rPr>
          <w:rFonts w:ascii="Arial" w:eastAsia="Calibri" w:hAnsi="Arial" w:cs="Arial"/>
          <w:bCs/>
          <w:sz w:val="22"/>
          <w:lang w:val="es-ES_tradnl"/>
        </w:rPr>
        <w:t>.</w:t>
      </w:r>
    </w:p>
    <w:p w14:paraId="72C30248" w14:textId="54EA18AD" w:rsidR="00AD7398" w:rsidRPr="008D74EE" w:rsidRDefault="00392B66" w:rsidP="008D74EE">
      <w:pPr>
        <w:spacing w:line="276" w:lineRule="auto"/>
        <w:jc w:val="both"/>
        <w:rPr>
          <w:rFonts w:ascii="Arial" w:eastAsia="Calibri" w:hAnsi="Arial" w:cs="Arial"/>
          <w:bCs/>
          <w:sz w:val="22"/>
          <w:lang w:val="es-ES_tradnl"/>
        </w:rPr>
      </w:pPr>
      <w:r w:rsidRPr="008D74EE">
        <w:rPr>
          <w:rFonts w:ascii="Arial" w:eastAsia="Calibri" w:hAnsi="Arial" w:cs="Arial"/>
          <w:bCs/>
          <w:sz w:val="22"/>
          <w:lang w:val="es-ES_tradnl"/>
        </w:rPr>
        <w:tab/>
      </w:r>
      <w:r w:rsidR="00E353A8" w:rsidRPr="008D74EE">
        <w:rPr>
          <w:rFonts w:ascii="Arial" w:eastAsia="Calibri" w:hAnsi="Arial" w:cs="Arial"/>
          <w:bCs/>
          <w:sz w:val="22"/>
          <w:lang w:val="es-ES_tradnl"/>
        </w:rPr>
        <w:t xml:space="preserve">Otro argumento que sirve </w:t>
      </w:r>
      <w:r w:rsidR="00520D05" w:rsidRPr="008D74EE">
        <w:rPr>
          <w:rFonts w:ascii="Arial" w:eastAsia="Calibri" w:hAnsi="Arial" w:cs="Arial"/>
          <w:bCs/>
          <w:sz w:val="22"/>
          <w:lang w:val="es-ES_tradnl"/>
        </w:rPr>
        <w:t>p</w:t>
      </w:r>
      <w:r w:rsidR="00E353A8" w:rsidRPr="008D74EE">
        <w:rPr>
          <w:rFonts w:ascii="Arial" w:eastAsia="Calibri" w:hAnsi="Arial" w:cs="Arial"/>
          <w:bCs/>
          <w:sz w:val="22"/>
          <w:lang w:val="es-ES_tradnl"/>
        </w:rPr>
        <w:t>a</w:t>
      </w:r>
      <w:r w:rsidR="00520D05" w:rsidRPr="008D74EE">
        <w:rPr>
          <w:rFonts w:ascii="Arial" w:eastAsia="Calibri" w:hAnsi="Arial" w:cs="Arial"/>
          <w:bCs/>
          <w:sz w:val="22"/>
          <w:lang w:val="es-ES_tradnl"/>
        </w:rPr>
        <w:t>ra</w:t>
      </w:r>
      <w:r w:rsidR="00E353A8" w:rsidRPr="008D74EE">
        <w:rPr>
          <w:rFonts w:ascii="Arial" w:eastAsia="Calibri" w:hAnsi="Arial" w:cs="Arial"/>
          <w:bCs/>
          <w:sz w:val="22"/>
          <w:lang w:val="es-ES_tradnl"/>
        </w:rPr>
        <w:t xml:space="preserve"> precisar la categoría de </w:t>
      </w:r>
      <w:r w:rsidR="00E353A8" w:rsidRPr="008D74EE">
        <w:rPr>
          <w:rFonts w:ascii="Arial" w:eastAsia="Calibri" w:hAnsi="Arial" w:cs="Arial"/>
          <w:bCs/>
          <w:i/>
          <w:iCs/>
          <w:sz w:val="22"/>
          <w:lang w:val="es-ES_tradnl"/>
        </w:rPr>
        <w:t>recurso</w:t>
      </w:r>
      <w:r w:rsidR="003B7377" w:rsidRPr="008D74EE">
        <w:rPr>
          <w:rFonts w:ascii="Arial" w:eastAsia="Calibri" w:hAnsi="Arial" w:cs="Arial"/>
          <w:bCs/>
          <w:i/>
          <w:iCs/>
          <w:sz w:val="22"/>
          <w:lang w:val="es-ES_tradnl"/>
        </w:rPr>
        <w:t>s</w:t>
      </w:r>
      <w:r w:rsidR="00E353A8" w:rsidRPr="008D74EE">
        <w:rPr>
          <w:rFonts w:ascii="Arial" w:eastAsia="Calibri" w:hAnsi="Arial" w:cs="Arial"/>
          <w:bCs/>
          <w:i/>
          <w:iCs/>
          <w:sz w:val="22"/>
          <w:lang w:val="es-ES_tradnl"/>
        </w:rPr>
        <w:t xml:space="preserve"> público</w:t>
      </w:r>
      <w:r w:rsidR="003B7377" w:rsidRPr="008D74EE">
        <w:rPr>
          <w:rFonts w:ascii="Arial" w:eastAsia="Calibri" w:hAnsi="Arial" w:cs="Arial"/>
          <w:bCs/>
          <w:i/>
          <w:iCs/>
          <w:sz w:val="22"/>
          <w:lang w:val="es-ES_tradnl"/>
        </w:rPr>
        <w:t>s</w:t>
      </w:r>
      <w:r w:rsidR="00E353A8" w:rsidRPr="008D74EE">
        <w:rPr>
          <w:rFonts w:ascii="Arial" w:eastAsia="Calibri" w:hAnsi="Arial" w:cs="Arial"/>
          <w:bCs/>
          <w:i/>
          <w:iCs/>
          <w:sz w:val="22"/>
          <w:lang w:val="es-ES_tradnl"/>
        </w:rPr>
        <w:t xml:space="preserve"> </w:t>
      </w:r>
      <w:r w:rsidR="00E353A8" w:rsidRPr="008D74EE">
        <w:rPr>
          <w:rFonts w:ascii="Arial" w:eastAsia="Calibri" w:hAnsi="Arial" w:cs="Arial"/>
          <w:bCs/>
          <w:sz w:val="22"/>
          <w:lang w:val="es-ES_tradnl"/>
        </w:rPr>
        <w:t>de</w:t>
      </w:r>
      <w:r w:rsidR="003B7377" w:rsidRPr="008D74EE">
        <w:rPr>
          <w:rFonts w:ascii="Arial" w:eastAsia="Calibri" w:hAnsi="Arial" w:cs="Arial"/>
          <w:bCs/>
          <w:sz w:val="22"/>
          <w:lang w:val="es-ES_tradnl"/>
        </w:rPr>
        <w:t xml:space="preserve"> las diferentes entidades </w:t>
      </w:r>
      <w:r w:rsidR="003840FA" w:rsidRPr="008D74EE">
        <w:rPr>
          <w:rFonts w:ascii="Arial" w:eastAsia="Calibri" w:hAnsi="Arial" w:cs="Arial"/>
          <w:bCs/>
          <w:sz w:val="22"/>
          <w:lang w:val="es-ES_tradnl"/>
        </w:rPr>
        <w:t>estatales</w:t>
      </w:r>
      <w:r w:rsidR="003B7377" w:rsidRPr="008D74EE">
        <w:rPr>
          <w:rFonts w:ascii="Arial" w:eastAsia="Calibri" w:hAnsi="Arial" w:cs="Arial"/>
          <w:bCs/>
          <w:sz w:val="22"/>
          <w:lang w:val="es-ES_tradnl"/>
        </w:rPr>
        <w:t xml:space="preserve"> es su sometimiento al control </w:t>
      </w:r>
      <w:r w:rsidR="003840FA" w:rsidRPr="008D74EE">
        <w:rPr>
          <w:rFonts w:ascii="Arial" w:eastAsia="Calibri" w:hAnsi="Arial" w:cs="Arial"/>
          <w:bCs/>
          <w:sz w:val="22"/>
          <w:lang w:val="es-ES_tradnl"/>
        </w:rPr>
        <w:t>fiscal</w:t>
      </w:r>
      <w:r w:rsidR="003840FA" w:rsidRPr="008D74EE">
        <w:rPr>
          <w:rStyle w:val="Refdenotaalpie"/>
          <w:rFonts w:ascii="Arial" w:eastAsia="Calibri" w:hAnsi="Arial" w:cs="Arial"/>
          <w:bCs/>
          <w:sz w:val="22"/>
          <w:lang w:val="es-ES_tradnl"/>
        </w:rPr>
        <w:footnoteReference w:id="37"/>
      </w:r>
      <w:r w:rsidR="003840FA" w:rsidRPr="008D74EE">
        <w:rPr>
          <w:rFonts w:ascii="Arial" w:eastAsia="Calibri" w:hAnsi="Arial" w:cs="Arial"/>
          <w:bCs/>
          <w:sz w:val="22"/>
          <w:lang w:val="es-ES_tradnl"/>
        </w:rPr>
        <w:t>.</w:t>
      </w:r>
      <w:r w:rsidR="001666F5" w:rsidRPr="008D74EE">
        <w:rPr>
          <w:rFonts w:ascii="Arial" w:eastAsia="Calibri" w:hAnsi="Arial" w:cs="Arial"/>
          <w:bCs/>
          <w:sz w:val="22"/>
          <w:lang w:val="es-ES_tradnl"/>
        </w:rPr>
        <w:t xml:space="preserve"> </w:t>
      </w:r>
      <w:r w:rsidR="00DF14CC" w:rsidRPr="008D74EE">
        <w:rPr>
          <w:rFonts w:ascii="Arial" w:eastAsia="Calibri" w:hAnsi="Arial" w:cs="Arial"/>
          <w:bCs/>
          <w:sz w:val="22"/>
          <w:lang w:val="es-ES_tradnl"/>
        </w:rPr>
        <w:t xml:space="preserve"> </w:t>
      </w:r>
      <w:r w:rsidR="00BE30A1" w:rsidRPr="008D74EE">
        <w:rPr>
          <w:rFonts w:ascii="Arial" w:eastAsia="Calibri" w:hAnsi="Arial" w:cs="Arial"/>
          <w:bCs/>
          <w:sz w:val="22"/>
          <w:lang w:val="es-ES_tradnl"/>
        </w:rPr>
        <w:t xml:space="preserve">Dicho control </w:t>
      </w:r>
      <w:r w:rsidR="00A24F07" w:rsidRPr="008D74EE">
        <w:rPr>
          <w:rFonts w:ascii="Arial" w:eastAsia="Calibri" w:hAnsi="Arial" w:cs="Arial"/>
          <w:bCs/>
          <w:sz w:val="22"/>
          <w:lang w:val="es-ES_tradnl"/>
        </w:rPr>
        <w:t xml:space="preserve">se ejerce en relación con lo que se consideran </w:t>
      </w:r>
      <w:r w:rsidR="00A24F07" w:rsidRPr="008D74EE">
        <w:rPr>
          <w:rFonts w:ascii="Arial" w:eastAsia="Calibri" w:hAnsi="Arial" w:cs="Arial"/>
          <w:bCs/>
          <w:i/>
          <w:iCs/>
          <w:sz w:val="22"/>
          <w:lang w:val="es-ES_tradnl"/>
        </w:rPr>
        <w:t>recursos públicos</w:t>
      </w:r>
      <w:r w:rsidR="00A24F07" w:rsidRPr="008D74EE">
        <w:rPr>
          <w:rFonts w:ascii="Arial" w:eastAsia="Calibri" w:hAnsi="Arial" w:cs="Arial"/>
          <w:bCs/>
          <w:sz w:val="22"/>
          <w:lang w:val="es-ES_tradnl"/>
        </w:rPr>
        <w:t xml:space="preserve">, </w:t>
      </w:r>
      <w:r w:rsidR="00347E5F" w:rsidRPr="008D74EE">
        <w:rPr>
          <w:rFonts w:ascii="Arial" w:eastAsia="Calibri" w:hAnsi="Arial" w:cs="Arial"/>
          <w:bCs/>
          <w:sz w:val="22"/>
          <w:lang w:val="es-ES_tradnl"/>
        </w:rPr>
        <w:t xml:space="preserve">indistintamente de que estos recursos sean </w:t>
      </w:r>
      <w:r w:rsidR="000E4575" w:rsidRPr="008D74EE">
        <w:rPr>
          <w:rFonts w:ascii="Arial" w:eastAsia="Calibri" w:hAnsi="Arial" w:cs="Arial"/>
          <w:bCs/>
          <w:sz w:val="22"/>
          <w:lang w:val="es-ES_tradnl"/>
        </w:rPr>
        <w:t>a</w:t>
      </w:r>
      <w:r w:rsidR="00347E5F" w:rsidRPr="008D74EE">
        <w:rPr>
          <w:rFonts w:ascii="Arial" w:eastAsia="Calibri" w:hAnsi="Arial" w:cs="Arial"/>
          <w:bCs/>
          <w:sz w:val="22"/>
          <w:lang w:val="es-ES_tradnl"/>
        </w:rPr>
        <w:t>dmini</w:t>
      </w:r>
      <w:r w:rsidR="000E4575" w:rsidRPr="008D74EE">
        <w:rPr>
          <w:rFonts w:ascii="Arial" w:eastAsia="Calibri" w:hAnsi="Arial" w:cs="Arial"/>
          <w:bCs/>
          <w:sz w:val="22"/>
          <w:lang w:val="es-ES_tradnl"/>
        </w:rPr>
        <w:t>s</w:t>
      </w:r>
      <w:r w:rsidR="00347E5F" w:rsidRPr="008D74EE">
        <w:rPr>
          <w:rFonts w:ascii="Arial" w:eastAsia="Calibri" w:hAnsi="Arial" w:cs="Arial"/>
          <w:bCs/>
          <w:sz w:val="22"/>
          <w:lang w:val="es-ES_tradnl"/>
        </w:rPr>
        <w:t xml:space="preserve">trados por entidades </w:t>
      </w:r>
      <w:r w:rsidR="000E4575" w:rsidRPr="008D74EE">
        <w:rPr>
          <w:rFonts w:ascii="Arial" w:eastAsia="Calibri" w:hAnsi="Arial" w:cs="Arial"/>
          <w:bCs/>
          <w:sz w:val="22"/>
          <w:lang w:val="es-ES_tradnl"/>
        </w:rPr>
        <w:t>o particulares que contraten o se rijan por el derecho privado</w:t>
      </w:r>
      <w:r w:rsidR="003148F5" w:rsidRPr="008D74EE">
        <w:rPr>
          <w:rFonts w:ascii="Arial" w:eastAsia="Calibri" w:hAnsi="Arial" w:cs="Arial"/>
          <w:bCs/>
          <w:sz w:val="22"/>
          <w:lang w:val="es-ES_tradnl"/>
        </w:rPr>
        <w:t xml:space="preserve">. </w:t>
      </w:r>
      <w:r w:rsidR="00AC0317" w:rsidRPr="008D74EE">
        <w:rPr>
          <w:rFonts w:ascii="Arial" w:eastAsia="Calibri" w:hAnsi="Arial" w:cs="Arial"/>
          <w:bCs/>
          <w:sz w:val="22"/>
          <w:lang w:val="es-ES_tradnl"/>
        </w:rPr>
        <w:t xml:space="preserve">En particular, con </w:t>
      </w:r>
      <w:r w:rsidR="003E2179" w:rsidRPr="008D74EE">
        <w:rPr>
          <w:rFonts w:ascii="Arial" w:eastAsia="Calibri" w:hAnsi="Arial" w:cs="Arial"/>
          <w:bCs/>
          <w:sz w:val="22"/>
          <w:lang w:val="es-ES_tradnl"/>
        </w:rPr>
        <w:t>respecto de</w:t>
      </w:r>
      <w:r w:rsidR="00AC0317" w:rsidRPr="008D74EE">
        <w:rPr>
          <w:rFonts w:ascii="Arial" w:eastAsia="Calibri" w:hAnsi="Arial" w:cs="Arial"/>
          <w:bCs/>
          <w:sz w:val="22"/>
          <w:lang w:val="es-ES_tradnl"/>
        </w:rPr>
        <w:t xml:space="preserve"> sociedades de economía mixta</w:t>
      </w:r>
      <w:r w:rsidR="003E2179" w:rsidRPr="008D74EE">
        <w:rPr>
          <w:rFonts w:ascii="Arial" w:eastAsia="Calibri" w:hAnsi="Arial" w:cs="Arial"/>
          <w:bCs/>
          <w:sz w:val="22"/>
          <w:lang w:val="es-ES_tradnl"/>
        </w:rPr>
        <w:t xml:space="preserve">, la Corte ha explicado que la aplicación de un régimen de derecho </w:t>
      </w:r>
      <w:r w:rsidR="00DB723F" w:rsidRPr="008D74EE">
        <w:rPr>
          <w:rFonts w:ascii="Arial" w:eastAsia="Calibri" w:hAnsi="Arial" w:cs="Arial"/>
          <w:bCs/>
          <w:sz w:val="22"/>
          <w:lang w:val="es-ES_tradnl"/>
        </w:rPr>
        <w:t xml:space="preserve">civil y comercial </w:t>
      </w:r>
      <w:r w:rsidR="003E2179" w:rsidRPr="008D74EE">
        <w:rPr>
          <w:rFonts w:ascii="Arial" w:eastAsia="Calibri" w:hAnsi="Arial" w:cs="Arial"/>
          <w:bCs/>
          <w:sz w:val="22"/>
          <w:lang w:val="es-ES_tradnl"/>
        </w:rPr>
        <w:t xml:space="preserve">no </w:t>
      </w:r>
      <w:r w:rsidR="00653BF5" w:rsidRPr="008D74EE">
        <w:rPr>
          <w:rFonts w:ascii="Arial" w:eastAsia="Calibri" w:hAnsi="Arial" w:cs="Arial"/>
          <w:bCs/>
          <w:sz w:val="22"/>
          <w:lang w:val="es-ES_tradnl"/>
        </w:rPr>
        <w:t>desvirtúa</w:t>
      </w:r>
      <w:r w:rsidR="003E2179" w:rsidRPr="008D74EE">
        <w:rPr>
          <w:rFonts w:ascii="Arial" w:eastAsia="Calibri" w:hAnsi="Arial" w:cs="Arial"/>
          <w:bCs/>
          <w:sz w:val="22"/>
          <w:lang w:val="es-ES_tradnl"/>
        </w:rPr>
        <w:t xml:space="preserve"> la calidad de sujeto</w:t>
      </w:r>
      <w:r w:rsidR="00AD7398" w:rsidRPr="008D74EE">
        <w:rPr>
          <w:rFonts w:ascii="Arial" w:eastAsia="Calibri" w:hAnsi="Arial" w:cs="Arial"/>
          <w:bCs/>
          <w:sz w:val="22"/>
          <w:lang w:val="es-ES_tradnl"/>
        </w:rPr>
        <w:t xml:space="preserve"> control fiscal de tales entidades</w:t>
      </w:r>
      <w:r w:rsidR="002C0609" w:rsidRPr="008D74EE">
        <w:rPr>
          <w:rFonts w:ascii="Arial" w:eastAsia="Calibri" w:hAnsi="Arial" w:cs="Arial"/>
          <w:bCs/>
          <w:sz w:val="22"/>
          <w:lang w:val="es-ES_tradnl"/>
        </w:rPr>
        <w:t>. Sobre el particular</w:t>
      </w:r>
      <w:r w:rsidR="002255B7" w:rsidRPr="008D74EE">
        <w:rPr>
          <w:rFonts w:ascii="Arial" w:eastAsia="Calibri" w:hAnsi="Arial" w:cs="Arial"/>
          <w:bCs/>
          <w:sz w:val="22"/>
          <w:lang w:val="es-ES_tradnl"/>
        </w:rPr>
        <w:t xml:space="preserve"> </w:t>
      </w:r>
      <w:r w:rsidR="00642EC4" w:rsidRPr="008D74EE">
        <w:rPr>
          <w:rFonts w:ascii="Arial" w:eastAsia="Calibri" w:hAnsi="Arial" w:cs="Arial"/>
          <w:bCs/>
          <w:sz w:val="22"/>
          <w:lang w:val="es-ES_tradnl"/>
        </w:rPr>
        <w:t>considera:</w:t>
      </w:r>
    </w:p>
    <w:p w14:paraId="140E8338" w14:textId="77777777" w:rsidR="002255B7" w:rsidRPr="008D74EE" w:rsidRDefault="002255B7" w:rsidP="00653BF5">
      <w:pPr>
        <w:shd w:val="clear" w:color="auto" w:fill="FFFFFF"/>
        <w:ind w:left="709" w:right="709"/>
        <w:jc w:val="both"/>
        <w:rPr>
          <w:sz w:val="21"/>
          <w:szCs w:val="21"/>
        </w:rPr>
      </w:pPr>
    </w:p>
    <w:p w14:paraId="77B52789" w14:textId="21A751CB" w:rsidR="00653BF5" w:rsidRPr="008D74EE" w:rsidRDefault="00653BF5" w:rsidP="008D74EE">
      <w:pPr>
        <w:shd w:val="clear" w:color="auto" w:fill="FFFFFF"/>
        <w:spacing w:after="120"/>
        <w:ind w:left="709" w:right="709"/>
        <w:jc w:val="both"/>
        <w:rPr>
          <w:rFonts w:ascii="Arial" w:hAnsi="Arial" w:cs="Arial"/>
          <w:sz w:val="21"/>
          <w:szCs w:val="21"/>
        </w:rPr>
      </w:pPr>
      <w:r w:rsidRPr="008D74EE">
        <w:rPr>
          <w:sz w:val="21"/>
          <w:szCs w:val="21"/>
        </w:rPr>
        <w:t>[</w:t>
      </w:r>
      <w:r w:rsidRPr="008D74EE">
        <w:rPr>
          <w:rFonts w:ascii="Arial" w:hAnsi="Arial" w:cs="Arial"/>
          <w:sz w:val="21"/>
          <w:szCs w:val="21"/>
        </w:rPr>
        <w:t>E]l control fiscal, en cuanto instrumento adecuado para garantizar la correspondencia entre gasto público y cumplimiento de los fines legítimos del Estado, tiene un reconocimiento constitucional de amplio espectro.  En este sentido, es la utilización de los recursos públicos la premisa que justifica, por sí sola, la obligatoriedad de la vigilancia estatal. Por lo tanto, aspectos tales como la naturaleza jurídica de la entidad de que se trate, sus objetivos o la índole de sus actividades, carecen de un alcance tal que pueda cuestionar el ejercicio de la función pública de control fiscal.</w:t>
      </w:r>
    </w:p>
    <w:p w14:paraId="3FFA003A" w14:textId="2AF99225" w:rsidR="00653BF5" w:rsidRPr="008D74EE" w:rsidRDefault="00653BF5" w:rsidP="008D74EE">
      <w:pPr>
        <w:shd w:val="clear" w:color="auto" w:fill="FFFFFF"/>
        <w:ind w:left="709" w:right="709"/>
        <w:jc w:val="both"/>
        <w:rPr>
          <w:rFonts w:ascii="Arial" w:eastAsia="Calibri" w:hAnsi="Arial" w:cs="Arial"/>
          <w:bCs/>
          <w:sz w:val="21"/>
          <w:szCs w:val="21"/>
          <w:lang w:val="es-ES_tradnl"/>
        </w:rPr>
      </w:pPr>
      <w:r w:rsidRPr="008D74EE">
        <w:rPr>
          <w:rFonts w:ascii="Arial" w:hAnsi="Arial" w:cs="Arial"/>
          <w:sz w:val="21"/>
          <w:szCs w:val="21"/>
        </w:rPr>
        <w:lastRenderedPageBreak/>
        <w:t xml:space="preserve">Adicionalmente, debe advertirse que el cumplimiento del principio de eficiencia del control fiscal lleva a concluir que toda medida legislativa </w:t>
      </w:r>
      <w:proofErr w:type="gramStart"/>
      <w:r w:rsidRPr="008D74EE">
        <w:rPr>
          <w:rFonts w:ascii="Arial" w:hAnsi="Arial" w:cs="Arial"/>
          <w:sz w:val="21"/>
          <w:szCs w:val="21"/>
        </w:rPr>
        <w:t>que</w:t>
      </w:r>
      <w:proofErr w:type="gramEnd"/>
      <w:r w:rsidRPr="008D74EE">
        <w:rPr>
          <w:rFonts w:ascii="Arial" w:hAnsi="Arial" w:cs="Arial"/>
          <w:sz w:val="21"/>
          <w:szCs w:val="21"/>
        </w:rPr>
        <w:t xml:space="preserve"> a partir de restricciones injustificadas e irrazonables, impida el ejercicio integral de la vigilancia estatal de los recursos, esto es, los controles financiero, legal, de gestión y de resultados, es contraria a los postulados constitucionales.  En efecto, los argumentos precedentes demuestran que las disposiciones de la Carta Política que regulan el control fiscal pretenden asegurar el nivel más amplio de vigilancia del uso de los fondos y bienes de la Nación.  Esta concepción, además, es consecuente con un modelo de Estado constitucional que, como sucede en el caso colombiano, está interesado en la protección del interés general y el cumplimiento cierto de los deberes del aparato estatal. (Art. 2 C.P.).  Desde esta perspectiva, la consecución de un ordenamiento legal que disponga de controles adecuados y suficientes sobre el uso de los dineros públicos en todas las instancias se muestra más acorde con los presupuestos constitucionales del ejercicio del control fiscal, en los términos del artículo 267 Superior.  Lo contrario, esto es, contemplar supuestos de exclusión del control fiscal cuando está acreditada la presencia de recursos estatales en las distintas etapas de recaudo o adquisición, conservación, enajenación, gasto, inversión y disposición, es inadmisible. Ello en la medida que tal postura facilitaría la desviación de los recursos fiscales a fines distintos a los constitucionalmente permitidos, en detrimento de la integridad de las finanzas del Estado y la confianza de los ciudadanos en el uso adecuado de sus tributos.</w:t>
      </w:r>
    </w:p>
    <w:p w14:paraId="76FCE756" w14:textId="66ED7DA5" w:rsidR="00653BF5" w:rsidRPr="008D74EE" w:rsidRDefault="00653BF5" w:rsidP="00653BF5">
      <w:pPr>
        <w:spacing w:after="120"/>
        <w:ind w:left="709" w:right="709"/>
        <w:jc w:val="both"/>
        <w:rPr>
          <w:rFonts w:ascii="Arial" w:eastAsia="Calibri" w:hAnsi="Arial" w:cs="Arial"/>
          <w:bCs/>
          <w:sz w:val="21"/>
          <w:szCs w:val="21"/>
          <w:lang w:val="es-ES_tradnl"/>
        </w:rPr>
      </w:pPr>
      <w:r w:rsidRPr="008D74EE">
        <w:rPr>
          <w:rFonts w:ascii="Arial" w:eastAsia="Calibri" w:hAnsi="Arial" w:cs="Arial"/>
          <w:bCs/>
          <w:sz w:val="21"/>
          <w:szCs w:val="21"/>
          <w:lang w:val="es-ES_tradnl"/>
        </w:rPr>
        <w:t>[…]</w:t>
      </w:r>
    </w:p>
    <w:p w14:paraId="4782C083" w14:textId="7C5EA8A4" w:rsidR="00E353A8" w:rsidRPr="008D74EE" w:rsidRDefault="00653BF5" w:rsidP="00642EC4">
      <w:pPr>
        <w:ind w:left="709" w:right="709"/>
        <w:jc w:val="both"/>
        <w:rPr>
          <w:rFonts w:ascii="Arial" w:eastAsia="Calibri" w:hAnsi="Arial" w:cs="Arial"/>
          <w:bCs/>
          <w:sz w:val="22"/>
          <w:lang w:val="es-ES_tradnl"/>
        </w:rPr>
      </w:pPr>
      <w:r w:rsidRPr="008D74EE">
        <w:rPr>
          <w:rFonts w:ascii="Arial" w:hAnsi="Arial" w:cs="Arial"/>
          <w:sz w:val="21"/>
          <w:szCs w:val="21"/>
          <w:shd w:val="clear" w:color="auto" w:fill="FFFFFF"/>
        </w:rPr>
        <w:t>[D]</w:t>
      </w:r>
      <w:proofErr w:type="spellStart"/>
      <w:r w:rsidR="00AD7398" w:rsidRPr="008D74EE">
        <w:rPr>
          <w:rFonts w:ascii="Arial" w:hAnsi="Arial" w:cs="Arial"/>
          <w:sz w:val="21"/>
          <w:szCs w:val="21"/>
          <w:shd w:val="clear" w:color="auto" w:fill="FFFFFF"/>
        </w:rPr>
        <w:t>ebe</w:t>
      </w:r>
      <w:proofErr w:type="spellEnd"/>
      <w:r w:rsidR="00AD7398" w:rsidRPr="008D74EE">
        <w:rPr>
          <w:rFonts w:ascii="Arial" w:hAnsi="Arial" w:cs="Arial"/>
          <w:sz w:val="21"/>
          <w:szCs w:val="21"/>
          <w:shd w:val="clear" w:color="auto" w:fill="FFFFFF"/>
        </w:rPr>
        <w:t xml:space="preserve"> tenerse en cuenta que el ejercicio del control fiscal sobre las sociedades de economía mixta no es en modo alguno incompatible con el ejercicio de la libertad económica.  En contrario, un cuestionamiento de esta naturaleza parte de una concepción deformada del control fiscal, que lo comprende como una simple barrera para el cumplimiento de los objetivos empresariales.  Sobre este particular, la Corte considera que el ejercicio de la vigilancia fiscal sobre los recursos públicos es, con base en las razones sintetizadas al inicio de esta providencia, un imperativo ineludible para las democracias interesadas en la protección del patrimonio del Estado y en su uso para los fines que le son constitucionalmente legítimos.  Una visión distinta, que desdeñe del control fiscal sobre esos recursos a partir de los trámites que impone su ejercicio, responde sólo a un paradigma instrumentalista contrario a la conservación del interés general que prima en la utilización de los bienes públicos</w:t>
      </w:r>
      <w:r w:rsidR="002C0609" w:rsidRPr="008D74EE">
        <w:rPr>
          <w:rStyle w:val="Refdenotaalpie"/>
          <w:rFonts w:ascii="Arial" w:hAnsi="Arial" w:cs="Arial"/>
          <w:sz w:val="21"/>
          <w:szCs w:val="21"/>
          <w:shd w:val="clear" w:color="auto" w:fill="FFFFFF"/>
        </w:rPr>
        <w:footnoteReference w:id="38"/>
      </w:r>
      <w:r w:rsidR="002C0609" w:rsidRPr="008D74EE">
        <w:rPr>
          <w:rFonts w:ascii="Arial" w:hAnsi="Arial" w:cs="Arial"/>
          <w:sz w:val="21"/>
          <w:szCs w:val="21"/>
          <w:shd w:val="clear" w:color="auto" w:fill="FFFFFF"/>
        </w:rPr>
        <w:t>.</w:t>
      </w:r>
      <w:r w:rsidR="003E2179" w:rsidRPr="008D74EE">
        <w:rPr>
          <w:rFonts w:ascii="Arial" w:eastAsia="Calibri" w:hAnsi="Arial" w:cs="Arial"/>
          <w:bCs/>
          <w:sz w:val="21"/>
          <w:szCs w:val="21"/>
          <w:lang w:val="es-ES_tradnl"/>
        </w:rPr>
        <w:t xml:space="preserve"> </w:t>
      </w:r>
    </w:p>
    <w:p w14:paraId="5D30375D" w14:textId="1A64AC7F" w:rsidR="00642EC4" w:rsidRPr="008D74EE" w:rsidRDefault="00392B66" w:rsidP="004D1C27">
      <w:pPr>
        <w:spacing w:line="276" w:lineRule="auto"/>
        <w:jc w:val="both"/>
        <w:rPr>
          <w:rFonts w:ascii="Arial" w:eastAsia="Calibri" w:hAnsi="Arial" w:cs="Arial"/>
          <w:b/>
          <w:sz w:val="22"/>
          <w:lang w:val="es-ES_tradnl"/>
        </w:rPr>
      </w:pPr>
      <w:r w:rsidRPr="008D74EE">
        <w:rPr>
          <w:rFonts w:ascii="Arial" w:eastAsia="Calibri" w:hAnsi="Arial" w:cs="Arial"/>
          <w:b/>
          <w:sz w:val="22"/>
          <w:lang w:val="es-ES_tradnl"/>
        </w:rPr>
        <w:tab/>
      </w:r>
    </w:p>
    <w:p w14:paraId="0F8D92CB" w14:textId="43684E2A" w:rsidR="00926B72" w:rsidRPr="008D74EE" w:rsidRDefault="00790BAA" w:rsidP="00926B72">
      <w:pPr>
        <w:spacing w:after="120" w:line="276" w:lineRule="auto"/>
        <w:jc w:val="both"/>
        <w:rPr>
          <w:rFonts w:ascii="Arial" w:eastAsia="Calibri" w:hAnsi="Arial" w:cs="Arial"/>
          <w:bCs/>
          <w:sz w:val="22"/>
          <w:lang w:val="es-ES_tradnl"/>
        </w:rPr>
      </w:pPr>
      <w:r w:rsidRPr="008D74EE">
        <w:rPr>
          <w:rFonts w:ascii="Arial" w:eastAsia="Calibri" w:hAnsi="Arial" w:cs="Arial"/>
          <w:b/>
          <w:sz w:val="22"/>
          <w:lang w:val="es-ES_tradnl"/>
        </w:rPr>
        <w:tab/>
      </w:r>
      <w:r w:rsidR="000E2A0E" w:rsidRPr="008D74EE">
        <w:rPr>
          <w:rFonts w:ascii="Arial" w:eastAsia="Calibri" w:hAnsi="Arial" w:cs="Arial"/>
          <w:bCs/>
          <w:sz w:val="22"/>
          <w:lang w:val="es-ES_tradnl"/>
        </w:rPr>
        <w:t xml:space="preserve">Ahora bien, </w:t>
      </w:r>
      <w:r w:rsidR="00951C02" w:rsidRPr="008D74EE">
        <w:rPr>
          <w:rFonts w:ascii="Arial" w:eastAsia="Calibri" w:hAnsi="Arial" w:cs="Arial"/>
          <w:bCs/>
          <w:sz w:val="22"/>
          <w:lang w:val="es-ES_tradnl"/>
        </w:rPr>
        <w:t>en el</w:t>
      </w:r>
      <w:r w:rsidR="000E2A0E" w:rsidRPr="008D74EE">
        <w:rPr>
          <w:rFonts w:ascii="Arial" w:eastAsia="Calibri" w:hAnsi="Arial" w:cs="Arial"/>
          <w:bCs/>
          <w:sz w:val="22"/>
          <w:lang w:val="es-ES_tradnl"/>
        </w:rPr>
        <w:t xml:space="preserve"> caso de las sociedades de economía mixta</w:t>
      </w:r>
      <w:r w:rsidRPr="008D74EE">
        <w:rPr>
          <w:rFonts w:ascii="Arial" w:eastAsia="Calibri" w:hAnsi="Arial" w:cs="Arial"/>
          <w:bCs/>
          <w:sz w:val="22"/>
          <w:lang w:val="es-ES_tradnl"/>
        </w:rPr>
        <w:t xml:space="preserve"> </w:t>
      </w:r>
      <w:r w:rsidR="000E2A0E" w:rsidRPr="008D74EE">
        <w:rPr>
          <w:rFonts w:ascii="Arial" w:eastAsia="Calibri" w:hAnsi="Arial" w:cs="Arial"/>
          <w:bCs/>
          <w:sz w:val="22"/>
          <w:lang w:val="es-ES_tradnl"/>
        </w:rPr>
        <w:t>se presentan</w:t>
      </w:r>
      <w:r w:rsidR="00951C02" w:rsidRPr="008D74EE">
        <w:rPr>
          <w:rFonts w:ascii="Arial" w:eastAsia="Calibri" w:hAnsi="Arial" w:cs="Arial"/>
          <w:bCs/>
          <w:sz w:val="22"/>
          <w:lang w:val="es-ES_tradnl"/>
        </w:rPr>
        <w:t xml:space="preserve"> una concurrencia de aportes de origen público</w:t>
      </w:r>
      <w:r w:rsidR="00A133EB" w:rsidRPr="008D74EE">
        <w:rPr>
          <w:rFonts w:ascii="Arial" w:eastAsia="Calibri" w:hAnsi="Arial" w:cs="Arial"/>
          <w:bCs/>
          <w:sz w:val="22"/>
          <w:lang w:val="es-ES_tradnl"/>
        </w:rPr>
        <w:t xml:space="preserve"> con recursos de particulares los cuales integran su capital social. Al respecto, el</w:t>
      </w:r>
      <w:r w:rsidR="00066824" w:rsidRPr="008D74EE">
        <w:rPr>
          <w:rFonts w:ascii="Arial" w:eastAsia="Calibri" w:hAnsi="Arial" w:cs="Arial"/>
          <w:bCs/>
          <w:sz w:val="22"/>
          <w:lang w:val="es-ES_tradnl"/>
        </w:rPr>
        <w:t xml:space="preserve"> artículo 52 del </w:t>
      </w:r>
      <w:r w:rsidR="00A133EB" w:rsidRPr="008D74EE">
        <w:rPr>
          <w:rFonts w:ascii="Arial" w:eastAsia="Calibri" w:hAnsi="Arial" w:cs="Arial"/>
          <w:bCs/>
          <w:sz w:val="22"/>
          <w:lang w:val="es-ES_tradnl"/>
        </w:rPr>
        <w:t>Decreto</w:t>
      </w:r>
      <w:r w:rsidR="00066824" w:rsidRPr="008D74EE">
        <w:rPr>
          <w:rFonts w:ascii="Arial" w:eastAsia="Calibri" w:hAnsi="Arial" w:cs="Arial"/>
          <w:bCs/>
          <w:sz w:val="22"/>
          <w:lang w:val="es-ES_tradnl"/>
        </w:rPr>
        <w:t xml:space="preserve"> autónomo</w:t>
      </w:r>
      <w:r w:rsidR="00A133EB" w:rsidRPr="008D74EE">
        <w:rPr>
          <w:rFonts w:ascii="Arial" w:eastAsia="Calibri" w:hAnsi="Arial" w:cs="Arial"/>
          <w:bCs/>
          <w:sz w:val="22"/>
          <w:lang w:val="es-ES_tradnl"/>
        </w:rPr>
        <w:t xml:space="preserve"> </w:t>
      </w:r>
      <w:r w:rsidR="00353D10" w:rsidRPr="008D74EE">
        <w:rPr>
          <w:rFonts w:ascii="Arial" w:eastAsia="Calibri" w:hAnsi="Arial" w:cs="Arial"/>
          <w:bCs/>
          <w:sz w:val="22"/>
          <w:lang w:val="es-ES_tradnl"/>
        </w:rPr>
        <w:t>403 de 2020</w:t>
      </w:r>
      <w:r w:rsidR="00F939F4" w:rsidRPr="008D74EE">
        <w:rPr>
          <w:rFonts w:ascii="Arial" w:eastAsia="Calibri" w:hAnsi="Arial" w:cs="Arial"/>
          <w:bCs/>
          <w:sz w:val="22"/>
          <w:lang w:val="es-ES_tradnl"/>
        </w:rPr>
        <w:t xml:space="preserve">, que </w:t>
      </w:r>
      <w:r w:rsidR="006602AA" w:rsidRPr="008D74EE">
        <w:rPr>
          <w:rFonts w:ascii="Arial" w:eastAsia="Calibri" w:hAnsi="Arial" w:cs="Arial"/>
          <w:bCs/>
          <w:sz w:val="22"/>
          <w:lang w:val="es-ES_tradnl"/>
        </w:rPr>
        <w:t>regula el artículo 268 de la constitución política</w:t>
      </w:r>
      <w:r w:rsidR="00066824" w:rsidRPr="008D74EE">
        <w:rPr>
          <w:rFonts w:ascii="Arial" w:eastAsia="Calibri" w:hAnsi="Arial" w:cs="Arial"/>
          <w:bCs/>
          <w:sz w:val="22"/>
          <w:lang w:val="es-ES_tradnl"/>
        </w:rPr>
        <w:t>,</w:t>
      </w:r>
      <w:r w:rsidR="006602AA" w:rsidRPr="008D74EE">
        <w:rPr>
          <w:rFonts w:ascii="Arial" w:eastAsia="Calibri" w:hAnsi="Arial" w:cs="Arial"/>
          <w:bCs/>
          <w:sz w:val="22"/>
          <w:lang w:val="es-ES_tradnl"/>
        </w:rPr>
        <w:t xml:space="preserve"> </w:t>
      </w:r>
      <w:r w:rsidR="00353D10" w:rsidRPr="008D74EE">
        <w:rPr>
          <w:rFonts w:ascii="Arial" w:eastAsia="Calibri" w:hAnsi="Arial" w:cs="Arial"/>
          <w:bCs/>
          <w:sz w:val="22"/>
          <w:lang w:val="es-ES_tradnl"/>
        </w:rPr>
        <w:t xml:space="preserve">establece </w:t>
      </w:r>
      <w:r w:rsidR="00066824" w:rsidRPr="008D74EE">
        <w:rPr>
          <w:rFonts w:ascii="Arial" w:eastAsia="Calibri" w:hAnsi="Arial" w:cs="Arial"/>
          <w:bCs/>
          <w:sz w:val="22"/>
          <w:lang w:val="es-ES_tradnl"/>
        </w:rPr>
        <w:t xml:space="preserve">que </w:t>
      </w:r>
      <w:r w:rsidR="009B572B" w:rsidRPr="008D74EE">
        <w:rPr>
          <w:rFonts w:ascii="Arial" w:eastAsia="Calibri" w:hAnsi="Arial" w:cs="Arial"/>
          <w:bCs/>
          <w:sz w:val="22"/>
          <w:lang w:val="es-ES_tradnl"/>
        </w:rPr>
        <w:t>los resultados de la aplicación de los sistemas de</w:t>
      </w:r>
      <w:r w:rsidR="00353D10" w:rsidRPr="008D74EE">
        <w:rPr>
          <w:rFonts w:ascii="Arial" w:eastAsia="Calibri" w:hAnsi="Arial" w:cs="Arial"/>
          <w:bCs/>
          <w:sz w:val="22"/>
          <w:lang w:val="es-ES_tradnl"/>
        </w:rPr>
        <w:t xml:space="preserve"> control fiscal</w:t>
      </w:r>
      <w:r w:rsidR="00066824" w:rsidRPr="008D74EE">
        <w:rPr>
          <w:rFonts w:ascii="Arial" w:eastAsia="Calibri" w:hAnsi="Arial" w:cs="Arial"/>
          <w:bCs/>
          <w:sz w:val="22"/>
          <w:lang w:val="es-ES_tradnl"/>
        </w:rPr>
        <w:t xml:space="preserve"> a las sociedades de economía mixta</w:t>
      </w:r>
      <w:r w:rsidR="00353D10" w:rsidRPr="008D74EE">
        <w:rPr>
          <w:rFonts w:ascii="Arial" w:eastAsia="Calibri" w:hAnsi="Arial" w:cs="Arial"/>
          <w:bCs/>
          <w:sz w:val="22"/>
          <w:lang w:val="es-ES_tradnl"/>
        </w:rPr>
        <w:t xml:space="preserve"> únicament</w:t>
      </w:r>
      <w:r w:rsidR="00EF5886" w:rsidRPr="008D74EE">
        <w:rPr>
          <w:rFonts w:ascii="Arial" w:eastAsia="Calibri" w:hAnsi="Arial" w:cs="Arial"/>
          <w:bCs/>
          <w:sz w:val="22"/>
          <w:lang w:val="es-ES_tradnl"/>
        </w:rPr>
        <w:t xml:space="preserve">e deben </w:t>
      </w:r>
      <w:r w:rsidR="00EF5886" w:rsidRPr="008D74EE">
        <w:rPr>
          <w:rFonts w:ascii="Arial" w:eastAsia="Calibri" w:hAnsi="Arial" w:cs="Arial"/>
          <w:bCs/>
          <w:sz w:val="22"/>
          <w:lang w:val="es-ES_tradnl"/>
        </w:rPr>
        <w:lastRenderedPageBreak/>
        <w:t>aplicarse respecto del aporte estatal</w:t>
      </w:r>
      <w:r w:rsidR="00EF5886" w:rsidRPr="008D74EE">
        <w:rPr>
          <w:rStyle w:val="Refdenotaalpie"/>
          <w:rFonts w:ascii="Arial" w:eastAsia="Calibri" w:hAnsi="Arial" w:cs="Arial"/>
          <w:bCs/>
          <w:sz w:val="22"/>
          <w:lang w:val="es-ES_tradnl"/>
        </w:rPr>
        <w:footnoteReference w:id="39"/>
      </w:r>
      <w:r w:rsidR="00166DF9" w:rsidRPr="008D74EE">
        <w:rPr>
          <w:rFonts w:ascii="Arial" w:eastAsia="Calibri" w:hAnsi="Arial" w:cs="Arial"/>
          <w:bCs/>
          <w:sz w:val="22"/>
          <w:lang w:val="es-ES_tradnl"/>
        </w:rPr>
        <w:t xml:space="preserve">. Esto significa que, </w:t>
      </w:r>
      <w:r w:rsidR="00066824" w:rsidRPr="008D74EE">
        <w:rPr>
          <w:rFonts w:ascii="Arial" w:eastAsia="Calibri" w:hAnsi="Arial" w:cs="Arial"/>
          <w:bCs/>
          <w:sz w:val="22"/>
          <w:lang w:val="es-ES_tradnl"/>
        </w:rPr>
        <w:t xml:space="preserve">desde la perspectiva </w:t>
      </w:r>
      <w:r w:rsidR="00166DF9" w:rsidRPr="008D74EE">
        <w:rPr>
          <w:rFonts w:ascii="Arial" w:eastAsia="Calibri" w:hAnsi="Arial" w:cs="Arial"/>
          <w:bCs/>
          <w:sz w:val="22"/>
          <w:lang w:val="es-ES_tradnl"/>
        </w:rPr>
        <w:t>del control fiscal</w:t>
      </w:r>
      <w:r w:rsidR="004F7A41" w:rsidRPr="008D74EE">
        <w:rPr>
          <w:rFonts w:ascii="Arial" w:eastAsia="Calibri" w:hAnsi="Arial" w:cs="Arial"/>
          <w:bCs/>
          <w:sz w:val="22"/>
          <w:lang w:val="es-ES_tradnl"/>
        </w:rPr>
        <w:t>, l</w:t>
      </w:r>
      <w:r w:rsidR="004010D9" w:rsidRPr="008D74EE">
        <w:rPr>
          <w:rFonts w:ascii="Arial" w:eastAsia="Calibri" w:hAnsi="Arial" w:cs="Arial"/>
          <w:bCs/>
          <w:sz w:val="22"/>
          <w:lang w:val="es-ES_tradnl"/>
        </w:rPr>
        <w:t>a distinción del</w:t>
      </w:r>
      <w:r w:rsidR="004F7A41" w:rsidRPr="008D74EE">
        <w:rPr>
          <w:rFonts w:ascii="Arial" w:eastAsia="Calibri" w:hAnsi="Arial" w:cs="Arial"/>
          <w:bCs/>
          <w:sz w:val="22"/>
          <w:lang w:val="es-ES_tradnl"/>
        </w:rPr>
        <w:t xml:space="preserve"> aporte del privado que concurre a la sociedad de economía mixta</w:t>
      </w:r>
      <w:r w:rsidR="004010D9" w:rsidRPr="008D74EE">
        <w:rPr>
          <w:rFonts w:ascii="Arial" w:eastAsia="Calibri" w:hAnsi="Arial" w:cs="Arial"/>
          <w:bCs/>
          <w:sz w:val="22"/>
          <w:lang w:val="es-ES_tradnl"/>
        </w:rPr>
        <w:t xml:space="preserve"> del</w:t>
      </w:r>
      <w:r w:rsidR="00CC121F" w:rsidRPr="008D74EE">
        <w:rPr>
          <w:rFonts w:ascii="Arial" w:eastAsia="Calibri" w:hAnsi="Arial" w:cs="Arial"/>
          <w:bCs/>
          <w:sz w:val="22"/>
          <w:lang w:val="es-ES_tradnl"/>
        </w:rPr>
        <w:t xml:space="preserve"> aporte público </w:t>
      </w:r>
      <w:r w:rsidR="004010D9" w:rsidRPr="008D74EE">
        <w:rPr>
          <w:rFonts w:ascii="Arial" w:eastAsia="Calibri" w:hAnsi="Arial" w:cs="Arial"/>
          <w:bCs/>
          <w:sz w:val="22"/>
          <w:lang w:val="es-ES_tradnl"/>
        </w:rPr>
        <w:t xml:space="preserve">proveniente de una entidad </w:t>
      </w:r>
      <w:r w:rsidR="00066824" w:rsidRPr="008D74EE">
        <w:rPr>
          <w:rFonts w:ascii="Arial" w:eastAsia="Calibri" w:hAnsi="Arial" w:cs="Arial"/>
          <w:bCs/>
          <w:sz w:val="22"/>
          <w:lang w:val="es-ES_tradnl"/>
        </w:rPr>
        <w:t>estatal</w:t>
      </w:r>
      <w:r w:rsidR="004010D9" w:rsidRPr="008D74EE">
        <w:rPr>
          <w:rFonts w:ascii="Arial" w:eastAsia="Calibri" w:hAnsi="Arial" w:cs="Arial"/>
          <w:bCs/>
          <w:sz w:val="22"/>
          <w:lang w:val="es-ES_tradnl"/>
        </w:rPr>
        <w:t xml:space="preserve"> resulta relevante a </w:t>
      </w:r>
      <w:r w:rsidR="00CC121F" w:rsidRPr="008D74EE">
        <w:rPr>
          <w:rFonts w:ascii="Arial" w:eastAsia="Calibri" w:hAnsi="Arial" w:cs="Arial"/>
          <w:bCs/>
          <w:sz w:val="22"/>
          <w:lang w:val="es-ES_tradnl"/>
        </w:rPr>
        <w:t>efectos aplicar el control fiscal</w:t>
      </w:r>
      <w:r w:rsidR="004010D9" w:rsidRPr="008D74EE">
        <w:rPr>
          <w:rFonts w:ascii="Arial" w:eastAsia="Calibri" w:hAnsi="Arial" w:cs="Arial"/>
          <w:bCs/>
          <w:sz w:val="22"/>
          <w:lang w:val="es-ES_tradnl"/>
        </w:rPr>
        <w:t xml:space="preserve"> sobre tales recursos</w:t>
      </w:r>
      <w:r w:rsidR="00CC121F" w:rsidRPr="008D74EE">
        <w:rPr>
          <w:rFonts w:ascii="Arial" w:eastAsia="Calibri" w:hAnsi="Arial" w:cs="Arial"/>
          <w:bCs/>
          <w:sz w:val="22"/>
          <w:lang w:val="es-ES_tradnl"/>
        </w:rPr>
        <w:t>.</w:t>
      </w:r>
      <w:r w:rsidR="004010D9" w:rsidRPr="008D74EE">
        <w:rPr>
          <w:rFonts w:ascii="Arial" w:eastAsia="Calibri" w:hAnsi="Arial" w:cs="Arial"/>
          <w:bCs/>
          <w:sz w:val="22"/>
          <w:lang w:val="es-ES_tradnl"/>
        </w:rPr>
        <w:tab/>
      </w:r>
    </w:p>
    <w:p w14:paraId="60FEB75E" w14:textId="4D136388" w:rsidR="00790BAA" w:rsidRPr="008D74EE" w:rsidRDefault="004010D9" w:rsidP="00F16EB9">
      <w:pPr>
        <w:spacing w:after="120" w:line="276" w:lineRule="auto"/>
        <w:ind w:firstLine="708"/>
        <w:jc w:val="both"/>
        <w:rPr>
          <w:rFonts w:ascii="Arial" w:eastAsia="Calibri" w:hAnsi="Arial" w:cs="Arial"/>
          <w:bCs/>
          <w:sz w:val="22"/>
          <w:lang w:val="es-ES_tradnl"/>
        </w:rPr>
      </w:pPr>
      <w:r w:rsidRPr="008D74EE">
        <w:rPr>
          <w:rFonts w:ascii="Arial" w:eastAsia="Calibri" w:hAnsi="Arial" w:cs="Arial"/>
          <w:bCs/>
          <w:sz w:val="22"/>
          <w:lang w:val="es-ES_tradnl"/>
        </w:rPr>
        <w:t xml:space="preserve">Tal distinción puede </w:t>
      </w:r>
      <w:r w:rsidR="00066824" w:rsidRPr="008D74EE">
        <w:rPr>
          <w:rFonts w:ascii="Arial" w:eastAsia="Calibri" w:hAnsi="Arial" w:cs="Arial"/>
          <w:bCs/>
          <w:sz w:val="22"/>
          <w:lang w:val="es-ES_tradnl"/>
        </w:rPr>
        <w:t>retom</w:t>
      </w:r>
      <w:r w:rsidR="00D82ABB" w:rsidRPr="008D74EE">
        <w:rPr>
          <w:rFonts w:ascii="Arial" w:eastAsia="Calibri" w:hAnsi="Arial" w:cs="Arial"/>
          <w:bCs/>
          <w:sz w:val="22"/>
          <w:lang w:val="es-ES_tradnl"/>
        </w:rPr>
        <w:t>arse</w:t>
      </w:r>
      <w:r w:rsidR="00066824" w:rsidRPr="008D74EE">
        <w:rPr>
          <w:rFonts w:ascii="Arial" w:eastAsia="Calibri" w:hAnsi="Arial" w:cs="Arial"/>
          <w:bCs/>
          <w:sz w:val="22"/>
          <w:lang w:val="es-ES_tradnl"/>
        </w:rPr>
        <w:t xml:space="preserve"> respecto </w:t>
      </w:r>
      <w:r w:rsidR="00D82ABB" w:rsidRPr="008D74EE">
        <w:rPr>
          <w:rFonts w:ascii="Arial" w:eastAsia="Calibri" w:hAnsi="Arial" w:cs="Arial"/>
          <w:bCs/>
          <w:sz w:val="22"/>
          <w:lang w:val="es-ES_tradnl"/>
        </w:rPr>
        <w:t>a</w:t>
      </w:r>
      <w:r w:rsidRPr="008D74EE">
        <w:rPr>
          <w:rFonts w:ascii="Arial" w:eastAsia="Calibri" w:hAnsi="Arial" w:cs="Arial"/>
          <w:bCs/>
          <w:sz w:val="22"/>
          <w:lang w:val="es-ES_tradnl"/>
        </w:rPr>
        <w:t>l ámbito de aplicación de la Ley 1150 de 2007</w:t>
      </w:r>
      <w:r w:rsidR="00BB343D" w:rsidRPr="008D74EE">
        <w:rPr>
          <w:rFonts w:ascii="Arial" w:eastAsia="Calibri" w:hAnsi="Arial" w:cs="Arial"/>
          <w:bCs/>
          <w:sz w:val="22"/>
          <w:lang w:val="es-ES_tradnl"/>
        </w:rPr>
        <w:t xml:space="preserve"> y la Circular Externa Única en lo relativo a la noción contratación con cargo a dineros públicos, </w:t>
      </w:r>
      <w:r w:rsidR="00D82ABB" w:rsidRPr="008D74EE">
        <w:rPr>
          <w:rFonts w:ascii="Arial" w:eastAsia="Calibri" w:hAnsi="Arial" w:cs="Arial"/>
          <w:bCs/>
          <w:sz w:val="22"/>
          <w:lang w:val="es-ES_tradnl"/>
        </w:rPr>
        <w:t>sobre</w:t>
      </w:r>
      <w:r w:rsidR="00BB343D" w:rsidRPr="008D74EE">
        <w:rPr>
          <w:rFonts w:ascii="Arial" w:eastAsia="Calibri" w:hAnsi="Arial" w:cs="Arial"/>
          <w:bCs/>
          <w:sz w:val="22"/>
          <w:lang w:val="es-ES_tradnl"/>
        </w:rPr>
        <w:t xml:space="preserve"> la cual existe el deber de publicar en el SECOP. </w:t>
      </w:r>
      <w:r w:rsidR="00661BEF" w:rsidRPr="008D74EE">
        <w:rPr>
          <w:rFonts w:ascii="Arial" w:eastAsia="Calibri" w:hAnsi="Arial" w:cs="Arial"/>
          <w:bCs/>
          <w:sz w:val="22"/>
          <w:lang w:val="es-ES_tradnl"/>
        </w:rPr>
        <w:t xml:space="preserve">Esto sin perjuicio del criterio orgánico adoptado en virtud del </w:t>
      </w:r>
      <w:r w:rsidR="00D82ABB" w:rsidRPr="008D74EE">
        <w:rPr>
          <w:rFonts w:ascii="Arial" w:eastAsia="Calibri" w:hAnsi="Arial" w:cs="Arial"/>
          <w:bCs/>
          <w:sz w:val="22"/>
          <w:lang w:val="es-ES_tradnl"/>
        </w:rPr>
        <w:t>artículo</w:t>
      </w:r>
      <w:r w:rsidR="00661BEF" w:rsidRPr="008D74EE">
        <w:rPr>
          <w:rFonts w:ascii="Arial" w:eastAsia="Calibri" w:hAnsi="Arial" w:cs="Arial"/>
          <w:bCs/>
          <w:sz w:val="22"/>
          <w:lang w:val="es-ES_tradnl"/>
        </w:rPr>
        <w:t xml:space="preserve"> 128 constitucional para definir</w:t>
      </w:r>
      <w:r w:rsidR="00757C9B" w:rsidRPr="008D74EE">
        <w:rPr>
          <w:rFonts w:ascii="Arial" w:eastAsia="Calibri" w:hAnsi="Arial" w:cs="Arial"/>
          <w:bCs/>
          <w:sz w:val="22"/>
          <w:lang w:val="es-ES_tradnl"/>
        </w:rPr>
        <w:t xml:space="preserve"> recursos públicos. </w:t>
      </w:r>
      <w:r w:rsidR="00D82ABB" w:rsidRPr="008D74EE">
        <w:rPr>
          <w:rFonts w:ascii="Arial" w:eastAsia="Calibri" w:hAnsi="Arial" w:cs="Arial"/>
          <w:bCs/>
          <w:sz w:val="22"/>
          <w:lang w:val="es-ES_tradnl"/>
        </w:rPr>
        <w:t>Para estos</w:t>
      </w:r>
      <w:r w:rsidR="00757C9B" w:rsidRPr="008D74EE">
        <w:rPr>
          <w:rFonts w:ascii="Arial" w:eastAsia="Calibri" w:hAnsi="Arial" w:cs="Arial"/>
          <w:bCs/>
          <w:sz w:val="22"/>
          <w:lang w:val="es-ES_tradnl"/>
        </w:rPr>
        <w:t xml:space="preserve"> efectos, estima esta Agencia que la distinción entre el aporte privado y el público en sociedades de economía </w:t>
      </w:r>
      <w:r w:rsidR="00066824" w:rsidRPr="008D74EE">
        <w:rPr>
          <w:rFonts w:ascii="Arial" w:eastAsia="Calibri" w:hAnsi="Arial" w:cs="Arial"/>
          <w:bCs/>
          <w:sz w:val="22"/>
          <w:lang w:val="es-ES_tradnl"/>
        </w:rPr>
        <w:t>mixta</w:t>
      </w:r>
      <w:r w:rsidR="00757C9B" w:rsidRPr="008D74EE">
        <w:rPr>
          <w:rFonts w:ascii="Arial" w:eastAsia="Calibri" w:hAnsi="Arial" w:cs="Arial"/>
          <w:bCs/>
          <w:sz w:val="22"/>
          <w:lang w:val="es-ES_tradnl"/>
        </w:rPr>
        <w:t xml:space="preserve"> podría servir </w:t>
      </w:r>
      <w:r w:rsidR="003422D0" w:rsidRPr="008D74EE">
        <w:rPr>
          <w:rFonts w:ascii="Arial" w:eastAsia="Calibri" w:hAnsi="Arial" w:cs="Arial"/>
          <w:bCs/>
          <w:sz w:val="22"/>
          <w:lang w:val="es-ES_tradnl"/>
        </w:rPr>
        <w:t>p</w:t>
      </w:r>
      <w:r w:rsidR="00757C9B" w:rsidRPr="008D74EE">
        <w:rPr>
          <w:rFonts w:ascii="Arial" w:eastAsia="Calibri" w:hAnsi="Arial" w:cs="Arial"/>
          <w:bCs/>
          <w:sz w:val="22"/>
          <w:lang w:val="es-ES_tradnl"/>
        </w:rPr>
        <w:t>a</w:t>
      </w:r>
      <w:r w:rsidR="003422D0" w:rsidRPr="008D74EE">
        <w:rPr>
          <w:rFonts w:ascii="Arial" w:eastAsia="Calibri" w:hAnsi="Arial" w:cs="Arial"/>
          <w:bCs/>
          <w:sz w:val="22"/>
          <w:lang w:val="es-ES_tradnl"/>
        </w:rPr>
        <w:t>ra</w:t>
      </w:r>
      <w:r w:rsidR="00757C9B" w:rsidRPr="008D74EE">
        <w:rPr>
          <w:rFonts w:ascii="Arial" w:eastAsia="Calibri" w:hAnsi="Arial" w:cs="Arial"/>
          <w:bCs/>
          <w:sz w:val="22"/>
          <w:lang w:val="es-ES_tradnl"/>
        </w:rPr>
        <w:t xml:space="preserve"> celebrar</w:t>
      </w:r>
      <w:r w:rsidR="00183627" w:rsidRPr="008D74EE">
        <w:rPr>
          <w:rFonts w:ascii="Arial" w:eastAsia="Calibri" w:hAnsi="Arial" w:cs="Arial"/>
          <w:bCs/>
          <w:sz w:val="22"/>
          <w:lang w:val="es-ES_tradnl"/>
        </w:rPr>
        <w:t xml:space="preserve"> contratos exclusivamente con cargo a los recursos de origen privado,</w:t>
      </w:r>
      <w:r w:rsidR="007C3099" w:rsidRPr="008D74EE">
        <w:rPr>
          <w:rFonts w:ascii="Arial" w:eastAsia="Calibri" w:hAnsi="Arial" w:cs="Arial"/>
          <w:bCs/>
          <w:sz w:val="22"/>
          <w:lang w:val="es-ES_tradnl"/>
        </w:rPr>
        <w:t xml:space="preserve"> l</w:t>
      </w:r>
      <w:r w:rsidR="00FB5C3D" w:rsidRPr="008D74EE">
        <w:rPr>
          <w:rFonts w:ascii="Arial" w:eastAsia="Calibri" w:hAnsi="Arial" w:cs="Arial"/>
          <w:bCs/>
          <w:sz w:val="22"/>
          <w:lang w:val="es-ES_tradnl"/>
        </w:rPr>
        <w:t>os</w:t>
      </w:r>
      <w:r w:rsidR="002E703A" w:rsidRPr="008D74EE">
        <w:rPr>
          <w:rFonts w:ascii="Arial" w:eastAsia="Calibri" w:hAnsi="Arial" w:cs="Arial"/>
          <w:bCs/>
          <w:sz w:val="22"/>
          <w:lang w:val="es-ES_tradnl"/>
        </w:rPr>
        <w:t xml:space="preserve"> cual</w:t>
      </w:r>
      <w:r w:rsidR="00FB5C3D" w:rsidRPr="008D74EE">
        <w:rPr>
          <w:rFonts w:ascii="Arial" w:eastAsia="Calibri" w:hAnsi="Arial" w:cs="Arial"/>
          <w:bCs/>
          <w:sz w:val="22"/>
          <w:lang w:val="es-ES_tradnl"/>
        </w:rPr>
        <w:t>es</w:t>
      </w:r>
      <w:r w:rsidR="002E703A" w:rsidRPr="008D74EE">
        <w:rPr>
          <w:rFonts w:ascii="Arial" w:eastAsia="Calibri" w:hAnsi="Arial" w:cs="Arial"/>
          <w:bCs/>
          <w:sz w:val="22"/>
          <w:lang w:val="es-ES_tradnl"/>
        </w:rPr>
        <w:t xml:space="preserve"> se encontraría</w:t>
      </w:r>
      <w:r w:rsidR="00FB5C3D" w:rsidRPr="008D74EE">
        <w:rPr>
          <w:rFonts w:ascii="Arial" w:eastAsia="Calibri" w:hAnsi="Arial" w:cs="Arial"/>
          <w:bCs/>
          <w:sz w:val="22"/>
          <w:lang w:val="es-ES_tradnl"/>
        </w:rPr>
        <w:t>n</w:t>
      </w:r>
      <w:r w:rsidR="002E703A" w:rsidRPr="008D74EE">
        <w:rPr>
          <w:rFonts w:ascii="Arial" w:eastAsia="Calibri" w:hAnsi="Arial" w:cs="Arial"/>
          <w:bCs/>
          <w:sz w:val="22"/>
          <w:lang w:val="es-ES_tradnl"/>
        </w:rPr>
        <w:t xml:space="preserve"> relevad</w:t>
      </w:r>
      <w:r w:rsidR="00FB5C3D" w:rsidRPr="008D74EE">
        <w:rPr>
          <w:rFonts w:ascii="Arial" w:eastAsia="Calibri" w:hAnsi="Arial" w:cs="Arial"/>
          <w:bCs/>
          <w:sz w:val="22"/>
          <w:lang w:val="es-ES_tradnl"/>
        </w:rPr>
        <w:t>os</w:t>
      </w:r>
      <w:r w:rsidR="002E703A" w:rsidRPr="008D74EE">
        <w:rPr>
          <w:rFonts w:ascii="Arial" w:eastAsia="Calibri" w:hAnsi="Arial" w:cs="Arial"/>
          <w:bCs/>
          <w:sz w:val="22"/>
          <w:lang w:val="es-ES_tradnl"/>
        </w:rPr>
        <w:t xml:space="preserve"> del deber de publicidad en el SECOP</w:t>
      </w:r>
      <w:r w:rsidR="00804AAB" w:rsidRPr="008D74EE">
        <w:rPr>
          <w:rFonts w:ascii="Arial" w:eastAsia="Calibri" w:hAnsi="Arial" w:cs="Arial"/>
          <w:bCs/>
          <w:sz w:val="22"/>
          <w:lang w:val="es-ES_tradnl"/>
        </w:rPr>
        <w:t xml:space="preserve">, al estar </w:t>
      </w:r>
      <w:r w:rsidR="000E30C6" w:rsidRPr="008D74EE">
        <w:rPr>
          <w:rFonts w:ascii="Arial" w:eastAsia="Calibri" w:hAnsi="Arial" w:cs="Arial"/>
          <w:bCs/>
          <w:sz w:val="22"/>
          <w:lang w:val="es-ES_tradnl"/>
        </w:rPr>
        <w:t>dicha situación por fuera</w:t>
      </w:r>
      <w:r w:rsidR="00804AAB" w:rsidRPr="008D74EE">
        <w:rPr>
          <w:rFonts w:ascii="Arial" w:eastAsia="Calibri" w:hAnsi="Arial" w:cs="Arial"/>
          <w:bCs/>
          <w:sz w:val="22"/>
          <w:lang w:val="es-ES_tradnl"/>
        </w:rPr>
        <w:t xml:space="preserve"> de</w:t>
      </w:r>
      <w:r w:rsidR="000E30C6" w:rsidRPr="008D74EE">
        <w:rPr>
          <w:rFonts w:ascii="Arial" w:eastAsia="Calibri" w:hAnsi="Arial" w:cs="Arial"/>
          <w:bCs/>
          <w:sz w:val="22"/>
          <w:lang w:val="es-ES_tradnl"/>
        </w:rPr>
        <w:t xml:space="preserve"> </w:t>
      </w:r>
      <w:r w:rsidR="00804AAB" w:rsidRPr="008D74EE">
        <w:rPr>
          <w:rFonts w:ascii="Arial" w:eastAsia="Calibri" w:hAnsi="Arial" w:cs="Arial"/>
          <w:bCs/>
          <w:sz w:val="22"/>
          <w:lang w:val="es-ES_tradnl"/>
        </w:rPr>
        <w:t>l</w:t>
      </w:r>
      <w:r w:rsidR="000E30C6" w:rsidRPr="008D74EE">
        <w:rPr>
          <w:rFonts w:ascii="Arial" w:eastAsia="Calibri" w:hAnsi="Arial" w:cs="Arial"/>
          <w:bCs/>
          <w:sz w:val="22"/>
          <w:lang w:val="es-ES_tradnl"/>
        </w:rPr>
        <w:t>os</w:t>
      </w:r>
      <w:r w:rsidR="00804AAB" w:rsidRPr="008D74EE">
        <w:rPr>
          <w:rFonts w:ascii="Arial" w:eastAsia="Calibri" w:hAnsi="Arial" w:cs="Arial"/>
          <w:bCs/>
          <w:sz w:val="22"/>
          <w:lang w:val="es-ES_tradnl"/>
        </w:rPr>
        <w:t xml:space="preserve"> supuesto</w:t>
      </w:r>
      <w:r w:rsidR="000E30C6" w:rsidRPr="008D74EE">
        <w:rPr>
          <w:rFonts w:ascii="Arial" w:eastAsia="Calibri" w:hAnsi="Arial" w:cs="Arial"/>
          <w:bCs/>
          <w:sz w:val="22"/>
          <w:lang w:val="es-ES_tradnl"/>
        </w:rPr>
        <w:t>s</w:t>
      </w:r>
      <w:r w:rsidR="00804AAB" w:rsidRPr="008D74EE">
        <w:rPr>
          <w:rFonts w:ascii="Arial" w:eastAsia="Calibri" w:hAnsi="Arial" w:cs="Arial"/>
          <w:bCs/>
          <w:sz w:val="22"/>
          <w:lang w:val="es-ES_tradnl"/>
        </w:rPr>
        <w:t xml:space="preserve"> de hecho del literal c) del artículo 3 de la Ley 1150 de 2007</w:t>
      </w:r>
      <w:r w:rsidR="000E30C6" w:rsidRPr="008D74EE">
        <w:rPr>
          <w:rFonts w:ascii="Arial" w:eastAsia="Calibri" w:hAnsi="Arial" w:cs="Arial"/>
          <w:bCs/>
          <w:sz w:val="22"/>
          <w:lang w:val="es-ES_tradnl"/>
        </w:rPr>
        <w:t xml:space="preserve"> </w:t>
      </w:r>
      <w:r w:rsidR="00512A24" w:rsidRPr="008D74EE">
        <w:rPr>
          <w:rFonts w:ascii="Arial" w:eastAsia="Calibri" w:hAnsi="Arial" w:cs="Arial"/>
          <w:bCs/>
          <w:sz w:val="22"/>
          <w:lang w:val="es-ES_tradnl"/>
        </w:rPr>
        <w:t>y</w:t>
      </w:r>
      <w:r w:rsidR="00DB6C56" w:rsidRPr="008D74EE">
        <w:rPr>
          <w:rFonts w:ascii="Arial" w:eastAsia="Calibri" w:hAnsi="Arial" w:cs="Arial"/>
          <w:bCs/>
          <w:sz w:val="22"/>
          <w:lang w:val="es-ES_tradnl"/>
        </w:rPr>
        <w:t xml:space="preserve"> </w:t>
      </w:r>
      <w:r w:rsidR="00B42485" w:rsidRPr="008D74EE">
        <w:rPr>
          <w:rFonts w:ascii="Arial" w:eastAsia="Calibri" w:hAnsi="Arial" w:cs="Arial"/>
          <w:bCs/>
          <w:sz w:val="22"/>
          <w:lang w:val="es-ES_tradnl"/>
        </w:rPr>
        <w:t xml:space="preserve"> </w:t>
      </w:r>
      <w:r w:rsidR="00DB6C56" w:rsidRPr="008D74EE">
        <w:rPr>
          <w:rFonts w:ascii="Arial" w:eastAsia="Calibri" w:hAnsi="Arial" w:cs="Arial"/>
          <w:bCs/>
          <w:sz w:val="22"/>
          <w:lang w:val="es-ES_tradnl"/>
        </w:rPr>
        <w:t>el artículo</w:t>
      </w:r>
      <w:r w:rsidR="00B42485" w:rsidRPr="008D74EE">
        <w:rPr>
          <w:rFonts w:ascii="Arial" w:eastAsia="Calibri" w:hAnsi="Arial" w:cs="Arial"/>
          <w:bCs/>
          <w:sz w:val="22"/>
          <w:lang w:val="es-ES_tradnl"/>
        </w:rPr>
        <w:t xml:space="preserve"> </w:t>
      </w:r>
      <w:r w:rsidR="008D74EE" w:rsidRPr="008D74EE">
        <w:rPr>
          <w:rFonts w:ascii="Arial" w:eastAsia="Calibri" w:hAnsi="Arial" w:cs="Arial"/>
          <w:bCs/>
          <w:sz w:val="22"/>
          <w:lang w:val="es-ES_tradnl"/>
        </w:rPr>
        <w:t>2.2.1.1.1.7.1</w:t>
      </w:r>
      <w:r w:rsidR="00DB6C56" w:rsidRPr="008D74EE">
        <w:rPr>
          <w:rFonts w:ascii="Arial" w:eastAsia="Calibri" w:hAnsi="Arial" w:cs="Arial"/>
          <w:bCs/>
          <w:sz w:val="22"/>
          <w:lang w:val="es-ES_tradnl"/>
        </w:rPr>
        <w:t xml:space="preserve"> del Decreto 1082 de 2015, en el entendido de que tal contratación </w:t>
      </w:r>
      <w:r w:rsidR="00BA6D05" w:rsidRPr="008D74EE">
        <w:rPr>
          <w:rFonts w:ascii="Arial" w:eastAsia="Calibri" w:hAnsi="Arial" w:cs="Arial"/>
          <w:bCs/>
          <w:sz w:val="22"/>
          <w:lang w:val="es-ES_tradnl"/>
        </w:rPr>
        <w:t>es realizada con cargo a recursos privados.</w:t>
      </w:r>
    </w:p>
    <w:p w14:paraId="0532B6B4" w14:textId="6F9DBE09" w:rsidR="00840D94" w:rsidRPr="008D74EE" w:rsidRDefault="0026397B" w:rsidP="00C3601E">
      <w:pPr>
        <w:spacing w:after="120" w:line="276" w:lineRule="auto"/>
        <w:jc w:val="both"/>
        <w:rPr>
          <w:rFonts w:ascii="Arial" w:eastAsia="Calibri" w:hAnsi="Arial" w:cs="Arial"/>
          <w:bCs/>
          <w:sz w:val="22"/>
          <w:lang w:val="es-ES_tradnl"/>
        </w:rPr>
      </w:pPr>
      <w:r w:rsidRPr="008D74EE">
        <w:rPr>
          <w:rFonts w:ascii="Arial" w:eastAsia="Calibri" w:hAnsi="Arial" w:cs="Arial"/>
          <w:b/>
          <w:sz w:val="22"/>
          <w:lang w:val="es-ES_tradnl"/>
        </w:rPr>
        <w:tab/>
      </w:r>
      <w:r w:rsidRPr="008D74EE">
        <w:rPr>
          <w:rFonts w:ascii="Arial" w:eastAsia="Calibri" w:hAnsi="Arial" w:cs="Arial"/>
          <w:bCs/>
          <w:sz w:val="22"/>
          <w:lang w:val="es-ES_tradnl"/>
        </w:rPr>
        <w:t xml:space="preserve">No obstante, bajo el entendido de que particular y </w:t>
      </w:r>
      <w:r w:rsidR="00E71FFC" w:rsidRPr="008D74EE">
        <w:rPr>
          <w:rFonts w:ascii="Arial" w:eastAsia="Calibri" w:hAnsi="Arial" w:cs="Arial"/>
          <w:bCs/>
          <w:sz w:val="22"/>
          <w:lang w:val="es-ES_tradnl"/>
        </w:rPr>
        <w:t>E</w:t>
      </w:r>
      <w:r w:rsidRPr="008D74EE">
        <w:rPr>
          <w:rFonts w:ascii="Arial" w:eastAsia="Calibri" w:hAnsi="Arial" w:cs="Arial"/>
          <w:bCs/>
          <w:sz w:val="22"/>
          <w:lang w:val="es-ES_tradnl"/>
        </w:rPr>
        <w:t>stado</w:t>
      </w:r>
      <w:r w:rsidR="00E71FFC" w:rsidRPr="008D74EE">
        <w:rPr>
          <w:rFonts w:ascii="Arial" w:eastAsia="Calibri" w:hAnsi="Arial" w:cs="Arial"/>
          <w:bCs/>
          <w:sz w:val="22"/>
          <w:lang w:val="es-ES_tradnl"/>
        </w:rPr>
        <w:t xml:space="preserve"> aúnan sus aportes para conformar el capital social de la </w:t>
      </w:r>
      <w:r w:rsidR="006E0643" w:rsidRPr="008D74EE">
        <w:rPr>
          <w:rFonts w:ascii="Arial" w:eastAsia="Calibri" w:hAnsi="Arial" w:cs="Arial"/>
          <w:bCs/>
          <w:sz w:val="22"/>
          <w:lang w:val="es-ES_tradnl"/>
        </w:rPr>
        <w:t xml:space="preserve">sociedad de economía mixta, la posibilidad de distinguir entre el capital privado y </w:t>
      </w:r>
      <w:r w:rsidR="007273EA" w:rsidRPr="008D74EE">
        <w:rPr>
          <w:rFonts w:ascii="Arial" w:eastAsia="Calibri" w:hAnsi="Arial" w:cs="Arial"/>
          <w:bCs/>
          <w:sz w:val="22"/>
          <w:lang w:val="es-ES_tradnl"/>
        </w:rPr>
        <w:t>público dentro del patrimonio de dicho tipo de entidad descentralizada,</w:t>
      </w:r>
      <w:r w:rsidR="00CF251B" w:rsidRPr="008D74EE">
        <w:rPr>
          <w:rFonts w:ascii="Arial" w:eastAsia="Calibri" w:hAnsi="Arial" w:cs="Arial"/>
          <w:bCs/>
          <w:sz w:val="22"/>
          <w:lang w:val="es-ES_tradnl"/>
        </w:rPr>
        <w:t xml:space="preserve"> </w:t>
      </w:r>
      <w:r w:rsidR="007273EA" w:rsidRPr="008D74EE">
        <w:rPr>
          <w:rFonts w:ascii="Arial" w:eastAsia="Calibri" w:hAnsi="Arial" w:cs="Arial"/>
          <w:bCs/>
          <w:sz w:val="22"/>
          <w:lang w:val="es-ES_tradnl"/>
        </w:rPr>
        <w:t xml:space="preserve">solo es posible cuando </w:t>
      </w:r>
      <w:r w:rsidR="00CF251B" w:rsidRPr="008D74EE">
        <w:rPr>
          <w:rFonts w:ascii="Arial" w:eastAsia="Calibri" w:hAnsi="Arial" w:cs="Arial"/>
          <w:bCs/>
          <w:sz w:val="22"/>
          <w:lang w:val="es-ES_tradnl"/>
        </w:rPr>
        <w:t>en la gestión de la sociedad expresamente se ha determinado que una parte o la totalidad del capital privado</w:t>
      </w:r>
      <w:r w:rsidR="00314D61" w:rsidRPr="008D74EE">
        <w:rPr>
          <w:rFonts w:ascii="Arial" w:eastAsia="Calibri" w:hAnsi="Arial" w:cs="Arial"/>
          <w:bCs/>
          <w:sz w:val="22"/>
          <w:lang w:val="es-ES_tradnl"/>
        </w:rPr>
        <w:t xml:space="preserve">, o los excedentes </w:t>
      </w:r>
      <w:r w:rsidR="003A7806" w:rsidRPr="008D74EE">
        <w:rPr>
          <w:rFonts w:ascii="Arial" w:eastAsia="Calibri" w:hAnsi="Arial" w:cs="Arial"/>
          <w:bCs/>
          <w:sz w:val="22"/>
          <w:lang w:val="es-ES_tradnl"/>
        </w:rPr>
        <w:t>a los que tenga derecho el</w:t>
      </w:r>
      <w:r w:rsidR="00314D61" w:rsidRPr="008D74EE">
        <w:rPr>
          <w:rFonts w:ascii="Arial" w:eastAsia="Calibri" w:hAnsi="Arial" w:cs="Arial"/>
          <w:bCs/>
          <w:sz w:val="22"/>
          <w:lang w:val="es-ES_tradnl"/>
        </w:rPr>
        <w:t xml:space="preserve"> socio particular, </w:t>
      </w:r>
      <w:r w:rsidR="00CF251B" w:rsidRPr="008D74EE">
        <w:rPr>
          <w:rFonts w:ascii="Arial" w:eastAsia="Calibri" w:hAnsi="Arial" w:cs="Arial"/>
          <w:bCs/>
          <w:sz w:val="22"/>
          <w:lang w:val="es-ES_tradnl"/>
        </w:rPr>
        <w:t>se gestione</w:t>
      </w:r>
      <w:r w:rsidR="00314D61" w:rsidRPr="008D74EE">
        <w:rPr>
          <w:rFonts w:ascii="Arial" w:eastAsia="Calibri" w:hAnsi="Arial" w:cs="Arial"/>
          <w:bCs/>
          <w:sz w:val="22"/>
          <w:lang w:val="es-ES_tradnl"/>
        </w:rPr>
        <w:t>n</w:t>
      </w:r>
      <w:r w:rsidR="00CF251B" w:rsidRPr="008D74EE">
        <w:rPr>
          <w:rFonts w:ascii="Arial" w:eastAsia="Calibri" w:hAnsi="Arial" w:cs="Arial"/>
          <w:bCs/>
          <w:sz w:val="22"/>
          <w:lang w:val="es-ES_tradnl"/>
        </w:rPr>
        <w:t xml:space="preserve"> con independencia de</w:t>
      </w:r>
      <w:r w:rsidR="00314D61" w:rsidRPr="008D74EE">
        <w:rPr>
          <w:rFonts w:ascii="Arial" w:eastAsia="Calibri" w:hAnsi="Arial" w:cs="Arial"/>
          <w:bCs/>
          <w:sz w:val="22"/>
          <w:lang w:val="es-ES_tradnl"/>
        </w:rPr>
        <w:t xml:space="preserve"> </w:t>
      </w:r>
      <w:r w:rsidR="00CF251B" w:rsidRPr="008D74EE">
        <w:rPr>
          <w:rFonts w:ascii="Arial" w:eastAsia="Calibri" w:hAnsi="Arial" w:cs="Arial"/>
          <w:bCs/>
          <w:sz w:val="22"/>
          <w:lang w:val="es-ES_tradnl"/>
        </w:rPr>
        <w:t>l</w:t>
      </w:r>
      <w:r w:rsidR="00314D61" w:rsidRPr="008D74EE">
        <w:rPr>
          <w:rFonts w:ascii="Arial" w:eastAsia="Calibri" w:hAnsi="Arial" w:cs="Arial"/>
          <w:bCs/>
          <w:sz w:val="22"/>
          <w:lang w:val="es-ES_tradnl"/>
        </w:rPr>
        <w:t>os</w:t>
      </w:r>
      <w:r w:rsidR="00CF251B" w:rsidRPr="008D74EE">
        <w:rPr>
          <w:rFonts w:ascii="Arial" w:eastAsia="Calibri" w:hAnsi="Arial" w:cs="Arial"/>
          <w:bCs/>
          <w:sz w:val="22"/>
          <w:lang w:val="es-ES_tradnl"/>
        </w:rPr>
        <w:t xml:space="preserve"> aporte</w:t>
      </w:r>
      <w:r w:rsidR="00314D61" w:rsidRPr="008D74EE">
        <w:rPr>
          <w:rFonts w:ascii="Arial" w:eastAsia="Calibri" w:hAnsi="Arial" w:cs="Arial"/>
          <w:bCs/>
          <w:sz w:val="22"/>
          <w:lang w:val="es-ES_tradnl"/>
        </w:rPr>
        <w:t>s públicos</w:t>
      </w:r>
      <w:r w:rsidR="00CF251B" w:rsidRPr="008D74EE">
        <w:rPr>
          <w:rFonts w:ascii="Arial" w:eastAsia="Calibri" w:hAnsi="Arial" w:cs="Arial"/>
          <w:bCs/>
          <w:sz w:val="22"/>
          <w:lang w:val="es-ES_tradnl"/>
        </w:rPr>
        <w:t xml:space="preserve"> </w:t>
      </w:r>
      <w:r w:rsidR="00314D61" w:rsidRPr="008D74EE">
        <w:rPr>
          <w:rFonts w:ascii="Arial" w:eastAsia="Calibri" w:hAnsi="Arial" w:cs="Arial"/>
          <w:bCs/>
          <w:sz w:val="22"/>
          <w:lang w:val="es-ES_tradnl"/>
        </w:rPr>
        <w:t>y los excedentes que debe percibir el socio estatal</w:t>
      </w:r>
      <w:r w:rsidR="00CF251B" w:rsidRPr="008D74EE">
        <w:rPr>
          <w:rFonts w:ascii="Arial" w:eastAsia="Calibri" w:hAnsi="Arial" w:cs="Arial"/>
          <w:bCs/>
          <w:sz w:val="22"/>
          <w:lang w:val="es-ES_tradnl"/>
        </w:rPr>
        <w:t xml:space="preserve">. </w:t>
      </w:r>
      <w:r w:rsidR="00840D94" w:rsidRPr="008D74EE">
        <w:rPr>
          <w:rFonts w:ascii="Arial" w:eastAsia="Calibri" w:hAnsi="Arial" w:cs="Arial"/>
          <w:bCs/>
          <w:sz w:val="22"/>
          <w:lang w:val="es-ES_tradnl"/>
        </w:rPr>
        <w:t xml:space="preserve">La contratación a la que se destinen los dineros </w:t>
      </w:r>
      <w:r w:rsidR="004D1006" w:rsidRPr="008D74EE">
        <w:rPr>
          <w:rFonts w:ascii="Arial" w:eastAsia="Calibri" w:hAnsi="Arial" w:cs="Arial"/>
          <w:bCs/>
          <w:sz w:val="22"/>
          <w:lang w:val="es-ES_tradnl"/>
        </w:rPr>
        <w:t>privados, en principio, estarían exentos del deber de publicidad en el SECOP, al no constituir contratación celebrada con cargo a recursos públicos.</w:t>
      </w:r>
    </w:p>
    <w:p w14:paraId="2D742FCF" w14:textId="4ACE5D6C" w:rsidR="0026397B" w:rsidRPr="008D74EE" w:rsidRDefault="004D1006" w:rsidP="00292031">
      <w:pPr>
        <w:spacing w:after="120" w:line="276" w:lineRule="auto"/>
        <w:ind w:firstLine="709"/>
        <w:jc w:val="both"/>
        <w:rPr>
          <w:rFonts w:ascii="Arial" w:eastAsia="Calibri" w:hAnsi="Arial" w:cs="Arial"/>
          <w:bCs/>
          <w:sz w:val="22"/>
          <w:lang w:val="es-ES_tradnl"/>
        </w:rPr>
      </w:pPr>
      <w:r w:rsidRPr="008D74EE">
        <w:rPr>
          <w:rFonts w:ascii="Arial" w:eastAsia="Calibri" w:hAnsi="Arial" w:cs="Arial"/>
          <w:bCs/>
          <w:sz w:val="22"/>
          <w:lang w:val="es-ES_tradnl"/>
        </w:rPr>
        <w:lastRenderedPageBreak/>
        <w:t xml:space="preserve">Sin embargo, </w:t>
      </w:r>
      <w:r w:rsidR="000A6C77" w:rsidRPr="008D74EE">
        <w:rPr>
          <w:rFonts w:ascii="Arial" w:eastAsia="Calibri" w:hAnsi="Arial" w:cs="Arial"/>
          <w:bCs/>
          <w:sz w:val="22"/>
          <w:lang w:val="es-ES_tradnl"/>
        </w:rPr>
        <w:t>frente a la gestión conjunta de recursos públicos y privados</w:t>
      </w:r>
      <w:r w:rsidR="00764835" w:rsidRPr="008D74EE">
        <w:rPr>
          <w:rFonts w:ascii="Arial" w:eastAsia="Calibri" w:hAnsi="Arial" w:cs="Arial"/>
          <w:bCs/>
          <w:sz w:val="22"/>
          <w:lang w:val="es-ES_tradnl"/>
        </w:rPr>
        <w:t>,</w:t>
      </w:r>
      <w:r w:rsidR="00314D61" w:rsidRPr="008D74EE">
        <w:rPr>
          <w:rFonts w:ascii="Arial" w:eastAsia="Calibri" w:hAnsi="Arial" w:cs="Arial"/>
          <w:bCs/>
          <w:sz w:val="22"/>
          <w:lang w:val="es-ES_tradnl"/>
        </w:rPr>
        <w:t xml:space="preserve"> prima el </w:t>
      </w:r>
      <w:r w:rsidR="003A7806" w:rsidRPr="008D74EE">
        <w:rPr>
          <w:rFonts w:ascii="Arial" w:eastAsia="Calibri" w:hAnsi="Arial" w:cs="Arial"/>
          <w:bCs/>
          <w:sz w:val="22"/>
          <w:lang w:val="es-ES_tradnl"/>
        </w:rPr>
        <w:t xml:space="preserve">criterio </w:t>
      </w:r>
      <w:r w:rsidR="00B66F6B" w:rsidRPr="008D74EE">
        <w:rPr>
          <w:rFonts w:ascii="Arial" w:eastAsia="Calibri" w:hAnsi="Arial" w:cs="Arial"/>
          <w:bCs/>
          <w:sz w:val="22"/>
          <w:lang w:val="es-ES_tradnl"/>
        </w:rPr>
        <w:t xml:space="preserve">orgánico para definir el carácter de recursos públicos de los dineros administrados por la respectiva sociedad de economía mixta. </w:t>
      </w:r>
      <w:r w:rsidR="00892945" w:rsidRPr="008D74EE">
        <w:rPr>
          <w:rFonts w:ascii="Arial" w:eastAsia="Calibri" w:hAnsi="Arial" w:cs="Arial"/>
          <w:bCs/>
          <w:sz w:val="22"/>
          <w:lang w:val="es-ES_tradnl"/>
        </w:rPr>
        <w:t xml:space="preserve">Esto significa que, si en el desarrollo de la actividad comercial o industrial de la respectiva sociedad de economía mixta </w:t>
      </w:r>
      <w:r w:rsidR="00DA2F3F" w:rsidRPr="008D74EE">
        <w:rPr>
          <w:rFonts w:ascii="Arial" w:eastAsia="Calibri" w:hAnsi="Arial" w:cs="Arial"/>
          <w:bCs/>
          <w:sz w:val="22"/>
          <w:lang w:val="es-ES_tradnl"/>
        </w:rPr>
        <w:t xml:space="preserve">no se gestionan de manera separadas los aportes de uno y otro socio, </w:t>
      </w:r>
      <w:r w:rsidR="00F20305" w:rsidRPr="008D74EE">
        <w:rPr>
          <w:rFonts w:ascii="Arial" w:eastAsia="Calibri" w:hAnsi="Arial" w:cs="Arial"/>
          <w:bCs/>
          <w:sz w:val="22"/>
          <w:lang w:val="es-ES_tradnl"/>
        </w:rPr>
        <w:t>la totalidad de los recursos con los que se contrata deben ser considerados como parte del tesoro público, conforme a la definición del artículo 128 constitucional, por lo que los documentos relacionados con dicha contrataci</w:t>
      </w:r>
      <w:r w:rsidR="00773F37" w:rsidRPr="008D74EE">
        <w:rPr>
          <w:rFonts w:ascii="Arial" w:eastAsia="Calibri" w:hAnsi="Arial" w:cs="Arial"/>
          <w:bCs/>
          <w:sz w:val="22"/>
          <w:lang w:val="es-ES_tradnl"/>
        </w:rPr>
        <w:t>ón debe</w:t>
      </w:r>
      <w:r w:rsidR="00353F0E" w:rsidRPr="008D74EE">
        <w:rPr>
          <w:rFonts w:ascii="Arial" w:eastAsia="Calibri" w:hAnsi="Arial" w:cs="Arial"/>
          <w:bCs/>
          <w:sz w:val="22"/>
          <w:lang w:val="es-ES_tradnl"/>
        </w:rPr>
        <w:t>n</w:t>
      </w:r>
      <w:r w:rsidR="00773F37" w:rsidRPr="008D74EE">
        <w:rPr>
          <w:rFonts w:ascii="Arial" w:eastAsia="Calibri" w:hAnsi="Arial" w:cs="Arial"/>
          <w:bCs/>
          <w:sz w:val="22"/>
          <w:lang w:val="es-ES_tradnl"/>
        </w:rPr>
        <w:t xml:space="preserve"> publica</w:t>
      </w:r>
      <w:r w:rsidR="00C3601E" w:rsidRPr="008D74EE">
        <w:rPr>
          <w:rFonts w:ascii="Arial" w:eastAsia="Calibri" w:hAnsi="Arial" w:cs="Arial"/>
          <w:bCs/>
          <w:sz w:val="22"/>
          <w:lang w:val="es-ES_tradnl"/>
        </w:rPr>
        <w:t>rse</w:t>
      </w:r>
      <w:r w:rsidR="00773F37" w:rsidRPr="008D74EE">
        <w:rPr>
          <w:rFonts w:ascii="Arial" w:eastAsia="Calibri" w:hAnsi="Arial" w:cs="Arial"/>
          <w:bCs/>
          <w:sz w:val="22"/>
          <w:lang w:val="es-ES_tradnl"/>
        </w:rPr>
        <w:t xml:space="preserve"> en el SECOP.</w:t>
      </w:r>
    </w:p>
    <w:p w14:paraId="2E26C51A" w14:textId="7E6BD9EE" w:rsidR="00F7796E" w:rsidRPr="008D74EE" w:rsidRDefault="00642EC4" w:rsidP="00B82D58">
      <w:pPr>
        <w:spacing w:after="120" w:line="276" w:lineRule="auto"/>
        <w:ind w:firstLine="709"/>
        <w:jc w:val="both"/>
        <w:rPr>
          <w:rFonts w:ascii="Arial" w:eastAsia="Calibri" w:hAnsi="Arial" w:cs="Arial"/>
          <w:bCs/>
          <w:sz w:val="22"/>
          <w:lang w:val="es-ES_tradnl"/>
        </w:rPr>
      </w:pPr>
      <w:r w:rsidRPr="008D74EE">
        <w:rPr>
          <w:rFonts w:ascii="Arial" w:eastAsia="Calibri" w:hAnsi="Arial" w:cs="Arial"/>
          <w:bCs/>
          <w:sz w:val="22"/>
          <w:lang w:val="es-ES_tradnl"/>
        </w:rPr>
        <w:t xml:space="preserve">Conforme a lo anterior, el concepto de </w:t>
      </w:r>
      <w:r w:rsidRPr="008D74EE">
        <w:rPr>
          <w:rFonts w:ascii="Arial" w:eastAsia="Calibri" w:hAnsi="Arial" w:cs="Arial"/>
          <w:bCs/>
          <w:i/>
          <w:iCs/>
          <w:sz w:val="22"/>
          <w:lang w:val="es-ES_tradnl"/>
        </w:rPr>
        <w:t>recursos públicos</w:t>
      </w:r>
      <w:r w:rsidRPr="008D74EE">
        <w:rPr>
          <w:rFonts w:ascii="Arial" w:eastAsia="Calibri" w:hAnsi="Arial" w:cs="Arial"/>
          <w:bCs/>
          <w:sz w:val="22"/>
          <w:lang w:val="es-ES_tradnl"/>
        </w:rPr>
        <w:t xml:space="preserve"> en el marco de la Ley 1150 de 2007</w:t>
      </w:r>
      <w:r w:rsidR="00CE6473" w:rsidRPr="008D74EE">
        <w:rPr>
          <w:rFonts w:ascii="Arial" w:eastAsia="Calibri" w:hAnsi="Arial" w:cs="Arial"/>
          <w:bCs/>
          <w:sz w:val="22"/>
          <w:lang w:val="es-ES_tradnl"/>
        </w:rPr>
        <w:t>, tiene que ver con los recursos que hacen parte del tesoro público a</w:t>
      </w:r>
      <w:r w:rsidR="00507D98" w:rsidRPr="008D74EE">
        <w:rPr>
          <w:rFonts w:ascii="Arial" w:eastAsia="Calibri" w:hAnsi="Arial" w:cs="Arial"/>
          <w:bCs/>
          <w:sz w:val="22"/>
          <w:lang w:val="es-ES_tradnl"/>
        </w:rPr>
        <w:t xml:space="preserve"> la</w:t>
      </w:r>
      <w:r w:rsidR="00CE6473" w:rsidRPr="008D74EE">
        <w:rPr>
          <w:rFonts w:ascii="Arial" w:eastAsia="Calibri" w:hAnsi="Arial" w:cs="Arial"/>
          <w:bCs/>
          <w:sz w:val="22"/>
          <w:lang w:val="es-ES_tradnl"/>
        </w:rPr>
        <w:t xml:space="preserve"> luz del artículo </w:t>
      </w:r>
      <w:r w:rsidR="00AF54BA" w:rsidRPr="008D74EE">
        <w:rPr>
          <w:rFonts w:ascii="Arial" w:eastAsia="Calibri" w:hAnsi="Arial" w:cs="Arial"/>
          <w:bCs/>
          <w:sz w:val="22"/>
          <w:lang w:val="es-ES_tradnl"/>
        </w:rPr>
        <w:t>128 constitucional</w:t>
      </w:r>
      <w:r w:rsidR="000A427E" w:rsidRPr="008D74EE">
        <w:rPr>
          <w:rFonts w:ascii="Arial" w:eastAsia="Calibri" w:hAnsi="Arial" w:cs="Arial"/>
          <w:bCs/>
          <w:sz w:val="22"/>
          <w:lang w:val="es-ES_tradnl"/>
        </w:rPr>
        <w:t xml:space="preserve">. En ese sentido, dichos recursos corresponden a los provenientes del tesoro público, </w:t>
      </w:r>
      <w:r w:rsidR="00AE2239" w:rsidRPr="008D74EE">
        <w:rPr>
          <w:rFonts w:ascii="Arial" w:eastAsia="Calibri" w:hAnsi="Arial" w:cs="Arial"/>
          <w:bCs/>
          <w:sz w:val="22"/>
          <w:lang w:val="es-ES_tradnl"/>
        </w:rPr>
        <w:t>esto es, los recursos que tienen a su disposición las entidades estatales del sector central y descentralizado</w:t>
      </w:r>
      <w:r w:rsidR="00BC63D4" w:rsidRPr="008D74EE">
        <w:rPr>
          <w:rFonts w:ascii="Arial" w:eastAsia="Calibri" w:hAnsi="Arial" w:cs="Arial"/>
          <w:bCs/>
          <w:sz w:val="22"/>
          <w:lang w:val="es-ES_tradnl"/>
        </w:rPr>
        <w:t>. La naturaleza pública</w:t>
      </w:r>
      <w:r w:rsidR="00E22F60" w:rsidRPr="008D74EE">
        <w:rPr>
          <w:rFonts w:ascii="Arial" w:eastAsia="Calibri" w:hAnsi="Arial" w:cs="Arial"/>
          <w:bCs/>
          <w:sz w:val="22"/>
          <w:lang w:val="es-ES_tradnl"/>
        </w:rPr>
        <w:t xml:space="preserve"> de tales recursos no se altera por el régimen de los actos y contratos de la respectiva entidad que los ejecuta, </w:t>
      </w:r>
      <w:r w:rsidR="005175E1" w:rsidRPr="008D74EE">
        <w:rPr>
          <w:rFonts w:ascii="Arial" w:eastAsia="Calibri" w:hAnsi="Arial" w:cs="Arial"/>
          <w:bCs/>
          <w:sz w:val="22"/>
          <w:lang w:val="es-ES_tradnl"/>
        </w:rPr>
        <w:t>en la medida que ello no desvirtúa su origen</w:t>
      </w:r>
      <w:r w:rsidR="003F3202" w:rsidRPr="008D74EE">
        <w:rPr>
          <w:rFonts w:ascii="Arial" w:eastAsia="Calibri" w:hAnsi="Arial" w:cs="Arial"/>
          <w:bCs/>
          <w:sz w:val="22"/>
          <w:lang w:val="es-ES_tradnl"/>
        </w:rPr>
        <w:t xml:space="preserve">, lo que se refleja en que </w:t>
      </w:r>
      <w:r w:rsidR="00A85C51" w:rsidRPr="008D74EE">
        <w:rPr>
          <w:rFonts w:ascii="Arial" w:eastAsia="Calibri" w:hAnsi="Arial" w:cs="Arial"/>
          <w:bCs/>
          <w:sz w:val="22"/>
          <w:lang w:val="es-ES_tradnl"/>
        </w:rPr>
        <w:t xml:space="preserve">el hecho de que, incluso los dineros que ejecutan las empresas industriales y comerciales del Estado y las sociedades de economía mixta </w:t>
      </w:r>
      <w:r w:rsidR="00B82D58" w:rsidRPr="008D74EE">
        <w:rPr>
          <w:rFonts w:ascii="Arial" w:eastAsia="Calibri" w:hAnsi="Arial" w:cs="Arial"/>
          <w:bCs/>
          <w:sz w:val="22"/>
          <w:lang w:val="es-ES_tradnl"/>
        </w:rPr>
        <w:t>en el marco del derecho privado se encuentran sometidos al control fiscal.</w:t>
      </w:r>
    </w:p>
    <w:p w14:paraId="5845C648" w14:textId="44533CF0" w:rsidR="000126FE" w:rsidRPr="008D74EE" w:rsidRDefault="00B82D58" w:rsidP="004D1C27">
      <w:pPr>
        <w:spacing w:line="276" w:lineRule="auto"/>
        <w:jc w:val="both"/>
        <w:rPr>
          <w:rFonts w:ascii="Arial" w:eastAsia="Calibri" w:hAnsi="Arial" w:cs="Arial"/>
          <w:bCs/>
          <w:sz w:val="22"/>
          <w:lang w:val="es-ES_tradnl"/>
        </w:rPr>
      </w:pPr>
      <w:r w:rsidRPr="008D74EE">
        <w:rPr>
          <w:rFonts w:ascii="Arial" w:eastAsia="Calibri" w:hAnsi="Arial" w:cs="Arial"/>
          <w:b/>
          <w:sz w:val="22"/>
          <w:lang w:val="es-ES_tradnl"/>
        </w:rPr>
        <w:tab/>
      </w:r>
      <w:r w:rsidR="006B5C8C" w:rsidRPr="008D74EE">
        <w:rPr>
          <w:rFonts w:ascii="Arial" w:eastAsia="Calibri" w:hAnsi="Arial" w:cs="Arial"/>
          <w:bCs/>
          <w:sz w:val="22"/>
          <w:lang w:val="es-ES_tradnl"/>
        </w:rPr>
        <w:t xml:space="preserve">Lo anterior significa que, de cara al cumplimiento del deber de publicidad </w:t>
      </w:r>
      <w:r w:rsidR="0067630D" w:rsidRPr="008D74EE">
        <w:rPr>
          <w:rFonts w:ascii="Arial" w:eastAsia="Calibri" w:hAnsi="Arial" w:cs="Arial"/>
          <w:bCs/>
          <w:sz w:val="22"/>
          <w:lang w:val="es-ES_tradnl"/>
        </w:rPr>
        <w:t>en el SECOP conforme al literal c) del artículo 3 de la Ley 1150</w:t>
      </w:r>
      <w:r w:rsidR="00D040EC" w:rsidRPr="008D74EE">
        <w:rPr>
          <w:rFonts w:ascii="Arial" w:eastAsia="Calibri" w:hAnsi="Arial" w:cs="Arial"/>
          <w:bCs/>
          <w:sz w:val="22"/>
          <w:lang w:val="es-ES_tradnl"/>
        </w:rPr>
        <w:t xml:space="preserve"> de 2007, entidades descentralizadas como empresas industriales y comerciales del Estado, </w:t>
      </w:r>
      <w:r w:rsidR="003D301B" w:rsidRPr="008D74EE">
        <w:rPr>
          <w:rFonts w:ascii="Arial" w:eastAsia="Calibri" w:hAnsi="Arial" w:cs="Arial"/>
          <w:bCs/>
          <w:sz w:val="22"/>
          <w:lang w:val="es-ES_tradnl"/>
        </w:rPr>
        <w:t xml:space="preserve">así como sociedades de economía mixta, </w:t>
      </w:r>
      <w:r w:rsidR="002E5CBC" w:rsidRPr="008D74EE">
        <w:rPr>
          <w:rFonts w:ascii="Arial" w:eastAsia="Calibri" w:hAnsi="Arial" w:cs="Arial"/>
          <w:bCs/>
          <w:sz w:val="22"/>
          <w:lang w:val="es-ES_tradnl"/>
        </w:rPr>
        <w:t>debe</w:t>
      </w:r>
      <w:r w:rsidR="00FA2F67" w:rsidRPr="008D74EE">
        <w:rPr>
          <w:rFonts w:ascii="Arial" w:eastAsia="Calibri" w:hAnsi="Arial" w:cs="Arial"/>
          <w:bCs/>
          <w:sz w:val="22"/>
          <w:lang w:val="es-ES_tradnl"/>
        </w:rPr>
        <w:t>n</w:t>
      </w:r>
      <w:r w:rsidR="002E5CBC" w:rsidRPr="008D74EE">
        <w:rPr>
          <w:rFonts w:ascii="Arial" w:eastAsia="Calibri" w:hAnsi="Arial" w:cs="Arial"/>
          <w:bCs/>
          <w:sz w:val="22"/>
          <w:lang w:val="es-ES_tradnl"/>
        </w:rPr>
        <w:t xml:space="preserve"> publicar su actividad contractual </w:t>
      </w:r>
      <w:r w:rsidR="002E5308" w:rsidRPr="008D74EE">
        <w:rPr>
          <w:rFonts w:ascii="Arial" w:eastAsia="Calibri" w:hAnsi="Arial" w:cs="Arial"/>
          <w:bCs/>
          <w:sz w:val="22"/>
          <w:lang w:val="es-ES_tradnl"/>
        </w:rPr>
        <w:t>en la referida plataforma.</w:t>
      </w:r>
      <w:r w:rsidR="00782552" w:rsidRPr="008D74EE">
        <w:rPr>
          <w:rFonts w:ascii="Arial" w:eastAsia="Calibri" w:hAnsi="Arial" w:cs="Arial"/>
          <w:bCs/>
          <w:sz w:val="22"/>
          <w:lang w:val="es-ES_tradnl"/>
        </w:rPr>
        <w:t xml:space="preserve"> </w:t>
      </w:r>
      <w:r w:rsidR="00E41155" w:rsidRPr="008D74EE">
        <w:rPr>
          <w:rFonts w:ascii="Arial" w:eastAsia="Calibri" w:hAnsi="Arial" w:cs="Arial"/>
          <w:bCs/>
          <w:sz w:val="22"/>
          <w:lang w:val="es-ES_tradnl"/>
        </w:rPr>
        <w:t>Para estos efectos</w:t>
      </w:r>
      <w:r w:rsidR="00782552" w:rsidRPr="008D74EE">
        <w:rPr>
          <w:rFonts w:ascii="Arial" w:eastAsia="Calibri" w:hAnsi="Arial" w:cs="Arial"/>
          <w:bCs/>
          <w:sz w:val="22"/>
          <w:lang w:val="es-ES_tradnl"/>
        </w:rPr>
        <w:t xml:space="preserve">, de cara </w:t>
      </w:r>
      <w:r w:rsidR="00AE4EB5" w:rsidRPr="008D74EE">
        <w:rPr>
          <w:rFonts w:ascii="Arial" w:eastAsia="Calibri" w:hAnsi="Arial" w:cs="Arial"/>
          <w:bCs/>
          <w:sz w:val="22"/>
          <w:lang w:val="es-ES_tradnl"/>
        </w:rPr>
        <w:t xml:space="preserve">a </w:t>
      </w:r>
      <w:r w:rsidR="00782552" w:rsidRPr="008D74EE">
        <w:rPr>
          <w:rFonts w:ascii="Arial" w:eastAsia="Calibri" w:hAnsi="Arial" w:cs="Arial"/>
          <w:bCs/>
          <w:sz w:val="22"/>
          <w:lang w:val="es-ES_tradnl"/>
        </w:rPr>
        <w:t xml:space="preserve">la aplicación </w:t>
      </w:r>
      <w:r w:rsidR="0070448A" w:rsidRPr="008D74EE">
        <w:rPr>
          <w:rFonts w:ascii="Arial" w:eastAsia="Calibri" w:hAnsi="Arial" w:cs="Arial"/>
          <w:bCs/>
          <w:sz w:val="22"/>
          <w:lang w:val="es-ES_tradnl"/>
        </w:rPr>
        <w:t xml:space="preserve">de </w:t>
      </w:r>
      <w:r w:rsidR="00092A1F" w:rsidRPr="008D74EE">
        <w:rPr>
          <w:rFonts w:ascii="Arial" w:eastAsia="Calibri" w:hAnsi="Arial" w:cs="Arial"/>
          <w:bCs/>
          <w:sz w:val="22"/>
          <w:lang w:val="es-ES_tradnl"/>
        </w:rPr>
        <w:t xml:space="preserve">lo </w:t>
      </w:r>
      <w:r w:rsidR="00E41155" w:rsidRPr="008D74EE">
        <w:rPr>
          <w:rFonts w:ascii="Arial" w:eastAsia="Calibri" w:hAnsi="Arial" w:cs="Arial"/>
          <w:bCs/>
          <w:sz w:val="22"/>
          <w:lang w:val="es-ES_tradnl"/>
        </w:rPr>
        <w:t xml:space="preserve">dispuesto </w:t>
      </w:r>
      <w:r w:rsidR="0070448A" w:rsidRPr="008D74EE">
        <w:rPr>
          <w:rFonts w:ascii="Arial" w:eastAsia="Calibri" w:hAnsi="Arial" w:cs="Arial"/>
          <w:bCs/>
          <w:sz w:val="22"/>
          <w:lang w:val="es-ES_tradnl"/>
        </w:rPr>
        <w:t>e</w:t>
      </w:r>
      <w:r w:rsidR="00092A1F" w:rsidRPr="008D74EE">
        <w:rPr>
          <w:rFonts w:ascii="Arial" w:eastAsia="Calibri" w:hAnsi="Arial" w:cs="Arial"/>
          <w:bCs/>
          <w:sz w:val="22"/>
          <w:lang w:val="es-ES_tradnl"/>
        </w:rPr>
        <w:t>n la Circular Externa Única</w:t>
      </w:r>
      <w:r w:rsidR="009B0FA0" w:rsidRPr="008D74EE">
        <w:rPr>
          <w:rFonts w:ascii="Arial" w:eastAsia="Calibri" w:hAnsi="Arial" w:cs="Arial"/>
          <w:bCs/>
          <w:sz w:val="22"/>
          <w:lang w:val="es-ES_tradnl"/>
        </w:rPr>
        <w:t xml:space="preserve">, </w:t>
      </w:r>
      <w:r w:rsidR="00E41155" w:rsidRPr="008D74EE">
        <w:rPr>
          <w:rFonts w:ascii="Arial" w:eastAsia="Calibri" w:hAnsi="Arial" w:cs="Arial"/>
          <w:bCs/>
          <w:sz w:val="22"/>
          <w:lang w:val="es-ES_tradnl"/>
        </w:rPr>
        <w:t>estas</w:t>
      </w:r>
      <w:r w:rsidR="009B0FA0" w:rsidRPr="008D74EE">
        <w:rPr>
          <w:rFonts w:ascii="Arial" w:eastAsia="Calibri" w:hAnsi="Arial" w:cs="Arial"/>
          <w:bCs/>
          <w:sz w:val="22"/>
          <w:lang w:val="es-ES_tradnl"/>
        </w:rPr>
        <w:t xml:space="preserve"> entidades </w:t>
      </w:r>
      <w:r w:rsidR="00570214" w:rsidRPr="008D74EE">
        <w:rPr>
          <w:rFonts w:ascii="Arial" w:eastAsia="Calibri" w:hAnsi="Arial" w:cs="Arial"/>
          <w:bCs/>
          <w:sz w:val="22"/>
          <w:lang w:val="es-ES_tradnl"/>
        </w:rPr>
        <w:t xml:space="preserve">al contratar con cargo a recursos públicos </w:t>
      </w:r>
      <w:r w:rsidR="00763813" w:rsidRPr="008D74EE">
        <w:rPr>
          <w:rFonts w:ascii="Arial" w:eastAsia="Calibri" w:hAnsi="Arial" w:cs="Arial"/>
          <w:bCs/>
          <w:sz w:val="22"/>
          <w:lang w:val="es-ES_tradnl"/>
        </w:rPr>
        <w:t>deben</w:t>
      </w:r>
      <w:r w:rsidR="00570214" w:rsidRPr="008D74EE">
        <w:rPr>
          <w:rFonts w:ascii="Arial" w:eastAsia="Calibri" w:hAnsi="Arial" w:cs="Arial"/>
          <w:bCs/>
          <w:sz w:val="22"/>
          <w:lang w:val="es-ES_tradnl"/>
        </w:rPr>
        <w:t xml:space="preserve"> publica</w:t>
      </w:r>
      <w:r w:rsidR="00763813" w:rsidRPr="008D74EE">
        <w:rPr>
          <w:rFonts w:ascii="Arial" w:eastAsia="Calibri" w:hAnsi="Arial" w:cs="Arial"/>
          <w:bCs/>
          <w:sz w:val="22"/>
          <w:lang w:val="es-ES_tradnl"/>
        </w:rPr>
        <w:t>r</w:t>
      </w:r>
      <w:r w:rsidR="00570214" w:rsidRPr="008D74EE">
        <w:rPr>
          <w:rFonts w:ascii="Arial" w:eastAsia="Calibri" w:hAnsi="Arial" w:cs="Arial"/>
          <w:bCs/>
          <w:sz w:val="22"/>
          <w:lang w:val="es-ES_tradnl"/>
        </w:rPr>
        <w:t xml:space="preserve"> los documentos mencionados </w:t>
      </w:r>
      <w:r w:rsidR="00570214" w:rsidRPr="008D74EE">
        <w:rPr>
          <w:rFonts w:ascii="Arial" w:eastAsia="Calibri" w:hAnsi="Arial" w:cs="Arial"/>
          <w:bCs/>
          <w:i/>
          <w:iCs/>
          <w:sz w:val="22"/>
          <w:lang w:val="es-ES_tradnl"/>
        </w:rPr>
        <w:t>ut supra</w:t>
      </w:r>
      <w:r w:rsidR="00570214" w:rsidRPr="008D74EE">
        <w:rPr>
          <w:rFonts w:ascii="Arial" w:eastAsia="Calibri" w:hAnsi="Arial" w:cs="Arial"/>
          <w:bCs/>
          <w:sz w:val="22"/>
          <w:lang w:val="es-ES_tradnl"/>
        </w:rPr>
        <w:t>.</w:t>
      </w:r>
    </w:p>
    <w:p w14:paraId="40C003CB" w14:textId="77777777" w:rsidR="00C560BF" w:rsidRPr="008D74EE" w:rsidRDefault="00C560BF" w:rsidP="004D1C27">
      <w:pPr>
        <w:spacing w:line="276" w:lineRule="auto"/>
        <w:jc w:val="both"/>
        <w:rPr>
          <w:rFonts w:ascii="Arial" w:eastAsia="Calibri" w:hAnsi="Arial" w:cs="Arial"/>
          <w:b/>
          <w:sz w:val="22"/>
          <w:lang w:val="es-ES_tradnl"/>
        </w:rPr>
      </w:pPr>
    </w:p>
    <w:p w14:paraId="37CA9805" w14:textId="0147F649" w:rsidR="00DD5B04" w:rsidRPr="008D74EE" w:rsidRDefault="004177A6" w:rsidP="004D1C27">
      <w:pPr>
        <w:spacing w:line="276" w:lineRule="auto"/>
        <w:jc w:val="both"/>
        <w:rPr>
          <w:rFonts w:ascii="Arial" w:hAnsi="Arial" w:cs="Arial"/>
          <w:sz w:val="22"/>
          <w:lang w:val="es-ES_tradnl"/>
        </w:rPr>
      </w:pPr>
      <w:r w:rsidRPr="008D74EE">
        <w:rPr>
          <w:rFonts w:ascii="Arial" w:eastAsia="Calibri" w:hAnsi="Arial" w:cs="Arial"/>
          <w:b/>
          <w:sz w:val="22"/>
          <w:lang w:val="es-ES_tradnl"/>
        </w:rPr>
        <w:t>3</w:t>
      </w:r>
      <w:r w:rsidR="00B011A9" w:rsidRPr="008D74EE">
        <w:rPr>
          <w:rFonts w:ascii="Arial" w:eastAsia="Calibri" w:hAnsi="Arial" w:cs="Arial"/>
          <w:b/>
          <w:sz w:val="22"/>
          <w:lang w:val="es-ES_tradnl"/>
        </w:rPr>
        <w:t xml:space="preserve">. </w:t>
      </w:r>
      <w:r w:rsidR="00DD5B04" w:rsidRPr="008D74EE">
        <w:rPr>
          <w:rFonts w:ascii="Arial" w:eastAsia="Calibri" w:hAnsi="Arial" w:cs="Arial"/>
          <w:b/>
          <w:sz w:val="22"/>
          <w:lang w:val="es-ES_tradnl"/>
        </w:rPr>
        <w:t>Respuest</w:t>
      </w:r>
      <w:r w:rsidR="00BF0E64" w:rsidRPr="008D74EE">
        <w:rPr>
          <w:rFonts w:ascii="Arial" w:eastAsia="Calibri" w:hAnsi="Arial" w:cs="Arial"/>
          <w:b/>
          <w:sz w:val="22"/>
          <w:lang w:val="es-ES_tradnl"/>
        </w:rPr>
        <w:t>a</w:t>
      </w:r>
    </w:p>
    <w:p w14:paraId="0B74D5B8" w14:textId="59C73EB8" w:rsidR="00C4581D" w:rsidRPr="008D74EE" w:rsidRDefault="00C4581D" w:rsidP="00510DE9">
      <w:pPr>
        <w:tabs>
          <w:tab w:val="left" w:pos="0"/>
        </w:tabs>
        <w:jc w:val="both"/>
        <w:rPr>
          <w:rFonts w:ascii="Arial" w:eastAsia="Calibri" w:hAnsi="Arial" w:cs="Arial"/>
          <w:sz w:val="22"/>
          <w:lang w:val="es-ES_tradnl"/>
        </w:rPr>
      </w:pPr>
    </w:p>
    <w:p w14:paraId="4AC87A34" w14:textId="48559589" w:rsidR="00C560BF" w:rsidRPr="008D74EE" w:rsidRDefault="00C560BF" w:rsidP="00C560BF">
      <w:pPr>
        <w:autoSpaceDE w:val="0"/>
        <w:autoSpaceDN w:val="0"/>
        <w:adjustRightInd w:val="0"/>
        <w:ind w:left="709" w:right="709"/>
        <w:jc w:val="both"/>
        <w:rPr>
          <w:rFonts w:ascii="Arial" w:eastAsiaTheme="minorHAnsi" w:hAnsi="Arial" w:cs="Arial"/>
          <w:sz w:val="21"/>
          <w:szCs w:val="21"/>
          <w:lang w:eastAsia="en-US"/>
        </w:rPr>
      </w:pPr>
      <w:r w:rsidRPr="008D74EE">
        <w:rPr>
          <w:rFonts w:ascii="Arial" w:hAnsi="Arial" w:cs="Arial"/>
          <w:sz w:val="21"/>
          <w:szCs w:val="21"/>
          <w:lang w:val="es-ES_tradnl"/>
        </w:rPr>
        <w:t>«</w:t>
      </w:r>
      <w:r w:rsidRPr="008D74EE">
        <w:rPr>
          <w:rFonts w:ascii="Arial" w:eastAsiaTheme="minorHAnsi" w:hAnsi="Arial" w:cs="Arial"/>
          <w:sz w:val="21"/>
          <w:szCs w:val="21"/>
          <w:lang w:eastAsia="en-US"/>
        </w:rPr>
        <w:t>2.1. ¿Se encuentra vigente y es de obligatorio cumplimiento los lineamientos y directrices impartidos en la Circular Externa Única del 17 de julio de 2018 en torno a la publicidad de la actividad contractual de las sociedades de economía mixta-SEM y las Empresas Industriales y Comerciales del Estado-EIC?</w:t>
      </w:r>
      <w:r w:rsidR="00327DFE" w:rsidRPr="008D74EE">
        <w:rPr>
          <w:rFonts w:ascii="Arial" w:eastAsiaTheme="minorHAnsi" w:hAnsi="Arial" w:cs="Arial"/>
          <w:sz w:val="21"/>
          <w:szCs w:val="21"/>
          <w:lang w:eastAsia="en-US"/>
        </w:rPr>
        <w:t>».</w:t>
      </w:r>
    </w:p>
    <w:p w14:paraId="77301756" w14:textId="785FFA1A" w:rsidR="00C62C63" w:rsidRPr="008D74EE" w:rsidRDefault="00C62C63" w:rsidP="00C62C63">
      <w:pPr>
        <w:ind w:left="709" w:right="709"/>
        <w:jc w:val="both"/>
        <w:rPr>
          <w:rFonts w:ascii="Arial" w:hAnsi="Arial" w:cs="Arial"/>
          <w:sz w:val="21"/>
          <w:szCs w:val="21"/>
          <w:lang w:val="es-ES_tradnl"/>
        </w:rPr>
      </w:pPr>
    </w:p>
    <w:p w14:paraId="5304A398" w14:textId="16567426" w:rsidR="00066013" w:rsidRPr="008D74EE" w:rsidRDefault="00066013" w:rsidP="00BD1DED">
      <w:pPr>
        <w:spacing w:after="120" w:line="276" w:lineRule="auto"/>
        <w:jc w:val="both"/>
        <w:rPr>
          <w:rFonts w:ascii="Arial" w:hAnsi="Arial" w:cs="Arial"/>
          <w:sz w:val="22"/>
          <w:szCs w:val="22"/>
          <w:lang w:val="es-ES_tradnl"/>
        </w:rPr>
      </w:pPr>
      <w:r w:rsidRPr="008D74EE">
        <w:rPr>
          <w:rFonts w:ascii="Arial" w:hAnsi="Arial" w:cs="Arial"/>
          <w:sz w:val="22"/>
          <w:szCs w:val="22"/>
          <w:lang w:val="es-ES_tradnl"/>
        </w:rPr>
        <w:t>Conforme a lo expuesto, la Circular Externa Única de 17 de julio de 201</w:t>
      </w:r>
      <w:r w:rsidR="00536CBE" w:rsidRPr="008D74EE">
        <w:rPr>
          <w:rFonts w:ascii="Arial" w:hAnsi="Arial" w:cs="Arial"/>
          <w:sz w:val="22"/>
          <w:szCs w:val="22"/>
          <w:lang w:val="es-ES_tradnl"/>
        </w:rPr>
        <w:t>7</w:t>
      </w:r>
      <w:r w:rsidR="0005742B" w:rsidRPr="008D74EE">
        <w:rPr>
          <w:rFonts w:ascii="Arial" w:hAnsi="Arial" w:cs="Arial"/>
          <w:sz w:val="22"/>
          <w:szCs w:val="22"/>
          <w:lang w:val="es-ES_tradnl"/>
        </w:rPr>
        <w:t xml:space="preserve"> </w:t>
      </w:r>
      <w:r w:rsidR="00536CBE" w:rsidRPr="008D74EE">
        <w:rPr>
          <w:rFonts w:ascii="Arial" w:hAnsi="Arial" w:cs="Arial"/>
          <w:bCs/>
          <w:sz w:val="22"/>
          <w:szCs w:val="22"/>
          <w:lang w:val="es-ES_tradnl"/>
        </w:rPr>
        <w:t>–actualizada el 16 de abril de 2019</w:t>
      </w:r>
      <w:r w:rsidR="00F526CC" w:rsidRPr="008D74EE">
        <w:rPr>
          <w:rFonts w:ascii="Arial" w:eastAsia="Arial" w:hAnsi="Arial" w:cs="Arial"/>
          <w:sz w:val="22"/>
          <w:szCs w:val="22"/>
          <w:lang w:val="es-ES_tradnl"/>
        </w:rPr>
        <w:t>– se encuentra vigente</w:t>
      </w:r>
      <w:r w:rsidR="00E73941" w:rsidRPr="008D74EE">
        <w:rPr>
          <w:rFonts w:ascii="Arial" w:eastAsia="Arial" w:hAnsi="Arial" w:cs="Arial"/>
          <w:sz w:val="22"/>
          <w:szCs w:val="22"/>
          <w:lang w:val="es-ES_tradnl"/>
        </w:rPr>
        <w:t xml:space="preserve">. </w:t>
      </w:r>
      <w:r w:rsidR="004A34BA" w:rsidRPr="008D74EE">
        <w:rPr>
          <w:rFonts w:ascii="Arial" w:eastAsia="Arial" w:hAnsi="Arial" w:cs="Arial"/>
          <w:sz w:val="22"/>
          <w:szCs w:val="22"/>
          <w:lang w:val="es-ES_tradnl"/>
        </w:rPr>
        <w:t>En atención a esto,</w:t>
      </w:r>
      <w:r w:rsidR="00F526CC" w:rsidRPr="008D74EE">
        <w:rPr>
          <w:rFonts w:ascii="Arial" w:eastAsia="Arial" w:hAnsi="Arial" w:cs="Arial"/>
          <w:sz w:val="22"/>
          <w:szCs w:val="22"/>
          <w:lang w:val="es-ES_tradnl"/>
        </w:rPr>
        <w:t xml:space="preserve"> </w:t>
      </w:r>
      <w:r w:rsidR="00BB6E8B" w:rsidRPr="008D74EE">
        <w:rPr>
          <w:rFonts w:ascii="Arial" w:eastAsia="Arial" w:hAnsi="Arial" w:cs="Arial"/>
          <w:sz w:val="22"/>
          <w:szCs w:val="22"/>
          <w:lang w:val="es-ES_tradnl"/>
        </w:rPr>
        <w:t>entidades descentralizadas como empresas industriales y comerciales del Estado, al igual que las sociedades de economía mixta</w:t>
      </w:r>
      <w:r w:rsidR="004A34BA" w:rsidRPr="008D74EE">
        <w:rPr>
          <w:rFonts w:ascii="Arial" w:eastAsia="Arial" w:hAnsi="Arial" w:cs="Arial"/>
          <w:sz w:val="22"/>
          <w:szCs w:val="22"/>
          <w:lang w:val="es-ES_tradnl"/>
        </w:rPr>
        <w:t>,</w:t>
      </w:r>
      <w:r w:rsidR="009274C2" w:rsidRPr="008D74EE">
        <w:rPr>
          <w:rFonts w:ascii="Arial" w:eastAsia="Arial" w:hAnsi="Arial" w:cs="Arial"/>
          <w:sz w:val="22"/>
          <w:szCs w:val="22"/>
          <w:lang w:val="es-ES_tradnl"/>
        </w:rPr>
        <w:t xml:space="preserve"> deben cumplir con el deber de publicidad que les atañe en virtud de</w:t>
      </w:r>
      <w:r w:rsidR="00E73941" w:rsidRPr="008D74EE">
        <w:rPr>
          <w:rFonts w:ascii="Arial" w:eastAsia="Arial" w:hAnsi="Arial" w:cs="Arial"/>
          <w:sz w:val="22"/>
          <w:szCs w:val="22"/>
          <w:lang w:val="es-ES_tradnl"/>
        </w:rPr>
        <w:t xml:space="preserve"> </w:t>
      </w:r>
      <w:r w:rsidR="009274C2" w:rsidRPr="008D74EE">
        <w:rPr>
          <w:rFonts w:ascii="Arial" w:eastAsia="Arial" w:hAnsi="Arial" w:cs="Arial"/>
          <w:sz w:val="22"/>
          <w:szCs w:val="22"/>
          <w:lang w:val="es-ES_tradnl"/>
        </w:rPr>
        <w:t>l</w:t>
      </w:r>
      <w:r w:rsidR="00E73941" w:rsidRPr="008D74EE">
        <w:rPr>
          <w:rFonts w:ascii="Arial" w:eastAsia="Arial" w:hAnsi="Arial" w:cs="Arial"/>
          <w:sz w:val="22"/>
          <w:szCs w:val="22"/>
          <w:lang w:val="es-ES_tradnl"/>
        </w:rPr>
        <w:t>os</w:t>
      </w:r>
      <w:r w:rsidR="009274C2" w:rsidRPr="008D74EE">
        <w:rPr>
          <w:rFonts w:ascii="Arial" w:eastAsia="Arial" w:hAnsi="Arial" w:cs="Arial"/>
          <w:sz w:val="22"/>
          <w:szCs w:val="22"/>
          <w:lang w:val="es-ES_tradnl"/>
        </w:rPr>
        <w:t xml:space="preserve"> artículo</w:t>
      </w:r>
      <w:r w:rsidR="00E73941" w:rsidRPr="008D74EE">
        <w:rPr>
          <w:rFonts w:ascii="Arial" w:eastAsia="Arial" w:hAnsi="Arial" w:cs="Arial"/>
          <w:sz w:val="22"/>
          <w:szCs w:val="22"/>
          <w:lang w:val="es-ES_tradnl"/>
        </w:rPr>
        <w:t>s</w:t>
      </w:r>
      <w:r w:rsidR="009274C2" w:rsidRPr="008D74EE">
        <w:rPr>
          <w:rFonts w:ascii="Arial" w:eastAsia="Arial" w:hAnsi="Arial" w:cs="Arial"/>
          <w:sz w:val="22"/>
          <w:szCs w:val="22"/>
          <w:lang w:val="es-ES_tradnl"/>
        </w:rPr>
        <w:t xml:space="preserve"> 3, literal c) de la Ley 1150 de 2007</w:t>
      </w:r>
      <w:r w:rsidR="00E73941" w:rsidRPr="008D74EE">
        <w:rPr>
          <w:rFonts w:ascii="Arial" w:eastAsia="Arial" w:hAnsi="Arial" w:cs="Arial"/>
          <w:sz w:val="22"/>
          <w:szCs w:val="22"/>
          <w:lang w:val="es-ES_tradnl"/>
        </w:rPr>
        <w:t>, 9, literal e) y 11, literal g) de la Le 1712 de 20</w:t>
      </w:r>
      <w:r w:rsidR="00BD1DED" w:rsidRPr="008D74EE">
        <w:rPr>
          <w:rFonts w:ascii="Arial" w:eastAsia="Arial" w:hAnsi="Arial" w:cs="Arial"/>
          <w:sz w:val="22"/>
          <w:szCs w:val="22"/>
          <w:lang w:val="es-ES_tradnl"/>
        </w:rPr>
        <w:t xml:space="preserve">14, en los términos precisados por </w:t>
      </w:r>
      <w:r w:rsidR="0007094A" w:rsidRPr="008D74EE">
        <w:rPr>
          <w:rFonts w:ascii="Arial" w:eastAsia="Arial" w:hAnsi="Arial" w:cs="Arial"/>
          <w:sz w:val="22"/>
          <w:szCs w:val="22"/>
          <w:lang w:val="es-ES_tradnl"/>
        </w:rPr>
        <w:t>la</w:t>
      </w:r>
      <w:r w:rsidR="00BD1DED" w:rsidRPr="008D74EE">
        <w:rPr>
          <w:rFonts w:ascii="Arial" w:eastAsia="Arial" w:hAnsi="Arial" w:cs="Arial"/>
          <w:sz w:val="22"/>
          <w:szCs w:val="22"/>
          <w:lang w:val="es-ES_tradnl"/>
        </w:rPr>
        <w:t xml:space="preserve"> circular.</w:t>
      </w:r>
    </w:p>
    <w:p w14:paraId="2CB42D44" w14:textId="7404E53E" w:rsidR="00052E2F" w:rsidRPr="008D74EE" w:rsidRDefault="007B4B99" w:rsidP="00BD1DED">
      <w:pPr>
        <w:spacing w:line="276" w:lineRule="auto"/>
        <w:ind w:firstLine="708"/>
        <w:jc w:val="both"/>
        <w:rPr>
          <w:rFonts w:ascii="Arial" w:hAnsi="Arial" w:cs="Arial"/>
          <w:sz w:val="22"/>
          <w:szCs w:val="22"/>
          <w:lang w:val="es-ES_tradnl"/>
        </w:rPr>
      </w:pPr>
      <w:r w:rsidRPr="008D74EE">
        <w:rPr>
          <w:rFonts w:ascii="Arial" w:hAnsi="Arial" w:cs="Arial"/>
          <w:sz w:val="22"/>
          <w:szCs w:val="22"/>
          <w:lang w:val="es-ES_tradnl"/>
        </w:rPr>
        <w:lastRenderedPageBreak/>
        <w:t>De ninguna manera</w:t>
      </w:r>
      <w:r w:rsidR="00561D48" w:rsidRPr="008D74EE">
        <w:rPr>
          <w:rFonts w:ascii="Arial" w:hAnsi="Arial" w:cs="Arial"/>
          <w:sz w:val="22"/>
          <w:szCs w:val="22"/>
          <w:lang w:val="es-ES_tradnl"/>
        </w:rPr>
        <w:t xml:space="preserve"> puede entenderse que con la expedición del auto del Consejo de Estado del 25 de febrero de 2021 las entidades exceptuadas del </w:t>
      </w:r>
      <w:r w:rsidR="00EE4B63" w:rsidRPr="008D74EE">
        <w:rPr>
          <w:rFonts w:ascii="Arial" w:hAnsi="Arial" w:cs="Arial"/>
          <w:sz w:val="22"/>
          <w:szCs w:val="22"/>
          <w:lang w:val="es-ES_tradnl"/>
        </w:rPr>
        <w:t>Estatuto General de Contratación de la Administración Pública o que cuentan con un régime</w:t>
      </w:r>
      <w:r w:rsidR="00632241" w:rsidRPr="008D74EE">
        <w:rPr>
          <w:rFonts w:ascii="Arial" w:hAnsi="Arial" w:cs="Arial"/>
          <w:sz w:val="22"/>
          <w:szCs w:val="22"/>
          <w:lang w:val="es-ES_tradnl"/>
        </w:rPr>
        <w:t xml:space="preserve">n contractual especial </w:t>
      </w:r>
      <w:r w:rsidR="00851FA9" w:rsidRPr="008D74EE">
        <w:rPr>
          <w:rFonts w:ascii="Arial" w:hAnsi="Arial" w:cs="Arial"/>
          <w:sz w:val="22"/>
          <w:szCs w:val="22"/>
          <w:lang w:val="es-ES_tradnl"/>
        </w:rPr>
        <w:t>quedaron eximidas de la obligación de</w:t>
      </w:r>
      <w:r w:rsidR="00632241" w:rsidRPr="008D74EE">
        <w:rPr>
          <w:rFonts w:ascii="Arial" w:hAnsi="Arial" w:cs="Arial"/>
          <w:sz w:val="22"/>
          <w:szCs w:val="22"/>
          <w:lang w:val="es-ES_tradnl"/>
        </w:rPr>
        <w:t xml:space="preserve"> publicar </w:t>
      </w:r>
      <w:r w:rsidR="00851FA9" w:rsidRPr="008D74EE">
        <w:rPr>
          <w:rFonts w:ascii="Arial" w:hAnsi="Arial" w:cs="Arial"/>
          <w:sz w:val="22"/>
          <w:szCs w:val="22"/>
          <w:lang w:val="es-ES_tradnl"/>
        </w:rPr>
        <w:t xml:space="preserve">en el SECOP </w:t>
      </w:r>
      <w:r w:rsidR="00632241" w:rsidRPr="008D74EE">
        <w:rPr>
          <w:rFonts w:ascii="Arial" w:hAnsi="Arial" w:cs="Arial"/>
          <w:sz w:val="22"/>
          <w:szCs w:val="22"/>
          <w:lang w:val="es-ES_tradnl"/>
        </w:rPr>
        <w:t>la información oficial de la contratación que realicen con recursos públicos</w:t>
      </w:r>
      <w:r w:rsidR="007D4754" w:rsidRPr="008D74EE">
        <w:rPr>
          <w:rFonts w:ascii="Arial" w:hAnsi="Arial" w:cs="Arial"/>
          <w:sz w:val="22"/>
          <w:szCs w:val="22"/>
          <w:lang w:val="es-ES_tradnl"/>
        </w:rPr>
        <w:t>.</w:t>
      </w:r>
      <w:r w:rsidR="00851FA9" w:rsidRPr="008D74EE">
        <w:rPr>
          <w:rFonts w:ascii="Arial" w:hAnsi="Arial" w:cs="Arial"/>
          <w:sz w:val="22"/>
          <w:szCs w:val="22"/>
          <w:lang w:val="es-ES_tradnl"/>
        </w:rPr>
        <w:t xml:space="preserve"> </w:t>
      </w:r>
      <w:r w:rsidR="00664668" w:rsidRPr="008D74EE">
        <w:rPr>
          <w:rFonts w:ascii="Arial" w:hAnsi="Arial" w:cs="Arial"/>
          <w:sz w:val="22"/>
          <w:szCs w:val="22"/>
          <w:lang w:val="es-ES_tradnl"/>
        </w:rPr>
        <w:t xml:space="preserve">Primero, porque </w:t>
      </w:r>
      <w:r w:rsidR="00C728A2" w:rsidRPr="008D74EE">
        <w:rPr>
          <w:rFonts w:ascii="Arial" w:hAnsi="Arial" w:cs="Arial"/>
          <w:sz w:val="22"/>
          <w:szCs w:val="22"/>
          <w:lang w:val="es-ES_tradnl"/>
        </w:rPr>
        <w:t xml:space="preserve">precisamente </w:t>
      </w:r>
      <w:r w:rsidR="00664668" w:rsidRPr="008D74EE">
        <w:rPr>
          <w:rFonts w:ascii="Arial" w:hAnsi="Arial" w:cs="Arial"/>
          <w:sz w:val="22"/>
          <w:szCs w:val="22"/>
          <w:lang w:val="es-ES_tradnl"/>
        </w:rPr>
        <w:t>dicho auto indica que el artículo 3, literal c)</w:t>
      </w:r>
      <w:r w:rsidR="00B43AFE" w:rsidRPr="008D74EE">
        <w:rPr>
          <w:rFonts w:ascii="Arial" w:hAnsi="Arial" w:cs="Arial"/>
          <w:sz w:val="22"/>
          <w:szCs w:val="22"/>
          <w:lang w:val="es-ES_tradnl"/>
        </w:rPr>
        <w:t xml:space="preserve">, de la Ley 1150 de 2007 también les resulta aplicable a dichas entidades, independientemente de su régimen contractual. Segundo, porque </w:t>
      </w:r>
      <w:r w:rsidR="009A40FB" w:rsidRPr="008D74EE">
        <w:rPr>
          <w:rFonts w:ascii="Arial" w:hAnsi="Arial" w:cs="Arial"/>
          <w:sz w:val="22"/>
          <w:szCs w:val="22"/>
          <w:lang w:val="es-ES_tradnl"/>
        </w:rPr>
        <w:t>estas deben garantizar los principios de publicidad y transparencia, previsto</w:t>
      </w:r>
      <w:r w:rsidR="001B6A5F" w:rsidRPr="008D74EE">
        <w:rPr>
          <w:rFonts w:ascii="Arial" w:hAnsi="Arial" w:cs="Arial"/>
          <w:sz w:val="22"/>
          <w:szCs w:val="22"/>
          <w:lang w:val="es-ES_tradnl"/>
        </w:rPr>
        <w:t>s</w:t>
      </w:r>
      <w:r w:rsidR="009A40FB" w:rsidRPr="008D74EE">
        <w:rPr>
          <w:rFonts w:ascii="Arial" w:hAnsi="Arial" w:cs="Arial"/>
          <w:sz w:val="22"/>
          <w:szCs w:val="22"/>
          <w:lang w:val="es-ES_tradnl"/>
        </w:rPr>
        <w:t xml:space="preserve"> en los artículos </w:t>
      </w:r>
      <w:r w:rsidR="00882A31" w:rsidRPr="008D74EE">
        <w:rPr>
          <w:rFonts w:ascii="Arial" w:hAnsi="Arial" w:cs="Arial"/>
          <w:sz w:val="22"/>
          <w:szCs w:val="22"/>
          <w:lang w:val="es-ES_tradnl"/>
        </w:rPr>
        <w:t xml:space="preserve">209 y 74 de la Constitución Política. </w:t>
      </w:r>
      <w:r w:rsidR="007039CE" w:rsidRPr="008D74EE">
        <w:rPr>
          <w:rFonts w:ascii="Arial" w:hAnsi="Arial" w:cs="Arial"/>
          <w:sz w:val="22"/>
          <w:szCs w:val="22"/>
          <w:lang w:val="es-ES_tradnl"/>
        </w:rPr>
        <w:t>Tercero, porque</w:t>
      </w:r>
      <w:r w:rsidR="00161A20" w:rsidRPr="008D74EE">
        <w:rPr>
          <w:rFonts w:ascii="Arial" w:hAnsi="Arial" w:cs="Arial"/>
          <w:sz w:val="22"/>
          <w:szCs w:val="22"/>
          <w:lang w:val="es-ES_tradnl"/>
        </w:rPr>
        <w:t xml:space="preserve"> las entidades estatales</w:t>
      </w:r>
      <w:r w:rsidR="004C79BC" w:rsidRPr="008D74EE">
        <w:rPr>
          <w:rFonts w:ascii="Arial" w:hAnsi="Arial" w:cs="Arial"/>
          <w:sz w:val="22"/>
          <w:szCs w:val="22"/>
          <w:lang w:val="es-ES_tradnl"/>
        </w:rPr>
        <w:t xml:space="preserve"> –incluidas las que se rigen generalmente por el derecho privado en materia contractual–</w:t>
      </w:r>
      <w:r w:rsidR="0030691E" w:rsidRPr="008D74EE">
        <w:rPr>
          <w:rFonts w:ascii="Arial" w:hAnsi="Arial" w:cs="Arial"/>
          <w:sz w:val="22"/>
          <w:szCs w:val="22"/>
          <w:lang w:val="es-ES_tradnl"/>
        </w:rPr>
        <w:t xml:space="preserve">, </w:t>
      </w:r>
      <w:r w:rsidR="00E87FCA" w:rsidRPr="008D74EE">
        <w:rPr>
          <w:rFonts w:ascii="Arial" w:hAnsi="Arial" w:cs="Arial"/>
          <w:sz w:val="22"/>
          <w:szCs w:val="22"/>
          <w:lang w:val="es-ES_tradnl"/>
        </w:rPr>
        <w:t>al</w:t>
      </w:r>
      <w:r w:rsidR="0030691E" w:rsidRPr="008D74EE">
        <w:rPr>
          <w:rFonts w:ascii="Arial" w:hAnsi="Arial" w:cs="Arial"/>
          <w:sz w:val="22"/>
          <w:szCs w:val="22"/>
          <w:lang w:val="es-ES_tradnl"/>
        </w:rPr>
        <w:t xml:space="preserve"> s</w:t>
      </w:r>
      <w:r w:rsidR="00E87FCA" w:rsidRPr="008D74EE">
        <w:rPr>
          <w:rFonts w:ascii="Arial" w:hAnsi="Arial" w:cs="Arial"/>
          <w:sz w:val="22"/>
          <w:szCs w:val="22"/>
          <w:lang w:val="es-ES_tradnl"/>
        </w:rPr>
        <w:t>er</w:t>
      </w:r>
      <w:r w:rsidR="0030691E" w:rsidRPr="008D74EE">
        <w:rPr>
          <w:rFonts w:ascii="Arial" w:hAnsi="Arial" w:cs="Arial"/>
          <w:sz w:val="22"/>
          <w:szCs w:val="22"/>
          <w:lang w:val="es-ES_tradnl"/>
        </w:rPr>
        <w:t xml:space="preserve"> </w:t>
      </w:r>
      <w:r w:rsidR="0030691E" w:rsidRPr="008D74EE">
        <w:rPr>
          <w:rFonts w:ascii="Arial" w:hAnsi="Arial" w:cs="Arial"/>
          <w:i/>
          <w:iCs/>
          <w:sz w:val="22"/>
          <w:szCs w:val="22"/>
          <w:lang w:val="es-ES_tradnl"/>
        </w:rPr>
        <w:t>sujetos obligados</w:t>
      </w:r>
      <w:r w:rsidR="0030691E" w:rsidRPr="008D74EE">
        <w:rPr>
          <w:rFonts w:ascii="Arial" w:hAnsi="Arial" w:cs="Arial"/>
          <w:sz w:val="22"/>
          <w:szCs w:val="22"/>
          <w:lang w:val="es-ES_tradnl"/>
        </w:rPr>
        <w:t xml:space="preserve"> a garantizar el derecho de acceso a la información y a los documentos públicos, deben publicar en el SECOP los documentos a los que se refiere el </w:t>
      </w:r>
      <w:r w:rsidR="001B6A5F" w:rsidRPr="008D74EE">
        <w:rPr>
          <w:rFonts w:ascii="Arial" w:hAnsi="Arial" w:cs="Arial"/>
          <w:sz w:val="22"/>
          <w:szCs w:val="22"/>
          <w:lang w:val="es-ES_tradnl"/>
        </w:rPr>
        <w:t>literal e), del artículo 9 y el</w:t>
      </w:r>
      <w:r w:rsidR="001B6A5F" w:rsidRPr="008D74EE">
        <w:rPr>
          <w:rFonts w:ascii="Arial" w:eastAsia="Calibri" w:hAnsi="Arial" w:cs="Arial"/>
          <w:sz w:val="22"/>
          <w:szCs w:val="22"/>
          <w:lang w:val="es-ES_tradnl"/>
        </w:rPr>
        <w:t xml:space="preserve"> </w:t>
      </w:r>
      <w:r w:rsidR="0030691E" w:rsidRPr="008D74EE">
        <w:rPr>
          <w:rFonts w:ascii="Arial" w:eastAsia="Calibri" w:hAnsi="Arial" w:cs="Arial"/>
          <w:sz w:val="22"/>
          <w:szCs w:val="22"/>
          <w:lang w:val="es-ES_tradnl"/>
        </w:rPr>
        <w:t>literal g), del artículo 11</w:t>
      </w:r>
      <w:r w:rsidR="00E87FCA" w:rsidRPr="008D74EE">
        <w:rPr>
          <w:rFonts w:ascii="Arial" w:eastAsia="Calibri" w:hAnsi="Arial" w:cs="Arial"/>
          <w:sz w:val="22"/>
          <w:szCs w:val="22"/>
          <w:lang w:val="es-ES_tradnl"/>
        </w:rPr>
        <w:t>,</w:t>
      </w:r>
      <w:r w:rsidR="0030691E" w:rsidRPr="008D74EE">
        <w:rPr>
          <w:rFonts w:ascii="Arial" w:eastAsia="Calibri" w:hAnsi="Arial" w:cs="Arial"/>
          <w:sz w:val="22"/>
          <w:szCs w:val="22"/>
          <w:lang w:val="es-ES_tradnl"/>
        </w:rPr>
        <w:t xml:space="preserve"> de la Ley 1712 de 2014</w:t>
      </w:r>
      <w:r w:rsidR="00851FA9" w:rsidRPr="008D74EE">
        <w:rPr>
          <w:rFonts w:ascii="Arial" w:eastAsia="Calibri" w:hAnsi="Arial" w:cs="Arial"/>
          <w:sz w:val="22"/>
          <w:szCs w:val="22"/>
          <w:lang w:val="es-ES_tradnl"/>
        </w:rPr>
        <w:t xml:space="preserve">, como </w:t>
      </w:r>
      <w:r w:rsidR="00AE487E" w:rsidRPr="008D74EE">
        <w:rPr>
          <w:rFonts w:ascii="Arial" w:eastAsia="Calibri" w:hAnsi="Arial" w:cs="Arial"/>
          <w:sz w:val="22"/>
          <w:szCs w:val="22"/>
          <w:lang w:val="es-ES_tradnl"/>
        </w:rPr>
        <w:t xml:space="preserve">los artículos </w:t>
      </w:r>
      <w:r w:rsidR="001B6A5F" w:rsidRPr="008D74EE">
        <w:rPr>
          <w:rFonts w:ascii="Arial" w:eastAsia="Calibri" w:hAnsi="Arial" w:cs="Arial"/>
          <w:sz w:val="22"/>
          <w:szCs w:val="22"/>
          <w:lang w:val="es-ES_tradnl"/>
        </w:rPr>
        <w:t>7</w:t>
      </w:r>
      <w:r w:rsidR="00AE487E" w:rsidRPr="008D74EE">
        <w:rPr>
          <w:rFonts w:ascii="Arial" w:eastAsia="Calibri" w:hAnsi="Arial" w:cs="Arial"/>
          <w:sz w:val="22"/>
          <w:szCs w:val="22"/>
          <w:lang w:val="es-ES_tradnl"/>
        </w:rPr>
        <w:t xml:space="preserve"> al 10 del Decreto 103 de 2015 –compilado en los artículos 2.1.1.1.1. al 2.1.1.6.1. del Decreto 1081 de 2015–</w:t>
      </w:r>
      <w:r w:rsidR="007039CE" w:rsidRPr="008D74EE">
        <w:rPr>
          <w:rFonts w:ascii="Arial" w:hAnsi="Arial" w:cs="Arial"/>
          <w:sz w:val="22"/>
          <w:szCs w:val="22"/>
          <w:lang w:val="es-ES_tradnl"/>
        </w:rPr>
        <w:t>. Cuarto</w:t>
      </w:r>
      <w:r w:rsidR="00882A31" w:rsidRPr="008D74EE">
        <w:rPr>
          <w:rFonts w:ascii="Arial" w:hAnsi="Arial" w:cs="Arial"/>
          <w:sz w:val="22"/>
          <w:szCs w:val="22"/>
          <w:lang w:val="es-ES_tradnl"/>
        </w:rPr>
        <w:t xml:space="preserve">, porque, el auto del </w:t>
      </w:r>
      <w:r w:rsidR="004742F0" w:rsidRPr="008D74EE">
        <w:rPr>
          <w:rFonts w:ascii="Arial" w:hAnsi="Arial" w:cs="Arial"/>
          <w:sz w:val="22"/>
          <w:szCs w:val="22"/>
          <w:lang w:val="es-ES_tradnl"/>
        </w:rPr>
        <w:t xml:space="preserve">25 de febrero de 2021 no suspende todo el contenido de las circulares </w:t>
      </w:r>
      <w:r w:rsidR="004742F0" w:rsidRPr="008D74EE">
        <w:rPr>
          <w:rFonts w:ascii="Arial" w:eastAsia="Arial" w:hAnsi="Arial" w:cs="Arial"/>
          <w:sz w:val="22"/>
          <w:szCs w:val="22"/>
          <w:lang w:val="es-ES_tradnl"/>
        </w:rPr>
        <w:t>No. 1 del 21 de junio de 2013 y No. 20 del 27 de agosto de 2015</w:t>
      </w:r>
      <w:r w:rsidR="009E6B66" w:rsidRPr="008D74EE">
        <w:rPr>
          <w:rFonts w:ascii="Arial" w:eastAsia="Arial" w:hAnsi="Arial" w:cs="Arial"/>
          <w:sz w:val="22"/>
          <w:szCs w:val="22"/>
          <w:lang w:val="es-ES_tradnl"/>
        </w:rPr>
        <w:t xml:space="preserve">, sino solo las expresiones que utilizan la frase «actividad contractual», </w:t>
      </w:r>
      <w:r w:rsidR="005D399C" w:rsidRPr="008D74EE">
        <w:rPr>
          <w:rFonts w:ascii="Arial" w:eastAsia="Arial" w:hAnsi="Arial" w:cs="Arial"/>
          <w:sz w:val="22"/>
          <w:szCs w:val="22"/>
          <w:lang w:val="es-ES_tradnl"/>
        </w:rPr>
        <w:t>quedando</w:t>
      </w:r>
      <w:r w:rsidR="009A20F2" w:rsidRPr="008D74EE">
        <w:rPr>
          <w:rFonts w:ascii="Arial" w:eastAsia="Arial" w:hAnsi="Arial" w:cs="Arial"/>
          <w:sz w:val="22"/>
          <w:szCs w:val="22"/>
          <w:lang w:val="es-ES_tradnl"/>
        </w:rPr>
        <w:t xml:space="preserve"> </w:t>
      </w:r>
      <w:r w:rsidR="005D399C" w:rsidRPr="008D74EE">
        <w:rPr>
          <w:rFonts w:ascii="Arial" w:eastAsia="Arial" w:hAnsi="Arial" w:cs="Arial"/>
          <w:sz w:val="22"/>
          <w:szCs w:val="22"/>
          <w:lang w:val="es-ES_tradnl"/>
        </w:rPr>
        <w:t>vigente lo demás</w:t>
      </w:r>
      <w:r w:rsidR="00F11E77" w:rsidRPr="008D74EE">
        <w:rPr>
          <w:rFonts w:ascii="Arial" w:eastAsia="Arial" w:hAnsi="Arial" w:cs="Arial"/>
          <w:sz w:val="22"/>
          <w:szCs w:val="22"/>
          <w:lang w:val="es-ES_tradnl"/>
        </w:rPr>
        <w:t xml:space="preserve"> –que continúa estableciendo el referido deber–</w:t>
      </w:r>
      <w:r w:rsidR="005D399C" w:rsidRPr="008D74EE">
        <w:rPr>
          <w:rFonts w:ascii="Arial" w:eastAsia="Arial" w:hAnsi="Arial" w:cs="Arial"/>
          <w:sz w:val="22"/>
          <w:szCs w:val="22"/>
          <w:lang w:val="es-ES_tradnl"/>
        </w:rPr>
        <w:t xml:space="preserve">. </w:t>
      </w:r>
      <w:r w:rsidR="007039CE" w:rsidRPr="008D74EE">
        <w:rPr>
          <w:rFonts w:ascii="Arial" w:eastAsia="Arial" w:hAnsi="Arial" w:cs="Arial"/>
          <w:sz w:val="22"/>
          <w:szCs w:val="22"/>
          <w:lang w:val="es-ES_tradnl"/>
        </w:rPr>
        <w:t>Quinto</w:t>
      </w:r>
      <w:r w:rsidR="009A20F2" w:rsidRPr="008D74EE">
        <w:rPr>
          <w:rFonts w:ascii="Arial" w:eastAsia="Arial" w:hAnsi="Arial" w:cs="Arial"/>
          <w:sz w:val="22"/>
          <w:szCs w:val="22"/>
          <w:lang w:val="es-ES_tradnl"/>
        </w:rPr>
        <w:t xml:space="preserve">, porque el </w:t>
      </w:r>
      <w:r w:rsidR="00F11E77" w:rsidRPr="008D74EE">
        <w:rPr>
          <w:rFonts w:ascii="Arial" w:eastAsia="Arial" w:hAnsi="Arial" w:cs="Arial"/>
          <w:sz w:val="22"/>
          <w:szCs w:val="22"/>
          <w:lang w:val="es-ES_tradnl"/>
        </w:rPr>
        <w:t>imperativo</w:t>
      </w:r>
      <w:r w:rsidR="009A20F2" w:rsidRPr="008D74EE">
        <w:rPr>
          <w:rFonts w:ascii="Arial" w:eastAsia="Arial" w:hAnsi="Arial" w:cs="Arial"/>
          <w:sz w:val="22"/>
          <w:szCs w:val="22"/>
          <w:lang w:val="es-ES_tradnl"/>
        </w:rPr>
        <w:t xml:space="preserve"> de publicar</w:t>
      </w:r>
      <w:r w:rsidR="00E7642B" w:rsidRPr="008D74EE">
        <w:rPr>
          <w:rFonts w:ascii="Arial" w:eastAsia="Arial" w:hAnsi="Arial" w:cs="Arial"/>
          <w:sz w:val="22"/>
          <w:szCs w:val="22"/>
          <w:lang w:val="es-ES_tradnl"/>
        </w:rPr>
        <w:t xml:space="preserve"> en el SECOP</w:t>
      </w:r>
      <w:r w:rsidR="009A20F2" w:rsidRPr="008D74EE">
        <w:rPr>
          <w:rFonts w:ascii="Arial" w:eastAsia="Arial" w:hAnsi="Arial" w:cs="Arial"/>
          <w:sz w:val="22"/>
          <w:szCs w:val="22"/>
          <w:lang w:val="es-ES_tradnl"/>
        </w:rPr>
        <w:t xml:space="preserve"> la información oficial de la contratación</w:t>
      </w:r>
      <w:r w:rsidR="00E7642B" w:rsidRPr="008D74EE">
        <w:rPr>
          <w:rFonts w:ascii="Arial" w:eastAsia="Arial" w:hAnsi="Arial" w:cs="Arial"/>
          <w:sz w:val="22"/>
          <w:szCs w:val="22"/>
          <w:lang w:val="es-ES_tradnl"/>
        </w:rPr>
        <w:t xml:space="preserve"> se desprende además de las circulares </w:t>
      </w:r>
      <w:r w:rsidR="004742F0" w:rsidRPr="008D74EE">
        <w:rPr>
          <w:rFonts w:ascii="Arial" w:hAnsi="Arial" w:cs="Arial"/>
          <w:bCs/>
          <w:sz w:val="22"/>
          <w:szCs w:val="22"/>
          <w:lang w:val="es-ES_tradnl"/>
        </w:rPr>
        <w:t>No. 23 del 16 de marzo de 2017</w:t>
      </w:r>
      <w:r w:rsidR="00E7642B" w:rsidRPr="008D74EE">
        <w:rPr>
          <w:rFonts w:ascii="Arial" w:hAnsi="Arial" w:cs="Arial"/>
          <w:bCs/>
          <w:sz w:val="22"/>
          <w:szCs w:val="22"/>
          <w:lang w:val="es-ES_tradnl"/>
        </w:rPr>
        <w:t xml:space="preserve"> y </w:t>
      </w:r>
      <w:r w:rsidR="004742F0" w:rsidRPr="008D74EE">
        <w:rPr>
          <w:rFonts w:ascii="Arial" w:hAnsi="Arial" w:cs="Arial"/>
          <w:bCs/>
          <w:sz w:val="22"/>
          <w:szCs w:val="22"/>
          <w:lang w:val="es-ES_tradnl"/>
        </w:rPr>
        <w:t>No. 007 de 2020</w:t>
      </w:r>
      <w:r w:rsidR="00E7642B" w:rsidRPr="008D74EE">
        <w:rPr>
          <w:rFonts w:ascii="Arial" w:hAnsi="Arial" w:cs="Arial"/>
          <w:bCs/>
          <w:sz w:val="22"/>
          <w:szCs w:val="22"/>
          <w:lang w:val="es-ES_tradnl"/>
        </w:rPr>
        <w:t xml:space="preserve">, así como de </w:t>
      </w:r>
      <w:r w:rsidR="004742F0" w:rsidRPr="008D74EE">
        <w:rPr>
          <w:rFonts w:ascii="Arial" w:hAnsi="Arial" w:cs="Arial"/>
          <w:bCs/>
          <w:sz w:val="22"/>
          <w:szCs w:val="22"/>
          <w:lang w:val="es-ES_tradnl"/>
        </w:rPr>
        <w:t>la Circular Externa Única –actualizada el 16 de abril de 2019–</w:t>
      </w:r>
      <w:r w:rsidR="00192DE3" w:rsidRPr="008D74EE">
        <w:rPr>
          <w:rFonts w:ascii="Arial" w:hAnsi="Arial" w:cs="Arial"/>
          <w:bCs/>
          <w:sz w:val="22"/>
          <w:szCs w:val="22"/>
          <w:lang w:val="es-ES_tradnl"/>
        </w:rPr>
        <w:t>, las cuales se encuentran vigentes.</w:t>
      </w:r>
      <w:r w:rsidR="004742F0" w:rsidRPr="008D74EE">
        <w:rPr>
          <w:rFonts w:ascii="Arial" w:hAnsi="Arial" w:cs="Arial"/>
          <w:sz w:val="22"/>
          <w:szCs w:val="22"/>
          <w:lang w:val="es-ES_tradnl"/>
        </w:rPr>
        <w:t xml:space="preserve"> </w:t>
      </w:r>
    </w:p>
    <w:p w14:paraId="6505D468" w14:textId="77777777" w:rsidR="00C560BF" w:rsidRPr="008D74EE" w:rsidRDefault="00C560BF" w:rsidP="00C560BF">
      <w:pPr>
        <w:autoSpaceDE w:val="0"/>
        <w:autoSpaceDN w:val="0"/>
        <w:adjustRightInd w:val="0"/>
        <w:ind w:left="709" w:right="709"/>
        <w:jc w:val="both"/>
        <w:rPr>
          <w:rFonts w:ascii="Arial" w:eastAsiaTheme="minorHAnsi" w:hAnsi="Arial" w:cs="Arial"/>
          <w:sz w:val="21"/>
          <w:szCs w:val="21"/>
          <w:lang w:eastAsia="en-US"/>
        </w:rPr>
      </w:pPr>
    </w:p>
    <w:p w14:paraId="2BB2993C" w14:textId="0DB2A54F" w:rsidR="00C560BF" w:rsidRPr="008D74EE" w:rsidRDefault="00327DFE" w:rsidP="00C560BF">
      <w:pPr>
        <w:autoSpaceDE w:val="0"/>
        <w:autoSpaceDN w:val="0"/>
        <w:adjustRightInd w:val="0"/>
        <w:ind w:left="709" w:right="709"/>
        <w:jc w:val="both"/>
        <w:rPr>
          <w:rFonts w:ascii="Arial" w:eastAsiaTheme="minorHAnsi" w:hAnsi="Arial" w:cs="Arial"/>
          <w:sz w:val="21"/>
          <w:szCs w:val="21"/>
          <w:lang w:eastAsia="en-US"/>
        </w:rPr>
      </w:pPr>
      <w:r w:rsidRPr="008D74EE">
        <w:rPr>
          <w:rFonts w:ascii="Arial" w:eastAsiaTheme="minorHAnsi" w:hAnsi="Arial" w:cs="Arial"/>
          <w:sz w:val="21"/>
          <w:szCs w:val="21"/>
          <w:lang w:eastAsia="en-US"/>
        </w:rPr>
        <w:t>»</w:t>
      </w:r>
      <w:r w:rsidR="00C560BF" w:rsidRPr="008D74EE">
        <w:rPr>
          <w:rFonts w:ascii="Arial" w:eastAsiaTheme="minorHAnsi" w:hAnsi="Arial" w:cs="Arial"/>
          <w:sz w:val="21"/>
          <w:szCs w:val="21"/>
          <w:lang w:eastAsia="en-US"/>
        </w:rPr>
        <w:t>2.2.1. ¿Cuáles son los documentos que deben publicar las cuales las sociedades de economía mixta –SEM-, y las empresas industriales y comerciales del Estado –EICE- que tengan participación accionaria igual o superior al 50%, cuando ejecutan recursos públicos?</w:t>
      </w:r>
    </w:p>
    <w:p w14:paraId="65E52E7F" w14:textId="2435BA98" w:rsidR="00FF72C8" w:rsidRPr="008D74EE" w:rsidRDefault="00FF72C8" w:rsidP="00C560BF">
      <w:pPr>
        <w:autoSpaceDE w:val="0"/>
        <w:autoSpaceDN w:val="0"/>
        <w:adjustRightInd w:val="0"/>
        <w:ind w:left="709" w:right="709"/>
        <w:jc w:val="both"/>
        <w:rPr>
          <w:rFonts w:ascii="Arial" w:eastAsiaTheme="minorHAnsi" w:hAnsi="Arial" w:cs="Arial"/>
          <w:sz w:val="21"/>
          <w:szCs w:val="21"/>
          <w:lang w:eastAsia="en-US"/>
        </w:rPr>
      </w:pPr>
    </w:p>
    <w:p w14:paraId="22BFA447" w14:textId="77777777" w:rsidR="00FF72C8" w:rsidRPr="008D74EE" w:rsidRDefault="00FF72C8" w:rsidP="00FF72C8">
      <w:pPr>
        <w:spacing w:after="120" w:line="276" w:lineRule="auto"/>
        <w:jc w:val="both"/>
        <w:rPr>
          <w:rFonts w:ascii="Arial" w:eastAsia="Calibri" w:hAnsi="Arial" w:cs="Arial"/>
          <w:sz w:val="22"/>
          <w:lang w:val="es-ES"/>
        </w:rPr>
      </w:pPr>
      <w:r w:rsidRPr="008D74EE">
        <w:rPr>
          <w:rFonts w:ascii="Arial" w:eastAsia="Calibri" w:hAnsi="Arial" w:cs="Arial"/>
          <w:sz w:val="22"/>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Ese deber no atiende a las condiciones de las entidades excluidas del régimen de contratación estatal, sino ─se reitera─ al hecho de que la contratación implique la ejecución de recursos públicos.</w:t>
      </w:r>
    </w:p>
    <w:p w14:paraId="2D0DFE3A" w14:textId="77777777" w:rsidR="00FF72C8" w:rsidRPr="008D74EE" w:rsidRDefault="00FF72C8" w:rsidP="00FF72C8">
      <w:pPr>
        <w:spacing w:after="120" w:line="276" w:lineRule="auto"/>
        <w:ind w:firstLine="708"/>
        <w:jc w:val="both"/>
        <w:rPr>
          <w:rFonts w:ascii="Arial" w:eastAsia="Calibri" w:hAnsi="Arial" w:cs="Arial"/>
          <w:sz w:val="22"/>
        </w:rPr>
      </w:pPr>
      <w:r w:rsidRPr="008D74EE">
        <w:rPr>
          <w:rFonts w:ascii="Arial" w:eastAsia="Calibri" w:hAnsi="Arial" w:cs="Arial"/>
          <w:sz w:val="22"/>
        </w:rPr>
        <w:t xml:space="preserve">Ahora, el Decreto 1081 de 2015 señala que los documentos que deberán publicar las entidades estatales, entre estas las Empresas Sociales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 </w:t>
      </w:r>
    </w:p>
    <w:p w14:paraId="58BB4129" w14:textId="0CDEC706" w:rsidR="00FF72C8" w:rsidRPr="008D74EE" w:rsidRDefault="00FF72C8" w:rsidP="008D74EE">
      <w:pPr>
        <w:spacing w:line="276" w:lineRule="auto"/>
        <w:ind w:firstLine="708"/>
        <w:jc w:val="both"/>
        <w:rPr>
          <w:rFonts w:ascii="Arial" w:eastAsia="Calibri" w:hAnsi="Arial" w:cs="Arial"/>
          <w:sz w:val="22"/>
        </w:rPr>
      </w:pPr>
      <w:r w:rsidRPr="008D74EE">
        <w:rPr>
          <w:rFonts w:ascii="Arial" w:eastAsia="Calibri" w:hAnsi="Arial" w:cs="Arial"/>
          <w:sz w:val="22"/>
        </w:rPr>
        <w:lastRenderedPageBreak/>
        <w:t>Frente al segundo grupo de documentos, debido a que estas entidades están sometidas al derecho privado, y por lo tanto no adelantan sus procesos con las modalidades previstas en la Ley 80 de 1993, cada una definirá en su manual el procedimiento para la contratación de sus bienes y servicios. 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w:t>
      </w:r>
    </w:p>
    <w:p w14:paraId="52AFFB92" w14:textId="4388EF4C" w:rsidR="00C560BF" w:rsidRPr="008D74EE" w:rsidRDefault="00C560BF" w:rsidP="00C560BF">
      <w:pPr>
        <w:autoSpaceDE w:val="0"/>
        <w:autoSpaceDN w:val="0"/>
        <w:adjustRightInd w:val="0"/>
        <w:ind w:left="709" w:right="709"/>
        <w:jc w:val="both"/>
        <w:rPr>
          <w:rFonts w:ascii="Arial" w:eastAsiaTheme="minorHAnsi" w:hAnsi="Arial" w:cs="Arial"/>
          <w:sz w:val="21"/>
          <w:szCs w:val="21"/>
          <w:lang w:eastAsia="en-US"/>
        </w:rPr>
      </w:pPr>
    </w:p>
    <w:p w14:paraId="4543DCA6" w14:textId="4FB95EFB" w:rsidR="00D451DC" w:rsidRPr="008D74EE" w:rsidRDefault="00327DFE" w:rsidP="00D451DC">
      <w:pPr>
        <w:autoSpaceDE w:val="0"/>
        <w:autoSpaceDN w:val="0"/>
        <w:adjustRightInd w:val="0"/>
        <w:ind w:left="709" w:right="709"/>
        <w:jc w:val="both"/>
        <w:rPr>
          <w:rFonts w:ascii="Arial" w:eastAsiaTheme="minorHAnsi" w:hAnsi="Arial" w:cs="Arial"/>
          <w:sz w:val="21"/>
          <w:szCs w:val="21"/>
          <w:lang w:eastAsia="en-US"/>
        </w:rPr>
      </w:pPr>
      <w:r w:rsidRPr="008D74EE">
        <w:rPr>
          <w:rFonts w:ascii="Arial" w:eastAsiaTheme="minorHAnsi" w:hAnsi="Arial" w:cs="Arial"/>
          <w:sz w:val="21"/>
          <w:szCs w:val="21"/>
          <w:lang w:eastAsia="en-US"/>
        </w:rPr>
        <w:t>»</w:t>
      </w:r>
      <w:r w:rsidR="00D451DC" w:rsidRPr="008D74EE">
        <w:rPr>
          <w:rFonts w:ascii="Arial" w:eastAsiaTheme="minorHAnsi" w:hAnsi="Arial" w:cs="Arial"/>
          <w:sz w:val="21"/>
          <w:szCs w:val="21"/>
          <w:lang w:eastAsia="en-US"/>
        </w:rPr>
        <w:t xml:space="preserve">2.2.2. ¿Cuáles son los documentos que deben publicar las cuales las sociedades de economía mixta –SEM-, y las empresas industriales y comerciales del Estado –EICE- que tengan participación accionaria igual o superior al 50%, cuando no ejecutan recursos </w:t>
      </w:r>
      <w:proofErr w:type="gramStart"/>
      <w:r w:rsidR="00D451DC" w:rsidRPr="008D74EE">
        <w:rPr>
          <w:rFonts w:ascii="Arial" w:eastAsiaTheme="minorHAnsi" w:hAnsi="Arial" w:cs="Arial"/>
          <w:sz w:val="21"/>
          <w:szCs w:val="21"/>
          <w:lang w:eastAsia="en-US"/>
        </w:rPr>
        <w:t>públicos?.</w:t>
      </w:r>
      <w:proofErr w:type="gramEnd"/>
    </w:p>
    <w:p w14:paraId="025286B2" w14:textId="77777777" w:rsidR="00AC3ADB" w:rsidRPr="008D74EE" w:rsidRDefault="00AC3ADB" w:rsidP="00C560BF">
      <w:pPr>
        <w:autoSpaceDE w:val="0"/>
        <w:autoSpaceDN w:val="0"/>
        <w:adjustRightInd w:val="0"/>
        <w:ind w:left="709" w:right="709"/>
        <w:jc w:val="both"/>
        <w:rPr>
          <w:rFonts w:ascii="Arial" w:eastAsiaTheme="minorHAnsi" w:hAnsi="Arial" w:cs="Arial"/>
          <w:sz w:val="21"/>
          <w:szCs w:val="21"/>
          <w:lang w:eastAsia="en-US"/>
        </w:rPr>
      </w:pPr>
    </w:p>
    <w:p w14:paraId="4452DF9D" w14:textId="157DA0C6" w:rsidR="00C560BF" w:rsidRPr="008D74EE" w:rsidRDefault="00327DFE" w:rsidP="00C560BF">
      <w:pPr>
        <w:autoSpaceDE w:val="0"/>
        <w:autoSpaceDN w:val="0"/>
        <w:adjustRightInd w:val="0"/>
        <w:ind w:left="709" w:right="709"/>
        <w:jc w:val="both"/>
        <w:rPr>
          <w:rFonts w:ascii="Arial" w:eastAsiaTheme="minorHAnsi" w:hAnsi="Arial" w:cs="Arial"/>
          <w:sz w:val="21"/>
          <w:szCs w:val="21"/>
          <w:lang w:eastAsia="en-US"/>
        </w:rPr>
      </w:pPr>
      <w:r w:rsidRPr="008D74EE">
        <w:rPr>
          <w:rFonts w:ascii="Arial" w:eastAsiaTheme="minorHAnsi" w:hAnsi="Arial" w:cs="Arial"/>
          <w:sz w:val="21"/>
          <w:szCs w:val="21"/>
          <w:lang w:eastAsia="en-US"/>
        </w:rPr>
        <w:t>»</w:t>
      </w:r>
      <w:r w:rsidR="00C560BF" w:rsidRPr="008D74EE">
        <w:rPr>
          <w:rFonts w:ascii="Arial" w:eastAsiaTheme="minorHAnsi" w:hAnsi="Arial" w:cs="Arial"/>
          <w:sz w:val="21"/>
          <w:szCs w:val="21"/>
          <w:lang w:eastAsia="en-US"/>
        </w:rPr>
        <w:t xml:space="preserve">2.3. En consideración a que </w:t>
      </w:r>
      <w:proofErr w:type="gramStart"/>
      <w:r w:rsidR="00C560BF" w:rsidRPr="008D74EE">
        <w:rPr>
          <w:rFonts w:ascii="Arial" w:eastAsiaTheme="minorHAnsi" w:hAnsi="Arial" w:cs="Arial"/>
          <w:sz w:val="21"/>
          <w:szCs w:val="21"/>
          <w:lang w:eastAsia="en-US"/>
        </w:rPr>
        <w:t>las directrices impartidas en la Circular Externa Única del 17 de julio de 2018 hace</w:t>
      </w:r>
      <w:proofErr w:type="gramEnd"/>
      <w:r w:rsidR="00C560BF" w:rsidRPr="008D74EE">
        <w:rPr>
          <w:rFonts w:ascii="Arial" w:eastAsiaTheme="minorHAnsi" w:hAnsi="Arial" w:cs="Arial"/>
          <w:sz w:val="21"/>
          <w:szCs w:val="21"/>
          <w:lang w:eastAsia="en-US"/>
        </w:rPr>
        <w:t xml:space="preserve"> una clara diferenciación en torno a la publicidad en el SECOP si las sociedades de economía mixta-SEM SEM o las Empresas Industriales y Comerciales del Estado-EIC contratan con o sin recursos públicos ¿Qué se debe entender por recursos públicos? […]».</w:t>
      </w:r>
    </w:p>
    <w:p w14:paraId="4443D016" w14:textId="3C1A0DAC" w:rsidR="00C560BF" w:rsidRPr="008D74EE" w:rsidRDefault="00C560BF" w:rsidP="00853A3C">
      <w:pPr>
        <w:ind w:right="709"/>
        <w:jc w:val="both"/>
        <w:rPr>
          <w:rFonts w:ascii="Arial" w:hAnsi="Arial" w:cs="Arial"/>
          <w:sz w:val="21"/>
          <w:szCs w:val="21"/>
          <w:lang w:val="es-ES_tradnl"/>
        </w:rPr>
      </w:pPr>
    </w:p>
    <w:p w14:paraId="4ACB82C5" w14:textId="6DBF55D7" w:rsidR="00E87DEF" w:rsidRPr="008D74EE" w:rsidRDefault="00077054" w:rsidP="005A06EA">
      <w:pPr>
        <w:spacing w:after="120" w:line="276" w:lineRule="auto"/>
        <w:ind w:right="51"/>
        <w:jc w:val="both"/>
        <w:rPr>
          <w:rFonts w:ascii="Arial" w:eastAsiaTheme="minorHAnsi" w:hAnsi="Arial" w:cs="Arial"/>
          <w:sz w:val="22"/>
          <w:szCs w:val="22"/>
          <w:lang w:eastAsia="en-US"/>
        </w:rPr>
      </w:pPr>
      <w:r w:rsidRPr="008D74EE">
        <w:rPr>
          <w:rFonts w:ascii="Arial" w:hAnsi="Arial" w:cs="Arial"/>
          <w:sz w:val="22"/>
          <w:szCs w:val="22"/>
          <w:lang w:val="es-ES_tradnl"/>
        </w:rPr>
        <w:t xml:space="preserve">De conformidad con lo expuesto, la expresión </w:t>
      </w:r>
      <w:r w:rsidRPr="008D74EE">
        <w:rPr>
          <w:rFonts w:ascii="Arial" w:hAnsi="Arial" w:cs="Arial"/>
          <w:i/>
          <w:iCs/>
          <w:sz w:val="22"/>
          <w:szCs w:val="22"/>
          <w:lang w:val="es-ES_tradnl"/>
        </w:rPr>
        <w:t xml:space="preserve">recursos públicos </w:t>
      </w:r>
      <w:r w:rsidRPr="008D74EE">
        <w:rPr>
          <w:rFonts w:ascii="Arial" w:hAnsi="Arial" w:cs="Arial"/>
          <w:sz w:val="22"/>
          <w:szCs w:val="22"/>
          <w:lang w:val="es-ES_tradnl"/>
        </w:rPr>
        <w:t xml:space="preserve">contenida en la Circular Externa Única del 17 de julio de 2018, es tomada de la Ley 1150 de 2007. En el contexto de dicha ley, el concepto de </w:t>
      </w:r>
      <w:r w:rsidRPr="008D74EE">
        <w:rPr>
          <w:rFonts w:ascii="Arial" w:hAnsi="Arial" w:cs="Arial"/>
          <w:i/>
          <w:iCs/>
          <w:sz w:val="22"/>
          <w:szCs w:val="22"/>
          <w:lang w:val="es-ES_tradnl"/>
        </w:rPr>
        <w:t>recursos públicos</w:t>
      </w:r>
      <w:r w:rsidRPr="008D74EE">
        <w:rPr>
          <w:rFonts w:ascii="Arial" w:hAnsi="Arial" w:cs="Arial"/>
          <w:sz w:val="22"/>
          <w:szCs w:val="22"/>
          <w:lang w:val="es-ES_tradnl"/>
        </w:rPr>
        <w:t xml:space="preserve"> debe entend</w:t>
      </w:r>
      <w:r w:rsidR="00DF516E" w:rsidRPr="008D74EE">
        <w:rPr>
          <w:rFonts w:ascii="Arial" w:hAnsi="Arial" w:cs="Arial"/>
          <w:sz w:val="22"/>
          <w:szCs w:val="22"/>
          <w:lang w:val="es-ES_tradnl"/>
        </w:rPr>
        <w:t>erse</w:t>
      </w:r>
      <w:r w:rsidRPr="008D74EE">
        <w:rPr>
          <w:rFonts w:ascii="Arial" w:hAnsi="Arial" w:cs="Arial"/>
          <w:sz w:val="22"/>
          <w:szCs w:val="22"/>
          <w:lang w:val="es-ES_tradnl"/>
        </w:rPr>
        <w:t xml:space="preserve"> a partir de lo establecido en el inciso segundo del artículo 128 de constitucional, que establece que el tesoro público está conformado por los recursos de la nación, las entidades territoriales y descentralizadas.</w:t>
      </w:r>
      <w:r w:rsidR="005A06EA" w:rsidRPr="008D74EE">
        <w:rPr>
          <w:rFonts w:ascii="Arial" w:hAnsi="Arial" w:cs="Arial"/>
          <w:sz w:val="22"/>
          <w:szCs w:val="22"/>
          <w:lang w:val="es-ES_tradnl"/>
        </w:rPr>
        <w:t xml:space="preserve"> </w:t>
      </w:r>
      <w:r w:rsidR="005A06EA" w:rsidRPr="008D74EE">
        <w:rPr>
          <w:rFonts w:ascii="Arial" w:eastAsiaTheme="minorHAnsi" w:hAnsi="Arial" w:cs="Arial"/>
          <w:sz w:val="22"/>
          <w:szCs w:val="22"/>
          <w:lang w:eastAsia="en-US"/>
        </w:rPr>
        <w:t>En atención a esto, t</w:t>
      </w:r>
      <w:r w:rsidR="00E87DEF" w:rsidRPr="008D74EE">
        <w:rPr>
          <w:rFonts w:ascii="Arial" w:eastAsiaTheme="minorHAnsi" w:hAnsi="Arial" w:cs="Arial"/>
          <w:sz w:val="22"/>
          <w:szCs w:val="22"/>
          <w:lang w:eastAsia="en-US"/>
        </w:rPr>
        <w:t xml:space="preserve">anto las empresas industriales y comerciales del Estado como las sociedades de economía mixta constituyen entidades descentralizadas, por lo que de conformidad con el artículo 128 superior, sus recursos tienen la naturaleza </w:t>
      </w:r>
      <w:r w:rsidR="00E9275E" w:rsidRPr="008D74EE">
        <w:rPr>
          <w:rFonts w:ascii="Arial" w:eastAsiaTheme="minorHAnsi" w:hAnsi="Arial" w:cs="Arial"/>
          <w:sz w:val="22"/>
          <w:szCs w:val="22"/>
          <w:lang w:eastAsia="en-US"/>
        </w:rPr>
        <w:t>pública</w:t>
      </w:r>
      <w:r w:rsidR="00E87DEF" w:rsidRPr="008D74EE">
        <w:rPr>
          <w:rFonts w:ascii="Arial" w:eastAsiaTheme="minorHAnsi" w:hAnsi="Arial" w:cs="Arial"/>
          <w:sz w:val="22"/>
          <w:szCs w:val="22"/>
          <w:lang w:eastAsia="en-US"/>
        </w:rPr>
        <w:t xml:space="preserve"> y están sujetos al control fiscal en los términos del artículo 267 de la Constitución. </w:t>
      </w:r>
    </w:p>
    <w:p w14:paraId="726CBECC" w14:textId="77777777" w:rsidR="005A06EA" w:rsidRPr="008D74EE" w:rsidRDefault="00E87DEF" w:rsidP="00E87DEF">
      <w:pPr>
        <w:autoSpaceDE w:val="0"/>
        <w:autoSpaceDN w:val="0"/>
        <w:adjustRightInd w:val="0"/>
        <w:spacing w:after="120" w:line="276" w:lineRule="auto"/>
        <w:ind w:right="51" w:firstLine="708"/>
        <w:jc w:val="both"/>
        <w:rPr>
          <w:rFonts w:ascii="Arial" w:eastAsiaTheme="minorHAnsi" w:hAnsi="Arial" w:cs="Arial"/>
          <w:sz w:val="22"/>
          <w:szCs w:val="22"/>
          <w:lang w:eastAsia="en-US"/>
        </w:rPr>
      </w:pPr>
      <w:r w:rsidRPr="008D74EE">
        <w:rPr>
          <w:rFonts w:ascii="Arial" w:eastAsiaTheme="minorHAnsi" w:hAnsi="Arial" w:cs="Arial"/>
          <w:sz w:val="22"/>
          <w:szCs w:val="22"/>
          <w:lang w:eastAsia="en-US"/>
        </w:rPr>
        <w:t xml:space="preserve">De acuerdo con la naturaleza jurídica de las empresas industriales y comerciales del Estado, estas son conformadas exclusivamente con aportes estatales, por lo que los recursos que reciben tienen un origen exclusivamente público. En ese sentido, al ejecutar tales recursos en ejercicio de la actividad contractual están obligadas a publicar los documentos antes enunciados. </w:t>
      </w:r>
    </w:p>
    <w:p w14:paraId="545AD734" w14:textId="04CBABC0" w:rsidR="005A06EA" w:rsidRPr="008D74EE" w:rsidRDefault="00E87DEF" w:rsidP="00135128">
      <w:pPr>
        <w:autoSpaceDE w:val="0"/>
        <w:autoSpaceDN w:val="0"/>
        <w:adjustRightInd w:val="0"/>
        <w:spacing w:line="276" w:lineRule="auto"/>
        <w:ind w:right="51" w:firstLine="708"/>
        <w:jc w:val="both"/>
        <w:rPr>
          <w:rFonts w:ascii="Arial" w:eastAsiaTheme="minorHAnsi" w:hAnsi="Arial" w:cs="Arial"/>
          <w:sz w:val="22"/>
          <w:szCs w:val="22"/>
          <w:lang w:eastAsia="en-US"/>
        </w:rPr>
      </w:pPr>
      <w:r w:rsidRPr="008D74EE">
        <w:rPr>
          <w:rFonts w:ascii="Arial" w:eastAsiaTheme="minorHAnsi" w:hAnsi="Arial" w:cs="Arial"/>
          <w:sz w:val="22"/>
          <w:szCs w:val="22"/>
          <w:lang w:eastAsia="en-US"/>
        </w:rPr>
        <w:t>Por su parte, las sociedades de economía mixta involucran aportes privados y públicos para conformar el capital social y patrimonio de tales entidades</w:t>
      </w:r>
      <w:r w:rsidR="00FD6A0C" w:rsidRPr="008D74EE">
        <w:rPr>
          <w:rFonts w:ascii="Arial" w:eastAsiaTheme="minorHAnsi" w:hAnsi="Arial" w:cs="Arial"/>
          <w:sz w:val="22"/>
          <w:szCs w:val="22"/>
          <w:lang w:eastAsia="en-US"/>
        </w:rPr>
        <w:t xml:space="preserve">, </w:t>
      </w:r>
      <w:r w:rsidRPr="008D74EE">
        <w:rPr>
          <w:rFonts w:ascii="Arial" w:eastAsiaTheme="minorHAnsi" w:hAnsi="Arial" w:cs="Arial"/>
          <w:sz w:val="22"/>
          <w:szCs w:val="22"/>
          <w:lang w:eastAsia="en-US"/>
        </w:rPr>
        <w:t>por lo que respecto de la contratación a la que se destinen los mismos,</w:t>
      </w:r>
      <w:r w:rsidR="005A06EA" w:rsidRPr="008D74EE">
        <w:rPr>
          <w:rFonts w:ascii="Arial" w:eastAsiaTheme="minorHAnsi" w:hAnsi="Arial" w:cs="Arial"/>
          <w:sz w:val="22"/>
          <w:szCs w:val="22"/>
          <w:lang w:eastAsia="en-US"/>
        </w:rPr>
        <w:t xml:space="preserve"> también</w:t>
      </w:r>
      <w:r w:rsidRPr="008D74EE">
        <w:rPr>
          <w:rFonts w:ascii="Arial" w:eastAsiaTheme="minorHAnsi" w:hAnsi="Arial" w:cs="Arial"/>
          <w:sz w:val="22"/>
          <w:szCs w:val="22"/>
          <w:lang w:eastAsia="en-US"/>
        </w:rPr>
        <w:t xml:space="preserve"> </w:t>
      </w:r>
      <w:r w:rsidR="00FD6A0C" w:rsidRPr="008D74EE">
        <w:rPr>
          <w:rFonts w:ascii="Arial" w:eastAsiaTheme="minorHAnsi" w:hAnsi="Arial" w:cs="Arial"/>
          <w:sz w:val="22"/>
          <w:szCs w:val="22"/>
          <w:lang w:eastAsia="en-US"/>
        </w:rPr>
        <w:t>deben publicarse el SECOP los documentos antes mencionados.</w:t>
      </w:r>
      <w:r w:rsidR="005A06EA" w:rsidRPr="008D74EE">
        <w:rPr>
          <w:rFonts w:ascii="Arial" w:eastAsiaTheme="minorHAnsi" w:hAnsi="Arial" w:cs="Arial"/>
          <w:sz w:val="22"/>
          <w:szCs w:val="22"/>
          <w:lang w:eastAsia="en-US"/>
        </w:rPr>
        <w:t xml:space="preserve"> Ahora bien, si en desarrollo del objeto</w:t>
      </w:r>
      <w:r w:rsidR="00000418" w:rsidRPr="008D74EE">
        <w:rPr>
          <w:rFonts w:ascii="Arial" w:eastAsiaTheme="minorHAnsi" w:hAnsi="Arial" w:cs="Arial"/>
          <w:sz w:val="22"/>
          <w:szCs w:val="22"/>
          <w:lang w:eastAsia="en-US"/>
        </w:rPr>
        <w:t xml:space="preserve"> social de la respectiva sociedad de economía mixta se gestiona el aporte privado de manera separada del público,</w:t>
      </w:r>
      <w:r w:rsidR="001941F8" w:rsidRPr="008D74EE">
        <w:rPr>
          <w:rFonts w:ascii="Arial" w:eastAsiaTheme="minorHAnsi" w:hAnsi="Arial" w:cs="Arial"/>
          <w:sz w:val="22"/>
          <w:szCs w:val="22"/>
          <w:lang w:eastAsia="en-US"/>
        </w:rPr>
        <w:t xml:space="preserve"> o si se gestionan dineros de propiedad del socio privado como </w:t>
      </w:r>
      <w:r w:rsidR="001941F8" w:rsidRPr="008D74EE">
        <w:rPr>
          <w:rFonts w:ascii="Arial" w:eastAsiaTheme="minorHAnsi" w:hAnsi="Arial" w:cs="Arial"/>
          <w:sz w:val="22"/>
          <w:szCs w:val="22"/>
          <w:lang w:eastAsia="en-US"/>
        </w:rPr>
        <w:lastRenderedPageBreak/>
        <w:t xml:space="preserve">utilidades </w:t>
      </w:r>
      <w:r w:rsidR="0028359D" w:rsidRPr="008D74EE">
        <w:rPr>
          <w:rFonts w:ascii="Arial" w:eastAsiaTheme="minorHAnsi" w:hAnsi="Arial" w:cs="Arial"/>
          <w:sz w:val="22"/>
          <w:szCs w:val="22"/>
          <w:lang w:eastAsia="en-US"/>
        </w:rPr>
        <w:t xml:space="preserve">o excedentes, siendo objetivamente </w:t>
      </w:r>
      <w:r w:rsidR="003A2939" w:rsidRPr="008D74EE">
        <w:rPr>
          <w:rFonts w:ascii="Arial" w:eastAsiaTheme="minorHAnsi" w:hAnsi="Arial" w:cs="Arial"/>
          <w:sz w:val="22"/>
          <w:szCs w:val="22"/>
          <w:lang w:eastAsia="en-US"/>
        </w:rPr>
        <w:t xml:space="preserve">verificable </w:t>
      </w:r>
      <w:r w:rsidR="00135128" w:rsidRPr="008D74EE">
        <w:rPr>
          <w:rFonts w:ascii="Arial" w:eastAsiaTheme="minorHAnsi" w:hAnsi="Arial" w:cs="Arial"/>
          <w:sz w:val="22"/>
          <w:szCs w:val="22"/>
          <w:lang w:eastAsia="en-US"/>
        </w:rPr>
        <w:t>tal distinción, la contratación de celebrada con cargo a tales dineros estará relevada del deber de publicidad en el SECOP, en el entendido de que no se ha realizado con cargo a recursos públicos.</w:t>
      </w:r>
      <w:r w:rsidR="00000418" w:rsidRPr="008D74EE">
        <w:rPr>
          <w:rFonts w:ascii="Arial" w:eastAsiaTheme="minorHAnsi" w:hAnsi="Arial" w:cs="Arial"/>
          <w:sz w:val="22"/>
          <w:szCs w:val="22"/>
          <w:lang w:eastAsia="en-US"/>
        </w:rPr>
        <w:t xml:space="preserve"> </w:t>
      </w:r>
    </w:p>
    <w:p w14:paraId="2020CC64" w14:textId="77777777" w:rsidR="00135128" w:rsidRPr="008D74EE" w:rsidRDefault="00135128" w:rsidP="008D74EE">
      <w:pPr>
        <w:autoSpaceDE w:val="0"/>
        <w:autoSpaceDN w:val="0"/>
        <w:adjustRightInd w:val="0"/>
        <w:spacing w:after="120" w:line="276" w:lineRule="auto"/>
        <w:ind w:right="51"/>
        <w:jc w:val="both"/>
        <w:rPr>
          <w:rFonts w:ascii="Arial" w:hAnsi="Arial" w:cs="Arial"/>
          <w:sz w:val="22"/>
          <w:szCs w:val="22"/>
          <w:lang w:val="es-ES_tradnl"/>
        </w:rPr>
      </w:pPr>
    </w:p>
    <w:p w14:paraId="7B2C921D" w14:textId="68DDCD7B" w:rsidR="00DD5B04" w:rsidRPr="008D74EE" w:rsidRDefault="00DD5B04" w:rsidP="00135128">
      <w:pPr>
        <w:autoSpaceDE w:val="0"/>
        <w:autoSpaceDN w:val="0"/>
        <w:adjustRightInd w:val="0"/>
        <w:spacing w:after="120" w:line="276" w:lineRule="auto"/>
        <w:ind w:right="51"/>
        <w:jc w:val="both"/>
        <w:rPr>
          <w:rFonts w:ascii="Arial" w:hAnsi="Arial" w:cs="Arial"/>
          <w:sz w:val="22"/>
          <w:lang w:val="es-ES_tradnl"/>
        </w:rPr>
      </w:pPr>
      <w:r w:rsidRPr="008D74EE">
        <w:rPr>
          <w:rFonts w:ascii="Arial" w:hAnsi="Arial" w:cs="Arial"/>
          <w:sz w:val="22"/>
          <w:lang w:val="es-ES_tradnl"/>
        </w:rPr>
        <w:t>Este concepto tiene el alcance previsto en el artículo 28 del Código de Procedimiento Administrativo y de lo Contencioso Administrativo.</w:t>
      </w:r>
    </w:p>
    <w:p w14:paraId="77EE5912" w14:textId="4BA56E11" w:rsidR="00DD5B04" w:rsidRPr="008D74EE"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247C5187" w:rsidR="00DD5B04"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8D74EE">
        <w:rPr>
          <w:rFonts w:ascii="Arial" w:hAnsi="Arial" w:cs="Arial"/>
          <w:sz w:val="22"/>
          <w:szCs w:val="22"/>
          <w:lang w:val="es-ES_tradnl"/>
        </w:rPr>
        <w:t>Atentamente,</w:t>
      </w:r>
    </w:p>
    <w:p w14:paraId="5050693B" w14:textId="356B424E" w:rsidR="00DB5CD6" w:rsidRDefault="00DB5CD6" w:rsidP="00DF76A2">
      <w:pPr>
        <w:pStyle w:val="NormalWeb"/>
        <w:spacing w:before="0" w:beforeAutospacing="0" w:after="0" w:afterAutospacing="0" w:line="276" w:lineRule="auto"/>
        <w:jc w:val="both"/>
        <w:rPr>
          <w:rFonts w:ascii="Arial" w:hAnsi="Arial" w:cs="Arial"/>
          <w:sz w:val="22"/>
          <w:szCs w:val="22"/>
          <w:lang w:val="es-ES_tradnl"/>
        </w:rPr>
      </w:pPr>
    </w:p>
    <w:p w14:paraId="6EDB7DE1" w14:textId="79C14146" w:rsidR="00DB5CD6" w:rsidRPr="008D74EE" w:rsidRDefault="002B3725" w:rsidP="00DB5CD6">
      <w:pPr>
        <w:pStyle w:val="NormalWeb"/>
        <w:spacing w:before="0" w:beforeAutospacing="0" w:after="0" w:afterAutospacing="0" w:line="276" w:lineRule="auto"/>
        <w:jc w:val="center"/>
        <w:rPr>
          <w:rFonts w:ascii="Arial" w:hAnsi="Arial" w:cs="Arial"/>
          <w:sz w:val="22"/>
          <w:szCs w:val="22"/>
          <w:lang w:val="es-ES_tradnl"/>
        </w:rPr>
      </w:pPr>
      <w:r>
        <w:rPr>
          <w:noProof/>
          <w:lang w:val="es-ES" w:eastAsia="es-ES"/>
        </w:rPr>
        <w:drawing>
          <wp:inline distT="0" distB="0" distL="0" distR="0" wp14:anchorId="05F21145" wp14:editId="328D3AD7">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5CBAE239" w14:textId="77777777" w:rsidR="00425C43" w:rsidRPr="008D74EE" w:rsidRDefault="00425C43" w:rsidP="00B37657">
      <w:pPr>
        <w:jc w:val="center"/>
        <w:rPr>
          <w:rFonts w:ascii="Arial" w:hAnsi="Arial" w:cs="Arial"/>
          <w:sz w:val="18"/>
          <w:szCs w:val="20"/>
          <w:lang w:val="es-ES_tradnl" w:eastAsia="es-CO"/>
        </w:rPr>
      </w:pPr>
    </w:p>
    <w:p w14:paraId="49730030" w14:textId="217D35F3" w:rsidR="00DD5B04" w:rsidRPr="008D74EE" w:rsidRDefault="00DD5B04" w:rsidP="00B37657">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7DE3" w:rsidRPr="008D74EE" w14:paraId="0C7DC5F7" w14:textId="77777777" w:rsidTr="003D3D44">
        <w:trPr>
          <w:trHeight w:val="315"/>
        </w:trPr>
        <w:tc>
          <w:tcPr>
            <w:tcW w:w="812" w:type="dxa"/>
            <w:vAlign w:val="center"/>
            <w:hideMark/>
          </w:tcPr>
          <w:p w14:paraId="5BDB1AC9" w14:textId="77777777" w:rsidR="00DD5B04" w:rsidRPr="008D74EE" w:rsidRDefault="00DD5B04" w:rsidP="00DF76A2">
            <w:pPr>
              <w:jc w:val="both"/>
              <w:rPr>
                <w:rFonts w:ascii="Arial" w:hAnsi="Arial" w:cs="Arial"/>
                <w:sz w:val="16"/>
                <w:szCs w:val="16"/>
                <w:lang w:val="es-ES_tradnl" w:eastAsia="es-ES"/>
              </w:rPr>
            </w:pPr>
            <w:r w:rsidRPr="008D74EE">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8552B92" w:rsidR="00DD5B04" w:rsidRPr="008D74EE" w:rsidRDefault="00ED6A2C" w:rsidP="00DF76A2">
            <w:pPr>
              <w:jc w:val="both"/>
              <w:rPr>
                <w:rFonts w:ascii="Arial" w:hAnsi="Arial" w:cs="Arial"/>
                <w:sz w:val="16"/>
                <w:szCs w:val="16"/>
                <w:lang w:val="es-ES_tradnl" w:eastAsia="es-ES"/>
              </w:rPr>
            </w:pPr>
            <w:r w:rsidRPr="008D74EE">
              <w:rPr>
                <w:rFonts w:ascii="Arial" w:hAnsi="Arial" w:cs="Arial"/>
                <w:sz w:val="16"/>
                <w:szCs w:val="16"/>
                <w:lang w:val="es-ES_tradnl" w:eastAsia="es-ES"/>
              </w:rPr>
              <w:t>Alejandro Sarmiento Cantillo</w:t>
            </w:r>
          </w:p>
          <w:p w14:paraId="240C71FD" w14:textId="684CBD9C" w:rsidR="00DD5B04" w:rsidRPr="008D74EE" w:rsidRDefault="00ED6A2C" w:rsidP="00DF76A2">
            <w:pPr>
              <w:jc w:val="both"/>
              <w:rPr>
                <w:rFonts w:ascii="Arial" w:hAnsi="Arial" w:cs="Arial"/>
                <w:sz w:val="16"/>
                <w:szCs w:val="16"/>
                <w:lang w:val="es-ES_tradnl" w:eastAsia="es-ES"/>
              </w:rPr>
            </w:pPr>
            <w:r w:rsidRPr="008D74EE">
              <w:rPr>
                <w:rFonts w:ascii="Arial" w:hAnsi="Arial" w:cs="Arial"/>
                <w:sz w:val="16"/>
                <w:szCs w:val="16"/>
                <w:lang w:val="es-ES_tradnl" w:eastAsia="es-ES"/>
              </w:rPr>
              <w:t>Gestor T1-11</w:t>
            </w:r>
            <w:r w:rsidR="00FF0050" w:rsidRPr="008D74EE">
              <w:rPr>
                <w:rFonts w:ascii="Arial" w:hAnsi="Arial" w:cs="Arial"/>
                <w:sz w:val="16"/>
                <w:szCs w:val="16"/>
                <w:lang w:val="es-ES_tradnl" w:eastAsia="es-ES"/>
              </w:rPr>
              <w:t xml:space="preserve"> de la </w:t>
            </w:r>
            <w:r w:rsidR="00DD5B04" w:rsidRPr="008D74EE">
              <w:rPr>
                <w:rFonts w:ascii="Arial" w:hAnsi="Arial" w:cs="Arial"/>
                <w:sz w:val="16"/>
                <w:szCs w:val="16"/>
                <w:lang w:val="es-ES_tradnl" w:eastAsia="es-ES"/>
              </w:rPr>
              <w:t>Subdirección de Gestión Contractual</w:t>
            </w:r>
          </w:p>
        </w:tc>
      </w:tr>
      <w:tr w:rsidR="009E7DE3" w:rsidRPr="008D74EE" w14:paraId="2F8FD650" w14:textId="77777777" w:rsidTr="003D3D44">
        <w:trPr>
          <w:trHeight w:val="330"/>
        </w:trPr>
        <w:tc>
          <w:tcPr>
            <w:tcW w:w="812" w:type="dxa"/>
            <w:vAlign w:val="center"/>
            <w:hideMark/>
          </w:tcPr>
          <w:p w14:paraId="50203A0B" w14:textId="77777777" w:rsidR="00DD5B04" w:rsidRPr="008D74EE" w:rsidRDefault="00DD5B04" w:rsidP="00DF76A2">
            <w:pPr>
              <w:jc w:val="both"/>
              <w:rPr>
                <w:rFonts w:ascii="Arial" w:hAnsi="Arial" w:cs="Arial"/>
                <w:sz w:val="16"/>
                <w:szCs w:val="16"/>
                <w:lang w:val="es-ES_tradnl" w:eastAsia="es-ES"/>
              </w:rPr>
            </w:pPr>
            <w:r w:rsidRPr="008D74EE">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04101" w14:textId="1D5558B0" w:rsidR="00C62C63" w:rsidRPr="008D74EE" w:rsidRDefault="00ED6A2C" w:rsidP="00C62C63">
            <w:pPr>
              <w:jc w:val="both"/>
              <w:rPr>
                <w:rFonts w:ascii="Arial" w:hAnsi="Arial" w:cs="Arial"/>
                <w:sz w:val="16"/>
                <w:szCs w:val="16"/>
                <w:lang w:val="es-ES_tradnl" w:eastAsia="es-ES"/>
              </w:rPr>
            </w:pPr>
            <w:r w:rsidRPr="008D74EE">
              <w:rPr>
                <w:rFonts w:ascii="Arial" w:hAnsi="Arial" w:cs="Arial"/>
                <w:sz w:val="16"/>
                <w:szCs w:val="16"/>
                <w:lang w:val="es-ES_tradnl" w:eastAsia="es-ES"/>
              </w:rPr>
              <w:t>Juan David Montoya Penagos</w:t>
            </w:r>
          </w:p>
          <w:p w14:paraId="130B3228" w14:textId="43F01F44" w:rsidR="00DD5B04" w:rsidRPr="008D74EE" w:rsidRDefault="00F06E9C" w:rsidP="00C62C63">
            <w:pPr>
              <w:jc w:val="both"/>
              <w:rPr>
                <w:rFonts w:ascii="Arial" w:hAnsi="Arial" w:cs="Arial"/>
                <w:sz w:val="16"/>
                <w:szCs w:val="16"/>
                <w:lang w:val="es-ES_tradnl" w:eastAsia="es-ES"/>
              </w:rPr>
            </w:pPr>
            <w:r w:rsidRPr="008D74EE">
              <w:rPr>
                <w:rFonts w:ascii="Arial" w:hAnsi="Arial" w:cs="Arial"/>
                <w:sz w:val="16"/>
                <w:szCs w:val="16"/>
                <w:lang w:val="es-ES_tradnl" w:eastAsia="es-ES"/>
              </w:rPr>
              <w:t>Gestor T1-15 de la Subdirección de Gestión Contractual</w:t>
            </w:r>
          </w:p>
        </w:tc>
      </w:tr>
      <w:tr w:rsidR="00DD5B04" w:rsidRPr="009E7DE3" w14:paraId="0FCBCA4A" w14:textId="77777777" w:rsidTr="003D3D44">
        <w:trPr>
          <w:trHeight w:val="300"/>
        </w:trPr>
        <w:tc>
          <w:tcPr>
            <w:tcW w:w="812" w:type="dxa"/>
            <w:vAlign w:val="center"/>
            <w:hideMark/>
          </w:tcPr>
          <w:p w14:paraId="3C1D943A" w14:textId="77777777" w:rsidR="00DD5B04" w:rsidRPr="008D74EE" w:rsidRDefault="00DD5B04" w:rsidP="00DF76A2">
            <w:pPr>
              <w:jc w:val="both"/>
              <w:rPr>
                <w:rFonts w:ascii="Arial" w:hAnsi="Arial" w:cs="Arial"/>
                <w:sz w:val="16"/>
                <w:szCs w:val="16"/>
                <w:lang w:val="es-ES_tradnl" w:eastAsia="es-ES"/>
              </w:rPr>
            </w:pPr>
            <w:r w:rsidRPr="008D74EE">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8D74EE" w:rsidRDefault="00134E7E" w:rsidP="00134E7E">
            <w:pPr>
              <w:jc w:val="both"/>
              <w:rPr>
                <w:rFonts w:ascii="Arial" w:hAnsi="Arial" w:cs="Arial"/>
                <w:sz w:val="16"/>
                <w:szCs w:val="16"/>
                <w:lang w:val="es-ES_tradnl" w:eastAsia="es-ES"/>
              </w:rPr>
            </w:pPr>
            <w:r w:rsidRPr="008D74EE">
              <w:rPr>
                <w:rFonts w:ascii="Arial" w:hAnsi="Arial" w:cs="Arial"/>
                <w:sz w:val="16"/>
                <w:szCs w:val="16"/>
                <w:lang w:val="es-ES_tradnl" w:eastAsia="es-ES"/>
              </w:rPr>
              <w:t>Jorge Augusto Tirado Navarro</w:t>
            </w:r>
          </w:p>
          <w:p w14:paraId="1ADC483B" w14:textId="1C385A7F" w:rsidR="00DD5B04" w:rsidRPr="009E7DE3" w:rsidRDefault="00134E7E" w:rsidP="00134E7E">
            <w:pPr>
              <w:jc w:val="both"/>
              <w:rPr>
                <w:rFonts w:ascii="Arial" w:hAnsi="Arial" w:cs="Arial"/>
                <w:sz w:val="16"/>
                <w:szCs w:val="16"/>
                <w:lang w:val="es-ES_tradnl" w:eastAsia="es-ES"/>
              </w:rPr>
            </w:pPr>
            <w:r w:rsidRPr="008D74EE">
              <w:rPr>
                <w:rFonts w:ascii="Arial" w:hAnsi="Arial" w:cs="Arial"/>
                <w:sz w:val="16"/>
                <w:szCs w:val="16"/>
                <w:lang w:val="es-ES_tradnl" w:eastAsia="es-ES"/>
              </w:rPr>
              <w:t>Subdirector de Gestión Contractual ANCP – CCE</w:t>
            </w:r>
          </w:p>
        </w:tc>
      </w:tr>
      <w:bookmarkEnd w:id="2"/>
    </w:tbl>
    <w:p w14:paraId="35B56F46" w14:textId="77777777" w:rsidR="00746E08" w:rsidRPr="009E7DE3" w:rsidRDefault="00746E08" w:rsidP="00215B8E">
      <w:pPr>
        <w:jc w:val="both"/>
        <w:rPr>
          <w:rFonts w:ascii="Arial" w:hAnsi="Arial" w:cs="Arial"/>
          <w:lang w:val="es-ES_tradnl"/>
        </w:rPr>
      </w:pPr>
    </w:p>
    <w:sectPr w:rsidR="00746E08" w:rsidRPr="009E7DE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294D" w14:textId="77777777" w:rsidR="00694DE8" w:rsidRDefault="00694DE8">
      <w:r>
        <w:separator/>
      </w:r>
    </w:p>
  </w:endnote>
  <w:endnote w:type="continuationSeparator" w:id="0">
    <w:p w14:paraId="22192A5A" w14:textId="77777777" w:rsidR="00694DE8" w:rsidRDefault="00694DE8">
      <w:r>
        <w:continuationSeparator/>
      </w:r>
    </w:p>
  </w:endnote>
  <w:endnote w:type="continuationNotice" w:id="1">
    <w:p w14:paraId="0B2F3D79" w14:textId="77777777" w:rsidR="00694DE8" w:rsidRDefault="00694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881E" w14:textId="77777777" w:rsidR="00694DE8" w:rsidRDefault="00694DE8">
      <w:r>
        <w:separator/>
      </w:r>
    </w:p>
  </w:footnote>
  <w:footnote w:type="continuationSeparator" w:id="0">
    <w:p w14:paraId="18D4E84E" w14:textId="77777777" w:rsidR="00694DE8" w:rsidRDefault="00694DE8">
      <w:r>
        <w:continuationSeparator/>
      </w:r>
    </w:p>
  </w:footnote>
  <w:footnote w:type="continuationNotice" w:id="1">
    <w:p w14:paraId="58517A8D" w14:textId="77777777" w:rsidR="00694DE8" w:rsidRDefault="00694DE8"/>
  </w:footnote>
  <w:footnote w:id="2">
    <w:p w14:paraId="3E8A7726" w14:textId="77777777" w:rsidR="008617D8" w:rsidRPr="00FF38ED" w:rsidRDefault="008617D8" w:rsidP="008617D8">
      <w:pPr>
        <w:pStyle w:val="Textonotapie"/>
        <w:ind w:firstLine="709"/>
        <w:jc w:val="both"/>
        <w:rPr>
          <w:rFonts w:ascii="Arial" w:hAnsi="Arial" w:cs="Arial"/>
          <w:sz w:val="19"/>
          <w:szCs w:val="19"/>
          <w:lang w:val="es-ES"/>
        </w:rPr>
      </w:pPr>
      <w:r w:rsidRPr="00FF38ED">
        <w:rPr>
          <w:rStyle w:val="Refdenotaalpie"/>
          <w:rFonts w:ascii="Arial" w:hAnsi="Arial" w:cs="Arial"/>
          <w:sz w:val="19"/>
          <w:szCs w:val="19"/>
        </w:rPr>
        <w:footnoteRef/>
      </w:r>
      <w:r w:rsidRPr="00FF38ED">
        <w:rPr>
          <w:rFonts w:ascii="Arial" w:hAnsi="Arial" w:cs="Arial"/>
          <w:sz w:val="19"/>
          <w:szCs w:val="19"/>
        </w:rPr>
        <w:t xml:space="preserve"> </w:t>
      </w:r>
      <w:r w:rsidRPr="00FF38ED">
        <w:rPr>
          <w:rFonts w:ascii="Arial" w:hAnsi="Arial" w:cs="Arial"/>
          <w:sz w:val="19"/>
          <w:szCs w:val="19"/>
          <w:lang w:val="es-ES"/>
        </w:rPr>
        <w:t>BOBBIO, Norberto. Democracia y secreto. México: Fondo de Cultura Económica, 2013</w:t>
      </w:r>
      <w:r>
        <w:rPr>
          <w:rFonts w:ascii="Arial" w:hAnsi="Arial" w:cs="Arial"/>
          <w:sz w:val="19"/>
          <w:szCs w:val="19"/>
          <w:lang w:val="es-ES"/>
        </w:rPr>
        <w:t>.</w:t>
      </w:r>
      <w:r w:rsidRPr="00FF38ED">
        <w:rPr>
          <w:rFonts w:ascii="Arial" w:hAnsi="Arial" w:cs="Arial"/>
          <w:sz w:val="19"/>
          <w:szCs w:val="19"/>
          <w:lang w:val="es-ES"/>
        </w:rPr>
        <w:t xml:space="preserve"> p. 27.</w:t>
      </w:r>
    </w:p>
  </w:footnote>
  <w:footnote w:id="3">
    <w:p w14:paraId="6109B1F6" w14:textId="77777777" w:rsidR="008617D8" w:rsidRDefault="008617D8" w:rsidP="008617D8">
      <w:pPr>
        <w:pStyle w:val="Textonotapie"/>
        <w:ind w:firstLine="709"/>
        <w:jc w:val="both"/>
        <w:rPr>
          <w:rFonts w:ascii="Arial" w:hAnsi="Arial" w:cs="Arial"/>
          <w:color w:val="000000" w:themeColor="text1"/>
          <w:sz w:val="19"/>
          <w:szCs w:val="19"/>
        </w:rPr>
      </w:pPr>
    </w:p>
    <w:p w14:paraId="4BFD1D4F"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Corte Constitucional. Sentencia C- 341 del 4 de junio de 2014. M. P. Mauricio González Cuervo.</w:t>
      </w:r>
    </w:p>
    <w:p w14:paraId="485A2B9A" w14:textId="77777777" w:rsidR="008617D8" w:rsidRPr="00FF38ED" w:rsidRDefault="008617D8" w:rsidP="008617D8">
      <w:pPr>
        <w:pStyle w:val="Textonotapie"/>
        <w:ind w:firstLine="709"/>
        <w:jc w:val="both"/>
        <w:rPr>
          <w:rFonts w:ascii="Arial" w:hAnsi="Arial" w:cs="Arial"/>
          <w:color w:val="000000" w:themeColor="text1"/>
          <w:sz w:val="19"/>
          <w:szCs w:val="19"/>
        </w:rPr>
      </w:pPr>
    </w:p>
  </w:footnote>
  <w:footnote w:id="4">
    <w:p w14:paraId="46478CDC"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1F3AC90"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 anterior, sin perjuicio de las publicaciones previstas en el numeral 3 del artículo 30 de la Ley 80 de 1993.</w:t>
      </w:r>
    </w:p>
    <w:p w14:paraId="3C2FE595"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148753BB"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w:t>
      </w:r>
    </w:p>
    <w:p w14:paraId="26A3F52B"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7B0129FD" w14:textId="77777777" w:rsidR="008617D8" w:rsidRPr="00FF38ED" w:rsidRDefault="008617D8" w:rsidP="008617D8">
      <w:pPr>
        <w:pStyle w:val="Textonotapie"/>
        <w:ind w:firstLine="709"/>
        <w:jc w:val="both"/>
        <w:rPr>
          <w:rFonts w:ascii="Arial" w:hAnsi="Arial" w:cs="Arial"/>
          <w:color w:val="000000" w:themeColor="text1"/>
          <w:sz w:val="19"/>
          <w:szCs w:val="19"/>
          <w:lang w:val="es-CO"/>
        </w:rPr>
      </w:pPr>
    </w:p>
  </w:footnote>
  <w:footnote w:id="5">
    <w:p w14:paraId="76B4D807"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2D06DF8" w14:textId="77777777" w:rsidR="008617D8" w:rsidRPr="00FF38ED" w:rsidRDefault="008617D8" w:rsidP="008617D8">
      <w:pPr>
        <w:pStyle w:val="Textonotapie"/>
        <w:ind w:firstLine="709"/>
        <w:jc w:val="both"/>
        <w:rPr>
          <w:rFonts w:ascii="Arial" w:hAnsi="Arial" w:cs="Arial"/>
          <w:color w:val="000000" w:themeColor="text1"/>
          <w:sz w:val="19"/>
          <w:szCs w:val="19"/>
          <w:lang w:val="es-CO"/>
        </w:rPr>
      </w:pPr>
    </w:p>
  </w:footnote>
  <w:footnote w:id="6">
    <w:p w14:paraId="61178C72"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5F73EAF2"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D093794" w14:textId="77777777" w:rsidR="008617D8" w:rsidRPr="00FF38ED" w:rsidRDefault="008617D8" w:rsidP="008617D8">
      <w:pPr>
        <w:pStyle w:val="Textonotapie"/>
        <w:ind w:firstLine="709"/>
        <w:jc w:val="both"/>
        <w:rPr>
          <w:rFonts w:ascii="Arial" w:hAnsi="Arial" w:cs="Arial"/>
          <w:color w:val="000000" w:themeColor="text1"/>
          <w:sz w:val="19"/>
          <w:szCs w:val="19"/>
          <w:lang w:val="es-CO"/>
        </w:rPr>
      </w:pPr>
    </w:p>
  </w:footnote>
  <w:footnote w:id="7">
    <w:p w14:paraId="65A617A8" w14:textId="148889EB"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eastAsia="Times New Roman" w:hAnsi="Arial" w:cs="Arial"/>
          <w:color w:val="000000" w:themeColor="text1"/>
          <w:sz w:val="19"/>
          <w:szCs w:val="19"/>
          <w:vertAlign w:val="superscript"/>
          <w:lang w:val="es-ES" w:eastAsia="es-ES"/>
        </w:rPr>
        <w:footnoteRef/>
      </w:r>
      <w:r w:rsidRPr="00FF38ED">
        <w:rPr>
          <w:rFonts w:ascii="Arial" w:eastAsia="Times New Roman" w:hAnsi="Arial" w:cs="Arial"/>
          <w:color w:val="000000" w:themeColor="text1"/>
          <w:sz w:val="19"/>
          <w:szCs w:val="19"/>
          <w:vertAlign w:val="superscript"/>
          <w:lang w:val="es-ES" w:eastAsia="es-ES"/>
        </w:rPr>
        <w:t xml:space="preserve"> </w:t>
      </w:r>
      <w:r w:rsidRPr="00FF38ED">
        <w:rPr>
          <w:rFonts w:ascii="Arial" w:eastAsia="Times New Roman" w:hAnsi="Arial" w:cs="Arial"/>
          <w:color w:val="000000" w:themeColor="text1"/>
          <w:sz w:val="19"/>
          <w:szCs w:val="19"/>
          <w:lang w:val="es-ES" w:eastAsia="es-ES"/>
        </w:rPr>
        <w:t>«</w:t>
      </w:r>
      <w:r w:rsidRPr="00FF38ED">
        <w:rPr>
          <w:rFonts w:ascii="Arial" w:hAnsi="Arial" w:cs="Arial"/>
          <w:color w:val="000000" w:themeColor="text1"/>
          <w:sz w:val="19"/>
          <w:szCs w:val="19"/>
        </w:rPr>
        <w:t xml:space="preserve">Artículo </w:t>
      </w:r>
      <w:r w:rsidR="00E96BE4" w:rsidRPr="00E96BE4">
        <w:rPr>
          <w:rFonts w:ascii="Arial" w:hAnsi="Arial" w:cs="Arial"/>
          <w:color w:val="000000" w:themeColor="text1"/>
          <w:sz w:val="19"/>
          <w:szCs w:val="19"/>
        </w:rPr>
        <w:t>2.2.1.1.1.7.1</w:t>
      </w:r>
      <w:r w:rsidRPr="00FF38ED">
        <w:rPr>
          <w:rFonts w:ascii="Arial" w:hAnsi="Arial" w:cs="Arial"/>
          <w:color w:val="000000" w:themeColor="text1"/>
          <w:sz w:val="19"/>
          <w:szCs w:val="19"/>
        </w:rPr>
        <w:t xml:space="preserve">.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FE681A4" w14:textId="77777777" w:rsidR="008617D8" w:rsidRPr="00FF38ED" w:rsidRDefault="008617D8" w:rsidP="008617D8">
      <w:pPr>
        <w:pStyle w:val="Textonotapie"/>
        <w:ind w:firstLine="709"/>
        <w:jc w:val="both"/>
        <w:rPr>
          <w:rFonts w:ascii="Arial" w:eastAsia="Times New Roman" w:hAnsi="Arial" w:cs="Arial"/>
          <w:color w:val="000000" w:themeColor="text1"/>
          <w:sz w:val="19"/>
          <w:szCs w:val="19"/>
          <w:lang w:val="es-ES" w:eastAsia="es-ES"/>
        </w:rPr>
      </w:pPr>
      <w:r w:rsidRPr="00FF38ED">
        <w:rPr>
          <w:rFonts w:ascii="Arial" w:hAnsi="Arial" w:cs="Arial"/>
          <w:color w:val="000000" w:themeColor="text1"/>
          <w:sz w:val="19"/>
          <w:szCs w:val="19"/>
        </w:rPr>
        <w:t>[…].</w:t>
      </w:r>
    </w:p>
    <w:p w14:paraId="390842DA" w14:textId="77777777" w:rsidR="008617D8" w:rsidRPr="00FF38ED" w:rsidRDefault="008617D8" w:rsidP="008617D8">
      <w:pPr>
        <w:pStyle w:val="Textonotapie"/>
        <w:ind w:firstLine="709"/>
        <w:jc w:val="both"/>
        <w:rPr>
          <w:rFonts w:ascii="Arial" w:eastAsia="Times New Roman" w:hAnsi="Arial" w:cs="Arial"/>
          <w:color w:val="000000" w:themeColor="text1"/>
          <w:sz w:val="19"/>
          <w:szCs w:val="19"/>
          <w:lang w:val="es-ES" w:eastAsia="es-ES"/>
        </w:rPr>
      </w:pPr>
      <w:r w:rsidRPr="00FF38E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CF9699C" w14:textId="77777777" w:rsidR="008617D8" w:rsidRPr="00FF38ED" w:rsidRDefault="008617D8" w:rsidP="008617D8">
      <w:pPr>
        <w:pStyle w:val="Textonotapie"/>
        <w:ind w:firstLine="709"/>
        <w:jc w:val="both"/>
        <w:rPr>
          <w:rFonts w:ascii="Arial" w:eastAsia="Times New Roman" w:hAnsi="Arial" w:cs="Arial"/>
          <w:color w:val="000000" w:themeColor="text1"/>
          <w:sz w:val="19"/>
          <w:szCs w:val="19"/>
          <w:lang w:val="es-ES" w:eastAsia="es-ES"/>
        </w:rPr>
      </w:pPr>
    </w:p>
  </w:footnote>
  <w:footnote w:id="8">
    <w:p w14:paraId="575532ED"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w:t>
      </w:r>
      <w:r>
        <w:rPr>
          <w:rFonts w:ascii="Arial" w:eastAsia="Times New Roman" w:hAnsi="Arial" w:cs="Arial"/>
          <w:color w:val="000000" w:themeColor="text1"/>
          <w:sz w:val="19"/>
          <w:szCs w:val="19"/>
          <w:lang w:val="es-ES" w:eastAsia="es-ES"/>
        </w:rPr>
        <w:t xml:space="preserve">orte </w:t>
      </w:r>
      <w:r w:rsidRPr="00FF38ED">
        <w:rPr>
          <w:rFonts w:ascii="Arial" w:eastAsia="Times New Roman" w:hAnsi="Arial" w:cs="Arial"/>
          <w:color w:val="000000" w:themeColor="text1"/>
          <w:sz w:val="19"/>
          <w:szCs w:val="19"/>
          <w:lang w:val="es-ES" w:eastAsia="es-ES"/>
        </w:rPr>
        <w:t>Constitucional. Sentencia C</w:t>
      </w:r>
      <w:r>
        <w:rPr>
          <w:rFonts w:ascii="Arial" w:eastAsia="Times New Roman" w:hAnsi="Arial" w:cs="Arial"/>
          <w:color w:val="000000" w:themeColor="text1"/>
          <w:sz w:val="19"/>
          <w:szCs w:val="19"/>
          <w:lang w:val="es-ES" w:eastAsia="es-ES"/>
        </w:rPr>
        <w:t>‒</w:t>
      </w:r>
      <w:r w:rsidRPr="00FF38ED">
        <w:rPr>
          <w:rFonts w:ascii="Arial" w:eastAsia="Times New Roman" w:hAnsi="Arial" w:cs="Arial"/>
          <w:color w:val="000000" w:themeColor="text1"/>
          <w:sz w:val="19"/>
          <w:szCs w:val="19"/>
          <w:lang w:val="es-ES" w:eastAsia="es-ES"/>
        </w:rPr>
        <w:t xml:space="preserve">274 de 9 de mayo de 2013. M.P. María Victoria Calle Correa. </w:t>
      </w:r>
    </w:p>
    <w:p w14:paraId="7A8FA335" w14:textId="77777777" w:rsidR="008617D8" w:rsidRPr="00FF38ED" w:rsidRDefault="008617D8" w:rsidP="008617D8">
      <w:pPr>
        <w:pStyle w:val="Textonotapie"/>
        <w:ind w:firstLine="709"/>
        <w:jc w:val="both"/>
        <w:rPr>
          <w:rFonts w:ascii="Arial" w:hAnsi="Arial" w:cs="Arial"/>
          <w:color w:val="000000" w:themeColor="text1"/>
          <w:sz w:val="19"/>
          <w:szCs w:val="19"/>
          <w:lang w:val="es-CO"/>
        </w:rPr>
      </w:pPr>
    </w:p>
  </w:footnote>
  <w:footnote w:id="9">
    <w:p w14:paraId="737524C8" w14:textId="77777777" w:rsidR="008617D8"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701108A9" w14:textId="77777777" w:rsidR="008617D8" w:rsidRPr="00FF38ED" w:rsidRDefault="008617D8" w:rsidP="008617D8">
      <w:pPr>
        <w:pStyle w:val="Textonotapie"/>
        <w:ind w:firstLine="709"/>
        <w:jc w:val="both"/>
        <w:rPr>
          <w:rFonts w:ascii="Arial" w:hAnsi="Arial" w:cs="Arial"/>
          <w:color w:val="000000" w:themeColor="text1"/>
          <w:sz w:val="19"/>
          <w:szCs w:val="19"/>
          <w:lang w:val="es-CO"/>
        </w:rPr>
      </w:pPr>
    </w:p>
  </w:footnote>
  <w:footnote w:id="10">
    <w:p w14:paraId="58862CE9" w14:textId="77777777" w:rsidR="008617D8" w:rsidRPr="00FF38ED" w:rsidRDefault="008617D8" w:rsidP="008617D8">
      <w:pPr>
        <w:pStyle w:val="Textonotapie"/>
        <w:ind w:firstLine="709"/>
        <w:jc w:val="both"/>
        <w:rPr>
          <w:rFonts w:ascii="Arial" w:hAnsi="Arial" w:cs="Arial"/>
          <w:sz w:val="19"/>
          <w:szCs w:val="19"/>
          <w:lang w:val="es-ES"/>
        </w:rPr>
      </w:pPr>
      <w:r w:rsidRPr="00FF38ED">
        <w:rPr>
          <w:rStyle w:val="Refdenotaalpie"/>
          <w:rFonts w:ascii="Arial" w:hAnsi="Arial" w:cs="Arial"/>
          <w:sz w:val="19"/>
          <w:szCs w:val="19"/>
        </w:rPr>
        <w:footnoteRef/>
      </w:r>
      <w:r w:rsidRPr="00FF38ED">
        <w:rPr>
          <w:rFonts w:ascii="Arial" w:hAnsi="Arial" w:cs="Arial"/>
          <w:sz w:val="19"/>
          <w:szCs w:val="19"/>
        </w:rPr>
        <w:t xml:space="preserve"> </w:t>
      </w:r>
      <w:r w:rsidRPr="00FF38ED">
        <w:rPr>
          <w:rFonts w:ascii="Arial" w:hAnsi="Arial" w:cs="Arial"/>
          <w:color w:val="000000" w:themeColor="text1"/>
          <w:sz w:val="19"/>
          <w:szCs w:val="19"/>
          <w:lang w:val="es-ES"/>
        </w:rPr>
        <w:t>Consejero Ponente: Jaime Orlando Santofimio Gamboa.</w:t>
      </w:r>
    </w:p>
  </w:footnote>
  <w:footnote w:id="11">
    <w:p w14:paraId="2E75C7AE" w14:textId="77777777" w:rsidR="008617D8" w:rsidRPr="00FF38ED" w:rsidRDefault="008617D8" w:rsidP="008617D8">
      <w:pPr>
        <w:pStyle w:val="Textonotapie"/>
        <w:ind w:firstLine="709"/>
        <w:jc w:val="both"/>
        <w:rPr>
          <w:rFonts w:ascii="Arial" w:hAnsi="Arial" w:cs="Arial"/>
          <w:color w:val="000000" w:themeColor="text1"/>
          <w:sz w:val="19"/>
          <w:szCs w:val="19"/>
        </w:rPr>
      </w:pPr>
    </w:p>
    <w:p w14:paraId="777A1A4D"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Consejo de Estado. Sección Tercera. Subsección C. Auto del 14 de agosto de 2017. Exp. 58.820. C.P. Jaime Orlando Santofimio Gamboa. </w:t>
      </w:r>
    </w:p>
    <w:p w14:paraId="224FEFBD" w14:textId="77777777" w:rsidR="008617D8" w:rsidRPr="00FF38ED" w:rsidRDefault="008617D8" w:rsidP="008617D8">
      <w:pPr>
        <w:pStyle w:val="Textonotapie"/>
        <w:ind w:firstLine="709"/>
        <w:jc w:val="both"/>
        <w:rPr>
          <w:rFonts w:ascii="Arial" w:hAnsi="Arial" w:cs="Arial"/>
          <w:color w:val="000000" w:themeColor="text1"/>
          <w:sz w:val="19"/>
          <w:szCs w:val="19"/>
          <w:lang w:val="es-CO"/>
        </w:rPr>
      </w:pPr>
    </w:p>
  </w:footnote>
  <w:footnote w:id="12">
    <w:p w14:paraId="6FACF18F" w14:textId="77777777" w:rsidR="008617D8" w:rsidRPr="00FF38ED"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 </w:t>
      </w:r>
    </w:p>
  </w:footnote>
  <w:footnote w:id="13">
    <w:p w14:paraId="58BBFB3A" w14:textId="77777777" w:rsidR="008617D8" w:rsidRDefault="008617D8" w:rsidP="008617D8">
      <w:pPr>
        <w:pStyle w:val="Textonotapie"/>
        <w:ind w:firstLine="709"/>
        <w:jc w:val="both"/>
        <w:rPr>
          <w:rFonts w:ascii="Arial" w:hAnsi="Arial" w:cs="Arial"/>
          <w:sz w:val="19"/>
          <w:szCs w:val="19"/>
        </w:rPr>
      </w:pPr>
    </w:p>
    <w:p w14:paraId="3EA1B8B6" w14:textId="77777777" w:rsidR="008617D8"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p w14:paraId="5D37F362" w14:textId="77777777" w:rsidR="008617D8" w:rsidRPr="00FF38ED" w:rsidRDefault="008617D8" w:rsidP="008617D8">
      <w:pPr>
        <w:pStyle w:val="Textonotapie"/>
        <w:ind w:firstLine="709"/>
        <w:jc w:val="both"/>
        <w:rPr>
          <w:rFonts w:ascii="Arial" w:hAnsi="Arial" w:cs="Arial"/>
          <w:sz w:val="19"/>
          <w:szCs w:val="19"/>
          <w:lang w:val="es-ES_tradnl"/>
        </w:rPr>
      </w:pPr>
    </w:p>
  </w:footnote>
  <w:footnote w:id="14">
    <w:p w14:paraId="4680EB91" w14:textId="77777777" w:rsidR="008617D8" w:rsidRPr="00FF38ED"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5AD9E1E8" w14:textId="77777777" w:rsidR="008617D8" w:rsidRPr="00FF38ED" w:rsidRDefault="008617D8" w:rsidP="008617D8">
      <w:pPr>
        <w:pStyle w:val="Textonotapie"/>
        <w:ind w:firstLine="709"/>
        <w:jc w:val="both"/>
        <w:rPr>
          <w:rFonts w:ascii="Arial" w:hAnsi="Arial" w:cs="Arial"/>
          <w:sz w:val="19"/>
          <w:szCs w:val="19"/>
          <w:lang w:val="es-CO"/>
        </w:rPr>
      </w:pPr>
    </w:p>
  </w:footnote>
  <w:footnote w:id="15">
    <w:p w14:paraId="73BC5F04" w14:textId="77777777" w:rsidR="008617D8" w:rsidRPr="00FF38ED" w:rsidRDefault="008617D8" w:rsidP="008617D8">
      <w:pPr>
        <w:ind w:firstLine="709"/>
        <w:jc w:val="both"/>
        <w:rPr>
          <w:rFonts w:ascii="Arial" w:eastAsiaTheme="minorHAnsi" w:hAnsi="Arial" w:cs="Arial"/>
          <w:sz w:val="19"/>
          <w:szCs w:val="19"/>
          <w:lang w:val="es-MX" w:eastAsia="en-US"/>
        </w:rPr>
      </w:pPr>
      <w:r w:rsidRPr="00FF38ED">
        <w:rPr>
          <w:rStyle w:val="Refdenotaalpie"/>
          <w:rFonts w:ascii="Arial" w:hAnsi="Arial" w:cs="Arial"/>
          <w:sz w:val="19"/>
          <w:szCs w:val="19"/>
        </w:rPr>
        <w:footnoteRef/>
      </w:r>
      <w:r w:rsidRPr="00FF38ED">
        <w:rPr>
          <w:rFonts w:ascii="Arial" w:hAnsi="Arial" w:cs="Arial"/>
          <w:sz w:val="19"/>
          <w:szCs w:val="19"/>
        </w:rPr>
        <w:t xml:space="preserve"> Este enunciado normativo dispone que «</w:t>
      </w:r>
      <w:r w:rsidRPr="00FF38ED">
        <w:rPr>
          <w:rFonts w:ascii="Arial" w:eastAsiaTheme="minorHAnsi" w:hAnsi="Arial" w:cs="Arial"/>
          <w:sz w:val="19"/>
          <w:szCs w:val="19"/>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1C95FF36" w14:textId="77777777" w:rsidR="008617D8" w:rsidRPr="00FF38ED" w:rsidRDefault="008617D8" w:rsidP="008617D8">
      <w:pPr>
        <w:ind w:firstLine="709"/>
        <w:jc w:val="both"/>
        <w:rPr>
          <w:rFonts w:ascii="Arial" w:eastAsiaTheme="minorHAnsi" w:hAnsi="Arial" w:cs="Arial"/>
          <w:sz w:val="19"/>
          <w:szCs w:val="19"/>
          <w:lang w:val="es-MX" w:eastAsia="en-US"/>
        </w:rPr>
      </w:pPr>
      <w:r w:rsidRPr="00FF38ED">
        <w:rPr>
          <w:rFonts w:ascii="Arial" w:eastAsiaTheme="minorHAnsi" w:hAnsi="Arial" w:cs="Arial"/>
          <w:sz w:val="19"/>
          <w:szCs w:val="19"/>
          <w:lang w:val="es-MX" w:eastAsia="en-US"/>
        </w:rPr>
        <w:t>»[…]</w:t>
      </w:r>
    </w:p>
    <w:p w14:paraId="416C7DAE" w14:textId="77777777" w:rsidR="008617D8" w:rsidRPr="00FF38ED" w:rsidRDefault="008617D8" w:rsidP="008617D8">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»3. Suspender provisionalmente los efectos de un acto administrativo.</w:t>
      </w:r>
    </w:p>
    <w:p w14:paraId="7A1E457D" w14:textId="77777777" w:rsidR="008617D8" w:rsidRPr="00FF38ED" w:rsidRDefault="008617D8" w:rsidP="008617D8">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w:t>
      </w:r>
    </w:p>
    <w:p w14:paraId="765CBEF9" w14:textId="77777777" w:rsidR="008617D8" w:rsidRPr="00FF38ED" w:rsidRDefault="008617D8" w:rsidP="008617D8">
      <w:pPr>
        <w:pStyle w:val="Textonotapie"/>
        <w:ind w:firstLine="709"/>
        <w:jc w:val="both"/>
        <w:rPr>
          <w:rFonts w:ascii="Arial" w:hAnsi="Arial" w:cs="Arial"/>
          <w:sz w:val="19"/>
          <w:szCs w:val="19"/>
          <w:lang w:val="es-CO"/>
        </w:rPr>
      </w:pPr>
    </w:p>
  </w:footnote>
  <w:footnote w:id="16">
    <w:p w14:paraId="5F174C51" w14:textId="77777777" w:rsidR="008617D8" w:rsidRPr="00FF38ED"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1BD7B4FE" w14:textId="77777777" w:rsidR="008617D8" w:rsidRPr="00FF38ED" w:rsidRDefault="008617D8" w:rsidP="008617D8">
      <w:pPr>
        <w:pStyle w:val="Textonotapie"/>
        <w:ind w:firstLine="709"/>
        <w:jc w:val="both"/>
        <w:rPr>
          <w:rFonts w:ascii="Arial" w:hAnsi="Arial" w:cs="Arial"/>
          <w:sz w:val="19"/>
          <w:szCs w:val="19"/>
        </w:rPr>
      </w:pPr>
      <w:r w:rsidRPr="00FF38ED">
        <w:rPr>
          <w:rFonts w:ascii="Arial" w:hAnsi="Arial" w:cs="Arial"/>
          <w:sz w:val="19"/>
          <w:szCs w:val="19"/>
        </w:rPr>
        <w:t>1. Cuando sean suspendidos provisionalmente sus efectos por la Jurisdicción de lo Contencioso Administrativo.</w:t>
      </w:r>
    </w:p>
    <w:p w14:paraId="3D472786" w14:textId="77777777" w:rsidR="008617D8" w:rsidRPr="00FF38ED" w:rsidRDefault="008617D8" w:rsidP="008617D8">
      <w:pPr>
        <w:pStyle w:val="Textonotapie"/>
        <w:ind w:firstLine="709"/>
        <w:jc w:val="both"/>
        <w:rPr>
          <w:rFonts w:ascii="Arial" w:hAnsi="Arial" w:cs="Arial"/>
          <w:sz w:val="19"/>
          <w:szCs w:val="19"/>
        </w:rPr>
      </w:pPr>
      <w:r w:rsidRPr="00FF38ED">
        <w:rPr>
          <w:rFonts w:ascii="Arial" w:hAnsi="Arial" w:cs="Arial"/>
          <w:sz w:val="19"/>
          <w:szCs w:val="19"/>
        </w:rPr>
        <w:t xml:space="preserve">[…]». </w:t>
      </w:r>
    </w:p>
  </w:footnote>
  <w:footnote w:id="17">
    <w:p w14:paraId="6DC422CF" w14:textId="77777777" w:rsidR="008617D8" w:rsidRDefault="008617D8" w:rsidP="008617D8">
      <w:pPr>
        <w:pStyle w:val="Textonotapie"/>
        <w:ind w:firstLine="709"/>
        <w:jc w:val="both"/>
        <w:rPr>
          <w:rFonts w:ascii="Arial" w:hAnsi="Arial" w:cs="Arial"/>
          <w:sz w:val="19"/>
          <w:szCs w:val="19"/>
        </w:rPr>
      </w:pPr>
    </w:p>
    <w:p w14:paraId="187844F4" w14:textId="77777777" w:rsidR="008617D8" w:rsidRPr="00FF38ED"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En sitio web:</w:t>
      </w:r>
    </w:p>
    <w:p w14:paraId="58FA11E4" w14:textId="1BF6D803" w:rsidR="008617D8" w:rsidRPr="00FF38ED" w:rsidRDefault="008617D8" w:rsidP="00C317C5">
      <w:pPr>
        <w:pStyle w:val="Textonotapie"/>
        <w:jc w:val="both"/>
        <w:rPr>
          <w:rFonts w:ascii="Arial" w:hAnsi="Arial" w:cs="Arial"/>
          <w:sz w:val="19"/>
          <w:szCs w:val="19"/>
        </w:rPr>
      </w:pPr>
      <w:r w:rsidRPr="00FF38ED">
        <w:rPr>
          <w:rFonts w:ascii="Arial" w:hAnsi="Arial" w:cs="Arial"/>
          <w:sz w:val="19"/>
          <w:szCs w:val="19"/>
        </w:rPr>
        <w:t>https://www.colombiacompra.gov.co/sites/cce_public/files/cce_circulares/cce_circular_unica.pdf</w:t>
      </w:r>
    </w:p>
  </w:footnote>
  <w:footnote w:id="18">
    <w:p w14:paraId="0C8D3C16" w14:textId="77777777" w:rsidR="008617D8" w:rsidRDefault="008617D8" w:rsidP="008617D8">
      <w:pPr>
        <w:pStyle w:val="Textonotapie"/>
        <w:ind w:firstLine="709"/>
        <w:jc w:val="both"/>
        <w:rPr>
          <w:rFonts w:ascii="Arial" w:hAnsi="Arial" w:cs="Arial"/>
          <w:sz w:val="19"/>
          <w:szCs w:val="19"/>
        </w:rPr>
      </w:pPr>
    </w:p>
    <w:p w14:paraId="2146CCD2" w14:textId="77777777" w:rsidR="008617D8" w:rsidRPr="00FF38ED"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sitio web:</w:t>
      </w:r>
    </w:p>
    <w:p w14:paraId="342C49F0" w14:textId="77777777" w:rsidR="008617D8" w:rsidRPr="00FF38ED" w:rsidRDefault="008617D8" w:rsidP="008617D8">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https://www.colombiacompra.gov.co/sites/cce_public/files/cce_circulares/circular_007_de_2020_uso_secop.pdf</w:t>
      </w:r>
    </w:p>
  </w:footnote>
  <w:footnote w:id="19">
    <w:p w14:paraId="221D5820" w14:textId="77777777" w:rsidR="008617D8" w:rsidRDefault="008617D8" w:rsidP="008617D8">
      <w:pPr>
        <w:pStyle w:val="Textonotapie"/>
        <w:ind w:firstLine="709"/>
        <w:jc w:val="both"/>
        <w:rPr>
          <w:rFonts w:ascii="Arial" w:hAnsi="Arial" w:cs="Arial"/>
          <w:sz w:val="19"/>
          <w:szCs w:val="19"/>
        </w:rPr>
      </w:pPr>
    </w:p>
    <w:p w14:paraId="5ACA9898" w14:textId="77777777" w:rsidR="008617D8" w:rsidRPr="00FF38ED"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sitio web:</w:t>
      </w:r>
    </w:p>
    <w:p w14:paraId="294CD84F" w14:textId="77777777" w:rsidR="008617D8" w:rsidRPr="00FF38ED" w:rsidRDefault="008617D8" w:rsidP="008617D8">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https://www.colombiacompra.gov.co/sites/cce_public/files/cce_circulares/20170316circularinformacion.pdf</w:t>
      </w:r>
    </w:p>
  </w:footnote>
  <w:footnote w:id="20">
    <w:p w14:paraId="6DDBE9BE" w14:textId="22FB8F45" w:rsidR="008617D8"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p w14:paraId="27B41093" w14:textId="77777777" w:rsidR="002001EE" w:rsidRPr="00FF38ED" w:rsidRDefault="002001EE" w:rsidP="008617D8">
      <w:pPr>
        <w:pStyle w:val="Textonotapie"/>
        <w:ind w:firstLine="709"/>
        <w:jc w:val="both"/>
        <w:rPr>
          <w:rFonts w:ascii="Arial" w:hAnsi="Arial" w:cs="Arial"/>
          <w:sz w:val="19"/>
          <w:szCs w:val="19"/>
          <w:lang w:val="es-ES_tradnl"/>
        </w:rPr>
      </w:pPr>
    </w:p>
  </w:footnote>
  <w:footnote w:id="21">
    <w:p w14:paraId="28A30EDE" w14:textId="77777777" w:rsidR="008617D8"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p w14:paraId="127E2368" w14:textId="77777777" w:rsidR="008617D8" w:rsidRPr="00FF38ED" w:rsidRDefault="008617D8" w:rsidP="008617D8">
      <w:pPr>
        <w:pStyle w:val="Textonotapie"/>
        <w:ind w:firstLine="709"/>
        <w:jc w:val="both"/>
        <w:rPr>
          <w:rFonts w:ascii="Arial" w:hAnsi="Arial" w:cs="Arial"/>
          <w:sz w:val="19"/>
          <w:szCs w:val="19"/>
        </w:rPr>
      </w:pPr>
    </w:p>
  </w:footnote>
  <w:footnote w:id="22">
    <w:p w14:paraId="0C210E92" w14:textId="77777777" w:rsidR="008617D8" w:rsidRPr="00FF38ED" w:rsidRDefault="008617D8" w:rsidP="008617D8">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footnote>
  <w:footnote w:id="23">
    <w:p w14:paraId="6B38BCF2" w14:textId="77777777" w:rsidR="008617D8" w:rsidRPr="00FF38ED" w:rsidRDefault="008617D8" w:rsidP="008617D8">
      <w:pPr>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7AB57BCF" w14:textId="77777777" w:rsidR="008617D8" w:rsidRPr="00FF38ED" w:rsidRDefault="008617D8" w:rsidP="008617D8">
      <w:pPr>
        <w:pStyle w:val="Textonotapie"/>
        <w:ind w:firstLine="709"/>
        <w:jc w:val="both"/>
        <w:rPr>
          <w:rFonts w:ascii="Arial" w:hAnsi="Arial" w:cs="Arial"/>
          <w:sz w:val="19"/>
          <w:szCs w:val="19"/>
          <w:lang w:val="es-CO"/>
        </w:rPr>
      </w:pPr>
    </w:p>
  </w:footnote>
  <w:footnote w:id="24">
    <w:p w14:paraId="1F5BA39F" w14:textId="77777777" w:rsidR="008617D8" w:rsidRPr="00FF38ED" w:rsidRDefault="008617D8" w:rsidP="008617D8">
      <w:pPr>
        <w:pStyle w:val="Prrafodelista"/>
        <w:ind w:left="0" w:firstLine="709"/>
        <w:jc w:val="both"/>
        <w:rPr>
          <w:rFonts w:ascii="Arial" w:hAnsi="Arial" w:cs="Arial"/>
          <w:bCs/>
          <w:color w:val="000000" w:themeColor="text1"/>
          <w:sz w:val="19"/>
          <w:szCs w:val="19"/>
          <w:lang w:val="es-ES"/>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w:t>
      </w:r>
      <w:r w:rsidRPr="00FF38ED">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19A0C223" w14:textId="77777777" w:rsidR="008617D8" w:rsidRPr="00FF38ED" w:rsidRDefault="008617D8" w:rsidP="008617D8">
      <w:pPr>
        <w:pStyle w:val="Textonotapie"/>
        <w:ind w:firstLine="709"/>
        <w:jc w:val="both"/>
        <w:rPr>
          <w:rFonts w:ascii="Arial" w:hAnsi="Arial" w:cs="Arial"/>
          <w:color w:val="000000" w:themeColor="text1"/>
          <w:sz w:val="19"/>
          <w:szCs w:val="19"/>
          <w:lang w:val="es-ES"/>
        </w:rPr>
      </w:pPr>
    </w:p>
  </w:footnote>
  <w:footnote w:id="25">
    <w:p w14:paraId="4744751B"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w:t>
      </w:r>
      <w:r>
        <w:rPr>
          <w:rFonts w:ascii="Arial" w:hAnsi="Arial" w:cs="Arial"/>
          <w:color w:val="000000" w:themeColor="text1"/>
          <w:sz w:val="19"/>
          <w:szCs w:val="19"/>
        </w:rPr>
        <w:t>.</w:t>
      </w:r>
      <w:r w:rsidRPr="00FF38ED">
        <w:rPr>
          <w:rFonts w:ascii="Arial" w:hAnsi="Arial" w:cs="Arial"/>
          <w:color w:val="000000" w:themeColor="text1"/>
          <w:sz w:val="19"/>
          <w:szCs w:val="19"/>
        </w:rPr>
        <w:t xml:space="preserve">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284D7616"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3EB7E556" w14:textId="77777777" w:rsidR="008617D8" w:rsidRPr="00FF38ED" w:rsidRDefault="008617D8" w:rsidP="008617D8">
      <w:pPr>
        <w:pStyle w:val="Textonotapie"/>
        <w:ind w:firstLine="709"/>
        <w:jc w:val="both"/>
        <w:rPr>
          <w:rFonts w:ascii="Arial" w:hAnsi="Arial" w:cs="Arial"/>
          <w:color w:val="000000" w:themeColor="text1"/>
          <w:sz w:val="19"/>
          <w:szCs w:val="19"/>
        </w:rPr>
      </w:pPr>
    </w:p>
  </w:footnote>
  <w:footnote w:id="26">
    <w:p w14:paraId="2FE5E8B0"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7">
    <w:p w14:paraId="221C769D" w14:textId="77777777" w:rsidR="008617D8" w:rsidRPr="00FF38ED" w:rsidRDefault="008617D8" w:rsidP="008617D8">
      <w:pPr>
        <w:pStyle w:val="Textonotapie"/>
        <w:ind w:firstLine="709"/>
        <w:jc w:val="both"/>
        <w:rPr>
          <w:rFonts w:ascii="Arial" w:hAnsi="Arial" w:cs="Arial"/>
          <w:color w:val="000000" w:themeColor="text1"/>
          <w:sz w:val="19"/>
          <w:szCs w:val="19"/>
        </w:rPr>
      </w:pPr>
    </w:p>
    <w:p w14:paraId="38FF343C"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183BB6A" w14:textId="77777777" w:rsidR="008617D8" w:rsidRPr="00FF38ED" w:rsidRDefault="008617D8" w:rsidP="008617D8">
      <w:pPr>
        <w:pStyle w:val="Textonotapie"/>
        <w:ind w:firstLine="709"/>
        <w:jc w:val="both"/>
        <w:rPr>
          <w:rFonts w:ascii="Arial" w:hAnsi="Arial" w:cs="Arial"/>
          <w:color w:val="000000" w:themeColor="text1"/>
          <w:sz w:val="19"/>
          <w:szCs w:val="19"/>
        </w:rPr>
      </w:pPr>
    </w:p>
  </w:footnote>
  <w:footnote w:id="28">
    <w:p w14:paraId="25B98E47"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5A93F92E"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»Los sujetos obligados que no contratan con cargo a recursos públicos no están obligados a publicar su Plan Anual de Adquisiciones.</w:t>
      </w:r>
    </w:p>
    <w:p w14:paraId="79CB4D2C"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075C8DAB" w14:textId="77777777" w:rsidR="008617D8" w:rsidRPr="00FF38ED" w:rsidRDefault="008617D8" w:rsidP="008617D8">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29">
    <w:p w14:paraId="62998825" w14:textId="00D8DCD1" w:rsidR="00452C51" w:rsidRPr="00BC780D" w:rsidRDefault="00452C51" w:rsidP="00BC780D">
      <w:pPr>
        <w:pStyle w:val="Textonotapie"/>
        <w:ind w:firstLine="708"/>
        <w:jc w:val="both"/>
        <w:rPr>
          <w:rFonts w:ascii="Arial" w:hAnsi="Arial" w:cs="Arial"/>
          <w:sz w:val="19"/>
          <w:szCs w:val="19"/>
          <w:lang w:val="es-CO"/>
        </w:rPr>
      </w:pPr>
      <w:r w:rsidRPr="00BC780D">
        <w:rPr>
          <w:rStyle w:val="Refdenotaalpie"/>
          <w:rFonts w:ascii="Arial" w:hAnsi="Arial" w:cs="Arial"/>
          <w:sz w:val="19"/>
          <w:szCs w:val="19"/>
        </w:rPr>
        <w:footnoteRef/>
      </w:r>
      <w:r w:rsidRPr="00BC780D">
        <w:rPr>
          <w:rFonts w:ascii="Arial" w:hAnsi="Arial" w:cs="Arial"/>
          <w:sz w:val="19"/>
          <w:szCs w:val="19"/>
        </w:rPr>
        <w:t xml:space="preserve"> </w:t>
      </w:r>
      <w:r w:rsidR="00544B3F" w:rsidRPr="00BC780D">
        <w:rPr>
          <w:rFonts w:ascii="Arial" w:hAnsi="Arial" w:cs="Arial"/>
          <w:sz w:val="19"/>
          <w:szCs w:val="19"/>
          <w:lang w:val="es-CO"/>
        </w:rPr>
        <w:t xml:space="preserve">RESTREPO Juan Camilo. Hacienda pública. </w:t>
      </w:r>
      <w:r w:rsidR="00324721" w:rsidRPr="00BC780D">
        <w:rPr>
          <w:rFonts w:ascii="Arial" w:hAnsi="Arial" w:cs="Arial"/>
          <w:sz w:val="19"/>
          <w:szCs w:val="19"/>
          <w:lang w:val="es-CO"/>
        </w:rPr>
        <w:t>Onceava edición</w:t>
      </w:r>
      <w:r w:rsidR="00B417CE" w:rsidRPr="00BC780D">
        <w:rPr>
          <w:rFonts w:ascii="Arial" w:hAnsi="Arial" w:cs="Arial"/>
          <w:sz w:val="19"/>
          <w:szCs w:val="19"/>
          <w:lang w:val="es-CO"/>
        </w:rPr>
        <w:t>. Universidad Externado de Colombia</w:t>
      </w:r>
      <w:r w:rsidR="00DE07E5" w:rsidRPr="00BC780D">
        <w:rPr>
          <w:rFonts w:ascii="Arial" w:hAnsi="Arial" w:cs="Arial"/>
          <w:sz w:val="19"/>
          <w:szCs w:val="19"/>
          <w:lang w:val="es-CO"/>
        </w:rPr>
        <w:t xml:space="preserve">, Bogotá, 2020, </w:t>
      </w:r>
      <w:r w:rsidR="003617FD">
        <w:rPr>
          <w:rFonts w:ascii="Arial" w:hAnsi="Arial" w:cs="Arial"/>
          <w:sz w:val="19"/>
          <w:szCs w:val="19"/>
          <w:lang w:val="es-CO"/>
        </w:rPr>
        <w:t>p</w:t>
      </w:r>
      <w:r w:rsidR="00BC780D" w:rsidRPr="00BC780D">
        <w:rPr>
          <w:rFonts w:ascii="Arial" w:hAnsi="Arial" w:cs="Arial"/>
          <w:sz w:val="19"/>
          <w:szCs w:val="19"/>
          <w:lang w:val="es-CO"/>
        </w:rPr>
        <w:t>ág 27.</w:t>
      </w:r>
    </w:p>
  </w:footnote>
  <w:footnote w:id="30">
    <w:p w14:paraId="0BED3554" w14:textId="77777777" w:rsidR="001B6D07" w:rsidRDefault="001B6D07" w:rsidP="001B6D07">
      <w:pPr>
        <w:pStyle w:val="Textonotapie"/>
        <w:ind w:firstLine="708"/>
      </w:pPr>
    </w:p>
    <w:p w14:paraId="7C9BF5B1" w14:textId="11BF2A3A" w:rsidR="00C8665E" w:rsidRPr="00C8665E" w:rsidRDefault="00C8665E" w:rsidP="001B6D07">
      <w:pPr>
        <w:pStyle w:val="Textonotapie"/>
        <w:ind w:firstLine="708"/>
        <w:jc w:val="both"/>
        <w:rPr>
          <w:lang w:val="es-CO"/>
        </w:rPr>
      </w:pPr>
      <w:r w:rsidRPr="001B6D07">
        <w:rPr>
          <w:rStyle w:val="Refdenotaalpie"/>
          <w:rFonts w:ascii="Arial" w:hAnsi="Arial" w:cs="Arial"/>
          <w:sz w:val="19"/>
          <w:szCs w:val="19"/>
        </w:rPr>
        <w:footnoteRef/>
      </w:r>
      <w:r w:rsidR="001B6D07" w:rsidRPr="001B6D07">
        <w:rPr>
          <w:rFonts w:ascii="Arial" w:hAnsi="Arial" w:cs="Arial"/>
          <w:sz w:val="19"/>
          <w:szCs w:val="19"/>
        </w:rPr>
        <w:t xml:space="preserve"> Ley 1150 de 2007.</w:t>
      </w:r>
      <w:r w:rsidRPr="001B6D07">
        <w:rPr>
          <w:rFonts w:ascii="Arial" w:hAnsi="Arial" w:cs="Arial"/>
          <w:sz w:val="19"/>
          <w:szCs w:val="19"/>
        </w:rPr>
        <w:t xml:space="preserve"> </w:t>
      </w:r>
      <w:r w:rsidR="001B6D07" w:rsidRPr="001B6D07">
        <w:rPr>
          <w:rFonts w:ascii="Arial" w:hAnsi="Arial" w:cs="Arial"/>
          <w:sz w:val="19"/>
          <w:szCs w:val="19"/>
        </w:rPr>
        <w:t>«Artículo</w:t>
      </w:r>
      <w:r w:rsidRPr="001B6D07">
        <w:rPr>
          <w:rFonts w:ascii="Arial" w:hAnsi="Arial" w:cs="Arial"/>
          <w:sz w:val="19"/>
          <w:szCs w:val="19"/>
        </w:rPr>
        <w:t xml:space="preserve"> 1. </w:t>
      </w:r>
      <w:r w:rsidR="001B6D07" w:rsidRPr="001B6D07">
        <w:rPr>
          <w:rFonts w:ascii="Arial" w:hAnsi="Arial" w:cs="Arial"/>
          <w:sz w:val="19"/>
          <w:szCs w:val="19"/>
        </w:rPr>
        <w:t>Objeto</w:t>
      </w:r>
      <w:r w:rsidRPr="001B6D07">
        <w:rPr>
          <w:rFonts w:ascii="Arial" w:hAnsi="Arial" w:cs="Arial"/>
          <w:sz w:val="19"/>
          <w:szCs w:val="19"/>
        </w:rPr>
        <w:t>. La presente ley tiene por objeto introducir modificaciones en la Ley 80 de 1993, así como dictar otras disposiciones generales aplicables a toda contratación con recursos públicos</w:t>
      </w:r>
      <w:r w:rsidR="001B6D07">
        <w:rPr>
          <w:rFonts w:cstheme="minorHAnsi"/>
        </w:rPr>
        <w:t>»</w:t>
      </w:r>
      <w:r w:rsidRPr="00C8665E">
        <w:t>.</w:t>
      </w:r>
    </w:p>
  </w:footnote>
  <w:footnote w:id="31">
    <w:p w14:paraId="53C3EA56" w14:textId="77777777" w:rsidR="0042334B" w:rsidRDefault="0042334B">
      <w:pPr>
        <w:pStyle w:val="Textonotapie"/>
      </w:pPr>
    </w:p>
    <w:p w14:paraId="0AD1594E" w14:textId="7E396AC1" w:rsidR="0042334B" w:rsidRPr="007B10FE" w:rsidRDefault="0042334B" w:rsidP="007B10FE">
      <w:pPr>
        <w:pStyle w:val="Textonotapie"/>
        <w:ind w:firstLine="708"/>
        <w:jc w:val="both"/>
        <w:rPr>
          <w:rFonts w:ascii="Arial" w:hAnsi="Arial" w:cs="Arial"/>
          <w:sz w:val="19"/>
          <w:szCs w:val="19"/>
          <w:lang w:val="es-CO"/>
        </w:rPr>
      </w:pPr>
      <w:r w:rsidRPr="007B10FE">
        <w:rPr>
          <w:rStyle w:val="Refdenotaalpie"/>
          <w:rFonts w:ascii="Arial" w:hAnsi="Arial" w:cs="Arial"/>
          <w:sz w:val="19"/>
          <w:szCs w:val="19"/>
        </w:rPr>
        <w:footnoteRef/>
      </w:r>
      <w:r w:rsidRPr="007B10FE">
        <w:rPr>
          <w:rFonts w:ascii="Arial" w:hAnsi="Arial" w:cs="Arial"/>
          <w:sz w:val="19"/>
          <w:szCs w:val="19"/>
        </w:rPr>
        <w:t xml:space="preserve"> Esto a diferencia de lo que sucede con el régimen de las asociaciones público</w:t>
      </w:r>
      <w:r w:rsidR="004C112A">
        <w:rPr>
          <w:rFonts w:ascii="Arial" w:hAnsi="Arial" w:cs="Arial"/>
          <w:sz w:val="19"/>
          <w:szCs w:val="19"/>
        </w:rPr>
        <w:t xml:space="preserve"> - </w:t>
      </w:r>
      <w:r w:rsidRPr="007B10FE">
        <w:rPr>
          <w:rFonts w:ascii="Arial" w:hAnsi="Arial" w:cs="Arial"/>
          <w:sz w:val="19"/>
          <w:szCs w:val="19"/>
        </w:rPr>
        <w:t>privadas</w:t>
      </w:r>
      <w:r w:rsidR="00484F71" w:rsidRPr="007B10FE">
        <w:rPr>
          <w:rFonts w:ascii="Arial" w:hAnsi="Arial" w:cs="Arial"/>
          <w:sz w:val="19"/>
          <w:szCs w:val="19"/>
        </w:rPr>
        <w:t>,</w:t>
      </w:r>
      <w:r w:rsidR="007B10FE">
        <w:rPr>
          <w:rFonts w:ascii="Arial" w:hAnsi="Arial" w:cs="Arial"/>
          <w:sz w:val="19"/>
          <w:szCs w:val="19"/>
        </w:rPr>
        <w:t xml:space="preserve"> </w:t>
      </w:r>
      <w:r w:rsidR="00484F71" w:rsidRPr="007B10FE">
        <w:rPr>
          <w:rFonts w:ascii="Arial" w:hAnsi="Arial" w:cs="Arial"/>
          <w:sz w:val="19"/>
          <w:szCs w:val="19"/>
        </w:rPr>
        <w:t xml:space="preserve">en el que existe una norma que establece </w:t>
      </w:r>
      <w:r w:rsidR="00872DED" w:rsidRPr="007B10FE">
        <w:rPr>
          <w:rFonts w:ascii="Arial" w:hAnsi="Arial" w:cs="Arial"/>
          <w:sz w:val="19"/>
          <w:szCs w:val="19"/>
        </w:rPr>
        <w:t>que debe</w:t>
      </w:r>
      <w:r w:rsidR="00484F71" w:rsidRPr="007B10FE">
        <w:rPr>
          <w:rFonts w:ascii="Arial" w:hAnsi="Arial" w:cs="Arial"/>
          <w:sz w:val="19"/>
          <w:szCs w:val="19"/>
        </w:rPr>
        <w:t xml:space="preserve"> </w:t>
      </w:r>
      <w:r w:rsidR="00872DED" w:rsidRPr="007B10FE">
        <w:rPr>
          <w:rFonts w:ascii="Arial" w:hAnsi="Arial" w:cs="Arial"/>
          <w:sz w:val="19"/>
          <w:szCs w:val="19"/>
        </w:rPr>
        <w:t>entenderse por</w:t>
      </w:r>
      <w:r w:rsidR="00484F71" w:rsidRPr="007B10FE">
        <w:rPr>
          <w:rFonts w:ascii="Arial" w:hAnsi="Arial" w:cs="Arial"/>
          <w:sz w:val="19"/>
          <w:szCs w:val="19"/>
        </w:rPr>
        <w:t xml:space="preserve"> </w:t>
      </w:r>
      <w:r w:rsidR="00484F71" w:rsidRPr="007B10FE">
        <w:rPr>
          <w:rFonts w:ascii="Arial" w:hAnsi="Arial" w:cs="Arial"/>
          <w:i/>
          <w:iCs/>
          <w:sz w:val="19"/>
          <w:szCs w:val="19"/>
        </w:rPr>
        <w:t>desembolso de recursos públicos</w:t>
      </w:r>
      <w:r w:rsidR="00484F71" w:rsidRPr="007B10FE">
        <w:rPr>
          <w:rFonts w:ascii="Arial" w:hAnsi="Arial" w:cs="Arial"/>
          <w:sz w:val="19"/>
          <w:szCs w:val="19"/>
        </w:rPr>
        <w:t xml:space="preserve">. Al respecto, el artículo </w:t>
      </w:r>
      <w:r w:rsidR="00872DED" w:rsidRPr="007B10FE">
        <w:rPr>
          <w:rFonts w:ascii="Arial" w:hAnsi="Arial" w:cs="Arial"/>
          <w:sz w:val="19"/>
          <w:szCs w:val="19"/>
        </w:rPr>
        <w:t>2.2.2.1.3.1 del Decreto 1082 de 2015</w:t>
      </w:r>
      <w:r w:rsidR="003A7DCE" w:rsidRPr="007B10FE">
        <w:rPr>
          <w:rFonts w:ascii="Arial" w:hAnsi="Arial" w:cs="Arial"/>
          <w:sz w:val="19"/>
          <w:szCs w:val="19"/>
        </w:rPr>
        <w:t xml:space="preserve"> señala: </w:t>
      </w:r>
      <w:r w:rsidR="007B10FE" w:rsidRPr="007B10FE">
        <w:rPr>
          <w:rFonts w:ascii="Arial" w:hAnsi="Arial" w:cs="Arial"/>
          <w:sz w:val="19"/>
          <w:szCs w:val="19"/>
        </w:rPr>
        <w:t>«Los desembolsos de recursos públicos a los que hace referencia la Ley 1508 de 2012, se entienden como erogaciones del Tesoro Nacional provenientes del Presupuesto General de la Nación, del Presupuesto de las entidades territoriales, entidades descentralizadas o de otros Fondos Públicos, tales como el Sistema General de Regalías».</w:t>
      </w:r>
    </w:p>
  </w:footnote>
  <w:footnote w:id="32">
    <w:p w14:paraId="3DDF2872" w14:textId="77777777" w:rsidR="008B43CD" w:rsidRPr="009B0DAC" w:rsidRDefault="008B43CD" w:rsidP="008B43CD">
      <w:pPr>
        <w:pStyle w:val="Textonotapie"/>
        <w:ind w:firstLine="708"/>
        <w:jc w:val="both"/>
        <w:rPr>
          <w:rFonts w:ascii="Arial" w:hAnsi="Arial" w:cs="Arial"/>
          <w:sz w:val="19"/>
          <w:szCs w:val="19"/>
          <w:lang w:val="es-CO"/>
        </w:rPr>
      </w:pPr>
      <w:r w:rsidRPr="009B0DAC">
        <w:rPr>
          <w:rStyle w:val="Refdenotaalpie"/>
          <w:rFonts w:ascii="Arial" w:hAnsi="Arial" w:cs="Arial"/>
          <w:sz w:val="19"/>
          <w:szCs w:val="19"/>
        </w:rPr>
        <w:footnoteRef/>
      </w:r>
      <w:r w:rsidRPr="009B0DAC">
        <w:rPr>
          <w:rFonts w:ascii="Arial" w:hAnsi="Arial" w:cs="Arial"/>
          <w:sz w:val="19"/>
          <w:szCs w:val="19"/>
        </w:rPr>
        <w:t xml:space="preserve"> </w:t>
      </w:r>
      <w:r w:rsidRPr="009B0DAC">
        <w:rPr>
          <w:rFonts w:ascii="Arial" w:hAnsi="Arial" w:cs="Arial"/>
          <w:sz w:val="19"/>
          <w:szCs w:val="19"/>
          <w:lang w:val="es-CO"/>
        </w:rPr>
        <w:t xml:space="preserve">Constitución Política de Colombia. «Artículo 128. Nadie podrá desempeñar simultáneamente más de un empleo público ni recibir más de una asignación que provenga del tesoro público, o de empresas o de instituciones en las que tenga parte mayoritaria el Estado, salvo los casos expresamente determinados por la ley. </w:t>
      </w:r>
    </w:p>
    <w:p w14:paraId="351F7635" w14:textId="77777777" w:rsidR="008B43CD" w:rsidRPr="009F3D3C" w:rsidRDefault="008B43CD" w:rsidP="008B43CD">
      <w:pPr>
        <w:pStyle w:val="Textonotapie"/>
        <w:ind w:firstLine="708"/>
        <w:jc w:val="both"/>
        <w:rPr>
          <w:lang w:val="es-CO"/>
        </w:rPr>
      </w:pPr>
      <w:r w:rsidRPr="009B0DAC">
        <w:rPr>
          <w:rFonts w:ascii="Arial" w:hAnsi="Arial" w:cs="Arial"/>
          <w:sz w:val="19"/>
          <w:szCs w:val="19"/>
          <w:lang w:val="es-CO"/>
        </w:rPr>
        <w:t>»Entiéndese por tesoro público el de la Nación, el de las entidades territoriales y el de las descentralizadas».</w:t>
      </w:r>
    </w:p>
  </w:footnote>
  <w:footnote w:id="33">
    <w:p w14:paraId="5BB595B1" w14:textId="77777777" w:rsidR="009B0DAC" w:rsidRDefault="009B0DAC" w:rsidP="009B0DAC">
      <w:pPr>
        <w:pStyle w:val="Textonotapie"/>
        <w:ind w:firstLine="708"/>
      </w:pPr>
    </w:p>
    <w:p w14:paraId="124DE75D" w14:textId="273C9EA2" w:rsidR="0061255A" w:rsidRPr="0061255A" w:rsidRDefault="009B0DAC" w:rsidP="0061255A">
      <w:pPr>
        <w:pStyle w:val="Textonotapie"/>
        <w:ind w:firstLine="708"/>
        <w:jc w:val="both"/>
        <w:rPr>
          <w:rFonts w:ascii="Arial" w:hAnsi="Arial" w:cs="Arial"/>
          <w:sz w:val="19"/>
          <w:szCs w:val="19"/>
        </w:rPr>
      </w:pPr>
      <w:r w:rsidRPr="0061255A">
        <w:rPr>
          <w:rStyle w:val="Refdenotaalpie"/>
          <w:rFonts w:ascii="Arial" w:hAnsi="Arial" w:cs="Arial"/>
          <w:sz w:val="19"/>
          <w:szCs w:val="19"/>
        </w:rPr>
        <w:footnoteRef/>
      </w:r>
      <w:r w:rsidRPr="0061255A">
        <w:rPr>
          <w:rFonts w:ascii="Arial" w:hAnsi="Arial" w:cs="Arial"/>
          <w:sz w:val="19"/>
          <w:szCs w:val="19"/>
        </w:rPr>
        <w:t xml:space="preserve"> Sobre el alcance del artículo 128 de la Constitución, la Corte Constitucional ha manifestado lo siguiente: «</w:t>
      </w:r>
      <w:r w:rsidR="0061255A" w:rsidRPr="0061255A">
        <w:rPr>
          <w:rFonts w:ascii="Arial" w:hAnsi="Arial" w:cs="Arial"/>
          <w:sz w:val="19"/>
          <w:szCs w:val="19"/>
        </w:rPr>
        <w:t>La evolución normativa de la anterior prohibición tiene como referente la Constitución Política de 1886, que en el artículo 64 prescribía: nadie podrá recibir dos sueldos del tesoro público, salvo lo que para casos especiales determinen las leyes. Este precepto, como se lee en los antecedentes legislativos (texto del acta de la Comisión Octava del Senado correspondiente a la sesión del día 14 de noviembre de 1935), obedeció al deseo del constituyente de evitar posibles abusos por parte de los empleados públicos, si se les permitía la acumulación de cargos y, por ende, de sueldos.</w:t>
      </w:r>
    </w:p>
    <w:p w14:paraId="720B81C3" w14:textId="1DAC92A0" w:rsidR="0061255A" w:rsidRPr="0061255A" w:rsidRDefault="0061255A" w:rsidP="0061255A">
      <w:pPr>
        <w:pStyle w:val="Textonotapie"/>
        <w:ind w:firstLine="708"/>
        <w:jc w:val="both"/>
        <w:rPr>
          <w:rFonts w:ascii="Arial" w:hAnsi="Arial" w:cs="Arial"/>
          <w:sz w:val="19"/>
          <w:szCs w:val="19"/>
        </w:rPr>
      </w:pPr>
      <w:r w:rsidRPr="0061255A">
        <w:rPr>
          <w:rFonts w:ascii="Arial" w:hAnsi="Arial" w:cs="Arial"/>
          <w:sz w:val="19"/>
          <w:szCs w:val="19"/>
        </w:rPr>
        <w:t>»Razones de moralidad de la administración y del poder público llevaron a la modificación del texto anterior, mediante la expedición el acto legislativo No. 1 de 1936, cuyo artículo 23 reformó expresamente el artículo 64 de la Carta de 1886, en el sentido de cambiar el término sueldo por el de asignación con el fin de incluir allí toda clase de remuneraciones, emolumentos, honorarios, mesadas pensionales, etc., que pudieren percibirse con cargo al erario público. Este artículo también amplió el campo de cobertura de la disposición y extendió su aplicación a las empresas o instituciones en que tenga parte principal el Estado. Así mismo, precisó el significado y alcance de la expresión tesoro público en el sentido de comprender el tesoro de la nación, los departamentos y los municipios; sin embargo, dejó incólume la parte de la norma que autorizaba a la ley para señalar excepciones a dicha regla general.</w:t>
      </w:r>
    </w:p>
    <w:p w14:paraId="47962D54" w14:textId="67E03A31" w:rsidR="0061255A" w:rsidRPr="0061255A" w:rsidRDefault="0061255A" w:rsidP="0061255A">
      <w:pPr>
        <w:pStyle w:val="Textonotapie"/>
        <w:ind w:firstLine="708"/>
        <w:jc w:val="both"/>
        <w:rPr>
          <w:rFonts w:ascii="Arial" w:hAnsi="Arial" w:cs="Arial"/>
          <w:sz w:val="19"/>
          <w:szCs w:val="19"/>
        </w:rPr>
      </w:pPr>
      <w:r w:rsidRPr="0061255A">
        <w:rPr>
          <w:rFonts w:ascii="Arial" w:hAnsi="Arial" w:cs="Arial"/>
          <w:sz w:val="19"/>
          <w:szCs w:val="19"/>
        </w:rPr>
        <w:t>»La Constitución de 1991 conserva este mandato en su integridad, y le agrega la prohibición de que cualquier persona desempeñe más de un cargo público. También adecua el texto del mandato a la nueva normativa, y extiende la definición de tesoro público al patrimonio de las entidades descentralizadas (artículo 128 superior).</w:t>
      </w:r>
    </w:p>
    <w:p w14:paraId="77DA266E" w14:textId="70D5AF6F" w:rsidR="009B0DAC" w:rsidRPr="009B0DAC" w:rsidRDefault="0061255A" w:rsidP="008C6244">
      <w:pPr>
        <w:pStyle w:val="Textonotapie"/>
        <w:ind w:firstLine="708"/>
        <w:jc w:val="both"/>
        <w:rPr>
          <w:lang w:val="es-CO"/>
        </w:rPr>
      </w:pPr>
      <w:r w:rsidRPr="0061255A">
        <w:rPr>
          <w:rFonts w:ascii="Arial" w:hAnsi="Arial" w:cs="Arial"/>
          <w:sz w:val="19"/>
          <w:szCs w:val="19"/>
        </w:rPr>
        <w:t>»El artículo 128 consagra una clara incompatibilidad, estrechamente relacionada con la rem</w:t>
      </w:r>
      <w:r w:rsidRPr="008C6244">
        <w:rPr>
          <w:rFonts w:ascii="Arial" w:hAnsi="Arial" w:cs="Arial"/>
          <w:sz w:val="19"/>
          <w:szCs w:val="19"/>
        </w:rPr>
        <w:t>uneración de los servidores estatales: en ella se prohíbe la concurrencia de dos o más cargos públicos en una misma persona, así como la recepción de más de una asignación que provenga del erario público</w:t>
      </w:r>
      <w:r w:rsidR="009B0DAC" w:rsidRPr="008C6244">
        <w:rPr>
          <w:rFonts w:ascii="Arial" w:hAnsi="Arial" w:cs="Arial"/>
          <w:sz w:val="19"/>
          <w:szCs w:val="19"/>
        </w:rPr>
        <w:t>»</w:t>
      </w:r>
      <w:r w:rsidRPr="008C6244">
        <w:rPr>
          <w:rFonts w:ascii="Arial" w:hAnsi="Arial" w:cs="Arial"/>
          <w:sz w:val="19"/>
          <w:szCs w:val="19"/>
        </w:rPr>
        <w:t>.</w:t>
      </w:r>
      <w:r w:rsidR="009B0DAC" w:rsidRPr="008C6244">
        <w:rPr>
          <w:rFonts w:ascii="Arial" w:hAnsi="Arial" w:cs="Arial"/>
          <w:sz w:val="19"/>
          <w:szCs w:val="19"/>
        </w:rPr>
        <w:t xml:space="preserve"> </w:t>
      </w:r>
      <w:r w:rsidRPr="008C6244">
        <w:rPr>
          <w:rFonts w:ascii="Arial" w:hAnsi="Arial" w:cs="Arial"/>
          <w:sz w:val="19"/>
          <w:szCs w:val="19"/>
        </w:rPr>
        <w:t>Sentencia C-</w:t>
      </w:r>
      <w:r w:rsidR="00F3265D" w:rsidRPr="008C6244">
        <w:rPr>
          <w:rFonts w:ascii="Arial" w:hAnsi="Arial" w:cs="Arial"/>
          <w:sz w:val="19"/>
          <w:szCs w:val="19"/>
        </w:rPr>
        <w:t xml:space="preserve">066 del </w:t>
      </w:r>
      <w:r w:rsidR="008C6244" w:rsidRPr="008C6244">
        <w:rPr>
          <w:rFonts w:ascii="Arial" w:hAnsi="Arial" w:cs="Arial"/>
          <w:sz w:val="19"/>
          <w:szCs w:val="19"/>
        </w:rPr>
        <w:t xml:space="preserve">4 de febrero de 2010. M.P. </w:t>
      </w:r>
      <w:r w:rsidR="008C6244" w:rsidRPr="008C6244">
        <w:rPr>
          <w:rFonts w:ascii="Arial" w:hAnsi="Arial" w:cs="Arial"/>
          <w:color w:val="2D2D2D"/>
          <w:sz w:val="19"/>
          <w:szCs w:val="19"/>
          <w:shd w:val="clear" w:color="auto" w:fill="FFFFFF"/>
        </w:rPr>
        <w:t>Jorge Ignacio Pretelt Chaljub.</w:t>
      </w:r>
    </w:p>
  </w:footnote>
  <w:footnote w:id="34">
    <w:p w14:paraId="631DD6EE" w14:textId="2AE0295E" w:rsidR="007644FC" w:rsidRPr="00687E35" w:rsidRDefault="007644FC" w:rsidP="00687E35">
      <w:pPr>
        <w:pStyle w:val="NormalWeb"/>
        <w:spacing w:before="0" w:beforeAutospacing="0" w:after="0" w:afterAutospacing="0"/>
        <w:ind w:firstLine="708"/>
        <w:jc w:val="both"/>
        <w:rPr>
          <w:rFonts w:ascii="Arial" w:hAnsi="Arial" w:cs="Arial"/>
          <w:color w:val="000000"/>
          <w:sz w:val="19"/>
          <w:szCs w:val="19"/>
        </w:rPr>
      </w:pPr>
      <w:r w:rsidRPr="00687E35">
        <w:rPr>
          <w:rStyle w:val="Refdenotaalpie"/>
          <w:rFonts w:ascii="Arial" w:hAnsi="Arial" w:cs="Arial"/>
          <w:sz w:val="19"/>
          <w:szCs w:val="19"/>
        </w:rPr>
        <w:footnoteRef/>
      </w:r>
      <w:r w:rsidRPr="00687E35">
        <w:rPr>
          <w:rFonts w:ascii="Arial" w:hAnsi="Arial" w:cs="Arial"/>
          <w:sz w:val="19"/>
          <w:szCs w:val="19"/>
        </w:rPr>
        <w:t xml:space="preserve"> </w:t>
      </w:r>
      <w:r w:rsidR="00687E35" w:rsidRPr="00687E35">
        <w:rPr>
          <w:rFonts w:ascii="Arial" w:hAnsi="Arial" w:cs="Arial"/>
          <w:sz w:val="19"/>
          <w:szCs w:val="19"/>
        </w:rPr>
        <w:t>Ley 489 de 1998: «</w:t>
      </w:r>
      <w:r w:rsidRPr="00687E35">
        <w:rPr>
          <w:rStyle w:val="Textoennegrita"/>
          <w:rFonts w:ascii="Arial" w:hAnsi="Arial" w:cs="Arial"/>
          <w:b w:val="0"/>
          <w:bCs w:val="0"/>
          <w:color w:val="000000"/>
          <w:sz w:val="19"/>
          <w:szCs w:val="19"/>
        </w:rPr>
        <w:t>Artículo 85.</w:t>
      </w:r>
      <w:r w:rsidR="00687E35" w:rsidRPr="00687E35">
        <w:rPr>
          <w:rStyle w:val="Textoennegrita"/>
          <w:rFonts w:ascii="Arial" w:hAnsi="Arial" w:cs="Arial"/>
          <w:color w:val="000000"/>
          <w:sz w:val="19"/>
          <w:szCs w:val="19"/>
        </w:rPr>
        <w:t xml:space="preserve"> </w:t>
      </w:r>
      <w:r w:rsidRPr="00687E35">
        <w:rPr>
          <w:rStyle w:val="nfasis"/>
          <w:rFonts w:ascii="Arial" w:hAnsi="Arial" w:cs="Arial"/>
          <w:i w:val="0"/>
          <w:iCs w:val="0"/>
          <w:color w:val="000000"/>
          <w:sz w:val="19"/>
          <w:szCs w:val="19"/>
        </w:rPr>
        <w:t>Empresas industriales y comerciales del Estado</w:t>
      </w:r>
      <w:r w:rsidRPr="00687E35">
        <w:rPr>
          <w:rStyle w:val="nfasis"/>
          <w:rFonts w:ascii="Arial" w:hAnsi="Arial" w:cs="Arial"/>
          <w:color w:val="000000"/>
          <w:sz w:val="19"/>
          <w:szCs w:val="19"/>
        </w:rPr>
        <w:t>. </w:t>
      </w:r>
      <w:r w:rsidRPr="00687E35">
        <w:rPr>
          <w:rFonts w:ascii="Arial" w:hAnsi="Arial" w:cs="Arial"/>
          <w:color w:val="000000"/>
          <w:sz w:val="19"/>
          <w:szCs w:val="19"/>
        </w:rPr>
        <w:t>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14:paraId="357B95F6" w14:textId="53F4509D" w:rsidR="007644FC" w:rsidRPr="00687E35" w:rsidRDefault="007644FC" w:rsidP="00687E35">
      <w:pPr>
        <w:pStyle w:val="NormalWeb"/>
        <w:spacing w:before="0" w:beforeAutospacing="0" w:after="0" w:afterAutospacing="0"/>
        <w:jc w:val="both"/>
        <w:rPr>
          <w:rFonts w:ascii="Arial" w:hAnsi="Arial" w:cs="Arial"/>
          <w:color w:val="000000"/>
          <w:sz w:val="19"/>
          <w:szCs w:val="19"/>
        </w:rPr>
      </w:pPr>
      <w:r w:rsidRPr="00687E35">
        <w:rPr>
          <w:rFonts w:ascii="Arial" w:hAnsi="Arial" w:cs="Arial"/>
          <w:color w:val="000000"/>
          <w:sz w:val="19"/>
          <w:szCs w:val="19"/>
        </w:rPr>
        <w:t> </w:t>
      </w:r>
      <w:r w:rsidR="00687E35" w:rsidRPr="00687E35">
        <w:rPr>
          <w:rFonts w:ascii="Arial" w:hAnsi="Arial" w:cs="Arial"/>
          <w:color w:val="000000"/>
          <w:sz w:val="19"/>
          <w:szCs w:val="19"/>
        </w:rPr>
        <w:tab/>
      </w:r>
      <w:r w:rsidRPr="00687E35">
        <w:rPr>
          <w:rFonts w:ascii="Arial" w:hAnsi="Arial" w:cs="Arial"/>
          <w:color w:val="000000"/>
          <w:sz w:val="19"/>
          <w:szCs w:val="19"/>
        </w:rPr>
        <w:t> </w:t>
      </w:r>
      <w:r w:rsidR="00687E35" w:rsidRPr="00687E35">
        <w:rPr>
          <w:rFonts w:ascii="Arial" w:hAnsi="Arial" w:cs="Arial"/>
          <w:sz w:val="19"/>
          <w:szCs w:val="19"/>
        </w:rPr>
        <w:t>»</w:t>
      </w:r>
      <w:r w:rsidRPr="00687E35">
        <w:rPr>
          <w:rFonts w:ascii="Arial" w:hAnsi="Arial" w:cs="Arial"/>
          <w:color w:val="000000"/>
          <w:sz w:val="19"/>
          <w:szCs w:val="19"/>
        </w:rPr>
        <w:t>a) Personería jurídica; </w:t>
      </w:r>
    </w:p>
    <w:p w14:paraId="417170C8" w14:textId="60CC79F7" w:rsidR="007644FC" w:rsidRPr="00687E35" w:rsidRDefault="007644FC" w:rsidP="00687E35">
      <w:pPr>
        <w:pStyle w:val="NormalWeb"/>
        <w:spacing w:before="0" w:beforeAutospacing="0" w:after="0" w:afterAutospacing="0"/>
        <w:jc w:val="both"/>
        <w:rPr>
          <w:rFonts w:ascii="Arial" w:hAnsi="Arial" w:cs="Arial"/>
          <w:color w:val="000000"/>
          <w:sz w:val="19"/>
          <w:szCs w:val="19"/>
        </w:rPr>
      </w:pPr>
      <w:r w:rsidRPr="00687E35">
        <w:rPr>
          <w:rFonts w:ascii="Arial" w:hAnsi="Arial" w:cs="Arial"/>
          <w:color w:val="000000"/>
          <w:sz w:val="19"/>
          <w:szCs w:val="19"/>
        </w:rPr>
        <w:t>  </w:t>
      </w:r>
      <w:r w:rsidR="00687E35" w:rsidRPr="00687E35">
        <w:rPr>
          <w:rFonts w:ascii="Arial" w:hAnsi="Arial" w:cs="Arial"/>
          <w:color w:val="000000"/>
          <w:sz w:val="19"/>
          <w:szCs w:val="19"/>
        </w:rPr>
        <w:tab/>
      </w:r>
      <w:r w:rsidR="00687E35" w:rsidRPr="00687E35">
        <w:rPr>
          <w:rFonts w:ascii="Arial" w:hAnsi="Arial" w:cs="Arial"/>
          <w:sz w:val="19"/>
          <w:szCs w:val="19"/>
        </w:rPr>
        <w:t>»</w:t>
      </w:r>
      <w:r w:rsidRPr="00687E35">
        <w:rPr>
          <w:rFonts w:ascii="Arial" w:hAnsi="Arial" w:cs="Arial"/>
          <w:color w:val="000000"/>
          <w:sz w:val="19"/>
          <w:szCs w:val="19"/>
        </w:rPr>
        <w:t>b) Autonomía administrativa y financiera; </w:t>
      </w:r>
    </w:p>
    <w:p w14:paraId="076CEA5F" w14:textId="5505727B" w:rsidR="007644FC" w:rsidRPr="00687E35" w:rsidRDefault="007644FC" w:rsidP="00687E35">
      <w:pPr>
        <w:pStyle w:val="NormalWeb"/>
        <w:spacing w:before="0" w:beforeAutospacing="0" w:after="0" w:afterAutospacing="0"/>
        <w:jc w:val="both"/>
        <w:rPr>
          <w:rFonts w:ascii="Arial" w:hAnsi="Arial" w:cs="Arial"/>
          <w:color w:val="000000"/>
          <w:sz w:val="19"/>
          <w:szCs w:val="19"/>
        </w:rPr>
      </w:pPr>
      <w:r w:rsidRPr="00687E35">
        <w:rPr>
          <w:rFonts w:ascii="Arial" w:hAnsi="Arial" w:cs="Arial"/>
          <w:color w:val="000000"/>
          <w:sz w:val="19"/>
          <w:szCs w:val="19"/>
        </w:rPr>
        <w:t>  </w:t>
      </w:r>
      <w:r w:rsidR="00687E35" w:rsidRPr="00687E35">
        <w:rPr>
          <w:rFonts w:ascii="Arial" w:hAnsi="Arial" w:cs="Arial"/>
          <w:color w:val="000000"/>
          <w:sz w:val="19"/>
          <w:szCs w:val="19"/>
        </w:rPr>
        <w:tab/>
      </w:r>
      <w:r w:rsidR="00687E35" w:rsidRPr="00687E35">
        <w:rPr>
          <w:rFonts w:ascii="Arial" w:hAnsi="Arial" w:cs="Arial"/>
          <w:sz w:val="19"/>
          <w:szCs w:val="19"/>
        </w:rPr>
        <w:t>»</w:t>
      </w:r>
      <w:r w:rsidRPr="00687E35">
        <w:rPr>
          <w:rFonts w:ascii="Arial" w:hAnsi="Arial" w:cs="Arial"/>
          <w:color w:val="000000"/>
          <w:sz w:val="19"/>
          <w:szCs w:val="19"/>
        </w:rPr>
        <w:t>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4792DEE2" w14:textId="4B42D465" w:rsidR="007644FC" w:rsidRPr="00687E35" w:rsidRDefault="007644FC" w:rsidP="00687E35">
      <w:pPr>
        <w:pStyle w:val="NormalWeb"/>
        <w:spacing w:before="0" w:beforeAutospacing="0" w:after="0" w:afterAutospacing="0"/>
        <w:jc w:val="both"/>
        <w:rPr>
          <w:rFonts w:ascii="Arial" w:hAnsi="Arial" w:cs="Arial"/>
          <w:color w:val="000000"/>
          <w:sz w:val="19"/>
          <w:szCs w:val="19"/>
        </w:rPr>
      </w:pPr>
      <w:r w:rsidRPr="00687E35">
        <w:rPr>
          <w:rFonts w:ascii="Arial" w:hAnsi="Arial" w:cs="Arial"/>
          <w:color w:val="000000"/>
          <w:sz w:val="19"/>
          <w:szCs w:val="19"/>
        </w:rPr>
        <w:t>  </w:t>
      </w:r>
      <w:r w:rsidR="00687E35" w:rsidRPr="00687E35">
        <w:rPr>
          <w:rFonts w:ascii="Arial" w:hAnsi="Arial" w:cs="Arial"/>
          <w:color w:val="000000"/>
          <w:sz w:val="19"/>
          <w:szCs w:val="19"/>
        </w:rPr>
        <w:tab/>
      </w:r>
      <w:r w:rsidR="00687E35" w:rsidRPr="00687E35">
        <w:rPr>
          <w:rFonts w:ascii="Arial" w:hAnsi="Arial" w:cs="Arial"/>
          <w:sz w:val="19"/>
          <w:szCs w:val="19"/>
        </w:rPr>
        <w:t>»</w:t>
      </w:r>
      <w:r w:rsidRPr="00687E35">
        <w:rPr>
          <w:rFonts w:ascii="Arial" w:hAnsi="Arial" w:cs="Arial"/>
          <w:color w:val="000000"/>
          <w:sz w:val="19"/>
          <w:szCs w:val="19"/>
        </w:rPr>
        <w:t>El capital de las empresas industriales y comerciales del Estado podrá estar representado en cuotas o acciones de igual valor nominal. </w:t>
      </w:r>
    </w:p>
    <w:p w14:paraId="2C27FC9F" w14:textId="3940C1A7" w:rsidR="007644FC" w:rsidRPr="00687E35" w:rsidRDefault="007644FC" w:rsidP="00687E35">
      <w:pPr>
        <w:pStyle w:val="NormalWeb"/>
        <w:spacing w:before="0" w:beforeAutospacing="0" w:after="0" w:afterAutospacing="0"/>
        <w:jc w:val="both"/>
        <w:rPr>
          <w:rFonts w:ascii="Arial" w:hAnsi="Arial" w:cs="Arial"/>
          <w:color w:val="000000"/>
          <w:sz w:val="19"/>
          <w:szCs w:val="19"/>
        </w:rPr>
      </w:pPr>
      <w:r w:rsidRPr="00687E35">
        <w:rPr>
          <w:rFonts w:ascii="Arial" w:hAnsi="Arial" w:cs="Arial"/>
          <w:color w:val="000000"/>
          <w:sz w:val="19"/>
          <w:szCs w:val="19"/>
        </w:rPr>
        <w:t>  </w:t>
      </w:r>
      <w:r w:rsidR="00687E35" w:rsidRPr="00687E35">
        <w:rPr>
          <w:rFonts w:ascii="Arial" w:hAnsi="Arial" w:cs="Arial"/>
          <w:color w:val="000000"/>
          <w:sz w:val="19"/>
          <w:szCs w:val="19"/>
        </w:rPr>
        <w:tab/>
      </w:r>
      <w:r w:rsidR="00687E35" w:rsidRPr="00687E35">
        <w:rPr>
          <w:rFonts w:ascii="Arial" w:hAnsi="Arial" w:cs="Arial"/>
          <w:sz w:val="19"/>
          <w:szCs w:val="19"/>
        </w:rPr>
        <w:t>»</w:t>
      </w:r>
      <w:r w:rsidRPr="00687E35">
        <w:rPr>
          <w:rFonts w:ascii="Arial" w:hAnsi="Arial" w:cs="Arial"/>
          <w:color w:val="000000"/>
          <w:sz w:val="19"/>
          <w:szCs w:val="19"/>
        </w:rPr>
        <w:t>A las empresas industriales y comerciales del Estado y a las sociedades de economía mixta se les aplicará en lo pertinente los artículos 19, numerales 2°, 4°, 5°, 6°, 12, 13, 17, 27, numerales 2°, 3°, 4°, 5°, y 7°, y 183 de la Ley 142 de 1994. </w:t>
      </w:r>
    </w:p>
    <w:p w14:paraId="1B84B26A" w14:textId="15FC5DA1" w:rsidR="007644FC" w:rsidRPr="00687E35" w:rsidRDefault="007644FC" w:rsidP="00687E35">
      <w:pPr>
        <w:pStyle w:val="NormalWeb"/>
        <w:spacing w:before="0" w:beforeAutospacing="0" w:after="0" w:afterAutospacing="0"/>
        <w:jc w:val="both"/>
        <w:rPr>
          <w:rFonts w:ascii="Arial" w:hAnsi="Arial" w:cs="Arial"/>
          <w:color w:val="000000"/>
          <w:sz w:val="19"/>
          <w:szCs w:val="19"/>
        </w:rPr>
      </w:pPr>
      <w:r w:rsidRPr="00687E35">
        <w:rPr>
          <w:rFonts w:ascii="Arial" w:hAnsi="Arial" w:cs="Arial"/>
          <w:color w:val="000000"/>
          <w:sz w:val="19"/>
          <w:szCs w:val="19"/>
        </w:rPr>
        <w:t>  </w:t>
      </w:r>
      <w:r w:rsidR="00687E35" w:rsidRPr="00687E35">
        <w:rPr>
          <w:rFonts w:ascii="Arial" w:hAnsi="Arial" w:cs="Arial"/>
          <w:color w:val="000000"/>
          <w:sz w:val="19"/>
          <w:szCs w:val="19"/>
        </w:rPr>
        <w:tab/>
      </w:r>
      <w:r w:rsidR="00687E35" w:rsidRPr="00687E35">
        <w:rPr>
          <w:rFonts w:ascii="Arial" w:hAnsi="Arial" w:cs="Arial"/>
          <w:sz w:val="19"/>
          <w:szCs w:val="19"/>
        </w:rPr>
        <w:t>»</w:t>
      </w:r>
      <w:r w:rsidRPr="00687E35">
        <w:rPr>
          <w:rStyle w:val="Textoennegrita"/>
          <w:rFonts w:ascii="Arial" w:hAnsi="Arial" w:cs="Arial"/>
          <w:b w:val="0"/>
          <w:bCs w:val="0"/>
          <w:color w:val="000000"/>
          <w:sz w:val="19"/>
          <w:szCs w:val="19"/>
        </w:rPr>
        <w:t>Parágrafo.</w:t>
      </w:r>
      <w:r w:rsidRPr="00687E35">
        <w:rPr>
          <w:rFonts w:ascii="Arial" w:hAnsi="Arial" w:cs="Arial"/>
          <w:color w:val="000000"/>
          <w:sz w:val="19"/>
          <w:szCs w:val="19"/>
        </w:rPr>
        <w:t> Las disposiciones legales que protegen el secreto industrial y la información comercial se aplicarán a aquellos secretos e informaciones de esa naturaleza que desarrollen y posean las empresas industriales y comerciales del Estado. </w:t>
      </w:r>
    </w:p>
    <w:p w14:paraId="0A9AAEDB" w14:textId="353F979C" w:rsidR="00631E1B" w:rsidRPr="00687E35" w:rsidRDefault="00631E1B" w:rsidP="00687E35">
      <w:pPr>
        <w:pStyle w:val="NormalWeb"/>
        <w:spacing w:before="0" w:beforeAutospacing="0" w:after="0" w:afterAutospacing="0"/>
        <w:ind w:firstLine="708"/>
        <w:jc w:val="both"/>
        <w:rPr>
          <w:rFonts w:ascii="Arial" w:hAnsi="Arial" w:cs="Arial"/>
          <w:color w:val="000000"/>
          <w:sz w:val="19"/>
          <w:szCs w:val="19"/>
        </w:rPr>
      </w:pPr>
      <w:r w:rsidRPr="00687E35">
        <w:rPr>
          <w:rFonts w:ascii="Arial" w:hAnsi="Arial" w:cs="Arial"/>
          <w:color w:val="000000"/>
          <w:sz w:val="19"/>
          <w:szCs w:val="19"/>
        </w:rPr>
        <w:t>[…]</w:t>
      </w:r>
    </w:p>
    <w:p w14:paraId="18674E7D" w14:textId="2981F0EB" w:rsidR="00687E35" w:rsidRPr="00687E35" w:rsidRDefault="00631E1B" w:rsidP="00687E35">
      <w:pPr>
        <w:pStyle w:val="NormalWeb"/>
        <w:spacing w:before="0" w:beforeAutospacing="0" w:after="0" w:afterAutospacing="0"/>
        <w:ind w:firstLine="708"/>
        <w:jc w:val="both"/>
        <w:rPr>
          <w:rFonts w:ascii="Arial" w:hAnsi="Arial" w:cs="Arial"/>
          <w:color w:val="000000"/>
          <w:sz w:val="19"/>
          <w:szCs w:val="19"/>
        </w:rPr>
      </w:pPr>
      <w:r w:rsidRPr="00687E35">
        <w:rPr>
          <w:rFonts w:ascii="Arial" w:hAnsi="Arial" w:cs="Arial"/>
          <w:sz w:val="19"/>
          <w:szCs w:val="19"/>
        </w:rPr>
        <w:t>»</w:t>
      </w:r>
      <w:r w:rsidR="00687E35" w:rsidRPr="00687E35">
        <w:rPr>
          <w:rStyle w:val="Textoennegrita"/>
          <w:rFonts w:ascii="Arial" w:hAnsi="Arial" w:cs="Arial"/>
          <w:b w:val="0"/>
          <w:bCs w:val="0"/>
          <w:color w:val="000000"/>
          <w:sz w:val="19"/>
          <w:szCs w:val="19"/>
        </w:rPr>
        <w:t xml:space="preserve">Artículo 97. </w:t>
      </w:r>
      <w:r w:rsidR="00687E35" w:rsidRPr="00687E35">
        <w:rPr>
          <w:rStyle w:val="nfasis"/>
          <w:rFonts w:ascii="Arial" w:hAnsi="Arial" w:cs="Arial"/>
          <w:i w:val="0"/>
          <w:iCs w:val="0"/>
          <w:color w:val="000000"/>
          <w:sz w:val="19"/>
          <w:szCs w:val="19"/>
        </w:rPr>
        <w:t>Sociedades de economía mixta</w:t>
      </w:r>
      <w:r w:rsidR="00687E35" w:rsidRPr="00687E35">
        <w:rPr>
          <w:rStyle w:val="nfasis"/>
          <w:rFonts w:ascii="Arial" w:hAnsi="Arial" w:cs="Arial"/>
          <w:color w:val="000000"/>
          <w:sz w:val="19"/>
          <w:szCs w:val="19"/>
        </w:rPr>
        <w:t>. </w:t>
      </w:r>
      <w:r w:rsidR="00687E35" w:rsidRPr="00687E35">
        <w:rPr>
          <w:rFonts w:ascii="Arial" w:hAnsi="Arial" w:cs="Arial"/>
          <w:color w:val="000000"/>
          <w:sz w:val="19"/>
          <w:szCs w:val="19"/>
        </w:rPr>
        <w:t>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w:t>
      </w:r>
    </w:p>
    <w:p w14:paraId="47F56895" w14:textId="6F8D8FD3" w:rsidR="00687E35" w:rsidRPr="00687E35" w:rsidRDefault="00687E35" w:rsidP="00687E35">
      <w:pPr>
        <w:pStyle w:val="NormalWeb"/>
        <w:spacing w:before="0" w:beforeAutospacing="0" w:after="0" w:afterAutospacing="0"/>
        <w:jc w:val="both"/>
        <w:rPr>
          <w:rFonts w:ascii="Arial" w:hAnsi="Arial" w:cs="Arial"/>
          <w:color w:val="000000"/>
          <w:sz w:val="19"/>
          <w:szCs w:val="19"/>
        </w:rPr>
      </w:pPr>
      <w:r w:rsidRPr="00687E35">
        <w:rPr>
          <w:rFonts w:ascii="Arial" w:hAnsi="Arial" w:cs="Arial"/>
          <w:color w:val="000000"/>
          <w:sz w:val="19"/>
          <w:szCs w:val="19"/>
        </w:rPr>
        <w:t>  </w:t>
      </w:r>
      <w:r w:rsidRPr="00687E35">
        <w:rPr>
          <w:rFonts w:ascii="Arial" w:hAnsi="Arial" w:cs="Arial"/>
          <w:color w:val="000000"/>
          <w:sz w:val="19"/>
          <w:szCs w:val="19"/>
        </w:rPr>
        <w:tab/>
      </w:r>
      <w:r w:rsidRPr="00687E35">
        <w:rPr>
          <w:rFonts w:ascii="Arial" w:hAnsi="Arial" w:cs="Arial"/>
          <w:sz w:val="19"/>
          <w:szCs w:val="19"/>
        </w:rPr>
        <w:t>»</w:t>
      </w:r>
      <w:r w:rsidRPr="00687E35">
        <w:rPr>
          <w:rFonts w:ascii="Arial" w:hAnsi="Arial" w:cs="Arial"/>
          <w:color w:val="000000"/>
          <w:sz w:val="19"/>
          <w:szCs w:val="19"/>
        </w:rPr>
        <w:t>Las inversiones temporales de carácter financiero no afectan su naturaleza jurídica ni su régimen. </w:t>
      </w:r>
    </w:p>
    <w:p w14:paraId="425993BF" w14:textId="1C184608" w:rsidR="00631E1B" w:rsidRDefault="00687E35" w:rsidP="00687E35">
      <w:pPr>
        <w:pStyle w:val="NormalWeb"/>
        <w:spacing w:before="0" w:beforeAutospacing="0" w:after="0" w:afterAutospacing="0"/>
        <w:jc w:val="both"/>
      </w:pPr>
      <w:r w:rsidRPr="00687E35">
        <w:rPr>
          <w:rFonts w:ascii="Arial" w:hAnsi="Arial" w:cs="Arial"/>
          <w:color w:val="000000"/>
          <w:sz w:val="19"/>
          <w:szCs w:val="19"/>
        </w:rPr>
        <w:t>  </w:t>
      </w:r>
      <w:r w:rsidRPr="00687E35">
        <w:rPr>
          <w:rFonts w:ascii="Arial" w:hAnsi="Arial" w:cs="Arial"/>
          <w:color w:val="000000"/>
          <w:sz w:val="19"/>
          <w:szCs w:val="19"/>
        </w:rPr>
        <w:tab/>
      </w:r>
      <w:r w:rsidRPr="00687E35">
        <w:rPr>
          <w:rFonts w:ascii="Arial" w:hAnsi="Arial" w:cs="Arial"/>
          <w:sz w:val="19"/>
          <w:szCs w:val="19"/>
        </w:rPr>
        <w:t>»</w:t>
      </w:r>
      <w:r w:rsidRPr="00687E35">
        <w:rPr>
          <w:rStyle w:val="Textoennegrita"/>
          <w:rFonts w:ascii="Arial" w:hAnsi="Arial" w:cs="Arial"/>
          <w:b w:val="0"/>
          <w:bCs w:val="0"/>
          <w:color w:val="000000"/>
          <w:sz w:val="19"/>
          <w:szCs w:val="19"/>
        </w:rPr>
        <w:t>Parágrafo.</w:t>
      </w:r>
      <w:r w:rsidRPr="00687E35">
        <w:rPr>
          <w:rFonts w:ascii="Arial" w:hAnsi="Arial" w:cs="Arial"/>
          <w:color w:val="000000"/>
          <w:sz w:val="19"/>
          <w:szCs w:val="19"/>
        </w:rPr>
        <w:t> 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w:t>
      </w:r>
      <w:r w:rsidRPr="00687E35">
        <w:rPr>
          <w:rFonts w:ascii="Arial" w:hAnsi="Arial" w:cs="Arial"/>
          <w:sz w:val="19"/>
          <w:szCs w:val="19"/>
        </w:rPr>
        <w:t>»</w:t>
      </w:r>
      <w:r w:rsidRPr="00687E35">
        <w:rPr>
          <w:rFonts w:ascii="Arial" w:hAnsi="Arial" w:cs="Arial"/>
          <w:color w:val="000000"/>
          <w:sz w:val="19"/>
          <w:szCs w:val="19"/>
        </w:rPr>
        <w:t>. </w:t>
      </w:r>
    </w:p>
    <w:p w14:paraId="50FE4FF6" w14:textId="63A815CF" w:rsidR="007644FC" w:rsidRPr="007644FC" w:rsidRDefault="007644FC">
      <w:pPr>
        <w:pStyle w:val="Textonotapie"/>
        <w:rPr>
          <w:lang w:val="es-CO"/>
        </w:rPr>
      </w:pPr>
      <w:r>
        <w:t xml:space="preserve"> </w:t>
      </w:r>
    </w:p>
  </w:footnote>
  <w:footnote w:id="35">
    <w:p w14:paraId="0CCB9E28" w14:textId="4E3406D1" w:rsidR="000C4AF7" w:rsidRPr="008D74EE" w:rsidRDefault="000C4AF7" w:rsidP="007644FC">
      <w:pPr>
        <w:pStyle w:val="Textonotapie"/>
        <w:ind w:firstLine="708"/>
        <w:jc w:val="both"/>
        <w:rPr>
          <w:rFonts w:ascii="Arial" w:hAnsi="Arial" w:cs="Arial"/>
          <w:sz w:val="19"/>
          <w:szCs w:val="19"/>
          <w:shd w:val="clear" w:color="auto" w:fill="FFFFFF"/>
        </w:rPr>
      </w:pPr>
      <w:r w:rsidRPr="00796972">
        <w:rPr>
          <w:rStyle w:val="Refdenotaalpie"/>
          <w:rFonts w:ascii="Arial" w:hAnsi="Arial" w:cs="Arial"/>
          <w:sz w:val="19"/>
          <w:szCs w:val="19"/>
        </w:rPr>
        <w:footnoteRef/>
      </w:r>
      <w:r w:rsidRPr="00796972">
        <w:rPr>
          <w:rFonts w:ascii="Arial" w:hAnsi="Arial" w:cs="Arial"/>
          <w:sz w:val="19"/>
          <w:szCs w:val="19"/>
        </w:rPr>
        <w:t xml:space="preserve"> </w:t>
      </w:r>
      <w:r w:rsidR="007644FC">
        <w:rPr>
          <w:rFonts w:ascii="Arial" w:hAnsi="Arial" w:cs="Arial"/>
          <w:sz w:val="19"/>
          <w:szCs w:val="19"/>
        </w:rPr>
        <w:t xml:space="preserve"> </w:t>
      </w:r>
      <w:r w:rsidR="007644FC" w:rsidRPr="00926B72">
        <w:rPr>
          <w:rFonts w:ascii="Arial" w:hAnsi="Arial" w:cs="Arial"/>
          <w:sz w:val="19"/>
          <w:szCs w:val="19"/>
        </w:rPr>
        <w:t xml:space="preserve">La jurisprudencia constitucional ha manifestado lo siguiente en torno a los elementos configurativos de las sociedades de economía mixta y su condición de entidades descentralizadas: </w:t>
      </w:r>
      <w:r w:rsidR="00796972" w:rsidRPr="00926B72">
        <w:rPr>
          <w:rFonts w:ascii="Arial" w:hAnsi="Arial" w:cs="Arial"/>
          <w:sz w:val="19"/>
          <w:szCs w:val="19"/>
        </w:rPr>
        <w:t>«</w:t>
      </w:r>
      <w:r w:rsidRPr="008D74EE">
        <w:rPr>
          <w:rFonts w:ascii="Arial" w:hAnsi="Arial" w:cs="Arial"/>
          <w:sz w:val="19"/>
          <w:szCs w:val="19"/>
          <w:shd w:val="clear" w:color="auto" w:fill="FFFFFF"/>
        </w:rPr>
        <w:t>La vinculación de las sociedades de economía mixta a la Rama Ejecutiva, y su condición de entidades descentralizadas, implica consecuencias que emergen de la propia Constitución cuales son particularmente las siguientes: (i) que están sujetas un control fiscal en cabeza de la Contraloría General de la República, que toma pie en lo reglado por el artículo 267 de la Constitución, y que incluye el ejercicio de un control financiero, de gestión y de resultados; (ii) que están sujetas a un control político, que ejerce directamente el Congreso de la República en virtud de lo reglado por el último inciso del artículo 208 de la Constitución Política. (iii) que de conformidad con lo prescrito por el artículo 150 numeral 7, según el cual al Congreso le corresponde “crear o autorizar la constitución de … sociedades de economía mixta”</w:t>
      </w:r>
      <w:r w:rsidRPr="008D74EE">
        <w:rPr>
          <w:rFonts w:ascii="Arial" w:hAnsi="Arial" w:cs="Arial"/>
          <w:b/>
          <w:bCs/>
          <w:sz w:val="19"/>
          <w:szCs w:val="19"/>
          <w:shd w:val="clear" w:color="auto" w:fill="FFFFFF"/>
        </w:rPr>
        <w:t> </w:t>
      </w:r>
      <w:r w:rsidRPr="008D74EE">
        <w:rPr>
          <w:rFonts w:ascii="Arial" w:hAnsi="Arial" w:cs="Arial"/>
          <w:sz w:val="19"/>
          <w:szCs w:val="19"/>
          <w:shd w:val="clear" w:color="auto" w:fill="FFFFFF"/>
        </w:rPr>
        <w:t>del orden nacional, su creación o autorización tiene que producirse mediante ley. Correlativamente, en los órdenes departamental y municipal esta misma facultad se le reconoce a las asambleas y concejos, según lo prescriben lo artículos 300 numeral 78 y 313 numeral 6, respectivamente, por cual en dichos niveles las empresas de servicios públicos que asumieran la forma de sociedades de economía mixta deben ser creadas o autorizadas mediante ordenanza o acuerdo, según sea el caso; (iv) que les son aplicables las inhabilidades para la integración de órganos directivos a que aluden los artículos 180-3, 292 y 323 de la Carta; (v) que en materia presupuestal quedan sujetas a las reglas de la ley orgánica del presupuesto; (vi) que en materia contable quedan sujetas a las reglas de contabilidad oficial;</w:t>
      </w:r>
    </w:p>
    <w:p w14:paraId="38516849" w14:textId="77777777" w:rsidR="00796972" w:rsidRPr="008D74EE" w:rsidRDefault="00513455" w:rsidP="00796972">
      <w:pPr>
        <w:pStyle w:val="Textonotapie"/>
        <w:ind w:firstLine="708"/>
        <w:jc w:val="both"/>
        <w:rPr>
          <w:rFonts w:ascii="Arial" w:hAnsi="Arial" w:cs="Arial"/>
          <w:sz w:val="19"/>
          <w:szCs w:val="19"/>
          <w:shd w:val="clear" w:color="auto" w:fill="FFFFFF"/>
        </w:rPr>
      </w:pPr>
      <w:r w:rsidRPr="008D74EE">
        <w:rPr>
          <w:rFonts w:ascii="Arial" w:hAnsi="Arial" w:cs="Arial"/>
          <w:sz w:val="19"/>
          <w:szCs w:val="19"/>
          <w:shd w:val="clear" w:color="auto" w:fill="FFFFFF"/>
        </w:rPr>
        <w:t>[…]</w:t>
      </w:r>
    </w:p>
    <w:p w14:paraId="434021FF" w14:textId="615FC845" w:rsidR="00513455" w:rsidRPr="008D74EE" w:rsidRDefault="00796972" w:rsidP="00796972">
      <w:pPr>
        <w:pStyle w:val="Textonotapie"/>
        <w:ind w:firstLine="708"/>
        <w:jc w:val="both"/>
        <w:rPr>
          <w:rFonts w:ascii="Arial" w:hAnsi="Arial" w:cs="Arial"/>
          <w:sz w:val="19"/>
          <w:szCs w:val="19"/>
          <w:shd w:val="clear" w:color="auto" w:fill="FFFFFF"/>
        </w:rPr>
      </w:pPr>
      <w:r w:rsidRPr="008D74EE">
        <w:rPr>
          <w:rFonts w:ascii="Arial" w:hAnsi="Arial" w:cs="Arial"/>
          <w:sz w:val="19"/>
          <w:szCs w:val="19"/>
          <w:shd w:val="clear" w:color="auto" w:fill="FFFFFF"/>
        </w:rPr>
        <w:t>»</w:t>
      </w:r>
      <w:r w:rsidR="00513455" w:rsidRPr="00926B72">
        <w:rPr>
          <w:rFonts w:ascii="Arial" w:hAnsi="Arial" w:cs="Arial"/>
          <w:sz w:val="19"/>
          <w:szCs w:val="19"/>
          <w:lang w:val="es-CO"/>
        </w:rPr>
        <w:t>[L]os elementos configurativos de las sociedades de economía mixta son (i) creación o autorización legal;[37] (ii) carácter de sociedades comerciale</w:t>
      </w:r>
      <w:r w:rsidR="00513455" w:rsidRPr="00E96BE4">
        <w:rPr>
          <w:rFonts w:ascii="Arial" w:hAnsi="Arial" w:cs="Arial"/>
          <w:sz w:val="19"/>
          <w:szCs w:val="19"/>
          <w:lang w:val="es-CO"/>
        </w:rPr>
        <w:t>s; (iii) su objeto social es el cumplimiento de actividades industriales y comerciales, con ánimo de lucro; (iv) sujeción a las reglas de Derecho Privado, “salvo las excepciones que consagra la ley”; (v) capital integrado por aportes del Estado y de partic</w:t>
      </w:r>
      <w:r w:rsidR="00513455" w:rsidRPr="00944061">
        <w:rPr>
          <w:rFonts w:ascii="Arial" w:hAnsi="Arial" w:cs="Arial"/>
          <w:sz w:val="19"/>
          <w:szCs w:val="19"/>
          <w:lang w:val="es-CO"/>
        </w:rPr>
        <w:t>ulares, en cualquier proporción; (vi) vinculación a la Rama ejecutiva como integrante del sector descentralizado y consecuente sujeción a controles administrativos</w:t>
      </w:r>
      <w:r w:rsidRPr="00944061">
        <w:rPr>
          <w:rFonts w:ascii="Arial" w:hAnsi="Arial" w:cs="Arial"/>
          <w:sz w:val="19"/>
          <w:szCs w:val="19"/>
          <w:lang w:val="es-CO"/>
        </w:rPr>
        <w:t>»</w:t>
      </w:r>
      <w:r w:rsidR="00513455" w:rsidRPr="00944061">
        <w:rPr>
          <w:rFonts w:ascii="Arial" w:hAnsi="Arial" w:cs="Arial"/>
          <w:sz w:val="19"/>
          <w:szCs w:val="19"/>
          <w:lang w:val="es-CO"/>
        </w:rPr>
        <w:t>.</w:t>
      </w:r>
    </w:p>
  </w:footnote>
  <w:footnote w:id="36">
    <w:p w14:paraId="11574D17" w14:textId="77777777" w:rsidR="00F50635" w:rsidRPr="00962FB8" w:rsidRDefault="00F50635" w:rsidP="00F50635">
      <w:pPr>
        <w:pStyle w:val="Textonotapie"/>
        <w:ind w:firstLine="708"/>
        <w:rPr>
          <w:rFonts w:ascii="Arial" w:hAnsi="Arial" w:cs="Arial"/>
          <w:sz w:val="19"/>
          <w:szCs w:val="19"/>
        </w:rPr>
      </w:pPr>
    </w:p>
    <w:p w14:paraId="35821668" w14:textId="440AAEF5" w:rsidR="00F50635" w:rsidRPr="00F50635" w:rsidRDefault="00F50635" w:rsidP="00F50635">
      <w:pPr>
        <w:pStyle w:val="Textonotapie"/>
        <w:ind w:firstLine="708"/>
        <w:jc w:val="both"/>
        <w:rPr>
          <w:lang w:val="es-CO"/>
        </w:rPr>
      </w:pPr>
      <w:r w:rsidRPr="00962FB8">
        <w:rPr>
          <w:rStyle w:val="Refdenotaalpie"/>
          <w:rFonts w:ascii="Arial" w:hAnsi="Arial" w:cs="Arial"/>
          <w:sz w:val="19"/>
          <w:szCs w:val="19"/>
        </w:rPr>
        <w:footnoteRef/>
      </w:r>
      <w:r w:rsidRPr="00962FB8">
        <w:rPr>
          <w:rFonts w:ascii="Arial" w:hAnsi="Arial" w:cs="Arial"/>
          <w:sz w:val="19"/>
          <w:szCs w:val="19"/>
        </w:rPr>
        <w:t xml:space="preserve"> En materia de hacienda pública, en cuanto a la clasificación de los ingresos públicos, la doctrina especializada distingue entre </w:t>
      </w:r>
      <w:r w:rsidRPr="00962FB8">
        <w:rPr>
          <w:rFonts w:ascii="Arial" w:hAnsi="Arial" w:cs="Arial"/>
          <w:i/>
          <w:iCs/>
          <w:sz w:val="19"/>
          <w:szCs w:val="19"/>
        </w:rPr>
        <w:t>tributarios</w:t>
      </w:r>
      <w:r w:rsidRPr="00962FB8">
        <w:rPr>
          <w:rFonts w:ascii="Arial" w:hAnsi="Arial" w:cs="Arial"/>
          <w:sz w:val="19"/>
          <w:szCs w:val="19"/>
        </w:rPr>
        <w:t xml:space="preserve"> y </w:t>
      </w:r>
      <w:r w:rsidRPr="00962FB8">
        <w:rPr>
          <w:rFonts w:ascii="Arial" w:hAnsi="Arial" w:cs="Arial"/>
          <w:i/>
          <w:iCs/>
          <w:sz w:val="19"/>
          <w:szCs w:val="19"/>
        </w:rPr>
        <w:t>no tributarios</w:t>
      </w:r>
      <w:r w:rsidRPr="00962FB8">
        <w:rPr>
          <w:rFonts w:ascii="Arial" w:hAnsi="Arial" w:cs="Arial"/>
          <w:sz w:val="19"/>
          <w:szCs w:val="19"/>
        </w:rPr>
        <w:t>. Respecto de los segundos</w:t>
      </w:r>
      <w:r w:rsidR="009E3796" w:rsidRPr="00962FB8">
        <w:rPr>
          <w:rFonts w:ascii="Arial" w:hAnsi="Arial" w:cs="Arial"/>
          <w:sz w:val="19"/>
          <w:szCs w:val="19"/>
        </w:rPr>
        <w:t>, se ha se dice que «</w:t>
      </w:r>
      <w:r w:rsidR="007329D0" w:rsidRPr="00962FB8">
        <w:rPr>
          <w:rFonts w:ascii="Arial" w:hAnsi="Arial" w:cs="Arial"/>
          <w:sz w:val="19"/>
          <w:szCs w:val="19"/>
        </w:rPr>
        <w:t>suelen tener origen en aquella faceta de la actividad estatal</w:t>
      </w:r>
      <w:r w:rsidR="000D3C49" w:rsidRPr="00962FB8">
        <w:rPr>
          <w:rFonts w:ascii="Arial" w:hAnsi="Arial" w:cs="Arial"/>
          <w:sz w:val="19"/>
          <w:szCs w:val="19"/>
        </w:rPr>
        <w:t xml:space="preserve"> que se identifica con la gestión patrimonial del Estado (utilidades de empr</w:t>
      </w:r>
      <w:r w:rsidR="003F1D53" w:rsidRPr="00962FB8">
        <w:rPr>
          <w:rFonts w:ascii="Arial" w:hAnsi="Arial" w:cs="Arial"/>
          <w:sz w:val="19"/>
          <w:szCs w:val="19"/>
        </w:rPr>
        <w:t>esas públicas), o en contraprestación que el Estado recibe por el suministro</w:t>
      </w:r>
      <w:r w:rsidR="00A91EF3" w:rsidRPr="00962FB8">
        <w:rPr>
          <w:rFonts w:ascii="Arial" w:hAnsi="Arial" w:cs="Arial"/>
          <w:sz w:val="19"/>
          <w:szCs w:val="19"/>
        </w:rPr>
        <w:t xml:space="preserve"> de bienes y servicios que se prestan en concurrencia con el sector privado (son los llamados </w:t>
      </w:r>
      <w:r w:rsidR="0057328D" w:rsidRPr="00962FB8">
        <w:rPr>
          <w:rFonts w:ascii="Arial" w:hAnsi="Arial" w:cs="Arial"/>
          <w:sz w:val="19"/>
          <w:szCs w:val="19"/>
        </w:rPr>
        <w:t>“precios públicos”), o, en todo caso</w:t>
      </w:r>
      <w:r w:rsidR="001D07FA" w:rsidRPr="00962FB8">
        <w:rPr>
          <w:rFonts w:ascii="Arial" w:hAnsi="Arial" w:cs="Arial"/>
          <w:sz w:val="19"/>
          <w:szCs w:val="19"/>
        </w:rPr>
        <w:t xml:space="preserve">, cuando el Estado despliega su </w:t>
      </w:r>
      <w:r w:rsidR="00962FB8" w:rsidRPr="00962FB8">
        <w:rPr>
          <w:rFonts w:ascii="Arial" w:hAnsi="Arial" w:cs="Arial"/>
          <w:sz w:val="19"/>
          <w:szCs w:val="19"/>
        </w:rPr>
        <w:t>actividad</w:t>
      </w:r>
      <w:r w:rsidR="001D07FA" w:rsidRPr="00962FB8">
        <w:rPr>
          <w:rFonts w:ascii="Arial" w:hAnsi="Arial" w:cs="Arial"/>
          <w:sz w:val="19"/>
          <w:szCs w:val="19"/>
        </w:rPr>
        <w:t xml:space="preserve"> en un plano comercial</w:t>
      </w:r>
      <w:r w:rsidR="009E3796" w:rsidRPr="00962FB8">
        <w:rPr>
          <w:rFonts w:ascii="Arial" w:hAnsi="Arial" w:cs="Arial"/>
          <w:sz w:val="19"/>
          <w:szCs w:val="19"/>
        </w:rPr>
        <w:t>»</w:t>
      </w:r>
      <w:r w:rsidRPr="00962FB8">
        <w:rPr>
          <w:rFonts w:ascii="Arial" w:hAnsi="Arial" w:cs="Arial"/>
          <w:sz w:val="19"/>
          <w:szCs w:val="19"/>
        </w:rPr>
        <w:t xml:space="preserve"> </w:t>
      </w:r>
      <w:r w:rsidR="005518E6" w:rsidRPr="00962FB8">
        <w:rPr>
          <w:rFonts w:ascii="Arial" w:hAnsi="Arial" w:cs="Arial"/>
          <w:sz w:val="19"/>
          <w:szCs w:val="19"/>
          <w:lang w:val="es-CO"/>
        </w:rPr>
        <w:t>RESTREPO Juan Camilo. Hacienda pública. Onceava edición. Universidad Externado de Colombia, Bogotá, 2020, pág 2</w:t>
      </w:r>
      <w:r w:rsidR="00962FB8" w:rsidRPr="00962FB8">
        <w:rPr>
          <w:rFonts w:ascii="Arial" w:hAnsi="Arial" w:cs="Arial"/>
          <w:sz w:val="19"/>
          <w:szCs w:val="19"/>
          <w:lang w:val="es-CO"/>
        </w:rPr>
        <w:t>81</w:t>
      </w:r>
      <w:r w:rsidR="005518E6" w:rsidRPr="00962FB8">
        <w:rPr>
          <w:rFonts w:ascii="Arial" w:hAnsi="Arial" w:cs="Arial"/>
          <w:sz w:val="19"/>
          <w:szCs w:val="19"/>
          <w:lang w:val="es-CO"/>
        </w:rPr>
        <w:t>.</w:t>
      </w:r>
    </w:p>
  </w:footnote>
  <w:footnote w:id="37">
    <w:p w14:paraId="2227E39B" w14:textId="77777777" w:rsidR="003840FA" w:rsidRDefault="003840FA">
      <w:pPr>
        <w:pStyle w:val="Textonotapie"/>
      </w:pPr>
    </w:p>
    <w:p w14:paraId="728128D0" w14:textId="51435603" w:rsidR="003840FA" w:rsidRPr="008D74EE" w:rsidRDefault="003840FA" w:rsidP="00C6593E">
      <w:pPr>
        <w:shd w:val="clear" w:color="auto" w:fill="FFFFFF"/>
        <w:ind w:right="69" w:firstLine="708"/>
        <w:jc w:val="both"/>
        <w:rPr>
          <w:rFonts w:ascii="Arial" w:hAnsi="Arial" w:cs="Arial"/>
          <w:sz w:val="19"/>
          <w:szCs w:val="19"/>
          <w:lang w:eastAsia="es-CO"/>
        </w:rPr>
      </w:pPr>
      <w:r w:rsidRPr="00C6593E">
        <w:rPr>
          <w:rStyle w:val="Refdenotaalpie"/>
          <w:rFonts w:ascii="Arial" w:hAnsi="Arial" w:cs="Arial"/>
          <w:sz w:val="19"/>
          <w:szCs w:val="19"/>
        </w:rPr>
        <w:footnoteRef/>
      </w:r>
      <w:r w:rsidRPr="00C6593E">
        <w:rPr>
          <w:rFonts w:ascii="Arial" w:hAnsi="Arial" w:cs="Arial"/>
          <w:sz w:val="19"/>
          <w:szCs w:val="19"/>
        </w:rPr>
        <w:t xml:space="preserve"> </w:t>
      </w:r>
      <w:r w:rsidRPr="008D74EE">
        <w:rPr>
          <w:rFonts w:ascii="Arial" w:hAnsi="Arial" w:cs="Arial"/>
          <w:sz w:val="19"/>
          <w:szCs w:val="19"/>
          <w:lang w:eastAsia="es-CO"/>
        </w:rPr>
        <w:t>En cuanto al concepto y finalidad del control fiscal, la jurisprudencia constitucional ha señalado</w:t>
      </w:r>
      <w:r w:rsidR="00C6593E" w:rsidRPr="008D74EE">
        <w:rPr>
          <w:rFonts w:ascii="Arial" w:hAnsi="Arial" w:cs="Arial"/>
          <w:sz w:val="19"/>
          <w:szCs w:val="19"/>
          <w:lang w:eastAsia="es-CO"/>
        </w:rPr>
        <w:t>:</w:t>
      </w:r>
      <w:r w:rsidRPr="008D74EE">
        <w:rPr>
          <w:rFonts w:ascii="Arial" w:hAnsi="Arial" w:cs="Arial"/>
          <w:sz w:val="19"/>
          <w:szCs w:val="19"/>
          <w:lang w:eastAsia="es-CO"/>
        </w:rPr>
        <w:t xml:space="preserve"> «</w:t>
      </w:r>
      <w:r w:rsidR="00336140" w:rsidRPr="008D74EE">
        <w:rPr>
          <w:rFonts w:ascii="Arial" w:hAnsi="Arial" w:cs="Arial"/>
          <w:sz w:val="19"/>
          <w:szCs w:val="19"/>
          <w:lang w:eastAsia="es-CO"/>
        </w:rPr>
        <w:t>[…]</w:t>
      </w:r>
      <w:r w:rsidRPr="008D74EE">
        <w:rPr>
          <w:rFonts w:ascii="Arial" w:hAnsi="Arial" w:cs="Arial"/>
          <w:sz w:val="19"/>
          <w:szCs w:val="19"/>
          <w:lang w:eastAsia="es-CO"/>
        </w:rPr>
        <w:t xml:space="preserve"> del marco constitucional superior se deriva que el control fiscal constituye el instrumento necesario e idóneo en un Estado constitucional de Derecho para garantizar "</w:t>
      </w:r>
      <w:r w:rsidRPr="008D74EE">
        <w:rPr>
          <w:rFonts w:ascii="Arial" w:hAnsi="Arial" w:cs="Arial"/>
          <w:i/>
          <w:iCs/>
          <w:sz w:val="19"/>
          <w:szCs w:val="19"/>
          <w:lang w:eastAsia="es-CO"/>
        </w:rPr>
        <w:t>el cabal cumplimiento de los objetivos constitucionalmente previstos para las finanzas del Estado</w:t>
      </w:r>
      <w:r w:rsidRPr="008D74EE">
        <w:rPr>
          <w:rFonts w:ascii="Arial" w:hAnsi="Arial" w:cs="Arial"/>
          <w:sz w:val="19"/>
          <w:szCs w:val="19"/>
          <w:lang w:eastAsia="es-CO"/>
        </w:rPr>
        <w:t>.", a través de la inspección de “</w:t>
      </w:r>
      <w:r w:rsidRPr="008D74EE">
        <w:rPr>
          <w:rFonts w:ascii="Arial" w:hAnsi="Arial" w:cs="Arial"/>
          <w:i/>
          <w:iCs/>
          <w:sz w:val="19"/>
          <w:szCs w:val="19"/>
          <w:lang w:eastAsia="es-CO"/>
        </w:rPr>
        <w:t>la administración y manejo de los bienes y fondos públicos, en las distintas etapas de recaudo o adquisición, conservación, enajenación, gasto, inversión y disposición</w:t>
      </w:r>
      <w:r w:rsidRPr="008D74EE">
        <w:rPr>
          <w:rFonts w:ascii="Arial" w:hAnsi="Arial" w:cs="Arial"/>
          <w:sz w:val="19"/>
          <w:szCs w:val="19"/>
          <w:lang w:eastAsia="es-CO"/>
        </w:rPr>
        <w:t>”.</w:t>
      </w:r>
    </w:p>
    <w:p w14:paraId="1E3E295B" w14:textId="3A977AA2" w:rsidR="003840FA" w:rsidRPr="008D74EE" w:rsidRDefault="003840FA" w:rsidP="00C6593E">
      <w:pPr>
        <w:shd w:val="clear" w:color="auto" w:fill="FFFFFF"/>
        <w:ind w:right="51"/>
        <w:jc w:val="both"/>
        <w:rPr>
          <w:rFonts w:ascii="Arial" w:hAnsi="Arial" w:cs="Arial"/>
          <w:sz w:val="19"/>
          <w:szCs w:val="19"/>
          <w:lang w:eastAsia="es-CO"/>
        </w:rPr>
      </w:pPr>
      <w:r w:rsidRPr="008D74EE">
        <w:rPr>
          <w:rFonts w:ascii="Arial" w:hAnsi="Arial" w:cs="Arial"/>
          <w:sz w:val="19"/>
          <w:szCs w:val="19"/>
          <w:lang w:eastAsia="es-CO"/>
        </w:rPr>
        <w:t> </w:t>
      </w:r>
      <w:r w:rsidRPr="008D74EE">
        <w:rPr>
          <w:rFonts w:ascii="Arial" w:hAnsi="Arial" w:cs="Arial"/>
          <w:sz w:val="19"/>
          <w:szCs w:val="19"/>
          <w:lang w:eastAsia="es-CO"/>
        </w:rPr>
        <w:tab/>
        <w:t>»Por tanto, el objetivo final del control de los resultados de la Administración y la vigilancia de la gestión fiscal es verificar el manejo correcto del patrimonio estatal. El control fiscal, cuyo concepto tiene su origen etimológico en  el término latino “fiscus” que significa erario o tesoro público, se confiere a una entidad que cuida de la res-pública o cosa pública, lo cual denota que el fin fundamental del control fiscal es la preservación y buen manejo de los bienes que pertenecen a todos</w:t>
      </w:r>
      <w:r w:rsidR="00336140" w:rsidRPr="008D74EE">
        <w:rPr>
          <w:rFonts w:ascii="Arial" w:hAnsi="Arial" w:cs="Arial"/>
          <w:sz w:val="19"/>
          <w:szCs w:val="19"/>
          <w:lang w:eastAsia="es-CO"/>
        </w:rPr>
        <w:t>»</w:t>
      </w:r>
      <w:r w:rsidRPr="008D74EE">
        <w:rPr>
          <w:rFonts w:ascii="Arial" w:hAnsi="Arial" w:cs="Arial"/>
          <w:sz w:val="19"/>
          <w:szCs w:val="19"/>
          <w:lang w:eastAsia="es-CO"/>
        </w:rPr>
        <w:t>.</w:t>
      </w:r>
      <w:r w:rsidR="00336140" w:rsidRPr="008D74EE">
        <w:rPr>
          <w:rFonts w:ascii="Arial" w:hAnsi="Arial" w:cs="Arial"/>
          <w:sz w:val="19"/>
          <w:szCs w:val="19"/>
          <w:lang w:eastAsia="es-CO"/>
        </w:rPr>
        <w:t xml:space="preserve"> CORTE CONSTITUCIONAL. Sentencia C-</w:t>
      </w:r>
      <w:r w:rsidR="00C6593E" w:rsidRPr="008D74EE">
        <w:rPr>
          <w:rFonts w:ascii="Arial" w:hAnsi="Arial" w:cs="Arial"/>
          <w:sz w:val="19"/>
          <w:szCs w:val="19"/>
          <w:lang w:eastAsia="es-CO"/>
        </w:rPr>
        <w:t xml:space="preserve">557 del 20 de agosto de 2009. M.P. </w:t>
      </w:r>
      <w:r w:rsidR="00C6593E" w:rsidRPr="008D74EE">
        <w:rPr>
          <w:rFonts w:ascii="Arial" w:hAnsi="Arial" w:cs="Arial"/>
          <w:sz w:val="19"/>
          <w:szCs w:val="19"/>
          <w:shd w:val="clear" w:color="auto" w:fill="FFFFFF"/>
        </w:rPr>
        <w:t> Luis Ernesto Vargas Silva.</w:t>
      </w:r>
    </w:p>
    <w:p w14:paraId="1699C9FA" w14:textId="51C54367" w:rsidR="003840FA" w:rsidRPr="003840FA" w:rsidRDefault="003840FA" w:rsidP="003840FA">
      <w:pPr>
        <w:pStyle w:val="Textonotapie"/>
        <w:ind w:firstLine="708"/>
        <w:rPr>
          <w:lang w:val="es-CO"/>
        </w:rPr>
      </w:pPr>
      <w:r>
        <w:t xml:space="preserve"> </w:t>
      </w:r>
    </w:p>
  </w:footnote>
  <w:footnote w:id="38">
    <w:p w14:paraId="56789EC7" w14:textId="536FE402" w:rsidR="002C0609" w:rsidRPr="002255B7" w:rsidRDefault="002C0609" w:rsidP="002255B7">
      <w:pPr>
        <w:pStyle w:val="Textonotapie"/>
        <w:ind w:firstLine="708"/>
        <w:jc w:val="both"/>
        <w:rPr>
          <w:rFonts w:ascii="Arial" w:hAnsi="Arial" w:cs="Arial"/>
          <w:sz w:val="19"/>
          <w:szCs w:val="19"/>
          <w:lang w:val="es-CO"/>
        </w:rPr>
      </w:pPr>
      <w:r w:rsidRPr="002255B7">
        <w:rPr>
          <w:rStyle w:val="Refdenotaalpie"/>
          <w:rFonts w:ascii="Arial" w:hAnsi="Arial" w:cs="Arial"/>
          <w:sz w:val="19"/>
          <w:szCs w:val="19"/>
        </w:rPr>
        <w:footnoteRef/>
      </w:r>
      <w:r w:rsidRPr="002255B7">
        <w:rPr>
          <w:rFonts w:ascii="Arial" w:hAnsi="Arial" w:cs="Arial"/>
          <w:sz w:val="19"/>
          <w:szCs w:val="19"/>
        </w:rPr>
        <w:t xml:space="preserve"> CORTE CONSTITUCIONAL. Sentencia C-</w:t>
      </w:r>
      <w:r w:rsidR="002255B7" w:rsidRPr="002255B7">
        <w:rPr>
          <w:rFonts w:ascii="Arial" w:hAnsi="Arial" w:cs="Arial"/>
          <w:sz w:val="19"/>
          <w:szCs w:val="19"/>
        </w:rPr>
        <w:t xml:space="preserve">529 del 12 de julio de 2006. M.P. </w:t>
      </w:r>
      <w:r w:rsidR="002255B7" w:rsidRPr="002255B7">
        <w:rPr>
          <w:rFonts w:ascii="Arial" w:hAnsi="Arial" w:cs="Arial"/>
          <w:color w:val="2D2D2D"/>
          <w:sz w:val="19"/>
          <w:szCs w:val="19"/>
          <w:shd w:val="clear" w:color="auto" w:fill="FFFFFF"/>
        </w:rPr>
        <w:t>Jaime Córdoba Triviño.</w:t>
      </w:r>
      <w:r w:rsidRPr="002255B7">
        <w:rPr>
          <w:rFonts w:ascii="Arial" w:hAnsi="Arial" w:cs="Arial"/>
          <w:sz w:val="19"/>
          <w:szCs w:val="19"/>
        </w:rPr>
        <w:t xml:space="preserve"> </w:t>
      </w:r>
    </w:p>
  </w:footnote>
  <w:footnote w:id="39">
    <w:p w14:paraId="0CFA0D67" w14:textId="77777777" w:rsidR="00EF5886" w:rsidRDefault="00EF5886" w:rsidP="00EF5886">
      <w:pPr>
        <w:pStyle w:val="Textonotapie"/>
        <w:ind w:firstLine="708"/>
      </w:pPr>
    </w:p>
    <w:p w14:paraId="12E849FB" w14:textId="1D420048" w:rsidR="00EF5886" w:rsidRPr="00EF5886" w:rsidRDefault="00EF5886" w:rsidP="00EF5886">
      <w:pPr>
        <w:pStyle w:val="Textonotapie"/>
        <w:ind w:firstLine="708"/>
        <w:jc w:val="both"/>
        <w:rPr>
          <w:rFonts w:ascii="Arial" w:hAnsi="Arial" w:cs="Arial"/>
          <w:sz w:val="19"/>
          <w:szCs w:val="19"/>
        </w:rPr>
      </w:pPr>
      <w:r>
        <w:rPr>
          <w:rStyle w:val="Refdenotaalpie"/>
        </w:rPr>
        <w:footnoteRef/>
      </w:r>
      <w:r>
        <w:t xml:space="preserve"> </w:t>
      </w:r>
      <w:r w:rsidRPr="00EF5886">
        <w:rPr>
          <w:rFonts w:ascii="Arial" w:hAnsi="Arial" w:cs="Arial"/>
          <w:sz w:val="19"/>
          <w:szCs w:val="19"/>
        </w:rPr>
        <w:t>Decreto 303 de 2020: Artículo 52. Aplicación de los sistemas de control fiscal en sociedades con participación estatal. La vigilancia de la gestión fiscal en las sociedades de economía mixta se hará teniendo en cuenta la participación que el Estado tenga en el capital social, evaluando la gestión empresarial de tal forma que permita determinar que el manejo de los recursos públicos se realice de acuerdo con los principios de la gestión fiscal.</w:t>
      </w:r>
    </w:p>
    <w:p w14:paraId="3632987E" w14:textId="5956A01E" w:rsidR="00EF5886" w:rsidRPr="00EF5886" w:rsidRDefault="00EF5886" w:rsidP="00EF5886">
      <w:pPr>
        <w:pStyle w:val="Textonotapie"/>
        <w:ind w:firstLine="708"/>
        <w:jc w:val="both"/>
        <w:rPr>
          <w:rFonts w:ascii="Arial" w:hAnsi="Arial" w:cs="Arial"/>
          <w:sz w:val="19"/>
          <w:szCs w:val="19"/>
        </w:rPr>
      </w:pPr>
      <w:r w:rsidRPr="00EF5886">
        <w:rPr>
          <w:rFonts w:ascii="Arial" w:hAnsi="Arial" w:cs="Arial"/>
          <w:sz w:val="19"/>
          <w:szCs w:val="19"/>
        </w:rPr>
        <w:t>»Los resultados obtenidos tendrán efecto únicamente en lo referente al aporte estatal.</w:t>
      </w:r>
    </w:p>
    <w:p w14:paraId="3C0EADD1" w14:textId="281A5562" w:rsidR="00EF5886" w:rsidRPr="00EF5886" w:rsidRDefault="00EF5886" w:rsidP="00EF5886">
      <w:pPr>
        <w:pStyle w:val="Textonotapie"/>
        <w:ind w:firstLine="708"/>
        <w:jc w:val="both"/>
        <w:rPr>
          <w:rFonts w:ascii="Arial" w:hAnsi="Arial" w:cs="Arial"/>
          <w:sz w:val="19"/>
          <w:szCs w:val="19"/>
        </w:rPr>
      </w:pPr>
      <w:r w:rsidRPr="00EF5886">
        <w:rPr>
          <w:rFonts w:ascii="Arial" w:hAnsi="Arial" w:cs="Arial"/>
          <w:sz w:val="19"/>
          <w:szCs w:val="19"/>
        </w:rPr>
        <w:t>»En las sociedades distintas a las de economía mixta en que el estado participe la vigilancia fiscal se hará de acuerdo con lo previsto en este artículo.</w:t>
      </w:r>
    </w:p>
    <w:p w14:paraId="5D68BEBA" w14:textId="18E000A8" w:rsidR="00EF5886" w:rsidRPr="00EF5886" w:rsidRDefault="00EF5886" w:rsidP="00EF5886">
      <w:pPr>
        <w:pStyle w:val="Textonotapie"/>
        <w:ind w:firstLine="708"/>
        <w:jc w:val="both"/>
        <w:rPr>
          <w:rFonts w:ascii="Arial" w:hAnsi="Arial" w:cs="Arial"/>
          <w:sz w:val="19"/>
          <w:szCs w:val="19"/>
        </w:rPr>
      </w:pPr>
      <w:r w:rsidRPr="00EF5886">
        <w:rPr>
          <w:rFonts w:ascii="Arial" w:hAnsi="Arial" w:cs="Arial"/>
          <w:sz w:val="19"/>
          <w:szCs w:val="19"/>
        </w:rPr>
        <w:t>»Parágrafo 1º. La vigilancia fiscal en las entidades de que trata el artículo 94, 95 y 96 de la Ley 489 de 1998, se hará teniendo en cuenta si se trata de aporte o participación del Estado. En el primer caso se limitará la vigilancia hasta la entrega del aporte, en el segundo se aplicará lo previsto en inciso primero del presente artículo.</w:t>
      </w:r>
    </w:p>
    <w:p w14:paraId="362ECA67" w14:textId="182AB561" w:rsidR="00EF5886" w:rsidRPr="00EF5886" w:rsidRDefault="00EF5886" w:rsidP="00EF5886">
      <w:pPr>
        <w:pStyle w:val="Textonotapie"/>
        <w:ind w:firstLine="708"/>
        <w:jc w:val="both"/>
        <w:rPr>
          <w:rFonts w:ascii="Arial" w:hAnsi="Arial" w:cs="Arial"/>
          <w:sz w:val="19"/>
          <w:szCs w:val="19"/>
        </w:rPr>
      </w:pPr>
      <w:r w:rsidRPr="00EF5886">
        <w:rPr>
          <w:rFonts w:ascii="Arial" w:hAnsi="Arial" w:cs="Arial"/>
          <w:sz w:val="19"/>
          <w:szCs w:val="19"/>
        </w:rPr>
        <w:t>»Parágrafo 2º. Lo dispuesto en este artículo se realizará sin perjuicio de la revisoría fiscal que se ejerce en ellas.</w:t>
      </w:r>
    </w:p>
    <w:p w14:paraId="0D73156B" w14:textId="45A2FD66" w:rsidR="00EF5886" w:rsidRPr="00EF5886" w:rsidRDefault="00EF5886" w:rsidP="00EF5886">
      <w:pPr>
        <w:pStyle w:val="Textonotapie"/>
        <w:ind w:firstLine="708"/>
        <w:jc w:val="both"/>
        <w:rPr>
          <w:rFonts w:ascii="Arial" w:hAnsi="Arial" w:cs="Arial"/>
          <w:sz w:val="19"/>
          <w:szCs w:val="19"/>
          <w:lang w:val="es-CO"/>
        </w:rPr>
      </w:pPr>
      <w:r w:rsidRPr="00EF5886">
        <w:rPr>
          <w:rFonts w:ascii="Arial" w:hAnsi="Arial" w:cs="Arial"/>
          <w:sz w:val="19"/>
          <w:szCs w:val="19"/>
        </w:rPr>
        <w:t xml:space="preserve">»El informe del revisor fiscal a la asamblea general de accionistas o junta de socios deberá ser remitido al órgano de control fiscal respectivo con una antelación no menor de diez (10) días a la fecha en que se realizará la asamblea o junta. Igualmente deberá el revisor fiscal presentar los informes que le sean solicitados por el contralor».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42039552">
    <w:abstractNumId w:val="12"/>
  </w:num>
  <w:num w:numId="2" w16cid:durableId="2017418395">
    <w:abstractNumId w:val="10"/>
  </w:num>
  <w:num w:numId="3" w16cid:durableId="1964117932">
    <w:abstractNumId w:val="15"/>
  </w:num>
  <w:num w:numId="4" w16cid:durableId="1358431036">
    <w:abstractNumId w:val="18"/>
  </w:num>
  <w:num w:numId="5" w16cid:durableId="1107579466">
    <w:abstractNumId w:val="22"/>
  </w:num>
  <w:num w:numId="6" w16cid:durableId="14316995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215111">
    <w:abstractNumId w:val="20"/>
  </w:num>
  <w:num w:numId="8" w16cid:durableId="83378898">
    <w:abstractNumId w:val="0"/>
  </w:num>
  <w:num w:numId="9" w16cid:durableId="1493793417">
    <w:abstractNumId w:val="5"/>
  </w:num>
  <w:num w:numId="10" w16cid:durableId="1816295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4495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5378452">
    <w:abstractNumId w:val="11"/>
  </w:num>
  <w:num w:numId="13" w16cid:durableId="2094860903">
    <w:abstractNumId w:val="14"/>
  </w:num>
  <w:num w:numId="14" w16cid:durableId="1771853671">
    <w:abstractNumId w:val="9"/>
  </w:num>
  <w:num w:numId="15" w16cid:durableId="80500505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120074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8098286">
    <w:abstractNumId w:val="24"/>
  </w:num>
  <w:num w:numId="18" w16cid:durableId="5796210">
    <w:abstractNumId w:val="16"/>
  </w:num>
  <w:num w:numId="19" w16cid:durableId="1595237118">
    <w:abstractNumId w:val="4"/>
  </w:num>
  <w:num w:numId="20" w16cid:durableId="1803380622">
    <w:abstractNumId w:val="25"/>
  </w:num>
  <w:num w:numId="21" w16cid:durableId="2025130651">
    <w:abstractNumId w:val="17"/>
  </w:num>
  <w:num w:numId="22" w16cid:durableId="968969861">
    <w:abstractNumId w:val="7"/>
  </w:num>
  <w:num w:numId="23" w16cid:durableId="224491440">
    <w:abstractNumId w:val="6"/>
  </w:num>
  <w:num w:numId="24" w16cid:durableId="1378385464">
    <w:abstractNumId w:val="23"/>
  </w:num>
  <w:num w:numId="25" w16cid:durableId="1593391147">
    <w:abstractNumId w:val="19"/>
  </w:num>
  <w:num w:numId="26" w16cid:durableId="1585384109">
    <w:abstractNumId w:val="26"/>
  </w:num>
  <w:num w:numId="27" w16cid:durableId="901984273">
    <w:abstractNumId w:val="8"/>
  </w:num>
  <w:num w:numId="28" w16cid:durableId="989940812">
    <w:abstractNumId w:val="3"/>
  </w:num>
  <w:num w:numId="29" w16cid:durableId="2012293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8"/>
    <w:rsid w:val="00000559"/>
    <w:rsid w:val="00001004"/>
    <w:rsid w:val="0000162E"/>
    <w:rsid w:val="00001A1C"/>
    <w:rsid w:val="00001FFD"/>
    <w:rsid w:val="00002027"/>
    <w:rsid w:val="000020FE"/>
    <w:rsid w:val="00002173"/>
    <w:rsid w:val="000023B3"/>
    <w:rsid w:val="0000250A"/>
    <w:rsid w:val="00002F75"/>
    <w:rsid w:val="000031A8"/>
    <w:rsid w:val="00003C5C"/>
    <w:rsid w:val="000040D7"/>
    <w:rsid w:val="000041FC"/>
    <w:rsid w:val="00004556"/>
    <w:rsid w:val="00004E47"/>
    <w:rsid w:val="000051AF"/>
    <w:rsid w:val="000059D3"/>
    <w:rsid w:val="00005B6D"/>
    <w:rsid w:val="0000600A"/>
    <w:rsid w:val="00006081"/>
    <w:rsid w:val="00006097"/>
    <w:rsid w:val="00007564"/>
    <w:rsid w:val="00007750"/>
    <w:rsid w:val="000077FD"/>
    <w:rsid w:val="00007E37"/>
    <w:rsid w:val="00010400"/>
    <w:rsid w:val="000105CD"/>
    <w:rsid w:val="0001061E"/>
    <w:rsid w:val="00010C40"/>
    <w:rsid w:val="000112B4"/>
    <w:rsid w:val="00011DCC"/>
    <w:rsid w:val="00012532"/>
    <w:rsid w:val="000126FE"/>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4E4E"/>
    <w:rsid w:val="00025217"/>
    <w:rsid w:val="00025254"/>
    <w:rsid w:val="00025AA3"/>
    <w:rsid w:val="00025D0A"/>
    <w:rsid w:val="000263F0"/>
    <w:rsid w:val="00026407"/>
    <w:rsid w:val="00026608"/>
    <w:rsid w:val="00026BBB"/>
    <w:rsid w:val="00027787"/>
    <w:rsid w:val="000278D2"/>
    <w:rsid w:val="0003095C"/>
    <w:rsid w:val="00030BD4"/>
    <w:rsid w:val="00031158"/>
    <w:rsid w:val="00031364"/>
    <w:rsid w:val="000314BD"/>
    <w:rsid w:val="000315E1"/>
    <w:rsid w:val="00031DD6"/>
    <w:rsid w:val="00031FF6"/>
    <w:rsid w:val="0003236E"/>
    <w:rsid w:val="0003339A"/>
    <w:rsid w:val="0003370C"/>
    <w:rsid w:val="000341F2"/>
    <w:rsid w:val="000343F8"/>
    <w:rsid w:val="00035046"/>
    <w:rsid w:val="000351F2"/>
    <w:rsid w:val="00036E03"/>
    <w:rsid w:val="0004024E"/>
    <w:rsid w:val="000406DB"/>
    <w:rsid w:val="0004094D"/>
    <w:rsid w:val="00041029"/>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85"/>
    <w:rsid w:val="000473E8"/>
    <w:rsid w:val="00047F84"/>
    <w:rsid w:val="000504DE"/>
    <w:rsid w:val="000504E2"/>
    <w:rsid w:val="00051074"/>
    <w:rsid w:val="0005193F"/>
    <w:rsid w:val="00051C41"/>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42B"/>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013"/>
    <w:rsid w:val="00066824"/>
    <w:rsid w:val="00066A59"/>
    <w:rsid w:val="00066E52"/>
    <w:rsid w:val="0007094A"/>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6F66"/>
    <w:rsid w:val="00077054"/>
    <w:rsid w:val="00077173"/>
    <w:rsid w:val="0007719D"/>
    <w:rsid w:val="0007779B"/>
    <w:rsid w:val="000777E7"/>
    <w:rsid w:val="0007790A"/>
    <w:rsid w:val="0008017B"/>
    <w:rsid w:val="000808C5"/>
    <w:rsid w:val="000809DA"/>
    <w:rsid w:val="00080ACD"/>
    <w:rsid w:val="000811ED"/>
    <w:rsid w:val="00081D62"/>
    <w:rsid w:val="00082303"/>
    <w:rsid w:val="00082B74"/>
    <w:rsid w:val="00083099"/>
    <w:rsid w:val="00083452"/>
    <w:rsid w:val="0008346C"/>
    <w:rsid w:val="00083535"/>
    <w:rsid w:val="00083B4A"/>
    <w:rsid w:val="00083EDC"/>
    <w:rsid w:val="000842BE"/>
    <w:rsid w:val="00084B97"/>
    <w:rsid w:val="00084F34"/>
    <w:rsid w:val="0008510E"/>
    <w:rsid w:val="000852D8"/>
    <w:rsid w:val="000856DE"/>
    <w:rsid w:val="00085F17"/>
    <w:rsid w:val="00085FB0"/>
    <w:rsid w:val="00085FB3"/>
    <w:rsid w:val="000866F8"/>
    <w:rsid w:val="0008686B"/>
    <w:rsid w:val="0008692F"/>
    <w:rsid w:val="00086B2A"/>
    <w:rsid w:val="00086ED2"/>
    <w:rsid w:val="000874F7"/>
    <w:rsid w:val="00087C89"/>
    <w:rsid w:val="0009004D"/>
    <w:rsid w:val="00091354"/>
    <w:rsid w:val="000914D6"/>
    <w:rsid w:val="00091569"/>
    <w:rsid w:val="00092A1F"/>
    <w:rsid w:val="00092CDB"/>
    <w:rsid w:val="00092DCA"/>
    <w:rsid w:val="00093085"/>
    <w:rsid w:val="00093D14"/>
    <w:rsid w:val="000941AF"/>
    <w:rsid w:val="000942EB"/>
    <w:rsid w:val="00095B7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27E"/>
    <w:rsid w:val="000A4732"/>
    <w:rsid w:val="000A47E6"/>
    <w:rsid w:val="000A52C0"/>
    <w:rsid w:val="000A5AAF"/>
    <w:rsid w:val="000A5BE0"/>
    <w:rsid w:val="000A5E0E"/>
    <w:rsid w:val="000A5F97"/>
    <w:rsid w:val="000A63A0"/>
    <w:rsid w:val="000A648E"/>
    <w:rsid w:val="000A6AEA"/>
    <w:rsid w:val="000A6C77"/>
    <w:rsid w:val="000A6DAD"/>
    <w:rsid w:val="000A73BB"/>
    <w:rsid w:val="000A7EF4"/>
    <w:rsid w:val="000B0A15"/>
    <w:rsid w:val="000B103F"/>
    <w:rsid w:val="000B1437"/>
    <w:rsid w:val="000B1470"/>
    <w:rsid w:val="000B244D"/>
    <w:rsid w:val="000B2570"/>
    <w:rsid w:val="000B2B86"/>
    <w:rsid w:val="000B3051"/>
    <w:rsid w:val="000B419B"/>
    <w:rsid w:val="000B5781"/>
    <w:rsid w:val="000B5CB1"/>
    <w:rsid w:val="000B6C36"/>
    <w:rsid w:val="000B6CBF"/>
    <w:rsid w:val="000B6D08"/>
    <w:rsid w:val="000C0185"/>
    <w:rsid w:val="000C0CD1"/>
    <w:rsid w:val="000C0F81"/>
    <w:rsid w:val="000C128D"/>
    <w:rsid w:val="000C17A3"/>
    <w:rsid w:val="000C1D4B"/>
    <w:rsid w:val="000C1F42"/>
    <w:rsid w:val="000C2460"/>
    <w:rsid w:val="000C2DC4"/>
    <w:rsid w:val="000C3260"/>
    <w:rsid w:val="000C37FB"/>
    <w:rsid w:val="000C3B77"/>
    <w:rsid w:val="000C3F6D"/>
    <w:rsid w:val="000C49D9"/>
    <w:rsid w:val="000C4AF7"/>
    <w:rsid w:val="000C4D09"/>
    <w:rsid w:val="000C4EA0"/>
    <w:rsid w:val="000C4F49"/>
    <w:rsid w:val="000C5861"/>
    <w:rsid w:val="000C5BDE"/>
    <w:rsid w:val="000C639D"/>
    <w:rsid w:val="000C6946"/>
    <w:rsid w:val="000C6C31"/>
    <w:rsid w:val="000C6DBC"/>
    <w:rsid w:val="000C6F79"/>
    <w:rsid w:val="000C7476"/>
    <w:rsid w:val="000C74A8"/>
    <w:rsid w:val="000C7711"/>
    <w:rsid w:val="000C7AA2"/>
    <w:rsid w:val="000D0462"/>
    <w:rsid w:val="000D053D"/>
    <w:rsid w:val="000D0ED2"/>
    <w:rsid w:val="000D1CEB"/>
    <w:rsid w:val="000D2563"/>
    <w:rsid w:val="000D25BF"/>
    <w:rsid w:val="000D3282"/>
    <w:rsid w:val="000D3C49"/>
    <w:rsid w:val="000D3FDC"/>
    <w:rsid w:val="000D490B"/>
    <w:rsid w:val="000D4E38"/>
    <w:rsid w:val="000D4EBB"/>
    <w:rsid w:val="000D4EFA"/>
    <w:rsid w:val="000D50DB"/>
    <w:rsid w:val="000D5EF9"/>
    <w:rsid w:val="000D6288"/>
    <w:rsid w:val="000D6740"/>
    <w:rsid w:val="000D7541"/>
    <w:rsid w:val="000D75E1"/>
    <w:rsid w:val="000D79F4"/>
    <w:rsid w:val="000E047D"/>
    <w:rsid w:val="000E0519"/>
    <w:rsid w:val="000E056A"/>
    <w:rsid w:val="000E0D5A"/>
    <w:rsid w:val="000E22CF"/>
    <w:rsid w:val="000E2977"/>
    <w:rsid w:val="000E2A0E"/>
    <w:rsid w:val="000E2CC0"/>
    <w:rsid w:val="000E30AC"/>
    <w:rsid w:val="000E30C6"/>
    <w:rsid w:val="000E3B46"/>
    <w:rsid w:val="000E3E11"/>
    <w:rsid w:val="000E40A7"/>
    <w:rsid w:val="000E4575"/>
    <w:rsid w:val="000E4596"/>
    <w:rsid w:val="000E5768"/>
    <w:rsid w:val="000E5843"/>
    <w:rsid w:val="000E5E20"/>
    <w:rsid w:val="000E6139"/>
    <w:rsid w:val="000E6BE1"/>
    <w:rsid w:val="000E6E63"/>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D2E"/>
    <w:rsid w:val="000F6578"/>
    <w:rsid w:val="000F7D1B"/>
    <w:rsid w:val="000F7E8F"/>
    <w:rsid w:val="000F7FBB"/>
    <w:rsid w:val="001000FB"/>
    <w:rsid w:val="00100A9E"/>
    <w:rsid w:val="00100F6A"/>
    <w:rsid w:val="00102605"/>
    <w:rsid w:val="00102686"/>
    <w:rsid w:val="00102745"/>
    <w:rsid w:val="0010361C"/>
    <w:rsid w:val="00103795"/>
    <w:rsid w:val="00103915"/>
    <w:rsid w:val="00103EA0"/>
    <w:rsid w:val="00104F1C"/>
    <w:rsid w:val="001051E5"/>
    <w:rsid w:val="00105A74"/>
    <w:rsid w:val="00105AB9"/>
    <w:rsid w:val="00105ACB"/>
    <w:rsid w:val="00105AEF"/>
    <w:rsid w:val="00105FA3"/>
    <w:rsid w:val="00106259"/>
    <w:rsid w:val="001068EB"/>
    <w:rsid w:val="00107328"/>
    <w:rsid w:val="001078CE"/>
    <w:rsid w:val="00107FBF"/>
    <w:rsid w:val="00110F61"/>
    <w:rsid w:val="00110F7C"/>
    <w:rsid w:val="001111BD"/>
    <w:rsid w:val="0011165A"/>
    <w:rsid w:val="001116C6"/>
    <w:rsid w:val="00111B2B"/>
    <w:rsid w:val="00111E71"/>
    <w:rsid w:val="00112774"/>
    <w:rsid w:val="00112B2E"/>
    <w:rsid w:val="00112B7F"/>
    <w:rsid w:val="00113003"/>
    <w:rsid w:val="00113062"/>
    <w:rsid w:val="00113657"/>
    <w:rsid w:val="00113705"/>
    <w:rsid w:val="00113975"/>
    <w:rsid w:val="00113CFC"/>
    <w:rsid w:val="00113FEA"/>
    <w:rsid w:val="00114003"/>
    <w:rsid w:val="00114631"/>
    <w:rsid w:val="00114A22"/>
    <w:rsid w:val="00114E9D"/>
    <w:rsid w:val="0011507B"/>
    <w:rsid w:val="001155AD"/>
    <w:rsid w:val="0011627A"/>
    <w:rsid w:val="00116328"/>
    <w:rsid w:val="001163CF"/>
    <w:rsid w:val="001174C9"/>
    <w:rsid w:val="00117E69"/>
    <w:rsid w:val="001204D2"/>
    <w:rsid w:val="00121103"/>
    <w:rsid w:val="001215B2"/>
    <w:rsid w:val="00121BAB"/>
    <w:rsid w:val="00121E3C"/>
    <w:rsid w:val="00122161"/>
    <w:rsid w:val="00122B23"/>
    <w:rsid w:val="00122B7E"/>
    <w:rsid w:val="00123FB5"/>
    <w:rsid w:val="0012400F"/>
    <w:rsid w:val="001249DC"/>
    <w:rsid w:val="0012572D"/>
    <w:rsid w:val="00125AC2"/>
    <w:rsid w:val="00125BED"/>
    <w:rsid w:val="00125C59"/>
    <w:rsid w:val="00125D4F"/>
    <w:rsid w:val="00125DDE"/>
    <w:rsid w:val="00127004"/>
    <w:rsid w:val="00127AF2"/>
    <w:rsid w:val="00127EDC"/>
    <w:rsid w:val="00127F6D"/>
    <w:rsid w:val="00127FF6"/>
    <w:rsid w:val="00130355"/>
    <w:rsid w:val="00130365"/>
    <w:rsid w:val="0013158E"/>
    <w:rsid w:val="0013182D"/>
    <w:rsid w:val="00131B5A"/>
    <w:rsid w:val="00131CA8"/>
    <w:rsid w:val="0013237B"/>
    <w:rsid w:val="00132C30"/>
    <w:rsid w:val="00132EFD"/>
    <w:rsid w:val="00132F9C"/>
    <w:rsid w:val="00133AED"/>
    <w:rsid w:val="00134E09"/>
    <w:rsid w:val="00134E7E"/>
    <w:rsid w:val="00135128"/>
    <w:rsid w:val="00135DB9"/>
    <w:rsid w:val="001360C5"/>
    <w:rsid w:val="00136394"/>
    <w:rsid w:val="0013695C"/>
    <w:rsid w:val="00136BF7"/>
    <w:rsid w:val="001378B9"/>
    <w:rsid w:val="00137FFA"/>
    <w:rsid w:val="00140109"/>
    <w:rsid w:val="0014029B"/>
    <w:rsid w:val="00140464"/>
    <w:rsid w:val="0014049C"/>
    <w:rsid w:val="00140A4F"/>
    <w:rsid w:val="001413AB"/>
    <w:rsid w:val="00141DBF"/>
    <w:rsid w:val="0014275B"/>
    <w:rsid w:val="00142EFD"/>
    <w:rsid w:val="00142F55"/>
    <w:rsid w:val="00144166"/>
    <w:rsid w:val="0014430C"/>
    <w:rsid w:val="00144335"/>
    <w:rsid w:val="00144A77"/>
    <w:rsid w:val="0014502F"/>
    <w:rsid w:val="00145282"/>
    <w:rsid w:val="001453B0"/>
    <w:rsid w:val="001454D9"/>
    <w:rsid w:val="00145D8E"/>
    <w:rsid w:val="00146083"/>
    <w:rsid w:val="001462F7"/>
    <w:rsid w:val="00146B92"/>
    <w:rsid w:val="00146CE0"/>
    <w:rsid w:val="00146EF0"/>
    <w:rsid w:val="00147046"/>
    <w:rsid w:val="00147BED"/>
    <w:rsid w:val="00147F35"/>
    <w:rsid w:val="00150005"/>
    <w:rsid w:val="00150795"/>
    <w:rsid w:val="001518D7"/>
    <w:rsid w:val="00151AEB"/>
    <w:rsid w:val="00151B99"/>
    <w:rsid w:val="00151C1E"/>
    <w:rsid w:val="001521B2"/>
    <w:rsid w:val="00152EDD"/>
    <w:rsid w:val="00153451"/>
    <w:rsid w:val="00153491"/>
    <w:rsid w:val="0015357B"/>
    <w:rsid w:val="0015361C"/>
    <w:rsid w:val="0015372F"/>
    <w:rsid w:val="00153BFB"/>
    <w:rsid w:val="0015407E"/>
    <w:rsid w:val="0015448E"/>
    <w:rsid w:val="00154A6F"/>
    <w:rsid w:val="00154F04"/>
    <w:rsid w:val="001553CA"/>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610"/>
    <w:rsid w:val="00165703"/>
    <w:rsid w:val="00165CA8"/>
    <w:rsid w:val="001666F5"/>
    <w:rsid w:val="0016685F"/>
    <w:rsid w:val="00166DF9"/>
    <w:rsid w:val="0016712F"/>
    <w:rsid w:val="00167503"/>
    <w:rsid w:val="001676A9"/>
    <w:rsid w:val="00167895"/>
    <w:rsid w:val="00167A15"/>
    <w:rsid w:val="00167A50"/>
    <w:rsid w:val="00167DF5"/>
    <w:rsid w:val="00170001"/>
    <w:rsid w:val="00170A37"/>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229"/>
    <w:rsid w:val="00177F50"/>
    <w:rsid w:val="001805C1"/>
    <w:rsid w:val="001807B6"/>
    <w:rsid w:val="00180A2E"/>
    <w:rsid w:val="001813AF"/>
    <w:rsid w:val="001829CD"/>
    <w:rsid w:val="00182BC4"/>
    <w:rsid w:val="00182F01"/>
    <w:rsid w:val="00183627"/>
    <w:rsid w:val="00183CAA"/>
    <w:rsid w:val="00183FCD"/>
    <w:rsid w:val="00184F27"/>
    <w:rsid w:val="0018519B"/>
    <w:rsid w:val="001853AC"/>
    <w:rsid w:val="00185966"/>
    <w:rsid w:val="00185A2D"/>
    <w:rsid w:val="00185AFE"/>
    <w:rsid w:val="00185BE0"/>
    <w:rsid w:val="00185E78"/>
    <w:rsid w:val="00187061"/>
    <w:rsid w:val="00187177"/>
    <w:rsid w:val="001871EE"/>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1F8"/>
    <w:rsid w:val="00194335"/>
    <w:rsid w:val="001946AE"/>
    <w:rsid w:val="001946D5"/>
    <w:rsid w:val="00194804"/>
    <w:rsid w:val="00194E8C"/>
    <w:rsid w:val="0019527C"/>
    <w:rsid w:val="001962EC"/>
    <w:rsid w:val="0019638E"/>
    <w:rsid w:val="001963DD"/>
    <w:rsid w:val="001965DB"/>
    <w:rsid w:val="00196D01"/>
    <w:rsid w:val="00196DC9"/>
    <w:rsid w:val="00196E95"/>
    <w:rsid w:val="00196FB6"/>
    <w:rsid w:val="00197CF9"/>
    <w:rsid w:val="001A0236"/>
    <w:rsid w:val="001A0427"/>
    <w:rsid w:val="001A0930"/>
    <w:rsid w:val="001A0AF8"/>
    <w:rsid w:val="001A15B9"/>
    <w:rsid w:val="001A18D5"/>
    <w:rsid w:val="001A19BA"/>
    <w:rsid w:val="001A1A38"/>
    <w:rsid w:val="001A1BE0"/>
    <w:rsid w:val="001A1D4A"/>
    <w:rsid w:val="001A3011"/>
    <w:rsid w:val="001A32CA"/>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B63A1"/>
    <w:rsid w:val="001B6A5F"/>
    <w:rsid w:val="001B6D07"/>
    <w:rsid w:val="001C07C6"/>
    <w:rsid w:val="001C0848"/>
    <w:rsid w:val="001C19CD"/>
    <w:rsid w:val="001C22D5"/>
    <w:rsid w:val="001C2394"/>
    <w:rsid w:val="001C2515"/>
    <w:rsid w:val="001C26FB"/>
    <w:rsid w:val="001C2BE4"/>
    <w:rsid w:val="001C33C1"/>
    <w:rsid w:val="001C3D55"/>
    <w:rsid w:val="001C3E30"/>
    <w:rsid w:val="001C3E5C"/>
    <w:rsid w:val="001C5072"/>
    <w:rsid w:val="001C562B"/>
    <w:rsid w:val="001C5B2A"/>
    <w:rsid w:val="001C600B"/>
    <w:rsid w:val="001C6898"/>
    <w:rsid w:val="001C6DD8"/>
    <w:rsid w:val="001C6DFF"/>
    <w:rsid w:val="001C7C7B"/>
    <w:rsid w:val="001D068D"/>
    <w:rsid w:val="001D07FA"/>
    <w:rsid w:val="001D0D77"/>
    <w:rsid w:val="001D0E93"/>
    <w:rsid w:val="001D0EC9"/>
    <w:rsid w:val="001D12D1"/>
    <w:rsid w:val="001D1435"/>
    <w:rsid w:val="001D15DF"/>
    <w:rsid w:val="001D30F3"/>
    <w:rsid w:val="001D31A0"/>
    <w:rsid w:val="001D338E"/>
    <w:rsid w:val="001D4F13"/>
    <w:rsid w:val="001D56E9"/>
    <w:rsid w:val="001D5922"/>
    <w:rsid w:val="001D5EE1"/>
    <w:rsid w:val="001D653E"/>
    <w:rsid w:val="001D6CDD"/>
    <w:rsid w:val="001D718C"/>
    <w:rsid w:val="001D796A"/>
    <w:rsid w:val="001D7A84"/>
    <w:rsid w:val="001D7C79"/>
    <w:rsid w:val="001E003B"/>
    <w:rsid w:val="001E1050"/>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1E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736"/>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A3C"/>
    <w:rsid w:val="00217DB8"/>
    <w:rsid w:val="002202CE"/>
    <w:rsid w:val="0022032A"/>
    <w:rsid w:val="00221715"/>
    <w:rsid w:val="0022194E"/>
    <w:rsid w:val="002220B1"/>
    <w:rsid w:val="002221CE"/>
    <w:rsid w:val="00222BE8"/>
    <w:rsid w:val="00223102"/>
    <w:rsid w:val="002232CB"/>
    <w:rsid w:val="00224022"/>
    <w:rsid w:val="002246FF"/>
    <w:rsid w:val="00224A66"/>
    <w:rsid w:val="002255B7"/>
    <w:rsid w:val="00226055"/>
    <w:rsid w:val="0022613F"/>
    <w:rsid w:val="00226236"/>
    <w:rsid w:val="002269B2"/>
    <w:rsid w:val="002270C9"/>
    <w:rsid w:val="00227A41"/>
    <w:rsid w:val="00227A8B"/>
    <w:rsid w:val="0023146B"/>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0F5"/>
    <w:rsid w:val="00245718"/>
    <w:rsid w:val="00245E07"/>
    <w:rsid w:val="00246AEC"/>
    <w:rsid w:val="00246D2A"/>
    <w:rsid w:val="00247712"/>
    <w:rsid w:val="00247874"/>
    <w:rsid w:val="00247F95"/>
    <w:rsid w:val="00250EC6"/>
    <w:rsid w:val="0025147C"/>
    <w:rsid w:val="002515C7"/>
    <w:rsid w:val="00251866"/>
    <w:rsid w:val="00251A9F"/>
    <w:rsid w:val="002522CE"/>
    <w:rsid w:val="00252492"/>
    <w:rsid w:val="00252B35"/>
    <w:rsid w:val="0025316D"/>
    <w:rsid w:val="00253A02"/>
    <w:rsid w:val="00253B81"/>
    <w:rsid w:val="00254292"/>
    <w:rsid w:val="002554DE"/>
    <w:rsid w:val="00255575"/>
    <w:rsid w:val="00255E11"/>
    <w:rsid w:val="00256835"/>
    <w:rsid w:val="002569F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5F7"/>
    <w:rsid w:val="0026368F"/>
    <w:rsid w:val="002637A4"/>
    <w:rsid w:val="0026397B"/>
    <w:rsid w:val="00263A37"/>
    <w:rsid w:val="0026478A"/>
    <w:rsid w:val="0026480D"/>
    <w:rsid w:val="002653A6"/>
    <w:rsid w:val="00265D28"/>
    <w:rsid w:val="002661F1"/>
    <w:rsid w:val="00266AC9"/>
    <w:rsid w:val="00266DB6"/>
    <w:rsid w:val="002674E8"/>
    <w:rsid w:val="00270802"/>
    <w:rsid w:val="002711A4"/>
    <w:rsid w:val="00271ECB"/>
    <w:rsid w:val="00271F13"/>
    <w:rsid w:val="0027278E"/>
    <w:rsid w:val="0027482E"/>
    <w:rsid w:val="00274842"/>
    <w:rsid w:val="00274DB5"/>
    <w:rsid w:val="00275423"/>
    <w:rsid w:val="00275BB1"/>
    <w:rsid w:val="00277933"/>
    <w:rsid w:val="00277F8D"/>
    <w:rsid w:val="00277FA7"/>
    <w:rsid w:val="00280046"/>
    <w:rsid w:val="00280710"/>
    <w:rsid w:val="00280B4F"/>
    <w:rsid w:val="00280F3D"/>
    <w:rsid w:val="0028106A"/>
    <w:rsid w:val="00281EB4"/>
    <w:rsid w:val="0028308E"/>
    <w:rsid w:val="002834E9"/>
    <w:rsid w:val="0028359D"/>
    <w:rsid w:val="00283975"/>
    <w:rsid w:val="00283A52"/>
    <w:rsid w:val="00283C5E"/>
    <w:rsid w:val="00283E26"/>
    <w:rsid w:val="0028428F"/>
    <w:rsid w:val="00284CFC"/>
    <w:rsid w:val="00285832"/>
    <w:rsid w:val="00285969"/>
    <w:rsid w:val="00285D7C"/>
    <w:rsid w:val="00285E33"/>
    <w:rsid w:val="0028663B"/>
    <w:rsid w:val="00286CEC"/>
    <w:rsid w:val="002870F9"/>
    <w:rsid w:val="002871A9"/>
    <w:rsid w:val="00287505"/>
    <w:rsid w:val="00287C82"/>
    <w:rsid w:val="00287D71"/>
    <w:rsid w:val="00290781"/>
    <w:rsid w:val="00291784"/>
    <w:rsid w:val="00292031"/>
    <w:rsid w:val="002920DF"/>
    <w:rsid w:val="0029273C"/>
    <w:rsid w:val="002929BB"/>
    <w:rsid w:val="00294368"/>
    <w:rsid w:val="00294514"/>
    <w:rsid w:val="00294B78"/>
    <w:rsid w:val="00295416"/>
    <w:rsid w:val="00295949"/>
    <w:rsid w:val="00296059"/>
    <w:rsid w:val="0029624A"/>
    <w:rsid w:val="00296922"/>
    <w:rsid w:val="00297098"/>
    <w:rsid w:val="002A0512"/>
    <w:rsid w:val="002A05D4"/>
    <w:rsid w:val="002A06DB"/>
    <w:rsid w:val="002A09FF"/>
    <w:rsid w:val="002A0E60"/>
    <w:rsid w:val="002A1A58"/>
    <w:rsid w:val="002A1B02"/>
    <w:rsid w:val="002A1C53"/>
    <w:rsid w:val="002A244B"/>
    <w:rsid w:val="002A28FC"/>
    <w:rsid w:val="002A2B44"/>
    <w:rsid w:val="002A2D8E"/>
    <w:rsid w:val="002A2EA5"/>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B25"/>
    <w:rsid w:val="002B1F83"/>
    <w:rsid w:val="002B27C8"/>
    <w:rsid w:val="002B2A7F"/>
    <w:rsid w:val="002B330B"/>
    <w:rsid w:val="002B3725"/>
    <w:rsid w:val="002B39BE"/>
    <w:rsid w:val="002B438C"/>
    <w:rsid w:val="002B48DB"/>
    <w:rsid w:val="002B4B34"/>
    <w:rsid w:val="002B51B0"/>
    <w:rsid w:val="002B541A"/>
    <w:rsid w:val="002B5EAB"/>
    <w:rsid w:val="002B6407"/>
    <w:rsid w:val="002B6416"/>
    <w:rsid w:val="002B6459"/>
    <w:rsid w:val="002B7014"/>
    <w:rsid w:val="002B73B0"/>
    <w:rsid w:val="002C0609"/>
    <w:rsid w:val="002C1C10"/>
    <w:rsid w:val="002C24B4"/>
    <w:rsid w:val="002C2851"/>
    <w:rsid w:val="002C2B3A"/>
    <w:rsid w:val="002C2B87"/>
    <w:rsid w:val="002C2BCE"/>
    <w:rsid w:val="002C3CF4"/>
    <w:rsid w:val="002C4269"/>
    <w:rsid w:val="002C441A"/>
    <w:rsid w:val="002C4670"/>
    <w:rsid w:val="002C4A73"/>
    <w:rsid w:val="002C4B84"/>
    <w:rsid w:val="002C4C0C"/>
    <w:rsid w:val="002C4C5F"/>
    <w:rsid w:val="002C5016"/>
    <w:rsid w:val="002C55C3"/>
    <w:rsid w:val="002C5C2F"/>
    <w:rsid w:val="002C5C39"/>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2AB8"/>
    <w:rsid w:val="002D3003"/>
    <w:rsid w:val="002D302A"/>
    <w:rsid w:val="002D3552"/>
    <w:rsid w:val="002D36C6"/>
    <w:rsid w:val="002D3749"/>
    <w:rsid w:val="002D37C1"/>
    <w:rsid w:val="002D3822"/>
    <w:rsid w:val="002D444B"/>
    <w:rsid w:val="002D4A45"/>
    <w:rsid w:val="002D4B42"/>
    <w:rsid w:val="002D4B43"/>
    <w:rsid w:val="002D4CF8"/>
    <w:rsid w:val="002D508D"/>
    <w:rsid w:val="002D56D7"/>
    <w:rsid w:val="002D5A10"/>
    <w:rsid w:val="002D5A1B"/>
    <w:rsid w:val="002D65BC"/>
    <w:rsid w:val="002D6960"/>
    <w:rsid w:val="002D6A45"/>
    <w:rsid w:val="002D7856"/>
    <w:rsid w:val="002E002E"/>
    <w:rsid w:val="002E055C"/>
    <w:rsid w:val="002E0774"/>
    <w:rsid w:val="002E1050"/>
    <w:rsid w:val="002E107E"/>
    <w:rsid w:val="002E18E5"/>
    <w:rsid w:val="002E1953"/>
    <w:rsid w:val="002E2CB5"/>
    <w:rsid w:val="002E2D7D"/>
    <w:rsid w:val="002E2F06"/>
    <w:rsid w:val="002E32D0"/>
    <w:rsid w:val="002E372E"/>
    <w:rsid w:val="002E3B33"/>
    <w:rsid w:val="002E3D76"/>
    <w:rsid w:val="002E40A1"/>
    <w:rsid w:val="002E48EC"/>
    <w:rsid w:val="002E4B44"/>
    <w:rsid w:val="002E4ECB"/>
    <w:rsid w:val="002E4EF3"/>
    <w:rsid w:val="002E4F23"/>
    <w:rsid w:val="002E5308"/>
    <w:rsid w:val="002E5CBC"/>
    <w:rsid w:val="002E635A"/>
    <w:rsid w:val="002E6D68"/>
    <w:rsid w:val="002E6FF3"/>
    <w:rsid w:val="002E703A"/>
    <w:rsid w:val="002E77F0"/>
    <w:rsid w:val="002E7847"/>
    <w:rsid w:val="002E790B"/>
    <w:rsid w:val="002E7F03"/>
    <w:rsid w:val="002F0073"/>
    <w:rsid w:val="002F1C3F"/>
    <w:rsid w:val="002F1C67"/>
    <w:rsid w:val="002F2319"/>
    <w:rsid w:val="002F240B"/>
    <w:rsid w:val="002F26B7"/>
    <w:rsid w:val="002F2F50"/>
    <w:rsid w:val="002F33EC"/>
    <w:rsid w:val="002F34E3"/>
    <w:rsid w:val="002F3601"/>
    <w:rsid w:val="002F3A37"/>
    <w:rsid w:val="002F3D33"/>
    <w:rsid w:val="002F45F6"/>
    <w:rsid w:val="002F4B0A"/>
    <w:rsid w:val="002F5A6F"/>
    <w:rsid w:val="002F6363"/>
    <w:rsid w:val="002F692F"/>
    <w:rsid w:val="002F7522"/>
    <w:rsid w:val="002F7B66"/>
    <w:rsid w:val="00300CB4"/>
    <w:rsid w:val="00300E24"/>
    <w:rsid w:val="00300F2F"/>
    <w:rsid w:val="00303333"/>
    <w:rsid w:val="003033BA"/>
    <w:rsid w:val="00303771"/>
    <w:rsid w:val="003039A9"/>
    <w:rsid w:val="00303BAF"/>
    <w:rsid w:val="00303C19"/>
    <w:rsid w:val="003043A3"/>
    <w:rsid w:val="00304BD4"/>
    <w:rsid w:val="0030500A"/>
    <w:rsid w:val="003052EB"/>
    <w:rsid w:val="003056D2"/>
    <w:rsid w:val="00305CBF"/>
    <w:rsid w:val="00305FCB"/>
    <w:rsid w:val="003063C3"/>
    <w:rsid w:val="0030689D"/>
    <w:rsid w:val="0030691E"/>
    <w:rsid w:val="003069DC"/>
    <w:rsid w:val="00306B44"/>
    <w:rsid w:val="003072EE"/>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882"/>
    <w:rsid w:val="00313CE3"/>
    <w:rsid w:val="00313EA3"/>
    <w:rsid w:val="003148F5"/>
    <w:rsid w:val="00314D61"/>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2CF6"/>
    <w:rsid w:val="00323881"/>
    <w:rsid w:val="00324721"/>
    <w:rsid w:val="003247ED"/>
    <w:rsid w:val="003251A8"/>
    <w:rsid w:val="0032539E"/>
    <w:rsid w:val="003254B1"/>
    <w:rsid w:val="00325D98"/>
    <w:rsid w:val="0032682A"/>
    <w:rsid w:val="00327172"/>
    <w:rsid w:val="00327A5C"/>
    <w:rsid w:val="00327DFE"/>
    <w:rsid w:val="0033092C"/>
    <w:rsid w:val="0033122A"/>
    <w:rsid w:val="0033134D"/>
    <w:rsid w:val="003315AC"/>
    <w:rsid w:val="00331932"/>
    <w:rsid w:val="00332382"/>
    <w:rsid w:val="00332453"/>
    <w:rsid w:val="0033251B"/>
    <w:rsid w:val="00332E7C"/>
    <w:rsid w:val="00332F8C"/>
    <w:rsid w:val="00332FCC"/>
    <w:rsid w:val="00333196"/>
    <w:rsid w:val="00333A88"/>
    <w:rsid w:val="00335B15"/>
    <w:rsid w:val="00335B21"/>
    <w:rsid w:val="00335D3F"/>
    <w:rsid w:val="00336104"/>
    <w:rsid w:val="00336140"/>
    <w:rsid w:val="00336155"/>
    <w:rsid w:val="00336729"/>
    <w:rsid w:val="0033726D"/>
    <w:rsid w:val="00337A59"/>
    <w:rsid w:val="00337CA8"/>
    <w:rsid w:val="00340D3F"/>
    <w:rsid w:val="0034174B"/>
    <w:rsid w:val="0034177C"/>
    <w:rsid w:val="003420E9"/>
    <w:rsid w:val="0034213F"/>
    <w:rsid w:val="003422D0"/>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78E"/>
    <w:rsid w:val="00347A5A"/>
    <w:rsid w:val="00347E5F"/>
    <w:rsid w:val="003501E2"/>
    <w:rsid w:val="0035087D"/>
    <w:rsid w:val="00351E10"/>
    <w:rsid w:val="00352021"/>
    <w:rsid w:val="003523F5"/>
    <w:rsid w:val="003533F4"/>
    <w:rsid w:val="003536F6"/>
    <w:rsid w:val="00353765"/>
    <w:rsid w:val="00353D10"/>
    <w:rsid w:val="00353DD5"/>
    <w:rsid w:val="00353F0E"/>
    <w:rsid w:val="00355131"/>
    <w:rsid w:val="00355A19"/>
    <w:rsid w:val="00355AEB"/>
    <w:rsid w:val="00355C52"/>
    <w:rsid w:val="00355F74"/>
    <w:rsid w:val="003560DB"/>
    <w:rsid w:val="003564DB"/>
    <w:rsid w:val="00356F87"/>
    <w:rsid w:val="0035719F"/>
    <w:rsid w:val="00357DFE"/>
    <w:rsid w:val="00360CF3"/>
    <w:rsid w:val="003617FD"/>
    <w:rsid w:val="00361A59"/>
    <w:rsid w:val="003627DA"/>
    <w:rsid w:val="00363348"/>
    <w:rsid w:val="0036366B"/>
    <w:rsid w:val="00363857"/>
    <w:rsid w:val="00363D59"/>
    <w:rsid w:val="003640F7"/>
    <w:rsid w:val="00365D3A"/>
    <w:rsid w:val="00366314"/>
    <w:rsid w:val="003663C3"/>
    <w:rsid w:val="003664FF"/>
    <w:rsid w:val="00366BD2"/>
    <w:rsid w:val="003670B8"/>
    <w:rsid w:val="00367519"/>
    <w:rsid w:val="0036796F"/>
    <w:rsid w:val="00367A7A"/>
    <w:rsid w:val="00370488"/>
    <w:rsid w:val="003704A3"/>
    <w:rsid w:val="003706F2"/>
    <w:rsid w:val="0037124F"/>
    <w:rsid w:val="003722B3"/>
    <w:rsid w:val="003723CD"/>
    <w:rsid w:val="003724CE"/>
    <w:rsid w:val="0037252E"/>
    <w:rsid w:val="00372FC3"/>
    <w:rsid w:val="003731DC"/>
    <w:rsid w:val="003731E4"/>
    <w:rsid w:val="00373827"/>
    <w:rsid w:val="003738A4"/>
    <w:rsid w:val="0037401C"/>
    <w:rsid w:val="00374533"/>
    <w:rsid w:val="00374601"/>
    <w:rsid w:val="00374D49"/>
    <w:rsid w:val="0037507B"/>
    <w:rsid w:val="00375179"/>
    <w:rsid w:val="00375627"/>
    <w:rsid w:val="003759DC"/>
    <w:rsid w:val="00375C7C"/>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40FA"/>
    <w:rsid w:val="00384DF1"/>
    <w:rsid w:val="00384FF3"/>
    <w:rsid w:val="0038512F"/>
    <w:rsid w:val="00385BC4"/>
    <w:rsid w:val="00385CB6"/>
    <w:rsid w:val="00386456"/>
    <w:rsid w:val="003865A9"/>
    <w:rsid w:val="00387F4F"/>
    <w:rsid w:val="0039092B"/>
    <w:rsid w:val="00390DB1"/>
    <w:rsid w:val="00390F32"/>
    <w:rsid w:val="0039135E"/>
    <w:rsid w:val="0039146D"/>
    <w:rsid w:val="003916BF"/>
    <w:rsid w:val="00392B66"/>
    <w:rsid w:val="0039319C"/>
    <w:rsid w:val="00393577"/>
    <w:rsid w:val="00393CAE"/>
    <w:rsid w:val="00394194"/>
    <w:rsid w:val="003945F4"/>
    <w:rsid w:val="00394849"/>
    <w:rsid w:val="00394EB5"/>
    <w:rsid w:val="00394F19"/>
    <w:rsid w:val="003953B4"/>
    <w:rsid w:val="0039615F"/>
    <w:rsid w:val="00396280"/>
    <w:rsid w:val="003966A0"/>
    <w:rsid w:val="00396A29"/>
    <w:rsid w:val="00396A6C"/>
    <w:rsid w:val="00397FF0"/>
    <w:rsid w:val="003A0878"/>
    <w:rsid w:val="003A0C7E"/>
    <w:rsid w:val="003A125E"/>
    <w:rsid w:val="003A1561"/>
    <w:rsid w:val="003A166B"/>
    <w:rsid w:val="003A196E"/>
    <w:rsid w:val="003A1D25"/>
    <w:rsid w:val="003A204F"/>
    <w:rsid w:val="003A22A2"/>
    <w:rsid w:val="003A2447"/>
    <w:rsid w:val="003A2939"/>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06"/>
    <w:rsid w:val="003A78E5"/>
    <w:rsid w:val="003A7C8D"/>
    <w:rsid w:val="003A7DCE"/>
    <w:rsid w:val="003B0341"/>
    <w:rsid w:val="003B0A10"/>
    <w:rsid w:val="003B1E57"/>
    <w:rsid w:val="003B2870"/>
    <w:rsid w:val="003B29D4"/>
    <w:rsid w:val="003B2B6C"/>
    <w:rsid w:val="003B2C8A"/>
    <w:rsid w:val="003B2EF3"/>
    <w:rsid w:val="003B46CE"/>
    <w:rsid w:val="003B4A4D"/>
    <w:rsid w:val="003B4DA9"/>
    <w:rsid w:val="003B534F"/>
    <w:rsid w:val="003B5391"/>
    <w:rsid w:val="003B56D6"/>
    <w:rsid w:val="003B58CE"/>
    <w:rsid w:val="003B65D7"/>
    <w:rsid w:val="003B65E0"/>
    <w:rsid w:val="003B6BD4"/>
    <w:rsid w:val="003B6E98"/>
    <w:rsid w:val="003B6F4D"/>
    <w:rsid w:val="003B6FE7"/>
    <w:rsid w:val="003B7377"/>
    <w:rsid w:val="003C0D1F"/>
    <w:rsid w:val="003C116A"/>
    <w:rsid w:val="003C1801"/>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01B"/>
    <w:rsid w:val="003D3B15"/>
    <w:rsid w:val="003D3B2E"/>
    <w:rsid w:val="003D3D44"/>
    <w:rsid w:val="003D4101"/>
    <w:rsid w:val="003D484D"/>
    <w:rsid w:val="003D49CB"/>
    <w:rsid w:val="003D58ED"/>
    <w:rsid w:val="003D6937"/>
    <w:rsid w:val="003D6B8F"/>
    <w:rsid w:val="003D7566"/>
    <w:rsid w:val="003D7FB3"/>
    <w:rsid w:val="003E0224"/>
    <w:rsid w:val="003E09BB"/>
    <w:rsid w:val="003E159D"/>
    <w:rsid w:val="003E20EA"/>
    <w:rsid w:val="003E210C"/>
    <w:rsid w:val="003E2179"/>
    <w:rsid w:val="003E284B"/>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D53"/>
    <w:rsid w:val="003F1EA8"/>
    <w:rsid w:val="003F22FB"/>
    <w:rsid w:val="003F300D"/>
    <w:rsid w:val="003F3202"/>
    <w:rsid w:val="003F391F"/>
    <w:rsid w:val="003F3E7D"/>
    <w:rsid w:val="003F428E"/>
    <w:rsid w:val="003F4599"/>
    <w:rsid w:val="003F45E1"/>
    <w:rsid w:val="003F4F6C"/>
    <w:rsid w:val="003F559E"/>
    <w:rsid w:val="003F6181"/>
    <w:rsid w:val="003F6918"/>
    <w:rsid w:val="003F6BFC"/>
    <w:rsid w:val="003F7343"/>
    <w:rsid w:val="00400002"/>
    <w:rsid w:val="00400054"/>
    <w:rsid w:val="0040025E"/>
    <w:rsid w:val="00400747"/>
    <w:rsid w:val="004010D9"/>
    <w:rsid w:val="004016A3"/>
    <w:rsid w:val="00401B31"/>
    <w:rsid w:val="0040202B"/>
    <w:rsid w:val="0040279A"/>
    <w:rsid w:val="00402DE1"/>
    <w:rsid w:val="00402EEB"/>
    <w:rsid w:val="004037C2"/>
    <w:rsid w:val="00403DF5"/>
    <w:rsid w:val="00404041"/>
    <w:rsid w:val="004047DF"/>
    <w:rsid w:val="00404B43"/>
    <w:rsid w:val="00404C61"/>
    <w:rsid w:val="004052CB"/>
    <w:rsid w:val="00405487"/>
    <w:rsid w:val="00405B8A"/>
    <w:rsid w:val="0040602B"/>
    <w:rsid w:val="00406DF5"/>
    <w:rsid w:val="00406F35"/>
    <w:rsid w:val="00407A7A"/>
    <w:rsid w:val="00407ABC"/>
    <w:rsid w:val="00407F1E"/>
    <w:rsid w:val="00410497"/>
    <w:rsid w:val="004107C1"/>
    <w:rsid w:val="00410A88"/>
    <w:rsid w:val="00410D18"/>
    <w:rsid w:val="00411317"/>
    <w:rsid w:val="00411692"/>
    <w:rsid w:val="00411A9E"/>
    <w:rsid w:val="0041259F"/>
    <w:rsid w:val="00412B4D"/>
    <w:rsid w:val="00412C51"/>
    <w:rsid w:val="004130A1"/>
    <w:rsid w:val="00413262"/>
    <w:rsid w:val="0041329C"/>
    <w:rsid w:val="00413920"/>
    <w:rsid w:val="004139F4"/>
    <w:rsid w:val="00413D85"/>
    <w:rsid w:val="00413FFA"/>
    <w:rsid w:val="00414229"/>
    <w:rsid w:val="00414246"/>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DCA"/>
    <w:rsid w:val="0042334B"/>
    <w:rsid w:val="00423562"/>
    <w:rsid w:val="004236BF"/>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33C2"/>
    <w:rsid w:val="0043448A"/>
    <w:rsid w:val="00434787"/>
    <w:rsid w:val="00434C13"/>
    <w:rsid w:val="00434C2C"/>
    <w:rsid w:val="004351CF"/>
    <w:rsid w:val="0043550E"/>
    <w:rsid w:val="00435703"/>
    <w:rsid w:val="00435B5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2FB7"/>
    <w:rsid w:val="0044374D"/>
    <w:rsid w:val="00443B55"/>
    <w:rsid w:val="00443D27"/>
    <w:rsid w:val="004445D9"/>
    <w:rsid w:val="00444FE0"/>
    <w:rsid w:val="0044500B"/>
    <w:rsid w:val="00445B5B"/>
    <w:rsid w:val="00446037"/>
    <w:rsid w:val="00446268"/>
    <w:rsid w:val="0044642F"/>
    <w:rsid w:val="0044772C"/>
    <w:rsid w:val="0044785E"/>
    <w:rsid w:val="00447D53"/>
    <w:rsid w:val="00450786"/>
    <w:rsid w:val="00450846"/>
    <w:rsid w:val="00451A52"/>
    <w:rsid w:val="004524D7"/>
    <w:rsid w:val="0045271D"/>
    <w:rsid w:val="00452755"/>
    <w:rsid w:val="00452803"/>
    <w:rsid w:val="004529C6"/>
    <w:rsid w:val="00452C51"/>
    <w:rsid w:val="00452EAD"/>
    <w:rsid w:val="004533D1"/>
    <w:rsid w:val="004534D1"/>
    <w:rsid w:val="00454548"/>
    <w:rsid w:val="00454717"/>
    <w:rsid w:val="00454AFE"/>
    <w:rsid w:val="00455004"/>
    <w:rsid w:val="00455047"/>
    <w:rsid w:val="00455111"/>
    <w:rsid w:val="00455354"/>
    <w:rsid w:val="0045558D"/>
    <w:rsid w:val="00455B70"/>
    <w:rsid w:val="00455BD3"/>
    <w:rsid w:val="00455E24"/>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3EC6"/>
    <w:rsid w:val="00464030"/>
    <w:rsid w:val="004647F8"/>
    <w:rsid w:val="004647FB"/>
    <w:rsid w:val="00465338"/>
    <w:rsid w:val="00465347"/>
    <w:rsid w:val="00465677"/>
    <w:rsid w:val="00465D72"/>
    <w:rsid w:val="00466616"/>
    <w:rsid w:val="00466A0C"/>
    <w:rsid w:val="00466A53"/>
    <w:rsid w:val="0046700B"/>
    <w:rsid w:val="004673A8"/>
    <w:rsid w:val="0046753A"/>
    <w:rsid w:val="00467D4E"/>
    <w:rsid w:val="0047098A"/>
    <w:rsid w:val="00470A6A"/>
    <w:rsid w:val="00470D52"/>
    <w:rsid w:val="00470D73"/>
    <w:rsid w:val="00470D92"/>
    <w:rsid w:val="00471305"/>
    <w:rsid w:val="00471D8F"/>
    <w:rsid w:val="00471DF7"/>
    <w:rsid w:val="004734CF"/>
    <w:rsid w:val="004734E9"/>
    <w:rsid w:val="004737EA"/>
    <w:rsid w:val="004742F0"/>
    <w:rsid w:val="00475C5A"/>
    <w:rsid w:val="00475C9C"/>
    <w:rsid w:val="004760A5"/>
    <w:rsid w:val="0047676B"/>
    <w:rsid w:val="0047773C"/>
    <w:rsid w:val="00477C5F"/>
    <w:rsid w:val="00477E15"/>
    <w:rsid w:val="00480050"/>
    <w:rsid w:val="0048011C"/>
    <w:rsid w:val="004808DE"/>
    <w:rsid w:val="00480CDC"/>
    <w:rsid w:val="00481AC4"/>
    <w:rsid w:val="00481DC1"/>
    <w:rsid w:val="00482490"/>
    <w:rsid w:val="00482507"/>
    <w:rsid w:val="0048268A"/>
    <w:rsid w:val="00482DE8"/>
    <w:rsid w:val="004835CA"/>
    <w:rsid w:val="004836F8"/>
    <w:rsid w:val="004836FE"/>
    <w:rsid w:val="00483AED"/>
    <w:rsid w:val="00484F0F"/>
    <w:rsid w:val="00484F40"/>
    <w:rsid w:val="00484F71"/>
    <w:rsid w:val="0048502C"/>
    <w:rsid w:val="0048540C"/>
    <w:rsid w:val="004861B4"/>
    <w:rsid w:val="00486BD0"/>
    <w:rsid w:val="00486D00"/>
    <w:rsid w:val="00487263"/>
    <w:rsid w:val="0048734F"/>
    <w:rsid w:val="00487532"/>
    <w:rsid w:val="00487E31"/>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6C1"/>
    <w:rsid w:val="004A1CE2"/>
    <w:rsid w:val="004A2823"/>
    <w:rsid w:val="004A34BA"/>
    <w:rsid w:val="004A34D2"/>
    <w:rsid w:val="004A369B"/>
    <w:rsid w:val="004A3CF6"/>
    <w:rsid w:val="004A4301"/>
    <w:rsid w:val="004A4D93"/>
    <w:rsid w:val="004A58EE"/>
    <w:rsid w:val="004A59B7"/>
    <w:rsid w:val="004A5FFA"/>
    <w:rsid w:val="004A6051"/>
    <w:rsid w:val="004A623B"/>
    <w:rsid w:val="004A6A04"/>
    <w:rsid w:val="004A6A52"/>
    <w:rsid w:val="004B0A44"/>
    <w:rsid w:val="004B0F0B"/>
    <w:rsid w:val="004B11B7"/>
    <w:rsid w:val="004B2197"/>
    <w:rsid w:val="004B28E0"/>
    <w:rsid w:val="004B298A"/>
    <w:rsid w:val="004B34C4"/>
    <w:rsid w:val="004B3BBC"/>
    <w:rsid w:val="004B50CB"/>
    <w:rsid w:val="004B578D"/>
    <w:rsid w:val="004B5BE7"/>
    <w:rsid w:val="004B5E2D"/>
    <w:rsid w:val="004B6394"/>
    <w:rsid w:val="004B652A"/>
    <w:rsid w:val="004B66CD"/>
    <w:rsid w:val="004B6C07"/>
    <w:rsid w:val="004B74D3"/>
    <w:rsid w:val="004B788E"/>
    <w:rsid w:val="004B7E5D"/>
    <w:rsid w:val="004C072C"/>
    <w:rsid w:val="004C112A"/>
    <w:rsid w:val="004C1B39"/>
    <w:rsid w:val="004C2180"/>
    <w:rsid w:val="004C22F7"/>
    <w:rsid w:val="004C2B27"/>
    <w:rsid w:val="004C3219"/>
    <w:rsid w:val="004C3929"/>
    <w:rsid w:val="004C3BDA"/>
    <w:rsid w:val="004C3CBF"/>
    <w:rsid w:val="004C47DF"/>
    <w:rsid w:val="004C4DED"/>
    <w:rsid w:val="004C5212"/>
    <w:rsid w:val="004C580A"/>
    <w:rsid w:val="004C5E63"/>
    <w:rsid w:val="004C5EF0"/>
    <w:rsid w:val="004C63DB"/>
    <w:rsid w:val="004C64C9"/>
    <w:rsid w:val="004C7226"/>
    <w:rsid w:val="004C74C9"/>
    <w:rsid w:val="004C7915"/>
    <w:rsid w:val="004C79BC"/>
    <w:rsid w:val="004C7D70"/>
    <w:rsid w:val="004D02F9"/>
    <w:rsid w:val="004D03FE"/>
    <w:rsid w:val="004D0446"/>
    <w:rsid w:val="004D06A3"/>
    <w:rsid w:val="004D0D3C"/>
    <w:rsid w:val="004D0F95"/>
    <w:rsid w:val="004D1006"/>
    <w:rsid w:val="004D106A"/>
    <w:rsid w:val="004D106C"/>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D1"/>
    <w:rsid w:val="004D6120"/>
    <w:rsid w:val="004D62A3"/>
    <w:rsid w:val="004D6826"/>
    <w:rsid w:val="004D6D7F"/>
    <w:rsid w:val="004E023F"/>
    <w:rsid w:val="004E038F"/>
    <w:rsid w:val="004E0546"/>
    <w:rsid w:val="004E0742"/>
    <w:rsid w:val="004E0C64"/>
    <w:rsid w:val="004E0F6B"/>
    <w:rsid w:val="004E10F5"/>
    <w:rsid w:val="004E1188"/>
    <w:rsid w:val="004E1545"/>
    <w:rsid w:val="004E15BC"/>
    <w:rsid w:val="004E1C3E"/>
    <w:rsid w:val="004E1F1C"/>
    <w:rsid w:val="004E2A35"/>
    <w:rsid w:val="004E2ED3"/>
    <w:rsid w:val="004E40CE"/>
    <w:rsid w:val="004E4C2E"/>
    <w:rsid w:val="004E5736"/>
    <w:rsid w:val="004E58ED"/>
    <w:rsid w:val="004E5A3C"/>
    <w:rsid w:val="004E5AA8"/>
    <w:rsid w:val="004E5B36"/>
    <w:rsid w:val="004E5D5D"/>
    <w:rsid w:val="004E6045"/>
    <w:rsid w:val="004E6F43"/>
    <w:rsid w:val="004E702F"/>
    <w:rsid w:val="004E7200"/>
    <w:rsid w:val="004E787E"/>
    <w:rsid w:val="004F05EA"/>
    <w:rsid w:val="004F0960"/>
    <w:rsid w:val="004F0A5C"/>
    <w:rsid w:val="004F163F"/>
    <w:rsid w:val="004F18A0"/>
    <w:rsid w:val="004F1A08"/>
    <w:rsid w:val="004F2B64"/>
    <w:rsid w:val="004F31B8"/>
    <w:rsid w:val="004F375E"/>
    <w:rsid w:val="004F3764"/>
    <w:rsid w:val="004F3C90"/>
    <w:rsid w:val="004F3DB4"/>
    <w:rsid w:val="004F3E42"/>
    <w:rsid w:val="004F3EEF"/>
    <w:rsid w:val="004F5180"/>
    <w:rsid w:val="004F57C9"/>
    <w:rsid w:val="004F5930"/>
    <w:rsid w:val="004F5970"/>
    <w:rsid w:val="004F5F0C"/>
    <w:rsid w:val="004F5F46"/>
    <w:rsid w:val="004F6121"/>
    <w:rsid w:val="004F6161"/>
    <w:rsid w:val="004F66BC"/>
    <w:rsid w:val="004F6B63"/>
    <w:rsid w:val="004F6C26"/>
    <w:rsid w:val="004F7A41"/>
    <w:rsid w:val="004F7AC9"/>
    <w:rsid w:val="0050030B"/>
    <w:rsid w:val="005005F2"/>
    <w:rsid w:val="0050062F"/>
    <w:rsid w:val="00500E74"/>
    <w:rsid w:val="0050112F"/>
    <w:rsid w:val="0050160F"/>
    <w:rsid w:val="0050284E"/>
    <w:rsid w:val="00502993"/>
    <w:rsid w:val="0050306F"/>
    <w:rsid w:val="00505016"/>
    <w:rsid w:val="00505DCB"/>
    <w:rsid w:val="00505DE1"/>
    <w:rsid w:val="0050703E"/>
    <w:rsid w:val="005075CA"/>
    <w:rsid w:val="00507B06"/>
    <w:rsid w:val="00507BF1"/>
    <w:rsid w:val="00507D98"/>
    <w:rsid w:val="005100E0"/>
    <w:rsid w:val="0051047A"/>
    <w:rsid w:val="0051067B"/>
    <w:rsid w:val="0051074C"/>
    <w:rsid w:val="00510DE9"/>
    <w:rsid w:val="00510F21"/>
    <w:rsid w:val="005111E2"/>
    <w:rsid w:val="00511231"/>
    <w:rsid w:val="00512A24"/>
    <w:rsid w:val="00512C4F"/>
    <w:rsid w:val="00513042"/>
    <w:rsid w:val="0051329D"/>
    <w:rsid w:val="0051334F"/>
    <w:rsid w:val="00513399"/>
    <w:rsid w:val="00513455"/>
    <w:rsid w:val="00513658"/>
    <w:rsid w:val="00513AF2"/>
    <w:rsid w:val="00514575"/>
    <w:rsid w:val="00514C03"/>
    <w:rsid w:val="00514D67"/>
    <w:rsid w:val="0051522A"/>
    <w:rsid w:val="00515515"/>
    <w:rsid w:val="0051635C"/>
    <w:rsid w:val="00516C5B"/>
    <w:rsid w:val="005175E1"/>
    <w:rsid w:val="00517612"/>
    <w:rsid w:val="00517C1A"/>
    <w:rsid w:val="00517CFB"/>
    <w:rsid w:val="00517F85"/>
    <w:rsid w:val="00520235"/>
    <w:rsid w:val="00520899"/>
    <w:rsid w:val="00520922"/>
    <w:rsid w:val="005209FC"/>
    <w:rsid w:val="00520D05"/>
    <w:rsid w:val="005211D3"/>
    <w:rsid w:val="00521A30"/>
    <w:rsid w:val="005221D1"/>
    <w:rsid w:val="005224E5"/>
    <w:rsid w:val="00522831"/>
    <w:rsid w:val="00523903"/>
    <w:rsid w:val="005239B6"/>
    <w:rsid w:val="00523C45"/>
    <w:rsid w:val="00524165"/>
    <w:rsid w:val="005246E3"/>
    <w:rsid w:val="005246E7"/>
    <w:rsid w:val="00524B08"/>
    <w:rsid w:val="00524C38"/>
    <w:rsid w:val="00524FD2"/>
    <w:rsid w:val="00525621"/>
    <w:rsid w:val="005257E5"/>
    <w:rsid w:val="00525916"/>
    <w:rsid w:val="00526431"/>
    <w:rsid w:val="00527015"/>
    <w:rsid w:val="005270E8"/>
    <w:rsid w:val="005272BA"/>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7F1"/>
    <w:rsid w:val="00536053"/>
    <w:rsid w:val="00536587"/>
    <w:rsid w:val="005365B2"/>
    <w:rsid w:val="005365FF"/>
    <w:rsid w:val="00536985"/>
    <w:rsid w:val="005369E6"/>
    <w:rsid w:val="00536CBE"/>
    <w:rsid w:val="005371AC"/>
    <w:rsid w:val="00537672"/>
    <w:rsid w:val="0053772F"/>
    <w:rsid w:val="00537B77"/>
    <w:rsid w:val="005403D6"/>
    <w:rsid w:val="00540C4C"/>
    <w:rsid w:val="00541469"/>
    <w:rsid w:val="00541571"/>
    <w:rsid w:val="005419F8"/>
    <w:rsid w:val="00541B1F"/>
    <w:rsid w:val="00541F92"/>
    <w:rsid w:val="0054275A"/>
    <w:rsid w:val="005428B8"/>
    <w:rsid w:val="00542BD7"/>
    <w:rsid w:val="00543084"/>
    <w:rsid w:val="0054321E"/>
    <w:rsid w:val="00543314"/>
    <w:rsid w:val="00543584"/>
    <w:rsid w:val="00543A9E"/>
    <w:rsid w:val="0054413A"/>
    <w:rsid w:val="00544288"/>
    <w:rsid w:val="005446BB"/>
    <w:rsid w:val="005448C8"/>
    <w:rsid w:val="00544B3F"/>
    <w:rsid w:val="00544DA5"/>
    <w:rsid w:val="00544F43"/>
    <w:rsid w:val="005457D9"/>
    <w:rsid w:val="00545E30"/>
    <w:rsid w:val="00545EA3"/>
    <w:rsid w:val="00546C9B"/>
    <w:rsid w:val="00547BF6"/>
    <w:rsid w:val="00547CDD"/>
    <w:rsid w:val="00547FB3"/>
    <w:rsid w:val="00550760"/>
    <w:rsid w:val="00551098"/>
    <w:rsid w:val="00551598"/>
    <w:rsid w:val="0055162B"/>
    <w:rsid w:val="005518E6"/>
    <w:rsid w:val="00551AC4"/>
    <w:rsid w:val="00551BFF"/>
    <w:rsid w:val="00551C3A"/>
    <w:rsid w:val="00551D68"/>
    <w:rsid w:val="00551DFF"/>
    <w:rsid w:val="005525C9"/>
    <w:rsid w:val="00552B3E"/>
    <w:rsid w:val="00553730"/>
    <w:rsid w:val="00554D57"/>
    <w:rsid w:val="005551AA"/>
    <w:rsid w:val="0055583B"/>
    <w:rsid w:val="0055636A"/>
    <w:rsid w:val="005564CA"/>
    <w:rsid w:val="00556827"/>
    <w:rsid w:val="005568EA"/>
    <w:rsid w:val="00557140"/>
    <w:rsid w:val="00557984"/>
    <w:rsid w:val="00560C87"/>
    <w:rsid w:val="00560F51"/>
    <w:rsid w:val="00561249"/>
    <w:rsid w:val="00561302"/>
    <w:rsid w:val="0056132A"/>
    <w:rsid w:val="0056182B"/>
    <w:rsid w:val="00561AF3"/>
    <w:rsid w:val="00561D48"/>
    <w:rsid w:val="00561D6D"/>
    <w:rsid w:val="00561E0B"/>
    <w:rsid w:val="00562141"/>
    <w:rsid w:val="0056296E"/>
    <w:rsid w:val="00562D86"/>
    <w:rsid w:val="00563784"/>
    <w:rsid w:val="00564704"/>
    <w:rsid w:val="00564712"/>
    <w:rsid w:val="0056524A"/>
    <w:rsid w:val="005654B3"/>
    <w:rsid w:val="005654BB"/>
    <w:rsid w:val="005657A8"/>
    <w:rsid w:val="00565952"/>
    <w:rsid w:val="00566866"/>
    <w:rsid w:val="00566E76"/>
    <w:rsid w:val="005670A5"/>
    <w:rsid w:val="00567285"/>
    <w:rsid w:val="00567723"/>
    <w:rsid w:val="0056772D"/>
    <w:rsid w:val="00567AB8"/>
    <w:rsid w:val="00570214"/>
    <w:rsid w:val="005707E3"/>
    <w:rsid w:val="00570A26"/>
    <w:rsid w:val="00570CFD"/>
    <w:rsid w:val="00571872"/>
    <w:rsid w:val="0057221F"/>
    <w:rsid w:val="00572539"/>
    <w:rsid w:val="00572D1C"/>
    <w:rsid w:val="0057328D"/>
    <w:rsid w:val="00573355"/>
    <w:rsid w:val="0057337D"/>
    <w:rsid w:val="00573504"/>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75E"/>
    <w:rsid w:val="0058378C"/>
    <w:rsid w:val="0058385E"/>
    <w:rsid w:val="00584233"/>
    <w:rsid w:val="005842D0"/>
    <w:rsid w:val="005845FB"/>
    <w:rsid w:val="00584860"/>
    <w:rsid w:val="005855AE"/>
    <w:rsid w:val="005855E3"/>
    <w:rsid w:val="00585829"/>
    <w:rsid w:val="00585CA8"/>
    <w:rsid w:val="00586412"/>
    <w:rsid w:val="005864B9"/>
    <w:rsid w:val="005866C4"/>
    <w:rsid w:val="00587229"/>
    <w:rsid w:val="00587E70"/>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665F"/>
    <w:rsid w:val="00596AF7"/>
    <w:rsid w:val="00596CCE"/>
    <w:rsid w:val="005A06EA"/>
    <w:rsid w:val="005A1976"/>
    <w:rsid w:val="005A2120"/>
    <w:rsid w:val="005A2501"/>
    <w:rsid w:val="005A2C80"/>
    <w:rsid w:val="005A2F85"/>
    <w:rsid w:val="005A3066"/>
    <w:rsid w:val="005A3B35"/>
    <w:rsid w:val="005A3C4B"/>
    <w:rsid w:val="005A3E5A"/>
    <w:rsid w:val="005A43F3"/>
    <w:rsid w:val="005A485D"/>
    <w:rsid w:val="005A496F"/>
    <w:rsid w:val="005A4A56"/>
    <w:rsid w:val="005A5608"/>
    <w:rsid w:val="005A5A3D"/>
    <w:rsid w:val="005A5F0E"/>
    <w:rsid w:val="005A6035"/>
    <w:rsid w:val="005A6073"/>
    <w:rsid w:val="005A6375"/>
    <w:rsid w:val="005A6B75"/>
    <w:rsid w:val="005A6E00"/>
    <w:rsid w:val="005A718A"/>
    <w:rsid w:val="005A7752"/>
    <w:rsid w:val="005A7885"/>
    <w:rsid w:val="005B014F"/>
    <w:rsid w:val="005B0293"/>
    <w:rsid w:val="005B10DC"/>
    <w:rsid w:val="005B12B2"/>
    <w:rsid w:val="005B143B"/>
    <w:rsid w:val="005B195C"/>
    <w:rsid w:val="005B19BD"/>
    <w:rsid w:val="005B1E45"/>
    <w:rsid w:val="005B21C4"/>
    <w:rsid w:val="005B2A28"/>
    <w:rsid w:val="005B3621"/>
    <w:rsid w:val="005B3CD9"/>
    <w:rsid w:val="005B48A8"/>
    <w:rsid w:val="005B4948"/>
    <w:rsid w:val="005B501D"/>
    <w:rsid w:val="005B54CC"/>
    <w:rsid w:val="005B598C"/>
    <w:rsid w:val="005B74AD"/>
    <w:rsid w:val="005B797B"/>
    <w:rsid w:val="005B7E96"/>
    <w:rsid w:val="005C0429"/>
    <w:rsid w:val="005C084F"/>
    <w:rsid w:val="005C0968"/>
    <w:rsid w:val="005C0EE9"/>
    <w:rsid w:val="005C16A8"/>
    <w:rsid w:val="005C1716"/>
    <w:rsid w:val="005C1954"/>
    <w:rsid w:val="005C1C0B"/>
    <w:rsid w:val="005C2011"/>
    <w:rsid w:val="005C2085"/>
    <w:rsid w:val="005C2CF8"/>
    <w:rsid w:val="005C3EA3"/>
    <w:rsid w:val="005C4434"/>
    <w:rsid w:val="005C44DE"/>
    <w:rsid w:val="005C4825"/>
    <w:rsid w:val="005C5011"/>
    <w:rsid w:val="005C5241"/>
    <w:rsid w:val="005C529E"/>
    <w:rsid w:val="005C57BA"/>
    <w:rsid w:val="005C5C52"/>
    <w:rsid w:val="005C5D3D"/>
    <w:rsid w:val="005C5EC1"/>
    <w:rsid w:val="005C5F05"/>
    <w:rsid w:val="005C6186"/>
    <w:rsid w:val="005C6D40"/>
    <w:rsid w:val="005C7E45"/>
    <w:rsid w:val="005C7F3E"/>
    <w:rsid w:val="005D06D3"/>
    <w:rsid w:val="005D0C3B"/>
    <w:rsid w:val="005D1051"/>
    <w:rsid w:val="005D1606"/>
    <w:rsid w:val="005D2044"/>
    <w:rsid w:val="005D2917"/>
    <w:rsid w:val="005D2EB2"/>
    <w:rsid w:val="005D2F48"/>
    <w:rsid w:val="005D399C"/>
    <w:rsid w:val="005D3B32"/>
    <w:rsid w:val="005D4643"/>
    <w:rsid w:val="005D464B"/>
    <w:rsid w:val="005D466F"/>
    <w:rsid w:val="005D49F0"/>
    <w:rsid w:val="005D4A94"/>
    <w:rsid w:val="005D5125"/>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75"/>
    <w:rsid w:val="005D7F92"/>
    <w:rsid w:val="005D7FCC"/>
    <w:rsid w:val="005E0CDD"/>
    <w:rsid w:val="005E0D7B"/>
    <w:rsid w:val="005E1339"/>
    <w:rsid w:val="005E1595"/>
    <w:rsid w:val="005E182D"/>
    <w:rsid w:val="005E1F1D"/>
    <w:rsid w:val="005E273D"/>
    <w:rsid w:val="005E30AC"/>
    <w:rsid w:val="005E3278"/>
    <w:rsid w:val="005E3456"/>
    <w:rsid w:val="005E363B"/>
    <w:rsid w:val="005E3736"/>
    <w:rsid w:val="005E7417"/>
    <w:rsid w:val="005F1793"/>
    <w:rsid w:val="005F1FA9"/>
    <w:rsid w:val="005F287D"/>
    <w:rsid w:val="005F305B"/>
    <w:rsid w:val="005F3081"/>
    <w:rsid w:val="005F3361"/>
    <w:rsid w:val="005F3B47"/>
    <w:rsid w:val="005F3B58"/>
    <w:rsid w:val="005F3F63"/>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5B75"/>
    <w:rsid w:val="00606908"/>
    <w:rsid w:val="00607996"/>
    <w:rsid w:val="00607A37"/>
    <w:rsid w:val="00607E0A"/>
    <w:rsid w:val="00607E9F"/>
    <w:rsid w:val="0061085E"/>
    <w:rsid w:val="0061132D"/>
    <w:rsid w:val="00611398"/>
    <w:rsid w:val="00611AE5"/>
    <w:rsid w:val="00611EAA"/>
    <w:rsid w:val="00612322"/>
    <w:rsid w:val="006123C0"/>
    <w:rsid w:val="0061255A"/>
    <w:rsid w:val="00612860"/>
    <w:rsid w:val="00612DF1"/>
    <w:rsid w:val="00613191"/>
    <w:rsid w:val="006133F9"/>
    <w:rsid w:val="006134B3"/>
    <w:rsid w:val="00613836"/>
    <w:rsid w:val="00613DE1"/>
    <w:rsid w:val="0061401F"/>
    <w:rsid w:val="00614166"/>
    <w:rsid w:val="00614817"/>
    <w:rsid w:val="006149CC"/>
    <w:rsid w:val="006157A9"/>
    <w:rsid w:val="0061591D"/>
    <w:rsid w:val="00615ED0"/>
    <w:rsid w:val="0061604C"/>
    <w:rsid w:val="00616C2B"/>
    <w:rsid w:val="00616D7F"/>
    <w:rsid w:val="00616FC2"/>
    <w:rsid w:val="0061750A"/>
    <w:rsid w:val="00617721"/>
    <w:rsid w:val="006178D1"/>
    <w:rsid w:val="00620719"/>
    <w:rsid w:val="006212C9"/>
    <w:rsid w:val="00621BCE"/>
    <w:rsid w:val="00621D0C"/>
    <w:rsid w:val="00622470"/>
    <w:rsid w:val="00622725"/>
    <w:rsid w:val="0062296B"/>
    <w:rsid w:val="006231AA"/>
    <w:rsid w:val="00623482"/>
    <w:rsid w:val="0062386C"/>
    <w:rsid w:val="00623AC2"/>
    <w:rsid w:val="00623EBC"/>
    <w:rsid w:val="0062427A"/>
    <w:rsid w:val="0062452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1E1B"/>
    <w:rsid w:val="00632241"/>
    <w:rsid w:val="00633178"/>
    <w:rsid w:val="00633DBF"/>
    <w:rsid w:val="0063411F"/>
    <w:rsid w:val="00634122"/>
    <w:rsid w:val="00634261"/>
    <w:rsid w:val="00635E32"/>
    <w:rsid w:val="006360FC"/>
    <w:rsid w:val="006364DB"/>
    <w:rsid w:val="006365DE"/>
    <w:rsid w:val="00636BE4"/>
    <w:rsid w:val="00636F88"/>
    <w:rsid w:val="0063732C"/>
    <w:rsid w:val="00637802"/>
    <w:rsid w:val="00637836"/>
    <w:rsid w:val="00637A42"/>
    <w:rsid w:val="00637C26"/>
    <w:rsid w:val="00637F44"/>
    <w:rsid w:val="00640084"/>
    <w:rsid w:val="00641078"/>
    <w:rsid w:val="00641242"/>
    <w:rsid w:val="00642188"/>
    <w:rsid w:val="006424AA"/>
    <w:rsid w:val="00642A32"/>
    <w:rsid w:val="00642EC4"/>
    <w:rsid w:val="006433D5"/>
    <w:rsid w:val="00643412"/>
    <w:rsid w:val="00644224"/>
    <w:rsid w:val="00645554"/>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1E8F"/>
    <w:rsid w:val="006520AC"/>
    <w:rsid w:val="00652E70"/>
    <w:rsid w:val="0065339A"/>
    <w:rsid w:val="00653469"/>
    <w:rsid w:val="00653BF5"/>
    <w:rsid w:val="00653D0C"/>
    <w:rsid w:val="006543A4"/>
    <w:rsid w:val="00654A38"/>
    <w:rsid w:val="00655301"/>
    <w:rsid w:val="00655316"/>
    <w:rsid w:val="00655371"/>
    <w:rsid w:val="00655507"/>
    <w:rsid w:val="00656320"/>
    <w:rsid w:val="00656C4B"/>
    <w:rsid w:val="006572FE"/>
    <w:rsid w:val="006573EA"/>
    <w:rsid w:val="00657795"/>
    <w:rsid w:val="006602AA"/>
    <w:rsid w:val="0066073F"/>
    <w:rsid w:val="006608ED"/>
    <w:rsid w:val="00660D2A"/>
    <w:rsid w:val="00661029"/>
    <w:rsid w:val="0066135A"/>
    <w:rsid w:val="0066177D"/>
    <w:rsid w:val="00661A38"/>
    <w:rsid w:val="00661BEF"/>
    <w:rsid w:val="0066272D"/>
    <w:rsid w:val="0066293A"/>
    <w:rsid w:val="00662E58"/>
    <w:rsid w:val="00662F39"/>
    <w:rsid w:val="00663183"/>
    <w:rsid w:val="0066339A"/>
    <w:rsid w:val="006635A0"/>
    <w:rsid w:val="00664351"/>
    <w:rsid w:val="00664668"/>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2E80"/>
    <w:rsid w:val="0067333F"/>
    <w:rsid w:val="006739E4"/>
    <w:rsid w:val="00673ECF"/>
    <w:rsid w:val="0067426B"/>
    <w:rsid w:val="00674951"/>
    <w:rsid w:val="00674A1B"/>
    <w:rsid w:val="00674F1C"/>
    <w:rsid w:val="006754F8"/>
    <w:rsid w:val="00675BD6"/>
    <w:rsid w:val="00676118"/>
    <w:rsid w:val="00676127"/>
    <w:rsid w:val="0067630D"/>
    <w:rsid w:val="00676AED"/>
    <w:rsid w:val="00677E9C"/>
    <w:rsid w:val="00677F26"/>
    <w:rsid w:val="006800EE"/>
    <w:rsid w:val="006802A7"/>
    <w:rsid w:val="00680B40"/>
    <w:rsid w:val="0068118C"/>
    <w:rsid w:val="006811C9"/>
    <w:rsid w:val="006812CE"/>
    <w:rsid w:val="006826C1"/>
    <w:rsid w:val="00682C89"/>
    <w:rsid w:val="006832B8"/>
    <w:rsid w:val="006837B2"/>
    <w:rsid w:val="00683800"/>
    <w:rsid w:val="006839E9"/>
    <w:rsid w:val="00684462"/>
    <w:rsid w:val="00684C8A"/>
    <w:rsid w:val="00684CF5"/>
    <w:rsid w:val="006851B4"/>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87E35"/>
    <w:rsid w:val="00690839"/>
    <w:rsid w:val="006908DB"/>
    <w:rsid w:val="00690DE9"/>
    <w:rsid w:val="00691B25"/>
    <w:rsid w:val="00691DE9"/>
    <w:rsid w:val="00691EAA"/>
    <w:rsid w:val="00692245"/>
    <w:rsid w:val="00692FFA"/>
    <w:rsid w:val="0069361D"/>
    <w:rsid w:val="00693772"/>
    <w:rsid w:val="00693984"/>
    <w:rsid w:val="00693B77"/>
    <w:rsid w:val="00694160"/>
    <w:rsid w:val="006943FB"/>
    <w:rsid w:val="00694DE8"/>
    <w:rsid w:val="006959A5"/>
    <w:rsid w:val="00695C0C"/>
    <w:rsid w:val="00696736"/>
    <w:rsid w:val="00696A05"/>
    <w:rsid w:val="00697385"/>
    <w:rsid w:val="00697665"/>
    <w:rsid w:val="006979BF"/>
    <w:rsid w:val="00697C9A"/>
    <w:rsid w:val="00697E68"/>
    <w:rsid w:val="00697FC1"/>
    <w:rsid w:val="006A0274"/>
    <w:rsid w:val="006A0F2B"/>
    <w:rsid w:val="006A103E"/>
    <w:rsid w:val="006A1595"/>
    <w:rsid w:val="006A1D0E"/>
    <w:rsid w:val="006A27BC"/>
    <w:rsid w:val="006A2A43"/>
    <w:rsid w:val="006A2B84"/>
    <w:rsid w:val="006A2BF1"/>
    <w:rsid w:val="006A2C3A"/>
    <w:rsid w:val="006A2F9A"/>
    <w:rsid w:val="006A329D"/>
    <w:rsid w:val="006A34E4"/>
    <w:rsid w:val="006A3A5A"/>
    <w:rsid w:val="006A4043"/>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1ED3"/>
    <w:rsid w:val="006B2534"/>
    <w:rsid w:val="006B2CB2"/>
    <w:rsid w:val="006B347D"/>
    <w:rsid w:val="006B3E19"/>
    <w:rsid w:val="006B4488"/>
    <w:rsid w:val="006B49FC"/>
    <w:rsid w:val="006B4F10"/>
    <w:rsid w:val="006B5053"/>
    <w:rsid w:val="006B50C4"/>
    <w:rsid w:val="006B525D"/>
    <w:rsid w:val="006B53AE"/>
    <w:rsid w:val="006B58B4"/>
    <w:rsid w:val="006B5C8C"/>
    <w:rsid w:val="006B67AC"/>
    <w:rsid w:val="006B6DB3"/>
    <w:rsid w:val="006B786A"/>
    <w:rsid w:val="006B7A03"/>
    <w:rsid w:val="006B7A67"/>
    <w:rsid w:val="006B7D67"/>
    <w:rsid w:val="006B7E4E"/>
    <w:rsid w:val="006C003A"/>
    <w:rsid w:val="006C023B"/>
    <w:rsid w:val="006C074F"/>
    <w:rsid w:val="006C08E4"/>
    <w:rsid w:val="006C107C"/>
    <w:rsid w:val="006C1EA0"/>
    <w:rsid w:val="006C2454"/>
    <w:rsid w:val="006C2551"/>
    <w:rsid w:val="006C37CA"/>
    <w:rsid w:val="006C3E51"/>
    <w:rsid w:val="006C40D2"/>
    <w:rsid w:val="006C4BBD"/>
    <w:rsid w:val="006C4C26"/>
    <w:rsid w:val="006C5B15"/>
    <w:rsid w:val="006C5D00"/>
    <w:rsid w:val="006C5D32"/>
    <w:rsid w:val="006C5DCB"/>
    <w:rsid w:val="006C6021"/>
    <w:rsid w:val="006C6475"/>
    <w:rsid w:val="006C6D58"/>
    <w:rsid w:val="006C70C4"/>
    <w:rsid w:val="006C724E"/>
    <w:rsid w:val="006C741F"/>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E0079"/>
    <w:rsid w:val="006E02C4"/>
    <w:rsid w:val="006E0572"/>
    <w:rsid w:val="006E05D8"/>
    <w:rsid w:val="006E0643"/>
    <w:rsid w:val="006E08EE"/>
    <w:rsid w:val="006E155A"/>
    <w:rsid w:val="006E2C34"/>
    <w:rsid w:val="006E359B"/>
    <w:rsid w:val="006E39D1"/>
    <w:rsid w:val="006E3B05"/>
    <w:rsid w:val="006E3F62"/>
    <w:rsid w:val="006E437F"/>
    <w:rsid w:val="006E4D5B"/>
    <w:rsid w:val="006E602F"/>
    <w:rsid w:val="006E672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713"/>
    <w:rsid w:val="006F4834"/>
    <w:rsid w:val="006F4CB0"/>
    <w:rsid w:val="006F4F78"/>
    <w:rsid w:val="006F547E"/>
    <w:rsid w:val="006F5CCF"/>
    <w:rsid w:val="006F5F09"/>
    <w:rsid w:val="006F625D"/>
    <w:rsid w:val="006F64B1"/>
    <w:rsid w:val="006F65A9"/>
    <w:rsid w:val="006F6CB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48A"/>
    <w:rsid w:val="0070461C"/>
    <w:rsid w:val="00704D4B"/>
    <w:rsid w:val="00705631"/>
    <w:rsid w:val="00705818"/>
    <w:rsid w:val="00705F62"/>
    <w:rsid w:val="0070657C"/>
    <w:rsid w:val="0070773F"/>
    <w:rsid w:val="007078BD"/>
    <w:rsid w:val="00707ED3"/>
    <w:rsid w:val="007101B7"/>
    <w:rsid w:val="00710501"/>
    <w:rsid w:val="00710668"/>
    <w:rsid w:val="007110F4"/>
    <w:rsid w:val="007112B1"/>
    <w:rsid w:val="0071130F"/>
    <w:rsid w:val="00711535"/>
    <w:rsid w:val="0071208D"/>
    <w:rsid w:val="00712714"/>
    <w:rsid w:val="007129AB"/>
    <w:rsid w:val="00712B63"/>
    <w:rsid w:val="00713526"/>
    <w:rsid w:val="00713799"/>
    <w:rsid w:val="00713FC5"/>
    <w:rsid w:val="00714208"/>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452"/>
    <w:rsid w:val="007227C8"/>
    <w:rsid w:val="0072291F"/>
    <w:rsid w:val="00723475"/>
    <w:rsid w:val="007235BD"/>
    <w:rsid w:val="007236C4"/>
    <w:rsid w:val="00723948"/>
    <w:rsid w:val="007242A2"/>
    <w:rsid w:val="00724635"/>
    <w:rsid w:val="00724F21"/>
    <w:rsid w:val="00725134"/>
    <w:rsid w:val="0072554B"/>
    <w:rsid w:val="00725AFD"/>
    <w:rsid w:val="00726603"/>
    <w:rsid w:val="007270EF"/>
    <w:rsid w:val="007273EA"/>
    <w:rsid w:val="00727B1D"/>
    <w:rsid w:val="00727DDC"/>
    <w:rsid w:val="007302AE"/>
    <w:rsid w:val="00730CD6"/>
    <w:rsid w:val="00730F74"/>
    <w:rsid w:val="0073114B"/>
    <w:rsid w:val="007317E7"/>
    <w:rsid w:val="00732151"/>
    <w:rsid w:val="007329D0"/>
    <w:rsid w:val="007339EC"/>
    <w:rsid w:val="007341F8"/>
    <w:rsid w:val="00734236"/>
    <w:rsid w:val="00734952"/>
    <w:rsid w:val="00734990"/>
    <w:rsid w:val="00734FF5"/>
    <w:rsid w:val="007351F2"/>
    <w:rsid w:val="007356B8"/>
    <w:rsid w:val="00735B78"/>
    <w:rsid w:val="00735DA7"/>
    <w:rsid w:val="00735DCC"/>
    <w:rsid w:val="007368B4"/>
    <w:rsid w:val="007378E0"/>
    <w:rsid w:val="00737C51"/>
    <w:rsid w:val="00737D92"/>
    <w:rsid w:val="00740529"/>
    <w:rsid w:val="00740876"/>
    <w:rsid w:val="00741247"/>
    <w:rsid w:val="00741358"/>
    <w:rsid w:val="007415EF"/>
    <w:rsid w:val="00741626"/>
    <w:rsid w:val="00742332"/>
    <w:rsid w:val="00742886"/>
    <w:rsid w:val="00742DD2"/>
    <w:rsid w:val="00742F60"/>
    <w:rsid w:val="00743521"/>
    <w:rsid w:val="007437C6"/>
    <w:rsid w:val="007438E6"/>
    <w:rsid w:val="007441A2"/>
    <w:rsid w:val="00744E80"/>
    <w:rsid w:val="00745035"/>
    <w:rsid w:val="0074531C"/>
    <w:rsid w:val="00745547"/>
    <w:rsid w:val="007459D0"/>
    <w:rsid w:val="0074608B"/>
    <w:rsid w:val="0074623A"/>
    <w:rsid w:val="00746420"/>
    <w:rsid w:val="00746638"/>
    <w:rsid w:val="00746A60"/>
    <w:rsid w:val="00746CE0"/>
    <w:rsid w:val="00746E04"/>
    <w:rsid w:val="00746E08"/>
    <w:rsid w:val="00746E3D"/>
    <w:rsid w:val="007473B9"/>
    <w:rsid w:val="0074740B"/>
    <w:rsid w:val="00747A7F"/>
    <w:rsid w:val="00747C96"/>
    <w:rsid w:val="00750075"/>
    <w:rsid w:val="007502EC"/>
    <w:rsid w:val="00750382"/>
    <w:rsid w:val="0075041E"/>
    <w:rsid w:val="0075094E"/>
    <w:rsid w:val="00750FA8"/>
    <w:rsid w:val="00750FB5"/>
    <w:rsid w:val="007520F0"/>
    <w:rsid w:val="007522E8"/>
    <w:rsid w:val="00753BAC"/>
    <w:rsid w:val="007545B8"/>
    <w:rsid w:val="00754A0B"/>
    <w:rsid w:val="00754DFE"/>
    <w:rsid w:val="007552DB"/>
    <w:rsid w:val="00755B08"/>
    <w:rsid w:val="00755DD0"/>
    <w:rsid w:val="0075647A"/>
    <w:rsid w:val="00756613"/>
    <w:rsid w:val="00756A2F"/>
    <w:rsid w:val="007573E1"/>
    <w:rsid w:val="0075749E"/>
    <w:rsid w:val="00757722"/>
    <w:rsid w:val="00757B2D"/>
    <w:rsid w:val="00757BAD"/>
    <w:rsid w:val="00757C9B"/>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3813"/>
    <w:rsid w:val="0076397A"/>
    <w:rsid w:val="00763FAF"/>
    <w:rsid w:val="0076445F"/>
    <w:rsid w:val="007644FC"/>
    <w:rsid w:val="00764835"/>
    <w:rsid w:val="00764EC5"/>
    <w:rsid w:val="00765F28"/>
    <w:rsid w:val="00766ECC"/>
    <w:rsid w:val="007672F3"/>
    <w:rsid w:val="007676EE"/>
    <w:rsid w:val="007677B5"/>
    <w:rsid w:val="007678B1"/>
    <w:rsid w:val="00767F7B"/>
    <w:rsid w:val="007708A8"/>
    <w:rsid w:val="00770B9E"/>
    <w:rsid w:val="00770D6E"/>
    <w:rsid w:val="0077184A"/>
    <w:rsid w:val="00772100"/>
    <w:rsid w:val="00772275"/>
    <w:rsid w:val="007734CC"/>
    <w:rsid w:val="007734E4"/>
    <w:rsid w:val="0077380D"/>
    <w:rsid w:val="00773BC8"/>
    <w:rsid w:val="00773F37"/>
    <w:rsid w:val="0077466F"/>
    <w:rsid w:val="0077507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59D"/>
    <w:rsid w:val="00780AFD"/>
    <w:rsid w:val="00780F32"/>
    <w:rsid w:val="0078122E"/>
    <w:rsid w:val="00781939"/>
    <w:rsid w:val="00781C5D"/>
    <w:rsid w:val="00781D29"/>
    <w:rsid w:val="00781DCF"/>
    <w:rsid w:val="00782552"/>
    <w:rsid w:val="007825EF"/>
    <w:rsid w:val="0078286B"/>
    <w:rsid w:val="00782D2C"/>
    <w:rsid w:val="00782F57"/>
    <w:rsid w:val="00782FC2"/>
    <w:rsid w:val="0078328D"/>
    <w:rsid w:val="0078347A"/>
    <w:rsid w:val="007842D6"/>
    <w:rsid w:val="00784FC4"/>
    <w:rsid w:val="00785353"/>
    <w:rsid w:val="00785BBB"/>
    <w:rsid w:val="00786937"/>
    <w:rsid w:val="00786FAD"/>
    <w:rsid w:val="007870B7"/>
    <w:rsid w:val="00787D90"/>
    <w:rsid w:val="00787F5E"/>
    <w:rsid w:val="00790164"/>
    <w:rsid w:val="0079075B"/>
    <w:rsid w:val="00790A24"/>
    <w:rsid w:val="00790A37"/>
    <w:rsid w:val="00790A60"/>
    <w:rsid w:val="00790BAA"/>
    <w:rsid w:val="0079146D"/>
    <w:rsid w:val="00791C32"/>
    <w:rsid w:val="00791FF0"/>
    <w:rsid w:val="007923D0"/>
    <w:rsid w:val="00792E15"/>
    <w:rsid w:val="007930D3"/>
    <w:rsid w:val="0079381F"/>
    <w:rsid w:val="00793A57"/>
    <w:rsid w:val="00793B2E"/>
    <w:rsid w:val="007948F5"/>
    <w:rsid w:val="00795647"/>
    <w:rsid w:val="007963F6"/>
    <w:rsid w:val="007968B8"/>
    <w:rsid w:val="00796905"/>
    <w:rsid w:val="00796972"/>
    <w:rsid w:val="00796AFE"/>
    <w:rsid w:val="00796DC8"/>
    <w:rsid w:val="00796E80"/>
    <w:rsid w:val="0079744F"/>
    <w:rsid w:val="007979AD"/>
    <w:rsid w:val="00797A9C"/>
    <w:rsid w:val="007A00FA"/>
    <w:rsid w:val="007A0EAB"/>
    <w:rsid w:val="007A0FEC"/>
    <w:rsid w:val="007A11E4"/>
    <w:rsid w:val="007A2341"/>
    <w:rsid w:val="007A2754"/>
    <w:rsid w:val="007A2A26"/>
    <w:rsid w:val="007A38A1"/>
    <w:rsid w:val="007A3BBE"/>
    <w:rsid w:val="007A4766"/>
    <w:rsid w:val="007A5747"/>
    <w:rsid w:val="007A5947"/>
    <w:rsid w:val="007A5C22"/>
    <w:rsid w:val="007A5DB2"/>
    <w:rsid w:val="007A5DB3"/>
    <w:rsid w:val="007A6D5B"/>
    <w:rsid w:val="007A6DF8"/>
    <w:rsid w:val="007A6FA8"/>
    <w:rsid w:val="007A717B"/>
    <w:rsid w:val="007A71D0"/>
    <w:rsid w:val="007A798F"/>
    <w:rsid w:val="007B0313"/>
    <w:rsid w:val="007B0854"/>
    <w:rsid w:val="007B0E48"/>
    <w:rsid w:val="007B10FE"/>
    <w:rsid w:val="007B1162"/>
    <w:rsid w:val="007B1A0E"/>
    <w:rsid w:val="007B1D1B"/>
    <w:rsid w:val="007B303E"/>
    <w:rsid w:val="007B32C0"/>
    <w:rsid w:val="007B32F7"/>
    <w:rsid w:val="007B3659"/>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099"/>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A55"/>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CFC"/>
    <w:rsid w:val="007E021D"/>
    <w:rsid w:val="007E0812"/>
    <w:rsid w:val="007E18DF"/>
    <w:rsid w:val="007E2C36"/>
    <w:rsid w:val="007E2E07"/>
    <w:rsid w:val="007E3309"/>
    <w:rsid w:val="007E350D"/>
    <w:rsid w:val="007E3A0A"/>
    <w:rsid w:val="007E3ACA"/>
    <w:rsid w:val="007E3CEB"/>
    <w:rsid w:val="007E496E"/>
    <w:rsid w:val="007E564D"/>
    <w:rsid w:val="007E5C4A"/>
    <w:rsid w:val="007E5F2E"/>
    <w:rsid w:val="007E637F"/>
    <w:rsid w:val="007E64D4"/>
    <w:rsid w:val="007E66E9"/>
    <w:rsid w:val="007E69F2"/>
    <w:rsid w:val="007E7432"/>
    <w:rsid w:val="007E74BF"/>
    <w:rsid w:val="007E7E88"/>
    <w:rsid w:val="007F14D3"/>
    <w:rsid w:val="007F16C0"/>
    <w:rsid w:val="007F1B92"/>
    <w:rsid w:val="007F1D9D"/>
    <w:rsid w:val="007F1E28"/>
    <w:rsid w:val="007F1F63"/>
    <w:rsid w:val="007F22A0"/>
    <w:rsid w:val="007F2903"/>
    <w:rsid w:val="007F2F90"/>
    <w:rsid w:val="007F3320"/>
    <w:rsid w:val="007F3AC1"/>
    <w:rsid w:val="007F3B1B"/>
    <w:rsid w:val="007F4976"/>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2041"/>
    <w:rsid w:val="008022C9"/>
    <w:rsid w:val="00802605"/>
    <w:rsid w:val="00802F9E"/>
    <w:rsid w:val="008035E8"/>
    <w:rsid w:val="00803700"/>
    <w:rsid w:val="0080375D"/>
    <w:rsid w:val="00803D9D"/>
    <w:rsid w:val="00804AAB"/>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AD6"/>
    <w:rsid w:val="00817063"/>
    <w:rsid w:val="0081766B"/>
    <w:rsid w:val="008178B7"/>
    <w:rsid w:val="008179E1"/>
    <w:rsid w:val="00820705"/>
    <w:rsid w:val="00820842"/>
    <w:rsid w:val="00820BA7"/>
    <w:rsid w:val="00820CBF"/>
    <w:rsid w:val="00820DBC"/>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5240"/>
    <w:rsid w:val="00825595"/>
    <w:rsid w:val="00825B43"/>
    <w:rsid w:val="00826F71"/>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4D6"/>
    <w:rsid w:val="00836E74"/>
    <w:rsid w:val="00836EAB"/>
    <w:rsid w:val="00836FDF"/>
    <w:rsid w:val="008375B1"/>
    <w:rsid w:val="00837673"/>
    <w:rsid w:val="00837937"/>
    <w:rsid w:val="00837D82"/>
    <w:rsid w:val="00840893"/>
    <w:rsid w:val="00840D94"/>
    <w:rsid w:val="00840E3B"/>
    <w:rsid w:val="00840E88"/>
    <w:rsid w:val="00840EAE"/>
    <w:rsid w:val="008410D3"/>
    <w:rsid w:val="0084120E"/>
    <w:rsid w:val="008415A0"/>
    <w:rsid w:val="008422B3"/>
    <w:rsid w:val="008423EC"/>
    <w:rsid w:val="008426F8"/>
    <w:rsid w:val="008429A6"/>
    <w:rsid w:val="0084302D"/>
    <w:rsid w:val="00843615"/>
    <w:rsid w:val="00843698"/>
    <w:rsid w:val="00843A4B"/>
    <w:rsid w:val="00843B57"/>
    <w:rsid w:val="00843B60"/>
    <w:rsid w:val="00843D33"/>
    <w:rsid w:val="008440DF"/>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C43"/>
    <w:rsid w:val="0085304C"/>
    <w:rsid w:val="008536BB"/>
    <w:rsid w:val="00853A3C"/>
    <w:rsid w:val="008548CA"/>
    <w:rsid w:val="008549B4"/>
    <w:rsid w:val="00855055"/>
    <w:rsid w:val="00856B9F"/>
    <w:rsid w:val="00856C06"/>
    <w:rsid w:val="0085731F"/>
    <w:rsid w:val="008578B1"/>
    <w:rsid w:val="0085790B"/>
    <w:rsid w:val="008579B9"/>
    <w:rsid w:val="00857C95"/>
    <w:rsid w:val="00857E78"/>
    <w:rsid w:val="00860AEF"/>
    <w:rsid w:val="00860B18"/>
    <w:rsid w:val="00860D5E"/>
    <w:rsid w:val="0086122C"/>
    <w:rsid w:val="00861310"/>
    <w:rsid w:val="008617C3"/>
    <w:rsid w:val="008617D8"/>
    <w:rsid w:val="00861E75"/>
    <w:rsid w:val="00861F53"/>
    <w:rsid w:val="0086289E"/>
    <w:rsid w:val="008629CB"/>
    <w:rsid w:val="0086394E"/>
    <w:rsid w:val="00863A41"/>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DED"/>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6B"/>
    <w:rsid w:val="0088107D"/>
    <w:rsid w:val="00881E64"/>
    <w:rsid w:val="00882A31"/>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945"/>
    <w:rsid w:val="00892E5D"/>
    <w:rsid w:val="008935CF"/>
    <w:rsid w:val="0089436B"/>
    <w:rsid w:val="00894436"/>
    <w:rsid w:val="0089494C"/>
    <w:rsid w:val="00894BB1"/>
    <w:rsid w:val="008951D0"/>
    <w:rsid w:val="00895386"/>
    <w:rsid w:val="00895828"/>
    <w:rsid w:val="0089582D"/>
    <w:rsid w:val="00895867"/>
    <w:rsid w:val="008959C6"/>
    <w:rsid w:val="00895E8C"/>
    <w:rsid w:val="0089606D"/>
    <w:rsid w:val="00896129"/>
    <w:rsid w:val="00896316"/>
    <w:rsid w:val="0089774F"/>
    <w:rsid w:val="00897875"/>
    <w:rsid w:val="00897B8F"/>
    <w:rsid w:val="008A00D9"/>
    <w:rsid w:val="008A07D5"/>
    <w:rsid w:val="008A0B95"/>
    <w:rsid w:val="008A15D3"/>
    <w:rsid w:val="008A1705"/>
    <w:rsid w:val="008A1E94"/>
    <w:rsid w:val="008A1FB7"/>
    <w:rsid w:val="008A20F8"/>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888"/>
    <w:rsid w:val="008A796E"/>
    <w:rsid w:val="008B0783"/>
    <w:rsid w:val="008B0862"/>
    <w:rsid w:val="008B088C"/>
    <w:rsid w:val="008B1303"/>
    <w:rsid w:val="008B16A3"/>
    <w:rsid w:val="008B1BF5"/>
    <w:rsid w:val="008B263F"/>
    <w:rsid w:val="008B2686"/>
    <w:rsid w:val="008B3045"/>
    <w:rsid w:val="008B3AFB"/>
    <w:rsid w:val="008B43CD"/>
    <w:rsid w:val="008B44F6"/>
    <w:rsid w:val="008B47A6"/>
    <w:rsid w:val="008B56B9"/>
    <w:rsid w:val="008B5944"/>
    <w:rsid w:val="008B672C"/>
    <w:rsid w:val="008B74F7"/>
    <w:rsid w:val="008C065F"/>
    <w:rsid w:val="008C0743"/>
    <w:rsid w:val="008C0B4C"/>
    <w:rsid w:val="008C0D9F"/>
    <w:rsid w:val="008C11F0"/>
    <w:rsid w:val="008C1DBA"/>
    <w:rsid w:val="008C24E7"/>
    <w:rsid w:val="008C2500"/>
    <w:rsid w:val="008C2CAC"/>
    <w:rsid w:val="008C2E00"/>
    <w:rsid w:val="008C3095"/>
    <w:rsid w:val="008C3B1E"/>
    <w:rsid w:val="008C3C57"/>
    <w:rsid w:val="008C3E2A"/>
    <w:rsid w:val="008C45BD"/>
    <w:rsid w:val="008C4B19"/>
    <w:rsid w:val="008C515F"/>
    <w:rsid w:val="008C5207"/>
    <w:rsid w:val="008C6244"/>
    <w:rsid w:val="008C62D4"/>
    <w:rsid w:val="008C6B89"/>
    <w:rsid w:val="008C6CBF"/>
    <w:rsid w:val="008C7436"/>
    <w:rsid w:val="008D0571"/>
    <w:rsid w:val="008D18AA"/>
    <w:rsid w:val="008D1A2A"/>
    <w:rsid w:val="008D1ADE"/>
    <w:rsid w:val="008D35D9"/>
    <w:rsid w:val="008D3B85"/>
    <w:rsid w:val="008D462D"/>
    <w:rsid w:val="008D47E6"/>
    <w:rsid w:val="008D4998"/>
    <w:rsid w:val="008D560B"/>
    <w:rsid w:val="008D59FA"/>
    <w:rsid w:val="008D6084"/>
    <w:rsid w:val="008D64AC"/>
    <w:rsid w:val="008D66CA"/>
    <w:rsid w:val="008D69B1"/>
    <w:rsid w:val="008D7338"/>
    <w:rsid w:val="008D74EE"/>
    <w:rsid w:val="008D785E"/>
    <w:rsid w:val="008E0012"/>
    <w:rsid w:val="008E0DF7"/>
    <w:rsid w:val="008E0FAD"/>
    <w:rsid w:val="008E11E4"/>
    <w:rsid w:val="008E1252"/>
    <w:rsid w:val="008E1347"/>
    <w:rsid w:val="008E16E0"/>
    <w:rsid w:val="008E1C15"/>
    <w:rsid w:val="008E1C9A"/>
    <w:rsid w:val="008E232B"/>
    <w:rsid w:val="008E28BD"/>
    <w:rsid w:val="008E2CA4"/>
    <w:rsid w:val="008E30C4"/>
    <w:rsid w:val="008E38B4"/>
    <w:rsid w:val="008E3BA4"/>
    <w:rsid w:val="008E3FF3"/>
    <w:rsid w:val="008E44AB"/>
    <w:rsid w:val="008E5179"/>
    <w:rsid w:val="008E57FE"/>
    <w:rsid w:val="008E6226"/>
    <w:rsid w:val="008E6401"/>
    <w:rsid w:val="008E6598"/>
    <w:rsid w:val="008E67DF"/>
    <w:rsid w:val="008E6CC2"/>
    <w:rsid w:val="008E7214"/>
    <w:rsid w:val="008E7884"/>
    <w:rsid w:val="008E7D6E"/>
    <w:rsid w:val="008F1056"/>
    <w:rsid w:val="008F1417"/>
    <w:rsid w:val="008F2E8D"/>
    <w:rsid w:val="008F32BA"/>
    <w:rsid w:val="008F361D"/>
    <w:rsid w:val="008F387B"/>
    <w:rsid w:val="008F3952"/>
    <w:rsid w:val="008F3DD9"/>
    <w:rsid w:val="008F4814"/>
    <w:rsid w:val="008F4DA6"/>
    <w:rsid w:val="008F538E"/>
    <w:rsid w:val="008F59C9"/>
    <w:rsid w:val="008F5A20"/>
    <w:rsid w:val="008F5ABA"/>
    <w:rsid w:val="008F673D"/>
    <w:rsid w:val="008F6833"/>
    <w:rsid w:val="008F6D11"/>
    <w:rsid w:val="008F71AB"/>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2D26"/>
    <w:rsid w:val="009136D4"/>
    <w:rsid w:val="009142A8"/>
    <w:rsid w:val="00914B9A"/>
    <w:rsid w:val="00914C3F"/>
    <w:rsid w:val="00914F33"/>
    <w:rsid w:val="00915611"/>
    <w:rsid w:val="00915FCE"/>
    <w:rsid w:val="009166D4"/>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6B72"/>
    <w:rsid w:val="009274C2"/>
    <w:rsid w:val="00927E8D"/>
    <w:rsid w:val="00927F23"/>
    <w:rsid w:val="009306F5"/>
    <w:rsid w:val="009307CD"/>
    <w:rsid w:val="00931365"/>
    <w:rsid w:val="00931451"/>
    <w:rsid w:val="009314FA"/>
    <w:rsid w:val="0093194F"/>
    <w:rsid w:val="00931BF3"/>
    <w:rsid w:val="00931C55"/>
    <w:rsid w:val="00933333"/>
    <w:rsid w:val="0093349A"/>
    <w:rsid w:val="009338BA"/>
    <w:rsid w:val="00933FCB"/>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477"/>
    <w:rsid w:val="0094070C"/>
    <w:rsid w:val="00940876"/>
    <w:rsid w:val="00940A53"/>
    <w:rsid w:val="00940F3C"/>
    <w:rsid w:val="009410E0"/>
    <w:rsid w:val="009413C0"/>
    <w:rsid w:val="0094141A"/>
    <w:rsid w:val="009415BB"/>
    <w:rsid w:val="00941FA9"/>
    <w:rsid w:val="00944061"/>
    <w:rsid w:val="00944489"/>
    <w:rsid w:val="009444B4"/>
    <w:rsid w:val="00944644"/>
    <w:rsid w:val="00944C27"/>
    <w:rsid w:val="00946603"/>
    <w:rsid w:val="00946A24"/>
    <w:rsid w:val="009470D4"/>
    <w:rsid w:val="00947337"/>
    <w:rsid w:val="009476D7"/>
    <w:rsid w:val="00947E6E"/>
    <w:rsid w:val="00950ABC"/>
    <w:rsid w:val="009512FA"/>
    <w:rsid w:val="009516A9"/>
    <w:rsid w:val="00951C02"/>
    <w:rsid w:val="00951E57"/>
    <w:rsid w:val="00952505"/>
    <w:rsid w:val="00952A89"/>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2FB8"/>
    <w:rsid w:val="0096331E"/>
    <w:rsid w:val="0096409A"/>
    <w:rsid w:val="00964138"/>
    <w:rsid w:val="0096470D"/>
    <w:rsid w:val="009648D6"/>
    <w:rsid w:val="00964B3F"/>
    <w:rsid w:val="00964C98"/>
    <w:rsid w:val="00965DAF"/>
    <w:rsid w:val="00965DF2"/>
    <w:rsid w:val="009661D7"/>
    <w:rsid w:val="009710E5"/>
    <w:rsid w:val="00971441"/>
    <w:rsid w:val="009715D4"/>
    <w:rsid w:val="0097179A"/>
    <w:rsid w:val="009732A4"/>
    <w:rsid w:val="009739A8"/>
    <w:rsid w:val="00973C05"/>
    <w:rsid w:val="0097494E"/>
    <w:rsid w:val="00974999"/>
    <w:rsid w:val="00974B58"/>
    <w:rsid w:val="00975445"/>
    <w:rsid w:val="009761ED"/>
    <w:rsid w:val="0097769A"/>
    <w:rsid w:val="00980206"/>
    <w:rsid w:val="0098022F"/>
    <w:rsid w:val="00980E44"/>
    <w:rsid w:val="00980E7F"/>
    <w:rsid w:val="00980EAB"/>
    <w:rsid w:val="009810DE"/>
    <w:rsid w:val="00981B91"/>
    <w:rsid w:val="00981DFC"/>
    <w:rsid w:val="009822D7"/>
    <w:rsid w:val="009827E6"/>
    <w:rsid w:val="00982F84"/>
    <w:rsid w:val="00983661"/>
    <w:rsid w:val="0098427D"/>
    <w:rsid w:val="00984567"/>
    <w:rsid w:val="00984B16"/>
    <w:rsid w:val="00985102"/>
    <w:rsid w:val="009854BC"/>
    <w:rsid w:val="00985D73"/>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1CE0"/>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1747"/>
    <w:rsid w:val="009A20F2"/>
    <w:rsid w:val="009A2435"/>
    <w:rsid w:val="009A254A"/>
    <w:rsid w:val="009A35DC"/>
    <w:rsid w:val="009A38AB"/>
    <w:rsid w:val="009A39DD"/>
    <w:rsid w:val="009A3D47"/>
    <w:rsid w:val="009A40FB"/>
    <w:rsid w:val="009A4D63"/>
    <w:rsid w:val="009A5356"/>
    <w:rsid w:val="009A5468"/>
    <w:rsid w:val="009A5D99"/>
    <w:rsid w:val="009A608C"/>
    <w:rsid w:val="009A6FDF"/>
    <w:rsid w:val="009A715F"/>
    <w:rsid w:val="009A76D6"/>
    <w:rsid w:val="009B011D"/>
    <w:rsid w:val="009B0DAC"/>
    <w:rsid w:val="009B0FA0"/>
    <w:rsid w:val="009B2374"/>
    <w:rsid w:val="009B2A8C"/>
    <w:rsid w:val="009B2E29"/>
    <w:rsid w:val="009B3163"/>
    <w:rsid w:val="009B422F"/>
    <w:rsid w:val="009B46BC"/>
    <w:rsid w:val="009B4D1A"/>
    <w:rsid w:val="009B4D85"/>
    <w:rsid w:val="009B502F"/>
    <w:rsid w:val="009B558B"/>
    <w:rsid w:val="009B572B"/>
    <w:rsid w:val="009B5F29"/>
    <w:rsid w:val="009B6A34"/>
    <w:rsid w:val="009B6A77"/>
    <w:rsid w:val="009B6D21"/>
    <w:rsid w:val="009B6DCD"/>
    <w:rsid w:val="009B707D"/>
    <w:rsid w:val="009B78ED"/>
    <w:rsid w:val="009C17D3"/>
    <w:rsid w:val="009C181C"/>
    <w:rsid w:val="009C1A44"/>
    <w:rsid w:val="009C1C7F"/>
    <w:rsid w:val="009C1EC7"/>
    <w:rsid w:val="009C28A2"/>
    <w:rsid w:val="009C2C1F"/>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6C75"/>
    <w:rsid w:val="009C70F8"/>
    <w:rsid w:val="009C72FA"/>
    <w:rsid w:val="009C74DF"/>
    <w:rsid w:val="009C75FC"/>
    <w:rsid w:val="009C78A3"/>
    <w:rsid w:val="009C7E68"/>
    <w:rsid w:val="009D00D7"/>
    <w:rsid w:val="009D0156"/>
    <w:rsid w:val="009D05DA"/>
    <w:rsid w:val="009D07AE"/>
    <w:rsid w:val="009D11F6"/>
    <w:rsid w:val="009D1A14"/>
    <w:rsid w:val="009D1E2A"/>
    <w:rsid w:val="009D1F8D"/>
    <w:rsid w:val="009D1FA0"/>
    <w:rsid w:val="009D265C"/>
    <w:rsid w:val="009D2B31"/>
    <w:rsid w:val="009D2BDF"/>
    <w:rsid w:val="009D3736"/>
    <w:rsid w:val="009D3C84"/>
    <w:rsid w:val="009D426C"/>
    <w:rsid w:val="009D4529"/>
    <w:rsid w:val="009D5C8A"/>
    <w:rsid w:val="009D604F"/>
    <w:rsid w:val="009D61BB"/>
    <w:rsid w:val="009D6410"/>
    <w:rsid w:val="009D68BB"/>
    <w:rsid w:val="009D6CF5"/>
    <w:rsid w:val="009D6F72"/>
    <w:rsid w:val="009D70C2"/>
    <w:rsid w:val="009D7ADB"/>
    <w:rsid w:val="009D7B33"/>
    <w:rsid w:val="009E06C3"/>
    <w:rsid w:val="009E0703"/>
    <w:rsid w:val="009E1035"/>
    <w:rsid w:val="009E16DA"/>
    <w:rsid w:val="009E1CD4"/>
    <w:rsid w:val="009E1EE4"/>
    <w:rsid w:val="009E2391"/>
    <w:rsid w:val="009E2771"/>
    <w:rsid w:val="009E2EF9"/>
    <w:rsid w:val="009E34A5"/>
    <w:rsid w:val="009E3796"/>
    <w:rsid w:val="009E3A94"/>
    <w:rsid w:val="009E4648"/>
    <w:rsid w:val="009E476A"/>
    <w:rsid w:val="009E4E05"/>
    <w:rsid w:val="009E56FF"/>
    <w:rsid w:val="009E5A77"/>
    <w:rsid w:val="009E5CB1"/>
    <w:rsid w:val="009E5E56"/>
    <w:rsid w:val="009E61EA"/>
    <w:rsid w:val="009E6343"/>
    <w:rsid w:val="009E68BC"/>
    <w:rsid w:val="009E6990"/>
    <w:rsid w:val="009E6B66"/>
    <w:rsid w:val="009E6FEE"/>
    <w:rsid w:val="009E7DE3"/>
    <w:rsid w:val="009F00B9"/>
    <w:rsid w:val="009F060F"/>
    <w:rsid w:val="009F0781"/>
    <w:rsid w:val="009F0850"/>
    <w:rsid w:val="009F1BDF"/>
    <w:rsid w:val="009F1EAE"/>
    <w:rsid w:val="009F292B"/>
    <w:rsid w:val="009F29BB"/>
    <w:rsid w:val="009F369D"/>
    <w:rsid w:val="009F36FE"/>
    <w:rsid w:val="009F3D3C"/>
    <w:rsid w:val="009F452A"/>
    <w:rsid w:val="009F4990"/>
    <w:rsid w:val="009F4F25"/>
    <w:rsid w:val="009F5226"/>
    <w:rsid w:val="009F59C2"/>
    <w:rsid w:val="009F5A5A"/>
    <w:rsid w:val="009F7235"/>
    <w:rsid w:val="009F7263"/>
    <w:rsid w:val="009F76EA"/>
    <w:rsid w:val="009F78EB"/>
    <w:rsid w:val="009F7F32"/>
    <w:rsid w:val="009F7FEB"/>
    <w:rsid w:val="00A003D5"/>
    <w:rsid w:val="00A01852"/>
    <w:rsid w:val="00A0188B"/>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6267"/>
    <w:rsid w:val="00A06428"/>
    <w:rsid w:val="00A066C3"/>
    <w:rsid w:val="00A06754"/>
    <w:rsid w:val="00A069E0"/>
    <w:rsid w:val="00A06E4A"/>
    <w:rsid w:val="00A06EE8"/>
    <w:rsid w:val="00A070E9"/>
    <w:rsid w:val="00A078FB"/>
    <w:rsid w:val="00A1036D"/>
    <w:rsid w:val="00A1069F"/>
    <w:rsid w:val="00A10AAD"/>
    <w:rsid w:val="00A10ACA"/>
    <w:rsid w:val="00A10D08"/>
    <w:rsid w:val="00A11E78"/>
    <w:rsid w:val="00A12355"/>
    <w:rsid w:val="00A127D2"/>
    <w:rsid w:val="00A133EB"/>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023"/>
    <w:rsid w:val="00A20264"/>
    <w:rsid w:val="00A20997"/>
    <w:rsid w:val="00A213DD"/>
    <w:rsid w:val="00A21454"/>
    <w:rsid w:val="00A216CE"/>
    <w:rsid w:val="00A22025"/>
    <w:rsid w:val="00A22498"/>
    <w:rsid w:val="00A22571"/>
    <w:rsid w:val="00A2298D"/>
    <w:rsid w:val="00A24560"/>
    <w:rsid w:val="00A24F07"/>
    <w:rsid w:val="00A24F85"/>
    <w:rsid w:val="00A25B0F"/>
    <w:rsid w:val="00A25BBB"/>
    <w:rsid w:val="00A27207"/>
    <w:rsid w:val="00A27FB6"/>
    <w:rsid w:val="00A30121"/>
    <w:rsid w:val="00A30368"/>
    <w:rsid w:val="00A3043A"/>
    <w:rsid w:val="00A30E02"/>
    <w:rsid w:val="00A30F6A"/>
    <w:rsid w:val="00A31C3E"/>
    <w:rsid w:val="00A31E2B"/>
    <w:rsid w:val="00A32D39"/>
    <w:rsid w:val="00A3391E"/>
    <w:rsid w:val="00A34538"/>
    <w:rsid w:val="00A34677"/>
    <w:rsid w:val="00A3535E"/>
    <w:rsid w:val="00A3540F"/>
    <w:rsid w:val="00A35630"/>
    <w:rsid w:val="00A35914"/>
    <w:rsid w:val="00A36189"/>
    <w:rsid w:val="00A37551"/>
    <w:rsid w:val="00A37A2D"/>
    <w:rsid w:val="00A37E73"/>
    <w:rsid w:val="00A37FB6"/>
    <w:rsid w:val="00A409E2"/>
    <w:rsid w:val="00A4104A"/>
    <w:rsid w:val="00A41081"/>
    <w:rsid w:val="00A411CA"/>
    <w:rsid w:val="00A4195B"/>
    <w:rsid w:val="00A42080"/>
    <w:rsid w:val="00A42096"/>
    <w:rsid w:val="00A426F3"/>
    <w:rsid w:val="00A428A1"/>
    <w:rsid w:val="00A42E8D"/>
    <w:rsid w:val="00A42FDF"/>
    <w:rsid w:val="00A430A9"/>
    <w:rsid w:val="00A431FE"/>
    <w:rsid w:val="00A439E5"/>
    <w:rsid w:val="00A43C00"/>
    <w:rsid w:val="00A441D5"/>
    <w:rsid w:val="00A4497A"/>
    <w:rsid w:val="00A44BE8"/>
    <w:rsid w:val="00A44C96"/>
    <w:rsid w:val="00A44CDD"/>
    <w:rsid w:val="00A44F54"/>
    <w:rsid w:val="00A45346"/>
    <w:rsid w:val="00A45EC5"/>
    <w:rsid w:val="00A45F9B"/>
    <w:rsid w:val="00A46574"/>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BBF"/>
    <w:rsid w:val="00A56DE7"/>
    <w:rsid w:val="00A579F1"/>
    <w:rsid w:val="00A57DDD"/>
    <w:rsid w:val="00A57EB2"/>
    <w:rsid w:val="00A6009E"/>
    <w:rsid w:val="00A60265"/>
    <w:rsid w:val="00A60B1F"/>
    <w:rsid w:val="00A60B4A"/>
    <w:rsid w:val="00A613E5"/>
    <w:rsid w:val="00A6160B"/>
    <w:rsid w:val="00A61932"/>
    <w:rsid w:val="00A6195E"/>
    <w:rsid w:val="00A61C60"/>
    <w:rsid w:val="00A62589"/>
    <w:rsid w:val="00A62AD0"/>
    <w:rsid w:val="00A62C3A"/>
    <w:rsid w:val="00A6319C"/>
    <w:rsid w:val="00A63812"/>
    <w:rsid w:val="00A63DF7"/>
    <w:rsid w:val="00A6454D"/>
    <w:rsid w:val="00A64EAA"/>
    <w:rsid w:val="00A64F18"/>
    <w:rsid w:val="00A64F2F"/>
    <w:rsid w:val="00A65505"/>
    <w:rsid w:val="00A6611E"/>
    <w:rsid w:val="00A6634D"/>
    <w:rsid w:val="00A668BA"/>
    <w:rsid w:val="00A66FA7"/>
    <w:rsid w:val="00A67E16"/>
    <w:rsid w:val="00A67E2C"/>
    <w:rsid w:val="00A67EB1"/>
    <w:rsid w:val="00A703CC"/>
    <w:rsid w:val="00A70C5C"/>
    <w:rsid w:val="00A710A2"/>
    <w:rsid w:val="00A71859"/>
    <w:rsid w:val="00A719D1"/>
    <w:rsid w:val="00A71EA7"/>
    <w:rsid w:val="00A725F9"/>
    <w:rsid w:val="00A730AD"/>
    <w:rsid w:val="00A73855"/>
    <w:rsid w:val="00A73D64"/>
    <w:rsid w:val="00A74216"/>
    <w:rsid w:val="00A7434D"/>
    <w:rsid w:val="00A744B4"/>
    <w:rsid w:val="00A751E3"/>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666"/>
    <w:rsid w:val="00A80DA0"/>
    <w:rsid w:val="00A80FA8"/>
    <w:rsid w:val="00A811C5"/>
    <w:rsid w:val="00A81323"/>
    <w:rsid w:val="00A820CB"/>
    <w:rsid w:val="00A82342"/>
    <w:rsid w:val="00A828E6"/>
    <w:rsid w:val="00A83BEF"/>
    <w:rsid w:val="00A84443"/>
    <w:rsid w:val="00A8487F"/>
    <w:rsid w:val="00A849A3"/>
    <w:rsid w:val="00A84A0E"/>
    <w:rsid w:val="00A85C51"/>
    <w:rsid w:val="00A861C8"/>
    <w:rsid w:val="00A86E0B"/>
    <w:rsid w:val="00A874BB"/>
    <w:rsid w:val="00A87CE5"/>
    <w:rsid w:val="00A90C54"/>
    <w:rsid w:val="00A90F12"/>
    <w:rsid w:val="00A91DAA"/>
    <w:rsid w:val="00A91EF3"/>
    <w:rsid w:val="00A92FDD"/>
    <w:rsid w:val="00A93101"/>
    <w:rsid w:val="00A93A76"/>
    <w:rsid w:val="00A9413E"/>
    <w:rsid w:val="00A94281"/>
    <w:rsid w:val="00A94293"/>
    <w:rsid w:val="00A9496E"/>
    <w:rsid w:val="00A949F0"/>
    <w:rsid w:val="00A94BDE"/>
    <w:rsid w:val="00A94FCA"/>
    <w:rsid w:val="00A9546C"/>
    <w:rsid w:val="00A95E4C"/>
    <w:rsid w:val="00A964C9"/>
    <w:rsid w:val="00A96568"/>
    <w:rsid w:val="00A96C60"/>
    <w:rsid w:val="00A970FA"/>
    <w:rsid w:val="00A9740B"/>
    <w:rsid w:val="00A9766C"/>
    <w:rsid w:val="00A976D3"/>
    <w:rsid w:val="00A977F8"/>
    <w:rsid w:val="00A979DB"/>
    <w:rsid w:val="00A97C93"/>
    <w:rsid w:val="00A97E85"/>
    <w:rsid w:val="00AA05AB"/>
    <w:rsid w:val="00AA08E7"/>
    <w:rsid w:val="00AA0A06"/>
    <w:rsid w:val="00AA1351"/>
    <w:rsid w:val="00AA184C"/>
    <w:rsid w:val="00AA1C84"/>
    <w:rsid w:val="00AA1E7E"/>
    <w:rsid w:val="00AA20FA"/>
    <w:rsid w:val="00AA3230"/>
    <w:rsid w:val="00AA3D7B"/>
    <w:rsid w:val="00AA42A0"/>
    <w:rsid w:val="00AA42D6"/>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0538"/>
    <w:rsid w:val="00AB14E8"/>
    <w:rsid w:val="00AB1B1D"/>
    <w:rsid w:val="00AB2000"/>
    <w:rsid w:val="00AB2216"/>
    <w:rsid w:val="00AB358D"/>
    <w:rsid w:val="00AB37A1"/>
    <w:rsid w:val="00AB3BAD"/>
    <w:rsid w:val="00AB3CFD"/>
    <w:rsid w:val="00AB4244"/>
    <w:rsid w:val="00AB49BC"/>
    <w:rsid w:val="00AB4C02"/>
    <w:rsid w:val="00AB4DEE"/>
    <w:rsid w:val="00AB4E32"/>
    <w:rsid w:val="00AB56F0"/>
    <w:rsid w:val="00AB5999"/>
    <w:rsid w:val="00AB5C19"/>
    <w:rsid w:val="00AB67A0"/>
    <w:rsid w:val="00AB724B"/>
    <w:rsid w:val="00AB726C"/>
    <w:rsid w:val="00AB72B4"/>
    <w:rsid w:val="00AC02AA"/>
    <w:rsid w:val="00AC0317"/>
    <w:rsid w:val="00AC0537"/>
    <w:rsid w:val="00AC07E3"/>
    <w:rsid w:val="00AC0A84"/>
    <w:rsid w:val="00AC1508"/>
    <w:rsid w:val="00AC1957"/>
    <w:rsid w:val="00AC2A0B"/>
    <w:rsid w:val="00AC2BEE"/>
    <w:rsid w:val="00AC2E53"/>
    <w:rsid w:val="00AC35E4"/>
    <w:rsid w:val="00AC39C5"/>
    <w:rsid w:val="00AC3ADB"/>
    <w:rsid w:val="00AC484F"/>
    <w:rsid w:val="00AC4B20"/>
    <w:rsid w:val="00AC56F2"/>
    <w:rsid w:val="00AC71C3"/>
    <w:rsid w:val="00AC7212"/>
    <w:rsid w:val="00AC7862"/>
    <w:rsid w:val="00AC7B88"/>
    <w:rsid w:val="00AD09F7"/>
    <w:rsid w:val="00AD11E3"/>
    <w:rsid w:val="00AD1EFA"/>
    <w:rsid w:val="00AD2072"/>
    <w:rsid w:val="00AD2DBD"/>
    <w:rsid w:val="00AD2FBF"/>
    <w:rsid w:val="00AD340E"/>
    <w:rsid w:val="00AD3A38"/>
    <w:rsid w:val="00AD3E34"/>
    <w:rsid w:val="00AD455D"/>
    <w:rsid w:val="00AD463C"/>
    <w:rsid w:val="00AD4F60"/>
    <w:rsid w:val="00AD5044"/>
    <w:rsid w:val="00AD5114"/>
    <w:rsid w:val="00AD6236"/>
    <w:rsid w:val="00AD6541"/>
    <w:rsid w:val="00AD69D5"/>
    <w:rsid w:val="00AD6B97"/>
    <w:rsid w:val="00AD6FD3"/>
    <w:rsid w:val="00AD7398"/>
    <w:rsid w:val="00AD7619"/>
    <w:rsid w:val="00AD7770"/>
    <w:rsid w:val="00AE1772"/>
    <w:rsid w:val="00AE1990"/>
    <w:rsid w:val="00AE1D23"/>
    <w:rsid w:val="00AE20E5"/>
    <w:rsid w:val="00AE21E3"/>
    <w:rsid w:val="00AE2239"/>
    <w:rsid w:val="00AE24E4"/>
    <w:rsid w:val="00AE25C0"/>
    <w:rsid w:val="00AE25E8"/>
    <w:rsid w:val="00AE2AD4"/>
    <w:rsid w:val="00AE2CA7"/>
    <w:rsid w:val="00AE2D1B"/>
    <w:rsid w:val="00AE2F1D"/>
    <w:rsid w:val="00AE36C5"/>
    <w:rsid w:val="00AE3DE2"/>
    <w:rsid w:val="00AE487E"/>
    <w:rsid w:val="00AE48DF"/>
    <w:rsid w:val="00AE4C4D"/>
    <w:rsid w:val="00AE4C81"/>
    <w:rsid w:val="00AE4EB5"/>
    <w:rsid w:val="00AE586F"/>
    <w:rsid w:val="00AE5DBB"/>
    <w:rsid w:val="00AE6582"/>
    <w:rsid w:val="00AE6DC5"/>
    <w:rsid w:val="00AE7686"/>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4BA"/>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03C4"/>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06798"/>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4C"/>
    <w:rsid w:val="00B1557C"/>
    <w:rsid w:val="00B155DC"/>
    <w:rsid w:val="00B15766"/>
    <w:rsid w:val="00B15E4A"/>
    <w:rsid w:val="00B1666A"/>
    <w:rsid w:val="00B1686D"/>
    <w:rsid w:val="00B16BF7"/>
    <w:rsid w:val="00B17129"/>
    <w:rsid w:val="00B1741D"/>
    <w:rsid w:val="00B17447"/>
    <w:rsid w:val="00B1771D"/>
    <w:rsid w:val="00B179C8"/>
    <w:rsid w:val="00B17B91"/>
    <w:rsid w:val="00B20209"/>
    <w:rsid w:val="00B203C9"/>
    <w:rsid w:val="00B2088D"/>
    <w:rsid w:val="00B208FF"/>
    <w:rsid w:val="00B20943"/>
    <w:rsid w:val="00B2109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4B38"/>
    <w:rsid w:val="00B35046"/>
    <w:rsid w:val="00B35B6A"/>
    <w:rsid w:val="00B35BFD"/>
    <w:rsid w:val="00B35C51"/>
    <w:rsid w:val="00B35DAA"/>
    <w:rsid w:val="00B364FF"/>
    <w:rsid w:val="00B36A47"/>
    <w:rsid w:val="00B36D2B"/>
    <w:rsid w:val="00B37315"/>
    <w:rsid w:val="00B37657"/>
    <w:rsid w:val="00B37AFD"/>
    <w:rsid w:val="00B37B07"/>
    <w:rsid w:val="00B4046F"/>
    <w:rsid w:val="00B406B3"/>
    <w:rsid w:val="00B40A36"/>
    <w:rsid w:val="00B40DCB"/>
    <w:rsid w:val="00B40F77"/>
    <w:rsid w:val="00B417CE"/>
    <w:rsid w:val="00B41D39"/>
    <w:rsid w:val="00B41FD1"/>
    <w:rsid w:val="00B422C0"/>
    <w:rsid w:val="00B42485"/>
    <w:rsid w:val="00B426CA"/>
    <w:rsid w:val="00B426E1"/>
    <w:rsid w:val="00B42973"/>
    <w:rsid w:val="00B42F6D"/>
    <w:rsid w:val="00B43449"/>
    <w:rsid w:val="00B4364A"/>
    <w:rsid w:val="00B4387A"/>
    <w:rsid w:val="00B43AFE"/>
    <w:rsid w:val="00B43DA1"/>
    <w:rsid w:val="00B44281"/>
    <w:rsid w:val="00B446B4"/>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5CB"/>
    <w:rsid w:val="00B52697"/>
    <w:rsid w:val="00B52FA2"/>
    <w:rsid w:val="00B54846"/>
    <w:rsid w:val="00B54D8F"/>
    <w:rsid w:val="00B55857"/>
    <w:rsid w:val="00B55C69"/>
    <w:rsid w:val="00B56851"/>
    <w:rsid w:val="00B569D4"/>
    <w:rsid w:val="00B56BA8"/>
    <w:rsid w:val="00B56D6E"/>
    <w:rsid w:val="00B572D9"/>
    <w:rsid w:val="00B572F7"/>
    <w:rsid w:val="00B57B9D"/>
    <w:rsid w:val="00B57DAF"/>
    <w:rsid w:val="00B60094"/>
    <w:rsid w:val="00B6022C"/>
    <w:rsid w:val="00B614F8"/>
    <w:rsid w:val="00B61994"/>
    <w:rsid w:val="00B61FD4"/>
    <w:rsid w:val="00B62655"/>
    <w:rsid w:val="00B62880"/>
    <w:rsid w:val="00B63872"/>
    <w:rsid w:val="00B63CB2"/>
    <w:rsid w:val="00B63D3B"/>
    <w:rsid w:val="00B640D2"/>
    <w:rsid w:val="00B64246"/>
    <w:rsid w:val="00B6429B"/>
    <w:rsid w:val="00B64DCC"/>
    <w:rsid w:val="00B64EDB"/>
    <w:rsid w:val="00B65938"/>
    <w:rsid w:val="00B65C8A"/>
    <w:rsid w:val="00B65CE2"/>
    <w:rsid w:val="00B660AD"/>
    <w:rsid w:val="00B66109"/>
    <w:rsid w:val="00B66349"/>
    <w:rsid w:val="00B66CB4"/>
    <w:rsid w:val="00B66F6B"/>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C72"/>
    <w:rsid w:val="00B81964"/>
    <w:rsid w:val="00B81E6F"/>
    <w:rsid w:val="00B82123"/>
    <w:rsid w:val="00B8225B"/>
    <w:rsid w:val="00B8256A"/>
    <w:rsid w:val="00B825BB"/>
    <w:rsid w:val="00B82BB5"/>
    <w:rsid w:val="00B82D58"/>
    <w:rsid w:val="00B83182"/>
    <w:rsid w:val="00B8385B"/>
    <w:rsid w:val="00B839F0"/>
    <w:rsid w:val="00B841D2"/>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162"/>
    <w:rsid w:val="00B91523"/>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DFE"/>
    <w:rsid w:val="00B95E3D"/>
    <w:rsid w:val="00B964EB"/>
    <w:rsid w:val="00B9691F"/>
    <w:rsid w:val="00B96EEC"/>
    <w:rsid w:val="00B97392"/>
    <w:rsid w:val="00B976C7"/>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65B"/>
    <w:rsid w:val="00BA686B"/>
    <w:rsid w:val="00BA6913"/>
    <w:rsid w:val="00BA6B3E"/>
    <w:rsid w:val="00BA6BF1"/>
    <w:rsid w:val="00BA6D05"/>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1AB"/>
    <w:rsid w:val="00BB32C9"/>
    <w:rsid w:val="00BB343D"/>
    <w:rsid w:val="00BB35C5"/>
    <w:rsid w:val="00BB4293"/>
    <w:rsid w:val="00BB49CE"/>
    <w:rsid w:val="00BB4C8E"/>
    <w:rsid w:val="00BB57ED"/>
    <w:rsid w:val="00BB5DD6"/>
    <w:rsid w:val="00BB6183"/>
    <w:rsid w:val="00BB65C3"/>
    <w:rsid w:val="00BB662E"/>
    <w:rsid w:val="00BB6721"/>
    <w:rsid w:val="00BB67A9"/>
    <w:rsid w:val="00BB68DA"/>
    <w:rsid w:val="00BB6C01"/>
    <w:rsid w:val="00BB6E8B"/>
    <w:rsid w:val="00BB748C"/>
    <w:rsid w:val="00BB7942"/>
    <w:rsid w:val="00BB7CD1"/>
    <w:rsid w:val="00BC0F33"/>
    <w:rsid w:val="00BC14A7"/>
    <w:rsid w:val="00BC17CC"/>
    <w:rsid w:val="00BC2898"/>
    <w:rsid w:val="00BC2928"/>
    <w:rsid w:val="00BC296E"/>
    <w:rsid w:val="00BC29BD"/>
    <w:rsid w:val="00BC2BB1"/>
    <w:rsid w:val="00BC2E8F"/>
    <w:rsid w:val="00BC34A3"/>
    <w:rsid w:val="00BC3565"/>
    <w:rsid w:val="00BC3FF9"/>
    <w:rsid w:val="00BC4112"/>
    <w:rsid w:val="00BC46A7"/>
    <w:rsid w:val="00BC4834"/>
    <w:rsid w:val="00BC4A97"/>
    <w:rsid w:val="00BC4E15"/>
    <w:rsid w:val="00BC520E"/>
    <w:rsid w:val="00BC5A25"/>
    <w:rsid w:val="00BC5FDD"/>
    <w:rsid w:val="00BC63D4"/>
    <w:rsid w:val="00BC68B4"/>
    <w:rsid w:val="00BC6C0E"/>
    <w:rsid w:val="00BC780D"/>
    <w:rsid w:val="00BC7C9B"/>
    <w:rsid w:val="00BD0140"/>
    <w:rsid w:val="00BD02CC"/>
    <w:rsid w:val="00BD0611"/>
    <w:rsid w:val="00BD088E"/>
    <w:rsid w:val="00BD0F18"/>
    <w:rsid w:val="00BD115F"/>
    <w:rsid w:val="00BD1DED"/>
    <w:rsid w:val="00BD2063"/>
    <w:rsid w:val="00BD332F"/>
    <w:rsid w:val="00BD33D9"/>
    <w:rsid w:val="00BD38AE"/>
    <w:rsid w:val="00BD38C5"/>
    <w:rsid w:val="00BD3DEA"/>
    <w:rsid w:val="00BD3E97"/>
    <w:rsid w:val="00BD3EDB"/>
    <w:rsid w:val="00BD40E4"/>
    <w:rsid w:val="00BD48E5"/>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0905"/>
    <w:rsid w:val="00BE12D7"/>
    <w:rsid w:val="00BE1372"/>
    <w:rsid w:val="00BE1775"/>
    <w:rsid w:val="00BE18DA"/>
    <w:rsid w:val="00BE26C0"/>
    <w:rsid w:val="00BE30A1"/>
    <w:rsid w:val="00BE3442"/>
    <w:rsid w:val="00BE37CD"/>
    <w:rsid w:val="00BE42D6"/>
    <w:rsid w:val="00BE47B2"/>
    <w:rsid w:val="00BE48C7"/>
    <w:rsid w:val="00BE4C4F"/>
    <w:rsid w:val="00BE4F66"/>
    <w:rsid w:val="00BE522D"/>
    <w:rsid w:val="00BE5238"/>
    <w:rsid w:val="00BE6074"/>
    <w:rsid w:val="00BE6860"/>
    <w:rsid w:val="00BE6938"/>
    <w:rsid w:val="00BE7257"/>
    <w:rsid w:val="00BF020D"/>
    <w:rsid w:val="00BF0609"/>
    <w:rsid w:val="00BF0E64"/>
    <w:rsid w:val="00BF0EE8"/>
    <w:rsid w:val="00BF1DD2"/>
    <w:rsid w:val="00BF22BF"/>
    <w:rsid w:val="00BF23A3"/>
    <w:rsid w:val="00BF2A7E"/>
    <w:rsid w:val="00BF3331"/>
    <w:rsid w:val="00BF3521"/>
    <w:rsid w:val="00BF3A45"/>
    <w:rsid w:val="00BF436F"/>
    <w:rsid w:val="00BF4484"/>
    <w:rsid w:val="00BF519C"/>
    <w:rsid w:val="00BF5C05"/>
    <w:rsid w:val="00BF5CB4"/>
    <w:rsid w:val="00BF6FC6"/>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590"/>
    <w:rsid w:val="00C06CCF"/>
    <w:rsid w:val="00C0794D"/>
    <w:rsid w:val="00C10B33"/>
    <w:rsid w:val="00C10E78"/>
    <w:rsid w:val="00C1159D"/>
    <w:rsid w:val="00C118E1"/>
    <w:rsid w:val="00C1233E"/>
    <w:rsid w:val="00C1233F"/>
    <w:rsid w:val="00C123F6"/>
    <w:rsid w:val="00C12B98"/>
    <w:rsid w:val="00C12FB3"/>
    <w:rsid w:val="00C138BC"/>
    <w:rsid w:val="00C13D85"/>
    <w:rsid w:val="00C14639"/>
    <w:rsid w:val="00C14E82"/>
    <w:rsid w:val="00C14FF6"/>
    <w:rsid w:val="00C151ED"/>
    <w:rsid w:val="00C15A85"/>
    <w:rsid w:val="00C1637C"/>
    <w:rsid w:val="00C1641B"/>
    <w:rsid w:val="00C165FC"/>
    <w:rsid w:val="00C176D5"/>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4C99"/>
    <w:rsid w:val="00C24EF2"/>
    <w:rsid w:val="00C25813"/>
    <w:rsid w:val="00C26D76"/>
    <w:rsid w:val="00C27143"/>
    <w:rsid w:val="00C272CE"/>
    <w:rsid w:val="00C27490"/>
    <w:rsid w:val="00C27712"/>
    <w:rsid w:val="00C27C14"/>
    <w:rsid w:val="00C27D37"/>
    <w:rsid w:val="00C30038"/>
    <w:rsid w:val="00C30658"/>
    <w:rsid w:val="00C309E8"/>
    <w:rsid w:val="00C317C5"/>
    <w:rsid w:val="00C32017"/>
    <w:rsid w:val="00C32571"/>
    <w:rsid w:val="00C325CD"/>
    <w:rsid w:val="00C3322E"/>
    <w:rsid w:val="00C337F5"/>
    <w:rsid w:val="00C33A73"/>
    <w:rsid w:val="00C33B90"/>
    <w:rsid w:val="00C34161"/>
    <w:rsid w:val="00C34A09"/>
    <w:rsid w:val="00C34B5F"/>
    <w:rsid w:val="00C358D4"/>
    <w:rsid w:val="00C3601E"/>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719C"/>
    <w:rsid w:val="00C47472"/>
    <w:rsid w:val="00C47A41"/>
    <w:rsid w:val="00C500F0"/>
    <w:rsid w:val="00C504A7"/>
    <w:rsid w:val="00C506C9"/>
    <w:rsid w:val="00C50A16"/>
    <w:rsid w:val="00C50AFD"/>
    <w:rsid w:val="00C51C9A"/>
    <w:rsid w:val="00C52128"/>
    <w:rsid w:val="00C52795"/>
    <w:rsid w:val="00C52C68"/>
    <w:rsid w:val="00C52D98"/>
    <w:rsid w:val="00C52DA1"/>
    <w:rsid w:val="00C533F2"/>
    <w:rsid w:val="00C53B0C"/>
    <w:rsid w:val="00C53C3B"/>
    <w:rsid w:val="00C53D24"/>
    <w:rsid w:val="00C54640"/>
    <w:rsid w:val="00C547A6"/>
    <w:rsid w:val="00C54A3A"/>
    <w:rsid w:val="00C555B9"/>
    <w:rsid w:val="00C55B52"/>
    <w:rsid w:val="00C55C32"/>
    <w:rsid w:val="00C55E16"/>
    <w:rsid w:val="00C560BF"/>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3E"/>
    <w:rsid w:val="00C6598D"/>
    <w:rsid w:val="00C660FE"/>
    <w:rsid w:val="00C66119"/>
    <w:rsid w:val="00C66292"/>
    <w:rsid w:val="00C66D0A"/>
    <w:rsid w:val="00C66F21"/>
    <w:rsid w:val="00C672A3"/>
    <w:rsid w:val="00C672F1"/>
    <w:rsid w:val="00C673D0"/>
    <w:rsid w:val="00C6742E"/>
    <w:rsid w:val="00C67ABF"/>
    <w:rsid w:val="00C67B0B"/>
    <w:rsid w:val="00C70012"/>
    <w:rsid w:val="00C705FC"/>
    <w:rsid w:val="00C70671"/>
    <w:rsid w:val="00C708AA"/>
    <w:rsid w:val="00C70DEC"/>
    <w:rsid w:val="00C71E2A"/>
    <w:rsid w:val="00C71FD7"/>
    <w:rsid w:val="00C728A2"/>
    <w:rsid w:val="00C72FB8"/>
    <w:rsid w:val="00C733BA"/>
    <w:rsid w:val="00C73A34"/>
    <w:rsid w:val="00C75671"/>
    <w:rsid w:val="00C7595C"/>
    <w:rsid w:val="00C760DC"/>
    <w:rsid w:val="00C8082A"/>
    <w:rsid w:val="00C8082B"/>
    <w:rsid w:val="00C81A88"/>
    <w:rsid w:val="00C81AE5"/>
    <w:rsid w:val="00C81D46"/>
    <w:rsid w:val="00C82298"/>
    <w:rsid w:val="00C822B3"/>
    <w:rsid w:val="00C833B4"/>
    <w:rsid w:val="00C84284"/>
    <w:rsid w:val="00C84E33"/>
    <w:rsid w:val="00C85D99"/>
    <w:rsid w:val="00C85FCD"/>
    <w:rsid w:val="00C85FFC"/>
    <w:rsid w:val="00C861FC"/>
    <w:rsid w:val="00C8631B"/>
    <w:rsid w:val="00C8665E"/>
    <w:rsid w:val="00C86C87"/>
    <w:rsid w:val="00C87101"/>
    <w:rsid w:val="00C875EC"/>
    <w:rsid w:val="00C9005E"/>
    <w:rsid w:val="00C90111"/>
    <w:rsid w:val="00C9038E"/>
    <w:rsid w:val="00C9077B"/>
    <w:rsid w:val="00C90CA9"/>
    <w:rsid w:val="00C90F88"/>
    <w:rsid w:val="00C915F2"/>
    <w:rsid w:val="00C9165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878"/>
    <w:rsid w:val="00C959BD"/>
    <w:rsid w:val="00C95D64"/>
    <w:rsid w:val="00C95DFE"/>
    <w:rsid w:val="00C95F44"/>
    <w:rsid w:val="00C96D1B"/>
    <w:rsid w:val="00C97106"/>
    <w:rsid w:val="00C978D4"/>
    <w:rsid w:val="00C9793C"/>
    <w:rsid w:val="00CA0031"/>
    <w:rsid w:val="00CA0413"/>
    <w:rsid w:val="00CA043A"/>
    <w:rsid w:val="00CA0E51"/>
    <w:rsid w:val="00CA1691"/>
    <w:rsid w:val="00CA2738"/>
    <w:rsid w:val="00CA2D2E"/>
    <w:rsid w:val="00CA3C3A"/>
    <w:rsid w:val="00CA41E7"/>
    <w:rsid w:val="00CA4A99"/>
    <w:rsid w:val="00CA5520"/>
    <w:rsid w:val="00CA5812"/>
    <w:rsid w:val="00CA5BD4"/>
    <w:rsid w:val="00CA5C14"/>
    <w:rsid w:val="00CA7500"/>
    <w:rsid w:val="00CA76FC"/>
    <w:rsid w:val="00CA7E7B"/>
    <w:rsid w:val="00CB0028"/>
    <w:rsid w:val="00CB0236"/>
    <w:rsid w:val="00CB0DC1"/>
    <w:rsid w:val="00CB144F"/>
    <w:rsid w:val="00CB1969"/>
    <w:rsid w:val="00CB19E3"/>
    <w:rsid w:val="00CB1DC1"/>
    <w:rsid w:val="00CB2C3A"/>
    <w:rsid w:val="00CB2D38"/>
    <w:rsid w:val="00CB4137"/>
    <w:rsid w:val="00CB4A29"/>
    <w:rsid w:val="00CB52D0"/>
    <w:rsid w:val="00CB5302"/>
    <w:rsid w:val="00CB5578"/>
    <w:rsid w:val="00CB5671"/>
    <w:rsid w:val="00CB591C"/>
    <w:rsid w:val="00CB5943"/>
    <w:rsid w:val="00CB61B3"/>
    <w:rsid w:val="00CB6F83"/>
    <w:rsid w:val="00CB72AE"/>
    <w:rsid w:val="00CC00CD"/>
    <w:rsid w:val="00CC0579"/>
    <w:rsid w:val="00CC0AF3"/>
    <w:rsid w:val="00CC0BC6"/>
    <w:rsid w:val="00CC0E68"/>
    <w:rsid w:val="00CC121F"/>
    <w:rsid w:val="00CC1780"/>
    <w:rsid w:val="00CC194E"/>
    <w:rsid w:val="00CC1ED2"/>
    <w:rsid w:val="00CC21AC"/>
    <w:rsid w:val="00CC232E"/>
    <w:rsid w:val="00CC2514"/>
    <w:rsid w:val="00CC2A9C"/>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6988"/>
    <w:rsid w:val="00CD76F8"/>
    <w:rsid w:val="00CD7EFA"/>
    <w:rsid w:val="00CE020E"/>
    <w:rsid w:val="00CE02C2"/>
    <w:rsid w:val="00CE03B8"/>
    <w:rsid w:val="00CE0566"/>
    <w:rsid w:val="00CE1CD4"/>
    <w:rsid w:val="00CE207C"/>
    <w:rsid w:val="00CE2761"/>
    <w:rsid w:val="00CE28FC"/>
    <w:rsid w:val="00CE2ED5"/>
    <w:rsid w:val="00CE314E"/>
    <w:rsid w:val="00CE3D5C"/>
    <w:rsid w:val="00CE3E09"/>
    <w:rsid w:val="00CE3E14"/>
    <w:rsid w:val="00CE44C7"/>
    <w:rsid w:val="00CE53CC"/>
    <w:rsid w:val="00CE559D"/>
    <w:rsid w:val="00CE5EE2"/>
    <w:rsid w:val="00CE6103"/>
    <w:rsid w:val="00CE6473"/>
    <w:rsid w:val="00CE65A7"/>
    <w:rsid w:val="00CE68FE"/>
    <w:rsid w:val="00CE69CC"/>
    <w:rsid w:val="00CE6EC4"/>
    <w:rsid w:val="00CE7F26"/>
    <w:rsid w:val="00CF0A8D"/>
    <w:rsid w:val="00CF115E"/>
    <w:rsid w:val="00CF1226"/>
    <w:rsid w:val="00CF1ABB"/>
    <w:rsid w:val="00CF1E1D"/>
    <w:rsid w:val="00CF23A0"/>
    <w:rsid w:val="00CF24FE"/>
    <w:rsid w:val="00CF251B"/>
    <w:rsid w:val="00CF287F"/>
    <w:rsid w:val="00CF35D0"/>
    <w:rsid w:val="00CF3B57"/>
    <w:rsid w:val="00CF3DD5"/>
    <w:rsid w:val="00CF42D1"/>
    <w:rsid w:val="00CF481B"/>
    <w:rsid w:val="00CF4AF7"/>
    <w:rsid w:val="00CF4D20"/>
    <w:rsid w:val="00CF625F"/>
    <w:rsid w:val="00CF73F8"/>
    <w:rsid w:val="00CF75C1"/>
    <w:rsid w:val="00CF76CC"/>
    <w:rsid w:val="00CF7928"/>
    <w:rsid w:val="00CF7CA2"/>
    <w:rsid w:val="00D00471"/>
    <w:rsid w:val="00D00684"/>
    <w:rsid w:val="00D00911"/>
    <w:rsid w:val="00D00A8E"/>
    <w:rsid w:val="00D00DE0"/>
    <w:rsid w:val="00D00F79"/>
    <w:rsid w:val="00D012BF"/>
    <w:rsid w:val="00D01760"/>
    <w:rsid w:val="00D01B78"/>
    <w:rsid w:val="00D02380"/>
    <w:rsid w:val="00D030BD"/>
    <w:rsid w:val="00D0368E"/>
    <w:rsid w:val="00D03742"/>
    <w:rsid w:val="00D0393E"/>
    <w:rsid w:val="00D03AC3"/>
    <w:rsid w:val="00D03D2D"/>
    <w:rsid w:val="00D03E7B"/>
    <w:rsid w:val="00D0401A"/>
    <w:rsid w:val="00D040EC"/>
    <w:rsid w:val="00D0469C"/>
    <w:rsid w:val="00D046C1"/>
    <w:rsid w:val="00D047E0"/>
    <w:rsid w:val="00D04AB6"/>
    <w:rsid w:val="00D04B9F"/>
    <w:rsid w:val="00D04E8D"/>
    <w:rsid w:val="00D04FFB"/>
    <w:rsid w:val="00D053CF"/>
    <w:rsid w:val="00D055FE"/>
    <w:rsid w:val="00D058E9"/>
    <w:rsid w:val="00D0612A"/>
    <w:rsid w:val="00D06BAD"/>
    <w:rsid w:val="00D06E6B"/>
    <w:rsid w:val="00D07315"/>
    <w:rsid w:val="00D1060D"/>
    <w:rsid w:val="00D10E7C"/>
    <w:rsid w:val="00D11182"/>
    <w:rsid w:val="00D1137B"/>
    <w:rsid w:val="00D11807"/>
    <w:rsid w:val="00D11DB3"/>
    <w:rsid w:val="00D12D82"/>
    <w:rsid w:val="00D12F77"/>
    <w:rsid w:val="00D1306E"/>
    <w:rsid w:val="00D134CD"/>
    <w:rsid w:val="00D14860"/>
    <w:rsid w:val="00D14B5F"/>
    <w:rsid w:val="00D14E13"/>
    <w:rsid w:val="00D14F23"/>
    <w:rsid w:val="00D157B8"/>
    <w:rsid w:val="00D160F6"/>
    <w:rsid w:val="00D16740"/>
    <w:rsid w:val="00D16A8B"/>
    <w:rsid w:val="00D16E39"/>
    <w:rsid w:val="00D172A4"/>
    <w:rsid w:val="00D172AA"/>
    <w:rsid w:val="00D17951"/>
    <w:rsid w:val="00D17AD8"/>
    <w:rsid w:val="00D17F91"/>
    <w:rsid w:val="00D2104A"/>
    <w:rsid w:val="00D21BB5"/>
    <w:rsid w:val="00D21FFC"/>
    <w:rsid w:val="00D223B6"/>
    <w:rsid w:val="00D223E8"/>
    <w:rsid w:val="00D224E1"/>
    <w:rsid w:val="00D227ED"/>
    <w:rsid w:val="00D22DC8"/>
    <w:rsid w:val="00D22F86"/>
    <w:rsid w:val="00D2477B"/>
    <w:rsid w:val="00D24BBC"/>
    <w:rsid w:val="00D2522A"/>
    <w:rsid w:val="00D2531C"/>
    <w:rsid w:val="00D2553E"/>
    <w:rsid w:val="00D25CFA"/>
    <w:rsid w:val="00D26853"/>
    <w:rsid w:val="00D2737C"/>
    <w:rsid w:val="00D2742F"/>
    <w:rsid w:val="00D2754F"/>
    <w:rsid w:val="00D277C5"/>
    <w:rsid w:val="00D279D9"/>
    <w:rsid w:val="00D30FCE"/>
    <w:rsid w:val="00D312DC"/>
    <w:rsid w:val="00D31824"/>
    <w:rsid w:val="00D31B84"/>
    <w:rsid w:val="00D31C6A"/>
    <w:rsid w:val="00D31EDF"/>
    <w:rsid w:val="00D31F0A"/>
    <w:rsid w:val="00D31FF9"/>
    <w:rsid w:val="00D32149"/>
    <w:rsid w:val="00D32256"/>
    <w:rsid w:val="00D32634"/>
    <w:rsid w:val="00D32A27"/>
    <w:rsid w:val="00D32ABC"/>
    <w:rsid w:val="00D33FA4"/>
    <w:rsid w:val="00D341C9"/>
    <w:rsid w:val="00D34B25"/>
    <w:rsid w:val="00D34F4E"/>
    <w:rsid w:val="00D357F3"/>
    <w:rsid w:val="00D357FA"/>
    <w:rsid w:val="00D35C0E"/>
    <w:rsid w:val="00D36415"/>
    <w:rsid w:val="00D373A8"/>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DC"/>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1384"/>
    <w:rsid w:val="00D6140F"/>
    <w:rsid w:val="00D61526"/>
    <w:rsid w:val="00D61F81"/>
    <w:rsid w:val="00D62175"/>
    <w:rsid w:val="00D6276C"/>
    <w:rsid w:val="00D62BE6"/>
    <w:rsid w:val="00D63766"/>
    <w:rsid w:val="00D63912"/>
    <w:rsid w:val="00D63923"/>
    <w:rsid w:val="00D63A34"/>
    <w:rsid w:val="00D6451B"/>
    <w:rsid w:val="00D64B57"/>
    <w:rsid w:val="00D651A1"/>
    <w:rsid w:val="00D65DEA"/>
    <w:rsid w:val="00D66579"/>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249"/>
    <w:rsid w:val="00D73419"/>
    <w:rsid w:val="00D73CA9"/>
    <w:rsid w:val="00D75043"/>
    <w:rsid w:val="00D751B7"/>
    <w:rsid w:val="00D7524B"/>
    <w:rsid w:val="00D7533E"/>
    <w:rsid w:val="00D75396"/>
    <w:rsid w:val="00D759C0"/>
    <w:rsid w:val="00D75E99"/>
    <w:rsid w:val="00D765CE"/>
    <w:rsid w:val="00D766C7"/>
    <w:rsid w:val="00D76901"/>
    <w:rsid w:val="00D7692B"/>
    <w:rsid w:val="00D76BEE"/>
    <w:rsid w:val="00D7734F"/>
    <w:rsid w:val="00D80002"/>
    <w:rsid w:val="00D8044C"/>
    <w:rsid w:val="00D805D6"/>
    <w:rsid w:val="00D8075E"/>
    <w:rsid w:val="00D80860"/>
    <w:rsid w:val="00D80D4C"/>
    <w:rsid w:val="00D8184D"/>
    <w:rsid w:val="00D81A7B"/>
    <w:rsid w:val="00D8223C"/>
    <w:rsid w:val="00D82ABB"/>
    <w:rsid w:val="00D82B57"/>
    <w:rsid w:val="00D82CE5"/>
    <w:rsid w:val="00D8318E"/>
    <w:rsid w:val="00D831E3"/>
    <w:rsid w:val="00D8342C"/>
    <w:rsid w:val="00D841C4"/>
    <w:rsid w:val="00D85494"/>
    <w:rsid w:val="00D8582C"/>
    <w:rsid w:val="00D858B1"/>
    <w:rsid w:val="00D85A9A"/>
    <w:rsid w:val="00D85D61"/>
    <w:rsid w:val="00D8616D"/>
    <w:rsid w:val="00D86363"/>
    <w:rsid w:val="00D8641F"/>
    <w:rsid w:val="00D866CA"/>
    <w:rsid w:val="00D869B7"/>
    <w:rsid w:val="00D86FB7"/>
    <w:rsid w:val="00D8711B"/>
    <w:rsid w:val="00D87384"/>
    <w:rsid w:val="00D87AE8"/>
    <w:rsid w:val="00D9052A"/>
    <w:rsid w:val="00D90683"/>
    <w:rsid w:val="00D90B2A"/>
    <w:rsid w:val="00D91000"/>
    <w:rsid w:val="00D91391"/>
    <w:rsid w:val="00D91483"/>
    <w:rsid w:val="00D915C8"/>
    <w:rsid w:val="00D91881"/>
    <w:rsid w:val="00D9310B"/>
    <w:rsid w:val="00D931F3"/>
    <w:rsid w:val="00D93726"/>
    <w:rsid w:val="00D93F3E"/>
    <w:rsid w:val="00D9405B"/>
    <w:rsid w:val="00D94942"/>
    <w:rsid w:val="00D95145"/>
    <w:rsid w:val="00D951DA"/>
    <w:rsid w:val="00D95360"/>
    <w:rsid w:val="00D95E03"/>
    <w:rsid w:val="00D96594"/>
    <w:rsid w:val="00D967CB"/>
    <w:rsid w:val="00D968D4"/>
    <w:rsid w:val="00D968DD"/>
    <w:rsid w:val="00D96EE0"/>
    <w:rsid w:val="00D97ACE"/>
    <w:rsid w:val="00D97BD1"/>
    <w:rsid w:val="00D97D05"/>
    <w:rsid w:val="00D97DAD"/>
    <w:rsid w:val="00DA06B8"/>
    <w:rsid w:val="00DA14A9"/>
    <w:rsid w:val="00DA2164"/>
    <w:rsid w:val="00DA2862"/>
    <w:rsid w:val="00DA286D"/>
    <w:rsid w:val="00DA2969"/>
    <w:rsid w:val="00DA29B7"/>
    <w:rsid w:val="00DA2F3F"/>
    <w:rsid w:val="00DA337C"/>
    <w:rsid w:val="00DA385C"/>
    <w:rsid w:val="00DA39B1"/>
    <w:rsid w:val="00DA4842"/>
    <w:rsid w:val="00DA4F7B"/>
    <w:rsid w:val="00DA5989"/>
    <w:rsid w:val="00DA5AB1"/>
    <w:rsid w:val="00DA5F9D"/>
    <w:rsid w:val="00DA5FFB"/>
    <w:rsid w:val="00DA6998"/>
    <w:rsid w:val="00DA69B2"/>
    <w:rsid w:val="00DA7462"/>
    <w:rsid w:val="00DA7AD0"/>
    <w:rsid w:val="00DB02D7"/>
    <w:rsid w:val="00DB03CC"/>
    <w:rsid w:val="00DB12D4"/>
    <w:rsid w:val="00DB14F0"/>
    <w:rsid w:val="00DB1745"/>
    <w:rsid w:val="00DB19BB"/>
    <w:rsid w:val="00DB1AFF"/>
    <w:rsid w:val="00DB219A"/>
    <w:rsid w:val="00DB23B5"/>
    <w:rsid w:val="00DB23DD"/>
    <w:rsid w:val="00DB3165"/>
    <w:rsid w:val="00DB4128"/>
    <w:rsid w:val="00DB4292"/>
    <w:rsid w:val="00DB45DB"/>
    <w:rsid w:val="00DB5023"/>
    <w:rsid w:val="00DB5CD6"/>
    <w:rsid w:val="00DB629E"/>
    <w:rsid w:val="00DB6381"/>
    <w:rsid w:val="00DB6A01"/>
    <w:rsid w:val="00DB6C56"/>
    <w:rsid w:val="00DB6E46"/>
    <w:rsid w:val="00DB7117"/>
    <w:rsid w:val="00DB723F"/>
    <w:rsid w:val="00DB771A"/>
    <w:rsid w:val="00DB7760"/>
    <w:rsid w:val="00DB7DD4"/>
    <w:rsid w:val="00DC00B4"/>
    <w:rsid w:val="00DC0954"/>
    <w:rsid w:val="00DC0DF8"/>
    <w:rsid w:val="00DC15BA"/>
    <w:rsid w:val="00DC18CD"/>
    <w:rsid w:val="00DC1A68"/>
    <w:rsid w:val="00DC1E82"/>
    <w:rsid w:val="00DC30B8"/>
    <w:rsid w:val="00DC3786"/>
    <w:rsid w:val="00DC3EAB"/>
    <w:rsid w:val="00DC478F"/>
    <w:rsid w:val="00DC537E"/>
    <w:rsid w:val="00DC62E5"/>
    <w:rsid w:val="00DC669F"/>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7E5"/>
    <w:rsid w:val="00DE082D"/>
    <w:rsid w:val="00DE1410"/>
    <w:rsid w:val="00DE14A6"/>
    <w:rsid w:val="00DE20C6"/>
    <w:rsid w:val="00DE3119"/>
    <w:rsid w:val="00DE3FF0"/>
    <w:rsid w:val="00DE4105"/>
    <w:rsid w:val="00DE41C4"/>
    <w:rsid w:val="00DE5189"/>
    <w:rsid w:val="00DE7108"/>
    <w:rsid w:val="00DE78D1"/>
    <w:rsid w:val="00DE78FF"/>
    <w:rsid w:val="00DF0263"/>
    <w:rsid w:val="00DF084C"/>
    <w:rsid w:val="00DF0EB4"/>
    <w:rsid w:val="00DF14CC"/>
    <w:rsid w:val="00DF158B"/>
    <w:rsid w:val="00DF193C"/>
    <w:rsid w:val="00DF1D63"/>
    <w:rsid w:val="00DF1E36"/>
    <w:rsid w:val="00DF236B"/>
    <w:rsid w:val="00DF2919"/>
    <w:rsid w:val="00DF2A91"/>
    <w:rsid w:val="00DF3889"/>
    <w:rsid w:val="00DF39DF"/>
    <w:rsid w:val="00DF39E3"/>
    <w:rsid w:val="00DF3CC9"/>
    <w:rsid w:val="00DF3F66"/>
    <w:rsid w:val="00DF4436"/>
    <w:rsid w:val="00DF4451"/>
    <w:rsid w:val="00DF49FF"/>
    <w:rsid w:val="00DF4FFB"/>
    <w:rsid w:val="00DF5015"/>
    <w:rsid w:val="00DF507E"/>
    <w:rsid w:val="00DF516E"/>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2E38"/>
    <w:rsid w:val="00E1397F"/>
    <w:rsid w:val="00E13AB8"/>
    <w:rsid w:val="00E1482E"/>
    <w:rsid w:val="00E153AE"/>
    <w:rsid w:val="00E15AB1"/>
    <w:rsid w:val="00E16382"/>
    <w:rsid w:val="00E1699C"/>
    <w:rsid w:val="00E16E75"/>
    <w:rsid w:val="00E1714E"/>
    <w:rsid w:val="00E1746D"/>
    <w:rsid w:val="00E17AFA"/>
    <w:rsid w:val="00E2012A"/>
    <w:rsid w:val="00E205A2"/>
    <w:rsid w:val="00E20BA4"/>
    <w:rsid w:val="00E22F60"/>
    <w:rsid w:val="00E2302A"/>
    <w:rsid w:val="00E23137"/>
    <w:rsid w:val="00E233B2"/>
    <w:rsid w:val="00E23980"/>
    <w:rsid w:val="00E241E9"/>
    <w:rsid w:val="00E257C3"/>
    <w:rsid w:val="00E25CB3"/>
    <w:rsid w:val="00E25DA4"/>
    <w:rsid w:val="00E26237"/>
    <w:rsid w:val="00E26CB8"/>
    <w:rsid w:val="00E26D16"/>
    <w:rsid w:val="00E26FCF"/>
    <w:rsid w:val="00E27165"/>
    <w:rsid w:val="00E275D9"/>
    <w:rsid w:val="00E27666"/>
    <w:rsid w:val="00E27801"/>
    <w:rsid w:val="00E27988"/>
    <w:rsid w:val="00E3044A"/>
    <w:rsid w:val="00E30E49"/>
    <w:rsid w:val="00E314A5"/>
    <w:rsid w:val="00E3174A"/>
    <w:rsid w:val="00E31A4A"/>
    <w:rsid w:val="00E3344A"/>
    <w:rsid w:val="00E336A3"/>
    <w:rsid w:val="00E33B29"/>
    <w:rsid w:val="00E33B62"/>
    <w:rsid w:val="00E3403D"/>
    <w:rsid w:val="00E344BD"/>
    <w:rsid w:val="00E34E6C"/>
    <w:rsid w:val="00E353A8"/>
    <w:rsid w:val="00E353E2"/>
    <w:rsid w:val="00E36345"/>
    <w:rsid w:val="00E368BD"/>
    <w:rsid w:val="00E36C86"/>
    <w:rsid w:val="00E36CEB"/>
    <w:rsid w:val="00E36D6F"/>
    <w:rsid w:val="00E37387"/>
    <w:rsid w:val="00E37A28"/>
    <w:rsid w:val="00E40430"/>
    <w:rsid w:val="00E40690"/>
    <w:rsid w:val="00E40AEB"/>
    <w:rsid w:val="00E40B4D"/>
    <w:rsid w:val="00E41155"/>
    <w:rsid w:val="00E412D5"/>
    <w:rsid w:val="00E4143A"/>
    <w:rsid w:val="00E424C8"/>
    <w:rsid w:val="00E4251D"/>
    <w:rsid w:val="00E43D00"/>
    <w:rsid w:val="00E443B4"/>
    <w:rsid w:val="00E445E4"/>
    <w:rsid w:val="00E457CB"/>
    <w:rsid w:val="00E45D47"/>
    <w:rsid w:val="00E45DE4"/>
    <w:rsid w:val="00E45E63"/>
    <w:rsid w:val="00E462F0"/>
    <w:rsid w:val="00E467B3"/>
    <w:rsid w:val="00E46BBC"/>
    <w:rsid w:val="00E47394"/>
    <w:rsid w:val="00E4759C"/>
    <w:rsid w:val="00E47A07"/>
    <w:rsid w:val="00E50A7B"/>
    <w:rsid w:val="00E50B0B"/>
    <w:rsid w:val="00E510FE"/>
    <w:rsid w:val="00E51129"/>
    <w:rsid w:val="00E513D9"/>
    <w:rsid w:val="00E516C7"/>
    <w:rsid w:val="00E51E25"/>
    <w:rsid w:val="00E5205B"/>
    <w:rsid w:val="00E521AE"/>
    <w:rsid w:val="00E52212"/>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1525"/>
    <w:rsid w:val="00E71FFC"/>
    <w:rsid w:val="00E724E7"/>
    <w:rsid w:val="00E72B41"/>
    <w:rsid w:val="00E7347B"/>
    <w:rsid w:val="00E73792"/>
    <w:rsid w:val="00E73941"/>
    <w:rsid w:val="00E73D03"/>
    <w:rsid w:val="00E74040"/>
    <w:rsid w:val="00E7471C"/>
    <w:rsid w:val="00E7498A"/>
    <w:rsid w:val="00E7514E"/>
    <w:rsid w:val="00E75EDB"/>
    <w:rsid w:val="00E7642B"/>
    <w:rsid w:val="00E76537"/>
    <w:rsid w:val="00E76E5D"/>
    <w:rsid w:val="00E76E62"/>
    <w:rsid w:val="00E774EE"/>
    <w:rsid w:val="00E77784"/>
    <w:rsid w:val="00E77937"/>
    <w:rsid w:val="00E77AF5"/>
    <w:rsid w:val="00E818F2"/>
    <w:rsid w:val="00E81925"/>
    <w:rsid w:val="00E81CAF"/>
    <w:rsid w:val="00E823F9"/>
    <w:rsid w:val="00E82A7F"/>
    <w:rsid w:val="00E82C1F"/>
    <w:rsid w:val="00E83671"/>
    <w:rsid w:val="00E8373D"/>
    <w:rsid w:val="00E840EE"/>
    <w:rsid w:val="00E8416F"/>
    <w:rsid w:val="00E84756"/>
    <w:rsid w:val="00E84A71"/>
    <w:rsid w:val="00E85170"/>
    <w:rsid w:val="00E8542B"/>
    <w:rsid w:val="00E86556"/>
    <w:rsid w:val="00E86D35"/>
    <w:rsid w:val="00E86DC2"/>
    <w:rsid w:val="00E86E32"/>
    <w:rsid w:val="00E86F2E"/>
    <w:rsid w:val="00E8732E"/>
    <w:rsid w:val="00E8744A"/>
    <w:rsid w:val="00E87DEF"/>
    <w:rsid w:val="00E87E9C"/>
    <w:rsid w:val="00E87FCA"/>
    <w:rsid w:val="00E9011F"/>
    <w:rsid w:val="00E906EB"/>
    <w:rsid w:val="00E90A66"/>
    <w:rsid w:val="00E919FB"/>
    <w:rsid w:val="00E9241E"/>
    <w:rsid w:val="00E92460"/>
    <w:rsid w:val="00E92751"/>
    <w:rsid w:val="00E9275E"/>
    <w:rsid w:val="00E92E62"/>
    <w:rsid w:val="00E93804"/>
    <w:rsid w:val="00E9429D"/>
    <w:rsid w:val="00E94342"/>
    <w:rsid w:val="00E94F0F"/>
    <w:rsid w:val="00E95434"/>
    <w:rsid w:val="00E96467"/>
    <w:rsid w:val="00E966DA"/>
    <w:rsid w:val="00E96948"/>
    <w:rsid w:val="00E96BE4"/>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5051"/>
    <w:rsid w:val="00EA560B"/>
    <w:rsid w:val="00EA5669"/>
    <w:rsid w:val="00EA56A9"/>
    <w:rsid w:val="00EA56F8"/>
    <w:rsid w:val="00EA5CC6"/>
    <w:rsid w:val="00EA63EF"/>
    <w:rsid w:val="00EA6D1E"/>
    <w:rsid w:val="00EA7420"/>
    <w:rsid w:val="00EB0689"/>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6827"/>
    <w:rsid w:val="00EB72CD"/>
    <w:rsid w:val="00EB749A"/>
    <w:rsid w:val="00EB76B6"/>
    <w:rsid w:val="00EB7764"/>
    <w:rsid w:val="00EB7D8A"/>
    <w:rsid w:val="00EC05E2"/>
    <w:rsid w:val="00EC08AC"/>
    <w:rsid w:val="00EC0B18"/>
    <w:rsid w:val="00EC0E84"/>
    <w:rsid w:val="00EC16E2"/>
    <w:rsid w:val="00EC1B16"/>
    <w:rsid w:val="00EC1BA3"/>
    <w:rsid w:val="00EC1CE7"/>
    <w:rsid w:val="00EC26F1"/>
    <w:rsid w:val="00EC3C94"/>
    <w:rsid w:val="00EC44DF"/>
    <w:rsid w:val="00EC4FB9"/>
    <w:rsid w:val="00EC5393"/>
    <w:rsid w:val="00EC5736"/>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A2C"/>
    <w:rsid w:val="00ED6D1A"/>
    <w:rsid w:val="00ED6D86"/>
    <w:rsid w:val="00ED72E9"/>
    <w:rsid w:val="00ED732E"/>
    <w:rsid w:val="00ED77F0"/>
    <w:rsid w:val="00ED7C60"/>
    <w:rsid w:val="00ED7FBC"/>
    <w:rsid w:val="00EE0253"/>
    <w:rsid w:val="00EE0297"/>
    <w:rsid w:val="00EE1258"/>
    <w:rsid w:val="00EE13DA"/>
    <w:rsid w:val="00EE1668"/>
    <w:rsid w:val="00EE19F9"/>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0A5"/>
    <w:rsid w:val="00EF1E97"/>
    <w:rsid w:val="00EF1FAB"/>
    <w:rsid w:val="00EF21E6"/>
    <w:rsid w:val="00EF2388"/>
    <w:rsid w:val="00EF2436"/>
    <w:rsid w:val="00EF2547"/>
    <w:rsid w:val="00EF296B"/>
    <w:rsid w:val="00EF2B2B"/>
    <w:rsid w:val="00EF2E1C"/>
    <w:rsid w:val="00EF2E37"/>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5886"/>
    <w:rsid w:val="00EF6784"/>
    <w:rsid w:val="00EF688A"/>
    <w:rsid w:val="00EF6A03"/>
    <w:rsid w:val="00EF6DC2"/>
    <w:rsid w:val="00EF71C9"/>
    <w:rsid w:val="00EF71F7"/>
    <w:rsid w:val="00EF7506"/>
    <w:rsid w:val="00EF7BF4"/>
    <w:rsid w:val="00F0012F"/>
    <w:rsid w:val="00F0030F"/>
    <w:rsid w:val="00F00674"/>
    <w:rsid w:val="00F01657"/>
    <w:rsid w:val="00F01E67"/>
    <w:rsid w:val="00F02744"/>
    <w:rsid w:val="00F02BFD"/>
    <w:rsid w:val="00F02D25"/>
    <w:rsid w:val="00F03C3D"/>
    <w:rsid w:val="00F0435D"/>
    <w:rsid w:val="00F04580"/>
    <w:rsid w:val="00F04802"/>
    <w:rsid w:val="00F04A37"/>
    <w:rsid w:val="00F04C44"/>
    <w:rsid w:val="00F04ECA"/>
    <w:rsid w:val="00F04F8B"/>
    <w:rsid w:val="00F05752"/>
    <w:rsid w:val="00F0589D"/>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AA1"/>
    <w:rsid w:val="00F14EA9"/>
    <w:rsid w:val="00F15505"/>
    <w:rsid w:val="00F15BFF"/>
    <w:rsid w:val="00F168A8"/>
    <w:rsid w:val="00F16E4F"/>
    <w:rsid w:val="00F16EB9"/>
    <w:rsid w:val="00F17244"/>
    <w:rsid w:val="00F17280"/>
    <w:rsid w:val="00F17500"/>
    <w:rsid w:val="00F20305"/>
    <w:rsid w:val="00F203EF"/>
    <w:rsid w:val="00F213A0"/>
    <w:rsid w:val="00F216C3"/>
    <w:rsid w:val="00F21C94"/>
    <w:rsid w:val="00F21D54"/>
    <w:rsid w:val="00F21D6D"/>
    <w:rsid w:val="00F21EF4"/>
    <w:rsid w:val="00F21F46"/>
    <w:rsid w:val="00F23113"/>
    <w:rsid w:val="00F23255"/>
    <w:rsid w:val="00F23393"/>
    <w:rsid w:val="00F23759"/>
    <w:rsid w:val="00F2455F"/>
    <w:rsid w:val="00F24644"/>
    <w:rsid w:val="00F24EF4"/>
    <w:rsid w:val="00F25947"/>
    <w:rsid w:val="00F262D6"/>
    <w:rsid w:val="00F26F33"/>
    <w:rsid w:val="00F2748A"/>
    <w:rsid w:val="00F27A2B"/>
    <w:rsid w:val="00F300A8"/>
    <w:rsid w:val="00F302C6"/>
    <w:rsid w:val="00F30400"/>
    <w:rsid w:val="00F3079E"/>
    <w:rsid w:val="00F31BEF"/>
    <w:rsid w:val="00F3265D"/>
    <w:rsid w:val="00F33968"/>
    <w:rsid w:val="00F3399B"/>
    <w:rsid w:val="00F33F4B"/>
    <w:rsid w:val="00F346ED"/>
    <w:rsid w:val="00F34945"/>
    <w:rsid w:val="00F34E1E"/>
    <w:rsid w:val="00F35404"/>
    <w:rsid w:val="00F3570C"/>
    <w:rsid w:val="00F363A4"/>
    <w:rsid w:val="00F36765"/>
    <w:rsid w:val="00F368FF"/>
    <w:rsid w:val="00F36A09"/>
    <w:rsid w:val="00F37068"/>
    <w:rsid w:val="00F37D3C"/>
    <w:rsid w:val="00F37F3F"/>
    <w:rsid w:val="00F40861"/>
    <w:rsid w:val="00F40992"/>
    <w:rsid w:val="00F40F5D"/>
    <w:rsid w:val="00F40F72"/>
    <w:rsid w:val="00F40FD8"/>
    <w:rsid w:val="00F41596"/>
    <w:rsid w:val="00F41C33"/>
    <w:rsid w:val="00F41D8B"/>
    <w:rsid w:val="00F42121"/>
    <w:rsid w:val="00F424B3"/>
    <w:rsid w:val="00F42623"/>
    <w:rsid w:val="00F428B1"/>
    <w:rsid w:val="00F428B4"/>
    <w:rsid w:val="00F42B8C"/>
    <w:rsid w:val="00F4345D"/>
    <w:rsid w:val="00F4387B"/>
    <w:rsid w:val="00F448EE"/>
    <w:rsid w:val="00F44CC0"/>
    <w:rsid w:val="00F4505A"/>
    <w:rsid w:val="00F451D4"/>
    <w:rsid w:val="00F45921"/>
    <w:rsid w:val="00F4597B"/>
    <w:rsid w:val="00F45B14"/>
    <w:rsid w:val="00F45B91"/>
    <w:rsid w:val="00F46639"/>
    <w:rsid w:val="00F46DBB"/>
    <w:rsid w:val="00F476FD"/>
    <w:rsid w:val="00F47716"/>
    <w:rsid w:val="00F50183"/>
    <w:rsid w:val="00F50635"/>
    <w:rsid w:val="00F50D92"/>
    <w:rsid w:val="00F5160A"/>
    <w:rsid w:val="00F51765"/>
    <w:rsid w:val="00F51A51"/>
    <w:rsid w:val="00F51BC6"/>
    <w:rsid w:val="00F51CB4"/>
    <w:rsid w:val="00F52324"/>
    <w:rsid w:val="00F526CC"/>
    <w:rsid w:val="00F52950"/>
    <w:rsid w:val="00F52C9D"/>
    <w:rsid w:val="00F533F1"/>
    <w:rsid w:val="00F5417E"/>
    <w:rsid w:val="00F55679"/>
    <w:rsid w:val="00F56091"/>
    <w:rsid w:val="00F561E3"/>
    <w:rsid w:val="00F565E6"/>
    <w:rsid w:val="00F56A45"/>
    <w:rsid w:val="00F56AFA"/>
    <w:rsid w:val="00F56FEA"/>
    <w:rsid w:val="00F575E2"/>
    <w:rsid w:val="00F579FF"/>
    <w:rsid w:val="00F600E0"/>
    <w:rsid w:val="00F605EC"/>
    <w:rsid w:val="00F60A75"/>
    <w:rsid w:val="00F60F60"/>
    <w:rsid w:val="00F612CE"/>
    <w:rsid w:val="00F6133C"/>
    <w:rsid w:val="00F61E81"/>
    <w:rsid w:val="00F62096"/>
    <w:rsid w:val="00F623D7"/>
    <w:rsid w:val="00F624A7"/>
    <w:rsid w:val="00F62AB6"/>
    <w:rsid w:val="00F64933"/>
    <w:rsid w:val="00F65A3C"/>
    <w:rsid w:val="00F65A76"/>
    <w:rsid w:val="00F65CF6"/>
    <w:rsid w:val="00F65D0E"/>
    <w:rsid w:val="00F66282"/>
    <w:rsid w:val="00F6639E"/>
    <w:rsid w:val="00F670E9"/>
    <w:rsid w:val="00F67AF1"/>
    <w:rsid w:val="00F67D8B"/>
    <w:rsid w:val="00F701C5"/>
    <w:rsid w:val="00F70961"/>
    <w:rsid w:val="00F70A8F"/>
    <w:rsid w:val="00F70E36"/>
    <w:rsid w:val="00F71397"/>
    <w:rsid w:val="00F72283"/>
    <w:rsid w:val="00F72389"/>
    <w:rsid w:val="00F72516"/>
    <w:rsid w:val="00F72FB4"/>
    <w:rsid w:val="00F735A5"/>
    <w:rsid w:val="00F735E5"/>
    <w:rsid w:val="00F73E80"/>
    <w:rsid w:val="00F7469C"/>
    <w:rsid w:val="00F7492E"/>
    <w:rsid w:val="00F74945"/>
    <w:rsid w:val="00F749A3"/>
    <w:rsid w:val="00F74AE8"/>
    <w:rsid w:val="00F76C11"/>
    <w:rsid w:val="00F77021"/>
    <w:rsid w:val="00F7724A"/>
    <w:rsid w:val="00F7796E"/>
    <w:rsid w:val="00F77E61"/>
    <w:rsid w:val="00F77E9A"/>
    <w:rsid w:val="00F80221"/>
    <w:rsid w:val="00F80C81"/>
    <w:rsid w:val="00F81229"/>
    <w:rsid w:val="00F81265"/>
    <w:rsid w:val="00F815AC"/>
    <w:rsid w:val="00F8187D"/>
    <w:rsid w:val="00F823C8"/>
    <w:rsid w:val="00F82784"/>
    <w:rsid w:val="00F82912"/>
    <w:rsid w:val="00F83B33"/>
    <w:rsid w:val="00F83CAE"/>
    <w:rsid w:val="00F840BF"/>
    <w:rsid w:val="00F8427A"/>
    <w:rsid w:val="00F843DF"/>
    <w:rsid w:val="00F84899"/>
    <w:rsid w:val="00F85585"/>
    <w:rsid w:val="00F8570C"/>
    <w:rsid w:val="00F859F0"/>
    <w:rsid w:val="00F85CC1"/>
    <w:rsid w:val="00F86B5D"/>
    <w:rsid w:val="00F86BC0"/>
    <w:rsid w:val="00F875E1"/>
    <w:rsid w:val="00F87634"/>
    <w:rsid w:val="00F87C13"/>
    <w:rsid w:val="00F87C5A"/>
    <w:rsid w:val="00F87E29"/>
    <w:rsid w:val="00F87F18"/>
    <w:rsid w:val="00F87F68"/>
    <w:rsid w:val="00F90178"/>
    <w:rsid w:val="00F90C4D"/>
    <w:rsid w:val="00F9167D"/>
    <w:rsid w:val="00F91CB2"/>
    <w:rsid w:val="00F91E38"/>
    <w:rsid w:val="00F9232A"/>
    <w:rsid w:val="00F927E8"/>
    <w:rsid w:val="00F9289C"/>
    <w:rsid w:val="00F9374A"/>
    <w:rsid w:val="00F9375C"/>
    <w:rsid w:val="00F93973"/>
    <w:rsid w:val="00F939F4"/>
    <w:rsid w:val="00F93DBC"/>
    <w:rsid w:val="00F93E41"/>
    <w:rsid w:val="00F94644"/>
    <w:rsid w:val="00F952E4"/>
    <w:rsid w:val="00F9537B"/>
    <w:rsid w:val="00F963FC"/>
    <w:rsid w:val="00F97CF1"/>
    <w:rsid w:val="00FA015F"/>
    <w:rsid w:val="00FA0160"/>
    <w:rsid w:val="00FA0FAC"/>
    <w:rsid w:val="00FA10F7"/>
    <w:rsid w:val="00FA1DA2"/>
    <w:rsid w:val="00FA1E83"/>
    <w:rsid w:val="00FA2F67"/>
    <w:rsid w:val="00FA3414"/>
    <w:rsid w:val="00FA347A"/>
    <w:rsid w:val="00FA3CDE"/>
    <w:rsid w:val="00FA40FC"/>
    <w:rsid w:val="00FA49B7"/>
    <w:rsid w:val="00FA5043"/>
    <w:rsid w:val="00FA6416"/>
    <w:rsid w:val="00FA6D7A"/>
    <w:rsid w:val="00FA6F8B"/>
    <w:rsid w:val="00FA727C"/>
    <w:rsid w:val="00FA738C"/>
    <w:rsid w:val="00FA7A30"/>
    <w:rsid w:val="00FB033F"/>
    <w:rsid w:val="00FB04B3"/>
    <w:rsid w:val="00FB12E3"/>
    <w:rsid w:val="00FB1570"/>
    <w:rsid w:val="00FB193B"/>
    <w:rsid w:val="00FB1FBC"/>
    <w:rsid w:val="00FB27B7"/>
    <w:rsid w:val="00FB35E3"/>
    <w:rsid w:val="00FB4C98"/>
    <w:rsid w:val="00FB4CE3"/>
    <w:rsid w:val="00FB5634"/>
    <w:rsid w:val="00FB583C"/>
    <w:rsid w:val="00FB5B54"/>
    <w:rsid w:val="00FB5C3D"/>
    <w:rsid w:val="00FB630E"/>
    <w:rsid w:val="00FB648A"/>
    <w:rsid w:val="00FB6738"/>
    <w:rsid w:val="00FB691B"/>
    <w:rsid w:val="00FB6BE6"/>
    <w:rsid w:val="00FB731C"/>
    <w:rsid w:val="00FB7628"/>
    <w:rsid w:val="00FB7D3A"/>
    <w:rsid w:val="00FC05A0"/>
    <w:rsid w:val="00FC07E8"/>
    <w:rsid w:val="00FC0811"/>
    <w:rsid w:val="00FC1196"/>
    <w:rsid w:val="00FC15EB"/>
    <w:rsid w:val="00FC162C"/>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CF4"/>
    <w:rsid w:val="00FC5D64"/>
    <w:rsid w:val="00FC6A39"/>
    <w:rsid w:val="00FC7176"/>
    <w:rsid w:val="00FC76A9"/>
    <w:rsid w:val="00FC79AB"/>
    <w:rsid w:val="00FC7BE7"/>
    <w:rsid w:val="00FC7D25"/>
    <w:rsid w:val="00FC7DAC"/>
    <w:rsid w:val="00FD005D"/>
    <w:rsid w:val="00FD023A"/>
    <w:rsid w:val="00FD0360"/>
    <w:rsid w:val="00FD04AE"/>
    <w:rsid w:val="00FD0DFA"/>
    <w:rsid w:val="00FD128D"/>
    <w:rsid w:val="00FD1890"/>
    <w:rsid w:val="00FD1994"/>
    <w:rsid w:val="00FD2389"/>
    <w:rsid w:val="00FD3508"/>
    <w:rsid w:val="00FD393C"/>
    <w:rsid w:val="00FD3AFF"/>
    <w:rsid w:val="00FD43BB"/>
    <w:rsid w:val="00FD48CD"/>
    <w:rsid w:val="00FD4AF3"/>
    <w:rsid w:val="00FD5C35"/>
    <w:rsid w:val="00FD6A0C"/>
    <w:rsid w:val="00FD6B36"/>
    <w:rsid w:val="00FD6CEC"/>
    <w:rsid w:val="00FD70A8"/>
    <w:rsid w:val="00FD798D"/>
    <w:rsid w:val="00FE120D"/>
    <w:rsid w:val="00FE141E"/>
    <w:rsid w:val="00FE144E"/>
    <w:rsid w:val="00FE1768"/>
    <w:rsid w:val="00FE24F4"/>
    <w:rsid w:val="00FE2560"/>
    <w:rsid w:val="00FE29AD"/>
    <w:rsid w:val="00FE35D0"/>
    <w:rsid w:val="00FE42ED"/>
    <w:rsid w:val="00FE4E06"/>
    <w:rsid w:val="00FE506E"/>
    <w:rsid w:val="00FE55A7"/>
    <w:rsid w:val="00FE5C5A"/>
    <w:rsid w:val="00FE6432"/>
    <w:rsid w:val="00FE72A0"/>
    <w:rsid w:val="00FE76F9"/>
    <w:rsid w:val="00FF0050"/>
    <w:rsid w:val="00FF045F"/>
    <w:rsid w:val="00FF0FA2"/>
    <w:rsid w:val="00FF13D4"/>
    <w:rsid w:val="00FF16FB"/>
    <w:rsid w:val="00FF1A72"/>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2C8"/>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character" w:styleId="Textodelmarcadordeposicin">
    <w:name w:val="Placeholder Text"/>
    <w:basedOn w:val="Fuentedeprrafopredeter"/>
    <w:uiPriority w:val="99"/>
    <w:semiHidden/>
    <w:rsid w:val="006125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2477200">
      <w:bodyDiv w:val="1"/>
      <w:marLeft w:val="0"/>
      <w:marRight w:val="0"/>
      <w:marTop w:val="0"/>
      <w:marBottom w:val="0"/>
      <w:divBdr>
        <w:top w:val="none" w:sz="0" w:space="0" w:color="auto"/>
        <w:left w:val="none" w:sz="0" w:space="0" w:color="auto"/>
        <w:bottom w:val="none" w:sz="0" w:space="0" w:color="auto"/>
        <w:right w:val="none" w:sz="0" w:space="0" w:color="auto"/>
      </w:divBdr>
    </w:div>
    <w:div w:id="154104174">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581313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2188739">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3106060">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2913">
      <w:bodyDiv w:val="1"/>
      <w:marLeft w:val="0"/>
      <w:marRight w:val="0"/>
      <w:marTop w:val="0"/>
      <w:marBottom w:val="0"/>
      <w:divBdr>
        <w:top w:val="none" w:sz="0" w:space="0" w:color="auto"/>
        <w:left w:val="none" w:sz="0" w:space="0" w:color="auto"/>
        <w:bottom w:val="none" w:sz="0" w:space="0" w:color="auto"/>
        <w:right w:val="none" w:sz="0" w:space="0" w:color="auto"/>
      </w:divBdr>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18930499">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186945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2974637">
      <w:bodyDiv w:val="1"/>
      <w:marLeft w:val="0"/>
      <w:marRight w:val="0"/>
      <w:marTop w:val="0"/>
      <w:marBottom w:val="0"/>
      <w:divBdr>
        <w:top w:val="none" w:sz="0" w:space="0" w:color="auto"/>
        <w:left w:val="none" w:sz="0" w:space="0" w:color="auto"/>
        <w:bottom w:val="none" w:sz="0" w:space="0" w:color="auto"/>
        <w:right w:val="none" w:sz="0" w:space="0" w:color="auto"/>
      </w:divBdr>
      <w:divsChild>
        <w:div w:id="192615161">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3849793">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931639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215609">
      <w:bodyDiv w:val="1"/>
      <w:marLeft w:val="0"/>
      <w:marRight w:val="0"/>
      <w:marTop w:val="0"/>
      <w:marBottom w:val="0"/>
      <w:divBdr>
        <w:top w:val="none" w:sz="0" w:space="0" w:color="auto"/>
        <w:left w:val="none" w:sz="0" w:space="0" w:color="auto"/>
        <w:bottom w:val="none" w:sz="0" w:space="0" w:color="auto"/>
        <w:right w:val="none" w:sz="0" w:space="0" w:color="auto"/>
      </w:divBdr>
      <w:divsChild>
        <w:div w:id="300961033">
          <w:marLeft w:val="0"/>
          <w:marRight w:val="0"/>
          <w:marTop w:val="0"/>
          <w:marBottom w:val="0"/>
          <w:divBdr>
            <w:top w:val="none" w:sz="0" w:space="0" w:color="auto"/>
            <w:left w:val="none" w:sz="0" w:space="0" w:color="auto"/>
            <w:bottom w:val="none" w:sz="0" w:space="0" w:color="auto"/>
            <w:right w:val="none" w:sz="0" w:space="0" w:color="auto"/>
          </w:divBdr>
        </w:div>
      </w:divsChild>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2863142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1E6FF731-7D81-47D7-A65B-3B0E9959C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31</Pages>
  <Words>11296</Words>
  <Characters>62129</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2022-04-07T16:15:00Z</dcterms:created>
  <dcterms:modified xsi:type="dcterms:W3CDTF">2022-04-07T16:15:00Z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