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A575F" w14:textId="0CA03BB4" w:rsidR="00DD5B04" w:rsidRPr="008C036D" w:rsidRDefault="002411DE" w:rsidP="00AA7A60">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8C036D">
        <w:rPr>
          <w:rFonts w:ascii="Arial" w:hAnsi="Arial" w:cs="Arial"/>
          <w:b/>
          <w:color w:val="000000" w:themeColor="text1"/>
          <w:sz w:val="16"/>
          <w:szCs w:val="16"/>
          <w:lang w:val="es-ES_tradnl" w:eastAsia="es-ES"/>
        </w:rPr>
        <w:t>CCE-DES-FM-17</w:t>
      </w:r>
    </w:p>
    <w:bookmarkEnd w:id="0"/>
    <w:bookmarkEnd w:id="1"/>
    <w:p w14:paraId="73874A95" w14:textId="77777777" w:rsidR="00DE02D8" w:rsidRPr="00CB776B" w:rsidRDefault="00DE02D8" w:rsidP="006A6B0B">
      <w:pPr>
        <w:jc w:val="both"/>
        <w:rPr>
          <w:rFonts w:ascii="Arial" w:eastAsia="Calibri" w:hAnsi="Arial" w:cs="Arial"/>
          <w:bCs/>
          <w:color w:val="000000" w:themeColor="text1"/>
          <w:sz w:val="20"/>
          <w:szCs w:val="20"/>
        </w:rPr>
      </w:pPr>
    </w:p>
    <w:p w14:paraId="047B9E65" w14:textId="794552D2" w:rsidR="006A6B0B" w:rsidRDefault="006A6B0B" w:rsidP="006A6B0B">
      <w:pPr>
        <w:jc w:val="both"/>
        <w:rPr>
          <w:rFonts w:ascii="Arial" w:eastAsia="Calibri" w:hAnsi="Arial" w:cs="Arial"/>
          <w:b/>
          <w:color w:val="000000" w:themeColor="text1"/>
          <w:sz w:val="22"/>
        </w:rPr>
      </w:pPr>
      <w:r>
        <w:rPr>
          <w:rFonts w:ascii="Arial" w:eastAsia="Calibri" w:hAnsi="Arial" w:cs="Arial"/>
          <w:b/>
          <w:color w:val="000000" w:themeColor="text1"/>
          <w:sz w:val="22"/>
        </w:rPr>
        <w:t>GARANTÍA DE SERIEDAD – Irrevocabilidad de la oferta – Finalidad</w:t>
      </w:r>
    </w:p>
    <w:p w14:paraId="15783294" w14:textId="77777777" w:rsidR="006A6B0B" w:rsidRPr="006C15D5" w:rsidRDefault="006A6B0B" w:rsidP="006A6B0B">
      <w:pPr>
        <w:jc w:val="both"/>
        <w:rPr>
          <w:rFonts w:ascii="Arial" w:eastAsia="Calibri" w:hAnsi="Arial" w:cs="Arial"/>
          <w:color w:val="000000" w:themeColor="text1"/>
          <w:sz w:val="20"/>
          <w:szCs w:val="20"/>
        </w:rPr>
      </w:pPr>
    </w:p>
    <w:p w14:paraId="3F391FD9" w14:textId="77777777" w:rsidR="006A6B0B" w:rsidRPr="006C15D5" w:rsidRDefault="006A6B0B" w:rsidP="006A6B0B">
      <w:pPr>
        <w:jc w:val="both"/>
        <w:rPr>
          <w:rFonts w:ascii="Arial" w:eastAsia="Calibri" w:hAnsi="Arial" w:cs="Arial"/>
          <w:bCs/>
          <w:color w:val="000000" w:themeColor="text1"/>
          <w:sz w:val="20"/>
          <w:szCs w:val="20"/>
        </w:rPr>
      </w:pPr>
      <w:r w:rsidRPr="0028617E">
        <w:rPr>
          <w:rFonts w:ascii="Arial" w:eastAsia="Calibri" w:hAnsi="Arial" w:cs="Arial"/>
          <w:bCs/>
          <w:color w:val="000000" w:themeColor="text1"/>
          <w:sz w:val="20"/>
          <w:szCs w:val="20"/>
        </w:rPr>
        <w:t>Esta garantía respalda al principio de irrevocabilidad de la oferta, caso en el cual los proponentes que pierdan interés en la adjudicación resarcirán los perjuicios causados por su retiro del procedimiento de selección. El carácter serio y vinculante implica no solo que la propuesta tenga que sostenerse ante la Administración, y en caso de resultar elegida obligue a quien la realizó, sino que una vez presentada no puede modificarse, pues esto pone en desventaja a los demás oferentes, en perjuicio de los principios de igualdad y buena fe. El inciso primero del artículo 846 del Código de Comercio dispone que «La propuesta será irrevocable, por lo tanto, una vez comunicada, no podrá retractarse el proponente, so pena de indemnizar los perjuicios que con su revocación cause al destinatario». Aunque la contratación estatal se rige por una regla similar, son evidentes los matices introducidos en el régimen de la garantía precontractual, pues el artículo 2.2.1.2.3.2.8 del Decreto 1082 de 2015 dispone que «En caso de siniestro en la garantía de la seriedad de la oferta, la compañía de seguros debe responder por el total del valor asegurado […]»</w:t>
      </w:r>
      <w:r w:rsidRPr="00DE57DA">
        <w:rPr>
          <w:rFonts w:ascii="Arial" w:eastAsia="Calibri" w:hAnsi="Arial" w:cs="Arial"/>
          <w:bCs/>
          <w:color w:val="000000" w:themeColor="text1"/>
          <w:sz w:val="20"/>
          <w:szCs w:val="20"/>
        </w:rPr>
        <w:t>.</w:t>
      </w:r>
      <w:r w:rsidRPr="00DE3F87">
        <w:rPr>
          <w:rFonts w:ascii="Arial" w:eastAsia="Calibri" w:hAnsi="Arial" w:cs="Arial"/>
          <w:bCs/>
          <w:color w:val="000000" w:themeColor="text1"/>
          <w:sz w:val="20"/>
          <w:szCs w:val="20"/>
        </w:rPr>
        <w:t xml:space="preserve">  </w:t>
      </w:r>
    </w:p>
    <w:p w14:paraId="117DFC55" w14:textId="77777777" w:rsidR="00D4767B" w:rsidRPr="00CB776B" w:rsidRDefault="00D4767B" w:rsidP="00C118DB">
      <w:pPr>
        <w:spacing w:line="276" w:lineRule="auto"/>
        <w:jc w:val="both"/>
        <w:rPr>
          <w:rFonts w:ascii="Arial" w:eastAsia="Calibri" w:hAnsi="Arial" w:cs="Arial"/>
          <w:color w:val="000000" w:themeColor="text1"/>
          <w:sz w:val="20"/>
          <w:szCs w:val="20"/>
          <w:lang w:val="es-ES_tradnl"/>
        </w:rPr>
      </w:pPr>
    </w:p>
    <w:p w14:paraId="716AC4AC" w14:textId="7CCBA98D" w:rsidR="006A6B0B" w:rsidRPr="00295636" w:rsidRDefault="006A6B0B" w:rsidP="006A6B0B">
      <w:pPr>
        <w:jc w:val="both"/>
        <w:rPr>
          <w:rFonts w:ascii="Arial" w:eastAsia="Calibri" w:hAnsi="Arial" w:cs="Arial"/>
          <w:bCs/>
          <w:color w:val="000000" w:themeColor="text1"/>
          <w:sz w:val="20"/>
          <w:szCs w:val="20"/>
          <w:lang w:val="es-ES"/>
        </w:rPr>
      </w:pPr>
      <w:r>
        <w:rPr>
          <w:rFonts w:ascii="Arial" w:eastAsia="Calibri" w:hAnsi="Arial" w:cs="Arial"/>
          <w:b/>
          <w:color w:val="000000" w:themeColor="text1"/>
          <w:sz w:val="22"/>
        </w:rPr>
        <w:t>GARANTÍA DE SERIEDAD – Procedimiento Aplicable – Ley 1474 de 2011 – Garantía única de cumplimiento – Falta de otorgamiento</w:t>
      </w:r>
      <w:r w:rsidR="007E16A4">
        <w:rPr>
          <w:rFonts w:ascii="Arial" w:eastAsia="Calibri" w:hAnsi="Arial" w:cs="Arial"/>
          <w:b/>
          <w:color w:val="000000" w:themeColor="text1"/>
          <w:sz w:val="22"/>
        </w:rPr>
        <w:t xml:space="preserve"> – Perjuicios</w:t>
      </w:r>
    </w:p>
    <w:p w14:paraId="2807EBC7" w14:textId="77777777" w:rsidR="006A6B0B" w:rsidRDefault="006A6B0B" w:rsidP="006A6B0B">
      <w:pPr>
        <w:jc w:val="both"/>
        <w:rPr>
          <w:rFonts w:ascii="Arial" w:eastAsia="Calibri" w:hAnsi="Arial" w:cs="Arial"/>
          <w:bCs/>
          <w:color w:val="000000" w:themeColor="text1"/>
          <w:sz w:val="20"/>
          <w:szCs w:val="20"/>
          <w:lang w:val="es-ES"/>
        </w:rPr>
      </w:pPr>
      <w:bookmarkStart w:id="2" w:name="_Hlk50481752"/>
    </w:p>
    <w:p w14:paraId="52ECFD58" w14:textId="109F2414" w:rsidR="006A6B0B" w:rsidRDefault="006A6B0B" w:rsidP="006A6B0B">
      <w:pPr>
        <w:jc w:val="both"/>
        <w:rPr>
          <w:rFonts w:ascii="Arial" w:eastAsia="Calibri" w:hAnsi="Arial" w:cs="Arial"/>
          <w:bCs/>
          <w:color w:val="000000" w:themeColor="text1"/>
          <w:sz w:val="20"/>
          <w:szCs w:val="20"/>
          <w:lang w:val="es-ES"/>
        </w:rPr>
      </w:pPr>
      <w:r>
        <w:rPr>
          <w:rFonts w:ascii="Arial" w:eastAsia="Calibri" w:hAnsi="Arial" w:cs="Arial"/>
          <w:bCs/>
          <w:color w:val="000000" w:themeColor="text1"/>
          <w:sz w:val="20"/>
          <w:szCs w:val="20"/>
          <w:lang w:val="es-ES"/>
        </w:rPr>
        <w:t xml:space="preserve">[…] </w:t>
      </w:r>
      <w:r w:rsidRPr="000D1766">
        <w:rPr>
          <w:rFonts w:ascii="Arial" w:eastAsia="Calibri" w:hAnsi="Arial" w:cs="Arial"/>
          <w:bCs/>
          <w:color w:val="000000" w:themeColor="text1"/>
          <w:sz w:val="20"/>
          <w:szCs w:val="20"/>
          <w:lang w:val="es-ES"/>
        </w:rPr>
        <w:t>el procedimiento del artículo 86 del Estatuto Anticorrupción aplica únicamente al siniestro de la garantía de seriedad cuando la declaratoria se fundamenta en el numeral 4 del artículo 2.2.1.2.3.1.6 del Decreto 1082 de 2015, es decir, en caso de que el proponente seleccionado no otorgue la garantía única de incumplimiento. Lo anterior dado que esta causal no solo supone la adjudicación sino también el perfeccionamiento del contrato, razón por la cual afecta al oferente ganador del procedimiento contractual, quien se convierte en contratista al suscribir el acuerdo en los términos del inciso primero del artículo 41 de la Ley 80 de 1993. De hecho, la ausencia de este requisito afecta el contrato, ya que –conforme al inciso segundo ibidem, modificado por el artículo 23 de la Ley 1150 de 2007– sin la aprobación de la garantía única es imposible ejecutarlo. Por tanto, la falta de otorgamiento de la garantía única debe sancionarse conforme al procedimiento especial de la Ley 1474 de 2011, pues se aplica a la imposición de todo tipo de sanciones contractuales, incluido el siniestro de la garantía preco</w:t>
      </w:r>
      <w:r w:rsidR="007E16A4">
        <w:rPr>
          <w:rFonts w:ascii="Arial" w:eastAsia="Calibri" w:hAnsi="Arial" w:cs="Arial"/>
          <w:bCs/>
          <w:color w:val="000000" w:themeColor="text1"/>
          <w:sz w:val="20"/>
          <w:szCs w:val="20"/>
          <w:lang w:val="es-ES"/>
        </w:rPr>
        <w:t xml:space="preserve">ntractual en el caso explicado. […] </w:t>
      </w:r>
      <w:r w:rsidR="007E16A4" w:rsidRPr="00386009">
        <w:rPr>
          <w:rFonts w:ascii="Arial" w:eastAsia="Calibri" w:hAnsi="Arial" w:cs="Arial"/>
          <w:color w:val="000000" w:themeColor="text1"/>
          <w:sz w:val="22"/>
          <w:lang w:val="es-ES"/>
        </w:rPr>
        <w:t>«</w:t>
      </w:r>
      <w:r w:rsidR="007E16A4" w:rsidRPr="007E16A4">
        <w:rPr>
          <w:rFonts w:ascii="Arial" w:eastAsia="Calibri" w:hAnsi="Arial" w:cs="Arial"/>
          <w:bCs/>
          <w:color w:val="000000" w:themeColor="text1"/>
          <w:sz w:val="20"/>
          <w:szCs w:val="20"/>
          <w:lang w:val="es-ES"/>
        </w:rPr>
        <w:t>En caso de siniestro en la garantía de la seriedad de la oferta, la compañía de seguros debe responder por el total del valor asegurado título de sanción», de manera que sí existe norma especial en este pequeño aspecto.</w:t>
      </w:r>
    </w:p>
    <w:p w14:paraId="7DE956EE" w14:textId="77777777" w:rsidR="006A6B0B" w:rsidRDefault="006A6B0B" w:rsidP="006A6B0B">
      <w:pPr>
        <w:jc w:val="both"/>
        <w:rPr>
          <w:rFonts w:ascii="Arial" w:eastAsia="Calibri" w:hAnsi="Arial" w:cs="Arial"/>
          <w:bCs/>
          <w:color w:val="000000" w:themeColor="text1"/>
          <w:sz w:val="20"/>
          <w:szCs w:val="20"/>
          <w:lang w:val="es-ES"/>
        </w:rPr>
      </w:pPr>
    </w:p>
    <w:p w14:paraId="50C74C46" w14:textId="2E9C23DE" w:rsidR="006A6B0B" w:rsidRPr="00295636" w:rsidRDefault="006A6B0B" w:rsidP="006A6B0B">
      <w:pPr>
        <w:jc w:val="both"/>
        <w:rPr>
          <w:rFonts w:ascii="Arial" w:eastAsia="Calibri" w:hAnsi="Arial" w:cs="Arial"/>
          <w:bCs/>
          <w:color w:val="000000" w:themeColor="text1"/>
          <w:sz w:val="20"/>
          <w:szCs w:val="20"/>
          <w:lang w:val="es-ES"/>
        </w:rPr>
      </w:pPr>
      <w:r>
        <w:rPr>
          <w:rFonts w:ascii="Arial" w:eastAsia="Calibri" w:hAnsi="Arial" w:cs="Arial"/>
          <w:b/>
          <w:color w:val="000000" w:themeColor="text1"/>
          <w:sz w:val="22"/>
        </w:rPr>
        <w:t>GARANTÍA DE SERIEDAD – Procedimiento Aplicable – Ley 1437 de 2011 – Suscripción del contrato – Renuencia del adjudicatario</w:t>
      </w:r>
      <w:r w:rsidR="007E16A4">
        <w:rPr>
          <w:rFonts w:ascii="Arial" w:eastAsia="Calibri" w:hAnsi="Arial" w:cs="Arial"/>
          <w:b/>
          <w:color w:val="000000" w:themeColor="text1"/>
          <w:sz w:val="22"/>
        </w:rPr>
        <w:t xml:space="preserve"> </w:t>
      </w:r>
    </w:p>
    <w:p w14:paraId="08C5F66B" w14:textId="77777777" w:rsidR="006A6B0B" w:rsidRPr="000D1766" w:rsidRDefault="006A6B0B" w:rsidP="006A6B0B">
      <w:pPr>
        <w:jc w:val="both"/>
        <w:rPr>
          <w:rFonts w:ascii="Arial" w:eastAsia="Calibri" w:hAnsi="Arial" w:cs="Arial"/>
          <w:bCs/>
          <w:color w:val="000000" w:themeColor="text1"/>
          <w:sz w:val="20"/>
          <w:szCs w:val="20"/>
          <w:lang w:val="es-ES"/>
        </w:rPr>
      </w:pPr>
    </w:p>
    <w:p w14:paraId="2D8B2A4F" w14:textId="1B0E7CF8" w:rsidR="006A6B0B" w:rsidRPr="00037414" w:rsidRDefault="006A6B0B" w:rsidP="006A6B0B">
      <w:pPr>
        <w:jc w:val="both"/>
        <w:rPr>
          <w:rFonts w:ascii="Arial" w:eastAsia="Calibri" w:hAnsi="Arial" w:cs="Arial"/>
          <w:bCs/>
          <w:color w:val="000000" w:themeColor="text1"/>
          <w:sz w:val="20"/>
          <w:szCs w:val="20"/>
        </w:rPr>
      </w:pPr>
      <w:r w:rsidRPr="000D1766">
        <w:rPr>
          <w:rFonts w:ascii="Arial" w:eastAsia="Calibri" w:hAnsi="Arial" w:cs="Arial"/>
          <w:bCs/>
          <w:color w:val="000000" w:themeColor="text1"/>
          <w:sz w:val="20"/>
          <w:szCs w:val="20"/>
          <w:lang w:val="es-ES"/>
        </w:rPr>
        <w:t>[…] el trámite de la declaratoria del siniestro de la garantía de seriedad de la oferta se rige por el procedimiento administrativo general sancionador dispuesto en los artículos 47 y siguientes de la Ley 1437 de 2011. Esta norma prescribe que «Los procedimientos administrativos de carácter sancionatorio no regulados por leyes especiales o por el Código Disciplinario Único se sujetarán a las disposiciones de esta Parte Primera del Código […]», disposición aplicable a los temas contractuales por la remisión del inciso primero del artículo 77 de la Ley 80 de 1993</w:t>
      </w:r>
      <w:r>
        <w:rPr>
          <w:rFonts w:ascii="Arial" w:eastAsia="Calibri" w:hAnsi="Arial" w:cs="Arial"/>
          <w:bCs/>
          <w:color w:val="000000" w:themeColor="text1"/>
          <w:sz w:val="20"/>
          <w:szCs w:val="20"/>
          <w:lang w:val="es-ES"/>
        </w:rPr>
        <w:t xml:space="preserve"> […] </w:t>
      </w:r>
      <w:r w:rsidRPr="000D1766">
        <w:rPr>
          <w:rFonts w:ascii="Arial" w:eastAsia="Calibri" w:hAnsi="Arial" w:cs="Arial"/>
          <w:bCs/>
          <w:color w:val="000000" w:themeColor="text1"/>
          <w:sz w:val="20"/>
          <w:szCs w:val="20"/>
          <w:lang w:val="es-ES"/>
        </w:rPr>
        <w:t xml:space="preserve">En definitiva, el procedimiento administrativo general sancionador del Código de Procedimiento Administrativo y Contencioso Administrativo concreta el respeto a las formalidades propias de cada juicio de que trata el artículo 29 superior, garantizando que el contratista y la aseguradora sean escuchados antes de que la entidad –con fundamento en alguna de las causales de los numerales 1, 2 y 3 del artículo 2.2.1.2.3.1.6 del Decreto 1082 de 2015– declare el siniestro </w:t>
      </w:r>
      <w:r w:rsidR="007E16A4">
        <w:rPr>
          <w:rFonts w:ascii="Arial" w:eastAsia="Calibri" w:hAnsi="Arial" w:cs="Arial"/>
          <w:bCs/>
          <w:color w:val="000000" w:themeColor="text1"/>
          <w:sz w:val="20"/>
          <w:szCs w:val="20"/>
          <w:lang w:val="es-ES"/>
        </w:rPr>
        <w:t>de la garantía precontractual</w:t>
      </w:r>
      <w:r w:rsidR="007E16A4" w:rsidRPr="007E16A4">
        <w:rPr>
          <w:rFonts w:ascii="Arial" w:eastAsia="Calibri" w:hAnsi="Arial" w:cs="Arial"/>
          <w:bCs/>
          <w:color w:val="000000" w:themeColor="text1"/>
          <w:sz w:val="20"/>
          <w:szCs w:val="20"/>
          <w:lang w:val="es-ES"/>
        </w:rPr>
        <w:t xml:space="preserve"> </w:t>
      </w:r>
    </w:p>
    <w:bookmarkEnd w:id="2"/>
    <w:p w14:paraId="68C000D1" w14:textId="77777777" w:rsidR="006A6B0B" w:rsidRDefault="006A6B0B" w:rsidP="006A6B0B">
      <w:pPr>
        <w:jc w:val="both"/>
        <w:rPr>
          <w:rFonts w:ascii="Arial" w:eastAsia="Calibri" w:hAnsi="Arial" w:cs="Arial"/>
          <w:bCs/>
          <w:color w:val="000000" w:themeColor="text1"/>
          <w:sz w:val="20"/>
          <w:szCs w:val="20"/>
          <w:lang w:val="es-ES"/>
        </w:rPr>
      </w:pPr>
    </w:p>
    <w:p w14:paraId="7D67BB4C" w14:textId="0FC486CD" w:rsidR="00D4767B" w:rsidRDefault="006A6B0B" w:rsidP="00C118DB">
      <w:pPr>
        <w:spacing w:line="276" w:lineRule="auto"/>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AMPARO DEL BUEN MANEJO Y CORRECTA INVERSIÓN DEL ANTICIPO </w:t>
      </w:r>
      <w:r>
        <w:rPr>
          <w:rFonts w:ascii="Arial" w:eastAsia="Calibri" w:hAnsi="Arial" w:cs="Arial"/>
          <w:b/>
          <w:color w:val="000000" w:themeColor="text1"/>
          <w:sz w:val="22"/>
        </w:rPr>
        <w:t>– Finalidad</w:t>
      </w:r>
    </w:p>
    <w:p w14:paraId="01742AD0" w14:textId="77777777" w:rsidR="00484074" w:rsidRPr="00CB776B" w:rsidRDefault="00484074" w:rsidP="00C118DB">
      <w:pPr>
        <w:spacing w:line="276" w:lineRule="auto"/>
        <w:jc w:val="both"/>
        <w:rPr>
          <w:rFonts w:ascii="Arial" w:eastAsia="Calibri" w:hAnsi="Arial" w:cs="Arial"/>
          <w:color w:val="000000" w:themeColor="text1"/>
          <w:sz w:val="20"/>
          <w:szCs w:val="20"/>
          <w:lang w:val="es-ES_tradnl"/>
        </w:rPr>
      </w:pPr>
    </w:p>
    <w:p w14:paraId="0F893EBC" w14:textId="573D7A0C" w:rsidR="00D4767B" w:rsidRPr="006A6B0B" w:rsidRDefault="004E6EB1" w:rsidP="006A6B0B">
      <w:pPr>
        <w:jc w:val="both"/>
        <w:rPr>
          <w:rFonts w:ascii="Arial" w:eastAsia="Calibri" w:hAnsi="Arial" w:cs="Arial"/>
          <w:bCs/>
          <w:color w:val="000000" w:themeColor="text1"/>
          <w:sz w:val="20"/>
          <w:szCs w:val="20"/>
          <w:lang w:val="es-ES"/>
        </w:rPr>
      </w:pPr>
      <w:r w:rsidRPr="004E6EB1">
        <w:rPr>
          <w:rFonts w:ascii="Arial" w:eastAsia="Calibri" w:hAnsi="Arial" w:cs="Arial"/>
          <w:bCs/>
          <w:color w:val="000000" w:themeColor="text1"/>
          <w:sz w:val="20"/>
          <w:szCs w:val="20"/>
          <w:lang w:val="es-ES"/>
        </w:rPr>
        <w:t>Este amparo encuentra fundamento en el anticipo se entrega al contratista con la finalidad de solventar los costos iniciales de la ejecución del contrato. Dado que el anticipo se concibe como un adelanto o avance del valor del contrato destinado a apalancar el cumplimiento de su objeto, los recursos entregados en tal calidad son de naturaleza pública. Por tanto, solo se integran al patrimonio del contratista en la medida que se cause su amortización, mediante la ejecución de actividades programadas del contrato. Bajo esta perspectiva, es indispensable garantizar los riesgos del manejo e inversión de dicho anticipo</w:t>
      </w:r>
      <w:r>
        <w:rPr>
          <w:rFonts w:ascii="Arial" w:eastAsia="Calibri" w:hAnsi="Arial" w:cs="Arial"/>
          <w:bCs/>
          <w:color w:val="000000" w:themeColor="text1"/>
          <w:sz w:val="20"/>
          <w:szCs w:val="20"/>
          <w:lang w:val="es-ES"/>
        </w:rPr>
        <w:t>.</w:t>
      </w:r>
    </w:p>
    <w:p w14:paraId="1F3869F9" w14:textId="77777777" w:rsidR="00D4767B" w:rsidRPr="00CB776B" w:rsidRDefault="00D4767B" w:rsidP="00C118DB">
      <w:pPr>
        <w:spacing w:line="276" w:lineRule="auto"/>
        <w:jc w:val="both"/>
        <w:rPr>
          <w:rFonts w:ascii="Arial" w:eastAsia="Calibri" w:hAnsi="Arial" w:cs="Arial"/>
          <w:color w:val="000000" w:themeColor="text1"/>
          <w:sz w:val="20"/>
          <w:szCs w:val="20"/>
          <w:lang w:val="es-ES_tradnl"/>
        </w:rPr>
      </w:pPr>
    </w:p>
    <w:p w14:paraId="5246275C" w14:textId="74073B56" w:rsidR="00D4767B" w:rsidRDefault="006A6B0B" w:rsidP="00C118DB">
      <w:pPr>
        <w:spacing w:line="276" w:lineRule="auto"/>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AMPARO DEL BUEN MANEJO Y CORRECTA INVERSIÓN DEL ANTICIPO </w:t>
      </w:r>
      <w:r>
        <w:rPr>
          <w:rFonts w:ascii="Arial" w:eastAsia="Calibri" w:hAnsi="Arial" w:cs="Arial"/>
          <w:b/>
          <w:color w:val="000000" w:themeColor="text1"/>
          <w:sz w:val="22"/>
        </w:rPr>
        <w:t>–</w:t>
      </w:r>
      <w:r w:rsidRPr="006A6B0B">
        <w:rPr>
          <w:rFonts w:ascii="Arial" w:eastAsia="Calibri" w:hAnsi="Arial" w:cs="Arial"/>
          <w:b/>
          <w:color w:val="000000" w:themeColor="text1"/>
          <w:sz w:val="22"/>
        </w:rPr>
        <w:t xml:space="preserve"> </w:t>
      </w:r>
      <w:r>
        <w:rPr>
          <w:rFonts w:ascii="Arial" w:eastAsia="Calibri" w:hAnsi="Arial" w:cs="Arial"/>
          <w:b/>
          <w:color w:val="000000" w:themeColor="text1"/>
          <w:sz w:val="22"/>
        </w:rPr>
        <w:t>Procedimiento Aplicable – Ley 1474 de 2011 – Perjuicios</w:t>
      </w:r>
    </w:p>
    <w:p w14:paraId="6860CD36" w14:textId="77777777" w:rsidR="00D4767B" w:rsidRPr="006A6B0B" w:rsidRDefault="00D4767B" w:rsidP="006A6B0B">
      <w:pPr>
        <w:jc w:val="both"/>
        <w:rPr>
          <w:rFonts w:ascii="Arial" w:eastAsia="Calibri" w:hAnsi="Arial" w:cs="Arial"/>
          <w:bCs/>
          <w:color w:val="000000" w:themeColor="text1"/>
          <w:sz w:val="20"/>
          <w:szCs w:val="20"/>
          <w:lang w:val="es-ES"/>
        </w:rPr>
      </w:pPr>
    </w:p>
    <w:p w14:paraId="58B944B7" w14:textId="12E11BED" w:rsidR="007E16A4" w:rsidRDefault="006A6B0B" w:rsidP="006A6B0B">
      <w:pPr>
        <w:jc w:val="both"/>
        <w:rPr>
          <w:rFonts w:ascii="Arial" w:eastAsia="Calibri" w:hAnsi="Arial" w:cs="Arial"/>
          <w:bCs/>
          <w:color w:val="000000" w:themeColor="text1"/>
          <w:sz w:val="20"/>
          <w:szCs w:val="20"/>
          <w:lang w:val="es-ES"/>
        </w:rPr>
      </w:pPr>
      <w:r>
        <w:rPr>
          <w:rFonts w:ascii="Arial" w:eastAsia="Calibri" w:hAnsi="Arial" w:cs="Arial"/>
          <w:bCs/>
          <w:color w:val="000000" w:themeColor="text1"/>
          <w:sz w:val="20"/>
          <w:szCs w:val="20"/>
          <w:lang w:val="es-ES"/>
        </w:rPr>
        <w:t>[…]</w:t>
      </w:r>
      <w:r w:rsidR="004E6EB1" w:rsidRPr="004E6EB1">
        <w:rPr>
          <w:rFonts w:ascii="Arial" w:eastAsia="Calibri" w:hAnsi="Arial" w:cs="Arial"/>
          <w:bCs/>
          <w:color w:val="000000" w:themeColor="text1"/>
          <w:sz w:val="20"/>
          <w:szCs w:val="20"/>
          <w:lang w:val="es-ES"/>
        </w:rPr>
        <w:t xml:space="preserve">si la declaración del siniestro se realiza con el acto administrativo que declara el incumplimiento, o el que impone multas, o el que declara la caducidad, debe adelantarse el procedimiento establecido en el artículo 86 de la Ley 1474 de 2011, correspondiente al proceso sancionatorio. Ello es así, dado que en este caso la Administración está ejerciendo una potestad sancionatoria, y en tal sentido, le corresponde atender la norma especial en materia de contratación. En este escenario, con fundamento en lo establecido en el artículo 86 </w:t>
      </w:r>
      <w:proofErr w:type="spellStart"/>
      <w:r w:rsidR="004E6EB1" w:rsidRPr="004E6EB1">
        <w:rPr>
          <w:rFonts w:ascii="Arial" w:eastAsia="Calibri" w:hAnsi="Arial" w:cs="Arial"/>
          <w:bCs/>
          <w:color w:val="000000" w:themeColor="text1"/>
          <w:sz w:val="20"/>
          <w:szCs w:val="20"/>
          <w:lang w:val="es-ES"/>
        </w:rPr>
        <w:t>ibídem</w:t>
      </w:r>
      <w:proofErr w:type="spellEnd"/>
      <w:r w:rsidR="004E6EB1" w:rsidRPr="004E6EB1">
        <w:rPr>
          <w:rFonts w:ascii="Arial" w:eastAsia="Calibri" w:hAnsi="Arial" w:cs="Arial"/>
          <w:bCs/>
          <w:color w:val="000000" w:themeColor="text1"/>
          <w:sz w:val="20"/>
          <w:szCs w:val="20"/>
          <w:lang w:val="es-ES"/>
        </w:rPr>
        <w:t xml:space="preserve">, la entidad está facultada para cuantificar los perjuicios causados por el incumplimiento del contratista. </w:t>
      </w:r>
    </w:p>
    <w:p w14:paraId="5B34C7C8" w14:textId="77777777" w:rsidR="004E6EB1" w:rsidRDefault="004E6EB1" w:rsidP="006A6B0B">
      <w:pPr>
        <w:jc w:val="both"/>
        <w:rPr>
          <w:rFonts w:ascii="Arial" w:eastAsia="Calibri" w:hAnsi="Arial" w:cs="Arial"/>
          <w:bCs/>
          <w:color w:val="000000" w:themeColor="text1"/>
          <w:sz w:val="20"/>
          <w:szCs w:val="20"/>
          <w:lang w:val="es-ES"/>
        </w:rPr>
      </w:pPr>
    </w:p>
    <w:p w14:paraId="7B861C8B" w14:textId="356AC0EF" w:rsidR="007E16A4" w:rsidRDefault="007E16A4" w:rsidP="007E16A4">
      <w:pPr>
        <w:spacing w:line="276" w:lineRule="auto"/>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AMPARO DEL BUEN MANEJO Y CORRECTA INVERSIÓN DEL ANTICIPO </w:t>
      </w:r>
      <w:r>
        <w:rPr>
          <w:rFonts w:ascii="Arial" w:eastAsia="Calibri" w:hAnsi="Arial" w:cs="Arial"/>
          <w:b/>
          <w:color w:val="000000" w:themeColor="text1"/>
          <w:sz w:val="22"/>
        </w:rPr>
        <w:t>–</w:t>
      </w:r>
      <w:r w:rsidRPr="006A6B0B">
        <w:rPr>
          <w:rFonts w:ascii="Arial" w:eastAsia="Calibri" w:hAnsi="Arial" w:cs="Arial"/>
          <w:b/>
          <w:color w:val="000000" w:themeColor="text1"/>
          <w:sz w:val="22"/>
        </w:rPr>
        <w:t xml:space="preserve"> </w:t>
      </w:r>
      <w:r>
        <w:rPr>
          <w:rFonts w:ascii="Arial" w:eastAsia="Calibri" w:hAnsi="Arial" w:cs="Arial"/>
          <w:b/>
          <w:color w:val="000000" w:themeColor="text1"/>
          <w:sz w:val="22"/>
        </w:rPr>
        <w:t>Procedimiento Aplicable – Ley 1437 de 2011 – Perjuicios</w:t>
      </w:r>
    </w:p>
    <w:p w14:paraId="6301ED11" w14:textId="77777777" w:rsidR="007E16A4" w:rsidRPr="006A6B0B" w:rsidRDefault="007E16A4" w:rsidP="007E16A4">
      <w:pPr>
        <w:jc w:val="both"/>
        <w:rPr>
          <w:rFonts w:ascii="Arial" w:eastAsia="Calibri" w:hAnsi="Arial" w:cs="Arial"/>
          <w:bCs/>
          <w:color w:val="000000" w:themeColor="text1"/>
          <w:sz w:val="20"/>
          <w:szCs w:val="20"/>
          <w:lang w:val="es-ES"/>
        </w:rPr>
      </w:pPr>
    </w:p>
    <w:p w14:paraId="46424B5B" w14:textId="2B98B957" w:rsidR="007E16A4" w:rsidRDefault="007E16A4" w:rsidP="006A6B0B">
      <w:pPr>
        <w:jc w:val="both"/>
        <w:rPr>
          <w:rFonts w:ascii="Arial" w:eastAsia="Calibri" w:hAnsi="Arial" w:cs="Arial"/>
          <w:bCs/>
          <w:color w:val="000000" w:themeColor="text1"/>
          <w:sz w:val="20"/>
          <w:szCs w:val="20"/>
          <w:lang w:val="es-ES"/>
        </w:rPr>
      </w:pPr>
      <w:r>
        <w:rPr>
          <w:rFonts w:ascii="Arial" w:eastAsia="Calibri" w:hAnsi="Arial" w:cs="Arial"/>
          <w:bCs/>
          <w:color w:val="000000" w:themeColor="text1"/>
          <w:sz w:val="20"/>
          <w:szCs w:val="20"/>
          <w:lang w:val="es-ES"/>
        </w:rPr>
        <w:t xml:space="preserve">[…] </w:t>
      </w:r>
      <w:r w:rsidR="004E6EB1" w:rsidRPr="004E6EB1">
        <w:rPr>
          <w:rFonts w:ascii="Arial" w:eastAsia="Calibri" w:hAnsi="Arial" w:cs="Arial"/>
          <w:bCs/>
          <w:color w:val="000000" w:themeColor="text1"/>
          <w:sz w:val="20"/>
          <w:szCs w:val="20"/>
          <w:lang w:val="es-ES"/>
        </w:rPr>
        <w:t>si la entidad únicamente declara la ocurrencia del siniestro del buen manejo y correcta inversión del anticipo, sin imponer sanciones o declaratorias de incumpliendo, no estará ejerciendo una potestad sancionatoria, sino reclamando la póliza de seguro frente a la compañía aseguradora</w:t>
      </w:r>
      <w:r w:rsidRPr="007E16A4">
        <w:rPr>
          <w:rFonts w:ascii="Arial" w:eastAsia="Calibri" w:hAnsi="Arial" w:cs="Arial"/>
          <w:bCs/>
          <w:color w:val="000000" w:themeColor="text1"/>
          <w:sz w:val="20"/>
          <w:szCs w:val="20"/>
          <w:lang w:val="es-ES"/>
        </w:rPr>
        <w:t>.</w:t>
      </w:r>
      <w:r>
        <w:rPr>
          <w:rFonts w:ascii="Arial" w:eastAsia="Calibri" w:hAnsi="Arial" w:cs="Arial"/>
          <w:bCs/>
          <w:color w:val="000000" w:themeColor="text1"/>
          <w:sz w:val="20"/>
          <w:szCs w:val="20"/>
          <w:lang w:val="es-ES"/>
        </w:rPr>
        <w:t xml:space="preserve">[…] </w:t>
      </w:r>
      <w:r w:rsidR="004E6EB1" w:rsidRPr="004E6EB1">
        <w:rPr>
          <w:rFonts w:ascii="Arial" w:eastAsia="Calibri" w:hAnsi="Arial" w:cs="Arial"/>
          <w:bCs/>
          <w:color w:val="000000" w:themeColor="text1"/>
          <w:sz w:val="20"/>
          <w:szCs w:val="20"/>
          <w:lang w:val="es-ES"/>
        </w:rPr>
        <w:t xml:space="preserve">En consecuencia, se podrá declarar el siniestro del amparo del buen manejo y correcta inversión del anticipo mediante acto administrativo motivado, previo agotamiento del procedimiento administrativo descrito, en el cual se incluyan los fundamentos facticos y probatorios de la ocurrencia del siniestro, así como la cuantía que reclama la entidad a título de perjuicios, con fundamento en los establecido en el artículo 1077 del Código de Comercio. </w:t>
      </w:r>
    </w:p>
    <w:p w14:paraId="1D0B014B" w14:textId="77777777" w:rsidR="004E6EB1" w:rsidRDefault="004E6EB1" w:rsidP="006A6B0B">
      <w:pPr>
        <w:jc w:val="both"/>
        <w:rPr>
          <w:rFonts w:ascii="Arial" w:eastAsia="Calibri" w:hAnsi="Arial" w:cs="Arial"/>
          <w:bCs/>
          <w:color w:val="000000" w:themeColor="text1"/>
          <w:sz w:val="20"/>
          <w:szCs w:val="20"/>
          <w:lang w:val="es-ES"/>
        </w:rPr>
      </w:pPr>
    </w:p>
    <w:p w14:paraId="787CB933" w14:textId="449EFC1A" w:rsidR="007E16A4" w:rsidRPr="007E16A4" w:rsidRDefault="007E16A4" w:rsidP="007E16A4">
      <w:pPr>
        <w:jc w:val="both"/>
        <w:rPr>
          <w:rFonts w:ascii="Arial" w:eastAsia="Calibri" w:hAnsi="Arial" w:cs="Arial"/>
          <w:b/>
          <w:color w:val="000000" w:themeColor="text1"/>
          <w:sz w:val="22"/>
          <w:szCs w:val="22"/>
          <w:lang w:val="es-ES_tradnl" w:eastAsia="en-US"/>
        </w:rPr>
      </w:pPr>
      <w:r w:rsidRPr="007E16A4">
        <w:rPr>
          <w:rFonts w:ascii="Arial" w:eastAsia="Calibri" w:hAnsi="Arial" w:cs="Arial"/>
          <w:b/>
          <w:color w:val="000000" w:themeColor="text1"/>
          <w:sz w:val="22"/>
          <w:szCs w:val="22"/>
          <w:lang w:val="es-ES_tradnl" w:eastAsia="en-US"/>
        </w:rPr>
        <w:t xml:space="preserve">SINIESTRO </w:t>
      </w:r>
      <w:r w:rsidRPr="007E16A4">
        <w:rPr>
          <w:rFonts w:ascii="Arial" w:eastAsia="Calibri" w:hAnsi="Arial" w:cs="Arial"/>
          <w:b/>
          <w:color w:val="000000" w:themeColor="text1"/>
          <w:sz w:val="22"/>
          <w:szCs w:val="22"/>
          <w:lang w:val="es-MX" w:eastAsia="en-US"/>
        </w:rPr>
        <w:t>–</w:t>
      </w:r>
      <w:r w:rsidRPr="007E16A4">
        <w:rPr>
          <w:rFonts w:ascii="Arial" w:eastAsia="Calibri" w:hAnsi="Arial" w:cs="Arial"/>
          <w:b/>
          <w:color w:val="000000" w:themeColor="text1"/>
          <w:sz w:val="22"/>
          <w:szCs w:val="22"/>
          <w:lang w:val="es-ES_tradnl" w:eastAsia="en-US"/>
        </w:rPr>
        <w:t xml:space="preserve"> </w:t>
      </w:r>
      <w:bookmarkStart w:id="3" w:name="_Hlk36233079"/>
      <w:r w:rsidRPr="007E16A4">
        <w:rPr>
          <w:rFonts w:ascii="Arial" w:eastAsia="Calibri" w:hAnsi="Arial" w:cs="Arial"/>
          <w:b/>
          <w:color w:val="000000" w:themeColor="text1"/>
          <w:sz w:val="22"/>
          <w:szCs w:val="22"/>
          <w:lang w:val="es-ES_tradnl" w:eastAsia="en-US"/>
        </w:rPr>
        <w:t xml:space="preserve">Amparo de estabilidad de la obra </w:t>
      </w:r>
      <w:r w:rsidRPr="007E16A4">
        <w:rPr>
          <w:rFonts w:ascii="Arial" w:eastAsia="Calibri" w:hAnsi="Arial" w:cs="Arial"/>
          <w:b/>
          <w:color w:val="000000" w:themeColor="text1"/>
          <w:sz w:val="22"/>
          <w:szCs w:val="22"/>
          <w:lang w:val="es-MX" w:eastAsia="en-US"/>
        </w:rPr>
        <w:t>–</w:t>
      </w:r>
      <w:r w:rsidRPr="007E16A4">
        <w:rPr>
          <w:rFonts w:ascii="Arial" w:eastAsia="Calibri" w:hAnsi="Arial" w:cs="Arial"/>
          <w:b/>
          <w:color w:val="000000" w:themeColor="text1"/>
          <w:sz w:val="22"/>
          <w:szCs w:val="22"/>
          <w:lang w:val="es-ES_tradnl" w:eastAsia="en-US"/>
        </w:rPr>
        <w:t xml:space="preserve"> </w:t>
      </w:r>
      <w:r w:rsidR="00C673F9" w:rsidRPr="007E16A4">
        <w:rPr>
          <w:rFonts w:ascii="Arial" w:eastAsia="Calibri" w:hAnsi="Arial" w:cs="Arial"/>
          <w:b/>
          <w:color w:val="000000" w:themeColor="text1"/>
          <w:sz w:val="22"/>
          <w:szCs w:val="22"/>
          <w:lang w:val="es-ES_tradnl" w:eastAsia="en-US"/>
        </w:rPr>
        <w:t>Procedimiento –</w:t>
      </w:r>
      <w:r>
        <w:rPr>
          <w:rFonts w:ascii="Arial" w:eastAsia="Calibri" w:hAnsi="Arial" w:cs="Arial"/>
          <w:b/>
          <w:color w:val="000000" w:themeColor="text1"/>
          <w:sz w:val="22"/>
        </w:rPr>
        <w:t xml:space="preserve"> Perjuicios</w:t>
      </w:r>
    </w:p>
    <w:bookmarkEnd w:id="3"/>
    <w:p w14:paraId="63D9E2DE" w14:textId="77777777" w:rsidR="007E16A4" w:rsidRPr="007E16A4" w:rsidRDefault="007E16A4" w:rsidP="007E16A4">
      <w:pPr>
        <w:jc w:val="both"/>
        <w:rPr>
          <w:rFonts w:ascii="Arial" w:eastAsia="Calibri" w:hAnsi="Arial" w:cs="Arial"/>
          <w:color w:val="000000" w:themeColor="text1"/>
          <w:sz w:val="20"/>
          <w:szCs w:val="22"/>
          <w:lang w:val="es-ES_tradnl" w:eastAsia="en-US"/>
        </w:rPr>
      </w:pPr>
    </w:p>
    <w:p w14:paraId="4A84E4B9" w14:textId="0CECC145" w:rsidR="004E6EB1" w:rsidRPr="004E6EB1" w:rsidRDefault="007E16A4" w:rsidP="006A6B0B">
      <w:pPr>
        <w:jc w:val="both"/>
        <w:rPr>
          <w:rFonts w:ascii="Arial" w:eastAsia="Calibri" w:hAnsi="Arial" w:cs="Arial"/>
          <w:color w:val="000000" w:themeColor="text1"/>
          <w:sz w:val="20"/>
          <w:szCs w:val="20"/>
          <w:lang w:val="es-ES_tradnl" w:eastAsia="en-US"/>
        </w:rPr>
      </w:pPr>
      <w:r w:rsidRPr="007E16A4">
        <w:rPr>
          <w:rFonts w:ascii="Arial" w:eastAsia="Calibri" w:hAnsi="Arial" w:cs="Arial"/>
          <w:color w:val="000000" w:themeColor="text1"/>
          <w:sz w:val="20"/>
          <w:szCs w:val="20"/>
          <w:lang w:val="es-ES" w:eastAsia="en-US"/>
        </w:rPr>
        <w:t xml:space="preserve">[…], </w:t>
      </w:r>
      <w:r w:rsidR="004E6EB1" w:rsidRPr="004E6EB1">
        <w:rPr>
          <w:rFonts w:ascii="Arial" w:eastAsia="Calibri" w:hAnsi="Arial" w:cs="Arial"/>
          <w:color w:val="000000" w:themeColor="text1"/>
          <w:sz w:val="20"/>
          <w:szCs w:val="20"/>
          <w:lang w:val="es-ES" w:eastAsia="en-US"/>
        </w:rPr>
        <w:t>como no aplica el artículo 86 de la Ley 1474, y en la medida que el artículo 29 prohíbe decisiones de plano, la Subdirección de Gestión Contractual considera que el trámite de la declaratoria del siniestro de estabilidad y calidad de la obra se rige por el procedimiento administrativo general dispuesto en los artículos 34 y siguientes de la Ley 1437 de 2011. Dicha norma prescribe que «Las actuaciones administrativas se sujetarán al procedimiento administrativo común y principal que se establece en este Código, sin perjuicio de los procedimientos administrativos regulados por leyes especiales […]», disposición aplicable a los temas contractuales por la remisión del inciso primero del artículo 77 de la Ley 80 de 1993</w:t>
      </w:r>
      <w:r w:rsidRPr="007E16A4">
        <w:rPr>
          <w:rFonts w:ascii="Arial" w:eastAsia="Calibri" w:hAnsi="Arial" w:cs="Arial"/>
          <w:color w:val="000000" w:themeColor="text1"/>
          <w:sz w:val="20"/>
          <w:szCs w:val="20"/>
          <w:lang w:val="es-ES" w:eastAsia="en-US"/>
        </w:rPr>
        <w:t xml:space="preserve">. </w:t>
      </w:r>
      <w:r>
        <w:rPr>
          <w:rFonts w:ascii="Arial" w:eastAsia="Calibri" w:hAnsi="Arial" w:cs="Arial"/>
          <w:color w:val="000000" w:themeColor="text1"/>
          <w:sz w:val="20"/>
          <w:szCs w:val="20"/>
          <w:lang w:val="es-ES" w:eastAsia="en-US"/>
        </w:rPr>
        <w:t>[…]</w:t>
      </w:r>
      <w:r w:rsidR="00484074">
        <w:rPr>
          <w:rFonts w:ascii="Arial" w:eastAsia="Calibri" w:hAnsi="Arial" w:cs="Arial"/>
          <w:color w:val="000000" w:themeColor="text1"/>
          <w:sz w:val="20"/>
          <w:szCs w:val="20"/>
          <w:lang w:val="es-ES" w:eastAsia="en-US"/>
        </w:rPr>
        <w:t xml:space="preserve"> </w:t>
      </w:r>
      <w:r w:rsidR="004E6EB1" w:rsidRPr="004E6EB1">
        <w:rPr>
          <w:rFonts w:ascii="Arial" w:eastAsia="Calibri" w:hAnsi="Arial" w:cs="Arial"/>
          <w:color w:val="000000" w:themeColor="text1"/>
          <w:sz w:val="20"/>
          <w:szCs w:val="20"/>
          <w:lang w:val="es-ES" w:eastAsia="en-US"/>
        </w:rPr>
        <w:t xml:space="preserve">La entidad estatal deberá motivar el acto administrativo que declara el siniestro de estabilidad y calidad de la obra, incluyendo las situaciones de hecho que demuestren la ocurrencia del siniestro, así como la cuantía a la cual asciende las reparaciones a efectuar en la obra. Lo anterior encuentra sustento en el artículo 1077 del Código de Comercio que </w:t>
      </w:r>
      <w:r w:rsidR="004E6EB1" w:rsidRPr="004E6EB1">
        <w:rPr>
          <w:rFonts w:ascii="Arial" w:eastAsia="Calibri" w:hAnsi="Arial" w:cs="Arial"/>
          <w:color w:val="000000" w:themeColor="text1"/>
          <w:sz w:val="20"/>
          <w:szCs w:val="20"/>
          <w:lang w:val="es-ES" w:eastAsia="en-US"/>
        </w:rPr>
        <w:lastRenderedPageBreak/>
        <w:t>establece: «Corresponderá al asegurado demostrar la ocurrencia del siniestro, así como la cuantía de la pérdida, si fuere el caso».</w:t>
      </w:r>
    </w:p>
    <w:p w14:paraId="7C390BB4" w14:textId="03C976F1" w:rsidR="00DE02D8" w:rsidRPr="00F56614" w:rsidRDefault="00DE02D8" w:rsidP="00F56614">
      <w:pPr>
        <w:spacing w:after="200" w:line="276" w:lineRule="auto"/>
        <w:rPr>
          <w:rFonts w:ascii="Arial" w:eastAsia="Calibri" w:hAnsi="Arial" w:cs="Arial"/>
          <w:color w:val="000000" w:themeColor="text1"/>
          <w:sz w:val="20"/>
          <w:szCs w:val="20"/>
          <w:lang w:val="es-ES" w:eastAsia="en-US"/>
        </w:rPr>
      </w:pPr>
      <w:r>
        <w:rPr>
          <w:rFonts w:ascii="Arial" w:eastAsia="Calibri" w:hAnsi="Arial" w:cs="Arial"/>
          <w:color w:val="000000" w:themeColor="text1"/>
          <w:sz w:val="20"/>
          <w:szCs w:val="20"/>
          <w:lang w:val="es-ES" w:eastAsia="en-US"/>
        </w:rPr>
        <w:br w:type="page"/>
      </w:r>
    </w:p>
    <w:p w14:paraId="7DD48F49" w14:textId="29F87EAD" w:rsidR="00B95C30" w:rsidRPr="00CB776B" w:rsidRDefault="00B95C30" w:rsidP="00C118DB">
      <w:pPr>
        <w:spacing w:line="276" w:lineRule="auto"/>
        <w:jc w:val="both"/>
        <w:rPr>
          <w:rFonts w:ascii="Arial" w:hAnsi="Arial" w:cs="Arial"/>
          <w:b/>
          <w:color w:val="000000" w:themeColor="text1"/>
          <w:sz w:val="22"/>
          <w:lang w:val="pt-BR"/>
        </w:rPr>
      </w:pPr>
      <w:r w:rsidRPr="00C118DB">
        <w:rPr>
          <w:rFonts w:ascii="Arial" w:hAnsi="Arial" w:cs="Arial"/>
          <w:noProof/>
          <w:color w:val="000000" w:themeColor="text1"/>
          <w:sz w:val="22"/>
          <w:lang w:val="pt-BR"/>
        </w:rPr>
        <w:lastRenderedPageBreak/>
        <w:t xml:space="preserve">Bogotá D.C., </w:t>
      </w:r>
      <w:r w:rsidR="00F56614">
        <w:rPr>
          <w:rFonts w:ascii="Arial" w:hAnsi="Arial" w:cs="Arial"/>
          <w:b/>
          <w:color w:val="000000" w:themeColor="text1"/>
          <w:sz w:val="22"/>
          <w:lang w:val="pt-BR"/>
        </w:rPr>
        <w:t>08/04/2021 Hora 19:11:31</w:t>
      </w:r>
    </w:p>
    <w:p w14:paraId="42E96C92" w14:textId="63EF558A" w:rsidR="00DE02D8" w:rsidRDefault="00DE02D8" w:rsidP="00C118DB">
      <w:pPr>
        <w:spacing w:line="276" w:lineRule="auto"/>
        <w:jc w:val="both"/>
        <w:rPr>
          <w:rFonts w:ascii="Arial" w:eastAsia="Calibri" w:hAnsi="Arial" w:cs="Arial"/>
          <w:noProof/>
          <w:color w:val="000000" w:themeColor="text1"/>
          <w:sz w:val="22"/>
          <w:szCs w:val="22"/>
          <w:lang w:val="pt-BR"/>
        </w:rPr>
      </w:pPr>
    </w:p>
    <w:p w14:paraId="6FB173E9" w14:textId="77777777" w:rsidR="00DE02D8" w:rsidRPr="00CB776B" w:rsidRDefault="00DE02D8" w:rsidP="00C118DB">
      <w:pPr>
        <w:spacing w:line="276" w:lineRule="auto"/>
        <w:jc w:val="both"/>
        <w:rPr>
          <w:rFonts w:ascii="Arial" w:eastAsia="Calibri" w:hAnsi="Arial" w:cs="Arial"/>
          <w:noProof/>
          <w:color w:val="000000" w:themeColor="text1"/>
          <w:sz w:val="22"/>
          <w:szCs w:val="22"/>
          <w:lang w:val="pt-BR"/>
        </w:rPr>
      </w:pPr>
    </w:p>
    <w:p w14:paraId="6A8A869B" w14:textId="2E12438F" w:rsidR="00B95C30" w:rsidRPr="00CB776B" w:rsidRDefault="00C24C24" w:rsidP="00F56614">
      <w:pPr>
        <w:jc w:val="right"/>
        <w:rPr>
          <w:rFonts w:ascii="Arial" w:hAnsi="Arial" w:cs="Arial"/>
          <w:bCs/>
          <w:color w:val="000000" w:themeColor="text1"/>
          <w:sz w:val="22"/>
          <w:lang w:val="pt-BR"/>
        </w:rPr>
      </w:pPr>
      <w:r>
        <w:rPr>
          <w:noProof/>
        </w:rPr>
        <w:t xml:space="preserve">  </w:t>
      </w:r>
      <w:r w:rsidR="00F56614">
        <w:rPr>
          <w:noProof/>
        </w:rPr>
        <w:drawing>
          <wp:inline distT="0" distB="0" distL="0" distR="0" wp14:anchorId="4C4B14EB" wp14:editId="5993CB33">
            <wp:extent cx="3444949" cy="1095154"/>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3788" t="31697" r="30019" b="53991"/>
                    <a:stretch/>
                  </pic:blipFill>
                  <pic:spPr bwMode="auto">
                    <a:xfrm>
                      <a:off x="0" y="0"/>
                      <a:ext cx="3465964" cy="1101835"/>
                    </a:xfrm>
                    <a:prstGeom prst="rect">
                      <a:avLst/>
                    </a:prstGeom>
                    <a:ln>
                      <a:noFill/>
                    </a:ln>
                    <a:extLst>
                      <a:ext uri="{53640926-AAD7-44D8-BBD7-CCE9431645EC}">
                        <a14:shadowObscured xmlns:a14="http://schemas.microsoft.com/office/drawing/2010/main"/>
                      </a:ext>
                    </a:extLst>
                  </pic:spPr>
                </pic:pic>
              </a:graphicData>
            </a:graphic>
          </wp:inline>
        </w:drawing>
      </w:r>
    </w:p>
    <w:p w14:paraId="158F316B" w14:textId="77777777" w:rsidR="00DE02D8" w:rsidRPr="00CB776B" w:rsidRDefault="00DE02D8" w:rsidP="00B95C30">
      <w:pPr>
        <w:jc w:val="both"/>
        <w:rPr>
          <w:rFonts w:ascii="Arial" w:hAnsi="Arial" w:cs="Arial"/>
          <w:bCs/>
          <w:color w:val="000000" w:themeColor="text1"/>
          <w:sz w:val="22"/>
          <w:lang w:val="pt-BR"/>
        </w:rPr>
      </w:pPr>
    </w:p>
    <w:p w14:paraId="5F5AE9EF" w14:textId="77777777" w:rsidR="00B95C30" w:rsidRPr="00CB776B" w:rsidRDefault="00B95C30" w:rsidP="00B95C30">
      <w:pPr>
        <w:jc w:val="both"/>
        <w:rPr>
          <w:rFonts w:ascii="Arial" w:eastAsia="Calibri" w:hAnsi="Arial" w:cs="Arial"/>
          <w:color w:val="000000" w:themeColor="text1"/>
          <w:sz w:val="22"/>
          <w:lang w:val="pt-BR"/>
        </w:rPr>
      </w:pPr>
      <w:proofErr w:type="spellStart"/>
      <w:r w:rsidRPr="00CB776B">
        <w:rPr>
          <w:rFonts w:ascii="Arial" w:eastAsia="Calibri" w:hAnsi="Arial" w:cs="Arial"/>
          <w:color w:val="000000" w:themeColor="text1"/>
          <w:sz w:val="22"/>
          <w:lang w:val="pt-BR"/>
        </w:rPr>
        <w:t>Señor</w:t>
      </w:r>
      <w:proofErr w:type="spellEnd"/>
    </w:p>
    <w:p w14:paraId="44974F31" w14:textId="7252461C" w:rsidR="00023FA5" w:rsidRPr="00CB776B" w:rsidRDefault="001169FD" w:rsidP="00B95C30">
      <w:pPr>
        <w:jc w:val="both"/>
        <w:rPr>
          <w:rFonts w:ascii="Arial" w:eastAsia="Calibri" w:hAnsi="Arial" w:cs="Arial"/>
          <w:b/>
          <w:color w:val="000000" w:themeColor="text1"/>
          <w:sz w:val="22"/>
          <w:lang w:val="pt-BR"/>
        </w:rPr>
      </w:pPr>
      <w:r w:rsidRPr="00CB776B">
        <w:rPr>
          <w:rFonts w:ascii="Arial" w:eastAsia="Calibri" w:hAnsi="Arial" w:cs="Arial"/>
          <w:b/>
          <w:color w:val="000000" w:themeColor="text1"/>
          <w:sz w:val="22"/>
          <w:lang w:val="pt-BR"/>
        </w:rPr>
        <w:t xml:space="preserve">Miguel Cruz </w:t>
      </w:r>
      <w:r w:rsidR="00B84684" w:rsidRPr="00CB776B">
        <w:rPr>
          <w:rFonts w:ascii="Arial" w:eastAsia="Calibri" w:hAnsi="Arial" w:cs="Arial"/>
          <w:b/>
          <w:color w:val="000000" w:themeColor="text1"/>
          <w:sz w:val="22"/>
          <w:lang w:val="pt-BR"/>
        </w:rPr>
        <w:t xml:space="preserve">Ramírez </w:t>
      </w:r>
    </w:p>
    <w:p w14:paraId="0C3BF01F" w14:textId="0C94164F" w:rsidR="00C059D4" w:rsidRPr="00CB776B" w:rsidRDefault="0031712D" w:rsidP="00B95C30">
      <w:pPr>
        <w:jc w:val="both"/>
        <w:rPr>
          <w:rFonts w:ascii="Arial" w:eastAsia="Calibri" w:hAnsi="Arial" w:cs="Arial"/>
          <w:color w:val="000000" w:themeColor="text1"/>
          <w:sz w:val="22"/>
          <w:lang w:val="pt-BR"/>
        </w:rPr>
      </w:pPr>
      <w:r w:rsidRPr="00C118DB">
        <w:rPr>
          <w:rFonts w:ascii="Arial" w:hAnsi="Arial" w:cs="Arial"/>
          <w:noProof/>
          <w:color w:val="000000" w:themeColor="text1"/>
          <w:sz w:val="22"/>
          <w:lang w:val="pt-BR"/>
        </w:rPr>
        <w:t>Bogotá D.C.</w:t>
      </w:r>
      <w:r w:rsidR="00B84684" w:rsidRPr="00CB776B">
        <w:rPr>
          <w:rFonts w:ascii="Arial" w:eastAsia="Calibri" w:hAnsi="Arial" w:cs="Arial"/>
          <w:color w:val="000000" w:themeColor="text1"/>
          <w:sz w:val="22"/>
          <w:lang w:val="pt-BR"/>
        </w:rPr>
        <w:t xml:space="preserve"> </w:t>
      </w:r>
    </w:p>
    <w:p w14:paraId="72441571" w14:textId="38F77B6C" w:rsidR="00DE02D8" w:rsidRPr="00CB776B" w:rsidRDefault="00DE02D8" w:rsidP="00B95C30">
      <w:pPr>
        <w:jc w:val="both"/>
        <w:rPr>
          <w:rFonts w:ascii="Arial" w:eastAsia="Calibri" w:hAnsi="Arial" w:cs="Arial"/>
          <w:color w:val="000000" w:themeColor="text1"/>
          <w:sz w:val="22"/>
          <w:lang w:val="pt-BR"/>
        </w:rPr>
      </w:pPr>
    </w:p>
    <w:p w14:paraId="0946C351" w14:textId="77777777" w:rsidR="00DE02D8" w:rsidRPr="00CB776B" w:rsidRDefault="00DE02D8" w:rsidP="00B95C30">
      <w:pPr>
        <w:jc w:val="both"/>
        <w:rPr>
          <w:rFonts w:ascii="Arial" w:eastAsia="Calibri" w:hAnsi="Arial" w:cs="Arial"/>
          <w:color w:val="000000" w:themeColor="text1"/>
          <w:sz w:val="22"/>
          <w:lang w:val="pt-BR"/>
        </w:rPr>
      </w:pPr>
    </w:p>
    <w:p w14:paraId="12E66182" w14:textId="282885C7" w:rsidR="00B95C30" w:rsidRPr="00E23980" w:rsidRDefault="00DE02D8" w:rsidP="00CB776B">
      <w:pPr>
        <w:rPr>
          <w:rFonts w:ascii="Arial" w:eastAsia="Calibri" w:hAnsi="Arial" w:cs="Arial"/>
          <w:b/>
          <w:bCs/>
          <w:color w:val="000000" w:themeColor="text1"/>
          <w:sz w:val="22"/>
          <w:lang w:val="es-ES_tradnl"/>
        </w:rPr>
      </w:pPr>
      <w:r w:rsidRPr="00CB776B">
        <w:rPr>
          <w:rFonts w:ascii="Arial" w:eastAsia="Calibri" w:hAnsi="Arial" w:cs="Arial"/>
          <w:b/>
          <w:bCs/>
          <w:color w:val="000000" w:themeColor="text1"/>
          <w:sz w:val="22"/>
          <w:lang w:val="pt-BR"/>
        </w:rPr>
        <w:t xml:space="preserve">                                            </w:t>
      </w:r>
      <w:r w:rsidR="00023FA5">
        <w:rPr>
          <w:rFonts w:ascii="Arial" w:eastAsia="Calibri" w:hAnsi="Arial" w:cs="Arial"/>
          <w:b/>
          <w:bCs/>
          <w:color w:val="000000" w:themeColor="text1"/>
          <w:sz w:val="22"/>
          <w:lang w:val="es-ES_tradnl"/>
        </w:rPr>
        <w:t xml:space="preserve">Concepto C ‒ </w:t>
      </w:r>
      <w:r w:rsidR="00023FA5" w:rsidRPr="00484074">
        <w:rPr>
          <w:rFonts w:ascii="Arial" w:eastAsia="Calibri" w:hAnsi="Arial" w:cs="Arial"/>
          <w:b/>
          <w:bCs/>
          <w:color w:val="000000" w:themeColor="text1"/>
          <w:sz w:val="22"/>
          <w:lang w:val="es-ES_tradnl"/>
        </w:rPr>
        <w:t>080</w:t>
      </w:r>
      <w:r w:rsidR="00275FBF">
        <w:rPr>
          <w:rFonts w:ascii="Arial" w:eastAsia="Calibri" w:hAnsi="Arial" w:cs="Arial"/>
          <w:b/>
          <w:bCs/>
          <w:color w:val="000000" w:themeColor="text1"/>
          <w:sz w:val="22"/>
          <w:lang w:val="es-ES_tradnl"/>
        </w:rPr>
        <w:t xml:space="preserve"> de 2021</w:t>
      </w:r>
    </w:p>
    <w:p w14:paraId="1BD594F9" w14:textId="77777777" w:rsidR="00B95C30" w:rsidRPr="00E23980"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E23980" w14:paraId="19DFC051" w14:textId="77777777" w:rsidTr="00D15356">
        <w:tc>
          <w:tcPr>
            <w:tcW w:w="2689" w:type="dxa"/>
          </w:tcPr>
          <w:p w14:paraId="6BC0D1AC" w14:textId="77777777" w:rsidR="00B95C30" w:rsidRPr="00E23980" w:rsidRDefault="00B95C30" w:rsidP="00D15356">
            <w:pPr>
              <w:jc w:val="both"/>
              <w:rPr>
                <w:rFonts w:ascii="Arial" w:eastAsia="Calibri" w:hAnsi="Arial" w:cs="Arial"/>
                <w:color w:val="000000" w:themeColor="text1"/>
                <w:sz w:val="22"/>
                <w:lang w:val="es-ES_tradnl"/>
              </w:rPr>
            </w:pPr>
            <w:r w:rsidRPr="00E23980">
              <w:rPr>
                <w:rFonts w:ascii="Arial" w:eastAsia="Calibri" w:hAnsi="Arial" w:cs="Arial"/>
                <w:b/>
                <w:color w:val="000000" w:themeColor="text1"/>
                <w:sz w:val="22"/>
                <w:lang w:val="es-ES_tradnl"/>
              </w:rPr>
              <w:t>Temas:</w:t>
            </w:r>
            <w:r w:rsidRPr="00E23980">
              <w:rPr>
                <w:rFonts w:ascii="Arial" w:eastAsia="Calibri" w:hAnsi="Arial" w:cs="Arial"/>
                <w:color w:val="000000" w:themeColor="text1"/>
                <w:sz w:val="22"/>
                <w:lang w:val="es-ES_tradnl"/>
              </w:rPr>
              <w:t xml:space="preserve">                                      </w:t>
            </w:r>
          </w:p>
        </w:tc>
        <w:tc>
          <w:tcPr>
            <w:tcW w:w="6237" w:type="dxa"/>
          </w:tcPr>
          <w:p w14:paraId="5F389CAF" w14:textId="38E805FE" w:rsidR="00B95C30" w:rsidRPr="00484074" w:rsidRDefault="00484074" w:rsidP="00484074">
            <w:pPr>
              <w:jc w:val="both"/>
              <w:rPr>
                <w:rFonts w:ascii="Arial" w:eastAsia="Calibri" w:hAnsi="Arial" w:cs="Arial"/>
                <w:bCs/>
                <w:color w:val="000000" w:themeColor="text1"/>
                <w:sz w:val="20"/>
                <w:szCs w:val="20"/>
                <w:lang w:val="es-ES"/>
              </w:rPr>
            </w:pPr>
            <w:r w:rsidRPr="00484074">
              <w:rPr>
                <w:rFonts w:ascii="Arial" w:eastAsia="Calibri" w:hAnsi="Arial" w:cs="Arial"/>
                <w:color w:val="000000" w:themeColor="text1"/>
                <w:sz w:val="22"/>
              </w:rPr>
              <w:t>GARANTÍA DE SERIEDAD – Irrevocabilidad de la oferta – Finalidad</w:t>
            </w:r>
            <w:r w:rsidRPr="00484074">
              <w:rPr>
                <w:rFonts w:ascii="Arial" w:eastAsia="Calibri" w:hAnsi="Arial" w:cs="Arial"/>
                <w:bCs/>
                <w:color w:val="000000" w:themeColor="text1"/>
                <w:sz w:val="22"/>
                <w:lang w:val="es-ES_tradnl"/>
              </w:rPr>
              <w:t xml:space="preserve"> </w:t>
            </w:r>
            <w:r w:rsidR="006174FA" w:rsidRPr="00484074">
              <w:rPr>
                <w:rFonts w:ascii="Arial" w:eastAsia="Calibri" w:hAnsi="Arial" w:cs="Arial"/>
                <w:bCs/>
                <w:sz w:val="22"/>
                <w:lang w:val="es-ES_tradnl"/>
              </w:rPr>
              <w:t xml:space="preserve">/ </w:t>
            </w:r>
            <w:r w:rsidRPr="00484074">
              <w:rPr>
                <w:rFonts w:ascii="Arial" w:eastAsia="Calibri" w:hAnsi="Arial" w:cs="Arial"/>
                <w:color w:val="000000" w:themeColor="text1"/>
                <w:sz w:val="22"/>
              </w:rPr>
              <w:t>GARANTÍA DE SERIEDAD  – Procedimiento Aplicable – Ley 1474 de 2011 – Garantía única de cumplimiento – Falta de otorgamiento –  Perjuicios</w:t>
            </w:r>
            <w:r w:rsidRPr="00484074">
              <w:rPr>
                <w:rFonts w:ascii="Arial" w:eastAsia="Calibri" w:hAnsi="Arial" w:cs="Arial"/>
                <w:bCs/>
                <w:color w:val="000000" w:themeColor="text1"/>
                <w:sz w:val="20"/>
                <w:szCs w:val="20"/>
                <w:lang w:val="es-ES"/>
              </w:rPr>
              <w:t xml:space="preserve"> </w:t>
            </w:r>
            <w:r w:rsidR="00B95C30" w:rsidRPr="00484074">
              <w:rPr>
                <w:rFonts w:ascii="Arial" w:eastAsia="Calibri" w:hAnsi="Arial" w:cs="Arial"/>
                <w:bCs/>
                <w:sz w:val="22"/>
                <w:lang w:val="es-ES_tradnl"/>
              </w:rPr>
              <w:t>/</w:t>
            </w:r>
            <w:r w:rsidR="002415B8" w:rsidRPr="00484074">
              <w:rPr>
                <w:rFonts w:ascii="Arial" w:eastAsia="Calibri" w:hAnsi="Arial" w:cs="Arial"/>
                <w:bCs/>
                <w:sz w:val="22"/>
                <w:lang w:val="es-ES_tradnl"/>
              </w:rPr>
              <w:t xml:space="preserve"> </w:t>
            </w:r>
            <w:r w:rsidRPr="00484074">
              <w:rPr>
                <w:rFonts w:ascii="Arial" w:eastAsia="Calibri" w:hAnsi="Arial" w:cs="Arial"/>
                <w:color w:val="000000" w:themeColor="text1"/>
                <w:sz w:val="22"/>
              </w:rPr>
              <w:t xml:space="preserve">GARANTÍA DE SERIEDAD – Procedimiento Aplicable – Ley 1437 de 2011 – Suscripción del contrato – Renuencia del adjudicatario </w:t>
            </w:r>
            <w:r w:rsidR="002415B8" w:rsidRPr="00484074">
              <w:rPr>
                <w:rFonts w:ascii="Arial" w:eastAsia="Calibri" w:hAnsi="Arial" w:cs="Arial"/>
                <w:bCs/>
                <w:sz w:val="22"/>
                <w:lang w:val="es-ES_tradnl"/>
              </w:rPr>
              <w:t xml:space="preserve">/ </w:t>
            </w:r>
            <w:r w:rsidRPr="00484074">
              <w:rPr>
                <w:rFonts w:ascii="Arial" w:eastAsia="Calibri" w:hAnsi="Arial" w:cs="Arial"/>
                <w:bCs/>
                <w:color w:val="000000" w:themeColor="text1"/>
                <w:sz w:val="22"/>
                <w:lang w:val="es-ES_tradnl"/>
              </w:rPr>
              <w:t xml:space="preserve">AMPARO DEL BUEN MANEJO Y CORRECTA INVERSIÓN DEL ANTICIPO </w:t>
            </w:r>
            <w:r w:rsidRPr="00484074">
              <w:rPr>
                <w:rFonts w:ascii="Arial" w:eastAsia="Calibri" w:hAnsi="Arial" w:cs="Arial"/>
                <w:color w:val="000000" w:themeColor="text1"/>
                <w:sz w:val="22"/>
              </w:rPr>
              <w:t>– Finalidad</w:t>
            </w:r>
            <w:r w:rsidRPr="00484074">
              <w:rPr>
                <w:rFonts w:ascii="Arial" w:eastAsia="Calibri" w:hAnsi="Arial" w:cs="Arial"/>
                <w:bCs/>
                <w:color w:val="000000" w:themeColor="text1"/>
                <w:sz w:val="22"/>
                <w:lang w:val="es-ES_tradnl"/>
              </w:rPr>
              <w:t xml:space="preserve"> </w:t>
            </w:r>
            <w:r w:rsidR="006174FA" w:rsidRPr="00484074">
              <w:rPr>
                <w:rFonts w:ascii="Arial" w:eastAsia="Calibri" w:hAnsi="Arial" w:cs="Arial"/>
                <w:bCs/>
                <w:sz w:val="22"/>
                <w:lang w:val="es-ES_tradnl"/>
              </w:rPr>
              <w:t xml:space="preserve">/ </w:t>
            </w:r>
            <w:r w:rsidRPr="00484074">
              <w:rPr>
                <w:rFonts w:ascii="Arial" w:eastAsia="Calibri" w:hAnsi="Arial" w:cs="Arial"/>
                <w:bCs/>
                <w:color w:val="000000" w:themeColor="text1"/>
                <w:sz w:val="22"/>
                <w:lang w:val="es-ES_tradnl"/>
              </w:rPr>
              <w:t xml:space="preserve">AMPARO DEL BUEN MANEJO Y CORRECTA INVERSIÓN DEL ANTICIPO </w:t>
            </w:r>
            <w:r w:rsidRPr="00484074">
              <w:rPr>
                <w:rFonts w:ascii="Arial" w:eastAsia="Calibri" w:hAnsi="Arial" w:cs="Arial"/>
                <w:color w:val="000000" w:themeColor="text1"/>
                <w:sz w:val="22"/>
              </w:rPr>
              <w:t>– Procedimiento Aplicable – Ley 1474 de 2011 – Perjuicios</w:t>
            </w:r>
            <w:r w:rsidRPr="00484074">
              <w:rPr>
                <w:rFonts w:ascii="Arial" w:eastAsia="Calibri" w:hAnsi="Arial" w:cs="Arial"/>
                <w:bCs/>
                <w:color w:val="000000" w:themeColor="text1"/>
                <w:sz w:val="22"/>
                <w:lang w:val="es-ES_tradnl"/>
              </w:rPr>
              <w:t xml:space="preserve"> </w:t>
            </w:r>
            <w:r w:rsidR="006174FA" w:rsidRPr="00484074">
              <w:rPr>
                <w:rFonts w:ascii="Arial" w:eastAsia="Calibri" w:hAnsi="Arial" w:cs="Arial"/>
                <w:color w:val="000000" w:themeColor="text1"/>
                <w:sz w:val="22"/>
                <w:lang w:val="es-ES_tradnl"/>
              </w:rPr>
              <w:t xml:space="preserve">/ </w:t>
            </w:r>
            <w:r w:rsidRPr="00484074">
              <w:rPr>
                <w:rFonts w:ascii="Arial" w:eastAsia="Calibri" w:hAnsi="Arial" w:cs="Arial"/>
                <w:bCs/>
                <w:color w:val="000000" w:themeColor="text1"/>
                <w:sz w:val="22"/>
                <w:lang w:val="es-ES_tradnl"/>
              </w:rPr>
              <w:t xml:space="preserve">AMPARO DEL BUEN MANEJO Y CORRECTA INVERSIÓN DEL ANTICIPO </w:t>
            </w:r>
            <w:r w:rsidRPr="00484074">
              <w:rPr>
                <w:rFonts w:ascii="Arial" w:eastAsia="Calibri" w:hAnsi="Arial" w:cs="Arial"/>
                <w:color w:val="000000" w:themeColor="text1"/>
                <w:sz w:val="22"/>
              </w:rPr>
              <w:t>– Procedimiento Aplicable – Ley 1437 de 2011 – Perjuicios</w:t>
            </w:r>
            <w:r w:rsidRPr="00484074">
              <w:rPr>
                <w:rFonts w:ascii="Arial" w:eastAsia="Calibri" w:hAnsi="Arial" w:cs="Arial"/>
                <w:bCs/>
                <w:color w:val="000000" w:themeColor="text1"/>
                <w:sz w:val="22"/>
                <w:lang w:val="es-ES_tradnl"/>
              </w:rPr>
              <w:t xml:space="preserve"> </w:t>
            </w:r>
            <w:r w:rsidR="006174FA" w:rsidRPr="00484074">
              <w:rPr>
                <w:rFonts w:ascii="Arial" w:eastAsia="Calibri" w:hAnsi="Arial" w:cs="Arial"/>
                <w:color w:val="000000" w:themeColor="text1"/>
                <w:sz w:val="22"/>
                <w:lang w:val="es-ES_tradnl"/>
              </w:rPr>
              <w:t xml:space="preserve">/ </w:t>
            </w:r>
            <w:r w:rsidRPr="007E16A4">
              <w:rPr>
                <w:rFonts w:ascii="Arial" w:eastAsia="Calibri" w:hAnsi="Arial" w:cs="Arial"/>
                <w:color w:val="000000" w:themeColor="text1"/>
                <w:sz w:val="22"/>
                <w:szCs w:val="22"/>
                <w:lang w:val="es-ES_tradnl" w:eastAsia="en-US"/>
              </w:rPr>
              <w:t xml:space="preserve">SINIESTRO </w:t>
            </w:r>
            <w:r w:rsidRPr="007E16A4">
              <w:rPr>
                <w:rFonts w:ascii="Arial" w:eastAsia="Calibri" w:hAnsi="Arial" w:cs="Arial"/>
                <w:color w:val="000000" w:themeColor="text1"/>
                <w:sz w:val="22"/>
                <w:szCs w:val="22"/>
                <w:lang w:val="es-MX" w:eastAsia="en-US"/>
              </w:rPr>
              <w:t>–</w:t>
            </w:r>
            <w:r w:rsidRPr="007E16A4">
              <w:rPr>
                <w:rFonts w:ascii="Arial" w:eastAsia="Calibri" w:hAnsi="Arial" w:cs="Arial"/>
                <w:color w:val="000000" w:themeColor="text1"/>
                <w:sz w:val="22"/>
                <w:szCs w:val="22"/>
                <w:lang w:val="es-ES_tradnl" w:eastAsia="en-US"/>
              </w:rPr>
              <w:t xml:space="preserve"> Amparo de estabilidad de la obra </w:t>
            </w:r>
            <w:r w:rsidRPr="007E16A4">
              <w:rPr>
                <w:rFonts w:ascii="Arial" w:eastAsia="Calibri" w:hAnsi="Arial" w:cs="Arial"/>
                <w:color w:val="000000" w:themeColor="text1"/>
                <w:sz w:val="22"/>
                <w:szCs w:val="22"/>
                <w:lang w:val="es-MX" w:eastAsia="en-US"/>
              </w:rPr>
              <w:t>–</w:t>
            </w:r>
            <w:r w:rsidRPr="007E16A4">
              <w:rPr>
                <w:rFonts w:ascii="Arial" w:eastAsia="Calibri" w:hAnsi="Arial" w:cs="Arial"/>
                <w:color w:val="000000" w:themeColor="text1"/>
                <w:sz w:val="22"/>
                <w:szCs w:val="22"/>
                <w:lang w:val="es-ES_tradnl" w:eastAsia="en-US"/>
              </w:rPr>
              <w:t xml:space="preserve"> </w:t>
            </w:r>
            <w:r w:rsidR="0031712D" w:rsidRPr="007E16A4">
              <w:rPr>
                <w:rFonts w:ascii="Arial" w:eastAsia="Calibri" w:hAnsi="Arial" w:cs="Arial"/>
                <w:color w:val="000000" w:themeColor="text1"/>
                <w:sz w:val="22"/>
                <w:szCs w:val="22"/>
                <w:lang w:val="es-ES_tradnl" w:eastAsia="en-US"/>
              </w:rPr>
              <w:t>Procedimiento –</w:t>
            </w:r>
            <w:r w:rsidRPr="00484074">
              <w:rPr>
                <w:rFonts w:ascii="Arial" w:eastAsia="Calibri" w:hAnsi="Arial" w:cs="Arial"/>
                <w:color w:val="000000" w:themeColor="text1"/>
                <w:sz w:val="22"/>
              </w:rPr>
              <w:t xml:space="preserve"> Perjuicios</w:t>
            </w:r>
          </w:p>
        </w:tc>
      </w:tr>
      <w:tr w:rsidR="00B95C30" w:rsidRPr="00E23980" w14:paraId="27CD52AB" w14:textId="77777777" w:rsidTr="00D15356">
        <w:tc>
          <w:tcPr>
            <w:tcW w:w="2689" w:type="dxa"/>
          </w:tcPr>
          <w:p w14:paraId="37E195A1" w14:textId="41F0D25F" w:rsidR="00B95C30" w:rsidRPr="00E23980" w:rsidRDefault="001068EB" w:rsidP="00D15356">
            <w:pPr>
              <w:spacing w:before="12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 </w:t>
            </w:r>
            <w:r w:rsidR="00B95C30" w:rsidRPr="00E23980">
              <w:rPr>
                <w:rFonts w:ascii="Arial" w:eastAsia="Calibri" w:hAnsi="Arial" w:cs="Arial"/>
                <w:b/>
                <w:color w:val="000000" w:themeColor="text1"/>
                <w:sz w:val="22"/>
                <w:lang w:val="es-ES_tradnl"/>
              </w:rPr>
              <w:t>Radicación:</w:t>
            </w:r>
            <w:r w:rsidR="00B95C30" w:rsidRPr="00E23980">
              <w:rPr>
                <w:rFonts w:ascii="Arial" w:eastAsia="Calibri" w:hAnsi="Arial" w:cs="Arial"/>
                <w:color w:val="000000" w:themeColor="text1"/>
                <w:sz w:val="22"/>
                <w:lang w:val="es-ES_tradnl"/>
              </w:rPr>
              <w:t xml:space="preserve">                              </w:t>
            </w:r>
          </w:p>
        </w:tc>
        <w:tc>
          <w:tcPr>
            <w:tcW w:w="6237" w:type="dxa"/>
          </w:tcPr>
          <w:p w14:paraId="09088B1B" w14:textId="383AAAA1" w:rsidR="00B95C30" w:rsidRPr="00E23980" w:rsidRDefault="00B95C30" w:rsidP="00D15356">
            <w:pPr>
              <w:spacing w:before="120"/>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Respuesta a consulta</w:t>
            </w:r>
            <w:r w:rsidR="00023FA5">
              <w:rPr>
                <w:rFonts w:ascii="Arial" w:eastAsia="Calibri" w:hAnsi="Arial" w:cs="Arial"/>
                <w:color w:val="000000" w:themeColor="text1"/>
                <w:sz w:val="22"/>
                <w:lang w:val="es-ES_tradnl"/>
              </w:rPr>
              <w:t>s</w:t>
            </w:r>
            <w:r w:rsidRPr="00E23980">
              <w:rPr>
                <w:rFonts w:ascii="Arial" w:eastAsia="Calibri" w:hAnsi="Arial" w:cs="Arial"/>
                <w:color w:val="000000" w:themeColor="text1"/>
                <w:sz w:val="22"/>
                <w:lang w:val="es-ES_tradnl"/>
              </w:rPr>
              <w:t xml:space="preserve"> </w:t>
            </w:r>
            <w:r w:rsidR="00BC4246">
              <w:rPr>
                <w:rFonts w:ascii="Arial" w:eastAsia="Calibri" w:hAnsi="Arial" w:cs="Arial"/>
                <w:color w:val="000000" w:themeColor="text1"/>
                <w:sz w:val="22"/>
                <w:lang w:val="es-ES_tradnl"/>
              </w:rPr>
              <w:t>P</w:t>
            </w:r>
            <w:r w:rsidR="00C8705B" w:rsidRPr="00C8705B">
              <w:rPr>
                <w:rFonts w:ascii="Arial" w:eastAsia="Calibri" w:hAnsi="Arial" w:cs="Arial"/>
                <w:color w:val="000000" w:themeColor="text1"/>
                <w:sz w:val="22"/>
                <w:lang w:val="es-ES_tradnl"/>
              </w:rPr>
              <w:t>20210222001430</w:t>
            </w:r>
            <w:r w:rsidR="00023FA5">
              <w:rPr>
                <w:rFonts w:ascii="Arial" w:eastAsia="Calibri" w:hAnsi="Arial" w:cs="Arial"/>
                <w:color w:val="000000" w:themeColor="text1"/>
                <w:sz w:val="22"/>
                <w:lang w:val="es-ES_tradnl"/>
              </w:rPr>
              <w:t xml:space="preserve"> y </w:t>
            </w:r>
            <w:r w:rsidR="00BC4246">
              <w:rPr>
                <w:rFonts w:ascii="Arial" w:eastAsia="Calibri" w:hAnsi="Arial" w:cs="Arial"/>
                <w:color w:val="000000" w:themeColor="text1"/>
                <w:sz w:val="22"/>
                <w:lang w:val="es-ES_tradnl"/>
              </w:rPr>
              <w:t>P</w:t>
            </w:r>
            <w:r w:rsidR="00023FA5" w:rsidRPr="00023FA5">
              <w:rPr>
                <w:rFonts w:ascii="Arial" w:eastAsia="Calibri" w:hAnsi="Arial" w:cs="Arial"/>
                <w:color w:val="000000" w:themeColor="text1"/>
                <w:sz w:val="22"/>
                <w:lang w:val="es-ES_tradnl"/>
              </w:rPr>
              <w:t>20210222001437</w:t>
            </w:r>
            <w:r w:rsidR="00BC4246">
              <w:rPr>
                <w:rFonts w:ascii="Arial" w:eastAsia="Calibri" w:hAnsi="Arial" w:cs="Arial"/>
                <w:color w:val="000000" w:themeColor="text1"/>
                <w:sz w:val="22"/>
                <w:lang w:val="es-ES_tradnl"/>
              </w:rPr>
              <w:t xml:space="preserve"> –Acumuladas–</w:t>
            </w:r>
          </w:p>
        </w:tc>
      </w:tr>
    </w:tbl>
    <w:p w14:paraId="635FAA34" w14:textId="77777777" w:rsidR="006D69FA" w:rsidRDefault="006D69FA" w:rsidP="003C3339">
      <w:pPr>
        <w:jc w:val="both"/>
        <w:rPr>
          <w:rFonts w:ascii="Arial" w:eastAsia="Calibri" w:hAnsi="Arial" w:cs="Arial"/>
          <w:color w:val="000000" w:themeColor="text1"/>
          <w:sz w:val="22"/>
          <w:lang w:val="es-ES_tradnl"/>
        </w:rPr>
      </w:pPr>
    </w:p>
    <w:p w14:paraId="1CF4AEA0" w14:textId="58844847" w:rsidR="003C3339" w:rsidRPr="00E23980" w:rsidRDefault="003C3339" w:rsidP="003C3339">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Estimado señor </w:t>
      </w:r>
      <w:r w:rsidR="00112609">
        <w:rPr>
          <w:rFonts w:ascii="Arial" w:eastAsia="Calibri" w:hAnsi="Arial" w:cs="Arial"/>
          <w:color w:val="000000" w:themeColor="text1"/>
          <w:sz w:val="22"/>
          <w:lang w:val="es-ES_tradnl"/>
        </w:rPr>
        <w:t>Cruz</w:t>
      </w:r>
      <w:r w:rsidRPr="00E23980">
        <w:rPr>
          <w:rFonts w:ascii="Arial" w:eastAsia="Calibri" w:hAnsi="Arial" w:cs="Arial"/>
          <w:color w:val="000000" w:themeColor="text1"/>
          <w:sz w:val="22"/>
          <w:lang w:val="es-ES_tradnl"/>
        </w:rPr>
        <w:t>:</w:t>
      </w:r>
    </w:p>
    <w:p w14:paraId="1EAE5543" w14:textId="77777777" w:rsidR="00DD5B04" w:rsidRPr="00E23980" w:rsidRDefault="00DD5B04" w:rsidP="00DF76A2">
      <w:pPr>
        <w:jc w:val="both"/>
        <w:rPr>
          <w:rFonts w:ascii="Arial" w:eastAsia="Calibri" w:hAnsi="Arial" w:cs="Arial"/>
          <w:color w:val="000000" w:themeColor="text1"/>
          <w:sz w:val="22"/>
          <w:lang w:val="es-ES_tradnl"/>
        </w:rPr>
      </w:pPr>
    </w:p>
    <w:p w14:paraId="2109B2D3" w14:textId="3421A044" w:rsidR="00DD5B04" w:rsidRPr="00E23980" w:rsidRDefault="00DD5B04" w:rsidP="00DF76A2">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CE69CC" w:rsidRPr="00E23980">
        <w:rPr>
          <w:rFonts w:ascii="Arial" w:eastAsia="Calibri" w:hAnsi="Arial" w:cs="Arial"/>
          <w:color w:val="000000" w:themeColor="text1"/>
          <w:sz w:val="22"/>
          <w:lang w:val="es-ES_tradnl"/>
        </w:rPr>
        <w:t>, a través de la Subdirección de Gestión Contractual,</w:t>
      </w:r>
      <w:r w:rsidRPr="00E23980">
        <w:rPr>
          <w:rFonts w:ascii="Arial" w:eastAsia="Calibri" w:hAnsi="Arial" w:cs="Arial"/>
          <w:color w:val="000000" w:themeColor="text1"/>
          <w:sz w:val="22"/>
          <w:lang w:val="es-ES_tradnl"/>
        </w:rPr>
        <w:t xml:space="preserve"> responde su</w:t>
      </w:r>
      <w:r w:rsidR="003E2913">
        <w:rPr>
          <w:rFonts w:ascii="Arial" w:eastAsia="Calibri" w:hAnsi="Arial" w:cs="Arial"/>
          <w:color w:val="000000" w:themeColor="text1"/>
          <w:sz w:val="22"/>
          <w:lang w:val="es-ES_tradnl"/>
        </w:rPr>
        <w:t>s</w:t>
      </w:r>
      <w:r w:rsidRPr="00E23980">
        <w:rPr>
          <w:rFonts w:ascii="Arial" w:eastAsia="Calibri" w:hAnsi="Arial" w:cs="Arial"/>
          <w:color w:val="000000" w:themeColor="text1"/>
          <w:sz w:val="22"/>
          <w:lang w:val="es-ES_tradnl"/>
        </w:rPr>
        <w:t xml:space="preserve"> consulta</w:t>
      </w:r>
      <w:r w:rsidR="003E2913">
        <w:rPr>
          <w:rFonts w:ascii="Arial" w:eastAsia="Calibri" w:hAnsi="Arial" w:cs="Arial"/>
          <w:color w:val="000000" w:themeColor="text1"/>
          <w:sz w:val="22"/>
          <w:lang w:val="es-ES_tradnl"/>
        </w:rPr>
        <w:t>s</w:t>
      </w:r>
      <w:r w:rsidRPr="00E23980">
        <w:rPr>
          <w:rFonts w:ascii="Arial" w:eastAsia="Calibri" w:hAnsi="Arial" w:cs="Arial"/>
          <w:color w:val="000000" w:themeColor="text1"/>
          <w:sz w:val="22"/>
          <w:lang w:val="es-ES_tradnl"/>
        </w:rPr>
        <w:t xml:space="preserve"> del </w:t>
      </w:r>
      <w:r w:rsidR="00023FA5">
        <w:rPr>
          <w:rFonts w:ascii="Arial" w:eastAsia="Calibri" w:hAnsi="Arial" w:cs="Arial"/>
          <w:color w:val="000000" w:themeColor="text1"/>
          <w:sz w:val="22"/>
          <w:lang w:val="es-ES_tradnl"/>
        </w:rPr>
        <w:t>22</w:t>
      </w:r>
      <w:r w:rsidR="00FD4AF3" w:rsidRPr="00E23980">
        <w:rPr>
          <w:rFonts w:ascii="Arial" w:eastAsia="Calibri" w:hAnsi="Arial" w:cs="Arial"/>
          <w:color w:val="000000" w:themeColor="text1"/>
          <w:sz w:val="22"/>
          <w:lang w:val="es-ES_tradnl"/>
        </w:rPr>
        <w:t xml:space="preserve"> de </w:t>
      </w:r>
      <w:r w:rsidR="006D69FA">
        <w:rPr>
          <w:rFonts w:ascii="Arial" w:eastAsia="Calibri" w:hAnsi="Arial" w:cs="Arial"/>
          <w:color w:val="000000" w:themeColor="text1"/>
          <w:sz w:val="22"/>
          <w:lang w:val="es-ES_tradnl"/>
        </w:rPr>
        <w:t>febrero</w:t>
      </w:r>
      <w:r w:rsidRPr="00E23980">
        <w:rPr>
          <w:rFonts w:ascii="Arial" w:eastAsia="Calibri" w:hAnsi="Arial" w:cs="Arial"/>
          <w:color w:val="000000" w:themeColor="text1"/>
          <w:sz w:val="22"/>
          <w:lang w:val="es-ES_tradnl"/>
        </w:rPr>
        <w:t xml:space="preserve"> del</w:t>
      </w:r>
      <w:r w:rsidR="007E74BF" w:rsidRPr="00E23980">
        <w:rPr>
          <w:rFonts w:ascii="Arial" w:eastAsia="Calibri" w:hAnsi="Arial" w:cs="Arial"/>
          <w:color w:val="000000" w:themeColor="text1"/>
          <w:sz w:val="22"/>
          <w:lang w:val="es-ES_tradnl"/>
        </w:rPr>
        <w:t xml:space="preserve"> </w:t>
      </w:r>
      <w:r w:rsidR="006D69FA">
        <w:rPr>
          <w:rFonts w:ascii="Arial" w:eastAsia="Calibri" w:hAnsi="Arial" w:cs="Arial"/>
          <w:color w:val="000000" w:themeColor="text1"/>
          <w:sz w:val="22"/>
          <w:lang w:val="es-ES_tradnl"/>
        </w:rPr>
        <w:t xml:space="preserve">2021. </w:t>
      </w:r>
    </w:p>
    <w:p w14:paraId="0C1E0712" w14:textId="77777777" w:rsidR="00DD5B04" w:rsidRPr="00E23980" w:rsidRDefault="00DD5B04" w:rsidP="00DF76A2">
      <w:pPr>
        <w:spacing w:line="276" w:lineRule="auto"/>
        <w:jc w:val="both"/>
        <w:rPr>
          <w:rFonts w:ascii="Arial" w:eastAsia="Calibri" w:hAnsi="Arial" w:cs="Arial"/>
          <w:b/>
          <w:color w:val="000000" w:themeColor="text1"/>
          <w:sz w:val="22"/>
          <w:lang w:val="es-ES_tradnl"/>
        </w:rPr>
      </w:pPr>
    </w:p>
    <w:p w14:paraId="7701FCC7" w14:textId="66FCB317" w:rsidR="00DD5B04" w:rsidRPr="00E2398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Problema</w:t>
      </w:r>
      <w:r w:rsidR="00284FE5">
        <w:rPr>
          <w:rFonts w:ascii="Arial" w:eastAsia="Calibri" w:hAnsi="Arial" w:cs="Arial"/>
          <w:b/>
          <w:color w:val="000000" w:themeColor="text1"/>
          <w:sz w:val="22"/>
          <w:lang w:val="es-ES_tradnl"/>
        </w:rPr>
        <w:t>s</w:t>
      </w:r>
      <w:r w:rsidRPr="00E23980">
        <w:rPr>
          <w:rFonts w:ascii="Arial" w:eastAsia="Calibri" w:hAnsi="Arial" w:cs="Arial"/>
          <w:b/>
          <w:color w:val="000000" w:themeColor="text1"/>
          <w:sz w:val="22"/>
          <w:lang w:val="es-ES_tradnl"/>
        </w:rPr>
        <w:t xml:space="preserve"> planteado</w:t>
      </w:r>
      <w:r w:rsidR="00284FE5">
        <w:rPr>
          <w:rFonts w:ascii="Arial" w:eastAsia="Calibri" w:hAnsi="Arial" w:cs="Arial"/>
          <w:b/>
          <w:color w:val="000000" w:themeColor="text1"/>
          <w:sz w:val="22"/>
          <w:lang w:val="es-ES_tradnl"/>
        </w:rPr>
        <w:t>s</w:t>
      </w:r>
      <w:r w:rsidRPr="00E23980">
        <w:rPr>
          <w:rFonts w:ascii="Arial" w:eastAsia="Calibri" w:hAnsi="Arial" w:cs="Arial"/>
          <w:b/>
          <w:color w:val="000000" w:themeColor="text1"/>
          <w:sz w:val="22"/>
          <w:lang w:val="es-ES_tradnl"/>
        </w:rPr>
        <w:t xml:space="preserve"> </w:t>
      </w:r>
    </w:p>
    <w:p w14:paraId="224B43D3" w14:textId="77777777" w:rsidR="00DD5B04" w:rsidRPr="00E2398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0682761" w14:textId="48D9E699" w:rsidR="00112609" w:rsidRPr="00112609" w:rsidRDefault="005B3DF9" w:rsidP="00CB776B">
      <w:pPr>
        <w:spacing w:line="276" w:lineRule="auto"/>
        <w:jc w:val="both"/>
        <w:rPr>
          <w:rFonts w:ascii="Arial" w:hAnsi="Arial" w:cs="Arial"/>
          <w:color w:val="000000" w:themeColor="text1"/>
          <w:sz w:val="22"/>
          <w:szCs w:val="22"/>
        </w:rPr>
      </w:pPr>
      <w:bookmarkStart w:id="4" w:name="_Hlk68084831"/>
      <w:r>
        <w:rPr>
          <w:rFonts w:ascii="Arial" w:eastAsia="Calibri" w:hAnsi="Arial" w:cs="Arial"/>
          <w:color w:val="000000" w:themeColor="text1"/>
          <w:sz w:val="22"/>
          <w:lang w:val="es-ES_tradnl"/>
        </w:rPr>
        <w:t>Respecto al siniestro</w:t>
      </w:r>
      <w:r w:rsidRPr="005B3DF9">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d</w:t>
      </w:r>
      <w:r w:rsidRPr="005B3DF9">
        <w:rPr>
          <w:rFonts w:ascii="Arial" w:eastAsia="Calibri" w:hAnsi="Arial" w:cs="Arial"/>
          <w:color w:val="000000" w:themeColor="text1"/>
          <w:sz w:val="22"/>
          <w:lang w:val="es-ES_tradnl"/>
        </w:rPr>
        <w:t>el amparo de seriedad de la oferta</w:t>
      </w:r>
      <w:r>
        <w:rPr>
          <w:rFonts w:ascii="Arial" w:eastAsia="Calibri" w:hAnsi="Arial" w:cs="Arial"/>
          <w:color w:val="000000" w:themeColor="text1"/>
          <w:sz w:val="22"/>
          <w:lang w:val="es-ES_tradnl"/>
        </w:rPr>
        <w:t>, de buen manejo y correcta inversión del anticipo, así como el de estabilidad y calidad de la obra,</w:t>
      </w:r>
      <w:r w:rsidDel="00284FE5">
        <w:rPr>
          <w:rFonts w:ascii="Arial" w:hAnsi="Arial" w:cs="Arial"/>
          <w:color w:val="000000" w:themeColor="text1"/>
          <w:sz w:val="22"/>
          <w:lang w:val="es-ES_tradnl"/>
        </w:rPr>
        <w:t xml:space="preserve"> </w:t>
      </w:r>
      <w:r>
        <w:rPr>
          <w:rFonts w:ascii="Arial" w:hAnsi="Arial" w:cs="Arial"/>
          <w:color w:val="000000" w:themeColor="text1"/>
          <w:sz w:val="22"/>
          <w:lang w:val="es-ES_tradnl"/>
        </w:rPr>
        <w:t>u</w:t>
      </w:r>
      <w:r w:rsidR="00284FE5">
        <w:rPr>
          <w:rFonts w:ascii="Arial" w:hAnsi="Arial" w:cs="Arial"/>
          <w:color w:val="000000" w:themeColor="text1"/>
          <w:sz w:val="22"/>
          <w:lang w:val="es-ES_tradnl"/>
        </w:rPr>
        <w:t>sted realiza las siguientes preguntas</w:t>
      </w:r>
      <w:r w:rsidR="00C8705B">
        <w:rPr>
          <w:rFonts w:ascii="Arial" w:eastAsia="Calibri" w:hAnsi="Arial" w:cs="Arial"/>
          <w:color w:val="000000" w:themeColor="text1"/>
          <w:sz w:val="22"/>
          <w:lang w:val="es-ES_tradnl"/>
        </w:rPr>
        <w:t>:</w:t>
      </w:r>
      <w:r w:rsidR="00284FE5">
        <w:rPr>
          <w:rFonts w:ascii="Arial" w:eastAsia="Calibri" w:hAnsi="Arial" w:cs="Arial"/>
          <w:color w:val="000000" w:themeColor="text1"/>
          <w:sz w:val="22"/>
          <w:lang w:val="es-ES_tradnl"/>
        </w:rPr>
        <w:t xml:space="preserve"> i) </w:t>
      </w:r>
      <w:r>
        <w:rPr>
          <w:rFonts w:ascii="Arial" w:eastAsia="Calibri" w:hAnsi="Arial" w:cs="Arial"/>
          <w:color w:val="000000" w:themeColor="text1"/>
          <w:sz w:val="22"/>
          <w:lang w:val="es-ES_tradnl"/>
        </w:rPr>
        <w:t>«</w:t>
      </w:r>
      <w:r w:rsidRPr="005B3DF9">
        <w:rPr>
          <w:rFonts w:ascii="Arial" w:eastAsia="Calibri" w:hAnsi="Arial" w:cs="Arial"/>
          <w:color w:val="000000" w:themeColor="text1"/>
          <w:sz w:val="22"/>
          <w:lang w:val="es-ES_tradnl"/>
        </w:rPr>
        <w:t>¿Qué procedimiento debe adelantar las entidades estatales, el procedimiento administrativo sancionatorio previsto en la Ley 1437 de 2011, el procedimiento del artículo 86 de la Ley 1474 de 2011 o el procedimiento administrativo general de la Ley 1437 de 2011?</w:t>
      </w:r>
      <w:r>
        <w:rPr>
          <w:rFonts w:ascii="Arial" w:eastAsia="Calibri" w:hAnsi="Arial" w:cs="Arial"/>
          <w:color w:val="000000" w:themeColor="text1"/>
          <w:sz w:val="22"/>
          <w:lang w:val="es-ES_tradnl"/>
        </w:rPr>
        <w:t xml:space="preserve">» y </w:t>
      </w:r>
      <w:proofErr w:type="spellStart"/>
      <w:r>
        <w:rPr>
          <w:rFonts w:ascii="Arial" w:eastAsia="Calibri" w:hAnsi="Arial" w:cs="Arial"/>
          <w:color w:val="000000" w:themeColor="text1"/>
          <w:sz w:val="22"/>
          <w:lang w:val="es-ES_tradnl"/>
        </w:rPr>
        <w:t>ii</w:t>
      </w:r>
      <w:proofErr w:type="spellEnd"/>
      <w:r>
        <w:rPr>
          <w:rFonts w:ascii="Arial" w:eastAsia="Calibri" w:hAnsi="Arial" w:cs="Arial"/>
          <w:color w:val="000000" w:themeColor="text1"/>
          <w:sz w:val="22"/>
          <w:lang w:val="es-ES_tradnl"/>
        </w:rPr>
        <w:t>) «</w:t>
      </w:r>
      <w:r w:rsidRPr="005B3DF9">
        <w:rPr>
          <w:rFonts w:ascii="Arial" w:eastAsia="Calibri" w:hAnsi="Arial" w:cs="Arial"/>
          <w:color w:val="000000" w:themeColor="text1"/>
          <w:sz w:val="22"/>
          <w:lang w:val="es-ES_tradnl"/>
        </w:rPr>
        <w:t>¿</w:t>
      </w:r>
      <w:r>
        <w:rPr>
          <w:rFonts w:ascii="Arial" w:eastAsia="Calibri" w:hAnsi="Arial" w:cs="Arial"/>
          <w:color w:val="000000" w:themeColor="text1"/>
          <w:sz w:val="22"/>
          <w:lang w:val="es-ES_tradnl"/>
        </w:rPr>
        <w:t xml:space="preserve">[pueden] </w:t>
      </w:r>
      <w:r w:rsidRPr="005B3DF9">
        <w:rPr>
          <w:rFonts w:ascii="Arial" w:eastAsia="Calibri" w:hAnsi="Arial" w:cs="Arial"/>
          <w:color w:val="000000" w:themeColor="text1"/>
          <w:sz w:val="22"/>
          <w:lang w:val="es-ES_tradnl"/>
        </w:rPr>
        <w:t>cuantificar los perjuicios del mismo?»</w:t>
      </w:r>
      <w:r>
        <w:rPr>
          <w:rFonts w:ascii="Arial" w:eastAsia="Calibri" w:hAnsi="Arial" w:cs="Arial"/>
          <w:color w:val="000000" w:themeColor="text1"/>
          <w:sz w:val="22"/>
          <w:lang w:val="es-ES_tradnl"/>
        </w:rPr>
        <w:t xml:space="preserve"> (corchetes fuera de texto). </w:t>
      </w:r>
    </w:p>
    <w:bookmarkEnd w:id="4"/>
    <w:p w14:paraId="2A79DF8F" w14:textId="77777777" w:rsidR="00864CD5" w:rsidRPr="00864CD5" w:rsidRDefault="00864CD5" w:rsidP="00864CD5">
      <w:pPr>
        <w:ind w:left="709" w:right="709"/>
        <w:jc w:val="both"/>
        <w:rPr>
          <w:rFonts w:ascii="Arial" w:hAnsi="Arial" w:cs="Arial"/>
          <w:color w:val="000000" w:themeColor="text1"/>
          <w:sz w:val="21"/>
          <w:szCs w:val="21"/>
          <w:lang w:val="es-ES_tradnl"/>
        </w:rPr>
      </w:pPr>
    </w:p>
    <w:p w14:paraId="124D2DCA" w14:textId="77777777" w:rsidR="00DD5B04" w:rsidRPr="00E2398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Consideraciones</w:t>
      </w:r>
    </w:p>
    <w:p w14:paraId="7FB25649" w14:textId="77777777" w:rsidR="00E07AAA" w:rsidRDefault="00E07AAA" w:rsidP="00D40F8B">
      <w:pPr>
        <w:spacing w:line="276" w:lineRule="auto"/>
        <w:jc w:val="both"/>
        <w:rPr>
          <w:rFonts w:ascii="Arial" w:hAnsi="Arial" w:cs="Arial"/>
          <w:color w:val="000000" w:themeColor="text1"/>
          <w:sz w:val="22"/>
          <w:lang w:val="es-ES_tradnl"/>
        </w:rPr>
      </w:pPr>
    </w:p>
    <w:p w14:paraId="18FD648A" w14:textId="4FFA689C" w:rsidR="003E2913" w:rsidRPr="003E2913" w:rsidRDefault="00112609" w:rsidP="00CB776B">
      <w:pPr>
        <w:spacing w:after="120" w:line="276" w:lineRule="auto"/>
        <w:jc w:val="both"/>
        <w:rPr>
          <w:rFonts w:ascii="Arial" w:hAnsi="Arial" w:cs="Arial"/>
          <w:bCs/>
          <w:sz w:val="22"/>
          <w:lang w:val="es-ES_tradnl"/>
        </w:rPr>
      </w:pPr>
      <w:r w:rsidRPr="00D438C4">
        <w:rPr>
          <w:rFonts w:ascii="Arial" w:hAnsi="Arial" w:cs="Arial"/>
          <w:bCs/>
          <w:sz w:val="22"/>
          <w:lang w:val="es-ES_tradnl"/>
        </w:rPr>
        <w:t xml:space="preserve">Para resolver la pregunta que usted plantea se harán algunas consideraciones sobre: i) </w:t>
      </w:r>
      <w:r w:rsidR="00D4767B">
        <w:rPr>
          <w:rFonts w:ascii="Arial" w:hAnsi="Arial" w:cs="Arial"/>
          <w:bCs/>
          <w:sz w:val="22"/>
          <w:lang w:val="es-ES_tradnl"/>
        </w:rPr>
        <w:t xml:space="preserve">las </w:t>
      </w:r>
      <w:r w:rsidR="00176470">
        <w:rPr>
          <w:rFonts w:ascii="Arial" w:hAnsi="Arial" w:cs="Arial"/>
          <w:bCs/>
          <w:sz w:val="22"/>
          <w:lang w:val="es-ES_tradnl"/>
        </w:rPr>
        <w:t xml:space="preserve">garantías en la </w:t>
      </w:r>
      <w:r w:rsidR="00C577CA">
        <w:rPr>
          <w:rFonts w:ascii="Arial" w:hAnsi="Arial" w:cs="Arial"/>
          <w:bCs/>
          <w:sz w:val="22"/>
          <w:lang w:val="es-ES_tradnl"/>
        </w:rPr>
        <w:t>c</w:t>
      </w:r>
      <w:r w:rsidR="00176470">
        <w:rPr>
          <w:rFonts w:ascii="Arial" w:hAnsi="Arial" w:cs="Arial"/>
          <w:bCs/>
          <w:sz w:val="22"/>
          <w:lang w:val="es-ES_tradnl"/>
        </w:rPr>
        <w:t>ontratación e</w:t>
      </w:r>
      <w:r w:rsidR="00EE0B63">
        <w:rPr>
          <w:rFonts w:ascii="Arial" w:hAnsi="Arial" w:cs="Arial"/>
          <w:bCs/>
          <w:sz w:val="22"/>
          <w:lang w:val="es-ES_tradnl"/>
        </w:rPr>
        <w:t>st</w:t>
      </w:r>
      <w:r w:rsidR="00D4767B">
        <w:rPr>
          <w:rFonts w:ascii="Arial" w:hAnsi="Arial" w:cs="Arial"/>
          <w:bCs/>
          <w:sz w:val="22"/>
          <w:lang w:val="es-ES_tradnl"/>
        </w:rPr>
        <w:t xml:space="preserve">atal, en particular la garantía de seriedad de la oferta y los amparos de </w:t>
      </w:r>
      <w:r w:rsidR="00EE0B63" w:rsidRPr="00EE0B63">
        <w:rPr>
          <w:rFonts w:ascii="Arial" w:hAnsi="Arial" w:cs="Arial"/>
          <w:bCs/>
          <w:sz w:val="22"/>
          <w:lang w:val="es-ES_tradnl"/>
        </w:rPr>
        <w:t xml:space="preserve">buen manejo y correcta inversión del anticipo y estabilidad y calidad de la obra </w:t>
      </w:r>
      <w:r w:rsidR="00D4767B">
        <w:rPr>
          <w:rFonts w:ascii="Arial" w:hAnsi="Arial" w:cs="Arial"/>
          <w:bCs/>
          <w:sz w:val="22"/>
          <w:lang w:val="es-ES_tradnl"/>
        </w:rPr>
        <w:t xml:space="preserve">y </w:t>
      </w:r>
      <w:proofErr w:type="spellStart"/>
      <w:r w:rsidR="00D4767B">
        <w:rPr>
          <w:rFonts w:ascii="Arial" w:hAnsi="Arial" w:cs="Arial"/>
          <w:bCs/>
          <w:sz w:val="22"/>
          <w:lang w:val="es-ES_tradnl"/>
        </w:rPr>
        <w:t>ii</w:t>
      </w:r>
      <w:proofErr w:type="spellEnd"/>
      <w:r w:rsidR="00D4767B">
        <w:rPr>
          <w:rFonts w:ascii="Arial" w:hAnsi="Arial" w:cs="Arial"/>
          <w:bCs/>
          <w:sz w:val="22"/>
          <w:lang w:val="es-ES_tradnl"/>
        </w:rPr>
        <w:t xml:space="preserve">) el procedimiento para la </w:t>
      </w:r>
      <w:r w:rsidR="00D4767B" w:rsidRPr="00D4767B">
        <w:rPr>
          <w:rFonts w:ascii="Arial" w:eastAsia="Calibri" w:hAnsi="Arial" w:cs="Arial"/>
          <w:bCs/>
          <w:color w:val="000000" w:themeColor="text1"/>
          <w:sz w:val="22"/>
        </w:rPr>
        <w:t xml:space="preserve">declaración del siniestro </w:t>
      </w:r>
      <w:r w:rsidR="00D4767B">
        <w:rPr>
          <w:rFonts w:ascii="Arial" w:eastAsia="Calibri" w:hAnsi="Arial" w:cs="Arial"/>
          <w:bCs/>
          <w:color w:val="000000" w:themeColor="text1"/>
          <w:sz w:val="22"/>
        </w:rPr>
        <w:t xml:space="preserve">de dichas garantías. </w:t>
      </w:r>
    </w:p>
    <w:p w14:paraId="66E96B5E" w14:textId="548C1970" w:rsidR="00E07AAA" w:rsidRPr="00033295" w:rsidRDefault="003E2913" w:rsidP="00033295">
      <w:pPr>
        <w:spacing w:line="276" w:lineRule="auto"/>
        <w:ind w:firstLine="708"/>
        <w:jc w:val="both"/>
        <w:rPr>
          <w:rFonts w:ascii="Arial" w:eastAsia="Calibri" w:hAnsi="Arial" w:cs="Arial"/>
          <w:color w:val="000000" w:themeColor="text1"/>
          <w:sz w:val="22"/>
        </w:rPr>
      </w:pPr>
      <w:r>
        <w:rPr>
          <w:rFonts w:ascii="Arial" w:hAnsi="Arial" w:cs="Arial"/>
          <w:color w:val="000000" w:themeColor="text1"/>
          <w:sz w:val="22"/>
        </w:rPr>
        <w:t xml:space="preserve">La Agencia Nacional de Contratación Pública – Colombia Compra Eficiente, </w:t>
      </w:r>
      <w:r>
        <w:rPr>
          <w:rFonts w:ascii="Arial" w:eastAsia="Calibri" w:hAnsi="Arial" w:cs="Arial"/>
          <w:color w:val="000000" w:themeColor="text1"/>
          <w:sz w:val="22"/>
        </w:rPr>
        <w:t xml:space="preserve">en el Concepto </w:t>
      </w:r>
      <w:r w:rsidRPr="00A906FE">
        <w:rPr>
          <w:rFonts w:ascii="Arial" w:eastAsia="Calibri" w:hAnsi="Arial" w:cs="Arial"/>
          <w:color w:val="000000" w:themeColor="text1"/>
          <w:sz w:val="22"/>
        </w:rPr>
        <w:t>4201913000006471</w:t>
      </w:r>
      <w:r>
        <w:rPr>
          <w:rFonts w:ascii="Arial" w:eastAsia="Calibri" w:hAnsi="Arial" w:cs="Arial"/>
          <w:color w:val="000000" w:themeColor="text1"/>
          <w:sz w:val="22"/>
        </w:rPr>
        <w:t xml:space="preserve"> del 28 de octubre de 2019, </w:t>
      </w:r>
      <w:r w:rsidRPr="00A906FE">
        <w:rPr>
          <w:rFonts w:ascii="Arial" w:eastAsia="Calibri" w:hAnsi="Arial" w:cs="Arial"/>
          <w:color w:val="000000" w:themeColor="text1"/>
          <w:sz w:val="22"/>
        </w:rPr>
        <w:t>4201912000006453</w:t>
      </w:r>
      <w:r>
        <w:rPr>
          <w:rFonts w:ascii="Arial" w:eastAsia="Calibri" w:hAnsi="Arial" w:cs="Arial"/>
          <w:color w:val="000000" w:themeColor="text1"/>
          <w:sz w:val="22"/>
        </w:rPr>
        <w:t xml:space="preserve"> del 14 de noviembre de 2019 y C-577 del 16 de septiembre de 2020, explicó la seriedad de los ofrecimientos realizados en los procedimientos de selección y el procedimiento aplicable para el siniestro de </w:t>
      </w:r>
      <w:proofErr w:type="gramStart"/>
      <w:r>
        <w:rPr>
          <w:rFonts w:ascii="Arial" w:eastAsia="Calibri" w:hAnsi="Arial" w:cs="Arial"/>
          <w:color w:val="000000" w:themeColor="text1"/>
          <w:sz w:val="22"/>
        </w:rPr>
        <w:t>la misma</w:t>
      </w:r>
      <w:proofErr w:type="gramEnd"/>
      <w:r>
        <w:rPr>
          <w:rFonts w:ascii="Arial" w:eastAsia="Calibri" w:hAnsi="Arial" w:cs="Arial"/>
          <w:color w:val="000000" w:themeColor="text1"/>
          <w:sz w:val="22"/>
        </w:rPr>
        <w:t>. Así mismo, en el Concepto C-001</w:t>
      </w:r>
      <w:r w:rsidR="00C059D4">
        <w:rPr>
          <w:rFonts w:ascii="Arial" w:eastAsia="Calibri" w:hAnsi="Arial" w:cs="Arial"/>
          <w:color w:val="000000" w:themeColor="text1"/>
          <w:sz w:val="22"/>
        </w:rPr>
        <w:t xml:space="preserve"> del 23 de abril de 2020 explicó</w:t>
      </w:r>
      <w:r w:rsidR="00033295">
        <w:rPr>
          <w:rFonts w:ascii="Arial" w:eastAsia="Calibri" w:hAnsi="Arial" w:cs="Arial"/>
          <w:color w:val="000000" w:themeColor="text1"/>
          <w:sz w:val="22"/>
        </w:rPr>
        <w:t xml:space="preserve"> el procedimiento aplicable para el siniestro del am</w:t>
      </w:r>
      <w:r w:rsidR="00C059D4">
        <w:rPr>
          <w:rFonts w:ascii="Arial" w:eastAsia="Calibri" w:hAnsi="Arial" w:cs="Arial"/>
          <w:color w:val="000000" w:themeColor="text1"/>
          <w:sz w:val="22"/>
        </w:rPr>
        <w:t xml:space="preserve">paro de estabilidad de la obra y en Concepto con radicado </w:t>
      </w:r>
      <w:r w:rsidR="00C059D4" w:rsidRPr="00C059D4">
        <w:rPr>
          <w:rFonts w:ascii="Arial" w:eastAsia="Calibri" w:hAnsi="Arial" w:cs="Arial"/>
          <w:color w:val="000000" w:themeColor="text1"/>
          <w:sz w:val="22"/>
        </w:rPr>
        <w:t>4201913000005732</w:t>
      </w:r>
      <w:r w:rsidR="00C059D4">
        <w:rPr>
          <w:rFonts w:ascii="Arial" w:eastAsia="Calibri" w:hAnsi="Arial" w:cs="Arial"/>
          <w:color w:val="000000" w:themeColor="text1"/>
          <w:sz w:val="22"/>
        </w:rPr>
        <w:t xml:space="preserve"> del 27 de septiembre de 2019 se trató el procedimiento en materia de amparo de buen manejo y correcta inversión del anticipo. </w:t>
      </w:r>
      <w:r>
        <w:rPr>
          <w:rFonts w:ascii="Arial" w:eastAsia="Calibri" w:hAnsi="Arial" w:cs="Arial"/>
          <w:color w:val="000000" w:themeColor="text1"/>
          <w:sz w:val="22"/>
        </w:rPr>
        <w:t>La</w:t>
      </w:r>
      <w:r w:rsidR="00C059D4">
        <w:rPr>
          <w:rFonts w:ascii="Arial" w:eastAsia="Calibri" w:hAnsi="Arial" w:cs="Arial"/>
          <w:color w:val="000000" w:themeColor="text1"/>
          <w:sz w:val="22"/>
        </w:rPr>
        <w:t>s</w:t>
      </w:r>
      <w:r>
        <w:rPr>
          <w:rFonts w:ascii="Arial" w:eastAsia="Calibri" w:hAnsi="Arial" w:cs="Arial"/>
          <w:color w:val="000000" w:themeColor="text1"/>
          <w:sz w:val="22"/>
        </w:rPr>
        <w:t xml:space="preserve"> tesis desarrollada</w:t>
      </w:r>
      <w:r w:rsidR="00C059D4">
        <w:rPr>
          <w:rFonts w:ascii="Arial" w:eastAsia="Calibri" w:hAnsi="Arial" w:cs="Arial"/>
          <w:color w:val="000000" w:themeColor="text1"/>
          <w:sz w:val="22"/>
        </w:rPr>
        <w:t>s</w:t>
      </w:r>
      <w:r>
        <w:rPr>
          <w:rFonts w:ascii="Arial" w:eastAsia="Calibri" w:hAnsi="Arial" w:cs="Arial"/>
          <w:color w:val="000000" w:themeColor="text1"/>
          <w:sz w:val="22"/>
        </w:rPr>
        <w:t xml:space="preserve"> en estos conceptos se reitera</w:t>
      </w:r>
      <w:r w:rsidR="00C059D4">
        <w:rPr>
          <w:rFonts w:ascii="Arial" w:eastAsia="Calibri" w:hAnsi="Arial" w:cs="Arial"/>
          <w:color w:val="000000" w:themeColor="text1"/>
          <w:sz w:val="22"/>
        </w:rPr>
        <w:t>n</w:t>
      </w:r>
      <w:r>
        <w:rPr>
          <w:rFonts w:ascii="Arial" w:eastAsia="Calibri" w:hAnsi="Arial" w:cs="Arial"/>
          <w:color w:val="000000" w:themeColor="text1"/>
          <w:sz w:val="22"/>
        </w:rPr>
        <w:t xml:space="preserve"> a continuación</w:t>
      </w:r>
      <w:r w:rsidR="00033295">
        <w:rPr>
          <w:rFonts w:ascii="Arial" w:eastAsia="Calibri" w:hAnsi="Arial" w:cs="Arial"/>
          <w:color w:val="000000" w:themeColor="text1"/>
          <w:sz w:val="22"/>
        </w:rPr>
        <w:t xml:space="preserve"> y se complementa en lo pertinente.</w:t>
      </w:r>
    </w:p>
    <w:p w14:paraId="2427DFC4" w14:textId="338F37A8" w:rsidR="004427AC" w:rsidRPr="00E23980" w:rsidRDefault="004427AC" w:rsidP="00510DE9">
      <w:pPr>
        <w:tabs>
          <w:tab w:val="left" w:pos="0"/>
        </w:tabs>
        <w:jc w:val="both"/>
        <w:rPr>
          <w:rFonts w:ascii="Arial" w:eastAsia="Calibri" w:hAnsi="Arial" w:cs="Arial"/>
          <w:b/>
          <w:color w:val="000000" w:themeColor="text1"/>
          <w:sz w:val="22"/>
          <w:lang w:val="es-ES_tradnl"/>
        </w:rPr>
      </w:pPr>
    </w:p>
    <w:p w14:paraId="08729B2D" w14:textId="29D96F39" w:rsidR="00033295" w:rsidRPr="00CB776B" w:rsidRDefault="00505DCB" w:rsidP="00033295">
      <w:pPr>
        <w:tabs>
          <w:tab w:val="left" w:pos="0"/>
        </w:tabs>
        <w:jc w:val="both"/>
        <w:rPr>
          <w:rFonts w:ascii="Arial" w:eastAsia="Calibri" w:hAnsi="Arial" w:cs="Arial"/>
          <w:b/>
          <w:bCs/>
          <w:color w:val="000000"/>
          <w:sz w:val="22"/>
          <w:lang w:eastAsia="en-GB"/>
        </w:rPr>
      </w:pPr>
      <w:r w:rsidRPr="00CB776B">
        <w:rPr>
          <w:rFonts w:ascii="Arial" w:eastAsia="Calibri" w:hAnsi="Arial" w:cs="Arial"/>
          <w:b/>
          <w:bCs/>
          <w:color w:val="000000"/>
          <w:sz w:val="22"/>
          <w:lang w:eastAsia="en-GB"/>
        </w:rPr>
        <w:t>2.1.</w:t>
      </w:r>
      <w:r w:rsidR="00C577CA" w:rsidRPr="00C577CA">
        <w:rPr>
          <w:rFonts w:ascii="Arial" w:hAnsi="Arial" w:cs="Arial"/>
          <w:b/>
          <w:bCs/>
          <w:sz w:val="22"/>
          <w:lang w:val="es-ES_tradnl"/>
        </w:rPr>
        <w:t xml:space="preserve"> Garantías </w:t>
      </w:r>
      <w:r w:rsidR="00DD6657">
        <w:rPr>
          <w:rFonts w:ascii="Arial" w:hAnsi="Arial" w:cs="Arial"/>
          <w:b/>
          <w:bCs/>
          <w:sz w:val="22"/>
          <w:lang w:val="es-ES_tradnl"/>
        </w:rPr>
        <w:t>en la contratación estatal: seriedad de la oferta, buen manejo y correcta inversión del anticipo y estabilidad y calidad de la obra</w:t>
      </w:r>
    </w:p>
    <w:p w14:paraId="45250A35" w14:textId="77777777" w:rsidR="00C577CA" w:rsidRPr="00CB776B" w:rsidRDefault="00C577CA" w:rsidP="00033295">
      <w:pPr>
        <w:tabs>
          <w:tab w:val="left" w:pos="0"/>
        </w:tabs>
        <w:jc w:val="both"/>
        <w:rPr>
          <w:rFonts w:ascii="Arial" w:eastAsia="Calibri" w:hAnsi="Arial" w:cs="Arial"/>
          <w:b/>
          <w:bCs/>
          <w:color w:val="000000"/>
          <w:sz w:val="22"/>
          <w:lang w:eastAsia="en-GB"/>
        </w:rPr>
      </w:pPr>
    </w:p>
    <w:p w14:paraId="4D13C58E" w14:textId="1DB8C5B1" w:rsidR="00C577CA" w:rsidRDefault="00B131C4" w:rsidP="00484074">
      <w:pPr>
        <w:spacing w:before="120" w:line="276" w:lineRule="auto"/>
        <w:jc w:val="both"/>
        <w:rPr>
          <w:rFonts w:ascii="Arial" w:eastAsia="Calibri" w:hAnsi="Arial" w:cs="Arial"/>
          <w:color w:val="000000" w:themeColor="text1"/>
          <w:sz w:val="22"/>
          <w:szCs w:val="22"/>
          <w:lang w:val="es-ES_tradnl" w:eastAsia="en-US"/>
        </w:rPr>
      </w:pPr>
      <w:bookmarkStart w:id="5" w:name="_Hlk35876968"/>
      <w:r>
        <w:rPr>
          <w:rFonts w:ascii="Arial" w:eastAsia="Calibri" w:hAnsi="Arial" w:cs="Arial"/>
          <w:color w:val="000000" w:themeColor="text1"/>
          <w:sz w:val="22"/>
          <w:lang w:val="es-ES_tradnl"/>
        </w:rPr>
        <w:t xml:space="preserve">Por regla general, </w:t>
      </w:r>
      <w:r>
        <w:rPr>
          <w:rFonts w:ascii="Arial" w:eastAsia="Calibri" w:hAnsi="Arial" w:cs="Arial"/>
          <w:color w:val="000000" w:themeColor="text1"/>
          <w:sz w:val="22"/>
          <w:lang w:val="es-ES"/>
        </w:rPr>
        <w:t>para seleccionar</w:t>
      </w:r>
      <w:r w:rsidR="005B3DF9">
        <w:rPr>
          <w:rFonts w:ascii="Arial" w:eastAsia="Calibri" w:hAnsi="Arial" w:cs="Arial"/>
          <w:color w:val="000000" w:themeColor="text1"/>
          <w:sz w:val="22"/>
          <w:lang w:val="es-ES"/>
        </w:rPr>
        <w:t xml:space="preserve"> los</w:t>
      </w:r>
      <w:r>
        <w:rPr>
          <w:rFonts w:ascii="Arial" w:eastAsia="Calibri" w:hAnsi="Arial" w:cs="Arial"/>
          <w:color w:val="000000" w:themeColor="text1"/>
          <w:sz w:val="22"/>
          <w:lang w:val="es-ES"/>
        </w:rPr>
        <w:t xml:space="preserve"> contratistas y para </w:t>
      </w:r>
      <w:r w:rsidR="005B3DF9">
        <w:rPr>
          <w:rFonts w:ascii="Arial" w:eastAsia="Calibri" w:hAnsi="Arial" w:cs="Arial"/>
          <w:color w:val="000000" w:themeColor="text1"/>
          <w:sz w:val="22"/>
          <w:lang w:val="es-ES"/>
        </w:rPr>
        <w:t xml:space="preserve">ejecutar los </w:t>
      </w:r>
      <w:r>
        <w:rPr>
          <w:rFonts w:ascii="Arial" w:eastAsia="Calibri" w:hAnsi="Arial" w:cs="Arial"/>
          <w:color w:val="000000" w:themeColor="text1"/>
          <w:sz w:val="22"/>
          <w:lang w:val="es-ES"/>
        </w:rPr>
        <w:t>contratos se requiere la constitución de garantías</w:t>
      </w:r>
      <w:r w:rsidR="00D17B53">
        <w:rPr>
          <w:rFonts w:ascii="Arial" w:eastAsia="Calibri" w:hAnsi="Arial" w:cs="Arial"/>
          <w:color w:val="000000" w:themeColor="text1"/>
          <w:sz w:val="22"/>
          <w:lang w:val="es-ES_tradnl"/>
        </w:rPr>
        <w:t xml:space="preserve">. Por ello, </w:t>
      </w:r>
      <w:r w:rsidR="00D17B53">
        <w:rPr>
          <w:rFonts w:ascii="Arial" w:eastAsia="Calibri" w:hAnsi="Arial" w:cs="Arial"/>
          <w:color w:val="000000" w:themeColor="text1"/>
          <w:sz w:val="22"/>
          <w:szCs w:val="22"/>
          <w:lang w:val="es-ES_tradnl" w:eastAsia="en-US"/>
        </w:rPr>
        <w:t>e</w:t>
      </w:r>
      <w:r w:rsidR="00C577CA" w:rsidRPr="00C577CA">
        <w:rPr>
          <w:rFonts w:ascii="Arial" w:eastAsia="Calibri" w:hAnsi="Arial" w:cs="Arial"/>
          <w:color w:val="000000" w:themeColor="text1"/>
          <w:sz w:val="22"/>
          <w:szCs w:val="22"/>
          <w:lang w:val="es-ES_tradnl" w:eastAsia="en-US"/>
        </w:rPr>
        <w:t>l artículo 7 de la Ley 1150 de 2007 dispone que los contratistas tien</w:t>
      </w:r>
      <w:r w:rsidR="00625A26">
        <w:rPr>
          <w:rFonts w:ascii="Arial" w:eastAsia="Calibri" w:hAnsi="Arial" w:cs="Arial"/>
          <w:color w:val="000000" w:themeColor="text1"/>
          <w:sz w:val="22"/>
          <w:szCs w:val="22"/>
          <w:lang w:val="es-ES_tradnl" w:eastAsia="en-US"/>
        </w:rPr>
        <w:t>en la obligación de constituir garantías</w:t>
      </w:r>
      <w:r w:rsidR="00C577CA" w:rsidRPr="00C577CA">
        <w:rPr>
          <w:rFonts w:ascii="Arial" w:eastAsia="Calibri" w:hAnsi="Arial" w:cs="Arial"/>
          <w:color w:val="000000" w:themeColor="text1"/>
          <w:sz w:val="22"/>
          <w:szCs w:val="22"/>
          <w:lang w:val="es-ES_tradnl" w:eastAsia="en-US"/>
        </w:rPr>
        <w:t xml:space="preserve"> para el cumplimiento de las obligaciones surgidas del contrato, </w:t>
      </w:r>
      <w:r w:rsidR="00F84A0A">
        <w:rPr>
          <w:rFonts w:ascii="Arial" w:eastAsia="Calibri" w:hAnsi="Arial" w:cs="Arial"/>
          <w:color w:val="000000" w:themeColor="text1"/>
          <w:sz w:val="22"/>
          <w:szCs w:val="22"/>
          <w:lang w:val="es-ES_tradnl" w:eastAsia="en-US"/>
        </w:rPr>
        <w:t xml:space="preserve">y los proponentes por el ofrecimiento realizado, </w:t>
      </w:r>
      <w:r w:rsidR="00C577CA" w:rsidRPr="00C577CA">
        <w:rPr>
          <w:rFonts w:ascii="Arial" w:eastAsia="Calibri" w:hAnsi="Arial" w:cs="Arial"/>
          <w:color w:val="000000" w:themeColor="text1"/>
          <w:sz w:val="22"/>
          <w:szCs w:val="22"/>
          <w:lang w:val="es-ES_tradnl" w:eastAsia="en-US"/>
        </w:rPr>
        <w:t>pudiendo consistir en pólizas expedidas por compañías aseguradoras, garantías bancarias u otros mecanismos permitidos por la ley y el reglamento. Esta norm</w:t>
      </w:r>
      <w:r w:rsidR="00D17B53">
        <w:rPr>
          <w:rFonts w:ascii="Arial" w:eastAsia="Calibri" w:hAnsi="Arial" w:cs="Arial"/>
          <w:color w:val="000000" w:themeColor="text1"/>
          <w:sz w:val="22"/>
          <w:szCs w:val="22"/>
          <w:lang w:val="es-ES_tradnl" w:eastAsia="en-US"/>
        </w:rPr>
        <w:t>a señala</w:t>
      </w:r>
      <w:r w:rsidR="002413B5">
        <w:rPr>
          <w:rFonts w:ascii="Arial" w:eastAsia="Calibri" w:hAnsi="Arial" w:cs="Arial"/>
          <w:color w:val="000000" w:themeColor="text1"/>
          <w:sz w:val="22"/>
          <w:szCs w:val="22"/>
          <w:lang w:val="es-ES_tradnl" w:eastAsia="en-US"/>
        </w:rPr>
        <w:t xml:space="preserve"> lo siguiente:</w:t>
      </w:r>
    </w:p>
    <w:p w14:paraId="562411F6" w14:textId="77777777" w:rsidR="005B3DF9" w:rsidRPr="00C577CA" w:rsidRDefault="005B3DF9" w:rsidP="00CB776B">
      <w:pPr>
        <w:spacing w:line="276" w:lineRule="auto"/>
        <w:jc w:val="both"/>
        <w:rPr>
          <w:rFonts w:ascii="Arial" w:eastAsia="Calibri" w:hAnsi="Arial" w:cs="Arial"/>
          <w:color w:val="000000" w:themeColor="text1"/>
          <w:sz w:val="22"/>
          <w:szCs w:val="22"/>
          <w:lang w:val="es-ES_tradnl" w:eastAsia="en-US"/>
        </w:rPr>
      </w:pPr>
    </w:p>
    <w:p w14:paraId="0A8EBA72" w14:textId="77777777" w:rsidR="00C577CA" w:rsidRPr="00C577CA" w:rsidRDefault="00C577CA" w:rsidP="00CB776B">
      <w:pPr>
        <w:ind w:left="709" w:right="709"/>
        <w:jc w:val="both"/>
        <w:rPr>
          <w:rFonts w:ascii="Arial" w:eastAsia="Calibri" w:hAnsi="Arial" w:cs="Arial"/>
          <w:color w:val="000000" w:themeColor="text1"/>
          <w:sz w:val="21"/>
          <w:szCs w:val="21"/>
          <w:lang w:val="es-ES_tradnl" w:eastAsia="en-US"/>
        </w:rPr>
      </w:pPr>
      <w:r w:rsidRPr="00C577CA">
        <w:rPr>
          <w:rFonts w:ascii="Arial" w:eastAsia="Calibri" w:hAnsi="Arial" w:cs="Arial"/>
          <w:color w:val="000000" w:themeColor="text1"/>
          <w:sz w:val="21"/>
          <w:szCs w:val="21"/>
          <w:lang w:val="es-ES_tradnl" w:eastAsia="en-US"/>
        </w:rPr>
        <w:t xml:space="preserve">Los contratistas prestarán garantía única para el cumplimiento de las obligaciones surgidas del contrato. Los proponentes prestarán garantía de seriedad de los ofrecimientos hechos. </w:t>
      </w:r>
    </w:p>
    <w:p w14:paraId="2093636F" w14:textId="77777777" w:rsidR="00C577CA" w:rsidRPr="00C577CA" w:rsidRDefault="00C577CA" w:rsidP="00C577CA">
      <w:pPr>
        <w:spacing w:before="120"/>
        <w:ind w:left="709" w:right="709"/>
        <w:jc w:val="both"/>
        <w:rPr>
          <w:rFonts w:ascii="Arial" w:eastAsia="Calibri" w:hAnsi="Arial" w:cs="Arial"/>
          <w:color w:val="000000" w:themeColor="text1"/>
          <w:sz w:val="21"/>
          <w:szCs w:val="21"/>
          <w:lang w:val="es-ES_tradnl" w:eastAsia="en-US"/>
        </w:rPr>
      </w:pPr>
      <w:r w:rsidRPr="00C577CA">
        <w:rPr>
          <w:rFonts w:ascii="Arial" w:eastAsia="Calibri" w:hAnsi="Arial" w:cs="Arial"/>
          <w:color w:val="000000" w:themeColor="text1"/>
          <w:sz w:val="21"/>
          <w:szCs w:val="21"/>
          <w:lang w:val="es-ES_tradnl" w:eastAsia="en-US"/>
        </w:rPr>
        <w:lastRenderedPageBreak/>
        <w:t xml:space="preserve">Las garantías consistirán en pólizas expedidas por compañías de seguros legalmente autorizadas para funcionar en Colombia, en garantías bancarias y en general, en los demás mecanismos de cobertura del riesgo autorizados por el reglamento para el efecto. Tratándose de pólizas, las mismas no expirarán por falta de pago de la prima o por revocatoria unilateral. El Gobierno Nacional señalará las condiciones generales que deberán ser incluidas en las pólizas de cumplimiento de los contratos estatales. </w:t>
      </w:r>
    </w:p>
    <w:p w14:paraId="515A5FC2" w14:textId="77777777" w:rsidR="00C577CA" w:rsidRPr="00C577CA" w:rsidRDefault="00C577CA" w:rsidP="00C577CA">
      <w:pPr>
        <w:spacing w:before="120"/>
        <w:ind w:left="709" w:right="709"/>
        <w:jc w:val="both"/>
        <w:rPr>
          <w:rFonts w:ascii="Arial" w:eastAsia="Calibri" w:hAnsi="Arial" w:cs="Arial"/>
          <w:color w:val="000000" w:themeColor="text1"/>
          <w:sz w:val="21"/>
          <w:szCs w:val="21"/>
          <w:lang w:val="es-ES_tradnl" w:eastAsia="en-US"/>
        </w:rPr>
      </w:pPr>
      <w:r w:rsidRPr="00C577CA">
        <w:rPr>
          <w:rFonts w:ascii="Arial" w:eastAsia="Calibri" w:hAnsi="Arial" w:cs="Arial"/>
          <w:color w:val="000000" w:themeColor="text1"/>
          <w:sz w:val="21"/>
          <w:szCs w:val="21"/>
          <w:lang w:val="es-ES_tradnl" w:eastAsia="en-US"/>
        </w:rPr>
        <w:t xml:space="preserve">El Gobierno Nacional señalará los criterios que seguirán las entidades para la exigencia de garantías, las clases y niveles de amparo de los riesgos de los contratos, así como los casos en </w:t>
      </w:r>
      <w:proofErr w:type="gramStart"/>
      <w:r w:rsidRPr="00C577CA">
        <w:rPr>
          <w:rFonts w:ascii="Arial" w:eastAsia="Calibri" w:hAnsi="Arial" w:cs="Arial"/>
          <w:color w:val="000000" w:themeColor="text1"/>
          <w:sz w:val="21"/>
          <w:szCs w:val="21"/>
          <w:lang w:val="es-ES_tradnl" w:eastAsia="en-US"/>
        </w:rPr>
        <w:t>que</w:t>
      </w:r>
      <w:proofErr w:type="gramEnd"/>
      <w:r w:rsidRPr="00C577CA">
        <w:rPr>
          <w:rFonts w:ascii="Arial" w:eastAsia="Calibri" w:hAnsi="Arial" w:cs="Arial"/>
          <w:color w:val="000000" w:themeColor="text1"/>
          <w:sz w:val="21"/>
          <w:szCs w:val="21"/>
          <w:lang w:val="es-ES_tradnl" w:eastAsia="en-US"/>
        </w:rPr>
        <w:t xml:space="preserve"> por las características y complejidad del contrato a celebrar, la garantía pueda ser dividida teniendo en cuenta las etapas o riesgos relativos a la ejecución del respectivo contrato. </w:t>
      </w:r>
    </w:p>
    <w:p w14:paraId="1318656E" w14:textId="77777777" w:rsidR="00C577CA" w:rsidRPr="00C577CA" w:rsidRDefault="00C577CA" w:rsidP="00C577CA">
      <w:pPr>
        <w:spacing w:before="120"/>
        <w:ind w:left="709" w:right="709"/>
        <w:jc w:val="both"/>
        <w:rPr>
          <w:rFonts w:ascii="Arial" w:eastAsia="Calibri" w:hAnsi="Arial" w:cs="Arial"/>
          <w:color w:val="000000" w:themeColor="text1"/>
          <w:sz w:val="21"/>
          <w:szCs w:val="21"/>
          <w:lang w:val="es-ES_tradnl" w:eastAsia="en-US"/>
        </w:rPr>
      </w:pPr>
      <w:r w:rsidRPr="00C577CA">
        <w:rPr>
          <w:rFonts w:ascii="Arial" w:eastAsia="Calibri" w:hAnsi="Arial" w:cs="Arial"/>
          <w:color w:val="000000" w:themeColor="text1"/>
          <w:sz w:val="21"/>
          <w:szCs w:val="21"/>
          <w:lang w:val="es-ES_tradnl" w:eastAsia="en-US"/>
        </w:rPr>
        <w:t xml:space="preserve">El acaecimiento del siniestro que amparan las garantías será comunicado por la entidad pública al respectivo asegurador mediante la notificación del acto administrativo que así lo declare. </w:t>
      </w:r>
    </w:p>
    <w:p w14:paraId="1C160A19" w14:textId="148E2B0A" w:rsidR="00633367" w:rsidRDefault="00C577CA" w:rsidP="00633367">
      <w:pPr>
        <w:spacing w:before="120"/>
        <w:ind w:left="709" w:right="709"/>
        <w:jc w:val="both"/>
        <w:rPr>
          <w:rFonts w:ascii="Arial" w:eastAsia="Calibri" w:hAnsi="Arial" w:cs="Arial"/>
          <w:color w:val="000000" w:themeColor="text1"/>
          <w:sz w:val="21"/>
          <w:szCs w:val="21"/>
          <w:lang w:val="es-ES_tradnl" w:eastAsia="en-US"/>
        </w:rPr>
      </w:pPr>
      <w:r w:rsidRPr="00C577CA">
        <w:rPr>
          <w:rFonts w:ascii="Arial" w:eastAsia="Calibri" w:hAnsi="Arial" w:cs="Arial"/>
          <w:color w:val="000000" w:themeColor="text1"/>
          <w:sz w:val="21"/>
          <w:szCs w:val="21"/>
          <w:lang w:val="es-ES_tradnl" w:eastAsia="en-US"/>
        </w:rPr>
        <w:t>Las garantías no serán obligatorias en los contratos de empréstito, en los interadministrativos, en los de seguro y en los contratos cuyo valor sea inferior al 10% de la menor cuantía a que se refiere esta ley, caso en el cual corresponderá a la entidad determinar la necesidad de exigirla, atendiendo a la naturaleza del objeto del contrato y a la forma de pago, así como en los demás que señale el reglamento.</w:t>
      </w:r>
      <w:bookmarkEnd w:id="5"/>
    </w:p>
    <w:p w14:paraId="2D15DCD3" w14:textId="77777777" w:rsidR="00633367" w:rsidRPr="00CB776B" w:rsidRDefault="00633367" w:rsidP="00484074">
      <w:pPr>
        <w:spacing w:line="276" w:lineRule="auto"/>
        <w:ind w:left="709" w:right="709"/>
        <w:jc w:val="both"/>
        <w:rPr>
          <w:rFonts w:ascii="Arial" w:eastAsia="Calibri" w:hAnsi="Arial" w:cs="Arial"/>
          <w:color w:val="000000" w:themeColor="text1"/>
          <w:sz w:val="22"/>
          <w:szCs w:val="22"/>
          <w:lang w:val="es-ES_tradnl" w:eastAsia="en-US"/>
        </w:rPr>
      </w:pPr>
    </w:p>
    <w:p w14:paraId="0B93E53C" w14:textId="740F46D1" w:rsidR="00FB7DF8" w:rsidRDefault="00C577CA" w:rsidP="00CB776B">
      <w:pPr>
        <w:spacing w:line="276" w:lineRule="auto"/>
        <w:ind w:firstLine="708"/>
        <w:jc w:val="both"/>
        <w:rPr>
          <w:rFonts w:ascii="Arial" w:eastAsia="Calibri" w:hAnsi="Arial" w:cs="Arial"/>
          <w:color w:val="000000" w:themeColor="text1"/>
          <w:sz w:val="22"/>
          <w:szCs w:val="22"/>
          <w:lang w:val="es-ES_tradnl" w:eastAsia="en-US"/>
        </w:rPr>
      </w:pPr>
      <w:r w:rsidRPr="00C577CA">
        <w:rPr>
          <w:rFonts w:ascii="Arial" w:eastAsia="Calibri" w:hAnsi="Arial" w:cs="Arial"/>
          <w:color w:val="000000" w:themeColor="text1"/>
          <w:sz w:val="22"/>
          <w:szCs w:val="22"/>
          <w:lang w:val="es-ES_tradnl" w:eastAsia="en-US"/>
        </w:rPr>
        <w:t>Las condiciones</w:t>
      </w:r>
      <w:r w:rsidR="00D17B53">
        <w:rPr>
          <w:rFonts w:ascii="Arial" w:eastAsia="Calibri" w:hAnsi="Arial" w:cs="Arial"/>
          <w:color w:val="000000" w:themeColor="text1"/>
          <w:sz w:val="22"/>
          <w:szCs w:val="22"/>
          <w:lang w:val="es-ES_tradnl" w:eastAsia="en-US"/>
        </w:rPr>
        <w:t xml:space="preserve"> </w:t>
      </w:r>
      <w:r w:rsidR="00EF71E6">
        <w:rPr>
          <w:rFonts w:ascii="Arial" w:eastAsia="Calibri" w:hAnsi="Arial" w:cs="Arial"/>
          <w:color w:val="000000" w:themeColor="text1"/>
          <w:sz w:val="22"/>
          <w:szCs w:val="22"/>
          <w:lang w:val="es-ES_tradnl" w:eastAsia="en-US"/>
        </w:rPr>
        <w:t>para el cumplimiento de esta</w:t>
      </w:r>
      <w:r w:rsidR="00D17B53">
        <w:rPr>
          <w:rFonts w:ascii="Arial" w:eastAsia="Calibri" w:hAnsi="Arial" w:cs="Arial"/>
          <w:color w:val="000000" w:themeColor="text1"/>
          <w:sz w:val="22"/>
          <w:szCs w:val="22"/>
          <w:lang w:val="es-ES_tradnl" w:eastAsia="en-US"/>
        </w:rPr>
        <w:t xml:space="preserve"> </w:t>
      </w:r>
      <w:r w:rsidRPr="00C577CA">
        <w:rPr>
          <w:rFonts w:ascii="Arial" w:eastAsia="Calibri" w:hAnsi="Arial" w:cs="Arial"/>
          <w:color w:val="000000" w:themeColor="text1"/>
          <w:sz w:val="22"/>
          <w:szCs w:val="22"/>
          <w:lang w:val="es-ES_tradnl" w:eastAsia="en-US"/>
        </w:rPr>
        <w:t xml:space="preserve">obligación fueron reglamentadas por el Decreto 1082 de 2015, el cual se refiere en los artículos 2.2.1.2.3.1.1. y 2.2.1.2.3.1.19 a las clases de garantías permitidas, la indivisibilidad de </w:t>
      </w:r>
      <w:proofErr w:type="gramStart"/>
      <w:r w:rsidRPr="00C577CA">
        <w:rPr>
          <w:rFonts w:ascii="Arial" w:eastAsia="Calibri" w:hAnsi="Arial" w:cs="Arial"/>
          <w:color w:val="000000" w:themeColor="text1"/>
          <w:sz w:val="22"/>
          <w:szCs w:val="22"/>
          <w:lang w:val="es-ES_tradnl" w:eastAsia="en-US"/>
        </w:rPr>
        <w:t>las mismas</w:t>
      </w:r>
      <w:proofErr w:type="gramEnd"/>
      <w:r w:rsidRPr="00C577CA">
        <w:rPr>
          <w:rFonts w:ascii="Arial" w:eastAsia="Calibri" w:hAnsi="Arial" w:cs="Arial"/>
          <w:color w:val="000000" w:themeColor="text1"/>
          <w:sz w:val="22"/>
          <w:szCs w:val="22"/>
          <w:lang w:val="es-ES_tradnl" w:eastAsia="en-US"/>
        </w:rPr>
        <w:t>, los riesgos objeto de cobertura, la vigencia y valores mínimos, entre otros aspectos que debe cumplir las garantías constituidas, ya sea a través de pólizas de seguro, garantías bancarias o patrimonios autónomos.</w:t>
      </w:r>
      <w:r w:rsidR="00FB7DF8">
        <w:rPr>
          <w:rFonts w:ascii="Arial" w:eastAsia="Calibri" w:hAnsi="Arial" w:cs="Arial"/>
          <w:color w:val="000000" w:themeColor="text1"/>
          <w:sz w:val="22"/>
          <w:szCs w:val="22"/>
          <w:lang w:val="es-ES_tradnl" w:eastAsia="en-US"/>
        </w:rPr>
        <w:t xml:space="preserve"> </w:t>
      </w:r>
    </w:p>
    <w:p w14:paraId="4BC1BA1E" w14:textId="4662CCB6" w:rsidR="00C577CA" w:rsidRDefault="00FB7DF8" w:rsidP="00FB7DF8">
      <w:pPr>
        <w:spacing w:before="120" w:line="276" w:lineRule="auto"/>
        <w:ind w:firstLine="708"/>
        <w:jc w:val="both"/>
        <w:rPr>
          <w:rFonts w:ascii="Arial" w:eastAsia="Calibri" w:hAnsi="Arial" w:cs="Arial"/>
          <w:color w:val="000000" w:themeColor="text1"/>
          <w:sz w:val="22"/>
          <w:szCs w:val="22"/>
          <w:lang w:val="es-ES_tradnl" w:eastAsia="en-US"/>
        </w:rPr>
      </w:pPr>
      <w:r>
        <w:rPr>
          <w:rFonts w:ascii="Arial" w:eastAsia="Calibri" w:hAnsi="Arial" w:cs="Arial"/>
          <w:color w:val="000000" w:themeColor="text1"/>
          <w:sz w:val="22"/>
          <w:lang w:val="es-ES"/>
        </w:rPr>
        <w:t>Los artículos 2.2.1.2.3.1.6 y 2.2.1.2.3.1.9 del Decreto 1082 de 2015 establecen las condiciones que debe cumplir</w:t>
      </w:r>
      <w:r w:rsidR="00D17B53" w:rsidRPr="00D17B53">
        <w:rPr>
          <w:rFonts w:ascii="Arial" w:eastAsia="Calibri" w:hAnsi="Arial" w:cs="Arial"/>
          <w:color w:val="000000" w:themeColor="text1"/>
          <w:sz w:val="22"/>
          <w:lang w:val="es-ES"/>
        </w:rPr>
        <w:t xml:space="preserve"> </w:t>
      </w:r>
      <w:r w:rsidR="00D17B53">
        <w:rPr>
          <w:rFonts w:ascii="Arial" w:eastAsia="Calibri" w:hAnsi="Arial" w:cs="Arial"/>
          <w:color w:val="000000" w:themeColor="text1"/>
          <w:sz w:val="22"/>
          <w:lang w:val="es-ES"/>
        </w:rPr>
        <w:t>la garantía de los riesgos derivados del incumplimiento de la oferta</w:t>
      </w:r>
      <w:r>
        <w:rPr>
          <w:rFonts w:ascii="Arial" w:eastAsia="Calibri" w:hAnsi="Arial" w:cs="Arial"/>
          <w:color w:val="000000" w:themeColor="text1"/>
          <w:sz w:val="22"/>
          <w:lang w:val="es-ES"/>
        </w:rPr>
        <w:t xml:space="preserve">. </w:t>
      </w:r>
      <w:r w:rsidR="00D17B53">
        <w:rPr>
          <w:rFonts w:ascii="Arial" w:eastAsia="Calibri" w:hAnsi="Arial" w:cs="Arial"/>
          <w:color w:val="000000" w:themeColor="text1"/>
          <w:sz w:val="22"/>
          <w:szCs w:val="22"/>
          <w:lang w:val="es-ES_tradnl" w:eastAsia="en-US"/>
        </w:rPr>
        <w:t>Igualmente</w:t>
      </w:r>
      <w:r w:rsidR="00C577CA" w:rsidRPr="00C577CA">
        <w:rPr>
          <w:rFonts w:ascii="Arial" w:eastAsia="Calibri" w:hAnsi="Arial" w:cs="Arial"/>
          <w:color w:val="000000" w:themeColor="text1"/>
          <w:sz w:val="22"/>
          <w:szCs w:val="22"/>
          <w:lang w:val="es-ES_tradnl" w:eastAsia="en-US"/>
        </w:rPr>
        <w:t xml:space="preserve">, el artículo 2.2.1.3.1.7 prescribe que la garantía de cumplimiento debe cubrir: i) el buen manejo y correcta inversión del anticipo; </w:t>
      </w:r>
      <w:proofErr w:type="spellStart"/>
      <w:r w:rsidR="00C577CA" w:rsidRPr="00C577CA">
        <w:rPr>
          <w:rFonts w:ascii="Arial" w:eastAsia="Calibri" w:hAnsi="Arial" w:cs="Arial"/>
          <w:color w:val="000000" w:themeColor="text1"/>
          <w:sz w:val="22"/>
          <w:szCs w:val="22"/>
          <w:lang w:val="es-ES_tradnl" w:eastAsia="en-US"/>
        </w:rPr>
        <w:t>ii</w:t>
      </w:r>
      <w:proofErr w:type="spellEnd"/>
      <w:r w:rsidR="00C577CA" w:rsidRPr="00C577CA">
        <w:rPr>
          <w:rFonts w:ascii="Arial" w:eastAsia="Calibri" w:hAnsi="Arial" w:cs="Arial"/>
          <w:color w:val="000000" w:themeColor="text1"/>
          <w:sz w:val="22"/>
          <w:szCs w:val="22"/>
          <w:lang w:val="es-ES_tradnl" w:eastAsia="en-US"/>
        </w:rPr>
        <w:t xml:space="preserve">) la devolución del pago anticipado; </w:t>
      </w:r>
      <w:proofErr w:type="spellStart"/>
      <w:r w:rsidR="00C577CA" w:rsidRPr="00C577CA">
        <w:rPr>
          <w:rFonts w:ascii="Arial" w:eastAsia="Calibri" w:hAnsi="Arial" w:cs="Arial"/>
          <w:color w:val="000000" w:themeColor="text1"/>
          <w:sz w:val="22"/>
          <w:szCs w:val="22"/>
          <w:lang w:val="es-ES_tradnl" w:eastAsia="en-US"/>
        </w:rPr>
        <w:t>iii</w:t>
      </w:r>
      <w:proofErr w:type="spellEnd"/>
      <w:r w:rsidR="00C577CA" w:rsidRPr="00C577CA">
        <w:rPr>
          <w:rFonts w:ascii="Arial" w:eastAsia="Calibri" w:hAnsi="Arial" w:cs="Arial"/>
          <w:color w:val="000000" w:themeColor="text1"/>
          <w:sz w:val="22"/>
          <w:szCs w:val="22"/>
          <w:lang w:val="es-ES_tradnl" w:eastAsia="en-US"/>
        </w:rPr>
        <w:t xml:space="preserve">) el cumplimiento del contrato; </w:t>
      </w:r>
      <w:proofErr w:type="spellStart"/>
      <w:r w:rsidR="00C577CA" w:rsidRPr="00C577CA">
        <w:rPr>
          <w:rFonts w:ascii="Arial" w:eastAsia="Calibri" w:hAnsi="Arial" w:cs="Arial"/>
          <w:color w:val="000000" w:themeColor="text1"/>
          <w:sz w:val="22"/>
          <w:szCs w:val="22"/>
          <w:lang w:val="es-ES_tradnl" w:eastAsia="en-US"/>
        </w:rPr>
        <w:t>iv</w:t>
      </w:r>
      <w:proofErr w:type="spellEnd"/>
      <w:r w:rsidR="00C577CA" w:rsidRPr="00C577CA">
        <w:rPr>
          <w:rFonts w:ascii="Arial" w:eastAsia="Calibri" w:hAnsi="Arial" w:cs="Arial"/>
          <w:color w:val="000000" w:themeColor="text1"/>
          <w:sz w:val="22"/>
          <w:szCs w:val="22"/>
          <w:lang w:val="es-ES_tradnl" w:eastAsia="en-US"/>
        </w:rPr>
        <w:t xml:space="preserve">) el pago de salarios, prestaciones sociales legales e indemnizaciones laborales; v) la estabilidad y calidad de la obra; vi) la calidad del servicio; </w:t>
      </w:r>
      <w:proofErr w:type="spellStart"/>
      <w:r w:rsidR="00C577CA" w:rsidRPr="00C577CA">
        <w:rPr>
          <w:rFonts w:ascii="Arial" w:eastAsia="Calibri" w:hAnsi="Arial" w:cs="Arial"/>
          <w:color w:val="000000" w:themeColor="text1"/>
          <w:sz w:val="22"/>
          <w:szCs w:val="22"/>
          <w:lang w:val="es-ES_tradnl" w:eastAsia="en-US"/>
        </w:rPr>
        <w:t>vii</w:t>
      </w:r>
      <w:proofErr w:type="spellEnd"/>
      <w:r w:rsidR="00C577CA" w:rsidRPr="00C577CA">
        <w:rPr>
          <w:rFonts w:ascii="Arial" w:eastAsia="Calibri" w:hAnsi="Arial" w:cs="Arial"/>
          <w:color w:val="000000" w:themeColor="text1"/>
          <w:sz w:val="22"/>
          <w:szCs w:val="22"/>
          <w:lang w:val="es-ES_tradnl" w:eastAsia="en-US"/>
        </w:rPr>
        <w:t xml:space="preserve">) la calidad y correcto funcionamiento de los bienes; y </w:t>
      </w:r>
      <w:proofErr w:type="spellStart"/>
      <w:r w:rsidR="00C577CA" w:rsidRPr="00C577CA">
        <w:rPr>
          <w:rFonts w:ascii="Arial" w:eastAsia="Calibri" w:hAnsi="Arial" w:cs="Arial"/>
          <w:color w:val="000000" w:themeColor="text1"/>
          <w:sz w:val="22"/>
          <w:szCs w:val="22"/>
          <w:lang w:val="es-ES_tradnl" w:eastAsia="en-US"/>
        </w:rPr>
        <w:t>viii</w:t>
      </w:r>
      <w:proofErr w:type="spellEnd"/>
      <w:r w:rsidR="00C577CA" w:rsidRPr="00C577CA">
        <w:rPr>
          <w:rFonts w:ascii="Arial" w:eastAsia="Calibri" w:hAnsi="Arial" w:cs="Arial"/>
          <w:color w:val="000000" w:themeColor="text1"/>
          <w:sz w:val="22"/>
          <w:szCs w:val="22"/>
          <w:lang w:val="es-ES_tradnl" w:eastAsia="en-US"/>
        </w:rPr>
        <w:t>) los demás incumplimientos de las obligaciones que la entidad estatal considere deben ser amparados.</w:t>
      </w:r>
    </w:p>
    <w:p w14:paraId="57EDB9A0" w14:textId="2298CE1B" w:rsidR="00D17B53" w:rsidRDefault="00EF71E6" w:rsidP="00D17B53">
      <w:pPr>
        <w:spacing w:before="120" w:line="276" w:lineRule="auto"/>
        <w:ind w:firstLine="708"/>
        <w:jc w:val="both"/>
        <w:rPr>
          <w:rFonts w:ascii="Arial" w:eastAsia="Calibri" w:hAnsi="Arial" w:cs="Arial"/>
          <w:color w:val="000000" w:themeColor="text1"/>
          <w:sz w:val="22"/>
          <w:lang w:val="es-ES"/>
        </w:rPr>
      </w:pPr>
      <w:bookmarkStart w:id="6" w:name="_Hlk49524986"/>
      <w:bookmarkStart w:id="7" w:name="_Hlk47893233"/>
      <w:r>
        <w:rPr>
          <w:rFonts w:ascii="Arial" w:eastAsia="Calibri" w:hAnsi="Arial" w:cs="Arial"/>
          <w:color w:val="000000" w:themeColor="text1"/>
          <w:sz w:val="22"/>
          <w:szCs w:val="22"/>
          <w:lang w:val="es-ES_tradnl" w:eastAsia="en-US"/>
        </w:rPr>
        <w:t xml:space="preserve">La </w:t>
      </w:r>
      <w:r w:rsidRPr="00CB776B">
        <w:rPr>
          <w:rFonts w:ascii="Arial" w:eastAsia="Calibri" w:hAnsi="Arial" w:cs="Arial"/>
          <w:i/>
          <w:iCs/>
          <w:color w:val="000000" w:themeColor="text1"/>
          <w:sz w:val="22"/>
          <w:szCs w:val="22"/>
          <w:lang w:val="es-ES_tradnl" w:eastAsia="en-US"/>
        </w:rPr>
        <w:t>garantía de seriedad</w:t>
      </w:r>
      <w:r w:rsidR="00D17B53" w:rsidRPr="0017145A">
        <w:rPr>
          <w:rFonts w:ascii="Arial" w:eastAsia="Calibri" w:hAnsi="Arial" w:cs="Arial"/>
          <w:color w:val="000000" w:themeColor="text1"/>
          <w:sz w:val="22"/>
          <w:szCs w:val="22"/>
          <w:lang w:val="es-ES_tradnl" w:eastAsia="en-US"/>
        </w:rPr>
        <w:t xml:space="preserve"> implica una caución provisional que avala la propuesta y es una garantía precontractual –y parcialmente contractual– destinada a asegurar la suscripción del acuerdo, entre otras obligaciones</w:t>
      </w:r>
      <w:r>
        <w:rPr>
          <w:rFonts w:ascii="Arial" w:eastAsia="Calibri" w:hAnsi="Arial" w:cs="Arial"/>
          <w:color w:val="000000" w:themeColor="text1"/>
          <w:sz w:val="22"/>
          <w:szCs w:val="22"/>
          <w:lang w:val="es-ES_tradnl" w:eastAsia="en-US"/>
        </w:rPr>
        <w:t>. En contraste,</w:t>
      </w:r>
      <w:r w:rsidR="00D17B53" w:rsidRPr="0017145A">
        <w:rPr>
          <w:rFonts w:ascii="Arial" w:eastAsia="Calibri" w:hAnsi="Arial" w:cs="Arial"/>
          <w:color w:val="000000" w:themeColor="text1"/>
          <w:sz w:val="22"/>
          <w:szCs w:val="22"/>
          <w:lang w:val="es-ES_tradnl" w:eastAsia="en-US"/>
        </w:rPr>
        <w:t xml:space="preserve"> la </w:t>
      </w:r>
      <w:r w:rsidRPr="00CB776B">
        <w:rPr>
          <w:rFonts w:ascii="Arial" w:eastAsia="Calibri" w:hAnsi="Arial" w:cs="Arial"/>
          <w:i/>
          <w:iCs/>
          <w:color w:val="000000" w:themeColor="text1"/>
          <w:sz w:val="22"/>
          <w:szCs w:val="22"/>
          <w:lang w:val="es-ES_tradnl" w:eastAsia="en-US"/>
        </w:rPr>
        <w:t>garantía de cumplimiento</w:t>
      </w:r>
      <w:r w:rsidR="00D17B53" w:rsidRPr="0017145A">
        <w:rPr>
          <w:rFonts w:ascii="Arial" w:eastAsia="Calibri" w:hAnsi="Arial" w:cs="Arial"/>
          <w:color w:val="000000" w:themeColor="text1"/>
          <w:sz w:val="22"/>
          <w:szCs w:val="22"/>
          <w:lang w:val="es-ES_tradnl" w:eastAsia="en-US"/>
        </w:rPr>
        <w:t xml:space="preserve"> </w:t>
      </w:r>
      <w:r>
        <w:rPr>
          <w:rFonts w:ascii="Arial" w:eastAsia="Calibri" w:hAnsi="Arial" w:cs="Arial"/>
          <w:color w:val="000000" w:themeColor="text1"/>
          <w:sz w:val="22"/>
          <w:szCs w:val="22"/>
          <w:lang w:val="es-ES_tradnl" w:eastAsia="en-US"/>
        </w:rPr>
        <w:t>es</w:t>
      </w:r>
      <w:r w:rsidRPr="0017145A">
        <w:rPr>
          <w:rFonts w:ascii="Arial" w:eastAsia="Calibri" w:hAnsi="Arial" w:cs="Arial"/>
          <w:color w:val="000000" w:themeColor="text1"/>
          <w:sz w:val="22"/>
          <w:szCs w:val="22"/>
          <w:lang w:val="es-ES_tradnl" w:eastAsia="en-US"/>
        </w:rPr>
        <w:t xml:space="preserve"> </w:t>
      </w:r>
      <w:r w:rsidR="00D17B53" w:rsidRPr="0017145A">
        <w:rPr>
          <w:rFonts w:ascii="Arial" w:eastAsia="Calibri" w:hAnsi="Arial" w:cs="Arial"/>
          <w:color w:val="000000" w:themeColor="text1"/>
          <w:sz w:val="22"/>
          <w:szCs w:val="22"/>
          <w:lang w:val="es-ES_tradnl" w:eastAsia="en-US"/>
        </w:rPr>
        <w:t xml:space="preserve">un mecanismo de cobertura del riesgo derivado del incumplimiento de las obligaciones </w:t>
      </w:r>
      <w:r w:rsidR="00D17B53" w:rsidRPr="0017145A">
        <w:rPr>
          <w:rFonts w:ascii="Arial" w:eastAsia="Calibri" w:hAnsi="Arial" w:cs="Arial"/>
          <w:color w:val="000000" w:themeColor="text1"/>
          <w:sz w:val="22"/>
          <w:szCs w:val="22"/>
          <w:lang w:val="es-ES_tradnl" w:eastAsia="en-US"/>
        </w:rPr>
        <w:lastRenderedPageBreak/>
        <w:t>del contrato. Desde esta perspectiva, ambas constituyen una obligación de seguridad, es decir, aquella donde el interés del acreedor no consiste en una utilidad específica y tangible, sino en la tranquilidad frente a ciertos riesgos por la cobertura de sus consecuencias nocivas.</w:t>
      </w:r>
    </w:p>
    <w:p w14:paraId="749C7EEA" w14:textId="59FD209D" w:rsidR="0017145A" w:rsidRDefault="00AC5B83" w:rsidP="0017145A">
      <w:pPr>
        <w:spacing w:before="120" w:line="276" w:lineRule="auto"/>
        <w:ind w:firstLine="708"/>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Sobre la </w:t>
      </w:r>
      <w:r w:rsidR="00FB7DF8" w:rsidRPr="00CB776B">
        <w:rPr>
          <w:rFonts w:ascii="Arial" w:eastAsia="Calibri" w:hAnsi="Arial" w:cs="Arial"/>
          <w:i/>
          <w:iCs/>
          <w:color w:val="000000" w:themeColor="text1"/>
          <w:sz w:val="22"/>
          <w:lang w:val="es-ES"/>
        </w:rPr>
        <w:t>garantía</w:t>
      </w:r>
      <w:r w:rsidR="00D17B53" w:rsidRPr="00CB776B">
        <w:rPr>
          <w:rFonts w:ascii="Arial" w:eastAsia="Calibri" w:hAnsi="Arial" w:cs="Arial"/>
          <w:i/>
          <w:iCs/>
          <w:color w:val="000000" w:themeColor="text1"/>
          <w:sz w:val="22"/>
          <w:lang w:val="es-ES"/>
        </w:rPr>
        <w:t xml:space="preserve"> de </w:t>
      </w:r>
      <w:r w:rsidR="0017145A" w:rsidRPr="00CB776B">
        <w:rPr>
          <w:rFonts w:ascii="Arial" w:eastAsia="Calibri" w:hAnsi="Arial" w:cs="Arial"/>
          <w:i/>
          <w:iCs/>
          <w:color w:val="000000" w:themeColor="text1"/>
          <w:sz w:val="22"/>
          <w:lang w:val="es-ES"/>
        </w:rPr>
        <w:t>seriedad</w:t>
      </w:r>
      <w:r w:rsidR="00D17B53">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 xml:space="preserve">se destaca que </w:t>
      </w:r>
      <w:r w:rsidR="0017145A">
        <w:rPr>
          <w:rFonts w:ascii="Arial" w:eastAsia="Calibri" w:hAnsi="Arial" w:cs="Arial"/>
          <w:color w:val="000000" w:themeColor="text1"/>
          <w:sz w:val="22"/>
          <w:lang w:val="es-ES"/>
        </w:rPr>
        <w:t xml:space="preserve">respalda al principio de irrevocabilidad de la oferta, caso en el cual los proponentes que pierdan interés en la adjudicación resarcirán los perjuicios causados por su retiro del procedimiento de selección. </w:t>
      </w:r>
      <w:r w:rsidR="0017145A" w:rsidRPr="00A94D81">
        <w:rPr>
          <w:rFonts w:ascii="Arial" w:eastAsia="Calibri" w:hAnsi="Arial" w:cs="Arial"/>
          <w:color w:val="000000" w:themeColor="text1"/>
          <w:sz w:val="22"/>
          <w:lang w:val="es-ES"/>
        </w:rPr>
        <w:t>El carácter serio y vinculante implica no solo que</w:t>
      </w:r>
      <w:r w:rsidR="0017145A">
        <w:rPr>
          <w:rFonts w:ascii="Arial" w:eastAsia="Calibri" w:hAnsi="Arial" w:cs="Arial"/>
          <w:color w:val="000000" w:themeColor="text1"/>
          <w:sz w:val="22"/>
          <w:lang w:val="es-ES"/>
        </w:rPr>
        <w:t xml:space="preserve"> la propuesta</w:t>
      </w:r>
      <w:r w:rsidR="0017145A" w:rsidRPr="00A94D81">
        <w:rPr>
          <w:rFonts w:ascii="Arial" w:eastAsia="Calibri" w:hAnsi="Arial" w:cs="Arial"/>
          <w:color w:val="000000" w:themeColor="text1"/>
          <w:sz w:val="22"/>
          <w:lang w:val="es-ES"/>
        </w:rPr>
        <w:t xml:space="preserve"> tenga que </w:t>
      </w:r>
      <w:r w:rsidR="0017145A">
        <w:rPr>
          <w:rFonts w:ascii="Arial" w:eastAsia="Calibri" w:hAnsi="Arial" w:cs="Arial"/>
          <w:color w:val="000000" w:themeColor="text1"/>
          <w:sz w:val="22"/>
          <w:lang w:val="es-ES"/>
        </w:rPr>
        <w:t>sostenerse</w:t>
      </w:r>
      <w:r w:rsidR="0017145A" w:rsidRPr="00A94D81">
        <w:rPr>
          <w:rFonts w:ascii="Arial" w:eastAsia="Calibri" w:hAnsi="Arial" w:cs="Arial"/>
          <w:color w:val="000000" w:themeColor="text1"/>
          <w:sz w:val="22"/>
          <w:lang w:val="es-ES"/>
        </w:rPr>
        <w:t xml:space="preserve"> ante la Administración, y en caso de resultar elegida obligue a quien la </w:t>
      </w:r>
      <w:r w:rsidR="0017145A">
        <w:rPr>
          <w:rFonts w:ascii="Arial" w:eastAsia="Calibri" w:hAnsi="Arial" w:cs="Arial"/>
          <w:color w:val="000000" w:themeColor="text1"/>
          <w:sz w:val="22"/>
          <w:lang w:val="es-ES"/>
        </w:rPr>
        <w:t>realizó</w:t>
      </w:r>
      <w:r w:rsidR="0017145A" w:rsidRPr="00A94D81">
        <w:rPr>
          <w:rFonts w:ascii="Arial" w:eastAsia="Calibri" w:hAnsi="Arial" w:cs="Arial"/>
          <w:color w:val="000000" w:themeColor="text1"/>
          <w:sz w:val="22"/>
          <w:lang w:val="es-ES"/>
        </w:rPr>
        <w:t>, sino que una vez presentada no pued</w:t>
      </w:r>
      <w:r w:rsidR="0017145A">
        <w:rPr>
          <w:rFonts w:ascii="Arial" w:eastAsia="Calibri" w:hAnsi="Arial" w:cs="Arial"/>
          <w:color w:val="000000" w:themeColor="text1"/>
          <w:sz w:val="22"/>
          <w:lang w:val="es-ES"/>
        </w:rPr>
        <w:t xml:space="preserve">e </w:t>
      </w:r>
      <w:r w:rsidR="0017145A" w:rsidRPr="00A94D81">
        <w:rPr>
          <w:rFonts w:ascii="Arial" w:eastAsia="Calibri" w:hAnsi="Arial" w:cs="Arial"/>
          <w:color w:val="000000" w:themeColor="text1"/>
          <w:sz w:val="22"/>
          <w:lang w:val="es-ES"/>
        </w:rPr>
        <w:t>modifica</w:t>
      </w:r>
      <w:r w:rsidR="0017145A">
        <w:rPr>
          <w:rFonts w:ascii="Arial" w:eastAsia="Calibri" w:hAnsi="Arial" w:cs="Arial"/>
          <w:color w:val="000000" w:themeColor="text1"/>
          <w:sz w:val="22"/>
          <w:lang w:val="es-ES"/>
        </w:rPr>
        <w:t>rse</w:t>
      </w:r>
      <w:r w:rsidR="0017145A" w:rsidRPr="00A94D81">
        <w:rPr>
          <w:rFonts w:ascii="Arial" w:eastAsia="Calibri" w:hAnsi="Arial" w:cs="Arial"/>
          <w:color w:val="000000" w:themeColor="text1"/>
          <w:sz w:val="22"/>
          <w:lang w:val="es-ES"/>
        </w:rPr>
        <w:t xml:space="preserve">, pues </w:t>
      </w:r>
      <w:r w:rsidR="0017145A">
        <w:rPr>
          <w:rFonts w:ascii="Arial" w:eastAsia="Calibri" w:hAnsi="Arial" w:cs="Arial"/>
          <w:color w:val="000000" w:themeColor="text1"/>
          <w:sz w:val="22"/>
          <w:lang w:val="es-ES"/>
        </w:rPr>
        <w:t xml:space="preserve">esto </w:t>
      </w:r>
      <w:r w:rsidR="0017145A" w:rsidRPr="00A94D81">
        <w:rPr>
          <w:rFonts w:ascii="Arial" w:eastAsia="Calibri" w:hAnsi="Arial" w:cs="Arial"/>
          <w:color w:val="000000" w:themeColor="text1"/>
          <w:sz w:val="22"/>
          <w:lang w:val="es-ES"/>
        </w:rPr>
        <w:t xml:space="preserve">pone en desventaja a los demás </w:t>
      </w:r>
      <w:r w:rsidR="0017145A">
        <w:rPr>
          <w:rFonts w:ascii="Arial" w:eastAsia="Calibri" w:hAnsi="Arial" w:cs="Arial"/>
          <w:color w:val="000000" w:themeColor="text1"/>
          <w:sz w:val="22"/>
          <w:lang w:val="es-ES"/>
        </w:rPr>
        <w:t>oferentes</w:t>
      </w:r>
      <w:r w:rsidR="0017145A" w:rsidRPr="00A94D81">
        <w:rPr>
          <w:rFonts w:ascii="Arial" w:eastAsia="Calibri" w:hAnsi="Arial" w:cs="Arial"/>
          <w:color w:val="000000" w:themeColor="text1"/>
          <w:sz w:val="22"/>
          <w:lang w:val="es-ES"/>
        </w:rPr>
        <w:t xml:space="preserve">, en perjuicio de los principios de </w:t>
      </w:r>
      <w:r w:rsidR="0017145A">
        <w:rPr>
          <w:rFonts w:ascii="Arial" w:eastAsia="Calibri" w:hAnsi="Arial" w:cs="Arial"/>
          <w:color w:val="000000" w:themeColor="text1"/>
          <w:sz w:val="22"/>
          <w:lang w:val="es-ES"/>
        </w:rPr>
        <w:t>igualdad y buena fe</w:t>
      </w:r>
      <w:r w:rsidR="0017145A" w:rsidRPr="00A94D81">
        <w:rPr>
          <w:rFonts w:ascii="Arial" w:eastAsia="Calibri" w:hAnsi="Arial" w:cs="Arial"/>
          <w:color w:val="000000" w:themeColor="text1"/>
          <w:sz w:val="22"/>
          <w:lang w:val="es-ES"/>
        </w:rPr>
        <w:t>.</w:t>
      </w:r>
      <w:r w:rsidR="0017145A">
        <w:rPr>
          <w:rFonts w:ascii="Arial" w:eastAsia="Calibri" w:hAnsi="Arial" w:cs="Arial"/>
          <w:color w:val="000000" w:themeColor="text1"/>
          <w:sz w:val="22"/>
          <w:lang w:val="es-ES"/>
        </w:rPr>
        <w:t xml:space="preserve"> </w:t>
      </w:r>
    </w:p>
    <w:p w14:paraId="32BDCA79" w14:textId="77777777" w:rsidR="0017145A" w:rsidRDefault="0017145A" w:rsidP="0017145A">
      <w:pPr>
        <w:spacing w:before="120" w:line="276" w:lineRule="auto"/>
        <w:ind w:firstLine="708"/>
        <w:jc w:val="both"/>
        <w:rPr>
          <w:rFonts w:ascii="Arial" w:eastAsia="Calibri" w:hAnsi="Arial" w:cs="Arial"/>
          <w:color w:val="000000" w:themeColor="text1"/>
          <w:sz w:val="22"/>
          <w:lang w:val="es-ES"/>
        </w:rPr>
      </w:pPr>
      <w:r w:rsidRPr="00AC5B83">
        <w:rPr>
          <w:rFonts w:ascii="Arial" w:eastAsia="Calibri" w:hAnsi="Arial" w:cs="Arial"/>
          <w:color w:val="000000" w:themeColor="text1"/>
          <w:sz w:val="22"/>
          <w:lang w:val="es-ES"/>
        </w:rPr>
        <w:t xml:space="preserve">El inciso primero del artículo 846 del Código de Comercio dispone que «La propuesta será irrevocable, por lo tanto, una vez comunicada, no podrá retractarse el proponente, so pena de indemnizar los perjuicios que con su revocación cause al destinatario». Aunque la contratación estatal se rige por una regla similar, son evidentes los matices introducidos en el régimen de la garantía precontractual, pues el artículo </w:t>
      </w:r>
      <w:bookmarkStart w:id="8" w:name="_Hlk50454376"/>
      <w:r w:rsidRPr="00AC5B83">
        <w:rPr>
          <w:rFonts w:ascii="Arial" w:eastAsia="Calibri" w:hAnsi="Arial" w:cs="Arial"/>
          <w:color w:val="000000" w:themeColor="text1"/>
          <w:sz w:val="22"/>
          <w:lang w:val="es-ES"/>
        </w:rPr>
        <w:t>2.2.1.2.3.2.8</w:t>
      </w:r>
      <w:bookmarkEnd w:id="8"/>
      <w:r w:rsidRPr="00AC5B83">
        <w:rPr>
          <w:rFonts w:ascii="Arial" w:eastAsia="Calibri" w:hAnsi="Arial" w:cs="Arial"/>
          <w:color w:val="000000" w:themeColor="text1"/>
          <w:sz w:val="22"/>
          <w:lang w:val="es-ES"/>
        </w:rPr>
        <w:t xml:space="preserve"> del Decreto 1082 de 2015 dispone que «En caso de siniestro en la garantía de la seriedad de la oferta, la compañía de seguros debe responder por el total del valor asegurado título de sanción».</w:t>
      </w:r>
      <w:bookmarkEnd w:id="6"/>
    </w:p>
    <w:p w14:paraId="1D250742" w14:textId="233B64C6" w:rsidR="0017145A" w:rsidRDefault="0017145A" w:rsidP="00633367">
      <w:pPr>
        <w:spacing w:before="120" w:line="276" w:lineRule="auto"/>
        <w:ind w:firstLine="708"/>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Naturalmente, esta garantía solo la constituyen quienes presenten oferta, motivo por el cual sus efectos no se extienden a personas ajenas a la actividad precontractual; sin perjuicio de que la póliza sea un mecanismo conminatorio, en la medida en que obliga a celebrar el contrato y a suscribir la garantía única de cumplimiento, so pena de hacerla efectiva. De esta manera, la exigencia permite que solo se presenten personas con la capacidad técnica y financiera suficiente para ejecutarlo en caso de adjudicación, desestimulando la presentación de ofertas que no son serias, cuya evaluación entorpece la buena marcha de la Administración, y en especial la celeridad y eficiencia de los procedimientos contractuales</w:t>
      </w:r>
      <w:bookmarkEnd w:id="7"/>
      <w:r>
        <w:rPr>
          <w:rStyle w:val="Refdenotaalpie"/>
          <w:rFonts w:ascii="Arial" w:eastAsia="Calibri" w:hAnsi="Arial" w:cs="Arial"/>
          <w:color w:val="000000" w:themeColor="text1"/>
          <w:sz w:val="22"/>
          <w:lang w:val="es-ES"/>
        </w:rPr>
        <w:footnoteReference w:id="2"/>
      </w:r>
      <w:r>
        <w:rPr>
          <w:rFonts w:ascii="Arial" w:eastAsia="Calibri" w:hAnsi="Arial" w:cs="Arial"/>
          <w:color w:val="000000" w:themeColor="text1"/>
          <w:sz w:val="22"/>
          <w:lang w:val="es-ES"/>
        </w:rPr>
        <w:t xml:space="preserve">. </w:t>
      </w:r>
    </w:p>
    <w:p w14:paraId="148470B2" w14:textId="77777777" w:rsidR="00EF71E6" w:rsidRDefault="0017145A" w:rsidP="00003233">
      <w:pPr>
        <w:spacing w:before="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E</w:t>
      </w:r>
      <w:r w:rsidRPr="00386009">
        <w:rPr>
          <w:rFonts w:ascii="Arial" w:eastAsia="Calibri" w:hAnsi="Arial" w:cs="Arial"/>
          <w:color w:val="000000" w:themeColor="text1"/>
          <w:sz w:val="22"/>
          <w:lang w:val="es-ES"/>
        </w:rPr>
        <w:t xml:space="preserve">l artículo </w:t>
      </w:r>
      <w:bookmarkStart w:id="9" w:name="_Hlk47457215"/>
      <w:r w:rsidRPr="00386009">
        <w:rPr>
          <w:rFonts w:ascii="Arial" w:eastAsia="Calibri" w:hAnsi="Arial" w:cs="Arial"/>
          <w:color w:val="000000" w:themeColor="text1"/>
          <w:sz w:val="22"/>
          <w:lang w:val="es-ES"/>
        </w:rPr>
        <w:t>2.2.1.2.3.1.9</w:t>
      </w:r>
      <w:bookmarkEnd w:id="9"/>
      <w:r w:rsidRPr="00386009">
        <w:rPr>
          <w:rFonts w:ascii="Arial" w:eastAsia="Calibri" w:hAnsi="Arial" w:cs="Arial"/>
          <w:color w:val="000000" w:themeColor="text1"/>
          <w:sz w:val="22"/>
          <w:lang w:val="es-ES"/>
        </w:rPr>
        <w:t xml:space="preserve"> del Decreto 1082 de 2015 </w:t>
      </w:r>
      <w:r w:rsidR="00484074">
        <w:rPr>
          <w:rFonts w:ascii="Arial" w:eastAsia="Calibri" w:hAnsi="Arial" w:cs="Arial"/>
          <w:color w:val="000000" w:themeColor="text1"/>
          <w:sz w:val="22"/>
          <w:lang w:val="es-ES"/>
        </w:rPr>
        <w:t xml:space="preserve">define la cobertura en términos </w:t>
      </w:r>
      <w:r w:rsidRPr="00386009">
        <w:rPr>
          <w:rFonts w:ascii="Arial" w:eastAsia="Calibri" w:hAnsi="Arial" w:cs="Arial"/>
          <w:color w:val="000000" w:themeColor="text1"/>
          <w:sz w:val="22"/>
          <w:lang w:val="es-ES"/>
        </w:rPr>
        <w:t xml:space="preserve">de monto y tiempo, disponiendo que «La garantía de seriedad de la oferta debe estar vigente desde la presentación de la oferta y hasta la aprobación de la garantía de cumplimiento del contrato y su valor debe ser de por lo menos el diez por ciento (10%) del valor de la oferta». Respecto al valor, dispone que tendrá un monto igual o superior al diez por ciento (10%) de la oferta, </w:t>
      </w:r>
      <w:r>
        <w:rPr>
          <w:rFonts w:ascii="Arial" w:eastAsia="Calibri" w:hAnsi="Arial" w:cs="Arial"/>
          <w:color w:val="000000" w:themeColor="text1"/>
          <w:sz w:val="22"/>
          <w:lang w:val="es-ES"/>
        </w:rPr>
        <w:t>constituyendo</w:t>
      </w:r>
      <w:r w:rsidRPr="00386009">
        <w:rPr>
          <w:rFonts w:ascii="Arial" w:eastAsia="Calibri" w:hAnsi="Arial" w:cs="Arial"/>
          <w:color w:val="000000" w:themeColor="text1"/>
          <w:sz w:val="22"/>
          <w:lang w:val="es-ES"/>
        </w:rPr>
        <w:t xml:space="preserve"> la suma mínima que la entidad puede establecer para cumplir la exigencia, sin perjuicio de que requiera un valor </w:t>
      </w:r>
      <w:r>
        <w:rPr>
          <w:rFonts w:ascii="Arial" w:eastAsia="Calibri" w:hAnsi="Arial" w:cs="Arial"/>
          <w:color w:val="000000" w:themeColor="text1"/>
          <w:sz w:val="22"/>
          <w:lang w:val="es-ES"/>
        </w:rPr>
        <w:t>superior</w:t>
      </w:r>
      <w:r w:rsidRPr="00386009">
        <w:rPr>
          <w:rFonts w:ascii="Arial" w:eastAsia="Calibri" w:hAnsi="Arial" w:cs="Arial"/>
          <w:color w:val="000000" w:themeColor="text1"/>
          <w:sz w:val="22"/>
          <w:lang w:val="es-ES"/>
        </w:rPr>
        <w:t xml:space="preserve">. En todo </w:t>
      </w:r>
      <w:r w:rsidRPr="00386009">
        <w:rPr>
          <w:rFonts w:ascii="Arial" w:eastAsia="Calibri" w:hAnsi="Arial" w:cs="Arial"/>
          <w:color w:val="000000" w:themeColor="text1"/>
          <w:sz w:val="22"/>
          <w:lang w:val="es-ES"/>
        </w:rPr>
        <w:lastRenderedPageBreak/>
        <w:t xml:space="preserve">caso, conforme a la norma citada, este principio tiene excepciones </w:t>
      </w:r>
      <w:r>
        <w:rPr>
          <w:rFonts w:ascii="Arial" w:eastAsia="Calibri" w:hAnsi="Arial" w:cs="Arial"/>
          <w:color w:val="000000" w:themeColor="text1"/>
          <w:sz w:val="22"/>
          <w:lang w:val="es-ES"/>
        </w:rPr>
        <w:t>para</w:t>
      </w:r>
      <w:r w:rsidRPr="00386009">
        <w:rPr>
          <w:rFonts w:ascii="Arial" w:eastAsia="Calibri" w:hAnsi="Arial" w:cs="Arial"/>
          <w:color w:val="000000" w:themeColor="text1"/>
          <w:sz w:val="22"/>
          <w:lang w:val="es-ES"/>
        </w:rPr>
        <w:t xml:space="preserve"> los acuerdos marco de precios, los contratos derivados de la selección abreviada por subasta inversa y el concurso de méritos, así como </w:t>
      </w:r>
      <w:r>
        <w:rPr>
          <w:rFonts w:ascii="Arial" w:eastAsia="Calibri" w:hAnsi="Arial" w:cs="Arial"/>
          <w:color w:val="000000" w:themeColor="text1"/>
          <w:sz w:val="22"/>
          <w:lang w:val="es-ES"/>
        </w:rPr>
        <w:t>para</w:t>
      </w:r>
      <w:r w:rsidRPr="00386009">
        <w:rPr>
          <w:rFonts w:ascii="Arial" w:eastAsia="Calibri" w:hAnsi="Arial" w:cs="Arial"/>
          <w:color w:val="000000" w:themeColor="text1"/>
          <w:sz w:val="22"/>
          <w:lang w:val="es-ES"/>
        </w:rPr>
        <w:t xml:space="preserve"> los contratos que superan u</w:t>
      </w:r>
      <w:r w:rsidR="00633367">
        <w:rPr>
          <w:rFonts w:ascii="Arial" w:eastAsia="Calibri" w:hAnsi="Arial" w:cs="Arial"/>
          <w:color w:val="000000" w:themeColor="text1"/>
          <w:sz w:val="22"/>
          <w:lang w:val="es-ES"/>
        </w:rPr>
        <w:t xml:space="preserve">n millón –1’000.000– de </w:t>
      </w:r>
      <w:proofErr w:type="spellStart"/>
      <w:r w:rsidR="00633367">
        <w:rPr>
          <w:rFonts w:ascii="Arial" w:eastAsia="Calibri" w:hAnsi="Arial" w:cs="Arial"/>
          <w:color w:val="000000" w:themeColor="text1"/>
          <w:sz w:val="22"/>
          <w:lang w:val="es-ES"/>
        </w:rPr>
        <w:t>smlmv</w:t>
      </w:r>
      <w:proofErr w:type="spellEnd"/>
      <w:r w:rsidR="00633367">
        <w:rPr>
          <w:rFonts w:ascii="Arial" w:eastAsia="Calibri" w:hAnsi="Arial" w:cs="Arial"/>
          <w:color w:val="000000" w:themeColor="text1"/>
          <w:sz w:val="22"/>
          <w:lang w:val="es-ES"/>
        </w:rPr>
        <w:t xml:space="preserve">. </w:t>
      </w:r>
    </w:p>
    <w:p w14:paraId="7C986A0F" w14:textId="780FE46E" w:rsidR="0017145A" w:rsidRDefault="0017145A" w:rsidP="00003233">
      <w:pPr>
        <w:spacing w:before="120" w:line="276" w:lineRule="auto"/>
        <w:ind w:firstLine="709"/>
        <w:jc w:val="both"/>
        <w:rPr>
          <w:rFonts w:ascii="Arial" w:eastAsia="Calibri" w:hAnsi="Arial" w:cs="Arial"/>
          <w:color w:val="000000" w:themeColor="text1"/>
          <w:sz w:val="22"/>
          <w:lang w:val="es-ES"/>
        </w:rPr>
      </w:pPr>
      <w:r w:rsidRPr="00386009">
        <w:rPr>
          <w:rFonts w:ascii="Arial" w:eastAsia="Calibri" w:hAnsi="Arial" w:cs="Arial"/>
          <w:color w:val="000000" w:themeColor="text1"/>
          <w:sz w:val="22"/>
          <w:lang w:val="es-ES"/>
        </w:rPr>
        <w:t xml:space="preserve">Respecto al tiempo, la norma dispone que debe estar vigente entre «la fecha de presentación de la propuesta» y hasta «la fecha de aprobación de la garantía única de cumplimiento». </w:t>
      </w:r>
      <w:r>
        <w:rPr>
          <w:rFonts w:ascii="Arial" w:eastAsia="Calibri" w:hAnsi="Arial" w:cs="Arial"/>
          <w:color w:val="000000" w:themeColor="text1"/>
          <w:sz w:val="22"/>
          <w:lang w:val="es-ES"/>
        </w:rPr>
        <w:t>Allí</w:t>
      </w:r>
      <w:r w:rsidRPr="00386009">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 xml:space="preserve">se </w:t>
      </w:r>
      <w:r w:rsidRPr="00386009">
        <w:rPr>
          <w:rFonts w:ascii="Arial" w:eastAsia="Calibri" w:hAnsi="Arial" w:cs="Arial"/>
          <w:color w:val="000000" w:themeColor="text1"/>
          <w:sz w:val="22"/>
          <w:lang w:val="es-ES"/>
        </w:rPr>
        <w:t>indica la fecha de inicio –</w:t>
      </w:r>
      <w:proofErr w:type="spellStart"/>
      <w:r w:rsidRPr="00386009">
        <w:rPr>
          <w:rFonts w:ascii="Arial" w:eastAsia="Calibri" w:hAnsi="Arial" w:cs="Arial"/>
          <w:i/>
          <w:iCs/>
          <w:color w:val="000000" w:themeColor="text1"/>
          <w:sz w:val="22"/>
          <w:lang w:val="es-ES"/>
        </w:rPr>
        <w:t>dies</w:t>
      </w:r>
      <w:proofErr w:type="spellEnd"/>
      <w:r w:rsidRPr="00386009">
        <w:rPr>
          <w:rFonts w:ascii="Arial" w:eastAsia="Calibri" w:hAnsi="Arial" w:cs="Arial"/>
          <w:i/>
          <w:iCs/>
          <w:color w:val="000000" w:themeColor="text1"/>
          <w:sz w:val="22"/>
          <w:lang w:val="es-ES"/>
        </w:rPr>
        <w:t xml:space="preserve"> a quo</w:t>
      </w:r>
      <w:r w:rsidRPr="00386009">
        <w:rPr>
          <w:rFonts w:ascii="Arial" w:eastAsia="Calibri" w:hAnsi="Arial" w:cs="Arial"/>
          <w:color w:val="000000" w:themeColor="text1"/>
          <w:sz w:val="22"/>
          <w:lang w:val="es-ES"/>
        </w:rPr>
        <w:t>–</w:t>
      </w:r>
      <w:r>
        <w:rPr>
          <w:rFonts w:ascii="Arial" w:eastAsia="Calibri" w:hAnsi="Arial" w:cs="Arial"/>
          <w:color w:val="000000" w:themeColor="text1"/>
          <w:sz w:val="22"/>
          <w:lang w:val="es-ES"/>
        </w:rPr>
        <w:t>,</w:t>
      </w:r>
      <w:r w:rsidRPr="00386009">
        <w:rPr>
          <w:rFonts w:ascii="Arial" w:eastAsia="Calibri" w:hAnsi="Arial" w:cs="Arial"/>
          <w:color w:val="000000" w:themeColor="text1"/>
          <w:sz w:val="22"/>
          <w:lang w:val="es-ES"/>
        </w:rPr>
        <w:t xml:space="preserve"> pero la fecha final –</w:t>
      </w:r>
      <w:proofErr w:type="spellStart"/>
      <w:r w:rsidRPr="00386009">
        <w:rPr>
          <w:rFonts w:ascii="Arial" w:eastAsia="Calibri" w:hAnsi="Arial" w:cs="Arial"/>
          <w:i/>
          <w:iCs/>
          <w:color w:val="000000" w:themeColor="text1"/>
          <w:sz w:val="22"/>
          <w:lang w:val="es-ES"/>
        </w:rPr>
        <w:t>dies</w:t>
      </w:r>
      <w:proofErr w:type="spellEnd"/>
      <w:r w:rsidRPr="00386009">
        <w:rPr>
          <w:rFonts w:ascii="Arial" w:eastAsia="Calibri" w:hAnsi="Arial" w:cs="Arial"/>
          <w:i/>
          <w:iCs/>
          <w:color w:val="000000" w:themeColor="text1"/>
          <w:sz w:val="22"/>
          <w:lang w:val="es-ES"/>
        </w:rPr>
        <w:t xml:space="preserve"> ad </w:t>
      </w:r>
      <w:proofErr w:type="spellStart"/>
      <w:r w:rsidRPr="00386009">
        <w:rPr>
          <w:rFonts w:ascii="Arial" w:eastAsia="Calibri" w:hAnsi="Arial" w:cs="Arial"/>
          <w:i/>
          <w:iCs/>
          <w:color w:val="000000" w:themeColor="text1"/>
          <w:sz w:val="22"/>
          <w:lang w:val="es-ES"/>
        </w:rPr>
        <w:t>quem</w:t>
      </w:r>
      <w:proofErr w:type="spellEnd"/>
      <w:r w:rsidRPr="00386009">
        <w:rPr>
          <w:rFonts w:ascii="Arial" w:eastAsia="Calibri" w:hAnsi="Arial" w:cs="Arial"/>
          <w:color w:val="000000" w:themeColor="text1"/>
          <w:sz w:val="22"/>
          <w:lang w:val="es-ES"/>
        </w:rPr>
        <w:t xml:space="preserve">– se somete a una estimación razonable sobre el tiempo que toma </w:t>
      </w:r>
      <w:r>
        <w:rPr>
          <w:rFonts w:ascii="Arial" w:eastAsia="Calibri" w:hAnsi="Arial" w:cs="Arial"/>
          <w:color w:val="000000" w:themeColor="text1"/>
          <w:sz w:val="22"/>
          <w:lang w:val="es-ES"/>
        </w:rPr>
        <w:t xml:space="preserve">adelantar el procedimiento de selección y </w:t>
      </w:r>
      <w:r w:rsidRPr="00386009">
        <w:rPr>
          <w:rFonts w:ascii="Arial" w:eastAsia="Calibri" w:hAnsi="Arial" w:cs="Arial"/>
          <w:color w:val="000000" w:themeColor="text1"/>
          <w:sz w:val="22"/>
          <w:lang w:val="es-ES"/>
        </w:rPr>
        <w:t xml:space="preserve">la </w:t>
      </w:r>
      <w:r>
        <w:rPr>
          <w:rFonts w:ascii="Arial" w:eastAsia="Calibri" w:hAnsi="Arial" w:cs="Arial"/>
          <w:color w:val="000000" w:themeColor="text1"/>
          <w:sz w:val="22"/>
          <w:lang w:val="es-ES"/>
        </w:rPr>
        <w:t xml:space="preserve">posterior </w:t>
      </w:r>
      <w:r w:rsidRPr="00386009">
        <w:rPr>
          <w:rFonts w:ascii="Arial" w:eastAsia="Calibri" w:hAnsi="Arial" w:cs="Arial"/>
          <w:color w:val="000000" w:themeColor="text1"/>
          <w:sz w:val="22"/>
          <w:lang w:val="es-ES"/>
        </w:rPr>
        <w:t xml:space="preserve">legalización del contrato, especialmente cuando la aprobación de </w:t>
      </w:r>
      <w:r>
        <w:rPr>
          <w:rFonts w:ascii="Arial" w:eastAsia="Calibri" w:hAnsi="Arial" w:cs="Arial"/>
          <w:color w:val="000000" w:themeColor="text1"/>
          <w:sz w:val="22"/>
          <w:lang w:val="es-ES"/>
        </w:rPr>
        <w:t xml:space="preserve">la garantía </w:t>
      </w:r>
      <w:r w:rsidRPr="00386009">
        <w:rPr>
          <w:rFonts w:ascii="Arial" w:eastAsia="Calibri" w:hAnsi="Arial" w:cs="Arial"/>
          <w:color w:val="000000" w:themeColor="text1"/>
          <w:sz w:val="22"/>
          <w:lang w:val="es-ES"/>
        </w:rPr>
        <w:t>es uno de los requisitos de ejecución</w:t>
      </w:r>
      <w:r w:rsidRPr="00386009">
        <w:rPr>
          <w:rStyle w:val="Refdenotaalpie"/>
          <w:rFonts w:ascii="Arial" w:eastAsia="Calibri" w:hAnsi="Arial" w:cs="Arial"/>
          <w:color w:val="000000" w:themeColor="text1"/>
          <w:sz w:val="22"/>
          <w:lang w:val="es-ES"/>
        </w:rPr>
        <w:footnoteReference w:id="3"/>
      </w:r>
      <w:r w:rsidRPr="00386009">
        <w:rPr>
          <w:rFonts w:ascii="Arial" w:eastAsia="Calibri" w:hAnsi="Arial" w:cs="Arial"/>
          <w:color w:val="000000" w:themeColor="text1"/>
          <w:sz w:val="22"/>
          <w:lang w:val="es-ES"/>
        </w:rPr>
        <w:t>.</w:t>
      </w:r>
    </w:p>
    <w:p w14:paraId="7E29C0AD" w14:textId="1E8E2EC8" w:rsidR="0017145A" w:rsidRDefault="0017145A" w:rsidP="00AD2808">
      <w:pPr>
        <w:spacing w:before="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Determinar </w:t>
      </w:r>
      <w:r w:rsidRPr="004D7916">
        <w:rPr>
          <w:rFonts w:ascii="Arial" w:eastAsia="Calibri" w:hAnsi="Arial" w:cs="Arial"/>
          <w:color w:val="000000" w:themeColor="text1"/>
          <w:sz w:val="22"/>
          <w:lang w:val="es-ES"/>
        </w:rPr>
        <w:t xml:space="preserve">el </w:t>
      </w:r>
      <w:r w:rsidRPr="004D7916">
        <w:rPr>
          <w:rFonts w:ascii="Arial" w:eastAsia="Calibri" w:hAnsi="Arial" w:cs="Arial"/>
          <w:i/>
          <w:iCs/>
          <w:color w:val="000000" w:themeColor="text1"/>
          <w:sz w:val="22"/>
          <w:lang w:val="es-ES"/>
        </w:rPr>
        <w:t>valor</w:t>
      </w:r>
      <w:r w:rsidRPr="004D7916">
        <w:rPr>
          <w:rFonts w:ascii="Arial" w:eastAsia="Calibri" w:hAnsi="Arial" w:cs="Arial"/>
          <w:color w:val="000000" w:themeColor="text1"/>
          <w:sz w:val="22"/>
          <w:lang w:val="es-ES"/>
        </w:rPr>
        <w:t xml:space="preserve"> y el </w:t>
      </w:r>
      <w:r w:rsidRPr="004D7916">
        <w:rPr>
          <w:rFonts w:ascii="Arial" w:eastAsia="Calibri" w:hAnsi="Arial" w:cs="Arial"/>
          <w:i/>
          <w:iCs/>
          <w:color w:val="000000" w:themeColor="text1"/>
          <w:sz w:val="22"/>
          <w:lang w:val="es-ES"/>
        </w:rPr>
        <w:t>tiempo</w:t>
      </w:r>
      <w:r w:rsidRPr="004D7916">
        <w:rPr>
          <w:rFonts w:ascii="Arial" w:eastAsia="Calibri" w:hAnsi="Arial" w:cs="Arial"/>
          <w:color w:val="000000" w:themeColor="text1"/>
          <w:sz w:val="22"/>
          <w:lang w:val="es-ES"/>
        </w:rPr>
        <w:t xml:space="preserve"> de cobertura de esta garantía precontractual es esencial en el procedimiento de selección. </w:t>
      </w:r>
      <w:r w:rsidR="00633367">
        <w:rPr>
          <w:rFonts w:ascii="Arial" w:eastAsia="Calibri" w:hAnsi="Arial" w:cs="Arial"/>
          <w:color w:val="000000" w:themeColor="text1"/>
          <w:sz w:val="22"/>
          <w:lang w:val="es-ES"/>
        </w:rPr>
        <w:t xml:space="preserve">El </w:t>
      </w:r>
      <w:r w:rsidR="00633367" w:rsidRPr="00633367">
        <w:rPr>
          <w:rFonts w:ascii="Arial" w:eastAsia="Calibri" w:hAnsi="Arial" w:cs="Arial"/>
          <w:i/>
          <w:color w:val="000000" w:themeColor="text1"/>
          <w:sz w:val="22"/>
          <w:lang w:val="es-ES"/>
        </w:rPr>
        <w:t>valor</w:t>
      </w:r>
      <w:r w:rsidR="00633367">
        <w:rPr>
          <w:rFonts w:ascii="Arial" w:eastAsia="Calibri" w:hAnsi="Arial" w:cs="Arial"/>
          <w:color w:val="000000" w:themeColor="text1"/>
          <w:sz w:val="22"/>
          <w:lang w:val="es-ES"/>
        </w:rPr>
        <w:t xml:space="preserve"> </w:t>
      </w:r>
      <w:r w:rsidRPr="004D7916">
        <w:rPr>
          <w:rFonts w:ascii="Arial" w:eastAsia="Calibri" w:hAnsi="Arial" w:cs="Arial"/>
          <w:color w:val="000000" w:themeColor="text1"/>
          <w:sz w:val="22"/>
          <w:lang w:val="es-ES"/>
        </w:rPr>
        <w:t>corresponde a la sanción por el incumplimiento de la seriedad de la propuesta, delimitando</w:t>
      </w:r>
      <w:r>
        <w:rPr>
          <w:rFonts w:ascii="Arial" w:eastAsia="Calibri" w:hAnsi="Arial" w:cs="Arial"/>
          <w:color w:val="000000" w:themeColor="text1"/>
          <w:sz w:val="22"/>
          <w:lang w:val="es-ES"/>
        </w:rPr>
        <w:t xml:space="preserve"> –en los términos del artículo </w:t>
      </w:r>
      <w:r w:rsidRPr="00296DBA">
        <w:rPr>
          <w:rFonts w:ascii="Arial" w:eastAsia="Calibri" w:hAnsi="Arial" w:cs="Arial"/>
          <w:color w:val="000000" w:themeColor="text1"/>
          <w:sz w:val="22"/>
          <w:lang w:val="es-ES"/>
        </w:rPr>
        <w:t>2.2.1.2.3.2.8 del Decreto 1082 de 2015</w:t>
      </w:r>
      <w:r>
        <w:rPr>
          <w:rFonts w:ascii="Arial" w:eastAsia="Calibri" w:hAnsi="Arial" w:cs="Arial"/>
          <w:color w:val="000000" w:themeColor="text1"/>
          <w:sz w:val="22"/>
          <w:lang w:val="es-ES"/>
        </w:rPr>
        <w:t>–</w:t>
      </w:r>
      <w:r w:rsidRPr="004D7916">
        <w:rPr>
          <w:rFonts w:ascii="Arial" w:eastAsia="Calibri" w:hAnsi="Arial" w:cs="Arial"/>
          <w:color w:val="000000" w:themeColor="text1"/>
          <w:sz w:val="22"/>
          <w:lang w:val="es-ES"/>
        </w:rPr>
        <w:t xml:space="preserve"> la obligación pecuniaria de la aseguradora. Lo anterior es una consecuencia del principio de responsabilidad, ya que el mantenimiento de la oferta está sujeto al deber de buena fe y, por tanto, el desconocimiento de las expectativas legítimas de la Administración autoriza la reparación de los perjuicios sufridos. </w:t>
      </w:r>
      <w:r w:rsidR="00633367">
        <w:rPr>
          <w:rFonts w:ascii="Arial" w:eastAsia="Calibri" w:hAnsi="Arial" w:cs="Arial"/>
          <w:color w:val="000000" w:themeColor="text1"/>
          <w:sz w:val="22"/>
          <w:lang w:val="es-ES"/>
        </w:rPr>
        <w:t>E</w:t>
      </w:r>
      <w:r w:rsidRPr="004D7916">
        <w:rPr>
          <w:rFonts w:ascii="Arial" w:eastAsia="Calibri" w:hAnsi="Arial" w:cs="Arial"/>
          <w:color w:val="000000" w:themeColor="text1"/>
          <w:sz w:val="22"/>
          <w:lang w:val="es-ES"/>
        </w:rPr>
        <w:t xml:space="preserve">l </w:t>
      </w:r>
      <w:r w:rsidRPr="004D7916">
        <w:rPr>
          <w:rFonts w:ascii="Arial" w:eastAsia="Calibri" w:hAnsi="Arial" w:cs="Arial"/>
          <w:i/>
          <w:iCs/>
          <w:color w:val="000000" w:themeColor="text1"/>
          <w:sz w:val="22"/>
          <w:lang w:val="es-ES"/>
        </w:rPr>
        <w:t xml:space="preserve">plazo de cobertura </w:t>
      </w:r>
      <w:r w:rsidRPr="004D7916">
        <w:rPr>
          <w:rFonts w:ascii="Arial" w:eastAsia="Calibri" w:hAnsi="Arial" w:cs="Arial"/>
          <w:color w:val="000000" w:themeColor="text1"/>
          <w:sz w:val="22"/>
          <w:lang w:val="es-ES"/>
        </w:rPr>
        <w:t>delimita directamente</w:t>
      </w:r>
      <w:r w:rsidRPr="004D7916">
        <w:rPr>
          <w:rFonts w:ascii="Arial" w:eastAsia="Calibri" w:hAnsi="Arial" w:cs="Arial"/>
          <w:i/>
          <w:iCs/>
          <w:color w:val="000000" w:themeColor="text1"/>
          <w:sz w:val="22"/>
          <w:lang w:val="es-ES"/>
        </w:rPr>
        <w:t xml:space="preserve"> </w:t>
      </w:r>
      <w:r w:rsidRPr="004D7916">
        <w:rPr>
          <w:rFonts w:ascii="Arial" w:eastAsia="Calibri" w:hAnsi="Arial" w:cs="Arial"/>
          <w:color w:val="000000" w:themeColor="text1"/>
          <w:sz w:val="22"/>
          <w:lang w:val="es-ES"/>
        </w:rPr>
        <w:t>el período de vigencia de la oferta.</w:t>
      </w:r>
      <w:r w:rsidRPr="00386009">
        <w:rPr>
          <w:rFonts w:ascii="Arial" w:eastAsia="Calibri" w:hAnsi="Arial" w:cs="Arial"/>
          <w:color w:val="000000" w:themeColor="text1"/>
          <w:sz w:val="22"/>
          <w:lang w:val="es-ES"/>
        </w:rPr>
        <w:t xml:space="preserve"> </w:t>
      </w:r>
    </w:p>
    <w:p w14:paraId="22D1972C" w14:textId="77777777" w:rsidR="0017145A" w:rsidRPr="00386009" w:rsidRDefault="0017145A" w:rsidP="00AD2808">
      <w:pPr>
        <w:spacing w:before="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Además</w:t>
      </w:r>
      <w:r w:rsidRPr="00386009">
        <w:rPr>
          <w:rFonts w:ascii="Arial" w:eastAsia="Calibri" w:hAnsi="Arial" w:cs="Arial"/>
          <w:color w:val="000000" w:themeColor="text1"/>
          <w:sz w:val="22"/>
          <w:lang w:val="es-ES"/>
        </w:rPr>
        <w:t xml:space="preserve">, es importante definir los casos en </w:t>
      </w:r>
      <w:r>
        <w:rPr>
          <w:rFonts w:ascii="Arial" w:eastAsia="Calibri" w:hAnsi="Arial" w:cs="Arial"/>
          <w:color w:val="000000" w:themeColor="text1"/>
          <w:sz w:val="22"/>
          <w:lang w:val="es-ES"/>
        </w:rPr>
        <w:t xml:space="preserve">los </w:t>
      </w:r>
      <w:r w:rsidRPr="00386009">
        <w:rPr>
          <w:rFonts w:ascii="Arial" w:eastAsia="Calibri" w:hAnsi="Arial" w:cs="Arial"/>
          <w:color w:val="000000" w:themeColor="text1"/>
          <w:sz w:val="22"/>
          <w:lang w:val="es-ES"/>
        </w:rPr>
        <w:t>que la entidad puede hacer efectiva la garantía de seriedad. Conforme al artículo 2.2.1.2.3.1.6 del Decreto 1082 de 2015, cubre la sanción derivada del incumplimiento de la propuesta</w:t>
      </w:r>
      <w:r>
        <w:rPr>
          <w:rFonts w:ascii="Arial" w:eastAsia="Calibri" w:hAnsi="Arial" w:cs="Arial"/>
          <w:color w:val="000000" w:themeColor="text1"/>
          <w:sz w:val="22"/>
          <w:lang w:val="es-ES"/>
        </w:rPr>
        <w:t>,</w:t>
      </w:r>
      <w:r w:rsidRPr="00386009">
        <w:rPr>
          <w:rFonts w:ascii="Arial" w:eastAsia="Calibri" w:hAnsi="Arial" w:cs="Arial"/>
          <w:color w:val="000000" w:themeColor="text1"/>
          <w:sz w:val="22"/>
          <w:lang w:val="es-ES"/>
        </w:rPr>
        <w:t xml:space="preserve"> en los siguientes eventos:</w:t>
      </w:r>
    </w:p>
    <w:p w14:paraId="5DA1433B" w14:textId="77777777" w:rsidR="0017145A" w:rsidRPr="00386009" w:rsidRDefault="0017145A" w:rsidP="00B131C4">
      <w:pPr>
        <w:spacing w:line="276" w:lineRule="auto"/>
        <w:ind w:firstLine="709"/>
        <w:jc w:val="both"/>
        <w:rPr>
          <w:rFonts w:ascii="Arial" w:eastAsia="Calibri" w:hAnsi="Arial" w:cs="Arial"/>
          <w:color w:val="000000" w:themeColor="text1"/>
          <w:sz w:val="22"/>
          <w:lang w:val="es-ES"/>
        </w:rPr>
      </w:pPr>
    </w:p>
    <w:p w14:paraId="0E9D1CE2" w14:textId="77777777" w:rsidR="0017145A" w:rsidRPr="00386009" w:rsidRDefault="0017145A" w:rsidP="0017145A">
      <w:pPr>
        <w:spacing w:after="120"/>
        <w:ind w:left="709" w:right="709"/>
        <w:jc w:val="both"/>
        <w:rPr>
          <w:rFonts w:ascii="Arial" w:eastAsia="Calibri" w:hAnsi="Arial" w:cs="Arial"/>
          <w:color w:val="000000" w:themeColor="text1"/>
          <w:sz w:val="21"/>
          <w:szCs w:val="21"/>
          <w:lang w:val="es-ES"/>
        </w:rPr>
      </w:pPr>
      <w:r w:rsidRPr="00386009">
        <w:rPr>
          <w:rFonts w:ascii="Arial" w:eastAsia="Calibri" w:hAnsi="Arial" w:cs="Arial"/>
          <w:color w:val="000000" w:themeColor="text1"/>
          <w:sz w:val="21"/>
          <w:szCs w:val="21"/>
          <w:lang w:val="es-ES"/>
        </w:rPr>
        <w:t xml:space="preserve">1. </w:t>
      </w:r>
      <w:bookmarkStart w:id="10" w:name="_Hlk47463074"/>
      <w:r w:rsidRPr="00386009">
        <w:rPr>
          <w:rFonts w:ascii="Arial" w:eastAsia="Calibri" w:hAnsi="Arial" w:cs="Arial"/>
          <w:color w:val="000000" w:themeColor="text1"/>
          <w:sz w:val="21"/>
          <w:szCs w:val="21"/>
          <w:lang w:val="es-ES"/>
        </w:rPr>
        <w:t>La no ampliación de la vigencia de la garantía de seriedad de la oferta cuando el plazo para la adjudicación o para suscribir el contrato es prorrogado, siempre que tal prórroga sea inferior a tres (3) meses</w:t>
      </w:r>
      <w:bookmarkEnd w:id="10"/>
      <w:r w:rsidRPr="00386009">
        <w:rPr>
          <w:rFonts w:ascii="Arial" w:eastAsia="Calibri" w:hAnsi="Arial" w:cs="Arial"/>
          <w:color w:val="000000" w:themeColor="text1"/>
          <w:sz w:val="21"/>
          <w:szCs w:val="21"/>
          <w:lang w:val="es-ES"/>
        </w:rPr>
        <w:t>.</w:t>
      </w:r>
    </w:p>
    <w:p w14:paraId="3C69B38A" w14:textId="77777777" w:rsidR="0017145A" w:rsidRPr="00386009" w:rsidRDefault="0017145A" w:rsidP="0017145A">
      <w:pPr>
        <w:spacing w:after="120"/>
        <w:ind w:left="709" w:right="709"/>
        <w:jc w:val="both"/>
        <w:rPr>
          <w:rFonts w:ascii="Arial" w:eastAsia="Calibri" w:hAnsi="Arial" w:cs="Arial"/>
          <w:color w:val="000000" w:themeColor="text1"/>
          <w:sz w:val="21"/>
          <w:szCs w:val="21"/>
          <w:lang w:val="es-ES"/>
        </w:rPr>
      </w:pPr>
      <w:r w:rsidRPr="00386009">
        <w:rPr>
          <w:rFonts w:ascii="Arial" w:eastAsia="Calibri" w:hAnsi="Arial" w:cs="Arial"/>
          <w:color w:val="000000" w:themeColor="text1"/>
          <w:sz w:val="21"/>
          <w:szCs w:val="21"/>
          <w:lang w:val="es-ES"/>
        </w:rPr>
        <w:t>2. El retiro de la oferta después de vencido el plazo fijado para la presentación de las ofertas.</w:t>
      </w:r>
    </w:p>
    <w:p w14:paraId="3E1979C4" w14:textId="77777777" w:rsidR="0017145A" w:rsidRPr="00386009" w:rsidRDefault="0017145A" w:rsidP="0017145A">
      <w:pPr>
        <w:spacing w:after="120"/>
        <w:ind w:left="709" w:right="709"/>
        <w:jc w:val="both"/>
        <w:rPr>
          <w:rFonts w:ascii="Arial" w:eastAsia="Calibri" w:hAnsi="Arial" w:cs="Arial"/>
          <w:color w:val="000000" w:themeColor="text1"/>
          <w:sz w:val="21"/>
          <w:szCs w:val="21"/>
          <w:lang w:val="es-ES"/>
        </w:rPr>
      </w:pPr>
      <w:r w:rsidRPr="00386009">
        <w:rPr>
          <w:rFonts w:ascii="Arial" w:eastAsia="Calibri" w:hAnsi="Arial" w:cs="Arial"/>
          <w:color w:val="000000" w:themeColor="text1"/>
          <w:sz w:val="21"/>
          <w:szCs w:val="21"/>
          <w:lang w:val="es-ES"/>
        </w:rPr>
        <w:t>3. La no suscripción del contrato sin justa causa por parte del adjudicatario.</w:t>
      </w:r>
    </w:p>
    <w:p w14:paraId="17639453" w14:textId="7765DB14" w:rsidR="0017145A" w:rsidRDefault="0017145A" w:rsidP="00484074">
      <w:pPr>
        <w:ind w:left="709" w:right="709"/>
        <w:jc w:val="both"/>
        <w:rPr>
          <w:rFonts w:ascii="Arial" w:eastAsia="Calibri" w:hAnsi="Arial" w:cs="Arial"/>
          <w:color w:val="000000" w:themeColor="text1"/>
          <w:sz w:val="21"/>
          <w:szCs w:val="21"/>
          <w:lang w:val="es-ES"/>
        </w:rPr>
      </w:pPr>
      <w:r w:rsidRPr="00386009">
        <w:rPr>
          <w:rFonts w:ascii="Arial" w:eastAsia="Calibri" w:hAnsi="Arial" w:cs="Arial"/>
          <w:color w:val="000000" w:themeColor="text1"/>
          <w:sz w:val="21"/>
          <w:szCs w:val="21"/>
          <w:lang w:val="es-ES"/>
        </w:rPr>
        <w:t xml:space="preserve">4. La </w:t>
      </w:r>
      <w:bookmarkStart w:id="11" w:name="_Hlk49506502"/>
      <w:r w:rsidRPr="00386009">
        <w:rPr>
          <w:rFonts w:ascii="Arial" w:eastAsia="Calibri" w:hAnsi="Arial" w:cs="Arial"/>
          <w:color w:val="000000" w:themeColor="text1"/>
          <w:sz w:val="21"/>
          <w:szCs w:val="21"/>
          <w:lang w:val="es-ES"/>
        </w:rPr>
        <w:t>falta de otorgamiento por parte del proponente seleccionado de la garantía de cumplimiento del contrato</w:t>
      </w:r>
      <w:bookmarkEnd w:id="11"/>
      <w:r w:rsidRPr="00386009">
        <w:rPr>
          <w:rFonts w:ascii="Arial" w:eastAsia="Calibri" w:hAnsi="Arial" w:cs="Arial"/>
          <w:color w:val="000000" w:themeColor="text1"/>
          <w:sz w:val="21"/>
          <w:szCs w:val="21"/>
          <w:lang w:val="es-ES"/>
        </w:rPr>
        <w:t>.</w:t>
      </w:r>
    </w:p>
    <w:p w14:paraId="1992888D" w14:textId="77777777" w:rsidR="00484074" w:rsidRPr="00CB776B" w:rsidRDefault="00484074" w:rsidP="00CB776B">
      <w:pPr>
        <w:spacing w:line="276" w:lineRule="auto"/>
        <w:ind w:right="709"/>
        <w:jc w:val="both"/>
        <w:rPr>
          <w:rFonts w:ascii="Arial" w:eastAsia="Calibri" w:hAnsi="Arial" w:cs="Arial"/>
          <w:color w:val="000000" w:themeColor="text1"/>
          <w:sz w:val="22"/>
          <w:szCs w:val="22"/>
          <w:lang w:val="es-ES"/>
        </w:rPr>
      </w:pPr>
    </w:p>
    <w:p w14:paraId="7B8FE14C" w14:textId="7508939B" w:rsidR="0017145A" w:rsidRDefault="00003233" w:rsidP="00AD2808">
      <w:pPr>
        <w:spacing w:before="120" w:line="276" w:lineRule="auto"/>
        <w:ind w:firstLine="709"/>
        <w:jc w:val="both"/>
        <w:rPr>
          <w:rFonts w:ascii="Arial" w:eastAsia="Calibri" w:hAnsi="Arial" w:cs="Arial"/>
          <w:b/>
          <w:bCs/>
          <w:color w:val="000000" w:themeColor="text1"/>
          <w:sz w:val="22"/>
        </w:rPr>
      </w:pPr>
      <w:r>
        <w:rPr>
          <w:rFonts w:ascii="Arial" w:eastAsia="Calibri" w:hAnsi="Arial" w:cs="Arial"/>
          <w:color w:val="000000" w:themeColor="text1"/>
          <w:sz w:val="22"/>
          <w:lang w:val="es-ES"/>
        </w:rPr>
        <w:lastRenderedPageBreak/>
        <w:t>L</w:t>
      </w:r>
      <w:r w:rsidR="0017145A" w:rsidRPr="00386009">
        <w:rPr>
          <w:rFonts w:ascii="Arial" w:eastAsia="Calibri" w:hAnsi="Arial" w:cs="Arial"/>
          <w:color w:val="000000" w:themeColor="text1"/>
          <w:sz w:val="22"/>
          <w:lang w:val="es-ES"/>
        </w:rPr>
        <w:t xml:space="preserve">as causales 1, 3 y 4 se configuran a través de omisiones –no ampliar, no suscribir y no otorgar–, mientras que la causal 2 se configura a través de una acción –retirar la oferta–. Además, guardan relación con diferentes etapas del procedimiento: mientras </w:t>
      </w:r>
      <w:r w:rsidR="0017145A">
        <w:rPr>
          <w:rFonts w:ascii="Arial" w:eastAsia="Calibri" w:hAnsi="Arial" w:cs="Arial"/>
          <w:color w:val="000000" w:themeColor="text1"/>
          <w:sz w:val="22"/>
          <w:lang w:val="es-ES"/>
        </w:rPr>
        <w:t xml:space="preserve">las causales 1, 2 y 3 </w:t>
      </w:r>
      <w:r w:rsidR="0017145A" w:rsidRPr="00386009">
        <w:rPr>
          <w:rFonts w:ascii="Arial" w:eastAsia="Calibri" w:hAnsi="Arial" w:cs="Arial"/>
          <w:color w:val="000000" w:themeColor="text1"/>
          <w:sz w:val="22"/>
          <w:lang w:val="es-ES"/>
        </w:rPr>
        <w:t>está</w:t>
      </w:r>
      <w:r w:rsidR="0017145A">
        <w:rPr>
          <w:rFonts w:ascii="Arial" w:eastAsia="Calibri" w:hAnsi="Arial" w:cs="Arial"/>
          <w:color w:val="000000" w:themeColor="text1"/>
          <w:sz w:val="22"/>
          <w:lang w:val="es-ES"/>
        </w:rPr>
        <w:t>n</w:t>
      </w:r>
      <w:r w:rsidR="0017145A" w:rsidRPr="00386009">
        <w:rPr>
          <w:rFonts w:ascii="Arial" w:eastAsia="Calibri" w:hAnsi="Arial" w:cs="Arial"/>
          <w:color w:val="000000" w:themeColor="text1"/>
          <w:sz w:val="22"/>
          <w:lang w:val="es-ES"/>
        </w:rPr>
        <w:t xml:space="preserve"> ubicada</w:t>
      </w:r>
      <w:r w:rsidR="0017145A">
        <w:rPr>
          <w:rFonts w:ascii="Arial" w:eastAsia="Calibri" w:hAnsi="Arial" w:cs="Arial"/>
          <w:color w:val="000000" w:themeColor="text1"/>
          <w:sz w:val="22"/>
          <w:lang w:val="es-ES"/>
        </w:rPr>
        <w:t>s</w:t>
      </w:r>
      <w:r w:rsidR="0017145A" w:rsidRPr="00386009">
        <w:rPr>
          <w:rFonts w:ascii="Arial" w:eastAsia="Calibri" w:hAnsi="Arial" w:cs="Arial"/>
          <w:color w:val="000000" w:themeColor="text1"/>
          <w:sz w:val="22"/>
          <w:lang w:val="es-ES"/>
        </w:rPr>
        <w:t xml:space="preserve"> en la etapa precontractual</w:t>
      </w:r>
      <w:r w:rsidR="0017145A">
        <w:rPr>
          <w:rFonts w:ascii="Arial" w:eastAsia="Calibri" w:hAnsi="Arial" w:cs="Arial"/>
          <w:color w:val="000000" w:themeColor="text1"/>
          <w:sz w:val="22"/>
          <w:lang w:val="es-ES"/>
        </w:rPr>
        <w:t>,</w:t>
      </w:r>
      <w:r w:rsidR="0017145A" w:rsidRPr="00386009">
        <w:rPr>
          <w:rFonts w:ascii="Arial" w:eastAsia="Calibri" w:hAnsi="Arial" w:cs="Arial"/>
          <w:color w:val="000000" w:themeColor="text1"/>
          <w:sz w:val="22"/>
          <w:lang w:val="es-ES"/>
        </w:rPr>
        <w:t xml:space="preserve"> </w:t>
      </w:r>
      <w:r w:rsidR="0017145A">
        <w:rPr>
          <w:rFonts w:ascii="Arial" w:eastAsia="Calibri" w:hAnsi="Arial" w:cs="Arial"/>
          <w:color w:val="000000" w:themeColor="text1"/>
          <w:sz w:val="22"/>
          <w:lang w:val="es-ES"/>
        </w:rPr>
        <w:t>la causal</w:t>
      </w:r>
      <w:r w:rsidR="0017145A" w:rsidRPr="00386009">
        <w:rPr>
          <w:rFonts w:ascii="Arial" w:eastAsia="Calibri" w:hAnsi="Arial" w:cs="Arial"/>
          <w:color w:val="000000" w:themeColor="text1"/>
          <w:sz w:val="22"/>
          <w:lang w:val="es-ES"/>
        </w:rPr>
        <w:t xml:space="preserve"> 4 </w:t>
      </w:r>
      <w:r w:rsidR="0017145A">
        <w:rPr>
          <w:rFonts w:ascii="Arial" w:eastAsia="Calibri" w:hAnsi="Arial" w:cs="Arial"/>
          <w:color w:val="000000" w:themeColor="text1"/>
          <w:sz w:val="22"/>
          <w:lang w:val="es-ES"/>
        </w:rPr>
        <w:t>lo está en</w:t>
      </w:r>
      <w:r w:rsidR="0017145A" w:rsidRPr="00386009">
        <w:rPr>
          <w:rFonts w:ascii="Arial" w:eastAsia="Calibri" w:hAnsi="Arial" w:cs="Arial"/>
          <w:color w:val="000000" w:themeColor="text1"/>
          <w:sz w:val="22"/>
          <w:lang w:val="es-ES"/>
        </w:rPr>
        <w:t xml:space="preserve"> la contractual. Finalmente, mientras las causales 2, 3 y 4 dependen de la conducta pura y simple del proponente, la causal 1 depende de una exigencia previa de la entidad contratante en la que, posteriormente, el oferente incumple el deber de mantener la vigencia de la garantía del ofrecimiento.</w:t>
      </w:r>
      <w:r w:rsidR="0017145A">
        <w:rPr>
          <w:rFonts w:ascii="Arial" w:eastAsia="Calibri" w:hAnsi="Arial" w:cs="Arial"/>
          <w:color w:val="000000" w:themeColor="text1"/>
          <w:sz w:val="22"/>
          <w:lang w:val="es-ES"/>
        </w:rPr>
        <w:t xml:space="preserve"> </w:t>
      </w:r>
    </w:p>
    <w:p w14:paraId="172B7148" w14:textId="1733DE35" w:rsidR="00B131C4" w:rsidRDefault="00D26C21" w:rsidP="00B131C4">
      <w:pPr>
        <w:spacing w:before="120" w:line="276" w:lineRule="auto"/>
        <w:ind w:firstLine="708"/>
        <w:jc w:val="both"/>
        <w:rPr>
          <w:rFonts w:ascii="Arial" w:eastAsia="Calibri" w:hAnsi="Arial" w:cs="Arial"/>
          <w:color w:val="000000" w:themeColor="text1"/>
          <w:sz w:val="22"/>
          <w:szCs w:val="22"/>
          <w:lang w:val="es-ES_tradnl" w:eastAsia="en-US"/>
        </w:rPr>
      </w:pPr>
      <w:r>
        <w:rPr>
          <w:rFonts w:ascii="Arial" w:eastAsia="Calibri" w:hAnsi="Arial" w:cs="Arial"/>
          <w:color w:val="000000" w:themeColor="text1"/>
          <w:sz w:val="22"/>
          <w:szCs w:val="22"/>
          <w:lang w:val="es-ES_tradnl" w:eastAsia="en-US"/>
        </w:rPr>
        <w:t xml:space="preserve">En lo que atañe a </w:t>
      </w:r>
      <w:r w:rsidR="00F23CB5">
        <w:rPr>
          <w:rFonts w:ascii="Arial" w:eastAsia="Calibri" w:hAnsi="Arial" w:cs="Arial"/>
          <w:color w:val="000000" w:themeColor="text1"/>
          <w:sz w:val="22"/>
          <w:szCs w:val="22"/>
          <w:lang w:val="es-ES_tradnl" w:eastAsia="en-US"/>
        </w:rPr>
        <w:t>la</w:t>
      </w:r>
      <w:r w:rsidR="00E16572">
        <w:rPr>
          <w:rFonts w:ascii="Arial" w:eastAsia="Calibri" w:hAnsi="Arial" w:cs="Arial"/>
          <w:color w:val="000000" w:themeColor="text1"/>
          <w:sz w:val="22"/>
          <w:szCs w:val="22"/>
          <w:lang w:val="es-ES_tradnl" w:eastAsia="en-US"/>
        </w:rPr>
        <w:t xml:space="preserve"> </w:t>
      </w:r>
      <w:r w:rsidR="00F23CB5" w:rsidRPr="00CB776B">
        <w:rPr>
          <w:rFonts w:ascii="Arial" w:eastAsia="Calibri" w:hAnsi="Arial" w:cs="Arial"/>
          <w:i/>
          <w:iCs/>
          <w:color w:val="000000" w:themeColor="text1"/>
          <w:sz w:val="22"/>
          <w:szCs w:val="22"/>
          <w:lang w:val="es-ES_tradnl" w:eastAsia="en-US"/>
        </w:rPr>
        <w:t>garantía</w:t>
      </w:r>
      <w:r w:rsidR="00E16572" w:rsidRPr="00CB776B">
        <w:rPr>
          <w:rFonts w:ascii="Arial" w:eastAsia="Calibri" w:hAnsi="Arial" w:cs="Arial"/>
          <w:i/>
          <w:iCs/>
          <w:color w:val="000000" w:themeColor="text1"/>
          <w:sz w:val="22"/>
          <w:szCs w:val="22"/>
          <w:lang w:val="es-ES_tradnl" w:eastAsia="en-US"/>
        </w:rPr>
        <w:t xml:space="preserve"> </w:t>
      </w:r>
      <w:r w:rsidR="00807666" w:rsidRPr="00CB776B">
        <w:rPr>
          <w:rFonts w:ascii="Arial" w:eastAsia="Calibri" w:hAnsi="Arial" w:cs="Arial"/>
          <w:i/>
          <w:iCs/>
          <w:color w:val="000000" w:themeColor="text1"/>
          <w:sz w:val="22"/>
          <w:szCs w:val="22"/>
          <w:lang w:val="es-ES_tradnl" w:eastAsia="en-US"/>
        </w:rPr>
        <w:t>de cumplimiento</w:t>
      </w:r>
      <w:r>
        <w:rPr>
          <w:rFonts w:ascii="Arial" w:eastAsia="Calibri" w:hAnsi="Arial" w:cs="Arial"/>
          <w:color w:val="000000" w:themeColor="text1"/>
          <w:sz w:val="22"/>
          <w:szCs w:val="22"/>
          <w:lang w:val="es-ES_tradnl" w:eastAsia="en-US"/>
        </w:rPr>
        <w:t xml:space="preserve">, </w:t>
      </w:r>
      <w:r w:rsidR="00366B70">
        <w:rPr>
          <w:rFonts w:ascii="Arial" w:eastAsia="Calibri" w:hAnsi="Arial" w:cs="Arial"/>
          <w:color w:val="000000" w:themeColor="text1"/>
          <w:sz w:val="22"/>
          <w:szCs w:val="22"/>
          <w:lang w:val="es-ES_tradnl" w:eastAsia="en-US"/>
        </w:rPr>
        <w:t>con el fin de</w:t>
      </w:r>
      <w:r w:rsidR="00B131C4">
        <w:rPr>
          <w:rFonts w:ascii="Arial" w:eastAsia="Calibri" w:hAnsi="Arial" w:cs="Arial"/>
          <w:color w:val="000000" w:themeColor="text1"/>
          <w:sz w:val="22"/>
          <w:szCs w:val="22"/>
          <w:lang w:val="es-ES_tradnl" w:eastAsia="en-US"/>
        </w:rPr>
        <w:t xml:space="preserve"> centrarnos en el objeto de consulta</w:t>
      </w:r>
      <w:r w:rsidR="000C7211">
        <w:rPr>
          <w:rFonts w:ascii="Arial" w:eastAsia="Calibri" w:hAnsi="Arial" w:cs="Arial"/>
          <w:color w:val="000000" w:themeColor="text1"/>
          <w:sz w:val="22"/>
          <w:szCs w:val="22"/>
          <w:lang w:val="es-ES_tradnl" w:eastAsia="en-US"/>
        </w:rPr>
        <w:t>,</w:t>
      </w:r>
      <w:r w:rsidR="00366B70">
        <w:rPr>
          <w:rFonts w:ascii="Arial" w:eastAsia="Calibri" w:hAnsi="Arial" w:cs="Arial"/>
          <w:color w:val="000000" w:themeColor="text1"/>
          <w:sz w:val="22"/>
          <w:szCs w:val="22"/>
          <w:lang w:val="es-ES_tradnl" w:eastAsia="en-US"/>
        </w:rPr>
        <w:t xml:space="preserve"> haremos referencia a dos de los amparos que establece el artículo </w:t>
      </w:r>
      <w:r w:rsidR="00366B70" w:rsidRPr="00366B70">
        <w:rPr>
          <w:rFonts w:ascii="Arial" w:eastAsia="Calibri" w:hAnsi="Arial" w:cs="Arial"/>
          <w:color w:val="000000" w:themeColor="text1"/>
          <w:sz w:val="22"/>
          <w:szCs w:val="22"/>
          <w:lang w:val="es-ES_tradnl" w:eastAsia="en-US"/>
        </w:rPr>
        <w:t>2.2.1.2.3.1.7</w:t>
      </w:r>
      <w:r w:rsidR="00366B70">
        <w:rPr>
          <w:rFonts w:ascii="Arial" w:eastAsia="Calibri" w:hAnsi="Arial" w:cs="Arial"/>
          <w:color w:val="000000" w:themeColor="text1"/>
          <w:sz w:val="22"/>
          <w:szCs w:val="22"/>
          <w:lang w:val="es-ES_tradnl" w:eastAsia="en-US"/>
        </w:rPr>
        <w:t xml:space="preserve"> del Decreto 1082 de 2015: i)</w:t>
      </w:r>
      <w:r w:rsidR="00B131C4">
        <w:rPr>
          <w:rFonts w:ascii="Arial" w:eastAsia="Calibri" w:hAnsi="Arial" w:cs="Arial"/>
          <w:color w:val="000000" w:themeColor="text1"/>
          <w:sz w:val="22"/>
          <w:szCs w:val="22"/>
          <w:lang w:val="es-ES_tradnl" w:eastAsia="en-US"/>
        </w:rPr>
        <w:t xml:space="preserve"> </w:t>
      </w:r>
      <w:r w:rsidR="0089616D">
        <w:rPr>
          <w:rFonts w:ascii="Arial" w:eastAsia="Calibri" w:hAnsi="Arial" w:cs="Arial"/>
          <w:color w:val="000000" w:themeColor="text1"/>
          <w:sz w:val="22"/>
          <w:szCs w:val="22"/>
          <w:lang w:val="es-ES_tradnl" w:eastAsia="en-US"/>
        </w:rPr>
        <w:t xml:space="preserve">el </w:t>
      </w:r>
      <w:r w:rsidR="00B131C4">
        <w:rPr>
          <w:rFonts w:ascii="Arial" w:eastAsia="Calibri" w:hAnsi="Arial" w:cs="Arial"/>
          <w:color w:val="000000" w:themeColor="text1"/>
          <w:sz w:val="22"/>
          <w:szCs w:val="22"/>
          <w:lang w:val="es-ES_tradnl" w:eastAsia="en-US"/>
        </w:rPr>
        <w:t xml:space="preserve">amparo </w:t>
      </w:r>
      <w:r w:rsidR="00807666">
        <w:rPr>
          <w:rFonts w:ascii="Arial" w:eastAsia="Calibri" w:hAnsi="Arial" w:cs="Arial"/>
          <w:color w:val="000000" w:themeColor="text1"/>
          <w:sz w:val="22"/>
          <w:szCs w:val="22"/>
          <w:lang w:val="es-ES_tradnl" w:eastAsia="en-US"/>
        </w:rPr>
        <w:t xml:space="preserve">del buen manejo y correcta inversión </w:t>
      </w:r>
      <w:r w:rsidR="00B131C4">
        <w:rPr>
          <w:rFonts w:ascii="Arial" w:eastAsia="Calibri" w:hAnsi="Arial" w:cs="Arial"/>
          <w:color w:val="000000" w:themeColor="text1"/>
          <w:sz w:val="22"/>
          <w:szCs w:val="22"/>
          <w:lang w:val="es-ES_tradnl" w:eastAsia="en-US"/>
        </w:rPr>
        <w:t xml:space="preserve">del anticipo y </w:t>
      </w:r>
      <w:proofErr w:type="spellStart"/>
      <w:r w:rsidR="00366B70">
        <w:rPr>
          <w:rFonts w:ascii="Arial" w:eastAsia="Calibri" w:hAnsi="Arial" w:cs="Arial"/>
          <w:color w:val="000000" w:themeColor="text1"/>
          <w:sz w:val="22"/>
          <w:szCs w:val="22"/>
          <w:lang w:val="es-ES_tradnl" w:eastAsia="en-US"/>
        </w:rPr>
        <w:t>ii</w:t>
      </w:r>
      <w:proofErr w:type="spellEnd"/>
      <w:r w:rsidR="00366B70">
        <w:rPr>
          <w:rFonts w:ascii="Arial" w:eastAsia="Calibri" w:hAnsi="Arial" w:cs="Arial"/>
          <w:color w:val="000000" w:themeColor="text1"/>
          <w:sz w:val="22"/>
          <w:szCs w:val="22"/>
          <w:lang w:val="es-ES_tradnl" w:eastAsia="en-US"/>
        </w:rPr>
        <w:t>)</w:t>
      </w:r>
      <w:r w:rsidR="0089616D">
        <w:rPr>
          <w:rFonts w:ascii="Arial" w:eastAsia="Calibri" w:hAnsi="Arial" w:cs="Arial"/>
          <w:color w:val="000000" w:themeColor="text1"/>
          <w:sz w:val="22"/>
          <w:szCs w:val="22"/>
          <w:lang w:val="es-ES_tradnl" w:eastAsia="en-US"/>
        </w:rPr>
        <w:t xml:space="preserve"> el</w:t>
      </w:r>
      <w:r w:rsidR="00366B70">
        <w:rPr>
          <w:rFonts w:ascii="Arial" w:eastAsia="Calibri" w:hAnsi="Arial" w:cs="Arial"/>
          <w:color w:val="000000" w:themeColor="text1"/>
          <w:sz w:val="22"/>
          <w:szCs w:val="22"/>
          <w:lang w:val="es-ES_tradnl" w:eastAsia="en-US"/>
        </w:rPr>
        <w:t xml:space="preserve"> </w:t>
      </w:r>
      <w:r w:rsidR="00B131C4">
        <w:rPr>
          <w:rFonts w:ascii="Arial" w:eastAsia="Calibri" w:hAnsi="Arial" w:cs="Arial"/>
          <w:color w:val="000000" w:themeColor="text1"/>
          <w:sz w:val="22"/>
          <w:szCs w:val="22"/>
          <w:lang w:val="es-ES_tradnl" w:eastAsia="en-US"/>
        </w:rPr>
        <w:t xml:space="preserve">amparo de estabilidad y calidad de la obra. </w:t>
      </w:r>
    </w:p>
    <w:p w14:paraId="42D347B6" w14:textId="221A3E3F" w:rsidR="00B131C4" w:rsidRDefault="00366B70" w:rsidP="00C52428">
      <w:pPr>
        <w:spacing w:before="120" w:line="276" w:lineRule="auto"/>
        <w:ind w:firstLine="708"/>
        <w:jc w:val="both"/>
        <w:rPr>
          <w:rFonts w:ascii="Arial" w:eastAsia="Calibri" w:hAnsi="Arial" w:cs="Arial"/>
          <w:color w:val="000000" w:themeColor="text1"/>
          <w:sz w:val="22"/>
          <w:lang w:val="es-ES_tradnl"/>
        </w:rPr>
      </w:pPr>
      <w:r w:rsidRPr="00366B70">
        <w:rPr>
          <w:rFonts w:ascii="Arial" w:eastAsia="Calibri" w:hAnsi="Arial" w:cs="Arial"/>
          <w:color w:val="000000" w:themeColor="text1"/>
          <w:sz w:val="22"/>
          <w:szCs w:val="22"/>
          <w:lang w:val="es-ES_tradnl" w:eastAsia="en-US"/>
        </w:rPr>
        <w:t>i)</w:t>
      </w:r>
      <w:r>
        <w:rPr>
          <w:rFonts w:ascii="Arial" w:eastAsia="Calibri" w:hAnsi="Arial" w:cs="Arial"/>
          <w:color w:val="000000" w:themeColor="text1"/>
          <w:sz w:val="22"/>
          <w:lang w:val="es-ES_tradnl"/>
        </w:rPr>
        <w:t xml:space="preserve"> </w:t>
      </w:r>
      <w:r w:rsidR="00B131C4" w:rsidRPr="00366B70">
        <w:rPr>
          <w:rFonts w:ascii="Arial" w:eastAsia="Calibri" w:hAnsi="Arial" w:cs="Arial"/>
          <w:color w:val="000000" w:themeColor="text1"/>
          <w:sz w:val="22"/>
          <w:lang w:val="es-ES_tradnl"/>
        </w:rPr>
        <w:t xml:space="preserve">De conformidad con el numeral 1 del </w:t>
      </w:r>
      <w:r w:rsidR="00164AF1">
        <w:rPr>
          <w:rFonts w:ascii="Arial" w:eastAsia="Calibri" w:hAnsi="Arial" w:cs="Arial"/>
          <w:color w:val="000000" w:themeColor="text1"/>
          <w:sz w:val="22"/>
          <w:lang w:val="es-ES_tradnl"/>
        </w:rPr>
        <w:t xml:space="preserve">artículo </w:t>
      </w:r>
      <w:r w:rsidR="00B131C4" w:rsidRPr="00366B70">
        <w:rPr>
          <w:rFonts w:ascii="Arial" w:eastAsia="Calibri" w:hAnsi="Arial" w:cs="Arial"/>
          <w:color w:val="000000" w:themeColor="text1"/>
          <w:sz w:val="22"/>
          <w:lang w:val="es-ES_tradnl"/>
        </w:rPr>
        <w:t xml:space="preserve">2.2.1.2.3.1.7 del Decreto 1082 de 2015, el amparo de buen manejo y correcta inversión del </w:t>
      </w:r>
      <w:proofErr w:type="gramStart"/>
      <w:r w:rsidR="00B131C4" w:rsidRPr="00366B70">
        <w:rPr>
          <w:rFonts w:ascii="Arial" w:eastAsia="Calibri" w:hAnsi="Arial" w:cs="Arial"/>
          <w:color w:val="000000" w:themeColor="text1"/>
          <w:sz w:val="22"/>
          <w:lang w:val="es-ES_tradnl"/>
        </w:rPr>
        <w:t>anticipo,</w:t>
      </w:r>
      <w:proofErr w:type="gramEnd"/>
      <w:r w:rsidR="00B131C4" w:rsidRPr="00366B70">
        <w:rPr>
          <w:rFonts w:ascii="Arial" w:eastAsia="Calibri" w:hAnsi="Arial" w:cs="Arial"/>
          <w:color w:val="000000" w:themeColor="text1"/>
          <w:sz w:val="22"/>
          <w:lang w:val="es-ES_tradnl"/>
        </w:rPr>
        <w:t xml:space="preserve"> cubre a la entidad de los perjuicios sufridos </w:t>
      </w:r>
      <w:r>
        <w:rPr>
          <w:rFonts w:ascii="Arial" w:eastAsia="Calibri" w:hAnsi="Arial" w:cs="Arial"/>
          <w:color w:val="000000" w:themeColor="text1"/>
          <w:sz w:val="22"/>
          <w:lang w:val="es-ES_tradnl"/>
        </w:rPr>
        <w:t>con ocasión de</w:t>
      </w:r>
      <w:r w:rsidR="00B131C4" w:rsidRPr="00366B70">
        <w:rPr>
          <w:rFonts w:ascii="Arial" w:eastAsia="Calibri" w:hAnsi="Arial" w:cs="Arial"/>
          <w:color w:val="000000" w:themeColor="text1"/>
          <w:sz w:val="22"/>
          <w:lang w:val="es-ES_tradnl"/>
        </w:rPr>
        <w:t xml:space="preserve"> la </w:t>
      </w:r>
      <w:r w:rsidR="00164AF1">
        <w:rPr>
          <w:rFonts w:ascii="Arial" w:eastAsia="Calibri" w:hAnsi="Arial" w:cs="Arial"/>
          <w:color w:val="000000" w:themeColor="text1"/>
          <w:sz w:val="22"/>
          <w:lang w:val="es-ES_tradnl"/>
        </w:rPr>
        <w:t xml:space="preserve">no inversión del anticipo; </w:t>
      </w:r>
      <w:r w:rsidR="00B131C4" w:rsidRPr="00366B70">
        <w:rPr>
          <w:rFonts w:ascii="Arial" w:eastAsia="Calibri" w:hAnsi="Arial" w:cs="Arial"/>
          <w:color w:val="000000" w:themeColor="text1"/>
          <w:sz w:val="22"/>
          <w:lang w:val="es-ES_tradnl"/>
        </w:rPr>
        <w:t>el us</w:t>
      </w:r>
      <w:r w:rsidR="00164AF1">
        <w:rPr>
          <w:rFonts w:ascii="Arial" w:eastAsia="Calibri" w:hAnsi="Arial" w:cs="Arial"/>
          <w:color w:val="000000" w:themeColor="text1"/>
          <w:sz w:val="22"/>
          <w:lang w:val="es-ES_tradnl"/>
        </w:rPr>
        <w:t>o indebido del anticipo; y</w:t>
      </w:r>
      <w:r w:rsidR="00B131C4" w:rsidRPr="00366B70">
        <w:rPr>
          <w:rFonts w:ascii="Arial" w:eastAsia="Calibri" w:hAnsi="Arial" w:cs="Arial"/>
          <w:color w:val="000000" w:themeColor="text1"/>
          <w:sz w:val="22"/>
          <w:lang w:val="es-ES_tradnl"/>
        </w:rPr>
        <w:t xml:space="preserve"> la apropiación indebida de los recursos recibidos en calidad de anticipo.</w:t>
      </w:r>
    </w:p>
    <w:p w14:paraId="7BC020AA" w14:textId="74BC60AB" w:rsidR="005F1D7D" w:rsidRDefault="00164AF1" w:rsidP="00CF16C0">
      <w:pPr>
        <w:spacing w:before="120" w:line="276" w:lineRule="auto"/>
        <w:ind w:firstLine="709"/>
        <w:jc w:val="both"/>
        <w:rPr>
          <w:rFonts w:ascii="Arial" w:eastAsia="Calibri" w:hAnsi="Arial" w:cs="Arial"/>
          <w:sz w:val="22"/>
          <w:szCs w:val="22"/>
          <w:lang w:val="es-MX" w:eastAsia="en-US"/>
        </w:rPr>
      </w:pPr>
      <w:r>
        <w:rPr>
          <w:rFonts w:ascii="Arial" w:eastAsia="Calibri" w:hAnsi="Arial" w:cs="Arial"/>
          <w:color w:val="000000" w:themeColor="text1"/>
          <w:sz w:val="22"/>
          <w:lang w:val="es-ES_tradnl"/>
        </w:rPr>
        <w:t xml:space="preserve">Este amparo encuentra fundamento en el anticipo </w:t>
      </w:r>
      <w:r w:rsidR="0089616D">
        <w:rPr>
          <w:rFonts w:ascii="Arial" w:eastAsia="Calibri" w:hAnsi="Arial" w:cs="Arial"/>
          <w:color w:val="000000" w:themeColor="text1"/>
          <w:sz w:val="22"/>
          <w:lang w:val="es-ES_tradnl"/>
        </w:rPr>
        <w:t>se</w:t>
      </w:r>
      <w:r>
        <w:rPr>
          <w:rFonts w:ascii="Arial" w:eastAsia="Calibri" w:hAnsi="Arial" w:cs="Arial"/>
          <w:color w:val="000000" w:themeColor="text1"/>
          <w:sz w:val="22"/>
          <w:lang w:val="es-ES_tradnl"/>
        </w:rPr>
        <w:t xml:space="preserve"> entrega al contratista con la finalidad de solventar</w:t>
      </w:r>
      <w:r w:rsidRPr="00164AF1">
        <w:rPr>
          <w:rFonts w:ascii="Arial" w:eastAsia="Calibri" w:hAnsi="Arial" w:cs="Arial"/>
          <w:color w:val="000000" w:themeColor="text1"/>
          <w:sz w:val="22"/>
          <w:lang w:val="es-ES_tradnl"/>
        </w:rPr>
        <w:t xml:space="preserve"> los costos iniciales de la ejecución del contrato</w:t>
      </w:r>
      <w:r w:rsidR="00FD556A">
        <w:rPr>
          <w:rFonts w:ascii="Arial" w:eastAsia="Calibri" w:hAnsi="Arial" w:cs="Arial"/>
          <w:color w:val="000000" w:themeColor="text1"/>
          <w:sz w:val="22"/>
          <w:lang w:val="es-ES_tradnl"/>
        </w:rPr>
        <w:t xml:space="preserve">. Dado que el anticipo se concibe como </w:t>
      </w:r>
      <w:r w:rsidR="000C0960">
        <w:rPr>
          <w:rFonts w:ascii="Arial" w:eastAsia="Calibri" w:hAnsi="Arial" w:cs="Arial"/>
          <w:color w:val="000000" w:themeColor="text1"/>
          <w:sz w:val="22"/>
          <w:lang w:val="es-ES_tradnl"/>
        </w:rPr>
        <w:t xml:space="preserve">un </w:t>
      </w:r>
      <w:r w:rsidR="00FD556A">
        <w:rPr>
          <w:rFonts w:ascii="Arial" w:eastAsia="Calibri" w:hAnsi="Arial" w:cs="Arial"/>
          <w:color w:val="000000" w:themeColor="text1"/>
          <w:sz w:val="22"/>
          <w:lang w:val="es-ES_tradnl"/>
        </w:rPr>
        <w:t xml:space="preserve">adelanto </w:t>
      </w:r>
      <w:r w:rsidR="000C0960">
        <w:rPr>
          <w:rFonts w:ascii="Arial" w:eastAsia="Calibri" w:hAnsi="Arial" w:cs="Arial"/>
          <w:sz w:val="22"/>
          <w:szCs w:val="22"/>
          <w:lang w:val="es-MX" w:eastAsia="en-US"/>
        </w:rPr>
        <w:t>o avance del valor</w:t>
      </w:r>
      <w:r w:rsidR="00FD556A" w:rsidRPr="00FD556A">
        <w:rPr>
          <w:rFonts w:ascii="Arial" w:eastAsia="Calibri" w:hAnsi="Arial" w:cs="Arial"/>
          <w:sz w:val="22"/>
          <w:szCs w:val="22"/>
          <w:lang w:val="es-MX" w:eastAsia="en-US"/>
        </w:rPr>
        <w:t xml:space="preserve"> del contrato destinado a apalancar el cumplimiento de su objeto, </w:t>
      </w:r>
      <w:r w:rsidR="00FD556A">
        <w:rPr>
          <w:rFonts w:ascii="Arial" w:eastAsia="Calibri" w:hAnsi="Arial" w:cs="Arial"/>
          <w:sz w:val="22"/>
          <w:szCs w:val="22"/>
          <w:lang w:val="es-MX" w:eastAsia="en-US"/>
        </w:rPr>
        <w:t>los recursos entregados en tal calidad son de naturaleza pública</w:t>
      </w:r>
      <w:r w:rsidR="0089616D">
        <w:rPr>
          <w:rFonts w:ascii="Arial" w:eastAsia="Calibri" w:hAnsi="Arial" w:cs="Arial"/>
          <w:sz w:val="22"/>
          <w:szCs w:val="22"/>
          <w:lang w:val="es-MX" w:eastAsia="en-US"/>
        </w:rPr>
        <w:t>.</w:t>
      </w:r>
      <w:r w:rsidR="00FD556A">
        <w:rPr>
          <w:rFonts w:ascii="Arial" w:eastAsia="Calibri" w:hAnsi="Arial" w:cs="Arial"/>
          <w:sz w:val="22"/>
          <w:szCs w:val="22"/>
          <w:lang w:val="es-MX" w:eastAsia="en-US"/>
        </w:rPr>
        <w:t xml:space="preserve"> </w:t>
      </w:r>
      <w:r w:rsidR="0089616D">
        <w:rPr>
          <w:rFonts w:ascii="Arial" w:eastAsia="Calibri" w:hAnsi="Arial" w:cs="Arial"/>
          <w:sz w:val="22"/>
          <w:szCs w:val="22"/>
          <w:lang w:val="es-MX" w:eastAsia="en-US"/>
        </w:rPr>
        <w:t>P</w:t>
      </w:r>
      <w:r w:rsidR="00FD556A">
        <w:rPr>
          <w:rFonts w:ascii="Arial" w:eastAsia="Calibri" w:hAnsi="Arial" w:cs="Arial"/>
          <w:sz w:val="22"/>
          <w:szCs w:val="22"/>
          <w:lang w:val="es-MX" w:eastAsia="en-US"/>
        </w:rPr>
        <w:t xml:space="preserve">or tanto, </w:t>
      </w:r>
      <w:r w:rsidR="00FD556A" w:rsidRPr="00FD556A">
        <w:rPr>
          <w:rFonts w:ascii="Arial" w:eastAsia="Calibri" w:hAnsi="Arial" w:cs="Arial"/>
          <w:sz w:val="22"/>
          <w:szCs w:val="22"/>
          <w:lang w:val="es-MX" w:eastAsia="en-US"/>
        </w:rPr>
        <w:t>solo se integran al patrimonio del contratista en la medida que se cause su amortización, mediante la ejecución de actividades programadas del contrato.</w:t>
      </w:r>
      <w:r w:rsidR="00CF16C0">
        <w:rPr>
          <w:rFonts w:ascii="Arial" w:eastAsia="Calibri" w:hAnsi="Arial" w:cs="Arial"/>
          <w:sz w:val="22"/>
          <w:szCs w:val="22"/>
          <w:lang w:val="es-MX" w:eastAsia="en-US"/>
        </w:rPr>
        <w:t xml:space="preserve"> </w:t>
      </w:r>
      <w:r w:rsidR="005F1D7D">
        <w:rPr>
          <w:rFonts w:ascii="Arial" w:eastAsia="Calibri" w:hAnsi="Arial" w:cs="Arial"/>
          <w:sz w:val="22"/>
          <w:szCs w:val="22"/>
          <w:lang w:val="es-MX" w:eastAsia="en-US"/>
        </w:rPr>
        <w:t xml:space="preserve">Bajo esta perspectiva, </w:t>
      </w:r>
      <w:r w:rsidR="0089616D">
        <w:rPr>
          <w:rFonts w:ascii="Arial" w:eastAsia="Calibri" w:hAnsi="Arial" w:cs="Arial"/>
          <w:sz w:val="22"/>
          <w:szCs w:val="22"/>
          <w:lang w:val="es-MX" w:eastAsia="en-US"/>
        </w:rPr>
        <w:t xml:space="preserve">es </w:t>
      </w:r>
      <w:r w:rsidR="005F1D7D">
        <w:rPr>
          <w:rFonts w:ascii="Arial" w:eastAsia="Calibri" w:hAnsi="Arial" w:cs="Arial"/>
          <w:sz w:val="22"/>
          <w:szCs w:val="22"/>
          <w:lang w:val="es-MX" w:eastAsia="en-US"/>
        </w:rPr>
        <w:t xml:space="preserve">indispensable </w:t>
      </w:r>
      <w:r w:rsidR="000C0960">
        <w:rPr>
          <w:rFonts w:ascii="Arial" w:eastAsia="Calibri" w:hAnsi="Arial" w:cs="Arial"/>
          <w:sz w:val="22"/>
          <w:szCs w:val="22"/>
          <w:lang w:val="es-MX" w:eastAsia="en-US"/>
        </w:rPr>
        <w:t xml:space="preserve">garantizar </w:t>
      </w:r>
      <w:r w:rsidR="00336AB1">
        <w:rPr>
          <w:rFonts w:ascii="Arial" w:eastAsia="Calibri" w:hAnsi="Arial" w:cs="Arial"/>
          <w:sz w:val="22"/>
          <w:szCs w:val="22"/>
          <w:lang w:val="es-MX" w:eastAsia="en-US"/>
        </w:rPr>
        <w:t xml:space="preserve">los riesgos del </w:t>
      </w:r>
      <w:r w:rsidR="00C52428">
        <w:rPr>
          <w:rFonts w:ascii="Arial" w:eastAsia="Calibri" w:hAnsi="Arial" w:cs="Arial"/>
          <w:sz w:val="22"/>
          <w:szCs w:val="22"/>
          <w:lang w:val="es-MX" w:eastAsia="en-US"/>
        </w:rPr>
        <w:t xml:space="preserve">manejo e inversión de dicho anticipo. </w:t>
      </w:r>
      <w:r w:rsidR="0089616D">
        <w:rPr>
          <w:rFonts w:ascii="Arial" w:eastAsia="Calibri" w:hAnsi="Arial" w:cs="Arial"/>
          <w:sz w:val="22"/>
          <w:szCs w:val="22"/>
          <w:lang w:val="es-MX" w:eastAsia="en-US"/>
        </w:rPr>
        <w:t>L</w:t>
      </w:r>
      <w:r w:rsidR="00C52428">
        <w:rPr>
          <w:rFonts w:ascii="Arial" w:eastAsia="Calibri" w:hAnsi="Arial" w:cs="Arial"/>
          <w:sz w:val="22"/>
          <w:szCs w:val="22"/>
          <w:lang w:val="es-MX" w:eastAsia="en-US"/>
        </w:rPr>
        <w:t>a jurisprudencia</w:t>
      </w:r>
      <w:r w:rsidR="0089616D">
        <w:rPr>
          <w:rFonts w:ascii="Arial" w:eastAsia="Calibri" w:hAnsi="Arial" w:cs="Arial"/>
          <w:sz w:val="22"/>
          <w:szCs w:val="22"/>
          <w:lang w:val="es-MX" w:eastAsia="en-US"/>
        </w:rPr>
        <w:t xml:space="preserve"> explica esta necesidad en los siguientes términos</w:t>
      </w:r>
      <w:r w:rsidR="00C52428">
        <w:rPr>
          <w:rFonts w:ascii="Arial" w:eastAsia="Calibri" w:hAnsi="Arial" w:cs="Arial"/>
          <w:sz w:val="22"/>
          <w:szCs w:val="22"/>
          <w:lang w:val="es-MX" w:eastAsia="en-US"/>
        </w:rPr>
        <w:t xml:space="preserve">: </w:t>
      </w:r>
    </w:p>
    <w:p w14:paraId="00AFB549" w14:textId="77777777" w:rsidR="00336AB1" w:rsidRDefault="00336AB1" w:rsidP="00484074">
      <w:pPr>
        <w:spacing w:line="276" w:lineRule="auto"/>
        <w:ind w:firstLine="709"/>
        <w:jc w:val="both"/>
        <w:rPr>
          <w:rFonts w:ascii="Arial" w:eastAsia="Calibri" w:hAnsi="Arial" w:cs="Arial"/>
          <w:sz w:val="22"/>
          <w:szCs w:val="22"/>
          <w:lang w:val="es-MX" w:eastAsia="en-US"/>
        </w:rPr>
      </w:pPr>
    </w:p>
    <w:p w14:paraId="3D6F7AE1" w14:textId="48D603DC" w:rsidR="00336AB1" w:rsidRPr="00336AB1" w:rsidRDefault="00336AB1" w:rsidP="00336AB1">
      <w:pPr>
        <w:spacing w:after="120"/>
        <w:ind w:left="709" w:right="709"/>
        <w:jc w:val="both"/>
        <w:rPr>
          <w:rFonts w:ascii="Arial" w:eastAsia="Calibri" w:hAnsi="Arial" w:cs="Arial"/>
          <w:color w:val="000000" w:themeColor="text1"/>
          <w:sz w:val="21"/>
          <w:szCs w:val="21"/>
          <w:lang w:val="es-ES"/>
        </w:rPr>
      </w:pPr>
      <w:r w:rsidRPr="00336AB1">
        <w:rPr>
          <w:rFonts w:ascii="Arial" w:eastAsia="Calibri" w:hAnsi="Arial" w:cs="Arial"/>
          <w:color w:val="000000" w:themeColor="text1"/>
          <w:sz w:val="21"/>
          <w:szCs w:val="21"/>
          <w:lang w:val="es-ES"/>
        </w:rPr>
        <w:t>no puede perderse de vista que los dineros que se le entregan al contratista por dicho concepto son oficiales o públicos. El pago de dicha suma lo era y lo sigue siendo un adelanto del precio que aún no se ha causado, que la entidad pública contratante hace al contratista para que a la iniciación de los trabajos disponga de unos fondos que le permitan proveerse de materiales y atender los primeros gastos del contrato, tales como los salarios de los trabajadores que disponga para la obra. No es otra la razón por la cual adicionalmente se exige que sea garantizada, que se presente un plan para su utilización y que se amortice durante la ejecución del contrato en cada acta parcial de cobro”.</w:t>
      </w:r>
    </w:p>
    <w:p w14:paraId="4B9F7DA9" w14:textId="12F68CA9" w:rsidR="00310A35" w:rsidRDefault="00310A35" w:rsidP="00A81AC0">
      <w:pPr>
        <w:spacing w:after="120"/>
        <w:ind w:left="709" w:right="709"/>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w:t>
      </w:r>
    </w:p>
    <w:p w14:paraId="01F131FC" w14:textId="01DD4350" w:rsidR="00651D98" w:rsidRDefault="00336AB1" w:rsidP="00CB776B">
      <w:pPr>
        <w:ind w:left="709" w:right="709"/>
        <w:jc w:val="both"/>
        <w:rPr>
          <w:rFonts w:ascii="Arial" w:eastAsia="Calibri" w:hAnsi="Arial" w:cs="Arial"/>
          <w:color w:val="000000" w:themeColor="text1"/>
          <w:sz w:val="21"/>
          <w:szCs w:val="21"/>
          <w:lang w:val="es-ES"/>
        </w:rPr>
      </w:pPr>
      <w:r w:rsidRPr="00336AB1">
        <w:rPr>
          <w:rFonts w:ascii="Arial" w:eastAsia="Calibri" w:hAnsi="Arial" w:cs="Arial"/>
          <w:color w:val="000000" w:themeColor="text1"/>
          <w:sz w:val="21"/>
          <w:szCs w:val="21"/>
          <w:lang w:val="es-ES"/>
        </w:rPr>
        <w:t xml:space="preserve">Esto significa que las sumas entregadas como anticipo son de la entidad pública y esa es la razón por la cual se solicita al contratista que garantice su inversión </w:t>
      </w:r>
      <w:r w:rsidRPr="00336AB1">
        <w:rPr>
          <w:rFonts w:ascii="Arial" w:eastAsia="Calibri" w:hAnsi="Arial" w:cs="Arial"/>
          <w:color w:val="000000" w:themeColor="text1"/>
          <w:sz w:val="21"/>
          <w:szCs w:val="21"/>
          <w:lang w:val="es-ES"/>
        </w:rPr>
        <w:lastRenderedPageBreak/>
        <w:t>y manejo y se amortice con los pagos posteriores que se facturen durante la ejecución del contrato</w:t>
      </w:r>
      <w:r w:rsidR="0089616D">
        <w:rPr>
          <w:rStyle w:val="Refdenotaalpie"/>
          <w:rFonts w:ascii="Arial" w:eastAsia="Calibri" w:hAnsi="Arial" w:cs="Arial"/>
          <w:sz w:val="22"/>
          <w:szCs w:val="22"/>
          <w:lang w:val="es-MX" w:eastAsia="en-US"/>
        </w:rPr>
        <w:footnoteReference w:id="4"/>
      </w:r>
      <w:r>
        <w:rPr>
          <w:rFonts w:ascii="Arial" w:eastAsia="Calibri" w:hAnsi="Arial" w:cs="Arial"/>
          <w:color w:val="000000" w:themeColor="text1"/>
          <w:sz w:val="21"/>
          <w:szCs w:val="21"/>
          <w:lang w:val="es-ES"/>
        </w:rPr>
        <w:t>.</w:t>
      </w:r>
    </w:p>
    <w:p w14:paraId="6BB9BEAA" w14:textId="77777777" w:rsidR="00A81AC0" w:rsidRPr="00CB776B" w:rsidRDefault="00A81AC0" w:rsidP="00484074">
      <w:pPr>
        <w:spacing w:line="276" w:lineRule="auto"/>
        <w:ind w:left="709" w:right="709"/>
        <w:jc w:val="both"/>
        <w:rPr>
          <w:rFonts w:ascii="Arial" w:eastAsia="Calibri" w:hAnsi="Arial" w:cs="Arial"/>
          <w:color w:val="000000" w:themeColor="text1"/>
          <w:sz w:val="22"/>
          <w:szCs w:val="22"/>
          <w:lang w:val="es-ES"/>
        </w:rPr>
      </w:pPr>
    </w:p>
    <w:p w14:paraId="5957B292" w14:textId="62EF405A" w:rsidR="00937561" w:rsidRDefault="003B5952" w:rsidP="00C37CFF">
      <w:pPr>
        <w:spacing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De esta manera</w:t>
      </w:r>
      <w:r w:rsidR="00E31C43">
        <w:rPr>
          <w:rFonts w:ascii="Arial" w:eastAsia="Calibri" w:hAnsi="Arial" w:cs="Arial"/>
          <w:color w:val="000000" w:themeColor="text1"/>
          <w:sz w:val="22"/>
          <w:lang w:val="es-ES"/>
        </w:rPr>
        <w:t>, los riesgos asociados al amparo del buen manejo y correcta inversi</w:t>
      </w:r>
      <w:r w:rsidR="00B74605">
        <w:rPr>
          <w:rFonts w:ascii="Arial" w:eastAsia="Calibri" w:hAnsi="Arial" w:cs="Arial"/>
          <w:color w:val="000000" w:themeColor="text1"/>
          <w:sz w:val="22"/>
          <w:lang w:val="es-ES"/>
        </w:rPr>
        <w:t xml:space="preserve">ón </w:t>
      </w:r>
      <w:proofErr w:type="gramStart"/>
      <w:r w:rsidR="0089616D">
        <w:rPr>
          <w:rFonts w:ascii="Arial" w:eastAsia="Calibri" w:hAnsi="Arial" w:cs="Arial"/>
          <w:color w:val="000000" w:themeColor="text1"/>
          <w:sz w:val="22"/>
          <w:lang w:val="es-ES"/>
        </w:rPr>
        <w:t>está</w:t>
      </w:r>
      <w:proofErr w:type="gramEnd"/>
      <w:r w:rsidR="0089616D">
        <w:rPr>
          <w:rFonts w:ascii="Arial" w:eastAsia="Calibri" w:hAnsi="Arial" w:cs="Arial"/>
          <w:color w:val="000000" w:themeColor="text1"/>
          <w:sz w:val="22"/>
          <w:lang w:val="es-ES"/>
        </w:rPr>
        <w:t xml:space="preserve"> relacionado con</w:t>
      </w:r>
      <w:r w:rsidR="00E31C43">
        <w:rPr>
          <w:rFonts w:ascii="Arial" w:eastAsia="Calibri" w:hAnsi="Arial" w:cs="Arial"/>
          <w:color w:val="000000" w:themeColor="text1"/>
          <w:sz w:val="22"/>
          <w:lang w:val="es-ES"/>
        </w:rPr>
        <w:t xml:space="preserve"> los recursos que se entregan al contratista a título de </w:t>
      </w:r>
      <w:r w:rsidR="00E31C43" w:rsidRPr="00E31C43">
        <w:rPr>
          <w:rFonts w:ascii="Arial" w:eastAsia="Calibri" w:hAnsi="Arial" w:cs="Arial"/>
          <w:i/>
          <w:color w:val="000000" w:themeColor="text1"/>
          <w:sz w:val="22"/>
          <w:lang w:val="es-ES"/>
        </w:rPr>
        <w:t xml:space="preserve">anticipo </w:t>
      </w:r>
      <w:r w:rsidR="00B74605">
        <w:rPr>
          <w:rFonts w:ascii="Arial" w:eastAsia="Calibri" w:hAnsi="Arial" w:cs="Arial"/>
          <w:color w:val="000000" w:themeColor="text1"/>
          <w:sz w:val="22"/>
          <w:lang w:val="es-ES"/>
        </w:rPr>
        <w:t>y enmarca</w:t>
      </w:r>
      <w:r w:rsidR="00E31C43">
        <w:rPr>
          <w:rFonts w:ascii="Arial" w:eastAsia="Calibri" w:hAnsi="Arial" w:cs="Arial"/>
          <w:color w:val="000000" w:themeColor="text1"/>
          <w:sz w:val="22"/>
          <w:lang w:val="es-ES"/>
        </w:rPr>
        <w:t xml:space="preserve"> </w:t>
      </w:r>
      <w:r w:rsidR="00DB68BB">
        <w:rPr>
          <w:rFonts w:ascii="Arial" w:eastAsia="Calibri" w:hAnsi="Arial" w:cs="Arial"/>
          <w:color w:val="000000" w:themeColor="text1"/>
          <w:sz w:val="22"/>
          <w:lang w:val="es-ES"/>
        </w:rPr>
        <w:t xml:space="preserve">las situaciones en las cuales </w:t>
      </w:r>
      <w:r w:rsidR="0089616D">
        <w:rPr>
          <w:rFonts w:ascii="Arial" w:eastAsia="Calibri" w:hAnsi="Arial" w:cs="Arial"/>
          <w:color w:val="000000" w:themeColor="text1"/>
          <w:sz w:val="22"/>
          <w:lang w:val="es-ES"/>
        </w:rPr>
        <w:t xml:space="preserve">estos </w:t>
      </w:r>
      <w:r w:rsidR="00D05153">
        <w:rPr>
          <w:rFonts w:ascii="Arial" w:eastAsia="Calibri" w:hAnsi="Arial" w:cs="Arial"/>
          <w:color w:val="000000" w:themeColor="text1"/>
          <w:sz w:val="22"/>
          <w:lang w:val="es-ES"/>
        </w:rPr>
        <w:t xml:space="preserve">recursos no </w:t>
      </w:r>
      <w:r w:rsidR="00C37CFF">
        <w:rPr>
          <w:rFonts w:ascii="Arial" w:eastAsia="Calibri" w:hAnsi="Arial" w:cs="Arial"/>
          <w:color w:val="000000" w:themeColor="text1"/>
          <w:sz w:val="22"/>
          <w:lang w:val="es-ES"/>
        </w:rPr>
        <w:t>sean</w:t>
      </w:r>
      <w:r w:rsidR="00D05153">
        <w:rPr>
          <w:rFonts w:ascii="Arial" w:eastAsia="Calibri" w:hAnsi="Arial" w:cs="Arial"/>
          <w:color w:val="000000" w:themeColor="text1"/>
          <w:sz w:val="22"/>
          <w:lang w:val="es-ES"/>
        </w:rPr>
        <w:t xml:space="preserve"> empleado</w:t>
      </w:r>
      <w:r w:rsidR="00C37CFF">
        <w:rPr>
          <w:rFonts w:ascii="Arial" w:eastAsia="Calibri" w:hAnsi="Arial" w:cs="Arial"/>
          <w:color w:val="000000" w:themeColor="text1"/>
          <w:sz w:val="22"/>
          <w:lang w:val="es-ES"/>
        </w:rPr>
        <w:t>s</w:t>
      </w:r>
      <w:r w:rsidR="00D05153">
        <w:rPr>
          <w:rFonts w:ascii="Arial" w:eastAsia="Calibri" w:hAnsi="Arial" w:cs="Arial"/>
          <w:color w:val="000000" w:themeColor="text1"/>
          <w:sz w:val="22"/>
          <w:lang w:val="es-ES"/>
        </w:rPr>
        <w:t xml:space="preserve"> </w:t>
      </w:r>
      <w:r w:rsidR="00DB68BB">
        <w:rPr>
          <w:rFonts w:ascii="Arial" w:eastAsia="Calibri" w:hAnsi="Arial" w:cs="Arial"/>
          <w:color w:val="000000" w:themeColor="text1"/>
          <w:sz w:val="22"/>
          <w:lang w:val="es-ES"/>
        </w:rPr>
        <w:t>para su inversión en la gestión</w:t>
      </w:r>
      <w:r w:rsidR="00F259F1">
        <w:rPr>
          <w:rFonts w:ascii="Arial" w:eastAsia="Calibri" w:hAnsi="Arial" w:cs="Arial"/>
          <w:color w:val="000000" w:themeColor="text1"/>
          <w:sz w:val="22"/>
          <w:lang w:val="es-ES"/>
        </w:rPr>
        <w:t xml:space="preserve"> contractual</w:t>
      </w:r>
      <w:r w:rsidR="00D05153">
        <w:rPr>
          <w:rFonts w:ascii="Arial" w:eastAsia="Calibri" w:hAnsi="Arial" w:cs="Arial"/>
          <w:color w:val="000000" w:themeColor="text1"/>
          <w:sz w:val="22"/>
          <w:lang w:val="es-ES"/>
        </w:rPr>
        <w:t xml:space="preserve">, y/o se han </w:t>
      </w:r>
      <w:r w:rsidR="0089616D">
        <w:rPr>
          <w:rFonts w:ascii="Arial" w:eastAsia="Calibri" w:hAnsi="Arial" w:cs="Arial"/>
          <w:color w:val="000000" w:themeColor="text1"/>
          <w:sz w:val="22"/>
          <w:lang w:val="es-ES"/>
        </w:rPr>
        <w:t>invertido</w:t>
      </w:r>
      <w:r w:rsidR="00D05153">
        <w:rPr>
          <w:rFonts w:ascii="Arial" w:eastAsia="Calibri" w:hAnsi="Arial" w:cs="Arial"/>
          <w:color w:val="000000" w:themeColor="text1"/>
          <w:sz w:val="22"/>
          <w:lang w:val="es-ES"/>
        </w:rPr>
        <w:t xml:space="preserve"> de manera distinta a la acordada</w:t>
      </w:r>
      <w:r w:rsidR="00B74605">
        <w:rPr>
          <w:rFonts w:ascii="Arial" w:eastAsia="Calibri" w:hAnsi="Arial" w:cs="Arial"/>
          <w:color w:val="000000" w:themeColor="text1"/>
          <w:sz w:val="22"/>
          <w:lang w:val="es-ES"/>
        </w:rPr>
        <w:t xml:space="preserve">. También comprende los eventos en que el contratista se apropie </w:t>
      </w:r>
      <w:r w:rsidR="00C37CFF">
        <w:rPr>
          <w:rFonts w:ascii="Arial" w:eastAsia="Calibri" w:hAnsi="Arial" w:cs="Arial"/>
          <w:color w:val="000000" w:themeColor="text1"/>
          <w:sz w:val="22"/>
          <w:lang w:val="es-ES"/>
        </w:rPr>
        <w:t xml:space="preserve">indebidamente </w:t>
      </w:r>
      <w:r w:rsidR="00B74605">
        <w:rPr>
          <w:rFonts w:ascii="Arial" w:eastAsia="Calibri" w:hAnsi="Arial" w:cs="Arial"/>
          <w:color w:val="000000" w:themeColor="text1"/>
          <w:sz w:val="22"/>
          <w:lang w:val="es-ES"/>
        </w:rPr>
        <w:t xml:space="preserve">del anticipo, es decir, </w:t>
      </w:r>
      <w:r w:rsidR="00B74605" w:rsidRPr="00386009">
        <w:rPr>
          <w:rFonts w:ascii="Arial" w:eastAsia="Calibri" w:hAnsi="Arial" w:cs="Arial"/>
          <w:color w:val="000000" w:themeColor="text1"/>
          <w:sz w:val="22"/>
          <w:lang w:val="es-ES"/>
        </w:rPr>
        <w:t>«</w:t>
      </w:r>
      <w:r w:rsidR="00B74605" w:rsidRPr="00B74605">
        <w:rPr>
          <w:rFonts w:ascii="Arial" w:eastAsia="Calibri" w:hAnsi="Arial" w:cs="Arial"/>
          <w:color w:val="000000" w:themeColor="text1"/>
          <w:sz w:val="22"/>
          <w:lang w:val="es-ES"/>
        </w:rPr>
        <w:t xml:space="preserve">se quede con </w:t>
      </w:r>
      <w:r w:rsidR="00B74605">
        <w:rPr>
          <w:rFonts w:ascii="Arial" w:eastAsia="Calibri" w:hAnsi="Arial" w:cs="Arial"/>
          <w:color w:val="000000" w:themeColor="text1"/>
          <w:sz w:val="22"/>
          <w:lang w:val="es-ES"/>
        </w:rPr>
        <w:t xml:space="preserve">el dinero, se lo robe, abuse de </w:t>
      </w:r>
      <w:r w:rsidR="00B74605" w:rsidRPr="00B74605">
        <w:rPr>
          <w:rFonts w:ascii="Arial" w:eastAsia="Calibri" w:hAnsi="Arial" w:cs="Arial"/>
          <w:color w:val="000000" w:themeColor="text1"/>
          <w:sz w:val="22"/>
          <w:lang w:val="es-ES"/>
        </w:rPr>
        <w:t>la confianza, en lugar de destinarlo a la obra por ejecutar</w:t>
      </w:r>
      <w:r w:rsidR="00B74605" w:rsidRPr="00386009">
        <w:rPr>
          <w:rFonts w:ascii="Arial" w:eastAsia="Calibri" w:hAnsi="Arial" w:cs="Arial"/>
          <w:color w:val="000000" w:themeColor="text1"/>
          <w:sz w:val="22"/>
          <w:lang w:val="es-ES"/>
        </w:rPr>
        <w:t>»</w:t>
      </w:r>
      <w:r w:rsidR="00C37CFF">
        <w:rPr>
          <w:rStyle w:val="Refdenotaalpie"/>
          <w:rFonts w:ascii="Arial" w:eastAsia="Calibri" w:hAnsi="Arial" w:cs="Arial"/>
          <w:color w:val="000000" w:themeColor="text1"/>
          <w:sz w:val="22"/>
          <w:lang w:val="es-ES"/>
        </w:rPr>
        <w:footnoteReference w:id="5"/>
      </w:r>
      <w:r w:rsidR="00F259F1">
        <w:rPr>
          <w:rFonts w:ascii="Arial" w:eastAsia="Calibri" w:hAnsi="Arial" w:cs="Arial"/>
          <w:color w:val="000000" w:themeColor="text1"/>
          <w:sz w:val="22"/>
          <w:lang w:val="es-ES"/>
        </w:rPr>
        <w:t>.</w:t>
      </w:r>
    </w:p>
    <w:p w14:paraId="6089D7EF" w14:textId="70304F0F" w:rsidR="00866FEF" w:rsidRPr="00AD2808" w:rsidRDefault="00A81AC0" w:rsidP="00AD2808">
      <w:pPr>
        <w:spacing w:before="120" w:line="276" w:lineRule="auto"/>
        <w:ind w:firstLine="709"/>
        <w:jc w:val="both"/>
        <w:rPr>
          <w:rFonts w:ascii="Arial" w:eastAsia="Calibri" w:hAnsi="Arial" w:cs="Arial"/>
          <w:color w:val="000000" w:themeColor="text1"/>
          <w:sz w:val="22"/>
          <w:lang w:val="es-ES"/>
        </w:rPr>
      </w:pPr>
      <w:r w:rsidRPr="00AD2808">
        <w:rPr>
          <w:rFonts w:ascii="Arial" w:eastAsia="Calibri" w:hAnsi="Arial" w:cs="Arial"/>
          <w:color w:val="000000" w:themeColor="text1"/>
          <w:sz w:val="22"/>
          <w:lang w:val="es-ES"/>
        </w:rPr>
        <w:t>En consecuencia, la constitución del amparo de buen manejo y correcta inversi</w:t>
      </w:r>
      <w:r w:rsidR="00DD6657">
        <w:rPr>
          <w:rFonts w:ascii="Arial" w:eastAsia="Calibri" w:hAnsi="Arial" w:cs="Arial"/>
          <w:color w:val="000000" w:themeColor="text1"/>
          <w:sz w:val="22"/>
          <w:lang w:val="es-ES"/>
        </w:rPr>
        <w:t>ón del anticipo</w:t>
      </w:r>
      <w:r w:rsidRPr="00AD2808">
        <w:rPr>
          <w:rFonts w:ascii="Arial" w:eastAsia="Calibri" w:hAnsi="Arial" w:cs="Arial"/>
          <w:color w:val="000000" w:themeColor="text1"/>
          <w:sz w:val="22"/>
          <w:lang w:val="es-ES"/>
        </w:rPr>
        <w:t xml:space="preserve"> deberá realizarse en caso de que se pacte la entrega de un anticipo en el contrato</w:t>
      </w:r>
      <w:r w:rsidR="007D20CF" w:rsidRPr="00AD2808">
        <w:rPr>
          <w:rFonts w:ascii="Arial" w:eastAsia="Calibri" w:hAnsi="Arial" w:cs="Arial"/>
          <w:color w:val="000000" w:themeColor="text1"/>
          <w:sz w:val="22"/>
          <w:lang w:val="es-ES"/>
        </w:rPr>
        <w:t xml:space="preserve">, sin perjuicio de lo </w:t>
      </w:r>
      <w:r w:rsidR="00775E51">
        <w:rPr>
          <w:rFonts w:ascii="Arial" w:eastAsia="Calibri" w:hAnsi="Arial" w:cs="Arial"/>
          <w:color w:val="000000" w:themeColor="text1"/>
          <w:sz w:val="22"/>
          <w:lang w:val="es-ES"/>
        </w:rPr>
        <w:t>previsto</w:t>
      </w:r>
      <w:r w:rsidR="00775E51" w:rsidRPr="00AD2808">
        <w:rPr>
          <w:rFonts w:ascii="Arial" w:eastAsia="Calibri" w:hAnsi="Arial" w:cs="Arial"/>
          <w:color w:val="000000" w:themeColor="text1"/>
          <w:sz w:val="22"/>
          <w:lang w:val="es-ES"/>
        </w:rPr>
        <w:t xml:space="preserve"> </w:t>
      </w:r>
      <w:r w:rsidR="007D20CF" w:rsidRPr="00AD2808">
        <w:rPr>
          <w:rFonts w:ascii="Arial" w:eastAsia="Calibri" w:hAnsi="Arial" w:cs="Arial"/>
          <w:color w:val="000000" w:themeColor="text1"/>
          <w:sz w:val="22"/>
          <w:lang w:val="es-ES"/>
        </w:rPr>
        <w:t>en el artículo 91 de la Ley 1474 de 2011</w:t>
      </w:r>
      <w:r w:rsidR="00AD2808">
        <w:rPr>
          <w:rStyle w:val="Refdenotaalpie"/>
          <w:rFonts w:ascii="Arial" w:eastAsia="Calibri" w:hAnsi="Arial" w:cs="Arial"/>
          <w:color w:val="000000" w:themeColor="text1"/>
          <w:sz w:val="22"/>
          <w:lang w:val="es-ES"/>
        </w:rPr>
        <w:footnoteReference w:id="6"/>
      </w:r>
      <w:r w:rsidRPr="00AD2808">
        <w:rPr>
          <w:rFonts w:ascii="Arial" w:eastAsia="Calibri" w:hAnsi="Arial" w:cs="Arial"/>
          <w:color w:val="000000" w:themeColor="text1"/>
          <w:sz w:val="22"/>
          <w:lang w:val="es-ES"/>
        </w:rPr>
        <w:t xml:space="preserve">. </w:t>
      </w:r>
      <w:r w:rsidR="00866FEF" w:rsidRPr="00AD2808">
        <w:rPr>
          <w:rFonts w:ascii="Arial" w:eastAsia="Calibri" w:hAnsi="Arial" w:cs="Arial"/>
          <w:color w:val="000000" w:themeColor="text1"/>
          <w:sz w:val="22"/>
          <w:lang w:val="es-ES"/>
        </w:rPr>
        <w:t>La vigencia</w:t>
      </w:r>
      <w:r w:rsidR="007D20CF" w:rsidRPr="00AD2808">
        <w:rPr>
          <w:rFonts w:ascii="Arial" w:eastAsia="Calibri" w:hAnsi="Arial" w:cs="Arial"/>
          <w:color w:val="000000" w:themeColor="text1"/>
          <w:sz w:val="22"/>
          <w:lang w:val="es-ES"/>
        </w:rPr>
        <w:t xml:space="preserve"> </w:t>
      </w:r>
      <w:r w:rsidR="00866FEF" w:rsidRPr="00AD2808">
        <w:rPr>
          <w:rFonts w:ascii="Arial" w:eastAsia="Calibri" w:hAnsi="Arial" w:cs="Arial"/>
          <w:color w:val="000000" w:themeColor="text1"/>
          <w:sz w:val="22"/>
          <w:lang w:val="es-ES"/>
        </w:rPr>
        <w:t xml:space="preserve">debe cubrir hasta la liquidación del contrato o la amortización del anticipo y su valor deberá ser el ciento por ciento </w:t>
      </w:r>
      <w:r w:rsidR="00775E51">
        <w:rPr>
          <w:rFonts w:ascii="Arial" w:eastAsia="Calibri" w:hAnsi="Arial" w:cs="Arial"/>
          <w:color w:val="000000" w:themeColor="text1"/>
          <w:sz w:val="22"/>
          <w:lang w:val="es-ES"/>
        </w:rPr>
        <w:t>–</w:t>
      </w:r>
      <w:r w:rsidR="00866FEF" w:rsidRPr="00AD2808">
        <w:rPr>
          <w:rFonts w:ascii="Arial" w:eastAsia="Calibri" w:hAnsi="Arial" w:cs="Arial"/>
          <w:color w:val="000000" w:themeColor="text1"/>
          <w:sz w:val="22"/>
          <w:lang w:val="es-ES"/>
        </w:rPr>
        <w:t>100%</w:t>
      </w:r>
      <w:r w:rsidR="00775E51">
        <w:rPr>
          <w:rFonts w:ascii="Arial" w:eastAsia="Calibri" w:hAnsi="Arial" w:cs="Arial"/>
          <w:color w:val="000000" w:themeColor="text1"/>
          <w:sz w:val="22"/>
          <w:lang w:val="es-ES"/>
        </w:rPr>
        <w:t>–</w:t>
      </w:r>
      <w:r w:rsidR="00866FEF" w:rsidRPr="00AD2808">
        <w:rPr>
          <w:rFonts w:ascii="Arial" w:eastAsia="Calibri" w:hAnsi="Arial" w:cs="Arial"/>
          <w:color w:val="000000" w:themeColor="text1"/>
          <w:sz w:val="22"/>
          <w:lang w:val="es-ES"/>
        </w:rPr>
        <w:t xml:space="preserve"> de la suma establecida como anticipo. </w:t>
      </w:r>
      <w:r w:rsidR="002B508E" w:rsidRPr="00AD2808">
        <w:rPr>
          <w:rFonts w:ascii="Arial" w:eastAsia="Calibri" w:hAnsi="Arial" w:cs="Arial"/>
          <w:color w:val="000000" w:themeColor="text1"/>
          <w:sz w:val="22"/>
          <w:lang w:val="es-ES"/>
        </w:rPr>
        <w:t>Lo</w:t>
      </w:r>
      <w:r w:rsidR="00093C51" w:rsidRPr="00AD2808">
        <w:rPr>
          <w:rFonts w:ascii="Arial" w:eastAsia="Calibri" w:hAnsi="Arial" w:cs="Arial"/>
          <w:color w:val="000000" w:themeColor="text1"/>
          <w:sz w:val="22"/>
          <w:lang w:val="es-ES"/>
        </w:rPr>
        <w:t xml:space="preserve"> anterior</w:t>
      </w:r>
      <w:r w:rsidR="002B508E" w:rsidRPr="00AD2808">
        <w:rPr>
          <w:rFonts w:ascii="Arial" w:eastAsia="Calibri" w:hAnsi="Arial" w:cs="Arial"/>
          <w:color w:val="000000" w:themeColor="text1"/>
          <w:sz w:val="22"/>
          <w:lang w:val="es-ES"/>
        </w:rPr>
        <w:t xml:space="preserve"> garantiza que, en caso de concreción de los riesgos que ampara, el reintegro de los recursos entregados a título de ant</w:t>
      </w:r>
      <w:r w:rsidR="00093C51" w:rsidRPr="00AD2808">
        <w:rPr>
          <w:rFonts w:ascii="Arial" w:eastAsia="Calibri" w:hAnsi="Arial" w:cs="Arial"/>
          <w:color w:val="000000" w:themeColor="text1"/>
          <w:sz w:val="22"/>
          <w:lang w:val="es-ES"/>
        </w:rPr>
        <w:t xml:space="preserve">icipo será integral. </w:t>
      </w:r>
    </w:p>
    <w:p w14:paraId="4128BA9D" w14:textId="0855D668" w:rsidR="000C7211" w:rsidRDefault="00366B70" w:rsidP="00AD2808">
      <w:pPr>
        <w:spacing w:before="120" w:line="276" w:lineRule="auto"/>
        <w:ind w:firstLine="709"/>
        <w:jc w:val="both"/>
        <w:rPr>
          <w:rFonts w:ascii="Arial" w:eastAsia="Calibri" w:hAnsi="Arial" w:cs="Arial"/>
          <w:color w:val="000000" w:themeColor="text1"/>
          <w:sz w:val="22"/>
          <w:szCs w:val="22"/>
          <w:lang w:val="es-ES_tradnl" w:eastAsia="en-US"/>
        </w:rPr>
      </w:pPr>
      <w:proofErr w:type="spellStart"/>
      <w:r w:rsidRPr="00AD2808">
        <w:rPr>
          <w:rFonts w:ascii="Arial" w:eastAsia="Calibri" w:hAnsi="Arial" w:cs="Arial"/>
          <w:color w:val="000000" w:themeColor="text1"/>
          <w:sz w:val="22"/>
          <w:lang w:val="es-ES"/>
        </w:rPr>
        <w:t>ii</w:t>
      </w:r>
      <w:proofErr w:type="spellEnd"/>
      <w:r w:rsidRPr="00AD2808">
        <w:rPr>
          <w:rFonts w:ascii="Arial" w:eastAsia="Calibri" w:hAnsi="Arial" w:cs="Arial"/>
          <w:color w:val="000000" w:themeColor="text1"/>
          <w:sz w:val="22"/>
          <w:lang w:val="es-ES"/>
        </w:rPr>
        <w:t xml:space="preserve">) </w:t>
      </w:r>
      <w:r w:rsidR="00CC66D3">
        <w:rPr>
          <w:rFonts w:ascii="Arial" w:eastAsia="Calibri" w:hAnsi="Arial" w:cs="Arial"/>
          <w:color w:val="000000" w:themeColor="text1"/>
          <w:sz w:val="22"/>
          <w:lang w:val="es-ES"/>
        </w:rPr>
        <w:t>T</w:t>
      </w:r>
      <w:r w:rsidR="000C7211" w:rsidRPr="00AD2808">
        <w:rPr>
          <w:rFonts w:ascii="Arial" w:eastAsia="Calibri" w:hAnsi="Arial" w:cs="Arial"/>
          <w:color w:val="000000" w:themeColor="text1"/>
          <w:sz w:val="22"/>
          <w:lang w:val="es-ES"/>
        </w:rPr>
        <w:t>ratándose</w:t>
      </w:r>
      <w:r w:rsidR="0017145A" w:rsidRPr="00AD2808">
        <w:rPr>
          <w:rFonts w:ascii="Arial" w:eastAsia="Calibri" w:hAnsi="Arial" w:cs="Arial"/>
          <w:color w:val="000000" w:themeColor="text1"/>
          <w:sz w:val="22"/>
          <w:lang w:val="es-ES"/>
        </w:rPr>
        <w:t xml:space="preserve"> del amparo de estabilidad y calidad de la obra, sin perjuicio de la</w:t>
      </w:r>
      <w:r w:rsidR="0017145A" w:rsidRPr="0017145A">
        <w:rPr>
          <w:rFonts w:ascii="Arial" w:eastAsia="Calibri" w:hAnsi="Arial" w:cs="Arial"/>
          <w:color w:val="000000" w:themeColor="text1"/>
          <w:sz w:val="22"/>
          <w:szCs w:val="22"/>
          <w:lang w:val="es-ES_tradnl" w:eastAsia="en-US"/>
        </w:rPr>
        <w:t xml:space="preserve"> garantía decenal de que trata el artículo 2060.3 del Código Civil</w:t>
      </w:r>
      <w:r w:rsidR="0017145A" w:rsidRPr="0017145A">
        <w:rPr>
          <w:rFonts w:ascii="Arial" w:eastAsia="Calibri" w:hAnsi="Arial" w:cs="Arial"/>
          <w:color w:val="000000" w:themeColor="text1"/>
          <w:sz w:val="22"/>
          <w:szCs w:val="22"/>
          <w:vertAlign w:val="superscript"/>
          <w:lang w:val="es-ES_tradnl" w:eastAsia="en-US"/>
        </w:rPr>
        <w:footnoteReference w:id="7"/>
      </w:r>
      <w:r w:rsidR="0017145A" w:rsidRPr="0017145A">
        <w:rPr>
          <w:rFonts w:ascii="Arial" w:eastAsia="Calibri" w:hAnsi="Arial" w:cs="Arial"/>
          <w:color w:val="000000" w:themeColor="text1"/>
          <w:sz w:val="22"/>
          <w:szCs w:val="22"/>
          <w:lang w:val="es-ES_tradnl" w:eastAsia="en-US"/>
        </w:rPr>
        <w:t xml:space="preserve">, el numeral 5 del artículo </w:t>
      </w:r>
      <w:r w:rsidR="0017145A" w:rsidRPr="0017145A">
        <w:rPr>
          <w:rFonts w:ascii="Arial" w:eastAsia="Calibri" w:hAnsi="Arial" w:cs="Arial"/>
          <w:color w:val="000000" w:themeColor="text1"/>
          <w:sz w:val="22"/>
          <w:szCs w:val="22"/>
          <w:lang w:val="es-ES_tradnl" w:eastAsia="en-US"/>
        </w:rPr>
        <w:lastRenderedPageBreak/>
        <w:t>2.2.1.3.1.7 del Decreto 1082 de 2015 dispone que «</w:t>
      </w:r>
      <w:r w:rsidR="0017145A" w:rsidRPr="0017145A">
        <w:rPr>
          <w:rFonts w:asciiTheme="minorHAnsi" w:eastAsiaTheme="minorHAnsi" w:hAnsiTheme="minorHAnsi" w:cstheme="minorBidi"/>
          <w:color w:val="000000" w:themeColor="text1"/>
          <w:szCs w:val="22"/>
          <w:lang w:val="es-MX" w:eastAsia="en-US"/>
        </w:rPr>
        <w:t xml:space="preserve">[…] </w:t>
      </w:r>
      <w:r w:rsidR="0017145A" w:rsidRPr="0017145A">
        <w:rPr>
          <w:rFonts w:ascii="Arial" w:eastAsia="Calibri" w:hAnsi="Arial" w:cs="Arial"/>
          <w:color w:val="000000" w:themeColor="text1"/>
          <w:sz w:val="22"/>
          <w:szCs w:val="22"/>
          <w:lang w:val="es-ES_tradnl" w:eastAsia="en-US"/>
        </w:rPr>
        <w:t xml:space="preserve">cubre a la Entidad Estatal de los perjuicios ocasionados por cualquier tipo de daño o deterioro, imputable al contratista, sufrido por la obra entregada a satisfacción». </w:t>
      </w:r>
    </w:p>
    <w:p w14:paraId="41ABB6E3" w14:textId="7393F9D4" w:rsidR="008E6A17" w:rsidRPr="00DD6657" w:rsidRDefault="0017145A" w:rsidP="008E6A17">
      <w:pPr>
        <w:spacing w:before="120" w:line="276" w:lineRule="auto"/>
        <w:ind w:firstLine="708"/>
        <w:jc w:val="both"/>
        <w:rPr>
          <w:rFonts w:ascii="Arial" w:eastAsia="Calibri" w:hAnsi="Arial" w:cs="Arial"/>
          <w:color w:val="000000" w:themeColor="text1"/>
          <w:sz w:val="22"/>
          <w:szCs w:val="22"/>
          <w:lang w:val="es-ES_tradnl" w:eastAsia="en-US"/>
        </w:rPr>
      </w:pPr>
      <w:r w:rsidRPr="0017145A">
        <w:rPr>
          <w:rFonts w:ascii="Arial" w:eastAsia="Calibri" w:hAnsi="Arial" w:cs="Arial"/>
          <w:color w:val="000000" w:themeColor="text1"/>
          <w:sz w:val="22"/>
          <w:szCs w:val="22"/>
          <w:lang w:val="es-ES_tradnl" w:eastAsia="en-US"/>
        </w:rPr>
        <w:t>Por otra parte, el artículo 2.2.1.2.3.1.14 prescribe que «Esta garantía debe estar vigente por un término no inferior a cinco (5) años contados a partir de la fecha en la cual la Entidad Estatal recibe a satisfacción la obra. La Entidad Estatal debe determinar el valor de esta garantía en los pliegos de condiciones de la Contratación, de acuerdo con el objeto, el valor, la naturaleza y las obligaciones contenidas en el contrato», agregando que «La Entidad Estatal puede aceptar que esta garantía tenga una vigencia inferior a cinco (5) años previa justificación técnica de un experto en la materia objeto del contrato». De esta manera, la garantía cubre la ocurrencia de vicios, mala calidad, defectos, deficiencias técnicas o fallas que la Administración no detecte al momento de recibir la obra o que descubre con posterioridad a la finalización del contrato, afectando el cumplimiento de los objetivos que animaron la suscripción</w:t>
      </w:r>
      <w:r w:rsidR="00807666">
        <w:rPr>
          <w:rFonts w:ascii="Arial" w:eastAsia="Calibri" w:hAnsi="Arial" w:cs="Arial"/>
          <w:color w:val="000000" w:themeColor="text1"/>
          <w:sz w:val="22"/>
          <w:szCs w:val="22"/>
          <w:lang w:val="es-ES_tradnl" w:eastAsia="en-US"/>
        </w:rPr>
        <w:t>.</w:t>
      </w:r>
    </w:p>
    <w:p w14:paraId="3756315C" w14:textId="77777777" w:rsidR="00033295" w:rsidRPr="00CB776B" w:rsidRDefault="00033295" w:rsidP="00033295">
      <w:pPr>
        <w:tabs>
          <w:tab w:val="left" w:pos="0"/>
        </w:tabs>
        <w:jc w:val="both"/>
        <w:rPr>
          <w:rFonts w:ascii="Arial" w:eastAsia="Calibri" w:hAnsi="Arial" w:cs="Arial"/>
          <w:b/>
          <w:bCs/>
          <w:color w:val="000000"/>
          <w:sz w:val="22"/>
          <w:lang w:eastAsia="en-GB"/>
        </w:rPr>
      </w:pPr>
    </w:p>
    <w:p w14:paraId="2519D1AF" w14:textId="5031EF57" w:rsidR="005502F9" w:rsidRPr="00CB776B" w:rsidRDefault="00033295" w:rsidP="00453A53">
      <w:pPr>
        <w:tabs>
          <w:tab w:val="left" w:pos="0"/>
        </w:tabs>
        <w:jc w:val="both"/>
        <w:rPr>
          <w:rFonts w:ascii="Arial" w:eastAsia="Calibri" w:hAnsi="Arial" w:cs="Arial"/>
          <w:b/>
          <w:bCs/>
          <w:color w:val="000000"/>
          <w:sz w:val="22"/>
          <w:lang w:eastAsia="en-GB"/>
        </w:rPr>
      </w:pPr>
      <w:r w:rsidRPr="00CB776B">
        <w:rPr>
          <w:rFonts w:ascii="Arial" w:eastAsia="Calibri" w:hAnsi="Arial" w:cs="Arial"/>
          <w:b/>
          <w:bCs/>
          <w:color w:val="000000"/>
          <w:sz w:val="22"/>
          <w:lang w:eastAsia="en-GB"/>
        </w:rPr>
        <w:t xml:space="preserve">2.2. </w:t>
      </w:r>
      <w:r w:rsidR="005502F9" w:rsidRPr="00310A35">
        <w:rPr>
          <w:rFonts w:ascii="Arial" w:eastAsia="Calibri" w:hAnsi="Arial" w:cs="Arial"/>
          <w:b/>
          <w:bCs/>
          <w:color w:val="000000" w:themeColor="text1"/>
          <w:sz w:val="22"/>
        </w:rPr>
        <w:t>Declaración de</w:t>
      </w:r>
      <w:r w:rsidR="00310A35" w:rsidRPr="00310A35">
        <w:rPr>
          <w:rFonts w:ascii="Arial" w:eastAsia="Calibri" w:hAnsi="Arial" w:cs="Arial"/>
          <w:b/>
          <w:bCs/>
          <w:color w:val="000000" w:themeColor="text1"/>
          <w:sz w:val="22"/>
        </w:rPr>
        <w:t>l</w:t>
      </w:r>
      <w:r w:rsidR="009D6E3A">
        <w:rPr>
          <w:rFonts w:ascii="Arial" w:eastAsia="Calibri" w:hAnsi="Arial" w:cs="Arial"/>
          <w:b/>
          <w:bCs/>
          <w:color w:val="000000" w:themeColor="text1"/>
          <w:sz w:val="22"/>
        </w:rPr>
        <w:t xml:space="preserve"> siniestro</w:t>
      </w:r>
      <w:r w:rsidR="00D4767B">
        <w:rPr>
          <w:rFonts w:ascii="Arial" w:eastAsia="Calibri" w:hAnsi="Arial" w:cs="Arial"/>
          <w:b/>
          <w:bCs/>
          <w:color w:val="000000" w:themeColor="text1"/>
          <w:sz w:val="22"/>
        </w:rPr>
        <w:t xml:space="preserve"> de las garantías</w:t>
      </w:r>
      <w:r w:rsidR="009D6E3A">
        <w:rPr>
          <w:rFonts w:ascii="Arial" w:eastAsia="Calibri" w:hAnsi="Arial" w:cs="Arial"/>
          <w:b/>
          <w:bCs/>
          <w:color w:val="000000" w:themeColor="text1"/>
          <w:sz w:val="22"/>
        </w:rPr>
        <w:t xml:space="preserve">: </w:t>
      </w:r>
      <w:r w:rsidR="00310A35">
        <w:rPr>
          <w:rFonts w:ascii="Arial" w:eastAsia="Calibri" w:hAnsi="Arial" w:cs="Arial"/>
          <w:b/>
          <w:bCs/>
          <w:color w:val="000000" w:themeColor="text1"/>
          <w:sz w:val="22"/>
        </w:rPr>
        <w:t>debido proceso administrativo</w:t>
      </w:r>
    </w:p>
    <w:p w14:paraId="2B028080" w14:textId="77777777" w:rsidR="00C577CA" w:rsidRPr="00CB776B" w:rsidRDefault="00C577CA" w:rsidP="00510DE9">
      <w:pPr>
        <w:tabs>
          <w:tab w:val="left" w:pos="0"/>
        </w:tabs>
        <w:jc w:val="both"/>
        <w:rPr>
          <w:rFonts w:ascii="Arial" w:eastAsia="Calibri" w:hAnsi="Arial" w:cs="Arial"/>
          <w:b/>
          <w:bCs/>
          <w:color w:val="000000"/>
          <w:sz w:val="22"/>
          <w:lang w:eastAsia="en-GB"/>
        </w:rPr>
      </w:pPr>
    </w:p>
    <w:p w14:paraId="342101BE" w14:textId="173C1056" w:rsidR="00453A53" w:rsidRPr="00D438C4" w:rsidRDefault="00453A53" w:rsidP="00484074">
      <w:pPr>
        <w:tabs>
          <w:tab w:val="left" w:pos="426"/>
        </w:tabs>
        <w:spacing w:before="120" w:line="276" w:lineRule="auto"/>
        <w:jc w:val="both"/>
        <w:rPr>
          <w:rFonts w:ascii="Arial" w:eastAsia="Calibri" w:hAnsi="Arial" w:cs="Arial"/>
          <w:bCs/>
          <w:color w:val="000000" w:themeColor="text1"/>
          <w:sz w:val="22"/>
          <w:lang w:val="es-ES_tradnl"/>
        </w:rPr>
      </w:pPr>
      <w:r w:rsidRPr="00D438C4">
        <w:rPr>
          <w:rFonts w:ascii="Arial" w:eastAsia="Calibri" w:hAnsi="Arial" w:cs="Arial"/>
          <w:bCs/>
          <w:color w:val="000000" w:themeColor="text1"/>
          <w:sz w:val="22"/>
          <w:lang w:val="es-ES_tradnl"/>
        </w:rPr>
        <w:t xml:space="preserve">La Constitución Política contempla el debido proceso como derecho fundamental y sobre su ámbito de aplicación </w:t>
      </w:r>
      <w:r>
        <w:rPr>
          <w:rFonts w:ascii="Arial" w:eastAsia="Calibri" w:hAnsi="Arial" w:cs="Arial"/>
          <w:bCs/>
          <w:color w:val="000000" w:themeColor="text1"/>
          <w:sz w:val="22"/>
          <w:lang w:val="es-ES_tradnl"/>
        </w:rPr>
        <w:t xml:space="preserve">dispone que </w:t>
      </w:r>
      <w:r w:rsidRPr="00D438C4">
        <w:rPr>
          <w:rFonts w:ascii="Arial" w:eastAsia="Calibri" w:hAnsi="Arial" w:cs="Arial"/>
          <w:bCs/>
          <w:color w:val="000000" w:themeColor="text1"/>
          <w:sz w:val="22"/>
          <w:lang w:val="es-ES_tradnl"/>
        </w:rPr>
        <w:t>se aplicará a toda clase de actuaciones judiciales y administrativas. La claridad de esta norma no deja lugar a ninguna duda</w:t>
      </w:r>
      <w:r>
        <w:rPr>
          <w:rFonts w:ascii="Arial" w:eastAsia="Calibri" w:hAnsi="Arial" w:cs="Arial"/>
          <w:bCs/>
          <w:color w:val="000000" w:themeColor="text1"/>
          <w:sz w:val="22"/>
          <w:lang w:val="es-ES_tradnl"/>
        </w:rPr>
        <w:t>,</w:t>
      </w:r>
      <w:r w:rsidRPr="00D438C4">
        <w:rPr>
          <w:rFonts w:ascii="Arial" w:eastAsia="Calibri" w:hAnsi="Arial" w:cs="Arial"/>
          <w:bCs/>
          <w:color w:val="000000" w:themeColor="text1"/>
          <w:sz w:val="22"/>
          <w:lang w:val="es-ES_tradnl"/>
        </w:rPr>
        <w:t xml:space="preserve"> y </w:t>
      </w:r>
      <w:r w:rsidR="004471F4">
        <w:rPr>
          <w:rFonts w:ascii="Arial" w:eastAsia="Calibri" w:hAnsi="Arial" w:cs="Arial"/>
          <w:bCs/>
          <w:color w:val="000000" w:themeColor="text1"/>
          <w:sz w:val="22"/>
          <w:lang w:val="es-ES_tradnl"/>
        </w:rPr>
        <w:t xml:space="preserve">es por ello </w:t>
      </w:r>
      <w:proofErr w:type="gramStart"/>
      <w:r w:rsidR="004471F4">
        <w:rPr>
          <w:rFonts w:ascii="Arial" w:eastAsia="Calibri" w:hAnsi="Arial" w:cs="Arial"/>
          <w:bCs/>
          <w:color w:val="000000" w:themeColor="text1"/>
          <w:sz w:val="22"/>
          <w:lang w:val="es-ES_tradnl"/>
        </w:rPr>
        <w:t>que</w:t>
      </w:r>
      <w:proofErr w:type="gramEnd"/>
      <w:r w:rsidRPr="00D438C4">
        <w:rPr>
          <w:rFonts w:ascii="Arial" w:eastAsia="Calibri" w:hAnsi="Arial" w:cs="Arial"/>
          <w:bCs/>
          <w:color w:val="000000" w:themeColor="text1"/>
          <w:sz w:val="22"/>
          <w:lang w:val="es-ES_tradnl"/>
        </w:rPr>
        <w:t xml:space="preserve"> la Corte Constitucional afirma que «</w:t>
      </w:r>
      <w:r>
        <w:rPr>
          <w:rFonts w:ascii="Arial" w:eastAsia="Calibri" w:hAnsi="Arial" w:cs="Arial"/>
          <w:bCs/>
          <w:color w:val="000000" w:themeColor="text1"/>
          <w:sz w:val="22"/>
          <w:lang w:val="es-ES_tradnl"/>
        </w:rPr>
        <w:t>U</w:t>
      </w:r>
      <w:r w:rsidRPr="00D438C4">
        <w:rPr>
          <w:rFonts w:ascii="Arial" w:eastAsia="Calibri" w:hAnsi="Arial" w:cs="Arial"/>
          <w:bCs/>
          <w:color w:val="000000" w:themeColor="text1"/>
          <w:sz w:val="22"/>
          <w:lang w:val="es-ES_tradnl"/>
        </w:rPr>
        <w:t>na de las notas más destacadas de la Constitución Política de 1991 es la extensión de las garantías propias del debido proceso a las actuaciones administrativas»</w:t>
      </w:r>
      <w:r w:rsidRPr="00D438C4">
        <w:rPr>
          <w:rStyle w:val="Refdenotaalpie"/>
          <w:rFonts w:ascii="Arial" w:eastAsia="Calibri" w:hAnsi="Arial" w:cs="Arial"/>
          <w:bCs/>
          <w:color w:val="000000" w:themeColor="text1"/>
          <w:sz w:val="22"/>
          <w:lang w:val="es-ES_tradnl"/>
        </w:rPr>
        <w:footnoteReference w:id="8"/>
      </w:r>
      <w:r w:rsidRPr="00D438C4">
        <w:rPr>
          <w:rFonts w:ascii="Arial" w:eastAsia="Calibri" w:hAnsi="Arial" w:cs="Arial"/>
          <w:bCs/>
          <w:color w:val="000000" w:themeColor="text1"/>
          <w:sz w:val="22"/>
          <w:lang w:val="es-ES_tradnl"/>
        </w:rPr>
        <w:t xml:space="preserve">. Sin embargo, dicha </w:t>
      </w:r>
      <w:r>
        <w:rPr>
          <w:rFonts w:ascii="Arial" w:eastAsia="Calibri" w:hAnsi="Arial" w:cs="Arial"/>
          <w:bCs/>
          <w:color w:val="000000" w:themeColor="text1"/>
          <w:sz w:val="22"/>
          <w:lang w:val="es-ES_tradnl"/>
        </w:rPr>
        <w:t>ampliación</w:t>
      </w:r>
      <w:r w:rsidRPr="00D438C4">
        <w:rPr>
          <w:rFonts w:ascii="Arial" w:eastAsia="Calibri" w:hAnsi="Arial" w:cs="Arial"/>
          <w:bCs/>
          <w:color w:val="000000" w:themeColor="text1"/>
          <w:sz w:val="22"/>
          <w:lang w:val="es-ES_tradnl"/>
        </w:rPr>
        <w:t xml:space="preserve"> tiene algunas particularidades </w:t>
      </w:r>
      <w:r>
        <w:rPr>
          <w:rFonts w:ascii="Arial" w:eastAsia="Calibri" w:hAnsi="Arial" w:cs="Arial"/>
          <w:bCs/>
          <w:color w:val="000000" w:themeColor="text1"/>
          <w:sz w:val="22"/>
          <w:lang w:val="es-ES_tradnl"/>
        </w:rPr>
        <w:t xml:space="preserve">o </w:t>
      </w:r>
      <w:r>
        <w:rPr>
          <w:rFonts w:ascii="Arial" w:eastAsia="Calibri" w:hAnsi="Arial" w:cs="Arial"/>
          <w:bCs/>
          <w:i/>
          <w:iCs/>
          <w:color w:val="000000" w:themeColor="text1"/>
          <w:sz w:val="22"/>
          <w:lang w:val="es-ES_tradnl"/>
        </w:rPr>
        <w:t xml:space="preserve">matices </w:t>
      </w:r>
      <w:r w:rsidRPr="00D438C4">
        <w:rPr>
          <w:rFonts w:ascii="Arial" w:eastAsia="Calibri" w:hAnsi="Arial" w:cs="Arial"/>
          <w:bCs/>
          <w:color w:val="000000" w:themeColor="text1"/>
          <w:sz w:val="22"/>
          <w:lang w:val="es-ES_tradnl"/>
        </w:rPr>
        <w:t>que también han sido reseñad</w:t>
      </w:r>
      <w:r>
        <w:rPr>
          <w:rFonts w:ascii="Arial" w:eastAsia="Calibri" w:hAnsi="Arial" w:cs="Arial"/>
          <w:bCs/>
          <w:color w:val="000000" w:themeColor="text1"/>
          <w:sz w:val="22"/>
          <w:lang w:val="es-ES_tradnl"/>
        </w:rPr>
        <w:t>o</w:t>
      </w:r>
      <w:r w:rsidRPr="00D438C4">
        <w:rPr>
          <w:rFonts w:ascii="Arial" w:eastAsia="Calibri" w:hAnsi="Arial" w:cs="Arial"/>
          <w:bCs/>
          <w:color w:val="000000" w:themeColor="text1"/>
          <w:sz w:val="22"/>
          <w:lang w:val="es-ES_tradnl"/>
        </w:rPr>
        <w:t>s por la Corte Constitucional</w:t>
      </w:r>
      <w:r w:rsidRPr="00D438C4">
        <w:rPr>
          <w:rStyle w:val="Refdenotaalpie"/>
          <w:rFonts w:ascii="Arial" w:eastAsia="Calibri" w:hAnsi="Arial" w:cs="Arial"/>
          <w:bCs/>
          <w:color w:val="000000" w:themeColor="text1"/>
          <w:sz w:val="21"/>
          <w:szCs w:val="21"/>
          <w:lang w:val="es-ES_tradnl"/>
        </w:rPr>
        <w:footnoteReference w:id="9"/>
      </w:r>
      <w:r w:rsidRPr="00D438C4">
        <w:rPr>
          <w:rFonts w:ascii="Arial" w:eastAsia="Calibri" w:hAnsi="Arial" w:cs="Arial"/>
          <w:bCs/>
          <w:color w:val="000000" w:themeColor="text1"/>
          <w:sz w:val="21"/>
          <w:szCs w:val="21"/>
          <w:lang w:val="es-ES_tradnl"/>
        </w:rPr>
        <w:t>.</w:t>
      </w:r>
    </w:p>
    <w:p w14:paraId="5FCEE0A9" w14:textId="455FF623" w:rsidR="00453A53" w:rsidRDefault="00453A53" w:rsidP="00484074">
      <w:pPr>
        <w:spacing w:before="120" w:line="276" w:lineRule="auto"/>
        <w:ind w:firstLine="709"/>
        <w:jc w:val="both"/>
        <w:rPr>
          <w:rFonts w:ascii="Arial" w:hAnsi="Arial" w:cs="Arial"/>
          <w:iCs/>
          <w:color w:val="000000" w:themeColor="text1"/>
          <w:sz w:val="22"/>
          <w:lang w:val="es-ES_tradnl" w:eastAsia="en-GB"/>
        </w:rPr>
      </w:pPr>
      <w:r w:rsidRPr="00D438C4">
        <w:rPr>
          <w:rFonts w:ascii="Arial" w:eastAsia="Calibri" w:hAnsi="Arial" w:cs="Arial"/>
          <w:bCs/>
          <w:color w:val="000000" w:themeColor="text1"/>
          <w:sz w:val="22"/>
          <w:lang w:val="es-ES_tradnl"/>
        </w:rPr>
        <w:t>En es</w:t>
      </w:r>
      <w:r>
        <w:rPr>
          <w:rFonts w:ascii="Arial" w:eastAsia="Calibri" w:hAnsi="Arial" w:cs="Arial"/>
          <w:bCs/>
          <w:color w:val="000000" w:themeColor="text1"/>
          <w:sz w:val="22"/>
          <w:lang w:val="es-ES_tradnl"/>
        </w:rPr>
        <w:t>te</w:t>
      </w:r>
      <w:r w:rsidRPr="00D438C4">
        <w:rPr>
          <w:rFonts w:ascii="Arial" w:eastAsia="Calibri" w:hAnsi="Arial" w:cs="Arial"/>
          <w:bCs/>
          <w:color w:val="000000" w:themeColor="text1"/>
          <w:sz w:val="22"/>
          <w:lang w:val="es-ES_tradnl"/>
        </w:rPr>
        <w:t xml:space="preserve"> orden de ideas, </w:t>
      </w:r>
      <w:bookmarkStart w:id="12" w:name="_Hlk49525119"/>
      <w:r w:rsidRPr="00D438C4">
        <w:rPr>
          <w:rFonts w:ascii="Arial" w:eastAsia="Calibri" w:hAnsi="Arial" w:cs="Arial"/>
          <w:bCs/>
          <w:color w:val="000000" w:themeColor="text1"/>
          <w:sz w:val="22"/>
          <w:lang w:val="es-ES_tradnl"/>
        </w:rPr>
        <w:t>las garantías del debido proceso aplican por expreso mandato constitucional a toda actuación administrativa, pero ello debe interpreta</w:t>
      </w:r>
      <w:r w:rsidR="004471F4">
        <w:rPr>
          <w:rFonts w:ascii="Arial" w:eastAsia="Calibri" w:hAnsi="Arial" w:cs="Arial"/>
          <w:bCs/>
          <w:color w:val="000000" w:themeColor="text1"/>
          <w:sz w:val="22"/>
          <w:lang w:val="es-ES_tradnl"/>
        </w:rPr>
        <w:t>rse</w:t>
      </w:r>
      <w:r w:rsidRPr="00D438C4">
        <w:rPr>
          <w:rFonts w:ascii="Arial" w:eastAsia="Calibri" w:hAnsi="Arial" w:cs="Arial"/>
          <w:bCs/>
          <w:color w:val="000000" w:themeColor="text1"/>
          <w:sz w:val="22"/>
          <w:lang w:val="es-ES_tradnl"/>
        </w:rPr>
        <w:t xml:space="preserve"> en consideración a los principios que caracterizan cada escenario y las diferencias entre los </w:t>
      </w:r>
      <w:r w:rsidRPr="00D438C4">
        <w:rPr>
          <w:rFonts w:ascii="Arial" w:eastAsia="Calibri" w:hAnsi="Arial" w:cs="Arial"/>
          <w:bCs/>
          <w:color w:val="000000" w:themeColor="text1"/>
          <w:sz w:val="22"/>
          <w:lang w:val="es-ES_tradnl"/>
        </w:rPr>
        <w:lastRenderedPageBreak/>
        <w:t xml:space="preserve">procesos judiciales y </w:t>
      </w:r>
      <w:r>
        <w:rPr>
          <w:rFonts w:ascii="Arial" w:eastAsia="Calibri" w:hAnsi="Arial" w:cs="Arial"/>
          <w:bCs/>
          <w:color w:val="000000" w:themeColor="text1"/>
          <w:sz w:val="22"/>
          <w:lang w:val="es-ES_tradnl"/>
        </w:rPr>
        <w:t xml:space="preserve">los </w:t>
      </w:r>
      <w:r w:rsidRPr="00D438C4">
        <w:rPr>
          <w:rFonts w:ascii="Arial" w:eastAsia="Calibri" w:hAnsi="Arial" w:cs="Arial"/>
          <w:bCs/>
          <w:color w:val="000000" w:themeColor="text1"/>
          <w:sz w:val="22"/>
          <w:lang w:val="es-ES_tradnl"/>
        </w:rPr>
        <w:t>procedimientos administrativos.</w:t>
      </w:r>
      <w:r>
        <w:rPr>
          <w:rFonts w:ascii="Arial" w:eastAsia="Calibri" w:hAnsi="Arial" w:cs="Arial"/>
          <w:bCs/>
          <w:color w:val="000000" w:themeColor="text1"/>
          <w:sz w:val="22"/>
          <w:lang w:val="es-ES_tradnl"/>
        </w:rPr>
        <w:t xml:space="preserve"> </w:t>
      </w:r>
      <w:r w:rsidRPr="00D438C4">
        <w:rPr>
          <w:rFonts w:ascii="Arial" w:eastAsia="Calibri" w:hAnsi="Arial" w:cs="Arial"/>
          <w:bCs/>
          <w:color w:val="000000" w:themeColor="text1"/>
          <w:sz w:val="22"/>
          <w:lang w:val="es-ES_tradnl"/>
        </w:rPr>
        <w:t>Con base en estas consideraciones la Corte ha resaltado la importancia de aplicar en todos los casos los principios y garantías derivados del debido proceso, pero armonizando los mandatos del artículo 29 superior con los principios del artículo 209 constitucional, de manera que no se pierda de vista que «mediante el procedimiento administrativo se logra el cumplimiento de la función administrativa […]»</w:t>
      </w:r>
      <w:bookmarkEnd w:id="12"/>
      <w:r w:rsidRPr="00D438C4">
        <w:rPr>
          <w:rStyle w:val="Refdenotaalpie"/>
          <w:rFonts w:ascii="Arial" w:eastAsia="Calibri" w:hAnsi="Arial" w:cs="Arial"/>
          <w:bCs/>
          <w:color w:val="000000" w:themeColor="text1"/>
          <w:sz w:val="22"/>
          <w:lang w:val="es-ES_tradnl"/>
        </w:rPr>
        <w:footnoteReference w:id="10"/>
      </w:r>
      <w:r w:rsidRPr="00D438C4">
        <w:rPr>
          <w:rFonts w:ascii="Arial" w:eastAsia="Calibri" w:hAnsi="Arial" w:cs="Arial"/>
          <w:bCs/>
          <w:color w:val="000000" w:themeColor="text1"/>
          <w:sz w:val="22"/>
          <w:lang w:val="es-ES_tradnl"/>
        </w:rPr>
        <w:t>.</w:t>
      </w:r>
    </w:p>
    <w:p w14:paraId="2211E93A" w14:textId="24D8AA47" w:rsidR="00F217AB" w:rsidRPr="00453A53" w:rsidRDefault="00453A53" w:rsidP="00453A53">
      <w:pPr>
        <w:spacing w:before="120" w:line="276" w:lineRule="auto"/>
        <w:ind w:firstLine="709"/>
        <w:jc w:val="both"/>
        <w:rPr>
          <w:rFonts w:ascii="Arial" w:hAnsi="Arial" w:cs="Arial"/>
          <w:iCs/>
          <w:color w:val="000000" w:themeColor="text1"/>
          <w:sz w:val="22"/>
          <w:lang w:val="es-ES_tradnl" w:eastAsia="en-GB"/>
        </w:rPr>
      </w:pPr>
      <w:r>
        <w:rPr>
          <w:rFonts w:ascii="Arial" w:eastAsia="Calibri" w:hAnsi="Arial" w:cs="Arial"/>
          <w:bCs/>
          <w:color w:val="000000" w:themeColor="text1"/>
          <w:sz w:val="22"/>
          <w:lang w:val="es-ES_tradnl"/>
        </w:rPr>
        <w:t>Para las entidades sometidas al Estatuto General de Contratación de la Administración Pública, el artículo 17 de la Ley 1150 de 2007 dispone que «</w:t>
      </w:r>
      <w:r w:rsidRPr="00154EC0">
        <w:rPr>
          <w:rFonts w:ascii="Arial" w:eastAsia="Calibri" w:hAnsi="Arial" w:cs="Arial"/>
          <w:bCs/>
          <w:color w:val="000000" w:themeColor="text1"/>
          <w:sz w:val="22"/>
          <w:lang w:val="es-ES_tradnl"/>
        </w:rPr>
        <w:t>El debido proceso será un principio rector en materia sancionatoria de las actuaciones contractuales</w:t>
      </w:r>
      <w:r>
        <w:rPr>
          <w:rFonts w:ascii="Arial" w:eastAsia="Calibri" w:hAnsi="Arial" w:cs="Arial"/>
          <w:bCs/>
          <w:color w:val="000000" w:themeColor="text1"/>
          <w:sz w:val="22"/>
          <w:lang w:val="es-ES_tradnl"/>
        </w:rPr>
        <w:t xml:space="preserve"> […]».</w:t>
      </w:r>
      <w:r w:rsidR="00310A35">
        <w:rPr>
          <w:rFonts w:ascii="Arial" w:eastAsia="Calibri" w:hAnsi="Arial" w:cs="Arial"/>
          <w:bCs/>
          <w:color w:val="000000" w:themeColor="text1"/>
          <w:sz w:val="22"/>
          <w:lang w:val="es-ES_tradnl"/>
        </w:rPr>
        <w:t xml:space="preserve"> </w:t>
      </w:r>
      <w:r w:rsidR="00DD6D71">
        <w:rPr>
          <w:rFonts w:ascii="Arial" w:eastAsia="Calibri" w:hAnsi="Arial" w:cs="Arial"/>
          <w:bCs/>
          <w:color w:val="000000" w:themeColor="text1"/>
          <w:sz w:val="22"/>
          <w:lang w:val="es-ES_tradnl"/>
        </w:rPr>
        <w:t xml:space="preserve">En concordancia, </w:t>
      </w:r>
      <w:r w:rsidR="00DD6D71">
        <w:rPr>
          <w:rFonts w:ascii="Arial" w:hAnsi="Arial" w:cs="Arial"/>
          <w:iCs/>
          <w:color w:val="000000" w:themeColor="text1"/>
          <w:sz w:val="22"/>
          <w:lang w:val="es-ES_tradnl" w:eastAsia="en-GB"/>
        </w:rPr>
        <w:t>l</w:t>
      </w:r>
      <w:r w:rsidR="00C577CA" w:rsidRPr="00C577CA">
        <w:rPr>
          <w:rFonts w:ascii="Arial" w:hAnsi="Arial" w:cs="Arial"/>
          <w:iCs/>
          <w:color w:val="000000" w:themeColor="text1"/>
          <w:sz w:val="22"/>
          <w:lang w:val="es-ES_tradnl" w:eastAsia="en-GB"/>
        </w:rPr>
        <w:t xml:space="preserve">a Ley 1474 de 2011 contempla la posibilidad de declarar el incumplimiento cuantificando los perjuicios </w:t>
      </w:r>
      <w:proofErr w:type="gramStart"/>
      <w:r w:rsidR="00C577CA" w:rsidRPr="00C577CA">
        <w:rPr>
          <w:rFonts w:ascii="Arial" w:hAnsi="Arial" w:cs="Arial"/>
          <w:iCs/>
          <w:color w:val="000000" w:themeColor="text1"/>
          <w:sz w:val="22"/>
          <w:lang w:val="es-ES_tradnl" w:eastAsia="en-GB"/>
        </w:rPr>
        <w:t>del mismo</w:t>
      </w:r>
      <w:proofErr w:type="gramEnd"/>
      <w:r w:rsidR="00C577CA" w:rsidRPr="00C577CA">
        <w:rPr>
          <w:rFonts w:ascii="Arial" w:hAnsi="Arial" w:cs="Arial"/>
          <w:iCs/>
          <w:color w:val="000000" w:themeColor="text1"/>
          <w:sz w:val="22"/>
          <w:lang w:val="es-ES_tradnl" w:eastAsia="en-GB"/>
        </w:rPr>
        <w:t xml:space="preserve">, previa citación del contratista y respetando el debido proceso. Al respecto, el artículo 86 de la Ley 1474 de 2011 establece las etapas del procedimiento que se deben seguir: </w:t>
      </w:r>
    </w:p>
    <w:p w14:paraId="78C0EAF7" w14:textId="148B2899" w:rsidR="00C577CA" w:rsidRPr="00F217AB" w:rsidRDefault="00F217AB" w:rsidP="00F217AB">
      <w:pPr>
        <w:spacing w:before="120" w:line="276" w:lineRule="auto"/>
        <w:ind w:firstLine="708"/>
        <w:jc w:val="both"/>
        <w:rPr>
          <w:rFonts w:ascii="Arial" w:hAnsi="Arial" w:cs="Arial"/>
          <w:iCs/>
          <w:color w:val="000000" w:themeColor="text1"/>
          <w:sz w:val="22"/>
          <w:lang w:val="es-ES_tradnl"/>
        </w:rPr>
      </w:pPr>
      <w:r w:rsidRPr="00D438C4">
        <w:rPr>
          <w:rFonts w:ascii="Arial" w:hAnsi="Arial" w:cs="Arial"/>
          <w:iCs/>
          <w:color w:val="000000" w:themeColor="text1"/>
          <w:sz w:val="22"/>
          <w:lang w:val="es-ES_tradnl"/>
        </w:rPr>
        <w:t>i) c</w:t>
      </w:r>
      <w:r w:rsidRPr="00D438C4">
        <w:rPr>
          <w:rFonts w:ascii="Arial" w:hAnsi="Arial" w:cs="Arial"/>
          <w:i/>
          <w:iCs/>
          <w:color w:val="000000" w:themeColor="text1"/>
          <w:sz w:val="22"/>
          <w:lang w:val="es-ES_tradnl"/>
        </w:rPr>
        <w:t>itación a audiencia</w:t>
      </w:r>
      <w:r w:rsidRPr="00D438C4">
        <w:rPr>
          <w:rFonts w:ascii="Arial" w:hAnsi="Arial" w:cs="Arial"/>
          <w:iCs/>
          <w:color w:val="000000" w:themeColor="text1"/>
          <w:sz w:val="22"/>
          <w:lang w:val="es-ES_tradnl"/>
        </w:rPr>
        <w:t>.</w:t>
      </w:r>
      <w:r>
        <w:rPr>
          <w:rFonts w:ascii="Arial" w:hAnsi="Arial" w:cs="Arial"/>
          <w:iCs/>
          <w:color w:val="000000" w:themeColor="text1"/>
          <w:sz w:val="22"/>
          <w:lang w:val="es-ES_tradnl"/>
        </w:rPr>
        <w:t xml:space="preserve"> </w:t>
      </w:r>
      <w:r w:rsidRPr="00D438C4">
        <w:rPr>
          <w:rFonts w:ascii="Arial" w:hAnsi="Arial" w:cs="Arial"/>
          <w:iCs/>
          <w:color w:val="000000" w:themeColor="text1"/>
          <w:sz w:val="22"/>
          <w:lang w:val="es-ES_tradnl"/>
        </w:rPr>
        <w:t>Es necesario mencionar expresa y detalladamente los hechos que la soportan, así como, también, adjuntar el informe de interventoría o de supervisión en el que se sustente la actuación, enunciar las normas o cláusulas posiblemente violadas y referir las consecuencias que podrían recaer sobre el contratista en el desarrollo de la actuación</w:t>
      </w:r>
      <w:r>
        <w:rPr>
          <w:rFonts w:ascii="Arial" w:hAnsi="Arial" w:cs="Arial"/>
          <w:iCs/>
          <w:color w:val="000000" w:themeColor="text1"/>
          <w:sz w:val="22"/>
          <w:lang w:val="es-ES_tradnl"/>
        </w:rPr>
        <w:t>, citando a la aseguradora cuando la garantía de cumplimiento consista en una póliza</w:t>
      </w:r>
      <w:r w:rsidR="001A325B">
        <w:rPr>
          <w:rFonts w:ascii="Arial" w:hAnsi="Arial" w:cs="Arial"/>
          <w:iCs/>
          <w:color w:val="000000" w:themeColor="text1"/>
          <w:sz w:val="22"/>
          <w:lang w:val="es-ES_tradnl"/>
        </w:rPr>
        <w:t xml:space="preserve"> de seguros</w:t>
      </w:r>
      <w:r w:rsidRPr="00D438C4">
        <w:rPr>
          <w:rFonts w:ascii="Arial" w:hAnsi="Arial" w:cs="Arial"/>
          <w:iCs/>
          <w:color w:val="000000" w:themeColor="text1"/>
          <w:sz w:val="22"/>
          <w:lang w:val="es-ES_tradnl"/>
        </w:rPr>
        <w:t xml:space="preserve">. </w:t>
      </w:r>
      <w:proofErr w:type="spellStart"/>
      <w:r w:rsidRPr="00D438C4">
        <w:rPr>
          <w:rFonts w:ascii="Arial" w:hAnsi="Arial" w:cs="Arial"/>
          <w:iCs/>
          <w:color w:val="000000" w:themeColor="text1"/>
          <w:sz w:val="22"/>
          <w:lang w:val="es-ES_tradnl"/>
        </w:rPr>
        <w:t>ii</w:t>
      </w:r>
      <w:proofErr w:type="spellEnd"/>
      <w:r w:rsidRPr="00D438C4">
        <w:rPr>
          <w:rFonts w:ascii="Arial" w:hAnsi="Arial" w:cs="Arial"/>
          <w:iCs/>
          <w:color w:val="000000" w:themeColor="text1"/>
          <w:sz w:val="22"/>
          <w:lang w:val="es-ES_tradnl"/>
        </w:rPr>
        <w:t xml:space="preserve">) </w:t>
      </w:r>
      <w:r w:rsidRPr="00D438C4">
        <w:rPr>
          <w:rFonts w:ascii="Arial" w:hAnsi="Arial" w:cs="Arial"/>
          <w:i/>
          <w:iCs/>
          <w:color w:val="000000" w:themeColor="text1"/>
          <w:sz w:val="22"/>
          <w:lang w:val="es-ES_tradnl"/>
        </w:rPr>
        <w:t>Audiencia</w:t>
      </w:r>
      <w:r w:rsidRPr="00D438C4">
        <w:rPr>
          <w:rFonts w:ascii="Arial" w:hAnsi="Arial" w:cs="Arial"/>
          <w:iCs/>
          <w:color w:val="000000" w:themeColor="text1"/>
          <w:sz w:val="22"/>
          <w:lang w:val="es-ES_tradnl"/>
        </w:rPr>
        <w:t xml:space="preserve">. En la diligencia intervendrá el jefe de la entidad o su delegado y, posteriormente, se le concederá el uso de la palabra al representante legal del contratista o a quien lo represente y al garante, en caso de ser necesario, para que estos presenten sus descargos, aporten y controviertan pruebas y rindan las explicaciones del caso; y </w:t>
      </w:r>
      <w:proofErr w:type="spellStart"/>
      <w:r w:rsidRPr="00D438C4">
        <w:rPr>
          <w:rFonts w:ascii="Arial" w:hAnsi="Arial" w:cs="Arial"/>
          <w:iCs/>
          <w:color w:val="000000" w:themeColor="text1"/>
          <w:sz w:val="22"/>
          <w:lang w:val="es-ES_tradnl"/>
        </w:rPr>
        <w:t>iii</w:t>
      </w:r>
      <w:proofErr w:type="spellEnd"/>
      <w:r w:rsidRPr="00D438C4">
        <w:rPr>
          <w:rFonts w:ascii="Arial" w:hAnsi="Arial" w:cs="Arial"/>
          <w:iCs/>
          <w:color w:val="000000" w:themeColor="text1"/>
          <w:sz w:val="22"/>
          <w:lang w:val="es-ES_tradnl"/>
        </w:rPr>
        <w:t xml:space="preserve">) </w:t>
      </w:r>
      <w:r w:rsidRPr="00D438C4">
        <w:rPr>
          <w:rFonts w:ascii="Arial" w:hAnsi="Arial" w:cs="Arial"/>
          <w:i/>
          <w:iCs/>
          <w:color w:val="000000" w:themeColor="text1"/>
          <w:sz w:val="22"/>
          <w:lang w:val="es-ES_tradnl"/>
        </w:rPr>
        <w:t>Decisión</w:t>
      </w:r>
      <w:r w:rsidRPr="00D438C4">
        <w:rPr>
          <w:rFonts w:ascii="Arial" w:hAnsi="Arial" w:cs="Arial"/>
          <w:iCs/>
          <w:color w:val="000000" w:themeColor="text1"/>
          <w:sz w:val="22"/>
          <w:lang w:val="es-ES_tradnl"/>
        </w:rPr>
        <w:t>. Debe estar contenida en resolución motivada donde se consigne, por un lado, lo ocurrido en el desarrollo de la diligencia y, por el otro, lo relativo a la imposición o no de multas y sanciones o la declaratoria de incumplimiento del contrato estatal. Contra la decisión únicamente procede el recurso de reposición que se interpondrá, sustentará y decidirá en la misma diligencia. Ambas decisiones se entenderán notificadas en audiencia. Lo anterior, por supuesto, sin perjuicio del control judicial que podría llegar a efectuarse.</w:t>
      </w:r>
    </w:p>
    <w:p w14:paraId="2E4890FA" w14:textId="77777777" w:rsidR="00F217AB" w:rsidRDefault="00C577CA" w:rsidP="00F217AB">
      <w:pPr>
        <w:spacing w:before="120" w:line="276" w:lineRule="auto"/>
        <w:ind w:firstLine="709"/>
        <w:jc w:val="both"/>
        <w:rPr>
          <w:rFonts w:ascii="Arial" w:hAnsi="Arial" w:cs="Arial"/>
          <w:iCs/>
          <w:color w:val="000000" w:themeColor="text1"/>
          <w:sz w:val="22"/>
          <w:lang w:val="es-ES_tradnl" w:eastAsia="en-GB"/>
        </w:rPr>
      </w:pPr>
      <w:r w:rsidRPr="00C577CA">
        <w:rPr>
          <w:rFonts w:ascii="Arial" w:hAnsi="Arial" w:cs="Arial"/>
          <w:iCs/>
          <w:color w:val="000000" w:themeColor="text1"/>
          <w:sz w:val="22"/>
          <w:lang w:val="es-ES_tradnl" w:eastAsia="en-GB"/>
        </w:rPr>
        <w:t xml:space="preserve">En este sentido, la entidad está facultada para cuantificar los perjuicios causados por el incumplimiento del contratista, previa declaración </w:t>
      </w:r>
      <w:proofErr w:type="gramStart"/>
      <w:r w:rsidRPr="00C577CA">
        <w:rPr>
          <w:rFonts w:ascii="Arial" w:hAnsi="Arial" w:cs="Arial"/>
          <w:iCs/>
          <w:color w:val="000000" w:themeColor="text1"/>
          <w:sz w:val="22"/>
          <w:lang w:val="es-ES_tradnl" w:eastAsia="en-GB"/>
        </w:rPr>
        <w:t>del mismo</w:t>
      </w:r>
      <w:proofErr w:type="gramEnd"/>
      <w:r w:rsidRPr="00C577CA">
        <w:rPr>
          <w:rFonts w:ascii="Arial" w:hAnsi="Arial" w:cs="Arial"/>
          <w:iCs/>
          <w:color w:val="000000" w:themeColor="text1"/>
          <w:sz w:val="22"/>
          <w:lang w:val="es-ES_tradnl" w:eastAsia="en-GB"/>
        </w:rPr>
        <w:t xml:space="preserve"> y luego de haberse surtido el trámite antes referido. Esta facultad, en palabras de la Corte Constitucional, «[…] está reglada y se ejerce conforme a un procedimiento administrativo, del que debe darse cuenta en un acto administrativo motivado, de tal suerte que la cuantificación de los </w:t>
      </w:r>
      <w:r w:rsidRPr="00C577CA">
        <w:rPr>
          <w:rFonts w:ascii="Arial" w:hAnsi="Arial" w:cs="Arial"/>
          <w:iCs/>
          <w:color w:val="000000" w:themeColor="text1"/>
          <w:sz w:val="22"/>
          <w:lang w:val="es-ES_tradnl" w:eastAsia="en-GB"/>
        </w:rPr>
        <w:lastRenderedPageBreak/>
        <w:t>perjuicios no obedece a la mera discrecionalidad de la entidad estatal, ni es fruto de su capricho […]»</w:t>
      </w:r>
      <w:r w:rsidRPr="00C577CA">
        <w:rPr>
          <w:rFonts w:ascii="Arial" w:hAnsi="Arial" w:cs="Arial"/>
          <w:iCs/>
          <w:color w:val="000000" w:themeColor="text1"/>
          <w:sz w:val="22"/>
          <w:vertAlign w:val="superscript"/>
          <w:lang w:val="es-ES_tradnl" w:eastAsia="en-GB"/>
        </w:rPr>
        <w:footnoteReference w:id="11"/>
      </w:r>
      <w:r w:rsidRPr="00C577CA">
        <w:rPr>
          <w:rFonts w:ascii="Arial" w:hAnsi="Arial" w:cs="Arial"/>
          <w:iCs/>
          <w:color w:val="000000" w:themeColor="text1"/>
          <w:sz w:val="22"/>
          <w:lang w:val="es-ES_tradnl" w:eastAsia="en-GB"/>
        </w:rPr>
        <w:t>.</w:t>
      </w:r>
    </w:p>
    <w:p w14:paraId="03EF710C" w14:textId="27092E07" w:rsidR="00FF5F9D" w:rsidRDefault="002168B8" w:rsidP="00FF5F9D">
      <w:pPr>
        <w:spacing w:before="120" w:line="276" w:lineRule="auto"/>
        <w:ind w:firstLine="709"/>
        <w:jc w:val="both"/>
        <w:rPr>
          <w:rFonts w:ascii="Arial" w:hAnsi="Arial" w:cs="Arial"/>
          <w:iCs/>
          <w:color w:val="000000" w:themeColor="text1"/>
          <w:sz w:val="22"/>
          <w:lang w:val="es-ES_tradnl" w:eastAsia="en-GB"/>
        </w:rPr>
      </w:pPr>
      <w:r>
        <w:rPr>
          <w:rFonts w:ascii="Arial" w:hAnsi="Arial" w:cs="Arial"/>
          <w:iCs/>
          <w:color w:val="000000" w:themeColor="text1"/>
          <w:sz w:val="22"/>
          <w:lang w:val="es-ES_tradnl" w:eastAsia="en-GB"/>
        </w:rPr>
        <w:t>E</w:t>
      </w:r>
      <w:r w:rsidR="002413B5">
        <w:rPr>
          <w:rFonts w:ascii="Arial" w:hAnsi="Arial" w:cs="Arial"/>
          <w:iCs/>
          <w:color w:val="000000" w:themeColor="text1"/>
          <w:sz w:val="22"/>
          <w:lang w:val="es-ES_tradnl" w:eastAsia="en-GB"/>
        </w:rPr>
        <w:t xml:space="preserve">l artículo </w:t>
      </w:r>
      <w:r w:rsidR="002413B5" w:rsidRPr="002413B5">
        <w:rPr>
          <w:rFonts w:ascii="Arial" w:hAnsi="Arial" w:cs="Arial"/>
          <w:iCs/>
          <w:color w:val="000000" w:themeColor="text1"/>
          <w:sz w:val="22"/>
          <w:lang w:val="es-ES_tradnl" w:eastAsia="en-GB"/>
        </w:rPr>
        <w:t>2.2.1.2.3.1.19</w:t>
      </w:r>
      <w:r w:rsidR="002413B5">
        <w:rPr>
          <w:rFonts w:ascii="Arial" w:hAnsi="Arial" w:cs="Arial"/>
          <w:iCs/>
          <w:color w:val="000000" w:themeColor="text1"/>
          <w:sz w:val="22"/>
          <w:lang w:val="es-ES_tradnl" w:eastAsia="en-GB"/>
        </w:rPr>
        <w:t xml:space="preserve"> del Decreto 1082 de 2015, establece </w:t>
      </w:r>
      <w:r>
        <w:rPr>
          <w:rFonts w:ascii="Arial" w:hAnsi="Arial" w:cs="Arial"/>
          <w:iCs/>
          <w:color w:val="000000" w:themeColor="text1"/>
          <w:sz w:val="22"/>
          <w:lang w:val="es-ES_tradnl" w:eastAsia="en-GB"/>
        </w:rPr>
        <w:t>la efectividad de</w:t>
      </w:r>
      <w:r w:rsidR="002413B5">
        <w:rPr>
          <w:rFonts w:ascii="Arial" w:hAnsi="Arial" w:cs="Arial"/>
          <w:iCs/>
          <w:color w:val="000000" w:themeColor="text1"/>
          <w:sz w:val="22"/>
          <w:lang w:val="es-ES_tradnl" w:eastAsia="en-GB"/>
        </w:rPr>
        <w:t xml:space="preserve"> las garantías </w:t>
      </w:r>
      <w:r w:rsidR="00FF5F9D">
        <w:rPr>
          <w:rFonts w:ascii="Arial" w:hAnsi="Arial" w:cs="Arial"/>
          <w:iCs/>
          <w:color w:val="000000" w:themeColor="text1"/>
          <w:sz w:val="22"/>
          <w:lang w:val="es-ES_tradnl" w:eastAsia="en-GB"/>
        </w:rPr>
        <w:t>previstas en dicha norma. A este respecto, señala que las entidades estatales deberán hacer efectivas las garantías así:</w:t>
      </w:r>
    </w:p>
    <w:p w14:paraId="30D6AF37" w14:textId="77777777" w:rsidR="00FF5F9D" w:rsidRDefault="00FF5F9D" w:rsidP="00FF5F9D">
      <w:pPr>
        <w:spacing w:line="276" w:lineRule="auto"/>
        <w:ind w:firstLine="709"/>
        <w:jc w:val="both"/>
        <w:rPr>
          <w:rFonts w:ascii="Arial" w:hAnsi="Arial" w:cs="Arial"/>
          <w:iCs/>
          <w:color w:val="000000" w:themeColor="text1"/>
          <w:sz w:val="22"/>
          <w:lang w:val="es-ES_tradnl" w:eastAsia="en-GB"/>
        </w:rPr>
      </w:pPr>
    </w:p>
    <w:p w14:paraId="5C73421F" w14:textId="263779EB" w:rsidR="00FF5F9D" w:rsidRDefault="00FF5F9D" w:rsidP="00FF5F9D">
      <w:pPr>
        <w:overflowPunct w:val="0"/>
        <w:autoSpaceDE w:val="0"/>
        <w:autoSpaceDN w:val="0"/>
        <w:adjustRightInd w:val="0"/>
        <w:ind w:left="709" w:right="709"/>
        <w:jc w:val="both"/>
        <w:textAlignment w:val="baseline"/>
        <w:rPr>
          <w:rFonts w:ascii="Arial" w:hAnsi="Arial" w:cs="Arial"/>
          <w:color w:val="000000"/>
          <w:sz w:val="21"/>
          <w:szCs w:val="21"/>
          <w:lang w:val="es-ES_tradnl" w:eastAsia="es-ES"/>
        </w:rPr>
      </w:pPr>
      <w:r>
        <w:rPr>
          <w:rFonts w:ascii="Arial" w:hAnsi="Arial" w:cs="Arial"/>
          <w:iCs/>
          <w:color w:val="000000" w:themeColor="text1"/>
          <w:sz w:val="22"/>
          <w:lang w:val="es-ES_tradnl" w:eastAsia="en-GB"/>
        </w:rPr>
        <w:t>1</w:t>
      </w:r>
      <w:r w:rsidR="00003233">
        <w:rPr>
          <w:rFonts w:ascii="Arial" w:hAnsi="Arial" w:cs="Arial"/>
          <w:color w:val="000000"/>
          <w:sz w:val="21"/>
          <w:szCs w:val="21"/>
          <w:lang w:val="es-ES_tradnl" w:eastAsia="es-ES"/>
        </w:rPr>
        <w:t xml:space="preserve">. </w:t>
      </w:r>
      <w:r w:rsidRPr="00FF5F9D">
        <w:rPr>
          <w:rFonts w:ascii="Arial" w:hAnsi="Arial" w:cs="Arial"/>
          <w:color w:val="000000"/>
          <w:sz w:val="21"/>
          <w:szCs w:val="21"/>
          <w:lang w:val="es-ES_tradnl" w:eastAsia="es-ES"/>
        </w:rPr>
        <w:t>Por medio del acto administrativo en el cual la Entidad Estatal declare la caducidad del contrato y ordene el pago al contratista y al garante, bien sea de la cláusula penal o de los perjuicios que ha cuantificado. El acto administrativo de caducidad constituye el siniestro.</w:t>
      </w:r>
    </w:p>
    <w:p w14:paraId="3FF24057" w14:textId="77777777" w:rsidR="00003233" w:rsidRPr="00FF5F9D" w:rsidRDefault="00003233" w:rsidP="00FF5F9D">
      <w:pPr>
        <w:overflowPunct w:val="0"/>
        <w:autoSpaceDE w:val="0"/>
        <w:autoSpaceDN w:val="0"/>
        <w:adjustRightInd w:val="0"/>
        <w:ind w:left="709" w:right="709"/>
        <w:jc w:val="both"/>
        <w:textAlignment w:val="baseline"/>
        <w:rPr>
          <w:rFonts w:ascii="Arial" w:hAnsi="Arial" w:cs="Arial"/>
          <w:color w:val="000000"/>
          <w:sz w:val="21"/>
          <w:szCs w:val="21"/>
          <w:lang w:val="es-ES_tradnl" w:eastAsia="es-ES"/>
        </w:rPr>
      </w:pPr>
    </w:p>
    <w:p w14:paraId="75874BBA" w14:textId="60A81D2B" w:rsidR="00FF5F9D" w:rsidRDefault="00FF5F9D" w:rsidP="00FF5F9D">
      <w:pPr>
        <w:overflowPunct w:val="0"/>
        <w:autoSpaceDE w:val="0"/>
        <w:autoSpaceDN w:val="0"/>
        <w:adjustRightInd w:val="0"/>
        <w:ind w:left="709" w:right="709"/>
        <w:jc w:val="both"/>
        <w:textAlignment w:val="baseline"/>
        <w:rPr>
          <w:rFonts w:ascii="Arial" w:hAnsi="Arial" w:cs="Arial"/>
          <w:color w:val="000000"/>
          <w:sz w:val="21"/>
          <w:szCs w:val="21"/>
          <w:lang w:val="es-ES_tradnl" w:eastAsia="es-ES"/>
        </w:rPr>
      </w:pPr>
      <w:r w:rsidRPr="00FF5F9D">
        <w:rPr>
          <w:rFonts w:ascii="Arial" w:hAnsi="Arial" w:cs="Arial"/>
          <w:color w:val="000000"/>
          <w:sz w:val="21"/>
          <w:szCs w:val="21"/>
          <w:lang w:val="es-ES_tradnl" w:eastAsia="es-ES"/>
        </w:rPr>
        <w:t>2</w:t>
      </w:r>
      <w:r w:rsidR="00003233">
        <w:rPr>
          <w:rFonts w:ascii="Arial" w:hAnsi="Arial" w:cs="Arial"/>
          <w:color w:val="000000"/>
          <w:sz w:val="21"/>
          <w:szCs w:val="21"/>
          <w:lang w:val="es-ES_tradnl" w:eastAsia="es-ES"/>
        </w:rPr>
        <w:t xml:space="preserve">. </w:t>
      </w:r>
      <w:r w:rsidRPr="00FF5F9D">
        <w:rPr>
          <w:rFonts w:ascii="Arial" w:hAnsi="Arial" w:cs="Arial"/>
          <w:color w:val="000000"/>
          <w:sz w:val="21"/>
          <w:szCs w:val="21"/>
          <w:lang w:val="es-ES_tradnl" w:eastAsia="es-ES"/>
        </w:rPr>
        <w:t>Por medio del acto administrativo en el cual la Entidad Estatal impone multas, debe ordenar el pago al contratista y al garante. El acto administrativo correspondiente constituye el siniestro.</w:t>
      </w:r>
    </w:p>
    <w:p w14:paraId="167AF691" w14:textId="77777777" w:rsidR="00003233" w:rsidRPr="00FF5F9D" w:rsidRDefault="00003233" w:rsidP="00FF5F9D">
      <w:pPr>
        <w:overflowPunct w:val="0"/>
        <w:autoSpaceDE w:val="0"/>
        <w:autoSpaceDN w:val="0"/>
        <w:adjustRightInd w:val="0"/>
        <w:ind w:left="709" w:right="709"/>
        <w:jc w:val="both"/>
        <w:textAlignment w:val="baseline"/>
        <w:rPr>
          <w:rFonts w:ascii="Arial" w:hAnsi="Arial" w:cs="Arial"/>
          <w:color w:val="000000"/>
          <w:sz w:val="21"/>
          <w:szCs w:val="21"/>
          <w:lang w:val="es-ES_tradnl" w:eastAsia="es-ES"/>
        </w:rPr>
      </w:pPr>
    </w:p>
    <w:p w14:paraId="35B64EC7" w14:textId="2EB6FC45" w:rsidR="002413B5" w:rsidRDefault="00FF5F9D" w:rsidP="00FF5F9D">
      <w:pPr>
        <w:overflowPunct w:val="0"/>
        <w:autoSpaceDE w:val="0"/>
        <w:autoSpaceDN w:val="0"/>
        <w:adjustRightInd w:val="0"/>
        <w:ind w:left="709" w:right="709"/>
        <w:jc w:val="both"/>
        <w:textAlignment w:val="baseline"/>
        <w:rPr>
          <w:rFonts w:ascii="Arial" w:hAnsi="Arial" w:cs="Arial"/>
          <w:color w:val="000000"/>
          <w:sz w:val="21"/>
          <w:szCs w:val="21"/>
          <w:lang w:val="es-ES_tradnl" w:eastAsia="es-ES"/>
        </w:rPr>
      </w:pPr>
      <w:r w:rsidRPr="00FF5F9D">
        <w:rPr>
          <w:rFonts w:ascii="Arial" w:hAnsi="Arial" w:cs="Arial"/>
          <w:color w:val="000000"/>
          <w:sz w:val="21"/>
          <w:szCs w:val="21"/>
          <w:lang w:val="es-ES_tradnl" w:eastAsia="es-ES"/>
        </w:rPr>
        <w:t>3</w:t>
      </w:r>
      <w:r w:rsidR="00003233">
        <w:rPr>
          <w:rFonts w:ascii="Arial" w:hAnsi="Arial" w:cs="Arial"/>
          <w:color w:val="000000"/>
          <w:sz w:val="21"/>
          <w:szCs w:val="21"/>
          <w:lang w:val="es-ES_tradnl" w:eastAsia="es-ES"/>
        </w:rPr>
        <w:t xml:space="preserve">. </w:t>
      </w:r>
      <w:r w:rsidRPr="00FF5F9D">
        <w:rPr>
          <w:rFonts w:ascii="Arial" w:hAnsi="Arial" w:cs="Arial"/>
          <w:color w:val="000000"/>
          <w:sz w:val="21"/>
          <w:szCs w:val="21"/>
          <w:lang w:val="es-ES_tradnl" w:eastAsia="es-ES"/>
        </w:rPr>
        <w:t>Por medio del acto administrativo en el cual la Enti</w:t>
      </w:r>
      <w:r>
        <w:rPr>
          <w:rFonts w:ascii="Arial" w:hAnsi="Arial" w:cs="Arial"/>
          <w:color w:val="000000"/>
          <w:sz w:val="21"/>
          <w:szCs w:val="21"/>
          <w:lang w:val="es-ES_tradnl" w:eastAsia="es-ES"/>
        </w:rPr>
        <w:t>dad Estatal declare el incumpli</w:t>
      </w:r>
      <w:r w:rsidRPr="00FF5F9D">
        <w:rPr>
          <w:rFonts w:ascii="Arial" w:hAnsi="Arial" w:cs="Arial"/>
          <w:color w:val="000000"/>
          <w:sz w:val="21"/>
          <w:szCs w:val="21"/>
          <w:lang w:val="es-ES_tradnl" w:eastAsia="es-ES"/>
        </w:rPr>
        <w:t>miento, puede hacer efectiva la cláusula penal, si está pactada en el contrato, y ordenar su pago al contratista y al garante. El acto administrativo correspondiente es la reclamación para la compañía de seguros.</w:t>
      </w:r>
    </w:p>
    <w:p w14:paraId="129A2E63" w14:textId="77777777" w:rsidR="00003233" w:rsidRPr="00CB776B" w:rsidRDefault="00003233" w:rsidP="00CB776B">
      <w:pPr>
        <w:overflowPunct w:val="0"/>
        <w:autoSpaceDE w:val="0"/>
        <w:autoSpaceDN w:val="0"/>
        <w:adjustRightInd w:val="0"/>
        <w:spacing w:line="276" w:lineRule="auto"/>
        <w:ind w:left="709" w:right="709"/>
        <w:jc w:val="both"/>
        <w:textAlignment w:val="baseline"/>
        <w:rPr>
          <w:rFonts w:ascii="Arial" w:hAnsi="Arial" w:cs="Arial"/>
          <w:color w:val="000000"/>
          <w:sz w:val="22"/>
          <w:szCs w:val="22"/>
          <w:lang w:val="es-ES_tradnl" w:eastAsia="es-ES"/>
        </w:rPr>
      </w:pPr>
    </w:p>
    <w:p w14:paraId="3C5A47E3" w14:textId="77777777" w:rsidR="004471F4" w:rsidRDefault="00F217AB" w:rsidP="00CB776B">
      <w:pPr>
        <w:spacing w:after="120" w:line="276" w:lineRule="auto"/>
        <w:ind w:firstLine="709"/>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 xml:space="preserve">En principio, podría pensarse </w:t>
      </w:r>
      <w:r w:rsidR="00AC2BEC">
        <w:rPr>
          <w:rFonts w:ascii="Arial" w:eastAsia="Calibri" w:hAnsi="Arial" w:cs="Arial"/>
          <w:bCs/>
          <w:color w:val="000000" w:themeColor="text1"/>
          <w:sz w:val="22"/>
          <w:lang w:val="es-ES_tradnl"/>
        </w:rPr>
        <w:t xml:space="preserve">que </w:t>
      </w:r>
      <w:r>
        <w:rPr>
          <w:rFonts w:ascii="Arial" w:eastAsia="Calibri" w:hAnsi="Arial" w:cs="Arial"/>
          <w:bCs/>
          <w:color w:val="000000" w:themeColor="text1"/>
          <w:sz w:val="22"/>
          <w:lang w:val="es-ES_tradnl"/>
        </w:rPr>
        <w:t>el procedimiento requerido para</w:t>
      </w:r>
      <w:r w:rsidR="001A325B">
        <w:rPr>
          <w:rFonts w:ascii="Arial" w:eastAsia="Calibri" w:hAnsi="Arial" w:cs="Arial"/>
          <w:bCs/>
          <w:color w:val="000000" w:themeColor="text1"/>
          <w:sz w:val="22"/>
          <w:lang w:val="es-ES_tradnl"/>
        </w:rPr>
        <w:t xml:space="preserve"> hacer efectivas</w:t>
      </w:r>
      <w:r>
        <w:rPr>
          <w:rFonts w:ascii="Arial" w:eastAsia="Calibri" w:hAnsi="Arial" w:cs="Arial"/>
          <w:bCs/>
          <w:color w:val="000000" w:themeColor="text1"/>
          <w:sz w:val="22"/>
          <w:lang w:val="es-ES_tradnl"/>
        </w:rPr>
        <w:t xml:space="preserve"> las garantías</w:t>
      </w:r>
      <w:r w:rsidR="00AC2BEC">
        <w:rPr>
          <w:rFonts w:ascii="Arial" w:eastAsia="Calibri" w:hAnsi="Arial" w:cs="Arial"/>
          <w:bCs/>
          <w:color w:val="000000" w:themeColor="text1"/>
          <w:sz w:val="22"/>
          <w:lang w:val="es-ES_tradnl"/>
        </w:rPr>
        <w:t xml:space="preserve"> constituidas en el contrato estatal</w:t>
      </w:r>
      <w:r w:rsidR="00320A6E">
        <w:rPr>
          <w:rFonts w:ascii="Arial" w:eastAsia="Calibri" w:hAnsi="Arial" w:cs="Arial"/>
          <w:bCs/>
          <w:color w:val="000000" w:themeColor="text1"/>
          <w:sz w:val="22"/>
          <w:lang w:val="es-ES_tradnl"/>
        </w:rPr>
        <w:t xml:space="preserve"> y declarar el siniestro</w:t>
      </w:r>
      <w:r>
        <w:rPr>
          <w:rFonts w:ascii="Arial" w:eastAsia="Calibri" w:hAnsi="Arial" w:cs="Arial"/>
          <w:bCs/>
          <w:color w:val="000000" w:themeColor="text1"/>
          <w:sz w:val="22"/>
          <w:lang w:val="es-ES_tradnl"/>
        </w:rPr>
        <w:t>, es el descrito</w:t>
      </w:r>
      <w:r w:rsidR="001A325B">
        <w:rPr>
          <w:rFonts w:ascii="Arial" w:eastAsia="Calibri" w:hAnsi="Arial" w:cs="Arial"/>
          <w:bCs/>
          <w:color w:val="000000" w:themeColor="text1"/>
          <w:sz w:val="22"/>
          <w:lang w:val="es-ES_tradnl"/>
        </w:rPr>
        <w:t xml:space="preserve"> en el artículo 86 de la Ley 1474 de 2011, </w:t>
      </w:r>
      <w:r w:rsidR="00AC2BEC">
        <w:rPr>
          <w:rFonts w:ascii="Arial" w:eastAsia="Calibri" w:hAnsi="Arial" w:cs="Arial"/>
          <w:bCs/>
          <w:color w:val="000000" w:themeColor="text1"/>
          <w:sz w:val="22"/>
          <w:lang w:val="es-ES_tradnl"/>
        </w:rPr>
        <w:t xml:space="preserve">ya que los riesgos que deben cubrir están relacionados con el </w:t>
      </w:r>
      <w:r w:rsidR="00AC2BEC" w:rsidRPr="00AC2BEC">
        <w:rPr>
          <w:rFonts w:ascii="Arial" w:eastAsia="Calibri" w:hAnsi="Arial" w:cs="Arial"/>
          <w:bCs/>
          <w:color w:val="000000" w:themeColor="text1"/>
          <w:sz w:val="22"/>
          <w:lang w:val="es-ES_tradnl"/>
        </w:rPr>
        <w:t>cumplimiento de las obligac</w:t>
      </w:r>
      <w:r w:rsidR="00AC2BEC">
        <w:rPr>
          <w:rFonts w:ascii="Arial" w:eastAsia="Calibri" w:hAnsi="Arial" w:cs="Arial"/>
          <w:bCs/>
          <w:color w:val="000000" w:themeColor="text1"/>
          <w:sz w:val="22"/>
          <w:lang w:val="es-ES_tradnl"/>
        </w:rPr>
        <w:t>iones surgidas en favor de las entidades estatales con ocasión de</w:t>
      </w:r>
      <w:r w:rsidR="00AC2BEC" w:rsidRPr="00AC2BEC">
        <w:rPr>
          <w:rFonts w:ascii="Arial" w:eastAsia="Calibri" w:hAnsi="Arial" w:cs="Arial"/>
          <w:bCs/>
          <w:color w:val="000000" w:themeColor="text1"/>
          <w:sz w:val="22"/>
          <w:lang w:val="es-ES_tradnl"/>
        </w:rPr>
        <w:t xml:space="preserve"> l</w:t>
      </w:r>
      <w:r w:rsidR="00AC2BEC">
        <w:rPr>
          <w:rFonts w:ascii="Arial" w:eastAsia="Calibri" w:hAnsi="Arial" w:cs="Arial"/>
          <w:bCs/>
          <w:color w:val="000000" w:themeColor="text1"/>
          <w:sz w:val="22"/>
          <w:lang w:val="es-ES_tradnl"/>
        </w:rPr>
        <w:t>a presentación de las ofertas y de los contratos y su liquidación</w:t>
      </w:r>
      <w:r w:rsidR="002168B8">
        <w:rPr>
          <w:rFonts w:ascii="Arial" w:eastAsia="Calibri" w:hAnsi="Arial" w:cs="Arial"/>
          <w:bCs/>
          <w:color w:val="000000" w:themeColor="text1"/>
          <w:sz w:val="22"/>
          <w:lang w:val="es-ES_tradnl"/>
        </w:rPr>
        <w:t xml:space="preserve">, y por ende, su incumplimiento da lugar a la imposición de las sanciones establecidas. </w:t>
      </w:r>
    </w:p>
    <w:p w14:paraId="7A6C787B" w14:textId="568A6A1D" w:rsidR="00AC2BEC" w:rsidRDefault="00AC2BEC" w:rsidP="004471F4">
      <w:pPr>
        <w:spacing w:line="276" w:lineRule="auto"/>
        <w:ind w:firstLine="709"/>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 xml:space="preserve">Sin embargo, </w:t>
      </w:r>
      <w:r w:rsidR="00E132D5">
        <w:rPr>
          <w:rFonts w:ascii="Arial" w:eastAsia="Calibri" w:hAnsi="Arial" w:cs="Arial"/>
          <w:bCs/>
          <w:color w:val="000000" w:themeColor="text1"/>
          <w:sz w:val="22"/>
          <w:lang w:val="es-ES_tradnl"/>
        </w:rPr>
        <w:t xml:space="preserve">como veremos, </w:t>
      </w:r>
      <w:r w:rsidR="00EC6D8D">
        <w:rPr>
          <w:rFonts w:ascii="Arial" w:eastAsia="Calibri" w:hAnsi="Arial" w:cs="Arial"/>
          <w:bCs/>
          <w:color w:val="000000" w:themeColor="text1"/>
          <w:sz w:val="22"/>
          <w:lang w:val="es-ES_tradnl"/>
        </w:rPr>
        <w:t>no siempre</w:t>
      </w:r>
      <w:r w:rsidR="00FF5F9D">
        <w:rPr>
          <w:rFonts w:ascii="Arial" w:eastAsia="Calibri" w:hAnsi="Arial" w:cs="Arial"/>
          <w:bCs/>
          <w:color w:val="000000" w:themeColor="text1"/>
          <w:sz w:val="22"/>
          <w:lang w:val="es-ES_tradnl"/>
        </w:rPr>
        <w:t xml:space="preserve"> que se pretenda </w:t>
      </w:r>
      <w:r w:rsidR="002168B8">
        <w:rPr>
          <w:rFonts w:ascii="Arial" w:eastAsia="Calibri" w:hAnsi="Arial" w:cs="Arial"/>
          <w:bCs/>
          <w:color w:val="000000" w:themeColor="text1"/>
          <w:sz w:val="22"/>
          <w:lang w:val="es-ES_tradnl"/>
        </w:rPr>
        <w:t xml:space="preserve">hacer efectiva las garantías </w:t>
      </w:r>
      <w:r w:rsidR="00EC6D8D">
        <w:rPr>
          <w:rFonts w:ascii="Arial" w:eastAsia="Calibri" w:hAnsi="Arial" w:cs="Arial"/>
          <w:color w:val="000000" w:themeColor="text1"/>
          <w:sz w:val="22"/>
          <w:lang w:val="es-ES_tradnl"/>
        </w:rPr>
        <w:t>la Administración</w:t>
      </w:r>
      <w:r w:rsidR="00EC6D8D" w:rsidRPr="003766A0">
        <w:rPr>
          <w:rFonts w:ascii="Arial" w:eastAsia="Calibri" w:hAnsi="Arial" w:cs="Arial"/>
          <w:color w:val="000000" w:themeColor="text1"/>
          <w:sz w:val="22"/>
          <w:lang w:val="es-ES_tradnl"/>
        </w:rPr>
        <w:t xml:space="preserve"> ejerce una potestad sancionadora</w:t>
      </w:r>
      <w:r w:rsidR="00EC6D8D">
        <w:rPr>
          <w:rFonts w:ascii="Arial" w:eastAsia="Calibri" w:hAnsi="Arial" w:cs="Arial"/>
          <w:bCs/>
          <w:color w:val="000000" w:themeColor="text1"/>
          <w:sz w:val="22"/>
          <w:lang w:val="es-ES_tradnl"/>
        </w:rPr>
        <w:t xml:space="preserve"> o</w:t>
      </w:r>
      <w:r w:rsidR="005502F9">
        <w:rPr>
          <w:rFonts w:ascii="Arial" w:eastAsia="Calibri" w:hAnsi="Arial" w:cs="Arial"/>
          <w:bCs/>
          <w:color w:val="000000" w:themeColor="text1"/>
          <w:sz w:val="22"/>
          <w:lang w:val="es-ES_tradnl"/>
        </w:rPr>
        <w:t>,</w:t>
      </w:r>
      <w:r w:rsidR="002168B8">
        <w:rPr>
          <w:rFonts w:ascii="Arial" w:eastAsia="Calibri" w:hAnsi="Arial" w:cs="Arial"/>
          <w:bCs/>
          <w:color w:val="000000" w:themeColor="text1"/>
          <w:sz w:val="22"/>
          <w:lang w:val="es-ES_tradnl"/>
        </w:rPr>
        <w:t xml:space="preserve"> en su defecto,</w:t>
      </w:r>
      <w:r w:rsidR="00EC6D8D">
        <w:rPr>
          <w:rFonts w:ascii="Arial" w:eastAsia="Calibri" w:hAnsi="Arial" w:cs="Arial"/>
          <w:bCs/>
          <w:color w:val="000000" w:themeColor="text1"/>
          <w:sz w:val="22"/>
          <w:lang w:val="es-ES_tradnl"/>
        </w:rPr>
        <w:t xml:space="preserve"> </w:t>
      </w:r>
      <w:r w:rsidR="002168B8">
        <w:rPr>
          <w:rFonts w:ascii="Arial" w:eastAsia="Calibri" w:hAnsi="Arial" w:cs="Arial"/>
          <w:bCs/>
          <w:color w:val="000000" w:themeColor="text1"/>
          <w:sz w:val="22"/>
          <w:lang w:val="es-ES_tradnl"/>
        </w:rPr>
        <w:t xml:space="preserve">aunque pueda tratarse de una sanción, </w:t>
      </w:r>
      <w:r w:rsidR="00EC6D8D">
        <w:rPr>
          <w:rFonts w:ascii="Arial" w:eastAsia="Calibri" w:hAnsi="Arial" w:cs="Arial"/>
          <w:bCs/>
          <w:color w:val="000000" w:themeColor="text1"/>
          <w:sz w:val="22"/>
          <w:lang w:val="es-ES_tradnl"/>
        </w:rPr>
        <w:t xml:space="preserve">no </w:t>
      </w:r>
      <w:r w:rsidR="002168B8">
        <w:rPr>
          <w:rFonts w:ascii="Arial" w:eastAsia="Calibri" w:hAnsi="Arial" w:cs="Arial"/>
          <w:bCs/>
          <w:color w:val="000000" w:themeColor="text1"/>
          <w:sz w:val="22"/>
          <w:lang w:val="es-ES_tradnl"/>
        </w:rPr>
        <w:t>se cumplen todos</w:t>
      </w:r>
      <w:r w:rsidR="00EC6D8D">
        <w:rPr>
          <w:rFonts w:ascii="Arial" w:eastAsia="Calibri" w:hAnsi="Arial" w:cs="Arial"/>
          <w:bCs/>
          <w:color w:val="000000" w:themeColor="text1"/>
          <w:sz w:val="22"/>
          <w:lang w:val="es-ES_tradnl"/>
        </w:rPr>
        <w:t xml:space="preserve"> los presupuestos propios del artículo 86 de </w:t>
      </w:r>
      <w:r w:rsidR="001A325B">
        <w:rPr>
          <w:rFonts w:ascii="Arial" w:eastAsia="Calibri" w:hAnsi="Arial" w:cs="Arial"/>
          <w:bCs/>
          <w:color w:val="000000" w:themeColor="text1"/>
          <w:sz w:val="22"/>
          <w:lang w:val="es-ES_tradnl"/>
        </w:rPr>
        <w:t xml:space="preserve">dicha </w:t>
      </w:r>
      <w:r w:rsidR="00EC6D8D">
        <w:rPr>
          <w:rFonts w:ascii="Arial" w:eastAsia="Calibri" w:hAnsi="Arial" w:cs="Arial"/>
          <w:bCs/>
          <w:color w:val="000000" w:themeColor="text1"/>
          <w:sz w:val="22"/>
          <w:lang w:val="es-ES_tradnl"/>
        </w:rPr>
        <w:t>la Ley</w:t>
      </w:r>
      <w:r w:rsidR="002168B8">
        <w:rPr>
          <w:rFonts w:ascii="Arial" w:eastAsia="Calibri" w:hAnsi="Arial" w:cs="Arial"/>
          <w:bCs/>
          <w:color w:val="000000" w:themeColor="text1"/>
          <w:sz w:val="22"/>
          <w:lang w:val="es-ES_tradnl"/>
        </w:rPr>
        <w:t>, por lo que</w:t>
      </w:r>
      <w:r w:rsidR="002168B8" w:rsidRPr="002168B8">
        <w:rPr>
          <w:rFonts w:ascii="Arial" w:eastAsia="Calibri" w:hAnsi="Arial" w:cs="Arial"/>
          <w:bCs/>
          <w:color w:val="000000" w:themeColor="text1"/>
          <w:sz w:val="22"/>
          <w:lang w:val="es-ES_tradnl"/>
        </w:rPr>
        <w:t xml:space="preserve"> </w:t>
      </w:r>
      <w:r w:rsidR="002168B8">
        <w:rPr>
          <w:rFonts w:ascii="Arial" w:eastAsia="Calibri" w:hAnsi="Arial" w:cs="Arial"/>
          <w:bCs/>
          <w:color w:val="000000" w:themeColor="text1"/>
          <w:sz w:val="22"/>
          <w:lang w:val="es-ES_tradnl"/>
        </w:rPr>
        <w:t xml:space="preserve">no resulta aplicable este procedimiento. </w:t>
      </w:r>
      <w:r w:rsidR="005502F9">
        <w:rPr>
          <w:rFonts w:ascii="Arial" w:eastAsia="Calibri" w:hAnsi="Arial" w:cs="Arial"/>
          <w:bCs/>
          <w:color w:val="000000" w:themeColor="text1"/>
          <w:sz w:val="22"/>
          <w:lang w:val="es-ES_tradnl"/>
        </w:rPr>
        <w:t xml:space="preserve">Esto no obsta para </w:t>
      </w:r>
      <w:r w:rsidR="005502F9" w:rsidRPr="00033295">
        <w:rPr>
          <w:rFonts w:ascii="Arial" w:eastAsia="Calibri" w:hAnsi="Arial" w:cs="Arial"/>
          <w:bCs/>
          <w:color w:val="000000" w:themeColor="text1"/>
          <w:sz w:val="22"/>
          <w:lang w:val="es-ES_tradnl" w:eastAsia="en-GB"/>
        </w:rPr>
        <w:t xml:space="preserve">la Administración </w:t>
      </w:r>
      <w:r w:rsidR="005502F9">
        <w:rPr>
          <w:rFonts w:ascii="Arial" w:eastAsia="Calibri" w:hAnsi="Arial" w:cs="Arial"/>
          <w:bCs/>
          <w:color w:val="000000" w:themeColor="text1"/>
          <w:sz w:val="22"/>
          <w:lang w:val="es-ES_tradnl" w:eastAsia="en-GB"/>
        </w:rPr>
        <w:t>respete</w:t>
      </w:r>
      <w:r w:rsidR="005502F9" w:rsidRPr="00033295">
        <w:rPr>
          <w:rFonts w:ascii="Arial" w:eastAsia="Calibri" w:hAnsi="Arial" w:cs="Arial"/>
          <w:bCs/>
          <w:color w:val="000000" w:themeColor="text1"/>
          <w:sz w:val="22"/>
          <w:lang w:val="es-ES_tradnl" w:eastAsia="en-GB"/>
        </w:rPr>
        <w:t xml:space="preserve"> las garantías del debido proceso en materia contractual</w:t>
      </w:r>
      <w:r w:rsidR="002168B8">
        <w:rPr>
          <w:rFonts w:ascii="Arial" w:eastAsia="Calibri" w:hAnsi="Arial" w:cs="Arial"/>
          <w:bCs/>
          <w:color w:val="000000" w:themeColor="text1"/>
          <w:sz w:val="22"/>
          <w:lang w:val="es-ES_tradnl"/>
        </w:rPr>
        <w:t xml:space="preserve">, </w:t>
      </w:r>
      <w:r w:rsidR="00A677F6">
        <w:rPr>
          <w:rFonts w:ascii="Arial" w:eastAsia="Calibri" w:hAnsi="Arial" w:cs="Arial"/>
          <w:bCs/>
          <w:color w:val="000000" w:themeColor="text1"/>
          <w:sz w:val="22"/>
          <w:lang w:val="es-ES_tradnl"/>
        </w:rPr>
        <w:t>razón por la cual podr</w:t>
      </w:r>
      <w:r w:rsidR="00F814B2">
        <w:rPr>
          <w:rFonts w:ascii="Arial" w:eastAsia="Calibri" w:hAnsi="Arial" w:cs="Arial"/>
          <w:bCs/>
          <w:color w:val="000000" w:themeColor="text1"/>
          <w:sz w:val="22"/>
          <w:lang w:val="es-ES_tradnl"/>
        </w:rPr>
        <w:t xml:space="preserve">á aplicar el procedimiento administrativo general o sancionatorio regulado en la ley 1437 de 2011, según sea el caso. </w:t>
      </w:r>
      <w:r w:rsidR="004471F4">
        <w:rPr>
          <w:rFonts w:ascii="Arial" w:eastAsia="Calibri" w:hAnsi="Arial" w:cs="Arial"/>
          <w:bCs/>
          <w:color w:val="000000" w:themeColor="text1"/>
          <w:sz w:val="22"/>
          <w:lang w:val="es-ES_tradnl"/>
        </w:rPr>
        <w:t>En este contexto</w:t>
      </w:r>
      <w:r w:rsidR="00EC6D8D">
        <w:rPr>
          <w:rFonts w:ascii="Arial" w:eastAsia="Calibri" w:hAnsi="Arial" w:cs="Arial"/>
          <w:bCs/>
          <w:color w:val="000000" w:themeColor="text1"/>
          <w:sz w:val="22"/>
          <w:lang w:val="es-ES_tradnl"/>
        </w:rPr>
        <w:t xml:space="preserve">, a </w:t>
      </w:r>
      <w:proofErr w:type="gramStart"/>
      <w:r w:rsidR="00EC6D8D">
        <w:rPr>
          <w:rFonts w:ascii="Arial" w:eastAsia="Calibri" w:hAnsi="Arial" w:cs="Arial"/>
          <w:bCs/>
          <w:color w:val="000000" w:themeColor="text1"/>
          <w:sz w:val="22"/>
          <w:lang w:val="es-ES_tradnl"/>
        </w:rPr>
        <w:t>continuación</w:t>
      </w:r>
      <w:proofErr w:type="gramEnd"/>
      <w:r w:rsidR="00EC6D8D">
        <w:rPr>
          <w:rFonts w:ascii="Arial" w:eastAsia="Calibri" w:hAnsi="Arial" w:cs="Arial"/>
          <w:bCs/>
          <w:color w:val="000000" w:themeColor="text1"/>
          <w:sz w:val="22"/>
          <w:lang w:val="es-ES_tradnl"/>
        </w:rPr>
        <w:t xml:space="preserve"> se revisará el procedimiento</w:t>
      </w:r>
      <w:r w:rsidR="00FF5F9D">
        <w:rPr>
          <w:rFonts w:ascii="Arial" w:eastAsia="Calibri" w:hAnsi="Arial" w:cs="Arial"/>
          <w:bCs/>
          <w:color w:val="000000" w:themeColor="text1"/>
          <w:sz w:val="22"/>
          <w:lang w:val="es-ES_tradnl"/>
        </w:rPr>
        <w:t xml:space="preserve"> para</w:t>
      </w:r>
      <w:r w:rsidR="00EC6D8D">
        <w:rPr>
          <w:rFonts w:ascii="Arial" w:eastAsia="Calibri" w:hAnsi="Arial" w:cs="Arial"/>
          <w:bCs/>
          <w:color w:val="000000" w:themeColor="text1"/>
          <w:sz w:val="22"/>
          <w:lang w:val="es-ES_tradnl"/>
        </w:rPr>
        <w:t xml:space="preserve"> </w:t>
      </w:r>
      <w:r w:rsidR="00FF5F9D">
        <w:rPr>
          <w:rFonts w:ascii="Arial" w:eastAsia="Calibri" w:hAnsi="Arial" w:cs="Arial"/>
          <w:bCs/>
          <w:color w:val="000000" w:themeColor="text1"/>
          <w:sz w:val="22"/>
          <w:lang w:val="es-ES_tradnl"/>
        </w:rPr>
        <w:t xml:space="preserve">declarar el siniestro de las garantías sometidas a </w:t>
      </w:r>
      <w:r w:rsidR="00EC6D8D">
        <w:rPr>
          <w:rFonts w:ascii="Arial" w:eastAsia="Calibri" w:hAnsi="Arial" w:cs="Arial"/>
          <w:bCs/>
          <w:color w:val="000000" w:themeColor="text1"/>
          <w:sz w:val="22"/>
          <w:lang w:val="es-ES_tradnl"/>
        </w:rPr>
        <w:t xml:space="preserve">consulta. </w:t>
      </w:r>
    </w:p>
    <w:p w14:paraId="25EDBE90" w14:textId="77777777" w:rsidR="004471F4" w:rsidRDefault="004471F4" w:rsidP="00CB776B">
      <w:pPr>
        <w:spacing w:line="276" w:lineRule="auto"/>
        <w:ind w:firstLine="709"/>
        <w:jc w:val="both"/>
        <w:rPr>
          <w:rFonts w:ascii="Arial" w:eastAsia="Calibri" w:hAnsi="Arial" w:cs="Arial"/>
          <w:bCs/>
          <w:color w:val="000000" w:themeColor="text1"/>
          <w:sz w:val="22"/>
          <w:lang w:val="es-ES_tradnl"/>
        </w:rPr>
      </w:pPr>
    </w:p>
    <w:p w14:paraId="2E570A69" w14:textId="2CB45DE6" w:rsidR="00AC2BEC" w:rsidRDefault="00EC6D8D" w:rsidP="004471F4">
      <w:pPr>
        <w:pStyle w:val="Prrafodelista"/>
        <w:numPr>
          <w:ilvl w:val="0"/>
          <w:numId w:val="32"/>
        </w:numPr>
        <w:tabs>
          <w:tab w:val="left" w:pos="993"/>
        </w:tabs>
        <w:spacing w:line="276" w:lineRule="auto"/>
        <w:ind w:left="0" w:firstLine="709"/>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 xml:space="preserve">Garantía de seriedad de la oferta </w:t>
      </w:r>
    </w:p>
    <w:p w14:paraId="1E831441" w14:textId="77777777" w:rsidR="004471F4" w:rsidRPr="00EC6D8D" w:rsidRDefault="004471F4" w:rsidP="00CB776B">
      <w:pPr>
        <w:pStyle w:val="Prrafodelista"/>
        <w:tabs>
          <w:tab w:val="left" w:pos="993"/>
        </w:tabs>
        <w:spacing w:line="276" w:lineRule="auto"/>
        <w:ind w:left="709"/>
        <w:jc w:val="both"/>
        <w:rPr>
          <w:rFonts w:ascii="Arial" w:eastAsia="Calibri" w:hAnsi="Arial" w:cs="Arial"/>
          <w:bCs/>
          <w:color w:val="000000" w:themeColor="text1"/>
          <w:sz w:val="22"/>
          <w:lang w:val="es-ES_tradnl"/>
        </w:rPr>
      </w:pPr>
    </w:p>
    <w:p w14:paraId="03ECB8FF" w14:textId="37E36AF8" w:rsidR="00F217AB" w:rsidRPr="00F217AB" w:rsidRDefault="00003233" w:rsidP="00CB776B">
      <w:pPr>
        <w:spacing w:line="276" w:lineRule="auto"/>
        <w:ind w:firstLine="709"/>
        <w:jc w:val="both"/>
        <w:rPr>
          <w:rFonts w:ascii="Arial" w:hAnsi="Arial" w:cs="Arial"/>
          <w:iCs/>
          <w:color w:val="000000" w:themeColor="text1"/>
          <w:sz w:val="22"/>
          <w:lang w:val="es-ES_tradnl" w:eastAsia="en-GB"/>
        </w:rPr>
      </w:pPr>
      <w:r>
        <w:rPr>
          <w:rFonts w:ascii="Arial" w:eastAsia="Calibri" w:hAnsi="Arial" w:cs="Arial"/>
          <w:bCs/>
          <w:color w:val="000000" w:themeColor="text1"/>
          <w:sz w:val="22"/>
          <w:lang w:val="es-ES_tradnl"/>
        </w:rPr>
        <w:lastRenderedPageBreak/>
        <w:t>Como punto de partida, l</w:t>
      </w:r>
      <w:r w:rsidR="00EC6D8D">
        <w:rPr>
          <w:rFonts w:ascii="Arial" w:eastAsia="Calibri" w:hAnsi="Arial" w:cs="Arial"/>
          <w:bCs/>
          <w:color w:val="000000" w:themeColor="text1"/>
          <w:sz w:val="22"/>
          <w:lang w:val="es-ES_tradnl"/>
        </w:rPr>
        <w:t>as</w:t>
      </w:r>
      <w:r w:rsidR="00F217AB">
        <w:rPr>
          <w:rFonts w:ascii="Arial" w:eastAsia="Calibri" w:hAnsi="Arial" w:cs="Arial"/>
          <w:bCs/>
          <w:color w:val="000000" w:themeColor="text1"/>
          <w:sz w:val="22"/>
          <w:lang w:val="es-ES_tradnl"/>
        </w:rPr>
        <w:t xml:space="preserve"> causales </w:t>
      </w:r>
      <w:r w:rsidR="00F217AB">
        <w:rPr>
          <w:rFonts w:ascii="Arial" w:eastAsia="Calibri" w:hAnsi="Arial" w:cs="Arial"/>
          <w:color w:val="000000" w:themeColor="text1"/>
          <w:sz w:val="22"/>
          <w:lang w:val="es-ES"/>
        </w:rPr>
        <w:t>del artículo</w:t>
      </w:r>
      <w:r w:rsidR="00F217AB" w:rsidRPr="00386009">
        <w:rPr>
          <w:rFonts w:ascii="Arial" w:eastAsia="Calibri" w:hAnsi="Arial" w:cs="Arial"/>
          <w:color w:val="000000" w:themeColor="text1"/>
          <w:sz w:val="22"/>
          <w:lang w:val="es-ES"/>
        </w:rPr>
        <w:t xml:space="preserve"> 2.2.1.2.3.1.6 del Decreto 1082 de 2015</w:t>
      </w:r>
      <w:r w:rsidR="00F217AB">
        <w:rPr>
          <w:rFonts w:ascii="Arial" w:eastAsia="Calibri" w:hAnsi="Arial" w:cs="Arial"/>
          <w:color w:val="000000" w:themeColor="text1"/>
          <w:sz w:val="22"/>
          <w:lang w:val="es-ES"/>
        </w:rPr>
        <w:t xml:space="preserve">, además de originar un acto de gravamen, tienen naturaleza sancionadora. Esta precisión es importante, porque si bien toda </w:t>
      </w:r>
      <w:r w:rsidR="00F217AB" w:rsidRPr="004E7442">
        <w:rPr>
          <w:rFonts w:ascii="Arial" w:eastAsia="Calibri" w:hAnsi="Arial" w:cs="Arial"/>
          <w:i/>
          <w:iCs/>
          <w:color w:val="000000" w:themeColor="text1"/>
          <w:sz w:val="22"/>
          <w:lang w:val="es-ES"/>
        </w:rPr>
        <w:t>sanción administrativa</w:t>
      </w:r>
      <w:r w:rsidR="00F217AB">
        <w:rPr>
          <w:rFonts w:ascii="Arial" w:eastAsia="Calibri" w:hAnsi="Arial" w:cs="Arial"/>
          <w:color w:val="000000" w:themeColor="text1"/>
          <w:sz w:val="22"/>
          <w:lang w:val="es-ES"/>
        </w:rPr>
        <w:t xml:space="preserve"> es un </w:t>
      </w:r>
      <w:r w:rsidR="00F217AB" w:rsidRPr="004E7442">
        <w:rPr>
          <w:rFonts w:ascii="Arial" w:eastAsia="Calibri" w:hAnsi="Arial" w:cs="Arial"/>
          <w:i/>
          <w:iCs/>
          <w:color w:val="000000" w:themeColor="text1"/>
          <w:sz w:val="22"/>
          <w:lang w:val="es-ES"/>
        </w:rPr>
        <w:t>acto de gravamen</w:t>
      </w:r>
      <w:r w:rsidR="00F217AB">
        <w:rPr>
          <w:rFonts w:ascii="Arial" w:eastAsia="Calibri" w:hAnsi="Arial" w:cs="Arial"/>
          <w:color w:val="000000" w:themeColor="text1"/>
          <w:sz w:val="22"/>
          <w:lang w:val="es-ES"/>
        </w:rPr>
        <w:t xml:space="preserve">, no todo </w:t>
      </w:r>
      <w:r w:rsidR="00F217AB" w:rsidRPr="004E7442">
        <w:rPr>
          <w:rFonts w:ascii="Arial" w:eastAsia="Calibri" w:hAnsi="Arial" w:cs="Arial"/>
          <w:i/>
          <w:iCs/>
          <w:color w:val="000000" w:themeColor="text1"/>
          <w:sz w:val="22"/>
          <w:lang w:val="es-ES"/>
        </w:rPr>
        <w:t>acto de gravamen</w:t>
      </w:r>
      <w:r w:rsidR="00F217AB">
        <w:rPr>
          <w:rFonts w:ascii="Arial" w:eastAsia="Calibri" w:hAnsi="Arial" w:cs="Arial"/>
          <w:color w:val="000000" w:themeColor="text1"/>
          <w:sz w:val="22"/>
          <w:lang w:val="es-ES"/>
        </w:rPr>
        <w:t xml:space="preserve"> es una </w:t>
      </w:r>
      <w:r w:rsidR="00F217AB" w:rsidRPr="004E7442">
        <w:rPr>
          <w:rFonts w:ascii="Arial" w:eastAsia="Calibri" w:hAnsi="Arial" w:cs="Arial"/>
          <w:i/>
          <w:iCs/>
          <w:color w:val="000000" w:themeColor="text1"/>
          <w:sz w:val="22"/>
          <w:lang w:val="es-ES"/>
        </w:rPr>
        <w:t>sanción administrativa</w:t>
      </w:r>
      <w:r w:rsidR="00F217AB">
        <w:rPr>
          <w:rFonts w:ascii="Arial" w:eastAsia="Calibri" w:hAnsi="Arial" w:cs="Arial"/>
          <w:color w:val="000000" w:themeColor="text1"/>
          <w:sz w:val="22"/>
          <w:lang w:val="es-ES"/>
        </w:rPr>
        <w:t xml:space="preserve">. </w:t>
      </w:r>
      <w:r w:rsidR="00F217AB" w:rsidRPr="005929DC">
        <w:rPr>
          <w:rFonts w:ascii="Arial" w:eastAsia="Calibri" w:hAnsi="Arial" w:cs="Arial"/>
          <w:color w:val="000000" w:themeColor="text1"/>
          <w:sz w:val="22"/>
          <w:lang w:val="es-ES"/>
        </w:rPr>
        <w:t xml:space="preserve">Este el caso de la expropiación </w:t>
      </w:r>
      <w:proofErr w:type="gramStart"/>
      <w:r w:rsidR="00F217AB" w:rsidRPr="005929DC">
        <w:rPr>
          <w:rFonts w:ascii="Arial" w:eastAsia="Calibri" w:hAnsi="Arial" w:cs="Arial"/>
          <w:color w:val="000000" w:themeColor="text1"/>
          <w:sz w:val="22"/>
          <w:lang w:val="es-ES"/>
        </w:rPr>
        <w:t>forzosa,</w:t>
      </w:r>
      <w:proofErr w:type="gramEnd"/>
      <w:r w:rsidR="00F217AB" w:rsidRPr="005929DC">
        <w:rPr>
          <w:rFonts w:ascii="Arial" w:eastAsia="Calibri" w:hAnsi="Arial" w:cs="Arial"/>
          <w:color w:val="000000" w:themeColor="text1"/>
          <w:sz w:val="22"/>
          <w:lang w:val="es-ES"/>
        </w:rPr>
        <w:t xml:space="preserve"> sea que se realice por vía administrativa </w:t>
      </w:r>
      <w:r w:rsidR="00F217AB">
        <w:rPr>
          <w:rFonts w:ascii="Arial" w:eastAsia="Calibri" w:hAnsi="Arial" w:cs="Arial"/>
          <w:color w:val="000000" w:themeColor="text1"/>
          <w:sz w:val="22"/>
          <w:lang w:val="es-ES"/>
        </w:rPr>
        <w:t xml:space="preserve">o </w:t>
      </w:r>
      <w:r w:rsidR="00F217AB" w:rsidRPr="005929DC">
        <w:rPr>
          <w:rFonts w:ascii="Arial" w:eastAsia="Calibri" w:hAnsi="Arial" w:cs="Arial"/>
          <w:color w:val="000000" w:themeColor="text1"/>
          <w:sz w:val="22"/>
          <w:lang w:val="es-ES"/>
        </w:rPr>
        <w:t xml:space="preserve">judicial, </w:t>
      </w:r>
      <w:r w:rsidR="00F217AB">
        <w:rPr>
          <w:rFonts w:ascii="Arial" w:eastAsia="Calibri" w:hAnsi="Arial" w:cs="Arial"/>
          <w:color w:val="000000" w:themeColor="text1"/>
          <w:sz w:val="22"/>
          <w:lang w:val="es-ES"/>
        </w:rPr>
        <w:t xml:space="preserve">pues </w:t>
      </w:r>
      <w:r w:rsidR="00F217AB" w:rsidRPr="005929DC">
        <w:rPr>
          <w:rFonts w:ascii="Arial" w:eastAsia="Calibri" w:hAnsi="Arial" w:cs="Arial"/>
          <w:color w:val="000000" w:themeColor="text1"/>
          <w:sz w:val="22"/>
          <w:lang w:val="es-ES"/>
        </w:rPr>
        <w:t xml:space="preserve">a pesar de que existe un </w:t>
      </w:r>
      <w:r w:rsidR="00F217AB" w:rsidRPr="00C81AB7">
        <w:rPr>
          <w:rFonts w:ascii="Arial" w:eastAsia="Calibri" w:hAnsi="Arial" w:cs="Arial"/>
          <w:i/>
          <w:iCs/>
          <w:color w:val="000000" w:themeColor="text1"/>
          <w:sz w:val="22"/>
          <w:lang w:val="es-ES"/>
        </w:rPr>
        <w:t>acto de gravamen</w:t>
      </w:r>
      <w:r w:rsidR="00F217AB" w:rsidRPr="005929DC">
        <w:rPr>
          <w:rFonts w:ascii="Arial" w:eastAsia="Calibri" w:hAnsi="Arial" w:cs="Arial"/>
          <w:color w:val="000000" w:themeColor="text1"/>
          <w:sz w:val="22"/>
          <w:lang w:val="es-ES"/>
        </w:rPr>
        <w:t xml:space="preserve"> que afecta el derecho de propiedad, no puede sostenerse que el procedimiento tenga naturaleza sancionadora, máxime cuando son razones de utilidad pública precisamente las que faculta</w:t>
      </w:r>
      <w:r w:rsidR="00F217AB">
        <w:rPr>
          <w:rFonts w:ascii="Arial" w:eastAsia="Calibri" w:hAnsi="Arial" w:cs="Arial"/>
          <w:color w:val="000000" w:themeColor="text1"/>
          <w:sz w:val="22"/>
          <w:lang w:val="es-ES"/>
        </w:rPr>
        <w:t>n</w:t>
      </w:r>
      <w:r w:rsidR="00F217AB" w:rsidRPr="005929DC">
        <w:rPr>
          <w:rFonts w:ascii="Arial" w:eastAsia="Calibri" w:hAnsi="Arial" w:cs="Arial"/>
          <w:color w:val="000000" w:themeColor="text1"/>
          <w:sz w:val="22"/>
          <w:lang w:val="es-ES"/>
        </w:rPr>
        <w:t xml:space="preserve"> la prerrogativa expropiatoria del Estado. En este sentido, la medida –más que buscar la imposición de una pena a causa del quebrantamiento de una norma– pretende la satisfacción del interés general. Este ejemplo demuestra que existen mínimo dos (2) formas de definir la sanción. </w:t>
      </w:r>
      <w:r w:rsidR="004E6A1F">
        <w:rPr>
          <w:rFonts w:ascii="Arial" w:eastAsia="Calibri" w:hAnsi="Arial" w:cs="Arial"/>
          <w:color w:val="000000" w:themeColor="text1"/>
          <w:sz w:val="22"/>
          <w:lang w:val="es-ES"/>
        </w:rPr>
        <w:t>Al respecto</w:t>
      </w:r>
      <w:r w:rsidR="00F217AB" w:rsidRPr="005929DC">
        <w:rPr>
          <w:rFonts w:ascii="Arial" w:eastAsia="Calibri" w:hAnsi="Arial" w:cs="Arial"/>
          <w:color w:val="000000" w:themeColor="text1"/>
          <w:sz w:val="22"/>
          <w:lang w:val="es-ES"/>
        </w:rPr>
        <w:t>, el Código Civil dispone que:</w:t>
      </w:r>
    </w:p>
    <w:p w14:paraId="2B81C449" w14:textId="77777777" w:rsidR="00F217AB" w:rsidRPr="005929DC" w:rsidRDefault="00F217AB" w:rsidP="00F217AB">
      <w:pPr>
        <w:tabs>
          <w:tab w:val="left" w:pos="709"/>
        </w:tabs>
        <w:spacing w:line="276" w:lineRule="auto"/>
        <w:jc w:val="both"/>
        <w:rPr>
          <w:rFonts w:ascii="Arial" w:eastAsia="Calibri" w:hAnsi="Arial" w:cs="Arial"/>
          <w:color w:val="000000" w:themeColor="text1"/>
          <w:sz w:val="22"/>
          <w:lang w:val="es-ES"/>
        </w:rPr>
      </w:pPr>
    </w:p>
    <w:p w14:paraId="2C540075" w14:textId="77777777" w:rsidR="00F217AB" w:rsidRPr="00B30A67" w:rsidRDefault="00F217AB" w:rsidP="00F217AB">
      <w:pPr>
        <w:tabs>
          <w:tab w:val="left" w:pos="709"/>
        </w:tabs>
        <w:spacing w:after="120"/>
        <w:ind w:left="709" w:right="709"/>
        <w:jc w:val="both"/>
        <w:rPr>
          <w:rFonts w:ascii="Arial" w:eastAsia="Calibri" w:hAnsi="Arial" w:cs="Arial"/>
          <w:color w:val="000000" w:themeColor="text1"/>
          <w:sz w:val="21"/>
          <w:szCs w:val="21"/>
          <w:lang w:val="es-ES"/>
        </w:rPr>
      </w:pPr>
      <w:r w:rsidRPr="00B30A67">
        <w:rPr>
          <w:rFonts w:ascii="Arial" w:eastAsia="Calibri" w:hAnsi="Arial" w:cs="Arial"/>
          <w:color w:val="000000" w:themeColor="text1"/>
          <w:sz w:val="21"/>
          <w:szCs w:val="21"/>
          <w:lang w:val="es-ES"/>
        </w:rPr>
        <w:t>Artículo 4º—Ley es una declaración de la voluntad soberana manifestada en la forma prevenida en la Constitución Nacional. El carácter general de la ley es mandar, prohibir, permitir o castigar.</w:t>
      </w:r>
    </w:p>
    <w:p w14:paraId="2DA25D79" w14:textId="77777777" w:rsidR="00F217AB" w:rsidRPr="00B30A67" w:rsidRDefault="00F217AB" w:rsidP="00F217AB">
      <w:pPr>
        <w:tabs>
          <w:tab w:val="left" w:pos="709"/>
        </w:tabs>
        <w:spacing w:before="120" w:after="120"/>
        <w:ind w:left="709" w:right="709"/>
        <w:jc w:val="both"/>
        <w:rPr>
          <w:rFonts w:ascii="Arial" w:eastAsia="Calibri" w:hAnsi="Arial" w:cs="Arial"/>
          <w:color w:val="000000" w:themeColor="text1"/>
          <w:sz w:val="21"/>
          <w:szCs w:val="21"/>
          <w:lang w:val="es-ES"/>
        </w:rPr>
      </w:pPr>
      <w:r w:rsidRPr="00B30A67">
        <w:rPr>
          <w:rFonts w:ascii="Arial" w:eastAsia="Calibri" w:hAnsi="Arial" w:cs="Arial"/>
          <w:color w:val="000000" w:themeColor="text1"/>
          <w:sz w:val="21"/>
          <w:szCs w:val="21"/>
          <w:lang w:val="es-ES"/>
        </w:rPr>
        <w:t xml:space="preserve">Artículo 5º—Pero no es necesario que la ley que </w:t>
      </w:r>
      <w:proofErr w:type="gramStart"/>
      <w:r w:rsidRPr="00B30A67">
        <w:rPr>
          <w:rFonts w:ascii="Arial" w:eastAsia="Calibri" w:hAnsi="Arial" w:cs="Arial"/>
          <w:color w:val="000000" w:themeColor="text1"/>
          <w:sz w:val="21"/>
          <w:szCs w:val="21"/>
          <w:lang w:val="es-ES"/>
        </w:rPr>
        <w:t>manda,</w:t>
      </w:r>
      <w:proofErr w:type="gramEnd"/>
      <w:r w:rsidRPr="00B30A67">
        <w:rPr>
          <w:rFonts w:ascii="Arial" w:eastAsia="Calibri" w:hAnsi="Arial" w:cs="Arial"/>
          <w:color w:val="000000" w:themeColor="text1"/>
          <w:sz w:val="21"/>
          <w:szCs w:val="21"/>
          <w:lang w:val="es-ES"/>
        </w:rPr>
        <w:t xml:space="preserve"> prohíbe o permita, contenga o exprese en sí misma la pena o castigo en que se incurre por su violación. El Código Penal es el que define los delitos y les señala penas».</w:t>
      </w:r>
    </w:p>
    <w:p w14:paraId="48E8C40C" w14:textId="77777777" w:rsidR="00F217AB" w:rsidRPr="00B30A67" w:rsidRDefault="00F217AB" w:rsidP="00F217AB">
      <w:pPr>
        <w:tabs>
          <w:tab w:val="left" w:pos="709"/>
        </w:tabs>
        <w:spacing w:before="120"/>
        <w:ind w:left="709" w:right="709"/>
        <w:jc w:val="both"/>
        <w:rPr>
          <w:rFonts w:ascii="Arial" w:eastAsia="Calibri" w:hAnsi="Arial" w:cs="Arial"/>
          <w:color w:val="000000" w:themeColor="text1"/>
          <w:sz w:val="21"/>
          <w:szCs w:val="21"/>
          <w:lang w:val="es-ES"/>
        </w:rPr>
      </w:pPr>
      <w:r w:rsidRPr="00B30A67">
        <w:rPr>
          <w:rFonts w:ascii="Arial" w:eastAsia="Calibri" w:hAnsi="Arial" w:cs="Arial"/>
          <w:color w:val="000000" w:themeColor="text1"/>
          <w:sz w:val="21"/>
          <w:szCs w:val="21"/>
          <w:lang w:val="es-ES"/>
        </w:rPr>
        <w:t xml:space="preserve">Artículo 6º—La sanción legal no es sólo la pena sino también la recompensa: es el bien o el mal que se deriva como consecuencia del cumplimiento de sus mandatos o de la trasgresión de sus prohibiciones. </w:t>
      </w:r>
    </w:p>
    <w:p w14:paraId="24B5D914" w14:textId="77777777" w:rsidR="00F217AB" w:rsidRPr="005929DC" w:rsidRDefault="00F217AB" w:rsidP="00F217AB">
      <w:pPr>
        <w:tabs>
          <w:tab w:val="left" w:pos="709"/>
        </w:tabs>
        <w:spacing w:line="276" w:lineRule="auto"/>
        <w:ind w:left="709" w:right="709"/>
        <w:jc w:val="both"/>
        <w:rPr>
          <w:rFonts w:ascii="Arial" w:eastAsia="Calibri" w:hAnsi="Arial" w:cs="Arial"/>
          <w:color w:val="000000" w:themeColor="text1"/>
          <w:sz w:val="22"/>
          <w:lang w:val="es-ES"/>
        </w:rPr>
      </w:pPr>
    </w:p>
    <w:p w14:paraId="585FF95B" w14:textId="243705F0" w:rsidR="0028396F" w:rsidRDefault="00F217AB" w:rsidP="00CB776B">
      <w:pPr>
        <w:tabs>
          <w:tab w:val="left" w:pos="709"/>
        </w:tabs>
        <w:spacing w:line="276" w:lineRule="auto"/>
        <w:jc w:val="both"/>
        <w:rPr>
          <w:rFonts w:ascii="Arial" w:eastAsia="Calibri" w:hAnsi="Arial" w:cs="Arial"/>
          <w:bCs/>
          <w:color w:val="000000" w:themeColor="text1"/>
          <w:sz w:val="22"/>
          <w:lang w:val="es-ES_tradnl"/>
        </w:rPr>
      </w:pPr>
      <w:r>
        <w:rPr>
          <w:rFonts w:ascii="Arial" w:eastAsia="Calibri" w:hAnsi="Arial" w:cs="Arial"/>
          <w:color w:val="000000" w:themeColor="text1"/>
          <w:sz w:val="22"/>
          <w:lang w:val="es-ES"/>
        </w:rPr>
        <w:tab/>
      </w:r>
      <w:r w:rsidRPr="005929DC">
        <w:rPr>
          <w:rFonts w:ascii="Arial" w:eastAsia="Calibri" w:hAnsi="Arial" w:cs="Arial"/>
          <w:color w:val="000000" w:themeColor="text1"/>
          <w:sz w:val="22"/>
          <w:lang w:val="es-ES"/>
        </w:rPr>
        <w:t xml:space="preserve">Como se observa, </w:t>
      </w:r>
      <w:bookmarkStart w:id="13" w:name="_Hlk50481476"/>
      <w:r w:rsidRPr="005929DC">
        <w:rPr>
          <w:rFonts w:ascii="Arial" w:eastAsia="Calibri" w:hAnsi="Arial" w:cs="Arial"/>
          <w:color w:val="000000" w:themeColor="text1"/>
          <w:sz w:val="22"/>
          <w:lang w:val="es-ES"/>
        </w:rPr>
        <w:t xml:space="preserve">la sanción </w:t>
      </w:r>
      <w:proofErr w:type="spellStart"/>
      <w:r w:rsidRPr="00B3795F">
        <w:rPr>
          <w:rFonts w:ascii="Arial" w:eastAsia="Calibri" w:hAnsi="Arial" w:cs="Arial"/>
          <w:i/>
          <w:iCs/>
          <w:color w:val="000000" w:themeColor="text1"/>
          <w:sz w:val="22"/>
          <w:lang w:val="es-ES"/>
        </w:rPr>
        <w:t>latu</w:t>
      </w:r>
      <w:proofErr w:type="spellEnd"/>
      <w:r w:rsidRPr="00B3795F">
        <w:rPr>
          <w:rFonts w:ascii="Arial" w:eastAsia="Calibri" w:hAnsi="Arial" w:cs="Arial"/>
          <w:i/>
          <w:iCs/>
          <w:color w:val="000000" w:themeColor="text1"/>
          <w:sz w:val="22"/>
          <w:lang w:val="es-ES"/>
        </w:rPr>
        <w:t xml:space="preserve"> sensu</w:t>
      </w:r>
      <w:r w:rsidRPr="005929DC">
        <w:rPr>
          <w:rFonts w:ascii="Arial" w:eastAsia="Calibri" w:hAnsi="Arial" w:cs="Arial"/>
          <w:color w:val="000000" w:themeColor="text1"/>
          <w:sz w:val="22"/>
          <w:lang w:val="es-ES"/>
        </w:rPr>
        <w:t xml:space="preserve"> es la consecuencia jurídica, al margen de que sea positiva o negativa, prevista por la realización del supuesto de hecho de la norma, mientras que la </w:t>
      </w:r>
      <w:proofErr w:type="gramStart"/>
      <w:r w:rsidRPr="005929DC">
        <w:rPr>
          <w:rFonts w:ascii="Arial" w:eastAsia="Calibri" w:hAnsi="Arial" w:cs="Arial"/>
          <w:color w:val="000000" w:themeColor="text1"/>
          <w:sz w:val="22"/>
          <w:lang w:val="es-ES"/>
        </w:rPr>
        <w:t xml:space="preserve">sanción </w:t>
      </w:r>
      <w:r w:rsidRPr="00B3795F">
        <w:rPr>
          <w:rFonts w:ascii="Arial" w:eastAsia="Calibri" w:hAnsi="Arial" w:cs="Arial"/>
          <w:i/>
          <w:iCs/>
          <w:color w:val="000000" w:themeColor="text1"/>
          <w:sz w:val="22"/>
          <w:lang w:val="es-ES"/>
        </w:rPr>
        <w:t>estricto</w:t>
      </w:r>
      <w:proofErr w:type="gramEnd"/>
      <w:r w:rsidRPr="00B3795F">
        <w:rPr>
          <w:rFonts w:ascii="Arial" w:eastAsia="Calibri" w:hAnsi="Arial" w:cs="Arial"/>
          <w:i/>
          <w:iCs/>
          <w:color w:val="000000" w:themeColor="text1"/>
          <w:sz w:val="22"/>
          <w:lang w:val="es-ES"/>
        </w:rPr>
        <w:t xml:space="preserve"> sensu</w:t>
      </w:r>
      <w:r w:rsidRPr="005929DC">
        <w:rPr>
          <w:rFonts w:ascii="Arial" w:eastAsia="Calibri" w:hAnsi="Arial" w:cs="Arial"/>
          <w:color w:val="000000" w:themeColor="text1"/>
          <w:sz w:val="22"/>
          <w:lang w:val="es-ES"/>
        </w:rPr>
        <w:t xml:space="preserve"> es la derivada de la imposición de una pena como consecuencia de una infracción penal u administrativa</w:t>
      </w:r>
      <w:r w:rsidRPr="00B80E36">
        <w:rPr>
          <w:rStyle w:val="Refdenotaalpie"/>
          <w:rFonts w:ascii="Arial" w:hAnsi="Arial" w:cs="Arial"/>
          <w:sz w:val="22"/>
        </w:rPr>
        <w:footnoteReference w:id="12"/>
      </w:r>
      <w:r w:rsidRPr="005929DC">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En otras palabras</w:t>
      </w:r>
      <w:r w:rsidRPr="005929DC">
        <w:rPr>
          <w:rFonts w:ascii="Arial" w:eastAsia="Calibri" w:hAnsi="Arial" w:cs="Arial"/>
          <w:color w:val="000000" w:themeColor="text1"/>
          <w:sz w:val="22"/>
          <w:lang w:val="es-ES"/>
        </w:rPr>
        <w:t xml:space="preserve">, si bien algunas sanciones –en sentido amplio– generan consecuencias negativas para el afectado, no todo lo que las cause es resultado de la imposición de una pena –en sentido estricto–. Por tanto, lo que diferencia la sanción en sentido amplio y la sanción en sentido estricto es el carácter </w:t>
      </w:r>
      <w:r w:rsidRPr="005929DC">
        <w:rPr>
          <w:rFonts w:ascii="Arial" w:eastAsia="Calibri" w:hAnsi="Arial" w:cs="Arial"/>
          <w:color w:val="000000" w:themeColor="text1"/>
          <w:sz w:val="22"/>
          <w:lang w:val="es-ES"/>
        </w:rPr>
        <w:lastRenderedPageBreak/>
        <w:t>marcadamente represivo de las segundas, pues surgen como consecuencia a la comisión de una infracción administrativa típica.</w:t>
      </w:r>
      <w:r>
        <w:rPr>
          <w:rFonts w:ascii="Arial" w:eastAsia="Calibri" w:hAnsi="Arial" w:cs="Arial"/>
          <w:color w:val="000000" w:themeColor="text1"/>
          <w:sz w:val="22"/>
          <w:lang w:val="es-ES"/>
        </w:rPr>
        <w:t xml:space="preserve"> </w:t>
      </w:r>
      <w:r w:rsidRPr="0087510D">
        <w:rPr>
          <w:rFonts w:ascii="Arial" w:eastAsia="Calibri" w:hAnsi="Arial" w:cs="Arial"/>
          <w:color w:val="000000" w:themeColor="text1"/>
          <w:sz w:val="22"/>
          <w:lang w:val="es-ES"/>
        </w:rPr>
        <w:t>Para estos efectos, la naturaleza jurídica del siniestro de la garantía de seriedad de la oferta se fundamenta en el citado artículo 2.2.1.2.3.2.8 del Decreto 1082 de 2015, pues dispone –que una vez declarado este– la compañía de seguros responde por el valor de la cobertura a título de sanción</w:t>
      </w:r>
      <w:bookmarkEnd w:id="13"/>
      <w:r w:rsidR="00957E21">
        <w:rPr>
          <w:rStyle w:val="Refdenotaalpie"/>
          <w:rFonts w:ascii="Arial" w:eastAsia="Calibri" w:hAnsi="Arial" w:cs="Arial"/>
          <w:color w:val="000000" w:themeColor="text1"/>
          <w:sz w:val="22"/>
          <w:lang w:val="es-ES"/>
        </w:rPr>
        <w:footnoteReference w:id="13"/>
      </w:r>
      <w:r>
        <w:rPr>
          <w:rFonts w:ascii="Arial" w:eastAsia="Calibri" w:hAnsi="Arial" w:cs="Arial"/>
          <w:color w:val="000000" w:themeColor="text1"/>
          <w:sz w:val="22"/>
          <w:lang w:val="es-ES"/>
        </w:rPr>
        <w:t xml:space="preserve">.   </w:t>
      </w:r>
      <w:r>
        <w:rPr>
          <w:rFonts w:ascii="Arial" w:eastAsia="Calibri" w:hAnsi="Arial" w:cs="Arial"/>
          <w:bCs/>
          <w:color w:val="000000" w:themeColor="text1"/>
          <w:sz w:val="22"/>
          <w:lang w:val="es-ES_tradnl"/>
        </w:rPr>
        <w:t xml:space="preserve">  </w:t>
      </w:r>
    </w:p>
    <w:p w14:paraId="3FA1518F" w14:textId="2A8B7AC5" w:rsidR="00F217AB" w:rsidRDefault="00F217AB" w:rsidP="00484074">
      <w:pPr>
        <w:tabs>
          <w:tab w:val="left" w:pos="709"/>
        </w:tabs>
        <w:spacing w:before="120" w:line="276" w:lineRule="auto"/>
        <w:jc w:val="both"/>
        <w:rPr>
          <w:rFonts w:ascii="Arial" w:eastAsia="Calibri" w:hAnsi="Arial" w:cs="Arial"/>
          <w:bCs/>
          <w:color w:val="000000" w:themeColor="text1"/>
          <w:sz w:val="22"/>
          <w:lang w:val="es-ES_tradnl"/>
        </w:rPr>
      </w:pPr>
      <w:r>
        <w:rPr>
          <w:rFonts w:ascii="Arial" w:hAnsi="Arial" w:cs="Arial"/>
          <w:iCs/>
          <w:color w:val="000000" w:themeColor="text1"/>
          <w:sz w:val="22"/>
          <w:lang w:val="es-ES_tradnl"/>
        </w:rPr>
        <w:tab/>
      </w:r>
      <w:r w:rsidR="00F747E9">
        <w:rPr>
          <w:rFonts w:ascii="Arial" w:hAnsi="Arial" w:cs="Arial"/>
          <w:iCs/>
          <w:color w:val="000000" w:themeColor="text1"/>
          <w:sz w:val="22"/>
          <w:lang w:val="es-ES_tradnl"/>
        </w:rPr>
        <w:t xml:space="preserve">Precisado lo anterior, </w:t>
      </w:r>
      <w:r w:rsidRPr="0028396F">
        <w:rPr>
          <w:rFonts w:ascii="Arial" w:eastAsia="Calibri" w:hAnsi="Arial" w:cs="Arial"/>
          <w:bCs/>
          <w:color w:val="000000" w:themeColor="text1"/>
          <w:sz w:val="22"/>
          <w:lang w:val="es-ES_tradnl"/>
        </w:rPr>
        <w:t xml:space="preserve">para </w:t>
      </w:r>
      <w:r w:rsidR="001A4A08">
        <w:rPr>
          <w:rFonts w:ascii="Arial" w:eastAsia="Calibri" w:hAnsi="Arial" w:cs="Arial"/>
          <w:bCs/>
          <w:color w:val="000000" w:themeColor="text1"/>
          <w:sz w:val="22"/>
          <w:lang w:val="es-ES_tradnl"/>
        </w:rPr>
        <w:t xml:space="preserve">efectos de </w:t>
      </w:r>
      <w:r w:rsidRPr="0028396F">
        <w:rPr>
          <w:rFonts w:ascii="Arial" w:eastAsia="Calibri" w:hAnsi="Arial" w:cs="Arial"/>
          <w:bCs/>
          <w:color w:val="000000" w:themeColor="text1"/>
          <w:sz w:val="22"/>
          <w:lang w:val="es-ES_tradnl"/>
        </w:rPr>
        <w:t xml:space="preserve">declarar el siniestro de la garantía de seriedad de la propuesta, </w:t>
      </w:r>
      <w:r w:rsidR="008E41C4">
        <w:rPr>
          <w:rFonts w:ascii="Arial" w:eastAsia="Calibri" w:hAnsi="Arial" w:cs="Arial"/>
          <w:bCs/>
          <w:color w:val="000000" w:themeColor="text1"/>
          <w:sz w:val="22"/>
          <w:lang w:val="es-ES_tradnl"/>
        </w:rPr>
        <w:t xml:space="preserve">esta Subdirección </w:t>
      </w:r>
      <w:r w:rsidR="0028396F" w:rsidRPr="0028396F">
        <w:rPr>
          <w:rFonts w:ascii="Arial" w:eastAsia="Calibri" w:hAnsi="Arial" w:cs="Arial"/>
          <w:bCs/>
          <w:color w:val="000000" w:themeColor="text1"/>
          <w:sz w:val="22"/>
          <w:lang w:val="es-ES_tradnl"/>
        </w:rPr>
        <w:t xml:space="preserve">considera </w:t>
      </w:r>
      <w:r w:rsidR="000B0DF3">
        <w:rPr>
          <w:rFonts w:ascii="Arial" w:eastAsia="Calibri" w:hAnsi="Arial" w:cs="Arial"/>
          <w:bCs/>
          <w:color w:val="000000" w:themeColor="text1"/>
          <w:sz w:val="22"/>
          <w:lang w:val="es-ES_tradnl"/>
        </w:rPr>
        <w:t xml:space="preserve">que </w:t>
      </w:r>
      <w:r w:rsidR="0028396F" w:rsidRPr="0028396F">
        <w:rPr>
          <w:rFonts w:ascii="Arial" w:eastAsia="Calibri" w:hAnsi="Arial" w:cs="Arial"/>
          <w:bCs/>
          <w:color w:val="000000" w:themeColor="text1"/>
          <w:sz w:val="22"/>
          <w:lang w:val="es-ES_tradnl"/>
        </w:rPr>
        <w:t xml:space="preserve">no resulta </w:t>
      </w:r>
      <w:r w:rsidR="0028396F">
        <w:rPr>
          <w:rFonts w:ascii="Arial" w:hAnsi="Arial" w:cs="Arial"/>
          <w:iCs/>
          <w:color w:val="000000" w:themeColor="text1"/>
          <w:sz w:val="22"/>
          <w:lang w:val="es-ES_tradnl"/>
        </w:rPr>
        <w:t>aplicable</w:t>
      </w:r>
      <w:r w:rsidR="0028396F" w:rsidRPr="0028396F">
        <w:rPr>
          <w:rFonts w:ascii="Arial" w:hAnsi="Arial" w:cs="Arial"/>
          <w:iCs/>
          <w:color w:val="000000" w:themeColor="text1"/>
          <w:sz w:val="22"/>
          <w:lang w:val="es-ES_tradnl"/>
        </w:rPr>
        <w:t xml:space="preserve"> </w:t>
      </w:r>
      <w:r w:rsidR="0028396F" w:rsidRPr="0028396F">
        <w:rPr>
          <w:rFonts w:ascii="Arial" w:eastAsia="Calibri" w:hAnsi="Arial" w:cs="Arial"/>
          <w:bCs/>
          <w:color w:val="000000" w:themeColor="text1"/>
          <w:sz w:val="22"/>
          <w:lang w:val="es-ES_tradnl"/>
        </w:rPr>
        <w:t>el artículo 86 de la Ley 1474 de 2011</w:t>
      </w:r>
      <w:r w:rsidR="00453A53">
        <w:rPr>
          <w:rFonts w:ascii="Arial" w:eastAsia="Calibri" w:hAnsi="Arial" w:cs="Arial"/>
          <w:bCs/>
          <w:color w:val="000000" w:themeColor="text1"/>
          <w:sz w:val="22"/>
          <w:lang w:val="es-ES_tradnl"/>
        </w:rPr>
        <w:t xml:space="preserve"> en todos los eventos establecidos </w:t>
      </w:r>
      <w:r w:rsidR="00453A53">
        <w:rPr>
          <w:rFonts w:ascii="Arial" w:eastAsia="Calibri" w:hAnsi="Arial" w:cs="Arial"/>
          <w:color w:val="000000" w:themeColor="text1"/>
          <w:sz w:val="22"/>
          <w:lang w:val="es-ES"/>
        </w:rPr>
        <w:t>artículo</w:t>
      </w:r>
      <w:r w:rsidR="00453A53" w:rsidRPr="00386009">
        <w:rPr>
          <w:rFonts w:ascii="Arial" w:eastAsia="Calibri" w:hAnsi="Arial" w:cs="Arial"/>
          <w:color w:val="000000" w:themeColor="text1"/>
          <w:sz w:val="22"/>
          <w:lang w:val="es-ES"/>
        </w:rPr>
        <w:t xml:space="preserve"> 2.2.1.2.3.1.6 del Decreto 1082 de 2015</w:t>
      </w:r>
      <w:r w:rsidR="0028396F" w:rsidRPr="0028396F">
        <w:rPr>
          <w:rFonts w:ascii="Arial" w:eastAsia="Calibri" w:hAnsi="Arial" w:cs="Arial"/>
          <w:bCs/>
          <w:color w:val="000000" w:themeColor="text1"/>
          <w:sz w:val="22"/>
          <w:lang w:val="es-ES_tradnl"/>
        </w:rPr>
        <w:t>.</w:t>
      </w:r>
      <w:r w:rsidR="0028396F">
        <w:rPr>
          <w:rFonts w:ascii="Arial" w:eastAsia="Calibri" w:hAnsi="Arial" w:cs="Arial"/>
          <w:bCs/>
          <w:color w:val="000000" w:themeColor="text1"/>
          <w:sz w:val="22"/>
          <w:lang w:val="es-ES_tradnl"/>
        </w:rPr>
        <w:t xml:space="preserve"> Lo anterior, por cuanto </w:t>
      </w:r>
      <w:r>
        <w:rPr>
          <w:rFonts w:ascii="Arial" w:eastAsia="Calibri" w:hAnsi="Arial" w:cs="Arial"/>
          <w:bCs/>
          <w:color w:val="000000" w:themeColor="text1"/>
          <w:sz w:val="22"/>
          <w:lang w:val="es-ES_tradnl"/>
        </w:rPr>
        <w:t>el pr</w:t>
      </w:r>
      <w:r w:rsidR="00453A53">
        <w:rPr>
          <w:rFonts w:ascii="Arial" w:eastAsia="Calibri" w:hAnsi="Arial" w:cs="Arial"/>
          <w:bCs/>
          <w:color w:val="000000" w:themeColor="text1"/>
          <w:sz w:val="22"/>
          <w:lang w:val="es-ES_tradnl"/>
        </w:rPr>
        <w:t xml:space="preserve">ocedimiento administrativo del Estatuto Anticorrupción </w:t>
      </w:r>
      <w:r>
        <w:rPr>
          <w:rFonts w:ascii="Arial" w:eastAsia="Calibri" w:hAnsi="Arial" w:cs="Arial"/>
          <w:bCs/>
          <w:color w:val="000000" w:themeColor="text1"/>
          <w:sz w:val="22"/>
          <w:lang w:val="es-ES_tradnl"/>
        </w:rPr>
        <w:t xml:space="preserve">supone, como mínimo, el perfeccionamiento del contrato, lo cual no sucede cuando la entidad hace efectiva la garantía precontractual por las causales 1, 2, y 3 del </w:t>
      </w:r>
      <w:r>
        <w:rPr>
          <w:rFonts w:ascii="Arial" w:eastAsia="Calibri" w:hAnsi="Arial" w:cs="Arial"/>
          <w:color w:val="000000" w:themeColor="text1"/>
          <w:sz w:val="22"/>
          <w:lang w:val="es-ES"/>
        </w:rPr>
        <w:t>artículo</w:t>
      </w:r>
      <w:r w:rsidRPr="00386009">
        <w:rPr>
          <w:rFonts w:ascii="Arial" w:eastAsia="Calibri" w:hAnsi="Arial" w:cs="Arial"/>
          <w:color w:val="000000" w:themeColor="text1"/>
          <w:sz w:val="22"/>
          <w:lang w:val="es-ES"/>
        </w:rPr>
        <w:t xml:space="preserve"> 2.2.1.2.3.1.6 del Decreto 1082 de 2015</w:t>
      </w:r>
      <w:r>
        <w:rPr>
          <w:rFonts w:ascii="Arial" w:eastAsia="Calibri" w:hAnsi="Arial" w:cs="Arial"/>
          <w:color w:val="000000" w:themeColor="text1"/>
          <w:sz w:val="22"/>
          <w:lang w:val="es-ES"/>
        </w:rPr>
        <w:t xml:space="preserve">, es decir, cuando el proponente no amplia la póliza por la prórroga del plazo de adjudicación o suscripción, cuando retira la oferta, o cuando el adjudicatario no suscribe el contrato sin justa una causa que lo justifique. </w:t>
      </w:r>
      <w:r>
        <w:rPr>
          <w:rFonts w:ascii="Arial" w:eastAsia="Calibri" w:hAnsi="Arial" w:cs="Arial"/>
          <w:bCs/>
          <w:color w:val="000000" w:themeColor="text1"/>
          <w:sz w:val="22"/>
          <w:lang w:val="es-ES_tradnl"/>
        </w:rPr>
        <w:t xml:space="preserve"> </w:t>
      </w:r>
    </w:p>
    <w:p w14:paraId="65CD617D" w14:textId="77777777" w:rsidR="00383A8D" w:rsidRDefault="00F217AB" w:rsidP="00383A8D">
      <w:pPr>
        <w:tabs>
          <w:tab w:val="left" w:pos="709"/>
        </w:tabs>
        <w:spacing w:before="120" w:after="120" w:line="276" w:lineRule="auto"/>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_tradnl"/>
        </w:rPr>
        <w:tab/>
      </w:r>
      <w:r w:rsidRPr="007D57EF">
        <w:rPr>
          <w:rFonts w:ascii="Arial" w:eastAsia="Calibri" w:hAnsi="Arial" w:cs="Arial"/>
          <w:bCs/>
          <w:color w:val="000000" w:themeColor="text1"/>
          <w:sz w:val="22"/>
          <w:lang w:val="es-ES"/>
        </w:rPr>
        <w:t xml:space="preserve">Dentro del esquema general de la Ley 80 de 1993, exceptuando los contratos derivados de la urgencia manifiesta y de </w:t>
      </w:r>
      <w:r>
        <w:rPr>
          <w:rFonts w:ascii="Arial" w:eastAsia="Calibri" w:hAnsi="Arial" w:cs="Arial"/>
          <w:bCs/>
          <w:color w:val="000000" w:themeColor="text1"/>
          <w:sz w:val="22"/>
          <w:lang w:val="es-ES"/>
        </w:rPr>
        <w:t xml:space="preserve">la </w:t>
      </w:r>
      <w:r w:rsidRPr="007D57EF">
        <w:rPr>
          <w:rFonts w:ascii="Arial" w:eastAsia="Calibri" w:hAnsi="Arial" w:cs="Arial"/>
          <w:bCs/>
          <w:color w:val="000000" w:themeColor="text1"/>
          <w:sz w:val="22"/>
          <w:lang w:val="es-ES"/>
        </w:rPr>
        <w:t>mínima cuantía, el contrato estatal se perfecciona cuando las partes alcanzan un acuerdo entre el objeto y el precio, y este se eleva por escrito –art. 41, inc. 1–</w:t>
      </w:r>
      <w:r>
        <w:rPr>
          <w:rStyle w:val="Refdenotaalpie"/>
          <w:rFonts w:ascii="Arial" w:eastAsia="Calibri" w:hAnsi="Arial" w:cs="Arial"/>
          <w:bCs/>
          <w:color w:val="000000" w:themeColor="text1"/>
          <w:sz w:val="22"/>
          <w:lang w:val="es-ES"/>
        </w:rPr>
        <w:footnoteReference w:id="14"/>
      </w:r>
      <w:r w:rsidRPr="007D57EF">
        <w:rPr>
          <w:rFonts w:ascii="Arial" w:eastAsia="Calibri" w:hAnsi="Arial" w:cs="Arial"/>
          <w:bCs/>
          <w:color w:val="000000" w:themeColor="text1"/>
          <w:sz w:val="22"/>
          <w:lang w:val="es-ES"/>
        </w:rPr>
        <w:t xml:space="preserve">. Para la doctrina, la forma solemne de contrato estatal se justifica tanto por razones tanto probatorias como presupuestales, delimitando la aplicación del régimen de nulidades, la teoría del hecho cumplido y del enriquecimiento sin </w:t>
      </w:r>
      <w:r w:rsidRPr="007D57EF">
        <w:rPr>
          <w:rFonts w:ascii="Arial" w:eastAsia="Calibri" w:hAnsi="Arial" w:cs="Arial"/>
          <w:bCs/>
          <w:color w:val="000000" w:themeColor="text1"/>
          <w:sz w:val="22"/>
          <w:lang w:val="es-ES"/>
        </w:rPr>
        <w:lastRenderedPageBreak/>
        <w:t>causa</w:t>
      </w:r>
      <w:r w:rsidRPr="007D57EF">
        <w:rPr>
          <w:rFonts w:ascii="Arial" w:eastAsia="Calibri" w:hAnsi="Arial" w:cs="Arial"/>
          <w:bCs/>
          <w:color w:val="000000" w:themeColor="text1"/>
          <w:sz w:val="22"/>
          <w:vertAlign w:val="superscript"/>
          <w:lang w:val="es-ES"/>
        </w:rPr>
        <w:footnoteReference w:id="15"/>
      </w:r>
      <w:r w:rsidRPr="007D57EF">
        <w:rPr>
          <w:rFonts w:ascii="Arial" w:eastAsia="Calibri" w:hAnsi="Arial" w:cs="Arial"/>
          <w:bCs/>
          <w:color w:val="000000" w:themeColor="text1"/>
          <w:sz w:val="22"/>
          <w:lang w:val="es-ES"/>
        </w:rPr>
        <w:t xml:space="preserve">.  No obstante, la suscripción del contrato supone la adjudicación previa. Este acto administrativo definitivo constituye una decisión motivada de la entidad contratante por la que se concede el derecho a celebrar el contrato al mejor proponente. </w:t>
      </w:r>
    </w:p>
    <w:p w14:paraId="2AC2A3B5" w14:textId="1321DD91" w:rsidR="00F217AB" w:rsidRPr="00383A8D" w:rsidRDefault="00F217AB" w:rsidP="00383A8D">
      <w:pPr>
        <w:tabs>
          <w:tab w:val="left" w:pos="709"/>
        </w:tabs>
        <w:spacing w:before="120" w:after="120" w:line="276" w:lineRule="auto"/>
        <w:ind w:firstLine="709"/>
        <w:jc w:val="both"/>
        <w:rPr>
          <w:rFonts w:ascii="Arial" w:eastAsia="Calibri" w:hAnsi="Arial" w:cs="Arial"/>
          <w:bCs/>
          <w:color w:val="000000" w:themeColor="text1"/>
          <w:sz w:val="22"/>
          <w:lang w:val="es-ES"/>
        </w:rPr>
      </w:pPr>
      <w:r w:rsidRPr="007D57EF">
        <w:rPr>
          <w:rFonts w:ascii="Arial" w:eastAsia="Calibri" w:hAnsi="Arial" w:cs="Arial"/>
          <w:bCs/>
          <w:color w:val="000000" w:themeColor="text1"/>
          <w:sz w:val="22"/>
          <w:lang w:val="es-ES"/>
        </w:rPr>
        <w:t xml:space="preserve">En otros términos, «La adjudicación es una etapa previa al contrato. </w:t>
      </w:r>
      <w:r w:rsidRPr="007D57EF">
        <w:rPr>
          <w:rFonts w:ascii="Arial" w:eastAsia="Calibri" w:hAnsi="Arial" w:cs="Arial"/>
          <w:bCs/>
          <w:i/>
          <w:iCs/>
          <w:color w:val="000000" w:themeColor="text1"/>
          <w:sz w:val="22"/>
          <w:lang w:val="es-ES"/>
        </w:rPr>
        <w:t xml:space="preserve">No es el contrato sino un acto administrativo </w:t>
      </w:r>
      <w:proofErr w:type="spellStart"/>
      <w:r w:rsidRPr="007D57EF">
        <w:rPr>
          <w:rFonts w:ascii="Arial" w:eastAsia="Calibri" w:hAnsi="Arial" w:cs="Arial"/>
          <w:bCs/>
          <w:i/>
          <w:iCs/>
          <w:color w:val="000000" w:themeColor="text1"/>
          <w:sz w:val="22"/>
          <w:lang w:val="es-ES"/>
        </w:rPr>
        <w:t>pre-contractual</w:t>
      </w:r>
      <w:proofErr w:type="spellEnd"/>
      <w:r w:rsidRPr="007D57EF">
        <w:rPr>
          <w:rFonts w:ascii="Arial" w:eastAsia="Calibri" w:hAnsi="Arial" w:cs="Arial"/>
          <w:bCs/>
          <w:i/>
          <w:iCs/>
          <w:color w:val="000000" w:themeColor="text1"/>
          <w:sz w:val="22"/>
          <w:lang w:val="es-ES"/>
        </w:rPr>
        <w:t xml:space="preserve"> que declara la propuesta aceptable y por el cual el licitante se obliga a efectuar los actos integrativos del procedimiento y formalización contractual</w:t>
      </w:r>
      <w:r w:rsidRPr="007D57EF">
        <w:rPr>
          <w:rFonts w:ascii="Arial" w:eastAsia="Calibri" w:hAnsi="Arial" w:cs="Arial"/>
          <w:bCs/>
          <w:color w:val="000000" w:themeColor="text1"/>
          <w:sz w:val="22"/>
          <w:lang w:val="es-ES"/>
        </w:rPr>
        <w:t>»</w:t>
      </w:r>
      <w:r>
        <w:rPr>
          <w:rFonts w:ascii="Arial" w:eastAsia="Calibri" w:hAnsi="Arial" w:cs="Arial"/>
          <w:bCs/>
          <w:color w:val="000000" w:themeColor="text1"/>
          <w:sz w:val="22"/>
          <w:lang w:val="es-ES"/>
        </w:rPr>
        <w:t xml:space="preserve"> (cursivas fuera de texto)</w:t>
      </w:r>
      <w:r w:rsidRPr="007D57EF">
        <w:rPr>
          <w:rFonts w:ascii="Arial" w:eastAsia="Calibri" w:hAnsi="Arial" w:cs="Arial"/>
          <w:bCs/>
          <w:color w:val="000000" w:themeColor="text1"/>
          <w:sz w:val="22"/>
          <w:vertAlign w:val="superscript"/>
          <w:lang w:val="es-ES"/>
        </w:rPr>
        <w:footnoteReference w:id="16"/>
      </w:r>
      <w:r w:rsidRPr="007D57EF">
        <w:rPr>
          <w:rFonts w:ascii="Arial" w:eastAsia="Calibri" w:hAnsi="Arial" w:cs="Arial"/>
          <w:bCs/>
          <w:color w:val="000000" w:themeColor="text1"/>
          <w:sz w:val="22"/>
          <w:lang w:val="es-ES"/>
        </w:rPr>
        <w:t>.</w:t>
      </w:r>
      <w:r>
        <w:rPr>
          <w:rFonts w:ascii="Arial" w:eastAsia="Calibri" w:hAnsi="Arial" w:cs="Arial"/>
          <w:bCs/>
          <w:color w:val="000000" w:themeColor="text1"/>
          <w:sz w:val="22"/>
          <w:lang w:val="es-ES"/>
        </w:rPr>
        <w:t xml:space="preserve"> En esta medida, si el contrato no nace a la vida jurídica con la selección del proponente, antes del perfeccionamiento –especialmente, si el adjudicatario no lo suscribió– no es posible aplicar el artículo </w:t>
      </w:r>
      <w:r>
        <w:rPr>
          <w:rFonts w:ascii="Arial" w:eastAsia="Calibri" w:hAnsi="Arial" w:cs="Arial"/>
          <w:bCs/>
          <w:color w:val="000000" w:themeColor="text1"/>
          <w:sz w:val="22"/>
          <w:lang w:val="es-ES_tradnl"/>
        </w:rPr>
        <w:t>artículo 86 de la Ley 1474 de 2011, el cual supone el incumplimiento de las obligaciones dispuestas en un acto bilateral –el contrato–, no uno unilateral –el acto de adjudicación–</w:t>
      </w:r>
      <w:r>
        <w:rPr>
          <w:rStyle w:val="Refdenotaalpie"/>
          <w:rFonts w:ascii="Arial" w:eastAsia="Calibri" w:hAnsi="Arial" w:cs="Arial"/>
          <w:bCs/>
          <w:color w:val="000000" w:themeColor="text1"/>
          <w:sz w:val="22"/>
          <w:lang w:val="es-ES_tradnl"/>
        </w:rPr>
        <w:footnoteReference w:id="17"/>
      </w:r>
      <w:r>
        <w:rPr>
          <w:rFonts w:ascii="Arial" w:eastAsia="Calibri" w:hAnsi="Arial" w:cs="Arial"/>
          <w:bCs/>
          <w:color w:val="000000" w:themeColor="text1"/>
          <w:sz w:val="22"/>
          <w:lang w:val="es-ES_tradnl"/>
        </w:rPr>
        <w:t>. A</w:t>
      </w:r>
      <w:r w:rsidRPr="00755996">
        <w:rPr>
          <w:rFonts w:ascii="Arial" w:eastAsia="Calibri" w:hAnsi="Arial" w:cs="Arial"/>
          <w:bCs/>
          <w:color w:val="000000" w:themeColor="text1"/>
          <w:sz w:val="22"/>
          <w:lang w:val="es-ES_tradnl"/>
        </w:rPr>
        <w:t xml:space="preserve">demás, que dicho artículo parte del presupuesto de que ya existe un «contratista», sujeto al que se refiere en diferentes lugares, lo que adicionalmente soporta la idea de que dicho procedimiento aplica si existe un contrato y no frente a un proponente o adjudicatario. </w:t>
      </w:r>
      <w:r>
        <w:rPr>
          <w:rFonts w:ascii="Arial" w:eastAsia="Calibri" w:hAnsi="Arial" w:cs="Arial"/>
          <w:bCs/>
          <w:color w:val="000000" w:themeColor="text1"/>
          <w:sz w:val="22"/>
          <w:lang w:val="es-ES_tradnl"/>
        </w:rPr>
        <w:t xml:space="preserve"> </w:t>
      </w:r>
    </w:p>
    <w:p w14:paraId="080F188B" w14:textId="40DD9676" w:rsidR="00F217AB" w:rsidRPr="00434F58" w:rsidRDefault="00F217AB" w:rsidP="00F217AB">
      <w:pPr>
        <w:tabs>
          <w:tab w:val="left" w:pos="709"/>
        </w:tabs>
        <w:spacing w:before="120" w:line="276" w:lineRule="auto"/>
        <w:jc w:val="both"/>
        <w:rPr>
          <w:rFonts w:ascii="Arial" w:eastAsia="Calibri" w:hAnsi="Arial" w:cs="Arial"/>
          <w:sz w:val="22"/>
          <w:lang w:val="es-ES_tradnl"/>
        </w:rPr>
      </w:pPr>
      <w:r>
        <w:rPr>
          <w:rFonts w:ascii="Arial" w:eastAsia="Calibri" w:hAnsi="Arial" w:cs="Arial"/>
          <w:bCs/>
          <w:color w:val="000000" w:themeColor="text1"/>
          <w:sz w:val="22"/>
          <w:lang w:val="es-ES_tradnl"/>
        </w:rPr>
        <w:tab/>
        <w:t xml:space="preserve">De esta manera, </w:t>
      </w:r>
      <w:bookmarkStart w:id="15" w:name="_Hlk50481585"/>
      <w:r>
        <w:rPr>
          <w:rFonts w:ascii="Arial" w:eastAsia="Calibri" w:hAnsi="Arial" w:cs="Arial"/>
          <w:bCs/>
          <w:color w:val="000000" w:themeColor="text1"/>
          <w:sz w:val="22"/>
          <w:lang w:val="es-ES_tradnl"/>
        </w:rPr>
        <w:t xml:space="preserve">el procedimiento del artículo 86 del Estatuto Anticorrupción aplica únicamente al siniestro de la garantía de seriedad cuando la declaratoria se fundamenta en el numeral 4 del </w:t>
      </w:r>
      <w:r>
        <w:rPr>
          <w:rFonts w:ascii="Arial" w:eastAsia="Calibri" w:hAnsi="Arial" w:cs="Arial"/>
          <w:color w:val="000000" w:themeColor="text1"/>
          <w:sz w:val="22"/>
          <w:lang w:val="es-ES"/>
        </w:rPr>
        <w:t>artículo</w:t>
      </w:r>
      <w:r w:rsidRPr="00386009">
        <w:rPr>
          <w:rFonts w:ascii="Arial" w:eastAsia="Calibri" w:hAnsi="Arial" w:cs="Arial"/>
          <w:color w:val="000000" w:themeColor="text1"/>
          <w:sz w:val="22"/>
          <w:lang w:val="es-ES"/>
        </w:rPr>
        <w:t xml:space="preserve"> 2.2.1.2.3.1.6 del Decreto 1082 de 2015</w:t>
      </w:r>
      <w:r>
        <w:rPr>
          <w:rFonts w:ascii="Arial" w:eastAsia="Calibri" w:hAnsi="Arial" w:cs="Arial"/>
          <w:color w:val="000000" w:themeColor="text1"/>
          <w:sz w:val="22"/>
          <w:lang w:val="es-ES"/>
        </w:rPr>
        <w:t xml:space="preserve">, es decir, en caso de que el proponente seleccionado no otorgue la garantía única de incumplimiento. Lo anterior dado que esta causal no solo supone la adjudicación sino también el perfeccionamiento del contrato, razón por la cual afecta al oferente ganador del procedimiento contractual, quien se convierte en contratista al suscribir el acuerdo en los términos del inciso primero del artículo 41 de la Ley 80 de 1993. De hecho, la ausencia de este requisito afecta el contrato, ya que –conforme al inciso segundo </w:t>
      </w:r>
      <w:proofErr w:type="spellStart"/>
      <w:r w:rsidR="000B0DF3" w:rsidRPr="00C53B7D">
        <w:rPr>
          <w:rFonts w:ascii="Arial" w:eastAsia="Calibri" w:hAnsi="Arial" w:cs="Arial"/>
          <w:i/>
          <w:iCs/>
          <w:color w:val="000000" w:themeColor="text1"/>
          <w:sz w:val="22"/>
          <w:lang w:val="es-ES"/>
        </w:rPr>
        <w:t>ibídem</w:t>
      </w:r>
      <w:proofErr w:type="spellEnd"/>
      <w:r>
        <w:rPr>
          <w:rFonts w:ascii="Arial" w:eastAsia="Calibri" w:hAnsi="Arial" w:cs="Arial"/>
          <w:color w:val="000000" w:themeColor="text1"/>
          <w:sz w:val="22"/>
          <w:lang w:val="es-ES"/>
        </w:rPr>
        <w:t xml:space="preserve">, modificado por el artículo 23 de la Ley 1150 de 2007– sin la aprobación de la garantía única es imposible ejecutarlo. Por tanto, la falta de otorgamiento de la garantía única debe sancionarse conforme al procedimiento especial de la Ley 1474 de 2011, pues se aplica a la imposición de todo tipo de sanciones contractuales, incluido el siniestro de la garantía de seriedad en el caso explicado.    </w:t>
      </w:r>
      <w:bookmarkEnd w:id="15"/>
      <w:r>
        <w:rPr>
          <w:rFonts w:ascii="Arial" w:eastAsia="Calibri" w:hAnsi="Arial" w:cs="Arial"/>
          <w:color w:val="000000" w:themeColor="text1"/>
          <w:sz w:val="22"/>
          <w:lang w:val="es-ES"/>
        </w:rPr>
        <w:t xml:space="preserve">      </w:t>
      </w:r>
      <w:r>
        <w:rPr>
          <w:rFonts w:ascii="Arial" w:eastAsia="Calibri" w:hAnsi="Arial" w:cs="Arial"/>
          <w:bCs/>
          <w:color w:val="000000" w:themeColor="text1"/>
          <w:sz w:val="22"/>
          <w:lang w:val="es-ES_tradnl"/>
        </w:rPr>
        <w:t xml:space="preserve"> </w:t>
      </w:r>
    </w:p>
    <w:p w14:paraId="462D5267" w14:textId="77777777" w:rsidR="00F217AB" w:rsidRDefault="00F217AB" w:rsidP="00F217AB">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lastRenderedPageBreak/>
        <w:t xml:space="preserve">En todo caso, aunque la </w:t>
      </w:r>
      <w:r>
        <w:rPr>
          <w:rFonts w:ascii="Arial" w:eastAsia="Calibri" w:hAnsi="Arial" w:cs="Arial"/>
          <w:color w:val="000000" w:themeColor="text1"/>
          <w:sz w:val="22"/>
          <w:lang w:val="es-ES"/>
        </w:rPr>
        <w:t>no ampliación de la garantía precontractual, el retiro de la oferta o la falta de suscripción del contrato son infracciones cometidas antes del perfeccionamiento del contrato, la imposibilidad de aplicar el artículo 86 del Estatuto Anticorrupción no significa la posibilidad de sancionar de plano. En efecto, e</w:t>
      </w:r>
      <w:r>
        <w:rPr>
          <w:rFonts w:ascii="Arial" w:eastAsia="Calibri" w:hAnsi="Arial" w:cs="Arial"/>
          <w:sz w:val="22"/>
          <w:lang w:val="es-ES_tradnl"/>
        </w:rPr>
        <w:t>l artículo 29 de la Constitución Política de 1991 dispone que el debido proceso rige en todas las actuaciones judiciales y administrativas. En concordancia, el numeral 1 del artículo 3 de la Ley 1437 prescribe que «</w:t>
      </w:r>
      <w:r w:rsidRPr="0038254D">
        <w:rPr>
          <w:rFonts w:ascii="Arial" w:eastAsia="Calibri" w:hAnsi="Arial" w:cs="Arial"/>
          <w:sz w:val="22"/>
          <w:lang w:val="es-ES_tradnl"/>
        </w:rPr>
        <w:t>En virtud del principio del debido proceso, las actuaciones administrativas se adelantarán de conformidad con las normas de procedimiento y competencia establecidas en la Constitución y la ley, con plena garantía de los derechos de representación, defensa y contradicción</w:t>
      </w:r>
      <w:r>
        <w:rPr>
          <w:rFonts w:ascii="Arial" w:eastAsia="Calibri" w:hAnsi="Arial" w:cs="Arial"/>
          <w:sz w:val="22"/>
          <w:lang w:val="es-ES_tradnl"/>
        </w:rPr>
        <w:t xml:space="preserve"> […]»</w:t>
      </w:r>
      <w:r w:rsidRPr="0038254D">
        <w:rPr>
          <w:rFonts w:ascii="Arial" w:eastAsia="Calibri" w:hAnsi="Arial" w:cs="Arial"/>
          <w:sz w:val="22"/>
          <w:lang w:val="es-ES_tradnl"/>
        </w:rPr>
        <w:t xml:space="preserve">. </w:t>
      </w:r>
      <w:r>
        <w:rPr>
          <w:rFonts w:ascii="Arial" w:eastAsia="Calibri" w:hAnsi="Arial" w:cs="Arial"/>
          <w:sz w:val="22"/>
          <w:lang w:val="es-ES_tradnl"/>
        </w:rPr>
        <w:t xml:space="preserve">Por tanto, sin perjuicio de los recursos y los medios de control procedentes, este derecho fundamental permite que el oferente, adjudicatario o contratista, así como la aseguradora, conozcan la actuación, ejerciendo el derecho de audiencia y defensa antes de que la Administración afecte la póliza. La jurisprudencia mayoritaria del Consejo de Estado acoge esta idea al explicar que, </w:t>
      </w:r>
      <w:r w:rsidRPr="00380117">
        <w:rPr>
          <w:rFonts w:ascii="Arial" w:eastAsia="Calibri" w:hAnsi="Arial" w:cs="Arial"/>
          <w:sz w:val="22"/>
          <w:lang w:val="es-ES_tradnl"/>
        </w:rPr>
        <w:t xml:space="preserve">si bien </w:t>
      </w:r>
      <w:r>
        <w:rPr>
          <w:rFonts w:ascii="Arial" w:eastAsia="Calibri" w:hAnsi="Arial" w:cs="Arial"/>
          <w:sz w:val="22"/>
          <w:lang w:val="es-ES_tradnl"/>
        </w:rPr>
        <w:t>las entidades</w:t>
      </w:r>
      <w:r w:rsidRPr="00380117">
        <w:rPr>
          <w:rFonts w:ascii="Arial" w:eastAsia="Calibri" w:hAnsi="Arial" w:cs="Arial"/>
          <w:sz w:val="22"/>
          <w:lang w:val="es-ES_tradnl"/>
        </w:rPr>
        <w:t xml:space="preserve"> tiene</w:t>
      </w:r>
      <w:r>
        <w:rPr>
          <w:rFonts w:ascii="Arial" w:eastAsia="Calibri" w:hAnsi="Arial" w:cs="Arial"/>
          <w:sz w:val="22"/>
          <w:lang w:val="es-ES_tradnl"/>
        </w:rPr>
        <w:t>n</w:t>
      </w:r>
      <w:r w:rsidRPr="00380117">
        <w:rPr>
          <w:rFonts w:ascii="Arial" w:eastAsia="Calibri" w:hAnsi="Arial" w:cs="Arial"/>
          <w:sz w:val="22"/>
          <w:lang w:val="es-ES_tradnl"/>
        </w:rPr>
        <w:t xml:space="preserve"> competencia para declarar el siniestro, </w:t>
      </w:r>
      <w:r>
        <w:rPr>
          <w:rFonts w:ascii="Arial" w:eastAsia="Calibri" w:hAnsi="Arial" w:cs="Arial"/>
          <w:sz w:val="22"/>
          <w:lang w:val="es-ES_tradnl"/>
        </w:rPr>
        <w:t>esta</w:t>
      </w:r>
      <w:r w:rsidRPr="00380117">
        <w:rPr>
          <w:rFonts w:ascii="Arial" w:eastAsia="Calibri" w:hAnsi="Arial" w:cs="Arial"/>
          <w:sz w:val="22"/>
          <w:lang w:val="es-ES_tradnl"/>
        </w:rPr>
        <w:t xml:space="preserve"> prerrogativa </w:t>
      </w:r>
      <w:r>
        <w:rPr>
          <w:rFonts w:ascii="Arial" w:eastAsia="Calibri" w:hAnsi="Arial" w:cs="Arial"/>
          <w:sz w:val="22"/>
          <w:lang w:val="es-ES_tradnl"/>
        </w:rPr>
        <w:t>no limita el debido proceso, razón por la cual:</w:t>
      </w:r>
      <w:r w:rsidRPr="00380117">
        <w:rPr>
          <w:rFonts w:ascii="Arial" w:eastAsia="Calibri" w:hAnsi="Arial" w:cs="Arial"/>
          <w:sz w:val="22"/>
          <w:lang w:val="es-ES_tradnl"/>
        </w:rPr>
        <w:t xml:space="preserve"> </w:t>
      </w:r>
    </w:p>
    <w:p w14:paraId="53BF2550" w14:textId="77777777" w:rsidR="00F217AB" w:rsidRPr="00380117" w:rsidRDefault="00F217AB" w:rsidP="00484074">
      <w:pPr>
        <w:spacing w:line="276" w:lineRule="auto"/>
        <w:ind w:firstLine="709"/>
        <w:jc w:val="both"/>
        <w:rPr>
          <w:rFonts w:ascii="Arial" w:eastAsia="Calibri" w:hAnsi="Arial" w:cs="Arial"/>
          <w:sz w:val="22"/>
          <w:lang w:val="es-ES_tradnl"/>
        </w:rPr>
      </w:pPr>
    </w:p>
    <w:p w14:paraId="67075D7B" w14:textId="77777777" w:rsidR="00F217AB" w:rsidRPr="00922A74" w:rsidRDefault="00F217AB" w:rsidP="00F217AB">
      <w:pPr>
        <w:ind w:left="709" w:right="760"/>
        <w:jc w:val="both"/>
        <w:rPr>
          <w:rFonts w:ascii="Arial" w:eastAsia="Calibri" w:hAnsi="Arial" w:cs="Arial"/>
          <w:sz w:val="21"/>
          <w:szCs w:val="21"/>
          <w:lang w:val="es-ES_tradnl"/>
        </w:rPr>
      </w:pPr>
      <w:r>
        <w:rPr>
          <w:rFonts w:ascii="Arial" w:eastAsia="Calibri" w:hAnsi="Arial" w:cs="Arial"/>
          <w:sz w:val="21"/>
          <w:szCs w:val="21"/>
          <w:lang w:val="es-ES_tradnl"/>
        </w:rPr>
        <w:t xml:space="preserve">[…] </w:t>
      </w:r>
      <w:r w:rsidRPr="00922A74">
        <w:rPr>
          <w:rFonts w:ascii="Arial" w:eastAsia="Calibri" w:hAnsi="Arial" w:cs="Arial"/>
          <w:sz w:val="21"/>
          <w:szCs w:val="21"/>
          <w:lang w:val="es-ES_tradnl"/>
        </w:rPr>
        <w:t xml:space="preserve">tampoco es exclusiva de los procedimientos sancionatorios contractuales, sino de los demás trámites administrativos que se surten al interior de la actividad contractual, que también deben garantizar un procedimiento previo que racionalice las decisiones que se adoptan a través suyo. Los más representativos son los procesos de selección de contratistas, cuyas etapas y requisitos son de estricta observancia, tanto para la administración como para los participantes, en señal de respeto al principio de legalidad como a este derecho que integra el debido proceso. </w:t>
      </w:r>
    </w:p>
    <w:p w14:paraId="209A1559" w14:textId="77777777" w:rsidR="00F217AB" w:rsidRPr="00260C02" w:rsidRDefault="00F217AB" w:rsidP="00F217AB">
      <w:pPr>
        <w:spacing w:before="120"/>
        <w:ind w:left="709" w:right="709"/>
        <w:jc w:val="both"/>
        <w:rPr>
          <w:rFonts w:ascii="Arial" w:eastAsia="Calibri" w:hAnsi="Arial" w:cs="Arial"/>
          <w:sz w:val="21"/>
          <w:szCs w:val="21"/>
          <w:lang w:val="es-ES_tradnl"/>
        </w:rPr>
      </w:pPr>
      <w:r w:rsidRPr="00922A74">
        <w:rPr>
          <w:rFonts w:ascii="Arial" w:eastAsia="Calibri" w:hAnsi="Arial" w:cs="Arial"/>
          <w:sz w:val="21"/>
          <w:szCs w:val="21"/>
          <w:lang w:val="es-ES_tradnl"/>
        </w:rPr>
        <w:t xml:space="preserve">El artículo 17 de la ley 1.150 exaltó aún más esta garantía, al disponer sobre la imposición de las sanciones que “Esta decisión deberá estar precedida de audiencia del afectado que deberá tener un procedimiento mínimo que garantice el derecho al debido proceso del contratista.” Sobra insistir en que este derecho no sólo es predicable de las sanciones de multa o cláusula penal, sino de cualquiera otra, por aplicación analógica de esta disposición –analogía in </w:t>
      </w:r>
      <w:proofErr w:type="spellStart"/>
      <w:r w:rsidRPr="00AD2EA9">
        <w:rPr>
          <w:rFonts w:ascii="Arial" w:eastAsia="Calibri" w:hAnsi="Arial" w:cs="Arial"/>
          <w:i/>
          <w:iCs/>
          <w:sz w:val="21"/>
          <w:szCs w:val="21"/>
          <w:lang w:val="es-ES_tradnl"/>
        </w:rPr>
        <w:t>bonam</w:t>
      </w:r>
      <w:proofErr w:type="spellEnd"/>
      <w:r w:rsidRPr="00AD2EA9">
        <w:rPr>
          <w:rFonts w:ascii="Arial" w:eastAsia="Calibri" w:hAnsi="Arial" w:cs="Arial"/>
          <w:i/>
          <w:iCs/>
          <w:sz w:val="21"/>
          <w:szCs w:val="21"/>
          <w:lang w:val="es-ES_tradnl"/>
        </w:rPr>
        <w:t xml:space="preserve"> </w:t>
      </w:r>
      <w:proofErr w:type="spellStart"/>
      <w:r w:rsidRPr="00AD2EA9">
        <w:rPr>
          <w:rFonts w:ascii="Arial" w:eastAsia="Calibri" w:hAnsi="Arial" w:cs="Arial"/>
          <w:i/>
          <w:iCs/>
          <w:sz w:val="21"/>
          <w:szCs w:val="21"/>
          <w:lang w:val="es-ES_tradnl"/>
        </w:rPr>
        <w:t>partem</w:t>
      </w:r>
      <w:proofErr w:type="spellEnd"/>
      <w:r w:rsidRPr="00922A74">
        <w:rPr>
          <w:rFonts w:ascii="Arial" w:eastAsia="Calibri" w:hAnsi="Arial" w:cs="Arial"/>
          <w:sz w:val="21"/>
          <w:szCs w:val="21"/>
          <w:lang w:val="es-ES_tradnl"/>
        </w:rPr>
        <w:t xml:space="preserve">- y por aplicación directa del art. 29 CP. En otras palabras, para la Sala no cabe duda </w:t>
      </w:r>
      <w:proofErr w:type="gramStart"/>
      <w:r w:rsidRPr="00922A74">
        <w:rPr>
          <w:rFonts w:ascii="Arial" w:eastAsia="Calibri" w:hAnsi="Arial" w:cs="Arial"/>
          <w:sz w:val="21"/>
          <w:szCs w:val="21"/>
          <w:lang w:val="es-ES_tradnl"/>
        </w:rPr>
        <w:t>que</w:t>
      </w:r>
      <w:proofErr w:type="gramEnd"/>
      <w:r w:rsidRPr="00922A74">
        <w:rPr>
          <w:rFonts w:ascii="Arial" w:eastAsia="Calibri" w:hAnsi="Arial" w:cs="Arial"/>
          <w:sz w:val="21"/>
          <w:szCs w:val="21"/>
          <w:lang w:val="es-ES_tradnl"/>
        </w:rPr>
        <w:t xml:space="preserve"> también cuando se ejercen los poderes exorbitantes, como la terminación, modificación o interpretación unilateral, caducidad, reversión, así como cuando se declara un siniestro, y en general cuando se adopta cualquier otra decisión unilateral de naturaleza contractual, es necesario que la administración observe el debido proceso a lo largo del procedimiento correspondiente</w:t>
      </w:r>
      <w:r w:rsidRPr="00260C02">
        <w:rPr>
          <w:rStyle w:val="Refdenotaalpie"/>
          <w:rFonts w:ascii="Arial" w:eastAsia="Calibri" w:hAnsi="Arial" w:cs="Arial"/>
          <w:sz w:val="21"/>
          <w:szCs w:val="21"/>
          <w:lang w:val="es-ES_tradnl"/>
        </w:rPr>
        <w:footnoteReference w:id="18"/>
      </w:r>
      <w:r w:rsidRPr="00260C02">
        <w:rPr>
          <w:rFonts w:ascii="Arial" w:eastAsia="Calibri" w:hAnsi="Arial" w:cs="Arial"/>
          <w:sz w:val="21"/>
          <w:szCs w:val="21"/>
          <w:lang w:val="es-ES_tradnl"/>
        </w:rPr>
        <w:t>.</w:t>
      </w:r>
    </w:p>
    <w:p w14:paraId="5231ACC1" w14:textId="77777777" w:rsidR="00F217AB" w:rsidRDefault="00F217AB" w:rsidP="00484074">
      <w:pPr>
        <w:spacing w:line="276" w:lineRule="auto"/>
        <w:jc w:val="both"/>
        <w:rPr>
          <w:rFonts w:ascii="Arial" w:eastAsia="Calibri" w:hAnsi="Arial" w:cs="Arial"/>
          <w:sz w:val="22"/>
          <w:lang w:val="es-ES_tradnl"/>
        </w:rPr>
      </w:pPr>
    </w:p>
    <w:p w14:paraId="5935319F" w14:textId="77777777" w:rsidR="004E6A1F" w:rsidRDefault="00F217AB" w:rsidP="00CC7E86">
      <w:pPr>
        <w:spacing w:before="120" w:line="276" w:lineRule="auto"/>
        <w:ind w:firstLine="709"/>
        <w:jc w:val="both"/>
        <w:rPr>
          <w:rFonts w:ascii="Arial" w:eastAsia="Calibri" w:hAnsi="Arial" w:cs="Arial"/>
          <w:sz w:val="22"/>
          <w:lang w:val="es-ES_tradnl"/>
        </w:rPr>
      </w:pPr>
      <w:bookmarkStart w:id="16" w:name="_Hlk49525465"/>
      <w:r>
        <w:rPr>
          <w:rFonts w:ascii="Arial" w:eastAsia="Calibri" w:hAnsi="Arial" w:cs="Arial"/>
          <w:sz w:val="22"/>
          <w:lang w:val="es-ES_tradnl"/>
        </w:rPr>
        <w:t xml:space="preserve">En este contexto, la Subdirección de Gestión Contractual considera que </w:t>
      </w:r>
      <w:bookmarkStart w:id="17" w:name="_Hlk50481834"/>
      <w:r>
        <w:rPr>
          <w:rFonts w:ascii="Arial" w:eastAsia="Calibri" w:hAnsi="Arial" w:cs="Arial"/>
          <w:sz w:val="22"/>
          <w:lang w:val="es-ES_tradnl"/>
        </w:rPr>
        <w:t>el trámite de la declaratoria del siniestro de la garantía de seriedad de la oferta</w:t>
      </w:r>
      <w:r w:rsidR="00A677F6">
        <w:rPr>
          <w:rFonts w:ascii="Arial" w:eastAsia="Calibri" w:hAnsi="Arial" w:cs="Arial"/>
          <w:sz w:val="22"/>
          <w:lang w:val="es-ES_tradnl"/>
        </w:rPr>
        <w:t xml:space="preserve"> en los eventos </w:t>
      </w:r>
      <w:r w:rsidR="00A677F6" w:rsidRPr="00A677F6">
        <w:rPr>
          <w:rFonts w:ascii="Arial" w:eastAsia="Calibri" w:hAnsi="Arial" w:cs="Arial"/>
          <w:sz w:val="22"/>
          <w:lang w:val="es-ES_tradnl"/>
        </w:rPr>
        <w:t xml:space="preserve"> </w:t>
      </w:r>
      <w:r w:rsidR="00F814B2">
        <w:rPr>
          <w:rFonts w:ascii="Arial" w:eastAsia="Calibri" w:hAnsi="Arial" w:cs="Arial"/>
          <w:sz w:val="22"/>
          <w:lang w:val="es-ES_tradnl"/>
        </w:rPr>
        <w:t xml:space="preserve">1, </w:t>
      </w:r>
      <w:r w:rsidR="00A677F6" w:rsidRPr="00A677F6">
        <w:rPr>
          <w:rFonts w:ascii="Arial" w:eastAsia="Calibri" w:hAnsi="Arial" w:cs="Arial"/>
          <w:sz w:val="22"/>
          <w:lang w:val="es-ES_tradnl"/>
        </w:rPr>
        <w:t>2, y 3 del artículo 2.2.1.2.3.1.6 del Decreto 1082 de 2015, es decir, cuando el proponente no amplia la póliza por la prórroga del plazo de adjudicación o suscripción, cuando retira la oferta, o cuando el adjudicatario no suscribe el contrato sin justa u</w:t>
      </w:r>
      <w:r w:rsidR="00A677F6">
        <w:rPr>
          <w:rFonts w:ascii="Arial" w:eastAsia="Calibri" w:hAnsi="Arial" w:cs="Arial"/>
          <w:sz w:val="22"/>
          <w:lang w:val="es-ES_tradnl"/>
        </w:rPr>
        <w:t>na causa que lo justifique,</w:t>
      </w:r>
      <w:r w:rsidR="00A677F6" w:rsidRPr="00A677F6">
        <w:rPr>
          <w:rFonts w:ascii="Arial" w:eastAsia="Calibri" w:hAnsi="Arial" w:cs="Arial"/>
          <w:sz w:val="22"/>
          <w:lang w:val="es-ES_tradnl"/>
        </w:rPr>
        <w:t xml:space="preserve">  </w:t>
      </w:r>
      <w:r>
        <w:rPr>
          <w:rFonts w:ascii="Arial" w:eastAsia="Calibri" w:hAnsi="Arial" w:cs="Arial"/>
          <w:sz w:val="22"/>
          <w:lang w:val="es-ES_tradnl"/>
        </w:rPr>
        <w:t xml:space="preserve">se rige por </w:t>
      </w:r>
      <w:bookmarkStart w:id="18" w:name="_Hlk50647772"/>
      <w:r>
        <w:rPr>
          <w:rFonts w:ascii="Arial" w:eastAsia="Calibri" w:hAnsi="Arial" w:cs="Arial"/>
          <w:sz w:val="22"/>
          <w:lang w:val="es-ES_tradnl"/>
        </w:rPr>
        <w:t>el procedimiento administrativo general sancionador dispuesto en los artículos 47 y siguientes de la Ley 1437 de 2011</w:t>
      </w:r>
      <w:bookmarkEnd w:id="18"/>
      <w:r>
        <w:rPr>
          <w:rFonts w:ascii="Arial" w:eastAsia="Calibri" w:hAnsi="Arial" w:cs="Arial"/>
          <w:sz w:val="22"/>
          <w:lang w:val="es-ES_tradnl"/>
        </w:rPr>
        <w:t>. Esta norma prescribe que «</w:t>
      </w:r>
      <w:r w:rsidRPr="00FF285D">
        <w:rPr>
          <w:rFonts w:ascii="Arial" w:eastAsia="Calibri" w:hAnsi="Arial" w:cs="Arial"/>
          <w:sz w:val="22"/>
          <w:lang w:val="es-ES_tradnl"/>
        </w:rPr>
        <w:t>Los procedimientos administrativos de carácter sancionatorio no regulados por leyes especiales o por el Código Disciplinario Único se sujetarán a las disposiciones de esta Parte Primera del Código</w:t>
      </w:r>
      <w:r>
        <w:rPr>
          <w:rFonts w:ascii="Arial" w:eastAsia="Calibri" w:hAnsi="Arial" w:cs="Arial"/>
          <w:sz w:val="22"/>
          <w:lang w:val="es-ES_tradnl"/>
        </w:rPr>
        <w:t xml:space="preserve"> […]», disposición aplicable a los temas contractuales por la remisión del inciso primero del artículo 77 de la Ley 80 de 1993</w:t>
      </w:r>
      <w:bookmarkEnd w:id="17"/>
      <w:r>
        <w:rPr>
          <w:rStyle w:val="Refdenotaalpie"/>
          <w:rFonts w:ascii="Arial" w:eastAsia="Calibri" w:hAnsi="Arial" w:cs="Arial"/>
          <w:sz w:val="22"/>
          <w:lang w:val="es-ES_tradnl"/>
        </w:rPr>
        <w:footnoteReference w:id="19"/>
      </w:r>
      <w:r>
        <w:rPr>
          <w:rFonts w:ascii="Arial" w:eastAsia="Calibri" w:hAnsi="Arial" w:cs="Arial"/>
          <w:sz w:val="22"/>
          <w:lang w:val="es-ES_tradnl"/>
        </w:rPr>
        <w:t xml:space="preserve">. </w:t>
      </w:r>
    </w:p>
    <w:p w14:paraId="56BD5582" w14:textId="1AA5798F" w:rsidR="00F217AB" w:rsidRDefault="00F217AB" w:rsidP="00CC7E86">
      <w:pPr>
        <w:spacing w:before="120" w:line="276" w:lineRule="auto"/>
        <w:ind w:firstLine="709"/>
        <w:jc w:val="both"/>
        <w:rPr>
          <w:rFonts w:ascii="Arial" w:eastAsia="Calibri" w:hAnsi="Arial" w:cs="Arial"/>
          <w:sz w:val="22"/>
          <w:lang w:val="es-ES_tradnl"/>
        </w:rPr>
      </w:pPr>
      <w:r>
        <w:rPr>
          <w:rFonts w:ascii="Arial" w:eastAsia="Calibri" w:hAnsi="Arial" w:cs="Arial"/>
          <w:sz w:val="22"/>
          <w:lang w:val="es-ES_tradnl"/>
        </w:rPr>
        <w:t xml:space="preserve">Para estos efectos, el Código de Procedimiento Administrativo exige que cuando las entidades establezcan que existe mérito para iniciar un procedimiento sancionador, se le comunique al interesado; además, agrega que –concluidas las averiguaciones preliminares– formulará el pliego de cargos, acto administrativo de trámite en el señala los fundamentos de la sanción, las disposiciones presuntamente vulneradas y la consecuencia jurídica, contra el cual se formularan los descargaros dentro de los quince (15) días siguientes a la notificación personal –Art. 47, incisos 2 y 3–. Lo anterior, sin perjuicio de informar a terceros cuando la Administración advierta la posibilidad de que otras personas resulten afectadas con la decisión –art. 37–. </w:t>
      </w:r>
    </w:p>
    <w:p w14:paraId="5A34002B" w14:textId="77777777" w:rsidR="00CC7E86" w:rsidRDefault="00F217AB" w:rsidP="00CC7E86">
      <w:pPr>
        <w:tabs>
          <w:tab w:val="left" w:pos="709"/>
        </w:tabs>
        <w:spacing w:before="120" w:line="276" w:lineRule="auto"/>
        <w:ind w:firstLine="709"/>
        <w:jc w:val="both"/>
        <w:rPr>
          <w:rFonts w:ascii="Arial" w:eastAsia="Calibri" w:hAnsi="Arial" w:cs="Arial"/>
          <w:sz w:val="22"/>
          <w:lang w:val="es-ES_tradnl"/>
        </w:rPr>
      </w:pPr>
      <w:r>
        <w:rPr>
          <w:rFonts w:ascii="Arial" w:eastAsia="Calibri" w:hAnsi="Arial" w:cs="Arial"/>
          <w:sz w:val="22"/>
          <w:lang w:val="es-ES_tradnl"/>
        </w:rPr>
        <w:t>Aunque el parágrafo del artículo 47 de la Ley 1437 de 2011 –en contraste con el inciso primero– dispone que «</w:t>
      </w:r>
      <w:r w:rsidRPr="00F71E7D">
        <w:rPr>
          <w:rFonts w:ascii="Arial" w:eastAsia="Calibri" w:hAnsi="Arial" w:cs="Arial"/>
          <w:sz w:val="22"/>
          <w:lang w:val="es-ES_tradnl"/>
        </w:rPr>
        <w:t>Las actuaciones administrativas contractuales sancionatorias, incluyendo los recursos, se regirán por lo dispuesto en las normas especiales sobre la materia</w:t>
      </w:r>
      <w:r>
        <w:rPr>
          <w:rFonts w:ascii="Arial" w:eastAsia="Calibri" w:hAnsi="Arial" w:cs="Arial"/>
          <w:sz w:val="22"/>
          <w:lang w:val="es-ES_tradnl"/>
        </w:rPr>
        <w:t xml:space="preserve">», es necesario reiterar que el artículo 86 de la Ley 1474 supone el perfeccionamiento del contrato, razón por la que las sanciones impuestas antes de la suscripción no se rigen por dicha disposición, por no resultar aplicable, por lo que no existiría norma especial en materia contractual para ese evento, haciendo necesario aplicar las disposiciones generales sobre la materia. </w:t>
      </w:r>
    </w:p>
    <w:p w14:paraId="229CA35F" w14:textId="289786D2" w:rsidR="00C059D4" w:rsidRPr="00CC7E86" w:rsidRDefault="00F217AB" w:rsidP="00CC7E86">
      <w:pPr>
        <w:tabs>
          <w:tab w:val="left" w:pos="709"/>
        </w:tabs>
        <w:spacing w:before="120" w:line="276" w:lineRule="auto"/>
        <w:ind w:firstLine="709"/>
        <w:jc w:val="both"/>
        <w:rPr>
          <w:rFonts w:ascii="Arial" w:eastAsia="Calibri" w:hAnsi="Arial" w:cs="Arial"/>
          <w:bCs/>
          <w:color w:val="000000" w:themeColor="text1"/>
          <w:sz w:val="22"/>
          <w:lang w:val="es-ES_tradnl"/>
        </w:rPr>
      </w:pPr>
      <w:r>
        <w:rPr>
          <w:rFonts w:ascii="Arial" w:eastAsia="Calibri" w:hAnsi="Arial" w:cs="Arial"/>
          <w:sz w:val="22"/>
          <w:lang w:val="es-ES_tradnl"/>
        </w:rPr>
        <w:lastRenderedPageBreak/>
        <w:t>Además, pese que el artículo 50 de la Ley 1437 de 2011 regula la graduación de las sanciones este aspecto sustantivo no es aplicable a la declaración del siniestro de la garantía de seriedad, pues</w:t>
      </w:r>
      <w:r w:rsidR="004E6A1F">
        <w:rPr>
          <w:rFonts w:ascii="Arial" w:eastAsia="Calibri" w:hAnsi="Arial" w:cs="Arial"/>
          <w:sz w:val="22"/>
          <w:lang w:val="es-ES_tradnl"/>
        </w:rPr>
        <w:t xml:space="preserve"> </w:t>
      </w:r>
      <w:r>
        <w:rPr>
          <w:rFonts w:ascii="Arial" w:eastAsia="Calibri" w:hAnsi="Arial" w:cs="Arial"/>
          <w:sz w:val="22"/>
          <w:lang w:val="es-ES_tradnl"/>
        </w:rPr>
        <w:t xml:space="preserve">el </w:t>
      </w:r>
      <w:r w:rsidRPr="00386009">
        <w:rPr>
          <w:rFonts w:ascii="Arial" w:eastAsia="Calibri" w:hAnsi="Arial" w:cs="Arial"/>
          <w:color w:val="000000" w:themeColor="text1"/>
          <w:sz w:val="22"/>
          <w:lang w:val="es-ES"/>
        </w:rPr>
        <w:t xml:space="preserve">artículo 2.2.1.2.3.2.8 del Decreto 1082 de 2015 dispone que «En caso de siniestro en la garantía de la seriedad de la oferta, la compañía de seguros debe responder </w:t>
      </w:r>
      <w:r w:rsidRPr="00F814B2">
        <w:rPr>
          <w:rFonts w:ascii="Arial" w:eastAsia="Calibri" w:hAnsi="Arial" w:cs="Arial"/>
          <w:color w:val="000000" w:themeColor="text1"/>
          <w:sz w:val="22"/>
          <w:lang w:val="es-ES"/>
        </w:rPr>
        <w:t>por el total del valor asegurado título de sanción», de manera que sí existe norma especial en este pequeño aspecto.</w:t>
      </w:r>
      <w:bookmarkStart w:id="19" w:name="_Hlk50481866"/>
      <w:r w:rsidR="00957E21" w:rsidRPr="00957E21">
        <w:rPr>
          <w:rFonts w:ascii="Arial" w:eastAsia="Calibri" w:hAnsi="Arial" w:cs="Arial"/>
          <w:bCs/>
          <w:color w:val="000000" w:themeColor="text1"/>
          <w:sz w:val="22"/>
          <w:lang w:val="es-ES_tradnl"/>
        </w:rPr>
        <w:t xml:space="preserve"> </w:t>
      </w:r>
      <w:r w:rsidR="00CC7E86">
        <w:rPr>
          <w:rFonts w:ascii="Arial" w:eastAsia="Calibri" w:hAnsi="Arial" w:cs="Arial"/>
          <w:bCs/>
          <w:color w:val="000000" w:themeColor="text1"/>
          <w:sz w:val="22"/>
          <w:lang w:val="es-ES_tradnl"/>
        </w:rPr>
        <w:t xml:space="preserve">Por tanto, como </w:t>
      </w:r>
      <w:r w:rsidR="00516338">
        <w:rPr>
          <w:rFonts w:ascii="Arial" w:eastAsia="Calibri" w:hAnsi="Arial" w:cs="Arial"/>
          <w:color w:val="000000" w:themeColor="text1"/>
          <w:sz w:val="22"/>
          <w:lang w:val="es-ES"/>
        </w:rPr>
        <w:t>hay una disposición normativa especial en la materia, la</w:t>
      </w:r>
      <w:r w:rsidR="00957E21" w:rsidRPr="00957E21">
        <w:rPr>
          <w:rFonts w:ascii="Arial" w:eastAsia="Calibri" w:hAnsi="Arial" w:cs="Arial"/>
          <w:color w:val="000000" w:themeColor="text1"/>
          <w:sz w:val="22"/>
          <w:lang w:val="es-ES"/>
        </w:rPr>
        <w:t xml:space="preserve"> entidad estatal cobrará el valor total asegurado a título de sanción, </w:t>
      </w:r>
      <w:r w:rsidR="00516338">
        <w:rPr>
          <w:rFonts w:ascii="Arial" w:eastAsia="Calibri" w:hAnsi="Arial" w:cs="Arial"/>
          <w:color w:val="000000" w:themeColor="text1"/>
          <w:sz w:val="22"/>
          <w:lang w:val="es-ES"/>
        </w:rPr>
        <w:t xml:space="preserve">sin necesidad de </w:t>
      </w:r>
      <w:r w:rsidR="00957E21" w:rsidRPr="00957E21">
        <w:rPr>
          <w:rFonts w:ascii="Arial" w:eastAsia="Calibri" w:hAnsi="Arial" w:cs="Arial"/>
          <w:color w:val="000000" w:themeColor="text1"/>
          <w:sz w:val="22"/>
          <w:lang w:val="es-ES"/>
        </w:rPr>
        <w:t xml:space="preserve">demostrar y cuantificar los perjuicios causados por las circunstancias objeto de cobertura. </w:t>
      </w:r>
    </w:p>
    <w:p w14:paraId="6CB0488F" w14:textId="77777777" w:rsidR="00C059D4" w:rsidRDefault="00F217AB" w:rsidP="00CC7E86">
      <w:pPr>
        <w:spacing w:before="120" w:line="276" w:lineRule="auto"/>
        <w:ind w:firstLine="708"/>
        <w:jc w:val="both"/>
        <w:rPr>
          <w:rFonts w:ascii="Arial" w:eastAsia="Calibri" w:hAnsi="Arial" w:cs="Arial"/>
          <w:color w:val="000000" w:themeColor="text1"/>
          <w:sz w:val="22"/>
          <w:lang w:val="es-ES"/>
        </w:rPr>
      </w:pPr>
      <w:r>
        <w:rPr>
          <w:rFonts w:ascii="Arial" w:eastAsia="Calibri" w:hAnsi="Arial" w:cs="Arial"/>
          <w:sz w:val="22"/>
          <w:lang w:val="es-ES_tradnl"/>
        </w:rPr>
        <w:t xml:space="preserve">En definitiva, el procedimiento administrativo general sancionador del Código de Procedimiento Administrativo y Contencioso Administrativo concreta el respeto a las formalidades propias de cada juicio de que trata el artículo 29 superior, garantizando que el contratista y la aseguradora sean escuchados antes de que la entidad –con fundamento en alguna de las causales de los numerales 1, 2 y 3 del </w:t>
      </w:r>
      <w:r>
        <w:rPr>
          <w:rFonts w:ascii="Arial" w:eastAsia="Calibri" w:hAnsi="Arial" w:cs="Arial"/>
          <w:color w:val="000000" w:themeColor="text1"/>
          <w:sz w:val="22"/>
          <w:lang w:val="es-ES"/>
        </w:rPr>
        <w:t>artículo</w:t>
      </w:r>
      <w:r w:rsidRPr="00386009">
        <w:rPr>
          <w:rFonts w:ascii="Arial" w:eastAsia="Calibri" w:hAnsi="Arial" w:cs="Arial"/>
          <w:color w:val="000000" w:themeColor="text1"/>
          <w:sz w:val="22"/>
          <w:lang w:val="es-ES"/>
        </w:rPr>
        <w:t xml:space="preserve"> 2.2.1.2.3.1.6 del Decreto 1082 de 2015</w:t>
      </w:r>
      <w:r>
        <w:rPr>
          <w:rFonts w:ascii="Arial" w:eastAsia="Calibri" w:hAnsi="Arial" w:cs="Arial"/>
          <w:color w:val="000000" w:themeColor="text1"/>
          <w:sz w:val="22"/>
          <w:lang w:val="es-ES"/>
        </w:rPr>
        <w:t>–</w:t>
      </w:r>
      <w:r>
        <w:rPr>
          <w:rFonts w:ascii="Arial" w:eastAsia="Calibri" w:hAnsi="Arial" w:cs="Arial"/>
          <w:sz w:val="22"/>
          <w:lang w:val="es-ES_tradnl"/>
        </w:rPr>
        <w:t xml:space="preserve"> declare el siniestro de la garantía precontractual</w:t>
      </w:r>
      <w:bookmarkEnd w:id="16"/>
      <w:bookmarkEnd w:id="19"/>
      <w:r w:rsidR="00C059D4">
        <w:rPr>
          <w:rFonts w:ascii="Arial" w:eastAsia="Calibri" w:hAnsi="Arial" w:cs="Arial"/>
          <w:color w:val="000000" w:themeColor="text1"/>
          <w:sz w:val="22"/>
          <w:lang w:val="es-ES"/>
        </w:rPr>
        <w:t>.</w:t>
      </w:r>
    </w:p>
    <w:p w14:paraId="1325BF64" w14:textId="179E0EF7" w:rsidR="00F814B2" w:rsidRDefault="00F814B2" w:rsidP="00AE4B2B">
      <w:pPr>
        <w:tabs>
          <w:tab w:val="left" w:pos="709"/>
        </w:tabs>
        <w:spacing w:before="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En resumidas cuentas, el procedimiento aplicable para hacer efectiva y declarar el siniestro de la garantía de seriedad de la oferta dependerá del riesgo que se concrete. Si se trata de los eventos establecidos en los numerales </w:t>
      </w:r>
      <w:r>
        <w:rPr>
          <w:rFonts w:ascii="Arial" w:eastAsia="Calibri" w:hAnsi="Arial" w:cs="Arial"/>
          <w:sz w:val="22"/>
          <w:lang w:val="es-ES_tradnl"/>
        </w:rPr>
        <w:t xml:space="preserve">1, </w:t>
      </w:r>
      <w:r w:rsidRPr="00A677F6">
        <w:rPr>
          <w:rFonts w:ascii="Arial" w:eastAsia="Calibri" w:hAnsi="Arial" w:cs="Arial"/>
          <w:sz w:val="22"/>
          <w:lang w:val="es-ES_tradnl"/>
        </w:rPr>
        <w:t>2, y 3</w:t>
      </w:r>
      <w:r w:rsidR="00EE0789" w:rsidRPr="00EE0789">
        <w:rPr>
          <w:rFonts w:ascii="Arial" w:eastAsia="Calibri" w:hAnsi="Arial" w:cs="Arial"/>
          <w:sz w:val="22"/>
          <w:lang w:val="es-ES_tradnl"/>
        </w:rPr>
        <w:t xml:space="preserve"> </w:t>
      </w:r>
      <w:r w:rsidR="00EE0789">
        <w:rPr>
          <w:rFonts w:ascii="Arial" w:eastAsia="Calibri" w:hAnsi="Arial" w:cs="Arial"/>
          <w:sz w:val="22"/>
          <w:lang w:val="es-ES_tradnl"/>
        </w:rPr>
        <w:t xml:space="preserve">del </w:t>
      </w:r>
      <w:r w:rsidR="00EE0789">
        <w:rPr>
          <w:rFonts w:ascii="Arial" w:eastAsia="Calibri" w:hAnsi="Arial" w:cs="Arial"/>
          <w:color w:val="000000" w:themeColor="text1"/>
          <w:sz w:val="22"/>
          <w:lang w:val="es-ES"/>
        </w:rPr>
        <w:t>artículo</w:t>
      </w:r>
      <w:r w:rsidR="00EE0789" w:rsidRPr="00386009">
        <w:rPr>
          <w:rFonts w:ascii="Arial" w:eastAsia="Calibri" w:hAnsi="Arial" w:cs="Arial"/>
          <w:color w:val="000000" w:themeColor="text1"/>
          <w:sz w:val="22"/>
          <w:lang w:val="es-ES"/>
        </w:rPr>
        <w:t xml:space="preserve"> 2.2.1.2.3.1.6 del Decreto 1082 de 2015</w:t>
      </w:r>
      <w:r w:rsidR="00EE0789">
        <w:rPr>
          <w:rFonts w:ascii="Arial" w:eastAsia="Calibri" w:hAnsi="Arial" w:cs="Arial"/>
          <w:color w:val="000000" w:themeColor="text1"/>
          <w:sz w:val="22"/>
          <w:lang w:val="es-ES"/>
        </w:rPr>
        <w:t xml:space="preserve">, el procedimiento será el establecido en el artículo </w:t>
      </w:r>
      <w:r w:rsidR="00EE0789">
        <w:rPr>
          <w:rFonts w:ascii="Arial" w:eastAsia="Calibri" w:hAnsi="Arial" w:cs="Arial"/>
          <w:sz w:val="22"/>
          <w:lang w:val="es-ES_tradnl"/>
        </w:rPr>
        <w:t xml:space="preserve">47 y siguientes de la Ley 1437 de 2011. </w:t>
      </w:r>
      <w:r w:rsidR="004E6A1F">
        <w:rPr>
          <w:rFonts w:ascii="Arial" w:eastAsia="Calibri" w:hAnsi="Arial" w:cs="Arial"/>
          <w:sz w:val="22"/>
          <w:lang w:val="es-ES_tradnl"/>
        </w:rPr>
        <w:t>P</w:t>
      </w:r>
      <w:r w:rsidR="00EE0789">
        <w:rPr>
          <w:rFonts w:ascii="Arial" w:eastAsia="Calibri" w:hAnsi="Arial" w:cs="Arial"/>
          <w:sz w:val="22"/>
          <w:lang w:val="es-ES_tradnl"/>
        </w:rPr>
        <w:t xml:space="preserve">or el contrario, </w:t>
      </w:r>
      <w:r w:rsidR="004E6A1F">
        <w:rPr>
          <w:rFonts w:ascii="Arial" w:eastAsia="Calibri" w:hAnsi="Arial" w:cs="Arial"/>
          <w:sz w:val="22"/>
          <w:lang w:val="es-ES_tradnl"/>
        </w:rPr>
        <w:t>si</w:t>
      </w:r>
      <w:r w:rsidR="00EE0789">
        <w:rPr>
          <w:rFonts w:ascii="Arial" w:eastAsia="Calibri" w:hAnsi="Arial" w:cs="Arial"/>
          <w:sz w:val="22"/>
          <w:lang w:val="es-ES_tradnl"/>
        </w:rPr>
        <w:t xml:space="preserve"> </w:t>
      </w:r>
      <w:r w:rsidR="00EE0789">
        <w:rPr>
          <w:rFonts w:ascii="Arial" w:eastAsia="Calibri" w:hAnsi="Arial" w:cs="Arial"/>
          <w:color w:val="000000" w:themeColor="text1"/>
          <w:sz w:val="22"/>
          <w:lang w:val="es-ES"/>
        </w:rPr>
        <w:t xml:space="preserve">el proponente seleccionado no otorga la garantía única de incumplimiento, </w:t>
      </w:r>
      <w:r w:rsidR="004E6A1F">
        <w:rPr>
          <w:rFonts w:ascii="Arial" w:eastAsia="Calibri" w:hAnsi="Arial" w:cs="Arial"/>
          <w:color w:val="000000" w:themeColor="text1"/>
          <w:sz w:val="22"/>
          <w:lang w:val="es-ES"/>
        </w:rPr>
        <w:t>aplica el trámite previsto en</w:t>
      </w:r>
      <w:r w:rsidR="00EE0789">
        <w:rPr>
          <w:rFonts w:ascii="Arial" w:eastAsia="Calibri" w:hAnsi="Arial" w:cs="Arial"/>
          <w:color w:val="000000" w:themeColor="text1"/>
          <w:sz w:val="22"/>
          <w:lang w:val="es-ES"/>
        </w:rPr>
        <w:t xml:space="preserve"> el artículo 86 de la Ley 1474 de 2011. </w:t>
      </w:r>
      <w:r w:rsidR="00EE0789" w:rsidRPr="00CC7E86">
        <w:rPr>
          <w:rFonts w:ascii="Arial" w:eastAsia="Calibri" w:hAnsi="Arial" w:cs="Arial"/>
          <w:color w:val="000000" w:themeColor="text1"/>
          <w:sz w:val="22"/>
          <w:lang w:val="es-ES"/>
        </w:rPr>
        <w:t>De cualquier manera,</w:t>
      </w:r>
      <w:r w:rsidR="00CC7E86" w:rsidRPr="00CC7E86">
        <w:rPr>
          <w:rFonts w:ascii="Arial" w:eastAsia="Calibri" w:hAnsi="Arial" w:cs="Arial"/>
          <w:color w:val="000000" w:themeColor="text1"/>
          <w:sz w:val="22"/>
          <w:lang w:val="es-ES"/>
        </w:rPr>
        <w:t xml:space="preserve"> en caso de declaratoria del siniestro de la garantía de seriedad de la oferta,</w:t>
      </w:r>
      <w:r w:rsidR="00EE0789" w:rsidRPr="00CC7E86">
        <w:rPr>
          <w:rFonts w:ascii="Arial" w:eastAsia="Calibri" w:hAnsi="Arial" w:cs="Arial"/>
          <w:color w:val="000000" w:themeColor="text1"/>
          <w:sz w:val="22"/>
          <w:lang w:val="es-ES"/>
        </w:rPr>
        <w:t xml:space="preserve"> la compañía de seguros debe responder por el total del valor asegurado </w:t>
      </w:r>
      <w:r w:rsidR="00CC7E86">
        <w:rPr>
          <w:rFonts w:ascii="Arial" w:eastAsia="Calibri" w:hAnsi="Arial" w:cs="Arial"/>
          <w:color w:val="000000" w:themeColor="text1"/>
          <w:sz w:val="22"/>
          <w:lang w:val="es-ES"/>
        </w:rPr>
        <w:t xml:space="preserve">a </w:t>
      </w:r>
      <w:r w:rsidR="00EE0789" w:rsidRPr="00CC7E86">
        <w:rPr>
          <w:rFonts w:ascii="Arial" w:eastAsia="Calibri" w:hAnsi="Arial" w:cs="Arial"/>
          <w:color w:val="000000" w:themeColor="text1"/>
          <w:sz w:val="22"/>
          <w:lang w:val="es-ES"/>
        </w:rPr>
        <w:t>título de sanción</w:t>
      </w:r>
      <w:r w:rsidR="00CC7E86" w:rsidRPr="00CC7E86">
        <w:rPr>
          <w:rFonts w:ascii="Arial" w:eastAsia="Calibri" w:hAnsi="Arial" w:cs="Arial"/>
          <w:color w:val="000000" w:themeColor="text1"/>
          <w:sz w:val="22"/>
          <w:lang w:val="es-ES"/>
        </w:rPr>
        <w:t>, sin necesidad de demostrar y cuantificar los perjuicios causados por las circunstancias objeto de cobertura</w:t>
      </w:r>
      <w:r w:rsidR="00CC7E86" w:rsidRPr="00957E21">
        <w:rPr>
          <w:rFonts w:ascii="Arial" w:eastAsia="Calibri" w:hAnsi="Arial" w:cs="Arial"/>
          <w:color w:val="000000" w:themeColor="text1"/>
          <w:sz w:val="22"/>
          <w:lang w:val="es-ES"/>
        </w:rPr>
        <w:t xml:space="preserve">. </w:t>
      </w:r>
    </w:p>
    <w:p w14:paraId="2CDEF339" w14:textId="77777777" w:rsidR="004E6A1F" w:rsidRPr="00AE4B2B" w:rsidRDefault="004E6A1F" w:rsidP="00CB776B">
      <w:pPr>
        <w:tabs>
          <w:tab w:val="left" w:pos="709"/>
        </w:tabs>
        <w:spacing w:line="276" w:lineRule="auto"/>
        <w:ind w:firstLine="709"/>
        <w:jc w:val="both"/>
        <w:rPr>
          <w:rFonts w:ascii="Arial" w:eastAsia="Calibri" w:hAnsi="Arial" w:cs="Arial"/>
          <w:bCs/>
          <w:color w:val="000000" w:themeColor="text1"/>
          <w:sz w:val="22"/>
          <w:lang w:val="es-ES_tradnl"/>
        </w:rPr>
      </w:pPr>
    </w:p>
    <w:p w14:paraId="42DE7181" w14:textId="6405C827" w:rsidR="00C059D4" w:rsidRDefault="00C059D4" w:rsidP="004E6A1F">
      <w:pPr>
        <w:pStyle w:val="Prrafodelista"/>
        <w:numPr>
          <w:ilvl w:val="0"/>
          <w:numId w:val="32"/>
        </w:numPr>
        <w:spacing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Amparo de la estabilidad y calidad de la obra</w:t>
      </w:r>
    </w:p>
    <w:p w14:paraId="4CDC6180" w14:textId="77777777" w:rsidR="004E6A1F" w:rsidRPr="00C059D4" w:rsidRDefault="004E6A1F" w:rsidP="00CB776B">
      <w:pPr>
        <w:pStyle w:val="Prrafodelista"/>
        <w:spacing w:line="276" w:lineRule="auto"/>
        <w:ind w:left="1069"/>
        <w:jc w:val="both"/>
        <w:rPr>
          <w:rFonts w:ascii="Arial" w:eastAsia="Calibri" w:hAnsi="Arial" w:cs="Arial"/>
          <w:color w:val="000000" w:themeColor="text1"/>
          <w:sz w:val="22"/>
          <w:lang w:val="es-ES"/>
        </w:rPr>
      </w:pPr>
    </w:p>
    <w:p w14:paraId="2CCD5E14" w14:textId="41DC7E1A" w:rsidR="000C7211" w:rsidRPr="000C7211" w:rsidRDefault="004A2069" w:rsidP="00CB776B">
      <w:pPr>
        <w:spacing w:line="276" w:lineRule="auto"/>
        <w:ind w:firstLine="708"/>
        <w:jc w:val="both"/>
        <w:rPr>
          <w:rFonts w:ascii="Arial" w:eastAsia="Calibri" w:hAnsi="Arial" w:cs="Arial"/>
          <w:color w:val="000000" w:themeColor="text1"/>
          <w:sz w:val="22"/>
          <w:szCs w:val="22"/>
          <w:lang w:val="es-ES_tradnl" w:eastAsia="en-US"/>
        </w:rPr>
      </w:pPr>
      <w:r>
        <w:rPr>
          <w:rFonts w:ascii="Arial" w:eastAsia="Calibri" w:hAnsi="Arial" w:cs="Arial"/>
          <w:color w:val="000000" w:themeColor="text1"/>
          <w:sz w:val="22"/>
          <w:szCs w:val="22"/>
          <w:lang w:val="es-ES_tradnl" w:eastAsia="en-US"/>
        </w:rPr>
        <w:t>L</w:t>
      </w:r>
      <w:r w:rsidR="000C7211" w:rsidRPr="000C7211">
        <w:rPr>
          <w:rFonts w:ascii="Arial" w:eastAsia="Calibri" w:hAnsi="Arial" w:cs="Arial"/>
          <w:color w:val="000000" w:themeColor="text1"/>
          <w:sz w:val="22"/>
          <w:szCs w:val="22"/>
          <w:lang w:val="es-ES_tradnl" w:eastAsia="en-US"/>
        </w:rPr>
        <w:t xml:space="preserve">a jurisprudencia explica </w:t>
      </w:r>
      <w:proofErr w:type="gramStart"/>
      <w:r w:rsidR="000C7211" w:rsidRPr="000C7211">
        <w:rPr>
          <w:rFonts w:ascii="Arial" w:eastAsia="Calibri" w:hAnsi="Arial" w:cs="Arial"/>
          <w:color w:val="000000" w:themeColor="text1"/>
          <w:sz w:val="22"/>
          <w:szCs w:val="22"/>
          <w:lang w:val="es-ES_tradnl" w:eastAsia="en-US"/>
        </w:rPr>
        <w:t>que</w:t>
      </w:r>
      <w:proofErr w:type="gramEnd"/>
      <w:r w:rsidR="000C7211" w:rsidRPr="000C7211">
        <w:rPr>
          <w:rFonts w:ascii="Arial" w:eastAsia="Calibri" w:hAnsi="Arial" w:cs="Arial"/>
          <w:color w:val="000000" w:themeColor="text1"/>
          <w:sz w:val="22"/>
          <w:szCs w:val="22"/>
          <w:lang w:val="es-ES_tradnl" w:eastAsia="en-US"/>
        </w:rPr>
        <w:t xml:space="preserve"> al declarar el siniestro</w:t>
      </w:r>
      <w:r>
        <w:rPr>
          <w:rFonts w:ascii="Arial" w:eastAsia="Calibri" w:hAnsi="Arial" w:cs="Arial"/>
          <w:color w:val="000000" w:themeColor="text1"/>
          <w:sz w:val="22"/>
          <w:szCs w:val="22"/>
          <w:lang w:val="es-ES_tradnl" w:eastAsia="en-US"/>
        </w:rPr>
        <w:t xml:space="preserve"> del amparo de estabilidad y calidad de la obra</w:t>
      </w:r>
      <w:r w:rsidR="000C7211" w:rsidRPr="000C7211">
        <w:rPr>
          <w:rFonts w:ascii="Arial" w:eastAsia="Calibri" w:hAnsi="Arial" w:cs="Arial"/>
          <w:color w:val="000000" w:themeColor="text1"/>
          <w:sz w:val="22"/>
          <w:szCs w:val="22"/>
          <w:lang w:val="es-ES_tradnl" w:eastAsia="en-US"/>
        </w:rPr>
        <w:t>, la Administración no ejerce una potestad sancionadora</w:t>
      </w:r>
      <w:r w:rsidR="000C7211" w:rsidRPr="000C7211">
        <w:rPr>
          <w:rFonts w:ascii="Arial" w:eastAsia="Calibri" w:hAnsi="Arial" w:cs="Arial"/>
          <w:color w:val="000000" w:themeColor="text1"/>
          <w:sz w:val="22"/>
          <w:szCs w:val="22"/>
          <w:vertAlign w:val="superscript"/>
          <w:lang w:val="es-ES_tradnl" w:eastAsia="en-US"/>
        </w:rPr>
        <w:footnoteReference w:id="20"/>
      </w:r>
      <w:r w:rsidR="000C7211" w:rsidRPr="000C7211">
        <w:rPr>
          <w:rFonts w:ascii="Arial" w:eastAsia="Calibri" w:hAnsi="Arial" w:cs="Arial"/>
          <w:color w:val="000000" w:themeColor="text1"/>
          <w:sz w:val="22"/>
          <w:szCs w:val="22"/>
          <w:lang w:val="es-ES_tradnl" w:eastAsia="en-US"/>
        </w:rPr>
        <w:t xml:space="preserve">. En esta medida, no se trata de una pena de carácter legal o convencional, porque no pretende terminar anormalmente del contrato –caducidad–, ni estima anticipadamente los perjuicios </w:t>
      </w:r>
      <w:r w:rsidR="000C7211" w:rsidRPr="000C7211">
        <w:rPr>
          <w:rFonts w:ascii="Arial" w:eastAsia="Calibri" w:hAnsi="Arial" w:cs="Arial"/>
          <w:color w:val="000000" w:themeColor="text1"/>
          <w:sz w:val="22"/>
          <w:szCs w:val="22"/>
          <w:lang w:val="es-ES_tradnl" w:eastAsia="en-US"/>
        </w:rPr>
        <w:lastRenderedPageBreak/>
        <w:t xml:space="preserve">derivados del incumplimiento –cláusula penal–, como tampoco son medios coercitivos de apremio –multas–. Todo lo contrario, su función es salvaguardar el interés público y proteger patrimonialmente a la Administración frente a los eventuales incumplimientos imputables al contratista. </w:t>
      </w:r>
    </w:p>
    <w:p w14:paraId="5D9EF9C9" w14:textId="681B60E6" w:rsidR="000C7211" w:rsidRPr="000C7211" w:rsidRDefault="000C7211" w:rsidP="000C7211">
      <w:pPr>
        <w:spacing w:before="120" w:line="276" w:lineRule="auto"/>
        <w:ind w:firstLine="708"/>
        <w:jc w:val="both"/>
        <w:rPr>
          <w:rFonts w:ascii="Arial" w:eastAsia="Calibri" w:hAnsi="Arial" w:cs="Arial"/>
          <w:color w:val="000000" w:themeColor="text1"/>
          <w:sz w:val="22"/>
          <w:szCs w:val="22"/>
          <w:lang w:val="es-ES_tradnl" w:eastAsia="en-US"/>
        </w:rPr>
      </w:pPr>
      <w:r w:rsidRPr="000C7211">
        <w:rPr>
          <w:rFonts w:ascii="Arial" w:eastAsia="Calibri" w:hAnsi="Arial" w:cs="Arial"/>
          <w:color w:val="000000" w:themeColor="text1"/>
          <w:sz w:val="22"/>
          <w:szCs w:val="22"/>
          <w:lang w:val="es-ES_tradnl" w:eastAsia="en-US"/>
        </w:rPr>
        <w:t>Por ello, impuesta cualquier sanción menciona</w:t>
      </w:r>
      <w:r w:rsidR="00BF60C8">
        <w:rPr>
          <w:rFonts w:ascii="Arial" w:eastAsia="Calibri" w:hAnsi="Arial" w:cs="Arial"/>
          <w:color w:val="000000" w:themeColor="text1"/>
          <w:sz w:val="22"/>
          <w:szCs w:val="22"/>
          <w:lang w:val="es-ES_tradnl" w:eastAsia="en-US"/>
        </w:rPr>
        <w:t>da</w:t>
      </w:r>
      <w:r w:rsidRPr="000C7211">
        <w:rPr>
          <w:rFonts w:ascii="Arial" w:eastAsia="Calibri" w:hAnsi="Arial" w:cs="Arial"/>
          <w:color w:val="000000" w:themeColor="text1"/>
          <w:sz w:val="22"/>
          <w:szCs w:val="22"/>
          <w:lang w:val="es-ES_tradnl" w:eastAsia="en-US"/>
        </w:rPr>
        <w:t>, la entidad –previa citación de la aseguradora– está facultada para afectar el amparo de cumplimiento, siniestrando la póliza conforme al procedimiento del artículo 86 de la Ley 1474 de 2011. Dicho trámite</w:t>
      </w:r>
      <w:r w:rsidR="00BF60C8">
        <w:rPr>
          <w:rFonts w:ascii="Arial" w:eastAsia="Calibri" w:hAnsi="Arial" w:cs="Arial"/>
          <w:color w:val="000000" w:themeColor="text1"/>
          <w:sz w:val="22"/>
          <w:szCs w:val="22"/>
          <w:lang w:val="es-ES_tradnl" w:eastAsia="en-US"/>
        </w:rPr>
        <w:t xml:space="preserve">, como se expuso, </w:t>
      </w:r>
      <w:r w:rsidRPr="000C7211">
        <w:rPr>
          <w:rFonts w:ascii="Arial" w:eastAsia="Calibri" w:hAnsi="Arial" w:cs="Arial"/>
          <w:color w:val="000000" w:themeColor="text1"/>
          <w:sz w:val="22"/>
          <w:szCs w:val="22"/>
          <w:lang w:val="es-ES_tradnl" w:eastAsia="en-US"/>
        </w:rPr>
        <w:t xml:space="preserve">se establece para declarar el incumplimiento, cuantificando los perjuicios </w:t>
      </w:r>
      <w:proofErr w:type="gramStart"/>
      <w:r w:rsidRPr="000C7211">
        <w:rPr>
          <w:rFonts w:ascii="Arial" w:eastAsia="Calibri" w:hAnsi="Arial" w:cs="Arial"/>
          <w:color w:val="000000" w:themeColor="text1"/>
          <w:sz w:val="22"/>
          <w:szCs w:val="22"/>
          <w:lang w:val="es-ES_tradnl" w:eastAsia="en-US"/>
        </w:rPr>
        <w:t>del mismo</w:t>
      </w:r>
      <w:proofErr w:type="gramEnd"/>
      <w:r w:rsidRPr="000C7211">
        <w:rPr>
          <w:rFonts w:ascii="Arial" w:eastAsia="Calibri" w:hAnsi="Arial" w:cs="Arial"/>
          <w:color w:val="000000" w:themeColor="text1"/>
          <w:sz w:val="22"/>
          <w:szCs w:val="22"/>
          <w:lang w:val="es-ES_tradnl" w:eastAsia="en-US"/>
        </w:rPr>
        <w:t>, imponer las multas y sanciones pactadas en el contrato, y hacer efectiva la cláusula penal. En esta medida, dicha norma no aplica para declarar el siniestro del amparo de estabilidad de la obra, el cual supone que el contratista ejecutó las actividades pactadas y que la entidad las recibió a satisfacción, encontrando posteriormente vicios que afectan su calidad y obligan al saneamiento</w:t>
      </w:r>
      <w:r w:rsidRPr="000C7211">
        <w:rPr>
          <w:rFonts w:ascii="Arial" w:eastAsia="Calibri" w:hAnsi="Arial" w:cs="Arial"/>
          <w:color w:val="000000" w:themeColor="text1"/>
          <w:sz w:val="22"/>
          <w:szCs w:val="22"/>
          <w:vertAlign w:val="superscript"/>
          <w:lang w:val="es-ES_tradnl" w:eastAsia="en-US"/>
        </w:rPr>
        <w:footnoteReference w:id="21"/>
      </w:r>
      <w:r w:rsidRPr="000C7211">
        <w:rPr>
          <w:rFonts w:ascii="Arial" w:eastAsia="Calibri" w:hAnsi="Arial" w:cs="Arial"/>
          <w:color w:val="000000" w:themeColor="text1"/>
          <w:sz w:val="22"/>
          <w:szCs w:val="22"/>
          <w:lang w:val="es-ES_tradnl" w:eastAsia="en-US"/>
        </w:rPr>
        <w:t>.</w:t>
      </w:r>
    </w:p>
    <w:p w14:paraId="1FD26E84" w14:textId="4C309317" w:rsidR="00516338" w:rsidRDefault="00BF60C8" w:rsidP="00516338">
      <w:pPr>
        <w:spacing w:before="120" w:line="276" w:lineRule="auto"/>
        <w:ind w:firstLine="708"/>
        <w:jc w:val="both"/>
        <w:rPr>
          <w:rFonts w:ascii="Arial" w:eastAsia="Calibri" w:hAnsi="Arial" w:cs="Arial"/>
          <w:color w:val="000000" w:themeColor="text1"/>
          <w:sz w:val="22"/>
          <w:szCs w:val="22"/>
          <w:lang w:val="es-ES_tradnl" w:eastAsia="en-US"/>
        </w:rPr>
      </w:pPr>
      <w:r w:rsidRPr="006B6A25">
        <w:rPr>
          <w:rFonts w:ascii="Arial" w:eastAsia="Calibri" w:hAnsi="Arial" w:cs="Arial"/>
          <w:color w:val="000000" w:themeColor="text1"/>
          <w:sz w:val="22"/>
          <w:szCs w:val="22"/>
          <w:lang w:val="es-ES_tradnl" w:eastAsia="en-US"/>
        </w:rPr>
        <w:t>Sin embargo, como se explicó</w:t>
      </w:r>
      <w:r w:rsidR="006B6A25" w:rsidRPr="006B6A25">
        <w:rPr>
          <w:rFonts w:ascii="Arial" w:eastAsia="Calibri" w:hAnsi="Arial" w:cs="Arial"/>
          <w:color w:val="000000" w:themeColor="text1"/>
          <w:sz w:val="22"/>
          <w:szCs w:val="22"/>
          <w:lang w:val="es-ES_tradnl" w:eastAsia="en-US"/>
        </w:rPr>
        <w:t xml:space="preserve">, </w:t>
      </w:r>
      <w:r w:rsidR="006B6A25" w:rsidRPr="006B6A25">
        <w:rPr>
          <w:rFonts w:ascii="Arial" w:eastAsia="Calibri" w:hAnsi="Arial" w:cs="Arial"/>
          <w:bCs/>
          <w:color w:val="000000" w:themeColor="text1"/>
          <w:sz w:val="22"/>
          <w:lang w:val="es-ES_tradnl" w:eastAsia="en-GB"/>
        </w:rPr>
        <w:t>sin</w:t>
      </w:r>
      <w:r w:rsidR="006B6A25" w:rsidRPr="00033295">
        <w:rPr>
          <w:rFonts w:ascii="Arial" w:eastAsia="Calibri" w:hAnsi="Arial" w:cs="Arial"/>
          <w:bCs/>
          <w:color w:val="000000" w:themeColor="text1"/>
          <w:sz w:val="22"/>
          <w:lang w:val="es-ES_tradnl" w:eastAsia="en-GB"/>
        </w:rPr>
        <w:t xml:space="preserve"> importar la declaratoria a realizar o el asunto </w:t>
      </w:r>
      <w:r w:rsidR="006B6A25">
        <w:rPr>
          <w:rFonts w:ascii="Arial" w:eastAsia="Calibri" w:hAnsi="Arial" w:cs="Arial"/>
          <w:bCs/>
          <w:color w:val="000000" w:themeColor="text1"/>
          <w:sz w:val="22"/>
          <w:lang w:val="es-ES_tradnl" w:eastAsia="en-GB"/>
        </w:rPr>
        <w:t xml:space="preserve">a decidir, la </w:t>
      </w:r>
      <w:r w:rsidR="006B6A25" w:rsidRPr="00033295">
        <w:rPr>
          <w:rFonts w:ascii="Arial" w:eastAsia="Calibri" w:hAnsi="Arial" w:cs="Arial"/>
          <w:bCs/>
          <w:color w:val="000000" w:themeColor="text1"/>
          <w:sz w:val="22"/>
          <w:lang w:val="es-ES_tradnl" w:eastAsia="en-GB"/>
        </w:rPr>
        <w:t>Administración se encuentra obligada a respetar las garantías del debido proceso en materia contractual</w:t>
      </w:r>
      <w:r w:rsidR="006B6A25">
        <w:rPr>
          <w:rFonts w:ascii="Arial" w:eastAsia="Calibri" w:hAnsi="Arial" w:cs="Arial"/>
          <w:color w:val="000000" w:themeColor="text1"/>
          <w:sz w:val="22"/>
          <w:szCs w:val="22"/>
          <w:lang w:val="es-ES_tradnl" w:eastAsia="en-US"/>
        </w:rPr>
        <w:t xml:space="preserve">. </w:t>
      </w:r>
      <w:r w:rsidR="000C7211" w:rsidRPr="000C7211">
        <w:rPr>
          <w:rFonts w:ascii="Arial" w:eastAsia="Calibri" w:hAnsi="Arial" w:cs="Arial"/>
          <w:color w:val="000000" w:themeColor="text1"/>
          <w:sz w:val="22"/>
          <w:szCs w:val="22"/>
          <w:lang w:val="es-ES_tradnl" w:eastAsia="en-US"/>
        </w:rPr>
        <w:t xml:space="preserve">En este contexto, </w:t>
      </w:r>
      <w:bookmarkStart w:id="20" w:name="_Hlk37703813"/>
      <w:r w:rsidR="000C7211" w:rsidRPr="000C7211">
        <w:rPr>
          <w:rFonts w:ascii="Arial" w:eastAsia="Calibri" w:hAnsi="Arial" w:cs="Arial"/>
          <w:color w:val="000000" w:themeColor="text1"/>
          <w:sz w:val="22"/>
          <w:szCs w:val="22"/>
          <w:lang w:val="es-ES_tradnl" w:eastAsia="en-US"/>
        </w:rPr>
        <w:t xml:space="preserve">como no aplica el artículo 86 de la Ley 1474, y en la medida que el artículo 29 prohíbe decisiones de plano, la Subdirección de Gestión Contractual considera que el trámite de la declaratoria del siniestro de estabilidad y calidad de la obra </w:t>
      </w:r>
      <w:bookmarkStart w:id="21" w:name="_Hlk37701904"/>
      <w:r w:rsidR="000C7211" w:rsidRPr="000C7211">
        <w:rPr>
          <w:rFonts w:ascii="Arial" w:eastAsia="Calibri" w:hAnsi="Arial" w:cs="Arial"/>
          <w:color w:val="000000" w:themeColor="text1"/>
          <w:sz w:val="22"/>
          <w:szCs w:val="22"/>
          <w:lang w:val="es-ES_tradnl" w:eastAsia="en-US"/>
        </w:rPr>
        <w:t>se rige por el procedimiento administrativo general dispuesto en los artículos 34 y siguientes de la Ley 1437 de 2011</w:t>
      </w:r>
      <w:bookmarkEnd w:id="21"/>
      <w:r w:rsidR="000C7211" w:rsidRPr="000C7211">
        <w:rPr>
          <w:rFonts w:ascii="Arial" w:eastAsia="Calibri" w:hAnsi="Arial" w:cs="Arial"/>
          <w:color w:val="000000" w:themeColor="text1"/>
          <w:sz w:val="22"/>
          <w:szCs w:val="22"/>
          <w:lang w:val="es-ES_tradnl" w:eastAsia="en-US"/>
        </w:rPr>
        <w:t>. Dicha norma prescribe que «Las actuaciones administrativas se sujetarán al procedimiento administrativo común y principal que se establece en este Código, sin perjuicio de los procedimientos administrativos regulados por leyes especiales […]», disposición aplicable a los temas contractuales por la remisión del inciso primero del artículo 77 de la Ley 80 de 1993</w:t>
      </w:r>
      <w:r w:rsidR="000C7211" w:rsidRPr="000C7211">
        <w:rPr>
          <w:rFonts w:ascii="Arial" w:eastAsia="Calibri" w:hAnsi="Arial" w:cs="Arial"/>
          <w:color w:val="000000" w:themeColor="text1"/>
          <w:sz w:val="22"/>
          <w:szCs w:val="22"/>
          <w:vertAlign w:val="superscript"/>
          <w:lang w:val="es-ES_tradnl" w:eastAsia="en-US"/>
        </w:rPr>
        <w:footnoteReference w:id="22"/>
      </w:r>
      <w:r w:rsidR="000C7211" w:rsidRPr="000C7211">
        <w:rPr>
          <w:rFonts w:ascii="Arial" w:eastAsia="Calibri" w:hAnsi="Arial" w:cs="Arial"/>
          <w:color w:val="000000" w:themeColor="text1"/>
          <w:sz w:val="22"/>
          <w:szCs w:val="22"/>
          <w:lang w:val="es-ES_tradnl" w:eastAsia="en-US"/>
        </w:rPr>
        <w:t xml:space="preserve">. Para estos efectos, el Código de Procedimiento Administrativo exige que cuando las entidades procedan de oficio la actuación comience con un escrito que debe comunicarse al interesado para que ejerza el </w:t>
      </w:r>
      <w:r w:rsidR="000C7211" w:rsidRPr="000C7211">
        <w:rPr>
          <w:rFonts w:ascii="Arial" w:eastAsia="Calibri" w:hAnsi="Arial" w:cs="Arial"/>
          <w:color w:val="000000" w:themeColor="text1"/>
          <w:sz w:val="22"/>
          <w:szCs w:val="22"/>
          <w:lang w:val="es-ES_tradnl" w:eastAsia="en-US"/>
        </w:rPr>
        <w:lastRenderedPageBreak/>
        <w:t>derecho de defensa –art. 35, inc. 2–; lo anterior, sin perjuicio de informar a terceros cuando la Administración advierta la posibilidad de que otras personas resulten afectadas con la decisión –art. 37–. Dicho procedimiento concreta el respeto a las formalidades propias de cada juicio de que trata el artículo 29 superior, garantizando que el contratista y la aseguradora sean escuchados antes de que entidad declare el siniestro de la garantía.</w:t>
      </w:r>
    </w:p>
    <w:p w14:paraId="58307CE4" w14:textId="1C314BC2" w:rsidR="006B6A25" w:rsidRDefault="00C93154" w:rsidP="00C93154">
      <w:pPr>
        <w:spacing w:before="120" w:line="276" w:lineRule="auto"/>
        <w:ind w:firstLine="708"/>
        <w:jc w:val="both"/>
        <w:rPr>
          <w:rFonts w:ascii="Arial" w:eastAsia="Calibri" w:hAnsi="Arial" w:cs="Arial"/>
          <w:color w:val="000000" w:themeColor="text1"/>
          <w:sz w:val="22"/>
          <w:szCs w:val="22"/>
          <w:lang w:val="es-ES_tradnl" w:eastAsia="en-US"/>
        </w:rPr>
      </w:pPr>
      <w:r>
        <w:rPr>
          <w:rFonts w:ascii="Arial" w:eastAsia="Calibri" w:hAnsi="Arial" w:cs="Arial"/>
          <w:color w:val="000000" w:themeColor="text1"/>
          <w:sz w:val="22"/>
          <w:szCs w:val="22"/>
          <w:lang w:val="es-ES_tradnl" w:eastAsia="en-US"/>
        </w:rPr>
        <w:t xml:space="preserve">La entidad estatal deberá motivar el acto administrativo que declara el siniestro de estabilidad y calidad de la obra, incluyendo las situaciones de hecho que demuestren la ocurrencia del siniestro, así como la cuantía a la cual asciende las reparaciones a efectuar en la obra. Lo anterior encuentra sustento en </w:t>
      </w:r>
      <w:r w:rsidR="006B6A25">
        <w:rPr>
          <w:rFonts w:ascii="Arial" w:eastAsia="Calibri" w:hAnsi="Arial" w:cs="Arial"/>
          <w:color w:val="000000" w:themeColor="text1"/>
          <w:sz w:val="22"/>
          <w:szCs w:val="22"/>
          <w:lang w:val="es-ES_tradnl" w:eastAsia="en-US"/>
        </w:rPr>
        <w:t xml:space="preserve">el </w:t>
      </w:r>
      <w:r w:rsidR="00516338">
        <w:rPr>
          <w:rFonts w:ascii="Arial" w:eastAsia="Calibri" w:hAnsi="Arial" w:cs="Arial"/>
          <w:color w:val="000000" w:themeColor="text1"/>
          <w:sz w:val="22"/>
          <w:szCs w:val="22"/>
          <w:lang w:val="es-ES_tradnl" w:eastAsia="en-US"/>
        </w:rPr>
        <w:t>artículo</w:t>
      </w:r>
      <w:r w:rsidR="006B6A25">
        <w:rPr>
          <w:rFonts w:ascii="Arial" w:eastAsia="Calibri" w:hAnsi="Arial" w:cs="Arial"/>
          <w:color w:val="000000" w:themeColor="text1"/>
          <w:sz w:val="22"/>
          <w:szCs w:val="22"/>
          <w:lang w:val="es-ES_tradnl" w:eastAsia="en-US"/>
        </w:rPr>
        <w:t xml:space="preserve"> 1077 </w:t>
      </w:r>
      <w:r w:rsidR="003E76DF">
        <w:rPr>
          <w:rFonts w:ascii="Arial" w:eastAsia="Calibri" w:hAnsi="Arial" w:cs="Arial"/>
          <w:color w:val="000000" w:themeColor="text1"/>
          <w:sz w:val="22"/>
          <w:szCs w:val="22"/>
          <w:lang w:val="es-ES_tradnl" w:eastAsia="en-US"/>
        </w:rPr>
        <w:t>del Código de C</w:t>
      </w:r>
      <w:r w:rsidR="00516338">
        <w:rPr>
          <w:rFonts w:ascii="Arial" w:eastAsia="Calibri" w:hAnsi="Arial" w:cs="Arial"/>
          <w:color w:val="000000" w:themeColor="text1"/>
          <w:sz w:val="22"/>
          <w:szCs w:val="22"/>
          <w:lang w:val="es-ES_tradnl" w:eastAsia="en-US"/>
        </w:rPr>
        <w:t xml:space="preserve">omercio </w:t>
      </w:r>
      <w:r w:rsidR="00D06A0E">
        <w:rPr>
          <w:rFonts w:ascii="Arial" w:eastAsia="Calibri" w:hAnsi="Arial" w:cs="Arial"/>
          <w:color w:val="000000" w:themeColor="text1"/>
          <w:sz w:val="22"/>
          <w:szCs w:val="22"/>
          <w:lang w:val="es-ES_tradnl" w:eastAsia="en-US"/>
        </w:rPr>
        <w:t>que establece:</w:t>
      </w:r>
      <w:r>
        <w:rPr>
          <w:rFonts w:ascii="Arial" w:eastAsia="Calibri" w:hAnsi="Arial" w:cs="Arial"/>
          <w:color w:val="000000" w:themeColor="text1"/>
          <w:sz w:val="22"/>
          <w:szCs w:val="22"/>
          <w:lang w:val="es-ES_tradnl" w:eastAsia="en-US"/>
        </w:rPr>
        <w:t xml:space="preserve"> </w:t>
      </w:r>
      <w:r w:rsidRPr="000C7211">
        <w:rPr>
          <w:rFonts w:ascii="Arial" w:eastAsia="Calibri" w:hAnsi="Arial" w:cs="Arial"/>
          <w:color w:val="000000" w:themeColor="text1"/>
          <w:sz w:val="22"/>
          <w:szCs w:val="22"/>
          <w:lang w:val="es-ES_tradnl" w:eastAsia="en-US"/>
        </w:rPr>
        <w:t>«</w:t>
      </w:r>
      <w:r>
        <w:rPr>
          <w:rFonts w:ascii="Arial" w:eastAsia="Calibri" w:hAnsi="Arial" w:cs="Arial"/>
          <w:color w:val="000000" w:themeColor="text1"/>
          <w:sz w:val="22"/>
          <w:szCs w:val="22"/>
          <w:lang w:val="es-ES_tradnl" w:eastAsia="en-US"/>
        </w:rPr>
        <w:t>C</w:t>
      </w:r>
      <w:r w:rsidRPr="00C93154">
        <w:rPr>
          <w:rFonts w:ascii="Arial" w:eastAsia="Calibri" w:hAnsi="Arial" w:cs="Arial"/>
          <w:color w:val="000000" w:themeColor="text1"/>
          <w:sz w:val="22"/>
          <w:szCs w:val="22"/>
          <w:lang w:val="es-ES_tradnl" w:eastAsia="en-US"/>
        </w:rPr>
        <w:t>orresponderá al asegurado demostrar la ocurrencia del siniestro, así como la cuantía de la pérdida, si fuere el caso</w:t>
      </w:r>
      <w:r w:rsidRPr="000C7211">
        <w:rPr>
          <w:rFonts w:ascii="Arial" w:eastAsia="Calibri" w:hAnsi="Arial" w:cs="Arial"/>
          <w:color w:val="000000" w:themeColor="text1"/>
          <w:sz w:val="22"/>
          <w:szCs w:val="22"/>
          <w:lang w:val="es-ES_tradnl" w:eastAsia="en-US"/>
        </w:rPr>
        <w:t>»</w:t>
      </w:r>
      <w:r w:rsidRPr="00C93154">
        <w:rPr>
          <w:rFonts w:ascii="Arial" w:eastAsia="Calibri" w:hAnsi="Arial" w:cs="Arial"/>
          <w:color w:val="000000" w:themeColor="text1"/>
          <w:sz w:val="22"/>
          <w:szCs w:val="22"/>
          <w:lang w:val="es-ES_tradnl" w:eastAsia="en-US"/>
        </w:rPr>
        <w:t>.</w:t>
      </w:r>
      <w:r>
        <w:rPr>
          <w:rFonts w:ascii="Arial" w:eastAsia="Calibri" w:hAnsi="Arial" w:cs="Arial"/>
          <w:color w:val="000000" w:themeColor="text1"/>
          <w:sz w:val="22"/>
          <w:szCs w:val="22"/>
          <w:lang w:val="es-ES_tradnl" w:eastAsia="en-US"/>
        </w:rPr>
        <w:t xml:space="preserve"> </w:t>
      </w:r>
    </w:p>
    <w:p w14:paraId="7B42D793" w14:textId="5E995731" w:rsidR="00D06A0E" w:rsidRDefault="00C93154" w:rsidP="00D06A0E">
      <w:pPr>
        <w:spacing w:before="120" w:line="276" w:lineRule="auto"/>
        <w:ind w:firstLine="708"/>
        <w:jc w:val="both"/>
        <w:rPr>
          <w:rFonts w:ascii="Arial" w:hAnsi="Arial" w:cs="Arial"/>
          <w:sz w:val="22"/>
          <w:szCs w:val="22"/>
          <w:shd w:val="clear" w:color="auto" w:fill="FFFFFF"/>
        </w:rPr>
      </w:pPr>
      <w:r w:rsidRPr="00C93154">
        <w:rPr>
          <w:rFonts w:ascii="Arial" w:eastAsia="Calibri" w:hAnsi="Arial" w:cs="Arial"/>
          <w:sz w:val="22"/>
          <w:szCs w:val="22"/>
          <w:lang w:val="es-ES_tradnl" w:eastAsia="en-US"/>
        </w:rPr>
        <w:t xml:space="preserve">En este sentido, como quiera que el amparo de estabilidad y calidad de la obra cubre a la entidad de los perjuicios ocasionados por cualquier tipo de daño o </w:t>
      </w:r>
      <w:r w:rsidRPr="00C93154">
        <w:rPr>
          <w:rFonts w:ascii="Arial" w:hAnsi="Arial" w:cs="Arial"/>
          <w:sz w:val="22"/>
          <w:szCs w:val="22"/>
          <w:shd w:val="clear" w:color="auto" w:fill="FFFFFF"/>
        </w:rPr>
        <w:t>deterioro, imputable al contratista, sufrido por la obra entregada a satisfacción</w:t>
      </w:r>
      <w:r>
        <w:rPr>
          <w:rFonts w:ascii="Arial" w:hAnsi="Arial" w:cs="Arial"/>
          <w:sz w:val="22"/>
          <w:szCs w:val="22"/>
          <w:shd w:val="clear" w:color="auto" w:fill="FFFFFF"/>
        </w:rPr>
        <w:t xml:space="preserve">, </w:t>
      </w:r>
      <w:r w:rsidR="00D06A0E">
        <w:rPr>
          <w:rFonts w:ascii="Arial" w:hAnsi="Arial" w:cs="Arial"/>
          <w:sz w:val="22"/>
          <w:szCs w:val="22"/>
          <w:shd w:val="clear" w:color="auto" w:fill="FFFFFF"/>
        </w:rPr>
        <w:t xml:space="preserve">le corresponde a la entidad contratante fijar, en el acto administrativo que declare el siniestro, el monto de dichos </w:t>
      </w:r>
      <w:r>
        <w:rPr>
          <w:rFonts w:ascii="Arial" w:hAnsi="Arial" w:cs="Arial"/>
          <w:sz w:val="22"/>
          <w:szCs w:val="22"/>
          <w:shd w:val="clear" w:color="auto" w:fill="FFFFFF"/>
        </w:rPr>
        <w:t xml:space="preserve">perjuicios </w:t>
      </w:r>
      <w:r w:rsidR="00D06A0E">
        <w:rPr>
          <w:rFonts w:ascii="Arial" w:hAnsi="Arial" w:cs="Arial"/>
          <w:sz w:val="22"/>
          <w:szCs w:val="22"/>
          <w:shd w:val="clear" w:color="auto" w:fill="FFFFFF"/>
        </w:rPr>
        <w:t xml:space="preserve">teniendo en cuenta las situaciones concretas de cada caso. </w:t>
      </w:r>
    </w:p>
    <w:p w14:paraId="3BB2E046" w14:textId="77777777" w:rsidR="004E6A1F" w:rsidRDefault="004E6A1F" w:rsidP="00CB776B">
      <w:pPr>
        <w:spacing w:line="276" w:lineRule="auto"/>
        <w:ind w:firstLine="708"/>
        <w:jc w:val="both"/>
        <w:rPr>
          <w:rFonts w:ascii="Arial" w:hAnsi="Arial" w:cs="Arial"/>
          <w:sz w:val="22"/>
          <w:szCs w:val="22"/>
          <w:shd w:val="clear" w:color="auto" w:fill="FFFFFF"/>
        </w:rPr>
      </w:pPr>
    </w:p>
    <w:p w14:paraId="0CB64F1B" w14:textId="58529F5E" w:rsidR="00C059D4" w:rsidRPr="00CB776B" w:rsidRDefault="00C059D4" w:rsidP="00CB776B">
      <w:pPr>
        <w:pStyle w:val="Prrafodelista"/>
        <w:numPr>
          <w:ilvl w:val="0"/>
          <w:numId w:val="32"/>
        </w:numPr>
        <w:spacing w:line="276" w:lineRule="auto"/>
        <w:jc w:val="both"/>
        <w:rPr>
          <w:rFonts w:ascii="Arial" w:eastAsia="Calibri" w:hAnsi="Arial" w:cs="Arial"/>
          <w:sz w:val="22"/>
          <w:lang w:val="es-ES_tradnl"/>
        </w:rPr>
      </w:pPr>
      <w:r w:rsidRPr="00D06A0E">
        <w:rPr>
          <w:rFonts w:ascii="Arial" w:hAnsi="Arial" w:cs="Arial"/>
          <w:iCs/>
          <w:color w:val="000000" w:themeColor="text1"/>
          <w:sz w:val="22"/>
          <w:lang w:val="es-ES_tradnl" w:eastAsia="en-GB"/>
        </w:rPr>
        <w:t xml:space="preserve">Amparo del buen manejo y correcta inversión del anticipo </w:t>
      </w:r>
    </w:p>
    <w:p w14:paraId="74B8ACFE" w14:textId="77777777" w:rsidR="004E6A1F" w:rsidRPr="00D06A0E" w:rsidRDefault="004E6A1F" w:rsidP="00CB776B">
      <w:pPr>
        <w:pStyle w:val="Prrafodelista"/>
        <w:spacing w:before="120" w:line="276" w:lineRule="auto"/>
        <w:ind w:left="1069"/>
        <w:jc w:val="both"/>
        <w:rPr>
          <w:rFonts w:ascii="Arial" w:eastAsia="Calibri" w:hAnsi="Arial" w:cs="Arial"/>
          <w:sz w:val="22"/>
          <w:lang w:val="es-ES_tradnl"/>
        </w:rPr>
      </w:pPr>
    </w:p>
    <w:p w14:paraId="62D0629A" w14:textId="5163C2FA" w:rsidR="00AE4B2B" w:rsidRDefault="00AE4B2B" w:rsidP="00CB776B">
      <w:pPr>
        <w:widowControl w:val="0"/>
        <w:autoSpaceDE w:val="0"/>
        <w:autoSpaceDN w:val="0"/>
        <w:spacing w:line="276" w:lineRule="auto"/>
        <w:ind w:firstLine="709"/>
        <w:jc w:val="both"/>
        <w:rPr>
          <w:rFonts w:ascii="Arial" w:eastAsia="Arial" w:hAnsi="Arial" w:cs="Arial"/>
          <w:sz w:val="22"/>
          <w:szCs w:val="22"/>
          <w:lang w:val="es-ES" w:eastAsia="en-US"/>
        </w:rPr>
      </w:pPr>
      <w:r>
        <w:rPr>
          <w:rFonts w:ascii="Arial" w:eastAsia="Arial" w:hAnsi="Arial" w:cs="Arial"/>
          <w:sz w:val="22"/>
          <w:szCs w:val="22"/>
          <w:lang w:val="es-ES" w:eastAsia="en-US"/>
        </w:rPr>
        <w:t>En</w:t>
      </w:r>
      <w:r w:rsidR="00586BDB">
        <w:rPr>
          <w:rFonts w:ascii="Arial" w:eastAsia="Arial" w:hAnsi="Arial" w:cs="Arial"/>
          <w:sz w:val="22"/>
          <w:szCs w:val="22"/>
          <w:lang w:val="es-ES" w:eastAsia="en-US"/>
        </w:rPr>
        <w:t xml:space="preserve"> relación con el amparo del buen manejo y correcta inversión del anticipo </w:t>
      </w:r>
      <w:r>
        <w:rPr>
          <w:rFonts w:ascii="Arial" w:eastAsia="Arial" w:hAnsi="Arial" w:cs="Arial"/>
          <w:sz w:val="22"/>
          <w:szCs w:val="22"/>
          <w:lang w:val="es-ES" w:eastAsia="en-US"/>
        </w:rPr>
        <w:t>se pueden presentar dos situaciones</w:t>
      </w:r>
      <w:r w:rsidR="00586BDB">
        <w:rPr>
          <w:rFonts w:ascii="Arial" w:eastAsia="Arial" w:hAnsi="Arial" w:cs="Arial"/>
          <w:sz w:val="22"/>
          <w:szCs w:val="22"/>
          <w:lang w:val="es-ES" w:eastAsia="en-US"/>
        </w:rPr>
        <w:t xml:space="preserve"> que determinan la actuación administrativa a</w:t>
      </w:r>
      <w:r>
        <w:rPr>
          <w:rFonts w:ascii="Arial" w:eastAsia="Arial" w:hAnsi="Arial" w:cs="Arial"/>
          <w:sz w:val="22"/>
          <w:szCs w:val="22"/>
          <w:lang w:val="es-ES" w:eastAsia="en-US"/>
        </w:rPr>
        <w:t xml:space="preserve"> </w:t>
      </w:r>
      <w:r w:rsidR="00567106">
        <w:rPr>
          <w:rFonts w:ascii="Arial" w:eastAsia="Arial" w:hAnsi="Arial" w:cs="Arial"/>
          <w:sz w:val="22"/>
          <w:szCs w:val="22"/>
          <w:lang w:val="es-ES" w:eastAsia="en-US"/>
        </w:rPr>
        <w:t xml:space="preserve">seguir </w:t>
      </w:r>
      <w:r w:rsidR="00586BDB">
        <w:rPr>
          <w:rFonts w:ascii="Arial" w:eastAsia="Arial" w:hAnsi="Arial" w:cs="Arial"/>
          <w:sz w:val="22"/>
          <w:szCs w:val="22"/>
          <w:lang w:val="es-ES" w:eastAsia="en-US"/>
        </w:rPr>
        <w:t>para la declaratoria del siniestro:</w:t>
      </w:r>
      <w:r>
        <w:rPr>
          <w:rFonts w:ascii="Arial" w:eastAsia="Arial" w:hAnsi="Arial" w:cs="Arial"/>
          <w:sz w:val="22"/>
          <w:szCs w:val="22"/>
          <w:lang w:val="es-ES" w:eastAsia="en-US"/>
        </w:rPr>
        <w:t xml:space="preserve"> i) que se declare el incumplimiento de las obligaciones </w:t>
      </w:r>
      <w:r w:rsidR="00586BDB">
        <w:rPr>
          <w:rFonts w:ascii="Arial" w:eastAsia="Arial" w:hAnsi="Arial" w:cs="Arial"/>
          <w:sz w:val="22"/>
          <w:szCs w:val="22"/>
          <w:lang w:val="es-ES" w:eastAsia="en-US"/>
        </w:rPr>
        <w:t>y el siniestro de este amparo</w:t>
      </w:r>
      <w:r>
        <w:rPr>
          <w:rFonts w:ascii="Arial" w:eastAsia="Arial" w:hAnsi="Arial" w:cs="Arial"/>
          <w:sz w:val="22"/>
          <w:szCs w:val="22"/>
          <w:lang w:val="es-ES" w:eastAsia="en-US"/>
        </w:rPr>
        <w:t xml:space="preserve">; o </w:t>
      </w:r>
      <w:proofErr w:type="spellStart"/>
      <w:r>
        <w:rPr>
          <w:rFonts w:ascii="Arial" w:eastAsia="Arial" w:hAnsi="Arial" w:cs="Arial"/>
          <w:sz w:val="22"/>
          <w:szCs w:val="22"/>
          <w:lang w:val="es-ES" w:eastAsia="en-US"/>
        </w:rPr>
        <w:t>ii</w:t>
      </w:r>
      <w:proofErr w:type="spellEnd"/>
      <w:r>
        <w:rPr>
          <w:rFonts w:ascii="Arial" w:eastAsia="Arial" w:hAnsi="Arial" w:cs="Arial"/>
          <w:sz w:val="22"/>
          <w:szCs w:val="22"/>
          <w:lang w:val="es-ES" w:eastAsia="en-US"/>
        </w:rPr>
        <w:t>) que únicamente</w:t>
      </w:r>
      <w:r w:rsidR="00586BDB">
        <w:rPr>
          <w:rFonts w:ascii="Arial" w:eastAsia="Arial" w:hAnsi="Arial" w:cs="Arial"/>
          <w:sz w:val="22"/>
          <w:szCs w:val="22"/>
          <w:lang w:val="es-ES" w:eastAsia="en-US"/>
        </w:rPr>
        <w:t xml:space="preserve"> se declare el siniestro de este amparo.</w:t>
      </w:r>
    </w:p>
    <w:p w14:paraId="4F4F8319" w14:textId="4229492F" w:rsidR="00AE4B2B" w:rsidRDefault="00586BDB" w:rsidP="009D6E3A">
      <w:pPr>
        <w:widowControl w:val="0"/>
        <w:autoSpaceDE w:val="0"/>
        <w:autoSpaceDN w:val="0"/>
        <w:spacing w:before="120" w:line="276" w:lineRule="auto"/>
        <w:ind w:firstLine="709"/>
        <w:jc w:val="both"/>
        <w:rPr>
          <w:rFonts w:ascii="Arial" w:eastAsia="Arial" w:hAnsi="Arial" w:cs="Arial"/>
          <w:sz w:val="22"/>
          <w:szCs w:val="22"/>
          <w:lang w:val="es-ES" w:eastAsia="en-US"/>
        </w:rPr>
      </w:pPr>
      <w:r>
        <w:rPr>
          <w:rFonts w:ascii="Arial" w:eastAsia="Arial" w:hAnsi="Arial" w:cs="Arial"/>
          <w:sz w:val="22"/>
          <w:szCs w:val="22"/>
          <w:lang w:val="es-ES" w:eastAsia="en-US"/>
        </w:rPr>
        <w:t xml:space="preserve">En el primer evento, debe </w:t>
      </w:r>
      <w:r w:rsidR="00C059D4" w:rsidRPr="00EC6D8D">
        <w:rPr>
          <w:rFonts w:ascii="Arial" w:eastAsia="Arial" w:hAnsi="Arial" w:cs="Arial"/>
          <w:sz w:val="22"/>
          <w:szCs w:val="22"/>
          <w:lang w:val="es-ES" w:eastAsia="en-US"/>
        </w:rPr>
        <w:t>tenerse en cuenta</w:t>
      </w:r>
      <w:r>
        <w:rPr>
          <w:rFonts w:ascii="Arial" w:eastAsia="Arial" w:hAnsi="Arial" w:cs="Arial"/>
          <w:sz w:val="22"/>
          <w:szCs w:val="22"/>
          <w:lang w:val="es-ES" w:eastAsia="en-US"/>
        </w:rPr>
        <w:t xml:space="preserve"> </w:t>
      </w:r>
      <w:proofErr w:type="gramStart"/>
      <w:r>
        <w:rPr>
          <w:rFonts w:ascii="Arial" w:eastAsia="Arial" w:hAnsi="Arial" w:cs="Arial"/>
          <w:sz w:val="22"/>
          <w:szCs w:val="22"/>
          <w:lang w:val="es-ES" w:eastAsia="en-US"/>
        </w:rPr>
        <w:t>que</w:t>
      </w:r>
      <w:proofErr w:type="gramEnd"/>
      <w:r w:rsidR="00C059D4" w:rsidRPr="00EC6D8D">
        <w:rPr>
          <w:rFonts w:ascii="Arial" w:eastAsia="Arial" w:hAnsi="Arial" w:cs="Arial"/>
          <w:sz w:val="22"/>
          <w:szCs w:val="22"/>
          <w:lang w:val="es-ES" w:eastAsia="en-US"/>
        </w:rPr>
        <w:t xml:space="preserve"> si la de</w:t>
      </w:r>
      <w:r>
        <w:rPr>
          <w:rFonts w:ascii="Arial" w:eastAsia="Arial" w:hAnsi="Arial" w:cs="Arial"/>
          <w:sz w:val="22"/>
          <w:szCs w:val="22"/>
          <w:lang w:val="es-ES" w:eastAsia="en-US"/>
        </w:rPr>
        <w:t xml:space="preserve">claración del siniestro se realiza </w:t>
      </w:r>
      <w:r w:rsidR="00C059D4" w:rsidRPr="00EC6D8D">
        <w:rPr>
          <w:rFonts w:ascii="Arial" w:eastAsia="Arial" w:hAnsi="Arial" w:cs="Arial"/>
          <w:sz w:val="22"/>
          <w:szCs w:val="22"/>
          <w:lang w:val="es-ES" w:eastAsia="en-US"/>
        </w:rPr>
        <w:t>con el acto administrativo que declara el incumplimiento, o el que impone multas, o el que declar</w:t>
      </w:r>
      <w:r w:rsidR="00E031EB">
        <w:rPr>
          <w:rFonts w:ascii="Arial" w:eastAsia="Arial" w:hAnsi="Arial" w:cs="Arial"/>
          <w:sz w:val="22"/>
          <w:szCs w:val="22"/>
          <w:lang w:val="es-ES" w:eastAsia="en-US"/>
        </w:rPr>
        <w:t xml:space="preserve">a la caducidad, debe adelantarse </w:t>
      </w:r>
      <w:r w:rsidR="00C059D4" w:rsidRPr="00EC6D8D">
        <w:rPr>
          <w:rFonts w:ascii="Arial" w:eastAsia="Arial" w:hAnsi="Arial" w:cs="Arial"/>
          <w:sz w:val="22"/>
          <w:szCs w:val="22"/>
          <w:lang w:val="es-ES" w:eastAsia="en-US"/>
        </w:rPr>
        <w:t>el procedimiento establecido en el artículo 86 de la Ley 1474 de 2011, correspondiente al proceso sancionatorio.</w:t>
      </w:r>
      <w:r>
        <w:rPr>
          <w:rFonts w:ascii="Arial" w:eastAsia="Arial" w:hAnsi="Arial" w:cs="Arial"/>
          <w:sz w:val="22"/>
          <w:szCs w:val="22"/>
          <w:lang w:val="es-ES" w:eastAsia="en-US"/>
        </w:rPr>
        <w:t xml:space="preserve"> Ello es así, dado que en este caso la Administración está ejerciendo una potestad sancionatoria, </w:t>
      </w:r>
      <w:r w:rsidR="009D6E3A">
        <w:rPr>
          <w:rFonts w:ascii="Arial" w:eastAsia="Arial" w:hAnsi="Arial" w:cs="Arial"/>
          <w:sz w:val="22"/>
          <w:szCs w:val="22"/>
          <w:lang w:val="es-ES" w:eastAsia="en-US"/>
        </w:rPr>
        <w:t>y en tal sentido,</w:t>
      </w:r>
      <w:r>
        <w:rPr>
          <w:rFonts w:ascii="Arial" w:eastAsia="Arial" w:hAnsi="Arial" w:cs="Arial"/>
          <w:sz w:val="22"/>
          <w:szCs w:val="22"/>
          <w:lang w:val="es-ES" w:eastAsia="en-US"/>
        </w:rPr>
        <w:t xml:space="preserve"> le corresponde atender la norma especial </w:t>
      </w:r>
      <w:r w:rsidR="009D6E3A">
        <w:rPr>
          <w:rFonts w:ascii="Arial" w:eastAsia="Arial" w:hAnsi="Arial" w:cs="Arial"/>
          <w:sz w:val="22"/>
          <w:szCs w:val="22"/>
          <w:lang w:val="es-ES" w:eastAsia="en-US"/>
        </w:rPr>
        <w:t>en materia de contratación. En este escenario, con</w:t>
      </w:r>
      <w:r w:rsidR="00567106">
        <w:rPr>
          <w:rFonts w:ascii="Arial" w:eastAsia="Arial" w:hAnsi="Arial" w:cs="Arial"/>
          <w:sz w:val="22"/>
          <w:szCs w:val="22"/>
          <w:lang w:val="es-ES" w:eastAsia="en-US"/>
        </w:rPr>
        <w:t xml:space="preserve"> fundamento en lo establecido en</w:t>
      </w:r>
      <w:r w:rsidR="009D6E3A">
        <w:rPr>
          <w:rFonts w:ascii="Arial" w:eastAsia="Arial" w:hAnsi="Arial" w:cs="Arial"/>
          <w:sz w:val="22"/>
          <w:szCs w:val="22"/>
          <w:lang w:val="es-ES" w:eastAsia="en-US"/>
        </w:rPr>
        <w:t xml:space="preserve"> el artículo 86 </w:t>
      </w:r>
      <w:proofErr w:type="spellStart"/>
      <w:r w:rsidR="009D6E3A" w:rsidRPr="009D6E3A">
        <w:rPr>
          <w:rFonts w:ascii="Arial" w:eastAsia="Arial" w:hAnsi="Arial" w:cs="Arial"/>
          <w:i/>
          <w:sz w:val="22"/>
          <w:szCs w:val="22"/>
          <w:lang w:val="es-ES" w:eastAsia="en-US"/>
        </w:rPr>
        <w:t>ibídem</w:t>
      </w:r>
      <w:proofErr w:type="spellEnd"/>
      <w:r w:rsidR="009D6E3A">
        <w:rPr>
          <w:rFonts w:ascii="Arial" w:eastAsia="Arial" w:hAnsi="Arial" w:cs="Arial"/>
          <w:i/>
          <w:sz w:val="22"/>
          <w:szCs w:val="22"/>
          <w:lang w:val="es-ES" w:eastAsia="en-US"/>
        </w:rPr>
        <w:t xml:space="preserve">, </w:t>
      </w:r>
      <w:r w:rsidR="009D6E3A" w:rsidRPr="00C577CA">
        <w:rPr>
          <w:rFonts w:ascii="Arial" w:hAnsi="Arial" w:cs="Arial"/>
          <w:iCs/>
          <w:color w:val="000000" w:themeColor="text1"/>
          <w:sz w:val="22"/>
          <w:lang w:val="es-ES_tradnl" w:eastAsia="en-GB"/>
        </w:rPr>
        <w:t>la entidad está facultada para cuantificar los perjuicios causados por el</w:t>
      </w:r>
      <w:r w:rsidR="009D6E3A">
        <w:rPr>
          <w:rFonts w:ascii="Arial" w:hAnsi="Arial" w:cs="Arial"/>
          <w:iCs/>
          <w:color w:val="000000" w:themeColor="text1"/>
          <w:sz w:val="22"/>
          <w:lang w:val="es-ES_tradnl" w:eastAsia="en-GB"/>
        </w:rPr>
        <w:t xml:space="preserve"> incumplimiento del contratista. Concretamente </w:t>
      </w:r>
      <w:r w:rsidR="00E031EB">
        <w:rPr>
          <w:rFonts w:ascii="Arial" w:hAnsi="Arial" w:cs="Arial"/>
          <w:iCs/>
          <w:color w:val="000000" w:themeColor="text1"/>
          <w:sz w:val="22"/>
          <w:lang w:val="es-ES_tradnl" w:eastAsia="en-GB"/>
        </w:rPr>
        <w:t xml:space="preserve">para el </w:t>
      </w:r>
      <w:r w:rsidR="009D6E3A">
        <w:rPr>
          <w:rFonts w:ascii="Arial" w:hAnsi="Arial" w:cs="Arial"/>
          <w:iCs/>
          <w:color w:val="000000" w:themeColor="text1"/>
          <w:sz w:val="22"/>
          <w:lang w:val="es-ES_tradnl" w:eastAsia="en-GB"/>
        </w:rPr>
        <w:t>amparo del buen manejo y correcta inversión del anticipo, deberá relacionar las situaciones de hecho que soportan el siniestro, así como cuantificar los perjuicios sufridos por la entidad estatal con ocasión de</w:t>
      </w:r>
      <w:r w:rsidR="009D6E3A" w:rsidRPr="009D6E3A">
        <w:rPr>
          <w:rFonts w:ascii="Arial" w:hAnsi="Arial" w:cs="Arial"/>
          <w:iCs/>
          <w:color w:val="000000" w:themeColor="text1"/>
          <w:sz w:val="22"/>
          <w:lang w:val="es-ES_tradnl" w:eastAsia="en-GB"/>
        </w:rPr>
        <w:t xml:space="preserve"> la</w:t>
      </w:r>
      <w:r w:rsidR="009D6E3A">
        <w:rPr>
          <w:rFonts w:ascii="Arial" w:hAnsi="Arial" w:cs="Arial"/>
          <w:iCs/>
          <w:color w:val="000000" w:themeColor="text1"/>
          <w:sz w:val="22"/>
          <w:lang w:val="es-ES_tradnl" w:eastAsia="en-GB"/>
        </w:rPr>
        <w:t xml:space="preserve"> no inversión del anticipo,</w:t>
      </w:r>
      <w:r w:rsidR="009D6E3A" w:rsidRPr="009D6E3A">
        <w:rPr>
          <w:rFonts w:ascii="Arial" w:hAnsi="Arial" w:cs="Arial"/>
          <w:iCs/>
          <w:color w:val="000000" w:themeColor="text1"/>
          <w:sz w:val="22"/>
          <w:lang w:val="es-ES_tradnl" w:eastAsia="en-GB"/>
        </w:rPr>
        <w:t xml:space="preserve"> el us</w:t>
      </w:r>
      <w:r w:rsidR="009D6E3A">
        <w:rPr>
          <w:rFonts w:ascii="Arial" w:hAnsi="Arial" w:cs="Arial"/>
          <w:iCs/>
          <w:color w:val="000000" w:themeColor="text1"/>
          <w:sz w:val="22"/>
          <w:lang w:val="es-ES_tradnl" w:eastAsia="en-GB"/>
        </w:rPr>
        <w:t>o indebido del anticipo; y/o</w:t>
      </w:r>
      <w:r w:rsidR="009D6E3A" w:rsidRPr="009D6E3A">
        <w:rPr>
          <w:rFonts w:ascii="Arial" w:hAnsi="Arial" w:cs="Arial"/>
          <w:iCs/>
          <w:color w:val="000000" w:themeColor="text1"/>
          <w:sz w:val="22"/>
          <w:lang w:val="es-ES_tradnl" w:eastAsia="en-GB"/>
        </w:rPr>
        <w:t xml:space="preserve"> la apropiación indebida de los recursos recibidos en calidad de anticipo.</w:t>
      </w:r>
    </w:p>
    <w:p w14:paraId="29429B8F" w14:textId="76A80FE7" w:rsidR="00DC6AB9" w:rsidRDefault="00567106" w:rsidP="00DC6AB9">
      <w:pPr>
        <w:widowControl w:val="0"/>
        <w:autoSpaceDE w:val="0"/>
        <w:autoSpaceDN w:val="0"/>
        <w:spacing w:before="120" w:line="276" w:lineRule="auto"/>
        <w:ind w:firstLine="709"/>
        <w:jc w:val="both"/>
        <w:rPr>
          <w:rFonts w:ascii="Arial" w:eastAsia="Arial" w:hAnsi="Arial" w:cs="Arial"/>
          <w:sz w:val="22"/>
          <w:szCs w:val="22"/>
          <w:lang w:val="es-ES" w:eastAsia="en-US"/>
        </w:rPr>
      </w:pPr>
      <w:r>
        <w:rPr>
          <w:rFonts w:ascii="Arial" w:eastAsia="Arial" w:hAnsi="Arial" w:cs="Arial"/>
          <w:sz w:val="22"/>
          <w:szCs w:val="22"/>
          <w:lang w:val="es-ES" w:eastAsia="en-US"/>
        </w:rPr>
        <w:t xml:space="preserve">Por el contrario, si la entidad únicamente declara la ocurrencia del siniestro del buen manejo y correcta inversión del anticipo, sin imponer sanciones o declaratorias de </w:t>
      </w:r>
      <w:r>
        <w:rPr>
          <w:rFonts w:ascii="Arial" w:eastAsia="Arial" w:hAnsi="Arial" w:cs="Arial"/>
          <w:sz w:val="22"/>
          <w:szCs w:val="22"/>
          <w:lang w:val="es-ES" w:eastAsia="en-US"/>
        </w:rPr>
        <w:lastRenderedPageBreak/>
        <w:t xml:space="preserve">incumpliendo, </w:t>
      </w:r>
      <w:r w:rsidR="008D4527">
        <w:rPr>
          <w:rFonts w:ascii="Arial" w:eastAsia="Arial" w:hAnsi="Arial" w:cs="Arial"/>
          <w:sz w:val="22"/>
          <w:szCs w:val="22"/>
          <w:lang w:val="es-ES" w:eastAsia="en-US"/>
        </w:rPr>
        <w:t>no estar</w:t>
      </w:r>
      <w:r w:rsidR="00DC6AB9">
        <w:rPr>
          <w:rFonts w:ascii="Arial" w:eastAsia="Arial" w:hAnsi="Arial" w:cs="Arial"/>
          <w:sz w:val="22"/>
          <w:szCs w:val="22"/>
          <w:lang w:val="es-ES" w:eastAsia="en-US"/>
        </w:rPr>
        <w:t>á ejerciendo una potestad</w:t>
      </w:r>
      <w:r w:rsidR="008D4527">
        <w:rPr>
          <w:rFonts w:ascii="Arial" w:eastAsia="Arial" w:hAnsi="Arial" w:cs="Arial"/>
          <w:sz w:val="22"/>
          <w:szCs w:val="22"/>
          <w:lang w:val="es-ES" w:eastAsia="en-US"/>
        </w:rPr>
        <w:t xml:space="preserve"> </w:t>
      </w:r>
      <w:r w:rsidR="00DC6AB9">
        <w:rPr>
          <w:rFonts w:ascii="Arial" w:eastAsia="Arial" w:hAnsi="Arial" w:cs="Arial"/>
          <w:sz w:val="22"/>
          <w:szCs w:val="22"/>
          <w:lang w:val="es-ES" w:eastAsia="en-US"/>
        </w:rPr>
        <w:t xml:space="preserve">sancionatoria, sino reclamando la póliza de seguro frente a la compañía aseguradora. </w:t>
      </w:r>
      <w:r w:rsidR="00240136">
        <w:rPr>
          <w:rFonts w:ascii="Arial" w:eastAsia="Arial" w:hAnsi="Arial" w:cs="Arial"/>
          <w:sz w:val="22"/>
          <w:szCs w:val="22"/>
          <w:lang w:val="es-ES" w:eastAsia="en-US"/>
        </w:rPr>
        <w:t>Al respecto</w:t>
      </w:r>
      <w:r w:rsidR="00DC6AB9">
        <w:rPr>
          <w:rFonts w:ascii="Arial" w:eastAsia="Arial" w:hAnsi="Arial" w:cs="Arial"/>
          <w:sz w:val="22"/>
          <w:szCs w:val="22"/>
          <w:lang w:val="es-ES" w:eastAsia="en-US"/>
        </w:rPr>
        <w:t xml:space="preserve">, el Consejo de Estado </w:t>
      </w:r>
      <w:r w:rsidR="00240136">
        <w:rPr>
          <w:rFonts w:ascii="Arial" w:eastAsia="Arial" w:hAnsi="Arial" w:cs="Arial"/>
          <w:sz w:val="22"/>
          <w:szCs w:val="22"/>
          <w:lang w:val="es-ES" w:eastAsia="en-US"/>
        </w:rPr>
        <w:t>considera que</w:t>
      </w:r>
      <w:r w:rsidR="00DC6AB9">
        <w:rPr>
          <w:rFonts w:ascii="Arial" w:eastAsia="Arial" w:hAnsi="Arial" w:cs="Arial"/>
          <w:sz w:val="22"/>
          <w:szCs w:val="22"/>
          <w:lang w:val="es-ES" w:eastAsia="en-US"/>
        </w:rPr>
        <w:t xml:space="preserve">: </w:t>
      </w:r>
    </w:p>
    <w:p w14:paraId="3FF94BF9" w14:textId="77777777" w:rsidR="00DC6AB9" w:rsidRDefault="00DC6AB9" w:rsidP="00484074">
      <w:pPr>
        <w:widowControl w:val="0"/>
        <w:autoSpaceDE w:val="0"/>
        <w:autoSpaceDN w:val="0"/>
        <w:spacing w:line="276" w:lineRule="auto"/>
        <w:ind w:firstLine="709"/>
        <w:jc w:val="both"/>
        <w:rPr>
          <w:rFonts w:ascii="Arial" w:eastAsia="Arial" w:hAnsi="Arial" w:cs="Arial"/>
          <w:sz w:val="22"/>
          <w:szCs w:val="22"/>
          <w:lang w:val="es-ES" w:eastAsia="en-US"/>
        </w:rPr>
      </w:pPr>
    </w:p>
    <w:p w14:paraId="547434A8" w14:textId="28770210" w:rsidR="00DC6AB9" w:rsidRDefault="00240136" w:rsidP="00CB776B">
      <w:pPr>
        <w:ind w:left="709" w:right="709"/>
        <w:jc w:val="both"/>
        <w:rPr>
          <w:rFonts w:ascii="Arial" w:eastAsia="Calibri" w:hAnsi="Arial" w:cs="Arial"/>
          <w:sz w:val="21"/>
          <w:szCs w:val="21"/>
          <w:lang w:val="es-ES_tradnl"/>
        </w:rPr>
      </w:pPr>
      <w:r>
        <w:rPr>
          <w:rFonts w:ascii="Arial" w:eastAsia="Calibri" w:hAnsi="Arial" w:cs="Arial"/>
          <w:sz w:val="21"/>
          <w:szCs w:val="21"/>
          <w:lang w:val="es-ES_tradnl"/>
        </w:rPr>
        <w:t>[…]</w:t>
      </w:r>
      <w:r w:rsidR="00DC6AB9" w:rsidRPr="00DC6AB9">
        <w:rPr>
          <w:rFonts w:ascii="Arial" w:eastAsia="Calibri" w:hAnsi="Arial" w:cs="Arial"/>
          <w:sz w:val="21"/>
          <w:szCs w:val="21"/>
          <w:lang w:val="es-ES_tradnl"/>
        </w:rPr>
        <w:t xml:space="preserve"> conviene distinguir la actuación administrativa en la que no se declara el incumplimiento del contrato, sino únicamente la ocurrencia del siniestro por anticipo, puesto que la decisión de declarar el siniestro y ordenar su pago por el valor correspondiente, no se configura como el resultado de un procedimiento sancionatorio frente a la compañía de seguros, toda vez que no está destinado a imponer una sanción, ni una restricción o limitación de la posición contractual. Esa actuación estatal, cuando se adelanta frente a la compañía de seguros, se apoya en el ejercicio de un derecho, el de reclamar o hacer valer la póliza de seguro, el cual no tiene naturaleza sancionatoria</w:t>
      </w:r>
      <w:r>
        <w:rPr>
          <w:rStyle w:val="Refdenotaalpie"/>
          <w:rFonts w:ascii="Arial" w:eastAsia="Arial" w:hAnsi="Arial" w:cs="Arial"/>
          <w:sz w:val="22"/>
          <w:szCs w:val="22"/>
          <w:lang w:val="es-ES" w:eastAsia="en-US"/>
        </w:rPr>
        <w:footnoteReference w:id="23"/>
      </w:r>
      <w:r w:rsidR="00DC6AB9" w:rsidRPr="00DC6AB9">
        <w:rPr>
          <w:rFonts w:ascii="Arial" w:eastAsia="Calibri" w:hAnsi="Arial" w:cs="Arial"/>
          <w:sz w:val="21"/>
          <w:szCs w:val="21"/>
          <w:lang w:val="es-ES_tradnl"/>
        </w:rPr>
        <w:t>.</w:t>
      </w:r>
    </w:p>
    <w:p w14:paraId="0374B3D3" w14:textId="77777777" w:rsidR="00DC6AB9" w:rsidRDefault="00DC6AB9" w:rsidP="00003233">
      <w:pPr>
        <w:widowControl w:val="0"/>
        <w:autoSpaceDE w:val="0"/>
        <w:autoSpaceDN w:val="0"/>
        <w:spacing w:line="276" w:lineRule="auto"/>
        <w:ind w:firstLine="709"/>
        <w:jc w:val="both"/>
        <w:rPr>
          <w:rFonts w:ascii="Arial" w:eastAsia="Arial" w:hAnsi="Arial" w:cs="Arial"/>
          <w:sz w:val="22"/>
          <w:szCs w:val="22"/>
          <w:lang w:val="es-ES" w:eastAsia="en-US"/>
        </w:rPr>
      </w:pPr>
    </w:p>
    <w:p w14:paraId="4F6D6A5C" w14:textId="37E6EF9A" w:rsidR="00DC6AB9" w:rsidRDefault="001E5B84" w:rsidP="00CB776B">
      <w:pPr>
        <w:widowControl w:val="0"/>
        <w:autoSpaceDE w:val="0"/>
        <w:autoSpaceDN w:val="0"/>
        <w:spacing w:line="276" w:lineRule="auto"/>
        <w:ind w:firstLine="709"/>
        <w:jc w:val="both"/>
        <w:rPr>
          <w:rFonts w:ascii="Arial" w:eastAsia="Arial" w:hAnsi="Arial" w:cs="Arial"/>
          <w:sz w:val="22"/>
          <w:szCs w:val="22"/>
          <w:lang w:val="es-ES" w:eastAsia="en-US"/>
        </w:rPr>
      </w:pPr>
      <w:r>
        <w:rPr>
          <w:rFonts w:ascii="Arial" w:eastAsia="Arial" w:hAnsi="Arial" w:cs="Arial"/>
          <w:sz w:val="22"/>
          <w:szCs w:val="22"/>
          <w:lang w:val="es-ES" w:eastAsia="en-US"/>
        </w:rPr>
        <w:t xml:space="preserve">En este punto, es de vital importancia señalar que </w:t>
      </w:r>
      <w:r w:rsidRPr="001E5B84">
        <w:rPr>
          <w:rFonts w:ascii="Arial" w:eastAsia="Arial" w:hAnsi="Arial" w:cs="Arial"/>
          <w:sz w:val="22"/>
          <w:szCs w:val="22"/>
          <w:lang w:val="es-ES" w:eastAsia="en-US"/>
        </w:rPr>
        <w:t>los amparos de la póliza son i</w:t>
      </w:r>
      <w:r>
        <w:rPr>
          <w:rFonts w:ascii="Arial" w:eastAsia="Arial" w:hAnsi="Arial" w:cs="Arial"/>
          <w:sz w:val="22"/>
          <w:szCs w:val="22"/>
          <w:lang w:val="es-ES" w:eastAsia="en-US"/>
        </w:rPr>
        <w:t>ndependientes y autónomos en el r</w:t>
      </w:r>
      <w:r w:rsidRPr="001E5B84">
        <w:rPr>
          <w:rFonts w:ascii="Arial" w:eastAsia="Arial" w:hAnsi="Arial" w:cs="Arial"/>
          <w:sz w:val="22"/>
          <w:szCs w:val="22"/>
          <w:lang w:val="es-ES" w:eastAsia="en-US"/>
        </w:rPr>
        <w:t>iesgo que cubren y en el valor asegurado.</w:t>
      </w:r>
      <w:r w:rsidR="00542E67">
        <w:rPr>
          <w:rFonts w:ascii="Arial" w:eastAsia="Arial" w:hAnsi="Arial" w:cs="Arial"/>
          <w:sz w:val="22"/>
          <w:szCs w:val="22"/>
          <w:lang w:val="es-ES" w:eastAsia="en-US"/>
        </w:rPr>
        <w:t xml:space="preserve"> Esto significa</w:t>
      </w:r>
      <w:r w:rsidR="008100EC">
        <w:rPr>
          <w:rFonts w:ascii="Arial" w:eastAsia="Arial" w:hAnsi="Arial" w:cs="Arial"/>
          <w:sz w:val="22"/>
          <w:szCs w:val="22"/>
          <w:lang w:val="es-ES" w:eastAsia="en-US"/>
        </w:rPr>
        <w:t>,</w:t>
      </w:r>
      <w:r w:rsidR="00542E67">
        <w:rPr>
          <w:rFonts w:ascii="Arial" w:eastAsia="Arial" w:hAnsi="Arial" w:cs="Arial"/>
          <w:sz w:val="22"/>
          <w:szCs w:val="22"/>
          <w:lang w:val="es-ES" w:eastAsia="en-US"/>
        </w:rPr>
        <w:t xml:space="preserve"> </w:t>
      </w:r>
      <w:proofErr w:type="gramStart"/>
      <w:r w:rsidR="00542E67">
        <w:rPr>
          <w:rFonts w:ascii="Arial" w:eastAsia="Arial" w:hAnsi="Arial" w:cs="Arial"/>
          <w:sz w:val="22"/>
          <w:szCs w:val="22"/>
          <w:lang w:val="es-ES" w:eastAsia="en-US"/>
        </w:rPr>
        <w:t>que</w:t>
      </w:r>
      <w:proofErr w:type="gramEnd"/>
      <w:r w:rsidR="00542E67">
        <w:rPr>
          <w:rFonts w:ascii="Arial" w:eastAsia="Arial" w:hAnsi="Arial" w:cs="Arial"/>
          <w:sz w:val="22"/>
          <w:szCs w:val="22"/>
          <w:lang w:val="es-ES" w:eastAsia="en-US"/>
        </w:rPr>
        <w:t xml:space="preserve"> aunque se trate de una garantía única de cumplimiento, cada amparo tiene objetos de cobertura diferentes, que imponen</w:t>
      </w:r>
      <w:r w:rsidR="000D0CD9">
        <w:rPr>
          <w:rFonts w:ascii="Arial" w:eastAsia="Arial" w:hAnsi="Arial" w:cs="Arial"/>
          <w:sz w:val="22"/>
          <w:szCs w:val="22"/>
          <w:lang w:val="es-ES" w:eastAsia="en-US"/>
        </w:rPr>
        <w:t>,</w:t>
      </w:r>
      <w:r w:rsidR="008100EC">
        <w:rPr>
          <w:rFonts w:ascii="Arial" w:eastAsia="Arial" w:hAnsi="Arial" w:cs="Arial"/>
          <w:sz w:val="22"/>
          <w:szCs w:val="22"/>
          <w:lang w:val="es-ES" w:eastAsia="en-US"/>
        </w:rPr>
        <w:t xml:space="preserve"> para la declaratoria del siniestro,</w:t>
      </w:r>
      <w:r w:rsidR="00542E67">
        <w:rPr>
          <w:rFonts w:ascii="Arial" w:eastAsia="Arial" w:hAnsi="Arial" w:cs="Arial"/>
          <w:sz w:val="22"/>
          <w:szCs w:val="22"/>
          <w:lang w:val="es-ES" w:eastAsia="en-US"/>
        </w:rPr>
        <w:t xml:space="preserve"> la configuración de los supuestos del amparo afectado. </w:t>
      </w:r>
      <w:r>
        <w:rPr>
          <w:rFonts w:ascii="Arial" w:eastAsia="Arial" w:hAnsi="Arial" w:cs="Arial"/>
          <w:sz w:val="22"/>
          <w:szCs w:val="22"/>
          <w:lang w:val="es-ES" w:eastAsia="en-US"/>
        </w:rPr>
        <w:t>De esta manera,</w:t>
      </w:r>
      <w:r w:rsidR="00542E67" w:rsidRPr="00542E67">
        <w:t xml:space="preserve"> </w:t>
      </w:r>
      <w:r w:rsidR="00542E67" w:rsidRPr="00386009">
        <w:rPr>
          <w:rFonts w:ascii="Arial" w:eastAsia="Calibri" w:hAnsi="Arial" w:cs="Arial"/>
          <w:color w:val="000000" w:themeColor="text1"/>
          <w:sz w:val="22"/>
          <w:lang w:val="es-ES"/>
        </w:rPr>
        <w:t>«</w:t>
      </w:r>
      <w:r w:rsidR="00240136">
        <w:rPr>
          <w:rFonts w:ascii="Arial" w:eastAsia="Calibri" w:hAnsi="Arial" w:cs="Arial"/>
          <w:color w:val="000000" w:themeColor="text1"/>
          <w:sz w:val="22"/>
          <w:lang w:val="es-ES"/>
        </w:rPr>
        <w:t xml:space="preserve">[…] </w:t>
      </w:r>
      <w:r w:rsidR="00542E67">
        <w:rPr>
          <w:rFonts w:ascii="Arial" w:eastAsia="Arial" w:hAnsi="Arial" w:cs="Arial"/>
          <w:sz w:val="22"/>
          <w:szCs w:val="22"/>
          <w:lang w:val="es-ES" w:eastAsia="en-US"/>
        </w:rPr>
        <w:t>s</w:t>
      </w:r>
      <w:r w:rsidR="00542E67" w:rsidRPr="00542E67">
        <w:rPr>
          <w:rFonts w:ascii="Arial" w:eastAsia="Arial" w:hAnsi="Arial" w:cs="Arial"/>
          <w:sz w:val="22"/>
          <w:szCs w:val="22"/>
          <w:lang w:val="es-ES" w:eastAsia="en-US"/>
        </w:rPr>
        <w:t>e puede observar que la exigibilidad del amparo de manejo no siempre se presenta incorporada en el acto administrativo de declaratoria del incumplimiento del contrato estatal</w:t>
      </w:r>
      <w:r w:rsidR="000D0CD9">
        <w:rPr>
          <w:rFonts w:ascii="Arial" w:eastAsia="Calibri" w:hAnsi="Arial" w:cs="Arial"/>
          <w:color w:val="000000" w:themeColor="text1"/>
          <w:sz w:val="22"/>
          <w:szCs w:val="22"/>
          <w:lang w:val="es-ES_tradnl" w:eastAsia="en-US"/>
        </w:rPr>
        <w:t>»</w:t>
      </w:r>
      <w:r w:rsidR="00F95567">
        <w:rPr>
          <w:rStyle w:val="Refdenotaalpie"/>
          <w:rFonts w:ascii="Arial" w:eastAsia="Calibri" w:hAnsi="Arial" w:cs="Arial"/>
          <w:color w:val="000000" w:themeColor="text1"/>
          <w:sz w:val="22"/>
          <w:szCs w:val="22"/>
          <w:lang w:val="es-ES_tradnl" w:eastAsia="en-US"/>
        </w:rPr>
        <w:footnoteReference w:id="24"/>
      </w:r>
      <w:r w:rsidR="000D0CD9">
        <w:rPr>
          <w:rFonts w:ascii="Arial" w:eastAsia="Calibri" w:hAnsi="Arial" w:cs="Arial"/>
          <w:color w:val="000000" w:themeColor="text1"/>
          <w:sz w:val="22"/>
          <w:szCs w:val="22"/>
          <w:lang w:val="es-ES_tradnl" w:eastAsia="en-US"/>
        </w:rPr>
        <w:t xml:space="preserve">. </w:t>
      </w:r>
    </w:p>
    <w:p w14:paraId="33962317" w14:textId="5D48565E" w:rsidR="00DC6AB9" w:rsidRDefault="008100EC" w:rsidP="00C059D4">
      <w:pPr>
        <w:widowControl w:val="0"/>
        <w:autoSpaceDE w:val="0"/>
        <w:autoSpaceDN w:val="0"/>
        <w:spacing w:before="120" w:line="276" w:lineRule="auto"/>
        <w:ind w:firstLine="709"/>
        <w:jc w:val="both"/>
        <w:rPr>
          <w:rFonts w:ascii="Arial" w:eastAsia="Arial" w:hAnsi="Arial" w:cs="Arial"/>
          <w:sz w:val="22"/>
          <w:szCs w:val="22"/>
          <w:lang w:val="es-ES" w:eastAsia="en-US"/>
        </w:rPr>
      </w:pPr>
      <w:r>
        <w:rPr>
          <w:rFonts w:ascii="Arial" w:eastAsia="Arial" w:hAnsi="Arial" w:cs="Arial"/>
          <w:sz w:val="22"/>
          <w:szCs w:val="22"/>
          <w:lang w:val="es-ES" w:eastAsia="en-US"/>
        </w:rPr>
        <w:t xml:space="preserve">Dicho esto, en este segundo evento la entidad no podría acudir al procedimiento del artículo 86 de la Ley 1474 de 2011, pues esta actuación no ostenta una naturaleza sancionatoria. </w:t>
      </w:r>
      <w:r w:rsidR="00C20832">
        <w:rPr>
          <w:rFonts w:ascii="Arial" w:eastAsia="Arial" w:hAnsi="Arial" w:cs="Arial"/>
          <w:sz w:val="22"/>
          <w:szCs w:val="22"/>
          <w:lang w:val="es-ES" w:eastAsia="en-US"/>
        </w:rPr>
        <w:t xml:space="preserve">Bajo esta premisa, </w:t>
      </w:r>
      <w:r>
        <w:rPr>
          <w:rFonts w:ascii="Arial" w:eastAsia="Arial" w:hAnsi="Arial" w:cs="Arial"/>
          <w:sz w:val="22"/>
          <w:szCs w:val="22"/>
          <w:lang w:val="es-ES" w:eastAsia="en-US"/>
        </w:rPr>
        <w:t>haciendo una abstracci</w:t>
      </w:r>
      <w:r w:rsidR="00C20832">
        <w:rPr>
          <w:rFonts w:ascii="Arial" w:eastAsia="Arial" w:hAnsi="Arial" w:cs="Arial"/>
          <w:sz w:val="22"/>
          <w:szCs w:val="22"/>
          <w:lang w:val="es-ES" w:eastAsia="en-US"/>
        </w:rPr>
        <w:t xml:space="preserve">ón de lo expuesto sobre el </w:t>
      </w:r>
      <w:r>
        <w:rPr>
          <w:rFonts w:ascii="Arial" w:eastAsia="Arial" w:hAnsi="Arial" w:cs="Arial"/>
          <w:sz w:val="22"/>
          <w:szCs w:val="22"/>
          <w:lang w:val="es-ES" w:eastAsia="en-US"/>
        </w:rPr>
        <w:t xml:space="preserve">amparo de estabilidad y calidad de la obra, </w:t>
      </w:r>
      <w:r w:rsidRPr="000C7211">
        <w:rPr>
          <w:rFonts w:ascii="Arial" w:eastAsia="Calibri" w:hAnsi="Arial" w:cs="Arial"/>
          <w:color w:val="000000" w:themeColor="text1"/>
          <w:sz w:val="22"/>
          <w:szCs w:val="22"/>
          <w:lang w:val="es-ES_tradnl" w:eastAsia="en-US"/>
        </w:rPr>
        <w:t xml:space="preserve">la Subdirección de Gestión Contractual considera que </w:t>
      </w:r>
      <w:r>
        <w:rPr>
          <w:rFonts w:ascii="Arial" w:eastAsia="Calibri" w:hAnsi="Arial" w:cs="Arial"/>
          <w:color w:val="000000" w:themeColor="text1"/>
          <w:sz w:val="22"/>
          <w:szCs w:val="22"/>
          <w:lang w:val="es-ES_tradnl" w:eastAsia="en-US"/>
        </w:rPr>
        <w:t>cuando únicamente se realizará</w:t>
      </w:r>
      <w:r w:rsidRPr="000C7211">
        <w:rPr>
          <w:rFonts w:ascii="Arial" w:eastAsia="Calibri" w:hAnsi="Arial" w:cs="Arial"/>
          <w:color w:val="000000" w:themeColor="text1"/>
          <w:sz w:val="22"/>
          <w:szCs w:val="22"/>
          <w:lang w:val="es-ES_tradnl" w:eastAsia="en-US"/>
        </w:rPr>
        <w:t xml:space="preserve"> l</w:t>
      </w:r>
      <w:r>
        <w:rPr>
          <w:rFonts w:ascii="Arial" w:eastAsia="Calibri" w:hAnsi="Arial" w:cs="Arial"/>
          <w:color w:val="000000" w:themeColor="text1"/>
          <w:sz w:val="22"/>
          <w:szCs w:val="22"/>
          <w:lang w:val="es-ES_tradnl" w:eastAsia="en-US"/>
        </w:rPr>
        <w:t>a declaratoria del siniestro del amparo del buen manejo y correcta inversión del anticipo,</w:t>
      </w:r>
      <w:r w:rsidR="00C20832">
        <w:rPr>
          <w:rFonts w:ascii="Arial" w:eastAsia="Calibri" w:hAnsi="Arial" w:cs="Arial"/>
          <w:color w:val="000000" w:themeColor="text1"/>
          <w:sz w:val="22"/>
          <w:szCs w:val="22"/>
          <w:lang w:val="es-ES_tradnl" w:eastAsia="en-US"/>
        </w:rPr>
        <w:t xml:space="preserve"> sin declaratoria de incumplimiento, la actuación</w:t>
      </w:r>
      <w:r>
        <w:rPr>
          <w:rFonts w:ascii="Arial" w:eastAsia="Calibri" w:hAnsi="Arial" w:cs="Arial"/>
          <w:color w:val="000000" w:themeColor="text1"/>
          <w:sz w:val="22"/>
          <w:szCs w:val="22"/>
          <w:lang w:val="es-ES_tradnl" w:eastAsia="en-US"/>
        </w:rPr>
        <w:t xml:space="preserve"> se</w:t>
      </w:r>
      <w:r w:rsidRPr="000C7211">
        <w:rPr>
          <w:rFonts w:ascii="Arial" w:eastAsia="Calibri" w:hAnsi="Arial" w:cs="Arial"/>
          <w:color w:val="000000" w:themeColor="text1"/>
          <w:sz w:val="22"/>
          <w:szCs w:val="22"/>
          <w:lang w:val="es-ES_tradnl" w:eastAsia="en-US"/>
        </w:rPr>
        <w:t xml:space="preserve"> rige por el procedimiento administrativo general dispuesto en los artículos 34 y siguientes de la Ley 1437 de 2011.</w:t>
      </w:r>
    </w:p>
    <w:p w14:paraId="70B08FAE" w14:textId="1915A9F4" w:rsidR="00C059D4" w:rsidRDefault="00C20832" w:rsidP="00C059D4">
      <w:pPr>
        <w:widowControl w:val="0"/>
        <w:autoSpaceDE w:val="0"/>
        <w:autoSpaceDN w:val="0"/>
        <w:spacing w:before="120" w:line="276" w:lineRule="auto"/>
        <w:ind w:firstLine="709"/>
        <w:jc w:val="both"/>
        <w:rPr>
          <w:rFonts w:ascii="Arial" w:eastAsia="Arial" w:hAnsi="Arial" w:cs="Arial"/>
          <w:sz w:val="22"/>
          <w:szCs w:val="22"/>
          <w:lang w:val="es-ES" w:eastAsia="en-US"/>
        </w:rPr>
      </w:pPr>
      <w:r>
        <w:rPr>
          <w:rFonts w:ascii="Arial" w:eastAsia="Arial" w:hAnsi="Arial" w:cs="Arial"/>
          <w:sz w:val="22"/>
          <w:szCs w:val="22"/>
          <w:lang w:val="es-ES" w:eastAsia="en-US"/>
        </w:rPr>
        <w:t xml:space="preserve">En consecuencia, </w:t>
      </w:r>
      <w:r w:rsidR="00C059D4" w:rsidRPr="00EC6D8D">
        <w:rPr>
          <w:rFonts w:ascii="Arial" w:eastAsia="Arial" w:hAnsi="Arial" w:cs="Arial"/>
          <w:sz w:val="22"/>
          <w:szCs w:val="22"/>
          <w:lang w:val="es-ES" w:eastAsia="en-US"/>
        </w:rPr>
        <w:t>se podr</w:t>
      </w:r>
      <w:r w:rsidR="00F95075">
        <w:rPr>
          <w:rFonts w:ascii="Arial" w:eastAsia="Arial" w:hAnsi="Arial" w:cs="Arial"/>
          <w:sz w:val="22"/>
          <w:szCs w:val="22"/>
          <w:lang w:val="es-ES" w:eastAsia="en-US"/>
        </w:rPr>
        <w:t>á declarar el siniestro del amparo</w:t>
      </w:r>
      <w:r w:rsidR="00C059D4" w:rsidRPr="00EC6D8D">
        <w:rPr>
          <w:rFonts w:ascii="Arial" w:eastAsia="Arial" w:hAnsi="Arial" w:cs="Arial"/>
          <w:sz w:val="22"/>
          <w:szCs w:val="22"/>
          <w:lang w:val="es-ES" w:eastAsia="en-US"/>
        </w:rPr>
        <w:t xml:space="preserve"> de</w:t>
      </w:r>
      <w:r w:rsidR="00F95075">
        <w:rPr>
          <w:rFonts w:ascii="Arial" w:eastAsia="Arial" w:hAnsi="Arial" w:cs="Arial"/>
          <w:sz w:val="22"/>
          <w:szCs w:val="22"/>
          <w:lang w:val="es-ES" w:eastAsia="en-US"/>
        </w:rPr>
        <w:t>l</w:t>
      </w:r>
      <w:r w:rsidR="00C059D4" w:rsidRPr="00EC6D8D">
        <w:rPr>
          <w:rFonts w:ascii="Arial" w:eastAsia="Arial" w:hAnsi="Arial" w:cs="Arial"/>
          <w:sz w:val="22"/>
          <w:szCs w:val="22"/>
          <w:lang w:val="es-ES" w:eastAsia="en-US"/>
        </w:rPr>
        <w:t xml:space="preserve"> buen manejo y correcta inversión del anticipo mediante acto administrativo motivado, </w:t>
      </w:r>
      <w:r>
        <w:rPr>
          <w:rFonts w:ascii="Arial" w:eastAsia="Arial" w:hAnsi="Arial" w:cs="Arial"/>
          <w:sz w:val="22"/>
          <w:szCs w:val="22"/>
          <w:lang w:val="es-ES" w:eastAsia="en-US"/>
        </w:rPr>
        <w:t xml:space="preserve">previo agotamiento del procedimiento administrativo descrito, en el cual se incluyan los </w:t>
      </w:r>
      <w:r w:rsidR="00C059D4" w:rsidRPr="00EC6D8D">
        <w:rPr>
          <w:rFonts w:ascii="Arial" w:eastAsia="Arial" w:hAnsi="Arial" w:cs="Arial"/>
          <w:sz w:val="22"/>
          <w:szCs w:val="22"/>
          <w:lang w:val="es-ES" w:eastAsia="en-US"/>
        </w:rPr>
        <w:t>fundamentos facticos y probatorios de</w:t>
      </w:r>
      <w:r>
        <w:rPr>
          <w:rFonts w:ascii="Arial" w:eastAsia="Arial" w:hAnsi="Arial" w:cs="Arial"/>
          <w:sz w:val="22"/>
          <w:szCs w:val="22"/>
          <w:lang w:val="es-ES" w:eastAsia="en-US"/>
        </w:rPr>
        <w:t xml:space="preserve"> la ocurrencia del siniestro, así como la cuantía que reclama la entidad a t</w:t>
      </w:r>
      <w:r w:rsidR="00F95075">
        <w:rPr>
          <w:rFonts w:ascii="Arial" w:eastAsia="Arial" w:hAnsi="Arial" w:cs="Arial"/>
          <w:sz w:val="22"/>
          <w:szCs w:val="22"/>
          <w:lang w:val="es-ES" w:eastAsia="en-US"/>
        </w:rPr>
        <w:t xml:space="preserve">ítulo de perjuicios, con fundamento en los establecido en el artículo 1077 del </w:t>
      </w:r>
      <w:r w:rsidR="007E16A4">
        <w:rPr>
          <w:rFonts w:ascii="Arial" w:eastAsia="Arial" w:hAnsi="Arial" w:cs="Arial"/>
          <w:sz w:val="22"/>
          <w:szCs w:val="22"/>
          <w:lang w:val="es-ES" w:eastAsia="en-US"/>
        </w:rPr>
        <w:t xml:space="preserve">Código de </w:t>
      </w:r>
      <w:r w:rsidR="00F95075">
        <w:rPr>
          <w:rFonts w:ascii="Arial" w:eastAsia="Arial" w:hAnsi="Arial" w:cs="Arial"/>
          <w:sz w:val="22"/>
          <w:szCs w:val="22"/>
          <w:lang w:val="es-ES" w:eastAsia="en-US"/>
        </w:rPr>
        <w:t>Co</w:t>
      </w:r>
      <w:r w:rsidR="007E16A4">
        <w:rPr>
          <w:rFonts w:ascii="Arial" w:eastAsia="Arial" w:hAnsi="Arial" w:cs="Arial"/>
          <w:sz w:val="22"/>
          <w:szCs w:val="22"/>
          <w:lang w:val="es-ES" w:eastAsia="en-US"/>
        </w:rPr>
        <w:t>mercio</w:t>
      </w:r>
      <w:r w:rsidR="00F95075">
        <w:rPr>
          <w:rFonts w:ascii="Arial" w:eastAsia="Arial" w:hAnsi="Arial" w:cs="Arial"/>
          <w:sz w:val="22"/>
          <w:szCs w:val="22"/>
          <w:lang w:val="es-ES" w:eastAsia="en-US"/>
        </w:rPr>
        <w:t xml:space="preserve">. </w:t>
      </w:r>
    </w:p>
    <w:bookmarkEnd w:id="20"/>
    <w:p w14:paraId="3B4B5DF5" w14:textId="77777777" w:rsidR="00747529" w:rsidRPr="00DB3165" w:rsidRDefault="00747529" w:rsidP="007B18FD">
      <w:pPr>
        <w:spacing w:line="276" w:lineRule="auto"/>
        <w:ind w:firstLine="709"/>
        <w:jc w:val="both"/>
        <w:rPr>
          <w:rFonts w:ascii="Arial" w:hAnsi="Arial" w:cs="Arial"/>
          <w:color w:val="000000" w:themeColor="text1"/>
          <w:sz w:val="22"/>
        </w:rPr>
      </w:pPr>
    </w:p>
    <w:p w14:paraId="37CA9805" w14:textId="0F621D86" w:rsidR="00DD5B04" w:rsidRDefault="004177A6" w:rsidP="00510DE9">
      <w:pPr>
        <w:tabs>
          <w:tab w:val="left" w:pos="0"/>
        </w:tabs>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3</w:t>
      </w:r>
      <w:r w:rsidR="00B011A9" w:rsidRPr="00E23980">
        <w:rPr>
          <w:rFonts w:ascii="Arial" w:eastAsia="Calibri" w:hAnsi="Arial" w:cs="Arial"/>
          <w:b/>
          <w:color w:val="000000" w:themeColor="text1"/>
          <w:sz w:val="22"/>
          <w:lang w:val="es-ES_tradnl"/>
        </w:rPr>
        <w:t xml:space="preserve">. </w:t>
      </w:r>
      <w:r w:rsidR="00DD5B04" w:rsidRPr="00E23980">
        <w:rPr>
          <w:rFonts w:ascii="Arial" w:eastAsia="Calibri" w:hAnsi="Arial" w:cs="Arial"/>
          <w:b/>
          <w:color w:val="000000" w:themeColor="text1"/>
          <w:sz w:val="22"/>
          <w:lang w:val="es-ES_tradnl"/>
        </w:rPr>
        <w:t>Respuesta</w:t>
      </w:r>
    </w:p>
    <w:p w14:paraId="1E048026" w14:textId="77777777" w:rsidR="00F95075" w:rsidRDefault="00F95075" w:rsidP="00CB776B">
      <w:pPr>
        <w:tabs>
          <w:tab w:val="left" w:pos="0"/>
        </w:tabs>
        <w:spacing w:line="276" w:lineRule="auto"/>
        <w:jc w:val="both"/>
        <w:rPr>
          <w:rFonts w:ascii="Arial" w:eastAsia="Calibri" w:hAnsi="Arial" w:cs="Arial"/>
          <w:b/>
          <w:color w:val="000000" w:themeColor="text1"/>
          <w:sz w:val="22"/>
          <w:lang w:val="es-ES_tradnl"/>
        </w:rPr>
      </w:pPr>
    </w:p>
    <w:p w14:paraId="202F366F" w14:textId="77777777" w:rsidR="00AC3D29" w:rsidRDefault="007249B0" w:rsidP="007249B0">
      <w:pPr>
        <w:spacing w:after="120"/>
        <w:ind w:left="709" w:right="709"/>
        <w:jc w:val="both"/>
        <w:rPr>
          <w:rFonts w:ascii="Arial" w:hAnsi="Arial" w:cs="Arial"/>
          <w:color w:val="000000" w:themeColor="text1"/>
          <w:sz w:val="21"/>
          <w:szCs w:val="21"/>
          <w:lang w:val="es-ES_tradnl"/>
        </w:rPr>
      </w:pPr>
      <w:r w:rsidRPr="007249B0">
        <w:rPr>
          <w:rFonts w:ascii="Arial" w:hAnsi="Arial" w:cs="Arial"/>
          <w:color w:val="000000" w:themeColor="text1"/>
          <w:sz w:val="21"/>
          <w:szCs w:val="21"/>
          <w:lang w:val="es-ES_tradnl"/>
        </w:rPr>
        <w:t>Respecto al siniestro del amparo de seriedad de la oferta, de buen manejo y correcta inversión del anticipo, así como el de estabilidad y calidad de la obra</w:t>
      </w:r>
      <w:r w:rsidR="00AC3D29">
        <w:rPr>
          <w:rFonts w:ascii="Arial" w:hAnsi="Arial" w:cs="Arial"/>
          <w:color w:val="000000" w:themeColor="text1"/>
          <w:sz w:val="21"/>
          <w:szCs w:val="21"/>
          <w:lang w:val="es-ES_tradnl"/>
        </w:rPr>
        <w:t>:</w:t>
      </w:r>
    </w:p>
    <w:p w14:paraId="676FF8C5" w14:textId="4E480269" w:rsidR="007249B0" w:rsidRDefault="007249B0" w:rsidP="00CB776B">
      <w:pPr>
        <w:spacing w:after="120"/>
        <w:ind w:left="709" w:right="709"/>
        <w:jc w:val="both"/>
        <w:rPr>
          <w:rFonts w:ascii="Arial" w:hAnsi="Arial" w:cs="Arial"/>
          <w:color w:val="000000" w:themeColor="text1"/>
          <w:sz w:val="21"/>
          <w:szCs w:val="21"/>
          <w:lang w:val="es-ES_tradnl"/>
        </w:rPr>
      </w:pPr>
      <w:r w:rsidRPr="007249B0">
        <w:rPr>
          <w:rFonts w:ascii="Arial" w:hAnsi="Arial" w:cs="Arial"/>
          <w:color w:val="000000" w:themeColor="text1"/>
          <w:sz w:val="21"/>
          <w:szCs w:val="21"/>
          <w:lang w:val="es-ES_tradnl"/>
        </w:rPr>
        <w:t>i) «¿Qué procedimiento debe adelantar las entidades estatales, el procedimiento administrativo sancionatorio previsto en la Ley 1437 de 2011, el procedimiento del artículo 86 de la Ley 1474 de 2011 o el procedimiento administrativo general de la Ley 1437 de 2011?»</w:t>
      </w:r>
      <w:r>
        <w:rPr>
          <w:rFonts w:ascii="Arial" w:hAnsi="Arial" w:cs="Arial"/>
          <w:color w:val="000000" w:themeColor="text1"/>
          <w:sz w:val="21"/>
          <w:szCs w:val="21"/>
          <w:lang w:val="es-ES_tradnl"/>
        </w:rPr>
        <w:t>.</w:t>
      </w:r>
    </w:p>
    <w:p w14:paraId="7E0EEA86" w14:textId="68CA20A5" w:rsidR="00F95075" w:rsidRPr="00F95075" w:rsidRDefault="007249B0" w:rsidP="00F95075">
      <w:pPr>
        <w:ind w:left="709" w:right="709"/>
        <w:jc w:val="both"/>
        <w:rPr>
          <w:rFonts w:ascii="Arial" w:hAnsi="Arial" w:cs="Arial"/>
          <w:color w:val="000000" w:themeColor="text1"/>
          <w:sz w:val="21"/>
          <w:szCs w:val="21"/>
        </w:rPr>
      </w:pPr>
      <w:proofErr w:type="spellStart"/>
      <w:r w:rsidRPr="007249B0">
        <w:rPr>
          <w:rFonts w:ascii="Arial" w:hAnsi="Arial" w:cs="Arial"/>
          <w:color w:val="000000" w:themeColor="text1"/>
          <w:sz w:val="21"/>
          <w:szCs w:val="21"/>
          <w:lang w:val="es-ES_tradnl"/>
        </w:rPr>
        <w:t>ii</w:t>
      </w:r>
      <w:proofErr w:type="spellEnd"/>
      <w:r w:rsidRPr="007249B0">
        <w:rPr>
          <w:rFonts w:ascii="Arial" w:hAnsi="Arial" w:cs="Arial"/>
          <w:color w:val="000000" w:themeColor="text1"/>
          <w:sz w:val="21"/>
          <w:szCs w:val="21"/>
          <w:lang w:val="es-ES_tradnl"/>
        </w:rPr>
        <w:t xml:space="preserve">) «¿[pueden] cuantificar los perjuicios </w:t>
      </w:r>
      <w:proofErr w:type="gramStart"/>
      <w:r w:rsidRPr="007249B0">
        <w:rPr>
          <w:rFonts w:ascii="Arial" w:hAnsi="Arial" w:cs="Arial"/>
          <w:color w:val="000000" w:themeColor="text1"/>
          <w:sz w:val="21"/>
          <w:szCs w:val="21"/>
          <w:lang w:val="es-ES_tradnl"/>
        </w:rPr>
        <w:t>del mismo</w:t>
      </w:r>
      <w:proofErr w:type="gramEnd"/>
      <w:r w:rsidRPr="007249B0">
        <w:rPr>
          <w:rFonts w:ascii="Arial" w:hAnsi="Arial" w:cs="Arial"/>
          <w:color w:val="000000" w:themeColor="text1"/>
          <w:sz w:val="21"/>
          <w:szCs w:val="21"/>
          <w:lang w:val="es-ES_tradnl"/>
        </w:rPr>
        <w:t xml:space="preserve">?» (corchetes fuera de texto). </w:t>
      </w:r>
    </w:p>
    <w:p w14:paraId="3540AE33" w14:textId="77777777" w:rsidR="004A2069" w:rsidRPr="00CB776B" w:rsidRDefault="004A2069" w:rsidP="00CB776B">
      <w:pPr>
        <w:spacing w:line="276" w:lineRule="auto"/>
        <w:ind w:right="709"/>
        <w:jc w:val="both"/>
        <w:rPr>
          <w:rFonts w:ascii="Arial" w:hAnsi="Arial" w:cs="Arial"/>
          <w:sz w:val="22"/>
          <w:szCs w:val="22"/>
        </w:rPr>
      </w:pPr>
    </w:p>
    <w:p w14:paraId="339A12C8" w14:textId="3E7EA049" w:rsidR="00F95075" w:rsidRPr="00F95075" w:rsidRDefault="00F95075" w:rsidP="00CB776B">
      <w:pPr>
        <w:spacing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De conformidad con e</w:t>
      </w:r>
      <w:r w:rsidRPr="00386009">
        <w:rPr>
          <w:rFonts w:ascii="Arial" w:eastAsia="Calibri" w:hAnsi="Arial" w:cs="Arial"/>
          <w:color w:val="000000" w:themeColor="text1"/>
          <w:sz w:val="22"/>
          <w:lang w:val="es-ES"/>
        </w:rPr>
        <w:t xml:space="preserve">l artículo 2.2.1.2.3.1.6 del Decreto 1082 de 2015, </w:t>
      </w:r>
      <w:r>
        <w:rPr>
          <w:rFonts w:ascii="Arial" w:eastAsia="Calibri" w:hAnsi="Arial" w:cs="Arial"/>
          <w:color w:val="000000" w:themeColor="text1"/>
          <w:sz w:val="22"/>
          <w:lang w:val="es-ES"/>
        </w:rPr>
        <w:t xml:space="preserve">la </w:t>
      </w:r>
      <w:r w:rsidRPr="00CB776B">
        <w:rPr>
          <w:rFonts w:ascii="Arial" w:eastAsia="Calibri" w:hAnsi="Arial" w:cs="Arial"/>
          <w:i/>
          <w:iCs/>
          <w:color w:val="000000" w:themeColor="text1"/>
          <w:sz w:val="22"/>
          <w:lang w:val="es-ES"/>
        </w:rPr>
        <w:t>garantía de seriedad de la oferta</w:t>
      </w:r>
      <w:r>
        <w:rPr>
          <w:rFonts w:ascii="Arial" w:eastAsia="Calibri" w:hAnsi="Arial" w:cs="Arial"/>
          <w:color w:val="000000" w:themeColor="text1"/>
          <w:sz w:val="22"/>
          <w:lang w:val="es-ES"/>
        </w:rPr>
        <w:t xml:space="preserve"> </w:t>
      </w:r>
      <w:r w:rsidRPr="00386009">
        <w:rPr>
          <w:rFonts w:ascii="Arial" w:eastAsia="Calibri" w:hAnsi="Arial" w:cs="Arial"/>
          <w:color w:val="000000" w:themeColor="text1"/>
          <w:sz w:val="22"/>
          <w:lang w:val="es-ES"/>
        </w:rPr>
        <w:t>cubre la sanción derivada del incumplimiento de la propuesta</w:t>
      </w:r>
      <w:r>
        <w:rPr>
          <w:rFonts w:ascii="Arial" w:eastAsia="Calibri" w:hAnsi="Arial" w:cs="Arial"/>
          <w:color w:val="000000" w:themeColor="text1"/>
          <w:sz w:val="22"/>
          <w:lang w:val="es-ES"/>
        </w:rPr>
        <w:t>,</w:t>
      </w:r>
      <w:r w:rsidRPr="00386009">
        <w:rPr>
          <w:rFonts w:ascii="Arial" w:eastAsia="Calibri" w:hAnsi="Arial" w:cs="Arial"/>
          <w:color w:val="000000" w:themeColor="text1"/>
          <w:sz w:val="22"/>
          <w:lang w:val="es-ES"/>
        </w:rPr>
        <w:t xml:space="preserve"> en los siguientes eventos:</w:t>
      </w:r>
      <w:r>
        <w:rPr>
          <w:rFonts w:ascii="Arial" w:eastAsia="Calibri" w:hAnsi="Arial" w:cs="Arial"/>
          <w:color w:val="000000" w:themeColor="text1"/>
          <w:sz w:val="21"/>
          <w:szCs w:val="21"/>
          <w:lang w:val="es-ES"/>
        </w:rPr>
        <w:t xml:space="preserve"> i) l</w:t>
      </w:r>
      <w:r w:rsidRPr="00386009">
        <w:rPr>
          <w:rFonts w:ascii="Arial" w:eastAsia="Calibri" w:hAnsi="Arial" w:cs="Arial"/>
          <w:color w:val="000000" w:themeColor="text1"/>
          <w:sz w:val="21"/>
          <w:szCs w:val="21"/>
          <w:lang w:val="es-ES"/>
        </w:rPr>
        <w:t>a no ampliación de la vigencia de la garantía de seriedad de la oferta cuando el plazo para la adjudicación o para suscribir el contrato es prorrogado, siempre que tal prórrog</w:t>
      </w:r>
      <w:r>
        <w:rPr>
          <w:rFonts w:ascii="Arial" w:eastAsia="Calibri" w:hAnsi="Arial" w:cs="Arial"/>
          <w:color w:val="000000" w:themeColor="text1"/>
          <w:sz w:val="21"/>
          <w:szCs w:val="21"/>
          <w:lang w:val="es-ES"/>
        </w:rPr>
        <w:t xml:space="preserve">a sea inferior a tres (3) meses; </w:t>
      </w:r>
      <w:proofErr w:type="spellStart"/>
      <w:r>
        <w:rPr>
          <w:rFonts w:ascii="Arial" w:eastAsia="Calibri" w:hAnsi="Arial" w:cs="Arial"/>
          <w:color w:val="000000" w:themeColor="text1"/>
          <w:sz w:val="21"/>
          <w:szCs w:val="21"/>
          <w:lang w:val="es-ES"/>
        </w:rPr>
        <w:t>ii</w:t>
      </w:r>
      <w:proofErr w:type="spellEnd"/>
      <w:r>
        <w:rPr>
          <w:rFonts w:ascii="Arial" w:eastAsia="Calibri" w:hAnsi="Arial" w:cs="Arial"/>
          <w:color w:val="000000" w:themeColor="text1"/>
          <w:sz w:val="21"/>
          <w:szCs w:val="21"/>
          <w:lang w:val="es-ES"/>
        </w:rPr>
        <w:t>) e</w:t>
      </w:r>
      <w:r w:rsidRPr="00386009">
        <w:rPr>
          <w:rFonts w:ascii="Arial" w:eastAsia="Calibri" w:hAnsi="Arial" w:cs="Arial"/>
          <w:color w:val="000000" w:themeColor="text1"/>
          <w:sz w:val="21"/>
          <w:szCs w:val="21"/>
          <w:lang w:val="es-ES"/>
        </w:rPr>
        <w:t>l retiro de la oferta después de vencido el plazo fijado para</w:t>
      </w:r>
      <w:r>
        <w:rPr>
          <w:rFonts w:ascii="Arial" w:eastAsia="Calibri" w:hAnsi="Arial" w:cs="Arial"/>
          <w:color w:val="000000" w:themeColor="text1"/>
          <w:sz w:val="21"/>
          <w:szCs w:val="21"/>
          <w:lang w:val="es-ES"/>
        </w:rPr>
        <w:t xml:space="preserve"> la presentación de las ofertas; </w:t>
      </w:r>
      <w:proofErr w:type="spellStart"/>
      <w:r>
        <w:rPr>
          <w:rFonts w:ascii="Arial" w:eastAsia="Calibri" w:hAnsi="Arial" w:cs="Arial"/>
          <w:color w:val="000000" w:themeColor="text1"/>
          <w:sz w:val="21"/>
          <w:szCs w:val="21"/>
          <w:lang w:val="es-ES"/>
        </w:rPr>
        <w:t>iii</w:t>
      </w:r>
      <w:proofErr w:type="spellEnd"/>
      <w:r>
        <w:rPr>
          <w:rFonts w:ascii="Arial" w:eastAsia="Calibri" w:hAnsi="Arial" w:cs="Arial"/>
          <w:color w:val="000000" w:themeColor="text1"/>
          <w:sz w:val="21"/>
          <w:szCs w:val="21"/>
          <w:lang w:val="es-ES"/>
        </w:rPr>
        <w:t>) l</w:t>
      </w:r>
      <w:r w:rsidRPr="00386009">
        <w:rPr>
          <w:rFonts w:ascii="Arial" w:eastAsia="Calibri" w:hAnsi="Arial" w:cs="Arial"/>
          <w:color w:val="000000" w:themeColor="text1"/>
          <w:sz w:val="21"/>
          <w:szCs w:val="21"/>
          <w:lang w:val="es-ES"/>
        </w:rPr>
        <w:t>a no suscripción del contrato sin justa ca</w:t>
      </w:r>
      <w:r>
        <w:rPr>
          <w:rFonts w:ascii="Arial" w:eastAsia="Calibri" w:hAnsi="Arial" w:cs="Arial"/>
          <w:color w:val="000000" w:themeColor="text1"/>
          <w:sz w:val="21"/>
          <w:szCs w:val="21"/>
          <w:lang w:val="es-ES"/>
        </w:rPr>
        <w:t xml:space="preserve">usa por parte del adjudicatario y </w:t>
      </w:r>
      <w:proofErr w:type="spellStart"/>
      <w:r>
        <w:rPr>
          <w:rFonts w:ascii="Arial" w:eastAsia="Calibri" w:hAnsi="Arial" w:cs="Arial"/>
          <w:color w:val="000000" w:themeColor="text1"/>
          <w:sz w:val="21"/>
          <w:szCs w:val="21"/>
          <w:lang w:val="es-ES"/>
        </w:rPr>
        <w:t>iv</w:t>
      </w:r>
      <w:proofErr w:type="spellEnd"/>
      <w:r>
        <w:rPr>
          <w:rFonts w:ascii="Arial" w:eastAsia="Calibri" w:hAnsi="Arial" w:cs="Arial"/>
          <w:color w:val="000000" w:themeColor="text1"/>
          <w:sz w:val="21"/>
          <w:szCs w:val="21"/>
          <w:lang w:val="es-ES"/>
        </w:rPr>
        <w:t>) l</w:t>
      </w:r>
      <w:r w:rsidRPr="00386009">
        <w:rPr>
          <w:rFonts w:ascii="Arial" w:eastAsia="Calibri" w:hAnsi="Arial" w:cs="Arial"/>
          <w:color w:val="000000" w:themeColor="text1"/>
          <w:sz w:val="21"/>
          <w:szCs w:val="21"/>
          <w:lang w:val="es-ES"/>
        </w:rPr>
        <w:t>a falta de otorgamiento por parte del proponente seleccionado de la garantí</w:t>
      </w:r>
      <w:r>
        <w:rPr>
          <w:rFonts w:ascii="Arial" w:eastAsia="Calibri" w:hAnsi="Arial" w:cs="Arial"/>
          <w:color w:val="000000" w:themeColor="text1"/>
          <w:sz w:val="21"/>
          <w:szCs w:val="21"/>
          <w:lang w:val="es-ES"/>
        </w:rPr>
        <w:t>a de cumplimiento del contrato.</w:t>
      </w:r>
    </w:p>
    <w:p w14:paraId="0F6C8F26" w14:textId="2BA8B932" w:rsidR="007249B0" w:rsidRDefault="00F95075" w:rsidP="007249B0">
      <w:pPr>
        <w:tabs>
          <w:tab w:val="left" w:pos="709"/>
        </w:tabs>
        <w:spacing w:before="120" w:line="276" w:lineRule="auto"/>
        <w:ind w:firstLine="567"/>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 El procedimiento aplicable para hacer efectiva y declarar el siniestro de la garantía de seriedad de la oferta dependerá del riesgo que se concrete</w:t>
      </w:r>
      <w:r w:rsidR="007249B0">
        <w:rPr>
          <w:rFonts w:ascii="Arial" w:eastAsia="Calibri" w:hAnsi="Arial" w:cs="Arial"/>
          <w:color w:val="000000" w:themeColor="text1"/>
          <w:sz w:val="22"/>
          <w:lang w:val="es-ES"/>
        </w:rPr>
        <w:t>,</w:t>
      </w:r>
      <w:r>
        <w:rPr>
          <w:rFonts w:ascii="Arial" w:eastAsia="Calibri" w:hAnsi="Arial" w:cs="Arial"/>
          <w:color w:val="000000" w:themeColor="text1"/>
          <w:sz w:val="22"/>
          <w:lang w:val="es-ES"/>
        </w:rPr>
        <w:t xml:space="preserve"> y</w:t>
      </w:r>
      <w:r w:rsidR="007249B0">
        <w:rPr>
          <w:rFonts w:ascii="Arial" w:eastAsia="Calibri" w:hAnsi="Arial" w:cs="Arial"/>
          <w:color w:val="000000" w:themeColor="text1"/>
          <w:sz w:val="22"/>
          <w:lang w:val="es-ES"/>
        </w:rPr>
        <w:t xml:space="preserve"> en todo caso</w:t>
      </w:r>
      <w:r>
        <w:rPr>
          <w:rFonts w:ascii="Arial" w:eastAsia="Calibri" w:hAnsi="Arial" w:cs="Arial"/>
          <w:color w:val="000000" w:themeColor="text1"/>
          <w:sz w:val="22"/>
          <w:lang w:val="es-ES"/>
        </w:rPr>
        <w:t xml:space="preserve"> deberá respetarse el debido proceso. En este sentido, si se trata de los eventos </w:t>
      </w:r>
      <w:r w:rsidR="007249B0">
        <w:rPr>
          <w:rFonts w:ascii="Arial" w:eastAsia="Calibri" w:hAnsi="Arial" w:cs="Arial"/>
          <w:color w:val="000000" w:themeColor="text1"/>
          <w:sz w:val="22"/>
          <w:lang w:val="es-ES"/>
        </w:rPr>
        <w:t>previstos</w:t>
      </w:r>
      <w:r>
        <w:rPr>
          <w:rFonts w:ascii="Arial" w:eastAsia="Calibri" w:hAnsi="Arial" w:cs="Arial"/>
          <w:color w:val="000000" w:themeColor="text1"/>
          <w:sz w:val="22"/>
          <w:lang w:val="es-ES"/>
        </w:rPr>
        <w:t xml:space="preserve"> en los numerales </w:t>
      </w:r>
      <w:r>
        <w:rPr>
          <w:rFonts w:ascii="Arial" w:eastAsia="Calibri" w:hAnsi="Arial" w:cs="Arial"/>
          <w:sz w:val="22"/>
          <w:lang w:val="es-ES_tradnl"/>
        </w:rPr>
        <w:t xml:space="preserve">1, </w:t>
      </w:r>
      <w:r w:rsidRPr="00A677F6">
        <w:rPr>
          <w:rFonts w:ascii="Arial" w:eastAsia="Calibri" w:hAnsi="Arial" w:cs="Arial"/>
          <w:sz w:val="22"/>
          <w:lang w:val="es-ES_tradnl"/>
        </w:rPr>
        <w:t>2, y 3</w:t>
      </w:r>
      <w:r w:rsidRPr="00EE0789">
        <w:rPr>
          <w:rFonts w:ascii="Arial" w:eastAsia="Calibri" w:hAnsi="Arial" w:cs="Arial"/>
          <w:sz w:val="22"/>
          <w:lang w:val="es-ES_tradnl"/>
        </w:rPr>
        <w:t xml:space="preserve"> </w:t>
      </w:r>
      <w:r>
        <w:rPr>
          <w:rFonts w:ascii="Arial" w:eastAsia="Calibri" w:hAnsi="Arial" w:cs="Arial"/>
          <w:sz w:val="22"/>
          <w:lang w:val="es-ES_tradnl"/>
        </w:rPr>
        <w:t xml:space="preserve">del </w:t>
      </w:r>
      <w:r>
        <w:rPr>
          <w:rFonts w:ascii="Arial" w:eastAsia="Calibri" w:hAnsi="Arial" w:cs="Arial"/>
          <w:color w:val="000000" w:themeColor="text1"/>
          <w:sz w:val="22"/>
          <w:lang w:val="es-ES"/>
        </w:rPr>
        <w:t>artículo</w:t>
      </w:r>
      <w:r w:rsidRPr="00386009">
        <w:rPr>
          <w:rFonts w:ascii="Arial" w:eastAsia="Calibri" w:hAnsi="Arial" w:cs="Arial"/>
          <w:color w:val="000000" w:themeColor="text1"/>
          <w:sz w:val="22"/>
          <w:lang w:val="es-ES"/>
        </w:rPr>
        <w:t xml:space="preserve"> 2.2.1.2.3.1.6 del Decreto 1082 de 2015</w:t>
      </w:r>
      <w:r>
        <w:rPr>
          <w:rFonts w:ascii="Arial" w:eastAsia="Calibri" w:hAnsi="Arial" w:cs="Arial"/>
          <w:color w:val="000000" w:themeColor="text1"/>
          <w:sz w:val="22"/>
          <w:lang w:val="es-ES"/>
        </w:rPr>
        <w:t xml:space="preserve">, el procedimiento será el establecido en el artículo </w:t>
      </w:r>
      <w:r>
        <w:rPr>
          <w:rFonts w:ascii="Arial" w:eastAsia="Calibri" w:hAnsi="Arial" w:cs="Arial"/>
          <w:sz w:val="22"/>
          <w:lang w:val="es-ES_tradnl"/>
        </w:rPr>
        <w:t>47 y siguientes de</w:t>
      </w:r>
      <w:r w:rsidR="001B5C86">
        <w:rPr>
          <w:rFonts w:ascii="Arial" w:eastAsia="Calibri" w:hAnsi="Arial" w:cs="Arial"/>
          <w:sz w:val="22"/>
          <w:lang w:val="es-ES_tradnl"/>
        </w:rPr>
        <w:t xml:space="preserve"> la Ley 1437 de 2011, </w:t>
      </w:r>
      <w:r w:rsidR="00EF5FD2">
        <w:rPr>
          <w:rFonts w:ascii="Arial" w:eastAsia="Calibri" w:hAnsi="Arial" w:cs="Arial"/>
          <w:color w:val="000000" w:themeColor="text1"/>
          <w:sz w:val="22"/>
          <w:lang w:val="es-ES"/>
        </w:rPr>
        <w:t xml:space="preserve">en la medida que </w:t>
      </w:r>
      <w:r w:rsidR="007249B0">
        <w:rPr>
          <w:rFonts w:ascii="Arial" w:eastAsia="Calibri" w:hAnsi="Arial" w:cs="Arial"/>
          <w:color w:val="000000" w:themeColor="text1"/>
          <w:sz w:val="22"/>
          <w:lang w:val="es-ES"/>
        </w:rPr>
        <w:t xml:space="preserve">–pese a que </w:t>
      </w:r>
      <w:r w:rsidR="00EF5FD2">
        <w:rPr>
          <w:rFonts w:ascii="Arial" w:eastAsia="Calibri" w:hAnsi="Arial" w:cs="Arial"/>
          <w:color w:val="000000" w:themeColor="text1"/>
          <w:sz w:val="22"/>
          <w:lang w:val="es-ES"/>
        </w:rPr>
        <w:t>estas causales generan una sanción</w:t>
      </w:r>
      <w:r w:rsidR="007249B0">
        <w:rPr>
          <w:rFonts w:ascii="Arial" w:eastAsia="Calibri" w:hAnsi="Arial" w:cs="Arial"/>
          <w:color w:val="000000" w:themeColor="text1"/>
          <w:sz w:val="22"/>
          <w:lang w:val="es-ES"/>
        </w:rPr>
        <w:t>–</w:t>
      </w:r>
      <w:r w:rsidR="00EF5FD2">
        <w:rPr>
          <w:rFonts w:ascii="Arial" w:eastAsia="Calibri" w:hAnsi="Arial" w:cs="Arial"/>
          <w:color w:val="000000" w:themeColor="text1"/>
          <w:sz w:val="22"/>
          <w:lang w:val="es-ES"/>
        </w:rPr>
        <w:t xml:space="preserve"> </w:t>
      </w:r>
      <w:r w:rsidR="007249B0">
        <w:rPr>
          <w:rFonts w:ascii="Arial" w:eastAsia="Calibri" w:hAnsi="Arial" w:cs="Arial"/>
          <w:color w:val="000000" w:themeColor="text1"/>
          <w:sz w:val="22"/>
          <w:lang w:val="es-ES"/>
        </w:rPr>
        <w:t>no existe perfeccionamiento</w:t>
      </w:r>
      <w:r w:rsidR="00EF5FD2">
        <w:rPr>
          <w:rFonts w:ascii="Arial" w:eastAsia="Calibri" w:hAnsi="Arial" w:cs="Arial"/>
          <w:color w:val="000000" w:themeColor="text1"/>
          <w:sz w:val="22"/>
          <w:lang w:val="es-ES"/>
        </w:rPr>
        <w:t xml:space="preserve"> previo del contrato</w:t>
      </w:r>
      <w:r w:rsidR="007249B0">
        <w:rPr>
          <w:rFonts w:ascii="Arial" w:eastAsia="Calibri" w:hAnsi="Arial" w:cs="Arial"/>
          <w:color w:val="000000" w:themeColor="text1"/>
          <w:sz w:val="22"/>
          <w:lang w:val="es-ES"/>
        </w:rPr>
        <w:t xml:space="preserve"> y, p</w:t>
      </w:r>
      <w:r w:rsidR="00EF5FD2">
        <w:rPr>
          <w:rFonts w:ascii="Arial" w:eastAsia="Calibri" w:hAnsi="Arial" w:cs="Arial"/>
          <w:color w:val="000000" w:themeColor="text1"/>
          <w:sz w:val="22"/>
          <w:lang w:val="es-ES"/>
        </w:rPr>
        <w:t>or tanto</w:t>
      </w:r>
      <w:r w:rsidR="007249B0">
        <w:rPr>
          <w:rFonts w:ascii="Arial" w:eastAsia="Calibri" w:hAnsi="Arial" w:cs="Arial"/>
          <w:color w:val="000000" w:themeColor="text1"/>
          <w:sz w:val="22"/>
          <w:lang w:val="es-ES"/>
        </w:rPr>
        <w:t>,</w:t>
      </w:r>
      <w:r w:rsidR="00EF5FD2">
        <w:rPr>
          <w:rFonts w:ascii="Arial" w:eastAsia="Calibri" w:hAnsi="Arial" w:cs="Arial"/>
          <w:color w:val="000000" w:themeColor="text1"/>
          <w:sz w:val="22"/>
          <w:lang w:val="es-ES"/>
        </w:rPr>
        <w:t xml:space="preserve"> no </w:t>
      </w:r>
      <w:r w:rsidR="007249B0">
        <w:rPr>
          <w:rFonts w:ascii="Arial" w:eastAsia="Calibri" w:hAnsi="Arial" w:cs="Arial"/>
          <w:color w:val="000000" w:themeColor="text1"/>
          <w:sz w:val="22"/>
          <w:lang w:val="es-ES"/>
        </w:rPr>
        <w:t>es</w:t>
      </w:r>
      <w:r w:rsidR="00EF5FD2">
        <w:rPr>
          <w:rFonts w:ascii="Arial" w:eastAsia="Calibri" w:hAnsi="Arial" w:cs="Arial"/>
          <w:color w:val="000000" w:themeColor="text1"/>
          <w:sz w:val="22"/>
          <w:lang w:val="es-ES"/>
        </w:rPr>
        <w:t xml:space="preserve"> aplicable el artículo 86 del Estatuto Anticorrupción. </w:t>
      </w:r>
      <w:r w:rsidR="007249B0">
        <w:rPr>
          <w:rFonts w:ascii="Arial" w:eastAsia="Calibri" w:hAnsi="Arial" w:cs="Arial"/>
          <w:sz w:val="22"/>
          <w:lang w:val="es-ES_tradnl"/>
        </w:rPr>
        <w:t>P</w:t>
      </w:r>
      <w:r>
        <w:rPr>
          <w:rFonts w:ascii="Arial" w:eastAsia="Calibri" w:hAnsi="Arial" w:cs="Arial"/>
          <w:sz w:val="22"/>
          <w:lang w:val="es-ES_tradnl"/>
        </w:rPr>
        <w:t xml:space="preserve">or el contrario, </w:t>
      </w:r>
      <w:r w:rsidR="007249B0">
        <w:rPr>
          <w:rFonts w:ascii="Arial" w:eastAsia="Calibri" w:hAnsi="Arial" w:cs="Arial"/>
          <w:sz w:val="22"/>
          <w:lang w:val="es-ES_tradnl"/>
        </w:rPr>
        <w:t>si</w:t>
      </w:r>
      <w:r>
        <w:rPr>
          <w:rFonts w:ascii="Arial" w:eastAsia="Calibri" w:hAnsi="Arial" w:cs="Arial"/>
          <w:sz w:val="22"/>
          <w:lang w:val="es-ES_tradnl"/>
        </w:rPr>
        <w:t xml:space="preserve"> </w:t>
      </w:r>
      <w:r>
        <w:rPr>
          <w:rFonts w:ascii="Arial" w:eastAsia="Calibri" w:hAnsi="Arial" w:cs="Arial"/>
          <w:color w:val="000000" w:themeColor="text1"/>
          <w:sz w:val="22"/>
          <w:lang w:val="es-ES"/>
        </w:rPr>
        <w:t xml:space="preserve">el proponente seleccionado no otorga la garantía única de incumplimiento, procede </w:t>
      </w:r>
      <w:r w:rsidR="007249B0">
        <w:rPr>
          <w:rFonts w:ascii="Arial" w:eastAsia="Calibri" w:hAnsi="Arial" w:cs="Arial"/>
          <w:color w:val="000000" w:themeColor="text1"/>
          <w:sz w:val="22"/>
          <w:lang w:val="es-ES"/>
        </w:rPr>
        <w:t>el trámite</w:t>
      </w:r>
      <w:r>
        <w:rPr>
          <w:rFonts w:ascii="Arial" w:eastAsia="Calibri" w:hAnsi="Arial" w:cs="Arial"/>
          <w:color w:val="000000" w:themeColor="text1"/>
          <w:sz w:val="22"/>
          <w:lang w:val="es-ES"/>
        </w:rPr>
        <w:t xml:space="preserve"> dispuesto en el art</w:t>
      </w:r>
      <w:r w:rsidR="001B5C86">
        <w:rPr>
          <w:rFonts w:ascii="Arial" w:eastAsia="Calibri" w:hAnsi="Arial" w:cs="Arial"/>
          <w:color w:val="000000" w:themeColor="text1"/>
          <w:sz w:val="22"/>
          <w:lang w:val="es-ES"/>
        </w:rPr>
        <w:t>í</w:t>
      </w:r>
      <w:r w:rsidR="00EF5FD2">
        <w:rPr>
          <w:rFonts w:ascii="Arial" w:eastAsia="Calibri" w:hAnsi="Arial" w:cs="Arial"/>
          <w:color w:val="000000" w:themeColor="text1"/>
          <w:sz w:val="22"/>
          <w:lang w:val="es-ES"/>
        </w:rPr>
        <w:t xml:space="preserve">culo 86 de la Ley 1474 de 2011, pues ya existe un contrato perfeccionado. </w:t>
      </w:r>
    </w:p>
    <w:p w14:paraId="4ECBEA61" w14:textId="076CA8C8" w:rsidR="004A6C78" w:rsidRDefault="007249B0" w:rsidP="00CB776B">
      <w:pPr>
        <w:tabs>
          <w:tab w:val="left" w:pos="709"/>
        </w:tabs>
        <w:spacing w:before="120" w:line="276" w:lineRule="auto"/>
        <w:ind w:firstLine="567"/>
        <w:jc w:val="both"/>
        <w:rPr>
          <w:rFonts w:ascii="Arial" w:hAnsi="Arial" w:cs="Arial"/>
          <w:color w:val="000000" w:themeColor="text1"/>
          <w:sz w:val="21"/>
          <w:szCs w:val="21"/>
        </w:rPr>
      </w:pPr>
      <w:r>
        <w:rPr>
          <w:rFonts w:ascii="Arial" w:eastAsia="Calibri" w:hAnsi="Arial" w:cs="Arial"/>
          <w:color w:val="000000" w:themeColor="text1"/>
          <w:sz w:val="22"/>
          <w:lang w:val="es-ES"/>
        </w:rPr>
        <w:t>En ambas situaciones</w:t>
      </w:r>
      <w:r w:rsidR="00F95075" w:rsidRPr="00CC7E86">
        <w:rPr>
          <w:rFonts w:ascii="Arial" w:eastAsia="Calibri" w:hAnsi="Arial" w:cs="Arial"/>
          <w:color w:val="000000" w:themeColor="text1"/>
          <w:sz w:val="22"/>
          <w:lang w:val="es-ES"/>
        </w:rPr>
        <w:t>,</w:t>
      </w:r>
      <w:r w:rsidR="001B5C86">
        <w:rPr>
          <w:rFonts w:ascii="Arial" w:eastAsia="Calibri" w:hAnsi="Arial" w:cs="Arial"/>
          <w:color w:val="000000" w:themeColor="text1"/>
          <w:sz w:val="22"/>
          <w:lang w:val="es-ES"/>
        </w:rPr>
        <w:t xml:space="preserve"> conforme lo dispone el artículo </w:t>
      </w:r>
      <w:r w:rsidR="001B5C86" w:rsidRPr="001B5C86">
        <w:rPr>
          <w:rFonts w:ascii="Arial" w:eastAsia="Calibri" w:hAnsi="Arial" w:cs="Arial"/>
          <w:color w:val="000000" w:themeColor="text1"/>
          <w:sz w:val="22"/>
          <w:lang w:val="es-ES"/>
        </w:rPr>
        <w:t>2.2.1.2.3.2.8.</w:t>
      </w:r>
      <w:r w:rsidR="001B5C86">
        <w:rPr>
          <w:rFonts w:ascii="Arial" w:eastAsia="Calibri" w:hAnsi="Arial" w:cs="Arial"/>
          <w:color w:val="000000" w:themeColor="text1"/>
          <w:sz w:val="22"/>
          <w:lang w:val="es-ES"/>
        </w:rPr>
        <w:t xml:space="preserve"> del Decreto 1082 de 2015,</w:t>
      </w:r>
      <w:r w:rsidR="00F95075" w:rsidRPr="00CC7E86">
        <w:rPr>
          <w:rFonts w:ascii="Arial" w:eastAsia="Calibri" w:hAnsi="Arial" w:cs="Arial"/>
          <w:color w:val="000000" w:themeColor="text1"/>
          <w:sz w:val="22"/>
          <w:lang w:val="es-ES"/>
        </w:rPr>
        <w:t xml:space="preserve"> en caso de declaratoria del siniestro de la garantía de seriedad de la oferta la compañía de seguros debe responder por el total del valor asegurado </w:t>
      </w:r>
      <w:r w:rsidR="00F95075">
        <w:rPr>
          <w:rFonts w:ascii="Arial" w:eastAsia="Calibri" w:hAnsi="Arial" w:cs="Arial"/>
          <w:color w:val="000000" w:themeColor="text1"/>
          <w:sz w:val="22"/>
          <w:lang w:val="es-ES"/>
        </w:rPr>
        <w:t xml:space="preserve">a </w:t>
      </w:r>
      <w:r w:rsidR="00F95075" w:rsidRPr="00CC7E86">
        <w:rPr>
          <w:rFonts w:ascii="Arial" w:eastAsia="Calibri" w:hAnsi="Arial" w:cs="Arial"/>
          <w:color w:val="000000" w:themeColor="text1"/>
          <w:sz w:val="22"/>
          <w:lang w:val="es-ES"/>
        </w:rPr>
        <w:t>título de sanción</w:t>
      </w:r>
      <w:r w:rsidR="001B5C86">
        <w:rPr>
          <w:rFonts w:ascii="Arial" w:eastAsia="Calibri" w:hAnsi="Arial" w:cs="Arial"/>
          <w:color w:val="000000" w:themeColor="text1"/>
          <w:sz w:val="22"/>
          <w:lang w:val="es-ES"/>
        </w:rPr>
        <w:t xml:space="preserve">. Por tanto, no es necesario </w:t>
      </w:r>
      <w:r w:rsidR="00F95075" w:rsidRPr="00CC7E86">
        <w:rPr>
          <w:rFonts w:ascii="Arial" w:eastAsia="Calibri" w:hAnsi="Arial" w:cs="Arial"/>
          <w:color w:val="000000" w:themeColor="text1"/>
          <w:sz w:val="22"/>
          <w:lang w:val="es-ES"/>
        </w:rPr>
        <w:t>cuantificar los perjuicios</w:t>
      </w:r>
      <w:r w:rsidR="00F95075">
        <w:rPr>
          <w:rFonts w:ascii="Arial" w:eastAsia="Calibri" w:hAnsi="Arial" w:cs="Arial"/>
          <w:color w:val="000000" w:themeColor="text1"/>
          <w:sz w:val="22"/>
          <w:lang w:val="es-ES"/>
        </w:rPr>
        <w:t xml:space="preserve"> causados por los eventos</w:t>
      </w:r>
      <w:r w:rsidR="00F95075" w:rsidRPr="00CC7E86">
        <w:rPr>
          <w:rFonts w:ascii="Arial" w:eastAsia="Calibri" w:hAnsi="Arial" w:cs="Arial"/>
          <w:color w:val="000000" w:themeColor="text1"/>
          <w:sz w:val="22"/>
          <w:lang w:val="es-ES"/>
        </w:rPr>
        <w:t xml:space="preserve"> objeto de cobertura</w:t>
      </w:r>
      <w:r w:rsidR="00F95075" w:rsidRPr="00957E21">
        <w:rPr>
          <w:rFonts w:ascii="Arial" w:eastAsia="Calibri" w:hAnsi="Arial" w:cs="Arial"/>
          <w:color w:val="000000" w:themeColor="text1"/>
          <w:sz w:val="22"/>
          <w:lang w:val="es-ES"/>
        </w:rPr>
        <w:t xml:space="preserve">. </w:t>
      </w:r>
    </w:p>
    <w:p w14:paraId="186A28A4" w14:textId="33B18B2E" w:rsidR="00EF5FD2" w:rsidRDefault="00CD1903" w:rsidP="00EF5FD2">
      <w:pPr>
        <w:tabs>
          <w:tab w:val="left" w:pos="709"/>
        </w:tabs>
        <w:spacing w:before="120"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ab/>
        <w:t>En segundo lugar, s</w:t>
      </w:r>
      <w:r w:rsidR="004A6C78" w:rsidRPr="00EF5FD2">
        <w:rPr>
          <w:rFonts w:ascii="Arial" w:eastAsia="Calibri" w:hAnsi="Arial" w:cs="Arial"/>
          <w:color w:val="000000" w:themeColor="text1"/>
          <w:sz w:val="22"/>
          <w:lang w:val="es-ES"/>
        </w:rPr>
        <w:t xml:space="preserve">i la declaración del siniestro del </w:t>
      </w:r>
      <w:r w:rsidR="004A6C78" w:rsidRPr="00CB776B">
        <w:rPr>
          <w:rFonts w:ascii="Arial" w:eastAsia="Calibri" w:hAnsi="Arial" w:cs="Arial"/>
          <w:i/>
          <w:iCs/>
          <w:color w:val="000000" w:themeColor="text1"/>
          <w:sz w:val="22"/>
          <w:lang w:val="es-ES"/>
        </w:rPr>
        <w:t>amparo de buen manejo y correcta inversión del anticipo</w:t>
      </w:r>
      <w:r w:rsidR="004A6C78" w:rsidRPr="00EF5FD2">
        <w:rPr>
          <w:rFonts w:ascii="Arial" w:eastAsia="Calibri" w:hAnsi="Arial" w:cs="Arial"/>
          <w:color w:val="000000" w:themeColor="text1"/>
          <w:sz w:val="22"/>
          <w:lang w:val="es-ES"/>
        </w:rPr>
        <w:t xml:space="preserve"> se realiza con el acto administrativo que declara el incumplimiento, o el que impone multas, o el que declara la caducidad, debe adelantarse el procedimiento establecido en el artículo 86 de la Ley 1474 de 2011, correspon</w:t>
      </w:r>
      <w:r w:rsidR="00EF5FD2" w:rsidRPr="00EF5FD2">
        <w:rPr>
          <w:rFonts w:ascii="Arial" w:eastAsia="Calibri" w:hAnsi="Arial" w:cs="Arial"/>
          <w:color w:val="000000" w:themeColor="text1"/>
          <w:sz w:val="22"/>
          <w:lang w:val="es-ES"/>
        </w:rPr>
        <w:t xml:space="preserve">diente al </w:t>
      </w:r>
      <w:r w:rsidR="00EF5FD2" w:rsidRPr="00EF5FD2">
        <w:rPr>
          <w:rFonts w:ascii="Arial" w:eastAsia="Calibri" w:hAnsi="Arial" w:cs="Arial"/>
          <w:color w:val="000000" w:themeColor="text1"/>
          <w:sz w:val="22"/>
          <w:lang w:val="es-ES"/>
        </w:rPr>
        <w:lastRenderedPageBreak/>
        <w:t>proceso sancionatorio, en el entendido que la entidad se encuentra ejerciendo una potestad sancionatoria. Con fundamento en dicha norma, la entidad deberá cuantificar los perjuicios sufridos con ocasión de la no inversión del anticip</w:t>
      </w:r>
      <w:r w:rsidR="003E76DF">
        <w:rPr>
          <w:rFonts w:ascii="Arial" w:eastAsia="Calibri" w:hAnsi="Arial" w:cs="Arial"/>
          <w:color w:val="000000" w:themeColor="text1"/>
          <w:sz w:val="22"/>
          <w:lang w:val="es-ES"/>
        </w:rPr>
        <w:t>o, el uso indebido del anticipo</w:t>
      </w:r>
      <w:r w:rsidR="00EF5FD2" w:rsidRPr="00EF5FD2">
        <w:rPr>
          <w:rFonts w:ascii="Arial" w:eastAsia="Calibri" w:hAnsi="Arial" w:cs="Arial"/>
          <w:color w:val="000000" w:themeColor="text1"/>
          <w:sz w:val="22"/>
          <w:lang w:val="es-ES"/>
        </w:rPr>
        <w:t xml:space="preserve"> y/o la apropiación indebida de los recursos recibidos en calidad de anticipo.</w:t>
      </w:r>
    </w:p>
    <w:p w14:paraId="46BD29C4" w14:textId="6EBF2FF3" w:rsidR="00EF5FD2" w:rsidRPr="003E76DF" w:rsidRDefault="00EF5FD2" w:rsidP="003E76DF">
      <w:pPr>
        <w:tabs>
          <w:tab w:val="left" w:pos="709"/>
        </w:tabs>
        <w:spacing w:before="120" w:line="276" w:lineRule="auto"/>
        <w:ind w:firstLine="709"/>
        <w:jc w:val="both"/>
        <w:rPr>
          <w:rFonts w:ascii="Arial" w:eastAsia="Calibri" w:hAnsi="Arial" w:cs="Arial"/>
          <w:color w:val="000000" w:themeColor="text1"/>
          <w:sz w:val="22"/>
          <w:lang w:val="es-ES"/>
        </w:rPr>
      </w:pPr>
      <w:r>
        <w:rPr>
          <w:rFonts w:ascii="Arial" w:eastAsia="Arial" w:hAnsi="Arial" w:cs="Arial"/>
          <w:sz w:val="22"/>
          <w:szCs w:val="22"/>
          <w:lang w:val="es-ES" w:eastAsia="en-US"/>
        </w:rPr>
        <w:t xml:space="preserve">En el evento en que únicamente se declare el siniestro del amparo, sin imponer sanciones o declaratorias de incumpliendo, </w:t>
      </w:r>
      <w:r w:rsidR="003E76DF" w:rsidRPr="00EF5FD2">
        <w:rPr>
          <w:rFonts w:ascii="Arial" w:eastAsia="Calibri" w:hAnsi="Arial" w:cs="Arial"/>
          <w:color w:val="000000" w:themeColor="text1"/>
          <w:sz w:val="22"/>
          <w:szCs w:val="22"/>
          <w:lang w:val="es-ES_tradnl" w:eastAsia="en-US"/>
        </w:rPr>
        <w:t>el trámite se rige por el procedimiento administrativo general dispuesto en los artículos 34 y siguientes de la Ley 1437 de 2011</w:t>
      </w:r>
      <w:r w:rsidR="003E76DF">
        <w:rPr>
          <w:rFonts w:ascii="Arial" w:eastAsia="Calibri" w:hAnsi="Arial" w:cs="Arial"/>
          <w:color w:val="000000" w:themeColor="text1"/>
          <w:sz w:val="22"/>
          <w:szCs w:val="22"/>
          <w:lang w:val="es-ES_tradnl" w:eastAsia="en-US"/>
        </w:rPr>
        <w:t xml:space="preserve">, teniendo en cuenta que no se está ejerciendo una potestad sancionatoria. </w:t>
      </w:r>
      <w:r w:rsidR="003E76DF">
        <w:rPr>
          <w:rFonts w:ascii="Arial" w:eastAsia="Calibri" w:hAnsi="Arial" w:cs="Arial"/>
          <w:color w:val="000000" w:themeColor="text1"/>
          <w:sz w:val="22"/>
          <w:lang w:val="es-ES"/>
        </w:rPr>
        <w:t xml:space="preserve">En este sentido, conforme lo señalado </w:t>
      </w:r>
      <w:r w:rsidR="003E76DF">
        <w:rPr>
          <w:rFonts w:ascii="Arial" w:eastAsia="Calibri" w:hAnsi="Arial" w:cs="Arial"/>
          <w:color w:val="000000" w:themeColor="text1"/>
          <w:sz w:val="22"/>
          <w:szCs w:val="22"/>
          <w:lang w:val="es-ES_tradnl" w:eastAsia="en-US"/>
        </w:rPr>
        <w:t>artículo 1077 del Código de Comercio,</w:t>
      </w:r>
      <w:r w:rsidR="003E76DF">
        <w:rPr>
          <w:rFonts w:ascii="Arial" w:eastAsia="Calibri" w:hAnsi="Arial" w:cs="Arial"/>
          <w:color w:val="000000" w:themeColor="text1"/>
          <w:sz w:val="22"/>
          <w:lang w:val="es-ES"/>
        </w:rPr>
        <w:t xml:space="preserve"> corresponderá a la entidad </w:t>
      </w:r>
      <w:r w:rsidR="003E76DF" w:rsidRPr="00C93154">
        <w:rPr>
          <w:rFonts w:ascii="Arial" w:eastAsia="Calibri" w:hAnsi="Arial" w:cs="Arial"/>
          <w:color w:val="000000" w:themeColor="text1"/>
          <w:sz w:val="22"/>
          <w:szCs w:val="22"/>
          <w:lang w:val="es-ES_tradnl" w:eastAsia="en-US"/>
        </w:rPr>
        <w:t>demostrar la ocurrencia del siniestro, así como la cuantía de la pérdida</w:t>
      </w:r>
      <w:r w:rsidR="003E76DF">
        <w:rPr>
          <w:rFonts w:ascii="Arial" w:eastAsia="Calibri" w:hAnsi="Arial" w:cs="Arial"/>
          <w:color w:val="000000" w:themeColor="text1"/>
          <w:sz w:val="22"/>
          <w:szCs w:val="22"/>
          <w:lang w:val="es-ES_tradnl" w:eastAsia="en-US"/>
        </w:rPr>
        <w:t xml:space="preserve">, perjuicio que dependerá de las circunstancias propias de cada caso. </w:t>
      </w:r>
    </w:p>
    <w:p w14:paraId="5D3ED706" w14:textId="62E4AE93" w:rsidR="004A6C78" w:rsidRDefault="00CD1903" w:rsidP="00CD1903">
      <w:pPr>
        <w:spacing w:before="120" w:line="276" w:lineRule="auto"/>
        <w:ind w:firstLine="708"/>
        <w:jc w:val="both"/>
        <w:rPr>
          <w:rFonts w:ascii="Arial" w:eastAsia="Calibri" w:hAnsi="Arial" w:cs="Arial"/>
          <w:color w:val="000000" w:themeColor="text1"/>
          <w:sz w:val="22"/>
          <w:szCs w:val="22"/>
          <w:lang w:val="es-ES_tradnl" w:eastAsia="en-US"/>
        </w:rPr>
      </w:pPr>
      <w:r>
        <w:rPr>
          <w:rFonts w:ascii="Arial" w:hAnsi="Arial" w:cs="Arial"/>
          <w:color w:val="000000" w:themeColor="text1"/>
          <w:sz w:val="21"/>
          <w:szCs w:val="21"/>
        </w:rPr>
        <w:t xml:space="preserve">Finalmente, </w:t>
      </w:r>
      <w:r w:rsidRPr="00EF5FD2">
        <w:rPr>
          <w:rFonts w:ascii="Arial" w:eastAsia="Calibri" w:hAnsi="Arial" w:cs="Arial"/>
          <w:color w:val="000000" w:themeColor="text1"/>
          <w:sz w:val="22"/>
          <w:szCs w:val="22"/>
          <w:lang w:val="es-ES_tradnl" w:eastAsia="en-US"/>
        </w:rPr>
        <w:t>considerando</w:t>
      </w:r>
      <w:r w:rsidR="00EF5FD2" w:rsidRPr="00EF5FD2">
        <w:rPr>
          <w:rFonts w:ascii="Arial" w:eastAsia="Calibri" w:hAnsi="Arial" w:cs="Arial"/>
          <w:color w:val="000000" w:themeColor="text1"/>
          <w:sz w:val="22"/>
          <w:szCs w:val="22"/>
          <w:lang w:val="es-ES_tradnl" w:eastAsia="en-US"/>
        </w:rPr>
        <w:t xml:space="preserve"> que la declaración del siniestro del </w:t>
      </w:r>
      <w:r w:rsidR="00EF5FD2" w:rsidRPr="00CB776B">
        <w:rPr>
          <w:rFonts w:ascii="Arial" w:eastAsia="Calibri" w:hAnsi="Arial" w:cs="Arial"/>
          <w:i/>
          <w:iCs/>
          <w:color w:val="000000" w:themeColor="text1"/>
          <w:sz w:val="22"/>
          <w:szCs w:val="22"/>
          <w:lang w:val="es-ES_tradnl" w:eastAsia="en-US"/>
        </w:rPr>
        <w:t>amparo de estabilidad de la obra</w:t>
      </w:r>
      <w:r w:rsidR="00EF5FD2" w:rsidRPr="00EF5FD2">
        <w:rPr>
          <w:rFonts w:ascii="Arial" w:eastAsia="Calibri" w:hAnsi="Arial" w:cs="Arial"/>
          <w:color w:val="000000" w:themeColor="text1"/>
          <w:sz w:val="22"/>
          <w:szCs w:val="22"/>
          <w:lang w:val="es-ES_tradnl" w:eastAsia="en-US"/>
        </w:rPr>
        <w:t xml:space="preserve"> no deriva del ejercicio una potestad sancionadora, y </w:t>
      </w:r>
      <w:r w:rsidR="003E76DF">
        <w:rPr>
          <w:rFonts w:ascii="Arial" w:eastAsia="Calibri" w:hAnsi="Arial" w:cs="Arial"/>
          <w:color w:val="000000" w:themeColor="text1"/>
          <w:sz w:val="22"/>
          <w:szCs w:val="22"/>
          <w:lang w:val="es-ES_tradnl" w:eastAsia="en-US"/>
        </w:rPr>
        <w:t>atendiendo lo dispuesto en</w:t>
      </w:r>
      <w:r w:rsidR="00EF5FD2" w:rsidRPr="00EF5FD2">
        <w:rPr>
          <w:rFonts w:ascii="Arial" w:eastAsia="Calibri" w:hAnsi="Arial" w:cs="Arial"/>
          <w:color w:val="000000" w:themeColor="text1"/>
          <w:sz w:val="22"/>
          <w:szCs w:val="22"/>
          <w:lang w:val="es-ES_tradnl" w:eastAsia="en-US"/>
        </w:rPr>
        <w:t xml:space="preserve"> el artículo</w:t>
      </w:r>
      <w:r w:rsidR="003E76DF">
        <w:rPr>
          <w:rFonts w:ascii="Arial" w:eastAsia="Calibri" w:hAnsi="Arial" w:cs="Arial"/>
          <w:color w:val="000000" w:themeColor="text1"/>
          <w:sz w:val="22"/>
          <w:szCs w:val="22"/>
          <w:lang w:val="es-ES_tradnl" w:eastAsia="en-US"/>
        </w:rPr>
        <w:t xml:space="preserve"> 29 de la Constitución Política</w:t>
      </w:r>
      <w:r w:rsidR="00EF5FD2" w:rsidRPr="00EF5FD2">
        <w:rPr>
          <w:rFonts w:ascii="Arial" w:eastAsia="Calibri" w:hAnsi="Arial" w:cs="Arial"/>
          <w:color w:val="000000" w:themeColor="text1"/>
          <w:sz w:val="22"/>
          <w:szCs w:val="22"/>
          <w:lang w:val="es-ES_tradnl" w:eastAsia="en-US"/>
        </w:rPr>
        <w:t>, el trámite se rige por el procedimiento administrativo general dispuesto en los artículos 34 y siguientes de la Ley 1437 de 2011.</w:t>
      </w:r>
      <w:r w:rsidR="003E76DF">
        <w:rPr>
          <w:rFonts w:ascii="Arial" w:eastAsia="Calibri" w:hAnsi="Arial" w:cs="Arial"/>
          <w:color w:val="000000" w:themeColor="text1"/>
          <w:sz w:val="22"/>
          <w:szCs w:val="22"/>
          <w:lang w:val="es-ES_tradnl" w:eastAsia="en-US"/>
        </w:rPr>
        <w:t xml:space="preserve">  La entidad estatal deberá motivar el acto administrativo que declara el siniestro de estabilidad y calidad de la obra, incluyendo las situaciones de hecho que demuestren la ocurrencia del siniestro, así como la cuantía a la cual asciende las reparaciones a efectuar en la obra, con fundamento en lo dispuesto en el artículo 1077 del Código de Comercio.</w:t>
      </w:r>
    </w:p>
    <w:p w14:paraId="56358949" w14:textId="77777777" w:rsidR="00D22F78" w:rsidRPr="003E76DF" w:rsidRDefault="00D22F78" w:rsidP="00CB776B">
      <w:pPr>
        <w:spacing w:before="120" w:line="276" w:lineRule="auto"/>
        <w:ind w:firstLine="708"/>
        <w:jc w:val="both"/>
        <w:rPr>
          <w:rFonts w:ascii="Arial" w:eastAsia="Calibri" w:hAnsi="Arial" w:cs="Arial"/>
          <w:color w:val="000000" w:themeColor="text1"/>
          <w:sz w:val="22"/>
          <w:szCs w:val="22"/>
          <w:lang w:val="es-ES_tradnl" w:eastAsia="en-US"/>
        </w:rPr>
      </w:pPr>
    </w:p>
    <w:p w14:paraId="056816F7" w14:textId="1E63A245" w:rsidR="00D40F8B" w:rsidRDefault="00DD5B04" w:rsidP="00CB776B">
      <w:pPr>
        <w:spacing w:line="276" w:lineRule="auto"/>
        <w:jc w:val="both"/>
        <w:rPr>
          <w:rFonts w:ascii="Arial" w:hAnsi="Arial" w:cs="Arial"/>
          <w:color w:val="000000" w:themeColor="text1"/>
          <w:sz w:val="22"/>
          <w:lang w:val="es-ES_tradnl"/>
        </w:rPr>
      </w:pPr>
      <w:r w:rsidRPr="00E23980">
        <w:rPr>
          <w:rFonts w:ascii="Arial" w:hAnsi="Arial" w:cs="Arial"/>
          <w:color w:val="000000" w:themeColor="text1"/>
          <w:sz w:val="22"/>
          <w:lang w:val="es-ES_tradnl"/>
        </w:rPr>
        <w:t>Este concepto tiene el alcance previsto en el artículo 28 del Código de Procedimiento Administrativo y de</w:t>
      </w:r>
      <w:r w:rsidR="00D40F8B">
        <w:rPr>
          <w:rFonts w:ascii="Arial" w:hAnsi="Arial" w:cs="Arial"/>
          <w:color w:val="000000" w:themeColor="text1"/>
          <w:sz w:val="22"/>
          <w:lang w:val="es-ES_tradnl"/>
        </w:rPr>
        <w:t xml:space="preserve"> lo Contencioso Administrativo.</w:t>
      </w:r>
    </w:p>
    <w:p w14:paraId="6F54E9C9" w14:textId="77777777" w:rsidR="00003233" w:rsidRPr="00D40F8B" w:rsidRDefault="00003233" w:rsidP="00D40F8B">
      <w:pPr>
        <w:spacing w:before="120" w:line="276" w:lineRule="auto"/>
        <w:jc w:val="both"/>
        <w:rPr>
          <w:rFonts w:ascii="Arial" w:hAnsi="Arial" w:cs="Arial"/>
          <w:color w:val="000000" w:themeColor="text1"/>
          <w:sz w:val="22"/>
          <w:lang w:val="es-ES_tradnl"/>
        </w:rPr>
      </w:pPr>
    </w:p>
    <w:p w14:paraId="349855C9" w14:textId="4E2C915B" w:rsidR="00D40F8B" w:rsidRPr="00E2398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Atentamente,</w:t>
      </w:r>
    </w:p>
    <w:p w14:paraId="10A1E411" w14:textId="040BBE8C" w:rsidR="00D40F8B" w:rsidRDefault="00F56614" w:rsidP="00003233">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570FD2">
        <w:rPr>
          <w:rFonts w:ascii="Arial" w:hAnsi="Arial" w:cs="Arial"/>
          <w:noProof/>
          <w:color w:val="000000" w:themeColor="text1"/>
          <w:sz w:val="22"/>
        </w:rPr>
        <w:drawing>
          <wp:inline distT="0" distB="0" distL="0" distR="0" wp14:anchorId="5199A4AD" wp14:editId="681AB760">
            <wp:extent cx="2301875" cy="1104900"/>
            <wp:effectExtent l="0" t="0" r="317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2321744" cy="1114437"/>
                    </a:xfrm>
                    <a:prstGeom prst="rect">
                      <a:avLst/>
                    </a:prstGeom>
                  </pic:spPr>
                </pic:pic>
              </a:graphicData>
            </a:graphic>
          </wp:inline>
        </w:drawing>
      </w:r>
    </w:p>
    <w:p w14:paraId="1ED13883" w14:textId="77777777" w:rsidR="00003233" w:rsidRPr="00D40F8B" w:rsidRDefault="00003233" w:rsidP="00003233">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D40F8B" w14:paraId="0C7DC5F7" w14:textId="77777777" w:rsidTr="00D40F8B">
        <w:trPr>
          <w:trHeight w:val="160"/>
        </w:trPr>
        <w:tc>
          <w:tcPr>
            <w:tcW w:w="812" w:type="dxa"/>
            <w:vAlign w:val="center"/>
            <w:hideMark/>
          </w:tcPr>
          <w:p w14:paraId="5BDB1AC9"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D40F8B" w:rsidRDefault="00F412DF"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Tatiana Baquero Iguarán</w:t>
            </w:r>
          </w:p>
          <w:p w14:paraId="240C71FD" w14:textId="31312C95"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Contratista</w:t>
            </w:r>
            <w:r w:rsidR="00FF0050" w:rsidRPr="00D40F8B">
              <w:rPr>
                <w:rFonts w:ascii="Arial" w:hAnsi="Arial" w:cs="Arial"/>
                <w:color w:val="000000" w:themeColor="text1"/>
                <w:sz w:val="16"/>
                <w:szCs w:val="16"/>
                <w:lang w:val="es-ES_tradnl" w:eastAsia="es-ES"/>
              </w:rPr>
              <w:t xml:space="preserve"> de la </w:t>
            </w:r>
            <w:r w:rsidRPr="00D40F8B">
              <w:rPr>
                <w:rFonts w:ascii="Arial" w:hAnsi="Arial" w:cs="Arial"/>
                <w:color w:val="000000" w:themeColor="text1"/>
                <w:sz w:val="16"/>
                <w:szCs w:val="16"/>
                <w:lang w:val="es-ES_tradnl" w:eastAsia="es-ES"/>
              </w:rPr>
              <w:t>Subdirección de Gestión Contractual</w:t>
            </w:r>
          </w:p>
        </w:tc>
      </w:tr>
      <w:tr w:rsidR="00DD5B04" w:rsidRPr="00D40F8B" w14:paraId="2F8FD650" w14:textId="77777777" w:rsidTr="00D15356">
        <w:trPr>
          <w:trHeight w:val="330"/>
        </w:trPr>
        <w:tc>
          <w:tcPr>
            <w:tcW w:w="812" w:type="dxa"/>
            <w:vAlign w:val="center"/>
            <w:hideMark/>
          </w:tcPr>
          <w:p w14:paraId="50203A0B"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EFE0803" w14:textId="77777777" w:rsidR="00F412DF" w:rsidRPr="00D40F8B" w:rsidRDefault="00F412DF" w:rsidP="00F412DF">
            <w:pPr>
              <w:rPr>
                <w:rFonts w:ascii="Arial" w:hAnsi="Arial" w:cs="Arial"/>
                <w:color w:val="000000" w:themeColor="text1"/>
                <w:sz w:val="16"/>
                <w:szCs w:val="16"/>
                <w:lang w:val="es-ES" w:eastAsia="es-ES"/>
              </w:rPr>
            </w:pPr>
            <w:r w:rsidRPr="00D40F8B">
              <w:rPr>
                <w:rFonts w:ascii="Arial" w:hAnsi="Arial" w:cs="Arial"/>
                <w:color w:val="000000" w:themeColor="text1"/>
                <w:sz w:val="16"/>
                <w:szCs w:val="16"/>
                <w:lang w:val="es-ES" w:eastAsia="es-ES"/>
              </w:rPr>
              <w:t>Juan David Montoya Penagos</w:t>
            </w:r>
          </w:p>
          <w:p w14:paraId="130B3228" w14:textId="128627BF" w:rsidR="00DD5B04" w:rsidRPr="00D40F8B" w:rsidRDefault="00F412DF" w:rsidP="00F412DF">
            <w:pPr>
              <w:jc w:val="both"/>
              <w:rPr>
                <w:rFonts w:ascii="Arial" w:hAnsi="Arial" w:cs="Arial"/>
                <w:color w:val="000000" w:themeColor="text1"/>
                <w:sz w:val="16"/>
                <w:szCs w:val="16"/>
                <w:lang w:val="es-ES_tradnl" w:eastAsia="es-ES"/>
              </w:rPr>
            </w:pPr>
            <w:r w:rsidRPr="00D40F8B">
              <w:rPr>
                <w:rFonts w:ascii="Arial" w:hAnsi="Arial" w:cs="Arial"/>
                <w:color w:val="000000"/>
                <w:sz w:val="16"/>
                <w:szCs w:val="16"/>
                <w:shd w:val="clear" w:color="auto" w:fill="FFFFFF"/>
              </w:rPr>
              <w:t>Gestor T1-15 de la </w:t>
            </w:r>
            <w:r w:rsidRPr="00D40F8B">
              <w:rPr>
                <w:rFonts w:ascii="Arial" w:hAnsi="Arial" w:cs="Arial"/>
                <w:color w:val="000000" w:themeColor="text1"/>
                <w:sz w:val="16"/>
                <w:szCs w:val="16"/>
                <w:lang w:val="es-ES" w:eastAsia="es-ES"/>
              </w:rPr>
              <w:t>Subdirección de Gestión Contractual</w:t>
            </w:r>
          </w:p>
        </w:tc>
      </w:tr>
      <w:tr w:rsidR="00DD5B04" w:rsidRPr="00D40F8B" w14:paraId="0FCBCA4A" w14:textId="77777777" w:rsidTr="00D15356">
        <w:trPr>
          <w:trHeight w:val="300"/>
        </w:trPr>
        <w:tc>
          <w:tcPr>
            <w:tcW w:w="812" w:type="dxa"/>
            <w:vAlign w:val="center"/>
            <w:hideMark/>
          </w:tcPr>
          <w:p w14:paraId="3C1D943A"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D40F8B" w:rsidRDefault="00C05A61"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 xml:space="preserve">Jorge </w:t>
            </w:r>
            <w:r w:rsidR="00647A36" w:rsidRPr="00D40F8B">
              <w:rPr>
                <w:rFonts w:ascii="Arial" w:hAnsi="Arial" w:cs="Arial"/>
                <w:color w:val="000000" w:themeColor="text1"/>
                <w:sz w:val="16"/>
                <w:szCs w:val="16"/>
                <w:lang w:val="es-ES_tradnl" w:eastAsia="es-ES"/>
              </w:rPr>
              <w:t xml:space="preserve">Augusto </w:t>
            </w:r>
            <w:r w:rsidRPr="00D40F8B">
              <w:rPr>
                <w:rFonts w:ascii="Arial" w:hAnsi="Arial" w:cs="Arial"/>
                <w:color w:val="000000" w:themeColor="text1"/>
                <w:sz w:val="16"/>
                <w:szCs w:val="16"/>
                <w:lang w:val="es-ES_tradnl" w:eastAsia="es-ES"/>
              </w:rPr>
              <w:t>Tirado Navarro</w:t>
            </w:r>
          </w:p>
          <w:p w14:paraId="1ADC483B" w14:textId="2EC8CC51"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Subdirector de Gestión Contractual</w:t>
            </w:r>
            <w:r w:rsidR="00973AA2">
              <w:rPr>
                <w:rFonts w:ascii="Arial" w:hAnsi="Arial" w:cs="Arial"/>
                <w:color w:val="000000" w:themeColor="text1"/>
                <w:sz w:val="16"/>
                <w:szCs w:val="16"/>
                <w:lang w:val="es-ES_tradnl" w:eastAsia="es-ES"/>
              </w:rPr>
              <w:t xml:space="preserve"> </w:t>
            </w:r>
            <w:r w:rsidR="00973AA2" w:rsidRPr="00CD169B">
              <w:rPr>
                <w:rFonts w:ascii="Arial" w:hAnsi="Arial" w:cs="Arial"/>
                <w:color w:val="000000" w:themeColor="text1"/>
                <w:sz w:val="16"/>
                <w:szCs w:val="16"/>
                <w:lang w:eastAsia="es-ES"/>
              </w:rPr>
              <w:t>ANCP – CCE</w:t>
            </w:r>
          </w:p>
        </w:tc>
      </w:tr>
    </w:tbl>
    <w:p w14:paraId="62A9C657" w14:textId="77777777" w:rsidR="00453A53" w:rsidRPr="00E23980" w:rsidRDefault="00453A53" w:rsidP="00215B8E">
      <w:pPr>
        <w:jc w:val="both"/>
        <w:rPr>
          <w:rFonts w:ascii="Arial" w:hAnsi="Arial" w:cs="Arial"/>
          <w:lang w:val="es-ES_tradnl"/>
        </w:rPr>
      </w:pPr>
    </w:p>
    <w:sectPr w:rsidR="00453A53" w:rsidRPr="00E23980"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5F02C" w14:textId="77777777" w:rsidR="00F063A0" w:rsidRDefault="00F063A0">
      <w:r>
        <w:separator/>
      </w:r>
    </w:p>
  </w:endnote>
  <w:endnote w:type="continuationSeparator" w:id="0">
    <w:p w14:paraId="4638C2BD" w14:textId="77777777" w:rsidR="00F063A0" w:rsidRDefault="00F063A0">
      <w:r>
        <w:continuationSeparator/>
      </w:r>
    </w:p>
  </w:endnote>
  <w:endnote w:type="continuationNotice" w:id="1">
    <w:p w14:paraId="5BC3A10D" w14:textId="77777777" w:rsidR="00F063A0" w:rsidRDefault="00F063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1E5B84" w:rsidRPr="00EC6D8D" w:rsidRDefault="001E5B84"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0B0DF3">
      <w:rPr>
        <w:rFonts w:ascii="Arial" w:hAnsi="Arial" w:cs="Arial"/>
        <w:b/>
        <w:bCs/>
        <w:noProof/>
        <w:color w:val="7F7F7F"/>
        <w:sz w:val="16"/>
        <w:szCs w:val="16"/>
      </w:rPr>
      <w:t>24</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0B0DF3">
      <w:rPr>
        <w:rFonts w:ascii="Arial" w:hAnsi="Arial" w:cs="Arial"/>
        <w:b/>
        <w:bCs/>
        <w:noProof/>
        <w:color w:val="7F7F7F"/>
        <w:sz w:val="16"/>
        <w:szCs w:val="16"/>
      </w:rPr>
      <w:t>25</w:t>
    </w:r>
    <w:r w:rsidRPr="00EC6D8D">
      <w:rPr>
        <w:rFonts w:ascii="Arial" w:hAnsi="Arial" w:cs="Arial"/>
        <w:b/>
        <w:bCs/>
        <w:color w:val="7F7F7F"/>
        <w:sz w:val="16"/>
        <w:szCs w:val="16"/>
      </w:rPr>
      <w:fldChar w:fldCharType="end"/>
    </w:r>
  </w:p>
  <w:p w14:paraId="48FC6A04" w14:textId="5FD1A7C9" w:rsidR="001E5B84" w:rsidRDefault="001E5B84"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1E5B84" w:rsidRDefault="001E5B84" w:rsidP="007B0854">
    <w:pPr>
      <w:pStyle w:val="Piedepgina"/>
      <w:jc w:val="center"/>
      <w:rPr>
        <w:lang w:val="es-ES"/>
      </w:rPr>
    </w:pPr>
  </w:p>
  <w:p w14:paraId="6C0EFC49" w14:textId="77777777" w:rsidR="001E5B84" w:rsidRPr="007B0854" w:rsidRDefault="001E5B84" w:rsidP="007B0854">
    <w:pPr>
      <w:pStyle w:val="Piedepgina"/>
      <w:jc w:val="center"/>
      <w:rPr>
        <w:lang w:val="es-ES"/>
      </w:rPr>
    </w:pPr>
  </w:p>
  <w:p w14:paraId="1963EBF8" w14:textId="77777777" w:rsidR="001E5B84" w:rsidRDefault="001E5B84"/>
  <w:p w14:paraId="2CCD54A3" w14:textId="77777777" w:rsidR="001E5B84" w:rsidRDefault="001E5B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2EFA6" w14:textId="77777777" w:rsidR="00F063A0" w:rsidRDefault="00F063A0">
      <w:r>
        <w:separator/>
      </w:r>
    </w:p>
  </w:footnote>
  <w:footnote w:type="continuationSeparator" w:id="0">
    <w:p w14:paraId="02BDF155" w14:textId="77777777" w:rsidR="00F063A0" w:rsidRDefault="00F063A0">
      <w:r>
        <w:continuationSeparator/>
      </w:r>
    </w:p>
  </w:footnote>
  <w:footnote w:type="continuationNotice" w:id="1">
    <w:p w14:paraId="6B1B7CD3" w14:textId="77777777" w:rsidR="00F063A0" w:rsidRDefault="00F063A0"/>
  </w:footnote>
  <w:footnote w:id="2">
    <w:p w14:paraId="59C30AC8" w14:textId="77777777" w:rsidR="001E5B84" w:rsidRDefault="001E5B84" w:rsidP="0017145A">
      <w:pPr>
        <w:pStyle w:val="Textonotapie"/>
        <w:ind w:firstLine="708"/>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sidRPr="00CB776B">
        <w:rPr>
          <w:rFonts w:ascii="Arial" w:hAnsi="Arial" w:cs="Arial"/>
          <w:color w:val="000000" w:themeColor="text1"/>
          <w:sz w:val="19"/>
          <w:szCs w:val="19"/>
          <w:lang w:val="pt-BR"/>
        </w:rPr>
        <w:t xml:space="preserve"> CORTE CONSTITUCIONAL. Sentencia C-452 de 1999. </w:t>
      </w:r>
      <w:r>
        <w:rPr>
          <w:rFonts w:ascii="Arial" w:hAnsi="Arial" w:cs="Arial"/>
          <w:color w:val="000000" w:themeColor="text1"/>
          <w:sz w:val="19"/>
          <w:szCs w:val="19"/>
        </w:rPr>
        <w:t xml:space="preserve">M.P. Eduardo Cifuentes Muñoz. </w:t>
      </w:r>
    </w:p>
    <w:p w14:paraId="2A818355" w14:textId="77777777" w:rsidR="001E5B84" w:rsidRDefault="001E5B84" w:rsidP="0017145A">
      <w:pPr>
        <w:pStyle w:val="Textonotapie"/>
        <w:ind w:firstLine="708"/>
        <w:jc w:val="both"/>
        <w:rPr>
          <w:rFonts w:ascii="Arial" w:hAnsi="Arial" w:cs="Arial"/>
          <w:color w:val="000000" w:themeColor="text1"/>
          <w:sz w:val="19"/>
          <w:szCs w:val="19"/>
        </w:rPr>
      </w:pPr>
    </w:p>
  </w:footnote>
  <w:footnote w:id="3">
    <w:p w14:paraId="78B1ADF0" w14:textId="77777777" w:rsidR="001E5B84" w:rsidRPr="003D2AAA" w:rsidRDefault="001E5B84" w:rsidP="0017145A">
      <w:pPr>
        <w:pStyle w:val="Textonotapie"/>
        <w:ind w:firstLine="708"/>
        <w:jc w:val="both"/>
        <w:rPr>
          <w:rFonts w:ascii="Arial" w:hAnsi="Arial" w:cs="Arial"/>
          <w:sz w:val="19"/>
          <w:szCs w:val="19"/>
        </w:rPr>
      </w:pPr>
      <w:r w:rsidRPr="003D2AAA">
        <w:rPr>
          <w:rStyle w:val="Refdenotaalpie"/>
          <w:rFonts w:ascii="Arial" w:hAnsi="Arial" w:cs="Arial"/>
          <w:sz w:val="19"/>
          <w:szCs w:val="19"/>
        </w:rPr>
        <w:footnoteRef/>
      </w:r>
      <w:r w:rsidRPr="003D2AAA">
        <w:rPr>
          <w:rFonts w:ascii="Arial" w:hAnsi="Arial" w:cs="Arial"/>
          <w:sz w:val="19"/>
          <w:szCs w:val="19"/>
        </w:rPr>
        <w:t xml:space="preserve"> </w:t>
      </w:r>
      <w:r>
        <w:rPr>
          <w:rFonts w:ascii="Arial" w:hAnsi="Arial" w:cs="Arial"/>
          <w:sz w:val="19"/>
          <w:szCs w:val="19"/>
        </w:rPr>
        <w:t>Al respecto, el inciso segundo del artículo 41 de la Ley 80 de 1993 dispone que «P</w:t>
      </w:r>
      <w:r w:rsidRPr="00246DE3">
        <w:rPr>
          <w:rFonts w:ascii="Arial" w:hAnsi="Arial" w:cs="Arial"/>
          <w:sz w:val="19"/>
          <w:szCs w:val="19"/>
        </w:rPr>
        <w:t>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r>
        <w:rPr>
          <w:rFonts w:ascii="Arial" w:hAnsi="Arial" w:cs="Arial"/>
          <w:sz w:val="19"/>
          <w:szCs w:val="19"/>
        </w:rPr>
        <w:t>»</w:t>
      </w:r>
      <w:r w:rsidRPr="00246DE3">
        <w:rPr>
          <w:rFonts w:ascii="Arial" w:hAnsi="Arial" w:cs="Arial"/>
          <w:sz w:val="19"/>
          <w:szCs w:val="19"/>
        </w:rPr>
        <w:t>.</w:t>
      </w:r>
    </w:p>
  </w:footnote>
  <w:footnote w:id="4">
    <w:p w14:paraId="206C043E" w14:textId="348354C6" w:rsidR="0089616D" w:rsidRDefault="0089616D" w:rsidP="00CB776B">
      <w:pPr>
        <w:pStyle w:val="Textonotapie"/>
        <w:ind w:firstLine="709"/>
        <w:jc w:val="both"/>
        <w:rPr>
          <w:rFonts w:ascii="Arial" w:eastAsia="Arial" w:hAnsi="Arial" w:cs="Arial"/>
          <w:sz w:val="19"/>
          <w:szCs w:val="19"/>
          <w:lang w:val="es-ES"/>
        </w:rPr>
      </w:pPr>
      <w:r>
        <w:rPr>
          <w:rStyle w:val="Refdenotaalpie"/>
        </w:rPr>
        <w:footnoteRef/>
      </w:r>
      <w:r>
        <w:t xml:space="preserve"> </w:t>
      </w:r>
      <w:r w:rsidRPr="00CB776B">
        <w:rPr>
          <w:rFonts w:ascii="Arial" w:eastAsia="Arial" w:hAnsi="Arial" w:cs="Arial"/>
          <w:sz w:val="19"/>
          <w:szCs w:val="19"/>
          <w:lang w:val="es-ES"/>
        </w:rPr>
        <w:t xml:space="preserve">CONSEJO DE ESTADO. </w:t>
      </w:r>
      <w:r w:rsidR="00CB776B">
        <w:rPr>
          <w:rFonts w:ascii="Arial" w:eastAsia="Arial" w:hAnsi="Arial" w:cs="Arial"/>
          <w:sz w:val="19"/>
          <w:szCs w:val="19"/>
          <w:lang w:val="es-ES"/>
        </w:rPr>
        <w:t xml:space="preserve">Sentencia del 22 de junio de 2001. </w:t>
      </w:r>
      <w:r w:rsidRPr="00CB776B">
        <w:rPr>
          <w:rFonts w:ascii="Arial" w:eastAsia="Arial" w:hAnsi="Arial" w:cs="Arial"/>
          <w:sz w:val="19"/>
          <w:szCs w:val="19"/>
          <w:lang w:val="es-ES"/>
        </w:rPr>
        <w:t xml:space="preserve">Sección Tercera. </w:t>
      </w:r>
      <w:r>
        <w:rPr>
          <w:rFonts w:ascii="Arial" w:eastAsia="Arial" w:hAnsi="Arial" w:cs="Arial"/>
          <w:sz w:val="19"/>
          <w:szCs w:val="19"/>
          <w:lang w:val="es-ES"/>
        </w:rPr>
        <w:t>Exp.</w:t>
      </w:r>
      <w:r w:rsidRPr="00CB776B">
        <w:rPr>
          <w:rFonts w:ascii="Arial" w:eastAsia="Arial" w:hAnsi="Arial" w:cs="Arial"/>
          <w:sz w:val="19"/>
          <w:szCs w:val="19"/>
          <w:lang w:val="es-ES"/>
        </w:rPr>
        <w:t xml:space="preserve"> 13.436. C.P. Ricardo Hoyos Duque.</w:t>
      </w:r>
    </w:p>
    <w:p w14:paraId="22A51DB6" w14:textId="77777777" w:rsidR="0089616D" w:rsidRPr="00AD2808" w:rsidRDefault="0089616D" w:rsidP="0089616D">
      <w:pPr>
        <w:pStyle w:val="Textonotapie"/>
        <w:ind w:firstLine="709"/>
        <w:rPr>
          <w:rFonts w:ascii="Arial" w:eastAsia="Arial" w:hAnsi="Arial" w:cs="Arial"/>
          <w:sz w:val="18"/>
          <w:szCs w:val="22"/>
          <w:lang w:val="es-ES"/>
        </w:rPr>
      </w:pPr>
    </w:p>
  </w:footnote>
  <w:footnote w:id="5">
    <w:p w14:paraId="0D43E48C" w14:textId="0FDB83D1" w:rsidR="001E5B84" w:rsidRDefault="001E5B84" w:rsidP="00C37CFF">
      <w:pPr>
        <w:pStyle w:val="Textonotapie"/>
        <w:ind w:firstLine="709"/>
        <w:rPr>
          <w:rFonts w:ascii="Arial" w:hAnsi="Arial" w:cs="Arial"/>
          <w:sz w:val="19"/>
          <w:szCs w:val="19"/>
        </w:rPr>
      </w:pPr>
      <w:r w:rsidRPr="00C37CFF">
        <w:rPr>
          <w:rStyle w:val="Refdenotaalpie"/>
          <w:rFonts w:ascii="Arial" w:hAnsi="Arial" w:cs="Arial"/>
          <w:sz w:val="19"/>
          <w:szCs w:val="19"/>
        </w:rPr>
        <w:footnoteRef/>
      </w:r>
      <w:r w:rsidRPr="00C37CFF">
        <w:rPr>
          <w:rFonts w:ascii="Arial" w:hAnsi="Arial" w:cs="Arial"/>
          <w:sz w:val="19"/>
          <w:szCs w:val="19"/>
        </w:rPr>
        <w:t xml:space="preserve"> </w:t>
      </w:r>
      <w:r>
        <w:rPr>
          <w:rFonts w:ascii="Arial" w:hAnsi="Arial" w:cs="Arial"/>
          <w:sz w:val="19"/>
          <w:szCs w:val="19"/>
        </w:rPr>
        <w:t>PÉ</w:t>
      </w:r>
      <w:r w:rsidRPr="00F259F1">
        <w:rPr>
          <w:rFonts w:ascii="Arial" w:hAnsi="Arial" w:cs="Arial"/>
          <w:sz w:val="19"/>
          <w:szCs w:val="19"/>
        </w:rPr>
        <w:t>REZ RUEDA, Ch</w:t>
      </w:r>
      <w:r w:rsidR="0089616D">
        <w:rPr>
          <w:rFonts w:ascii="Arial" w:hAnsi="Arial" w:cs="Arial"/>
          <w:sz w:val="19"/>
          <w:szCs w:val="19"/>
        </w:rPr>
        <w:t>r</w:t>
      </w:r>
      <w:r w:rsidRPr="00F259F1">
        <w:rPr>
          <w:rFonts w:ascii="Arial" w:hAnsi="Arial" w:cs="Arial"/>
          <w:sz w:val="19"/>
          <w:szCs w:val="19"/>
        </w:rPr>
        <w:t xml:space="preserve">istian Eduardo. El amparo de anticipo en el seguro de cumplimiento entre particulares. Revista Ibero-Latinoamericana de Seguros, </w:t>
      </w:r>
      <w:r>
        <w:rPr>
          <w:rFonts w:ascii="Arial" w:hAnsi="Arial" w:cs="Arial"/>
          <w:sz w:val="19"/>
          <w:szCs w:val="19"/>
        </w:rPr>
        <w:t>2012, vol. 21, no 37, p. 205</w:t>
      </w:r>
      <w:r w:rsidRPr="00F259F1">
        <w:rPr>
          <w:rFonts w:ascii="Arial" w:hAnsi="Arial" w:cs="Arial"/>
          <w:sz w:val="19"/>
          <w:szCs w:val="19"/>
        </w:rPr>
        <w:t>.</w:t>
      </w:r>
    </w:p>
    <w:p w14:paraId="6A3BC8FB" w14:textId="77777777" w:rsidR="00003233" w:rsidRPr="00C37CFF" w:rsidRDefault="00003233" w:rsidP="00C37CFF">
      <w:pPr>
        <w:pStyle w:val="Textonotapie"/>
        <w:ind w:firstLine="709"/>
        <w:rPr>
          <w:rFonts w:ascii="Arial" w:hAnsi="Arial" w:cs="Arial"/>
          <w:sz w:val="19"/>
          <w:szCs w:val="19"/>
          <w:lang w:val="es-CO"/>
        </w:rPr>
      </w:pPr>
    </w:p>
  </w:footnote>
  <w:footnote w:id="6">
    <w:p w14:paraId="4076843F" w14:textId="2AB35953" w:rsidR="001E5B84" w:rsidRPr="00C37CFF" w:rsidRDefault="001E5B84" w:rsidP="00AD2808">
      <w:pPr>
        <w:tabs>
          <w:tab w:val="left" w:pos="0"/>
        </w:tabs>
        <w:spacing w:before="87" w:line="242" w:lineRule="auto"/>
        <w:ind w:right="308" w:firstLine="709"/>
        <w:jc w:val="both"/>
        <w:rPr>
          <w:rFonts w:ascii="Arial" w:eastAsia="Arial" w:hAnsi="Arial" w:cs="Arial"/>
          <w:sz w:val="19"/>
          <w:szCs w:val="19"/>
          <w:lang w:val="es-ES" w:eastAsia="en-US"/>
        </w:rPr>
      </w:pPr>
      <w:r w:rsidRPr="00C37CFF">
        <w:rPr>
          <w:rStyle w:val="Refdenotaalpie"/>
          <w:rFonts w:asciiTheme="minorHAnsi" w:hAnsiTheme="minorHAnsi" w:cstheme="minorHAnsi"/>
          <w:sz w:val="19"/>
          <w:szCs w:val="19"/>
        </w:rPr>
        <w:footnoteRef/>
      </w:r>
      <w:r w:rsidRPr="00C37CFF">
        <w:rPr>
          <w:rFonts w:ascii="Arial" w:hAnsi="Arial" w:cs="Arial"/>
          <w:sz w:val="19"/>
          <w:szCs w:val="19"/>
        </w:rPr>
        <w:t>«</w:t>
      </w:r>
      <w:r w:rsidRPr="00C37CFF">
        <w:rPr>
          <w:rFonts w:ascii="Arial" w:eastAsia="Arial" w:hAnsi="Arial" w:cs="Arial"/>
          <w:sz w:val="19"/>
          <w:szCs w:val="19"/>
          <w:lang w:val="es-ES" w:eastAsia="en-US"/>
        </w:rPr>
        <w:t>Artículo 91. Anticipos. En los contratos de obra, concesión, salud, o los que se realicen por licitación pública, el contratista deberá constituir una fiducia o un patrimonio autónomo irrevocable para el manejo de los recursos que reciba a título de anticipo, con el fin de garantizar que dichos recursos se apliquen exclusivamente a la ejecución del contrato correspondiente, salvo que el contrato sea de menor o mínima cuantía.</w:t>
      </w:r>
    </w:p>
    <w:p w14:paraId="5957BBE6" w14:textId="1090F9FB" w:rsidR="001E5B84" w:rsidRPr="00C37CFF" w:rsidRDefault="001E5B84" w:rsidP="00AD2808">
      <w:pPr>
        <w:ind w:firstLine="709"/>
        <w:jc w:val="both"/>
        <w:rPr>
          <w:rFonts w:ascii="Arial" w:eastAsia="Arial" w:hAnsi="Arial" w:cs="Arial"/>
          <w:sz w:val="19"/>
          <w:szCs w:val="19"/>
          <w:lang w:val="es-ES" w:eastAsia="en-US"/>
        </w:rPr>
      </w:pPr>
      <w:r w:rsidRPr="00C37CFF">
        <w:rPr>
          <w:rFonts w:ascii="Arial" w:eastAsia="Calibri" w:hAnsi="Arial" w:cs="Arial"/>
          <w:sz w:val="19"/>
          <w:szCs w:val="19"/>
          <w:lang w:val="es-ES_tradnl"/>
        </w:rPr>
        <w:t>»</w:t>
      </w:r>
      <w:r w:rsidRPr="00C37CFF">
        <w:rPr>
          <w:rFonts w:ascii="Arial" w:eastAsia="Arial" w:hAnsi="Arial" w:cs="Arial"/>
          <w:sz w:val="19"/>
          <w:szCs w:val="19"/>
          <w:lang w:val="es-ES" w:eastAsia="en-US"/>
        </w:rPr>
        <w:t>El costo de la comisión fiduciaria será cubierto directamente por el contratista.</w:t>
      </w:r>
    </w:p>
    <w:p w14:paraId="06AAAEB8" w14:textId="20AA8064" w:rsidR="001E5B84" w:rsidRDefault="001E5B84" w:rsidP="00AD2808">
      <w:pPr>
        <w:ind w:right="234" w:firstLine="709"/>
        <w:jc w:val="both"/>
        <w:rPr>
          <w:rFonts w:ascii="Arial" w:eastAsia="Arial" w:hAnsi="Arial" w:cs="Arial"/>
          <w:sz w:val="19"/>
          <w:szCs w:val="19"/>
          <w:lang w:val="es-ES" w:eastAsia="en-US"/>
        </w:rPr>
      </w:pPr>
      <w:r w:rsidRPr="00C37CFF">
        <w:rPr>
          <w:rFonts w:ascii="Arial" w:eastAsia="Calibri" w:hAnsi="Arial" w:cs="Arial"/>
          <w:sz w:val="19"/>
          <w:szCs w:val="19"/>
          <w:lang w:val="es-ES_tradnl"/>
        </w:rPr>
        <w:t>»</w:t>
      </w:r>
      <w:r w:rsidRPr="00C37CFF">
        <w:rPr>
          <w:rFonts w:ascii="Arial" w:eastAsia="Arial" w:hAnsi="Arial" w:cs="Arial"/>
          <w:sz w:val="19"/>
          <w:szCs w:val="19"/>
          <w:lang w:val="es-ES" w:eastAsia="en-US"/>
        </w:rPr>
        <w:t>Parágrafo. La información financiera y contable de la fiducia podrá ser consultada por los Organismos de Vigilancia y Control Fiscal</w:t>
      </w:r>
      <w:r w:rsidRPr="00C37CFF">
        <w:rPr>
          <w:rFonts w:ascii="Arial" w:eastAsia="Calibri" w:hAnsi="Arial" w:cs="Arial"/>
          <w:sz w:val="19"/>
          <w:szCs w:val="19"/>
          <w:lang w:val="es-ES_tradnl"/>
        </w:rPr>
        <w:t>»</w:t>
      </w:r>
      <w:r w:rsidRPr="00C37CFF">
        <w:rPr>
          <w:rFonts w:ascii="Arial" w:eastAsia="Arial" w:hAnsi="Arial" w:cs="Arial"/>
          <w:sz w:val="19"/>
          <w:szCs w:val="19"/>
          <w:lang w:val="es-ES" w:eastAsia="en-US"/>
        </w:rPr>
        <w:t xml:space="preserve">. </w:t>
      </w:r>
    </w:p>
    <w:p w14:paraId="0A8735EF" w14:textId="77777777" w:rsidR="00484074" w:rsidRPr="00C37CFF" w:rsidRDefault="00484074" w:rsidP="00AD2808">
      <w:pPr>
        <w:ind w:right="234" w:firstLine="709"/>
        <w:jc w:val="both"/>
        <w:rPr>
          <w:sz w:val="19"/>
          <w:szCs w:val="19"/>
        </w:rPr>
      </w:pPr>
    </w:p>
  </w:footnote>
  <w:footnote w:id="7">
    <w:p w14:paraId="35ABE487" w14:textId="77777777" w:rsidR="001E5B84" w:rsidRPr="003766A0" w:rsidRDefault="001E5B84" w:rsidP="0017145A">
      <w:pPr>
        <w:pStyle w:val="Textonotapie"/>
        <w:ind w:firstLine="708"/>
        <w:jc w:val="both"/>
        <w:rPr>
          <w:rFonts w:ascii="Arial" w:eastAsia="Calibri" w:hAnsi="Arial" w:cs="Arial"/>
          <w:color w:val="000000" w:themeColor="text1"/>
          <w:sz w:val="19"/>
          <w:szCs w:val="19"/>
          <w:lang w:val="es-ES_tradnl"/>
        </w:rPr>
      </w:pPr>
      <w:r w:rsidRPr="003766A0">
        <w:rPr>
          <w:rStyle w:val="Refdenotaalpie"/>
          <w:color w:val="000000" w:themeColor="text1"/>
        </w:rPr>
        <w:footnoteRef/>
      </w:r>
      <w:r w:rsidRPr="003766A0">
        <w:rPr>
          <w:color w:val="000000" w:themeColor="text1"/>
        </w:rPr>
        <w:t xml:space="preserve"> </w:t>
      </w:r>
      <w:r w:rsidRPr="003766A0">
        <w:rPr>
          <w:rFonts w:ascii="Arial" w:eastAsia="Calibri" w:hAnsi="Arial" w:cs="Arial"/>
          <w:color w:val="000000" w:themeColor="text1"/>
          <w:sz w:val="19"/>
          <w:szCs w:val="19"/>
          <w:lang w:val="es-ES_tradnl"/>
        </w:rPr>
        <w:t xml:space="preserve">Esta norma dispone que «Los contratos para construcción de edificios, celebrados con un empresario que se encarga de toda la obra por un precio único prefijado, se sujetan además a las reglas siguientes: </w:t>
      </w:r>
    </w:p>
    <w:p w14:paraId="1E6AEE81" w14:textId="77777777" w:rsidR="001E5B84" w:rsidRPr="003766A0" w:rsidRDefault="001E5B84" w:rsidP="0017145A">
      <w:pPr>
        <w:pStyle w:val="Textonotapie"/>
        <w:ind w:firstLine="708"/>
        <w:jc w:val="both"/>
        <w:rPr>
          <w:rFonts w:ascii="Arial" w:eastAsia="Calibri" w:hAnsi="Arial" w:cs="Arial"/>
          <w:color w:val="000000" w:themeColor="text1"/>
          <w:sz w:val="19"/>
          <w:szCs w:val="19"/>
          <w:lang w:val="es-ES_tradnl"/>
        </w:rPr>
      </w:pPr>
      <w:r w:rsidRPr="003766A0">
        <w:rPr>
          <w:rFonts w:ascii="Arial" w:eastAsia="Calibri" w:hAnsi="Arial" w:cs="Arial"/>
          <w:color w:val="000000" w:themeColor="text1"/>
          <w:sz w:val="19"/>
          <w:szCs w:val="19"/>
          <w:lang w:val="es-ES_tradnl"/>
        </w:rPr>
        <w:t xml:space="preserve">[…] </w:t>
      </w:r>
    </w:p>
    <w:p w14:paraId="074C998B" w14:textId="77777777" w:rsidR="001E5B84" w:rsidRPr="003766A0" w:rsidRDefault="001E5B84" w:rsidP="0017145A">
      <w:pPr>
        <w:pStyle w:val="Textonotapie"/>
        <w:ind w:firstLine="708"/>
        <w:jc w:val="both"/>
        <w:rPr>
          <w:color w:val="000000" w:themeColor="text1"/>
        </w:rPr>
      </w:pPr>
      <w:r w:rsidRPr="003766A0">
        <w:rPr>
          <w:rFonts w:ascii="Arial" w:eastAsia="Calibri" w:hAnsi="Arial" w:cs="Arial"/>
          <w:color w:val="000000" w:themeColor="text1"/>
          <w:sz w:val="19"/>
          <w:szCs w:val="19"/>
          <w:lang w:val="es-ES_tradnl"/>
        </w:rPr>
        <w:t xml:space="preserve">»3. Si el edificio perece o amenaza ruina, en todo o parte, en los diez años subsiguientes a su entrega, por vicio de la construcción, o por vicio del suelo que el empresario o las personas empleadas por él hayan debido conocer </w:t>
      </w:r>
      <w:r w:rsidRPr="003766A0">
        <w:rPr>
          <w:rFonts w:ascii="Arial" w:eastAsia="Calibri" w:hAnsi="Arial" w:cs="Arial"/>
          <w:color w:val="000000" w:themeColor="text1"/>
          <w:sz w:val="19"/>
          <w:szCs w:val="19"/>
          <w:lang w:val="es-ES_tradnl"/>
        </w:rPr>
        <w:t>en razón de su oficio, o por vicio de los materiales, será responsable el empresario; si los materiales han sido suministrados por el dueño, no habrá lugar a la responsabilidad del empresario sino en conformidad al artículo 2041,2057 inciso final […]».</w:t>
      </w:r>
    </w:p>
    <w:p w14:paraId="20AB1256" w14:textId="77777777" w:rsidR="001E5B84" w:rsidRPr="003766A0" w:rsidRDefault="001E5B84" w:rsidP="0017145A">
      <w:pPr>
        <w:pStyle w:val="Textonotapie"/>
        <w:ind w:firstLine="708"/>
        <w:jc w:val="both"/>
        <w:rPr>
          <w:color w:val="000000" w:themeColor="text1"/>
          <w:lang w:val="es-ES"/>
        </w:rPr>
      </w:pPr>
    </w:p>
  </w:footnote>
  <w:footnote w:id="8">
    <w:p w14:paraId="2476D4CE" w14:textId="77777777" w:rsidR="001E5B84" w:rsidRDefault="001E5B84" w:rsidP="00453A53">
      <w:pPr>
        <w:pStyle w:val="Textonotapie"/>
        <w:ind w:firstLine="709"/>
        <w:rPr>
          <w:rFonts w:ascii="Arial" w:hAnsi="Arial" w:cs="Arial"/>
          <w:sz w:val="19"/>
          <w:szCs w:val="19"/>
        </w:rPr>
      </w:pPr>
      <w:r w:rsidRPr="00914245">
        <w:rPr>
          <w:rStyle w:val="Refdenotaalpie"/>
          <w:rFonts w:ascii="Arial" w:hAnsi="Arial" w:cs="Arial"/>
          <w:sz w:val="19"/>
          <w:szCs w:val="19"/>
        </w:rPr>
        <w:footnoteRef/>
      </w:r>
      <w:r w:rsidRPr="00CB776B">
        <w:rPr>
          <w:rFonts w:ascii="Arial" w:hAnsi="Arial" w:cs="Arial"/>
          <w:sz w:val="19"/>
          <w:szCs w:val="19"/>
          <w:lang w:val="pt-BR"/>
        </w:rPr>
        <w:t xml:space="preserve"> CORTE CONSTITUCIONAL. Sentencia C-034 de 2014. </w:t>
      </w:r>
      <w:r w:rsidRPr="00914245">
        <w:rPr>
          <w:rFonts w:ascii="Arial" w:hAnsi="Arial" w:cs="Arial"/>
          <w:sz w:val="19"/>
          <w:szCs w:val="19"/>
        </w:rPr>
        <w:t xml:space="preserve">M.P. María Victoria Calle Correa. </w:t>
      </w:r>
    </w:p>
    <w:p w14:paraId="7DCEB57A" w14:textId="77777777" w:rsidR="001E5B84" w:rsidRPr="0074177D" w:rsidRDefault="001E5B84" w:rsidP="00453A53">
      <w:pPr>
        <w:pStyle w:val="Textonotapie"/>
        <w:ind w:firstLine="709"/>
        <w:rPr>
          <w:rFonts w:ascii="Arial" w:hAnsi="Arial" w:cs="Arial"/>
          <w:sz w:val="19"/>
          <w:szCs w:val="19"/>
        </w:rPr>
      </w:pPr>
    </w:p>
  </w:footnote>
  <w:footnote w:id="9">
    <w:p w14:paraId="7E1516EE" w14:textId="77777777" w:rsidR="001E5B84" w:rsidRDefault="001E5B84" w:rsidP="00453A53">
      <w:pPr>
        <w:pStyle w:val="Textonotapie"/>
        <w:ind w:firstLine="709"/>
        <w:jc w:val="both"/>
        <w:rPr>
          <w:rFonts w:ascii="Arial" w:hAnsi="Arial" w:cs="Arial"/>
          <w:sz w:val="19"/>
          <w:szCs w:val="19"/>
        </w:rPr>
      </w:pPr>
      <w:r w:rsidRPr="00914245">
        <w:rPr>
          <w:rStyle w:val="Refdenotaalpie"/>
          <w:rFonts w:ascii="Arial" w:hAnsi="Arial" w:cs="Arial"/>
          <w:sz w:val="19"/>
          <w:szCs w:val="19"/>
        </w:rPr>
        <w:footnoteRef/>
      </w:r>
      <w:r>
        <w:rPr>
          <w:rFonts w:ascii="Arial" w:hAnsi="Arial" w:cs="Arial"/>
          <w:sz w:val="19"/>
          <w:szCs w:val="19"/>
        </w:rPr>
        <w:t xml:space="preserve"> </w:t>
      </w:r>
      <w:r w:rsidRPr="00914245">
        <w:rPr>
          <w:rFonts w:ascii="Arial" w:hAnsi="Arial" w:cs="Arial"/>
          <w:sz w:val="19"/>
          <w:szCs w:val="19"/>
        </w:rPr>
        <w:t>«La extensión de las garantías del debido proceso al ámbito administrativo no implica, sin embargo, que su alcance sea idéntico en la administración de justicia y en el ejercicio de la función pública. A pesar de la importancia que tiene para el orden constitucional la vigencia del debido proceso en todos los escenarios en los que el ciudadano puede ver afectados sus derechos por actuaciones públicas (sin importar de qué rama provienen), es necesario que la interpretación de las garantías que lo componen tome en consideración los principios que caracterizan cada escenario, así como las diferencias que existen entre ellos» (</w:t>
      </w:r>
      <w:r w:rsidRPr="0074177D">
        <w:rPr>
          <w:rFonts w:ascii="Arial" w:hAnsi="Arial" w:cs="Arial"/>
          <w:i/>
          <w:iCs/>
          <w:sz w:val="19"/>
          <w:szCs w:val="19"/>
        </w:rPr>
        <w:t>Ibídem</w:t>
      </w:r>
      <w:r w:rsidRPr="00914245">
        <w:rPr>
          <w:rFonts w:ascii="Arial" w:hAnsi="Arial" w:cs="Arial"/>
          <w:sz w:val="19"/>
          <w:szCs w:val="19"/>
        </w:rPr>
        <w:t>)</w:t>
      </w:r>
      <w:r>
        <w:rPr>
          <w:rFonts w:ascii="Arial" w:hAnsi="Arial" w:cs="Arial"/>
          <w:sz w:val="19"/>
          <w:szCs w:val="19"/>
        </w:rPr>
        <w:t>.</w:t>
      </w:r>
    </w:p>
    <w:p w14:paraId="002CB93E" w14:textId="77777777" w:rsidR="00484074" w:rsidRPr="00914245" w:rsidRDefault="00484074" w:rsidP="00453A53">
      <w:pPr>
        <w:pStyle w:val="Textonotapie"/>
        <w:ind w:firstLine="709"/>
        <w:jc w:val="both"/>
        <w:rPr>
          <w:rFonts w:ascii="Arial" w:hAnsi="Arial" w:cs="Arial"/>
          <w:sz w:val="19"/>
          <w:szCs w:val="19"/>
          <w:lang w:val="es-ES"/>
        </w:rPr>
      </w:pPr>
    </w:p>
  </w:footnote>
  <w:footnote w:id="10">
    <w:p w14:paraId="0A1DB45B" w14:textId="16F6A43D" w:rsidR="001E5B84" w:rsidRDefault="001E5B84" w:rsidP="00453A53">
      <w:pPr>
        <w:pStyle w:val="Textonotapie"/>
        <w:ind w:firstLine="709"/>
        <w:rPr>
          <w:rFonts w:ascii="Arial" w:hAnsi="Arial" w:cs="Arial"/>
          <w:sz w:val="19"/>
          <w:szCs w:val="19"/>
        </w:rPr>
      </w:pPr>
      <w:r w:rsidRPr="00914245">
        <w:rPr>
          <w:rStyle w:val="Refdenotaalpie"/>
          <w:rFonts w:ascii="Arial" w:hAnsi="Arial" w:cs="Arial"/>
          <w:sz w:val="19"/>
          <w:szCs w:val="19"/>
        </w:rPr>
        <w:footnoteRef/>
      </w:r>
      <w:r w:rsidRPr="00CB776B">
        <w:rPr>
          <w:rFonts w:ascii="Arial" w:hAnsi="Arial" w:cs="Arial"/>
          <w:sz w:val="19"/>
          <w:szCs w:val="19"/>
          <w:lang w:val="pt-BR"/>
        </w:rPr>
        <w:t xml:space="preserve"> CORTE CONSTITUCIONAL. Sentencia C-640 de 2002. </w:t>
      </w:r>
      <w:r w:rsidRPr="00914245">
        <w:rPr>
          <w:rFonts w:ascii="Arial" w:hAnsi="Arial" w:cs="Arial"/>
          <w:sz w:val="19"/>
          <w:szCs w:val="19"/>
        </w:rPr>
        <w:t>M.P. Marco Gerardo Monroy Cabra.</w:t>
      </w:r>
    </w:p>
    <w:p w14:paraId="0F077F92" w14:textId="77777777" w:rsidR="004471F4" w:rsidRPr="0074177D" w:rsidRDefault="004471F4" w:rsidP="00453A53">
      <w:pPr>
        <w:pStyle w:val="Textonotapie"/>
        <w:ind w:firstLine="709"/>
        <w:rPr>
          <w:rFonts w:ascii="Arial" w:hAnsi="Arial" w:cs="Arial"/>
          <w:sz w:val="19"/>
          <w:szCs w:val="19"/>
        </w:rPr>
      </w:pPr>
    </w:p>
  </w:footnote>
  <w:footnote w:id="11">
    <w:p w14:paraId="7BEBDCD4" w14:textId="2FE66DC6" w:rsidR="001E5B84" w:rsidRPr="00914245" w:rsidRDefault="001E5B84" w:rsidP="00C577CA">
      <w:pPr>
        <w:pStyle w:val="Textonotapie"/>
        <w:ind w:firstLine="709"/>
        <w:rPr>
          <w:rFonts w:ascii="Arial" w:hAnsi="Arial" w:cs="Arial"/>
          <w:color w:val="000000" w:themeColor="text1"/>
          <w:sz w:val="19"/>
          <w:szCs w:val="19"/>
        </w:rPr>
      </w:pPr>
      <w:r w:rsidRPr="00914245">
        <w:rPr>
          <w:rStyle w:val="Refdenotaalpie"/>
          <w:rFonts w:ascii="Arial" w:hAnsi="Arial" w:cs="Arial"/>
          <w:color w:val="000000" w:themeColor="text1"/>
          <w:sz w:val="19"/>
          <w:szCs w:val="19"/>
        </w:rPr>
        <w:footnoteRef/>
      </w:r>
      <w:r w:rsidRPr="00914245">
        <w:rPr>
          <w:rFonts w:ascii="Arial" w:hAnsi="Arial" w:cs="Arial"/>
          <w:color w:val="000000" w:themeColor="text1"/>
          <w:sz w:val="19"/>
          <w:szCs w:val="19"/>
        </w:rPr>
        <w:t xml:space="preserve"> </w:t>
      </w:r>
      <w:r w:rsidR="004471F4" w:rsidRPr="00914245">
        <w:rPr>
          <w:rFonts w:ascii="Arial" w:hAnsi="Arial" w:cs="Arial"/>
          <w:color w:val="000000" w:themeColor="text1"/>
          <w:sz w:val="19"/>
          <w:szCs w:val="19"/>
        </w:rPr>
        <w:t>CORTE CONSTITUCIONAL</w:t>
      </w:r>
      <w:r w:rsidRPr="00914245">
        <w:rPr>
          <w:rFonts w:ascii="Arial" w:hAnsi="Arial" w:cs="Arial"/>
          <w:color w:val="000000" w:themeColor="text1"/>
          <w:sz w:val="19"/>
          <w:szCs w:val="19"/>
        </w:rPr>
        <w:t>. Sentencia C-499 de 2015. M.P. Mauricio González Cuervo.</w:t>
      </w:r>
    </w:p>
    <w:p w14:paraId="22839C8A" w14:textId="77777777" w:rsidR="001E5B84" w:rsidRPr="00914245" w:rsidRDefault="001E5B84" w:rsidP="00C577CA">
      <w:pPr>
        <w:pStyle w:val="Textonotapie"/>
        <w:ind w:firstLine="709"/>
        <w:rPr>
          <w:rFonts w:ascii="Arial" w:hAnsi="Arial" w:cs="Arial"/>
          <w:color w:val="000000" w:themeColor="text1"/>
          <w:sz w:val="19"/>
          <w:szCs w:val="19"/>
        </w:rPr>
      </w:pPr>
    </w:p>
  </w:footnote>
  <w:footnote w:id="12">
    <w:p w14:paraId="70DBE635" w14:textId="460C837C" w:rsidR="001E5B84" w:rsidRDefault="001E5B84" w:rsidP="00F217AB">
      <w:pPr>
        <w:pStyle w:val="Textonotapie"/>
        <w:ind w:firstLine="708"/>
        <w:jc w:val="both"/>
        <w:rPr>
          <w:rFonts w:ascii="Arial" w:hAnsi="Arial" w:cs="Arial"/>
          <w:sz w:val="19"/>
          <w:szCs w:val="19"/>
        </w:rPr>
      </w:pPr>
      <w:r w:rsidRPr="00B80E36">
        <w:rPr>
          <w:rStyle w:val="Refdenotaalpie"/>
          <w:rFonts w:ascii="Arial" w:hAnsi="Arial" w:cs="Arial"/>
          <w:sz w:val="19"/>
          <w:szCs w:val="19"/>
        </w:rPr>
        <w:footnoteRef/>
      </w:r>
      <w:r w:rsidRPr="00B80E36">
        <w:rPr>
          <w:rFonts w:ascii="Arial" w:hAnsi="Arial" w:cs="Arial"/>
          <w:sz w:val="19"/>
          <w:szCs w:val="19"/>
        </w:rPr>
        <w:t xml:space="preserve"> </w:t>
      </w:r>
      <w:r w:rsidRPr="00970176">
        <w:rPr>
          <w:rFonts w:ascii="Arial" w:hAnsi="Arial" w:cs="Arial"/>
          <w:sz w:val="19"/>
          <w:szCs w:val="19"/>
        </w:rPr>
        <w:t xml:space="preserve">No en vano, Rebollo Puig </w:t>
      </w:r>
      <w:r w:rsidRPr="00CB776B">
        <w:rPr>
          <w:rFonts w:ascii="Arial" w:hAnsi="Arial" w:cs="Arial"/>
          <w:i/>
          <w:iCs/>
          <w:sz w:val="19"/>
          <w:szCs w:val="19"/>
        </w:rPr>
        <w:t xml:space="preserve">et al </w:t>
      </w:r>
      <w:r w:rsidRPr="00970176">
        <w:rPr>
          <w:rFonts w:ascii="Arial" w:hAnsi="Arial" w:cs="Arial"/>
          <w:sz w:val="19"/>
          <w:szCs w:val="19"/>
        </w:rPr>
        <w:t xml:space="preserve">precisa «La sanción administrativa sólo puede imponerse si ésta se ha cometido en sentido estricto. Si la sanción administrativa es la figura paralela a las penas, la infracción administrativa es la figura paralela al delito. Una infracción administrativa no es cualquier incumplimiento del ordenamiento jurídico. Es sólo aquella conducta contraria a dicho ordenamiento (conducta antijurídica) que, además, está tipificada en una ley como tal infracción y a la que la misma ley atribuye una sanción administrativa. Como además se exige el requisito de la culpabilidad, se puede definir como acción u omisión antijurídica, típica y culpable para la que la ley prevé la imposición de una sanción por alguna autoridad administrativa» (REBOLLO PUIG, Manuel </w:t>
      </w:r>
      <w:r w:rsidRPr="00CB776B">
        <w:rPr>
          <w:rFonts w:ascii="Arial" w:hAnsi="Arial" w:cs="Arial"/>
          <w:i/>
          <w:iCs/>
          <w:sz w:val="19"/>
          <w:szCs w:val="19"/>
        </w:rPr>
        <w:t>et al</w:t>
      </w:r>
      <w:r w:rsidRPr="00970176">
        <w:rPr>
          <w:rFonts w:ascii="Arial" w:hAnsi="Arial" w:cs="Arial"/>
          <w:sz w:val="19"/>
          <w:szCs w:val="19"/>
        </w:rPr>
        <w:t xml:space="preserve">. Panorama del derecho administrativo sancionador en España. En: Revista de Estudios Socio-Jurídicos – Universidad del Rosario. [En línea]. 2005. Vol. 7. Núm. 001. [Citado el 28 de agosto de 2020]. Disponible en: </w:t>
      </w:r>
      <w:hyperlink r:id="rId1" w:history="1">
        <w:r w:rsidRPr="00310A35">
          <w:rPr>
            <w:rStyle w:val="Hipervnculo"/>
            <w:rFonts w:ascii="Arial" w:hAnsi="Arial" w:cs="Arial"/>
            <w:color w:val="auto"/>
            <w:sz w:val="19"/>
            <w:szCs w:val="19"/>
          </w:rPr>
          <w:t>https://helvia.uco.es/xmlui/bitstream/handle/10396/2232/73370101.pdf?sequence=1</w:t>
        </w:r>
      </w:hyperlink>
      <w:r w:rsidRPr="00310A35">
        <w:rPr>
          <w:rFonts w:ascii="Arial" w:hAnsi="Arial" w:cs="Arial"/>
          <w:sz w:val="19"/>
          <w:szCs w:val="19"/>
        </w:rPr>
        <w:t>. p. 26</w:t>
      </w:r>
      <w:r w:rsidR="004E6A1F">
        <w:rPr>
          <w:rFonts w:ascii="Arial" w:hAnsi="Arial" w:cs="Arial"/>
          <w:sz w:val="19"/>
          <w:szCs w:val="19"/>
        </w:rPr>
        <w:t>)</w:t>
      </w:r>
      <w:r w:rsidRPr="00310A35">
        <w:rPr>
          <w:rFonts w:ascii="Arial" w:hAnsi="Arial" w:cs="Arial"/>
          <w:sz w:val="19"/>
          <w:szCs w:val="19"/>
        </w:rPr>
        <w:t>.</w:t>
      </w:r>
    </w:p>
    <w:p w14:paraId="3F1B6A7A" w14:textId="77777777" w:rsidR="001E5B84" w:rsidRPr="00B80E36" w:rsidRDefault="001E5B84" w:rsidP="00F217AB">
      <w:pPr>
        <w:pStyle w:val="Textonotapie"/>
        <w:ind w:firstLine="708"/>
        <w:jc w:val="both"/>
        <w:rPr>
          <w:rFonts w:ascii="Arial" w:hAnsi="Arial" w:cs="Arial"/>
          <w:sz w:val="19"/>
          <w:szCs w:val="19"/>
          <w:lang w:val="es-CO"/>
        </w:rPr>
      </w:pPr>
    </w:p>
  </w:footnote>
  <w:footnote w:id="13">
    <w:p w14:paraId="465AAC8F" w14:textId="77777777" w:rsidR="001E5B84" w:rsidRPr="00062512" w:rsidRDefault="001E5B84" w:rsidP="00957E21">
      <w:pPr>
        <w:pStyle w:val="Textonotapie"/>
        <w:ind w:firstLine="708"/>
        <w:jc w:val="both"/>
        <w:rPr>
          <w:rFonts w:ascii="Arial" w:hAnsi="Arial" w:cs="Arial"/>
          <w:sz w:val="19"/>
          <w:szCs w:val="19"/>
        </w:rPr>
      </w:pPr>
      <w:r>
        <w:rPr>
          <w:rStyle w:val="Refdenotaalpie"/>
        </w:rPr>
        <w:footnoteRef/>
      </w:r>
      <w:r>
        <w:t xml:space="preserve"> </w:t>
      </w:r>
      <w:r>
        <w:rPr>
          <w:rFonts w:ascii="Arial" w:hAnsi="Arial" w:cs="Arial"/>
          <w:sz w:val="19"/>
          <w:szCs w:val="19"/>
        </w:rPr>
        <w:t>Al respecto, el Consejo de Estado considera explica lo siguiente: «[…]</w:t>
      </w:r>
      <w:r w:rsidRPr="00062512">
        <w:t xml:space="preserve"> </w:t>
      </w:r>
      <w:r w:rsidRPr="00062512">
        <w:rPr>
          <w:rFonts w:ascii="Arial" w:hAnsi="Arial" w:cs="Arial"/>
          <w:sz w:val="19"/>
          <w:szCs w:val="19"/>
        </w:rPr>
        <w:t>la garantía de seriedad de la oferta es una exigencia legal que se impone para participar en los procesos de selección pública de contratistas, el cual encuentra fundamento en el principio de economía que los rige, en tanto que propende porque se mantengan los ofrecimientos hechos en la propuesta y que, por tanto, los oferentes no puedan retractarse de la misma en desmedro de los intereses públicos.</w:t>
      </w:r>
    </w:p>
    <w:p w14:paraId="6DEB7E22" w14:textId="1F9AB76D" w:rsidR="001E5B84" w:rsidRDefault="001E5B84" w:rsidP="00957E21">
      <w:pPr>
        <w:pStyle w:val="Textonotapie"/>
        <w:ind w:firstLine="709"/>
        <w:jc w:val="both"/>
        <w:rPr>
          <w:rFonts w:ascii="Arial" w:hAnsi="Arial" w:cs="Arial"/>
          <w:sz w:val="19"/>
          <w:szCs w:val="19"/>
          <w:lang w:val="es-ES"/>
        </w:rPr>
      </w:pPr>
      <w:r>
        <w:rPr>
          <w:rFonts w:ascii="Arial" w:hAnsi="Arial" w:cs="Arial"/>
          <w:sz w:val="19"/>
          <w:szCs w:val="19"/>
        </w:rPr>
        <w:t>»</w:t>
      </w:r>
      <w:r w:rsidRPr="00062512">
        <w:rPr>
          <w:rFonts w:ascii="Arial" w:hAnsi="Arial" w:cs="Arial"/>
          <w:sz w:val="19"/>
          <w:szCs w:val="19"/>
        </w:rPr>
        <w:t>En ese entendido,</w:t>
      </w:r>
      <w:r>
        <w:rPr>
          <w:rFonts w:ascii="Arial" w:hAnsi="Arial" w:cs="Arial"/>
          <w:sz w:val="19"/>
          <w:szCs w:val="19"/>
        </w:rPr>
        <w:t xml:space="preserve"> […]</w:t>
      </w:r>
      <w:r w:rsidRPr="00062512">
        <w:rPr>
          <w:rFonts w:ascii="Arial" w:hAnsi="Arial" w:cs="Arial"/>
          <w:sz w:val="19"/>
          <w:szCs w:val="19"/>
        </w:rPr>
        <w:t xml:space="preserve"> la mencionada garantía le permite a la entidad contratante obtener un grado de certeza en cuanto a que la propuesta que sea escogida en el proceso licitatorio se materializará con la celebración del contrato, o, en caso contrario, le permite cobrar, a título de sanción, el valor de la respectiva garantía, sin perjuicio de que pueda iniciar las acciones pertinentes para el cobro de los perjuicios que se puedan ocasionar por la falta de suscripción del contrato</w:t>
      </w:r>
      <w:r>
        <w:rPr>
          <w:rFonts w:ascii="Arial" w:hAnsi="Arial" w:cs="Arial"/>
          <w:sz w:val="19"/>
          <w:szCs w:val="19"/>
          <w:lang w:val="es-ES"/>
        </w:rPr>
        <w:t xml:space="preserve"> […]». (</w:t>
      </w:r>
      <w:r w:rsidRPr="00062512">
        <w:rPr>
          <w:rFonts w:ascii="Arial" w:hAnsi="Arial" w:cs="Arial"/>
          <w:sz w:val="19"/>
          <w:szCs w:val="19"/>
          <w:lang w:val="es-ES"/>
        </w:rPr>
        <w:t xml:space="preserve">CONSEJO DE ESTADO. Sección Tercera. Subsección </w:t>
      </w:r>
      <w:r>
        <w:rPr>
          <w:rFonts w:ascii="Arial" w:hAnsi="Arial" w:cs="Arial"/>
          <w:sz w:val="19"/>
          <w:szCs w:val="19"/>
          <w:lang w:val="es-ES"/>
        </w:rPr>
        <w:t>A</w:t>
      </w:r>
      <w:r w:rsidRPr="00062512">
        <w:rPr>
          <w:rFonts w:ascii="Arial" w:hAnsi="Arial" w:cs="Arial"/>
          <w:sz w:val="19"/>
          <w:szCs w:val="19"/>
          <w:lang w:val="es-ES"/>
        </w:rPr>
        <w:t xml:space="preserve">. Sentencia del </w:t>
      </w:r>
      <w:r>
        <w:rPr>
          <w:rFonts w:ascii="Arial" w:hAnsi="Arial" w:cs="Arial"/>
          <w:sz w:val="19"/>
          <w:szCs w:val="19"/>
          <w:lang w:val="es-ES"/>
        </w:rPr>
        <w:t>10 de diciembre de 2018</w:t>
      </w:r>
      <w:r w:rsidRPr="00062512">
        <w:rPr>
          <w:rFonts w:ascii="Arial" w:hAnsi="Arial" w:cs="Arial"/>
          <w:sz w:val="19"/>
          <w:szCs w:val="19"/>
          <w:lang w:val="es-ES"/>
        </w:rPr>
        <w:t xml:space="preserve">. Rad. </w:t>
      </w:r>
      <w:r>
        <w:rPr>
          <w:rFonts w:ascii="Arial" w:hAnsi="Arial" w:cs="Arial"/>
          <w:sz w:val="19"/>
          <w:szCs w:val="19"/>
          <w:lang w:val="es-ES"/>
        </w:rPr>
        <w:t>39.066</w:t>
      </w:r>
      <w:r w:rsidRPr="00062512">
        <w:rPr>
          <w:rFonts w:ascii="Arial" w:hAnsi="Arial" w:cs="Arial"/>
          <w:sz w:val="19"/>
          <w:szCs w:val="19"/>
          <w:lang w:val="es-ES"/>
        </w:rPr>
        <w:t>. C.P. Carlos Alberto Zambrano Barrera</w:t>
      </w:r>
      <w:r>
        <w:rPr>
          <w:rFonts w:ascii="Arial" w:hAnsi="Arial" w:cs="Arial"/>
          <w:sz w:val="19"/>
          <w:szCs w:val="19"/>
          <w:lang w:val="es-ES"/>
        </w:rPr>
        <w:t>)</w:t>
      </w:r>
      <w:r w:rsidRPr="00062512">
        <w:rPr>
          <w:rFonts w:ascii="Arial" w:hAnsi="Arial" w:cs="Arial"/>
          <w:sz w:val="19"/>
          <w:szCs w:val="19"/>
          <w:lang w:val="es-ES"/>
        </w:rPr>
        <w:t>.</w:t>
      </w:r>
    </w:p>
    <w:p w14:paraId="0D7BA366" w14:textId="77777777" w:rsidR="001E5B84" w:rsidRPr="00957E21" w:rsidRDefault="001E5B84" w:rsidP="00957E21">
      <w:pPr>
        <w:pStyle w:val="Textonotapie"/>
        <w:rPr>
          <w:lang w:val="es-CO"/>
        </w:rPr>
      </w:pPr>
    </w:p>
  </w:footnote>
  <w:footnote w:id="14">
    <w:p w14:paraId="6987D200" w14:textId="77777777" w:rsidR="001E5B84" w:rsidRDefault="001E5B84" w:rsidP="00F217AB">
      <w:pPr>
        <w:pStyle w:val="Textonotapie"/>
        <w:ind w:firstLine="708"/>
        <w:jc w:val="both"/>
        <w:rPr>
          <w:rFonts w:ascii="Arial" w:hAnsi="Arial" w:cs="Arial"/>
          <w:sz w:val="19"/>
          <w:szCs w:val="19"/>
        </w:rPr>
      </w:pPr>
      <w:r w:rsidRPr="007D57EF">
        <w:rPr>
          <w:rStyle w:val="Refdenotaalpie"/>
          <w:rFonts w:ascii="Arial" w:hAnsi="Arial" w:cs="Arial"/>
          <w:sz w:val="19"/>
          <w:szCs w:val="19"/>
        </w:rPr>
        <w:footnoteRef/>
      </w:r>
      <w:r w:rsidRPr="007D57EF">
        <w:rPr>
          <w:rFonts w:ascii="Arial" w:hAnsi="Arial" w:cs="Arial"/>
          <w:sz w:val="19"/>
          <w:szCs w:val="19"/>
        </w:rPr>
        <w:t xml:space="preserve"> </w:t>
      </w:r>
      <w:r>
        <w:rPr>
          <w:rFonts w:ascii="Arial" w:hAnsi="Arial" w:cs="Arial"/>
          <w:sz w:val="19"/>
          <w:szCs w:val="19"/>
        </w:rPr>
        <w:t>Para los contratos derivados de la urgencia manifiesta, el inciso 4 del artículo 41 del Estatuto General de Contratación dispone que «</w:t>
      </w:r>
      <w:r w:rsidRPr="00273DA3">
        <w:rPr>
          <w:rFonts w:ascii="Arial" w:hAnsi="Arial" w:cs="Arial"/>
          <w:sz w:val="19"/>
          <w:szCs w:val="19"/>
        </w:rPr>
        <w:t xml:space="preserve">En caso de situaciones de urgencia manifiesta a que se refiere el artículo 42 de esta ley que no permitan la suscripción de contrato escrito, se prescindirá de éste y aún del acuerdo acerca de la remuneración, no </w:t>
      </w:r>
      <w:r w:rsidRPr="00273DA3">
        <w:rPr>
          <w:rFonts w:ascii="Arial" w:hAnsi="Arial" w:cs="Arial"/>
          <w:sz w:val="19"/>
          <w:szCs w:val="19"/>
        </w:rPr>
        <w:t>obstante deberá dejarse constancia escrita de la autorización impartida por la entidad estatal contratante</w:t>
      </w:r>
      <w:r>
        <w:rPr>
          <w:rFonts w:ascii="Arial" w:hAnsi="Arial" w:cs="Arial"/>
          <w:sz w:val="19"/>
          <w:szCs w:val="19"/>
        </w:rPr>
        <w:t>»</w:t>
      </w:r>
      <w:r w:rsidRPr="00273DA3">
        <w:rPr>
          <w:rFonts w:ascii="Arial" w:hAnsi="Arial" w:cs="Arial"/>
          <w:sz w:val="19"/>
          <w:szCs w:val="19"/>
        </w:rPr>
        <w:t>.</w:t>
      </w:r>
    </w:p>
    <w:p w14:paraId="1A90312E" w14:textId="77777777" w:rsidR="001E5B84" w:rsidRDefault="001E5B84" w:rsidP="00F217AB">
      <w:pPr>
        <w:pStyle w:val="Textonotapie"/>
        <w:ind w:firstLine="708"/>
        <w:jc w:val="both"/>
        <w:rPr>
          <w:rFonts w:ascii="Arial" w:hAnsi="Arial" w:cs="Arial"/>
          <w:sz w:val="19"/>
          <w:szCs w:val="19"/>
        </w:rPr>
      </w:pPr>
      <w:r>
        <w:rPr>
          <w:rFonts w:ascii="Arial" w:hAnsi="Arial" w:cs="Arial"/>
          <w:sz w:val="19"/>
          <w:szCs w:val="19"/>
        </w:rPr>
        <w:t>Por otra parte, para el procedimiento de selección de mínima cuantía, el artículo 94, literal d), de la Ley 1474 de 2011 prescribe lo siguiente «L</w:t>
      </w:r>
      <w:r w:rsidRPr="00250A60">
        <w:rPr>
          <w:rFonts w:ascii="Arial" w:hAnsi="Arial" w:cs="Arial"/>
          <w:sz w:val="19"/>
          <w:szCs w:val="19"/>
        </w:rPr>
        <w:t>a comunicación de aceptación junto con la oferta constituyen para todos los efectos el contrato celebrado, con base en lo cual se efectuará el respectivo registro presupuestal</w:t>
      </w:r>
      <w:r>
        <w:rPr>
          <w:rFonts w:ascii="Arial" w:hAnsi="Arial" w:cs="Arial"/>
          <w:sz w:val="19"/>
          <w:szCs w:val="19"/>
        </w:rPr>
        <w:t>»</w:t>
      </w:r>
      <w:r w:rsidRPr="00250A60">
        <w:rPr>
          <w:rFonts w:ascii="Arial" w:hAnsi="Arial" w:cs="Arial"/>
          <w:sz w:val="19"/>
          <w:szCs w:val="19"/>
        </w:rPr>
        <w:t>.</w:t>
      </w:r>
    </w:p>
    <w:p w14:paraId="28BB69C2" w14:textId="77777777" w:rsidR="001E5B84" w:rsidRPr="00CB0C4E" w:rsidRDefault="001E5B84" w:rsidP="00F217AB">
      <w:pPr>
        <w:pStyle w:val="Textonotapie"/>
        <w:ind w:firstLine="708"/>
        <w:jc w:val="both"/>
        <w:rPr>
          <w:rFonts w:ascii="Arial" w:hAnsi="Arial" w:cs="Arial"/>
          <w:sz w:val="19"/>
          <w:szCs w:val="19"/>
        </w:rPr>
      </w:pPr>
      <w:r>
        <w:rPr>
          <w:rFonts w:ascii="Arial" w:hAnsi="Arial" w:cs="Arial"/>
          <w:sz w:val="19"/>
          <w:szCs w:val="19"/>
        </w:rPr>
        <w:t xml:space="preserve"> </w:t>
      </w:r>
    </w:p>
  </w:footnote>
  <w:footnote w:id="15">
    <w:p w14:paraId="38D50C39" w14:textId="77777777" w:rsidR="001E5B84" w:rsidRPr="007D57EF" w:rsidRDefault="001E5B84" w:rsidP="00F217AB">
      <w:pPr>
        <w:pStyle w:val="Textonotapie"/>
        <w:ind w:firstLine="708"/>
        <w:jc w:val="both"/>
        <w:rPr>
          <w:rFonts w:ascii="Arial" w:hAnsi="Arial" w:cs="Arial"/>
          <w:sz w:val="19"/>
          <w:szCs w:val="19"/>
        </w:rPr>
      </w:pPr>
      <w:r w:rsidRPr="007D57EF">
        <w:rPr>
          <w:rStyle w:val="Refdenotaalpie"/>
          <w:rFonts w:ascii="Arial" w:hAnsi="Arial" w:cs="Arial"/>
          <w:sz w:val="19"/>
          <w:szCs w:val="19"/>
        </w:rPr>
        <w:footnoteRef/>
      </w:r>
      <w:r w:rsidRPr="007D57EF">
        <w:rPr>
          <w:rFonts w:ascii="Arial" w:hAnsi="Arial" w:cs="Arial"/>
          <w:sz w:val="19"/>
          <w:szCs w:val="19"/>
        </w:rPr>
        <w:t xml:space="preserve"> Cfr. IBAGÓN </w:t>
      </w:r>
      <w:r w:rsidRPr="007D57EF">
        <w:rPr>
          <w:rFonts w:ascii="Arial" w:hAnsi="Arial" w:cs="Arial"/>
          <w:sz w:val="19"/>
          <w:szCs w:val="19"/>
        </w:rPr>
        <w:t>IBAGÓN, Mónica Liliana. El principio de Estado de Derecho y los contratos estatales: la forma escrita de los contratos en Alemania y en Colombia. Bogotá: Universidad Externado de Colombia, 2004. pp. 383.</w:t>
      </w:r>
    </w:p>
    <w:p w14:paraId="6042AAE4" w14:textId="77777777" w:rsidR="001E5B84" w:rsidRPr="007D57EF" w:rsidRDefault="001E5B84" w:rsidP="00F217AB">
      <w:pPr>
        <w:pStyle w:val="Textonotapie"/>
        <w:ind w:firstLine="708"/>
        <w:jc w:val="both"/>
        <w:rPr>
          <w:rFonts w:ascii="Arial" w:hAnsi="Arial" w:cs="Arial"/>
          <w:sz w:val="19"/>
          <w:szCs w:val="19"/>
          <w:lang w:val="es-ES"/>
        </w:rPr>
      </w:pPr>
      <w:r w:rsidRPr="007D57EF">
        <w:rPr>
          <w:rFonts w:ascii="Arial" w:hAnsi="Arial" w:cs="Arial"/>
          <w:sz w:val="19"/>
          <w:szCs w:val="19"/>
        </w:rPr>
        <w:t xml:space="preserve"> </w:t>
      </w:r>
    </w:p>
  </w:footnote>
  <w:footnote w:id="16">
    <w:p w14:paraId="78A2D1E7" w14:textId="77777777" w:rsidR="001E5B84" w:rsidRDefault="001E5B84" w:rsidP="00F217AB">
      <w:pPr>
        <w:pStyle w:val="Textonotapie"/>
        <w:ind w:firstLine="708"/>
        <w:jc w:val="both"/>
        <w:rPr>
          <w:rFonts w:ascii="Arial" w:hAnsi="Arial" w:cs="Arial"/>
          <w:sz w:val="19"/>
          <w:szCs w:val="19"/>
        </w:rPr>
      </w:pPr>
      <w:r w:rsidRPr="007D57EF">
        <w:rPr>
          <w:rStyle w:val="Refdenotaalpie"/>
          <w:rFonts w:ascii="Arial" w:hAnsi="Arial" w:cs="Arial"/>
          <w:sz w:val="19"/>
          <w:szCs w:val="19"/>
        </w:rPr>
        <w:footnoteRef/>
      </w:r>
      <w:r w:rsidRPr="007D57EF">
        <w:rPr>
          <w:rFonts w:ascii="Arial" w:hAnsi="Arial" w:cs="Arial"/>
          <w:sz w:val="19"/>
          <w:szCs w:val="19"/>
        </w:rPr>
        <w:t xml:space="preserve"> DROMI, José Roberto. La licitación pública. Buenos Aires: Ciudad Argentina, 1980. p. 390.</w:t>
      </w:r>
    </w:p>
    <w:p w14:paraId="195B8C66" w14:textId="77777777" w:rsidR="001E5B84" w:rsidRPr="007D57EF" w:rsidRDefault="001E5B84" w:rsidP="00F217AB">
      <w:pPr>
        <w:pStyle w:val="Textonotapie"/>
        <w:ind w:firstLine="708"/>
        <w:jc w:val="both"/>
        <w:rPr>
          <w:rFonts w:ascii="Arial" w:hAnsi="Arial" w:cs="Arial"/>
          <w:sz w:val="19"/>
          <w:szCs w:val="19"/>
        </w:rPr>
      </w:pPr>
    </w:p>
  </w:footnote>
  <w:footnote w:id="17">
    <w:p w14:paraId="6825D3BC" w14:textId="77777777" w:rsidR="001E5B84" w:rsidRPr="0087510D" w:rsidRDefault="001E5B84" w:rsidP="00F217AB">
      <w:pPr>
        <w:pStyle w:val="Textonotapie"/>
        <w:ind w:firstLine="708"/>
        <w:jc w:val="both"/>
        <w:rPr>
          <w:rFonts w:ascii="Arial" w:hAnsi="Arial" w:cs="Arial"/>
          <w:sz w:val="19"/>
          <w:szCs w:val="19"/>
        </w:rPr>
      </w:pPr>
      <w:r w:rsidRPr="0087510D">
        <w:rPr>
          <w:rStyle w:val="Refdenotaalpie"/>
          <w:rFonts w:ascii="Arial" w:hAnsi="Arial" w:cs="Arial"/>
          <w:sz w:val="19"/>
          <w:szCs w:val="19"/>
        </w:rPr>
        <w:footnoteRef/>
      </w:r>
      <w:r w:rsidRPr="0087510D">
        <w:rPr>
          <w:rFonts w:ascii="Arial" w:hAnsi="Arial" w:cs="Arial"/>
          <w:sz w:val="19"/>
          <w:szCs w:val="19"/>
        </w:rPr>
        <w:t xml:space="preserve"> </w:t>
      </w:r>
      <w:r>
        <w:rPr>
          <w:rFonts w:ascii="Arial" w:hAnsi="Arial" w:cs="Arial"/>
          <w:sz w:val="19"/>
          <w:szCs w:val="19"/>
        </w:rPr>
        <w:t xml:space="preserve">No en vano, </w:t>
      </w:r>
      <w:r>
        <w:rPr>
          <w:rFonts w:ascii="Arial" w:hAnsi="Arial" w:cs="Arial"/>
          <w:color w:val="000000" w:themeColor="text1"/>
          <w:sz w:val="19"/>
          <w:szCs w:val="19"/>
        </w:rPr>
        <w:t>la jurisprudencia considera que «</w:t>
      </w:r>
      <w:r w:rsidRPr="0087510D">
        <w:rPr>
          <w:rFonts w:ascii="Arial" w:hAnsi="Arial" w:cs="Arial"/>
          <w:color w:val="000000" w:themeColor="text1"/>
          <w:sz w:val="19"/>
          <w:szCs w:val="19"/>
        </w:rPr>
        <w:t xml:space="preserve">La garantía de seriedad de la oferta constituye un aval en orden a que el participante ejecute las obligaciones que asume al participar en el procedimiento de selección, que se hace exigible ante el incumplimiento de alguno de sus deberes y obligaciones. </w:t>
      </w:r>
      <w:r w:rsidRPr="0087510D">
        <w:rPr>
          <w:rFonts w:ascii="Arial" w:hAnsi="Arial" w:cs="Arial"/>
          <w:i/>
          <w:iCs/>
          <w:color w:val="000000" w:themeColor="text1"/>
          <w:sz w:val="19"/>
          <w:szCs w:val="19"/>
        </w:rPr>
        <w:t>Esto porque la garantía de seriedad de la oferta tiene como finalidad afianzar el mantenimiento de la oferta, durante el plazo estipulado en los pliegos de condiciones y asegurar la celebración del contrato por parte del adjudicatario</w:t>
      </w:r>
      <w:r>
        <w:rPr>
          <w:rFonts w:ascii="Arial" w:hAnsi="Arial" w:cs="Arial"/>
          <w:color w:val="000000" w:themeColor="text1"/>
          <w:sz w:val="19"/>
          <w:szCs w:val="19"/>
        </w:rPr>
        <w:t>» (</w:t>
      </w:r>
      <w:bookmarkStart w:id="14" w:name="_Hlk50459262"/>
      <w:r>
        <w:rPr>
          <w:rFonts w:ascii="Arial" w:hAnsi="Arial" w:cs="Arial"/>
          <w:sz w:val="19"/>
          <w:szCs w:val="19"/>
        </w:rPr>
        <w:t>CONSEJO DE ESTADO. Sección Tercera. Subsección B.</w:t>
      </w:r>
      <w:r>
        <w:rPr>
          <w:rFonts w:ascii="Arial" w:hAnsi="Arial" w:cs="Arial"/>
          <w:color w:val="000000" w:themeColor="text1"/>
          <w:sz w:val="19"/>
          <w:szCs w:val="19"/>
        </w:rPr>
        <w:t xml:space="preserve"> Sentencia del 28 de septiembre de 2012. Rad. 24.940. C.P. </w:t>
      </w:r>
      <w:r w:rsidRPr="0087510D">
        <w:rPr>
          <w:rFonts w:ascii="Arial" w:hAnsi="Arial" w:cs="Arial"/>
          <w:color w:val="000000" w:themeColor="text1"/>
          <w:sz w:val="19"/>
          <w:szCs w:val="19"/>
        </w:rPr>
        <w:t xml:space="preserve">Stella Conto Diaz </w:t>
      </w:r>
      <w:r>
        <w:rPr>
          <w:rFonts w:ascii="Arial" w:hAnsi="Arial" w:cs="Arial"/>
          <w:color w:val="000000" w:themeColor="text1"/>
          <w:sz w:val="19"/>
          <w:szCs w:val="19"/>
        </w:rPr>
        <w:t>d</w:t>
      </w:r>
      <w:r w:rsidRPr="0087510D">
        <w:rPr>
          <w:rFonts w:ascii="Arial" w:hAnsi="Arial" w:cs="Arial"/>
          <w:color w:val="000000" w:themeColor="text1"/>
          <w:sz w:val="19"/>
          <w:szCs w:val="19"/>
        </w:rPr>
        <w:t>el Castillo</w:t>
      </w:r>
      <w:r>
        <w:rPr>
          <w:rFonts w:ascii="Arial" w:hAnsi="Arial" w:cs="Arial"/>
          <w:color w:val="000000" w:themeColor="text1"/>
          <w:sz w:val="19"/>
          <w:szCs w:val="19"/>
        </w:rPr>
        <w:t>.</w:t>
      </w:r>
      <w:bookmarkEnd w:id="14"/>
      <w:r>
        <w:rPr>
          <w:rFonts w:ascii="Arial" w:hAnsi="Arial" w:cs="Arial"/>
          <w:color w:val="000000" w:themeColor="text1"/>
          <w:sz w:val="19"/>
          <w:szCs w:val="19"/>
        </w:rPr>
        <w:t xml:space="preserve"> Énfasis fuera de texto).</w:t>
      </w:r>
    </w:p>
  </w:footnote>
  <w:footnote w:id="18">
    <w:p w14:paraId="0E38B35C" w14:textId="77777777" w:rsidR="001E5B84" w:rsidRDefault="001E5B84" w:rsidP="00F217AB">
      <w:pPr>
        <w:pStyle w:val="Textonotapie"/>
        <w:ind w:firstLine="708"/>
        <w:jc w:val="both"/>
        <w:rPr>
          <w:rFonts w:ascii="Arial" w:eastAsia="Calibri" w:hAnsi="Arial" w:cs="Arial"/>
          <w:sz w:val="19"/>
          <w:szCs w:val="19"/>
          <w:lang w:val="es-ES_tradnl"/>
        </w:rPr>
      </w:pPr>
      <w:r>
        <w:rPr>
          <w:rStyle w:val="Refdenotaalpie"/>
        </w:rPr>
        <w:footnoteRef/>
      </w:r>
      <w:r>
        <w:t xml:space="preserve"> </w:t>
      </w:r>
      <w:r w:rsidRPr="00ED44AB">
        <w:rPr>
          <w:rFonts w:ascii="Arial" w:eastAsia="Calibri" w:hAnsi="Arial" w:cs="Arial"/>
          <w:sz w:val="19"/>
          <w:szCs w:val="19"/>
          <w:lang w:val="es-ES_tradnl"/>
        </w:rPr>
        <w:t>CONSEJO DE ESTADO. Sección Tercera.</w:t>
      </w:r>
      <w:r>
        <w:rPr>
          <w:rFonts w:ascii="Arial" w:eastAsia="Calibri" w:hAnsi="Arial" w:cs="Arial"/>
          <w:sz w:val="19"/>
          <w:szCs w:val="19"/>
          <w:lang w:val="es-ES_tradnl"/>
        </w:rPr>
        <w:t xml:space="preserve"> Sentencia del 23 de junio de 2010. Rad. 16.367. C.P. </w:t>
      </w:r>
      <w:r w:rsidRPr="00922A74">
        <w:rPr>
          <w:rFonts w:ascii="Arial" w:eastAsia="Calibri" w:hAnsi="Arial" w:cs="Arial"/>
          <w:sz w:val="19"/>
          <w:szCs w:val="19"/>
          <w:lang w:val="es-ES_tradnl"/>
        </w:rPr>
        <w:t>Enrique Gil Botero</w:t>
      </w:r>
      <w:r>
        <w:rPr>
          <w:rFonts w:ascii="Arial" w:eastAsia="Calibri" w:hAnsi="Arial" w:cs="Arial"/>
          <w:sz w:val="19"/>
          <w:szCs w:val="19"/>
          <w:lang w:val="es-ES_tradnl"/>
        </w:rPr>
        <w:t xml:space="preserve">. En el mismo sentido, Subsección C. Sentencia del 30 de marzo de 2011. Rad. 20.917. C.P. </w:t>
      </w:r>
      <w:r w:rsidRPr="00922A74">
        <w:rPr>
          <w:rFonts w:ascii="Arial" w:eastAsia="Calibri" w:hAnsi="Arial" w:cs="Arial"/>
          <w:sz w:val="19"/>
          <w:szCs w:val="19"/>
          <w:lang w:val="es-ES_tradnl"/>
        </w:rPr>
        <w:t>Enrique Gil Botero</w:t>
      </w:r>
      <w:r>
        <w:rPr>
          <w:rFonts w:ascii="Arial" w:eastAsia="Calibri" w:hAnsi="Arial" w:cs="Arial"/>
          <w:sz w:val="19"/>
          <w:szCs w:val="19"/>
          <w:lang w:val="es-ES_tradnl"/>
        </w:rPr>
        <w:t xml:space="preserve">, </w:t>
      </w:r>
      <w:r w:rsidRPr="00F5737F">
        <w:rPr>
          <w:rFonts w:ascii="Arial" w:eastAsia="Calibri" w:hAnsi="Arial" w:cs="Arial"/>
          <w:sz w:val="19"/>
          <w:szCs w:val="19"/>
          <w:lang w:val="es-ES_tradnl"/>
        </w:rPr>
        <w:t xml:space="preserve">Subsección </w:t>
      </w:r>
      <w:r>
        <w:rPr>
          <w:rFonts w:ascii="Arial" w:eastAsia="Calibri" w:hAnsi="Arial" w:cs="Arial"/>
          <w:sz w:val="19"/>
          <w:szCs w:val="19"/>
          <w:lang w:val="es-ES_tradnl"/>
        </w:rPr>
        <w:t>A</w:t>
      </w:r>
      <w:r w:rsidRPr="00F5737F">
        <w:rPr>
          <w:rFonts w:ascii="Arial" w:eastAsia="Calibri" w:hAnsi="Arial" w:cs="Arial"/>
          <w:sz w:val="19"/>
          <w:szCs w:val="19"/>
          <w:lang w:val="es-ES_tradnl"/>
        </w:rPr>
        <w:t xml:space="preserve">. Sentencia del </w:t>
      </w:r>
      <w:r>
        <w:rPr>
          <w:rFonts w:ascii="Arial" w:eastAsia="Calibri" w:hAnsi="Arial" w:cs="Arial"/>
          <w:sz w:val="19"/>
          <w:szCs w:val="19"/>
          <w:lang w:val="es-ES_tradnl"/>
        </w:rPr>
        <w:t>29 de mayo de 2014</w:t>
      </w:r>
      <w:r w:rsidRPr="00F5737F">
        <w:rPr>
          <w:rFonts w:ascii="Arial" w:eastAsia="Calibri" w:hAnsi="Arial" w:cs="Arial"/>
          <w:sz w:val="19"/>
          <w:szCs w:val="19"/>
          <w:lang w:val="es-ES_tradnl"/>
        </w:rPr>
        <w:t xml:space="preserve">. </w:t>
      </w:r>
      <w:r>
        <w:rPr>
          <w:rFonts w:ascii="Arial" w:eastAsia="Calibri" w:hAnsi="Arial" w:cs="Arial"/>
          <w:sz w:val="19"/>
          <w:szCs w:val="19"/>
          <w:lang w:val="es-ES_tradnl"/>
        </w:rPr>
        <w:t>Rad</w:t>
      </w:r>
      <w:r w:rsidRPr="00F5737F">
        <w:rPr>
          <w:rFonts w:ascii="Arial" w:eastAsia="Calibri" w:hAnsi="Arial" w:cs="Arial"/>
          <w:sz w:val="19"/>
          <w:szCs w:val="19"/>
          <w:lang w:val="es-ES_tradnl"/>
        </w:rPr>
        <w:t xml:space="preserve">. </w:t>
      </w:r>
      <w:r w:rsidRPr="00260C02">
        <w:rPr>
          <w:rFonts w:ascii="Arial" w:eastAsia="Calibri" w:hAnsi="Arial" w:cs="Arial"/>
          <w:sz w:val="19"/>
          <w:szCs w:val="19"/>
          <w:lang w:val="es-ES_tradnl"/>
        </w:rPr>
        <w:t>27</w:t>
      </w:r>
      <w:r>
        <w:rPr>
          <w:rFonts w:ascii="Arial" w:eastAsia="Calibri" w:hAnsi="Arial" w:cs="Arial"/>
          <w:sz w:val="19"/>
          <w:szCs w:val="19"/>
          <w:lang w:val="es-ES_tradnl"/>
        </w:rPr>
        <w:t>.</w:t>
      </w:r>
      <w:r w:rsidRPr="00260C02">
        <w:rPr>
          <w:rFonts w:ascii="Arial" w:eastAsia="Calibri" w:hAnsi="Arial" w:cs="Arial"/>
          <w:sz w:val="19"/>
          <w:szCs w:val="19"/>
          <w:lang w:val="es-ES_tradnl"/>
        </w:rPr>
        <w:t>721</w:t>
      </w:r>
      <w:r w:rsidRPr="00F5737F">
        <w:rPr>
          <w:rFonts w:ascii="Arial" w:eastAsia="Calibri" w:hAnsi="Arial" w:cs="Arial"/>
          <w:sz w:val="19"/>
          <w:szCs w:val="19"/>
          <w:lang w:val="es-ES_tradnl"/>
        </w:rPr>
        <w:t xml:space="preserve">. C.P. </w:t>
      </w:r>
      <w:r w:rsidRPr="00260C02">
        <w:rPr>
          <w:rFonts w:ascii="Arial" w:eastAsia="Calibri" w:hAnsi="Arial" w:cs="Arial"/>
          <w:sz w:val="19"/>
          <w:szCs w:val="19"/>
          <w:lang w:val="es-ES_tradnl"/>
        </w:rPr>
        <w:t>Hernán Andrade Rincón</w:t>
      </w:r>
      <w:r>
        <w:rPr>
          <w:rFonts w:ascii="Arial" w:eastAsia="Calibri" w:hAnsi="Arial" w:cs="Arial"/>
          <w:sz w:val="19"/>
          <w:szCs w:val="19"/>
          <w:lang w:val="es-ES_tradnl"/>
        </w:rPr>
        <w:t xml:space="preserve">, Subsección B. Sentencia del 7 de septiembre de 2015. Rad. 45.907. C.P. </w:t>
      </w:r>
      <w:r w:rsidRPr="00D32E3D">
        <w:rPr>
          <w:rFonts w:ascii="Arial" w:eastAsia="Calibri" w:hAnsi="Arial" w:cs="Arial"/>
          <w:sz w:val="19"/>
          <w:szCs w:val="19"/>
          <w:lang w:val="es-ES_tradnl"/>
        </w:rPr>
        <w:t>Jaime Orlando Santofimio Gamboa.</w:t>
      </w:r>
      <w:r>
        <w:rPr>
          <w:rFonts w:ascii="Arial" w:eastAsia="Calibri" w:hAnsi="Arial" w:cs="Arial"/>
          <w:sz w:val="19"/>
          <w:szCs w:val="19"/>
          <w:lang w:val="es-ES_tradnl"/>
        </w:rPr>
        <w:t xml:space="preserve"> Posición contraria, </w:t>
      </w:r>
      <w:r w:rsidRPr="00F5737F">
        <w:rPr>
          <w:rFonts w:ascii="Arial" w:eastAsia="Calibri" w:hAnsi="Arial" w:cs="Arial"/>
          <w:sz w:val="19"/>
          <w:szCs w:val="19"/>
          <w:lang w:val="es-ES_tradnl"/>
        </w:rPr>
        <w:t xml:space="preserve">Subsección </w:t>
      </w:r>
      <w:r>
        <w:rPr>
          <w:rFonts w:ascii="Arial" w:eastAsia="Calibri" w:hAnsi="Arial" w:cs="Arial"/>
          <w:sz w:val="19"/>
          <w:szCs w:val="19"/>
          <w:lang w:val="es-ES_tradnl"/>
        </w:rPr>
        <w:t>B</w:t>
      </w:r>
      <w:r w:rsidRPr="00F5737F">
        <w:rPr>
          <w:rFonts w:ascii="Arial" w:eastAsia="Calibri" w:hAnsi="Arial" w:cs="Arial"/>
          <w:sz w:val="19"/>
          <w:szCs w:val="19"/>
          <w:lang w:val="es-ES_tradnl"/>
        </w:rPr>
        <w:t xml:space="preserve">. Sentencia del </w:t>
      </w:r>
      <w:r>
        <w:rPr>
          <w:rFonts w:ascii="Arial" w:eastAsia="Calibri" w:hAnsi="Arial" w:cs="Arial"/>
          <w:sz w:val="19"/>
          <w:szCs w:val="19"/>
          <w:lang w:val="es-ES_tradnl"/>
        </w:rPr>
        <w:t>26 de agosto de 2019</w:t>
      </w:r>
      <w:r w:rsidRPr="00F5737F">
        <w:rPr>
          <w:rFonts w:ascii="Arial" w:eastAsia="Calibri" w:hAnsi="Arial" w:cs="Arial"/>
          <w:sz w:val="19"/>
          <w:szCs w:val="19"/>
          <w:lang w:val="es-ES_tradnl"/>
        </w:rPr>
        <w:t xml:space="preserve">. </w:t>
      </w:r>
      <w:r>
        <w:rPr>
          <w:rFonts w:ascii="Arial" w:eastAsia="Calibri" w:hAnsi="Arial" w:cs="Arial"/>
          <w:sz w:val="19"/>
          <w:szCs w:val="19"/>
          <w:lang w:val="es-ES_tradnl"/>
        </w:rPr>
        <w:t>Rad</w:t>
      </w:r>
      <w:r w:rsidRPr="00F5737F">
        <w:rPr>
          <w:rFonts w:ascii="Arial" w:eastAsia="Calibri" w:hAnsi="Arial" w:cs="Arial"/>
          <w:sz w:val="19"/>
          <w:szCs w:val="19"/>
          <w:lang w:val="es-ES_tradnl"/>
        </w:rPr>
        <w:t xml:space="preserve">. </w:t>
      </w:r>
      <w:r w:rsidRPr="005E5E83">
        <w:rPr>
          <w:rFonts w:ascii="Arial" w:eastAsia="Calibri" w:hAnsi="Arial" w:cs="Arial"/>
          <w:sz w:val="19"/>
          <w:szCs w:val="19"/>
          <w:lang w:val="es-ES_tradnl"/>
        </w:rPr>
        <w:t>44</w:t>
      </w:r>
      <w:r>
        <w:rPr>
          <w:rFonts w:ascii="Arial" w:eastAsia="Calibri" w:hAnsi="Arial" w:cs="Arial"/>
          <w:sz w:val="19"/>
          <w:szCs w:val="19"/>
          <w:lang w:val="es-ES_tradnl"/>
        </w:rPr>
        <w:t>.</w:t>
      </w:r>
      <w:r w:rsidRPr="005E5E83">
        <w:rPr>
          <w:rFonts w:ascii="Arial" w:eastAsia="Calibri" w:hAnsi="Arial" w:cs="Arial"/>
          <w:sz w:val="19"/>
          <w:szCs w:val="19"/>
          <w:lang w:val="es-ES_tradnl"/>
        </w:rPr>
        <w:t>170</w:t>
      </w:r>
      <w:r w:rsidRPr="00F5737F">
        <w:rPr>
          <w:rFonts w:ascii="Arial" w:eastAsia="Calibri" w:hAnsi="Arial" w:cs="Arial"/>
          <w:sz w:val="19"/>
          <w:szCs w:val="19"/>
          <w:lang w:val="es-ES_tradnl"/>
        </w:rPr>
        <w:t xml:space="preserve">. C.P. </w:t>
      </w:r>
      <w:r w:rsidRPr="006248C2">
        <w:rPr>
          <w:rFonts w:ascii="Arial" w:eastAsia="Calibri" w:hAnsi="Arial" w:cs="Arial"/>
          <w:sz w:val="19"/>
          <w:szCs w:val="19"/>
          <w:lang w:val="es-ES_tradnl"/>
        </w:rPr>
        <w:t>Alberto Montaña Plata</w:t>
      </w:r>
      <w:r>
        <w:rPr>
          <w:rFonts w:ascii="Arial" w:eastAsia="Calibri" w:hAnsi="Arial" w:cs="Arial"/>
          <w:sz w:val="19"/>
          <w:szCs w:val="19"/>
          <w:lang w:val="es-ES_tradnl"/>
        </w:rPr>
        <w:t>.</w:t>
      </w:r>
    </w:p>
    <w:p w14:paraId="30457EA7" w14:textId="77777777" w:rsidR="001E5B84" w:rsidRPr="00260C02" w:rsidRDefault="001E5B84" w:rsidP="00F217AB">
      <w:pPr>
        <w:pStyle w:val="Textonotapie"/>
        <w:ind w:firstLine="708"/>
        <w:jc w:val="both"/>
        <w:rPr>
          <w:lang w:val="es-ES"/>
        </w:rPr>
      </w:pPr>
    </w:p>
  </w:footnote>
  <w:footnote w:id="19">
    <w:p w14:paraId="7518A947" w14:textId="77777777" w:rsidR="001E5B84" w:rsidRPr="00490B2B" w:rsidRDefault="001E5B84" w:rsidP="00F217AB">
      <w:pPr>
        <w:pStyle w:val="Textonotapie"/>
        <w:ind w:firstLine="708"/>
        <w:jc w:val="both"/>
        <w:rPr>
          <w:rFonts w:ascii="Arial" w:eastAsia="Calibri" w:hAnsi="Arial" w:cs="Arial"/>
          <w:sz w:val="19"/>
          <w:szCs w:val="19"/>
          <w:lang w:val="es-ES_tradnl"/>
        </w:rPr>
      </w:pPr>
      <w:r>
        <w:rPr>
          <w:rStyle w:val="Refdenotaalpie"/>
        </w:rPr>
        <w:footnoteRef/>
      </w:r>
      <w:r>
        <w:t xml:space="preserve"> </w:t>
      </w:r>
      <w:r w:rsidRPr="00490B2B">
        <w:rPr>
          <w:rFonts w:ascii="Arial" w:eastAsia="Calibri" w:hAnsi="Arial" w:cs="Arial"/>
          <w:sz w:val="19"/>
          <w:szCs w:val="19"/>
          <w:lang w:val="es-ES_tradnl"/>
        </w:rPr>
        <w:t>Allí se dispone lo siguiente: «</w:t>
      </w:r>
      <w:r>
        <w:rPr>
          <w:rFonts w:ascii="Arial" w:eastAsia="Calibri" w:hAnsi="Arial" w:cs="Arial"/>
          <w:sz w:val="19"/>
          <w:szCs w:val="19"/>
          <w:lang w:val="es-ES_tradnl"/>
        </w:rPr>
        <w:t xml:space="preserve">Artículo 77. </w:t>
      </w:r>
      <w:r w:rsidRPr="00490B2B">
        <w:rPr>
          <w:rFonts w:ascii="Arial" w:eastAsia="Calibri" w:hAnsi="Arial" w:cs="Arial"/>
          <w:sz w:val="19"/>
          <w:szCs w:val="19"/>
          <w:lang w:val="es-ES_tradnl"/>
        </w:rPr>
        <w:t xml:space="preserve">En cuanto sean compatibles con la finalidad y los principios de esta ley, las normas que rigen los procedimientos y actuaciones en la función </w:t>
      </w:r>
      <w:r w:rsidRPr="00490B2B">
        <w:rPr>
          <w:rFonts w:ascii="Arial" w:eastAsia="Calibri" w:hAnsi="Arial" w:cs="Arial"/>
          <w:sz w:val="19"/>
          <w:szCs w:val="19"/>
          <w:lang w:val="es-ES_tradnl"/>
        </w:rPr>
        <w:t>administrativa, serán aplicables en las actuaciones contractuales. A falta de estas, regirán las disposiciones del Código de Procedimiento Civil».</w:t>
      </w:r>
      <w:r>
        <w:rPr>
          <w:rFonts w:ascii="Arial" w:eastAsia="Calibri" w:hAnsi="Arial" w:cs="Arial"/>
          <w:sz w:val="19"/>
          <w:szCs w:val="19"/>
          <w:lang w:val="es-ES_tradnl"/>
        </w:rPr>
        <w:t xml:space="preserve"> </w:t>
      </w:r>
    </w:p>
  </w:footnote>
  <w:footnote w:id="20">
    <w:p w14:paraId="7E372D3D" w14:textId="77777777" w:rsidR="001E5B84" w:rsidRPr="003766A0" w:rsidRDefault="001E5B84" w:rsidP="000C7211">
      <w:pPr>
        <w:pStyle w:val="Textonotapie"/>
        <w:ind w:firstLine="708"/>
        <w:jc w:val="both"/>
        <w:rPr>
          <w:rFonts w:ascii="Arial" w:eastAsia="Calibri" w:hAnsi="Arial" w:cs="Arial"/>
          <w:color w:val="000000" w:themeColor="text1"/>
          <w:sz w:val="19"/>
          <w:szCs w:val="19"/>
          <w:lang w:val="es-ES_tradnl"/>
        </w:rPr>
      </w:pPr>
      <w:r w:rsidRPr="003766A0">
        <w:rPr>
          <w:rStyle w:val="Refdenotaalpie"/>
          <w:color w:val="000000" w:themeColor="text1"/>
        </w:rPr>
        <w:footnoteRef/>
      </w:r>
      <w:r w:rsidRPr="003766A0">
        <w:rPr>
          <w:color w:val="000000" w:themeColor="text1"/>
        </w:rPr>
        <w:t xml:space="preserve"> </w:t>
      </w:r>
      <w:r w:rsidRPr="003766A0">
        <w:rPr>
          <w:rFonts w:ascii="Arial" w:eastAsia="Calibri" w:hAnsi="Arial" w:cs="Arial"/>
          <w:color w:val="000000" w:themeColor="text1"/>
          <w:sz w:val="19"/>
          <w:szCs w:val="19"/>
          <w:lang w:val="es-ES_tradnl"/>
        </w:rPr>
        <w:t>Cfr.</w:t>
      </w:r>
      <w:r w:rsidRPr="003766A0">
        <w:rPr>
          <w:color w:val="000000" w:themeColor="text1"/>
        </w:rPr>
        <w:t xml:space="preserve"> </w:t>
      </w:r>
      <w:r w:rsidRPr="003766A0">
        <w:rPr>
          <w:rFonts w:ascii="Arial" w:eastAsia="Calibri" w:hAnsi="Arial" w:cs="Arial"/>
          <w:color w:val="000000" w:themeColor="text1"/>
          <w:sz w:val="19"/>
          <w:szCs w:val="19"/>
          <w:lang w:val="es-ES_tradnl"/>
        </w:rPr>
        <w:t xml:space="preserve">CONSEJO DE ESTADO. Sección Tercera. Subsección B. Sentencia del 30 de noviembre de 2016. Rad. 29.368. C.P. Ramiro Pazos Guerrero; Subsección B. Sentencia del 5 de diciembre de 2016. Rad. 35.057. C.P. Ramiro Pazos Guerrero; Subsección A. Sentencia del 27 de noviembre de 2013. Rad. 25.742. C.P. Mauricio Fajardo Gómez; Subsección C. Sentencia del 7 de junio de 2012. Rad. 22.899. C.P. Olga </w:t>
      </w:r>
      <w:r w:rsidRPr="003766A0">
        <w:rPr>
          <w:rFonts w:ascii="Arial" w:eastAsia="Calibri" w:hAnsi="Arial" w:cs="Arial"/>
          <w:color w:val="000000" w:themeColor="text1"/>
          <w:sz w:val="19"/>
          <w:szCs w:val="19"/>
          <w:lang w:val="es-ES_tradnl"/>
        </w:rPr>
        <w:t>Melida Valle de De La Hoz, entre otras.</w:t>
      </w:r>
    </w:p>
    <w:p w14:paraId="25CF8010" w14:textId="77777777" w:rsidR="001E5B84" w:rsidRPr="003766A0" w:rsidRDefault="001E5B84" w:rsidP="000C7211">
      <w:pPr>
        <w:pStyle w:val="Textonotapie"/>
        <w:ind w:firstLine="708"/>
        <w:jc w:val="both"/>
        <w:rPr>
          <w:color w:val="000000" w:themeColor="text1"/>
        </w:rPr>
      </w:pPr>
    </w:p>
  </w:footnote>
  <w:footnote w:id="21">
    <w:p w14:paraId="2470A5E1" w14:textId="77777777" w:rsidR="001E5B84" w:rsidRPr="003766A0" w:rsidRDefault="001E5B84" w:rsidP="000C7211">
      <w:pPr>
        <w:pStyle w:val="Textonotapie"/>
        <w:ind w:firstLine="708"/>
        <w:jc w:val="both"/>
        <w:rPr>
          <w:color w:val="000000" w:themeColor="text1"/>
        </w:rPr>
      </w:pPr>
      <w:r w:rsidRPr="003766A0">
        <w:rPr>
          <w:rStyle w:val="Refdenotaalpie"/>
          <w:color w:val="000000" w:themeColor="text1"/>
        </w:rPr>
        <w:footnoteRef/>
      </w:r>
      <w:r w:rsidRPr="003766A0">
        <w:rPr>
          <w:color w:val="000000" w:themeColor="text1"/>
        </w:rPr>
        <w:t xml:space="preserve"> </w:t>
      </w:r>
      <w:r w:rsidRPr="003766A0">
        <w:rPr>
          <w:rFonts w:ascii="Arial" w:eastAsia="Calibri" w:hAnsi="Arial" w:cs="Arial"/>
          <w:color w:val="000000" w:themeColor="text1"/>
          <w:sz w:val="19"/>
          <w:szCs w:val="19"/>
          <w:lang w:val="es-ES_tradnl"/>
        </w:rPr>
        <w:t>En esta medida, recibida la obra, no es posible alegar la inejecución de las obligaciones a cargo del contratista, pues la recepción «[…] es un acto jurídico y patrimonial, por el cual “el comitente acepta la entrega de la obra ejecutada” y “declara extinguida la obligación de hacer que debía cumplir el constructor”. Esta extinción, en la medida en que el comitente no manifieste reservas acerca de su alcance, implica la conformidad total y definitiva con la obra o con su producto, incluso en relación con el plazo de ejecución. Es la culminación del contrato desde el punto de vista del objeto perseguido por el comitente al celebrarlo. Es también la consumación plena de las obligaciones asumidas por el constructor» (PODETTI, Humberto. El contrato de construcción. Buenos Aires: Editorial Astrea, 2004, p. 446).</w:t>
      </w:r>
      <w:r w:rsidRPr="003766A0">
        <w:rPr>
          <w:color w:val="000000" w:themeColor="text1"/>
        </w:rPr>
        <w:t xml:space="preserve">   </w:t>
      </w:r>
    </w:p>
    <w:p w14:paraId="109867D5" w14:textId="77777777" w:rsidR="001E5B84" w:rsidRPr="003766A0" w:rsidRDefault="001E5B84" w:rsidP="000C7211">
      <w:pPr>
        <w:pStyle w:val="Textonotapie"/>
        <w:ind w:firstLine="708"/>
        <w:jc w:val="both"/>
        <w:rPr>
          <w:color w:val="000000" w:themeColor="text1"/>
          <w:lang w:val="es-ES"/>
        </w:rPr>
      </w:pPr>
      <w:r w:rsidRPr="003766A0">
        <w:rPr>
          <w:color w:val="000000" w:themeColor="text1"/>
        </w:rPr>
        <w:t xml:space="preserve">  </w:t>
      </w:r>
    </w:p>
  </w:footnote>
  <w:footnote w:id="22">
    <w:p w14:paraId="45BB901A" w14:textId="77777777" w:rsidR="001E5B84" w:rsidRPr="003766A0" w:rsidRDefault="001E5B84" w:rsidP="000C7211">
      <w:pPr>
        <w:pStyle w:val="Textonotapie"/>
        <w:ind w:firstLine="708"/>
        <w:jc w:val="both"/>
        <w:rPr>
          <w:rFonts w:ascii="Arial" w:eastAsia="Calibri" w:hAnsi="Arial" w:cs="Arial"/>
          <w:color w:val="000000" w:themeColor="text1"/>
          <w:sz w:val="19"/>
          <w:szCs w:val="19"/>
          <w:lang w:val="es-ES_tradnl"/>
        </w:rPr>
      </w:pPr>
      <w:r w:rsidRPr="003766A0">
        <w:rPr>
          <w:rStyle w:val="Refdenotaalpie"/>
          <w:color w:val="000000" w:themeColor="text1"/>
        </w:rPr>
        <w:footnoteRef/>
      </w:r>
      <w:r w:rsidRPr="003766A0">
        <w:rPr>
          <w:color w:val="000000" w:themeColor="text1"/>
        </w:rPr>
        <w:t xml:space="preserve"> </w:t>
      </w:r>
      <w:r w:rsidRPr="003766A0">
        <w:rPr>
          <w:rFonts w:ascii="Arial" w:eastAsia="Calibri" w:hAnsi="Arial" w:cs="Arial"/>
          <w:color w:val="000000" w:themeColor="text1"/>
          <w:sz w:val="19"/>
          <w:szCs w:val="19"/>
          <w:lang w:val="es-ES_tradnl"/>
        </w:rPr>
        <w:t xml:space="preserve">Allí se dispone lo siguiente: «Artículo 77. En cuanto sean compatibles con la finalidad y los principios de esta ley, las normas que rigen los procedimientos y actuaciones en la función </w:t>
      </w:r>
      <w:r w:rsidRPr="003766A0">
        <w:rPr>
          <w:rFonts w:ascii="Arial" w:eastAsia="Calibri" w:hAnsi="Arial" w:cs="Arial"/>
          <w:color w:val="000000" w:themeColor="text1"/>
          <w:sz w:val="19"/>
          <w:szCs w:val="19"/>
          <w:lang w:val="es-ES_tradnl"/>
        </w:rPr>
        <w:t>administrativa, serán aplicables en las actuaciones contractuales. A falta de estas, regirán las disposiciones del Código de Procedimiento Civil».</w:t>
      </w:r>
    </w:p>
    <w:p w14:paraId="47941EDF" w14:textId="77777777" w:rsidR="001E5B84" w:rsidRPr="003766A0" w:rsidRDefault="001E5B84" w:rsidP="000C7211">
      <w:pPr>
        <w:pStyle w:val="Textonotapie"/>
        <w:ind w:firstLine="708"/>
        <w:jc w:val="both"/>
        <w:rPr>
          <w:rFonts w:ascii="Arial" w:eastAsia="Calibri" w:hAnsi="Arial" w:cs="Arial"/>
          <w:color w:val="000000" w:themeColor="text1"/>
          <w:sz w:val="19"/>
          <w:szCs w:val="19"/>
          <w:lang w:val="es-ES_tradnl"/>
        </w:rPr>
      </w:pPr>
    </w:p>
  </w:footnote>
  <w:footnote w:id="23">
    <w:p w14:paraId="1D80CEEC" w14:textId="77777777" w:rsidR="00240136" w:rsidRPr="00CB776B" w:rsidRDefault="00240136" w:rsidP="00CB776B">
      <w:pPr>
        <w:pStyle w:val="Textonotapie"/>
        <w:ind w:firstLine="709"/>
        <w:jc w:val="both"/>
        <w:rPr>
          <w:rFonts w:ascii="Arial" w:eastAsia="Arial" w:hAnsi="Arial" w:cs="Arial"/>
          <w:sz w:val="19"/>
          <w:szCs w:val="19"/>
          <w:lang w:val="es-ES"/>
        </w:rPr>
      </w:pPr>
      <w:r w:rsidRPr="00CB776B">
        <w:rPr>
          <w:rStyle w:val="Refdenotaalpie"/>
          <w:rFonts w:ascii="Arial" w:hAnsi="Arial" w:cs="Arial"/>
          <w:sz w:val="19"/>
          <w:szCs w:val="19"/>
        </w:rPr>
        <w:footnoteRef/>
      </w:r>
      <w:r w:rsidRPr="00CB776B">
        <w:rPr>
          <w:rFonts w:ascii="Arial" w:hAnsi="Arial" w:cs="Arial"/>
          <w:sz w:val="19"/>
          <w:szCs w:val="19"/>
        </w:rPr>
        <w:t xml:space="preserve"> </w:t>
      </w:r>
      <w:r w:rsidRPr="00CB776B">
        <w:rPr>
          <w:rFonts w:ascii="Arial" w:eastAsia="Arial" w:hAnsi="Arial" w:cs="Arial"/>
          <w:sz w:val="19"/>
          <w:szCs w:val="19"/>
          <w:lang w:val="es-ES"/>
        </w:rPr>
        <w:t>CONSEJO DE ESTADO. Sección Tercera. Subsección A. Sentencia del 5 de julio de 2018. Radicado No. 52.495. C.P. Marta Nubia Velásquez Rico.</w:t>
      </w:r>
    </w:p>
    <w:p w14:paraId="718EFD9C" w14:textId="77777777" w:rsidR="00240136" w:rsidRPr="00CB776B" w:rsidRDefault="00240136" w:rsidP="00CB776B">
      <w:pPr>
        <w:pStyle w:val="Textonotapie"/>
        <w:ind w:firstLine="709"/>
        <w:jc w:val="both"/>
        <w:rPr>
          <w:rFonts w:ascii="Arial" w:hAnsi="Arial" w:cs="Arial"/>
          <w:sz w:val="19"/>
          <w:szCs w:val="19"/>
          <w:lang w:val="es-CO"/>
        </w:rPr>
      </w:pPr>
    </w:p>
  </w:footnote>
  <w:footnote w:id="24">
    <w:p w14:paraId="6AD1A996" w14:textId="114CD575" w:rsidR="00F95567" w:rsidRPr="00CB776B" w:rsidRDefault="00F95567">
      <w:pPr>
        <w:pStyle w:val="Textonotapie"/>
        <w:ind w:firstLine="709"/>
        <w:jc w:val="both"/>
        <w:rPr>
          <w:rFonts w:ascii="Arial" w:hAnsi="Arial" w:cs="Arial"/>
          <w:sz w:val="19"/>
          <w:szCs w:val="19"/>
          <w:lang w:val="es-CO"/>
        </w:rPr>
      </w:pPr>
      <w:r w:rsidRPr="00CB776B">
        <w:rPr>
          <w:rStyle w:val="Refdenotaalpie"/>
          <w:rFonts w:ascii="Arial" w:hAnsi="Arial" w:cs="Arial"/>
          <w:sz w:val="19"/>
          <w:szCs w:val="19"/>
        </w:rPr>
        <w:footnoteRef/>
      </w:r>
      <w:r w:rsidRPr="00CB776B">
        <w:rPr>
          <w:rFonts w:ascii="Arial" w:hAnsi="Arial" w:cs="Arial"/>
          <w:sz w:val="19"/>
          <w:szCs w:val="19"/>
        </w:rPr>
        <w:t xml:space="preserve"> </w:t>
      </w:r>
      <w:r w:rsidRPr="00CB776B">
        <w:rPr>
          <w:rFonts w:ascii="Arial" w:eastAsia="Arial" w:hAnsi="Arial" w:cs="Arial"/>
          <w:sz w:val="19"/>
          <w:szCs w:val="19"/>
          <w:lang w:val="es-ES"/>
        </w:rPr>
        <w:t>CONSEJO DE ESTADO. Sección Tercera. Subsección A. Sentencia del 27 de marzo de 2015. Expediente 29205. C.P. Mauricio Fajardo Gómez.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1E5B84" w:rsidRDefault="001E5B84">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80E31D" w14:textId="77777777" w:rsidR="001E5B84" w:rsidRDefault="001E5B84"/>
  <w:p w14:paraId="5DBE9C96" w14:textId="77777777" w:rsidR="001E5B84" w:rsidRDefault="001E5B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2"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3"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4"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9"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6"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0"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1"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0"/>
  </w:num>
  <w:num w:numId="2">
    <w:abstractNumId w:val="8"/>
  </w:num>
  <w:num w:numId="3">
    <w:abstractNumId w:val="16"/>
  </w:num>
  <w:num w:numId="4">
    <w:abstractNumId w:val="21"/>
  </w:num>
  <w:num w:numId="5">
    <w:abstractNumId w:val="25"/>
  </w:num>
  <w:num w:numId="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
  </w:num>
  <w:num w:numId="9">
    <w:abstractNumId w:val="4"/>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4"/>
  </w:num>
  <w:num w:numId="14">
    <w:abstractNumId w:val="7"/>
  </w:num>
  <w:num w:numId="1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7"/>
  </w:num>
  <w:num w:numId="19">
    <w:abstractNumId w:val="3"/>
  </w:num>
  <w:num w:numId="20">
    <w:abstractNumId w:val="28"/>
  </w:num>
  <w:num w:numId="21">
    <w:abstractNumId w:val="19"/>
  </w:num>
  <w:num w:numId="22">
    <w:abstractNumId w:val="6"/>
  </w:num>
  <w:num w:numId="23">
    <w:abstractNumId w:val="5"/>
  </w:num>
  <w:num w:numId="24">
    <w:abstractNumId w:val="23"/>
  </w:num>
  <w:num w:numId="25">
    <w:abstractNumId w:val="11"/>
  </w:num>
  <w:num w:numId="26">
    <w:abstractNumId w:val="26"/>
  </w:num>
  <w:num w:numId="27">
    <w:abstractNumId w:val="30"/>
  </w:num>
  <w:num w:numId="28">
    <w:abstractNumId w:val="15"/>
  </w:num>
  <w:num w:numId="29">
    <w:abstractNumId w:val="0"/>
  </w:num>
  <w:num w:numId="30">
    <w:abstractNumId w:val="18"/>
  </w:num>
  <w:num w:numId="31">
    <w:abstractNumId w:val="12"/>
  </w:num>
  <w:num w:numId="32">
    <w:abstractNumId w:val="20"/>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_tradnl" w:vendorID="64" w:dllVersion="0" w:nlCheck="1" w:checkStyle="0"/>
  <w:activeWritingStyle w:appName="MSWord" w:lang="es-CO"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31A8"/>
    <w:rsid w:val="00003233"/>
    <w:rsid w:val="00003C5C"/>
    <w:rsid w:val="000040D7"/>
    <w:rsid w:val="00004556"/>
    <w:rsid w:val="000051AF"/>
    <w:rsid w:val="00005958"/>
    <w:rsid w:val="000059D3"/>
    <w:rsid w:val="0000600A"/>
    <w:rsid w:val="00006081"/>
    <w:rsid w:val="000060D0"/>
    <w:rsid w:val="000075EA"/>
    <w:rsid w:val="00007750"/>
    <w:rsid w:val="000077FD"/>
    <w:rsid w:val="00007E37"/>
    <w:rsid w:val="00010C40"/>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71A2"/>
    <w:rsid w:val="00017B65"/>
    <w:rsid w:val="00020158"/>
    <w:rsid w:val="000207E0"/>
    <w:rsid w:val="00020F8F"/>
    <w:rsid w:val="00021A95"/>
    <w:rsid w:val="0002256F"/>
    <w:rsid w:val="00023DAE"/>
    <w:rsid w:val="00023FA5"/>
    <w:rsid w:val="00024592"/>
    <w:rsid w:val="00024896"/>
    <w:rsid w:val="00026092"/>
    <w:rsid w:val="000263F0"/>
    <w:rsid w:val="00026407"/>
    <w:rsid w:val="000264F6"/>
    <w:rsid w:val="00026608"/>
    <w:rsid w:val="00027787"/>
    <w:rsid w:val="000278D2"/>
    <w:rsid w:val="00031384"/>
    <w:rsid w:val="000315E1"/>
    <w:rsid w:val="00031FB7"/>
    <w:rsid w:val="0003236E"/>
    <w:rsid w:val="00033295"/>
    <w:rsid w:val="0003339A"/>
    <w:rsid w:val="000341F2"/>
    <w:rsid w:val="00034651"/>
    <w:rsid w:val="000351F2"/>
    <w:rsid w:val="00036E03"/>
    <w:rsid w:val="000406DB"/>
    <w:rsid w:val="0004094D"/>
    <w:rsid w:val="00041029"/>
    <w:rsid w:val="0004149B"/>
    <w:rsid w:val="00041CA0"/>
    <w:rsid w:val="00042961"/>
    <w:rsid w:val="00042C25"/>
    <w:rsid w:val="00042D03"/>
    <w:rsid w:val="00043086"/>
    <w:rsid w:val="000430A0"/>
    <w:rsid w:val="00043A33"/>
    <w:rsid w:val="00043D3B"/>
    <w:rsid w:val="0004418C"/>
    <w:rsid w:val="00044204"/>
    <w:rsid w:val="000449D4"/>
    <w:rsid w:val="00046717"/>
    <w:rsid w:val="00046A63"/>
    <w:rsid w:val="00046C09"/>
    <w:rsid w:val="0004716A"/>
    <w:rsid w:val="00047385"/>
    <w:rsid w:val="000473E8"/>
    <w:rsid w:val="000504DE"/>
    <w:rsid w:val="00051074"/>
    <w:rsid w:val="00052B79"/>
    <w:rsid w:val="00052EA0"/>
    <w:rsid w:val="000536E3"/>
    <w:rsid w:val="00054252"/>
    <w:rsid w:val="0005474D"/>
    <w:rsid w:val="00055CB9"/>
    <w:rsid w:val="00056F66"/>
    <w:rsid w:val="0005702F"/>
    <w:rsid w:val="0005779C"/>
    <w:rsid w:val="00061D06"/>
    <w:rsid w:val="0006294B"/>
    <w:rsid w:val="00062CDD"/>
    <w:rsid w:val="00063FA5"/>
    <w:rsid w:val="000640AF"/>
    <w:rsid w:val="00064940"/>
    <w:rsid w:val="00064CAE"/>
    <w:rsid w:val="00064DB7"/>
    <w:rsid w:val="00064FA7"/>
    <w:rsid w:val="00065195"/>
    <w:rsid w:val="00070AF1"/>
    <w:rsid w:val="000714DE"/>
    <w:rsid w:val="0007254F"/>
    <w:rsid w:val="00073C30"/>
    <w:rsid w:val="00074305"/>
    <w:rsid w:val="00074B2A"/>
    <w:rsid w:val="00075B3E"/>
    <w:rsid w:val="00076456"/>
    <w:rsid w:val="0007779B"/>
    <w:rsid w:val="000777E7"/>
    <w:rsid w:val="0007790A"/>
    <w:rsid w:val="0008017B"/>
    <w:rsid w:val="00080ACD"/>
    <w:rsid w:val="000811ED"/>
    <w:rsid w:val="00081284"/>
    <w:rsid w:val="00081D62"/>
    <w:rsid w:val="00082B74"/>
    <w:rsid w:val="00083099"/>
    <w:rsid w:val="00083EDC"/>
    <w:rsid w:val="00084B97"/>
    <w:rsid w:val="0008510E"/>
    <w:rsid w:val="000856DE"/>
    <w:rsid w:val="00085F17"/>
    <w:rsid w:val="00085FB3"/>
    <w:rsid w:val="0008686B"/>
    <w:rsid w:val="00086B2A"/>
    <w:rsid w:val="00086ED2"/>
    <w:rsid w:val="000914D6"/>
    <w:rsid w:val="00091569"/>
    <w:rsid w:val="00092DCA"/>
    <w:rsid w:val="00093C51"/>
    <w:rsid w:val="000942EB"/>
    <w:rsid w:val="00095B70"/>
    <w:rsid w:val="0009617E"/>
    <w:rsid w:val="000979CF"/>
    <w:rsid w:val="000A03C8"/>
    <w:rsid w:val="000A05F2"/>
    <w:rsid w:val="000A06C4"/>
    <w:rsid w:val="000A0861"/>
    <w:rsid w:val="000A0ED1"/>
    <w:rsid w:val="000A12DB"/>
    <w:rsid w:val="000A17C8"/>
    <w:rsid w:val="000A20D7"/>
    <w:rsid w:val="000A2128"/>
    <w:rsid w:val="000A362F"/>
    <w:rsid w:val="000A3B49"/>
    <w:rsid w:val="000A5AAF"/>
    <w:rsid w:val="000A5F97"/>
    <w:rsid w:val="000A648E"/>
    <w:rsid w:val="000A73BB"/>
    <w:rsid w:val="000A7EF4"/>
    <w:rsid w:val="000B0A15"/>
    <w:rsid w:val="000B0DF3"/>
    <w:rsid w:val="000B103F"/>
    <w:rsid w:val="000B1437"/>
    <w:rsid w:val="000B1470"/>
    <w:rsid w:val="000B2B86"/>
    <w:rsid w:val="000B3051"/>
    <w:rsid w:val="000B419B"/>
    <w:rsid w:val="000B5781"/>
    <w:rsid w:val="000C0185"/>
    <w:rsid w:val="000C0960"/>
    <w:rsid w:val="000C0F81"/>
    <w:rsid w:val="000C128D"/>
    <w:rsid w:val="000C17A3"/>
    <w:rsid w:val="000C1D4B"/>
    <w:rsid w:val="000C3260"/>
    <w:rsid w:val="000C3803"/>
    <w:rsid w:val="000C3B77"/>
    <w:rsid w:val="000C4F49"/>
    <w:rsid w:val="000C5861"/>
    <w:rsid w:val="000C639D"/>
    <w:rsid w:val="000C6C31"/>
    <w:rsid w:val="000C6DBC"/>
    <w:rsid w:val="000C6F79"/>
    <w:rsid w:val="000C7211"/>
    <w:rsid w:val="000C7476"/>
    <w:rsid w:val="000C7711"/>
    <w:rsid w:val="000C7AA2"/>
    <w:rsid w:val="000D0462"/>
    <w:rsid w:val="000D053D"/>
    <w:rsid w:val="000D0CD9"/>
    <w:rsid w:val="000D0ED2"/>
    <w:rsid w:val="000D1CEB"/>
    <w:rsid w:val="000D2563"/>
    <w:rsid w:val="000D25BF"/>
    <w:rsid w:val="000D3FDC"/>
    <w:rsid w:val="000D4E38"/>
    <w:rsid w:val="000D50DB"/>
    <w:rsid w:val="000D6288"/>
    <w:rsid w:val="000D6CAF"/>
    <w:rsid w:val="000D7541"/>
    <w:rsid w:val="000D75E1"/>
    <w:rsid w:val="000E22CF"/>
    <w:rsid w:val="000E2977"/>
    <w:rsid w:val="000E30AC"/>
    <w:rsid w:val="000E3B46"/>
    <w:rsid w:val="000E3E11"/>
    <w:rsid w:val="000E4596"/>
    <w:rsid w:val="000E5768"/>
    <w:rsid w:val="000E5843"/>
    <w:rsid w:val="000E6139"/>
    <w:rsid w:val="000E6BE1"/>
    <w:rsid w:val="000E7E0B"/>
    <w:rsid w:val="000F078A"/>
    <w:rsid w:val="000F122D"/>
    <w:rsid w:val="000F1450"/>
    <w:rsid w:val="000F14E8"/>
    <w:rsid w:val="000F1BBD"/>
    <w:rsid w:val="000F2739"/>
    <w:rsid w:val="000F3138"/>
    <w:rsid w:val="000F3D39"/>
    <w:rsid w:val="000F4403"/>
    <w:rsid w:val="000F4E17"/>
    <w:rsid w:val="000F6578"/>
    <w:rsid w:val="000F70CD"/>
    <w:rsid w:val="000F7ABD"/>
    <w:rsid w:val="000F7E8F"/>
    <w:rsid w:val="000F7FBB"/>
    <w:rsid w:val="001000FB"/>
    <w:rsid w:val="00102605"/>
    <w:rsid w:val="00102686"/>
    <w:rsid w:val="00102745"/>
    <w:rsid w:val="00103361"/>
    <w:rsid w:val="00103855"/>
    <w:rsid w:val="00103915"/>
    <w:rsid w:val="00103EA0"/>
    <w:rsid w:val="00104F1C"/>
    <w:rsid w:val="001051E5"/>
    <w:rsid w:val="00105A74"/>
    <w:rsid w:val="00105ACB"/>
    <w:rsid w:val="00105AEF"/>
    <w:rsid w:val="00106259"/>
    <w:rsid w:val="001068EB"/>
    <w:rsid w:val="001078CE"/>
    <w:rsid w:val="00110CEB"/>
    <w:rsid w:val="00110F61"/>
    <w:rsid w:val="001111BD"/>
    <w:rsid w:val="0011165A"/>
    <w:rsid w:val="00111B2B"/>
    <w:rsid w:val="00112609"/>
    <w:rsid w:val="00112774"/>
    <w:rsid w:val="00112B2E"/>
    <w:rsid w:val="00113003"/>
    <w:rsid w:val="00113062"/>
    <w:rsid w:val="00113705"/>
    <w:rsid w:val="00113975"/>
    <w:rsid w:val="00113CFC"/>
    <w:rsid w:val="00113FEA"/>
    <w:rsid w:val="00114A22"/>
    <w:rsid w:val="00114E9D"/>
    <w:rsid w:val="0011507B"/>
    <w:rsid w:val="00116328"/>
    <w:rsid w:val="001169FD"/>
    <w:rsid w:val="001174C9"/>
    <w:rsid w:val="00117E69"/>
    <w:rsid w:val="00121103"/>
    <w:rsid w:val="0012156A"/>
    <w:rsid w:val="00121BAB"/>
    <w:rsid w:val="00121E3C"/>
    <w:rsid w:val="00122B23"/>
    <w:rsid w:val="00122B7E"/>
    <w:rsid w:val="00123FB5"/>
    <w:rsid w:val="0012400F"/>
    <w:rsid w:val="001249DC"/>
    <w:rsid w:val="0012572D"/>
    <w:rsid w:val="00125BED"/>
    <w:rsid w:val="00125C59"/>
    <w:rsid w:val="00125D4F"/>
    <w:rsid w:val="00127004"/>
    <w:rsid w:val="00127AF2"/>
    <w:rsid w:val="00127EDC"/>
    <w:rsid w:val="00127F6D"/>
    <w:rsid w:val="00130355"/>
    <w:rsid w:val="001312C9"/>
    <w:rsid w:val="00131B5A"/>
    <w:rsid w:val="00132C30"/>
    <w:rsid w:val="00132EFD"/>
    <w:rsid w:val="00133AED"/>
    <w:rsid w:val="00134FF9"/>
    <w:rsid w:val="00135E88"/>
    <w:rsid w:val="0013695C"/>
    <w:rsid w:val="00136BF7"/>
    <w:rsid w:val="001378B9"/>
    <w:rsid w:val="00137FFA"/>
    <w:rsid w:val="00140109"/>
    <w:rsid w:val="0014029B"/>
    <w:rsid w:val="00140A4F"/>
    <w:rsid w:val="001413AB"/>
    <w:rsid w:val="00144335"/>
    <w:rsid w:val="0014502F"/>
    <w:rsid w:val="00145282"/>
    <w:rsid w:val="001453B0"/>
    <w:rsid w:val="001454D9"/>
    <w:rsid w:val="00145D8E"/>
    <w:rsid w:val="00146083"/>
    <w:rsid w:val="001462F7"/>
    <w:rsid w:val="001466F0"/>
    <w:rsid w:val="00147798"/>
    <w:rsid w:val="00150005"/>
    <w:rsid w:val="00151B99"/>
    <w:rsid w:val="001521B2"/>
    <w:rsid w:val="00152288"/>
    <w:rsid w:val="00152EDD"/>
    <w:rsid w:val="00153491"/>
    <w:rsid w:val="0015361C"/>
    <w:rsid w:val="0015372F"/>
    <w:rsid w:val="00153BFB"/>
    <w:rsid w:val="0015407E"/>
    <w:rsid w:val="0015448E"/>
    <w:rsid w:val="00154A6F"/>
    <w:rsid w:val="00155D08"/>
    <w:rsid w:val="00156BE5"/>
    <w:rsid w:val="00157232"/>
    <w:rsid w:val="00160401"/>
    <w:rsid w:val="00160D4E"/>
    <w:rsid w:val="00161E62"/>
    <w:rsid w:val="00161F1C"/>
    <w:rsid w:val="0016200B"/>
    <w:rsid w:val="00163D7A"/>
    <w:rsid w:val="00164281"/>
    <w:rsid w:val="00164AF1"/>
    <w:rsid w:val="00167503"/>
    <w:rsid w:val="001676A9"/>
    <w:rsid w:val="00167A15"/>
    <w:rsid w:val="00167A50"/>
    <w:rsid w:val="00167DF5"/>
    <w:rsid w:val="00170001"/>
    <w:rsid w:val="0017145A"/>
    <w:rsid w:val="00172198"/>
    <w:rsid w:val="00172612"/>
    <w:rsid w:val="00172817"/>
    <w:rsid w:val="001734E3"/>
    <w:rsid w:val="001742BF"/>
    <w:rsid w:val="00175E49"/>
    <w:rsid w:val="00176470"/>
    <w:rsid w:val="00177076"/>
    <w:rsid w:val="001805C1"/>
    <w:rsid w:val="00180A2E"/>
    <w:rsid w:val="001813AF"/>
    <w:rsid w:val="001829CD"/>
    <w:rsid w:val="00182F01"/>
    <w:rsid w:val="00184F27"/>
    <w:rsid w:val="0018519B"/>
    <w:rsid w:val="00185AFE"/>
    <w:rsid w:val="00185E78"/>
    <w:rsid w:val="00187177"/>
    <w:rsid w:val="00187443"/>
    <w:rsid w:val="00187ABD"/>
    <w:rsid w:val="001904E3"/>
    <w:rsid w:val="0019087A"/>
    <w:rsid w:val="00191C5A"/>
    <w:rsid w:val="00191CEB"/>
    <w:rsid w:val="00191E63"/>
    <w:rsid w:val="00192D68"/>
    <w:rsid w:val="0019388B"/>
    <w:rsid w:val="00193B9A"/>
    <w:rsid w:val="001946AE"/>
    <w:rsid w:val="001946D5"/>
    <w:rsid w:val="00194E8C"/>
    <w:rsid w:val="001962EC"/>
    <w:rsid w:val="001963DD"/>
    <w:rsid w:val="001965DB"/>
    <w:rsid w:val="00196DC9"/>
    <w:rsid w:val="001A0236"/>
    <w:rsid w:val="001A0AF8"/>
    <w:rsid w:val="001A18D5"/>
    <w:rsid w:val="001A1D4A"/>
    <w:rsid w:val="001A3011"/>
    <w:rsid w:val="001A325B"/>
    <w:rsid w:val="001A4A08"/>
    <w:rsid w:val="001A4DAF"/>
    <w:rsid w:val="001A66DF"/>
    <w:rsid w:val="001A67D0"/>
    <w:rsid w:val="001A7591"/>
    <w:rsid w:val="001A75B1"/>
    <w:rsid w:val="001B0366"/>
    <w:rsid w:val="001B0444"/>
    <w:rsid w:val="001B096B"/>
    <w:rsid w:val="001B0F9F"/>
    <w:rsid w:val="001B123C"/>
    <w:rsid w:val="001B1A0D"/>
    <w:rsid w:val="001B1BF1"/>
    <w:rsid w:val="001B2456"/>
    <w:rsid w:val="001B449C"/>
    <w:rsid w:val="001B4AA2"/>
    <w:rsid w:val="001B4ADE"/>
    <w:rsid w:val="001B5C86"/>
    <w:rsid w:val="001B5EF8"/>
    <w:rsid w:val="001C07C6"/>
    <w:rsid w:val="001C19CD"/>
    <w:rsid w:val="001C22D5"/>
    <w:rsid w:val="001C2515"/>
    <w:rsid w:val="001C2550"/>
    <w:rsid w:val="001C26FB"/>
    <w:rsid w:val="001C33C1"/>
    <w:rsid w:val="001C3E30"/>
    <w:rsid w:val="001C3E5C"/>
    <w:rsid w:val="001C5072"/>
    <w:rsid w:val="001C5B2A"/>
    <w:rsid w:val="001C600B"/>
    <w:rsid w:val="001C6407"/>
    <w:rsid w:val="001C6898"/>
    <w:rsid w:val="001C6D41"/>
    <w:rsid w:val="001C6DD8"/>
    <w:rsid w:val="001C7C7B"/>
    <w:rsid w:val="001D068D"/>
    <w:rsid w:val="001D0A71"/>
    <w:rsid w:val="001D12D1"/>
    <w:rsid w:val="001D15DF"/>
    <w:rsid w:val="001D2970"/>
    <w:rsid w:val="001D30F3"/>
    <w:rsid w:val="001D31A0"/>
    <w:rsid w:val="001D338E"/>
    <w:rsid w:val="001D4141"/>
    <w:rsid w:val="001D56E9"/>
    <w:rsid w:val="001D7923"/>
    <w:rsid w:val="001D796A"/>
    <w:rsid w:val="001D7A84"/>
    <w:rsid w:val="001D7C79"/>
    <w:rsid w:val="001E15F0"/>
    <w:rsid w:val="001E1CC4"/>
    <w:rsid w:val="001E1D38"/>
    <w:rsid w:val="001E4258"/>
    <w:rsid w:val="001E56FF"/>
    <w:rsid w:val="001E5B84"/>
    <w:rsid w:val="001E5D6A"/>
    <w:rsid w:val="001E70FB"/>
    <w:rsid w:val="001E780A"/>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22E"/>
    <w:rsid w:val="0020054E"/>
    <w:rsid w:val="00200B51"/>
    <w:rsid w:val="00201F1E"/>
    <w:rsid w:val="0020299B"/>
    <w:rsid w:val="00202E44"/>
    <w:rsid w:val="002037AA"/>
    <w:rsid w:val="00203FE3"/>
    <w:rsid w:val="002042D8"/>
    <w:rsid w:val="00204515"/>
    <w:rsid w:val="00204BF5"/>
    <w:rsid w:val="00204E6B"/>
    <w:rsid w:val="002058D4"/>
    <w:rsid w:val="00205BAA"/>
    <w:rsid w:val="0020632A"/>
    <w:rsid w:val="0020697F"/>
    <w:rsid w:val="002110EB"/>
    <w:rsid w:val="00211338"/>
    <w:rsid w:val="00211388"/>
    <w:rsid w:val="0021148C"/>
    <w:rsid w:val="00211694"/>
    <w:rsid w:val="0021201A"/>
    <w:rsid w:val="00213A1F"/>
    <w:rsid w:val="00213C63"/>
    <w:rsid w:val="00214502"/>
    <w:rsid w:val="00214741"/>
    <w:rsid w:val="0021539A"/>
    <w:rsid w:val="00215852"/>
    <w:rsid w:val="00215B8E"/>
    <w:rsid w:val="00216264"/>
    <w:rsid w:val="002168B8"/>
    <w:rsid w:val="002176B6"/>
    <w:rsid w:val="0021792D"/>
    <w:rsid w:val="00217DB8"/>
    <w:rsid w:val="0022032A"/>
    <w:rsid w:val="002221CE"/>
    <w:rsid w:val="00222BE8"/>
    <w:rsid w:val="00223102"/>
    <w:rsid w:val="002232CB"/>
    <w:rsid w:val="00224022"/>
    <w:rsid w:val="00226055"/>
    <w:rsid w:val="0022613F"/>
    <w:rsid w:val="00226236"/>
    <w:rsid w:val="00226DF9"/>
    <w:rsid w:val="002270C9"/>
    <w:rsid w:val="00227A8B"/>
    <w:rsid w:val="0023146B"/>
    <w:rsid w:val="002315A0"/>
    <w:rsid w:val="00231EC7"/>
    <w:rsid w:val="00232E15"/>
    <w:rsid w:val="00233079"/>
    <w:rsid w:val="0023382C"/>
    <w:rsid w:val="00233977"/>
    <w:rsid w:val="00233C58"/>
    <w:rsid w:val="00233C71"/>
    <w:rsid w:val="002345B6"/>
    <w:rsid w:val="00234B84"/>
    <w:rsid w:val="00236016"/>
    <w:rsid w:val="00237065"/>
    <w:rsid w:val="00237589"/>
    <w:rsid w:val="0023758D"/>
    <w:rsid w:val="002375A7"/>
    <w:rsid w:val="00240136"/>
    <w:rsid w:val="0024019A"/>
    <w:rsid w:val="002411DE"/>
    <w:rsid w:val="0024131D"/>
    <w:rsid w:val="002413B5"/>
    <w:rsid w:val="002415B8"/>
    <w:rsid w:val="00241618"/>
    <w:rsid w:val="00242D62"/>
    <w:rsid w:val="002431D7"/>
    <w:rsid w:val="00244058"/>
    <w:rsid w:val="00245718"/>
    <w:rsid w:val="00245E07"/>
    <w:rsid w:val="00247712"/>
    <w:rsid w:val="00250EC6"/>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604AA"/>
    <w:rsid w:val="0026129B"/>
    <w:rsid w:val="00261560"/>
    <w:rsid w:val="00261715"/>
    <w:rsid w:val="00261CF9"/>
    <w:rsid w:val="00261EC0"/>
    <w:rsid w:val="0026231B"/>
    <w:rsid w:val="00263101"/>
    <w:rsid w:val="00263201"/>
    <w:rsid w:val="00263A37"/>
    <w:rsid w:val="002653A6"/>
    <w:rsid w:val="0026608D"/>
    <w:rsid w:val="002661F1"/>
    <w:rsid w:val="002663BA"/>
    <w:rsid w:val="00266CB5"/>
    <w:rsid w:val="002711A4"/>
    <w:rsid w:val="00271F13"/>
    <w:rsid w:val="00274DB5"/>
    <w:rsid w:val="00275BB1"/>
    <w:rsid w:val="00275FBF"/>
    <w:rsid w:val="00276373"/>
    <w:rsid w:val="00277933"/>
    <w:rsid w:val="00277F13"/>
    <w:rsid w:val="00277F8D"/>
    <w:rsid w:val="00277FA7"/>
    <w:rsid w:val="00280F3D"/>
    <w:rsid w:val="0028106A"/>
    <w:rsid w:val="00281EB4"/>
    <w:rsid w:val="0028308E"/>
    <w:rsid w:val="002834E9"/>
    <w:rsid w:val="0028396F"/>
    <w:rsid w:val="00283A52"/>
    <w:rsid w:val="00283C5E"/>
    <w:rsid w:val="00283E26"/>
    <w:rsid w:val="0028428F"/>
    <w:rsid w:val="00284CFC"/>
    <w:rsid w:val="00284FE5"/>
    <w:rsid w:val="00285832"/>
    <w:rsid w:val="00285969"/>
    <w:rsid w:val="0028663B"/>
    <w:rsid w:val="00286CEC"/>
    <w:rsid w:val="002871A9"/>
    <w:rsid w:val="00290781"/>
    <w:rsid w:val="00291784"/>
    <w:rsid w:val="002929BB"/>
    <w:rsid w:val="00294368"/>
    <w:rsid w:val="00294B78"/>
    <w:rsid w:val="00295949"/>
    <w:rsid w:val="0029624A"/>
    <w:rsid w:val="00296922"/>
    <w:rsid w:val="00297098"/>
    <w:rsid w:val="002A05D4"/>
    <w:rsid w:val="002A09FF"/>
    <w:rsid w:val="002A0E60"/>
    <w:rsid w:val="002A1A58"/>
    <w:rsid w:val="002A1B02"/>
    <w:rsid w:val="002A1C53"/>
    <w:rsid w:val="002A28FC"/>
    <w:rsid w:val="002A2B44"/>
    <w:rsid w:val="002A2EA5"/>
    <w:rsid w:val="002A3D94"/>
    <w:rsid w:val="002A4736"/>
    <w:rsid w:val="002A4B1C"/>
    <w:rsid w:val="002A4CC8"/>
    <w:rsid w:val="002A6AFB"/>
    <w:rsid w:val="002A733D"/>
    <w:rsid w:val="002A774A"/>
    <w:rsid w:val="002A7E5C"/>
    <w:rsid w:val="002A7F6D"/>
    <w:rsid w:val="002B1342"/>
    <w:rsid w:val="002B27C8"/>
    <w:rsid w:val="002B2A7F"/>
    <w:rsid w:val="002B330B"/>
    <w:rsid w:val="002B39BE"/>
    <w:rsid w:val="002B438C"/>
    <w:rsid w:val="002B48DB"/>
    <w:rsid w:val="002B4B34"/>
    <w:rsid w:val="002B508E"/>
    <w:rsid w:val="002B541A"/>
    <w:rsid w:val="002B6407"/>
    <w:rsid w:val="002B6416"/>
    <w:rsid w:val="002B6459"/>
    <w:rsid w:val="002B73B0"/>
    <w:rsid w:val="002C1143"/>
    <w:rsid w:val="002C24B4"/>
    <w:rsid w:val="002C2B3A"/>
    <w:rsid w:val="002C2B87"/>
    <w:rsid w:val="002C3CF4"/>
    <w:rsid w:val="002C441A"/>
    <w:rsid w:val="002C4A73"/>
    <w:rsid w:val="002C4B84"/>
    <w:rsid w:val="002C4C0C"/>
    <w:rsid w:val="002C5016"/>
    <w:rsid w:val="002C5C2F"/>
    <w:rsid w:val="002C5D0F"/>
    <w:rsid w:val="002C5E87"/>
    <w:rsid w:val="002C60B9"/>
    <w:rsid w:val="002C6F77"/>
    <w:rsid w:val="002C704D"/>
    <w:rsid w:val="002D0845"/>
    <w:rsid w:val="002D0933"/>
    <w:rsid w:val="002D19BB"/>
    <w:rsid w:val="002D1A9B"/>
    <w:rsid w:val="002D22C5"/>
    <w:rsid w:val="002D301F"/>
    <w:rsid w:val="002D302A"/>
    <w:rsid w:val="002D36C6"/>
    <w:rsid w:val="002D37C1"/>
    <w:rsid w:val="002D444B"/>
    <w:rsid w:val="002D4A45"/>
    <w:rsid w:val="002D4A73"/>
    <w:rsid w:val="002D4B42"/>
    <w:rsid w:val="002D4DBA"/>
    <w:rsid w:val="002D5A1B"/>
    <w:rsid w:val="002D65BC"/>
    <w:rsid w:val="002D6D7E"/>
    <w:rsid w:val="002E055C"/>
    <w:rsid w:val="002E1050"/>
    <w:rsid w:val="002E18E5"/>
    <w:rsid w:val="002E1953"/>
    <w:rsid w:val="002E2D7D"/>
    <w:rsid w:val="002E3AB5"/>
    <w:rsid w:val="002E3D76"/>
    <w:rsid w:val="002E40A1"/>
    <w:rsid w:val="002E48EC"/>
    <w:rsid w:val="002E4B44"/>
    <w:rsid w:val="002E4ECB"/>
    <w:rsid w:val="002E4F23"/>
    <w:rsid w:val="002E7847"/>
    <w:rsid w:val="002F0073"/>
    <w:rsid w:val="002F0618"/>
    <w:rsid w:val="002F240B"/>
    <w:rsid w:val="002F2F50"/>
    <w:rsid w:val="002F3601"/>
    <w:rsid w:val="002F45F6"/>
    <w:rsid w:val="002F692F"/>
    <w:rsid w:val="002F7B66"/>
    <w:rsid w:val="00300CB4"/>
    <w:rsid w:val="00300E24"/>
    <w:rsid w:val="003033BA"/>
    <w:rsid w:val="003043A3"/>
    <w:rsid w:val="00304BD4"/>
    <w:rsid w:val="0030500A"/>
    <w:rsid w:val="0030517B"/>
    <w:rsid w:val="003052EB"/>
    <w:rsid w:val="00305FCB"/>
    <w:rsid w:val="003063C3"/>
    <w:rsid w:val="00306B44"/>
    <w:rsid w:val="00307B00"/>
    <w:rsid w:val="00307C44"/>
    <w:rsid w:val="0031088E"/>
    <w:rsid w:val="00310A35"/>
    <w:rsid w:val="00310D01"/>
    <w:rsid w:val="00311376"/>
    <w:rsid w:val="00311A1F"/>
    <w:rsid w:val="00311B47"/>
    <w:rsid w:val="00311D52"/>
    <w:rsid w:val="00312190"/>
    <w:rsid w:val="003125E0"/>
    <w:rsid w:val="0031271D"/>
    <w:rsid w:val="00313447"/>
    <w:rsid w:val="00313748"/>
    <w:rsid w:val="00313EA3"/>
    <w:rsid w:val="00315457"/>
    <w:rsid w:val="003161A4"/>
    <w:rsid w:val="00316955"/>
    <w:rsid w:val="0031712D"/>
    <w:rsid w:val="0031720A"/>
    <w:rsid w:val="0031749B"/>
    <w:rsid w:val="003174E5"/>
    <w:rsid w:val="00317C9D"/>
    <w:rsid w:val="00317CD2"/>
    <w:rsid w:val="00317D99"/>
    <w:rsid w:val="0032078D"/>
    <w:rsid w:val="00320A6E"/>
    <w:rsid w:val="0032137B"/>
    <w:rsid w:val="00321BD6"/>
    <w:rsid w:val="00321FA3"/>
    <w:rsid w:val="003227D3"/>
    <w:rsid w:val="00322937"/>
    <w:rsid w:val="00322A46"/>
    <w:rsid w:val="00322A84"/>
    <w:rsid w:val="00323881"/>
    <w:rsid w:val="00323B73"/>
    <w:rsid w:val="00325D98"/>
    <w:rsid w:val="0032682A"/>
    <w:rsid w:val="00327A5C"/>
    <w:rsid w:val="0033092C"/>
    <w:rsid w:val="0033122A"/>
    <w:rsid w:val="003315AC"/>
    <w:rsid w:val="00331932"/>
    <w:rsid w:val="00333A88"/>
    <w:rsid w:val="00335B15"/>
    <w:rsid w:val="00335B21"/>
    <w:rsid w:val="00335D3F"/>
    <w:rsid w:val="00336104"/>
    <w:rsid w:val="00336729"/>
    <w:rsid w:val="00336AB1"/>
    <w:rsid w:val="0033726D"/>
    <w:rsid w:val="00337362"/>
    <w:rsid w:val="00337CA8"/>
    <w:rsid w:val="0034177C"/>
    <w:rsid w:val="00342345"/>
    <w:rsid w:val="00342C27"/>
    <w:rsid w:val="003430C8"/>
    <w:rsid w:val="003432C8"/>
    <w:rsid w:val="003434B3"/>
    <w:rsid w:val="00343536"/>
    <w:rsid w:val="00343EFB"/>
    <w:rsid w:val="00344760"/>
    <w:rsid w:val="0034680A"/>
    <w:rsid w:val="00346C62"/>
    <w:rsid w:val="0034778E"/>
    <w:rsid w:val="003501E2"/>
    <w:rsid w:val="00351E10"/>
    <w:rsid w:val="0035273A"/>
    <w:rsid w:val="003533F4"/>
    <w:rsid w:val="003536F6"/>
    <w:rsid w:val="00353DD5"/>
    <w:rsid w:val="00355131"/>
    <w:rsid w:val="00356438"/>
    <w:rsid w:val="00361A59"/>
    <w:rsid w:val="00363348"/>
    <w:rsid w:val="00363857"/>
    <w:rsid w:val="00363D59"/>
    <w:rsid w:val="003640F7"/>
    <w:rsid w:val="00364300"/>
    <w:rsid w:val="00365D3A"/>
    <w:rsid w:val="003664FF"/>
    <w:rsid w:val="00366B70"/>
    <w:rsid w:val="00366BD2"/>
    <w:rsid w:val="003670B8"/>
    <w:rsid w:val="003704A3"/>
    <w:rsid w:val="003706F2"/>
    <w:rsid w:val="0037124F"/>
    <w:rsid w:val="00373827"/>
    <w:rsid w:val="0037401C"/>
    <w:rsid w:val="00374A1E"/>
    <w:rsid w:val="0037507B"/>
    <w:rsid w:val="00375C7C"/>
    <w:rsid w:val="00377027"/>
    <w:rsid w:val="00377135"/>
    <w:rsid w:val="00380272"/>
    <w:rsid w:val="00380576"/>
    <w:rsid w:val="003805DB"/>
    <w:rsid w:val="003813F4"/>
    <w:rsid w:val="0038152A"/>
    <w:rsid w:val="00382BAD"/>
    <w:rsid w:val="00383A8D"/>
    <w:rsid w:val="00384DF1"/>
    <w:rsid w:val="00384FF3"/>
    <w:rsid w:val="00386456"/>
    <w:rsid w:val="003865A9"/>
    <w:rsid w:val="00387642"/>
    <w:rsid w:val="00390F32"/>
    <w:rsid w:val="0039135E"/>
    <w:rsid w:val="0039200F"/>
    <w:rsid w:val="0039319C"/>
    <w:rsid w:val="00393CAE"/>
    <w:rsid w:val="003945DC"/>
    <w:rsid w:val="003945F4"/>
    <w:rsid w:val="00394EB5"/>
    <w:rsid w:val="003953B4"/>
    <w:rsid w:val="0039615F"/>
    <w:rsid w:val="00396A29"/>
    <w:rsid w:val="00397FF0"/>
    <w:rsid w:val="003A0878"/>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20F"/>
    <w:rsid w:val="003B1E57"/>
    <w:rsid w:val="003B2EF3"/>
    <w:rsid w:val="003B4B1C"/>
    <w:rsid w:val="003B4CB2"/>
    <w:rsid w:val="003B534F"/>
    <w:rsid w:val="003B5391"/>
    <w:rsid w:val="003B5952"/>
    <w:rsid w:val="003B65D7"/>
    <w:rsid w:val="003B65E0"/>
    <w:rsid w:val="003B6BD4"/>
    <w:rsid w:val="003B6F4D"/>
    <w:rsid w:val="003B6FE7"/>
    <w:rsid w:val="003C0D1F"/>
    <w:rsid w:val="003C116A"/>
    <w:rsid w:val="003C1AF4"/>
    <w:rsid w:val="003C1B63"/>
    <w:rsid w:val="003C1CB8"/>
    <w:rsid w:val="003C2550"/>
    <w:rsid w:val="003C287F"/>
    <w:rsid w:val="003C3339"/>
    <w:rsid w:val="003C375A"/>
    <w:rsid w:val="003C4D9F"/>
    <w:rsid w:val="003C622C"/>
    <w:rsid w:val="003C73C7"/>
    <w:rsid w:val="003D050B"/>
    <w:rsid w:val="003D0B98"/>
    <w:rsid w:val="003D0C3C"/>
    <w:rsid w:val="003D0DE5"/>
    <w:rsid w:val="003D1351"/>
    <w:rsid w:val="003D21C1"/>
    <w:rsid w:val="003D3707"/>
    <w:rsid w:val="003D3B15"/>
    <w:rsid w:val="003D3B2E"/>
    <w:rsid w:val="003D484D"/>
    <w:rsid w:val="003D49CB"/>
    <w:rsid w:val="003D4BD6"/>
    <w:rsid w:val="003D6B8F"/>
    <w:rsid w:val="003D7566"/>
    <w:rsid w:val="003E09BB"/>
    <w:rsid w:val="003E0D3F"/>
    <w:rsid w:val="003E159D"/>
    <w:rsid w:val="003E20EA"/>
    <w:rsid w:val="003E210C"/>
    <w:rsid w:val="003E2913"/>
    <w:rsid w:val="003E2F55"/>
    <w:rsid w:val="003E34DB"/>
    <w:rsid w:val="003E3833"/>
    <w:rsid w:val="003E3AF9"/>
    <w:rsid w:val="003E4A70"/>
    <w:rsid w:val="003E4C48"/>
    <w:rsid w:val="003E4CD9"/>
    <w:rsid w:val="003E54B3"/>
    <w:rsid w:val="003E5780"/>
    <w:rsid w:val="003E5B9F"/>
    <w:rsid w:val="003E6072"/>
    <w:rsid w:val="003E6AB6"/>
    <w:rsid w:val="003E6E0B"/>
    <w:rsid w:val="003E71CD"/>
    <w:rsid w:val="003E76DF"/>
    <w:rsid w:val="003E78DA"/>
    <w:rsid w:val="003E7A8B"/>
    <w:rsid w:val="003F0F7F"/>
    <w:rsid w:val="003F300D"/>
    <w:rsid w:val="003F391F"/>
    <w:rsid w:val="003F4599"/>
    <w:rsid w:val="003F45E1"/>
    <w:rsid w:val="003F4F6C"/>
    <w:rsid w:val="003F516A"/>
    <w:rsid w:val="003F559E"/>
    <w:rsid w:val="003F6181"/>
    <w:rsid w:val="003F7343"/>
    <w:rsid w:val="00400002"/>
    <w:rsid w:val="00400054"/>
    <w:rsid w:val="004016A3"/>
    <w:rsid w:val="00401B31"/>
    <w:rsid w:val="0040202B"/>
    <w:rsid w:val="00402DE1"/>
    <w:rsid w:val="00402EEB"/>
    <w:rsid w:val="00403419"/>
    <w:rsid w:val="004037C2"/>
    <w:rsid w:val="00404041"/>
    <w:rsid w:val="00404B43"/>
    <w:rsid w:val="00404C61"/>
    <w:rsid w:val="00405487"/>
    <w:rsid w:val="0040602B"/>
    <w:rsid w:val="00407A7A"/>
    <w:rsid w:val="00407ABC"/>
    <w:rsid w:val="00407F1E"/>
    <w:rsid w:val="00410A88"/>
    <w:rsid w:val="00411317"/>
    <w:rsid w:val="00411A9E"/>
    <w:rsid w:val="0041259F"/>
    <w:rsid w:val="00412B4D"/>
    <w:rsid w:val="00412C51"/>
    <w:rsid w:val="00413262"/>
    <w:rsid w:val="0041329C"/>
    <w:rsid w:val="004139F4"/>
    <w:rsid w:val="00413FFA"/>
    <w:rsid w:val="00414246"/>
    <w:rsid w:val="0041475B"/>
    <w:rsid w:val="00414D9A"/>
    <w:rsid w:val="00415194"/>
    <w:rsid w:val="00415816"/>
    <w:rsid w:val="00415B88"/>
    <w:rsid w:val="00415D32"/>
    <w:rsid w:val="004160A2"/>
    <w:rsid w:val="004170D7"/>
    <w:rsid w:val="004177A6"/>
    <w:rsid w:val="00417EFD"/>
    <w:rsid w:val="004200EE"/>
    <w:rsid w:val="004209D2"/>
    <w:rsid w:val="00420D6E"/>
    <w:rsid w:val="00421BD2"/>
    <w:rsid w:val="00421E00"/>
    <w:rsid w:val="00421FCB"/>
    <w:rsid w:val="00422DCA"/>
    <w:rsid w:val="00423F9F"/>
    <w:rsid w:val="00425C43"/>
    <w:rsid w:val="00426C69"/>
    <w:rsid w:val="004273FA"/>
    <w:rsid w:val="00430186"/>
    <w:rsid w:val="0043269A"/>
    <w:rsid w:val="004332C3"/>
    <w:rsid w:val="004333C2"/>
    <w:rsid w:val="00433ACB"/>
    <w:rsid w:val="00434787"/>
    <w:rsid w:val="004347DA"/>
    <w:rsid w:val="00434C13"/>
    <w:rsid w:val="00436323"/>
    <w:rsid w:val="0043683F"/>
    <w:rsid w:val="00436F40"/>
    <w:rsid w:val="004370FA"/>
    <w:rsid w:val="00440096"/>
    <w:rsid w:val="004403DD"/>
    <w:rsid w:val="00440DB0"/>
    <w:rsid w:val="00440FAD"/>
    <w:rsid w:val="00441291"/>
    <w:rsid w:val="004420AB"/>
    <w:rsid w:val="004422D6"/>
    <w:rsid w:val="004427AC"/>
    <w:rsid w:val="00442D4D"/>
    <w:rsid w:val="00443613"/>
    <w:rsid w:val="0044374D"/>
    <w:rsid w:val="00443865"/>
    <w:rsid w:val="00443B55"/>
    <w:rsid w:val="00443D27"/>
    <w:rsid w:val="00445AC2"/>
    <w:rsid w:val="00446037"/>
    <w:rsid w:val="0044642F"/>
    <w:rsid w:val="004471F4"/>
    <w:rsid w:val="0044772C"/>
    <w:rsid w:val="00450846"/>
    <w:rsid w:val="00451A52"/>
    <w:rsid w:val="00451FC8"/>
    <w:rsid w:val="0045271D"/>
    <w:rsid w:val="00452755"/>
    <w:rsid w:val="00452803"/>
    <w:rsid w:val="004529C6"/>
    <w:rsid w:val="00452EAD"/>
    <w:rsid w:val="004533D1"/>
    <w:rsid w:val="004534D1"/>
    <w:rsid w:val="00453A53"/>
    <w:rsid w:val="00454548"/>
    <w:rsid w:val="00454717"/>
    <w:rsid w:val="00455047"/>
    <w:rsid w:val="00455354"/>
    <w:rsid w:val="0045558D"/>
    <w:rsid w:val="00456970"/>
    <w:rsid w:val="00456BB1"/>
    <w:rsid w:val="00456DDB"/>
    <w:rsid w:val="00460915"/>
    <w:rsid w:val="00460946"/>
    <w:rsid w:val="004613D2"/>
    <w:rsid w:val="004614A9"/>
    <w:rsid w:val="00461E97"/>
    <w:rsid w:val="0046268F"/>
    <w:rsid w:val="0046284F"/>
    <w:rsid w:val="00462B10"/>
    <w:rsid w:val="00462C04"/>
    <w:rsid w:val="0046320A"/>
    <w:rsid w:val="0046361D"/>
    <w:rsid w:val="004638E2"/>
    <w:rsid w:val="00464030"/>
    <w:rsid w:val="004647F8"/>
    <w:rsid w:val="004647FB"/>
    <w:rsid w:val="00465677"/>
    <w:rsid w:val="00465AC3"/>
    <w:rsid w:val="00466616"/>
    <w:rsid w:val="00466A0C"/>
    <w:rsid w:val="00470A6A"/>
    <w:rsid w:val="00470D92"/>
    <w:rsid w:val="004712D1"/>
    <w:rsid w:val="00471DF7"/>
    <w:rsid w:val="00471F6B"/>
    <w:rsid w:val="0047295C"/>
    <w:rsid w:val="00472D8E"/>
    <w:rsid w:val="004734CF"/>
    <w:rsid w:val="00475C5A"/>
    <w:rsid w:val="00475C9C"/>
    <w:rsid w:val="0047676B"/>
    <w:rsid w:val="0047773C"/>
    <w:rsid w:val="00477C5F"/>
    <w:rsid w:val="00480050"/>
    <w:rsid w:val="004808DE"/>
    <w:rsid w:val="00481AC4"/>
    <w:rsid w:val="00481DC1"/>
    <w:rsid w:val="00482507"/>
    <w:rsid w:val="0048268A"/>
    <w:rsid w:val="00483356"/>
    <w:rsid w:val="004835CA"/>
    <w:rsid w:val="004836F8"/>
    <w:rsid w:val="004836FE"/>
    <w:rsid w:val="00484074"/>
    <w:rsid w:val="004843F9"/>
    <w:rsid w:val="00484F0F"/>
    <w:rsid w:val="00484F40"/>
    <w:rsid w:val="0048540C"/>
    <w:rsid w:val="0048592F"/>
    <w:rsid w:val="004861B4"/>
    <w:rsid w:val="00486BD0"/>
    <w:rsid w:val="00486D00"/>
    <w:rsid w:val="00487263"/>
    <w:rsid w:val="0048734F"/>
    <w:rsid w:val="0049029D"/>
    <w:rsid w:val="0049030C"/>
    <w:rsid w:val="004903C0"/>
    <w:rsid w:val="0049114B"/>
    <w:rsid w:val="004912A8"/>
    <w:rsid w:val="00491577"/>
    <w:rsid w:val="0049196E"/>
    <w:rsid w:val="0049241A"/>
    <w:rsid w:val="00492C1F"/>
    <w:rsid w:val="00492E4C"/>
    <w:rsid w:val="00493E04"/>
    <w:rsid w:val="004940E3"/>
    <w:rsid w:val="0049530F"/>
    <w:rsid w:val="00496664"/>
    <w:rsid w:val="00496786"/>
    <w:rsid w:val="0049695B"/>
    <w:rsid w:val="00496D8F"/>
    <w:rsid w:val="00497463"/>
    <w:rsid w:val="00497B15"/>
    <w:rsid w:val="004A054C"/>
    <w:rsid w:val="004A08D1"/>
    <w:rsid w:val="004A16C1"/>
    <w:rsid w:val="004A1CE2"/>
    <w:rsid w:val="004A2069"/>
    <w:rsid w:val="004A2800"/>
    <w:rsid w:val="004A34D2"/>
    <w:rsid w:val="004A41BA"/>
    <w:rsid w:val="004A4301"/>
    <w:rsid w:val="004A4E65"/>
    <w:rsid w:val="004A58EE"/>
    <w:rsid w:val="004A59B7"/>
    <w:rsid w:val="004A623B"/>
    <w:rsid w:val="004A6A04"/>
    <w:rsid w:val="004A6A52"/>
    <w:rsid w:val="004A6C78"/>
    <w:rsid w:val="004B0F0B"/>
    <w:rsid w:val="004B2197"/>
    <w:rsid w:val="004B298A"/>
    <w:rsid w:val="004B578D"/>
    <w:rsid w:val="004B5BE7"/>
    <w:rsid w:val="004B5E2D"/>
    <w:rsid w:val="004B6C07"/>
    <w:rsid w:val="004B74D3"/>
    <w:rsid w:val="004B76D3"/>
    <w:rsid w:val="004B788E"/>
    <w:rsid w:val="004B7E5D"/>
    <w:rsid w:val="004C0DD8"/>
    <w:rsid w:val="004C22F7"/>
    <w:rsid w:val="004C2B27"/>
    <w:rsid w:val="004C3929"/>
    <w:rsid w:val="004C4DCB"/>
    <w:rsid w:val="004C5212"/>
    <w:rsid w:val="004C5EF0"/>
    <w:rsid w:val="004C7226"/>
    <w:rsid w:val="004C74C9"/>
    <w:rsid w:val="004C7D70"/>
    <w:rsid w:val="004D02F9"/>
    <w:rsid w:val="004D03FE"/>
    <w:rsid w:val="004D0446"/>
    <w:rsid w:val="004D0F95"/>
    <w:rsid w:val="004D106A"/>
    <w:rsid w:val="004D31EE"/>
    <w:rsid w:val="004D36AF"/>
    <w:rsid w:val="004D3BD1"/>
    <w:rsid w:val="004D4BA1"/>
    <w:rsid w:val="004D584D"/>
    <w:rsid w:val="004D6826"/>
    <w:rsid w:val="004E023F"/>
    <w:rsid w:val="004E0742"/>
    <w:rsid w:val="004E0C64"/>
    <w:rsid w:val="004E0F6B"/>
    <w:rsid w:val="004E1545"/>
    <w:rsid w:val="004E1F1C"/>
    <w:rsid w:val="004E2A35"/>
    <w:rsid w:val="004E40CE"/>
    <w:rsid w:val="004E518D"/>
    <w:rsid w:val="004E5736"/>
    <w:rsid w:val="004E5B36"/>
    <w:rsid w:val="004E6045"/>
    <w:rsid w:val="004E6A1F"/>
    <w:rsid w:val="004E6EB1"/>
    <w:rsid w:val="004E6F43"/>
    <w:rsid w:val="004E7200"/>
    <w:rsid w:val="004F034D"/>
    <w:rsid w:val="004F091D"/>
    <w:rsid w:val="004F0960"/>
    <w:rsid w:val="004F0A5C"/>
    <w:rsid w:val="004F163F"/>
    <w:rsid w:val="004F18A0"/>
    <w:rsid w:val="004F1A08"/>
    <w:rsid w:val="004F2B64"/>
    <w:rsid w:val="004F3764"/>
    <w:rsid w:val="004F3EEF"/>
    <w:rsid w:val="004F5930"/>
    <w:rsid w:val="004F5970"/>
    <w:rsid w:val="004F5F0C"/>
    <w:rsid w:val="004F6121"/>
    <w:rsid w:val="004F6161"/>
    <w:rsid w:val="004F66BC"/>
    <w:rsid w:val="004F6C26"/>
    <w:rsid w:val="004F7AC9"/>
    <w:rsid w:val="0050062F"/>
    <w:rsid w:val="005012E2"/>
    <w:rsid w:val="0050160F"/>
    <w:rsid w:val="0050284E"/>
    <w:rsid w:val="00505DCB"/>
    <w:rsid w:val="005075CA"/>
    <w:rsid w:val="0051074C"/>
    <w:rsid w:val="00510DE9"/>
    <w:rsid w:val="005111E2"/>
    <w:rsid w:val="00511231"/>
    <w:rsid w:val="00512779"/>
    <w:rsid w:val="00512C4F"/>
    <w:rsid w:val="00513042"/>
    <w:rsid w:val="0051334F"/>
    <w:rsid w:val="00513399"/>
    <w:rsid w:val="00513AA0"/>
    <w:rsid w:val="00513AF2"/>
    <w:rsid w:val="00514575"/>
    <w:rsid w:val="00514C03"/>
    <w:rsid w:val="00514D67"/>
    <w:rsid w:val="00515515"/>
    <w:rsid w:val="00516338"/>
    <w:rsid w:val="0051635C"/>
    <w:rsid w:val="00516C5B"/>
    <w:rsid w:val="00517612"/>
    <w:rsid w:val="00517CFB"/>
    <w:rsid w:val="00517F85"/>
    <w:rsid w:val="00520899"/>
    <w:rsid w:val="00520922"/>
    <w:rsid w:val="005209FC"/>
    <w:rsid w:val="0052243F"/>
    <w:rsid w:val="005224E5"/>
    <w:rsid w:val="005226BE"/>
    <w:rsid w:val="00523903"/>
    <w:rsid w:val="005239B6"/>
    <w:rsid w:val="00523C45"/>
    <w:rsid w:val="00524165"/>
    <w:rsid w:val="005242BA"/>
    <w:rsid w:val="005246E7"/>
    <w:rsid w:val="00524FD2"/>
    <w:rsid w:val="00525621"/>
    <w:rsid w:val="00526431"/>
    <w:rsid w:val="005265D8"/>
    <w:rsid w:val="00527E57"/>
    <w:rsid w:val="00530405"/>
    <w:rsid w:val="00530522"/>
    <w:rsid w:val="005305E5"/>
    <w:rsid w:val="00530F38"/>
    <w:rsid w:val="00531F26"/>
    <w:rsid w:val="0053277C"/>
    <w:rsid w:val="005327C0"/>
    <w:rsid w:val="00533101"/>
    <w:rsid w:val="00533CA9"/>
    <w:rsid w:val="00533DA7"/>
    <w:rsid w:val="005346AD"/>
    <w:rsid w:val="00534EFB"/>
    <w:rsid w:val="00534F60"/>
    <w:rsid w:val="005357F1"/>
    <w:rsid w:val="00536053"/>
    <w:rsid w:val="005369E6"/>
    <w:rsid w:val="005371AC"/>
    <w:rsid w:val="00537672"/>
    <w:rsid w:val="0053772F"/>
    <w:rsid w:val="00537B77"/>
    <w:rsid w:val="00540C4C"/>
    <w:rsid w:val="00541571"/>
    <w:rsid w:val="0054275A"/>
    <w:rsid w:val="005428B8"/>
    <w:rsid w:val="00542BD7"/>
    <w:rsid w:val="00542E67"/>
    <w:rsid w:val="00543084"/>
    <w:rsid w:val="0054413A"/>
    <w:rsid w:val="00544288"/>
    <w:rsid w:val="005446BB"/>
    <w:rsid w:val="00545E30"/>
    <w:rsid w:val="00545EA3"/>
    <w:rsid w:val="00546293"/>
    <w:rsid w:val="00546C9B"/>
    <w:rsid w:val="00547BF6"/>
    <w:rsid w:val="005502F9"/>
    <w:rsid w:val="00551098"/>
    <w:rsid w:val="00551581"/>
    <w:rsid w:val="00551598"/>
    <w:rsid w:val="0055162B"/>
    <w:rsid w:val="00551BFF"/>
    <w:rsid w:val="00551D68"/>
    <w:rsid w:val="00552B3E"/>
    <w:rsid w:val="005551AA"/>
    <w:rsid w:val="005564CA"/>
    <w:rsid w:val="005568EA"/>
    <w:rsid w:val="00557140"/>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106"/>
    <w:rsid w:val="00567723"/>
    <w:rsid w:val="00567AB8"/>
    <w:rsid w:val="00570A26"/>
    <w:rsid w:val="0057221F"/>
    <w:rsid w:val="00572539"/>
    <w:rsid w:val="0057337D"/>
    <w:rsid w:val="00573504"/>
    <w:rsid w:val="00574708"/>
    <w:rsid w:val="00574D81"/>
    <w:rsid w:val="005756AA"/>
    <w:rsid w:val="00576233"/>
    <w:rsid w:val="0057696F"/>
    <w:rsid w:val="005774FE"/>
    <w:rsid w:val="0058040C"/>
    <w:rsid w:val="00580D6D"/>
    <w:rsid w:val="005813DE"/>
    <w:rsid w:val="00581796"/>
    <w:rsid w:val="00581B45"/>
    <w:rsid w:val="00582480"/>
    <w:rsid w:val="0058290E"/>
    <w:rsid w:val="00582CAB"/>
    <w:rsid w:val="0058375E"/>
    <w:rsid w:val="00584233"/>
    <w:rsid w:val="005842D0"/>
    <w:rsid w:val="005855AE"/>
    <w:rsid w:val="00585829"/>
    <w:rsid w:val="00585CA8"/>
    <w:rsid w:val="00586412"/>
    <w:rsid w:val="005864B9"/>
    <w:rsid w:val="005866C4"/>
    <w:rsid w:val="00586BDB"/>
    <w:rsid w:val="00590F1A"/>
    <w:rsid w:val="00591C03"/>
    <w:rsid w:val="00591E2A"/>
    <w:rsid w:val="005923C4"/>
    <w:rsid w:val="00593F75"/>
    <w:rsid w:val="005940A0"/>
    <w:rsid w:val="0059429A"/>
    <w:rsid w:val="00596AF7"/>
    <w:rsid w:val="00596CCE"/>
    <w:rsid w:val="00597E38"/>
    <w:rsid w:val="005A1976"/>
    <w:rsid w:val="005A2120"/>
    <w:rsid w:val="005A2501"/>
    <w:rsid w:val="005A2C80"/>
    <w:rsid w:val="005A3066"/>
    <w:rsid w:val="005A3B35"/>
    <w:rsid w:val="005A3C4B"/>
    <w:rsid w:val="005A3E5A"/>
    <w:rsid w:val="005A43F3"/>
    <w:rsid w:val="005A496F"/>
    <w:rsid w:val="005A4A56"/>
    <w:rsid w:val="005A5A3D"/>
    <w:rsid w:val="005A6035"/>
    <w:rsid w:val="005A6B75"/>
    <w:rsid w:val="005A6E00"/>
    <w:rsid w:val="005A718A"/>
    <w:rsid w:val="005B09BE"/>
    <w:rsid w:val="005B12B2"/>
    <w:rsid w:val="005B143B"/>
    <w:rsid w:val="005B1E45"/>
    <w:rsid w:val="005B21C4"/>
    <w:rsid w:val="005B2A28"/>
    <w:rsid w:val="005B3621"/>
    <w:rsid w:val="005B3DF9"/>
    <w:rsid w:val="005B4948"/>
    <w:rsid w:val="005B501D"/>
    <w:rsid w:val="005B54CC"/>
    <w:rsid w:val="005B74AD"/>
    <w:rsid w:val="005B7E96"/>
    <w:rsid w:val="005C0429"/>
    <w:rsid w:val="005C084F"/>
    <w:rsid w:val="005C0EE9"/>
    <w:rsid w:val="005C1716"/>
    <w:rsid w:val="005C1954"/>
    <w:rsid w:val="005C1C0B"/>
    <w:rsid w:val="005C2011"/>
    <w:rsid w:val="005C3EA3"/>
    <w:rsid w:val="005C5011"/>
    <w:rsid w:val="005C529E"/>
    <w:rsid w:val="005C57BA"/>
    <w:rsid w:val="005C5C52"/>
    <w:rsid w:val="005C5D3D"/>
    <w:rsid w:val="005C5F05"/>
    <w:rsid w:val="005C7F3E"/>
    <w:rsid w:val="005D1051"/>
    <w:rsid w:val="005D2044"/>
    <w:rsid w:val="005D2917"/>
    <w:rsid w:val="005D2EB2"/>
    <w:rsid w:val="005D2F48"/>
    <w:rsid w:val="005D464B"/>
    <w:rsid w:val="005D466F"/>
    <w:rsid w:val="005D49F0"/>
    <w:rsid w:val="005D51FA"/>
    <w:rsid w:val="005D53E8"/>
    <w:rsid w:val="005D5A9D"/>
    <w:rsid w:val="005D6651"/>
    <w:rsid w:val="005D691D"/>
    <w:rsid w:val="005D6A72"/>
    <w:rsid w:val="005D749F"/>
    <w:rsid w:val="005D791B"/>
    <w:rsid w:val="005D7CF2"/>
    <w:rsid w:val="005D7F92"/>
    <w:rsid w:val="005E0D7B"/>
    <w:rsid w:val="005E1595"/>
    <w:rsid w:val="005E1F1D"/>
    <w:rsid w:val="005E273D"/>
    <w:rsid w:val="005E3278"/>
    <w:rsid w:val="005E363B"/>
    <w:rsid w:val="005E3B0D"/>
    <w:rsid w:val="005F1D7D"/>
    <w:rsid w:val="005F1D89"/>
    <w:rsid w:val="005F305B"/>
    <w:rsid w:val="005F3361"/>
    <w:rsid w:val="005F3B47"/>
    <w:rsid w:val="005F4481"/>
    <w:rsid w:val="005F49AF"/>
    <w:rsid w:val="005F4A58"/>
    <w:rsid w:val="005F54DF"/>
    <w:rsid w:val="005F5888"/>
    <w:rsid w:val="005F5984"/>
    <w:rsid w:val="005F6CE2"/>
    <w:rsid w:val="005F72E9"/>
    <w:rsid w:val="005F730E"/>
    <w:rsid w:val="005F780B"/>
    <w:rsid w:val="00600195"/>
    <w:rsid w:val="00600473"/>
    <w:rsid w:val="006013C9"/>
    <w:rsid w:val="006016EA"/>
    <w:rsid w:val="00602B45"/>
    <w:rsid w:val="00603499"/>
    <w:rsid w:val="006035F5"/>
    <w:rsid w:val="00603CC2"/>
    <w:rsid w:val="006047D1"/>
    <w:rsid w:val="00604A55"/>
    <w:rsid w:val="00604D3F"/>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C2B"/>
    <w:rsid w:val="006174FA"/>
    <w:rsid w:val="006178D1"/>
    <w:rsid w:val="00620719"/>
    <w:rsid w:val="006212C9"/>
    <w:rsid w:val="00621D0C"/>
    <w:rsid w:val="00622470"/>
    <w:rsid w:val="00622725"/>
    <w:rsid w:val="006231AA"/>
    <w:rsid w:val="00623482"/>
    <w:rsid w:val="00623AC2"/>
    <w:rsid w:val="00625A26"/>
    <w:rsid w:val="00625F38"/>
    <w:rsid w:val="006266D7"/>
    <w:rsid w:val="00626D42"/>
    <w:rsid w:val="00626EE3"/>
    <w:rsid w:val="006274AD"/>
    <w:rsid w:val="00627532"/>
    <w:rsid w:val="006302AA"/>
    <w:rsid w:val="006310C3"/>
    <w:rsid w:val="0063161E"/>
    <w:rsid w:val="0063167C"/>
    <w:rsid w:val="00631BB5"/>
    <w:rsid w:val="00631DD0"/>
    <w:rsid w:val="00633367"/>
    <w:rsid w:val="00633DBF"/>
    <w:rsid w:val="00634122"/>
    <w:rsid w:val="006355B6"/>
    <w:rsid w:val="00635E32"/>
    <w:rsid w:val="006365DE"/>
    <w:rsid w:val="00636BE4"/>
    <w:rsid w:val="00637802"/>
    <w:rsid w:val="00637836"/>
    <w:rsid w:val="00637C26"/>
    <w:rsid w:val="00637F44"/>
    <w:rsid w:val="00640659"/>
    <w:rsid w:val="00641078"/>
    <w:rsid w:val="00641242"/>
    <w:rsid w:val="00642A32"/>
    <w:rsid w:val="006433D5"/>
    <w:rsid w:val="00646B20"/>
    <w:rsid w:val="00646D0F"/>
    <w:rsid w:val="0064708F"/>
    <w:rsid w:val="00647A36"/>
    <w:rsid w:val="00647DCC"/>
    <w:rsid w:val="00647EFA"/>
    <w:rsid w:val="00647F14"/>
    <w:rsid w:val="00650027"/>
    <w:rsid w:val="00651B9C"/>
    <w:rsid w:val="00651C47"/>
    <w:rsid w:val="00651D98"/>
    <w:rsid w:val="00652854"/>
    <w:rsid w:val="00652E70"/>
    <w:rsid w:val="0065303A"/>
    <w:rsid w:val="0065339A"/>
    <w:rsid w:val="00653469"/>
    <w:rsid w:val="00654A38"/>
    <w:rsid w:val="00655301"/>
    <w:rsid w:val="00655371"/>
    <w:rsid w:val="00655876"/>
    <w:rsid w:val="00656C4B"/>
    <w:rsid w:val="006573EA"/>
    <w:rsid w:val="00661029"/>
    <w:rsid w:val="00661042"/>
    <w:rsid w:val="0066135A"/>
    <w:rsid w:val="0066272D"/>
    <w:rsid w:val="00662E58"/>
    <w:rsid w:val="00662F39"/>
    <w:rsid w:val="006635A0"/>
    <w:rsid w:val="00664351"/>
    <w:rsid w:val="00665968"/>
    <w:rsid w:val="00665BF7"/>
    <w:rsid w:val="00666178"/>
    <w:rsid w:val="0066639E"/>
    <w:rsid w:val="00666473"/>
    <w:rsid w:val="00666C72"/>
    <w:rsid w:val="00666E6C"/>
    <w:rsid w:val="0066707F"/>
    <w:rsid w:val="00667ED8"/>
    <w:rsid w:val="0067064C"/>
    <w:rsid w:val="00670B20"/>
    <w:rsid w:val="00670E12"/>
    <w:rsid w:val="00672E80"/>
    <w:rsid w:val="006739E4"/>
    <w:rsid w:val="00673ECF"/>
    <w:rsid w:val="0067426B"/>
    <w:rsid w:val="00674A1B"/>
    <w:rsid w:val="006754F8"/>
    <w:rsid w:val="00676127"/>
    <w:rsid w:val="00676AED"/>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53E"/>
    <w:rsid w:val="00685E7B"/>
    <w:rsid w:val="00686551"/>
    <w:rsid w:val="0068730C"/>
    <w:rsid w:val="00687504"/>
    <w:rsid w:val="00687A14"/>
    <w:rsid w:val="00687A8C"/>
    <w:rsid w:val="00690839"/>
    <w:rsid w:val="006908DB"/>
    <w:rsid w:val="00690DE9"/>
    <w:rsid w:val="00691DE9"/>
    <w:rsid w:val="00691EAA"/>
    <w:rsid w:val="00692245"/>
    <w:rsid w:val="00692FFA"/>
    <w:rsid w:val="00693772"/>
    <w:rsid w:val="00694160"/>
    <w:rsid w:val="006959A5"/>
    <w:rsid w:val="00695C0C"/>
    <w:rsid w:val="00696A05"/>
    <w:rsid w:val="00697665"/>
    <w:rsid w:val="00697C9A"/>
    <w:rsid w:val="00697E68"/>
    <w:rsid w:val="006A0274"/>
    <w:rsid w:val="006A2A43"/>
    <w:rsid w:val="006A2BF1"/>
    <w:rsid w:val="006A2F9A"/>
    <w:rsid w:val="006A34E4"/>
    <w:rsid w:val="006A3A5A"/>
    <w:rsid w:val="006A44CF"/>
    <w:rsid w:val="006A457D"/>
    <w:rsid w:val="006A55EE"/>
    <w:rsid w:val="006A575B"/>
    <w:rsid w:val="006A59DE"/>
    <w:rsid w:val="006A6655"/>
    <w:rsid w:val="006A6B0B"/>
    <w:rsid w:val="006A6BF9"/>
    <w:rsid w:val="006A7CB5"/>
    <w:rsid w:val="006A7FD0"/>
    <w:rsid w:val="006B025C"/>
    <w:rsid w:val="006B2534"/>
    <w:rsid w:val="006B2CB2"/>
    <w:rsid w:val="006B347D"/>
    <w:rsid w:val="006B3E19"/>
    <w:rsid w:val="006B4488"/>
    <w:rsid w:val="006B67AC"/>
    <w:rsid w:val="006B6A25"/>
    <w:rsid w:val="006B786A"/>
    <w:rsid w:val="006B7E4E"/>
    <w:rsid w:val="006C003A"/>
    <w:rsid w:val="006C2454"/>
    <w:rsid w:val="006C2551"/>
    <w:rsid w:val="006C37CA"/>
    <w:rsid w:val="006C40B7"/>
    <w:rsid w:val="006C40D2"/>
    <w:rsid w:val="006C5B15"/>
    <w:rsid w:val="006C5D32"/>
    <w:rsid w:val="006C5DCB"/>
    <w:rsid w:val="006C70C4"/>
    <w:rsid w:val="006D04DA"/>
    <w:rsid w:val="006D10F6"/>
    <w:rsid w:val="006D1544"/>
    <w:rsid w:val="006D1688"/>
    <w:rsid w:val="006D1FF3"/>
    <w:rsid w:val="006D2C65"/>
    <w:rsid w:val="006D32C6"/>
    <w:rsid w:val="006D360E"/>
    <w:rsid w:val="006D3697"/>
    <w:rsid w:val="006D39D2"/>
    <w:rsid w:val="006D3F2A"/>
    <w:rsid w:val="006D4370"/>
    <w:rsid w:val="006D46A3"/>
    <w:rsid w:val="006D658F"/>
    <w:rsid w:val="006D69FA"/>
    <w:rsid w:val="006D6A12"/>
    <w:rsid w:val="006D712D"/>
    <w:rsid w:val="006D7687"/>
    <w:rsid w:val="006D7D1F"/>
    <w:rsid w:val="006D7D8A"/>
    <w:rsid w:val="006E0572"/>
    <w:rsid w:val="006E05D8"/>
    <w:rsid w:val="006E08EE"/>
    <w:rsid w:val="006E155A"/>
    <w:rsid w:val="006E3452"/>
    <w:rsid w:val="006E39D1"/>
    <w:rsid w:val="006E437F"/>
    <w:rsid w:val="006E4D5B"/>
    <w:rsid w:val="006E602F"/>
    <w:rsid w:val="006E6720"/>
    <w:rsid w:val="006E68FA"/>
    <w:rsid w:val="006E7275"/>
    <w:rsid w:val="006E77B8"/>
    <w:rsid w:val="006F15CC"/>
    <w:rsid w:val="006F4147"/>
    <w:rsid w:val="006F4315"/>
    <w:rsid w:val="006F458D"/>
    <w:rsid w:val="006F4A6D"/>
    <w:rsid w:val="006F4CB0"/>
    <w:rsid w:val="006F4F78"/>
    <w:rsid w:val="006F547E"/>
    <w:rsid w:val="006F5CA8"/>
    <w:rsid w:val="006F5CCF"/>
    <w:rsid w:val="006F772B"/>
    <w:rsid w:val="0070138A"/>
    <w:rsid w:val="0070157E"/>
    <w:rsid w:val="007030D4"/>
    <w:rsid w:val="0070317C"/>
    <w:rsid w:val="00703279"/>
    <w:rsid w:val="00703B61"/>
    <w:rsid w:val="00703E11"/>
    <w:rsid w:val="00704102"/>
    <w:rsid w:val="0070461C"/>
    <w:rsid w:val="00705631"/>
    <w:rsid w:val="00705818"/>
    <w:rsid w:val="00705F62"/>
    <w:rsid w:val="0070773F"/>
    <w:rsid w:val="00707ED3"/>
    <w:rsid w:val="007101B7"/>
    <w:rsid w:val="00710668"/>
    <w:rsid w:val="007110F4"/>
    <w:rsid w:val="007112B1"/>
    <w:rsid w:val="0071130F"/>
    <w:rsid w:val="00712714"/>
    <w:rsid w:val="007128E3"/>
    <w:rsid w:val="007129AB"/>
    <w:rsid w:val="00712B63"/>
    <w:rsid w:val="00713526"/>
    <w:rsid w:val="00713FC5"/>
    <w:rsid w:val="00715BBF"/>
    <w:rsid w:val="00715C29"/>
    <w:rsid w:val="00715CBD"/>
    <w:rsid w:val="00715EAA"/>
    <w:rsid w:val="00716CAD"/>
    <w:rsid w:val="00716F18"/>
    <w:rsid w:val="00717363"/>
    <w:rsid w:val="00717786"/>
    <w:rsid w:val="00717ACB"/>
    <w:rsid w:val="00721BFF"/>
    <w:rsid w:val="00722AE9"/>
    <w:rsid w:val="00722FD8"/>
    <w:rsid w:val="007236C4"/>
    <w:rsid w:val="00724635"/>
    <w:rsid w:val="007249B0"/>
    <w:rsid w:val="0072554B"/>
    <w:rsid w:val="00725AFD"/>
    <w:rsid w:val="00726603"/>
    <w:rsid w:val="00727DDC"/>
    <w:rsid w:val="00730CD6"/>
    <w:rsid w:val="00730F74"/>
    <w:rsid w:val="0073114B"/>
    <w:rsid w:val="00734414"/>
    <w:rsid w:val="00734952"/>
    <w:rsid w:val="00734990"/>
    <w:rsid w:val="00734FF5"/>
    <w:rsid w:val="00735B78"/>
    <w:rsid w:val="00735DA7"/>
    <w:rsid w:val="007368B4"/>
    <w:rsid w:val="007378E0"/>
    <w:rsid w:val="00737C5C"/>
    <w:rsid w:val="00740529"/>
    <w:rsid w:val="00741358"/>
    <w:rsid w:val="00741626"/>
    <w:rsid w:val="00742332"/>
    <w:rsid w:val="00742886"/>
    <w:rsid w:val="00742DD2"/>
    <w:rsid w:val="007437C6"/>
    <w:rsid w:val="007439EE"/>
    <w:rsid w:val="007441A2"/>
    <w:rsid w:val="00744E80"/>
    <w:rsid w:val="00745035"/>
    <w:rsid w:val="0074531C"/>
    <w:rsid w:val="00745547"/>
    <w:rsid w:val="007459D0"/>
    <w:rsid w:val="0074623A"/>
    <w:rsid w:val="00746420"/>
    <w:rsid w:val="00746E04"/>
    <w:rsid w:val="00746E08"/>
    <w:rsid w:val="00746E3D"/>
    <w:rsid w:val="007473B9"/>
    <w:rsid w:val="00747529"/>
    <w:rsid w:val="00747C96"/>
    <w:rsid w:val="00750075"/>
    <w:rsid w:val="007502EC"/>
    <w:rsid w:val="00750382"/>
    <w:rsid w:val="0075094E"/>
    <w:rsid w:val="00750FA8"/>
    <w:rsid w:val="00750FB5"/>
    <w:rsid w:val="007522E8"/>
    <w:rsid w:val="00753BAC"/>
    <w:rsid w:val="00754A0B"/>
    <w:rsid w:val="007552DB"/>
    <w:rsid w:val="00755B08"/>
    <w:rsid w:val="00755DD0"/>
    <w:rsid w:val="0075647A"/>
    <w:rsid w:val="007566BE"/>
    <w:rsid w:val="00756A2F"/>
    <w:rsid w:val="007573E1"/>
    <w:rsid w:val="0075749E"/>
    <w:rsid w:val="00757B2D"/>
    <w:rsid w:val="00757BAD"/>
    <w:rsid w:val="00757D62"/>
    <w:rsid w:val="00760844"/>
    <w:rsid w:val="00760867"/>
    <w:rsid w:val="00760EB6"/>
    <w:rsid w:val="007616DB"/>
    <w:rsid w:val="0076228A"/>
    <w:rsid w:val="00762440"/>
    <w:rsid w:val="007629B7"/>
    <w:rsid w:val="00762E60"/>
    <w:rsid w:val="007634AD"/>
    <w:rsid w:val="00766ECC"/>
    <w:rsid w:val="007672F3"/>
    <w:rsid w:val="007677B5"/>
    <w:rsid w:val="007678B1"/>
    <w:rsid w:val="007708A8"/>
    <w:rsid w:val="00772275"/>
    <w:rsid w:val="007734E4"/>
    <w:rsid w:val="0077380D"/>
    <w:rsid w:val="00773BC8"/>
    <w:rsid w:val="0077466F"/>
    <w:rsid w:val="007752B7"/>
    <w:rsid w:val="007759A8"/>
    <w:rsid w:val="00775D98"/>
    <w:rsid w:val="00775E51"/>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4FC4"/>
    <w:rsid w:val="00785BBB"/>
    <w:rsid w:val="00786FAD"/>
    <w:rsid w:val="007873C9"/>
    <w:rsid w:val="00787D90"/>
    <w:rsid w:val="00787F5E"/>
    <w:rsid w:val="00790164"/>
    <w:rsid w:val="007906E2"/>
    <w:rsid w:val="00790A24"/>
    <w:rsid w:val="00790A37"/>
    <w:rsid w:val="00790A60"/>
    <w:rsid w:val="0079146D"/>
    <w:rsid w:val="00791C32"/>
    <w:rsid w:val="00791FF0"/>
    <w:rsid w:val="007923D0"/>
    <w:rsid w:val="0079302C"/>
    <w:rsid w:val="007930D3"/>
    <w:rsid w:val="0079381F"/>
    <w:rsid w:val="00793B2E"/>
    <w:rsid w:val="007948F5"/>
    <w:rsid w:val="00795647"/>
    <w:rsid w:val="007963F6"/>
    <w:rsid w:val="00796418"/>
    <w:rsid w:val="00796E80"/>
    <w:rsid w:val="007979AD"/>
    <w:rsid w:val="00797A9C"/>
    <w:rsid w:val="007A0EAB"/>
    <w:rsid w:val="007A2341"/>
    <w:rsid w:val="007A38A1"/>
    <w:rsid w:val="007A3967"/>
    <w:rsid w:val="007A3BBE"/>
    <w:rsid w:val="007A4766"/>
    <w:rsid w:val="007A5816"/>
    <w:rsid w:val="007A5947"/>
    <w:rsid w:val="007B0313"/>
    <w:rsid w:val="007B05FB"/>
    <w:rsid w:val="007B0854"/>
    <w:rsid w:val="007B0E48"/>
    <w:rsid w:val="007B18FD"/>
    <w:rsid w:val="007B1D1B"/>
    <w:rsid w:val="007B303E"/>
    <w:rsid w:val="007B32C0"/>
    <w:rsid w:val="007B32F7"/>
    <w:rsid w:val="007B3659"/>
    <w:rsid w:val="007B4558"/>
    <w:rsid w:val="007B4632"/>
    <w:rsid w:val="007B46A2"/>
    <w:rsid w:val="007B4828"/>
    <w:rsid w:val="007B4B2D"/>
    <w:rsid w:val="007B4D4A"/>
    <w:rsid w:val="007B5428"/>
    <w:rsid w:val="007B57A5"/>
    <w:rsid w:val="007B6C64"/>
    <w:rsid w:val="007B6EC8"/>
    <w:rsid w:val="007B6F81"/>
    <w:rsid w:val="007B7EA2"/>
    <w:rsid w:val="007C081B"/>
    <w:rsid w:val="007C097D"/>
    <w:rsid w:val="007C13FA"/>
    <w:rsid w:val="007C1672"/>
    <w:rsid w:val="007C312A"/>
    <w:rsid w:val="007C3570"/>
    <w:rsid w:val="007C3F3B"/>
    <w:rsid w:val="007C4241"/>
    <w:rsid w:val="007C55FF"/>
    <w:rsid w:val="007C6339"/>
    <w:rsid w:val="007C7C43"/>
    <w:rsid w:val="007C7F0D"/>
    <w:rsid w:val="007D1134"/>
    <w:rsid w:val="007D20CF"/>
    <w:rsid w:val="007D23F7"/>
    <w:rsid w:val="007D2566"/>
    <w:rsid w:val="007D2C18"/>
    <w:rsid w:val="007D2D74"/>
    <w:rsid w:val="007D3395"/>
    <w:rsid w:val="007D3693"/>
    <w:rsid w:val="007D3C6D"/>
    <w:rsid w:val="007D481A"/>
    <w:rsid w:val="007D5648"/>
    <w:rsid w:val="007D58C5"/>
    <w:rsid w:val="007D5DE8"/>
    <w:rsid w:val="007D7CFC"/>
    <w:rsid w:val="007E0812"/>
    <w:rsid w:val="007E16A4"/>
    <w:rsid w:val="007E18DF"/>
    <w:rsid w:val="007E2A04"/>
    <w:rsid w:val="007E2C36"/>
    <w:rsid w:val="007E350D"/>
    <w:rsid w:val="007E5C4A"/>
    <w:rsid w:val="007E64D4"/>
    <w:rsid w:val="007E66E9"/>
    <w:rsid w:val="007E69F2"/>
    <w:rsid w:val="007E7432"/>
    <w:rsid w:val="007E74BF"/>
    <w:rsid w:val="007F14D3"/>
    <w:rsid w:val="007F1D9D"/>
    <w:rsid w:val="007F1E28"/>
    <w:rsid w:val="007F1F63"/>
    <w:rsid w:val="007F22A0"/>
    <w:rsid w:val="007F2F90"/>
    <w:rsid w:val="007F3320"/>
    <w:rsid w:val="007F392A"/>
    <w:rsid w:val="007F3AC1"/>
    <w:rsid w:val="007F4976"/>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F9E"/>
    <w:rsid w:val="00803700"/>
    <w:rsid w:val="00803D9D"/>
    <w:rsid w:val="008059C6"/>
    <w:rsid w:val="00805AD7"/>
    <w:rsid w:val="00805BD6"/>
    <w:rsid w:val="00805DE3"/>
    <w:rsid w:val="00807666"/>
    <w:rsid w:val="00807C35"/>
    <w:rsid w:val="00807F69"/>
    <w:rsid w:val="008100EC"/>
    <w:rsid w:val="008100F7"/>
    <w:rsid w:val="00810206"/>
    <w:rsid w:val="00811898"/>
    <w:rsid w:val="008124D8"/>
    <w:rsid w:val="00813A7B"/>
    <w:rsid w:val="00813F04"/>
    <w:rsid w:val="00814B72"/>
    <w:rsid w:val="00815DA5"/>
    <w:rsid w:val="00816221"/>
    <w:rsid w:val="0081766B"/>
    <w:rsid w:val="00820705"/>
    <w:rsid w:val="00820CBF"/>
    <w:rsid w:val="00820FA8"/>
    <w:rsid w:val="008212FD"/>
    <w:rsid w:val="00821489"/>
    <w:rsid w:val="008217B7"/>
    <w:rsid w:val="0082239B"/>
    <w:rsid w:val="0082292E"/>
    <w:rsid w:val="00822D06"/>
    <w:rsid w:val="0082348D"/>
    <w:rsid w:val="008234E0"/>
    <w:rsid w:val="008236BE"/>
    <w:rsid w:val="008241CE"/>
    <w:rsid w:val="00825240"/>
    <w:rsid w:val="00825B43"/>
    <w:rsid w:val="00827203"/>
    <w:rsid w:val="00827CC0"/>
    <w:rsid w:val="00831026"/>
    <w:rsid w:val="0083119B"/>
    <w:rsid w:val="00831BAE"/>
    <w:rsid w:val="00832216"/>
    <w:rsid w:val="00832CD0"/>
    <w:rsid w:val="00833430"/>
    <w:rsid w:val="00834128"/>
    <w:rsid w:val="0083417F"/>
    <w:rsid w:val="00835143"/>
    <w:rsid w:val="00835741"/>
    <w:rsid w:val="00836E74"/>
    <w:rsid w:val="00836EAB"/>
    <w:rsid w:val="00837673"/>
    <w:rsid w:val="00837937"/>
    <w:rsid w:val="00837D82"/>
    <w:rsid w:val="00840893"/>
    <w:rsid w:val="00840E88"/>
    <w:rsid w:val="008423EC"/>
    <w:rsid w:val="0084332E"/>
    <w:rsid w:val="00843615"/>
    <w:rsid w:val="00843698"/>
    <w:rsid w:val="00843A4B"/>
    <w:rsid w:val="00843B57"/>
    <w:rsid w:val="00843B60"/>
    <w:rsid w:val="00843D33"/>
    <w:rsid w:val="00844D4F"/>
    <w:rsid w:val="00845AE3"/>
    <w:rsid w:val="008466A0"/>
    <w:rsid w:val="00847535"/>
    <w:rsid w:val="00847B6D"/>
    <w:rsid w:val="0085092D"/>
    <w:rsid w:val="00850D82"/>
    <w:rsid w:val="00850F79"/>
    <w:rsid w:val="0085100B"/>
    <w:rsid w:val="0085304C"/>
    <w:rsid w:val="008548CA"/>
    <w:rsid w:val="00856C06"/>
    <w:rsid w:val="0085790B"/>
    <w:rsid w:val="00857C95"/>
    <w:rsid w:val="00857E78"/>
    <w:rsid w:val="00860AEF"/>
    <w:rsid w:val="0086122C"/>
    <w:rsid w:val="00861310"/>
    <w:rsid w:val="00861F0F"/>
    <w:rsid w:val="00861F53"/>
    <w:rsid w:val="0086289E"/>
    <w:rsid w:val="0086394E"/>
    <w:rsid w:val="00863F8A"/>
    <w:rsid w:val="00863FE3"/>
    <w:rsid w:val="00864241"/>
    <w:rsid w:val="0086468A"/>
    <w:rsid w:val="00864CD5"/>
    <w:rsid w:val="008650BE"/>
    <w:rsid w:val="0086633B"/>
    <w:rsid w:val="00866495"/>
    <w:rsid w:val="00866931"/>
    <w:rsid w:val="00866FEF"/>
    <w:rsid w:val="00867512"/>
    <w:rsid w:val="0087033C"/>
    <w:rsid w:val="00870B44"/>
    <w:rsid w:val="008715ED"/>
    <w:rsid w:val="008717D8"/>
    <w:rsid w:val="00871E3C"/>
    <w:rsid w:val="00872F97"/>
    <w:rsid w:val="00873863"/>
    <w:rsid w:val="00874607"/>
    <w:rsid w:val="00874915"/>
    <w:rsid w:val="00874B89"/>
    <w:rsid w:val="00875403"/>
    <w:rsid w:val="00875434"/>
    <w:rsid w:val="00876215"/>
    <w:rsid w:val="0087646C"/>
    <w:rsid w:val="00876815"/>
    <w:rsid w:val="00877932"/>
    <w:rsid w:val="008808C7"/>
    <w:rsid w:val="0088106B"/>
    <w:rsid w:val="0088107D"/>
    <w:rsid w:val="0088168A"/>
    <w:rsid w:val="00881E64"/>
    <w:rsid w:val="00882E39"/>
    <w:rsid w:val="008850E3"/>
    <w:rsid w:val="008850EB"/>
    <w:rsid w:val="00886DF2"/>
    <w:rsid w:val="00886FB9"/>
    <w:rsid w:val="00887080"/>
    <w:rsid w:val="00887C79"/>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82D"/>
    <w:rsid w:val="008959C6"/>
    <w:rsid w:val="0089606D"/>
    <w:rsid w:val="00896129"/>
    <w:rsid w:val="0089616D"/>
    <w:rsid w:val="008965DF"/>
    <w:rsid w:val="0089774F"/>
    <w:rsid w:val="00897875"/>
    <w:rsid w:val="00897B8F"/>
    <w:rsid w:val="008A00D8"/>
    <w:rsid w:val="008A00D9"/>
    <w:rsid w:val="008A07D5"/>
    <w:rsid w:val="008A2A23"/>
    <w:rsid w:val="008A2AF5"/>
    <w:rsid w:val="008A2B5A"/>
    <w:rsid w:val="008A3F9D"/>
    <w:rsid w:val="008A5474"/>
    <w:rsid w:val="008A5C9A"/>
    <w:rsid w:val="008A6A55"/>
    <w:rsid w:val="008A6DF0"/>
    <w:rsid w:val="008A6F6E"/>
    <w:rsid w:val="008A7888"/>
    <w:rsid w:val="008A796E"/>
    <w:rsid w:val="008B0862"/>
    <w:rsid w:val="008B088C"/>
    <w:rsid w:val="008B1BF5"/>
    <w:rsid w:val="008B263F"/>
    <w:rsid w:val="008B47A6"/>
    <w:rsid w:val="008B672C"/>
    <w:rsid w:val="008C036D"/>
    <w:rsid w:val="008C0743"/>
    <w:rsid w:val="008C0B4C"/>
    <w:rsid w:val="008C11F0"/>
    <w:rsid w:val="008C1DBA"/>
    <w:rsid w:val="008C24E7"/>
    <w:rsid w:val="008C2500"/>
    <w:rsid w:val="008C2CAC"/>
    <w:rsid w:val="008C3E2A"/>
    <w:rsid w:val="008C45BD"/>
    <w:rsid w:val="008C4B19"/>
    <w:rsid w:val="008C568F"/>
    <w:rsid w:val="008C62D4"/>
    <w:rsid w:val="008C6B89"/>
    <w:rsid w:val="008D18AA"/>
    <w:rsid w:val="008D1A2A"/>
    <w:rsid w:val="008D29B1"/>
    <w:rsid w:val="008D35D9"/>
    <w:rsid w:val="008D3B85"/>
    <w:rsid w:val="008D4527"/>
    <w:rsid w:val="008D462D"/>
    <w:rsid w:val="008D66CA"/>
    <w:rsid w:val="008D69B1"/>
    <w:rsid w:val="008D7338"/>
    <w:rsid w:val="008E0012"/>
    <w:rsid w:val="008E0DF7"/>
    <w:rsid w:val="008E0FAD"/>
    <w:rsid w:val="008E1347"/>
    <w:rsid w:val="008E16E0"/>
    <w:rsid w:val="008E1C15"/>
    <w:rsid w:val="008E1C9A"/>
    <w:rsid w:val="008E28BD"/>
    <w:rsid w:val="008E38B4"/>
    <w:rsid w:val="008E3BA4"/>
    <w:rsid w:val="008E41C4"/>
    <w:rsid w:val="008E44AB"/>
    <w:rsid w:val="008E5179"/>
    <w:rsid w:val="008E6598"/>
    <w:rsid w:val="008E6A17"/>
    <w:rsid w:val="008E7214"/>
    <w:rsid w:val="008E7348"/>
    <w:rsid w:val="008E7884"/>
    <w:rsid w:val="008E7D6E"/>
    <w:rsid w:val="008F1056"/>
    <w:rsid w:val="008F2E8D"/>
    <w:rsid w:val="008F387B"/>
    <w:rsid w:val="008F3DD9"/>
    <w:rsid w:val="008F4814"/>
    <w:rsid w:val="008F4DA6"/>
    <w:rsid w:val="008F538E"/>
    <w:rsid w:val="008F5A20"/>
    <w:rsid w:val="008F5ABA"/>
    <w:rsid w:val="008F6CF9"/>
    <w:rsid w:val="008F7905"/>
    <w:rsid w:val="008F7989"/>
    <w:rsid w:val="009026AF"/>
    <w:rsid w:val="009028E8"/>
    <w:rsid w:val="00902E5C"/>
    <w:rsid w:val="0090350D"/>
    <w:rsid w:val="009046E5"/>
    <w:rsid w:val="009047C5"/>
    <w:rsid w:val="00910683"/>
    <w:rsid w:val="00910E00"/>
    <w:rsid w:val="009116CE"/>
    <w:rsid w:val="00911714"/>
    <w:rsid w:val="00911A5B"/>
    <w:rsid w:val="009136D4"/>
    <w:rsid w:val="00914B9A"/>
    <w:rsid w:val="00914C3F"/>
    <w:rsid w:val="00914F33"/>
    <w:rsid w:val="009153F6"/>
    <w:rsid w:val="00915FCE"/>
    <w:rsid w:val="00916AFE"/>
    <w:rsid w:val="00916FC8"/>
    <w:rsid w:val="009170D3"/>
    <w:rsid w:val="0091759C"/>
    <w:rsid w:val="00920026"/>
    <w:rsid w:val="009203E2"/>
    <w:rsid w:val="00921304"/>
    <w:rsid w:val="00921805"/>
    <w:rsid w:val="00921BA7"/>
    <w:rsid w:val="00923396"/>
    <w:rsid w:val="00923F56"/>
    <w:rsid w:val="009246C4"/>
    <w:rsid w:val="00925743"/>
    <w:rsid w:val="0092579F"/>
    <w:rsid w:val="00927E8D"/>
    <w:rsid w:val="00927F23"/>
    <w:rsid w:val="00930698"/>
    <w:rsid w:val="009307CD"/>
    <w:rsid w:val="00931451"/>
    <w:rsid w:val="009314FA"/>
    <w:rsid w:val="0093194F"/>
    <w:rsid w:val="00931BF3"/>
    <w:rsid w:val="00931C55"/>
    <w:rsid w:val="00933333"/>
    <w:rsid w:val="0093349A"/>
    <w:rsid w:val="009337B2"/>
    <w:rsid w:val="00933FCB"/>
    <w:rsid w:val="00934E69"/>
    <w:rsid w:val="009367D5"/>
    <w:rsid w:val="00937401"/>
    <w:rsid w:val="00937561"/>
    <w:rsid w:val="009376FB"/>
    <w:rsid w:val="00937D6B"/>
    <w:rsid w:val="00940477"/>
    <w:rsid w:val="00940876"/>
    <w:rsid w:val="00940A53"/>
    <w:rsid w:val="00940F3C"/>
    <w:rsid w:val="00940FC1"/>
    <w:rsid w:val="009410E0"/>
    <w:rsid w:val="009444B4"/>
    <w:rsid w:val="00944644"/>
    <w:rsid w:val="009460F9"/>
    <w:rsid w:val="00946A24"/>
    <w:rsid w:val="009470D4"/>
    <w:rsid w:val="00947337"/>
    <w:rsid w:val="009512FA"/>
    <w:rsid w:val="00951E57"/>
    <w:rsid w:val="00953018"/>
    <w:rsid w:val="009533E2"/>
    <w:rsid w:val="00953554"/>
    <w:rsid w:val="0095385A"/>
    <w:rsid w:val="00953928"/>
    <w:rsid w:val="0095780A"/>
    <w:rsid w:val="009579E4"/>
    <w:rsid w:val="00957AA4"/>
    <w:rsid w:val="00957ACB"/>
    <w:rsid w:val="00957E21"/>
    <w:rsid w:val="00957F27"/>
    <w:rsid w:val="009609F0"/>
    <w:rsid w:val="00960BDB"/>
    <w:rsid w:val="0096147D"/>
    <w:rsid w:val="00961E5F"/>
    <w:rsid w:val="009625C6"/>
    <w:rsid w:val="009629B5"/>
    <w:rsid w:val="00962A50"/>
    <w:rsid w:val="009631BD"/>
    <w:rsid w:val="00964138"/>
    <w:rsid w:val="00964B3F"/>
    <w:rsid w:val="00964C98"/>
    <w:rsid w:val="00966214"/>
    <w:rsid w:val="00971441"/>
    <w:rsid w:val="009715D4"/>
    <w:rsid w:val="009739A9"/>
    <w:rsid w:val="00973AA2"/>
    <w:rsid w:val="0097494E"/>
    <w:rsid w:val="00974B58"/>
    <w:rsid w:val="009761ED"/>
    <w:rsid w:val="009801E7"/>
    <w:rsid w:val="0098022F"/>
    <w:rsid w:val="009810DE"/>
    <w:rsid w:val="009822D7"/>
    <w:rsid w:val="009827E6"/>
    <w:rsid w:val="00982F84"/>
    <w:rsid w:val="0098427D"/>
    <w:rsid w:val="00984567"/>
    <w:rsid w:val="00985102"/>
    <w:rsid w:val="009865D5"/>
    <w:rsid w:val="009876F2"/>
    <w:rsid w:val="00987C77"/>
    <w:rsid w:val="00990345"/>
    <w:rsid w:val="00990701"/>
    <w:rsid w:val="0099119C"/>
    <w:rsid w:val="0099137A"/>
    <w:rsid w:val="0099211C"/>
    <w:rsid w:val="00993B78"/>
    <w:rsid w:val="0099483A"/>
    <w:rsid w:val="00995119"/>
    <w:rsid w:val="009953AD"/>
    <w:rsid w:val="0099583D"/>
    <w:rsid w:val="00996992"/>
    <w:rsid w:val="00996E1E"/>
    <w:rsid w:val="00997392"/>
    <w:rsid w:val="0099747C"/>
    <w:rsid w:val="0099771C"/>
    <w:rsid w:val="009A01E4"/>
    <w:rsid w:val="009A0917"/>
    <w:rsid w:val="009A0A33"/>
    <w:rsid w:val="009A1351"/>
    <w:rsid w:val="009A2435"/>
    <w:rsid w:val="009A35DC"/>
    <w:rsid w:val="009A38AB"/>
    <w:rsid w:val="009A3CFB"/>
    <w:rsid w:val="009A3D47"/>
    <w:rsid w:val="009A4D63"/>
    <w:rsid w:val="009A5356"/>
    <w:rsid w:val="009A5468"/>
    <w:rsid w:val="009A5D99"/>
    <w:rsid w:val="009A608C"/>
    <w:rsid w:val="009A6CA7"/>
    <w:rsid w:val="009A6FDF"/>
    <w:rsid w:val="009A76D6"/>
    <w:rsid w:val="009B199E"/>
    <w:rsid w:val="009B2E29"/>
    <w:rsid w:val="009B3163"/>
    <w:rsid w:val="009B422F"/>
    <w:rsid w:val="009B46BC"/>
    <w:rsid w:val="009B4D1A"/>
    <w:rsid w:val="009B558B"/>
    <w:rsid w:val="009B6801"/>
    <w:rsid w:val="009B6D21"/>
    <w:rsid w:val="009B78ED"/>
    <w:rsid w:val="009C181C"/>
    <w:rsid w:val="009C1C7F"/>
    <w:rsid w:val="009C28A2"/>
    <w:rsid w:val="009C3239"/>
    <w:rsid w:val="009C3828"/>
    <w:rsid w:val="009C3D2C"/>
    <w:rsid w:val="009C4987"/>
    <w:rsid w:val="009C523F"/>
    <w:rsid w:val="009C59BF"/>
    <w:rsid w:val="009C5E4F"/>
    <w:rsid w:val="009C5F64"/>
    <w:rsid w:val="009C5F82"/>
    <w:rsid w:val="009C70F8"/>
    <w:rsid w:val="009C78A3"/>
    <w:rsid w:val="009D0156"/>
    <w:rsid w:val="009D05DA"/>
    <w:rsid w:val="009D11F6"/>
    <w:rsid w:val="009D13B9"/>
    <w:rsid w:val="009D1A14"/>
    <w:rsid w:val="009D1E2A"/>
    <w:rsid w:val="009D1FA0"/>
    <w:rsid w:val="009D2BDF"/>
    <w:rsid w:val="009D3736"/>
    <w:rsid w:val="009D4529"/>
    <w:rsid w:val="009D4B03"/>
    <w:rsid w:val="009D604F"/>
    <w:rsid w:val="009D61BB"/>
    <w:rsid w:val="009D6410"/>
    <w:rsid w:val="009D65FF"/>
    <w:rsid w:val="009D68BB"/>
    <w:rsid w:val="009D6E3A"/>
    <w:rsid w:val="009D70C2"/>
    <w:rsid w:val="009D7ADB"/>
    <w:rsid w:val="009D7B33"/>
    <w:rsid w:val="009E0703"/>
    <w:rsid w:val="009E16DA"/>
    <w:rsid w:val="009E1CD4"/>
    <w:rsid w:val="009E20DC"/>
    <w:rsid w:val="009E2391"/>
    <w:rsid w:val="009E476A"/>
    <w:rsid w:val="009E4E05"/>
    <w:rsid w:val="009E56FF"/>
    <w:rsid w:val="009E5CB1"/>
    <w:rsid w:val="009E5E56"/>
    <w:rsid w:val="009E61EA"/>
    <w:rsid w:val="009E6990"/>
    <w:rsid w:val="009E6FEE"/>
    <w:rsid w:val="009F060F"/>
    <w:rsid w:val="009F0781"/>
    <w:rsid w:val="009F0850"/>
    <w:rsid w:val="009F1BDF"/>
    <w:rsid w:val="009F1EAE"/>
    <w:rsid w:val="009F369D"/>
    <w:rsid w:val="009F36FE"/>
    <w:rsid w:val="009F4F25"/>
    <w:rsid w:val="009F59C2"/>
    <w:rsid w:val="009F7263"/>
    <w:rsid w:val="009F76EA"/>
    <w:rsid w:val="009F78EB"/>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8"/>
    <w:rsid w:val="00A12355"/>
    <w:rsid w:val="00A12384"/>
    <w:rsid w:val="00A127D2"/>
    <w:rsid w:val="00A12ADA"/>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4560"/>
    <w:rsid w:val="00A25B0F"/>
    <w:rsid w:val="00A25BBB"/>
    <w:rsid w:val="00A25F8E"/>
    <w:rsid w:val="00A27F18"/>
    <w:rsid w:val="00A27FB6"/>
    <w:rsid w:val="00A30121"/>
    <w:rsid w:val="00A30368"/>
    <w:rsid w:val="00A3043A"/>
    <w:rsid w:val="00A30E02"/>
    <w:rsid w:val="00A30F6A"/>
    <w:rsid w:val="00A31BA2"/>
    <w:rsid w:val="00A31C3E"/>
    <w:rsid w:val="00A34538"/>
    <w:rsid w:val="00A34677"/>
    <w:rsid w:val="00A3540F"/>
    <w:rsid w:val="00A35630"/>
    <w:rsid w:val="00A35914"/>
    <w:rsid w:val="00A36189"/>
    <w:rsid w:val="00A37E73"/>
    <w:rsid w:val="00A37FB6"/>
    <w:rsid w:val="00A4104A"/>
    <w:rsid w:val="00A41081"/>
    <w:rsid w:val="00A411CA"/>
    <w:rsid w:val="00A413AD"/>
    <w:rsid w:val="00A42096"/>
    <w:rsid w:val="00A426F3"/>
    <w:rsid w:val="00A42FDF"/>
    <w:rsid w:val="00A430A9"/>
    <w:rsid w:val="00A431FE"/>
    <w:rsid w:val="00A439E5"/>
    <w:rsid w:val="00A4497A"/>
    <w:rsid w:val="00A44BE8"/>
    <w:rsid w:val="00A44C96"/>
    <w:rsid w:val="00A44F54"/>
    <w:rsid w:val="00A45F9B"/>
    <w:rsid w:val="00A46574"/>
    <w:rsid w:val="00A467C4"/>
    <w:rsid w:val="00A500B1"/>
    <w:rsid w:val="00A52D3F"/>
    <w:rsid w:val="00A52EE5"/>
    <w:rsid w:val="00A53037"/>
    <w:rsid w:val="00A532B9"/>
    <w:rsid w:val="00A5351D"/>
    <w:rsid w:val="00A53E79"/>
    <w:rsid w:val="00A54031"/>
    <w:rsid w:val="00A5426D"/>
    <w:rsid w:val="00A54FC2"/>
    <w:rsid w:val="00A55122"/>
    <w:rsid w:val="00A56DE7"/>
    <w:rsid w:val="00A57EB2"/>
    <w:rsid w:val="00A6009E"/>
    <w:rsid w:val="00A60B1F"/>
    <w:rsid w:val="00A61C60"/>
    <w:rsid w:val="00A62589"/>
    <w:rsid w:val="00A62C3A"/>
    <w:rsid w:val="00A63812"/>
    <w:rsid w:val="00A63DF7"/>
    <w:rsid w:val="00A64505"/>
    <w:rsid w:val="00A668BA"/>
    <w:rsid w:val="00A66FA7"/>
    <w:rsid w:val="00A677F6"/>
    <w:rsid w:val="00A67E16"/>
    <w:rsid w:val="00A703CC"/>
    <w:rsid w:val="00A70C5C"/>
    <w:rsid w:val="00A71EA7"/>
    <w:rsid w:val="00A730AD"/>
    <w:rsid w:val="00A73855"/>
    <w:rsid w:val="00A73D64"/>
    <w:rsid w:val="00A74216"/>
    <w:rsid w:val="00A744B4"/>
    <w:rsid w:val="00A751E3"/>
    <w:rsid w:val="00A75504"/>
    <w:rsid w:val="00A75CD9"/>
    <w:rsid w:val="00A76438"/>
    <w:rsid w:val="00A77168"/>
    <w:rsid w:val="00A7723B"/>
    <w:rsid w:val="00A7793C"/>
    <w:rsid w:val="00A77D21"/>
    <w:rsid w:val="00A80085"/>
    <w:rsid w:val="00A8043B"/>
    <w:rsid w:val="00A81323"/>
    <w:rsid w:val="00A81AC0"/>
    <w:rsid w:val="00A820CB"/>
    <w:rsid w:val="00A82342"/>
    <w:rsid w:val="00A83BEF"/>
    <w:rsid w:val="00A84443"/>
    <w:rsid w:val="00A8487F"/>
    <w:rsid w:val="00A849A3"/>
    <w:rsid w:val="00A84A0E"/>
    <w:rsid w:val="00A86E0B"/>
    <w:rsid w:val="00A90F12"/>
    <w:rsid w:val="00A93101"/>
    <w:rsid w:val="00A94293"/>
    <w:rsid w:val="00A94760"/>
    <w:rsid w:val="00A9496E"/>
    <w:rsid w:val="00A949F0"/>
    <w:rsid w:val="00A94BDE"/>
    <w:rsid w:val="00A94FCA"/>
    <w:rsid w:val="00A95E4C"/>
    <w:rsid w:val="00A96C60"/>
    <w:rsid w:val="00A9740B"/>
    <w:rsid w:val="00A9766C"/>
    <w:rsid w:val="00A977F8"/>
    <w:rsid w:val="00A97C93"/>
    <w:rsid w:val="00AA08E7"/>
    <w:rsid w:val="00AA0A06"/>
    <w:rsid w:val="00AA1351"/>
    <w:rsid w:val="00AA1859"/>
    <w:rsid w:val="00AA1C84"/>
    <w:rsid w:val="00AA3D7B"/>
    <w:rsid w:val="00AA42A0"/>
    <w:rsid w:val="00AA442B"/>
    <w:rsid w:val="00AA46A4"/>
    <w:rsid w:val="00AA5779"/>
    <w:rsid w:val="00AA58A1"/>
    <w:rsid w:val="00AA61C7"/>
    <w:rsid w:val="00AA669D"/>
    <w:rsid w:val="00AA66ED"/>
    <w:rsid w:val="00AA6BE1"/>
    <w:rsid w:val="00AA7416"/>
    <w:rsid w:val="00AA7A60"/>
    <w:rsid w:val="00AA7B42"/>
    <w:rsid w:val="00AB041C"/>
    <w:rsid w:val="00AB14E8"/>
    <w:rsid w:val="00AB1B1D"/>
    <w:rsid w:val="00AB2216"/>
    <w:rsid w:val="00AB358D"/>
    <w:rsid w:val="00AB37A1"/>
    <w:rsid w:val="00AB3BAD"/>
    <w:rsid w:val="00AB3CFD"/>
    <w:rsid w:val="00AB49BC"/>
    <w:rsid w:val="00AB4DEE"/>
    <w:rsid w:val="00AB4E32"/>
    <w:rsid w:val="00AB579A"/>
    <w:rsid w:val="00AB724B"/>
    <w:rsid w:val="00AB726C"/>
    <w:rsid w:val="00AB72B4"/>
    <w:rsid w:val="00AC02AA"/>
    <w:rsid w:val="00AC0537"/>
    <w:rsid w:val="00AC0A84"/>
    <w:rsid w:val="00AC2A0B"/>
    <w:rsid w:val="00AC2BEC"/>
    <w:rsid w:val="00AC2BEE"/>
    <w:rsid w:val="00AC2E53"/>
    <w:rsid w:val="00AC3D29"/>
    <w:rsid w:val="00AC484F"/>
    <w:rsid w:val="00AC4B20"/>
    <w:rsid w:val="00AC56F2"/>
    <w:rsid w:val="00AC5B83"/>
    <w:rsid w:val="00AC6886"/>
    <w:rsid w:val="00AC71C3"/>
    <w:rsid w:val="00AD1EFA"/>
    <w:rsid w:val="00AD2072"/>
    <w:rsid w:val="00AD2808"/>
    <w:rsid w:val="00AD2DBD"/>
    <w:rsid w:val="00AD2FBF"/>
    <w:rsid w:val="00AD455D"/>
    <w:rsid w:val="00AD463C"/>
    <w:rsid w:val="00AD46A2"/>
    <w:rsid w:val="00AD4F60"/>
    <w:rsid w:val="00AD5044"/>
    <w:rsid w:val="00AD5114"/>
    <w:rsid w:val="00AD6236"/>
    <w:rsid w:val="00AD7619"/>
    <w:rsid w:val="00AD7770"/>
    <w:rsid w:val="00AE1772"/>
    <w:rsid w:val="00AE1990"/>
    <w:rsid w:val="00AE25E8"/>
    <w:rsid w:val="00AE2AD4"/>
    <w:rsid w:val="00AE2CA7"/>
    <w:rsid w:val="00AE2F1D"/>
    <w:rsid w:val="00AE4B2B"/>
    <w:rsid w:val="00AE586F"/>
    <w:rsid w:val="00AE6582"/>
    <w:rsid w:val="00AE6DC5"/>
    <w:rsid w:val="00AE7686"/>
    <w:rsid w:val="00AE799A"/>
    <w:rsid w:val="00AF0E81"/>
    <w:rsid w:val="00AF117A"/>
    <w:rsid w:val="00AF186E"/>
    <w:rsid w:val="00AF19DF"/>
    <w:rsid w:val="00AF26CF"/>
    <w:rsid w:val="00AF4E92"/>
    <w:rsid w:val="00AF554B"/>
    <w:rsid w:val="00AF5C9B"/>
    <w:rsid w:val="00AF5D53"/>
    <w:rsid w:val="00AF5E2D"/>
    <w:rsid w:val="00AF644B"/>
    <w:rsid w:val="00AF6CA6"/>
    <w:rsid w:val="00AF6EB6"/>
    <w:rsid w:val="00AF7796"/>
    <w:rsid w:val="00B011A9"/>
    <w:rsid w:val="00B024ED"/>
    <w:rsid w:val="00B02EB3"/>
    <w:rsid w:val="00B02FCB"/>
    <w:rsid w:val="00B033F8"/>
    <w:rsid w:val="00B03C1E"/>
    <w:rsid w:val="00B04400"/>
    <w:rsid w:val="00B04835"/>
    <w:rsid w:val="00B05A55"/>
    <w:rsid w:val="00B05DE1"/>
    <w:rsid w:val="00B06595"/>
    <w:rsid w:val="00B10109"/>
    <w:rsid w:val="00B1085E"/>
    <w:rsid w:val="00B10FD1"/>
    <w:rsid w:val="00B12735"/>
    <w:rsid w:val="00B129C6"/>
    <w:rsid w:val="00B131C4"/>
    <w:rsid w:val="00B13386"/>
    <w:rsid w:val="00B13533"/>
    <w:rsid w:val="00B13C48"/>
    <w:rsid w:val="00B13E35"/>
    <w:rsid w:val="00B13EC0"/>
    <w:rsid w:val="00B14102"/>
    <w:rsid w:val="00B14D32"/>
    <w:rsid w:val="00B1557C"/>
    <w:rsid w:val="00B155DC"/>
    <w:rsid w:val="00B15766"/>
    <w:rsid w:val="00B1666A"/>
    <w:rsid w:val="00B1686D"/>
    <w:rsid w:val="00B1741D"/>
    <w:rsid w:val="00B17447"/>
    <w:rsid w:val="00B1771D"/>
    <w:rsid w:val="00B17B91"/>
    <w:rsid w:val="00B20209"/>
    <w:rsid w:val="00B203AF"/>
    <w:rsid w:val="00B203C9"/>
    <w:rsid w:val="00B2088D"/>
    <w:rsid w:val="00B208FF"/>
    <w:rsid w:val="00B22C58"/>
    <w:rsid w:val="00B22E22"/>
    <w:rsid w:val="00B22F5F"/>
    <w:rsid w:val="00B23813"/>
    <w:rsid w:val="00B23FD9"/>
    <w:rsid w:val="00B24591"/>
    <w:rsid w:val="00B245D5"/>
    <w:rsid w:val="00B24C36"/>
    <w:rsid w:val="00B24F94"/>
    <w:rsid w:val="00B25126"/>
    <w:rsid w:val="00B25A52"/>
    <w:rsid w:val="00B25B0A"/>
    <w:rsid w:val="00B25FC3"/>
    <w:rsid w:val="00B27026"/>
    <w:rsid w:val="00B27875"/>
    <w:rsid w:val="00B3008D"/>
    <w:rsid w:val="00B30E11"/>
    <w:rsid w:val="00B30EEB"/>
    <w:rsid w:val="00B31423"/>
    <w:rsid w:val="00B31710"/>
    <w:rsid w:val="00B323E0"/>
    <w:rsid w:val="00B32DC0"/>
    <w:rsid w:val="00B3346C"/>
    <w:rsid w:val="00B335E4"/>
    <w:rsid w:val="00B33C23"/>
    <w:rsid w:val="00B345B4"/>
    <w:rsid w:val="00B348B1"/>
    <w:rsid w:val="00B34A28"/>
    <w:rsid w:val="00B35046"/>
    <w:rsid w:val="00B35B6A"/>
    <w:rsid w:val="00B37657"/>
    <w:rsid w:val="00B37AFD"/>
    <w:rsid w:val="00B37B07"/>
    <w:rsid w:val="00B4046F"/>
    <w:rsid w:val="00B40B47"/>
    <w:rsid w:val="00B41D39"/>
    <w:rsid w:val="00B422C0"/>
    <w:rsid w:val="00B426CA"/>
    <w:rsid w:val="00B426E1"/>
    <w:rsid w:val="00B437F8"/>
    <w:rsid w:val="00B4387A"/>
    <w:rsid w:val="00B44260"/>
    <w:rsid w:val="00B44746"/>
    <w:rsid w:val="00B44854"/>
    <w:rsid w:val="00B458D0"/>
    <w:rsid w:val="00B4792C"/>
    <w:rsid w:val="00B50CAE"/>
    <w:rsid w:val="00B512AD"/>
    <w:rsid w:val="00B5196C"/>
    <w:rsid w:val="00B525CB"/>
    <w:rsid w:val="00B52697"/>
    <w:rsid w:val="00B54D8F"/>
    <w:rsid w:val="00B55857"/>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416D"/>
    <w:rsid w:val="00B64246"/>
    <w:rsid w:val="00B64EDB"/>
    <w:rsid w:val="00B65938"/>
    <w:rsid w:val="00B65C8A"/>
    <w:rsid w:val="00B65CE2"/>
    <w:rsid w:val="00B65CED"/>
    <w:rsid w:val="00B660AD"/>
    <w:rsid w:val="00B66109"/>
    <w:rsid w:val="00B66349"/>
    <w:rsid w:val="00B67630"/>
    <w:rsid w:val="00B67FBF"/>
    <w:rsid w:val="00B71FA7"/>
    <w:rsid w:val="00B72110"/>
    <w:rsid w:val="00B72B91"/>
    <w:rsid w:val="00B73019"/>
    <w:rsid w:val="00B7315F"/>
    <w:rsid w:val="00B7323A"/>
    <w:rsid w:val="00B73356"/>
    <w:rsid w:val="00B7353B"/>
    <w:rsid w:val="00B7358A"/>
    <w:rsid w:val="00B737FB"/>
    <w:rsid w:val="00B7423D"/>
    <w:rsid w:val="00B74605"/>
    <w:rsid w:val="00B74D05"/>
    <w:rsid w:val="00B777FA"/>
    <w:rsid w:val="00B77850"/>
    <w:rsid w:val="00B7796B"/>
    <w:rsid w:val="00B80C72"/>
    <w:rsid w:val="00B81964"/>
    <w:rsid w:val="00B81E6F"/>
    <w:rsid w:val="00B82123"/>
    <w:rsid w:val="00B8225B"/>
    <w:rsid w:val="00B82BB5"/>
    <w:rsid w:val="00B83182"/>
    <w:rsid w:val="00B84684"/>
    <w:rsid w:val="00B851E4"/>
    <w:rsid w:val="00B854CE"/>
    <w:rsid w:val="00B85681"/>
    <w:rsid w:val="00B857EB"/>
    <w:rsid w:val="00B86162"/>
    <w:rsid w:val="00B86877"/>
    <w:rsid w:val="00B8695D"/>
    <w:rsid w:val="00B86E66"/>
    <w:rsid w:val="00B873BA"/>
    <w:rsid w:val="00B8746F"/>
    <w:rsid w:val="00B8760D"/>
    <w:rsid w:val="00B87706"/>
    <w:rsid w:val="00B87F98"/>
    <w:rsid w:val="00B90A49"/>
    <w:rsid w:val="00B90C2B"/>
    <w:rsid w:val="00B910A5"/>
    <w:rsid w:val="00B91B8E"/>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A0C54"/>
    <w:rsid w:val="00BA1382"/>
    <w:rsid w:val="00BA20D8"/>
    <w:rsid w:val="00BA22FC"/>
    <w:rsid w:val="00BA2F30"/>
    <w:rsid w:val="00BA4771"/>
    <w:rsid w:val="00BA5027"/>
    <w:rsid w:val="00BA665B"/>
    <w:rsid w:val="00BA7370"/>
    <w:rsid w:val="00BA778B"/>
    <w:rsid w:val="00BB0888"/>
    <w:rsid w:val="00BB0DF1"/>
    <w:rsid w:val="00BB0E9B"/>
    <w:rsid w:val="00BB2841"/>
    <w:rsid w:val="00BB300F"/>
    <w:rsid w:val="00BB32C9"/>
    <w:rsid w:val="00BB35C5"/>
    <w:rsid w:val="00BB4C8E"/>
    <w:rsid w:val="00BB57ED"/>
    <w:rsid w:val="00BB65C3"/>
    <w:rsid w:val="00BB662E"/>
    <w:rsid w:val="00BB67A9"/>
    <w:rsid w:val="00BB6C01"/>
    <w:rsid w:val="00BB7942"/>
    <w:rsid w:val="00BB7CD1"/>
    <w:rsid w:val="00BC0F33"/>
    <w:rsid w:val="00BC14A7"/>
    <w:rsid w:val="00BC17CC"/>
    <w:rsid w:val="00BC229E"/>
    <w:rsid w:val="00BC2898"/>
    <w:rsid w:val="00BC2928"/>
    <w:rsid w:val="00BC2BB1"/>
    <w:rsid w:val="00BC34A3"/>
    <w:rsid w:val="00BC3FF9"/>
    <w:rsid w:val="00BC4246"/>
    <w:rsid w:val="00BC4834"/>
    <w:rsid w:val="00BC4A97"/>
    <w:rsid w:val="00BC5A25"/>
    <w:rsid w:val="00BC5FDD"/>
    <w:rsid w:val="00BC68B4"/>
    <w:rsid w:val="00BD0140"/>
    <w:rsid w:val="00BD02CC"/>
    <w:rsid w:val="00BD1675"/>
    <w:rsid w:val="00BD2063"/>
    <w:rsid w:val="00BD33D9"/>
    <w:rsid w:val="00BD38C5"/>
    <w:rsid w:val="00BD3CF1"/>
    <w:rsid w:val="00BD3DEA"/>
    <w:rsid w:val="00BD3E97"/>
    <w:rsid w:val="00BD40E4"/>
    <w:rsid w:val="00BD52FE"/>
    <w:rsid w:val="00BD62CF"/>
    <w:rsid w:val="00BD67B2"/>
    <w:rsid w:val="00BD78AB"/>
    <w:rsid w:val="00BD78FE"/>
    <w:rsid w:val="00BE0149"/>
    <w:rsid w:val="00BE0767"/>
    <w:rsid w:val="00BE12D7"/>
    <w:rsid w:val="00BE1372"/>
    <w:rsid w:val="00BE1775"/>
    <w:rsid w:val="00BE18DA"/>
    <w:rsid w:val="00BE26C0"/>
    <w:rsid w:val="00BE3442"/>
    <w:rsid w:val="00BE45DF"/>
    <w:rsid w:val="00BE47B2"/>
    <w:rsid w:val="00BE48C7"/>
    <w:rsid w:val="00BE4F66"/>
    <w:rsid w:val="00BE5238"/>
    <w:rsid w:val="00BE6074"/>
    <w:rsid w:val="00BE7257"/>
    <w:rsid w:val="00BF020D"/>
    <w:rsid w:val="00BF1DD2"/>
    <w:rsid w:val="00BF23A3"/>
    <w:rsid w:val="00BF2A7E"/>
    <w:rsid w:val="00BF3331"/>
    <w:rsid w:val="00BF3A45"/>
    <w:rsid w:val="00BF436F"/>
    <w:rsid w:val="00BF5723"/>
    <w:rsid w:val="00BF5C05"/>
    <w:rsid w:val="00BF60C8"/>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BDB"/>
    <w:rsid w:val="00C052C6"/>
    <w:rsid w:val="00C059D4"/>
    <w:rsid w:val="00C05A61"/>
    <w:rsid w:val="00C06CCF"/>
    <w:rsid w:val="00C108B8"/>
    <w:rsid w:val="00C11503"/>
    <w:rsid w:val="00C1159D"/>
    <w:rsid w:val="00C11683"/>
    <w:rsid w:val="00C118DB"/>
    <w:rsid w:val="00C1233E"/>
    <w:rsid w:val="00C125C1"/>
    <w:rsid w:val="00C12FB3"/>
    <w:rsid w:val="00C138BC"/>
    <w:rsid w:val="00C13D85"/>
    <w:rsid w:val="00C14639"/>
    <w:rsid w:val="00C14E82"/>
    <w:rsid w:val="00C14FF6"/>
    <w:rsid w:val="00C15A85"/>
    <w:rsid w:val="00C1641B"/>
    <w:rsid w:val="00C165FC"/>
    <w:rsid w:val="00C176D5"/>
    <w:rsid w:val="00C2082C"/>
    <w:rsid w:val="00C20832"/>
    <w:rsid w:val="00C20EB0"/>
    <w:rsid w:val="00C21005"/>
    <w:rsid w:val="00C220B6"/>
    <w:rsid w:val="00C22D7C"/>
    <w:rsid w:val="00C22DDE"/>
    <w:rsid w:val="00C2338B"/>
    <w:rsid w:val="00C233CE"/>
    <w:rsid w:val="00C23661"/>
    <w:rsid w:val="00C236AE"/>
    <w:rsid w:val="00C237DD"/>
    <w:rsid w:val="00C238F4"/>
    <w:rsid w:val="00C23A99"/>
    <w:rsid w:val="00C245EE"/>
    <w:rsid w:val="00C24AE1"/>
    <w:rsid w:val="00C24B8D"/>
    <w:rsid w:val="00C24BD7"/>
    <w:rsid w:val="00C24C24"/>
    <w:rsid w:val="00C25813"/>
    <w:rsid w:val="00C27143"/>
    <w:rsid w:val="00C27490"/>
    <w:rsid w:val="00C27A55"/>
    <w:rsid w:val="00C27D37"/>
    <w:rsid w:val="00C302E5"/>
    <w:rsid w:val="00C309E8"/>
    <w:rsid w:val="00C32017"/>
    <w:rsid w:val="00C325CD"/>
    <w:rsid w:val="00C3322E"/>
    <w:rsid w:val="00C337F5"/>
    <w:rsid w:val="00C33B90"/>
    <w:rsid w:val="00C34B5F"/>
    <w:rsid w:val="00C358D4"/>
    <w:rsid w:val="00C36785"/>
    <w:rsid w:val="00C36845"/>
    <w:rsid w:val="00C3711C"/>
    <w:rsid w:val="00C37256"/>
    <w:rsid w:val="00C37A7B"/>
    <w:rsid w:val="00C37CFF"/>
    <w:rsid w:val="00C37FFE"/>
    <w:rsid w:val="00C40B50"/>
    <w:rsid w:val="00C41858"/>
    <w:rsid w:val="00C419E3"/>
    <w:rsid w:val="00C419F4"/>
    <w:rsid w:val="00C41E6A"/>
    <w:rsid w:val="00C42247"/>
    <w:rsid w:val="00C439BE"/>
    <w:rsid w:val="00C44E61"/>
    <w:rsid w:val="00C4539B"/>
    <w:rsid w:val="00C45466"/>
    <w:rsid w:val="00C455C1"/>
    <w:rsid w:val="00C4581D"/>
    <w:rsid w:val="00C47472"/>
    <w:rsid w:val="00C47EA5"/>
    <w:rsid w:val="00C500F0"/>
    <w:rsid w:val="00C504A7"/>
    <w:rsid w:val="00C506C9"/>
    <w:rsid w:val="00C50A16"/>
    <w:rsid w:val="00C5122B"/>
    <w:rsid w:val="00C51C9A"/>
    <w:rsid w:val="00C52428"/>
    <w:rsid w:val="00C52C68"/>
    <w:rsid w:val="00C52D98"/>
    <w:rsid w:val="00C53D24"/>
    <w:rsid w:val="00C54640"/>
    <w:rsid w:val="00C547A6"/>
    <w:rsid w:val="00C54A3A"/>
    <w:rsid w:val="00C5503F"/>
    <w:rsid w:val="00C55C32"/>
    <w:rsid w:val="00C56A67"/>
    <w:rsid w:val="00C56CC2"/>
    <w:rsid w:val="00C57498"/>
    <w:rsid w:val="00C5763C"/>
    <w:rsid w:val="00C577CA"/>
    <w:rsid w:val="00C5780C"/>
    <w:rsid w:val="00C5796B"/>
    <w:rsid w:val="00C619A1"/>
    <w:rsid w:val="00C62370"/>
    <w:rsid w:val="00C62545"/>
    <w:rsid w:val="00C62BBB"/>
    <w:rsid w:val="00C6305F"/>
    <w:rsid w:val="00C6325B"/>
    <w:rsid w:val="00C63E99"/>
    <w:rsid w:val="00C64161"/>
    <w:rsid w:val="00C641BD"/>
    <w:rsid w:val="00C649B8"/>
    <w:rsid w:val="00C64A64"/>
    <w:rsid w:val="00C65151"/>
    <w:rsid w:val="00C657F4"/>
    <w:rsid w:val="00C66119"/>
    <w:rsid w:val="00C66292"/>
    <w:rsid w:val="00C672A3"/>
    <w:rsid w:val="00C672F1"/>
    <w:rsid w:val="00C673D0"/>
    <w:rsid w:val="00C673F9"/>
    <w:rsid w:val="00C6742E"/>
    <w:rsid w:val="00C70012"/>
    <w:rsid w:val="00C71E2A"/>
    <w:rsid w:val="00C733BA"/>
    <w:rsid w:val="00C760DC"/>
    <w:rsid w:val="00C8082B"/>
    <w:rsid w:val="00C81A88"/>
    <w:rsid w:val="00C81AEC"/>
    <w:rsid w:val="00C81D46"/>
    <w:rsid w:val="00C820AD"/>
    <w:rsid w:val="00C82298"/>
    <w:rsid w:val="00C833B4"/>
    <w:rsid w:val="00C84284"/>
    <w:rsid w:val="00C84E33"/>
    <w:rsid w:val="00C85FFC"/>
    <w:rsid w:val="00C861FC"/>
    <w:rsid w:val="00C86C87"/>
    <w:rsid w:val="00C8705B"/>
    <w:rsid w:val="00C9005E"/>
    <w:rsid w:val="00C90111"/>
    <w:rsid w:val="00C90CA9"/>
    <w:rsid w:val="00C915F2"/>
    <w:rsid w:val="00C917B1"/>
    <w:rsid w:val="00C9193C"/>
    <w:rsid w:val="00C91B77"/>
    <w:rsid w:val="00C920E2"/>
    <w:rsid w:val="00C93154"/>
    <w:rsid w:val="00C93765"/>
    <w:rsid w:val="00C93877"/>
    <w:rsid w:val="00C93D8C"/>
    <w:rsid w:val="00C946CC"/>
    <w:rsid w:val="00C959BD"/>
    <w:rsid w:val="00C95F44"/>
    <w:rsid w:val="00C96D1B"/>
    <w:rsid w:val="00C97106"/>
    <w:rsid w:val="00C97684"/>
    <w:rsid w:val="00CA0031"/>
    <w:rsid w:val="00CA0413"/>
    <w:rsid w:val="00CA043A"/>
    <w:rsid w:val="00CA04F8"/>
    <w:rsid w:val="00CA1691"/>
    <w:rsid w:val="00CA2E65"/>
    <w:rsid w:val="00CA41E7"/>
    <w:rsid w:val="00CA4B2B"/>
    <w:rsid w:val="00CA5520"/>
    <w:rsid w:val="00CA5812"/>
    <w:rsid w:val="00CA5BD4"/>
    <w:rsid w:val="00CA5C14"/>
    <w:rsid w:val="00CA76FC"/>
    <w:rsid w:val="00CA7E7B"/>
    <w:rsid w:val="00CB0236"/>
    <w:rsid w:val="00CB19E3"/>
    <w:rsid w:val="00CB2C3A"/>
    <w:rsid w:val="00CB2D38"/>
    <w:rsid w:val="00CB4137"/>
    <w:rsid w:val="00CB52D0"/>
    <w:rsid w:val="00CB5578"/>
    <w:rsid w:val="00CB5671"/>
    <w:rsid w:val="00CB591C"/>
    <w:rsid w:val="00CB5943"/>
    <w:rsid w:val="00CB61B3"/>
    <w:rsid w:val="00CB6F83"/>
    <w:rsid w:val="00CB72AE"/>
    <w:rsid w:val="00CB776B"/>
    <w:rsid w:val="00CB78AD"/>
    <w:rsid w:val="00CC00CD"/>
    <w:rsid w:val="00CC0579"/>
    <w:rsid w:val="00CC0AF3"/>
    <w:rsid w:val="00CC0BC6"/>
    <w:rsid w:val="00CC0E68"/>
    <w:rsid w:val="00CC21AC"/>
    <w:rsid w:val="00CC2514"/>
    <w:rsid w:val="00CC2756"/>
    <w:rsid w:val="00CC2F69"/>
    <w:rsid w:val="00CC315F"/>
    <w:rsid w:val="00CC3D38"/>
    <w:rsid w:val="00CC404B"/>
    <w:rsid w:val="00CC40C3"/>
    <w:rsid w:val="00CC4E5D"/>
    <w:rsid w:val="00CC50AE"/>
    <w:rsid w:val="00CC61B7"/>
    <w:rsid w:val="00CC61CA"/>
    <w:rsid w:val="00CC66D3"/>
    <w:rsid w:val="00CC69EC"/>
    <w:rsid w:val="00CC71D3"/>
    <w:rsid w:val="00CC743D"/>
    <w:rsid w:val="00CC7E86"/>
    <w:rsid w:val="00CD050A"/>
    <w:rsid w:val="00CD1903"/>
    <w:rsid w:val="00CD205D"/>
    <w:rsid w:val="00CD2A22"/>
    <w:rsid w:val="00CD2B50"/>
    <w:rsid w:val="00CD4506"/>
    <w:rsid w:val="00CD520B"/>
    <w:rsid w:val="00CD592E"/>
    <w:rsid w:val="00CD5982"/>
    <w:rsid w:val="00CD5A1A"/>
    <w:rsid w:val="00CD7EFA"/>
    <w:rsid w:val="00CE020E"/>
    <w:rsid w:val="00CE0566"/>
    <w:rsid w:val="00CE1CD4"/>
    <w:rsid w:val="00CE23FE"/>
    <w:rsid w:val="00CE2761"/>
    <w:rsid w:val="00CE314E"/>
    <w:rsid w:val="00CE3D5C"/>
    <w:rsid w:val="00CE3E14"/>
    <w:rsid w:val="00CE44C7"/>
    <w:rsid w:val="00CE53CC"/>
    <w:rsid w:val="00CE65A7"/>
    <w:rsid w:val="00CE68FE"/>
    <w:rsid w:val="00CE69CC"/>
    <w:rsid w:val="00CE6EC4"/>
    <w:rsid w:val="00CE7F26"/>
    <w:rsid w:val="00CF1226"/>
    <w:rsid w:val="00CF16C0"/>
    <w:rsid w:val="00CF1ABB"/>
    <w:rsid w:val="00CF1E1D"/>
    <w:rsid w:val="00CF24FE"/>
    <w:rsid w:val="00CF35D0"/>
    <w:rsid w:val="00CF3DD5"/>
    <w:rsid w:val="00CF4AF7"/>
    <w:rsid w:val="00CF4D20"/>
    <w:rsid w:val="00CF73F8"/>
    <w:rsid w:val="00CF7928"/>
    <w:rsid w:val="00CF7CA2"/>
    <w:rsid w:val="00D00A8E"/>
    <w:rsid w:val="00D00DE0"/>
    <w:rsid w:val="00D00F79"/>
    <w:rsid w:val="00D012BF"/>
    <w:rsid w:val="00D01760"/>
    <w:rsid w:val="00D0368E"/>
    <w:rsid w:val="00D03D2D"/>
    <w:rsid w:val="00D03E7B"/>
    <w:rsid w:val="00D0401A"/>
    <w:rsid w:val="00D047E0"/>
    <w:rsid w:val="00D04B9F"/>
    <w:rsid w:val="00D04FFB"/>
    <w:rsid w:val="00D05153"/>
    <w:rsid w:val="00D058E9"/>
    <w:rsid w:val="00D0612A"/>
    <w:rsid w:val="00D06A0E"/>
    <w:rsid w:val="00D1060D"/>
    <w:rsid w:val="00D10E7C"/>
    <w:rsid w:val="00D11182"/>
    <w:rsid w:val="00D1137B"/>
    <w:rsid w:val="00D11807"/>
    <w:rsid w:val="00D11DB3"/>
    <w:rsid w:val="00D12D82"/>
    <w:rsid w:val="00D1306E"/>
    <w:rsid w:val="00D134CD"/>
    <w:rsid w:val="00D14B5F"/>
    <w:rsid w:val="00D14E13"/>
    <w:rsid w:val="00D14F23"/>
    <w:rsid w:val="00D15356"/>
    <w:rsid w:val="00D16740"/>
    <w:rsid w:val="00D16A8B"/>
    <w:rsid w:val="00D16E39"/>
    <w:rsid w:val="00D17951"/>
    <w:rsid w:val="00D17AD8"/>
    <w:rsid w:val="00D17B53"/>
    <w:rsid w:val="00D2104A"/>
    <w:rsid w:val="00D21BB5"/>
    <w:rsid w:val="00D21FFC"/>
    <w:rsid w:val="00D223B6"/>
    <w:rsid w:val="00D223E8"/>
    <w:rsid w:val="00D22DC8"/>
    <w:rsid w:val="00D22F78"/>
    <w:rsid w:val="00D2522A"/>
    <w:rsid w:val="00D2531C"/>
    <w:rsid w:val="00D26C21"/>
    <w:rsid w:val="00D2742F"/>
    <w:rsid w:val="00D2754F"/>
    <w:rsid w:val="00D279D9"/>
    <w:rsid w:val="00D312DC"/>
    <w:rsid w:val="00D31B84"/>
    <w:rsid w:val="00D31C6A"/>
    <w:rsid w:val="00D31EDF"/>
    <w:rsid w:val="00D31FF9"/>
    <w:rsid w:val="00D32149"/>
    <w:rsid w:val="00D32256"/>
    <w:rsid w:val="00D32A27"/>
    <w:rsid w:val="00D32ABC"/>
    <w:rsid w:val="00D34B25"/>
    <w:rsid w:val="00D34F4E"/>
    <w:rsid w:val="00D357F3"/>
    <w:rsid w:val="00D35C0E"/>
    <w:rsid w:val="00D373A8"/>
    <w:rsid w:val="00D379A5"/>
    <w:rsid w:val="00D401BE"/>
    <w:rsid w:val="00D4043A"/>
    <w:rsid w:val="00D40A8E"/>
    <w:rsid w:val="00D40DB0"/>
    <w:rsid w:val="00D40F8B"/>
    <w:rsid w:val="00D41858"/>
    <w:rsid w:val="00D422DB"/>
    <w:rsid w:val="00D42AC2"/>
    <w:rsid w:val="00D4498E"/>
    <w:rsid w:val="00D4515F"/>
    <w:rsid w:val="00D451E8"/>
    <w:rsid w:val="00D4636B"/>
    <w:rsid w:val="00D466C9"/>
    <w:rsid w:val="00D467D8"/>
    <w:rsid w:val="00D47275"/>
    <w:rsid w:val="00D4767B"/>
    <w:rsid w:val="00D50C39"/>
    <w:rsid w:val="00D51E15"/>
    <w:rsid w:val="00D52B7E"/>
    <w:rsid w:val="00D52E2F"/>
    <w:rsid w:val="00D52F59"/>
    <w:rsid w:val="00D53E3E"/>
    <w:rsid w:val="00D55904"/>
    <w:rsid w:val="00D5616F"/>
    <w:rsid w:val="00D57940"/>
    <w:rsid w:val="00D60327"/>
    <w:rsid w:val="00D61526"/>
    <w:rsid w:val="00D61F81"/>
    <w:rsid w:val="00D62BE6"/>
    <w:rsid w:val="00D63766"/>
    <w:rsid w:val="00D63912"/>
    <w:rsid w:val="00D63923"/>
    <w:rsid w:val="00D6451B"/>
    <w:rsid w:val="00D64B57"/>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2B"/>
    <w:rsid w:val="00D7734F"/>
    <w:rsid w:val="00D8044C"/>
    <w:rsid w:val="00D805D6"/>
    <w:rsid w:val="00D8075E"/>
    <w:rsid w:val="00D80860"/>
    <w:rsid w:val="00D80D4C"/>
    <w:rsid w:val="00D8184D"/>
    <w:rsid w:val="00D81A7B"/>
    <w:rsid w:val="00D8223C"/>
    <w:rsid w:val="00D82B57"/>
    <w:rsid w:val="00D82CE5"/>
    <w:rsid w:val="00D8342C"/>
    <w:rsid w:val="00D85494"/>
    <w:rsid w:val="00D8582C"/>
    <w:rsid w:val="00D85D61"/>
    <w:rsid w:val="00D8616D"/>
    <w:rsid w:val="00D8711B"/>
    <w:rsid w:val="00D87384"/>
    <w:rsid w:val="00D90683"/>
    <w:rsid w:val="00D915C8"/>
    <w:rsid w:val="00D9261C"/>
    <w:rsid w:val="00D9310B"/>
    <w:rsid w:val="00D93726"/>
    <w:rsid w:val="00D93DD3"/>
    <w:rsid w:val="00D93F3E"/>
    <w:rsid w:val="00D9405B"/>
    <w:rsid w:val="00D94942"/>
    <w:rsid w:val="00D95145"/>
    <w:rsid w:val="00D967CB"/>
    <w:rsid w:val="00D96EE0"/>
    <w:rsid w:val="00D97BD1"/>
    <w:rsid w:val="00DA06B8"/>
    <w:rsid w:val="00DA286D"/>
    <w:rsid w:val="00DA2969"/>
    <w:rsid w:val="00DA29B7"/>
    <w:rsid w:val="00DA4842"/>
    <w:rsid w:val="00DA5989"/>
    <w:rsid w:val="00DA5AB1"/>
    <w:rsid w:val="00DA5F9D"/>
    <w:rsid w:val="00DA69B2"/>
    <w:rsid w:val="00DA7462"/>
    <w:rsid w:val="00DA7AD0"/>
    <w:rsid w:val="00DB02D7"/>
    <w:rsid w:val="00DB03CC"/>
    <w:rsid w:val="00DB12D4"/>
    <w:rsid w:val="00DB14F0"/>
    <w:rsid w:val="00DB1745"/>
    <w:rsid w:val="00DB1AFF"/>
    <w:rsid w:val="00DB219A"/>
    <w:rsid w:val="00DB3165"/>
    <w:rsid w:val="00DB4292"/>
    <w:rsid w:val="00DB68BB"/>
    <w:rsid w:val="00DB6E46"/>
    <w:rsid w:val="00DB7117"/>
    <w:rsid w:val="00DB7760"/>
    <w:rsid w:val="00DB7DD4"/>
    <w:rsid w:val="00DC00B4"/>
    <w:rsid w:val="00DC0954"/>
    <w:rsid w:val="00DC15BA"/>
    <w:rsid w:val="00DC18CD"/>
    <w:rsid w:val="00DC1A68"/>
    <w:rsid w:val="00DC30B8"/>
    <w:rsid w:val="00DC32C6"/>
    <w:rsid w:val="00DC478F"/>
    <w:rsid w:val="00DC62E5"/>
    <w:rsid w:val="00DC6AB9"/>
    <w:rsid w:val="00DC6F33"/>
    <w:rsid w:val="00DC7349"/>
    <w:rsid w:val="00DD14D8"/>
    <w:rsid w:val="00DD1599"/>
    <w:rsid w:val="00DD1B03"/>
    <w:rsid w:val="00DD2A62"/>
    <w:rsid w:val="00DD2F2F"/>
    <w:rsid w:val="00DD2F7A"/>
    <w:rsid w:val="00DD3885"/>
    <w:rsid w:val="00DD5056"/>
    <w:rsid w:val="00DD5808"/>
    <w:rsid w:val="00DD5946"/>
    <w:rsid w:val="00DD5B04"/>
    <w:rsid w:val="00DD5DAE"/>
    <w:rsid w:val="00DD5EC6"/>
    <w:rsid w:val="00DD605F"/>
    <w:rsid w:val="00DD6657"/>
    <w:rsid w:val="00DD6D71"/>
    <w:rsid w:val="00DD72A0"/>
    <w:rsid w:val="00DD735D"/>
    <w:rsid w:val="00DE0159"/>
    <w:rsid w:val="00DE02D8"/>
    <w:rsid w:val="00DE064A"/>
    <w:rsid w:val="00DE082D"/>
    <w:rsid w:val="00DE1410"/>
    <w:rsid w:val="00DE3119"/>
    <w:rsid w:val="00DE3FF0"/>
    <w:rsid w:val="00DE4105"/>
    <w:rsid w:val="00DE5189"/>
    <w:rsid w:val="00DE6230"/>
    <w:rsid w:val="00DE7108"/>
    <w:rsid w:val="00DE78D1"/>
    <w:rsid w:val="00DF0263"/>
    <w:rsid w:val="00DF0EB4"/>
    <w:rsid w:val="00DF1E36"/>
    <w:rsid w:val="00DF1FDB"/>
    <w:rsid w:val="00DF236B"/>
    <w:rsid w:val="00DF2A91"/>
    <w:rsid w:val="00DF3889"/>
    <w:rsid w:val="00DF3CC9"/>
    <w:rsid w:val="00DF4451"/>
    <w:rsid w:val="00DF49FF"/>
    <w:rsid w:val="00DF4FFB"/>
    <w:rsid w:val="00DF5236"/>
    <w:rsid w:val="00DF651F"/>
    <w:rsid w:val="00DF6E10"/>
    <w:rsid w:val="00DF6F43"/>
    <w:rsid w:val="00DF752F"/>
    <w:rsid w:val="00DF76A2"/>
    <w:rsid w:val="00DF7B33"/>
    <w:rsid w:val="00E00B7A"/>
    <w:rsid w:val="00E02186"/>
    <w:rsid w:val="00E026BB"/>
    <w:rsid w:val="00E027C5"/>
    <w:rsid w:val="00E03124"/>
    <w:rsid w:val="00E031EB"/>
    <w:rsid w:val="00E03951"/>
    <w:rsid w:val="00E03DB8"/>
    <w:rsid w:val="00E05E70"/>
    <w:rsid w:val="00E064BC"/>
    <w:rsid w:val="00E07225"/>
    <w:rsid w:val="00E07AAA"/>
    <w:rsid w:val="00E109DD"/>
    <w:rsid w:val="00E11229"/>
    <w:rsid w:val="00E114CA"/>
    <w:rsid w:val="00E11CF0"/>
    <w:rsid w:val="00E132D5"/>
    <w:rsid w:val="00E1397F"/>
    <w:rsid w:val="00E13AB8"/>
    <w:rsid w:val="00E1482E"/>
    <w:rsid w:val="00E16382"/>
    <w:rsid w:val="00E16572"/>
    <w:rsid w:val="00E1699C"/>
    <w:rsid w:val="00E16E75"/>
    <w:rsid w:val="00E1746D"/>
    <w:rsid w:val="00E2012A"/>
    <w:rsid w:val="00E205A2"/>
    <w:rsid w:val="00E20BA4"/>
    <w:rsid w:val="00E23137"/>
    <w:rsid w:val="00E23980"/>
    <w:rsid w:val="00E241E9"/>
    <w:rsid w:val="00E257C3"/>
    <w:rsid w:val="00E25CB3"/>
    <w:rsid w:val="00E25DA4"/>
    <w:rsid w:val="00E26CB8"/>
    <w:rsid w:val="00E26FCF"/>
    <w:rsid w:val="00E27165"/>
    <w:rsid w:val="00E27226"/>
    <w:rsid w:val="00E2751B"/>
    <w:rsid w:val="00E3044A"/>
    <w:rsid w:val="00E31A4A"/>
    <w:rsid w:val="00E31C43"/>
    <w:rsid w:val="00E3344A"/>
    <w:rsid w:val="00E33B29"/>
    <w:rsid w:val="00E33B62"/>
    <w:rsid w:val="00E3403D"/>
    <w:rsid w:val="00E34E6C"/>
    <w:rsid w:val="00E350D8"/>
    <w:rsid w:val="00E353E2"/>
    <w:rsid w:val="00E36345"/>
    <w:rsid w:val="00E36C86"/>
    <w:rsid w:val="00E36CEB"/>
    <w:rsid w:val="00E37A28"/>
    <w:rsid w:val="00E40430"/>
    <w:rsid w:val="00E40690"/>
    <w:rsid w:val="00E40AEB"/>
    <w:rsid w:val="00E4143A"/>
    <w:rsid w:val="00E424C8"/>
    <w:rsid w:val="00E4251D"/>
    <w:rsid w:val="00E43D00"/>
    <w:rsid w:val="00E445E4"/>
    <w:rsid w:val="00E457CB"/>
    <w:rsid w:val="00E45D47"/>
    <w:rsid w:val="00E45DE4"/>
    <w:rsid w:val="00E45E63"/>
    <w:rsid w:val="00E50A7B"/>
    <w:rsid w:val="00E50B0B"/>
    <w:rsid w:val="00E510FE"/>
    <w:rsid w:val="00E51E25"/>
    <w:rsid w:val="00E5205B"/>
    <w:rsid w:val="00E521AE"/>
    <w:rsid w:val="00E53BCA"/>
    <w:rsid w:val="00E53F02"/>
    <w:rsid w:val="00E54534"/>
    <w:rsid w:val="00E548C3"/>
    <w:rsid w:val="00E54F27"/>
    <w:rsid w:val="00E55FF1"/>
    <w:rsid w:val="00E56090"/>
    <w:rsid w:val="00E565B9"/>
    <w:rsid w:val="00E5733B"/>
    <w:rsid w:val="00E5756C"/>
    <w:rsid w:val="00E601BE"/>
    <w:rsid w:val="00E60B5F"/>
    <w:rsid w:val="00E613AE"/>
    <w:rsid w:val="00E61429"/>
    <w:rsid w:val="00E61ABB"/>
    <w:rsid w:val="00E61FD7"/>
    <w:rsid w:val="00E623E6"/>
    <w:rsid w:val="00E630C0"/>
    <w:rsid w:val="00E63107"/>
    <w:rsid w:val="00E634E6"/>
    <w:rsid w:val="00E63DCE"/>
    <w:rsid w:val="00E64700"/>
    <w:rsid w:val="00E65074"/>
    <w:rsid w:val="00E65E70"/>
    <w:rsid w:val="00E66087"/>
    <w:rsid w:val="00E66D79"/>
    <w:rsid w:val="00E66FF9"/>
    <w:rsid w:val="00E67856"/>
    <w:rsid w:val="00E679C8"/>
    <w:rsid w:val="00E70314"/>
    <w:rsid w:val="00E724E7"/>
    <w:rsid w:val="00E72B41"/>
    <w:rsid w:val="00E7347B"/>
    <w:rsid w:val="00E73D03"/>
    <w:rsid w:val="00E7471C"/>
    <w:rsid w:val="00E7498A"/>
    <w:rsid w:val="00E7514E"/>
    <w:rsid w:val="00E75B34"/>
    <w:rsid w:val="00E77AF5"/>
    <w:rsid w:val="00E8029A"/>
    <w:rsid w:val="00E823F9"/>
    <w:rsid w:val="00E82C1F"/>
    <w:rsid w:val="00E83671"/>
    <w:rsid w:val="00E84A71"/>
    <w:rsid w:val="00E86556"/>
    <w:rsid w:val="00E86798"/>
    <w:rsid w:val="00E86D35"/>
    <w:rsid w:val="00E86DC2"/>
    <w:rsid w:val="00E86E32"/>
    <w:rsid w:val="00E8732E"/>
    <w:rsid w:val="00E9011F"/>
    <w:rsid w:val="00E906EB"/>
    <w:rsid w:val="00E9241E"/>
    <w:rsid w:val="00E92460"/>
    <w:rsid w:val="00E92E62"/>
    <w:rsid w:val="00E93804"/>
    <w:rsid w:val="00E93A86"/>
    <w:rsid w:val="00E95434"/>
    <w:rsid w:val="00E96467"/>
    <w:rsid w:val="00E966DA"/>
    <w:rsid w:val="00E96948"/>
    <w:rsid w:val="00E9737B"/>
    <w:rsid w:val="00E97A3F"/>
    <w:rsid w:val="00E97F0A"/>
    <w:rsid w:val="00EA0100"/>
    <w:rsid w:val="00EA04DC"/>
    <w:rsid w:val="00EA0886"/>
    <w:rsid w:val="00EA0BCE"/>
    <w:rsid w:val="00EA2726"/>
    <w:rsid w:val="00EA2744"/>
    <w:rsid w:val="00EA37B9"/>
    <w:rsid w:val="00EA39F7"/>
    <w:rsid w:val="00EA3B27"/>
    <w:rsid w:val="00EA3DC2"/>
    <w:rsid w:val="00EA434E"/>
    <w:rsid w:val="00EA4757"/>
    <w:rsid w:val="00EA53D3"/>
    <w:rsid w:val="00EA560B"/>
    <w:rsid w:val="00EA5669"/>
    <w:rsid w:val="00EA5C05"/>
    <w:rsid w:val="00EA63EF"/>
    <w:rsid w:val="00EA6750"/>
    <w:rsid w:val="00EB0A89"/>
    <w:rsid w:val="00EB1573"/>
    <w:rsid w:val="00EB1650"/>
    <w:rsid w:val="00EB1910"/>
    <w:rsid w:val="00EB1D24"/>
    <w:rsid w:val="00EB2E97"/>
    <w:rsid w:val="00EB3416"/>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36B1"/>
    <w:rsid w:val="00EC3C94"/>
    <w:rsid w:val="00EC44DF"/>
    <w:rsid w:val="00EC4AB1"/>
    <w:rsid w:val="00EC4FB9"/>
    <w:rsid w:val="00EC5393"/>
    <w:rsid w:val="00EC5741"/>
    <w:rsid w:val="00EC5ACE"/>
    <w:rsid w:val="00EC5DA3"/>
    <w:rsid w:val="00EC6014"/>
    <w:rsid w:val="00EC6B3E"/>
    <w:rsid w:val="00EC6D8D"/>
    <w:rsid w:val="00EC73DE"/>
    <w:rsid w:val="00EC7637"/>
    <w:rsid w:val="00EC7CF2"/>
    <w:rsid w:val="00ED046B"/>
    <w:rsid w:val="00ED046C"/>
    <w:rsid w:val="00ED053A"/>
    <w:rsid w:val="00ED1F03"/>
    <w:rsid w:val="00ED2D27"/>
    <w:rsid w:val="00ED3347"/>
    <w:rsid w:val="00ED3954"/>
    <w:rsid w:val="00ED43A2"/>
    <w:rsid w:val="00ED4967"/>
    <w:rsid w:val="00ED4EC8"/>
    <w:rsid w:val="00ED5140"/>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366D"/>
    <w:rsid w:val="00EE5454"/>
    <w:rsid w:val="00EE58B8"/>
    <w:rsid w:val="00EE59B5"/>
    <w:rsid w:val="00EE5D1D"/>
    <w:rsid w:val="00EE5FB7"/>
    <w:rsid w:val="00EE6A1A"/>
    <w:rsid w:val="00EE7B54"/>
    <w:rsid w:val="00EE7C88"/>
    <w:rsid w:val="00EE7C8B"/>
    <w:rsid w:val="00EF0209"/>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5C4"/>
    <w:rsid w:val="00EF57BC"/>
    <w:rsid w:val="00EF5FD2"/>
    <w:rsid w:val="00EF6784"/>
    <w:rsid w:val="00EF688A"/>
    <w:rsid w:val="00EF6A03"/>
    <w:rsid w:val="00EF6DC2"/>
    <w:rsid w:val="00EF71E6"/>
    <w:rsid w:val="00EF7BF4"/>
    <w:rsid w:val="00F0030F"/>
    <w:rsid w:val="00F00674"/>
    <w:rsid w:val="00F01657"/>
    <w:rsid w:val="00F01E67"/>
    <w:rsid w:val="00F02744"/>
    <w:rsid w:val="00F02BFD"/>
    <w:rsid w:val="00F02D25"/>
    <w:rsid w:val="00F0435D"/>
    <w:rsid w:val="00F04580"/>
    <w:rsid w:val="00F04ECA"/>
    <w:rsid w:val="00F063A0"/>
    <w:rsid w:val="00F06E19"/>
    <w:rsid w:val="00F06F84"/>
    <w:rsid w:val="00F076E7"/>
    <w:rsid w:val="00F07AA1"/>
    <w:rsid w:val="00F105AE"/>
    <w:rsid w:val="00F10618"/>
    <w:rsid w:val="00F1108B"/>
    <w:rsid w:val="00F11768"/>
    <w:rsid w:val="00F11951"/>
    <w:rsid w:val="00F12262"/>
    <w:rsid w:val="00F12AF8"/>
    <w:rsid w:val="00F12C52"/>
    <w:rsid w:val="00F148B7"/>
    <w:rsid w:val="00F14EA9"/>
    <w:rsid w:val="00F15505"/>
    <w:rsid w:val="00F15BFF"/>
    <w:rsid w:val="00F213A0"/>
    <w:rsid w:val="00F217AB"/>
    <w:rsid w:val="00F21A51"/>
    <w:rsid w:val="00F21D54"/>
    <w:rsid w:val="00F21EF4"/>
    <w:rsid w:val="00F23113"/>
    <w:rsid w:val="00F23255"/>
    <w:rsid w:val="00F23393"/>
    <w:rsid w:val="00F23759"/>
    <w:rsid w:val="00F23CB5"/>
    <w:rsid w:val="00F24644"/>
    <w:rsid w:val="00F256FD"/>
    <w:rsid w:val="00F259F1"/>
    <w:rsid w:val="00F26F33"/>
    <w:rsid w:val="00F300A8"/>
    <w:rsid w:val="00F30400"/>
    <w:rsid w:val="00F3079E"/>
    <w:rsid w:val="00F33980"/>
    <w:rsid w:val="00F3399B"/>
    <w:rsid w:val="00F33C1A"/>
    <w:rsid w:val="00F3461B"/>
    <w:rsid w:val="00F346ED"/>
    <w:rsid w:val="00F34945"/>
    <w:rsid w:val="00F34E1E"/>
    <w:rsid w:val="00F3570C"/>
    <w:rsid w:val="00F368FF"/>
    <w:rsid w:val="00F37068"/>
    <w:rsid w:val="00F37F3F"/>
    <w:rsid w:val="00F40992"/>
    <w:rsid w:val="00F412DF"/>
    <w:rsid w:val="00F41596"/>
    <w:rsid w:val="00F41D8B"/>
    <w:rsid w:val="00F42121"/>
    <w:rsid w:val="00F424B3"/>
    <w:rsid w:val="00F428B1"/>
    <w:rsid w:val="00F428B4"/>
    <w:rsid w:val="00F4345D"/>
    <w:rsid w:val="00F4387B"/>
    <w:rsid w:val="00F4518D"/>
    <w:rsid w:val="00F45B91"/>
    <w:rsid w:val="00F46639"/>
    <w:rsid w:val="00F46692"/>
    <w:rsid w:val="00F47AAA"/>
    <w:rsid w:val="00F50183"/>
    <w:rsid w:val="00F50D92"/>
    <w:rsid w:val="00F51765"/>
    <w:rsid w:val="00F51A51"/>
    <w:rsid w:val="00F51CB4"/>
    <w:rsid w:val="00F52324"/>
    <w:rsid w:val="00F52950"/>
    <w:rsid w:val="00F52C9D"/>
    <w:rsid w:val="00F533F1"/>
    <w:rsid w:val="00F55679"/>
    <w:rsid w:val="00F561E3"/>
    <w:rsid w:val="00F565E6"/>
    <w:rsid w:val="00F56614"/>
    <w:rsid w:val="00F56AFA"/>
    <w:rsid w:val="00F575E2"/>
    <w:rsid w:val="00F579FF"/>
    <w:rsid w:val="00F600E0"/>
    <w:rsid w:val="00F600FD"/>
    <w:rsid w:val="00F605EC"/>
    <w:rsid w:val="00F60F60"/>
    <w:rsid w:val="00F612CE"/>
    <w:rsid w:val="00F624A7"/>
    <w:rsid w:val="00F62AB6"/>
    <w:rsid w:val="00F65A3C"/>
    <w:rsid w:val="00F66282"/>
    <w:rsid w:val="00F67D8B"/>
    <w:rsid w:val="00F70961"/>
    <w:rsid w:val="00F70A8F"/>
    <w:rsid w:val="00F71397"/>
    <w:rsid w:val="00F72389"/>
    <w:rsid w:val="00F72516"/>
    <w:rsid w:val="00F72FB4"/>
    <w:rsid w:val="00F735E5"/>
    <w:rsid w:val="00F73E80"/>
    <w:rsid w:val="00F7469C"/>
    <w:rsid w:val="00F747E9"/>
    <w:rsid w:val="00F7492E"/>
    <w:rsid w:val="00F74945"/>
    <w:rsid w:val="00F749A3"/>
    <w:rsid w:val="00F74A04"/>
    <w:rsid w:val="00F74AE8"/>
    <w:rsid w:val="00F76C11"/>
    <w:rsid w:val="00F77021"/>
    <w:rsid w:val="00F77E61"/>
    <w:rsid w:val="00F814B2"/>
    <w:rsid w:val="00F815AC"/>
    <w:rsid w:val="00F83B33"/>
    <w:rsid w:val="00F83CAE"/>
    <w:rsid w:val="00F840BF"/>
    <w:rsid w:val="00F8415D"/>
    <w:rsid w:val="00F8427A"/>
    <w:rsid w:val="00F843DF"/>
    <w:rsid w:val="00F84899"/>
    <w:rsid w:val="00F84A0A"/>
    <w:rsid w:val="00F85585"/>
    <w:rsid w:val="00F859F0"/>
    <w:rsid w:val="00F85CC1"/>
    <w:rsid w:val="00F86B5D"/>
    <w:rsid w:val="00F87464"/>
    <w:rsid w:val="00F87634"/>
    <w:rsid w:val="00F87C13"/>
    <w:rsid w:val="00F87C5A"/>
    <w:rsid w:val="00F87E29"/>
    <w:rsid w:val="00F87F18"/>
    <w:rsid w:val="00F87F68"/>
    <w:rsid w:val="00F90C4D"/>
    <w:rsid w:val="00F9167D"/>
    <w:rsid w:val="00F91CB2"/>
    <w:rsid w:val="00F9289C"/>
    <w:rsid w:val="00F93DBC"/>
    <w:rsid w:val="00F93E41"/>
    <w:rsid w:val="00F94644"/>
    <w:rsid w:val="00F95075"/>
    <w:rsid w:val="00F9537B"/>
    <w:rsid w:val="00F95567"/>
    <w:rsid w:val="00F963FC"/>
    <w:rsid w:val="00FA015F"/>
    <w:rsid w:val="00FA0FAC"/>
    <w:rsid w:val="00FA1DA2"/>
    <w:rsid w:val="00FA3414"/>
    <w:rsid w:val="00FA347A"/>
    <w:rsid w:val="00FA3CDE"/>
    <w:rsid w:val="00FA49B7"/>
    <w:rsid w:val="00FA5043"/>
    <w:rsid w:val="00FA6F8B"/>
    <w:rsid w:val="00FA7A30"/>
    <w:rsid w:val="00FB033F"/>
    <w:rsid w:val="00FB12E3"/>
    <w:rsid w:val="00FB1570"/>
    <w:rsid w:val="00FB193B"/>
    <w:rsid w:val="00FB1FBC"/>
    <w:rsid w:val="00FB27B7"/>
    <w:rsid w:val="00FB3483"/>
    <w:rsid w:val="00FB35E3"/>
    <w:rsid w:val="00FB583C"/>
    <w:rsid w:val="00FB630E"/>
    <w:rsid w:val="00FB6738"/>
    <w:rsid w:val="00FB691B"/>
    <w:rsid w:val="00FB731C"/>
    <w:rsid w:val="00FB7DF8"/>
    <w:rsid w:val="00FC05A0"/>
    <w:rsid w:val="00FC0811"/>
    <w:rsid w:val="00FC1196"/>
    <w:rsid w:val="00FC15EB"/>
    <w:rsid w:val="00FC18DC"/>
    <w:rsid w:val="00FC2AC4"/>
    <w:rsid w:val="00FC2F73"/>
    <w:rsid w:val="00FC3A9B"/>
    <w:rsid w:val="00FC3AE1"/>
    <w:rsid w:val="00FC3DFC"/>
    <w:rsid w:val="00FC3EF4"/>
    <w:rsid w:val="00FC431B"/>
    <w:rsid w:val="00FC434C"/>
    <w:rsid w:val="00FC4FDF"/>
    <w:rsid w:val="00FC5CF4"/>
    <w:rsid w:val="00FC6A39"/>
    <w:rsid w:val="00FC79AB"/>
    <w:rsid w:val="00FC7BE7"/>
    <w:rsid w:val="00FC7DAC"/>
    <w:rsid w:val="00FD04AE"/>
    <w:rsid w:val="00FD1890"/>
    <w:rsid w:val="00FD1994"/>
    <w:rsid w:val="00FD2CA6"/>
    <w:rsid w:val="00FD3508"/>
    <w:rsid w:val="00FD393C"/>
    <w:rsid w:val="00FD43BB"/>
    <w:rsid w:val="00FD4AF3"/>
    <w:rsid w:val="00FD556A"/>
    <w:rsid w:val="00FD798D"/>
    <w:rsid w:val="00FD7FB9"/>
    <w:rsid w:val="00FE141E"/>
    <w:rsid w:val="00FE144E"/>
    <w:rsid w:val="00FE1768"/>
    <w:rsid w:val="00FE24F4"/>
    <w:rsid w:val="00FE2560"/>
    <w:rsid w:val="00FE35D0"/>
    <w:rsid w:val="00FE41AC"/>
    <w:rsid w:val="00FE42ED"/>
    <w:rsid w:val="00FE55A7"/>
    <w:rsid w:val="00FE55E6"/>
    <w:rsid w:val="00FE56D5"/>
    <w:rsid w:val="00FE5C5A"/>
    <w:rsid w:val="00FE6432"/>
    <w:rsid w:val="00FE72A0"/>
    <w:rsid w:val="00FF0050"/>
    <w:rsid w:val="00FF045F"/>
    <w:rsid w:val="00FF13D4"/>
    <w:rsid w:val="00FF2053"/>
    <w:rsid w:val="00FF3B37"/>
    <w:rsid w:val="00FF3D6F"/>
    <w:rsid w:val="00FF4BD8"/>
    <w:rsid w:val="00FF4D11"/>
    <w:rsid w:val="00FF5214"/>
    <w:rsid w:val="00FF596E"/>
    <w:rsid w:val="00FF5B59"/>
    <w:rsid w:val="00FF5BFD"/>
    <w:rsid w:val="00FF5F9D"/>
    <w:rsid w:val="00FF6095"/>
    <w:rsid w:val="00FF62FE"/>
    <w:rsid w:val="00FF655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helvia.uco.es/xmlui/bitstream/handle/10396/2232/73370101.pdf?sequence=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BCCBF9-ED44-4B1F-AF0C-D43B4394BDBC}">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5F699C28-A1B7-4913-824C-ECC681A10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24</Pages>
  <Words>8877</Words>
  <Characters>48827</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3</cp:revision>
  <cp:lastPrinted>2020-01-30T15:05:00Z</cp:lastPrinted>
  <dcterms:created xsi:type="dcterms:W3CDTF">2022-03-31T17:21:00Z</dcterms:created>
  <dcterms:modified xsi:type="dcterms:W3CDTF">2022-03-31T17:21:00Z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