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9C7D09" w:rsidRDefault="00BE1E33" w:rsidP="00BE1E33">
      <w:pPr>
        <w:jc w:val="right"/>
        <w:rPr>
          <w:rFonts w:ascii="Arial" w:hAnsi="Arial" w:cs="Arial"/>
          <w:b/>
          <w:bCs/>
          <w:sz w:val="20"/>
          <w:szCs w:val="20"/>
          <w:lang w:val="es-ES_tradnl" w:eastAsia="es-ES"/>
        </w:rPr>
      </w:pPr>
      <w:bookmarkStart w:id="0" w:name="_Hlk28946138"/>
      <w:bookmarkStart w:id="1" w:name="_Hlk29548183"/>
      <w:r w:rsidRPr="00AC1BFA">
        <w:rPr>
          <w:rFonts w:ascii="Arial" w:hAnsi="Arial" w:cs="Arial"/>
          <w:b/>
          <w:bCs/>
          <w:sz w:val="20"/>
          <w:szCs w:val="20"/>
          <w:lang w:val="es-ES_tradnl" w:eastAsia="es-ES"/>
        </w:rPr>
        <w:tab/>
      </w:r>
      <w:r w:rsidRPr="009C7D09">
        <w:rPr>
          <w:rFonts w:ascii="Arial" w:hAnsi="Arial" w:cs="Arial"/>
          <w:b/>
          <w:bCs/>
          <w:sz w:val="16"/>
          <w:szCs w:val="16"/>
          <w:lang w:val="es-ES_tradnl" w:eastAsia="es-ES"/>
        </w:rPr>
        <w:t>CCE-DES-FM-17</w:t>
      </w:r>
    </w:p>
    <w:p w14:paraId="01A28D5B" w14:textId="77777777" w:rsidR="004F13BC" w:rsidRPr="009C7D09" w:rsidRDefault="004F13BC" w:rsidP="004F13BC">
      <w:pPr>
        <w:jc w:val="right"/>
        <w:rPr>
          <w:rFonts w:ascii="Arial" w:hAnsi="Arial" w:cs="Arial"/>
          <w:b/>
          <w:bCs/>
          <w:color w:val="000000" w:themeColor="text1"/>
          <w:sz w:val="20"/>
          <w:szCs w:val="20"/>
          <w:lang w:val="es-ES"/>
        </w:rPr>
      </w:pPr>
    </w:p>
    <w:p w14:paraId="5C9D3082" w14:textId="746D3F06" w:rsidR="004F13BC" w:rsidRPr="009C7D09" w:rsidRDefault="008D2ED5" w:rsidP="004F13BC">
      <w:pPr>
        <w:spacing w:line="276" w:lineRule="auto"/>
        <w:jc w:val="both"/>
        <w:rPr>
          <w:rFonts w:ascii="Arial" w:eastAsia="Calibri" w:hAnsi="Arial" w:cs="Arial"/>
          <w:b/>
          <w:bCs/>
          <w:color w:val="000000" w:themeColor="text1"/>
          <w:sz w:val="22"/>
          <w:lang w:val="es-ES_tradnl"/>
        </w:rPr>
      </w:pPr>
      <w:r>
        <w:rPr>
          <w:rFonts w:ascii="Arial" w:hAnsi="Arial" w:cs="Arial"/>
          <w:b/>
          <w:bCs/>
          <w:color w:val="000000" w:themeColor="text1"/>
          <w:sz w:val="22"/>
          <w:lang w:val="es-ES"/>
        </w:rPr>
        <w:t>DOCUMENTOS TIPO</w:t>
      </w:r>
      <w:r w:rsidR="00AC1BFA" w:rsidRPr="009C7D09">
        <w:rPr>
          <w:rFonts w:ascii="Arial" w:hAnsi="Arial" w:cs="Arial"/>
          <w:b/>
          <w:bCs/>
          <w:color w:val="000000" w:themeColor="text1"/>
          <w:sz w:val="22"/>
          <w:lang w:val="es-ES"/>
        </w:rPr>
        <w:t xml:space="preserve"> </w:t>
      </w:r>
      <w:r w:rsidR="005E1E1A" w:rsidRPr="009C7D09">
        <w:rPr>
          <w:rFonts w:ascii="Arial" w:hAnsi="Arial" w:cs="Arial"/>
          <w:b/>
          <w:bCs/>
          <w:color w:val="000000" w:themeColor="text1"/>
          <w:sz w:val="22"/>
          <w:lang w:val="es-ES"/>
        </w:rPr>
        <w:t>–</w:t>
      </w:r>
      <w:r>
        <w:rPr>
          <w:rFonts w:ascii="Arial" w:hAnsi="Arial" w:cs="Arial"/>
          <w:b/>
          <w:bCs/>
          <w:color w:val="000000" w:themeColor="text1"/>
          <w:sz w:val="22"/>
          <w:lang w:val="es-ES"/>
        </w:rPr>
        <w:t xml:space="preserve"> Interventoría </w:t>
      </w:r>
      <w:r w:rsidR="004F13BC" w:rsidRPr="009C7D09">
        <w:rPr>
          <w:rFonts w:ascii="Arial" w:eastAsia="Calibri" w:hAnsi="Arial" w:cs="Arial"/>
          <w:b/>
          <w:bCs/>
          <w:color w:val="000000" w:themeColor="text1"/>
          <w:sz w:val="22"/>
          <w:lang w:val="es-ES_tradnl"/>
        </w:rPr>
        <w:t>de obra públic</w:t>
      </w:r>
      <w:r>
        <w:rPr>
          <w:rFonts w:ascii="Arial" w:eastAsia="Calibri" w:hAnsi="Arial" w:cs="Arial"/>
          <w:b/>
          <w:bCs/>
          <w:color w:val="000000" w:themeColor="text1"/>
          <w:sz w:val="22"/>
          <w:lang w:val="es-ES_tradnl"/>
        </w:rPr>
        <w:t>a</w:t>
      </w:r>
      <w:r w:rsidR="004F13BC" w:rsidRPr="009C7D09">
        <w:rPr>
          <w:rFonts w:ascii="Arial" w:eastAsia="Calibri" w:hAnsi="Arial" w:cs="Arial"/>
          <w:b/>
          <w:bCs/>
          <w:color w:val="000000" w:themeColor="text1"/>
          <w:sz w:val="22"/>
          <w:lang w:val="es-ES_tradnl"/>
        </w:rPr>
        <w:t xml:space="preserve"> de infraestructura de transporte</w:t>
      </w:r>
      <w:r>
        <w:rPr>
          <w:rFonts w:ascii="Arial" w:eastAsia="Calibri" w:hAnsi="Arial" w:cs="Arial"/>
          <w:b/>
          <w:bCs/>
          <w:color w:val="000000" w:themeColor="text1"/>
          <w:sz w:val="22"/>
          <w:lang w:val="es-ES_tradnl"/>
        </w:rPr>
        <w:t xml:space="preserve"> – </w:t>
      </w:r>
      <w:r w:rsidR="002E1C4B">
        <w:rPr>
          <w:rFonts w:ascii="Arial" w:eastAsia="Calibri" w:hAnsi="Arial" w:cs="Arial"/>
          <w:b/>
          <w:bCs/>
          <w:color w:val="000000" w:themeColor="text1"/>
          <w:sz w:val="22"/>
          <w:lang w:val="es-ES_tradnl"/>
        </w:rPr>
        <w:t>Obligatoriedad</w:t>
      </w:r>
      <w:r>
        <w:rPr>
          <w:rFonts w:ascii="Arial" w:eastAsia="Calibri" w:hAnsi="Arial" w:cs="Arial"/>
          <w:b/>
          <w:bCs/>
          <w:color w:val="000000" w:themeColor="text1"/>
          <w:sz w:val="22"/>
          <w:lang w:val="es-ES_tradnl"/>
        </w:rPr>
        <w:t xml:space="preserve"> </w:t>
      </w:r>
    </w:p>
    <w:p w14:paraId="155AC84A" w14:textId="018613B4" w:rsidR="004F13BC" w:rsidRPr="009C7D09" w:rsidRDefault="004F13BC" w:rsidP="004F13BC">
      <w:pPr>
        <w:jc w:val="both"/>
        <w:rPr>
          <w:rFonts w:ascii="Arial" w:hAnsi="Arial" w:cs="Arial"/>
          <w:bCs/>
          <w:color w:val="000000" w:themeColor="text1"/>
          <w:sz w:val="20"/>
          <w:szCs w:val="20"/>
          <w:lang w:val="es-ES_tradnl" w:eastAsia="es-ES"/>
        </w:rPr>
      </w:pPr>
    </w:p>
    <w:p w14:paraId="38B99050" w14:textId="1DC1F8F3" w:rsidR="002E435D" w:rsidRPr="009C7D09" w:rsidRDefault="002E1C4B" w:rsidP="00000D82">
      <w:pPr>
        <w:spacing w:after="120"/>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 xml:space="preserve">[…] </w:t>
      </w:r>
      <w:r w:rsidRPr="002E1C4B">
        <w:rPr>
          <w:rFonts w:ascii="Arial" w:eastAsia="Calibri" w:hAnsi="Arial" w:cs="Arial"/>
          <w:bCs/>
          <w:color w:val="000000" w:themeColor="text1"/>
          <w:sz w:val="20"/>
          <w:szCs w:val="20"/>
          <w:lang w:val="es-ES_tradnl"/>
        </w:rPr>
        <w:t>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como se precisará a continuación, resulta obligatorio para todas las entidades sometidas al Estatuto General de Contratación de la Administración Pública, que adelanten procesos de concursos de méritos para contratar la interventoría de cualquiera de los proyectos señalados en la «Matriz 1 – Experiencia»</w:t>
      </w:r>
      <w:r w:rsidR="002E435D" w:rsidRPr="002E435D">
        <w:rPr>
          <w:rFonts w:ascii="Arial" w:eastAsia="Calibri" w:hAnsi="Arial" w:cs="Arial"/>
          <w:bCs/>
          <w:color w:val="000000" w:themeColor="text1"/>
          <w:sz w:val="20"/>
          <w:szCs w:val="20"/>
          <w:lang w:val="es-ES_tradnl"/>
        </w:rPr>
        <w:t>.</w:t>
      </w:r>
    </w:p>
    <w:p w14:paraId="1E3045D4" w14:textId="77777777" w:rsidR="004F13BC" w:rsidRPr="009C7D09" w:rsidRDefault="004F13BC" w:rsidP="004F13BC">
      <w:pPr>
        <w:jc w:val="right"/>
        <w:rPr>
          <w:rFonts w:ascii="Arial" w:eastAsia="Calibri" w:hAnsi="Arial" w:cs="Arial"/>
          <w:bCs/>
          <w:color w:val="000000" w:themeColor="text1"/>
          <w:sz w:val="20"/>
          <w:szCs w:val="20"/>
          <w:lang w:val="es-ES_tradnl"/>
        </w:rPr>
      </w:pPr>
    </w:p>
    <w:p w14:paraId="69CEB145" w14:textId="2D339AB1" w:rsidR="00685DAF" w:rsidRPr="00685DAF" w:rsidRDefault="002E435D" w:rsidP="00685DAF">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DOCUMENTOS TIPO</w:t>
      </w:r>
      <w:r w:rsidR="00284ECF" w:rsidRPr="009C7D09">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w:t>
      </w:r>
      <w:r w:rsidR="005E1E1A" w:rsidRPr="009C7D09">
        <w:rPr>
          <w:rFonts w:ascii="Arial" w:eastAsia="Calibri" w:hAnsi="Arial" w:cs="Arial"/>
          <w:b/>
          <w:bCs/>
          <w:color w:val="000000" w:themeColor="text1"/>
          <w:sz w:val="22"/>
          <w:lang w:val="es-ES_tradnl"/>
        </w:rPr>
        <w:t xml:space="preserve"> </w:t>
      </w:r>
      <w:r>
        <w:rPr>
          <w:rFonts w:ascii="Arial" w:hAnsi="Arial" w:cs="Arial"/>
          <w:b/>
          <w:bCs/>
          <w:color w:val="000000" w:themeColor="text1"/>
          <w:sz w:val="22"/>
          <w:lang w:val="es-ES"/>
        </w:rPr>
        <w:t xml:space="preserve">Interventoría </w:t>
      </w:r>
      <w:r w:rsidRPr="009C7D09">
        <w:rPr>
          <w:rFonts w:ascii="Arial" w:eastAsia="Calibri" w:hAnsi="Arial" w:cs="Arial"/>
          <w:b/>
          <w:bCs/>
          <w:color w:val="000000" w:themeColor="text1"/>
          <w:sz w:val="22"/>
          <w:lang w:val="es-ES_tradnl"/>
        </w:rPr>
        <w:t>de obra públic</w:t>
      </w:r>
      <w:r>
        <w:rPr>
          <w:rFonts w:ascii="Arial" w:eastAsia="Calibri" w:hAnsi="Arial" w:cs="Arial"/>
          <w:b/>
          <w:bCs/>
          <w:color w:val="000000" w:themeColor="text1"/>
          <w:sz w:val="22"/>
          <w:lang w:val="es-ES_tradnl"/>
        </w:rPr>
        <w:t>a</w:t>
      </w:r>
      <w:r w:rsidRPr="009C7D09">
        <w:rPr>
          <w:rFonts w:ascii="Arial" w:eastAsia="Calibri" w:hAnsi="Arial" w:cs="Arial"/>
          <w:b/>
          <w:bCs/>
          <w:color w:val="000000" w:themeColor="text1"/>
          <w:sz w:val="22"/>
          <w:lang w:val="es-ES_tradnl"/>
        </w:rPr>
        <w:t xml:space="preserve"> de infraestructura de transporte</w:t>
      </w:r>
      <w:r>
        <w:rPr>
          <w:rFonts w:ascii="Arial" w:eastAsia="Calibri" w:hAnsi="Arial" w:cs="Arial"/>
          <w:b/>
          <w:bCs/>
          <w:color w:val="000000" w:themeColor="text1"/>
          <w:sz w:val="22"/>
          <w:lang w:val="es-ES_tradnl"/>
        </w:rPr>
        <w:t xml:space="preserve"> – </w:t>
      </w:r>
      <w:proofErr w:type="spellStart"/>
      <w:r w:rsidR="0049371A">
        <w:rPr>
          <w:rFonts w:ascii="Arial" w:eastAsia="Calibri" w:hAnsi="Arial" w:cs="Arial"/>
          <w:b/>
          <w:bCs/>
          <w:color w:val="000000" w:themeColor="text1"/>
          <w:sz w:val="22"/>
          <w:lang w:val="es-ES_tradnl"/>
        </w:rPr>
        <w:t>Subsanabilidad</w:t>
      </w:r>
      <w:proofErr w:type="spellEnd"/>
      <w:r>
        <w:rPr>
          <w:rFonts w:ascii="Arial" w:eastAsia="Calibri" w:hAnsi="Arial" w:cs="Arial"/>
          <w:b/>
          <w:bCs/>
          <w:color w:val="000000" w:themeColor="text1"/>
          <w:sz w:val="22"/>
          <w:lang w:val="es-ES_tradnl"/>
        </w:rPr>
        <w:t xml:space="preserve"> – </w:t>
      </w:r>
      <w:r w:rsidR="0049371A">
        <w:rPr>
          <w:rFonts w:ascii="Arial" w:eastAsia="Calibri" w:hAnsi="Arial" w:cs="Arial"/>
          <w:b/>
          <w:bCs/>
          <w:color w:val="000000" w:themeColor="text1"/>
          <w:sz w:val="22"/>
          <w:lang w:val="es-ES_tradnl"/>
        </w:rPr>
        <w:t xml:space="preserve">Experiencia mínima </w:t>
      </w:r>
      <w:r w:rsidR="002362D0">
        <w:rPr>
          <w:rFonts w:ascii="Arial" w:eastAsia="Calibri" w:hAnsi="Arial" w:cs="Arial"/>
          <w:b/>
          <w:bCs/>
          <w:color w:val="000000" w:themeColor="text1"/>
          <w:sz w:val="22"/>
          <w:lang w:val="es-ES_tradnl"/>
        </w:rPr>
        <w:t>habilitante</w:t>
      </w:r>
    </w:p>
    <w:p w14:paraId="2A0ADEBF" w14:textId="56AE6745" w:rsidR="00C960CD" w:rsidRPr="00685DAF" w:rsidRDefault="00685DAF" w:rsidP="00702337">
      <w:pPr>
        <w:spacing w:after="120"/>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br/>
      </w:r>
      <w:r w:rsidR="00702337" w:rsidRPr="00702337">
        <w:rPr>
          <w:rFonts w:ascii="Arial" w:eastAsia="Calibri" w:hAnsi="Arial" w:cs="Arial"/>
          <w:bCs/>
          <w:color w:val="000000" w:themeColor="text1"/>
          <w:sz w:val="20"/>
          <w:szCs w:val="20"/>
          <w:lang w:val="es-ES_tradnl"/>
        </w:rPr>
        <w:t xml:space="preserve">Esta Subdirección se ha pronunciado en diversas oportunidades acerca del alcance de la regla de la </w:t>
      </w:r>
      <w:proofErr w:type="spellStart"/>
      <w:r w:rsidR="00702337" w:rsidRPr="00702337">
        <w:rPr>
          <w:rFonts w:ascii="Arial" w:eastAsia="Calibri" w:hAnsi="Arial" w:cs="Arial"/>
          <w:bCs/>
          <w:color w:val="000000" w:themeColor="text1"/>
          <w:sz w:val="20"/>
          <w:szCs w:val="20"/>
          <w:lang w:val="es-ES_tradnl"/>
        </w:rPr>
        <w:t>subsanabilidad</w:t>
      </w:r>
      <w:proofErr w:type="spellEnd"/>
      <w:r w:rsidR="00702337" w:rsidRPr="00702337">
        <w:rPr>
          <w:rFonts w:ascii="Arial" w:eastAsia="Calibri" w:hAnsi="Arial" w:cs="Arial"/>
          <w:bCs/>
          <w:color w:val="000000" w:themeColor="text1"/>
          <w:sz w:val="20"/>
          <w:szCs w:val="20"/>
          <w:lang w:val="es-ES_tradnl"/>
        </w:rPr>
        <w:t xml:space="preserve">, contenida actualmente en el artículo 5 de la Ley 1150 de 2007. Al respecto, la postura que se reitera en el presente concepto es la siguiente: por regla general, i) la falta de entrega o ii) los defectos de los requisitos que no asignen puntaje son subsanables. La excepción se encuentra en los casos, previstos en la ley, que limitan la </w:t>
      </w:r>
      <w:proofErr w:type="spellStart"/>
      <w:r w:rsidR="00702337" w:rsidRPr="00702337">
        <w:rPr>
          <w:rFonts w:ascii="Arial" w:eastAsia="Calibri" w:hAnsi="Arial" w:cs="Arial"/>
          <w:bCs/>
          <w:color w:val="000000" w:themeColor="text1"/>
          <w:sz w:val="20"/>
          <w:szCs w:val="20"/>
          <w:lang w:val="es-ES_tradnl"/>
        </w:rPr>
        <w:t>subsanabilidad</w:t>
      </w:r>
      <w:proofErr w:type="spellEnd"/>
      <w:r w:rsidR="00702337" w:rsidRPr="00702337">
        <w:rPr>
          <w:rFonts w:ascii="Arial" w:eastAsia="Calibri" w:hAnsi="Arial" w:cs="Arial"/>
          <w:bCs/>
          <w:color w:val="000000" w:themeColor="text1"/>
          <w:sz w:val="20"/>
          <w:szCs w:val="20"/>
          <w:lang w:val="es-ES_tradnl"/>
        </w:rPr>
        <w:t>, es decir, en la prohibición de entregar la garantía de seriedad de la oferta que no fue aportada con la propuesta y de acreditar circunstancias ocurridas con posterioridad al cierre del proceso. En tal sentido, tampoco es posible subsanar requisitos de la propuesta que afecten la asignación de puntaje</w:t>
      </w:r>
      <w:r w:rsidR="00C960CD" w:rsidRPr="00685DAF">
        <w:rPr>
          <w:rFonts w:ascii="Arial" w:eastAsia="Calibri" w:hAnsi="Arial" w:cs="Arial"/>
          <w:bCs/>
          <w:color w:val="000000" w:themeColor="text1"/>
          <w:sz w:val="20"/>
          <w:szCs w:val="20"/>
          <w:lang w:val="es-ES_tradnl"/>
        </w:rPr>
        <w:t>.</w:t>
      </w:r>
    </w:p>
    <w:p w14:paraId="0BE6092D" w14:textId="77777777" w:rsidR="00C960CD" w:rsidRPr="009C7D09" w:rsidRDefault="00C960CD" w:rsidP="004F13BC">
      <w:pPr>
        <w:jc w:val="both"/>
        <w:rPr>
          <w:rFonts w:ascii="Arial" w:eastAsia="Calibri" w:hAnsi="Arial" w:cs="Arial"/>
          <w:b/>
          <w:bCs/>
          <w:color w:val="000000" w:themeColor="text1"/>
          <w:sz w:val="22"/>
          <w:lang w:val="es-ES_tradnl"/>
        </w:rPr>
      </w:pPr>
    </w:p>
    <w:p w14:paraId="6C152BBC" w14:textId="1876FECB" w:rsidR="004F13BC" w:rsidRPr="009C7D09" w:rsidRDefault="00685DAF" w:rsidP="004F13BC">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DOCUMENTOS TIPO – </w:t>
      </w:r>
      <w:r>
        <w:rPr>
          <w:rFonts w:ascii="Arial" w:hAnsi="Arial" w:cs="Arial"/>
          <w:b/>
          <w:bCs/>
          <w:color w:val="000000" w:themeColor="text1"/>
          <w:sz w:val="22"/>
          <w:lang w:val="es-ES"/>
        </w:rPr>
        <w:t xml:space="preserve">Interventoría </w:t>
      </w:r>
      <w:r w:rsidRPr="009C7D09">
        <w:rPr>
          <w:rFonts w:ascii="Arial" w:eastAsia="Calibri" w:hAnsi="Arial" w:cs="Arial"/>
          <w:b/>
          <w:bCs/>
          <w:color w:val="000000" w:themeColor="text1"/>
          <w:sz w:val="22"/>
          <w:lang w:val="es-ES_tradnl"/>
        </w:rPr>
        <w:t>de obra públic</w:t>
      </w:r>
      <w:r>
        <w:rPr>
          <w:rFonts w:ascii="Arial" w:eastAsia="Calibri" w:hAnsi="Arial" w:cs="Arial"/>
          <w:b/>
          <w:bCs/>
          <w:color w:val="000000" w:themeColor="text1"/>
          <w:sz w:val="22"/>
          <w:lang w:val="es-ES_tradnl"/>
        </w:rPr>
        <w:t>a</w:t>
      </w:r>
      <w:r w:rsidRPr="009C7D09">
        <w:rPr>
          <w:rFonts w:ascii="Arial" w:eastAsia="Calibri" w:hAnsi="Arial" w:cs="Arial"/>
          <w:b/>
          <w:bCs/>
          <w:color w:val="000000" w:themeColor="text1"/>
          <w:sz w:val="22"/>
          <w:lang w:val="es-ES_tradnl"/>
        </w:rPr>
        <w:t xml:space="preserve"> de infraestructura de transporte</w:t>
      </w:r>
      <w:r>
        <w:rPr>
          <w:rFonts w:ascii="Arial" w:eastAsia="Calibri" w:hAnsi="Arial" w:cs="Arial"/>
          <w:b/>
          <w:bCs/>
          <w:color w:val="000000" w:themeColor="text1"/>
          <w:sz w:val="22"/>
          <w:lang w:val="es-ES_tradnl"/>
        </w:rPr>
        <w:t xml:space="preserve"> </w:t>
      </w:r>
      <w:r w:rsidR="00FC450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w:t>
      </w:r>
      <w:r w:rsidR="00FC4508">
        <w:rPr>
          <w:rFonts w:ascii="Arial" w:eastAsia="Calibri" w:hAnsi="Arial" w:cs="Arial"/>
          <w:b/>
          <w:bCs/>
          <w:color w:val="000000" w:themeColor="text1"/>
          <w:sz w:val="22"/>
          <w:lang w:val="es-ES_tradnl"/>
        </w:rPr>
        <w:t>Método de ponderación – Selección aleatoria – TRM</w:t>
      </w:r>
    </w:p>
    <w:p w14:paraId="6FBF5246" w14:textId="77777777" w:rsidR="00C960CD" w:rsidRPr="009C7D09" w:rsidRDefault="00C960CD" w:rsidP="00C960CD">
      <w:pPr>
        <w:jc w:val="both"/>
        <w:rPr>
          <w:rFonts w:ascii="Arial" w:hAnsi="Arial" w:cs="Arial"/>
          <w:color w:val="000000" w:themeColor="text1"/>
          <w:sz w:val="20"/>
          <w:szCs w:val="20"/>
          <w:lang w:val="es-ES_tradnl"/>
        </w:rPr>
      </w:pPr>
    </w:p>
    <w:p w14:paraId="264E7298" w14:textId="25C86BF5" w:rsidR="004F13BC" w:rsidRDefault="0001679C" w:rsidP="00000D82">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E</w:t>
      </w:r>
      <w:r w:rsidRPr="0001679C">
        <w:rPr>
          <w:rFonts w:ascii="Arial" w:eastAsia="Calibri" w:hAnsi="Arial" w:cs="Arial"/>
          <w:color w:val="000000" w:themeColor="text1"/>
          <w:sz w:val="20"/>
          <w:szCs w:val="20"/>
          <w:lang w:val="es-ES_tradnl"/>
        </w:rPr>
        <w:t>l numeral 4.1. del Documento Base de Interventoría de Obra Pública de Infraestructura de Transporte estableció que, dependiendo del método aleatorio establecido según la TRM, cada uno de los proponentes habilitados participarán con el «valor del promedio de los contratos válidos aportados según la metodología descrita para cada alternativa», señalando 4 alternativas para asignar puntaje en relación con la experiencia de los proponentes: i) media con valor absoluto; ii) media geométrica; iii) media aritmética alta y iv) media aritmética baja, cuya selección es alea</w:t>
      </w:r>
      <w:r>
        <w:rPr>
          <w:rFonts w:ascii="Arial" w:eastAsia="Calibri" w:hAnsi="Arial" w:cs="Arial"/>
          <w:color w:val="000000" w:themeColor="text1"/>
          <w:sz w:val="20"/>
          <w:szCs w:val="20"/>
          <w:lang w:val="es-ES_tradnl"/>
        </w:rPr>
        <w:t>toria […]</w:t>
      </w:r>
      <w:r w:rsidR="004F13BC" w:rsidRPr="009C7D09">
        <w:rPr>
          <w:rFonts w:ascii="Arial" w:eastAsia="Calibri" w:hAnsi="Arial" w:cs="Arial"/>
          <w:color w:val="000000" w:themeColor="text1"/>
          <w:sz w:val="20"/>
          <w:szCs w:val="20"/>
          <w:lang w:val="es-ES_tradnl"/>
        </w:rPr>
        <w:t xml:space="preserve">. </w:t>
      </w:r>
    </w:p>
    <w:p w14:paraId="195F580E" w14:textId="61055A9F" w:rsidR="007B65F8" w:rsidRDefault="007B65F8" w:rsidP="00000D82">
      <w:pPr>
        <w:spacing w:after="120"/>
        <w:jc w:val="both"/>
        <w:rPr>
          <w:rFonts w:ascii="Arial" w:eastAsia="Calibri" w:hAnsi="Arial" w:cs="Arial"/>
          <w:color w:val="000000" w:themeColor="text1"/>
          <w:sz w:val="20"/>
          <w:szCs w:val="20"/>
          <w:lang w:val="es-ES_tradnl"/>
        </w:rPr>
      </w:pPr>
      <w:r w:rsidRPr="007B65F8">
        <w:rPr>
          <w:rFonts w:ascii="Arial" w:eastAsia="Calibri" w:hAnsi="Arial" w:cs="Arial"/>
          <w:color w:val="000000" w:themeColor="text1"/>
          <w:sz w:val="20"/>
          <w:szCs w:val="20"/>
          <w:lang w:val="es-ES_tradnl"/>
        </w:rPr>
        <w:t xml:space="preserve">Los métodos </w:t>
      </w:r>
      <w:r>
        <w:rPr>
          <w:rFonts w:ascii="Arial" w:eastAsia="Calibri" w:hAnsi="Arial" w:cs="Arial"/>
          <w:color w:val="000000" w:themeColor="text1"/>
          <w:sz w:val="20"/>
          <w:szCs w:val="20"/>
          <w:lang w:val="es-ES_tradnl"/>
        </w:rPr>
        <w:t xml:space="preserve">de ponderación </w:t>
      </w:r>
      <w:r w:rsidRPr="007B65F8">
        <w:rPr>
          <w:rFonts w:ascii="Arial" w:eastAsia="Calibri" w:hAnsi="Arial" w:cs="Arial"/>
          <w:color w:val="000000" w:themeColor="text1"/>
          <w:sz w:val="20"/>
          <w:szCs w:val="20"/>
          <w:lang w:val="es-ES_tradnl"/>
        </w:rPr>
        <w:t>permiten evaluar la experiencia del proponente con base en el valor del promedio de los contratos válidos que fueron aportados; a su vez, la elección aleatoria empleando un índice como la TRM garantiza los principios de transparencia e igualdad en el marco de la contratación pública, asegurando así que los intervinientes en los procesos contractuales del Estado actuarán conforme al principio de selección objetiv</w:t>
      </w:r>
      <w:r>
        <w:rPr>
          <w:rFonts w:ascii="Arial" w:eastAsia="Calibri" w:hAnsi="Arial" w:cs="Arial"/>
          <w:color w:val="000000" w:themeColor="text1"/>
          <w:sz w:val="20"/>
          <w:szCs w:val="20"/>
          <w:lang w:val="es-ES_tradnl"/>
        </w:rPr>
        <w:t>a.</w:t>
      </w:r>
    </w:p>
    <w:p w14:paraId="257262C0" w14:textId="77777777" w:rsidR="007B65F8" w:rsidRDefault="007B65F8">
      <w:pPr>
        <w:spacing w:after="160" w:line="259"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br w:type="page"/>
      </w:r>
    </w:p>
    <w:p w14:paraId="637BB3BC" w14:textId="77777777" w:rsidR="007B65F8" w:rsidRDefault="007B65F8" w:rsidP="00E35B0E">
      <w:pPr>
        <w:tabs>
          <w:tab w:val="left" w:pos="709"/>
        </w:tabs>
        <w:jc w:val="right"/>
        <w:rPr>
          <w:rFonts w:ascii="Arial" w:eastAsia="Calibri" w:hAnsi="Arial" w:cs="Arial"/>
          <w:color w:val="000000" w:themeColor="text1"/>
          <w:sz w:val="20"/>
          <w:szCs w:val="20"/>
          <w:lang w:val="es-ES_tradnl"/>
        </w:rPr>
      </w:pPr>
    </w:p>
    <w:p w14:paraId="34DBC9F0" w14:textId="531B904D" w:rsidR="00E35B0E" w:rsidRPr="00000D82" w:rsidRDefault="00E35B0E" w:rsidP="00E35B0E">
      <w:pPr>
        <w:tabs>
          <w:tab w:val="left" w:pos="709"/>
        </w:tabs>
        <w:jc w:val="right"/>
        <w:rPr>
          <w:rFonts w:ascii="Arial" w:hAnsi="Arial" w:cs="Arial"/>
          <w:sz w:val="16"/>
          <w:szCs w:val="16"/>
          <w:lang w:val="es-ES"/>
        </w:rPr>
      </w:pPr>
      <w:r w:rsidRPr="00000D82">
        <w:rPr>
          <w:rFonts w:ascii="Arial-BoldMT" w:hAnsi="Arial-BoldMT" w:cs="Arial-BoldMT"/>
          <w:b/>
          <w:bCs/>
          <w:sz w:val="16"/>
          <w:szCs w:val="16"/>
          <w:lang w:val="es-CO"/>
        </w:rPr>
        <w:t>CCE-DES-FM-17</w:t>
      </w:r>
    </w:p>
    <w:p w14:paraId="6EDECE02" w14:textId="77777777" w:rsidR="00E35B0E" w:rsidRPr="009C7D09" w:rsidRDefault="00E35B0E" w:rsidP="00E35B0E">
      <w:pPr>
        <w:outlineLvl w:val="0"/>
        <w:rPr>
          <w:rFonts w:ascii="ArialMT" w:hAnsi="ArialMT" w:cs="ArialMT"/>
          <w:sz w:val="22"/>
          <w:lang w:val="es-CO"/>
        </w:rPr>
      </w:pPr>
    </w:p>
    <w:p w14:paraId="21988125" w14:textId="379FF1BE" w:rsidR="00E35B0E" w:rsidRDefault="004D2993" w:rsidP="00BA7B87">
      <w:pPr>
        <w:rPr>
          <w:rFonts w:ascii="Arial" w:hAnsi="Arial" w:cs="Arial"/>
          <w:b/>
          <w:color w:val="000000" w:themeColor="text1"/>
          <w:sz w:val="22"/>
        </w:rPr>
      </w:pPr>
      <w:r>
        <w:rPr>
          <w:rFonts w:ascii="Arial" w:hAnsi="Arial" w:cs="Arial"/>
          <w:b/>
          <w:noProof/>
          <w:sz w:val="22"/>
        </w:rPr>
        <w:drawing>
          <wp:anchor distT="0" distB="0" distL="114300" distR="114300" simplePos="0" relativeHeight="251659264" behindDoc="0" locked="0" layoutInCell="1" allowOverlap="1" wp14:anchorId="57064FE5" wp14:editId="39A2D994">
            <wp:simplePos x="0" y="0"/>
            <wp:positionH relativeFrom="column">
              <wp:posOffset>3009900</wp:posOffset>
            </wp:positionH>
            <wp:positionV relativeFrom="paragraph">
              <wp:posOffset>262255</wp:posOffset>
            </wp:positionV>
            <wp:extent cx="2984500" cy="762000"/>
            <wp:effectExtent l="0" t="0" r="0" b="0"/>
            <wp:wrapTopAndBottom/>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84500" cy="762000"/>
                    </a:xfrm>
                    <a:prstGeom prst="rect">
                      <a:avLst/>
                    </a:prstGeom>
                  </pic:spPr>
                </pic:pic>
              </a:graphicData>
            </a:graphic>
          </wp:anchor>
        </w:drawing>
      </w:r>
      <w:r w:rsidR="009A50EB" w:rsidRPr="009A50EB">
        <w:rPr>
          <w:rFonts w:ascii="Arial" w:hAnsi="Arial" w:cs="Arial"/>
          <w:b/>
          <w:color w:val="000000" w:themeColor="text1"/>
          <w:sz w:val="22"/>
        </w:rPr>
        <w:t xml:space="preserve">Bogotá, 07 </w:t>
      </w:r>
      <w:proofErr w:type="gramStart"/>
      <w:r w:rsidR="009A50EB" w:rsidRPr="009A50EB">
        <w:rPr>
          <w:rFonts w:ascii="Arial" w:hAnsi="Arial" w:cs="Arial"/>
          <w:b/>
          <w:color w:val="000000" w:themeColor="text1"/>
          <w:sz w:val="22"/>
        </w:rPr>
        <w:t>Mayo</w:t>
      </w:r>
      <w:proofErr w:type="gramEnd"/>
      <w:r w:rsidR="009A50EB" w:rsidRPr="009A50EB">
        <w:rPr>
          <w:rFonts w:ascii="Arial" w:hAnsi="Arial" w:cs="Arial"/>
          <w:b/>
          <w:color w:val="000000" w:themeColor="text1"/>
          <w:sz w:val="22"/>
        </w:rPr>
        <w:t xml:space="preserve"> 202</w:t>
      </w:r>
      <w:r w:rsidR="00BA7B87">
        <w:rPr>
          <w:rFonts w:ascii="Arial" w:hAnsi="Arial" w:cs="Arial"/>
          <w:b/>
          <w:color w:val="000000" w:themeColor="text1"/>
          <w:sz w:val="22"/>
        </w:rPr>
        <w:t>1</w:t>
      </w:r>
    </w:p>
    <w:p w14:paraId="0FED8CF1" w14:textId="5AF845D2" w:rsidR="00206E45" w:rsidRDefault="004D2993" w:rsidP="00BA7B87">
      <w:pPr>
        <w:rPr>
          <w:rFonts w:ascii="Arial" w:hAnsi="Arial" w:cs="Arial"/>
          <w:b/>
          <w:sz w:val="22"/>
        </w:rPr>
      </w:pPr>
      <w:r>
        <w:rPr>
          <w:rFonts w:ascii="Arial" w:hAnsi="Arial" w:cs="Arial"/>
          <w:b/>
          <w:noProof/>
          <w:sz w:val="22"/>
        </w:rPr>
        <w:t xml:space="preserve">                 </w:t>
      </w:r>
    </w:p>
    <w:p w14:paraId="6B6535B7" w14:textId="5E15C61F" w:rsidR="00E35B0E" w:rsidRPr="009C7D09" w:rsidRDefault="00200477" w:rsidP="00E35B0E">
      <w:pPr>
        <w:jc w:val="both"/>
        <w:outlineLvl w:val="0"/>
        <w:rPr>
          <w:rFonts w:ascii="Arial" w:eastAsia="Calibri" w:hAnsi="Arial" w:cs="Arial"/>
          <w:sz w:val="22"/>
          <w:lang w:val="es-ES"/>
        </w:rPr>
      </w:pPr>
      <w:r w:rsidRPr="009C7D09">
        <w:rPr>
          <w:rFonts w:ascii="Arial" w:eastAsia="Calibri" w:hAnsi="Arial" w:cs="Arial"/>
          <w:sz w:val="22"/>
          <w:lang w:val="es-ES"/>
        </w:rPr>
        <w:t>Señor</w:t>
      </w:r>
    </w:p>
    <w:p w14:paraId="0D0DC6D7" w14:textId="2B042F08" w:rsidR="00200477" w:rsidRPr="009C7D09" w:rsidRDefault="00200477" w:rsidP="00E35B0E">
      <w:pPr>
        <w:jc w:val="both"/>
        <w:rPr>
          <w:rFonts w:ascii="Arial" w:hAnsi="Arial" w:cs="Arial"/>
          <w:b/>
          <w:bCs/>
          <w:sz w:val="22"/>
          <w:lang w:val="es-CO"/>
        </w:rPr>
      </w:pPr>
      <w:r w:rsidRPr="009C7D09">
        <w:rPr>
          <w:rFonts w:ascii="Arial" w:hAnsi="Arial" w:cs="Arial"/>
          <w:b/>
          <w:bCs/>
          <w:sz w:val="22"/>
          <w:lang w:val="es-CO"/>
        </w:rPr>
        <w:t>Luis Armando Tovar Parada</w:t>
      </w:r>
    </w:p>
    <w:p w14:paraId="0973DE01" w14:textId="2ABB1AA1" w:rsidR="00E35B0E" w:rsidRPr="009C7D09" w:rsidRDefault="00C96C57" w:rsidP="00E35B0E">
      <w:pPr>
        <w:jc w:val="both"/>
        <w:rPr>
          <w:rFonts w:ascii="Arial" w:eastAsia="Calibri" w:hAnsi="Arial" w:cs="Arial"/>
          <w:sz w:val="22"/>
          <w:lang w:val="es-ES"/>
        </w:rPr>
      </w:pPr>
      <w:r w:rsidRPr="009C7D09">
        <w:rPr>
          <w:rFonts w:ascii="Arial" w:eastAsia="Calibri" w:hAnsi="Arial" w:cs="Arial"/>
          <w:sz w:val="22"/>
          <w:lang w:val="es-ES"/>
        </w:rPr>
        <w:t>Bogotá D.C.</w:t>
      </w:r>
    </w:p>
    <w:p w14:paraId="3D1882E9" w14:textId="77777777" w:rsidR="00E35B0E" w:rsidRPr="009C7D09" w:rsidRDefault="00E35B0E" w:rsidP="00E35B0E">
      <w:pPr>
        <w:jc w:val="both"/>
        <w:rPr>
          <w:rFonts w:ascii="Arial" w:eastAsia="Calibri" w:hAnsi="Arial" w:cs="Arial"/>
          <w:sz w:val="22"/>
          <w:lang w:val="es-ES"/>
        </w:rPr>
      </w:pPr>
    </w:p>
    <w:p w14:paraId="70630779" w14:textId="1976614C"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5A4BC5" w:rsidRPr="009C7D09">
        <w:rPr>
          <w:rFonts w:ascii="Arial" w:eastAsia="Calibri" w:hAnsi="Arial" w:cs="Arial"/>
          <w:b/>
          <w:sz w:val="22"/>
          <w:lang w:val="es-ES"/>
        </w:rPr>
        <w:t xml:space="preserve">332 </w:t>
      </w:r>
      <w:r w:rsidRPr="009C7D09">
        <w:rPr>
          <w:rFonts w:ascii="Arial" w:eastAsia="Calibri" w:hAnsi="Arial" w:cs="Arial"/>
          <w:b/>
          <w:sz w:val="22"/>
          <w:lang w:val="es-ES"/>
        </w:rPr>
        <w:t>de 2021</w:t>
      </w:r>
    </w:p>
    <w:p w14:paraId="234727AD" w14:textId="77777777" w:rsidR="00BE1E33" w:rsidRPr="009C7D09"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C7D09" w14:paraId="2553E4F3" w14:textId="77777777" w:rsidTr="00000D82">
        <w:trPr>
          <w:trHeight w:val="1509"/>
        </w:trPr>
        <w:tc>
          <w:tcPr>
            <w:tcW w:w="2689" w:type="dxa"/>
            <w:hideMark/>
          </w:tcPr>
          <w:p w14:paraId="7BC9E971" w14:textId="264937DB" w:rsidR="00BE1E33" w:rsidRPr="009C7D09" w:rsidRDefault="00BE1E33" w:rsidP="004101BC">
            <w:pPr>
              <w:rPr>
                <w:rFonts w:ascii="Arial" w:eastAsia="Calibri" w:hAnsi="Arial" w:cs="Arial"/>
                <w:sz w:val="22"/>
                <w:lang w:val="es-ES_tradnl"/>
              </w:rPr>
            </w:pPr>
            <w:r w:rsidRPr="009C7D09">
              <w:rPr>
                <w:rFonts w:ascii="Arial" w:eastAsia="Calibri" w:hAnsi="Arial" w:cs="Arial"/>
                <w:b/>
                <w:sz w:val="22"/>
                <w:lang w:val="es-ES_tradnl"/>
              </w:rPr>
              <w:t>Temas:</w:t>
            </w:r>
            <w:r w:rsidR="000D6181">
              <w:rPr>
                <w:rFonts w:ascii="Arial" w:eastAsia="Calibri" w:hAnsi="Arial" w:cs="Arial"/>
                <w:sz w:val="22"/>
                <w:lang w:val="es-ES_tradnl"/>
              </w:rPr>
              <w:t xml:space="preserve">     </w:t>
            </w:r>
            <w:r w:rsidRPr="009C7D09">
              <w:rPr>
                <w:rFonts w:ascii="Arial" w:eastAsia="Calibri" w:hAnsi="Arial" w:cs="Arial"/>
                <w:sz w:val="22"/>
                <w:lang w:val="es-ES_tradnl"/>
              </w:rPr>
              <w:t xml:space="preserve"> </w:t>
            </w:r>
          </w:p>
          <w:p w14:paraId="0C0D8CD7" w14:textId="1478328B" w:rsidR="00BE1E33" w:rsidRPr="009C7D09" w:rsidRDefault="000D6181" w:rsidP="004101BC">
            <w:pPr>
              <w:rPr>
                <w:rFonts w:ascii="Arial" w:eastAsia="Calibri" w:hAnsi="Arial" w:cs="Arial"/>
                <w:sz w:val="22"/>
                <w:lang w:val="es-ES_tradnl"/>
              </w:rPr>
            </w:pPr>
            <w:r>
              <w:rPr>
                <w:rFonts w:ascii="Arial" w:eastAsia="Calibri" w:hAnsi="Arial" w:cs="Arial"/>
                <w:sz w:val="22"/>
                <w:lang w:val="es-ES_tradnl"/>
              </w:rPr>
              <w:t xml:space="preserve">             </w:t>
            </w:r>
            <w:r w:rsidR="00BE1E33" w:rsidRPr="009C7D09">
              <w:rPr>
                <w:rFonts w:ascii="Arial" w:eastAsia="Calibri" w:hAnsi="Arial" w:cs="Arial"/>
                <w:sz w:val="22"/>
                <w:lang w:val="es-ES_tradnl"/>
              </w:rPr>
              <w:t xml:space="preserve"> </w:t>
            </w:r>
          </w:p>
        </w:tc>
        <w:tc>
          <w:tcPr>
            <w:tcW w:w="6237" w:type="dxa"/>
            <w:hideMark/>
          </w:tcPr>
          <w:p w14:paraId="5DC19A90" w14:textId="419DB0E8" w:rsidR="00284ECF" w:rsidRPr="009C7D09" w:rsidRDefault="00EB0F1E" w:rsidP="00000D82">
            <w:pPr>
              <w:spacing w:line="276" w:lineRule="auto"/>
              <w:jc w:val="both"/>
              <w:rPr>
                <w:rFonts w:ascii="Arial" w:hAnsi="Arial" w:cs="Arial"/>
                <w:color w:val="000000" w:themeColor="text1"/>
                <w:sz w:val="20"/>
                <w:szCs w:val="20"/>
                <w:lang w:val="es-ES_tradnl"/>
              </w:rPr>
            </w:pPr>
            <w:r w:rsidRPr="00EB0F1E">
              <w:rPr>
                <w:rFonts w:ascii="Arial" w:hAnsi="Arial" w:cs="Arial"/>
                <w:color w:val="000000" w:themeColor="text1"/>
                <w:sz w:val="22"/>
                <w:lang w:val="es-ES"/>
              </w:rPr>
              <w:t>DOCUMENTOS TIPO – Interventoría de obra pública de infraestructura de transporte – Obligatoriedad</w:t>
            </w:r>
            <w:r w:rsidR="00284ECF" w:rsidRPr="009C7D09">
              <w:rPr>
                <w:rFonts w:ascii="Arial" w:eastAsia="Calibri" w:hAnsi="Arial" w:cs="Arial"/>
                <w:color w:val="000000" w:themeColor="text1"/>
                <w:sz w:val="22"/>
                <w:lang w:val="es-ES_tradnl"/>
              </w:rPr>
              <w:t xml:space="preserve"> / </w:t>
            </w:r>
            <w:r w:rsidRPr="00EB0F1E">
              <w:rPr>
                <w:rFonts w:ascii="Arial" w:eastAsia="Calibri" w:hAnsi="Arial" w:cs="Arial"/>
                <w:color w:val="000000" w:themeColor="text1"/>
                <w:sz w:val="22"/>
                <w:lang w:val="es-ES_tradnl"/>
              </w:rPr>
              <w:t xml:space="preserve">DOCUMENTOS TIPO – Interventoría de obra pública de infraestructura de transporte – </w:t>
            </w:r>
            <w:proofErr w:type="spellStart"/>
            <w:r w:rsidRPr="00EB0F1E">
              <w:rPr>
                <w:rFonts w:ascii="Arial" w:eastAsia="Calibri" w:hAnsi="Arial" w:cs="Arial"/>
                <w:color w:val="000000" w:themeColor="text1"/>
                <w:sz w:val="22"/>
                <w:lang w:val="es-ES_tradnl"/>
              </w:rPr>
              <w:t>Subsanabilidad</w:t>
            </w:r>
            <w:proofErr w:type="spellEnd"/>
            <w:r w:rsidRPr="00EB0F1E">
              <w:rPr>
                <w:rFonts w:ascii="Arial" w:eastAsia="Calibri" w:hAnsi="Arial" w:cs="Arial"/>
                <w:color w:val="000000" w:themeColor="text1"/>
                <w:sz w:val="22"/>
                <w:lang w:val="es-ES_tradnl"/>
              </w:rPr>
              <w:t xml:space="preserve"> – Experiencia mínima habilitante </w:t>
            </w:r>
            <w:r w:rsidR="00284ECF" w:rsidRPr="009C7D09">
              <w:rPr>
                <w:rFonts w:ascii="Arial" w:eastAsia="Calibri" w:hAnsi="Arial" w:cs="Arial"/>
                <w:color w:val="000000" w:themeColor="text1"/>
                <w:sz w:val="22"/>
                <w:lang w:val="es-ES_tradnl"/>
              </w:rPr>
              <w:t xml:space="preserve">/ </w:t>
            </w:r>
            <w:r w:rsidR="005105BE" w:rsidRPr="005105BE">
              <w:rPr>
                <w:rFonts w:ascii="Arial" w:eastAsia="Calibri" w:hAnsi="Arial" w:cs="Arial"/>
                <w:color w:val="000000" w:themeColor="text1"/>
                <w:sz w:val="22"/>
                <w:lang w:val="es-ES_tradnl"/>
              </w:rPr>
              <w:t>DOCUMENTOS TIPO – Interventoría de obra pública de infraestructura de transporte – Método de ponderación – Selección aleatoria – TRM</w:t>
            </w:r>
          </w:p>
          <w:p w14:paraId="0F35FDBD" w14:textId="3ECDADF6" w:rsidR="00BE1E33" w:rsidRPr="009C7D09" w:rsidRDefault="00BE1E33" w:rsidP="00837991">
            <w:pPr>
              <w:jc w:val="both"/>
              <w:rPr>
                <w:rFonts w:ascii="Arial" w:eastAsia="Calibri" w:hAnsi="Arial" w:cs="Arial"/>
                <w:sz w:val="22"/>
                <w:lang w:val="es-ES_tradnl"/>
              </w:rPr>
            </w:pPr>
          </w:p>
        </w:tc>
      </w:tr>
      <w:tr w:rsidR="00985885" w:rsidRPr="009C7D09" w14:paraId="20F2A3B6" w14:textId="77777777" w:rsidTr="00AC1BFA">
        <w:tc>
          <w:tcPr>
            <w:tcW w:w="2689" w:type="dxa"/>
          </w:tcPr>
          <w:p w14:paraId="1E82F4FA" w14:textId="2113866A" w:rsidR="00BE1E33" w:rsidRPr="009C7D09" w:rsidRDefault="00BE1E33" w:rsidP="00000D82">
            <w:pPr>
              <w:rPr>
                <w:rFonts w:ascii="Arial" w:eastAsia="Calibri" w:hAnsi="Arial" w:cs="Arial"/>
                <w:b/>
                <w:sz w:val="22"/>
                <w:lang w:val="es-ES_tradnl"/>
              </w:rPr>
            </w:pPr>
            <w:r w:rsidRPr="009C7D09">
              <w:rPr>
                <w:rFonts w:ascii="Arial" w:eastAsia="Calibri" w:hAnsi="Arial" w:cs="Arial"/>
                <w:b/>
                <w:sz w:val="22"/>
                <w:lang w:val="es-ES_tradnl"/>
              </w:rPr>
              <w:t>Radicación:</w:t>
            </w:r>
            <w:r w:rsidR="000D6181">
              <w:rPr>
                <w:rFonts w:ascii="Arial" w:eastAsia="Calibri" w:hAnsi="Arial" w:cs="Arial"/>
                <w:sz w:val="22"/>
                <w:lang w:val="es-ES_tradnl"/>
              </w:rPr>
              <w:t xml:space="preserve">               </w:t>
            </w:r>
          </w:p>
        </w:tc>
        <w:tc>
          <w:tcPr>
            <w:tcW w:w="6237" w:type="dxa"/>
          </w:tcPr>
          <w:p w14:paraId="20FCE53A" w14:textId="1EC913BB" w:rsidR="00BE1E33" w:rsidRPr="009C7D09" w:rsidRDefault="00BE1E33" w:rsidP="00000D82">
            <w:pPr>
              <w:jc w:val="both"/>
              <w:rPr>
                <w:rFonts w:ascii="Arial" w:eastAsia="Calibri" w:hAnsi="Arial" w:cs="Arial"/>
                <w:sz w:val="22"/>
                <w:lang w:val="es-ES_tradnl"/>
              </w:rPr>
            </w:pPr>
            <w:r w:rsidRPr="009C7D09">
              <w:rPr>
                <w:rFonts w:ascii="Arial" w:eastAsia="Calibri" w:hAnsi="Arial" w:cs="Arial"/>
                <w:sz w:val="22"/>
                <w:lang w:val="es-ES_tradnl"/>
              </w:rPr>
              <w:t xml:space="preserve">Respuesta a consulta </w:t>
            </w:r>
            <w:r w:rsidR="00CD0097" w:rsidRPr="009C7D09">
              <w:rPr>
                <w:rFonts w:ascii="Arial" w:eastAsia="Calibri" w:hAnsi="Arial" w:cs="Arial"/>
                <w:sz w:val="22"/>
                <w:lang w:val="es-ES_tradnl"/>
              </w:rPr>
              <w:t>P</w:t>
            </w:r>
            <w:r w:rsidR="005A4BC5" w:rsidRPr="009C7D09">
              <w:rPr>
                <w:rFonts w:ascii="Arial" w:hAnsi="Arial" w:cs="Arial"/>
                <w:sz w:val="22"/>
                <w:shd w:val="clear" w:color="auto" w:fill="FFFFFF"/>
              </w:rPr>
              <w:t>20210525004546</w:t>
            </w:r>
          </w:p>
        </w:tc>
      </w:tr>
      <w:tr w:rsidR="00770D7D" w:rsidRPr="009C7D09" w14:paraId="27C2F130" w14:textId="77777777" w:rsidTr="00AC1BFA">
        <w:tc>
          <w:tcPr>
            <w:tcW w:w="2689" w:type="dxa"/>
          </w:tcPr>
          <w:p w14:paraId="2CAB0965" w14:textId="36FBA27D" w:rsidR="000C2D3C" w:rsidRPr="009C7D09" w:rsidRDefault="000C2D3C" w:rsidP="004101BC">
            <w:pPr>
              <w:spacing w:before="120"/>
              <w:rPr>
                <w:rFonts w:ascii="Arial" w:eastAsia="Calibri" w:hAnsi="Arial" w:cs="Arial"/>
                <w:b/>
                <w:sz w:val="22"/>
                <w:lang w:val="es-ES_tradnl"/>
              </w:rPr>
            </w:pPr>
          </w:p>
        </w:tc>
        <w:tc>
          <w:tcPr>
            <w:tcW w:w="6237" w:type="dxa"/>
          </w:tcPr>
          <w:p w14:paraId="38942E59" w14:textId="77777777" w:rsidR="00770D7D" w:rsidRPr="009C7D09" w:rsidRDefault="00770D7D" w:rsidP="004101BC">
            <w:pPr>
              <w:spacing w:before="120"/>
              <w:jc w:val="both"/>
              <w:rPr>
                <w:rFonts w:ascii="Arial" w:eastAsia="Calibri" w:hAnsi="Arial" w:cs="Arial"/>
                <w:sz w:val="22"/>
                <w:lang w:val="es-ES_tradnl"/>
              </w:rPr>
            </w:pPr>
          </w:p>
        </w:tc>
      </w:tr>
    </w:tbl>
    <w:p w14:paraId="417ABDA8" w14:textId="0EA425B0" w:rsidR="00BE1E33" w:rsidRPr="009C7D09" w:rsidRDefault="00C570E4" w:rsidP="00BE1E33">
      <w:pPr>
        <w:rPr>
          <w:rFonts w:ascii="Arial" w:eastAsia="Calibri" w:hAnsi="Arial" w:cs="Arial"/>
          <w:sz w:val="22"/>
          <w:lang w:val="es-ES_tradnl"/>
        </w:rPr>
      </w:pPr>
      <w:r w:rsidRPr="009C7D09">
        <w:rPr>
          <w:rFonts w:ascii="Arial" w:eastAsia="Calibri" w:hAnsi="Arial" w:cs="Arial"/>
          <w:sz w:val="22"/>
          <w:lang w:val="es-ES_tradnl"/>
        </w:rPr>
        <w:t>Estimad</w:t>
      </w:r>
      <w:r w:rsidR="00200477" w:rsidRPr="009C7D09">
        <w:rPr>
          <w:rFonts w:ascii="Arial" w:eastAsia="Calibri" w:hAnsi="Arial" w:cs="Arial"/>
          <w:sz w:val="22"/>
          <w:lang w:val="es-ES_tradnl"/>
        </w:rPr>
        <w:t>o Señor Tovar</w:t>
      </w:r>
      <w:r w:rsidR="00BE1E33" w:rsidRPr="009C7D09">
        <w:rPr>
          <w:rFonts w:ascii="Arial" w:eastAsia="Calibri" w:hAnsi="Arial" w:cs="Arial"/>
          <w:sz w:val="22"/>
          <w:lang w:val="es-ES_tradnl"/>
        </w:rPr>
        <w:t>:</w:t>
      </w:r>
    </w:p>
    <w:p w14:paraId="1CCABABD" w14:textId="77777777" w:rsidR="00BE1E33" w:rsidRPr="009C7D09" w:rsidRDefault="00BE1E33" w:rsidP="00BE1E33">
      <w:pPr>
        <w:rPr>
          <w:rFonts w:ascii="Arial" w:eastAsia="Calibri" w:hAnsi="Arial" w:cs="Arial"/>
          <w:sz w:val="22"/>
          <w:lang w:val="es-ES_tradnl"/>
        </w:rPr>
      </w:pPr>
    </w:p>
    <w:p w14:paraId="286A9CEF" w14:textId="45B53618" w:rsidR="00BE1E33" w:rsidRPr="009C7D09" w:rsidRDefault="00BE1E33" w:rsidP="00BE1E33">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AC1BFA" w:rsidRPr="009C7D09">
        <w:rPr>
          <w:rFonts w:ascii="Arial" w:eastAsia="Calibri" w:hAnsi="Arial" w:cs="Arial"/>
          <w:sz w:val="22"/>
          <w:lang w:val="es-ES_tradnl"/>
        </w:rPr>
        <w:t>25</w:t>
      </w:r>
      <w:r w:rsidR="00C570E4" w:rsidRPr="009C7D09">
        <w:rPr>
          <w:rFonts w:ascii="Arial" w:eastAsia="Calibri" w:hAnsi="Arial" w:cs="Arial"/>
          <w:sz w:val="22"/>
          <w:lang w:val="es-ES_tradnl"/>
        </w:rPr>
        <w:t xml:space="preserve"> de mayo</w:t>
      </w:r>
      <w:r w:rsidR="00384629" w:rsidRPr="009C7D09">
        <w:rPr>
          <w:rFonts w:ascii="Arial" w:eastAsia="Calibri" w:hAnsi="Arial" w:cs="Arial"/>
          <w:sz w:val="22"/>
          <w:lang w:val="es-ES_tradnl"/>
        </w:rPr>
        <w:t xml:space="preserve"> de 2021</w:t>
      </w:r>
      <w:r w:rsidRPr="009C7D09">
        <w:rPr>
          <w:rFonts w:ascii="Arial" w:eastAsia="Calibri" w:hAnsi="Arial" w:cs="Arial"/>
          <w:sz w:val="22"/>
          <w:lang w:val="es-ES_tradnl"/>
        </w:rPr>
        <w:t xml:space="preserve">. </w:t>
      </w:r>
    </w:p>
    <w:p w14:paraId="1D13401D" w14:textId="77777777" w:rsidR="00BE1E33" w:rsidRPr="009C7D09" w:rsidRDefault="00BE1E33" w:rsidP="00BE1E33">
      <w:pPr>
        <w:spacing w:line="276" w:lineRule="auto"/>
        <w:jc w:val="both"/>
        <w:rPr>
          <w:rFonts w:ascii="Arial" w:eastAsia="Calibri" w:hAnsi="Arial" w:cs="Arial"/>
          <w:sz w:val="22"/>
          <w:lang w:val="es-ES_tradnl"/>
        </w:rPr>
      </w:pPr>
    </w:p>
    <w:p w14:paraId="068F505C" w14:textId="734AEC94" w:rsidR="00BE1E33" w:rsidRPr="009C7D09"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C7D09">
        <w:rPr>
          <w:rFonts w:ascii="Arial" w:eastAsia="Calibri" w:hAnsi="Arial" w:cs="Arial"/>
          <w:b/>
          <w:sz w:val="22"/>
          <w:lang w:val="es-ES_tradnl"/>
        </w:rPr>
        <w:t>Problema planteado</w:t>
      </w:r>
      <w:r w:rsidR="00BE1E33" w:rsidRPr="009C7D09">
        <w:rPr>
          <w:rFonts w:ascii="Arial" w:eastAsia="Calibri" w:hAnsi="Arial" w:cs="Arial"/>
          <w:b/>
          <w:sz w:val="22"/>
          <w:lang w:val="es-ES_tradnl"/>
        </w:rPr>
        <w:t xml:space="preserve"> </w:t>
      </w:r>
    </w:p>
    <w:p w14:paraId="430A9943" w14:textId="77777777" w:rsidR="00BE1E33" w:rsidRPr="009C7D09" w:rsidRDefault="00BE1E33" w:rsidP="00BE1E33">
      <w:pPr>
        <w:tabs>
          <w:tab w:val="left" w:pos="426"/>
        </w:tabs>
        <w:spacing w:line="276" w:lineRule="auto"/>
        <w:jc w:val="both"/>
        <w:rPr>
          <w:rFonts w:ascii="Arial" w:eastAsia="Calibri" w:hAnsi="Arial" w:cs="Arial"/>
          <w:b/>
          <w:sz w:val="22"/>
          <w:lang w:val="es-ES_tradnl"/>
        </w:rPr>
      </w:pPr>
    </w:p>
    <w:p w14:paraId="0DDFA58D" w14:textId="25ABE1BA" w:rsidR="003E09D5" w:rsidRPr="009C7D09" w:rsidRDefault="00BE7B06"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Pr>
          <w:rFonts w:ascii="Arial" w:eastAsia="Calibri" w:hAnsi="Arial" w:cs="Arial"/>
          <w:sz w:val="22"/>
          <w:szCs w:val="22"/>
          <w:lang w:val="es-ES"/>
        </w:rPr>
        <w:t>Usted realiza la siguiente consulta, con relación</w:t>
      </w:r>
      <w:r w:rsidR="003E09D5" w:rsidRPr="009C7D09">
        <w:rPr>
          <w:rFonts w:ascii="Arial" w:eastAsia="Calibri" w:hAnsi="Arial" w:cs="Arial"/>
          <w:sz w:val="22"/>
          <w:szCs w:val="22"/>
          <w:lang w:val="es-ES"/>
        </w:rPr>
        <w:t xml:space="preserve"> </w:t>
      </w:r>
      <w:r>
        <w:rPr>
          <w:rFonts w:ascii="Arial" w:hAnsi="Arial" w:cs="Arial"/>
          <w:color w:val="000000" w:themeColor="text1"/>
          <w:sz w:val="22"/>
          <w:lang w:val="es-ES_tradnl"/>
        </w:rPr>
        <w:t xml:space="preserve">a </w:t>
      </w:r>
      <w:r w:rsidR="00CC08BB" w:rsidRPr="009C7D09">
        <w:rPr>
          <w:rFonts w:ascii="Arial" w:hAnsi="Arial" w:cs="Arial"/>
          <w:color w:val="000000" w:themeColor="text1"/>
          <w:sz w:val="22"/>
          <w:lang w:val="es-ES_tradnl"/>
        </w:rPr>
        <w:t xml:space="preserve">los Documentos Tipo de Interventoría de Obra Pública de Infraestructura de </w:t>
      </w:r>
      <w:r w:rsidR="00C64CEB" w:rsidRPr="009C7D09">
        <w:rPr>
          <w:rFonts w:ascii="Arial" w:hAnsi="Arial" w:cs="Arial"/>
          <w:color w:val="000000" w:themeColor="text1"/>
          <w:sz w:val="22"/>
          <w:lang w:val="es-ES_tradnl"/>
        </w:rPr>
        <w:t>Transporte</w:t>
      </w:r>
      <w:r w:rsidR="003E09D5" w:rsidRPr="009C7D09">
        <w:rPr>
          <w:rFonts w:ascii="Arial" w:eastAsia="Calibri" w:hAnsi="Arial" w:cs="Arial"/>
          <w:sz w:val="22"/>
          <w:szCs w:val="22"/>
          <w:lang w:val="es-ES"/>
        </w:rPr>
        <w:t xml:space="preserve">: </w:t>
      </w:r>
    </w:p>
    <w:p w14:paraId="1350A7A7" w14:textId="77777777" w:rsidR="00AC1BFA" w:rsidRPr="009C7D09" w:rsidRDefault="00AC1BFA" w:rsidP="00000D82">
      <w:pPr>
        <w:pStyle w:val="NormalWeb"/>
        <w:shd w:val="clear" w:color="auto" w:fill="FFFFFF"/>
        <w:spacing w:before="0" w:beforeAutospacing="0" w:after="0" w:afterAutospacing="0"/>
        <w:jc w:val="both"/>
        <w:rPr>
          <w:rFonts w:ascii="Arial" w:eastAsia="Calibri" w:hAnsi="Arial" w:cs="Arial"/>
          <w:sz w:val="21"/>
          <w:szCs w:val="21"/>
          <w:lang w:val="es-ES"/>
        </w:rPr>
      </w:pPr>
    </w:p>
    <w:p w14:paraId="04FC4AF6" w14:textId="51983099" w:rsidR="00351846" w:rsidRPr="00CB2E46" w:rsidRDefault="00200477" w:rsidP="00000D82">
      <w:pPr>
        <w:spacing w:after="120"/>
        <w:ind w:left="709" w:right="709"/>
        <w:jc w:val="both"/>
        <w:rPr>
          <w:rFonts w:ascii="Arial" w:hAnsi="Arial" w:cs="Arial"/>
          <w:sz w:val="21"/>
          <w:szCs w:val="21"/>
        </w:rPr>
      </w:pPr>
      <w:bookmarkStart w:id="2" w:name="_Hlk64545847"/>
      <w:r w:rsidRPr="009C7D09">
        <w:rPr>
          <w:rFonts w:ascii="Arial" w:hAnsi="Arial" w:cs="Arial"/>
          <w:color w:val="000000" w:themeColor="text1"/>
          <w:sz w:val="21"/>
          <w:szCs w:val="21"/>
          <w:lang w:val="es-ES_tradnl"/>
        </w:rPr>
        <w:t>«¿</w:t>
      </w:r>
      <w:r w:rsidR="007E36EF" w:rsidRPr="00FB1DF4">
        <w:rPr>
          <w:rFonts w:ascii="Arial" w:hAnsi="Arial" w:cs="Arial"/>
          <w:sz w:val="21"/>
          <w:szCs w:val="21"/>
        </w:rPr>
        <w:t xml:space="preserve">[…] </w:t>
      </w:r>
      <w:r w:rsidRPr="00FB1DF4">
        <w:rPr>
          <w:rFonts w:ascii="Arial" w:hAnsi="Arial" w:cs="Arial"/>
          <w:sz w:val="21"/>
          <w:szCs w:val="21"/>
        </w:rPr>
        <w:t xml:space="preserve">solicito muy comedidamente se me aclare exactamente si </w:t>
      </w:r>
      <w:r w:rsidR="007E36EF" w:rsidRPr="00FB1DF4">
        <w:rPr>
          <w:rFonts w:ascii="Arial" w:hAnsi="Arial" w:cs="Arial"/>
          <w:sz w:val="21"/>
          <w:szCs w:val="21"/>
        </w:rPr>
        <w:t>[…]</w:t>
      </w:r>
      <w:r w:rsidRPr="00FB1DF4">
        <w:rPr>
          <w:rFonts w:ascii="Arial" w:hAnsi="Arial" w:cs="Arial"/>
          <w:sz w:val="21"/>
          <w:szCs w:val="21"/>
        </w:rPr>
        <w:t xml:space="preserve"> al ser la oferta económica susceptible de subsanación y al ser este valor utilizado para la asignación de puntaje; el oferente que deba subsanar la oferta económica no se debería tener para la asignación de puntaje en el acápite Experiencia del proponente puesto que el valor del presupuesto es necesario para la asignación de los valores de las variables de la fórmula de asignación de puntaje.</w:t>
      </w:r>
      <w:r w:rsidRPr="004966EF">
        <w:rPr>
          <w:rFonts w:ascii="Arial" w:hAnsi="Arial" w:cs="Arial"/>
          <w:sz w:val="21"/>
          <w:szCs w:val="21"/>
        </w:rPr>
        <w:t xml:space="preserve"> </w:t>
      </w:r>
    </w:p>
    <w:p w14:paraId="2EEDAAE5" w14:textId="56DD511D" w:rsidR="009803E2" w:rsidRPr="004966EF" w:rsidRDefault="00200477" w:rsidP="00000D82">
      <w:pPr>
        <w:ind w:left="709" w:right="709"/>
        <w:jc w:val="both"/>
        <w:rPr>
          <w:rFonts w:ascii="Arial" w:eastAsia="Times New Roman" w:hAnsi="Arial" w:cs="Arial"/>
          <w:b/>
          <w:bCs/>
          <w:color w:val="000000" w:themeColor="text1"/>
          <w:sz w:val="21"/>
          <w:szCs w:val="21"/>
          <w:lang w:eastAsia="es-ES_tradnl"/>
        </w:rPr>
      </w:pPr>
      <w:r w:rsidRPr="009C7D09">
        <w:rPr>
          <w:rFonts w:ascii="Arial" w:hAnsi="Arial" w:cs="Arial"/>
          <w:sz w:val="21"/>
          <w:szCs w:val="21"/>
        </w:rPr>
        <w:lastRenderedPageBreak/>
        <w:t xml:space="preserve">Lo anterior, puesto que considero </w:t>
      </w:r>
      <w:proofErr w:type="gramStart"/>
      <w:r w:rsidRPr="009C7D09">
        <w:rPr>
          <w:rFonts w:ascii="Arial" w:hAnsi="Arial" w:cs="Arial"/>
          <w:sz w:val="21"/>
          <w:szCs w:val="21"/>
        </w:rPr>
        <w:t>que</w:t>
      </w:r>
      <w:proofErr w:type="gramEnd"/>
      <w:r w:rsidRPr="009C7D09">
        <w:rPr>
          <w:rFonts w:ascii="Arial" w:hAnsi="Arial" w:cs="Arial"/>
          <w:sz w:val="21"/>
          <w:szCs w:val="21"/>
        </w:rPr>
        <w:t xml:space="preserve"> de permitirse la subsanación de la oferta económica, y tener plazo para dicha subsanación, hasta tres días hábiles después de la publicación del informe de evaluación se violaría el principio de igualdad con los oferentes que si alleguen dicha información al momento del cierre; puesto que al ser tomada la TRM, del segundo día hábil después del cierre para determinar el método de ponderación. Esto quiere decir que quienes subsanen tendrán el conocimiento de la TRM pudiendo de alguna manera elaborar sus propuestas económicas teniendo el conocimiento de esta</w:t>
      </w:r>
      <w:r w:rsidRPr="009C7D09">
        <w:rPr>
          <w:rFonts w:ascii="Arial" w:eastAsia="Times New Roman" w:hAnsi="Arial" w:cs="Arial"/>
          <w:color w:val="000000" w:themeColor="text1"/>
          <w:sz w:val="21"/>
          <w:szCs w:val="21"/>
          <w:lang w:eastAsia="es-ES_tradnl"/>
        </w:rPr>
        <w:t>»</w:t>
      </w:r>
      <w:bookmarkEnd w:id="2"/>
      <w:r w:rsidR="00BE7B06">
        <w:rPr>
          <w:rFonts w:ascii="Arial" w:eastAsia="Times New Roman" w:hAnsi="Arial" w:cs="Arial"/>
          <w:color w:val="000000" w:themeColor="text1"/>
          <w:sz w:val="21"/>
          <w:szCs w:val="21"/>
          <w:lang w:eastAsia="es-ES_tradnl"/>
        </w:rPr>
        <w:t>.</w:t>
      </w:r>
    </w:p>
    <w:p w14:paraId="2D4D72F3" w14:textId="77777777" w:rsidR="00BD66E3" w:rsidRPr="00CB2E46" w:rsidRDefault="00BD66E3" w:rsidP="00000D82">
      <w:pPr>
        <w:pStyle w:val="NormalWeb"/>
        <w:shd w:val="clear" w:color="auto" w:fill="FFFFFF"/>
        <w:spacing w:before="0" w:beforeAutospacing="0" w:after="0" w:afterAutospacing="0"/>
        <w:ind w:left="709" w:right="709"/>
        <w:jc w:val="both"/>
        <w:rPr>
          <w:rFonts w:ascii="Arial" w:eastAsia="Calibri" w:hAnsi="Arial" w:cs="Arial"/>
          <w:sz w:val="22"/>
          <w:szCs w:val="22"/>
          <w:lang w:val="es-ES"/>
        </w:rPr>
      </w:pPr>
    </w:p>
    <w:p w14:paraId="01D94D72" w14:textId="1158589C" w:rsidR="00BE1E33" w:rsidRPr="009C7D09"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9C7D09">
        <w:rPr>
          <w:rFonts w:ascii="Arial" w:eastAsia="Calibri" w:hAnsi="Arial" w:cs="Arial"/>
          <w:b/>
          <w:sz w:val="22"/>
          <w:lang w:val="es-ES_tradnl"/>
        </w:rPr>
        <w:t>Consideraciones</w:t>
      </w:r>
    </w:p>
    <w:p w14:paraId="054C0209" w14:textId="77777777" w:rsidR="000E09DC" w:rsidRPr="009C7D09" w:rsidRDefault="000E09DC" w:rsidP="00000D82">
      <w:pPr>
        <w:pStyle w:val="Prrafodelista"/>
        <w:tabs>
          <w:tab w:val="left" w:pos="426"/>
        </w:tabs>
        <w:ind w:left="284"/>
        <w:jc w:val="both"/>
        <w:rPr>
          <w:rFonts w:ascii="Arial" w:eastAsia="Calibri" w:hAnsi="Arial" w:cs="Arial"/>
          <w:b/>
          <w:sz w:val="22"/>
          <w:lang w:val="es-ES_tradnl"/>
        </w:rPr>
      </w:pPr>
    </w:p>
    <w:p w14:paraId="5931D1DD" w14:textId="05F22BF8" w:rsidR="00AE2D81" w:rsidRPr="009C7D09" w:rsidRDefault="00F87FD4" w:rsidP="00AE2D81">
      <w:pPr>
        <w:spacing w:after="120" w:line="276" w:lineRule="auto"/>
        <w:jc w:val="both"/>
        <w:rPr>
          <w:rFonts w:ascii="Arial" w:eastAsia="Calibri" w:hAnsi="Arial" w:cs="Arial"/>
          <w:color w:val="000000" w:themeColor="text1"/>
          <w:sz w:val="22"/>
          <w:lang w:val="es-ES_tradnl"/>
        </w:rPr>
      </w:pPr>
      <w:r w:rsidRPr="009C7D09">
        <w:rPr>
          <w:rFonts w:ascii="Arial" w:eastAsia="Times New Roman" w:hAnsi="Arial" w:cs="Arial"/>
          <w:sz w:val="22"/>
          <w:lang w:val="es-ES" w:eastAsia="es-ES_tradnl"/>
        </w:rPr>
        <w:t>Para absolver los interrogantes formulados, esta dependencia analizará</w:t>
      </w:r>
      <w:r w:rsidR="003E0079" w:rsidRPr="009C7D09">
        <w:rPr>
          <w:rFonts w:ascii="Arial" w:eastAsia="Times New Roman" w:hAnsi="Arial" w:cs="Arial"/>
          <w:sz w:val="22"/>
          <w:lang w:val="es-ES" w:eastAsia="es-ES_tradnl"/>
        </w:rPr>
        <w:t xml:space="preserve"> los siguientes temas:</w:t>
      </w:r>
      <w:r w:rsidR="002F2BF1" w:rsidRPr="009C7D09">
        <w:rPr>
          <w:rFonts w:ascii="Arial" w:eastAsia="Calibri" w:hAnsi="Arial" w:cs="Arial"/>
          <w:sz w:val="22"/>
          <w:lang w:val="es-ES_tradnl"/>
        </w:rPr>
        <w:t xml:space="preserve"> i) </w:t>
      </w:r>
      <w:r w:rsidR="00580BAF" w:rsidRPr="00580BAF">
        <w:rPr>
          <w:rFonts w:ascii="Arial" w:eastAsia="Calibri" w:hAnsi="Arial" w:cs="Arial"/>
          <w:color w:val="000000" w:themeColor="text1"/>
          <w:sz w:val="22"/>
          <w:lang w:val="es-ES_tradnl"/>
        </w:rPr>
        <w:t>Fundamento normativo de los documentos tipo</w:t>
      </w:r>
      <w:r w:rsidR="00580BAF">
        <w:rPr>
          <w:rFonts w:ascii="Arial" w:eastAsia="Calibri" w:hAnsi="Arial" w:cs="Arial"/>
          <w:color w:val="000000" w:themeColor="text1"/>
          <w:sz w:val="22"/>
          <w:lang w:val="es-ES_tradnl"/>
        </w:rPr>
        <w:t>,</w:t>
      </w:r>
      <w:r w:rsidR="00580BAF" w:rsidRPr="00580BAF">
        <w:rPr>
          <w:rFonts w:ascii="Arial" w:eastAsia="Calibri" w:hAnsi="Arial" w:cs="Arial"/>
          <w:color w:val="000000" w:themeColor="text1"/>
          <w:sz w:val="22"/>
          <w:lang w:val="es-ES_tradnl"/>
        </w:rPr>
        <w:t xml:space="preserve"> </w:t>
      </w:r>
      <w:r w:rsidR="00580BAF">
        <w:rPr>
          <w:rFonts w:ascii="Arial" w:eastAsia="Calibri" w:hAnsi="Arial" w:cs="Arial"/>
          <w:color w:val="000000" w:themeColor="text1"/>
          <w:sz w:val="22"/>
          <w:lang w:val="es-ES_tradnl"/>
        </w:rPr>
        <w:t>e</w:t>
      </w:r>
      <w:r w:rsidR="00580BAF" w:rsidRPr="00580BAF">
        <w:rPr>
          <w:rFonts w:ascii="Arial" w:eastAsia="Calibri" w:hAnsi="Arial" w:cs="Arial"/>
          <w:color w:val="000000" w:themeColor="text1"/>
          <w:sz w:val="22"/>
          <w:lang w:val="es-ES_tradnl"/>
        </w:rPr>
        <w:t>n particular el documento tipo para interventoría de obras de infraestructura de transporte</w:t>
      </w:r>
      <w:r w:rsidR="002F2BF1" w:rsidRPr="009C7D09">
        <w:rPr>
          <w:rFonts w:ascii="Arial" w:eastAsia="Calibri" w:hAnsi="Arial" w:cs="Arial"/>
          <w:sz w:val="22"/>
          <w:lang w:val="es-ES_tradnl"/>
        </w:rPr>
        <w:t xml:space="preserve">; </w:t>
      </w:r>
      <w:proofErr w:type="spellStart"/>
      <w:r w:rsidR="002F2BF1" w:rsidRPr="009C7D09">
        <w:rPr>
          <w:rFonts w:ascii="Arial" w:eastAsia="Calibri" w:hAnsi="Arial" w:cs="Arial"/>
          <w:sz w:val="22"/>
          <w:lang w:val="es-ES_tradnl"/>
        </w:rPr>
        <w:t>i</w:t>
      </w:r>
      <w:r w:rsidR="00284ECF" w:rsidRPr="009C7D09">
        <w:rPr>
          <w:rFonts w:ascii="Arial" w:eastAsia="Calibri" w:hAnsi="Arial" w:cs="Arial"/>
          <w:sz w:val="22"/>
          <w:lang w:val="es-ES_tradnl"/>
        </w:rPr>
        <w:t>i</w:t>
      </w:r>
      <w:proofErr w:type="spellEnd"/>
      <w:r w:rsidR="002F2BF1" w:rsidRPr="009C7D09">
        <w:rPr>
          <w:rFonts w:ascii="Arial" w:eastAsia="Calibri" w:hAnsi="Arial" w:cs="Arial"/>
          <w:sz w:val="22"/>
          <w:lang w:val="es-ES_tradnl"/>
        </w:rPr>
        <w:t xml:space="preserve">) </w:t>
      </w:r>
      <w:proofErr w:type="spellStart"/>
      <w:r w:rsidR="00580BAF">
        <w:rPr>
          <w:rFonts w:ascii="Arial" w:eastAsia="Calibri" w:hAnsi="Arial" w:cs="Arial"/>
          <w:sz w:val="22"/>
          <w:lang w:val="es-ES_tradnl"/>
        </w:rPr>
        <w:t>s</w:t>
      </w:r>
      <w:r w:rsidR="00580BAF" w:rsidRPr="00580BAF">
        <w:rPr>
          <w:rFonts w:ascii="Arial" w:eastAsia="Calibri" w:hAnsi="Arial" w:cs="Arial"/>
          <w:sz w:val="22"/>
          <w:lang w:val="es-ES_tradnl"/>
        </w:rPr>
        <w:t>ubsanabilidad</w:t>
      </w:r>
      <w:proofErr w:type="spellEnd"/>
      <w:r w:rsidR="00580BAF" w:rsidRPr="00580BAF">
        <w:rPr>
          <w:rFonts w:ascii="Arial" w:eastAsia="Calibri" w:hAnsi="Arial" w:cs="Arial"/>
          <w:sz w:val="22"/>
          <w:lang w:val="es-ES_tradnl"/>
        </w:rPr>
        <w:t xml:space="preserve"> de la experiencia mínima –habilitante– del proponente en los documentos tipo para procesos de selección de concurso de méritos, para contratar la interventoría de obras públicas de infraestructura de transporte</w:t>
      </w:r>
      <w:r w:rsidR="002F2BF1" w:rsidRPr="009C7D09">
        <w:rPr>
          <w:rFonts w:ascii="Arial" w:eastAsia="Calibri" w:hAnsi="Arial" w:cs="Arial"/>
          <w:sz w:val="22"/>
          <w:lang w:val="es-ES_tradnl"/>
        </w:rPr>
        <w:t xml:space="preserve">; y </w:t>
      </w:r>
      <w:r w:rsidR="00284ECF" w:rsidRPr="009C7D09">
        <w:rPr>
          <w:rFonts w:ascii="Arial" w:eastAsia="Calibri" w:hAnsi="Arial" w:cs="Arial"/>
          <w:sz w:val="22"/>
          <w:lang w:val="es-ES_tradnl"/>
        </w:rPr>
        <w:t>ii</w:t>
      </w:r>
      <w:r w:rsidR="002F2BF1" w:rsidRPr="009C7D09">
        <w:rPr>
          <w:rFonts w:ascii="Arial" w:eastAsia="Calibri" w:hAnsi="Arial" w:cs="Arial"/>
          <w:sz w:val="22"/>
          <w:lang w:val="es-ES_tradnl"/>
        </w:rPr>
        <w:t xml:space="preserve">i) </w:t>
      </w:r>
      <w:r w:rsidR="00580BAF">
        <w:rPr>
          <w:rFonts w:ascii="Arial" w:eastAsia="Calibri" w:hAnsi="Arial" w:cs="Arial"/>
          <w:sz w:val="22"/>
          <w:lang w:val="es-ES_tradnl"/>
        </w:rPr>
        <w:t>p</w:t>
      </w:r>
      <w:r w:rsidR="00580BAF" w:rsidRPr="00580BAF">
        <w:rPr>
          <w:rFonts w:ascii="Arial" w:eastAsia="Calibri" w:hAnsi="Arial" w:cs="Arial"/>
          <w:sz w:val="22"/>
          <w:lang w:val="es-ES_tradnl"/>
        </w:rPr>
        <w:t>onderación de factores de evaluación en los documentos tipo de  interventoría de obras pública de infraestructura de transporte</w:t>
      </w:r>
      <w:r w:rsidR="00580BAF">
        <w:rPr>
          <w:rFonts w:ascii="Arial" w:eastAsia="Calibri" w:hAnsi="Arial" w:cs="Arial"/>
          <w:sz w:val="22"/>
          <w:lang w:val="es-ES_tradnl"/>
        </w:rPr>
        <w:t>.</w:t>
      </w:r>
    </w:p>
    <w:p w14:paraId="17C70E03" w14:textId="368D87BC" w:rsidR="0050712C" w:rsidRPr="009C7D09" w:rsidRDefault="00F03734" w:rsidP="00AC09B0">
      <w:pPr>
        <w:spacing w:before="120" w:line="276" w:lineRule="auto"/>
        <w:ind w:firstLine="709"/>
        <w:jc w:val="both"/>
        <w:rPr>
          <w:rFonts w:ascii="Arial" w:eastAsia="Calibri" w:hAnsi="Arial" w:cs="Arial"/>
          <w:color w:val="000000" w:themeColor="text1"/>
          <w:sz w:val="22"/>
          <w:lang w:val="es-ES_tradnl"/>
        </w:rPr>
      </w:pPr>
      <w:r w:rsidRPr="009C7D09">
        <w:rPr>
          <w:rFonts w:ascii="Arial" w:eastAsia="Calibri" w:hAnsi="Arial" w:cs="Arial"/>
          <w:color w:val="000000" w:themeColor="text1"/>
          <w:sz w:val="22"/>
          <w:lang w:val="es-ES_tradnl"/>
        </w:rPr>
        <w:t>L</w:t>
      </w:r>
      <w:r w:rsidR="00AC1BFA" w:rsidRPr="009C7D09">
        <w:rPr>
          <w:rFonts w:ascii="Arial" w:eastAsia="Calibri" w:hAnsi="Arial" w:cs="Arial"/>
          <w:color w:val="000000" w:themeColor="text1"/>
          <w:sz w:val="22"/>
          <w:lang w:val="es-ES_tradnl"/>
        </w:rPr>
        <w:t>a Agencia Nacional de Contratación Pública – Colombia Compra Eficiente se pronunció</w:t>
      </w:r>
      <w:r w:rsidRPr="009C7D09">
        <w:rPr>
          <w:rFonts w:ascii="Arial" w:eastAsia="Calibri" w:hAnsi="Arial" w:cs="Arial"/>
          <w:color w:val="000000" w:themeColor="text1"/>
          <w:sz w:val="22"/>
          <w:lang w:val="es-ES_tradnl"/>
        </w:rPr>
        <w:t xml:space="preserve"> </w:t>
      </w:r>
      <w:r w:rsidR="00AC1BFA" w:rsidRPr="009C7D09">
        <w:rPr>
          <w:rFonts w:ascii="Arial" w:eastAsia="Calibri" w:hAnsi="Arial" w:cs="Arial"/>
          <w:color w:val="000000" w:themeColor="text1"/>
          <w:sz w:val="22"/>
          <w:lang w:val="es-ES_tradnl"/>
        </w:rPr>
        <w:t xml:space="preserve">sobre </w:t>
      </w:r>
      <w:r w:rsidR="003436AD" w:rsidRPr="009C7D09">
        <w:rPr>
          <w:rFonts w:ascii="Arial" w:eastAsia="Calibri" w:hAnsi="Arial" w:cs="Arial"/>
          <w:color w:val="000000" w:themeColor="text1"/>
          <w:sz w:val="22"/>
          <w:lang w:val="es-ES_tradnl"/>
        </w:rPr>
        <w:t>la regulación relacionada con la elección y aplicación de</w:t>
      </w:r>
      <w:r w:rsidR="009E1579" w:rsidRPr="009C7D09">
        <w:rPr>
          <w:rFonts w:ascii="Arial" w:eastAsia="Calibri" w:hAnsi="Arial" w:cs="Arial"/>
          <w:color w:val="000000" w:themeColor="text1"/>
          <w:sz w:val="22"/>
          <w:lang w:val="es-ES_tradnl"/>
        </w:rPr>
        <w:t>l método</w:t>
      </w:r>
      <w:r w:rsidR="00F14836">
        <w:rPr>
          <w:rFonts w:ascii="Arial" w:eastAsia="Calibri" w:hAnsi="Arial" w:cs="Arial"/>
          <w:color w:val="000000" w:themeColor="text1"/>
          <w:sz w:val="22"/>
          <w:lang w:val="es-ES_tradnl"/>
        </w:rPr>
        <w:t xml:space="preserve"> </w:t>
      </w:r>
      <w:r w:rsidR="009E1579" w:rsidRPr="009C7D09">
        <w:rPr>
          <w:rFonts w:ascii="Arial" w:eastAsia="Calibri" w:hAnsi="Arial" w:cs="Arial"/>
          <w:color w:val="000000" w:themeColor="text1"/>
          <w:sz w:val="22"/>
          <w:lang w:val="es-ES_tradnl"/>
        </w:rPr>
        <w:t>de ponderación</w:t>
      </w:r>
      <w:r w:rsidR="00F14836">
        <w:rPr>
          <w:rFonts w:ascii="Arial" w:eastAsia="Calibri" w:hAnsi="Arial" w:cs="Arial"/>
          <w:color w:val="000000" w:themeColor="text1"/>
          <w:sz w:val="22"/>
          <w:lang w:val="es-ES_tradnl"/>
        </w:rPr>
        <w:t xml:space="preserve"> de </w:t>
      </w:r>
      <w:r w:rsidR="00AB2096">
        <w:rPr>
          <w:rFonts w:ascii="Arial" w:eastAsia="Calibri" w:hAnsi="Arial" w:cs="Arial"/>
          <w:color w:val="000000" w:themeColor="text1"/>
          <w:sz w:val="22"/>
          <w:lang w:val="es-ES_tradnl"/>
        </w:rPr>
        <w:t>ofertas</w:t>
      </w:r>
      <w:r w:rsidR="009E1579" w:rsidRPr="009C7D09">
        <w:rPr>
          <w:rFonts w:ascii="Arial" w:eastAsia="Calibri" w:hAnsi="Arial" w:cs="Arial"/>
          <w:color w:val="000000" w:themeColor="text1"/>
          <w:sz w:val="22"/>
          <w:lang w:val="es-ES_tradnl"/>
        </w:rPr>
        <w:t xml:space="preserve"> en procesos contractuales regidos por documentos tipo </w:t>
      </w:r>
      <w:r w:rsidR="003436AD" w:rsidRPr="009C7D09">
        <w:rPr>
          <w:rFonts w:ascii="Arial" w:eastAsia="Calibri" w:hAnsi="Arial" w:cs="Arial"/>
          <w:color w:val="000000" w:themeColor="text1"/>
          <w:sz w:val="22"/>
          <w:lang w:val="es-ES_tradnl"/>
        </w:rPr>
        <w:t>mediante</w:t>
      </w:r>
      <w:r w:rsidR="00AC1BFA" w:rsidRPr="009C7D09">
        <w:rPr>
          <w:rFonts w:ascii="Arial" w:eastAsia="Calibri" w:hAnsi="Arial" w:cs="Arial"/>
          <w:color w:val="000000" w:themeColor="text1"/>
          <w:sz w:val="22"/>
          <w:lang w:val="es-ES_tradnl"/>
        </w:rPr>
        <w:t xml:space="preserve"> </w:t>
      </w:r>
      <w:r w:rsidR="00903BC9" w:rsidRPr="009C7D09">
        <w:rPr>
          <w:rFonts w:ascii="Arial" w:eastAsia="Calibri" w:hAnsi="Arial" w:cs="Arial"/>
          <w:color w:val="000000" w:themeColor="text1"/>
          <w:sz w:val="22"/>
          <w:lang w:val="es-ES_tradnl"/>
        </w:rPr>
        <w:t>los conceptos</w:t>
      </w:r>
      <w:r w:rsidR="00AC1BFA" w:rsidRPr="009C7D09">
        <w:rPr>
          <w:rFonts w:ascii="Arial" w:eastAsia="Calibri" w:hAnsi="Arial" w:cs="Arial"/>
          <w:color w:val="000000" w:themeColor="text1"/>
          <w:sz w:val="22"/>
          <w:lang w:val="es-ES_tradnl"/>
        </w:rPr>
        <w:t xml:space="preserve"> </w:t>
      </w:r>
      <w:r w:rsidR="00743527" w:rsidRPr="009C7D09">
        <w:rPr>
          <w:rFonts w:ascii="Arial" w:eastAsia="Calibri" w:hAnsi="Arial" w:cs="Arial"/>
          <w:color w:val="000000" w:themeColor="text1"/>
          <w:sz w:val="22"/>
          <w:lang w:val="es-ES_tradnl"/>
        </w:rPr>
        <w:t>C-193 del 6 de abril de 2020, C-</w:t>
      </w:r>
      <w:r w:rsidR="00A21B01" w:rsidRPr="009C7D09">
        <w:rPr>
          <w:rFonts w:ascii="Arial" w:eastAsia="Calibri" w:hAnsi="Arial" w:cs="Arial"/>
          <w:color w:val="000000" w:themeColor="text1"/>
          <w:sz w:val="22"/>
          <w:lang w:val="es-ES_tradnl"/>
        </w:rPr>
        <w:t>279 del 18 de mayo de 2020, C-349 del 23 de junio de 2020, C-431 del 9 de julio de 2020,</w:t>
      </w:r>
      <w:r w:rsidR="00841FE3" w:rsidRPr="009C7D09">
        <w:rPr>
          <w:rFonts w:ascii="Arial" w:eastAsia="Calibri" w:hAnsi="Arial" w:cs="Arial"/>
          <w:color w:val="000000" w:themeColor="text1"/>
          <w:sz w:val="22"/>
          <w:lang w:val="es-ES_tradnl"/>
        </w:rPr>
        <w:t xml:space="preserve"> </w:t>
      </w:r>
      <w:r w:rsidR="00A21B01" w:rsidRPr="009C7D09">
        <w:rPr>
          <w:rFonts w:ascii="Arial" w:eastAsia="Calibri" w:hAnsi="Arial" w:cs="Arial"/>
          <w:color w:val="000000" w:themeColor="text1"/>
          <w:sz w:val="22"/>
          <w:lang w:val="es-ES_tradnl"/>
        </w:rPr>
        <w:t xml:space="preserve">C-793 del 20 de enero de 2021, C-810 del 8 de febrero de 2021, </w:t>
      </w:r>
      <w:r w:rsidR="00AC1BFA" w:rsidRPr="009C7D09">
        <w:rPr>
          <w:rFonts w:ascii="Arial" w:eastAsia="Calibri" w:hAnsi="Arial" w:cs="Arial"/>
          <w:color w:val="000000" w:themeColor="text1"/>
          <w:sz w:val="22"/>
          <w:lang w:val="es-ES_tradnl"/>
        </w:rPr>
        <w:t>C-011 de</w:t>
      </w:r>
      <w:r w:rsidR="0044209F" w:rsidRPr="009C7D09">
        <w:rPr>
          <w:rFonts w:ascii="Arial" w:eastAsia="Calibri" w:hAnsi="Arial" w:cs="Arial"/>
          <w:color w:val="000000" w:themeColor="text1"/>
          <w:sz w:val="22"/>
          <w:lang w:val="es-ES_tradnl"/>
        </w:rPr>
        <w:t>l 1</w:t>
      </w:r>
      <w:r w:rsidR="007E36F1" w:rsidRPr="009C7D09">
        <w:rPr>
          <w:rFonts w:ascii="Arial" w:eastAsia="Calibri" w:hAnsi="Arial" w:cs="Arial"/>
          <w:color w:val="000000" w:themeColor="text1"/>
          <w:sz w:val="22"/>
          <w:lang w:val="es-ES_tradnl"/>
        </w:rPr>
        <w:t>7</w:t>
      </w:r>
      <w:r w:rsidR="0044209F" w:rsidRPr="009C7D09">
        <w:rPr>
          <w:rFonts w:ascii="Arial" w:eastAsia="Calibri" w:hAnsi="Arial" w:cs="Arial"/>
          <w:color w:val="000000" w:themeColor="text1"/>
          <w:sz w:val="22"/>
          <w:lang w:val="es-ES_tradnl"/>
        </w:rPr>
        <w:t xml:space="preserve"> de febrero de 2021</w:t>
      </w:r>
      <w:r w:rsidR="00794938" w:rsidRPr="009C7D09">
        <w:rPr>
          <w:rFonts w:ascii="Arial" w:eastAsia="Calibri" w:hAnsi="Arial" w:cs="Arial"/>
          <w:color w:val="000000" w:themeColor="text1"/>
          <w:sz w:val="22"/>
          <w:lang w:val="es-ES_tradnl"/>
        </w:rPr>
        <w:t>,</w:t>
      </w:r>
      <w:r w:rsidR="005A4BC5" w:rsidRPr="009C7D09">
        <w:rPr>
          <w:rFonts w:ascii="Arial" w:eastAsia="Calibri" w:hAnsi="Arial" w:cs="Arial"/>
          <w:color w:val="000000" w:themeColor="text1"/>
          <w:sz w:val="22"/>
          <w:lang w:val="es-ES_tradnl"/>
        </w:rPr>
        <w:t xml:space="preserve"> </w:t>
      </w:r>
      <w:r w:rsidR="0041050D" w:rsidRPr="009C7D09">
        <w:rPr>
          <w:rFonts w:ascii="Arial" w:eastAsia="Calibri" w:hAnsi="Arial" w:cs="Arial"/>
          <w:color w:val="000000" w:themeColor="text1"/>
          <w:sz w:val="22"/>
          <w:lang w:val="es-ES_tradnl"/>
        </w:rPr>
        <w:t>C-042 de</w:t>
      </w:r>
      <w:r w:rsidR="002B38B0" w:rsidRPr="009C7D09">
        <w:rPr>
          <w:rFonts w:ascii="Arial" w:eastAsia="Calibri" w:hAnsi="Arial" w:cs="Arial"/>
          <w:color w:val="000000" w:themeColor="text1"/>
          <w:sz w:val="22"/>
          <w:lang w:val="es-ES_tradnl"/>
        </w:rPr>
        <w:t xml:space="preserve">l 3 de marzo de </w:t>
      </w:r>
      <w:r w:rsidR="0041050D" w:rsidRPr="009C7D09">
        <w:rPr>
          <w:rFonts w:ascii="Arial" w:eastAsia="Calibri" w:hAnsi="Arial" w:cs="Arial"/>
          <w:color w:val="000000" w:themeColor="text1"/>
          <w:sz w:val="22"/>
          <w:lang w:val="es-ES_tradnl"/>
        </w:rPr>
        <w:t xml:space="preserve">2021 </w:t>
      </w:r>
      <w:r w:rsidR="005A4BC5" w:rsidRPr="009C7D09">
        <w:rPr>
          <w:rFonts w:ascii="Arial" w:eastAsia="Calibri" w:hAnsi="Arial" w:cs="Arial"/>
          <w:color w:val="000000" w:themeColor="text1"/>
          <w:sz w:val="22"/>
          <w:lang w:val="es-ES_tradnl"/>
        </w:rPr>
        <w:t xml:space="preserve">y C-174 </w:t>
      </w:r>
      <w:r w:rsidR="00E32006" w:rsidRPr="009C7D09">
        <w:rPr>
          <w:rFonts w:ascii="Arial" w:eastAsia="Calibri" w:hAnsi="Arial" w:cs="Arial"/>
          <w:color w:val="000000" w:themeColor="text1"/>
          <w:sz w:val="22"/>
          <w:lang w:val="es-ES_tradnl"/>
        </w:rPr>
        <w:t xml:space="preserve">del 26 de abril </w:t>
      </w:r>
      <w:r w:rsidR="005A4BC5" w:rsidRPr="009C7D09">
        <w:rPr>
          <w:rFonts w:ascii="Arial" w:eastAsia="Calibri" w:hAnsi="Arial" w:cs="Arial"/>
          <w:color w:val="000000" w:themeColor="text1"/>
          <w:sz w:val="22"/>
          <w:lang w:val="es-ES_tradnl"/>
        </w:rPr>
        <w:t>de 2021</w:t>
      </w:r>
      <w:r w:rsidR="00AC1BFA" w:rsidRPr="004966EF">
        <w:rPr>
          <w:rFonts w:ascii="Arial" w:eastAsia="Calibri" w:hAnsi="Arial" w:cs="Arial"/>
          <w:color w:val="000000" w:themeColor="text1"/>
          <w:sz w:val="22"/>
          <w:lang w:val="es-ES_tradnl"/>
        </w:rPr>
        <w:t xml:space="preserve">. </w:t>
      </w:r>
    </w:p>
    <w:p w14:paraId="073A42B4" w14:textId="600368D0" w:rsidR="00EC3201" w:rsidRPr="009C7D09" w:rsidRDefault="00921A85" w:rsidP="00AC09B0">
      <w:pPr>
        <w:spacing w:before="120" w:line="276" w:lineRule="auto"/>
        <w:ind w:firstLine="709"/>
        <w:jc w:val="both"/>
        <w:rPr>
          <w:rFonts w:ascii="Arial" w:eastAsia="Calibri" w:hAnsi="Arial" w:cs="Arial"/>
          <w:color w:val="000000" w:themeColor="text1"/>
          <w:sz w:val="22"/>
          <w:lang w:val="es-ES_tradnl"/>
        </w:rPr>
      </w:pPr>
      <w:r w:rsidRPr="009C7D09">
        <w:rPr>
          <w:rFonts w:ascii="Arial" w:eastAsia="Calibri" w:hAnsi="Arial" w:cs="Arial"/>
          <w:color w:val="000000" w:themeColor="text1"/>
          <w:sz w:val="22"/>
          <w:lang w:val="es-ES_tradnl"/>
        </w:rPr>
        <w:t xml:space="preserve">En cuanto a los criterios que deben ser tenidos en cuenta para </w:t>
      </w:r>
      <w:r w:rsidR="00523757" w:rsidRPr="009C7D09">
        <w:rPr>
          <w:rFonts w:ascii="Arial" w:eastAsia="Calibri" w:hAnsi="Arial" w:cs="Arial"/>
          <w:color w:val="000000" w:themeColor="text1"/>
          <w:sz w:val="22"/>
          <w:lang w:val="es-ES_tradnl"/>
        </w:rPr>
        <w:t xml:space="preserve">la </w:t>
      </w:r>
      <w:proofErr w:type="spellStart"/>
      <w:r w:rsidR="00523757" w:rsidRPr="009C7D09">
        <w:rPr>
          <w:rFonts w:ascii="Arial" w:eastAsia="Calibri" w:hAnsi="Arial" w:cs="Arial"/>
          <w:color w:val="000000" w:themeColor="text1"/>
          <w:sz w:val="22"/>
          <w:lang w:val="es-ES_tradnl"/>
        </w:rPr>
        <w:t>subsanabilidad</w:t>
      </w:r>
      <w:proofErr w:type="spellEnd"/>
      <w:r w:rsidR="00523757" w:rsidRPr="009C7D09">
        <w:rPr>
          <w:rFonts w:ascii="Arial" w:eastAsia="Calibri" w:hAnsi="Arial" w:cs="Arial"/>
          <w:color w:val="000000" w:themeColor="text1"/>
          <w:sz w:val="22"/>
          <w:lang w:val="es-ES_tradnl"/>
        </w:rPr>
        <w:t xml:space="preserve"> de las propuestas, esta Agencia unificó su criterio mediante </w:t>
      </w:r>
      <w:r w:rsidR="00B71C1B" w:rsidRPr="009C7D09">
        <w:rPr>
          <w:rFonts w:ascii="Arial" w:eastAsia="Calibri" w:hAnsi="Arial" w:cs="Arial"/>
          <w:color w:val="000000" w:themeColor="text1"/>
          <w:sz w:val="22"/>
          <w:lang w:val="es-ES_tradnl"/>
        </w:rPr>
        <w:t>el concepto C-060</w:t>
      </w:r>
      <w:r w:rsidR="00DD6DB9" w:rsidRPr="009C7D09">
        <w:rPr>
          <w:rFonts w:ascii="Arial" w:eastAsia="Calibri" w:hAnsi="Arial" w:cs="Arial"/>
          <w:color w:val="000000" w:themeColor="text1"/>
          <w:sz w:val="22"/>
          <w:lang w:val="es-ES_tradnl"/>
        </w:rPr>
        <w:t xml:space="preserve"> del 16 de enero de 2020, reiterado por los conceptos</w:t>
      </w:r>
      <w:r w:rsidR="0050712C" w:rsidRPr="009C7D09">
        <w:rPr>
          <w:rFonts w:ascii="Arial" w:eastAsia="Calibri" w:hAnsi="Arial" w:cs="Arial"/>
          <w:color w:val="000000" w:themeColor="text1"/>
          <w:sz w:val="22"/>
          <w:lang w:val="es-ES_tradnl"/>
        </w:rPr>
        <w:t xml:space="preserve"> C-218 del 2 de febrero de 2020, C-267 del 4 de mayo de 2020, C-283 del 4 de mayo de 2020, C-307 del 21 de mayo de 2020, C-365</w:t>
      </w:r>
      <w:r w:rsidR="000D6181">
        <w:rPr>
          <w:rFonts w:ascii="Arial" w:eastAsia="Calibri" w:hAnsi="Arial" w:cs="Arial"/>
          <w:color w:val="000000" w:themeColor="text1"/>
          <w:sz w:val="22"/>
          <w:lang w:val="es-ES_tradnl"/>
        </w:rPr>
        <w:t xml:space="preserve"> </w:t>
      </w:r>
      <w:r w:rsidR="0050712C" w:rsidRPr="009C7D09">
        <w:rPr>
          <w:rFonts w:ascii="Arial" w:eastAsia="Calibri" w:hAnsi="Arial" w:cs="Arial"/>
          <w:color w:val="000000" w:themeColor="text1"/>
          <w:sz w:val="22"/>
          <w:lang w:val="es-ES_tradnl"/>
        </w:rPr>
        <w:t>del 30 de junio de 2020, C-391 del 10 de agosto de 2020, C-675 del 25 de noviembre de 2020, C-683 del 25 de noviembre de 2020, C-730 del 14 de diciembre de 2020 y C-779 de 18 de enero de 2021</w:t>
      </w:r>
      <w:r w:rsidR="00DD6DB9" w:rsidRPr="009C7D09">
        <w:rPr>
          <w:rFonts w:ascii="Arial" w:eastAsia="Calibri" w:hAnsi="Arial" w:cs="Arial"/>
          <w:color w:val="000000" w:themeColor="text1"/>
          <w:sz w:val="22"/>
          <w:lang w:val="es-ES_tradnl"/>
        </w:rPr>
        <w:t>.</w:t>
      </w:r>
      <w:r w:rsidR="00580BAF">
        <w:rPr>
          <w:rFonts w:ascii="Arial" w:eastAsia="Calibri" w:hAnsi="Arial" w:cs="Arial"/>
          <w:color w:val="000000" w:themeColor="text1"/>
          <w:sz w:val="22"/>
          <w:lang w:val="es-ES_tradnl"/>
        </w:rPr>
        <w:t xml:space="preserve"> Particularmente, en el concepto C-055 del 10 de marzo de 2021 se estudió la aplicación de la regla de </w:t>
      </w:r>
      <w:proofErr w:type="spellStart"/>
      <w:r w:rsidR="00580BAF">
        <w:rPr>
          <w:rFonts w:ascii="Arial" w:eastAsia="Calibri" w:hAnsi="Arial" w:cs="Arial"/>
          <w:color w:val="000000" w:themeColor="text1"/>
          <w:sz w:val="22"/>
          <w:lang w:val="es-ES_tradnl"/>
        </w:rPr>
        <w:t>subsanabilidad</w:t>
      </w:r>
      <w:proofErr w:type="spellEnd"/>
      <w:r w:rsidR="00580BAF">
        <w:rPr>
          <w:rFonts w:ascii="Arial" w:eastAsia="Calibri" w:hAnsi="Arial" w:cs="Arial"/>
          <w:color w:val="000000" w:themeColor="text1"/>
          <w:sz w:val="22"/>
          <w:lang w:val="es-ES_tradnl"/>
        </w:rPr>
        <w:t xml:space="preserve"> en los procesos de concurso de méritos adelantados con documentos tipo de interventoría de obra pública de infraestructura de transporte.</w:t>
      </w:r>
      <w:r w:rsidR="00DD6DB9" w:rsidRPr="009C7D09">
        <w:rPr>
          <w:rFonts w:ascii="Arial" w:eastAsia="Calibri" w:hAnsi="Arial" w:cs="Arial"/>
          <w:color w:val="000000" w:themeColor="text1"/>
          <w:sz w:val="22"/>
          <w:lang w:val="es-ES_tradnl"/>
        </w:rPr>
        <w:t xml:space="preserve"> </w:t>
      </w:r>
      <w:r w:rsidR="00F03734" w:rsidRPr="009C7D09">
        <w:rPr>
          <w:rFonts w:ascii="Arial" w:eastAsia="Calibri" w:hAnsi="Arial" w:cs="Arial"/>
          <w:color w:val="000000" w:themeColor="text1"/>
          <w:sz w:val="22"/>
          <w:lang w:val="es-ES_tradnl"/>
        </w:rPr>
        <w:t>Las tesis expuestas en los anteriores conceptos se reiteran a continuación y se complementan en lo pertinente.</w:t>
      </w:r>
    </w:p>
    <w:p w14:paraId="6A5BB84B" w14:textId="77777777" w:rsidR="00580BAF" w:rsidRDefault="00580BAF" w:rsidP="002152AF">
      <w:pPr>
        <w:spacing w:line="276" w:lineRule="auto"/>
        <w:jc w:val="both"/>
        <w:rPr>
          <w:rFonts w:ascii="Arial" w:eastAsia="Arial" w:hAnsi="Arial" w:cs="Arial"/>
          <w:b/>
          <w:bCs/>
          <w:color w:val="000000"/>
          <w:sz w:val="22"/>
          <w:lang w:val="es-ES_tradnl"/>
        </w:rPr>
      </w:pPr>
    </w:p>
    <w:p w14:paraId="089B30F1" w14:textId="2D1A7087" w:rsidR="002152AF" w:rsidRPr="00B11B61" w:rsidRDefault="002152AF" w:rsidP="002152AF">
      <w:pPr>
        <w:spacing w:line="276" w:lineRule="auto"/>
        <w:jc w:val="both"/>
        <w:rPr>
          <w:rFonts w:ascii="Arial" w:eastAsia="Arial" w:hAnsi="Arial" w:cs="Arial"/>
          <w:b/>
          <w:bCs/>
          <w:color w:val="000000"/>
          <w:sz w:val="22"/>
          <w:lang w:val="es-ES_tradnl"/>
        </w:rPr>
      </w:pPr>
      <w:r w:rsidRPr="00B11B61">
        <w:rPr>
          <w:rFonts w:ascii="Arial" w:eastAsia="Arial" w:hAnsi="Arial" w:cs="Arial"/>
          <w:b/>
          <w:bCs/>
          <w:color w:val="000000"/>
          <w:sz w:val="22"/>
          <w:lang w:val="es-ES_tradnl"/>
        </w:rPr>
        <w:t>2.1. Fundamento normativo de los documentos tipo. En particular el documento tipo para interventoría de obras de infraestructura de transporte</w:t>
      </w:r>
    </w:p>
    <w:p w14:paraId="457EAA7F" w14:textId="77777777" w:rsidR="00580BAF" w:rsidRDefault="00580BAF" w:rsidP="00000D82">
      <w:pPr>
        <w:jc w:val="both"/>
        <w:rPr>
          <w:rFonts w:ascii="Arial" w:eastAsia="Calibri" w:hAnsi="Arial" w:cs="Arial"/>
          <w:color w:val="000000"/>
          <w:sz w:val="22"/>
          <w:lang w:val="es-ES_tradnl"/>
        </w:rPr>
      </w:pPr>
    </w:p>
    <w:p w14:paraId="61A4FDDB" w14:textId="3CF95D57" w:rsidR="002152AF" w:rsidRPr="00B11B61" w:rsidRDefault="002152AF" w:rsidP="002152AF">
      <w:pPr>
        <w:spacing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lastRenderedPageBreak/>
        <w:t>La adopción de los documentos tipo obligatorios en el ordenamiento jurídico colombiano se incluyó por primera vez en el parágrafo 3 del artículo 2 de la Ley 1150 de 2007</w:t>
      </w:r>
      <w:r w:rsidRPr="00B11B61">
        <w:rPr>
          <w:rStyle w:val="Refdenotaalpie"/>
          <w:rFonts w:ascii="Arial" w:eastAsia="Calibri" w:hAnsi="Arial" w:cs="Arial"/>
          <w:color w:val="000000"/>
          <w:sz w:val="22"/>
          <w:lang w:val="es-ES_tradnl"/>
        </w:rPr>
        <w:footnoteReference w:id="2"/>
      </w:r>
      <w:r w:rsidRPr="00B11B61">
        <w:rPr>
          <w:rFonts w:ascii="Arial" w:eastAsia="Calibri"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11ABAB8E" w14:textId="5DE544A5" w:rsidR="002152AF" w:rsidRPr="00B11B61" w:rsidRDefault="002152AF" w:rsidP="002152AF">
      <w:pPr>
        <w:spacing w:line="276" w:lineRule="auto"/>
        <w:ind w:firstLine="708"/>
        <w:jc w:val="both"/>
        <w:rPr>
          <w:rFonts w:ascii="Arial" w:eastAsia="Calibri" w:hAnsi="Arial" w:cs="Arial"/>
          <w:color w:val="000000"/>
          <w:sz w:val="22"/>
          <w:lang w:val="es-ES_tradnl"/>
        </w:rPr>
      </w:pPr>
      <w:r w:rsidRPr="00B11B61">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w:t>
      </w:r>
      <w:r w:rsidR="007535D3">
        <w:rPr>
          <w:rFonts w:ascii="Arial" w:eastAsia="Calibri" w:hAnsi="Arial" w:cs="Arial"/>
          <w:color w:val="000000"/>
          <w:sz w:val="22"/>
          <w:lang w:val="es-ES_tradnl"/>
        </w:rPr>
        <w:t>Es importante señalar que</w:t>
      </w:r>
      <w:r w:rsidRPr="00B11B61">
        <w:rPr>
          <w:rFonts w:ascii="Arial" w:eastAsia="Calibri" w:hAnsi="Arial" w:cs="Arial"/>
          <w:color w:val="000000"/>
          <w:sz w:val="22"/>
          <w:lang w:val="es-ES_tradnl"/>
        </w:rPr>
        <w:t xml:space="preserve"> en virtud de la Ley 1882 de 2018 se expidieron varios documentos tipo para el sector de infraestructura de transporte y, por tanto, es importante explicar el proce</w:t>
      </w:r>
      <w:r w:rsidR="004E0FC6">
        <w:rPr>
          <w:rFonts w:ascii="Arial" w:eastAsia="Calibri" w:hAnsi="Arial" w:cs="Arial"/>
          <w:color w:val="000000"/>
          <w:sz w:val="22"/>
          <w:lang w:val="es-ES_tradnl"/>
        </w:rPr>
        <w:t>dimiento</w:t>
      </w:r>
      <w:r w:rsidRPr="00B11B61">
        <w:rPr>
          <w:rFonts w:ascii="Arial" w:eastAsia="Calibri" w:hAnsi="Arial" w:cs="Arial"/>
          <w:color w:val="000000"/>
          <w:sz w:val="22"/>
          <w:lang w:val="es-ES_tradnl"/>
        </w:rPr>
        <w:t xml:space="preserve"> previsto en dicho cuerpo normativo. </w:t>
      </w:r>
    </w:p>
    <w:p w14:paraId="01E116C5" w14:textId="77777777" w:rsidR="002152AF" w:rsidRPr="00B11B61" w:rsidRDefault="002152AF" w:rsidP="002152AF">
      <w:pPr>
        <w:spacing w:before="120" w:after="120" w:line="276" w:lineRule="auto"/>
        <w:ind w:firstLine="708"/>
        <w:jc w:val="both"/>
        <w:rPr>
          <w:rFonts w:ascii="Arial" w:eastAsia="Calibri" w:hAnsi="Arial" w:cs="Arial"/>
          <w:color w:val="000000"/>
          <w:sz w:val="22"/>
          <w:lang w:val="es-ES_tradnl"/>
        </w:rPr>
      </w:pPr>
      <w:r w:rsidRPr="00B11B61">
        <w:rPr>
          <w:rFonts w:ascii="Arial" w:eastAsia="Calibri"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B11B61">
        <w:rPr>
          <w:rStyle w:val="Refdenotaalpie"/>
          <w:rFonts w:ascii="Arial" w:eastAsia="Calibri" w:hAnsi="Arial" w:cs="Arial"/>
          <w:color w:val="000000"/>
          <w:sz w:val="22"/>
          <w:lang w:val="es-ES_tradnl"/>
        </w:rPr>
        <w:footnoteReference w:id="3"/>
      </w:r>
      <w:r w:rsidRPr="00B11B61">
        <w:rPr>
          <w:rFonts w:ascii="Arial" w:eastAsia="Calibri" w:hAnsi="Arial" w:cs="Arial"/>
          <w:color w:val="000000"/>
          <w:sz w:val="22"/>
          <w:lang w:val="es-ES_tradnl"/>
        </w:rPr>
        <w:t>.</w:t>
      </w:r>
    </w:p>
    <w:p w14:paraId="33332F2D" w14:textId="77777777" w:rsidR="002152AF" w:rsidRPr="00B11B61" w:rsidRDefault="002152AF" w:rsidP="002152AF">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w:t>
      </w:r>
      <w:r w:rsidRPr="00B11B61">
        <w:rPr>
          <w:rFonts w:ascii="Arial" w:eastAsia="Calibri" w:hAnsi="Arial" w:cs="Arial"/>
          <w:color w:val="000000"/>
          <w:sz w:val="22"/>
          <w:lang w:val="es-ES_tradnl"/>
        </w:rPr>
        <w:lastRenderedPageBreak/>
        <w:t xml:space="preserve">mismos, teniendo en cuenta la naturaleza y cuantía de los contratos. Finalmente, para estos efectos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DA5A040" w14:textId="57B464D9" w:rsidR="002152AF" w:rsidRPr="00B11B61" w:rsidRDefault="002152AF" w:rsidP="002152AF">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De la norma descrita se desprendía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w:t>
      </w:r>
      <w:r w:rsidR="001B3CAF">
        <w:rPr>
          <w:rFonts w:ascii="Arial" w:eastAsia="Calibri" w:hAnsi="Arial" w:cs="Arial"/>
          <w:color w:val="000000"/>
          <w:sz w:val="22"/>
          <w:lang w:val="es-ES_tradnl"/>
        </w:rPr>
        <w:t xml:space="preserve">y </w:t>
      </w:r>
      <w:r w:rsidRPr="00B11B61">
        <w:rPr>
          <w:rFonts w:ascii="Arial" w:eastAsia="Calibri" w:hAnsi="Arial" w:cs="Arial"/>
          <w:color w:val="000000"/>
          <w:sz w:val="22"/>
          <w:lang w:val="es-ES_tradnl"/>
        </w:rPr>
        <w:t xml:space="preserve">por último, vi) los documentos tipo serían adoptados por categorías de acuerdo con la cuantía de la contratación. </w:t>
      </w:r>
    </w:p>
    <w:p w14:paraId="66018BFE" w14:textId="77777777" w:rsidR="002152AF" w:rsidRPr="00B11B61" w:rsidRDefault="002152AF" w:rsidP="002152AF">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B11B61">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B11B61">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B11B61">
        <w:rPr>
          <w:rStyle w:val="Refdenotaalpie"/>
          <w:rFonts w:ascii="Arial" w:eastAsia="Calibri" w:hAnsi="Arial" w:cs="Arial"/>
          <w:color w:val="000000"/>
          <w:sz w:val="22"/>
          <w:lang w:val="es-ES_tradnl"/>
        </w:rPr>
        <w:footnoteReference w:id="4"/>
      </w:r>
      <w:r w:rsidRPr="00B11B61">
        <w:rPr>
          <w:rFonts w:ascii="Arial" w:eastAsia="Calibri" w:hAnsi="Arial" w:cs="Arial"/>
          <w:color w:val="000000"/>
          <w:sz w:val="22"/>
          <w:lang w:val="es-ES_tradnl"/>
        </w:rPr>
        <w:t>.</w:t>
      </w:r>
    </w:p>
    <w:p w14:paraId="646479D2" w14:textId="77777777" w:rsidR="002152AF" w:rsidRPr="00B11B61" w:rsidRDefault="002152AF" w:rsidP="002152AF">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esta regulación al gobierno nacional. Ahora, dicha autonomía se materializa cuando las entidades territoriales deciden iniciar un proceso de convocatoria para satisfacer sus </w:t>
      </w:r>
      <w:r w:rsidRPr="00B11B61">
        <w:rPr>
          <w:rFonts w:ascii="Arial" w:eastAsia="Calibri" w:hAnsi="Arial" w:cs="Arial"/>
          <w:color w:val="000000"/>
          <w:sz w:val="22"/>
          <w:lang w:val="es-ES_tradnl"/>
        </w:rPr>
        <w:lastRenderedPageBreak/>
        <w:t>necesidades para la adquisición de un bien, obra o servicio, y además se incluyen en la minuta del contrato las condiciones particulares del negocio jurídico a celebrar.</w:t>
      </w:r>
    </w:p>
    <w:p w14:paraId="7DA2525D" w14:textId="77777777" w:rsidR="002152AF" w:rsidRPr="00B11B61" w:rsidRDefault="002152AF" w:rsidP="002152AF">
      <w:pPr>
        <w:spacing w:before="120" w:after="120" w:line="276" w:lineRule="auto"/>
        <w:jc w:val="both"/>
        <w:rPr>
          <w:rFonts w:ascii="Arial" w:eastAsia="Calibri" w:hAnsi="Arial" w:cs="Arial"/>
          <w:sz w:val="22"/>
          <w:lang w:val="es-ES_tradnl"/>
        </w:rPr>
      </w:pPr>
      <w:r w:rsidRPr="00B11B61">
        <w:rPr>
          <w:rFonts w:ascii="Arial" w:eastAsia="Calibri" w:hAnsi="Arial" w:cs="Arial"/>
          <w:color w:val="000000"/>
          <w:sz w:val="22"/>
          <w:lang w:val="es-ES_tradnl"/>
        </w:rPr>
        <w:tab/>
        <w:t xml:space="preserve">Explicado el proceso para adoptar los documentos tipo en virtud de la Ley 1882 de 2018 y estudiada su constitucionalidad, de acuerdo con el pronunciamiento de la Corte Constitucional, a </w:t>
      </w:r>
      <w:proofErr w:type="gramStart"/>
      <w:r w:rsidRPr="00B11B61">
        <w:rPr>
          <w:rFonts w:ascii="Arial" w:eastAsia="Calibri" w:hAnsi="Arial" w:cs="Arial"/>
          <w:color w:val="000000"/>
          <w:sz w:val="22"/>
          <w:lang w:val="es-ES_tradnl"/>
        </w:rPr>
        <w:t>continuación</w:t>
      </w:r>
      <w:proofErr w:type="gramEnd"/>
      <w:r w:rsidRPr="00B11B61">
        <w:rPr>
          <w:rFonts w:ascii="Arial" w:eastAsia="Calibri" w:hAnsi="Arial" w:cs="Arial"/>
          <w:color w:val="000000"/>
          <w:sz w:val="22"/>
          <w:lang w:val="es-ES_tradnl"/>
        </w:rPr>
        <w:t xml:space="preserve"> se identificarán los documentos tipo adoptados por el gobierno nacional en virtud de esta ley. </w:t>
      </w:r>
      <w:r w:rsidRPr="00B11B61">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573EBB43" w14:textId="07E34F73" w:rsidR="002152AF" w:rsidRPr="00B11B61" w:rsidRDefault="0010768C" w:rsidP="002152AF">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sz w:val="22"/>
          <w:lang w:val="es-ES_tradnl"/>
        </w:rPr>
        <w:t>Posteriormente,</w:t>
      </w:r>
      <w:r w:rsidR="002152AF" w:rsidRPr="00B11B61">
        <w:rPr>
          <w:rFonts w:ascii="Arial" w:eastAsia="Calibri" w:hAnsi="Arial"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002152AF" w:rsidRPr="00B11B61" w:rsidDel="00A434AB">
        <w:rPr>
          <w:rFonts w:ascii="Arial" w:eastAsia="Calibri" w:hAnsi="Arial" w:cs="Arial"/>
          <w:sz w:val="22"/>
          <w:lang w:val="es-ES_tradnl"/>
        </w:rPr>
        <w:t xml:space="preserve"> </w:t>
      </w:r>
      <w:r w:rsidR="002152AF" w:rsidRPr="00B11B61">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4" w:name="_Hlk37841850"/>
      <w:r w:rsidR="002152AF" w:rsidRPr="00B11B61">
        <w:rPr>
          <w:rFonts w:ascii="Arial" w:eastAsia="Calibri" w:hAnsi="Arial" w:cs="Arial"/>
          <w:sz w:val="22"/>
          <w:lang w:val="es-ES_tradnl"/>
        </w:rPr>
        <w:t xml:space="preserve">– Colombia Compra Eficiente, </w:t>
      </w:r>
      <w:bookmarkEnd w:id="4"/>
      <w:r w:rsidR="002152AF" w:rsidRPr="00B11B61">
        <w:rPr>
          <w:rFonts w:ascii="Arial" w:eastAsia="Calibri"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1CA2CE63" w14:textId="5BA0D93F" w:rsidR="002152AF" w:rsidRPr="00B11B61" w:rsidRDefault="002152AF" w:rsidP="002152AF">
      <w:pPr>
        <w:pStyle w:val="Normal11pt"/>
        <w:spacing w:before="120" w:line="276" w:lineRule="auto"/>
        <w:ind w:left="0" w:firstLine="709"/>
        <w:rPr>
          <w:rFonts w:eastAsia="Calibri"/>
          <w:color w:val="000000" w:themeColor="text1"/>
        </w:rPr>
      </w:pPr>
      <w:r w:rsidRPr="00B11B61">
        <w:rPr>
          <w:rFonts w:eastAsia="Calibri"/>
          <w:color w:val="000000" w:themeColor="text1"/>
        </w:rPr>
        <w:t>Por otra parte</w:t>
      </w:r>
      <w:r w:rsidRPr="00B11B61">
        <w:rPr>
          <w:rFonts w:eastAsia="Calibri"/>
          <w:i/>
          <w:iCs/>
          <w:color w:val="000000" w:themeColor="text1"/>
        </w:rPr>
        <w:t>,</w:t>
      </w:r>
      <w:r w:rsidRPr="00B11B61">
        <w:rPr>
          <w:rFonts w:eastAsia="Calibri"/>
          <w:color w:val="000000" w:themeColor="text1"/>
        </w:rPr>
        <w:t xml:space="preserve"> debe tenerse en cuenta que la Ley 2022 de 2020 fue sancionada por el </w:t>
      </w:r>
      <w:proofErr w:type="gramStart"/>
      <w:r w:rsidRPr="00B11B61">
        <w:rPr>
          <w:rFonts w:eastAsia="Calibri"/>
          <w:color w:val="000000" w:themeColor="text1"/>
        </w:rPr>
        <w:t>Presidente</w:t>
      </w:r>
      <w:proofErr w:type="gramEnd"/>
      <w:r w:rsidRPr="00B11B61">
        <w:rPr>
          <w:rFonts w:eastAsia="Calibri"/>
          <w:color w:val="000000" w:themeColor="text1"/>
        </w:rPr>
        <w:t xml:space="preserve"> de la República el 22 de julio</w:t>
      </w:r>
      <w:r w:rsidR="00EB3544">
        <w:rPr>
          <w:rFonts w:eastAsia="Calibri"/>
          <w:color w:val="000000" w:themeColor="text1"/>
        </w:rPr>
        <w:t xml:space="preserve"> de ese año</w:t>
      </w:r>
      <w:r w:rsidRPr="00B11B61">
        <w:rPr>
          <w:rFonts w:eastAsia="Calibri"/>
          <w:color w:val="000000" w:themeColor="text1"/>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cual se actualizan los Documentos Tipo para los procesos de selección de licitación de obra pública de infraestructura de transporte y se deroga la Resolución 0045 de 2020». </w:t>
      </w:r>
    </w:p>
    <w:p w14:paraId="2CD465A9" w14:textId="77777777" w:rsidR="002152AF" w:rsidRPr="00B11B61" w:rsidRDefault="002152AF" w:rsidP="002152AF">
      <w:pPr>
        <w:pStyle w:val="Normal11pt"/>
        <w:spacing w:before="120" w:line="276" w:lineRule="auto"/>
        <w:ind w:left="0" w:firstLine="709"/>
        <w:rPr>
          <w:rFonts w:eastAsia="Calibri"/>
          <w:color w:val="000000" w:themeColor="text1"/>
        </w:rPr>
      </w:pPr>
      <w:r w:rsidRPr="00B11B61">
        <w:rPr>
          <w:rFonts w:eastAsia="Calibri"/>
          <w:color w:val="000000" w:themeColor="text1"/>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B11B61">
        <w:rPr>
          <w:rFonts w:eastAsia="Calibri"/>
          <w:color w:val="000000" w:themeColor="text1"/>
        </w:rPr>
        <w:t>entró en vigencia</w:t>
      </w:r>
      <w:proofErr w:type="gramEnd"/>
      <w:r w:rsidRPr="00B11B61">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w:t>
      </w:r>
      <w:r w:rsidRPr="00B11B61">
        <w:rPr>
          <w:rFonts w:eastAsia="Calibri"/>
          <w:color w:val="000000" w:themeColor="text1"/>
        </w:rPr>
        <w:lastRenderedPageBreak/>
        <w:t>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6B4CD8FC" w14:textId="44BB395A" w:rsidR="002152AF" w:rsidRPr="00B11B61" w:rsidRDefault="002152AF" w:rsidP="002152AF">
      <w:pPr>
        <w:pStyle w:val="Normal11pt"/>
        <w:spacing w:before="120" w:line="276" w:lineRule="auto"/>
        <w:ind w:left="0" w:firstLine="709"/>
        <w:rPr>
          <w:rFonts w:eastAsia="Calibri"/>
          <w:color w:val="000000" w:themeColor="text1"/>
        </w:rPr>
      </w:pPr>
      <w:r w:rsidRPr="00B11B61">
        <w:rPr>
          <w:rFonts w:eastAsia="Calibri"/>
          <w:color w:val="000000" w:themeColor="text1"/>
        </w:rPr>
        <w:t>Como se deriva de lo anterior, 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como se precisará a continuación, resulta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7E2D3E85" w14:textId="77777777" w:rsidR="002152AF" w:rsidRPr="00B11B61" w:rsidRDefault="002152AF" w:rsidP="002152AF">
      <w:pPr>
        <w:pStyle w:val="Normal11pt"/>
        <w:spacing w:line="276" w:lineRule="auto"/>
        <w:ind w:left="0" w:firstLine="709"/>
        <w:rPr>
          <w:rFonts w:eastAsia="Calibri"/>
          <w:color w:val="000000" w:themeColor="text1"/>
        </w:rPr>
      </w:pPr>
    </w:p>
    <w:p w14:paraId="28C461A3" w14:textId="77777777" w:rsidR="002152AF" w:rsidRPr="00B11B61" w:rsidRDefault="002152AF" w:rsidP="002152AF">
      <w:pPr>
        <w:pStyle w:val="Normal11pt"/>
        <w:ind w:left="709" w:right="709"/>
        <w:rPr>
          <w:rFonts w:eastAsia="Calibri"/>
          <w:color w:val="000000" w:themeColor="text1"/>
          <w:sz w:val="21"/>
          <w:szCs w:val="21"/>
        </w:rPr>
      </w:pPr>
      <w:r w:rsidRPr="00B11B61">
        <w:rPr>
          <w:rFonts w:eastAsia="Calibri"/>
          <w:color w:val="000000" w:themeColor="text1"/>
          <w:sz w:val="21"/>
          <w:szCs w:val="21"/>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10E284A8" w14:textId="77777777" w:rsidR="002152AF" w:rsidRPr="00B11B61" w:rsidRDefault="002152AF" w:rsidP="002152AF">
      <w:pPr>
        <w:pStyle w:val="Normal11pt"/>
        <w:spacing w:line="276" w:lineRule="auto"/>
        <w:ind w:left="0"/>
        <w:rPr>
          <w:rFonts w:eastAsia="Calibri"/>
          <w:color w:val="000000" w:themeColor="text1"/>
        </w:rPr>
      </w:pPr>
    </w:p>
    <w:p w14:paraId="5D07DDB9" w14:textId="77777777" w:rsidR="002152AF" w:rsidRPr="00B11B61" w:rsidRDefault="002152AF" w:rsidP="002152AF">
      <w:pPr>
        <w:pStyle w:val="Normal11pt"/>
        <w:spacing w:line="276" w:lineRule="auto"/>
        <w:ind w:left="0" w:firstLine="709"/>
        <w:rPr>
          <w:rFonts w:eastAsia="Calibri"/>
          <w:color w:val="000000" w:themeColor="text1"/>
        </w:rPr>
      </w:pPr>
      <w:r w:rsidRPr="00B11B61">
        <w:rPr>
          <w:rFonts w:eastAsia="Calibri"/>
          <w:color w:val="000000" w:themeColor="text1"/>
        </w:rPr>
        <w:t>En tal sentido, siempre que se vaya a contratar la interventoría de alguno de los proyectos señalados en la «Matriz 1 – Experiencia» y la modalidad de selección aplicable sea el concurso de méritos, las entidades estatales deben aplicar este documento tipo, acatando su contenido obligatorio, como se precisará en el siguiente acápite relacionado con la inalterabilidad de los documentos tipo.</w:t>
      </w:r>
    </w:p>
    <w:p w14:paraId="7D474DD8" w14:textId="77777777" w:rsidR="009C441E" w:rsidRDefault="009C441E" w:rsidP="002152AF">
      <w:pPr>
        <w:spacing w:line="276" w:lineRule="auto"/>
        <w:jc w:val="both"/>
        <w:rPr>
          <w:rFonts w:ascii="Arial" w:eastAsia="Calibri" w:hAnsi="Arial" w:cs="Arial"/>
          <w:b/>
          <w:bCs/>
          <w:color w:val="000000" w:themeColor="text1"/>
          <w:sz w:val="22"/>
          <w:lang w:val="es-ES_tradnl"/>
        </w:rPr>
      </w:pPr>
    </w:p>
    <w:p w14:paraId="129A990F" w14:textId="26DDDC1A" w:rsidR="002152AF" w:rsidRPr="00B11B61" w:rsidRDefault="002152AF" w:rsidP="002152AF">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bCs/>
          <w:color w:val="000000" w:themeColor="text1"/>
          <w:sz w:val="22"/>
          <w:lang w:val="es-ES_tradnl"/>
        </w:rPr>
        <w:t>2.</w:t>
      </w:r>
      <w:r w:rsidR="009C441E">
        <w:rPr>
          <w:rFonts w:ascii="Arial" w:eastAsia="Calibri" w:hAnsi="Arial" w:cs="Arial"/>
          <w:b/>
          <w:bCs/>
          <w:color w:val="000000" w:themeColor="text1"/>
          <w:sz w:val="22"/>
          <w:lang w:val="es-ES_tradnl"/>
        </w:rPr>
        <w:t>2</w:t>
      </w:r>
      <w:r w:rsidRPr="00B11B61">
        <w:rPr>
          <w:rFonts w:ascii="Arial" w:eastAsia="Calibri" w:hAnsi="Arial" w:cs="Arial"/>
          <w:b/>
          <w:bCs/>
          <w:color w:val="000000" w:themeColor="text1"/>
          <w:sz w:val="22"/>
          <w:lang w:val="es-ES_tradnl"/>
        </w:rPr>
        <w:t xml:space="preserve">. </w:t>
      </w:r>
      <w:proofErr w:type="spellStart"/>
      <w:r w:rsidRPr="00B11B61">
        <w:rPr>
          <w:rFonts w:ascii="Arial" w:eastAsia="Calibri" w:hAnsi="Arial" w:cs="Arial"/>
          <w:b/>
          <w:bCs/>
          <w:color w:val="000000" w:themeColor="text1"/>
          <w:sz w:val="22"/>
          <w:lang w:val="es-ES_tradnl"/>
        </w:rPr>
        <w:t>Subsanabilidad</w:t>
      </w:r>
      <w:proofErr w:type="spellEnd"/>
      <w:r w:rsidRPr="00B11B61">
        <w:rPr>
          <w:rFonts w:ascii="Arial" w:eastAsia="Calibri" w:hAnsi="Arial" w:cs="Arial"/>
          <w:b/>
          <w:bCs/>
          <w:color w:val="000000" w:themeColor="text1"/>
          <w:sz w:val="22"/>
          <w:lang w:val="es-ES_tradnl"/>
        </w:rPr>
        <w:t xml:space="preserve"> de la experiencia mínima –habilitante– del proponente en los documentos tipo para procesos de selección de concurso de méritos, para contratar la interventoría de obras públicas de infraestructura de transporte</w:t>
      </w:r>
    </w:p>
    <w:p w14:paraId="4FEE96FC" w14:textId="77777777" w:rsidR="002152AF" w:rsidRPr="00B11B61" w:rsidRDefault="002152AF" w:rsidP="00000D82">
      <w:pPr>
        <w:jc w:val="both"/>
        <w:rPr>
          <w:rFonts w:ascii="Arial" w:eastAsia="Calibri" w:hAnsi="Arial" w:cs="Arial"/>
          <w:b/>
          <w:bCs/>
          <w:color w:val="000000" w:themeColor="text1"/>
          <w:sz w:val="22"/>
          <w:lang w:val="es-ES_tradnl"/>
        </w:rPr>
      </w:pPr>
    </w:p>
    <w:p w14:paraId="0F2326C7" w14:textId="77777777" w:rsidR="002152AF" w:rsidRPr="00B11B61" w:rsidRDefault="002152AF" w:rsidP="002152AF">
      <w:pPr>
        <w:spacing w:after="120" w:line="276" w:lineRule="auto"/>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Esta Subdirección se ha pronunciado en diversas oportunidades acerca del alcance de la regla de la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contenida actualmente en el artículo 5 de la Ley 1150 de 2007. Al respecto, la postura que se reitera en el presente concepto es la siguiente: por regla general, i) la falta de entrega o ii) los defectos de los requisitos que no asignen puntaje son subsanables. La excepción se encuentra en los casos, previstos en la ley, que limitan la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es decir, en la prohibición de entregar la garantía de seriedad de la oferta que no fue aportada con la propuesta y de acreditar circunstancias ocurridas con </w:t>
      </w:r>
      <w:r w:rsidRPr="00B11B61">
        <w:rPr>
          <w:rFonts w:ascii="Arial" w:hAnsi="Arial" w:cs="Arial"/>
          <w:color w:val="000000" w:themeColor="text1"/>
          <w:sz w:val="22"/>
          <w:lang w:val="es-ES_tradnl"/>
        </w:rPr>
        <w:lastRenderedPageBreak/>
        <w:t xml:space="preserve">posterioridad al cierre del proceso. En tal sentido, tampoco es posible subsanar </w:t>
      </w:r>
      <w:r w:rsidRPr="00B11B61">
        <w:rPr>
          <w:rFonts w:ascii="Arial" w:eastAsia="Calibri" w:hAnsi="Arial" w:cs="Arial"/>
          <w:bCs/>
          <w:color w:val="000000" w:themeColor="text1"/>
          <w:sz w:val="21"/>
          <w:szCs w:val="21"/>
          <w:lang w:val="es-ES_tradnl"/>
        </w:rPr>
        <w:t>requisitos de la propuesta que afecten la asignación de puntaje.</w:t>
      </w:r>
    </w:p>
    <w:p w14:paraId="529362FA" w14:textId="77777777" w:rsidR="002152AF" w:rsidRPr="00B11B61" w:rsidRDefault="002152AF" w:rsidP="002152AF">
      <w:pPr>
        <w:spacing w:before="120" w:after="120" w:line="276" w:lineRule="auto"/>
        <w:ind w:firstLine="708"/>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En efecto, la Agencia Nacional de Contratación Pública – Colombia Compra Eficiente, en el Concepto CU–060 de 16 de enero de 2020, unificó su criterio en torno al alcance de la regla de la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contenida en el artículo 5 de la Ley 1150 de 2007. En dicho concepto se unificó la </w:t>
      </w:r>
      <w:r w:rsidRPr="00B11B61">
        <w:rPr>
          <w:rFonts w:ascii="Arial" w:eastAsia="Calibri" w:hAnsi="Arial" w:cs="Arial"/>
          <w:color w:val="000000" w:themeColor="text1"/>
          <w:sz w:val="22"/>
          <w:lang w:val="es-ES_tradnl"/>
        </w:rPr>
        <w:t>tesis expuesta en los conceptos con radicado No. 4201913000006471 del 28 de octubre de 2019, 4201912000006711 del 12 de noviembre de 2019 y 4201912000006496 del 15 de noviembre de 2019, la cual ha sido reiterada en varios conceptos expedidos con posterioridad al concepto de unificación</w:t>
      </w:r>
      <w:r w:rsidRPr="00B11B61">
        <w:rPr>
          <w:rStyle w:val="Refdenotaalpie"/>
          <w:rFonts w:ascii="Arial" w:eastAsia="Calibri" w:hAnsi="Arial" w:cs="Arial"/>
          <w:color w:val="000000" w:themeColor="text1"/>
          <w:sz w:val="22"/>
          <w:lang w:val="es-ES_tradnl"/>
        </w:rPr>
        <w:footnoteReference w:id="5"/>
      </w:r>
      <w:r w:rsidRPr="00B11B61">
        <w:rPr>
          <w:rFonts w:ascii="Arial" w:eastAsia="Calibri" w:hAnsi="Arial" w:cs="Arial"/>
          <w:color w:val="000000" w:themeColor="text1"/>
          <w:sz w:val="22"/>
        </w:rPr>
        <w:t>.</w:t>
      </w:r>
      <w:r w:rsidRPr="00B11B61">
        <w:rPr>
          <w:rFonts w:ascii="Arial" w:hAnsi="Arial" w:cs="Arial"/>
          <w:color w:val="000000" w:themeColor="text1"/>
          <w:sz w:val="22"/>
          <w:lang w:val="es-ES_tradnl"/>
        </w:rPr>
        <w:t xml:space="preserve"> De las tesis desarrolladas se tomarán algunas consideraciones para ilustrar el alcance de la regla de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w:t>
      </w:r>
    </w:p>
    <w:p w14:paraId="7B4903FB" w14:textId="77777777" w:rsidR="002152AF" w:rsidRPr="00B11B61" w:rsidRDefault="002152AF" w:rsidP="002152AF">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De esta manera, el régimen actual de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de ofertas está regulado en el parágrafo 1 del artículo 5 de la Ley 1150 de 2007, modificado por el artículo 5 de la Ley 1882 de 2018. La disposición vigente establece:</w:t>
      </w:r>
    </w:p>
    <w:p w14:paraId="3B2ABB5B" w14:textId="77777777" w:rsidR="002152AF" w:rsidRPr="00B11B61" w:rsidRDefault="002152AF" w:rsidP="002152AF">
      <w:pPr>
        <w:tabs>
          <w:tab w:val="left" w:pos="426"/>
        </w:tabs>
        <w:ind w:left="709" w:right="709"/>
        <w:jc w:val="both"/>
        <w:rPr>
          <w:rFonts w:ascii="Arial" w:eastAsia="Calibri" w:hAnsi="Arial" w:cs="Arial"/>
          <w:bCs/>
          <w:color w:val="000000" w:themeColor="text1"/>
          <w:sz w:val="21"/>
          <w:szCs w:val="21"/>
          <w:lang w:val="es-ES_tradnl"/>
        </w:rPr>
      </w:pPr>
    </w:p>
    <w:p w14:paraId="71625F9B" w14:textId="77777777" w:rsidR="002152AF" w:rsidRPr="00B11B61" w:rsidRDefault="002152AF" w:rsidP="002152AF">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Artículo 5°. De la selección objetiva. </w:t>
      </w:r>
    </w:p>
    <w:p w14:paraId="65FABD6F" w14:textId="77777777" w:rsidR="002152AF" w:rsidRPr="00B11B61" w:rsidRDefault="002152AF" w:rsidP="002152AF">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 ] </w:t>
      </w:r>
    </w:p>
    <w:p w14:paraId="5F423C8A" w14:textId="77777777" w:rsidR="002152AF" w:rsidRPr="00B11B61" w:rsidRDefault="002152AF" w:rsidP="002152AF">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B11B61">
        <w:rPr>
          <w:rFonts w:ascii="Arial" w:eastAsia="Calibri" w:hAnsi="Arial" w:cs="Arial"/>
          <w:bCs/>
          <w:color w:val="000000" w:themeColor="text1"/>
          <w:sz w:val="21"/>
          <w:szCs w:val="21"/>
          <w:lang w:val="es-ES_tradnl"/>
        </w:rPr>
        <w:t>puntaje,</w:t>
      </w:r>
      <w:proofErr w:type="gramEnd"/>
      <w:r w:rsidRPr="00B11B61">
        <w:rPr>
          <w:rFonts w:ascii="Arial" w:eastAsia="Calibri" w:hAnsi="Arial" w:cs="Arial"/>
          <w:bCs/>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0B196595" w14:textId="77777777" w:rsidR="002152AF" w:rsidRPr="00B11B61" w:rsidRDefault="002152AF" w:rsidP="002152AF">
      <w:pPr>
        <w:spacing w:line="276" w:lineRule="auto"/>
        <w:ind w:firstLine="709"/>
        <w:jc w:val="both"/>
        <w:rPr>
          <w:rFonts w:ascii="Arial" w:hAnsi="Arial" w:cs="Arial"/>
          <w:color w:val="000000" w:themeColor="text1"/>
          <w:sz w:val="22"/>
          <w:lang w:val="es-ES_tradnl"/>
        </w:rPr>
      </w:pPr>
    </w:p>
    <w:p w14:paraId="685ACABC" w14:textId="77777777" w:rsidR="002152AF" w:rsidRPr="00B11B61" w:rsidRDefault="002152AF" w:rsidP="002152AF">
      <w:pPr>
        <w:spacing w:after="120" w:line="276" w:lineRule="auto"/>
        <w:ind w:firstLine="709"/>
        <w:jc w:val="both"/>
        <w:rPr>
          <w:rFonts w:ascii="Arial" w:eastAsia="Calibri" w:hAnsi="Arial" w:cs="Arial"/>
          <w:bCs/>
          <w:color w:val="000000" w:themeColor="text1"/>
          <w:sz w:val="21"/>
          <w:szCs w:val="21"/>
          <w:lang w:val="es-ES_tradnl"/>
        </w:rPr>
      </w:pPr>
      <w:r w:rsidRPr="00B11B61">
        <w:rPr>
          <w:rFonts w:ascii="Arial" w:hAnsi="Arial" w:cs="Arial"/>
          <w:color w:val="000000" w:themeColor="text1"/>
          <w:sz w:val="22"/>
          <w:lang w:val="es-ES_tradnl"/>
        </w:rPr>
        <w:t xml:space="preserve">Esta norma, conservando la filosofía de las disposiciones anteriores que regulaban el régimen de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de ofertas, mantiene el criterio de la Ley 80 de 1993, relativo a que todo lo que no sea necesario para la comparación de propuestas no es título suficiente para su rechazo; y ii) mantiene el criterio aclaratorio de la Ley 1150 de 2007, según el cual todo lo que no afecte la asignación de puntaje puede subsanarse. Pese a que la disposición </w:t>
      </w:r>
      <w:r w:rsidRPr="00B11B61">
        <w:rPr>
          <w:rFonts w:ascii="Arial" w:hAnsi="Arial" w:cs="Arial"/>
          <w:color w:val="000000" w:themeColor="text1"/>
          <w:sz w:val="22"/>
          <w:lang w:val="es-ES_tradnl"/>
        </w:rPr>
        <w:lastRenderedPageBreak/>
        <w:t xml:space="preserve">tiene varios elementos adicionales relevantes, para efectos de la consulta, basta con destacar los elementos anteriores, particularmente, que la subsanación procede sobre </w:t>
      </w:r>
      <w:r w:rsidRPr="00B11B61">
        <w:rPr>
          <w:rFonts w:ascii="Arial" w:eastAsia="Calibri" w:hAnsi="Arial" w:cs="Arial"/>
          <w:bCs/>
          <w:color w:val="000000" w:themeColor="text1"/>
          <w:sz w:val="21"/>
          <w:szCs w:val="21"/>
          <w:lang w:val="es-ES_tradnl"/>
        </w:rPr>
        <w:t>todos aquellos requisitos de la propuesta que no afecten la asignación de puntaje.</w:t>
      </w:r>
    </w:p>
    <w:p w14:paraId="7E2084AE" w14:textId="47943E4F" w:rsidR="002152AF" w:rsidRPr="00B11B61" w:rsidRDefault="002152AF" w:rsidP="002152AF">
      <w:pPr>
        <w:spacing w:after="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Teniendo en cuenta lo anterior, debe destacarse, por otro lado, que de conformidad con el artículo 5 de la Ley 1150 de 2007, las condiciones de experiencia podrán exigirse en los procedimientos de selección como requisito habilitante. Por regla general, la experiencia no se podrá establecer como requisito de asignación de puntaje, constituyendo la selección de consultores uno de los casos excepcionales en que podrán utilizarse criterios de experiencia específica del oferente y del equipo de trabajo</w:t>
      </w:r>
      <w:r w:rsidR="009F384C">
        <w:rPr>
          <w:rFonts w:ascii="Arial" w:hAnsi="Arial" w:cs="Arial"/>
          <w:color w:val="000000" w:themeColor="text1"/>
          <w:sz w:val="22"/>
          <w:lang w:val="es-ES_tradnl"/>
        </w:rPr>
        <w:t xml:space="preserve"> como factores de calificación de las propuestas</w:t>
      </w:r>
      <w:r w:rsidRPr="00B11B61">
        <w:rPr>
          <w:rStyle w:val="Refdenotaalpie"/>
          <w:rFonts w:ascii="Arial" w:hAnsi="Arial" w:cs="Arial"/>
          <w:color w:val="000000" w:themeColor="text1"/>
          <w:sz w:val="22"/>
          <w:lang w:val="es-ES_tradnl"/>
        </w:rPr>
        <w:footnoteReference w:id="6"/>
      </w:r>
      <w:r w:rsidRPr="00B11B61">
        <w:rPr>
          <w:rFonts w:ascii="Arial" w:hAnsi="Arial" w:cs="Arial"/>
          <w:color w:val="000000" w:themeColor="text1"/>
          <w:sz w:val="22"/>
          <w:lang w:val="es-ES_tradnl"/>
        </w:rPr>
        <w:t>.</w:t>
      </w:r>
    </w:p>
    <w:p w14:paraId="408F071D" w14:textId="77777777" w:rsidR="002152AF" w:rsidRPr="00B11B61" w:rsidRDefault="002152AF" w:rsidP="002152AF">
      <w:pPr>
        <w:spacing w:line="276" w:lineRule="auto"/>
        <w:ind w:firstLine="709"/>
        <w:jc w:val="both"/>
        <w:rPr>
          <w:rFonts w:ascii="Arial" w:eastAsia="Calibri" w:hAnsi="Arial" w:cs="Arial"/>
          <w:bCs/>
          <w:color w:val="000000" w:themeColor="text1"/>
          <w:sz w:val="21"/>
          <w:szCs w:val="21"/>
          <w:lang w:val="es-ES_tradnl"/>
        </w:rPr>
      </w:pPr>
      <w:r w:rsidRPr="00B11B61">
        <w:rPr>
          <w:rFonts w:ascii="Arial" w:hAnsi="Arial" w:cs="Arial"/>
          <w:color w:val="000000" w:themeColor="text1"/>
          <w:sz w:val="22"/>
          <w:lang w:val="es-ES_tradnl"/>
        </w:rPr>
        <w:t>El caso excepcional indicado en la norma aplica a los documentos tipo analizados en este concepto, dirigidos a la celebración de contratos de consultoría, género dentro del cual se enmarcan los de interventoría</w:t>
      </w:r>
      <w:r w:rsidRPr="00B11B61">
        <w:rPr>
          <w:rStyle w:val="Refdenotaalpie"/>
          <w:rFonts w:ascii="Arial" w:hAnsi="Arial" w:cs="Arial"/>
          <w:color w:val="000000" w:themeColor="text1"/>
          <w:sz w:val="22"/>
          <w:lang w:val="es-ES_tradnl"/>
        </w:rPr>
        <w:footnoteReference w:id="7"/>
      </w:r>
      <w:r w:rsidRPr="00B11B61">
        <w:rPr>
          <w:rFonts w:ascii="Arial" w:hAnsi="Arial" w:cs="Arial"/>
          <w:color w:val="000000" w:themeColor="text1"/>
          <w:sz w:val="22"/>
          <w:lang w:val="es-ES_tradnl"/>
        </w:rPr>
        <w:t xml:space="preserve">. En este sentido, como se precisará, el enfoque adoptado en el documento tipo de interventoría consiste en permitir exclusivamente la subsanación de la experiencia mínima –habilitante–, toda vez </w:t>
      </w:r>
      <w:proofErr w:type="gramStart"/>
      <w:r w:rsidRPr="00B11B61">
        <w:rPr>
          <w:rFonts w:ascii="Arial" w:hAnsi="Arial" w:cs="Arial"/>
          <w:color w:val="000000" w:themeColor="text1"/>
          <w:sz w:val="22"/>
          <w:lang w:val="es-ES_tradnl"/>
        </w:rPr>
        <w:t>que</w:t>
      </w:r>
      <w:proofErr w:type="gramEnd"/>
      <w:r w:rsidRPr="00B11B61">
        <w:rPr>
          <w:rFonts w:ascii="Arial" w:hAnsi="Arial" w:cs="Arial"/>
          <w:color w:val="000000" w:themeColor="text1"/>
          <w:sz w:val="22"/>
          <w:lang w:val="es-ES_tradnl"/>
        </w:rPr>
        <w:t xml:space="preserve"> de conformidad con los fundamentos anteriores, no es posible subsanar los </w:t>
      </w:r>
      <w:r w:rsidRPr="00B11B61">
        <w:rPr>
          <w:rFonts w:ascii="Arial" w:eastAsia="Calibri" w:hAnsi="Arial" w:cs="Arial"/>
          <w:bCs/>
          <w:color w:val="000000" w:themeColor="text1"/>
          <w:sz w:val="21"/>
          <w:szCs w:val="21"/>
          <w:lang w:val="es-ES_tradnl"/>
        </w:rPr>
        <w:t>requisitos de la propuesta que afecten la asignación de puntaje. De esta manera, el «documento base» del documento tipo de interventoría establece en el numeral 3.8.1. lo siguiente:</w:t>
      </w:r>
    </w:p>
    <w:p w14:paraId="4A10BFC6" w14:textId="77777777" w:rsidR="002152AF" w:rsidRPr="00B11B61" w:rsidRDefault="002152AF" w:rsidP="002152AF">
      <w:pPr>
        <w:spacing w:line="276" w:lineRule="auto"/>
        <w:ind w:firstLine="709"/>
        <w:jc w:val="both"/>
        <w:rPr>
          <w:rFonts w:ascii="Arial" w:eastAsia="Calibri" w:hAnsi="Arial" w:cs="Arial"/>
          <w:bCs/>
          <w:color w:val="000000" w:themeColor="text1"/>
          <w:sz w:val="21"/>
          <w:szCs w:val="21"/>
          <w:lang w:val="es-ES_tradnl"/>
        </w:rPr>
      </w:pPr>
    </w:p>
    <w:p w14:paraId="7F99D968" w14:textId="77777777" w:rsidR="002152AF" w:rsidRPr="00B11B61" w:rsidRDefault="002152AF" w:rsidP="002152AF">
      <w:pPr>
        <w:tabs>
          <w:tab w:val="left" w:pos="426"/>
        </w:tabs>
        <w:spacing w:after="120"/>
        <w:ind w:left="709" w:right="709"/>
        <w:jc w:val="both"/>
        <w:rPr>
          <w:rFonts w:ascii="Arial" w:eastAsia="Calibri" w:hAnsi="Arial" w:cs="Arial"/>
          <w:bCs/>
          <w:color w:val="000000" w:themeColor="text1"/>
          <w:sz w:val="21"/>
          <w:szCs w:val="21"/>
          <w:lang w:val="es-ES_tradnl"/>
        </w:rPr>
      </w:pPr>
      <w:bookmarkStart w:id="5" w:name="_Toc58777511"/>
      <w:r w:rsidRPr="00B11B61">
        <w:rPr>
          <w:rFonts w:ascii="Arial" w:eastAsia="Calibri" w:hAnsi="Arial" w:cs="Arial"/>
          <w:bCs/>
          <w:color w:val="000000" w:themeColor="text1"/>
          <w:sz w:val="21"/>
          <w:szCs w:val="21"/>
          <w:lang w:val="es-ES_tradnl"/>
        </w:rPr>
        <w:t>3.8.1. EXIGENCIA MÍNIMA DE LA EXPERIENCIA DEL PROPONENTE</w:t>
      </w:r>
      <w:bookmarkEnd w:id="5"/>
    </w:p>
    <w:p w14:paraId="4C3659C0" w14:textId="77777777" w:rsidR="002152AF" w:rsidRPr="00B11B61" w:rsidRDefault="002152AF" w:rsidP="002152AF">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i/>
          <w:iCs/>
          <w:color w:val="000000" w:themeColor="text1"/>
          <w:sz w:val="21"/>
          <w:szCs w:val="21"/>
          <w:lang w:val="es-ES_tradnl"/>
        </w:rPr>
        <w:t>Para habilitarse en el procedimiento de selección, el proponente acreditará que la sumatoria de los contratos aportados como experiencia es mayor o igual al 100% respecto del valor total del presupuesto oficial establecido para el presente proceso de selección expresado en SMMLV</w:t>
      </w:r>
      <w:r w:rsidRPr="00B11B61">
        <w:rPr>
          <w:rFonts w:ascii="Arial" w:eastAsia="Calibri" w:hAnsi="Arial" w:cs="Arial"/>
          <w:bCs/>
          <w:color w:val="000000" w:themeColor="text1"/>
          <w:sz w:val="21"/>
          <w:szCs w:val="21"/>
          <w:lang w:val="es-ES_tradnl"/>
        </w:rPr>
        <w:t>. Estos contratos serán verificados en el RUP y en el Formato 3 – Experiencia, para los proponentes que no están obligados a estar inscritos en el RUP, cumpliendo con los requisitos de experiencia previstos en el numeral “10.1 Experiencia del proponente”.</w:t>
      </w:r>
    </w:p>
    <w:p w14:paraId="5C1DF50A" w14:textId="77777777" w:rsidR="002152AF" w:rsidRPr="00B11B61" w:rsidRDefault="002152AF" w:rsidP="002152AF">
      <w:pPr>
        <w:tabs>
          <w:tab w:val="left" w:pos="426"/>
        </w:tabs>
        <w:ind w:left="709" w:right="709"/>
        <w:jc w:val="both"/>
        <w:rPr>
          <w:rFonts w:ascii="Arial" w:eastAsia="Calibri" w:hAnsi="Arial" w:cs="Arial"/>
          <w:bCs/>
          <w:color w:val="000000" w:themeColor="text1"/>
          <w:sz w:val="21"/>
          <w:szCs w:val="21"/>
          <w:lang w:val="es-ES_tradnl"/>
        </w:rPr>
      </w:pPr>
      <w:proofErr w:type="gramStart"/>
      <w:r w:rsidRPr="00B11B61">
        <w:rPr>
          <w:rFonts w:ascii="Arial" w:eastAsia="Calibri" w:hAnsi="Arial" w:cs="Arial"/>
          <w:bCs/>
          <w:color w:val="000000" w:themeColor="text1"/>
          <w:sz w:val="21"/>
          <w:szCs w:val="21"/>
          <w:lang w:val="es-ES_tradnl"/>
        </w:rPr>
        <w:lastRenderedPageBreak/>
        <w:t>En caso que</w:t>
      </w:r>
      <w:proofErr w:type="gramEnd"/>
      <w:r w:rsidRPr="00B11B61">
        <w:rPr>
          <w:rFonts w:ascii="Arial" w:eastAsia="Calibri" w:hAnsi="Arial" w:cs="Arial"/>
          <w:bCs/>
          <w:color w:val="000000" w:themeColor="text1"/>
          <w:sz w:val="21"/>
          <w:szCs w:val="21"/>
          <w:lang w:val="es-ES_tradnl"/>
        </w:rPr>
        <w:t xml:space="preserve"> con los contratos aportados no se acredite este porcentaje mínimo, la entidad solicitará al proponente que subsane su oferta en los términos del numeral 1.6. Si el proponente subsana el requisito mínimo de experiencia, se habilitará en el proceso de contratación, pero no será objeto de puntuación en relación con este factor de evaluación, por lo que obtendrá cero (0) puntos por el factor “experiencia del proponente”.</w:t>
      </w:r>
    </w:p>
    <w:p w14:paraId="044E55C1" w14:textId="77777777" w:rsidR="002152AF" w:rsidRPr="00B11B61" w:rsidRDefault="002152AF" w:rsidP="00000D82">
      <w:pPr>
        <w:jc w:val="both"/>
        <w:rPr>
          <w:rFonts w:ascii="Arial" w:hAnsi="Arial" w:cs="Arial"/>
          <w:color w:val="000000" w:themeColor="text1"/>
          <w:sz w:val="22"/>
          <w:lang w:val="es-ES_tradnl"/>
        </w:rPr>
      </w:pPr>
    </w:p>
    <w:p w14:paraId="4C3C8DC7" w14:textId="7AC7A261" w:rsidR="002152AF" w:rsidRDefault="002152AF" w:rsidP="002152AF">
      <w:pPr>
        <w:spacing w:after="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Como se observa, en el documento tipo de interventoría se estableció un requisito mínimo de experiencia habilitante, consistente en que el proponente debe acreditar que la sumatoria de los contratos aportados como experiencia es mayor o igual al 100% respecto del valor total del presupuesto oficial expresado en SMMLV. 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w:t>
      </w:r>
      <w:r w:rsidR="004716DE">
        <w:rPr>
          <w:rFonts w:ascii="Arial" w:hAnsi="Arial" w:cs="Arial"/>
          <w:color w:val="000000" w:themeColor="text1"/>
          <w:sz w:val="22"/>
          <w:lang w:val="es-ES_tradnl"/>
        </w:rPr>
        <w:t>n</w:t>
      </w:r>
      <w:r w:rsidRPr="00B11B61">
        <w:rPr>
          <w:rFonts w:ascii="Arial" w:hAnsi="Arial" w:cs="Arial"/>
          <w:color w:val="000000" w:themeColor="text1"/>
          <w:sz w:val="22"/>
          <w:lang w:val="es-ES_tradnl"/>
        </w:rPr>
        <w:t xml:space="preserve"> subsanarse conforme a la regla anterior, debe</w:t>
      </w:r>
      <w:r w:rsidR="004716DE">
        <w:rPr>
          <w:rFonts w:ascii="Arial" w:hAnsi="Arial" w:cs="Arial"/>
          <w:color w:val="000000" w:themeColor="text1"/>
          <w:sz w:val="22"/>
          <w:lang w:val="es-ES_tradnl"/>
        </w:rPr>
        <w:t>rán</w:t>
      </w:r>
      <w:r w:rsidRPr="00B11B61">
        <w:rPr>
          <w:rFonts w:ascii="Arial" w:hAnsi="Arial" w:cs="Arial"/>
          <w:color w:val="000000" w:themeColor="text1"/>
          <w:sz w:val="22"/>
          <w:lang w:val="es-ES_tradnl"/>
        </w:rPr>
        <w:t xml:space="preserve"> rechazarse. </w:t>
      </w:r>
    </w:p>
    <w:p w14:paraId="4A17DBC4" w14:textId="7C2DADF8" w:rsidR="002152AF" w:rsidRPr="00B11B61" w:rsidRDefault="002152AF" w:rsidP="002152AF">
      <w:pPr>
        <w:spacing w:after="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Ahora bien, como se indicó, de acuerdo con el parágrafo 1 del artículo 5 de la Ley 1150 de 2007, todos aquellos requisitos de la propuesta que no afecten la asignación de puntaje podrán subsanarse, regla de donde se deriva la imposibilidad de subsanar aquellos que incidan en la asignación de puntaje. </w:t>
      </w:r>
      <w:r w:rsidR="00526966">
        <w:rPr>
          <w:rFonts w:ascii="Arial" w:hAnsi="Arial" w:cs="Arial"/>
          <w:color w:val="000000" w:themeColor="text1"/>
          <w:sz w:val="22"/>
          <w:lang w:val="es-ES_tradnl"/>
        </w:rPr>
        <w:t>No obstante, debe destacarse que la experiencia del proponente es también un factor que otorga puntaje</w:t>
      </w:r>
      <w:r w:rsidR="006D5A9A">
        <w:rPr>
          <w:rFonts w:ascii="Arial" w:hAnsi="Arial" w:cs="Arial"/>
          <w:color w:val="000000" w:themeColor="text1"/>
          <w:sz w:val="22"/>
          <w:lang w:val="es-ES_tradnl"/>
        </w:rPr>
        <w:t xml:space="preserve">, conforme a las reglas del numeral 4.1 del Documento Base, las cuales permiten valorar la totalidad de la experiencia acreditada por los proponentes que cumplieron con la experiencia mínima habilitante, y asignar un puntaje en función de tal valoración. </w:t>
      </w:r>
      <w:r w:rsidRPr="00B11B61">
        <w:rPr>
          <w:rFonts w:ascii="Arial" w:hAnsi="Arial" w:cs="Arial"/>
          <w:color w:val="000000" w:themeColor="text1"/>
          <w:sz w:val="22"/>
          <w:lang w:val="es-ES_tradnl"/>
        </w:rPr>
        <w:t xml:space="preserve">Teniendo en cuenta lo </w:t>
      </w:r>
      <w:proofErr w:type="gramStart"/>
      <w:r w:rsidRPr="00B11B61">
        <w:rPr>
          <w:rFonts w:ascii="Arial" w:hAnsi="Arial" w:cs="Arial"/>
          <w:color w:val="000000" w:themeColor="text1"/>
          <w:sz w:val="22"/>
          <w:lang w:val="es-ES_tradnl"/>
        </w:rPr>
        <w:t>anterior,</w:t>
      </w:r>
      <w:r w:rsidR="006D5A9A" w:rsidRPr="00B11B61" w:rsidDel="006D5A9A">
        <w:rPr>
          <w:rFonts w:ascii="Arial" w:hAnsi="Arial" w:cs="Arial"/>
          <w:color w:val="000000" w:themeColor="text1"/>
          <w:sz w:val="22"/>
          <w:lang w:val="es-ES_tradnl"/>
        </w:rPr>
        <w:t xml:space="preserve"> </w:t>
      </w:r>
      <w:r w:rsidRPr="00B11B61">
        <w:rPr>
          <w:rFonts w:ascii="Arial" w:hAnsi="Arial" w:cs="Arial"/>
          <w:color w:val="000000" w:themeColor="text1"/>
          <w:sz w:val="22"/>
          <w:lang w:val="es-ES_tradnl"/>
        </w:rPr>
        <w:t xml:space="preserve"> en</w:t>
      </w:r>
      <w:proofErr w:type="gramEnd"/>
      <w:r w:rsidRPr="00B11B61">
        <w:rPr>
          <w:rFonts w:ascii="Arial" w:hAnsi="Arial" w:cs="Arial"/>
          <w:color w:val="000000" w:themeColor="text1"/>
          <w:sz w:val="22"/>
          <w:lang w:val="es-ES_tradnl"/>
        </w:rPr>
        <w:t xml:space="preserve"> principio, </w:t>
      </w:r>
      <w:r w:rsidR="006D5A9A">
        <w:rPr>
          <w:rFonts w:ascii="Arial" w:hAnsi="Arial" w:cs="Arial"/>
          <w:color w:val="000000" w:themeColor="text1"/>
          <w:sz w:val="22"/>
          <w:lang w:val="es-ES_tradnl"/>
        </w:rPr>
        <w:t xml:space="preserve">se presentaría una dificultad  para la </w:t>
      </w:r>
      <w:r w:rsidRPr="00B11B61">
        <w:rPr>
          <w:rFonts w:ascii="Arial" w:hAnsi="Arial" w:cs="Arial"/>
          <w:color w:val="000000" w:themeColor="text1"/>
          <w:sz w:val="22"/>
          <w:lang w:val="es-ES_tradnl"/>
        </w:rPr>
        <w:t>subsanación</w:t>
      </w:r>
      <w:r w:rsidR="006D5A9A">
        <w:rPr>
          <w:rFonts w:ascii="Arial" w:hAnsi="Arial" w:cs="Arial"/>
          <w:color w:val="000000" w:themeColor="text1"/>
          <w:sz w:val="22"/>
          <w:lang w:val="es-ES_tradnl"/>
        </w:rPr>
        <w:t xml:space="preserve"> de la experiencia mínima habilitante</w:t>
      </w:r>
      <w:r w:rsidRPr="00B11B61">
        <w:rPr>
          <w:rFonts w:ascii="Arial" w:hAnsi="Arial" w:cs="Arial"/>
          <w:color w:val="000000" w:themeColor="text1"/>
          <w:sz w:val="22"/>
          <w:lang w:val="es-ES_tradnl"/>
        </w:rPr>
        <w:t xml:space="preserve">, </w:t>
      </w:r>
      <w:r w:rsidR="006D5A9A">
        <w:rPr>
          <w:rFonts w:ascii="Arial" w:hAnsi="Arial" w:cs="Arial"/>
          <w:color w:val="000000" w:themeColor="text1"/>
          <w:sz w:val="22"/>
          <w:lang w:val="es-ES_tradnl"/>
        </w:rPr>
        <w:t xml:space="preserve">ya que ella hacer parte de la experiencia en función de la cual se otorga puntaje. </w:t>
      </w:r>
    </w:p>
    <w:p w14:paraId="1056CB31" w14:textId="62A72805" w:rsidR="002152AF" w:rsidRPr="00B11B61" w:rsidRDefault="002152AF" w:rsidP="002152AF">
      <w:pPr>
        <w:spacing w:after="120" w:line="276" w:lineRule="auto"/>
        <w:ind w:firstLine="709"/>
        <w:jc w:val="both"/>
        <w:rPr>
          <w:rFonts w:ascii="Arial" w:eastAsia="Calibri" w:hAnsi="Arial" w:cs="Arial"/>
          <w:bCs/>
          <w:color w:val="000000" w:themeColor="text1"/>
          <w:sz w:val="22"/>
          <w:lang w:val="es-ES_tradnl"/>
        </w:rPr>
      </w:pPr>
      <w:r w:rsidRPr="00B11B61">
        <w:rPr>
          <w:rFonts w:ascii="Arial" w:hAnsi="Arial" w:cs="Arial"/>
          <w:color w:val="000000" w:themeColor="text1"/>
          <w:sz w:val="22"/>
          <w:lang w:val="es-ES_tradnl"/>
        </w:rPr>
        <w:t xml:space="preserve">Debido a lo anterior, la Agencia al elaborar el documento tipo optó por ser garantista en cuanto a la posibilidad de subsanar el requisito habilitante de experiencia; pero evitando incurrir en la prohibición de permitir la subsanación de requisitos de la propuesta que incidieran en la asignación de puntaje. En este sentido, como se desprende de la literalidad del numeral 3.8.1, la </w:t>
      </w:r>
      <w:proofErr w:type="spellStart"/>
      <w:r w:rsidRPr="00B11B61">
        <w:rPr>
          <w:rFonts w:ascii="Arial" w:hAnsi="Arial" w:cs="Arial"/>
          <w:color w:val="000000" w:themeColor="text1"/>
          <w:sz w:val="22"/>
          <w:lang w:val="es-ES_tradnl"/>
        </w:rPr>
        <w:t>subsanabil</w:t>
      </w:r>
      <w:r w:rsidR="00F612BD">
        <w:rPr>
          <w:rFonts w:ascii="Arial" w:hAnsi="Arial" w:cs="Arial"/>
          <w:color w:val="000000" w:themeColor="text1"/>
          <w:sz w:val="22"/>
          <w:lang w:val="es-ES_tradnl"/>
        </w:rPr>
        <w:t>i</w:t>
      </w:r>
      <w:r w:rsidRPr="00B11B61">
        <w:rPr>
          <w:rFonts w:ascii="Arial" w:hAnsi="Arial" w:cs="Arial"/>
          <w:color w:val="000000" w:themeColor="text1"/>
          <w:sz w:val="22"/>
          <w:lang w:val="es-ES_tradnl"/>
        </w:rPr>
        <w:t>dad</w:t>
      </w:r>
      <w:proofErr w:type="spellEnd"/>
      <w:r w:rsidRPr="00B11B61">
        <w:rPr>
          <w:rFonts w:ascii="Arial" w:hAnsi="Arial" w:cs="Arial"/>
          <w:color w:val="000000" w:themeColor="text1"/>
          <w:sz w:val="22"/>
          <w:lang w:val="es-ES_tradnl"/>
        </w:rPr>
        <w:t xml:space="preserve"> de la experiencia solo se presenta en los casos en que con los contratos aportados por el proponente no se logre cumplir con la experiencia mínima habilitante, esto es, «</w:t>
      </w:r>
      <w:proofErr w:type="gramStart"/>
      <w:r w:rsidRPr="00B11B61">
        <w:rPr>
          <w:rFonts w:ascii="Arial" w:eastAsia="Calibri" w:hAnsi="Arial" w:cs="Arial"/>
          <w:bCs/>
          <w:color w:val="000000" w:themeColor="text1"/>
          <w:sz w:val="22"/>
          <w:lang w:val="es-ES_tradnl"/>
        </w:rPr>
        <w:t>En</w:t>
      </w:r>
      <w:r w:rsidR="006D5A9A">
        <w:rPr>
          <w:rFonts w:ascii="Arial" w:eastAsia="Calibri" w:hAnsi="Arial" w:cs="Arial"/>
          <w:bCs/>
          <w:color w:val="000000" w:themeColor="text1"/>
          <w:sz w:val="22"/>
          <w:lang w:val="es-ES_tradnl"/>
        </w:rPr>
        <w:t xml:space="preserve"> </w:t>
      </w:r>
      <w:r w:rsidRPr="00B11B61">
        <w:rPr>
          <w:rFonts w:ascii="Arial" w:eastAsia="Calibri" w:hAnsi="Arial" w:cs="Arial"/>
          <w:bCs/>
          <w:color w:val="000000" w:themeColor="text1"/>
          <w:sz w:val="22"/>
          <w:lang w:val="es-ES_tradnl"/>
        </w:rPr>
        <w:t>caso que</w:t>
      </w:r>
      <w:proofErr w:type="gramEnd"/>
      <w:r w:rsidRPr="00B11B61">
        <w:rPr>
          <w:rFonts w:ascii="Arial" w:eastAsia="Calibri" w:hAnsi="Arial" w:cs="Arial"/>
          <w:bCs/>
          <w:color w:val="000000" w:themeColor="text1"/>
          <w:sz w:val="22"/>
          <w:lang w:val="es-ES_tradnl"/>
        </w:rPr>
        <w:t xml:space="preserve"> con los contratos aportados no se acredite este porcentaje mínimo, la entidad solicitará al proponente que subsane su oferta en los términos del numeral 1.6». De esta manera, la </w:t>
      </w:r>
      <w:proofErr w:type="spellStart"/>
      <w:r w:rsidRPr="00B11B61">
        <w:rPr>
          <w:rFonts w:ascii="Arial" w:eastAsia="Calibri" w:hAnsi="Arial" w:cs="Arial"/>
          <w:bCs/>
          <w:color w:val="000000" w:themeColor="text1"/>
          <w:sz w:val="22"/>
          <w:lang w:val="es-ES_tradnl"/>
        </w:rPr>
        <w:t>subsanabil</w:t>
      </w:r>
      <w:r w:rsidR="00F612BD">
        <w:rPr>
          <w:rFonts w:ascii="Arial" w:eastAsia="Calibri" w:hAnsi="Arial" w:cs="Arial"/>
          <w:bCs/>
          <w:color w:val="000000" w:themeColor="text1"/>
          <w:sz w:val="22"/>
          <w:lang w:val="es-ES_tradnl"/>
        </w:rPr>
        <w:t>i</w:t>
      </w:r>
      <w:r w:rsidRPr="00B11B61">
        <w:rPr>
          <w:rFonts w:ascii="Arial" w:eastAsia="Calibri" w:hAnsi="Arial" w:cs="Arial"/>
          <w:bCs/>
          <w:color w:val="000000" w:themeColor="text1"/>
          <w:sz w:val="22"/>
          <w:lang w:val="es-ES_tradnl"/>
        </w:rPr>
        <w:t>dad</w:t>
      </w:r>
      <w:proofErr w:type="spellEnd"/>
      <w:r w:rsidRPr="00B11B61">
        <w:rPr>
          <w:rFonts w:ascii="Arial" w:eastAsia="Calibri" w:hAnsi="Arial" w:cs="Arial"/>
          <w:bCs/>
          <w:color w:val="000000" w:themeColor="text1"/>
          <w:sz w:val="22"/>
          <w:lang w:val="es-ES_tradnl"/>
        </w:rPr>
        <w:t xml:space="preserve"> únicamente tendrá por efecto habilitar al oferente</w:t>
      </w:r>
      <w:r w:rsidR="00356434">
        <w:rPr>
          <w:rFonts w:ascii="Arial" w:eastAsia="Calibri" w:hAnsi="Arial" w:cs="Arial"/>
          <w:bCs/>
          <w:color w:val="000000" w:themeColor="text1"/>
          <w:sz w:val="22"/>
          <w:lang w:val="es-ES_tradnl"/>
        </w:rPr>
        <w:t xml:space="preserve"> cuando acredite la </w:t>
      </w:r>
      <w:r w:rsidR="009D1F2E">
        <w:rPr>
          <w:rFonts w:ascii="Arial" w:eastAsia="Calibri" w:hAnsi="Arial" w:cs="Arial"/>
          <w:bCs/>
          <w:color w:val="000000" w:themeColor="text1"/>
          <w:sz w:val="22"/>
          <w:lang w:val="es-ES_tradnl"/>
        </w:rPr>
        <w:t>experiencia que se solicita como requisito habilitante, permitiendo que en el evento en que se subsane</w:t>
      </w:r>
      <w:r w:rsidRPr="00B11B61">
        <w:rPr>
          <w:rFonts w:ascii="Arial" w:eastAsia="Calibri" w:hAnsi="Arial" w:cs="Arial"/>
          <w:bCs/>
          <w:color w:val="000000" w:themeColor="text1"/>
          <w:sz w:val="22"/>
          <w:lang w:val="es-ES_tradnl"/>
        </w:rPr>
        <w:t xml:space="preserve">, sea susceptible de adjudicársele el </w:t>
      </w:r>
      <w:r w:rsidRPr="00B11B61">
        <w:rPr>
          <w:rFonts w:ascii="Arial" w:eastAsia="Calibri" w:hAnsi="Arial" w:cs="Arial"/>
          <w:bCs/>
          <w:color w:val="000000" w:themeColor="text1"/>
          <w:sz w:val="22"/>
          <w:lang w:val="es-ES_tradnl"/>
        </w:rPr>
        <w:lastRenderedPageBreak/>
        <w:t>contrato, evitando que, eventualmente, el proceso tenga que declararse desierto, en los casos en que tal proponente se convierta en el único habilitado.</w:t>
      </w:r>
    </w:p>
    <w:p w14:paraId="6CBDDA3C" w14:textId="77777777" w:rsidR="002152AF" w:rsidRPr="00B11B61" w:rsidRDefault="002152AF" w:rsidP="002152AF">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De esta manera, la subsanación procede únicamente con la finalidad de habilitarse en el procedimiento de selección, pero no para subsanar la experiencia incidiendo en la asignación de puntaje. Por este motivo, se dispone que cuando el proponente tenga que subsanar la experiencia por no cumplir el requisito mínimo –habilitante– se le asignarán cero puntos por el criterio de asignación de puntaje «experiencia del proponente». Esta regulación se ajusta al ordenamiento, toda vez que si se permitiera la subsanación de la experiencia para efectos de la asignación de puntaje se estaría excediendo la regla del parágrafo 1 del artículo 5 de la Ley 1150 de 2007.</w:t>
      </w:r>
    </w:p>
    <w:p w14:paraId="4A6A1BEB" w14:textId="77777777" w:rsidR="002152AF" w:rsidRPr="00B11B61" w:rsidRDefault="002152AF" w:rsidP="002152AF">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armonía con lo anterior y con la regla precisa de </w:t>
      </w:r>
      <w:proofErr w:type="spellStart"/>
      <w:r w:rsidRPr="00B11B61">
        <w:rPr>
          <w:rFonts w:ascii="Arial" w:eastAsia="Calibri" w:hAnsi="Arial" w:cs="Arial"/>
          <w:bCs/>
          <w:color w:val="000000" w:themeColor="text1"/>
          <w:sz w:val="22"/>
          <w:lang w:val="es-ES_tradnl"/>
        </w:rPr>
        <w:t>subsanabilidad</w:t>
      </w:r>
      <w:proofErr w:type="spellEnd"/>
      <w:r w:rsidRPr="00B11B61">
        <w:rPr>
          <w:rFonts w:ascii="Arial" w:eastAsia="Calibri" w:hAnsi="Arial" w:cs="Arial"/>
          <w:bCs/>
          <w:color w:val="000000" w:themeColor="text1"/>
          <w:sz w:val="22"/>
          <w:lang w:val="es-ES_tradnl"/>
        </w:rPr>
        <w:t xml:space="preserve"> establecida en el documento tipo de interventoría, en los supuestos en que el proponente cumpla con el requisito mínimo de experiencia habilitante, no será posible subsanar aspectos relacionados con la experiencia, debido a que ello implicaría subsanar un requisito que incidiría en la asignación de puntaje.</w:t>
      </w:r>
    </w:p>
    <w:p w14:paraId="63BDE467" w14:textId="77777777" w:rsidR="002152AF" w:rsidRPr="00B11B61" w:rsidRDefault="002152AF" w:rsidP="002152AF">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Ahora bien, la regla anterior no implica limitar o incidir en la posibilidad de presentar </w:t>
      </w:r>
      <w:r w:rsidRPr="00B11B61">
        <w:rPr>
          <w:rFonts w:ascii="Arial" w:eastAsia="Calibri" w:hAnsi="Arial" w:cs="Arial"/>
          <w:bCs/>
          <w:i/>
          <w:iCs/>
          <w:color w:val="000000" w:themeColor="text1"/>
          <w:sz w:val="22"/>
          <w:lang w:val="es-ES_tradnl"/>
        </w:rPr>
        <w:t xml:space="preserve">explicaciones o aclaraciones </w:t>
      </w:r>
      <w:r w:rsidRPr="00B11B61">
        <w:rPr>
          <w:rFonts w:ascii="Arial" w:eastAsia="Calibri" w:hAnsi="Arial" w:cs="Arial"/>
          <w:bCs/>
          <w:color w:val="000000" w:themeColor="text1"/>
          <w:sz w:val="22"/>
          <w:lang w:val="es-ES_tradnl"/>
        </w:rPr>
        <w:t>del contenido de las ofertas, actuación que esta Agencia y la jurisprudencia ha diferenciado de la posibilidad de subsanar, fundamentando tal actuación en el artículo 30, numeral 7 de la Ley 80 de 1993</w:t>
      </w:r>
      <w:r w:rsidRPr="00B11B61">
        <w:rPr>
          <w:rStyle w:val="Refdenotaalpie"/>
          <w:rFonts w:ascii="Arial" w:eastAsia="Calibri" w:hAnsi="Arial" w:cs="Arial"/>
          <w:bCs/>
          <w:color w:val="000000" w:themeColor="text1"/>
          <w:sz w:val="22"/>
          <w:lang w:val="es-ES_tradnl"/>
        </w:rPr>
        <w:footnoteReference w:id="8"/>
      </w:r>
      <w:r w:rsidRPr="00B11B61">
        <w:rPr>
          <w:rFonts w:ascii="Arial" w:eastAsia="Calibri" w:hAnsi="Arial" w:cs="Arial"/>
          <w:bCs/>
          <w:color w:val="000000" w:themeColor="text1"/>
          <w:sz w:val="22"/>
          <w:lang w:val="es-ES_tradnl"/>
        </w:rPr>
        <w:t xml:space="preserve">. De esta manera, es posible que las entidades requieran al proponente para que explique o aclare el contenido de lo que está presente en la oferta, lo que procede tanto frente a los requisitos habilitantes como los que asignan puntaje. En efecto, en el «documento base» del documento tipo de interventoría se establece en el numeral 1.6. –inciso segundo–: «En caso de ser necesario, la entidad debe solicitar a los proponentes durante el proceso de evaluación, y a más tardar en el informe de evaluación, las aclaraciones, precisiones o solicitud de documentos que puedan ser subsanables. </w:t>
      </w:r>
      <w:r w:rsidRPr="00B11B61">
        <w:rPr>
          <w:rFonts w:ascii="Arial" w:eastAsia="Calibri" w:hAnsi="Arial" w:cs="Arial"/>
          <w:bCs/>
          <w:i/>
          <w:iCs/>
          <w:color w:val="000000" w:themeColor="text1"/>
          <w:sz w:val="22"/>
          <w:lang w:val="es-ES_tradnl"/>
        </w:rPr>
        <w:t>No obstante, los proponentes no podrán completar, adicionar o mejorar sus propuestas en los aspectos que otorgan puntaje, los cuales podrán ser objeto de aclaraciones y explicaciones</w:t>
      </w:r>
      <w:r w:rsidRPr="00B11B61">
        <w:rPr>
          <w:rFonts w:ascii="Arial" w:eastAsia="Calibri" w:hAnsi="Arial" w:cs="Arial"/>
          <w:bCs/>
          <w:color w:val="000000" w:themeColor="text1"/>
          <w:sz w:val="22"/>
          <w:lang w:val="es-ES_tradnl"/>
        </w:rPr>
        <w:t xml:space="preserve">». </w:t>
      </w:r>
    </w:p>
    <w:p w14:paraId="06F0420D" w14:textId="41B72C72" w:rsidR="002152AF" w:rsidRPr="00B11B61" w:rsidRDefault="002A7521" w:rsidP="002152AF">
      <w:pPr>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Así las cosas</w:t>
      </w:r>
      <w:r w:rsidR="002152AF" w:rsidRPr="00B11B61">
        <w:rPr>
          <w:rFonts w:ascii="Arial" w:eastAsia="Calibri" w:hAnsi="Arial" w:cs="Arial"/>
          <w:bCs/>
          <w:color w:val="000000" w:themeColor="text1"/>
          <w:sz w:val="22"/>
          <w:lang w:val="es-ES_tradnl"/>
        </w:rPr>
        <w:t xml:space="preserve">, el «Anexo 3 – Glosario» del documento tipo de interventoría en relación con esta posibilidad establece la siguiente remisión: «Aclaraciones y explicaciones de ofertas: Se remite a las nociones desarrolladas en la sentencia del Consejo de Estado, Sección Tercera, Subsección C, del 12 de noviembre de 2014, Radicado 27.986, </w:t>
      </w:r>
      <w:proofErr w:type="gramStart"/>
      <w:r w:rsidR="002152AF" w:rsidRPr="00B11B61">
        <w:rPr>
          <w:rFonts w:ascii="Arial" w:eastAsia="Calibri" w:hAnsi="Arial" w:cs="Arial"/>
          <w:bCs/>
          <w:color w:val="000000" w:themeColor="text1"/>
          <w:sz w:val="22"/>
          <w:lang w:val="es-ES_tradnl"/>
        </w:rPr>
        <w:t>Consejero</w:t>
      </w:r>
      <w:proofErr w:type="gramEnd"/>
      <w:r w:rsidR="002152AF" w:rsidRPr="00B11B61">
        <w:rPr>
          <w:rFonts w:ascii="Arial" w:eastAsia="Calibri" w:hAnsi="Arial" w:cs="Arial"/>
          <w:bCs/>
          <w:color w:val="000000" w:themeColor="text1"/>
          <w:sz w:val="22"/>
          <w:lang w:val="es-ES_tradnl"/>
        </w:rPr>
        <w:t xml:space="preserve"> Ponente: Enrique Gil Botero». De esta manera, la posibilidad de «subsanar» la experiencia </w:t>
      </w:r>
      <w:r w:rsidR="002152AF" w:rsidRPr="00B11B61">
        <w:rPr>
          <w:rFonts w:ascii="Arial" w:eastAsia="Calibri" w:hAnsi="Arial" w:cs="Arial"/>
          <w:bCs/>
          <w:color w:val="000000" w:themeColor="text1"/>
          <w:sz w:val="22"/>
          <w:lang w:val="es-ES_tradnl"/>
        </w:rPr>
        <w:lastRenderedPageBreak/>
        <w:t>mínima habilitante, no incide en la posibilidad amplia de presentar «aclaraciones o explicaciones» del contenido de las ofertas.</w:t>
      </w:r>
    </w:p>
    <w:p w14:paraId="774B484A" w14:textId="77777777" w:rsidR="002D02CC" w:rsidRPr="009C7D09" w:rsidRDefault="002D02CC" w:rsidP="00000D82">
      <w:pPr>
        <w:jc w:val="both"/>
        <w:rPr>
          <w:rFonts w:ascii="Arial" w:eastAsia="Calibri" w:hAnsi="Arial" w:cs="Arial"/>
          <w:b/>
          <w:bCs/>
          <w:color w:val="000000" w:themeColor="text1"/>
          <w:sz w:val="22"/>
          <w:lang w:val="es-ES_tradnl"/>
        </w:rPr>
      </w:pPr>
    </w:p>
    <w:p w14:paraId="13F222A3" w14:textId="4ED61A7B" w:rsidR="004F66E7" w:rsidRDefault="004F66E7" w:rsidP="004F66E7">
      <w:pPr>
        <w:spacing w:line="276" w:lineRule="auto"/>
        <w:jc w:val="both"/>
        <w:rPr>
          <w:rFonts w:ascii="Arial" w:eastAsia="Calibri" w:hAnsi="Arial" w:cs="Arial"/>
          <w:b/>
          <w:bCs/>
          <w:color w:val="000000" w:themeColor="text1"/>
          <w:sz w:val="22"/>
          <w:lang w:val="es-ES_tradnl"/>
        </w:rPr>
      </w:pPr>
      <w:r w:rsidRPr="009C7D09">
        <w:rPr>
          <w:rFonts w:ascii="Arial" w:hAnsi="Arial" w:cs="Arial"/>
          <w:b/>
          <w:bCs/>
          <w:color w:val="000000" w:themeColor="text1"/>
          <w:sz w:val="22"/>
          <w:lang w:val="es-ES"/>
        </w:rPr>
        <w:t>2.</w:t>
      </w:r>
      <w:r w:rsidR="009C441E">
        <w:rPr>
          <w:rFonts w:ascii="Arial" w:hAnsi="Arial" w:cs="Arial"/>
          <w:b/>
          <w:bCs/>
          <w:color w:val="000000" w:themeColor="text1"/>
          <w:sz w:val="22"/>
          <w:lang w:val="es-ES"/>
        </w:rPr>
        <w:t>3</w:t>
      </w:r>
      <w:r w:rsidR="005C4D6F">
        <w:rPr>
          <w:rFonts w:ascii="Arial" w:hAnsi="Arial" w:cs="Arial"/>
          <w:b/>
          <w:bCs/>
          <w:color w:val="000000" w:themeColor="text1"/>
          <w:sz w:val="22"/>
          <w:lang w:val="es-ES"/>
        </w:rPr>
        <w:t>.</w:t>
      </w:r>
      <w:r w:rsidRPr="009C7D09">
        <w:rPr>
          <w:rFonts w:ascii="Arial" w:hAnsi="Arial" w:cs="Arial"/>
          <w:b/>
          <w:bCs/>
          <w:color w:val="000000" w:themeColor="text1"/>
          <w:sz w:val="22"/>
          <w:lang w:val="es-ES"/>
        </w:rPr>
        <w:t xml:space="preserve"> </w:t>
      </w:r>
      <w:r w:rsidR="009C441E">
        <w:rPr>
          <w:rFonts w:ascii="Arial" w:hAnsi="Arial" w:cs="Arial"/>
          <w:b/>
          <w:bCs/>
          <w:color w:val="000000" w:themeColor="text1"/>
          <w:sz w:val="22"/>
          <w:lang w:val="es-ES"/>
        </w:rPr>
        <w:t xml:space="preserve">Ponderación de </w:t>
      </w:r>
      <w:r w:rsidR="00580BAF">
        <w:rPr>
          <w:rFonts w:ascii="Arial" w:eastAsia="Calibri" w:hAnsi="Arial" w:cs="Arial"/>
          <w:b/>
          <w:bCs/>
          <w:color w:val="000000" w:themeColor="text1"/>
          <w:sz w:val="22"/>
          <w:lang w:val="es-ES_tradnl"/>
        </w:rPr>
        <w:t>factores</w:t>
      </w:r>
      <w:r w:rsidRPr="009C7D09">
        <w:rPr>
          <w:rFonts w:ascii="Arial" w:eastAsia="Calibri" w:hAnsi="Arial" w:cs="Arial"/>
          <w:b/>
          <w:bCs/>
          <w:color w:val="000000" w:themeColor="text1"/>
          <w:sz w:val="22"/>
          <w:lang w:val="es-ES_tradnl"/>
        </w:rPr>
        <w:t xml:space="preserve"> de evaluación en los documentos tipo </w:t>
      </w:r>
      <w:proofErr w:type="gramStart"/>
      <w:r w:rsidR="009C441E">
        <w:rPr>
          <w:rFonts w:ascii="Arial" w:eastAsia="Calibri" w:hAnsi="Arial" w:cs="Arial"/>
          <w:b/>
          <w:bCs/>
          <w:color w:val="000000" w:themeColor="text1"/>
          <w:sz w:val="22"/>
          <w:lang w:val="es-ES_tradnl"/>
        </w:rPr>
        <w:t xml:space="preserve">de </w:t>
      </w:r>
      <w:r w:rsidRPr="009C7D09">
        <w:rPr>
          <w:rFonts w:ascii="Arial" w:eastAsia="Calibri" w:hAnsi="Arial" w:cs="Arial"/>
          <w:b/>
          <w:bCs/>
          <w:color w:val="000000" w:themeColor="text1"/>
          <w:sz w:val="22"/>
          <w:lang w:val="es-ES_tradnl"/>
        </w:rPr>
        <w:t xml:space="preserve"> interventoría</w:t>
      </w:r>
      <w:proofErr w:type="gramEnd"/>
      <w:r w:rsidRPr="009C7D09">
        <w:rPr>
          <w:rFonts w:ascii="Arial" w:eastAsia="Calibri" w:hAnsi="Arial" w:cs="Arial"/>
          <w:b/>
          <w:bCs/>
          <w:color w:val="000000" w:themeColor="text1"/>
          <w:sz w:val="22"/>
          <w:lang w:val="es-ES_tradnl"/>
        </w:rPr>
        <w:t xml:space="preserve"> de obras pública de infraestructura de transporte</w:t>
      </w:r>
    </w:p>
    <w:p w14:paraId="3359A55A" w14:textId="77777777" w:rsidR="00B57A89" w:rsidRPr="009C7D09" w:rsidRDefault="00B57A89" w:rsidP="00000D82">
      <w:pPr>
        <w:jc w:val="both"/>
        <w:rPr>
          <w:rFonts w:ascii="Arial" w:eastAsia="Calibri" w:hAnsi="Arial" w:cs="Arial"/>
          <w:b/>
          <w:bCs/>
          <w:color w:val="000000" w:themeColor="text1"/>
          <w:sz w:val="22"/>
          <w:lang w:val="es-ES_tradnl"/>
        </w:rPr>
      </w:pPr>
    </w:p>
    <w:p w14:paraId="4B92135B" w14:textId="77B9B581" w:rsidR="000D566F" w:rsidRDefault="00C12CA4" w:rsidP="000D566F">
      <w:pPr>
        <w:pStyle w:val="Entidad-Capitulo"/>
        <w:spacing w:before="0" w:after="120"/>
        <w:ind w:left="0"/>
        <w:jc w:val="both"/>
        <w:rPr>
          <w:rFonts w:eastAsiaTheme="minorHAnsi"/>
          <w:b w:val="0"/>
          <w:smallCaps w:val="0"/>
          <w:sz w:val="22"/>
          <w:szCs w:val="22"/>
          <w:lang w:eastAsia="en-US"/>
        </w:rPr>
      </w:pPr>
      <w:r>
        <w:rPr>
          <w:rFonts w:eastAsiaTheme="minorHAnsi"/>
          <w:b w:val="0"/>
          <w:smallCaps w:val="0"/>
          <w:sz w:val="22"/>
          <w:szCs w:val="22"/>
          <w:lang w:eastAsia="en-US"/>
        </w:rPr>
        <w:t xml:space="preserve">Conforme se estableció </w:t>
      </w:r>
      <w:r w:rsidRPr="00000D82">
        <w:rPr>
          <w:rFonts w:eastAsiaTheme="minorHAnsi"/>
          <w:b w:val="0"/>
          <w:i/>
          <w:iCs/>
          <w:smallCaps w:val="0"/>
          <w:sz w:val="22"/>
          <w:szCs w:val="22"/>
          <w:lang w:eastAsia="en-US"/>
        </w:rPr>
        <w:t>supra</w:t>
      </w:r>
      <w:r>
        <w:rPr>
          <w:rFonts w:eastAsiaTheme="minorHAnsi"/>
          <w:b w:val="0"/>
          <w:smallCaps w:val="0"/>
          <w:sz w:val="22"/>
          <w:szCs w:val="22"/>
          <w:lang w:eastAsia="en-US"/>
        </w:rPr>
        <w:t>, el</w:t>
      </w:r>
      <w:r w:rsidR="009E02C5">
        <w:rPr>
          <w:rFonts w:eastAsiaTheme="minorHAnsi"/>
          <w:b w:val="0"/>
          <w:smallCaps w:val="0"/>
          <w:sz w:val="22"/>
          <w:szCs w:val="22"/>
          <w:lang w:eastAsia="en-US"/>
        </w:rPr>
        <w:t xml:space="preserve"> </w:t>
      </w:r>
      <w:r w:rsidR="006B2A25">
        <w:rPr>
          <w:rFonts w:eastAsiaTheme="minorHAnsi"/>
          <w:b w:val="0"/>
          <w:smallCaps w:val="0"/>
          <w:sz w:val="22"/>
          <w:szCs w:val="22"/>
          <w:lang w:eastAsia="en-US"/>
        </w:rPr>
        <w:t>artículo 5</w:t>
      </w:r>
      <w:r>
        <w:rPr>
          <w:rFonts w:eastAsiaTheme="minorHAnsi"/>
          <w:b w:val="0"/>
          <w:smallCaps w:val="0"/>
          <w:sz w:val="22"/>
          <w:szCs w:val="22"/>
          <w:lang w:eastAsia="en-US"/>
        </w:rPr>
        <w:t>.4</w:t>
      </w:r>
      <w:r w:rsidR="006B2A25">
        <w:rPr>
          <w:rFonts w:eastAsiaTheme="minorHAnsi"/>
          <w:b w:val="0"/>
          <w:smallCaps w:val="0"/>
          <w:sz w:val="22"/>
          <w:szCs w:val="22"/>
          <w:lang w:eastAsia="en-US"/>
        </w:rPr>
        <w:t xml:space="preserve"> de la Ley 1150 de</w:t>
      </w:r>
      <w:r>
        <w:rPr>
          <w:rFonts w:eastAsiaTheme="minorHAnsi"/>
          <w:b w:val="0"/>
          <w:smallCaps w:val="0"/>
          <w:sz w:val="22"/>
          <w:szCs w:val="22"/>
          <w:lang w:eastAsia="en-US"/>
        </w:rPr>
        <w:t xml:space="preserve"> 2007 contiene una regulación </w:t>
      </w:r>
      <w:r w:rsidR="008A5699">
        <w:rPr>
          <w:rFonts w:eastAsiaTheme="minorHAnsi"/>
          <w:b w:val="0"/>
          <w:smallCaps w:val="0"/>
          <w:sz w:val="22"/>
          <w:szCs w:val="22"/>
          <w:lang w:eastAsia="en-US"/>
        </w:rPr>
        <w:t xml:space="preserve">especial del deber de selección objetiva </w:t>
      </w:r>
      <w:r w:rsidR="00B93129">
        <w:rPr>
          <w:rFonts w:eastAsiaTheme="minorHAnsi"/>
          <w:b w:val="0"/>
          <w:smallCaps w:val="0"/>
          <w:sz w:val="22"/>
          <w:szCs w:val="22"/>
          <w:lang w:eastAsia="en-US"/>
        </w:rPr>
        <w:t>aplicable a</w:t>
      </w:r>
      <w:r w:rsidR="008A5699">
        <w:rPr>
          <w:rFonts w:eastAsiaTheme="minorHAnsi"/>
          <w:b w:val="0"/>
          <w:smallCaps w:val="0"/>
          <w:sz w:val="22"/>
          <w:szCs w:val="22"/>
          <w:lang w:eastAsia="en-US"/>
        </w:rPr>
        <w:t xml:space="preserve"> procesos de selección de consultores. </w:t>
      </w:r>
      <w:r w:rsidR="0095634D">
        <w:rPr>
          <w:rFonts w:eastAsiaTheme="minorHAnsi"/>
          <w:b w:val="0"/>
          <w:smallCaps w:val="0"/>
          <w:sz w:val="22"/>
          <w:szCs w:val="22"/>
          <w:lang w:eastAsia="en-US"/>
        </w:rPr>
        <w:t xml:space="preserve">Este numeral indica que </w:t>
      </w:r>
      <w:r w:rsidR="00BD2A61">
        <w:rPr>
          <w:rFonts w:eastAsiaTheme="minorHAnsi"/>
          <w:b w:val="0"/>
          <w:smallCaps w:val="0"/>
          <w:sz w:val="22"/>
          <w:szCs w:val="22"/>
          <w:lang w:eastAsia="en-US"/>
        </w:rPr>
        <w:t>en estos procesos la escogencia se hará con base</w:t>
      </w:r>
      <w:r w:rsidR="00D034D4" w:rsidRPr="00D034D4">
        <w:rPr>
          <w:rFonts w:eastAsiaTheme="minorHAnsi"/>
          <w:b w:val="0"/>
          <w:smallCaps w:val="0"/>
          <w:sz w:val="22"/>
          <w:szCs w:val="22"/>
          <w:lang w:eastAsia="en-US"/>
        </w:rPr>
        <w:t xml:space="preserve"> e</w:t>
      </w:r>
      <w:r w:rsidR="00B715EC">
        <w:rPr>
          <w:rFonts w:eastAsiaTheme="minorHAnsi"/>
          <w:b w:val="0"/>
          <w:smallCaps w:val="0"/>
          <w:sz w:val="22"/>
          <w:szCs w:val="22"/>
          <w:lang w:eastAsia="en-US"/>
        </w:rPr>
        <w:t>n</w:t>
      </w:r>
      <w:r w:rsidR="00D034D4" w:rsidRPr="00D034D4">
        <w:rPr>
          <w:rFonts w:eastAsiaTheme="minorHAnsi"/>
          <w:b w:val="0"/>
          <w:smallCaps w:val="0"/>
          <w:sz w:val="22"/>
          <w:szCs w:val="22"/>
          <w:lang w:eastAsia="en-US"/>
        </w:rPr>
        <w:t xml:space="preserve"> factores de calificación destinados a valorar los aspectos técnicos de la oferta</w:t>
      </w:r>
      <w:r w:rsidR="00052A17">
        <w:rPr>
          <w:rFonts w:eastAsiaTheme="minorHAnsi"/>
          <w:b w:val="0"/>
          <w:smallCaps w:val="0"/>
          <w:sz w:val="22"/>
          <w:szCs w:val="22"/>
          <w:lang w:eastAsia="en-US"/>
        </w:rPr>
        <w:t>, permitiéndose valorar la experiencia espec</w:t>
      </w:r>
      <w:r w:rsidR="00EA437E">
        <w:rPr>
          <w:rFonts w:eastAsiaTheme="minorHAnsi"/>
          <w:b w:val="0"/>
          <w:smallCaps w:val="0"/>
          <w:sz w:val="22"/>
          <w:szCs w:val="22"/>
          <w:lang w:eastAsia="en-US"/>
        </w:rPr>
        <w:t>í</w:t>
      </w:r>
      <w:r w:rsidR="00052A17">
        <w:rPr>
          <w:rFonts w:eastAsiaTheme="minorHAnsi"/>
          <w:b w:val="0"/>
          <w:smallCaps w:val="0"/>
          <w:sz w:val="22"/>
          <w:szCs w:val="22"/>
          <w:lang w:eastAsia="en-US"/>
        </w:rPr>
        <w:t xml:space="preserve">fica del oferente y </w:t>
      </w:r>
      <w:r w:rsidR="00B36746">
        <w:rPr>
          <w:rFonts w:eastAsiaTheme="minorHAnsi"/>
          <w:b w:val="0"/>
          <w:smallCaps w:val="0"/>
          <w:sz w:val="22"/>
          <w:szCs w:val="22"/>
          <w:lang w:eastAsia="en-US"/>
        </w:rPr>
        <w:t xml:space="preserve">su equipo de trabajo, </w:t>
      </w:r>
      <w:r w:rsidR="00B93129">
        <w:rPr>
          <w:rFonts w:eastAsiaTheme="minorHAnsi"/>
          <w:b w:val="0"/>
          <w:smallCaps w:val="0"/>
          <w:sz w:val="22"/>
          <w:szCs w:val="22"/>
          <w:lang w:eastAsia="en-US"/>
        </w:rPr>
        <w:t>proscribiéndose</w:t>
      </w:r>
      <w:r w:rsidR="00B36746">
        <w:rPr>
          <w:rFonts w:eastAsiaTheme="minorHAnsi"/>
          <w:b w:val="0"/>
          <w:smallCaps w:val="0"/>
          <w:sz w:val="22"/>
          <w:szCs w:val="22"/>
          <w:lang w:eastAsia="en-US"/>
        </w:rPr>
        <w:t xml:space="preserve"> además el </w:t>
      </w:r>
      <w:r w:rsidR="00B93129">
        <w:rPr>
          <w:rFonts w:eastAsiaTheme="minorHAnsi"/>
          <w:b w:val="0"/>
          <w:smallCaps w:val="0"/>
          <w:sz w:val="22"/>
          <w:szCs w:val="22"/>
          <w:lang w:eastAsia="en-US"/>
        </w:rPr>
        <w:t xml:space="preserve">precio como factor de evaluación. </w:t>
      </w:r>
    </w:p>
    <w:p w14:paraId="15004742" w14:textId="2D85993B" w:rsidR="007B3A3C" w:rsidRDefault="00FA045E" w:rsidP="000D566F">
      <w:pPr>
        <w:pStyle w:val="Entidad-Capitulo"/>
        <w:spacing w:before="0" w:after="120"/>
        <w:ind w:left="0" w:firstLine="708"/>
        <w:jc w:val="both"/>
        <w:rPr>
          <w:rFonts w:eastAsiaTheme="minorHAnsi"/>
          <w:b w:val="0"/>
          <w:smallCaps w:val="0"/>
          <w:sz w:val="22"/>
          <w:szCs w:val="22"/>
          <w:lang w:eastAsia="en-US"/>
        </w:rPr>
      </w:pPr>
      <w:r>
        <w:rPr>
          <w:rFonts w:eastAsiaTheme="minorHAnsi"/>
          <w:b w:val="0"/>
          <w:smallCaps w:val="0"/>
          <w:sz w:val="22"/>
          <w:szCs w:val="22"/>
          <w:lang w:eastAsia="en-US"/>
        </w:rPr>
        <w:t>El procedimiento</w:t>
      </w:r>
      <w:r w:rsidR="00AA6646">
        <w:rPr>
          <w:rFonts w:eastAsiaTheme="minorHAnsi"/>
          <w:b w:val="0"/>
          <w:smallCaps w:val="0"/>
          <w:sz w:val="22"/>
          <w:szCs w:val="22"/>
          <w:lang w:eastAsia="en-US"/>
        </w:rPr>
        <w:t xml:space="preserve"> de selección de </w:t>
      </w:r>
      <w:r>
        <w:rPr>
          <w:rFonts w:eastAsiaTheme="minorHAnsi"/>
          <w:b w:val="0"/>
          <w:smallCaps w:val="0"/>
          <w:sz w:val="22"/>
          <w:szCs w:val="22"/>
          <w:lang w:eastAsia="en-US"/>
        </w:rPr>
        <w:t>concurso de méritos</w:t>
      </w:r>
      <w:r w:rsidR="00AA6646">
        <w:rPr>
          <w:rFonts w:eastAsiaTheme="minorHAnsi"/>
          <w:b w:val="0"/>
          <w:smallCaps w:val="0"/>
          <w:sz w:val="22"/>
          <w:szCs w:val="22"/>
          <w:lang w:eastAsia="en-US"/>
        </w:rPr>
        <w:t xml:space="preserve">, aplicable para la </w:t>
      </w:r>
      <w:r w:rsidR="00911F8D">
        <w:rPr>
          <w:rFonts w:eastAsiaTheme="minorHAnsi"/>
          <w:b w:val="0"/>
          <w:smallCaps w:val="0"/>
          <w:sz w:val="22"/>
          <w:szCs w:val="22"/>
          <w:lang w:eastAsia="en-US"/>
        </w:rPr>
        <w:t>escogencia de consultores, e</w:t>
      </w:r>
      <w:r w:rsidR="000D566F" w:rsidRPr="000D566F">
        <w:rPr>
          <w:rFonts w:eastAsiaTheme="minorHAnsi"/>
          <w:b w:val="0"/>
          <w:smallCaps w:val="0"/>
          <w:sz w:val="22"/>
          <w:szCs w:val="22"/>
          <w:lang w:eastAsia="en-US"/>
        </w:rPr>
        <w:t>s</w:t>
      </w:r>
      <w:r w:rsidR="00911F8D">
        <w:rPr>
          <w:rFonts w:eastAsiaTheme="minorHAnsi"/>
          <w:b w:val="0"/>
          <w:smallCaps w:val="0"/>
          <w:sz w:val="22"/>
          <w:szCs w:val="22"/>
          <w:lang w:eastAsia="en-US"/>
        </w:rPr>
        <w:t xml:space="preserve">tá reglamentado por el artículo </w:t>
      </w:r>
      <w:r w:rsidR="00911F8D" w:rsidRPr="00911F8D">
        <w:rPr>
          <w:rFonts w:eastAsiaTheme="minorHAnsi"/>
          <w:b w:val="0"/>
          <w:smallCaps w:val="0"/>
          <w:sz w:val="22"/>
          <w:szCs w:val="22"/>
          <w:lang w:eastAsia="en-US"/>
        </w:rPr>
        <w:t>2.2.1.2.1.3.2. del Decreto 1082 de 2015</w:t>
      </w:r>
      <w:r w:rsidR="00911F8D">
        <w:rPr>
          <w:rFonts w:eastAsiaTheme="minorHAnsi"/>
          <w:b w:val="0"/>
          <w:smallCaps w:val="0"/>
          <w:sz w:val="22"/>
          <w:szCs w:val="22"/>
          <w:lang w:eastAsia="en-US"/>
        </w:rPr>
        <w:t>, reciente</w:t>
      </w:r>
      <w:r w:rsidR="00EA437E">
        <w:rPr>
          <w:rFonts w:eastAsiaTheme="minorHAnsi"/>
          <w:b w:val="0"/>
          <w:smallCaps w:val="0"/>
          <w:sz w:val="22"/>
          <w:szCs w:val="22"/>
          <w:lang w:eastAsia="en-US"/>
        </w:rPr>
        <w:t>mente</w:t>
      </w:r>
      <w:r w:rsidR="00911F8D">
        <w:rPr>
          <w:rFonts w:eastAsiaTheme="minorHAnsi"/>
          <w:b w:val="0"/>
          <w:smallCaps w:val="0"/>
          <w:sz w:val="22"/>
          <w:szCs w:val="22"/>
          <w:lang w:eastAsia="en-US"/>
        </w:rPr>
        <w:t xml:space="preserve"> modificado por el Decreto 399 de 2021</w:t>
      </w:r>
      <w:r w:rsidR="00291E54">
        <w:rPr>
          <w:rFonts w:eastAsiaTheme="minorHAnsi"/>
          <w:b w:val="0"/>
          <w:smallCaps w:val="0"/>
          <w:sz w:val="22"/>
          <w:szCs w:val="22"/>
          <w:lang w:eastAsia="en-US"/>
        </w:rPr>
        <w:t xml:space="preserve">. </w:t>
      </w:r>
      <w:r w:rsidR="000D566F" w:rsidRPr="000D566F">
        <w:rPr>
          <w:rFonts w:eastAsiaTheme="minorHAnsi"/>
          <w:b w:val="0"/>
          <w:smallCaps w:val="0"/>
          <w:sz w:val="22"/>
          <w:szCs w:val="22"/>
          <w:lang w:eastAsia="en-US"/>
        </w:rPr>
        <w:t xml:space="preserve"> </w:t>
      </w:r>
      <w:r w:rsidR="00291E54">
        <w:rPr>
          <w:rFonts w:eastAsiaTheme="minorHAnsi"/>
          <w:b w:val="0"/>
          <w:smallCaps w:val="0"/>
          <w:sz w:val="22"/>
          <w:szCs w:val="22"/>
          <w:lang w:eastAsia="en-US"/>
        </w:rPr>
        <w:t>E</w:t>
      </w:r>
      <w:r w:rsidR="000D566F" w:rsidRPr="000D566F">
        <w:rPr>
          <w:rFonts w:eastAsiaTheme="minorHAnsi"/>
          <w:b w:val="0"/>
          <w:smallCaps w:val="0"/>
          <w:sz w:val="22"/>
          <w:szCs w:val="22"/>
          <w:lang w:eastAsia="en-US"/>
        </w:rPr>
        <w:t xml:space="preserve">l numeral 1 </w:t>
      </w:r>
      <w:r w:rsidR="00291E54">
        <w:rPr>
          <w:rFonts w:eastAsiaTheme="minorHAnsi"/>
          <w:b w:val="0"/>
          <w:smallCaps w:val="0"/>
          <w:sz w:val="22"/>
          <w:szCs w:val="22"/>
          <w:lang w:eastAsia="en-US"/>
        </w:rPr>
        <w:t>de dicha norma señala que</w:t>
      </w:r>
      <w:r w:rsidR="000D566F" w:rsidRPr="000D566F">
        <w:rPr>
          <w:rFonts w:eastAsiaTheme="minorHAnsi"/>
          <w:b w:val="0"/>
          <w:smallCaps w:val="0"/>
          <w:sz w:val="22"/>
          <w:szCs w:val="22"/>
          <w:lang w:eastAsia="en-US"/>
        </w:rPr>
        <w:t xml:space="preserve">: «1. La Entidad Estatal en los pliegos de condiciones debe indicar la forma como calificará, entre otros, los siguientes criterios: </w:t>
      </w:r>
      <w:r w:rsidR="000D566F" w:rsidRPr="00000D82">
        <w:rPr>
          <w:rFonts w:eastAsiaTheme="minorHAnsi"/>
          <w:b w:val="0"/>
          <w:i/>
          <w:iCs/>
          <w:smallCaps w:val="0"/>
          <w:sz w:val="22"/>
          <w:szCs w:val="22"/>
          <w:lang w:eastAsia="en-US"/>
        </w:rPr>
        <w:t>a) la experiencia del interesado y del equipo de trabajo y b) la formación académica del equipo de trabajo»</w:t>
      </w:r>
      <w:r w:rsidR="00291E54">
        <w:rPr>
          <w:rFonts w:eastAsiaTheme="minorHAnsi"/>
          <w:b w:val="0"/>
          <w:smallCaps w:val="0"/>
          <w:sz w:val="22"/>
          <w:szCs w:val="22"/>
          <w:lang w:eastAsia="en-US"/>
        </w:rPr>
        <w:t xml:space="preserve"> [énfasis fuera de texto</w:t>
      </w:r>
      <w:r w:rsidR="007B3A3C">
        <w:rPr>
          <w:rFonts w:eastAsiaTheme="minorHAnsi"/>
          <w:b w:val="0"/>
          <w:smallCaps w:val="0"/>
          <w:sz w:val="22"/>
          <w:szCs w:val="22"/>
          <w:lang w:eastAsia="en-US"/>
        </w:rPr>
        <w:t>]</w:t>
      </w:r>
      <w:r w:rsidR="000D566F" w:rsidRPr="000D566F">
        <w:rPr>
          <w:rFonts w:eastAsiaTheme="minorHAnsi"/>
          <w:b w:val="0"/>
          <w:smallCaps w:val="0"/>
          <w:sz w:val="22"/>
          <w:szCs w:val="22"/>
          <w:lang w:eastAsia="en-US"/>
        </w:rPr>
        <w:t xml:space="preserve">. </w:t>
      </w:r>
      <w:r w:rsidR="007B3A3C">
        <w:rPr>
          <w:rFonts w:eastAsiaTheme="minorHAnsi"/>
          <w:b w:val="0"/>
          <w:smallCaps w:val="0"/>
          <w:sz w:val="22"/>
          <w:szCs w:val="22"/>
          <w:lang w:eastAsia="en-US"/>
        </w:rPr>
        <w:t xml:space="preserve">Conforme a esto, los factores ponderables en un proceso de selección de concurso de méritos –esto es, los que determinan la escogencia entre los </w:t>
      </w:r>
      <w:r w:rsidR="00885ECA">
        <w:rPr>
          <w:rFonts w:eastAsiaTheme="minorHAnsi"/>
          <w:b w:val="0"/>
          <w:smallCaps w:val="0"/>
          <w:sz w:val="22"/>
          <w:szCs w:val="22"/>
          <w:lang w:eastAsia="en-US"/>
        </w:rPr>
        <w:t xml:space="preserve">proponentes </w:t>
      </w:r>
      <w:r w:rsidR="007B3A3C">
        <w:rPr>
          <w:rFonts w:eastAsiaTheme="minorHAnsi"/>
          <w:b w:val="0"/>
          <w:smallCaps w:val="0"/>
          <w:sz w:val="22"/>
          <w:szCs w:val="22"/>
          <w:lang w:eastAsia="en-US"/>
        </w:rPr>
        <w:t>habilitados–</w:t>
      </w:r>
      <w:r w:rsidR="00885ECA">
        <w:rPr>
          <w:rFonts w:eastAsiaTheme="minorHAnsi"/>
          <w:b w:val="0"/>
          <w:smallCaps w:val="0"/>
          <w:sz w:val="22"/>
          <w:szCs w:val="22"/>
          <w:lang w:eastAsia="en-US"/>
        </w:rPr>
        <w:t xml:space="preserve">, son la experiencia del interesado y su equipo de trabajo, así como la formación académica.  </w:t>
      </w:r>
    </w:p>
    <w:p w14:paraId="4B27924B" w14:textId="682D4AB8" w:rsidR="004F66E7" w:rsidRPr="00000D82" w:rsidRDefault="00A4301D" w:rsidP="00000D82">
      <w:pPr>
        <w:spacing w:line="276" w:lineRule="auto"/>
        <w:jc w:val="both"/>
        <w:rPr>
          <w:b/>
          <w:smallCaps/>
          <w:sz w:val="22"/>
        </w:rPr>
      </w:pPr>
      <w:r w:rsidRPr="00000D82">
        <w:rPr>
          <w:rFonts w:ascii="Arial" w:hAnsi="Arial" w:cs="Arial"/>
          <w:lang w:val="es-CO"/>
        </w:rPr>
        <w:tab/>
      </w:r>
      <w:r w:rsidR="008045B9">
        <w:rPr>
          <w:rFonts w:ascii="Arial" w:hAnsi="Arial" w:cs="Arial"/>
          <w:lang w:val="es-CO"/>
        </w:rPr>
        <w:t>De acuerdo con</w:t>
      </w:r>
      <w:r w:rsidR="009A26BA" w:rsidRPr="00000D82">
        <w:rPr>
          <w:rFonts w:ascii="Arial" w:hAnsi="Arial" w:cs="Arial"/>
          <w:sz w:val="22"/>
          <w:szCs w:val="20"/>
          <w:lang w:val="es-CO"/>
        </w:rPr>
        <w:t xml:space="preserve"> esta </w:t>
      </w:r>
      <w:r w:rsidR="00740219" w:rsidRPr="00000D82">
        <w:rPr>
          <w:rFonts w:ascii="Arial" w:hAnsi="Arial" w:cs="Arial"/>
          <w:sz w:val="22"/>
          <w:szCs w:val="20"/>
          <w:lang w:val="es-CO"/>
        </w:rPr>
        <w:t>normativa,</w:t>
      </w:r>
      <w:r w:rsidR="005109C7" w:rsidRPr="00000D82">
        <w:rPr>
          <w:rFonts w:ascii="Arial" w:hAnsi="Arial" w:cs="Arial"/>
          <w:sz w:val="22"/>
          <w:szCs w:val="20"/>
          <w:lang w:val="es-CO"/>
        </w:rPr>
        <w:t xml:space="preserve"> </w:t>
      </w:r>
      <w:r w:rsidR="00BF0C05" w:rsidRPr="00000D82">
        <w:rPr>
          <w:rFonts w:ascii="Arial" w:hAnsi="Arial" w:cs="Arial"/>
          <w:sz w:val="22"/>
          <w:szCs w:val="20"/>
          <w:lang w:val="es-CO"/>
        </w:rPr>
        <w:t xml:space="preserve">en </w:t>
      </w:r>
      <w:r w:rsidR="00FA4C95" w:rsidRPr="00000D82">
        <w:rPr>
          <w:rFonts w:ascii="Arial" w:hAnsi="Arial" w:cs="Arial"/>
          <w:sz w:val="22"/>
          <w:szCs w:val="20"/>
          <w:lang w:val="es-CO"/>
        </w:rPr>
        <w:t xml:space="preserve">los </w:t>
      </w:r>
      <w:r w:rsidR="00013F3E" w:rsidRPr="00000D82">
        <w:rPr>
          <w:rFonts w:ascii="Arial" w:hAnsi="Arial" w:cs="Arial"/>
          <w:sz w:val="22"/>
          <w:szCs w:val="20"/>
          <w:lang w:val="es-CO"/>
        </w:rPr>
        <w:t xml:space="preserve">documentos </w:t>
      </w:r>
      <w:r w:rsidR="0087326E" w:rsidRPr="00000D82">
        <w:rPr>
          <w:rFonts w:ascii="Arial" w:hAnsi="Arial" w:cs="Arial"/>
          <w:sz w:val="22"/>
        </w:rPr>
        <w:t>t</w:t>
      </w:r>
      <w:r w:rsidR="000D566F" w:rsidRPr="00000D82">
        <w:rPr>
          <w:rFonts w:ascii="Arial" w:hAnsi="Arial" w:cs="Arial"/>
          <w:sz w:val="22"/>
        </w:rPr>
        <w:t xml:space="preserve">ipo de </w:t>
      </w:r>
      <w:r w:rsidR="0087326E" w:rsidRPr="00000D82">
        <w:rPr>
          <w:rFonts w:ascii="Arial" w:hAnsi="Arial" w:cs="Arial"/>
          <w:sz w:val="22"/>
        </w:rPr>
        <w:t>i</w:t>
      </w:r>
      <w:r w:rsidR="000D566F" w:rsidRPr="00000D82">
        <w:rPr>
          <w:rFonts w:ascii="Arial" w:hAnsi="Arial" w:cs="Arial"/>
          <w:sz w:val="22"/>
        </w:rPr>
        <w:t xml:space="preserve">nterventoría en </w:t>
      </w:r>
      <w:r w:rsidR="0087326E" w:rsidRPr="00000D82">
        <w:rPr>
          <w:rFonts w:ascii="Arial" w:hAnsi="Arial" w:cs="Arial"/>
          <w:sz w:val="22"/>
        </w:rPr>
        <w:t>o</w:t>
      </w:r>
      <w:r w:rsidR="000D566F" w:rsidRPr="00000D82">
        <w:rPr>
          <w:rFonts w:ascii="Arial" w:hAnsi="Arial" w:cs="Arial"/>
          <w:sz w:val="22"/>
        </w:rPr>
        <w:t xml:space="preserve">bra </w:t>
      </w:r>
      <w:r w:rsidR="0087326E" w:rsidRPr="00000D82">
        <w:rPr>
          <w:rFonts w:ascii="Arial" w:hAnsi="Arial" w:cs="Arial"/>
          <w:sz w:val="22"/>
        </w:rPr>
        <w:t>p</w:t>
      </w:r>
      <w:r w:rsidR="000D566F" w:rsidRPr="00000D82">
        <w:rPr>
          <w:rFonts w:ascii="Arial" w:hAnsi="Arial" w:cs="Arial"/>
          <w:sz w:val="22"/>
        </w:rPr>
        <w:t xml:space="preserve">ública de </w:t>
      </w:r>
      <w:r w:rsidR="0087326E" w:rsidRPr="00000D82">
        <w:rPr>
          <w:rFonts w:ascii="Arial" w:hAnsi="Arial" w:cs="Arial"/>
          <w:sz w:val="22"/>
          <w:lang w:val="es-CO"/>
        </w:rPr>
        <w:t>i</w:t>
      </w:r>
      <w:r w:rsidR="000D566F" w:rsidRPr="00BF370D">
        <w:rPr>
          <w:rFonts w:ascii="Arial" w:hAnsi="Arial" w:cs="Arial"/>
          <w:sz w:val="22"/>
          <w:lang w:val="es-CO"/>
        </w:rPr>
        <w:t xml:space="preserve">nfraestructura de </w:t>
      </w:r>
      <w:r w:rsidR="0087326E" w:rsidRPr="00000D82">
        <w:rPr>
          <w:rFonts w:ascii="Arial" w:hAnsi="Arial" w:cs="Arial"/>
          <w:sz w:val="22"/>
          <w:lang w:val="es-CO"/>
        </w:rPr>
        <w:t>t</w:t>
      </w:r>
      <w:r w:rsidR="000D566F" w:rsidRPr="00BF370D">
        <w:rPr>
          <w:rFonts w:ascii="Arial" w:hAnsi="Arial" w:cs="Arial"/>
          <w:sz w:val="22"/>
          <w:lang w:val="es-CO"/>
        </w:rPr>
        <w:t>ransporte</w:t>
      </w:r>
      <w:r w:rsidR="0087326E" w:rsidRPr="00000D82">
        <w:rPr>
          <w:rFonts w:ascii="Arial" w:hAnsi="Arial" w:cs="Arial"/>
          <w:sz w:val="22"/>
          <w:lang w:val="es-CO"/>
        </w:rPr>
        <w:t xml:space="preserve"> adoptados por esta</w:t>
      </w:r>
      <w:r w:rsidR="009E63D3" w:rsidRPr="00000D82">
        <w:rPr>
          <w:rFonts w:ascii="Arial" w:hAnsi="Arial" w:cs="Arial"/>
          <w:sz w:val="22"/>
          <w:lang w:val="es-CO"/>
        </w:rPr>
        <w:t xml:space="preserve"> Agencia,</w:t>
      </w:r>
      <w:r w:rsidR="0087326E" w:rsidRPr="00000D82">
        <w:rPr>
          <w:rFonts w:ascii="Arial" w:hAnsi="Arial" w:cs="Arial"/>
          <w:sz w:val="22"/>
          <w:lang w:val="es-CO"/>
        </w:rPr>
        <w:t xml:space="preserve"> </w:t>
      </w:r>
      <w:r w:rsidR="00BF0C05" w:rsidRPr="00000D82">
        <w:rPr>
          <w:rFonts w:ascii="Arial" w:hAnsi="Arial" w:cs="Arial"/>
          <w:sz w:val="22"/>
          <w:lang w:val="es-CO"/>
        </w:rPr>
        <w:t xml:space="preserve">se consideran la experiencia del proponente </w:t>
      </w:r>
      <w:r w:rsidR="003B6604" w:rsidRPr="00000D82">
        <w:rPr>
          <w:rFonts w:ascii="Arial" w:hAnsi="Arial" w:cs="Arial"/>
          <w:sz w:val="22"/>
          <w:lang w:val="es-CO"/>
        </w:rPr>
        <w:t xml:space="preserve">y del equipo de trabajo como factores de evaluación. </w:t>
      </w:r>
      <w:r w:rsidR="00BF370D" w:rsidRPr="00000D82">
        <w:rPr>
          <w:rFonts w:ascii="Arial" w:hAnsi="Arial" w:cs="Arial"/>
          <w:sz w:val="22"/>
          <w:lang w:val="es-CO"/>
        </w:rPr>
        <w:t xml:space="preserve">Esto se aprecia </w:t>
      </w:r>
      <w:r w:rsidR="004F66E7" w:rsidRPr="00BF370D">
        <w:rPr>
          <w:rFonts w:ascii="Arial" w:hAnsi="Arial" w:cs="Arial"/>
          <w:sz w:val="22"/>
          <w:lang w:val="es-CO"/>
        </w:rPr>
        <w:t>en el</w:t>
      </w:r>
      <w:r w:rsidR="00202B63" w:rsidRPr="00BF370D">
        <w:rPr>
          <w:rFonts w:ascii="Arial" w:hAnsi="Arial" w:cs="Arial"/>
          <w:sz w:val="22"/>
          <w:lang w:val="es-CO"/>
        </w:rPr>
        <w:t xml:space="preserve"> </w:t>
      </w:r>
      <w:r w:rsidR="004D0DBB" w:rsidRPr="00BF370D">
        <w:rPr>
          <w:rFonts w:ascii="Arial" w:hAnsi="Arial" w:cs="Arial"/>
          <w:sz w:val="22"/>
          <w:lang w:val="es-CO"/>
        </w:rPr>
        <w:t>C</w:t>
      </w:r>
      <w:r w:rsidR="00202B63" w:rsidRPr="00BF370D">
        <w:rPr>
          <w:rFonts w:ascii="Arial" w:hAnsi="Arial" w:cs="Arial"/>
          <w:sz w:val="22"/>
          <w:lang w:val="es-CO"/>
        </w:rPr>
        <w:t xml:space="preserve">apítulo </w:t>
      </w:r>
      <w:r w:rsidR="0015311E" w:rsidRPr="00BF370D">
        <w:rPr>
          <w:rFonts w:ascii="Arial" w:hAnsi="Arial" w:cs="Arial"/>
          <w:sz w:val="22"/>
          <w:lang w:val="es-CO"/>
        </w:rPr>
        <w:t>IV</w:t>
      </w:r>
      <w:r w:rsidR="00202B63" w:rsidRPr="00BF370D">
        <w:rPr>
          <w:rFonts w:ascii="Arial" w:hAnsi="Arial" w:cs="Arial"/>
          <w:sz w:val="22"/>
          <w:lang w:val="es-CO"/>
        </w:rPr>
        <w:t xml:space="preserve"> del</w:t>
      </w:r>
      <w:r w:rsidR="004F66E7" w:rsidRPr="00BF370D">
        <w:rPr>
          <w:rFonts w:ascii="Arial" w:hAnsi="Arial" w:cs="Arial"/>
          <w:sz w:val="22"/>
          <w:lang w:val="es-CO"/>
        </w:rPr>
        <w:t xml:space="preserve"> Documento </w:t>
      </w:r>
      <w:r w:rsidR="00BF370D" w:rsidRPr="00000D82">
        <w:rPr>
          <w:rFonts w:ascii="Arial" w:hAnsi="Arial" w:cs="Arial"/>
          <w:sz w:val="22"/>
          <w:lang w:val="es-CO"/>
        </w:rPr>
        <w:t>Base</w:t>
      </w:r>
      <w:r w:rsidR="00202B63" w:rsidRPr="00BF370D">
        <w:rPr>
          <w:rFonts w:ascii="Arial" w:hAnsi="Arial" w:cs="Arial"/>
          <w:sz w:val="22"/>
          <w:lang w:val="es-CO"/>
        </w:rPr>
        <w:t>,</w:t>
      </w:r>
      <w:r w:rsidR="00C04F1C">
        <w:rPr>
          <w:rFonts w:ascii="Arial" w:hAnsi="Arial" w:cs="Arial"/>
          <w:sz w:val="22"/>
          <w:lang w:val="es-CO"/>
        </w:rPr>
        <w:t xml:space="preserve"> en el que se señala que </w:t>
      </w:r>
      <w:r w:rsidR="004F66E7" w:rsidRPr="00BF370D">
        <w:rPr>
          <w:rFonts w:ascii="Arial" w:hAnsi="Arial" w:cs="Arial"/>
          <w:sz w:val="22"/>
          <w:lang w:val="es-CO"/>
        </w:rPr>
        <w:t>la entidad calificará las ofertas que hayan</w:t>
      </w:r>
      <w:r w:rsidR="004F66E7" w:rsidRPr="00000D82">
        <w:rPr>
          <w:rFonts w:ascii="Arial" w:hAnsi="Arial" w:cs="Arial"/>
          <w:sz w:val="22"/>
        </w:rPr>
        <w:t xml:space="preserve"> cumplido los requisitos habilitantes con los siguientes criterios de evaluación y puntajes: i) Experiencia del proponente ii) Equipo de trabajo (personal clave evaluable) </w:t>
      </w:r>
      <w:proofErr w:type="spellStart"/>
      <w:r w:rsidR="00C8688B" w:rsidRPr="00000D82">
        <w:rPr>
          <w:rFonts w:ascii="Arial" w:hAnsi="Arial" w:cs="Arial"/>
          <w:sz w:val="22"/>
        </w:rPr>
        <w:t>iii</w:t>
      </w:r>
      <w:proofErr w:type="spellEnd"/>
      <w:r w:rsidR="004F66E7" w:rsidRPr="00000D82">
        <w:rPr>
          <w:rFonts w:ascii="Arial" w:hAnsi="Arial" w:cs="Arial"/>
          <w:sz w:val="22"/>
        </w:rPr>
        <w:t>) Apoyo a la industria nacional y iv) vinculación de personas con discapacidad</w:t>
      </w:r>
      <w:r w:rsidR="00202B63" w:rsidRPr="00000D82">
        <w:rPr>
          <w:rFonts w:ascii="Arial" w:hAnsi="Arial" w:cs="Arial"/>
          <w:sz w:val="22"/>
        </w:rPr>
        <w:t>, así:</w:t>
      </w:r>
    </w:p>
    <w:p w14:paraId="006F554A" w14:textId="4A27B65F" w:rsidR="00202B63" w:rsidRPr="009C7D09" w:rsidRDefault="00202B63" w:rsidP="00202B63">
      <w:pPr>
        <w:rPr>
          <w:lang w:val="es-CO"/>
        </w:rPr>
      </w:pPr>
    </w:p>
    <w:tbl>
      <w:tblPr>
        <w:tblW w:w="5647" w:type="dxa"/>
        <w:tblInd w:w="1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1702"/>
      </w:tblGrid>
      <w:tr w:rsidR="00202B63" w:rsidRPr="009C7D09" w14:paraId="6A1C074B" w14:textId="77777777" w:rsidTr="00202B63">
        <w:trPr>
          <w:trHeight w:val="300"/>
        </w:trPr>
        <w:tc>
          <w:tcPr>
            <w:tcW w:w="3945" w:type="dxa"/>
            <w:tcBorders>
              <w:top w:val="double" w:sz="6" w:space="0" w:color="auto"/>
              <w:left w:val="double" w:sz="6" w:space="0" w:color="auto"/>
              <w:bottom w:val="single" w:sz="6" w:space="0" w:color="auto"/>
              <w:right w:val="single" w:sz="6" w:space="0" w:color="auto"/>
            </w:tcBorders>
            <w:shd w:val="clear" w:color="auto" w:fill="404040"/>
            <w:vAlign w:val="center"/>
            <w:hideMark/>
          </w:tcPr>
          <w:p w14:paraId="1EE4330E" w14:textId="77777777" w:rsidR="00202B63" w:rsidRPr="00000D82" w:rsidRDefault="00202B63" w:rsidP="00202B63">
            <w:pPr>
              <w:jc w:val="center"/>
              <w:textAlignment w:val="baseline"/>
              <w:rPr>
                <w:rFonts w:ascii="Segoe UI" w:eastAsia="Times New Roman" w:hAnsi="Segoe UI" w:cs="Segoe UI"/>
                <w:sz w:val="20"/>
                <w:szCs w:val="20"/>
                <w:lang w:val="es-CO" w:eastAsia="es-CO"/>
              </w:rPr>
            </w:pPr>
            <w:r w:rsidRPr="009C441E">
              <w:rPr>
                <w:rFonts w:ascii="Arial" w:eastAsia="Times New Roman" w:hAnsi="Arial" w:cs="Arial"/>
                <w:b/>
                <w:bCs/>
                <w:color w:val="FFFFFF"/>
                <w:sz w:val="20"/>
                <w:szCs w:val="20"/>
                <w:lang w:val="es-CO" w:eastAsia="es-CO"/>
              </w:rPr>
              <w:t>Concepto</w:t>
            </w:r>
            <w:r w:rsidRPr="00664F15">
              <w:rPr>
                <w:rFonts w:ascii="Arial" w:eastAsia="Times New Roman" w:hAnsi="Arial" w:cs="Arial"/>
                <w:color w:val="FFFFFF"/>
                <w:sz w:val="20"/>
                <w:szCs w:val="20"/>
                <w:lang w:val="es-CO" w:eastAsia="es-CO"/>
              </w:rPr>
              <w:t> </w:t>
            </w:r>
          </w:p>
        </w:tc>
        <w:tc>
          <w:tcPr>
            <w:tcW w:w="1702" w:type="dxa"/>
            <w:tcBorders>
              <w:top w:val="double" w:sz="6" w:space="0" w:color="auto"/>
              <w:left w:val="single" w:sz="6" w:space="0" w:color="auto"/>
              <w:bottom w:val="single" w:sz="6" w:space="0" w:color="auto"/>
              <w:right w:val="double" w:sz="6" w:space="0" w:color="auto"/>
            </w:tcBorders>
            <w:shd w:val="clear" w:color="auto" w:fill="404040"/>
            <w:vAlign w:val="center"/>
            <w:hideMark/>
          </w:tcPr>
          <w:p w14:paraId="338756DC" w14:textId="77777777" w:rsidR="00202B63" w:rsidRPr="00000D82" w:rsidRDefault="00202B63" w:rsidP="00202B63">
            <w:pPr>
              <w:jc w:val="center"/>
              <w:textAlignment w:val="baseline"/>
              <w:rPr>
                <w:rFonts w:ascii="Segoe UI" w:eastAsia="Times New Roman" w:hAnsi="Segoe UI" w:cs="Segoe UI"/>
                <w:sz w:val="20"/>
                <w:szCs w:val="20"/>
                <w:lang w:val="es-CO" w:eastAsia="es-CO"/>
              </w:rPr>
            </w:pPr>
            <w:r w:rsidRPr="009C441E">
              <w:rPr>
                <w:rFonts w:ascii="Arial" w:eastAsia="Times New Roman" w:hAnsi="Arial" w:cs="Arial"/>
                <w:b/>
                <w:bCs/>
                <w:color w:val="FFFFFF"/>
                <w:sz w:val="20"/>
                <w:szCs w:val="20"/>
                <w:lang w:val="es-CO" w:eastAsia="es-CO"/>
              </w:rPr>
              <w:t>Puntaje máximo</w:t>
            </w:r>
            <w:r w:rsidRPr="00664F15">
              <w:rPr>
                <w:rFonts w:ascii="Arial" w:eastAsia="Times New Roman" w:hAnsi="Arial" w:cs="Arial"/>
                <w:color w:val="FFFFFF"/>
                <w:sz w:val="20"/>
                <w:szCs w:val="20"/>
                <w:lang w:val="es-CO" w:eastAsia="es-CO"/>
              </w:rPr>
              <w:t> </w:t>
            </w:r>
          </w:p>
        </w:tc>
      </w:tr>
      <w:tr w:rsidR="00202B63" w:rsidRPr="009C7D09" w14:paraId="02137B80" w14:textId="77777777" w:rsidTr="00202B63">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5050AC20" w14:textId="77777777" w:rsidR="00202B63" w:rsidRPr="00000D82" w:rsidRDefault="00202B63" w:rsidP="00202B63">
            <w:pPr>
              <w:jc w:val="both"/>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Experiencia del proponente</w:t>
            </w:r>
            <w:r w:rsidRPr="00664F15">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1E82656" w14:textId="77777777" w:rsidR="00202B63" w:rsidRPr="00000D82" w:rsidRDefault="00202B63" w:rsidP="00202B63">
            <w:pPr>
              <w:jc w:val="center"/>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CO" w:eastAsia="es-CO"/>
              </w:rPr>
              <w:t>69 </w:t>
            </w:r>
          </w:p>
        </w:tc>
      </w:tr>
      <w:tr w:rsidR="00202B63" w:rsidRPr="009C7D09" w14:paraId="158547D7" w14:textId="77777777" w:rsidTr="00202B63">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40759133" w14:textId="77777777" w:rsidR="00202B63" w:rsidRPr="00000D82" w:rsidRDefault="00202B63" w:rsidP="00202B63">
            <w:pPr>
              <w:jc w:val="both"/>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Equipo de trabajo (personal clave evaluable)</w:t>
            </w:r>
            <w:r w:rsidRPr="00664F15">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7950381A" w14:textId="77777777" w:rsidR="00202B63" w:rsidRPr="00000D82" w:rsidRDefault="00202B63" w:rsidP="00202B63">
            <w:pPr>
              <w:jc w:val="center"/>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10</w:t>
            </w:r>
            <w:r w:rsidRPr="00664F15">
              <w:rPr>
                <w:rFonts w:ascii="Arial" w:eastAsia="Times New Roman" w:hAnsi="Arial" w:cs="Arial"/>
                <w:sz w:val="20"/>
                <w:szCs w:val="20"/>
                <w:lang w:val="es-CO" w:eastAsia="es-CO"/>
              </w:rPr>
              <w:t> </w:t>
            </w:r>
          </w:p>
        </w:tc>
      </w:tr>
      <w:tr w:rsidR="00202B63" w:rsidRPr="009C7D09" w14:paraId="20942550" w14:textId="77777777" w:rsidTr="00202B63">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3521C977" w14:textId="77777777" w:rsidR="00202B63" w:rsidRPr="00000D82" w:rsidRDefault="00202B63" w:rsidP="00202B63">
            <w:pPr>
              <w:jc w:val="both"/>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Apoyo a la industria nacional</w:t>
            </w:r>
            <w:r w:rsidRPr="00664F15">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C3AA335" w14:textId="77777777" w:rsidR="00202B63" w:rsidRPr="00000D82" w:rsidRDefault="00202B63" w:rsidP="00202B63">
            <w:pPr>
              <w:jc w:val="center"/>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20</w:t>
            </w:r>
            <w:r w:rsidRPr="00664F15">
              <w:rPr>
                <w:rFonts w:ascii="Arial" w:eastAsia="Times New Roman" w:hAnsi="Arial" w:cs="Arial"/>
                <w:sz w:val="20"/>
                <w:szCs w:val="20"/>
                <w:lang w:val="es-CO" w:eastAsia="es-CO"/>
              </w:rPr>
              <w:t> </w:t>
            </w:r>
          </w:p>
        </w:tc>
      </w:tr>
      <w:tr w:rsidR="00202B63" w:rsidRPr="009C7D09" w14:paraId="70DDAF42" w14:textId="77777777" w:rsidTr="00000D82">
        <w:trPr>
          <w:trHeight w:val="16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E6827AE" w14:textId="77777777" w:rsidR="00202B63" w:rsidRPr="00000D82" w:rsidRDefault="00202B63" w:rsidP="00202B63">
            <w:pPr>
              <w:jc w:val="both"/>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Vinculación de personas con discapacidad</w:t>
            </w:r>
            <w:r w:rsidRPr="00664F15">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2CC73234" w14:textId="77777777" w:rsidR="00202B63" w:rsidRPr="00000D82" w:rsidRDefault="00202B63" w:rsidP="00202B63">
            <w:pPr>
              <w:jc w:val="center"/>
              <w:textAlignment w:val="baseline"/>
              <w:rPr>
                <w:rFonts w:ascii="Segoe UI" w:eastAsia="Times New Roman" w:hAnsi="Segoe UI" w:cs="Segoe UI"/>
                <w:sz w:val="20"/>
                <w:szCs w:val="20"/>
                <w:lang w:val="es-CO" w:eastAsia="es-CO"/>
              </w:rPr>
            </w:pPr>
            <w:r w:rsidRPr="009C441E">
              <w:rPr>
                <w:rFonts w:ascii="Arial" w:eastAsia="Times New Roman" w:hAnsi="Arial" w:cs="Arial"/>
                <w:sz w:val="20"/>
                <w:szCs w:val="20"/>
                <w:lang w:val="es-ES" w:eastAsia="es-CO"/>
              </w:rPr>
              <w:t>1</w:t>
            </w:r>
            <w:r w:rsidRPr="00664F15">
              <w:rPr>
                <w:rFonts w:ascii="Arial" w:eastAsia="Times New Roman" w:hAnsi="Arial" w:cs="Arial"/>
                <w:sz w:val="20"/>
                <w:szCs w:val="20"/>
                <w:lang w:val="es-CO" w:eastAsia="es-CO"/>
              </w:rPr>
              <w:t> </w:t>
            </w:r>
          </w:p>
        </w:tc>
      </w:tr>
    </w:tbl>
    <w:p w14:paraId="4824213C" w14:textId="77777777" w:rsidR="004F66E7" w:rsidRPr="009C7D09" w:rsidRDefault="004F66E7" w:rsidP="004F66E7">
      <w:pPr>
        <w:pStyle w:val="NormalWeb"/>
        <w:spacing w:before="0" w:beforeAutospacing="0" w:after="0" w:afterAutospacing="0" w:line="254" w:lineRule="atLeast"/>
        <w:jc w:val="both"/>
        <w:rPr>
          <w:rFonts w:ascii="Arial" w:hAnsi="Arial" w:cs="Arial"/>
          <w:sz w:val="22"/>
          <w:szCs w:val="22"/>
        </w:rPr>
      </w:pPr>
    </w:p>
    <w:p w14:paraId="5FF86BE8" w14:textId="04FE4E9D" w:rsidR="003B163E" w:rsidRDefault="004E0696" w:rsidP="00000D82">
      <w:pPr>
        <w:pStyle w:val="NormalWeb"/>
        <w:spacing w:before="0" w:beforeAutospacing="0" w:after="120" w:afterAutospacing="0" w:line="276" w:lineRule="auto"/>
        <w:ind w:firstLine="709"/>
        <w:jc w:val="both"/>
        <w:rPr>
          <w:rFonts w:ascii="Arial" w:eastAsiaTheme="minorHAnsi" w:hAnsi="Arial" w:cs="Arial"/>
          <w:color w:val="000000" w:themeColor="text1"/>
          <w:sz w:val="22"/>
          <w:szCs w:val="22"/>
          <w:lang w:val="es-ES_tradnl" w:eastAsia="en-US"/>
        </w:rPr>
      </w:pPr>
      <w:r w:rsidRPr="009C7D09">
        <w:rPr>
          <w:rFonts w:ascii="Arial" w:hAnsi="Arial" w:cs="Arial"/>
          <w:color w:val="000000" w:themeColor="text1"/>
          <w:sz w:val="22"/>
          <w:lang w:val="es-ES_tradnl"/>
        </w:rPr>
        <w:t>E</w:t>
      </w:r>
      <w:r w:rsidR="004F66E7" w:rsidRPr="009C7D09">
        <w:rPr>
          <w:rFonts w:ascii="Arial" w:hAnsi="Arial" w:cs="Arial"/>
          <w:color w:val="000000" w:themeColor="text1"/>
          <w:sz w:val="22"/>
          <w:lang w:val="es-ES_tradnl"/>
        </w:rPr>
        <w:t xml:space="preserve">n atención a la naturaleza jurídica de la selección a realizar, no se tiene en cuenta el precio como factor de evaluación, a diferencia del proceso de licitación pública y de los </w:t>
      </w:r>
      <w:r w:rsidR="004F66E7" w:rsidRPr="009C7D09">
        <w:rPr>
          <w:rFonts w:ascii="Arial" w:hAnsi="Arial" w:cs="Arial"/>
          <w:color w:val="000000" w:themeColor="text1"/>
          <w:sz w:val="22"/>
          <w:lang w:val="es-ES_tradnl"/>
        </w:rPr>
        <w:lastRenderedPageBreak/>
        <w:t xml:space="preserve">demás procesos de selección de contratos estatales. </w:t>
      </w:r>
      <w:r w:rsidR="00231FA2" w:rsidRPr="009C7D09">
        <w:rPr>
          <w:rFonts w:ascii="Arial" w:eastAsiaTheme="minorHAnsi" w:hAnsi="Arial" w:cs="Arial"/>
          <w:color w:val="000000" w:themeColor="text1"/>
          <w:sz w:val="22"/>
          <w:szCs w:val="22"/>
          <w:lang w:val="es-ES_tradnl" w:eastAsia="en-US"/>
        </w:rPr>
        <w:t>Por tanto</w:t>
      </w:r>
      <w:r w:rsidR="00581BDD">
        <w:rPr>
          <w:rFonts w:ascii="Arial" w:eastAsiaTheme="minorHAnsi" w:hAnsi="Arial" w:cs="Arial"/>
          <w:color w:val="000000" w:themeColor="text1"/>
          <w:sz w:val="22"/>
          <w:szCs w:val="22"/>
          <w:lang w:val="es-ES_tradnl" w:eastAsia="en-US"/>
        </w:rPr>
        <w:t>,</w:t>
      </w:r>
      <w:r w:rsidR="003B163E">
        <w:rPr>
          <w:rFonts w:ascii="Arial" w:eastAsiaTheme="minorHAnsi" w:hAnsi="Arial" w:cs="Arial"/>
          <w:color w:val="000000" w:themeColor="text1"/>
          <w:sz w:val="22"/>
          <w:szCs w:val="22"/>
          <w:lang w:val="es-ES_tradnl" w:eastAsia="en-US"/>
        </w:rPr>
        <w:t xml:space="preserve"> de conformidad con el inciso final del artículo 5.4 de la Ley 1150 de 2007,</w:t>
      </w:r>
      <w:r w:rsidR="00231FA2" w:rsidRPr="00CB2E46">
        <w:rPr>
          <w:rFonts w:ascii="Arial" w:eastAsiaTheme="minorHAnsi" w:hAnsi="Arial" w:cs="Arial"/>
          <w:color w:val="000000" w:themeColor="text1"/>
          <w:sz w:val="22"/>
          <w:szCs w:val="22"/>
          <w:lang w:val="es-ES_tradnl" w:eastAsia="en-US"/>
        </w:rPr>
        <w:t xml:space="preserve"> la oferta económica no tiene injerencia en la escogencia </w:t>
      </w:r>
      <w:r w:rsidR="003B163E">
        <w:rPr>
          <w:rFonts w:ascii="Arial" w:eastAsiaTheme="minorHAnsi" w:hAnsi="Arial" w:cs="Arial"/>
          <w:color w:val="000000" w:themeColor="text1"/>
          <w:sz w:val="22"/>
          <w:szCs w:val="22"/>
          <w:lang w:val="es-ES_tradnl" w:eastAsia="en-US"/>
        </w:rPr>
        <w:t>del ofrecimiento más favorable.</w:t>
      </w:r>
    </w:p>
    <w:p w14:paraId="4F0B0B2E" w14:textId="04F18779" w:rsidR="004E0696" w:rsidRDefault="00586D36" w:rsidP="009C441E">
      <w:pPr>
        <w:pStyle w:val="NormalWeb"/>
        <w:spacing w:before="0" w:beforeAutospacing="0" w:after="0" w:afterAutospacing="0" w:line="276" w:lineRule="auto"/>
        <w:ind w:firstLine="708"/>
        <w:jc w:val="both"/>
        <w:rPr>
          <w:rFonts w:ascii="Arial" w:eastAsia="Calibri" w:hAnsi="Arial" w:cs="Arial"/>
          <w:bCs/>
          <w:color w:val="000000" w:themeColor="text1"/>
          <w:sz w:val="22"/>
          <w:szCs w:val="22"/>
          <w:lang w:val="es-ES_tradnl"/>
        </w:rPr>
      </w:pPr>
      <w:r>
        <w:rPr>
          <w:rFonts w:ascii="Arial" w:eastAsiaTheme="minorHAnsi" w:hAnsi="Arial" w:cs="Arial"/>
          <w:color w:val="000000" w:themeColor="text1"/>
          <w:sz w:val="22"/>
          <w:szCs w:val="22"/>
          <w:lang w:val="es-ES_tradnl" w:eastAsia="en-US"/>
        </w:rPr>
        <w:t>E</w:t>
      </w:r>
      <w:r w:rsidR="000300A6">
        <w:rPr>
          <w:rFonts w:ascii="Arial" w:eastAsiaTheme="minorHAnsi" w:hAnsi="Arial" w:cs="Arial"/>
          <w:color w:val="000000" w:themeColor="text1"/>
          <w:sz w:val="22"/>
          <w:szCs w:val="22"/>
          <w:lang w:val="es-ES_tradnl" w:eastAsia="en-US"/>
        </w:rPr>
        <w:t xml:space="preserve">l referido Documento Base, en lo relativo </w:t>
      </w:r>
      <w:r w:rsidR="000E4528">
        <w:rPr>
          <w:rFonts w:ascii="Arial" w:eastAsiaTheme="minorHAnsi" w:hAnsi="Arial" w:cs="Arial"/>
          <w:color w:val="000000" w:themeColor="text1"/>
          <w:sz w:val="22"/>
          <w:szCs w:val="22"/>
          <w:lang w:val="es-ES_tradnl" w:eastAsia="en-US"/>
        </w:rPr>
        <w:t xml:space="preserve">a la evaluación de la experiencia del proponente, establece un </w:t>
      </w:r>
      <w:r w:rsidR="00231FA2" w:rsidRPr="00CB2E46">
        <w:rPr>
          <w:rFonts w:ascii="Arial" w:eastAsiaTheme="minorHAnsi" w:hAnsi="Arial" w:cs="Arial"/>
          <w:color w:val="000000" w:themeColor="text1"/>
          <w:sz w:val="22"/>
          <w:szCs w:val="22"/>
          <w:lang w:val="es-ES_tradnl" w:eastAsia="en-US"/>
        </w:rPr>
        <w:t xml:space="preserve">método de ponderación de </w:t>
      </w:r>
      <w:r w:rsidR="00231FA2" w:rsidRPr="009C7D09">
        <w:rPr>
          <w:rFonts w:ascii="Arial" w:eastAsiaTheme="minorHAnsi" w:hAnsi="Arial" w:cs="Arial"/>
          <w:color w:val="000000" w:themeColor="text1"/>
          <w:sz w:val="22"/>
          <w:szCs w:val="22"/>
          <w:lang w:val="es-ES_tradnl" w:eastAsia="en-US"/>
        </w:rPr>
        <w:t>los requisitos</w:t>
      </w:r>
      <w:r w:rsidR="000E4528">
        <w:rPr>
          <w:rFonts w:ascii="Arial" w:eastAsiaTheme="minorHAnsi" w:hAnsi="Arial" w:cs="Arial"/>
          <w:color w:val="000000" w:themeColor="text1"/>
          <w:sz w:val="22"/>
          <w:szCs w:val="22"/>
          <w:lang w:val="es-ES_tradnl" w:eastAsia="en-US"/>
        </w:rPr>
        <w:t xml:space="preserve"> de este f</w:t>
      </w:r>
      <w:r w:rsidR="00AC07E2">
        <w:rPr>
          <w:rFonts w:ascii="Arial" w:eastAsiaTheme="minorHAnsi" w:hAnsi="Arial" w:cs="Arial"/>
          <w:color w:val="000000" w:themeColor="text1"/>
          <w:sz w:val="22"/>
          <w:szCs w:val="22"/>
          <w:lang w:val="es-ES_tradnl" w:eastAsia="en-US"/>
        </w:rPr>
        <w:t>actor de asignación de puntaje.</w:t>
      </w:r>
      <w:r w:rsidR="00231FA2" w:rsidRPr="009C7D09">
        <w:rPr>
          <w:rFonts w:ascii="Arial" w:eastAsiaTheme="minorHAnsi" w:hAnsi="Arial" w:cs="Arial"/>
          <w:color w:val="000000" w:themeColor="text1"/>
          <w:sz w:val="22"/>
          <w:szCs w:val="22"/>
          <w:lang w:val="es-ES_tradnl" w:eastAsia="en-US"/>
        </w:rPr>
        <w:t xml:space="preserve"> </w:t>
      </w:r>
      <w:r w:rsidR="00AC07E2">
        <w:rPr>
          <w:rFonts w:ascii="Arial" w:eastAsiaTheme="minorHAnsi" w:hAnsi="Arial" w:cs="Arial"/>
          <w:color w:val="000000" w:themeColor="text1"/>
          <w:sz w:val="22"/>
          <w:szCs w:val="22"/>
          <w:lang w:val="es-ES_tradnl" w:eastAsia="en-US"/>
        </w:rPr>
        <w:t xml:space="preserve">Al respecto, el </w:t>
      </w:r>
      <w:r w:rsidR="00231FA2" w:rsidRPr="009C7D09">
        <w:rPr>
          <w:rFonts w:ascii="Arial" w:eastAsiaTheme="minorHAnsi" w:hAnsi="Arial" w:cs="Arial"/>
          <w:color w:val="000000" w:themeColor="text1"/>
          <w:sz w:val="22"/>
          <w:szCs w:val="22"/>
          <w:lang w:val="es-ES_tradnl" w:eastAsia="en-US"/>
        </w:rPr>
        <w:t>numeral 4.1,</w:t>
      </w:r>
      <w:r w:rsidR="00E22010">
        <w:rPr>
          <w:rFonts w:ascii="Arial" w:eastAsiaTheme="minorHAnsi" w:hAnsi="Arial" w:cs="Arial"/>
          <w:color w:val="000000" w:themeColor="text1"/>
          <w:sz w:val="22"/>
          <w:szCs w:val="22"/>
          <w:lang w:val="es-ES_tradnl" w:eastAsia="en-US"/>
        </w:rPr>
        <w:t xml:space="preserve"> en</w:t>
      </w:r>
      <w:r w:rsidR="004E0696" w:rsidRPr="009C7D09">
        <w:rPr>
          <w:rFonts w:ascii="Arial" w:eastAsiaTheme="minorHAnsi" w:hAnsi="Arial" w:cs="Arial"/>
          <w:color w:val="000000" w:themeColor="text1"/>
          <w:sz w:val="22"/>
          <w:szCs w:val="22"/>
          <w:lang w:val="es-ES_tradnl" w:eastAsia="en-US"/>
        </w:rPr>
        <w:t xml:space="preserve"> </w:t>
      </w:r>
      <w:r w:rsidR="00760692">
        <w:rPr>
          <w:rFonts w:ascii="Arial" w:eastAsiaTheme="minorHAnsi" w:hAnsi="Arial" w:cs="Arial"/>
          <w:color w:val="000000" w:themeColor="text1"/>
          <w:sz w:val="22"/>
          <w:szCs w:val="22"/>
          <w:lang w:val="es-ES_tradnl" w:eastAsia="en-US"/>
        </w:rPr>
        <w:t xml:space="preserve">los </w:t>
      </w:r>
      <w:r w:rsidR="00231FA2" w:rsidRPr="009C7D09">
        <w:rPr>
          <w:rFonts w:ascii="Arial" w:eastAsiaTheme="minorHAnsi" w:hAnsi="Arial" w:cs="Arial"/>
          <w:color w:val="000000" w:themeColor="text1"/>
          <w:sz w:val="22"/>
          <w:szCs w:val="22"/>
          <w:lang w:val="es-ES_tradnl" w:eastAsia="en-US"/>
        </w:rPr>
        <w:t>literal</w:t>
      </w:r>
      <w:r w:rsidR="00760692">
        <w:rPr>
          <w:rFonts w:ascii="Arial" w:eastAsiaTheme="minorHAnsi" w:hAnsi="Arial" w:cs="Arial"/>
          <w:color w:val="000000" w:themeColor="text1"/>
          <w:sz w:val="22"/>
          <w:szCs w:val="22"/>
          <w:lang w:val="es-ES_tradnl" w:eastAsia="en-US"/>
        </w:rPr>
        <w:t>es A y</w:t>
      </w:r>
      <w:r w:rsidR="00231FA2" w:rsidRPr="009C7D09">
        <w:rPr>
          <w:rFonts w:ascii="Arial" w:eastAsiaTheme="minorHAnsi" w:hAnsi="Arial" w:cs="Arial"/>
          <w:color w:val="000000" w:themeColor="text1"/>
          <w:sz w:val="22"/>
          <w:szCs w:val="22"/>
          <w:lang w:val="es-ES_tradnl" w:eastAsia="en-US"/>
        </w:rPr>
        <w:t xml:space="preserve"> B del </w:t>
      </w:r>
      <w:r w:rsidR="00760692">
        <w:rPr>
          <w:rFonts w:ascii="Arial" w:eastAsiaTheme="minorHAnsi" w:hAnsi="Arial" w:cs="Arial"/>
          <w:color w:val="000000" w:themeColor="text1"/>
          <w:sz w:val="22"/>
          <w:szCs w:val="22"/>
          <w:lang w:val="es-ES_tradnl" w:eastAsia="en-US"/>
        </w:rPr>
        <w:t>P</w:t>
      </w:r>
      <w:r w:rsidR="00231FA2" w:rsidRPr="009C7D09">
        <w:rPr>
          <w:rFonts w:ascii="Arial" w:eastAsiaTheme="minorHAnsi" w:hAnsi="Arial" w:cs="Arial"/>
          <w:color w:val="000000" w:themeColor="text1"/>
          <w:sz w:val="22"/>
          <w:szCs w:val="22"/>
          <w:lang w:val="es-ES_tradnl" w:eastAsia="en-US"/>
        </w:rPr>
        <w:t xml:space="preserve">liego </w:t>
      </w:r>
      <w:r w:rsidR="00760692">
        <w:rPr>
          <w:rFonts w:ascii="Arial" w:eastAsiaTheme="minorHAnsi" w:hAnsi="Arial" w:cs="Arial"/>
          <w:color w:val="000000" w:themeColor="text1"/>
          <w:sz w:val="22"/>
          <w:szCs w:val="22"/>
          <w:lang w:val="es-ES_tradnl" w:eastAsia="en-US"/>
        </w:rPr>
        <w:t>T</w:t>
      </w:r>
      <w:r w:rsidR="00231FA2" w:rsidRPr="009C7D09">
        <w:rPr>
          <w:rFonts w:ascii="Arial" w:eastAsiaTheme="minorHAnsi" w:hAnsi="Arial" w:cs="Arial"/>
          <w:color w:val="000000" w:themeColor="text1"/>
          <w:sz w:val="22"/>
          <w:szCs w:val="22"/>
          <w:lang w:val="es-ES_tradnl" w:eastAsia="en-US"/>
        </w:rPr>
        <w:t xml:space="preserve">ipo </w:t>
      </w:r>
      <w:r w:rsidR="004E0696" w:rsidRPr="009C7D09">
        <w:rPr>
          <w:rFonts w:ascii="Arial" w:eastAsia="Calibri" w:hAnsi="Arial" w:cs="Arial"/>
          <w:bCs/>
          <w:color w:val="000000" w:themeColor="text1"/>
          <w:sz w:val="22"/>
          <w:szCs w:val="22"/>
          <w:lang w:val="es-ES_tradnl"/>
        </w:rPr>
        <w:t>estudiado</w:t>
      </w:r>
      <w:r w:rsidR="00760692">
        <w:rPr>
          <w:rFonts w:ascii="Arial" w:eastAsia="Calibri" w:hAnsi="Arial" w:cs="Arial"/>
          <w:bCs/>
          <w:color w:val="000000" w:themeColor="text1"/>
          <w:sz w:val="22"/>
          <w:szCs w:val="22"/>
          <w:lang w:val="es-ES_tradnl"/>
        </w:rPr>
        <w:t xml:space="preserve"> establecen:</w:t>
      </w:r>
    </w:p>
    <w:p w14:paraId="725187C8" w14:textId="7D0A6473" w:rsidR="00760692" w:rsidRDefault="00760692" w:rsidP="006848CA">
      <w:pPr>
        <w:pStyle w:val="NormalWeb"/>
        <w:spacing w:before="0" w:beforeAutospacing="0" w:after="0" w:afterAutospacing="0" w:line="276" w:lineRule="auto"/>
        <w:ind w:firstLine="708"/>
        <w:jc w:val="both"/>
        <w:rPr>
          <w:rFonts w:ascii="Arial" w:eastAsia="Calibri" w:hAnsi="Arial" w:cs="Arial"/>
          <w:bCs/>
          <w:color w:val="000000" w:themeColor="text1"/>
          <w:sz w:val="22"/>
          <w:szCs w:val="22"/>
          <w:lang w:val="es-ES_tradnl"/>
        </w:rPr>
      </w:pPr>
    </w:p>
    <w:p w14:paraId="12BC9886" w14:textId="753C576C" w:rsidR="00760692" w:rsidRPr="00000D82" w:rsidRDefault="00760692" w:rsidP="00000D82">
      <w:pPr>
        <w:pStyle w:val="NormalWeb"/>
        <w:spacing w:before="0" w:beforeAutospacing="0" w:after="0" w:afterAutospacing="0"/>
        <w:ind w:left="709" w:right="709"/>
        <w:jc w:val="both"/>
        <w:rPr>
          <w:rFonts w:ascii="Arial" w:eastAsia="Calibri" w:hAnsi="Arial" w:cs="Arial"/>
          <w:bCs/>
          <w:color w:val="000000" w:themeColor="text1"/>
          <w:sz w:val="21"/>
          <w:szCs w:val="21"/>
          <w:lang w:val="es-ES_tradnl"/>
        </w:rPr>
      </w:pPr>
      <w:r w:rsidRPr="00000D82">
        <w:rPr>
          <w:rFonts w:ascii="Arial" w:eastAsia="Calibri" w:hAnsi="Arial" w:cs="Arial"/>
          <w:bCs/>
          <w:color w:val="000000" w:themeColor="text1"/>
          <w:sz w:val="21"/>
          <w:szCs w:val="21"/>
          <w:lang w:val="es-ES_tradnl"/>
        </w:rPr>
        <w:t>A.</w:t>
      </w:r>
      <w:r>
        <w:rPr>
          <w:rFonts w:ascii="Arial" w:eastAsia="Calibri" w:hAnsi="Arial" w:cs="Arial"/>
          <w:bCs/>
          <w:color w:val="000000" w:themeColor="text1"/>
          <w:sz w:val="21"/>
          <w:szCs w:val="21"/>
          <w:lang w:val="es-ES_tradnl"/>
        </w:rPr>
        <w:t xml:space="preserve"> </w:t>
      </w:r>
      <w:r w:rsidRPr="00000D82">
        <w:rPr>
          <w:rFonts w:ascii="Arial" w:eastAsia="Calibri" w:hAnsi="Arial" w:cs="Arial"/>
          <w:bCs/>
          <w:color w:val="000000" w:themeColor="text1"/>
          <w:sz w:val="21"/>
          <w:szCs w:val="21"/>
          <w:lang w:val="es-ES_tradnl"/>
        </w:rPr>
        <w:t>El proponente cumplirá con la exigencia mínima de experiencia prevista en el numeral 3.8.1, de acuerdo con lo anterior, si el proponente debió subsanar el cumplimiento de la experiencia mínima no será susceptible de puntuación, por lo que obtendrá cero (0) puntos por este criterio de evaluación.</w:t>
      </w:r>
    </w:p>
    <w:p w14:paraId="3079536B" w14:textId="77777777" w:rsidR="00733771" w:rsidRPr="00000D82" w:rsidRDefault="00733771" w:rsidP="00000D82">
      <w:pPr>
        <w:pStyle w:val="NormalWeb"/>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p>
    <w:p w14:paraId="0CA9B743" w14:textId="75A703B3" w:rsidR="00231FA2" w:rsidRPr="00000D82" w:rsidRDefault="00760692" w:rsidP="00000D82">
      <w:pPr>
        <w:pStyle w:val="NormalWeb"/>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r w:rsidRPr="00000D82">
        <w:rPr>
          <w:rFonts w:ascii="Arial" w:eastAsiaTheme="minorHAnsi" w:hAnsi="Arial" w:cs="Arial"/>
          <w:color w:val="000000" w:themeColor="text1"/>
          <w:sz w:val="21"/>
          <w:szCs w:val="21"/>
          <w:lang w:val="es-ES_tradnl" w:eastAsia="en-US"/>
        </w:rPr>
        <w:t xml:space="preserve">B. </w:t>
      </w:r>
      <w:r w:rsidR="00231FA2" w:rsidRPr="00000D82">
        <w:rPr>
          <w:rStyle w:val="normaltextrun"/>
          <w:rFonts w:ascii="Arial" w:hAnsi="Arial" w:cs="Arial"/>
          <w:color w:val="000000"/>
          <w:sz w:val="21"/>
          <w:szCs w:val="21"/>
          <w:shd w:val="clear" w:color="auto" w:fill="FFFFFF"/>
        </w:rPr>
        <w:t>Para la asignación de puntaje, se tomará el promedio de los contratos válidos aportados expresados en </w:t>
      </w:r>
      <w:r w:rsidR="00231FA2" w:rsidRPr="00000D82">
        <w:rPr>
          <w:rFonts w:ascii="Arial" w:eastAsiaTheme="minorHAnsi" w:hAnsi="Arial" w:cs="Arial"/>
          <w:color w:val="000000" w:themeColor="text1"/>
          <w:sz w:val="21"/>
          <w:szCs w:val="21"/>
          <w:lang w:val="es-ES_tradnl" w:eastAsia="en-US"/>
        </w:rPr>
        <w:t>SMMLV registrados en el RUP o en alguno de los documentos válidos señalados en el numeral 10.1.5, que acredite su experiencia relacionada en el RUP, y que en</w:t>
      </w:r>
      <w:r w:rsidR="00C960CD" w:rsidRPr="00000D82">
        <w:rPr>
          <w:rFonts w:ascii="Arial" w:eastAsiaTheme="minorHAnsi" w:hAnsi="Arial" w:cs="Arial"/>
          <w:color w:val="000000" w:themeColor="text1"/>
          <w:sz w:val="21"/>
          <w:szCs w:val="21"/>
          <w:lang w:val="es-ES_tradnl" w:eastAsia="en-US"/>
        </w:rPr>
        <w:t xml:space="preserve"> </w:t>
      </w:r>
      <w:r w:rsidR="00231FA2" w:rsidRPr="00000D82">
        <w:rPr>
          <w:rFonts w:ascii="Arial" w:eastAsiaTheme="minorHAnsi" w:hAnsi="Arial" w:cs="Arial"/>
          <w:color w:val="000000" w:themeColor="text1"/>
          <w:sz w:val="21"/>
          <w:szCs w:val="21"/>
          <w:lang w:val="es-ES_tradnl" w:eastAsia="en-US"/>
        </w:rPr>
        <w:t>total hayan cumplido con lo mencionado en el literal A de esta sección. Dicho promedio será el valor que lo hará participar para la asignación del puntaje, según se detalla en esta sección</w:t>
      </w:r>
      <w:r w:rsidR="00231FA2" w:rsidRPr="00000D82">
        <w:rPr>
          <w:rStyle w:val="eop"/>
          <w:rFonts w:ascii="Arial" w:hAnsi="Arial" w:cs="Arial"/>
          <w:color w:val="000000"/>
          <w:sz w:val="21"/>
          <w:szCs w:val="21"/>
          <w:shd w:val="clear" w:color="auto" w:fill="FFFFFF"/>
        </w:rPr>
        <w:t> </w:t>
      </w:r>
    </w:p>
    <w:p w14:paraId="5F971225" w14:textId="77777777" w:rsidR="00733771" w:rsidRDefault="00733771" w:rsidP="00000D82">
      <w:pPr>
        <w:spacing w:line="276" w:lineRule="auto"/>
        <w:ind w:firstLine="708"/>
        <w:jc w:val="both"/>
        <w:rPr>
          <w:rFonts w:ascii="Arial" w:eastAsia="Times New Roman" w:hAnsi="Arial" w:cs="Arial"/>
          <w:color w:val="000000" w:themeColor="text1"/>
          <w:sz w:val="22"/>
          <w:lang w:eastAsia="es-ES_tradnl"/>
        </w:rPr>
      </w:pPr>
    </w:p>
    <w:p w14:paraId="1777DC8E" w14:textId="2345D540" w:rsidR="00E027C6" w:rsidRDefault="00E027C6" w:rsidP="00AE2D81">
      <w:pPr>
        <w:spacing w:after="120" w:line="276" w:lineRule="auto"/>
        <w:ind w:firstLine="708"/>
        <w:jc w:val="both"/>
        <w:rPr>
          <w:rFonts w:ascii="Arial" w:eastAsia="Times New Roman" w:hAnsi="Arial" w:cs="Arial"/>
          <w:color w:val="000000" w:themeColor="text1"/>
          <w:sz w:val="22"/>
          <w:lang w:eastAsia="es-ES_tradnl"/>
        </w:rPr>
      </w:pPr>
      <w:r>
        <w:rPr>
          <w:rFonts w:ascii="Arial" w:eastAsia="Times New Roman" w:hAnsi="Arial" w:cs="Arial"/>
          <w:color w:val="000000" w:themeColor="text1"/>
          <w:sz w:val="22"/>
          <w:lang w:eastAsia="es-ES_tradnl"/>
        </w:rPr>
        <w:t xml:space="preserve">Conforme indican estos literales, la </w:t>
      </w:r>
      <w:r w:rsidR="008D0AD3">
        <w:rPr>
          <w:rFonts w:ascii="Arial" w:eastAsia="Times New Roman" w:hAnsi="Arial" w:cs="Arial"/>
          <w:color w:val="000000" w:themeColor="text1"/>
          <w:sz w:val="22"/>
          <w:lang w:eastAsia="es-ES_tradnl"/>
        </w:rPr>
        <w:t xml:space="preserve">valoración de la experiencia </w:t>
      </w:r>
      <w:r w:rsidR="003C328D">
        <w:rPr>
          <w:rFonts w:ascii="Arial" w:eastAsia="Times New Roman" w:hAnsi="Arial" w:cs="Arial"/>
          <w:color w:val="000000" w:themeColor="text1"/>
          <w:sz w:val="22"/>
          <w:lang w:eastAsia="es-ES_tradnl"/>
        </w:rPr>
        <w:t xml:space="preserve">del proponente, de cara a la asignación del puntaje correspondiente a este factor de evaluación, </w:t>
      </w:r>
      <w:r w:rsidR="00373A0B">
        <w:rPr>
          <w:rFonts w:ascii="Arial" w:eastAsia="Times New Roman" w:hAnsi="Arial" w:cs="Arial"/>
          <w:color w:val="000000" w:themeColor="text1"/>
          <w:sz w:val="22"/>
          <w:lang w:eastAsia="es-ES_tradnl"/>
        </w:rPr>
        <w:t xml:space="preserve">debe </w:t>
      </w:r>
      <w:proofErr w:type="gramStart"/>
      <w:r w:rsidR="00373A0B">
        <w:rPr>
          <w:rFonts w:ascii="Arial" w:eastAsia="Times New Roman" w:hAnsi="Arial" w:cs="Arial"/>
          <w:color w:val="000000" w:themeColor="text1"/>
          <w:sz w:val="22"/>
          <w:lang w:eastAsia="es-ES_tradnl"/>
        </w:rPr>
        <w:t>hacerse  de</w:t>
      </w:r>
      <w:proofErr w:type="gramEnd"/>
      <w:r w:rsidR="00373A0B">
        <w:rPr>
          <w:rFonts w:ascii="Arial" w:eastAsia="Times New Roman" w:hAnsi="Arial" w:cs="Arial"/>
          <w:color w:val="000000" w:themeColor="text1"/>
          <w:sz w:val="22"/>
          <w:lang w:eastAsia="es-ES_tradnl"/>
        </w:rPr>
        <w:t xml:space="preserve"> acuerdo con el promedio de</w:t>
      </w:r>
      <w:r w:rsidR="005E685E">
        <w:rPr>
          <w:rFonts w:ascii="Arial" w:eastAsia="Times New Roman" w:hAnsi="Arial" w:cs="Arial"/>
          <w:color w:val="000000" w:themeColor="text1"/>
          <w:sz w:val="22"/>
          <w:lang w:eastAsia="es-ES_tradnl"/>
        </w:rPr>
        <w:t xml:space="preserve"> los valores de los contratos expresados en</w:t>
      </w:r>
      <w:r w:rsidR="00373A0B">
        <w:rPr>
          <w:rFonts w:ascii="Arial" w:eastAsia="Times New Roman" w:hAnsi="Arial" w:cs="Arial"/>
          <w:color w:val="000000" w:themeColor="text1"/>
          <w:sz w:val="22"/>
          <w:lang w:eastAsia="es-ES_tradnl"/>
        </w:rPr>
        <w:t xml:space="preserve"> SMMLV</w:t>
      </w:r>
      <w:r w:rsidR="004157B4">
        <w:rPr>
          <w:rFonts w:ascii="Arial" w:eastAsia="Times New Roman" w:hAnsi="Arial" w:cs="Arial"/>
          <w:color w:val="000000" w:themeColor="text1"/>
          <w:sz w:val="22"/>
          <w:lang w:eastAsia="es-ES_tradnl"/>
        </w:rPr>
        <w:t xml:space="preserve">. Esto salvo en los casos en los que </w:t>
      </w:r>
      <w:r w:rsidR="004E7309">
        <w:rPr>
          <w:rFonts w:ascii="Arial" w:eastAsia="Times New Roman" w:hAnsi="Arial" w:cs="Arial"/>
          <w:color w:val="000000" w:themeColor="text1"/>
          <w:sz w:val="22"/>
          <w:lang w:eastAsia="es-ES_tradnl"/>
        </w:rPr>
        <w:t xml:space="preserve">el proponente haya subsanado la acreditación de la experiencia mínima habilitante, por las razones expuestas en el numeral anterior del presente concepto. </w:t>
      </w:r>
    </w:p>
    <w:p w14:paraId="14F28047" w14:textId="0706D06E" w:rsidR="00E027C6" w:rsidRDefault="00F303F1" w:rsidP="00000D82">
      <w:pPr>
        <w:spacing w:line="276" w:lineRule="auto"/>
        <w:ind w:firstLine="708"/>
        <w:jc w:val="both"/>
        <w:rPr>
          <w:rFonts w:ascii="Arial" w:eastAsia="Times New Roman" w:hAnsi="Arial" w:cs="Arial"/>
          <w:color w:val="000000" w:themeColor="text1"/>
          <w:sz w:val="22"/>
          <w:lang w:eastAsia="es-ES_tradnl"/>
        </w:rPr>
      </w:pPr>
      <w:r>
        <w:rPr>
          <w:rFonts w:ascii="Arial" w:eastAsia="Times New Roman" w:hAnsi="Arial" w:cs="Arial"/>
          <w:color w:val="000000" w:themeColor="text1"/>
          <w:sz w:val="22"/>
          <w:lang w:eastAsia="es-ES_tradnl"/>
        </w:rPr>
        <w:t xml:space="preserve">Para determinar el puntaje que corresponde al proponente </w:t>
      </w:r>
      <w:r w:rsidR="00B961E2">
        <w:rPr>
          <w:rFonts w:ascii="Arial" w:eastAsia="Times New Roman" w:hAnsi="Arial" w:cs="Arial"/>
          <w:color w:val="000000" w:themeColor="text1"/>
          <w:sz w:val="22"/>
          <w:lang w:eastAsia="es-ES_tradnl"/>
        </w:rPr>
        <w:t>por este factor de evaluación, el</w:t>
      </w:r>
      <w:r w:rsidR="009B63C6">
        <w:rPr>
          <w:rFonts w:ascii="Arial" w:eastAsia="Times New Roman" w:hAnsi="Arial" w:cs="Arial"/>
          <w:color w:val="000000" w:themeColor="text1"/>
          <w:sz w:val="22"/>
          <w:lang w:eastAsia="es-ES_tradnl"/>
        </w:rPr>
        <w:t xml:space="preserve"> </w:t>
      </w:r>
      <w:r w:rsidR="00B961E2">
        <w:rPr>
          <w:rFonts w:ascii="Arial" w:eastAsia="Times New Roman" w:hAnsi="Arial" w:cs="Arial"/>
          <w:color w:val="000000" w:themeColor="text1"/>
          <w:sz w:val="22"/>
          <w:lang w:eastAsia="es-ES_tradnl"/>
        </w:rPr>
        <w:t xml:space="preserve">referido </w:t>
      </w:r>
      <w:r w:rsidR="009B63C6">
        <w:rPr>
          <w:rFonts w:ascii="Arial" w:eastAsia="Times New Roman" w:hAnsi="Arial" w:cs="Arial"/>
          <w:color w:val="000000" w:themeColor="text1"/>
          <w:sz w:val="22"/>
          <w:lang w:eastAsia="es-ES_tradnl"/>
        </w:rPr>
        <w:t>valor promedio</w:t>
      </w:r>
      <w:r w:rsidR="00B961E2">
        <w:rPr>
          <w:rFonts w:ascii="Arial" w:eastAsia="Times New Roman" w:hAnsi="Arial" w:cs="Arial"/>
          <w:color w:val="000000" w:themeColor="text1"/>
          <w:sz w:val="22"/>
          <w:lang w:eastAsia="es-ES_tradnl"/>
        </w:rPr>
        <w:t xml:space="preserve"> </w:t>
      </w:r>
      <w:r w:rsidR="008047F4">
        <w:rPr>
          <w:rFonts w:ascii="Arial" w:eastAsia="Times New Roman" w:hAnsi="Arial" w:cs="Arial"/>
          <w:color w:val="000000" w:themeColor="text1"/>
          <w:sz w:val="22"/>
          <w:lang w:eastAsia="es-ES_tradnl"/>
        </w:rPr>
        <w:t>d</w:t>
      </w:r>
      <w:r w:rsidR="009B63C6">
        <w:rPr>
          <w:rFonts w:ascii="Arial" w:eastAsia="Times New Roman" w:hAnsi="Arial" w:cs="Arial"/>
          <w:color w:val="000000" w:themeColor="text1"/>
          <w:sz w:val="22"/>
          <w:lang w:eastAsia="es-ES_tradnl"/>
        </w:rPr>
        <w:t>e los contratos aportados para acreditar la experiencia, conforme indica</w:t>
      </w:r>
      <w:r w:rsidR="000C00FA">
        <w:rPr>
          <w:rFonts w:ascii="Arial" w:eastAsia="Times New Roman" w:hAnsi="Arial" w:cs="Arial"/>
          <w:color w:val="000000" w:themeColor="text1"/>
          <w:sz w:val="22"/>
          <w:lang w:eastAsia="es-ES_tradnl"/>
        </w:rPr>
        <w:t>n</w:t>
      </w:r>
      <w:r w:rsidR="009B63C6">
        <w:rPr>
          <w:rFonts w:ascii="Arial" w:eastAsia="Times New Roman" w:hAnsi="Arial" w:cs="Arial"/>
          <w:color w:val="000000" w:themeColor="text1"/>
          <w:sz w:val="22"/>
          <w:lang w:eastAsia="es-ES_tradnl"/>
        </w:rPr>
        <w:t xml:space="preserve"> </w:t>
      </w:r>
      <w:r w:rsidR="000C00FA">
        <w:rPr>
          <w:rFonts w:ascii="Arial" w:eastAsia="Times New Roman" w:hAnsi="Arial" w:cs="Arial"/>
          <w:color w:val="000000" w:themeColor="text1"/>
          <w:sz w:val="22"/>
          <w:lang w:eastAsia="es-ES_tradnl"/>
        </w:rPr>
        <w:t>los</w:t>
      </w:r>
      <w:r w:rsidR="009B63C6">
        <w:rPr>
          <w:rFonts w:ascii="Arial" w:eastAsia="Times New Roman" w:hAnsi="Arial" w:cs="Arial"/>
          <w:color w:val="000000" w:themeColor="text1"/>
          <w:sz w:val="22"/>
          <w:lang w:eastAsia="es-ES_tradnl"/>
        </w:rPr>
        <w:t xml:space="preserve"> literal</w:t>
      </w:r>
      <w:r w:rsidR="000C00FA">
        <w:rPr>
          <w:rFonts w:ascii="Arial" w:eastAsia="Times New Roman" w:hAnsi="Arial" w:cs="Arial"/>
          <w:color w:val="000000" w:themeColor="text1"/>
          <w:sz w:val="22"/>
          <w:lang w:eastAsia="es-ES_tradnl"/>
        </w:rPr>
        <w:t>es</w:t>
      </w:r>
      <w:r w:rsidR="009B63C6">
        <w:rPr>
          <w:rFonts w:ascii="Arial" w:eastAsia="Times New Roman" w:hAnsi="Arial" w:cs="Arial"/>
          <w:color w:val="000000" w:themeColor="text1"/>
          <w:sz w:val="22"/>
          <w:lang w:eastAsia="es-ES_tradnl"/>
        </w:rPr>
        <w:t xml:space="preserve"> C</w:t>
      </w:r>
      <w:r w:rsidR="000C00FA">
        <w:rPr>
          <w:rFonts w:ascii="Arial" w:eastAsia="Times New Roman" w:hAnsi="Arial" w:cs="Arial"/>
          <w:color w:val="000000" w:themeColor="text1"/>
          <w:sz w:val="22"/>
          <w:lang w:eastAsia="es-ES_tradnl"/>
        </w:rPr>
        <w:t xml:space="preserve"> y D</w:t>
      </w:r>
      <w:r w:rsidR="009B63C6">
        <w:rPr>
          <w:rFonts w:ascii="Arial" w:eastAsia="Times New Roman" w:hAnsi="Arial" w:cs="Arial"/>
          <w:color w:val="000000" w:themeColor="text1"/>
          <w:sz w:val="22"/>
          <w:lang w:eastAsia="es-ES_tradnl"/>
        </w:rPr>
        <w:t xml:space="preserve"> del numeral 4.1., de</w:t>
      </w:r>
      <w:r w:rsidR="008047F4">
        <w:rPr>
          <w:rFonts w:ascii="Arial" w:eastAsia="Times New Roman" w:hAnsi="Arial" w:cs="Arial"/>
          <w:color w:val="000000" w:themeColor="text1"/>
          <w:sz w:val="22"/>
          <w:lang w:eastAsia="es-ES_tradnl"/>
        </w:rPr>
        <w:t xml:space="preserve">be ser objeto de ponderación de acuerdo con alguno de los métodos </w:t>
      </w:r>
      <w:r w:rsidR="006C3C03">
        <w:rPr>
          <w:rFonts w:ascii="Arial" w:eastAsia="Times New Roman" w:hAnsi="Arial" w:cs="Arial"/>
          <w:color w:val="000000" w:themeColor="text1"/>
          <w:sz w:val="22"/>
          <w:lang w:eastAsia="es-ES_tradnl"/>
        </w:rPr>
        <w:t>de ponderación señalados en el Documento Base, cuya escogencia debe hacerse de manera aleatoria, a partir de la T</w:t>
      </w:r>
      <w:r w:rsidR="000C00FA">
        <w:rPr>
          <w:rFonts w:ascii="Arial" w:eastAsia="Times New Roman" w:hAnsi="Arial" w:cs="Arial"/>
          <w:color w:val="000000" w:themeColor="text1"/>
          <w:sz w:val="22"/>
          <w:lang w:eastAsia="es-ES_tradnl"/>
        </w:rPr>
        <w:t xml:space="preserve">asa </w:t>
      </w:r>
      <w:r w:rsidR="006C3C03">
        <w:rPr>
          <w:rFonts w:ascii="Arial" w:eastAsia="Times New Roman" w:hAnsi="Arial" w:cs="Arial"/>
          <w:color w:val="000000" w:themeColor="text1"/>
          <w:sz w:val="22"/>
          <w:lang w:eastAsia="es-ES_tradnl"/>
        </w:rPr>
        <w:t>R</w:t>
      </w:r>
      <w:r w:rsidR="000C00FA">
        <w:rPr>
          <w:rFonts w:ascii="Arial" w:eastAsia="Times New Roman" w:hAnsi="Arial" w:cs="Arial"/>
          <w:color w:val="000000" w:themeColor="text1"/>
          <w:sz w:val="22"/>
          <w:lang w:eastAsia="es-ES_tradnl"/>
        </w:rPr>
        <w:t>epresentativa del Mercado–TRM–</w:t>
      </w:r>
      <w:r w:rsidR="006C3C03">
        <w:rPr>
          <w:rFonts w:ascii="Arial" w:eastAsia="Times New Roman" w:hAnsi="Arial" w:cs="Arial"/>
          <w:color w:val="000000" w:themeColor="text1"/>
          <w:sz w:val="22"/>
          <w:lang w:eastAsia="es-ES_tradnl"/>
        </w:rPr>
        <w:t xml:space="preserve">. </w:t>
      </w:r>
      <w:r w:rsidR="00E941A5">
        <w:rPr>
          <w:rFonts w:ascii="Arial" w:eastAsia="Times New Roman" w:hAnsi="Arial" w:cs="Arial"/>
          <w:color w:val="000000" w:themeColor="text1"/>
          <w:sz w:val="22"/>
          <w:lang w:eastAsia="es-ES_tradnl"/>
        </w:rPr>
        <w:t xml:space="preserve">Al respecto </w:t>
      </w:r>
      <w:r w:rsidR="000C00FA">
        <w:rPr>
          <w:rFonts w:ascii="Arial" w:eastAsia="Times New Roman" w:hAnsi="Arial" w:cs="Arial"/>
          <w:color w:val="000000" w:themeColor="text1"/>
          <w:sz w:val="22"/>
          <w:lang w:eastAsia="es-ES_tradnl"/>
        </w:rPr>
        <w:t>los</w:t>
      </w:r>
      <w:r w:rsidR="00E941A5">
        <w:rPr>
          <w:rFonts w:ascii="Arial" w:eastAsia="Times New Roman" w:hAnsi="Arial" w:cs="Arial"/>
          <w:color w:val="000000" w:themeColor="text1"/>
          <w:sz w:val="22"/>
          <w:lang w:eastAsia="es-ES_tradnl"/>
        </w:rPr>
        <w:t xml:space="preserve"> literal</w:t>
      </w:r>
      <w:r w:rsidR="000C00FA">
        <w:rPr>
          <w:rFonts w:ascii="Arial" w:eastAsia="Times New Roman" w:hAnsi="Arial" w:cs="Arial"/>
          <w:color w:val="000000" w:themeColor="text1"/>
          <w:sz w:val="22"/>
          <w:lang w:eastAsia="es-ES_tradnl"/>
        </w:rPr>
        <w:t>es</w:t>
      </w:r>
      <w:r w:rsidR="00E941A5">
        <w:rPr>
          <w:rFonts w:ascii="Arial" w:eastAsia="Times New Roman" w:hAnsi="Arial" w:cs="Arial"/>
          <w:color w:val="000000" w:themeColor="text1"/>
          <w:sz w:val="22"/>
          <w:lang w:eastAsia="es-ES_tradnl"/>
        </w:rPr>
        <w:t xml:space="preserve"> C</w:t>
      </w:r>
      <w:r w:rsidR="000C00FA">
        <w:rPr>
          <w:rFonts w:ascii="Arial" w:eastAsia="Times New Roman" w:hAnsi="Arial" w:cs="Arial"/>
          <w:color w:val="000000" w:themeColor="text1"/>
          <w:sz w:val="22"/>
          <w:lang w:eastAsia="es-ES_tradnl"/>
        </w:rPr>
        <w:t xml:space="preserve"> y D</w:t>
      </w:r>
      <w:r w:rsidR="00E941A5">
        <w:rPr>
          <w:rFonts w:ascii="Arial" w:eastAsia="Times New Roman" w:hAnsi="Arial" w:cs="Arial"/>
          <w:color w:val="000000" w:themeColor="text1"/>
          <w:sz w:val="22"/>
          <w:lang w:eastAsia="es-ES_tradnl"/>
        </w:rPr>
        <w:t xml:space="preserve"> del numeral 4.1 señala</w:t>
      </w:r>
      <w:r w:rsidR="000C00FA">
        <w:rPr>
          <w:rFonts w:ascii="Arial" w:eastAsia="Times New Roman" w:hAnsi="Arial" w:cs="Arial"/>
          <w:color w:val="000000" w:themeColor="text1"/>
          <w:sz w:val="22"/>
          <w:lang w:eastAsia="es-ES_tradnl"/>
        </w:rPr>
        <w:t>n</w:t>
      </w:r>
      <w:r w:rsidR="00E941A5">
        <w:rPr>
          <w:rFonts w:ascii="Arial" w:eastAsia="Times New Roman" w:hAnsi="Arial" w:cs="Arial"/>
          <w:color w:val="000000" w:themeColor="text1"/>
          <w:sz w:val="22"/>
          <w:lang w:eastAsia="es-ES_tradnl"/>
        </w:rPr>
        <w:t>:</w:t>
      </w:r>
    </w:p>
    <w:p w14:paraId="67475529" w14:textId="4E4D2D40" w:rsidR="000C00FA" w:rsidRDefault="000C00FA" w:rsidP="00E941A5">
      <w:pPr>
        <w:ind w:left="709" w:right="709"/>
        <w:contextualSpacing/>
        <w:jc w:val="both"/>
        <w:rPr>
          <w:rFonts w:ascii="Arial" w:eastAsia="Arial" w:hAnsi="Arial" w:cs="Arial"/>
          <w:sz w:val="21"/>
          <w:szCs w:val="21"/>
          <w:lang w:eastAsia="es-ES"/>
        </w:rPr>
      </w:pPr>
    </w:p>
    <w:p w14:paraId="06FD2BC6" w14:textId="039E3441" w:rsidR="00E941A5" w:rsidRPr="00000D82" w:rsidRDefault="00E941A5" w:rsidP="00000D82">
      <w:pPr>
        <w:ind w:left="709" w:right="709"/>
        <w:contextualSpacing/>
        <w:jc w:val="both"/>
        <w:rPr>
          <w:rFonts w:ascii="Arial" w:eastAsia="Arial" w:hAnsi="Arial" w:cs="Arial"/>
          <w:sz w:val="21"/>
          <w:szCs w:val="21"/>
          <w:lang w:eastAsia="es-ES"/>
        </w:rPr>
      </w:pPr>
      <w:r w:rsidRPr="00000D82">
        <w:rPr>
          <w:rFonts w:ascii="Arial" w:eastAsia="Arial" w:hAnsi="Arial" w:cs="Arial"/>
          <w:sz w:val="21"/>
          <w:szCs w:val="21"/>
          <w:lang w:eastAsia="es-ES"/>
        </w:rPr>
        <w:t xml:space="preserve">C. Posteriormente, se seleccionará un método aleatorio en función de la Tasa de cambio Representativa del Mercado (TRM) certificada por la Superintendencia Financiera de Colombia </w:t>
      </w:r>
      <w:r w:rsidRPr="00000D82">
        <w:rPr>
          <w:rFonts w:ascii="Arial" w:eastAsia="Arial" w:hAnsi="Arial" w:cs="Arial"/>
          <w:sz w:val="21"/>
          <w:szCs w:val="21"/>
          <w:highlight w:val="lightGray"/>
          <w:lang w:eastAsia="es-ES"/>
        </w:rPr>
        <w:t xml:space="preserve">[en su sitio web: </w:t>
      </w:r>
      <w:hyperlink r:id="rId12" w:history="1">
        <w:r w:rsidRPr="00000D82">
          <w:rPr>
            <w:rFonts w:ascii="Arial" w:eastAsia="Arial" w:hAnsi="Arial" w:cs="Arial"/>
            <w:sz w:val="21"/>
            <w:szCs w:val="21"/>
            <w:highlight w:val="lightGray"/>
            <w:lang w:eastAsia="es-ES"/>
          </w:rPr>
          <w:t>https://www.superfinanciera.gov.co/publicacion/60819</w:t>
        </w:r>
      </w:hyperlink>
      <w:r w:rsidRPr="00000D82">
        <w:rPr>
          <w:rFonts w:ascii="Arial" w:eastAsia="Arial" w:hAnsi="Arial" w:cs="Arial"/>
          <w:sz w:val="21"/>
          <w:szCs w:val="21"/>
          <w:highlight w:val="lightGray"/>
          <w:lang w:eastAsia="es-ES"/>
        </w:rPr>
        <w:t>]</w:t>
      </w:r>
      <w:r w:rsidRPr="00000D82">
        <w:rPr>
          <w:rFonts w:ascii="Arial" w:eastAsia="Arial" w:hAnsi="Arial" w:cs="Arial"/>
          <w:sz w:val="21"/>
          <w:szCs w:val="21"/>
          <w:lang w:eastAsia="es-ES"/>
        </w:rPr>
        <w:t>.</w:t>
      </w:r>
    </w:p>
    <w:p w14:paraId="39850706" w14:textId="77777777" w:rsidR="00E941A5" w:rsidRPr="00000D82" w:rsidRDefault="00E941A5" w:rsidP="00000D82">
      <w:pPr>
        <w:ind w:left="709" w:right="709"/>
        <w:contextualSpacing/>
        <w:jc w:val="both"/>
        <w:rPr>
          <w:rFonts w:ascii="Arial" w:eastAsia="Arial" w:hAnsi="Arial" w:cs="Arial"/>
          <w:sz w:val="21"/>
          <w:szCs w:val="21"/>
          <w:lang w:eastAsia="es-ES"/>
        </w:rPr>
      </w:pPr>
    </w:p>
    <w:p w14:paraId="3F6B3E95" w14:textId="77777777" w:rsidR="00E941A5" w:rsidRPr="00000D82" w:rsidRDefault="00E941A5" w:rsidP="00000D82">
      <w:pPr>
        <w:ind w:left="709" w:right="709"/>
        <w:contextualSpacing/>
        <w:jc w:val="both"/>
        <w:rPr>
          <w:rFonts w:ascii="Arial" w:eastAsia="Arial" w:hAnsi="Arial" w:cs="Arial"/>
          <w:sz w:val="21"/>
          <w:szCs w:val="21"/>
          <w:highlight w:val="lightGray"/>
          <w:lang w:eastAsia="es-ES"/>
        </w:rPr>
      </w:pPr>
      <w:r w:rsidRPr="00000D82">
        <w:rPr>
          <w:rFonts w:ascii="Arial" w:eastAsia="Arial" w:hAnsi="Arial" w:cs="Arial"/>
          <w:sz w:val="21"/>
          <w:szCs w:val="21"/>
          <w:lang w:eastAsia="es-ES"/>
        </w:rPr>
        <w:t xml:space="preserve">La TRM que la entidad utilizará para determinar el método de ponderación será la que </w:t>
      </w:r>
      <w:r w:rsidRPr="00000D82">
        <w:rPr>
          <w:rFonts w:ascii="Arial" w:eastAsia="Arial" w:hAnsi="Arial" w:cs="Arial"/>
          <w:i/>
          <w:iCs/>
          <w:sz w:val="21"/>
          <w:szCs w:val="21"/>
          <w:lang w:eastAsia="es-ES"/>
        </w:rPr>
        <w:t>rija el segundo día hábil después del cierre del proceso</w:t>
      </w:r>
      <w:r w:rsidRPr="00000D82">
        <w:rPr>
          <w:rFonts w:ascii="Arial" w:eastAsia="Arial" w:hAnsi="Arial" w:cs="Arial"/>
          <w:sz w:val="21"/>
          <w:szCs w:val="21"/>
          <w:lang w:eastAsia="es-ES"/>
        </w:rPr>
        <w:t xml:space="preserve">. Esto es, la que la Superintendencia publique en horas de la tarde del día hábil siguiente a la fecha efectiva del cierre del proceso. </w:t>
      </w:r>
      <w:r w:rsidRPr="00000D82">
        <w:rPr>
          <w:rFonts w:ascii="Arial" w:eastAsia="Arial" w:hAnsi="Arial" w:cs="Arial"/>
          <w:sz w:val="21"/>
          <w:szCs w:val="21"/>
          <w:highlight w:val="lightGray"/>
          <w:lang w:eastAsia="es-ES"/>
        </w:rPr>
        <w:t xml:space="preserve">[Por ejemplo, si el cierre del proceso se realiza el </w:t>
      </w:r>
      <w:r w:rsidRPr="00000D82">
        <w:rPr>
          <w:rFonts w:ascii="Arial" w:eastAsia="Arial" w:hAnsi="Arial" w:cs="Arial"/>
          <w:sz w:val="21"/>
          <w:szCs w:val="21"/>
          <w:highlight w:val="lightGray"/>
          <w:lang w:eastAsia="es-ES"/>
        </w:rPr>
        <w:lastRenderedPageBreak/>
        <w:t>10 de febrero, la TRM que se usará para determinar el método de evaluación será la del 12 de febrero, que se publica en la tarde del 11 de febrero]</w:t>
      </w:r>
      <w:r w:rsidRPr="00000D82">
        <w:rPr>
          <w:rFonts w:ascii="Arial" w:eastAsia="Arial" w:hAnsi="Arial" w:cs="Arial"/>
          <w:sz w:val="21"/>
          <w:szCs w:val="21"/>
          <w:lang w:eastAsia="es-ES"/>
        </w:rPr>
        <w:t xml:space="preserve"> </w:t>
      </w:r>
    </w:p>
    <w:p w14:paraId="104CA5F6" w14:textId="77777777" w:rsidR="00E941A5" w:rsidRPr="00000D82" w:rsidRDefault="00E941A5" w:rsidP="00000D82">
      <w:pPr>
        <w:ind w:left="709" w:right="709"/>
        <w:contextualSpacing/>
        <w:jc w:val="both"/>
        <w:rPr>
          <w:rFonts w:ascii="Arial" w:eastAsia="Arial" w:hAnsi="Arial" w:cs="Arial"/>
          <w:sz w:val="21"/>
          <w:szCs w:val="21"/>
          <w:lang w:eastAsia="es-ES"/>
        </w:rPr>
      </w:pPr>
    </w:p>
    <w:p w14:paraId="67877AF3" w14:textId="77777777" w:rsidR="00E941A5" w:rsidRPr="00000D82" w:rsidRDefault="00E941A5" w:rsidP="00000D82">
      <w:pPr>
        <w:ind w:left="709" w:right="709"/>
        <w:contextualSpacing/>
        <w:jc w:val="both"/>
        <w:rPr>
          <w:rFonts w:ascii="Arial" w:eastAsia="Arial" w:hAnsi="Arial" w:cs="Arial"/>
          <w:sz w:val="21"/>
          <w:szCs w:val="21"/>
          <w:lang w:eastAsia="es-ES"/>
        </w:rPr>
      </w:pPr>
      <w:r w:rsidRPr="00000D82">
        <w:rPr>
          <w:rFonts w:ascii="Arial" w:eastAsia="Arial" w:hAnsi="Arial" w:cs="Arial"/>
          <w:sz w:val="21"/>
          <w:szCs w:val="21"/>
          <w:lang w:eastAsia="es-ES"/>
        </w:rPr>
        <w:t>El método de ponderación se determinará de acuerdo con los rangos del siguiente cuadro, en función de la parte decimal -centavos- de la TRM:</w:t>
      </w:r>
    </w:p>
    <w:p w14:paraId="5384990A" w14:textId="77777777" w:rsidR="00E941A5" w:rsidRPr="009C441E" w:rsidRDefault="00E941A5" w:rsidP="00000D82">
      <w:pPr>
        <w:ind w:left="720"/>
        <w:contextualSpacing/>
        <w:jc w:val="both"/>
        <w:rPr>
          <w:rFonts w:ascii="Arial" w:eastAsia="Arial" w:hAnsi="Arial" w:cs="Arial"/>
          <w:sz w:val="20"/>
          <w:szCs w:val="20"/>
          <w:lang w:eastAsia="es-ES"/>
        </w:rPr>
      </w:pPr>
      <w:r w:rsidRPr="009C441E">
        <w:rPr>
          <w:rFonts w:ascii="Arial" w:eastAsia="Arial" w:hAnsi="Arial" w:cs="Arial"/>
          <w:sz w:val="20"/>
          <w:szCs w:val="20"/>
          <w:lang w:eastAsia="es-ES"/>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E941A5" w:rsidRPr="00E941A5" w14:paraId="4D39BE95" w14:textId="77777777" w:rsidTr="00F666B4">
        <w:trPr>
          <w:trHeight w:val="18"/>
          <w:jc w:val="center"/>
        </w:trPr>
        <w:tc>
          <w:tcPr>
            <w:tcW w:w="1622" w:type="dxa"/>
            <w:shd w:val="clear" w:color="auto" w:fill="262626" w:themeFill="text1" w:themeFillTint="D9"/>
            <w:vAlign w:val="center"/>
            <w:hideMark/>
          </w:tcPr>
          <w:p w14:paraId="20EFE987" w14:textId="77777777" w:rsidR="00E941A5" w:rsidRPr="00E941A5" w:rsidRDefault="00E941A5" w:rsidP="00000D82">
            <w:pPr>
              <w:jc w:val="center"/>
              <w:rPr>
                <w:rFonts w:ascii="Arial" w:eastAsia="Arial,Calibri" w:hAnsi="Arial" w:cs="Arial"/>
                <w:b/>
                <w:bCs/>
                <w:color w:val="FFFFFF" w:themeColor="background1"/>
                <w:sz w:val="20"/>
                <w:szCs w:val="20"/>
              </w:rPr>
            </w:pPr>
            <w:r w:rsidRPr="00664F15">
              <w:rPr>
                <w:rFonts w:ascii="Arial" w:hAnsi="Arial" w:cs="Arial"/>
                <w:b/>
                <w:bCs/>
                <w:color w:val="FFFFFF" w:themeColor="background1"/>
                <w:sz w:val="20"/>
                <w:szCs w:val="20"/>
              </w:rPr>
              <w:t>Rango</w:t>
            </w:r>
            <w:r w:rsidRPr="00E941A5">
              <w:rPr>
                <w:rFonts w:ascii="Arial" w:eastAsia="Arial,Calibri" w:hAnsi="Arial" w:cs="Arial"/>
                <w:b/>
                <w:bCs/>
                <w:color w:val="FFFFFF" w:themeColor="background1"/>
                <w:sz w:val="20"/>
                <w:szCs w:val="20"/>
              </w:rPr>
              <w:t xml:space="preserve"> </w:t>
            </w:r>
            <w:r w:rsidRPr="00E941A5">
              <w:rPr>
                <w:rFonts w:ascii="Arial" w:hAnsi="Arial" w:cs="Arial"/>
                <w:b/>
                <w:bCs/>
                <w:color w:val="FFFFFF" w:themeColor="background1"/>
                <w:sz w:val="20"/>
                <w:szCs w:val="20"/>
              </w:rPr>
              <w:t>(inclusive)</w:t>
            </w:r>
          </w:p>
        </w:tc>
        <w:tc>
          <w:tcPr>
            <w:tcW w:w="1115" w:type="dxa"/>
            <w:shd w:val="clear" w:color="auto" w:fill="262626" w:themeFill="text1" w:themeFillTint="D9"/>
            <w:vAlign w:val="center"/>
            <w:hideMark/>
          </w:tcPr>
          <w:p w14:paraId="2EDEB22A" w14:textId="77777777" w:rsidR="00E941A5" w:rsidRPr="00E941A5" w:rsidRDefault="00E941A5" w:rsidP="00000D82">
            <w:pPr>
              <w:jc w:val="center"/>
              <w:rPr>
                <w:rFonts w:ascii="Arial" w:eastAsia="Arial,Calibri" w:hAnsi="Arial" w:cs="Arial"/>
                <w:b/>
                <w:bCs/>
                <w:color w:val="FFFFFF" w:themeColor="background1"/>
                <w:sz w:val="20"/>
                <w:szCs w:val="20"/>
              </w:rPr>
            </w:pPr>
            <w:r w:rsidRPr="00E941A5">
              <w:rPr>
                <w:rFonts w:ascii="Arial" w:hAnsi="Arial" w:cs="Arial"/>
                <w:b/>
                <w:bCs/>
                <w:color w:val="FFFFFF" w:themeColor="background1"/>
                <w:sz w:val="20"/>
                <w:szCs w:val="20"/>
              </w:rPr>
              <w:t>Número</w:t>
            </w:r>
          </w:p>
        </w:tc>
        <w:tc>
          <w:tcPr>
            <w:tcW w:w="3273" w:type="dxa"/>
            <w:shd w:val="clear" w:color="auto" w:fill="262626" w:themeFill="text1" w:themeFillTint="D9"/>
            <w:vAlign w:val="center"/>
            <w:hideMark/>
          </w:tcPr>
          <w:p w14:paraId="3065D218" w14:textId="77777777" w:rsidR="00E941A5" w:rsidRPr="00E941A5" w:rsidRDefault="00E941A5" w:rsidP="00000D82">
            <w:pPr>
              <w:jc w:val="center"/>
              <w:rPr>
                <w:rFonts w:ascii="Arial" w:eastAsia="Arial,Calibri" w:hAnsi="Arial" w:cs="Arial"/>
                <w:b/>
                <w:bCs/>
                <w:color w:val="FFFFFF" w:themeColor="background1"/>
                <w:sz w:val="20"/>
                <w:szCs w:val="20"/>
              </w:rPr>
            </w:pPr>
            <w:r w:rsidRPr="00E941A5">
              <w:rPr>
                <w:rFonts w:ascii="Arial" w:hAnsi="Arial" w:cs="Arial"/>
                <w:b/>
                <w:bCs/>
                <w:color w:val="FFFFFF" w:themeColor="background1"/>
                <w:sz w:val="20"/>
                <w:szCs w:val="20"/>
              </w:rPr>
              <w:t>Método</w:t>
            </w:r>
          </w:p>
        </w:tc>
      </w:tr>
      <w:tr w:rsidR="00E941A5" w:rsidRPr="00E941A5" w14:paraId="5BAB7F68" w14:textId="77777777" w:rsidTr="00F666B4">
        <w:trPr>
          <w:trHeight w:val="18"/>
          <w:jc w:val="center"/>
        </w:trPr>
        <w:tc>
          <w:tcPr>
            <w:tcW w:w="1622" w:type="dxa"/>
            <w:vAlign w:val="center"/>
            <w:hideMark/>
          </w:tcPr>
          <w:p w14:paraId="3B512821" w14:textId="77777777" w:rsidR="00E941A5" w:rsidRPr="009C441E" w:rsidRDefault="00E941A5" w:rsidP="00000D82">
            <w:pPr>
              <w:jc w:val="center"/>
              <w:rPr>
                <w:rFonts w:ascii="Arial" w:hAnsi="Arial" w:cs="Arial"/>
                <w:sz w:val="20"/>
                <w:szCs w:val="20"/>
              </w:rPr>
            </w:pPr>
            <w:r w:rsidRPr="009C441E">
              <w:rPr>
                <w:rFonts w:ascii="Arial" w:hAnsi="Arial" w:cs="Arial"/>
                <w:sz w:val="20"/>
                <w:szCs w:val="20"/>
              </w:rPr>
              <w:t>De 0.00 a 0.24</w:t>
            </w:r>
          </w:p>
        </w:tc>
        <w:tc>
          <w:tcPr>
            <w:tcW w:w="1115" w:type="dxa"/>
            <w:vAlign w:val="center"/>
            <w:hideMark/>
          </w:tcPr>
          <w:p w14:paraId="337D5733" w14:textId="77777777" w:rsidR="00E941A5" w:rsidRPr="00E941A5" w:rsidRDefault="00E941A5" w:rsidP="00000D82">
            <w:pPr>
              <w:jc w:val="center"/>
              <w:rPr>
                <w:rFonts w:ascii="Arial" w:eastAsia="Arial,Times New Roman" w:hAnsi="Arial" w:cs="Arial"/>
                <w:sz w:val="20"/>
                <w:szCs w:val="20"/>
              </w:rPr>
            </w:pPr>
            <w:r w:rsidRPr="00664F15">
              <w:rPr>
                <w:rFonts w:ascii="Arial" w:hAnsi="Arial" w:cs="Arial"/>
                <w:sz w:val="20"/>
                <w:szCs w:val="20"/>
              </w:rPr>
              <w:t>1</w:t>
            </w:r>
          </w:p>
        </w:tc>
        <w:tc>
          <w:tcPr>
            <w:tcW w:w="3273" w:type="dxa"/>
            <w:vAlign w:val="center"/>
            <w:hideMark/>
          </w:tcPr>
          <w:p w14:paraId="6A8717DE" w14:textId="77777777" w:rsidR="00E941A5" w:rsidRPr="00E941A5" w:rsidRDefault="00E941A5" w:rsidP="00000D82">
            <w:pPr>
              <w:jc w:val="center"/>
              <w:rPr>
                <w:rFonts w:ascii="Arial" w:eastAsia="Arial,Times New Roman" w:hAnsi="Arial" w:cs="Arial"/>
                <w:sz w:val="20"/>
                <w:szCs w:val="20"/>
              </w:rPr>
            </w:pPr>
            <w:r w:rsidRPr="00E941A5">
              <w:rPr>
                <w:rFonts w:ascii="Arial" w:hAnsi="Arial" w:cs="Arial"/>
                <w:sz w:val="20"/>
                <w:szCs w:val="20"/>
              </w:rPr>
              <w:t>Mediana con valor absoluto</w:t>
            </w:r>
          </w:p>
        </w:tc>
      </w:tr>
      <w:tr w:rsidR="00E941A5" w:rsidRPr="00E941A5" w14:paraId="26F63EE7" w14:textId="77777777" w:rsidTr="00F666B4">
        <w:trPr>
          <w:trHeight w:val="37"/>
          <w:jc w:val="center"/>
        </w:trPr>
        <w:tc>
          <w:tcPr>
            <w:tcW w:w="1622" w:type="dxa"/>
            <w:vAlign w:val="center"/>
            <w:hideMark/>
          </w:tcPr>
          <w:p w14:paraId="5D4397DD" w14:textId="77777777" w:rsidR="00E941A5" w:rsidRPr="009C441E" w:rsidRDefault="00E941A5" w:rsidP="00000D82">
            <w:pPr>
              <w:jc w:val="center"/>
              <w:rPr>
                <w:rFonts w:ascii="Arial" w:hAnsi="Arial" w:cs="Arial"/>
                <w:sz w:val="20"/>
                <w:szCs w:val="20"/>
              </w:rPr>
            </w:pPr>
            <w:r w:rsidRPr="009C441E">
              <w:rPr>
                <w:rFonts w:ascii="Arial" w:hAnsi="Arial" w:cs="Arial"/>
                <w:sz w:val="20"/>
                <w:szCs w:val="20"/>
              </w:rPr>
              <w:t>De 0.25 a 0.49</w:t>
            </w:r>
          </w:p>
        </w:tc>
        <w:tc>
          <w:tcPr>
            <w:tcW w:w="1115" w:type="dxa"/>
            <w:vAlign w:val="center"/>
            <w:hideMark/>
          </w:tcPr>
          <w:p w14:paraId="0525E662" w14:textId="77777777" w:rsidR="00E941A5" w:rsidRPr="00E941A5" w:rsidRDefault="00E941A5" w:rsidP="00000D82">
            <w:pPr>
              <w:jc w:val="center"/>
              <w:rPr>
                <w:rFonts w:ascii="Arial" w:eastAsia="Arial,Times New Roman" w:hAnsi="Arial" w:cs="Arial"/>
                <w:sz w:val="20"/>
                <w:szCs w:val="20"/>
              </w:rPr>
            </w:pPr>
            <w:r w:rsidRPr="00664F15">
              <w:rPr>
                <w:rFonts w:ascii="Arial" w:eastAsia="Arial,Times New Roman" w:hAnsi="Arial" w:cs="Arial"/>
                <w:sz w:val="20"/>
                <w:szCs w:val="20"/>
              </w:rPr>
              <w:t>2</w:t>
            </w:r>
          </w:p>
        </w:tc>
        <w:tc>
          <w:tcPr>
            <w:tcW w:w="3273" w:type="dxa"/>
            <w:vAlign w:val="center"/>
            <w:hideMark/>
          </w:tcPr>
          <w:p w14:paraId="1A040310" w14:textId="77777777" w:rsidR="00E941A5" w:rsidRPr="00E941A5" w:rsidRDefault="00E941A5" w:rsidP="00000D82">
            <w:pPr>
              <w:jc w:val="center"/>
              <w:rPr>
                <w:rFonts w:ascii="Arial" w:eastAsia="Arial,Times New Roman" w:hAnsi="Arial" w:cs="Arial"/>
                <w:sz w:val="20"/>
                <w:szCs w:val="20"/>
              </w:rPr>
            </w:pPr>
            <w:r w:rsidRPr="00E941A5">
              <w:rPr>
                <w:rFonts w:ascii="Arial" w:hAnsi="Arial" w:cs="Arial"/>
                <w:sz w:val="20"/>
                <w:szCs w:val="20"/>
              </w:rPr>
              <w:t>Media geométrica</w:t>
            </w:r>
          </w:p>
        </w:tc>
      </w:tr>
      <w:tr w:rsidR="00E941A5" w:rsidRPr="00E941A5" w14:paraId="27838E11" w14:textId="77777777" w:rsidTr="00F666B4">
        <w:trPr>
          <w:trHeight w:val="18"/>
          <w:jc w:val="center"/>
        </w:trPr>
        <w:tc>
          <w:tcPr>
            <w:tcW w:w="1622" w:type="dxa"/>
            <w:vAlign w:val="center"/>
          </w:tcPr>
          <w:p w14:paraId="4FD7DF56" w14:textId="77777777" w:rsidR="00E941A5" w:rsidRPr="009C441E" w:rsidRDefault="00E941A5" w:rsidP="00000D82">
            <w:pPr>
              <w:jc w:val="center"/>
              <w:rPr>
                <w:rFonts w:ascii="Arial" w:hAnsi="Arial" w:cs="Arial"/>
                <w:sz w:val="20"/>
                <w:szCs w:val="20"/>
              </w:rPr>
            </w:pPr>
            <w:r w:rsidRPr="009C441E">
              <w:rPr>
                <w:rFonts w:ascii="Arial" w:hAnsi="Arial" w:cs="Arial"/>
                <w:sz w:val="20"/>
                <w:szCs w:val="20"/>
              </w:rPr>
              <w:t>De 0.50 a 0.74</w:t>
            </w:r>
          </w:p>
        </w:tc>
        <w:tc>
          <w:tcPr>
            <w:tcW w:w="1115" w:type="dxa"/>
            <w:vAlign w:val="center"/>
          </w:tcPr>
          <w:p w14:paraId="279FC1A8" w14:textId="77777777" w:rsidR="00E941A5" w:rsidRPr="00E941A5" w:rsidRDefault="00E941A5" w:rsidP="00000D82">
            <w:pPr>
              <w:jc w:val="center"/>
              <w:rPr>
                <w:rFonts w:ascii="Arial" w:hAnsi="Arial" w:cs="Arial"/>
                <w:sz w:val="20"/>
                <w:szCs w:val="20"/>
              </w:rPr>
            </w:pPr>
            <w:r w:rsidRPr="00664F15">
              <w:rPr>
                <w:rFonts w:ascii="Arial" w:hAnsi="Arial" w:cs="Arial"/>
                <w:sz w:val="20"/>
                <w:szCs w:val="20"/>
              </w:rPr>
              <w:t>3</w:t>
            </w:r>
          </w:p>
        </w:tc>
        <w:tc>
          <w:tcPr>
            <w:tcW w:w="3273" w:type="dxa"/>
            <w:vAlign w:val="center"/>
          </w:tcPr>
          <w:p w14:paraId="36D51496" w14:textId="77777777" w:rsidR="00E941A5" w:rsidRPr="00E941A5" w:rsidRDefault="00E941A5" w:rsidP="00000D82">
            <w:pPr>
              <w:jc w:val="center"/>
              <w:rPr>
                <w:rFonts w:ascii="Arial" w:hAnsi="Arial" w:cs="Arial"/>
                <w:sz w:val="20"/>
                <w:szCs w:val="20"/>
              </w:rPr>
            </w:pPr>
            <w:r w:rsidRPr="00E941A5">
              <w:rPr>
                <w:rFonts w:ascii="Arial" w:hAnsi="Arial" w:cs="Arial"/>
                <w:sz w:val="20"/>
                <w:szCs w:val="20"/>
              </w:rPr>
              <w:t>Media aritmética alta</w:t>
            </w:r>
          </w:p>
        </w:tc>
      </w:tr>
      <w:tr w:rsidR="00E941A5" w:rsidRPr="00E941A5" w14:paraId="761A9D89" w14:textId="77777777" w:rsidTr="00F666B4">
        <w:trPr>
          <w:trHeight w:val="18"/>
          <w:jc w:val="center"/>
        </w:trPr>
        <w:tc>
          <w:tcPr>
            <w:tcW w:w="1622" w:type="dxa"/>
            <w:vAlign w:val="center"/>
          </w:tcPr>
          <w:p w14:paraId="7CEDF844" w14:textId="77777777" w:rsidR="00E941A5" w:rsidRPr="009C441E" w:rsidRDefault="00E941A5" w:rsidP="00000D82">
            <w:pPr>
              <w:jc w:val="center"/>
              <w:rPr>
                <w:rFonts w:ascii="Arial" w:hAnsi="Arial" w:cs="Arial"/>
                <w:sz w:val="20"/>
                <w:szCs w:val="20"/>
              </w:rPr>
            </w:pPr>
            <w:r w:rsidRPr="009C441E">
              <w:rPr>
                <w:rFonts w:ascii="Arial" w:hAnsi="Arial" w:cs="Arial"/>
                <w:sz w:val="20"/>
                <w:szCs w:val="20"/>
              </w:rPr>
              <w:t>De 0.75 a 0.99</w:t>
            </w:r>
          </w:p>
        </w:tc>
        <w:tc>
          <w:tcPr>
            <w:tcW w:w="1115" w:type="dxa"/>
            <w:vAlign w:val="center"/>
          </w:tcPr>
          <w:p w14:paraId="505A3D97" w14:textId="77777777" w:rsidR="00E941A5" w:rsidRPr="00E941A5" w:rsidRDefault="00E941A5" w:rsidP="00000D82">
            <w:pPr>
              <w:jc w:val="center"/>
              <w:rPr>
                <w:rFonts w:ascii="Arial" w:hAnsi="Arial" w:cs="Arial"/>
                <w:sz w:val="20"/>
                <w:szCs w:val="20"/>
              </w:rPr>
            </w:pPr>
            <w:r w:rsidRPr="00664F15">
              <w:rPr>
                <w:rFonts w:ascii="Arial" w:hAnsi="Arial" w:cs="Arial"/>
                <w:sz w:val="20"/>
                <w:szCs w:val="20"/>
              </w:rPr>
              <w:t>4</w:t>
            </w:r>
          </w:p>
        </w:tc>
        <w:tc>
          <w:tcPr>
            <w:tcW w:w="3273" w:type="dxa"/>
            <w:vAlign w:val="center"/>
          </w:tcPr>
          <w:p w14:paraId="30F9B17C" w14:textId="77777777" w:rsidR="00E941A5" w:rsidRPr="00E941A5" w:rsidRDefault="00E941A5" w:rsidP="00000D82">
            <w:pPr>
              <w:jc w:val="center"/>
              <w:rPr>
                <w:rFonts w:ascii="Arial" w:hAnsi="Arial" w:cs="Arial"/>
                <w:sz w:val="20"/>
                <w:szCs w:val="20"/>
              </w:rPr>
            </w:pPr>
            <w:r w:rsidRPr="00E941A5">
              <w:rPr>
                <w:rFonts w:ascii="Arial" w:hAnsi="Arial" w:cs="Arial"/>
                <w:sz w:val="20"/>
                <w:szCs w:val="20"/>
              </w:rPr>
              <w:t>Media aritmética baja</w:t>
            </w:r>
          </w:p>
        </w:tc>
      </w:tr>
    </w:tbl>
    <w:p w14:paraId="761A9983" w14:textId="77777777" w:rsidR="00E941A5" w:rsidRPr="009C441E" w:rsidRDefault="00E941A5" w:rsidP="00000D82">
      <w:pPr>
        <w:ind w:left="720"/>
        <w:contextualSpacing/>
        <w:jc w:val="both"/>
        <w:rPr>
          <w:rFonts w:ascii="Arial" w:eastAsia="Arial" w:hAnsi="Arial" w:cs="Arial"/>
          <w:sz w:val="20"/>
          <w:szCs w:val="20"/>
          <w:lang w:eastAsia="es-ES"/>
        </w:rPr>
      </w:pPr>
    </w:p>
    <w:p w14:paraId="75802375" w14:textId="7CDE997F" w:rsidR="00E941A5" w:rsidRPr="00000D82" w:rsidRDefault="00E941A5" w:rsidP="00000D82">
      <w:pPr>
        <w:pStyle w:val="Prrafodelista"/>
        <w:spacing w:after="200"/>
        <w:ind w:left="709" w:right="709"/>
        <w:jc w:val="both"/>
        <w:rPr>
          <w:rFonts w:ascii="Arial" w:eastAsia="Arial" w:hAnsi="Arial" w:cs="Arial"/>
          <w:sz w:val="21"/>
          <w:szCs w:val="21"/>
          <w:lang w:eastAsia="es-ES"/>
        </w:rPr>
      </w:pPr>
      <w:r w:rsidRPr="00000D82">
        <w:rPr>
          <w:rFonts w:ascii="Arial" w:eastAsia="Arial" w:hAnsi="Arial" w:cs="Arial"/>
          <w:sz w:val="21"/>
          <w:szCs w:val="21"/>
          <w:lang w:eastAsia="es-ES"/>
        </w:rPr>
        <w:t xml:space="preserve">D. Dependiendo del método aleatorio establecido según la TRM, cada uno de los proponentes habilitados participarán con el </w:t>
      </w:r>
      <w:r w:rsidRPr="00000D82">
        <w:rPr>
          <w:rFonts w:ascii="Arial" w:eastAsia="Arial" w:hAnsi="Arial" w:cs="Arial"/>
          <w:i/>
          <w:iCs/>
          <w:sz w:val="21"/>
          <w:szCs w:val="21"/>
          <w:lang w:eastAsia="es-ES"/>
        </w:rPr>
        <w:t>valor del promedio de los contratos válidos aportados</w:t>
      </w:r>
      <w:r w:rsidRPr="00000D82">
        <w:rPr>
          <w:rFonts w:ascii="Arial" w:eastAsia="Arial" w:hAnsi="Arial" w:cs="Arial"/>
          <w:sz w:val="21"/>
          <w:szCs w:val="21"/>
          <w:lang w:eastAsia="es-ES"/>
        </w:rPr>
        <w:t xml:space="preserve"> según la metodología descrita para cada alternativa. </w:t>
      </w:r>
    </w:p>
    <w:p w14:paraId="15DEF2F9" w14:textId="77B052EC" w:rsidR="006F49C7" w:rsidRDefault="00AA00E0" w:rsidP="00000D82">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aprecia</w:t>
      </w:r>
      <w:r w:rsidR="006F49C7" w:rsidRPr="004D6A4E">
        <w:rPr>
          <w:rFonts w:ascii="Arial" w:eastAsia="Calibri" w:hAnsi="Arial" w:cs="Arial"/>
          <w:color w:val="000000" w:themeColor="text1"/>
          <w:sz w:val="22"/>
          <w:lang w:val="es-ES_tradnl"/>
        </w:rPr>
        <w:t xml:space="preserve">, </w:t>
      </w:r>
      <w:r w:rsidR="00952AF6">
        <w:rPr>
          <w:rFonts w:ascii="Arial" w:eastAsia="Calibri" w:hAnsi="Arial" w:cs="Arial"/>
          <w:color w:val="000000" w:themeColor="text1"/>
          <w:sz w:val="22"/>
          <w:lang w:val="es-ES_tradnl"/>
        </w:rPr>
        <w:t>en los procedimientos de concurso de méritos para la escogencia de i</w:t>
      </w:r>
      <w:r w:rsidR="00976BDC">
        <w:rPr>
          <w:rFonts w:ascii="Arial" w:eastAsia="Calibri" w:hAnsi="Arial" w:cs="Arial"/>
          <w:color w:val="000000" w:themeColor="text1"/>
          <w:sz w:val="22"/>
          <w:lang w:val="es-ES_tradnl"/>
        </w:rPr>
        <w:t>nterventor</w:t>
      </w:r>
      <w:r w:rsidR="00952AF6">
        <w:rPr>
          <w:rFonts w:ascii="Arial" w:eastAsia="Calibri" w:hAnsi="Arial" w:cs="Arial"/>
          <w:color w:val="000000" w:themeColor="text1"/>
          <w:sz w:val="22"/>
          <w:lang w:val="es-ES_tradnl"/>
        </w:rPr>
        <w:t>es</w:t>
      </w:r>
      <w:r w:rsidR="00976BDC">
        <w:rPr>
          <w:rFonts w:ascii="Arial" w:eastAsia="Calibri" w:hAnsi="Arial" w:cs="Arial"/>
          <w:color w:val="000000" w:themeColor="text1"/>
          <w:sz w:val="22"/>
          <w:lang w:val="es-ES_tradnl"/>
        </w:rPr>
        <w:t xml:space="preserve"> de </w:t>
      </w:r>
      <w:r w:rsidR="00952AF6">
        <w:rPr>
          <w:rFonts w:ascii="Arial" w:eastAsia="Calibri" w:hAnsi="Arial" w:cs="Arial"/>
          <w:color w:val="000000" w:themeColor="text1"/>
          <w:sz w:val="22"/>
          <w:lang w:val="es-ES_tradnl"/>
        </w:rPr>
        <w:t>o</w:t>
      </w:r>
      <w:r w:rsidR="00976BDC">
        <w:rPr>
          <w:rFonts w:ascii="Arial" w:eastAsia="Calibri" w:hAnsi="Arial" w:cs="Arial"/>
          <w:color w:val="000000" w:themeColor="text1"/>
          <w:sz w:val="22"/>
          <w:lang w:val="es-ES_tradnl"/>
        </w:rPr>
        <w:t xml:space="preserve">bra </w:t>
      </w:r>
      <w:r w:rsidR="00952AF6">
        <w:rPr>
          <w:rFonts w:ascii="Arial" w:eastAsia="Calibri" w:hAnsi="Arial" w:cs="Arial"/>
          <w:color w:val="000000" w:themeColor="text1"/>
          <w:sz w:val="22"/>
          <w:lang w:val="es-ES_tradnl"/>
        </w:rPr>
        <w:t>p</w:t>
      </w:r>
      <w:r w:rsidR="00976BDC">
        <w:rPr>
          <w:rFonts w:ascii="Arial" w:eastAsia="Calibri" w:hAnsi="Arial" w:cs="Arial"/>
          <w:color w:val="000000" w:themeColor="text1"/>
          <w:sz w:val="22"/>
          <w:lang w:val="es-ES_tradnl"/>
        </w:rPr>
        <w:t xml:space="preserve">ública de </w:t>
      </w:r>
      <w:r w:rsidR="00952AF6">
        <w:rPr>
          <w:rFonts w:ascii="Arial" w:eastAsia="Calibri" w:hAnsi="Arial" w:cs="Arial"/>
          <w:color w:val="000000" w:themeColor="text1"/>
          <w:sz w:val="22"/>
          <w:lang w:val="es-ES_tradnl"/>
        </w:rPr>
        <w:t>i</w:t>
      </w:r>
      <w:r w:rsidR="00976BDC">
        <w:rPr>
          <w:rFonts w:ascii="Arial" w:eastAsia="Calibri" w:hAnsi="Arial" w:cs="Arial"/>
          <w:color w:val="000000" w:themeColor="text1"/>
          <w:sz w:val="22"/>
          <w:lang w:val="es-ES_tradnl"/>
        </w:rPr>
        <w:t xml:space="preserve">nfraestructura de </w:t>
      </w:r>
      <w:r w:rsidR="00952AF6">
        <w:rPr>
          <w:rFonts w:ascii="Arial" w:eastAsia="Calibri" w:hAnsi="Arial" w:cs="Arial"/>
          <w:color w:val="000000" w:themeColor="text1"/>
          <w:sz w:val="22"/>
          <w:lang w:val="es-ES_tradnl"/>
        </w:rPr>
        <w:t>t</w:t>
      </w:r>
      <w:r w:rsidR="00976BDC">
        <w:rPr>
          <w:rFonts w:ascii="Arial" w:eastAsia="Calibri" w:hAnsi="Arial" w:cs="Arial"/>
          <w:color w:val="000000" w:themeColor="text1"/>
          <w:sz w:val="22"/>
          <w:lang w:val="es-ES_tradnl"/>
        </w:rPr>
        <w:t>ransporte</w:t>
      </w:r>
      <w:r w:rsidR="006F49C7" w:rsidRPr="004D6A4E">
        <w:rPr>
          <w:rFonts w:ascii="Arial" w:eastAsia="Calibri" w:hAnsi="Arial" w:cs="Arial"/>
          <w:color w:val="000000" w:themeColor="text1"/>
          <w:sz w:val="22"/>
          <w:lang w:val="es-ES_tradnl"/>
        </w:rPr>
        <w:t xml:space="preserve"> </w:t>
      </w:r>
      <w:r w:rsidR="007172E5">
        <w:rPr>
          <w:rFonts w:ascii="Arial" w:eastAsia="Calibri" w:hAnsi="Arial" w:cs="Arial"/>
          <w:color w:val="000000" w:themeColor="text1"/>
          <w:sz w:val="22"/>
          <w:lang w:val="es-ES_tradnl"/>
        </w:rPr>
        <w:t xml:space="preserve">adelantados con documentos tipo, la experiencia del proponente debe ser </w:t>
      </w:r>
      <w:r w:rsidR="00573026">
        <w:rPr>
          <w:rFonts w:ascii="Arial" w:eastAsia="Calibri" w:hAnsi="Arial" w:cs="Arial"/>
          <w:color w:val="000000" w:themeColor="text1"/>
          <w:sz w:val="22"/>
          <w:lang w:val="es-ES_tradnl"/>
        </w:rPr>
        <w:t xml:space="preserve">ponderada, de acuerdo con un método aleatorio, a efectos de determinar el puntaje que </w:t>
      </w:r>
      <w:r w:rsidR="00E951A4">
        <w:rPr>
          <w:rFonts w:ascii="Arial" w:eastAsia="Calibri" w:hAnsi="Arial" w:cs="Arial"/>
          <w:color w:val="000000" w:themeColor="text1"/>
          <w:sz w:val="22"/>
          <w:lang w:val="es-ES_tradnl"/>
        </w:rPr>
        <w:t>le corresponde.</w:t>
      </w:r>
      <w:r w:rsidR="006F49C7" w:rsidRPr="004D6A4E">
        <w:rPr>
          <w:rFonts w:ascii="Arial" w:hAnsi="Arial" w:cs="Arial"/>
          <w:sz w:val="22"/>
        </w:rPr>
        <w:t xml:space="preserve"> </w:t>
      </w:r>
      <w:r w:rsidR="00E951A4">
        <w:rPr>
          <w:rFonts w:ascii="Arial" w:hAnsi="Arial" w:cs="Arial"/>
          <w:sz w:val="22"/>
        </w:rPr>
        <w:t xml:space="preserve">Al respecto, el Documento Base, </w:t>
      </w:r>
      <w:r w:rsidR="00D65CFF">
        <w:rPr>
          <w:rFonts w:ascii="Arial" w:hAnsi="Arial" w:cs="Arial"/>
          <w:sz w:val="22"/>
        </w:rPr>
        <w:t>establece cuatro (</w:t>
      </w:r>
      <w:r w:rsidR="006F49C7" w:rsidRPr="004D6A4E">
        <w:rPr>
          <w:rFonts w:ascii="Arial" w:eastAsia="Calibri" w:hAnsi="Arial" w:cs="Arial"/>
          <w:color w:val="000000" w:themeColor="text1"/>
          <w:sz w:val="22"/>
          <w:lang w:val="es-ES_tradnl"/>
        </w:rPr>
        <w:t>4</w:t>
      </w:r>
      <w:r w:rsidR="00D65CFF">
        <w:rPr>
          <w:rFonts w:ascii="Arial" w:eastAsia="Calibri" w:hAnsi="Arial" w:cs="Arial"/>
          <w:color w:val="000000" w:themeColor="text1"/>
          <w:sz w:val="22"/>
          <w:lang w:val="es-ES_tradnl"/>
        </w:rPr>
        <w:t>)</w:t>
      </w:r>
      <w:r w:rsidR="006F49C7" w:rsidRPr="004D6A4E">
        <w:rPr>
          <w:rFonts w:ascii="Arial" w:eastAsia="Calibri" w:hAnsi="Arial" w:cs="Arial"/>
          <w:color w:val="000000" w:themeColor="text1"/>
          <w:sz w:val="22"/>
          <w:lang w:val="es-ES_tradnl"/>
        </w:rPr>
        <w:t xml:space="preserve"> alternativas para </w:t>
      </w:r>
      <w:r w:rsidR="00D65CFF">
        <w:rPr>
          <w:rFonts w:ascii="Arial" w:eastAsia="Calibri" w:hAnsi="Arial" w:cs="Arial"/>
          <w:color w:val="000000" w:themeColor="text1"/>
          <w:sz w:val="22"/>
          <w:lang w:val="es-ES_tradnl"/>
        </w:rPr>
        <w:t>po</w:t>
      </w:r>
      <w:r w:rsidR="006F49C7" w:rsidRPr="004D6A4E">
        <w:rPr>
          <w:rFonts w:ascii="Arial" w:eastAsia="Calibri" w:hAnsi="Arial" w:cs="Arial"/>
          <w:color w:val="000000" w:themeColor="text1"/>
          <w:sz w:val="22"/>
          <w:lang w:val="es-ES_tradnl"/>
        </w:rPr>
        <w:t>n</w:t>
      </w:r>
      <w:r w:rsidR="00D65CFF">
        <w:rPr>
          <w:rFonts w:ascii="Arial" w:eastAsia="Calibri" w:hAnsi="Arial" w:cs="Arial"/>
          <w:color w:val="000000" w:themeColor="text1"/>
          <w:sz w:val="22"/>
          <w:lang w:val="es-ES_tradnl"/>
        </w:rPr>
        <w:t xml:space="preserve">derar </w:t>
      </w:r>
      <w:r w:rsidR="006F49C7" w:rsidRPr="004D6A4E">
        <w:rPr>
          <w:rFonts w:ascii="Arial" w:eastAsia="Calibri" w:hAnsi="Arial" w:cs="Arial"/>
          <w:color w:val="000000" w:themeColor="text1"/>
          <w:sz w:val="22"/>
          <w:lang w:val="es-ES_tradnl"/>
        </w:rPr>
        <w:t>la experiencia de los proponentes</w:t>
      </w:r>
      <w:r w:rsidR="00D65CFF">
        <w:rPr>
          <w:rFonts w:ascii="Arial" w:eastAsia="Calibri" w:hAnsi="Arial" w:cs="Arial"/>
          <w:color w:val="000000" w:themeColor="text1"/>
          <w:sz w:val="22"/>
          <w:lang w:val="es-ES_tradnl"/>
        </w:rPr>
        <w:t>, aplicables según la TR</w:t>
      </w:r>
      <w:r w:rsidR="001235CF">
        <w:rPr>
          <w:rFonts w:ascii="Arial" w:eastAsia="Calibri" w:hAnsi="Arial" w:cs="Arial"/>
          <w:color w:val="000000" w:themeColor="text1"/>
          <w:sz w:val="22"/>
          <w:lang w:val="es-ES_tradnl"/>
        </w:rPr>
        <w:t>M que rija, a saber</w:t>
      </w:r>
      <w:r w:rsidR="006F49C7" w:rsidRPr="004D6A4E">
        <w:rPr>
          <w:rFonts w:ascii="Arial" w:eastAsia="Calibri" w:hAnsi="Arial" w:cs="Arial"/>
          <w:color w:val="000000" w:themeColor="text1"/>
          <w:sz w:val="22"/>
          <w:lang w:val="es-ES_tradnl"/>
        </w:rPr>
        <w:t>: i)</w:t>
      </w:r>
      <w:r w:rsidR="009943D7">
        <w:rPr>
          <w:rFonts w:ascii="Arial" w:eastAsia="Calibri" w:hAnsi="Arial" w:cs="Arial"/>
          <w:color w:val="000000" w:themeColor="text1"/>
          <w:sz w:val="22"/>
          <w:lang w:val="es-ES_tradnl"/>
        </w:rPr>
        <w:t xml:space="preserve"> </w:t>
      </w:r>
      <w:r w:rsidR="006F49C7" w:rsidRPr="004D6A4E">
        <w:rPr>
          <w:rFonts w:ascii="Arial" w:eastAsia="Calibri" w:hAnsi="Arial" w:cs="Arial"/>
          <w:color w:val="000000" w:themeColor="text1"/>
          <w:sz w:val="22"/>
          <w:lang w:val="es-ES_tradnl"/>
        </w:rPr>
        <w:t xml:space="preserve">media con valor absoluto; ii) media geométrica; iii) media aritmética alta y iv) media aritmética baja, cuya selección es aleatoria, como se explicará más adelante. </w:t>
      </w:r>
    </w:p>
    <w:p w14:paraId="04B866FB" w14:textId="47727341" w:rsidR="00CD3820" w:rsidRDefault="00CD3820" w:rsidP="00CD3820">
      <w:pPr>
        <w:spacing w:after="120" w:line="276" w:lineRule="auto"/>
        <w:ind w:firstLine="708"/>
        <w:jc w:val="both"/>
        <w:rPr>
          <w:rFonts w:ascii="Arial" w:hAnsi="Arial" w:cs="Arial"/>
          <w:color w:val="000000" w:themeColor="text1"/>
          <w:sz w:val="22"/>
          <w:lang w:val="es-ES_tradnl"/>
        </w:rPr>
      </w:pPr>
      <w:r w:rsidRPr="00DB6895">
        <w:rPr>
          <w:rFonts w:ascii="Arial" w:eastAsia="Calibri" w:hAnsi="Arial" w:cs="Arial"/>
          <w:color w:val="000000" w:themeColor="text1"/>
          <w:sz w:val="22"/>
          <w:lang w:val="es-ES_tradnl"/>
        </w:rPr>
        <w:t>La Tasa de Cambio Representativa del Mercado – TRM «</w:t>
      </w:r>
      <w:r w:rsidRPr="00DB6895">
        <w:rPr>
          <w:rFonts w:ascii="Arial"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DB6895">
        <w:rPr>
          <w:rFonts w:ascii="Arial" w:hAnsi="Arial" w:cs="Arial"/>
          <w:color w:val="000000" w:themeColor="text1"/>
          <w:sz w:val="22"/>
          <w:lang w:val="es-ES_tradnl"/>
        </w:rPr>
        <w:t>»</w:t>
      </w:r>
      <w:r w:rsidRPr="00CD3820">
        <w:rPr>
          <w:rStyle w:val="Refdenotaalpie"/>
          <w:rFonts w:ascii="Arial" w:hAnsi="Arial" w:cs="Arial"/>
          <w:color w:val="000000" w:themeColor="text1"/>
          <w:sz w:val="22"/>
          <w:lang w:val="es-ES_tradnl"/>
        </w:rPr>
        <w:t xml:space="preserve"> </w:t>
      </w:r>
      <w:r w:rsidRPr="00DB6895">
        <w:rPr>
          <w:rStyle w:val="Refdenotaalpie"/>
          <w:rFonts w:ascii="Arial" w:hAnsi="Arial" w:cs="Arial"/>
          <w:color w:val="000000" w:themeColor="text1"/>
          <w:sz w:val="22"/>
          <w:lang w:val="es-ES_tradnl"/>
        </w:rPr>
        <w:footnoteReference w:id="9"/>
      </w:r>
      <w:r>
        <w:rPr>
          <w:rFonts w:ascii="Arial" w:hAnsi="Arial" w:cs="Arial"/>
          <w:color w:val="000000" w:themeColor="text1"/>
          <w:sz w:val="22"/>
          <w:lang w:val="es-ES_tradnl"/>
        </w:rPr>
        <w:t xml:space="preserve">, definido por la Superintendencia Financiera, es decir, denota la relación entre la moneda colombiana y el dólar. Por su parte, el Banco de la República ha definido la tasa de cambio representativa del mercado como </w:t>
      </w:r>
      <w:r w:rsidRPr="00DB6895">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la cantidad de pesos colombianos por un dólar de los Estados Unidos</w:t>
      </w:r>
      <w:r>
        <w:rPr>
          <w:rStyle w:val="Refdenotaalpie"/>
          <w:rFonts w:ascii="Arial" w:eastAsia="Calibri" w:hAnsi="Arial" w:cs="Arial"/>
          <w:color w:val="000000" w:themeColor="text1"/>
          <w:sz w:val="22"/>
          <w:lang w:val="es-ES_tradnl"/>
        </w:rPr>
        <w:footnoteReference w:id="10"/>
      </w:r>
      <w:r w:rsidRPr="00DB6895">
        <w:rPr>
          <w:rFonts w:ascii="Arial" w:hAnsi="Arial" w:cs="Arial"/>
          <w:color w:val="000000" w:themeColor="text1"/>
          <w:sz w:val="22"/>
          <w:lang w:val="es-ES_tradnl"/>
        </w:rPr>
        <w:t>»</w:t>
      </w:r>
      <w:r>
        <w:rPr>
          <w:rFonts w:ascii="Arial" w:hAnsi="Arial" w:cs="Arial"/>
          <w:color w:val="000000" w:themeColor="text1"/>
          <w:sz w:val="22"/>
          <w:lang w:val="es-ES_tradnl"/>
        </w:rPr>
        <w:t xml:space="preserve">. Es decir que, es claro que la TRM es un valor que se origina en la fluctuación del mercado. </w:t>
      </w:r>
    </w:p>
    <w:p w14:paraId="3153651B" w14:textId="7CB91D72" w:rsidR="00CD3820" w:rsidRDefault="00CD3820" w:rsidP="00000D82">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De lo anterior, se tiene que del documento tipo acudió a este valor como el criterio de escogencia del método aleatorio para evaluar la experiencia de los proponentes, porque su definición no depende de la discrecionalidad de la administración pública en cualquiera de sus órdenes y niveles, pues aunque se </w:t>
      </w:r>
      <w:r w:rsidR="00201547">
        <w:rPr>
          <w:rFonts w:ascii="Arial" w:hAnsi="Arial" w:cs="Arial"/>
          <w:color w:val="000000" w:themeColor="text1"/>
          <w:sz w:val="22"/>
          <w:lang w:val="es-ES_tradnl"/>
        </w:rPr>
        <w:t>establece</w:t>
      </w:r>
      <w:r w:rsidR="009E0421">
        <w:rPr>
          <w:rFonts w:ascii="Arial" w:hAnsi="Arial" w:cs="Arial"/>
          <w:color w:val="000000" w:themeColor="text1"/>
          <w:sz w:val="22"/>
          <w:lang w:val="es-ES_tradnl"/>
        </w:rPr>
        <w:t xml:space="preserve"> y certifica</w:t>
      </w:r>
      <w:r>
        <w:rPr>
          <w:rFonts w:ascii="Arial" w:hAnsi="Arial" w:cs="Arial"/>
          <w:color w:val="000000" w:themeColor="text1"/>
          <w:sz w:val="22"/>
          <w:lang w:val="es-ES_tradnl"/>
        </w:rPr>
        <w:t xml:space="preserve"> por</w:t>
      </w:r>
      <w:r w:rsidR="009E0421">
        <w:rPr>
          <w:rFonts w:ascii="Arial" w:hAnsi="Arial" w:cs="Arial"/>
          <w:color w:val="000000" w:themeColor="text1"/>
          <w:sz w:val="22"/>
          <w:lang w:val="es-ES_tradnl"/>
        </w:rPr>
        <w:t xml:space="preserve"> parte de</w:t>
      </w:r>
      <w:r>
        <w:rPr>
          <w:rFonts w:ascii="Arial" w:hAnsi="Arial" w:cs="Arial"/>
          <w:color w:val="000000" w:themeColor="text1"/>
          <w:sz w:val="22"/>
          <w:lang w:val="es-ES_tradnl"/>
        </w:rPr>
        <w:t xml:space="preserve"> la </w:t>
      </w:r>
      <w:r>
        <w:rPr>
          <w:rFonts w:ascii="Arial" w:hAnsi="Arial" w:cs="Arial"/>
          <w:color w:val="000000" w:themeColor="text1"/>
          <w:sz w:val="22"/>
          <w:lang w:val="es-ES_tradnl"/>
        </w:rPr>
        <w:lastRenderedPageBreak/>
        <w:t>Superintendencia Financiera</w:t>
      </w:r>
      <w:r w:rsidR="00201547">
        <w:rPr>
          <w:rFonts w:ascii="Arial" w:hAnsi="Arial" w:cs="Arial"/>
          <w:color w:val="000000" w:themeColor="text1"/>
          <w:sz w:val="22"/>
          <w:lang w:val="es-ES_tradnl"/>
        </w:rPr>
        <w:t>,</w:t>
      </w:r>
      <w:r>
        <w:rPr>
          <w:rFonts w:ascii="Arial" w:hAnsi="Arial" w:cs="Arial"/>
          <w:color w:val="000000" w:themeColor="text1"/>
          <w:sz w:val="22"/>
          <w:lang w:val="es-ES_tradnl"/>
        </w:rPr>
        <w:t xml:space="preserve"> su determinación depende de las dinámicas del mercado de divisas, garantizando una escogencia aleatoria del método de ponderación aplicable para tal propósito, lo que dota de transparencia la evaluación de las ofertas. </w:t>
      </w:r>
    </w:p>
    <w:p w14:paraId="55EC077E" w14:textId="64ABA608" w:rsidR="00642E07" w:rsidRDefault="00586D36" w:rsidP="00642E07">
      <w:pPr>
        <w:spacing w:after="120" w:line="276" w:lineRule="auto"/>
        <w:ind w:firstLine="709"/>
        <w:jc w:val="both"/>
        <w:rPr>
          <w:rFonts w:ascii="Arial" w:eastAsia="Calibri" w:hAnsi="Arial" w:cs="Arial"/>
          <w:sz w:val="22"/>
        </w:rPr>
      </w:pPr>
      <w:r>
        <w:rPr>
          <w:rFonts w:ascii="Arial" w:eastAsia="Calibri" w:hAnsi="Arial" w:cs="Arial"/>
          <w:sz w:val="22"/>
        </w:rPr>
        <w:t>D</w:t>
      </w:r>
      <w:r w:rsidR="00642E07">
        <w:rPr>
          <w:rFonts w:ascii="Arial" w:eastAsia="Calibri" w:hAnsi="Arial" w:cs="Arial"/>
          <w:sz w:val="22"/>
        </w:rPr>
        <w:t>e acuerdo con el literal</w:t>
      </w:r>
      <w:r w:rsidR="0041019C">
        <w:rPr>
          <w:rFonts w:ascii="Arial" w:eastAsia="Calibri" w:hAnsi="Arial" w:cs="Arial"/>
          <w:sz w:val="22"/>
        </w:rPr>
        <w:t xml:space="preserve"> C transcrito,</w:t>
      </w:r>
      <w:r w:rsidR="00642E07">
        <w:rPr>
          <w:rFonts w:ascii="Arial" w:eastAsia="Calibri" w:hAnsi="Arial" w:cs="Arial"/>
          <w:sz w:val="22"/>
        </w:rPr>
        <w:t xml:space="preserve"> la regla aplicable para escoger el método aleatorio de ponderación de las ofertas del documento base, </w:t>
      </w:r>
      <w:r w:rsidR="00BF6925">
        <w:rPr>
          <w:rFonts w:ascii="Arial" w:eastAsia="Calibri" w:hAnsi="Arial" w:cs="Arial"/>
          <w:sz w:val="22"/>
        </w:rPr>
        <w:t>indica que la TRM</w:t>
      </w:r>
      <w:r w:rsidR="00642E07">
        <w:rPr>
          <w:rFonts w:ascii="Arial" w:eastAsia="Calibri" w:hAnsi="Arial" w:cs="Arial"/>
          <w:sz w:val="22"/>
        </w:rPr>
        <w:t xml:space="preserve"> </w:t>
      </w:r>
      <w:r w:rsidR="00F4025A">
        <w:rPr>
          <w:rFonts w:ascii="Arial" w:eastAsia="Calibri" w:hAnsi="Arial" w:cs="Arial"/>
          <w:sz w:val="22"/>
        </w:rPr>
        <w:t>que determinar</w:t>
      </w:r>
      <w:r w:rsidR="00456A7D">
        <w:rPr>
          <w:rFonts w:ascii="Arial" w:eastAsia="Calibri" w:hAnsi="Arial" w:cs="Arial"/>
          <w:sz w:val="22"/>
        </w:rPr>
        <w:t>á</w:t>
      </w:r>
      <w:r w:rsidR="00F4025A">
        <w:rPr>
          <w:rFonts w:ascii="Arial" w:eastAsia="Calibri" w:hAnsi="Arial" w:cs="Arial"/>
          <w:sz w:val="22"/>
        </w:rPr>
        <w:t xml:space="preserve"> el método de ponderación a aplicar es l</w:t>
      </w:r>
      <w:r w:rsidR="00922172">
        <w:rPr>
          <w:rFonts w:ascii="Arial" w:eastAsia="Calibri" w:hAnsi="Arial" w:cs="Arial"/>
          <w:sz w:val="22"/>
        </w:rPr>
        <w:t xml:space="preserve">a que rija </w:t>
      </w:r>
      <w:r w:rsidR="00642E07">
        <w:rPr>
          <w:rFonts w:ascii="Arial" w:eastAsia="Calibri" w:hAnsi="Arial" w:cs="Arial"/>
          <w:sz w:val="22"/>
        </w:rPr>
        <w:t xml:space="preserve">el segundo día hábil después del cierre del proceso. </w:t>
      </w:r>
      <w:r w:rsidR="00922172">
        <w:rPr>
          <w:rFonts w:ascii="Arial" w:eastAsia="Calibri" w:hAnsi="Arial" w:cs="Arial"/>
          <w:sz w:val="22"/>
        </w:rPr>
        <w:t>De esta manera,</w:t>
      </w:r>
      <w:r w:rsidR="00047EAE">
        <w:rPr>
          <w:rFonts w:ascii="Arial" w:eastAsia="Calibri" w:hAnsi="Arial" w:cs="Arial"/>
          <w:sz w:val="22"/>
        </w:rPr>
        <w:t xml:space="preserve"> por ejemplo,</w:t>
      </w:r>
      <w:r w:rsidR="00922172">
        <w:rPr>
          <w:rFonts w:ascii="Arial" w:eastAsia="Calibri" w:hAnsi="Arial" w:cs="Arial"/>
          <w:sz w:val="22"/>
        </w:rPr>
        <w:t xml:space="preserve"> </w:t>
      </w:r>
      <w:r w:rsidR="00887029">
        <w:rPr>
          <w:rFonts w:ascii="Arial" w:eastAsia="Calibri" w:hAnsi="Arial" w:cs="Arial"/>
          <w:sz w:val="22"/>
        </w:rPr>
        <w:t xml:space="preserve">si </w:t>
      </w:r>
      <w:r w:rsidR="00047EAE">
        <w:rPr>
          <w:rFonts w:ascii="Arial" w:eastAsia="Calibri" w:hAnsi="Arial" w:cs="Arial"/>
          <w:sz w:val="22"/>
        </w:rPr>
        <w:t>en un</w:t>
      </w:r>
      <w:r w:rsidR="00887029">
        <w:rPr>
          <w:rFonts w:ascii="Arial" w:eastAsia="Calibri" w:hAnsi="Arial" w:cs="Arial"/>
          <w:sz w:val="22"/>
        </w:rPr>
        <w:t xml:space="preserve"> proceso se </w:t>
      </w:r>
      <w:r w:rsidR="00047EAE">
        <w:rPr>
          <w:rFonts w:ascii="Arial" w:eastAsia="Calibri" w:hAnsi="Arial" w:cs="Arial"/>
          <w:sz w:val="22"/>
        </w:rPr>
        <w:t>reciben ofertas hasta</w:t>
      </w:r>
      <w:r w:rsidR="00887029">
        <w:rPr>
          <w:rFonts w:ascii="Arial" w:eastAsia="Calibri" w:hAnsi="Arial" w:cs="Arial"/>
          <w:sz w:val="22"/>
        </w:rPr>
        <w:t xml:space="preserve"> </w:t>
      </w:r>
      <w:r w:rsidR="00683B7C">
        <w:rPr>
          <w:rFonts w:ascii="Arial" w:eastAsia="Calibri" w:hAnsi="Arial" w:cs="Arial"/>
          <w:sz w:val="22"/>
        </w:rPr>
        <w:t xml:space="preserve">el 10 de agosto, la TRM que aplicará será la que rija para el </w:t>
      </w:r>
      <w:r w:rsidR="00C31CA2">
        <w:rPr>
          <w:rFonts w:ascii="Arial" w:eastAsia="Calibri" w:hAnsi="Arial" w:cs="Arial"/>
          <w:sz w:val="22"/>
        </w:rPr>
        <w:t>12 de agosto, la cual ha debido ser publicada por la Superintendencia Financiera en la tarde del día anterior, es decir, el 11 de agosto</w:t>
      </w:r>
      <w:r w:rsidR="00F0513B">
        <w:rPr>
          <w:rFonts w:ascii="Arial" w:eastAsia="Calibri" w:hAnsi="Arial" w:cs="Arial"/>
          <w:sz w:val="22"/>
        </w:rPr>
        <w:t xml:space="preserve"> –esto bajo el supuesto de que estas fechas son hábiles en la respectiva entidad–</w:t>
      </w:r>
      <w:r w:rsidR="00C31CA2">
        <w:rPr>
          <w:rFonts w:ascii="Arial" w:eastAsia="Calibri" w:hAnsi="Arial" w:cs="Arial"/>
          <w:sz w:val="22"/>
        </w:rPr>
        <w:t>.</w:t>
      </w:r>
      <w:r w:rsidR="00683B7C">
        <w:rPr>
          <w:rFonts w:ascii="Arial" w:eastAsia="Calibri" w:hAnsi="Arial" w:cs="Arial"/>
          <w:sz w:val="22"/>
        </w:rPr>
        <w:t xml:space="preserve"> </w:t>
      </w:r>
    </w:p>
    <w:p w14:paraId="7539A304" w14:textId="66CE49A0" w:rsidR="00D3102E" w:rsidRDefault="00DD5FE9" w:rsidP="006C74AC">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Explicado lo anterior,</w:t>
      </w:r>
      <w:r w:rsidR="00586D36">
        <w:rPr>
          <w:rFonts w:ascii="Arial" w:eastAsia="Calibri" w:hAnsi="Arial" w:cs="Arial"/>
          <w:color w:val="000000" w:themeColor="text1"/>
          <w:sz w:val="22"/>
          <w:lang w:val="es-ES_tradnl"/>
        </w:rPr>
        <w:t xml:space="preserve"> es</w:t>
      </w:r>
      <w:r w:rsidR="002F063A">
        <w:rPr>
          <w:rFonts w:ascii="Arial" w:eastAsia="Calibri" w:hAnsi="Arial" w:cs="Arial"/>
          <w:color w:val="000000" w:themeColor="text1"/>
          <w:sz w:val="22"/>
          <w:lang w:val="es-ES_tradnl"/>
        </w:rPr>
        <w:t xml:space="preserve"> necesario</w:t>
      </w:r>
      <w:r w:rsidR="00586D36">
        <w:rPr>
          <w:rFonts w:ascii="Arial" w:eastAsia="Calibri" w:hAnsi="Arial" w:cs="Arial"/>
          <w:color w:val="000000" w:themeColor="text1"/>
          <w:sz w:val="22"/>
          <w:lang w:val="es-ES_tradnl"/>
        </w:rPr>
        <w:t xml:space="preserve"> referirse a la inquietud planteada en la consulta en relación </w:t>
      </w:r>
      <w:r w:rsidR="00326753">
        <w:rPr>
          <w:rFonts w:ascii="Arial" w:eastAsia="Calibri" w:hAnsi="Arial" w:cs="Arial"/>
          <w:color w:val="000000" w:themeColor="text1"/>
          <w:sz w:val="22"/>
          <w:lang w:val="es-ES_tradnl"/>
        </w:rPr>
        <w:t xml:space="preserve">con </w:t>
      </w:r>
      <w:r w:rsidR="00586D36">
        <w:rPr>
          <w:rFonts w:ascii="Arial" w:eastAsia="Calibri" w:hAnsi="Arial" w:cs="Arial"/>
          <w:color w:val="000000" w:themeColor="text1"/>
          <w:sz w:val="22"/>
          <w:lang w:val="es-ES_tradnl"/>
        </w:rPr>
        <w:t>la escogencia del método de ponderación</w:t>
      </w:r>
      <w:r w:rsidR="009E3490">
        <w:rPr>
          <w:rFonts w:ascii="Arial" w:eastAsia="Calibri" w:hAnsi="Arial" w:cs="Arial"/>
          <w:color w:val="000000" w:themeColor="text1"/>
          <w:sz w:val="22"/>
          <w:lang w:val="es-ES_tradnl"/>
        </w:rPr>
        <w:t xml:space="preserve"> y la subsanación de experiencia. </w:t>
      </w:r>
      <w:r w:rsidR="00F64558">
        <w:rPr>
          <w:rFonts w:ascii="Arial" w:eastAsia="Calibri" w:hAnsi="Arial" w:cs="Arial"/>
          <w:color w:val="000000" w:themeColor="text1"/>
          <w:sz w:val="22"/>
          <w:lang w:val="es-ES_tradnl"/>
        </w:rPr>
        <w:t>El peticionario indica que al permitirse la subsanación de la oferta económica, es posible que al subsanarse la misma</w:t>
      </w:r>
      <w:r w:rsidR="00400B3D">
        <w:rPr>
          <w:rFonts w:ascii="Arial" w:eastAsia="Calibri" w:hAnsi="Arial" w:cs="Arial"/>
          <w:color w:val="000000" w:themeColor="text1"/>
          <w:sz w:val="22"/>
          <w:lang w:val="es-ES_tradnl"/>
        </w:rPr>
        <w:t xml:space="preserve"> dentro del término de traslado del informe de evaluación, conforme indica el numeral 1.6 del Documento Base</w:t>
      </w:r>
      <w:r w:rsidR="0032390E">
        <w:rPr>
          <w:rFonts w:ascii="Arial" w:eastAsia="Calibri" w:hAnsi="Arial" w:cs="Arial"/>
          <w:color w:val="000000" w:themeColor="text1"/>
          <w:sz w:val="22"/>
          <w:lang w:val="es-ES_tradnl"/>
        </w:rPr>
        <w:t>, es</w:t>
      </w:r>
      <w:r w:rsidR="00515ED6">
        <w:rPr>
          <w:rFonts w:ascii="Arial" w:eastAsia="Calibri" w:hAnsi="Arial" w:cs="Arial"/>
          <w:color w:val="000000" w:themeColor="text1"/>
          <w:sz w:val="22"/>
          <w:lang w:val="es-ES_tradnl"/>
        </w:rPr>
        <w:t xml:space="preserve"> posible que el proponente subsane la misma conociendo la TRM con base en la cual esta será ponderada</w:t>
      </w:r>
      <w:r w:rsidR="00C66EB6">
        <w:rPr>
          <w:rFonts w:ascii="Arial" w:eastAsia="Calibri" w:hAnsi="Arial" w:cs="Arial"/>
          <w:color w:val="000000" w:themeColor="text1"/>
          <w:sz w:val="22"/>
          <w:lang w:val="es-ES_tradnl"/>
        </w:rPr>
        <w:t xml:space="preserve">, lo cual considera </w:t>
      </w:r>
      <w:r w:rsidR="00F0404F">
        <w:rPr>
          <w:rFonts w:ascii="Arial" w:eastAsia="Calibri" w:hAnsi="Arial" w:cs="Arial"/>
          <w:color w:val="000000" w:themeColor="text1"/>
          <w:sz w:val="22"/>
          <w:lang w:val="es-ES_tradnl"/>
        </w:rPr>
        <w:t xml:space="preserve">lo sitúa en una situación ventajosa con quienes se habilitaron </w:t>
      </w:r>
      <w:r w:rsidR="00326753">
        <w:rPr>
          <w:rFonts w:ascii="Arial" w:eastAsia="Calibri" w:hAnsi="Arial" w:cs="Arial"/>
          <w:color w:val="000000" w:themeColor="text1"/>
          <w:sz w:val="22"/>
          <w:lang w:val="es-ES_tradnl"/>
        </w:rPr>
        <w:t>después de</w:t>
      </w:r>
      <w:r w:rsidR="00F0404F">
        <w:rPr>
          <w:rFonts w:ascii="Arial" w:eastAsia="Calibri" w:hAnsi="Arial" w:cs="Arial"/>
          <w:color w:val="000000" w:themeColor="text1"/>
          <w:sz w:val="22"/>
          <w:lang w:val="es-ES_tradnl"/>
        </w:rPr>
        <w:t xml:space="preserve"> presentar su oferta dentro del per</w:t>
      </w:r>
      <w:r w:rsidR="00326753">
        <w:rPr>
          <w:rFonts w:ascii="Arial" w:eastAsia="Calibri" w:hAnsi="Arial" w:cs="Arial"/>
          <w:color w:val="000000" w:themeColor="text1"/>
          <w:sz w:val="22"/>
          <w:lang w:val="es-ES_tradnl"/>
        </w:rPr>
        <w:t>í</w:t>
      </w:r>
      <w:r w:rsidR="00F0404F">
        <w:rPr>
          <w:rFonts w:ascii="Arial" w:eastAsia="Calibri" w:hAnsi="Arial" w:cs="Arial"/>
          <w:color w:val="000000" w:themeColor="text1"/>
          <w:sz w:val="22"/>
          <w:lang w:val="es-ES_tradnl"/>
        </w:rPr>
        <w:t>odo correspondiente</w:t>
      </w:r>
      <w:r w:rsidR="00D3102E">
        <w:rPr>
          <w:rFonts w:ascii="Arial" w:eastAsia="Calibri" w:hAnsi="Arial" w:cs="Arial"/>
          <w:color w:val="000000" w:themeColor="text1"/>
          <w:sz w:val="22"/>
          <w:lang w:val="es-ES_tradnl"/>
        </w:rPr>
        <w:t xml:space="preserve"> sin tener que subsanar.</w:t>
      </w:r>
    </w:p>
    <w:p w14:paraId="36B95718" w14:textId="51A4CEF6" w:rsidR="00DE1678" w:rsidRDefault="00FE6424" w:rsidP="006C74AC">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acuerdo con las consideraciones expuestas en este concepto </w:t>
      </w:r>
      <w:r w:rsidR="000F7042">
        <w:rPr>
          <w:rFonts w:ascii="Arial" w:eastAsia="Calibri" w:hAnsi="Arial" w:cs="Arial"/>
          <w:color w:val="000000" w:themeColor="text1"/>
          <w:sz w:val="22"/>
          <w:lang w:val="es-ES_tradnl"/>
        </w:rPr>
        <w:t xml:space="preserve">es claro que el peticionario parte de una premisa errada, relativa a que la oferta económica es un factor ponderable </w:t>
      </w:r>
      <w:r w:rsidR="00527E6F">
        <w:rPr>
          <w:rFonts w:ascii="Arial" w:eastAsia="Calibri" w:hAnsi="Arial" w:cs="Arial"/>
          <w:color w:val="000000" w:themeColor="text1"/>
          <w:sz w:val="22"/>
          <w:lang w:val="es-ES_tradnl"/>
        </w:rPr>
        <w:t xml:space="preserve">y que </w:t>
      </w:r>
      <w:r w:rsidR="009C1419">
        <w:rPr>
          <w:rFonts w:ascii="Arial" w:eastAsia="Calibri" w:hAnsi="Arial" w:cs="Arial"/>
          <w:color w:val="000000" w:themeColor="text1"/>
          <w:sz w:val="22"/>
          <w:lang w:val="es-ES_tradnl"/>
        </w:rPr>
        <w:t xml:space="preserve">incide en la escogencia del método de ponderación. </w:t>
      </w:r>
      <w:r w:rsidR="00CF0204">
        <w:rPr>
          <w:rFonts w:ascii="Arial" w:eastAsia="Calibri" w:hAnsi="Arial" w:cs="Arial"/>
          <w:color w:val="000000" w:themeColor="text1"/>
          <w:sz w:val="22"/>
          <w:lang w:val="es-ES_tradnl"/>
        </w:rPr>
        <w:t xml:space="preserve">Esto comoquiera que, en los procesos de concurso de méritos, dentro de los que se encuentran los adelantados con documentos tipo de interventoría de obra pública de infraestructura de </w:t>
      </w:r>
      <w:r w:rsidR="00BA46FA">
        <w:rPr>
          <w:rFonts w:ascii="Arial" w:eastAsia="Calibri" w:hAnsi="Arial" w:cs="Arial"/>
          <w:color w:val="000000" w:themeColor="text1"/>
          <w:sz w:val="22"/>
          <w:lang w:val="es-ES_tradnl"/>
        </w:rPr>
        <w:t xml:space="preserve">transporte, el precio no es </w:t>
      </w:r>
      <w:r w:rsidR="00AF317C">
        <w:rPr>
          <w:rFonts w:ascii="Arial" w:eastAsia="Calibri" w:hAnsi="Arial" w:cs="Arial"/>
          <w:color w:val="000000" w:themeColor="text1"/>
          <w:sz w:val="22"/>
          <w:lang w:val="es-ES_tradnl"/>
        </w:rPr>
        <w:t>un factor de escogencia, en atención al mandato expreso dispuesto en el inciso final de</w:t>
      </w:r>
      <w:r w:rsidR="00373EDD">
        <w:rPr>
          <w:rFonts w:ascii="Arial" w:eastAsia="Calibri" w:hAnsi="Arial" w:cs="Arial"/>
          <w:color w:val="000000" w:themeColor="text1"/>
          <w:sz w:val="22"/>
          <w:lang w:val="es-ES_tradnl"/>
        </w:rPr>
        <w:t xml:space="preserve">l artículo 5.4 de la Ley 1150 de 2007. </w:t>
      </w:r>
    </w:p>
    <w:p w14:paraId="5FAE3BBA" w14:textId="3AA4A58F" w:rsidR="000A7E0C" w:rsidRDefault="00DE1678" w:rsidP="006C74AC">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En ese sentido, </w:t>
      </w:r>
      <w:r w:rsidR="00831307">
        <w:rPr>
          <w:rFonts w:ascii="Arial" w:eastAsia="Calibri" w:hAnsi="Arial" w:cs="Arial"/>
          <w:color w:val="000000" w:themeColor="text1"/>
          <w:sz w:val="22"/>
          <w:lang w:val="es-ES_tradnl"/>
        </w:rPr>
        <w:t xml:space="preserve">la oferta económica </w:t>
      </w:r>
      <w:r w:rsidR="0082354A">
        <w:rPr>
          <w:rFonts w:ascii="Arial" w:eastAsia="Calibri" w:hAnsi="Arial" w:cs="Arial"/>
          <w:color w:val="000000" w:themeColor="text1"/>
          <w:sz w:val="22"/>
          <w:lang w:val="es-ES_tradnl"/>
        </w:rPr>
        <w:t xml:space="preserve">no es un factor que otorgue puntaje en el marco de los procesos de concurso de méritos, razón por la </w:t>
      </w:r>
      <w:r w:rsidR="004841A0">
        <w:rPr>
          <w:rFonts w:ascii="Arial" w:eastAsia="Calibri" w:hAnsi="Arial" w:cs="Arial"/>
          <w:color w:val="000000" w:themeColor="text1"/>
          <w:sz w:val="22"/>
          <w:lang w:val="es-ES_tradnl"/>
        </w:rPr>
        <w:t xml:space="preserve">cual </w:t>
      </w:r>
      <w:r w:rsidR="0082354A">
        <w:rPr>
          <w:rFonts w:ascii="Arial" w:eastAsia="Calibri" w:hAnsi="Arial" w:cs="Arial"/>
          <w:color w:val="000000" w:themeColor="text1"/>
          <w:sz w:val="22"/>
          <w:lang w:val="es-ES_tradnl"/>
        </w:rPr>
        <w:t xml:space="preserve">se permite su subsanación de conformidad con el parágrafo </w:t>
      </w:r>
      <w:r w:rsidR="00175674">
        <w:rPr>
          <w:rFonts w:ascii="Arial" w:eastAsia="Calibri" w:hAnsi="Arial" w:cs="Arial"/>
          <w:color w:val="000000" w:themeColor="text1"/>
          <w:sz w:val="22"/>
          <w:lang w:val="es-ES_tradnl"/>
        </w:rPr>
        <w:t>1</w:t>
      </w:r>
      <w:r w:rsidR="0082354A">
        <w:rPr>
          <w:rFonts w:ascii="Arial" w:eastAsia="Calibri" w:hAnsi="Arial" w:cs="Arial"/>
          <w:color w:val="000000" w:themeColor="text1"/>
          <w:sz w:val="22"/>
          <w:lang w:val="es-ES_tradnl"/>
        </w:rPr>
        <w:t xml:space="preserve"> del artículo </w:t>
      </w:r>
      <w:r w:rsidR="00175674">
        <w:rPr>
          <w:rFonts w:ascii="Arial" w:eastAsia="Calibri" w:hAnsi="Arial" w:cs="Arial"/>
          <w:color w:val="000000" w:themeColor="text1"/>
          <w:sz w:val="22"/>
          <w:lang w:val="es-ES_tradnl"/>
        </w:rPr>
        <w:t>5</w:t>
      </w:r>
      <w:r w:rsidR="0082354A">
        <w:rPr>
          <w:rFonts w:ascii="Arial" w:eastAsia="Calibri" w:hAnsi="Arial" w:cs="Arial"/>
          <w:color w:val="000000" w:themeColor="text1"/>
          <w:sz w:val="22"/>
          <w:lang w:val="es-ES_tradnl"/>
        </w:rPr>
        <w:t xml:space="preserve"> de la Ley 1150 de 20</w:t>
      </w:r>
      <w:r w:rsidR="00175674">
        <w:rPr>
          <w:rFonts w:ascii="Arial" w:eastAsia="Calibri" w:hAnsi="Arial" w:cs="Arial"/>
          <w:color w:val="000000" w:themeColor="text1"/>
          <w:sz w:val="22"/>
          <w:lang w:val="es-ES_tradnl"/>
        </w:rPr>
        <w:t xml:space="preserve">07. Esto a diferencia de los procesos de licitación de </w:t>
      </w:r>
      <w:r w:rsidR="00BE2908">
        <w:rPr>
          <w:rFonts w:ascii="Arial" w:eastAsia="Calibri" w:hAnsi="Arial" w:cs="Arial"/>
          <w:color w:val="000000" w:themeColor="text1"/>
          <w:sz w:val="22"/>
          <w:lang w:val="es-ES_tradnl"/>
        </w:rPr>
        <w:t xml:space="preserve">obra pública de infraestructura de transporte, </w:t>
      </w:r>
      <w:r w:rsidR="000D6CCF">
        <w:rPr>
          <w:rFonts w:ascii="Arial" w:eastAsia="Calibri" w:hAnsi="Arial" w:cs="Arial"/>
          <w:color w:val="000000" w:themeColor="text1"/>
          <w:sz w:val="22"/>
          <w:lang w:val="es-ES_tradnl"/>
        </w:rPr>
        <w:t>para los que esta Agencia ha expedido distintos documentos tipo</w:t>
      </w:r>
      <w:r w:rsidR="000A7E0C">
        <w:rPr>
          <w:rFonts w:ascii="Arial" w:eastAsia="Calibri" w:hAnsi="Arial" w:cs="Arial"/>
          <w:color w:val="000000" w:themeColor="text1"/>
          <w:sz w:val="22"/>
          <w:lang w:val="es-ES_tradnl"/>
        </w:rPr>
        <w:t>,</w:t>
      </w:r>
      <w:r w:rsidR="000D6CCF">
        <w:rPr>
          <w:rFonts w:ascii="Arial" w:eastAsia="Calibri" w:hAnsi="Arial" w:cs="Arial"/>
          <w:color w:val="000000" w:themeColor="text1"/>
          <w:sz w:val="22"/>
          <w:lang w:val="es-ES_tradnl"/>
        </w:rPr>
        <w:t xml:space="preserve"> </w:t>
      </w:r>
      <w:r w:rsidR="001046CB">
        <w:rPr>
          <w:rFonts w:ascii="Arial" w:eastAsia="Calibri" w:hAnsi="Arial" w:cs="Arial"/>
          <w:color w:val="000000" w:themeColor="text1"/>
          <w:sz w:val="22"/>
          <w:lang w:val="es-ES_tradnl"/>
        </w:rPr>
        <w:t>en los que de conformidad con el literal a) del artículo 5.2 de la Ley 1150 de 2007</w:t>
      </w:r>
      <w:r w:rsidR="00B67419">
        <w:rPr>
          <w:rFonts w:ascii="Arial" w:eastAsia="Calibri" w:hAnsi="Arial" w:cs="Arial"/>
          <w:color w:val="000000" w:themeColor="text1"/>
          <w:sz w:val="22"/>
          <w:lang w:val="es-ES_tradnl"/>
        </w:rPr>
        <w:t xml:space="preserve">, se ha </w:t>
      </w:r>
      <w:r w:rsidR="00C42E05">
        <w:rPr>
          <w:rFonts w:ascii="Arial" w:eastAsia="Calibri" w:hAnsi="Arial" w:cs="Arial"/>
          <w:color w:val="000000" w:themeColor="text1"/>
          <w:sz w:val="22"/>
          <w:lang w:val="es-ES_tradnl"/>
        </w:rPr>
        <w:t>establecido</w:t>
      </w:r>
      <w:r w:rsidR="00B67419">
        <w:rPr>
          <w:rFonts w:ascii="Arial" w:eastAsia="Calibri" w:hAnsi="Arial" w:cs="Arial"/>
          <w:color w:val="000000" w:themeColor="text1"/>
          <w:sz w:val="22"/>
          <w:lang w:val="es-ES_tradnl"/>
        </w:rPr>
        <w:t xml:space="preserve"> la oferta económica como factor ponderable, </w:t>
      </w:r>
      <w:r w:rsidR="0090455E">
        <w:rPr>
          <w:rFonts w:ascii="Arial" w:eastAsia="Calibri" w:hAnsi="Arial" w:cs="Arial"/>
          <w:color w:val="000000" w:themeColor="text1"/>
          <w:sz w:val="22"/>
          <w:lang w:val="es-ES_tradnl"/>
        </w:rPr>
        <w:t xml:space="preserve">no siendo por tanto subsanable,  </w:t>
      </w:r>
      <w:r w:rsidR="00B67419">
        <w:rPr>
          <w:rFonts w:ascii="Arial" w:eastAsia="Calibri" w:hAnsi="Arial" w:cs="Arial"/>
          <w:color w:val="000000" w:themeColor="text1"/>
          <w:sz w:val="22"/>
          <w:lang w:val="es-ES_tradnl"/>
        </w:rPr>
        <w:t>sometiendo</w:t>
      </w:r>
      <w:r w:rsidR="0090455E">
        <w:rPr>
          <w:rFonts w:ascii="Arial" w:eastAsia="Calibri" w:hAnsi="Arial" w:cs="Arial"/>
          <w:color w:val="000000" w:themeColor="text1"/>
          <w:sz w:val="22"/>
          <w:lang w:val="es-ES_tradnl"/>
        </w:rPr>
        <w:t xml:space="preserve"> además</w:t>
      </w:r>
      <w:r w:rsidR="00B67419">
        <w:rPr>
          <w:rFonts w:ascii="Arial" w:eastAsia="Calibri" w:hAnsi="Arial" w:cs="Arial"/>
          <w:color w:val="000000" w:themeColor="text1"/>
          <w:sz w:val="22"/>
          <w:lang w:val="es-ES_tradnl"/>
        </w:rPr>
        <w:t xml:space="preserve"> el valor de la misma a método</w:t>
      </w:r>
      <w:r w:rsidR="000A7E0C">
        <w:rPr>
          <w:rFonts w:ascii="Arial" w:eastAsia="Calibri" w:hAnsi="Arial" w:cs="Arial"/>
          <w:color w:val="000000" w:themeColor="text1"/>
          <w:sz w:val="22"/>
          <w:lang w:val="es-ES_tradnl"/>
        </w:rPr>
        <w:t>s</w:t>
      </w:r>
      <w:r w:rsidR="00B67419">
        <w:rPr>
          <w:rFonts w:ascii="Arial" w:eastAsia="Calibri" w:hAnsi="Arial" w:cs="Arial"/>
          <w:color w:val="000000" w:themeColor="text1"/>
          <w:sz w:val="22"/>
          <w:lang w:val="es-ES_tradnl"/>
        </w:rPr>
        <w:t xml:space="preserve"> de ponderación</w:t>
      </w:r>
      <w:r w:rsidR="00C42E05">
        <w:rPr>
          <w:rFonts w:ascii="Arial" w:eastAsia="Calibri" w:hAnsi="Arial" w:cs="Arial"/>
          <w:color w:val="000000" w:themeColor="text1"/>
          <w:sz w:val="22"/>
          <w:lang w:val="es-ES_tradnl"/>
        </w:rPr>
        <w:t xml:space="preserve"> de escogencia aleatoria</w:t>
      </w:r>
      <w:r w:rsidR="00B67419">
        <w:rPr>
          <w:rFonts w:ascii="Arial" w:eastAsia="Calibri" w:hAnsi="Arial" w:cs="Arial"/>
          <w:color w:val="000000" w:themeColor="text1"/>
          <w:sz w:val="22"/>
          <w:lang w:val="es-ES_tradnl"/>
        </w:rPr>
        <w:t xml:space="preserve"> con base en la TRM, de manera </w:t>
      </w:r>
      <w:r w:rsidR="005E6787">
        <w:rPr>
          <w:rFonts w:ascii="Arial" w:eastAsia="Calibri" w:hAnsi="Arial" w:cs="Arial"/>
          <w:color w:val="000000" w:themeColor="text1"/>
          <w:sz w:val="22"/>
          <w:lang w:val="es-ES_tradnl"/>
        </w:rPr>
        <w:t>análoga a los dispuesto en el Documento Base adoptado por la Resolución No. 256 de 2020</w:t>
      </w:r>
      <w:r w:rsidR="00C42E05">
        <w:rPr>
          <w:rFonts w:ascii="Arial" w:eastAsia="Calibri" w:hAnsi="Arial" w:cs="Arial"/>
          <w:color w:val="000000" w:themeColor="text1"/>
          <w:sz w:val="22"/>
          <w:lang w:val="es-ES_tradnl"/>
        </w:rPr>
        <w:t xml:space="preserve">. </w:t>
      </w:r>
    </w:p>
    <w:p w14:paraId="139A7D39" w14:textId="597031E5" w:rsidR="00DE1678" w:rsidRPr="00B85926" w:rsidRDefault="000A7E0C" w:rsidP="00000D82">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acuerdo </w:t>
      </w:r>
      <w:r w:rsidR="002306DE">
        <w:rPr>
          <w:rFonts w:ascii="Arial" w:eastAsia="Calibri" w:hAnsi="Arial" w:cs="Arial"/>
          <w:color w:val="000000" w:themeColor="text1"/>
          <w:sz w:val="22"/>
          <w:lang w:val="es-ES_tradnl"/>
        </w:rPr>
        <w:t>con</w:t>
      </w:r>
      <w:r>
        <w:rPr>
          <w:rFonts w:ascii="Arial" w:eastAsia="Calibri" w:hAnsi="Arial" w:cs="Arial"/>
          <w:color w:val="000000" w:themeColor="text1"/>
          <w:sz w:val="22"/>
          <w:lang w:val="es-ES_tradnl"/>
        </w:rPr>
        <w:t xml:space="preserve"> lo anterior</w:t>
      </w:r>
      <w:r w:rsidR="00C42E05">
        <w:rPr>
          <w:rFonts w:ascii="Arial" w:eastAsia="Calibri" w:hAnsi="Arial" w:cs="Arial"/>
          <w:color w:val="000000" w:themeColor="text1"/>
          <w:sz w:val="22"/>
          <w:lang w:val="es-ES_tradnl"/>
        </w:rPr>
        <w:t xml:space="preserve">, se </w:t>
      </w:r>
      <w:r w:rsidR="002306DE">
        <w:rPr>
          <w:rFonts w:ascii="Arial" w:eastAsia="Calibri" w:hAnsi="Arial" w:cs="Arial"/>
          <w:color w:val="000000" w:themeColor="text1"/>
          <w:sz w:val="22"/>
          <w:lang w:val="es-ES_tradnl"/>
        </w:rPr>
        <w:t>re</w:t>
      </w:r>
      <w:r w:rsidR="00C42E05">
        <w:rPr>
          <w:rFonts w:ascii="Arial" w:eastAsia="Calibri" w:hAnsi="Arial" w:cs="Arial"/>
          <w:color w:val="000000" w:themeColor="text1"/>
          <w:sz w:val="22"/>
          <w:lang w:val="es-ES_tradnl"/>
        </w:rPr>
        <w:t xml:space="preserve">itera, que en los concursos de méritos </w:t>
      </w:r>
      <w:r>
        <w:rPr>
          <w:rFonts w:ascii="Arial" w:eastAsia="Calibri" w:hAnsi="Arial" w:cs="Arial"/>
          <w:color w:val="000000" w:themeColor="text1"/>
          <w:sz w:val="22"/>
          <w:lang w:val="es-ES_tradnl"/>
        </w:rPr>
        <w:t>adelantados con documentos tipo de interventoría de obra pública</w:t>
      </w:r>
      <w:r w:rsidR="006C4577">
        <w:rPr>
          <w:rFonts w:ascii="Arial" w:eastAsia="Calibri" w:hAnsi="Arial" w:cs="Arial"/>
          <w:color w:val="000000" w:themeColor="text1"/>
          <w:sz w:val="22"/>
          <w:lang w:val="es-ES_tradnl"/>
        </w:rPr>
        <w:t xml:space="preserve"> de infraestructura de transporte lo que se pondera es el valo</w:t>
      </w:r>
      <w:r w:rsidR="00205B9F">
        <w:rPr>
          <w:rFonts w:ascii="Arial" w:eastAsia="Calibri" w:hAnsi="Arial" w:cs="Arial"/>
          <w:color w:val="000000" w:themeColor="text1"/>
          <w:sz w:val="22"/>
          <w:lang w:val="es-ES_tradnl"/>
        </w:rPr>
        <w:t xml:space="preserve">r promedio de los contratos aportados para acreditar la experiencia </w:t>
      </w:r>
      <w:r w:rsidR="00205B9F">
        <w:rPr>
          <w:rFonts w:ascii="Arial" w:eastAsia="Calibri" w:hAnsi="Arial" w:cs="Arial"/>
          <w:color w:val="000000" w:themeColor="text1"/>
          <w:sz w:val="22"/>
          <w:lang w:val="es-ES_tradnl"/>
        </w:rPr>
        <w:lastRenderedPageBreak/>
        <w:t>expresados en SMMLV, no la oferta económica.</w:t>
      </w:r>
      <w:r w:rsidR="0058176B">
        <w:rPr>
          <w:rFonts w:ascii="Arial" w:eastAsia="Calibri" w:hAnsi="Arial" w:cs="Arial"/>
          <w:color w:val="000000" w:themeColor="text1"/>
          <w:sz w:val="22"/>
          <w:lang w:val="es-ES_tradnl"/>
        </w:rPr>
        <w:t xml:space="preserve"> En ese sentido, el hecho de que un proponente subsane la oferta </w:t>
      </w:r>
      <w:r w:rsidR="001352A5">
        <w:rPr>
          <w:rFonts w:ascii="Arial" w:eastAsia="Calibri" w:hAnsi="Arial" w:cs="Arial"/>
          <w:color w:val="000000" w:themeColor="text1"/>
          <w:sz w:val="22"/>
          <w:lang w:val="es-ES_tradnl"/>
        </w:rPr>
        <w:t>económica, teniendo conocimiento de la TRM aplicable para la ponderación, es irrelevante para la selección objetiva</w:t>
      </w:r>
      <w:r w:rsidR="00E86529">
        <w:rPr>
          <w:rFonts w:ascii="Arial" w:eastAsia="Calibri" w:hAnsi="Arial" w:cs="Arial"/>
          <w:color w:val="000000" w:themeColor="text1"/>
          <w:sz w:val="22"/>
          <w:lang w:val="es-ES_tradnl"/>
        </w:rPr>
        <w:t xml:space="preserve">, ya que esta no es factor que asigne </w:t>
      </w:r>
      <w:r w:rsidR="00E86529" w:rsidRPr="009C441E">
        <w:rPr>
          <w:rFonts w:ascii="Arial" w:eastAsia="Calibri" w:hAnsi="Arial" w:cs="Arial"/>
          <w:color w:val="000000" w:themeColor="text1"/>
          <w:sz w:val="22"/>
          <w:lang w:val="es-ES_tradnl"/>
        </w:rPr>
        <w:t>puntaje.</w:t>
      </w:r>
      <w:r w:rsidR="00205B9F" w:rsidRPr="00664F15">
        <w:rPr>
          <w:rFonts w:ascii="Arial" w:eastAsia="Calibri" w:hAnsi="Arial" w:cs="Arial"/>
          <w:color w:val="000000" w:themeColor="text1"/>
          <w:sz w:val="22"/>
          <w:lang w:val="es-ES_tradnl"/>
        </w:rPr>
        <w:t xml:space="preserve"> </w:t>
      </w:r>
      <w:r w:rsidRPr="00B85926">
        <w:rPr>
          <w:rFonts w:ascii="Arial" w:eastAsia="Calibri" w:hAnsi="Arial" w:cs="Arial"/>
          <w:color w:val="000000" w:themeColor="text1"/>
          <w:sz w:val="22"/>
          <w:lang w:val="es-ES_tradnl"/>
        </w:rPr>
        <w:t xml:space="preserve">  </w:t>
      </w:r>
    </w:p>
    <w:p w14:paraId="3A8A0CA9" w14:textId="78556DEB" w:rsidR="00AC09B0" w:rsidRPr="009C7D09" w:rsidRDefault="00D7130E" w:rsidP="00000D82">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Ciertamente, e</w:t>
      </w:r>
      <w:r w:rsidR="00447AEF" w:rsidRPr="00000D82">
        <w:rPr>
          <w:rFonts w:ascii="Arial" w:hAnsi="Arial" w:cs="Arial"/>
          <w:color w:val="000000" w:themeColor="text1"/>
          <w:sz w:val="22"/>
          <w:lang w:val="es-ES_tradnl"/>
        </w:rPr>
        <w:t>l carácter de habilitante</w:t>
      </w:r>
      <w:r>
        <w:rPr>
          <w:rFonts w:ascii="Arial" w:hAnsi="Arial" w:cs="Arial"/>
          <w:color w:val="000000" w:themeColor="text1"/>
          <w:sz w:val="22"/>
          <w:lang w:val="es-ES_tradnl"/>
        </w:rPr>
        <w:t xml:space="preserve"> de la experiencia mínima</w:t>
      </w:r>
      <w:r w:rsidR="00447AEF" w:rsidRPr="00000D82">
        <w:rPr>
          <w:rFonts w:ascii="Arial" w:hAnsi="Arial" w:cs="Arial"/>
          <w:color w:val="000000" w:themeColor="text1"/>
          <w:sz w:val="22"/>
          <w:lang w:val="es-ES_tradnl"/>
        </w:rPr>
        <w:t xml:space="preserve"> hace que</w:t>
      </w:r>
      <w:r>
        <w:rPr>
          <w:rFonts w:ascii="Arial" w:hAnsi="Arial" w:cs="Arial"/>
          <w:color w:val="000000" w:themeColor="text1"/>
          <w:sz w:val="22"/>
          <w:lang w:val="es-ES_tradnl"/>
        </w:rPr>
        <w:t xml:space="preserve"> </w:t>
      </w:r>
      <w:r w:rsidR="00447AEF" w:rsidRPr="00000D82">
        <w:rPr>
          <w:rFonts w:ascii="Arial" w:hAnsi="Arial" w:cs="Arial"/>
          <w:color w:val="000000" w:themeColor="text1"/>
          <w:sz w:val="22"/>
          <w:lang w:val="es-ES_tradnl"/>
        </w:rPr>
        <w:t xml:space="preserve">esta </w:t>
      </w:r>
      <w:r w:rsidR="00074CF3" w:rsidRPr="00000D82">
        <w:rPr>
          <w:rFonts w:ascii="Arial" w:hAnsi="Arial" w:cs="Arial"/>
          <w:color w:val="000000" w:themeColor="text1"/>
          <w:sz w:val="22"/>
          <w:lang w:val="es-ES_tradnl"/>
        </w:rPr>
        <w:t>se</w:t>
      </w:r>
      <w:r>
        <w:rPr>
          <w:rFonts w:ascii="Arial" w:hAnsi="Arial" w:cs="Arial"/>
          <w:color w:val="000000" w:themeColor="text1"/>
          <w:sz w:val="22"/>
          <w:lang w:val="es-ES_tradnl"/>
        </w:rPr>
        <w:t>a</w:t>
      </w:r>
      <w:r w:rsidR="00074CF3" w:rsidRPr="00000D82">
        <w:rPr>
          <w:rFonts w:ascii="Arial" w:hAnsi="Arial" w:cs="Arial"/>
          <w:color w:val="000000" w:themeColor="text1"/>
          <w:sz w:val="22"/>
          <w:lang w:val="es-ES_tradnl"/>
        </w:rPr>
        <w:t xml:space="preserve"> </w:t>
      </w:r>
      <w:r w:rsidR="00750022" w:rsidRPr="00000D82">
        <w:rPr>
          <w:rFonts w:ascii="Arial" w:hAnsi="Arial" w:cs="Arial"/>
          <w:color w:val="000000" w:themeColor="text1"/>
          <w:sz w:val="22"/>
          <w:lang w:val="es-ES_tradnl"/>
        </w:rPr>
        <w:t>susceptible</w:t>
      </w:r>
      <w:r w:rsidR="00074CF3" w:rsidRPr="00000D82">
        <w:rPr>
          <w:rFonts w:ascii="Arial" w:hAnsi="Arial" w:cs="Arial"/>
          <w:color w:val="000000" w:themeColor="text1"/>
          <w:sz w:val="22"/>
          <w:lang w:val="es-ES_tradnl"/>
        </w:rPr>
        <w:t xml:space="preserve"> de ser subsanada conforme</w:t>
      </w:r>
      <w:r w:rsidR="00750022" w:rsidRPr="00000D82">
        <w:rPr>
          <w:rFonts w:ascii="Arial" w:hAnsi="Arial" w:cs="Arial"/>
          <w:color w:val="000000" w:themeColor="text1"/>
          <w:sz w:val="22"/>
          <w:lang w:val="es-ES_tradnl"/>
        </w:rPr>
        <w:t xml:space="preserve"> al parágrafo 1 del artículo </w:t>
      </w:r>
      <w:r w:rsidR="008C2DC5" w:rsidRPr="00000D82">
        <w:rPr>
          <w:rFonts w:ascii="Arial" w:hAnsi="Arial" w:cs="Arial"/>
          <w:color w:val="000000" w:themeColor="text1"/>
          <w:sz w:val="22"/>
          <w:lang w:val="es-ES_tradnl"/>
        </w:rPr>
        <w:t xml:space="preserve">5 de la Ley 1150 de 2007. </w:t>
      </w:r>
      <w:r w:rsidR="00074CF3" w:rsidRPr="00000D82">
        <w:rPr>
          <w:rFonts w:ascii="Arial" w:hAnsi="Arial" w:cs="Arial"/>
          <w:color w:val="000000" w:themeColor="text1"/>
          <w:sz w:val="22"/>
          <w:lang w:val="es-ES_tradnl"/>
        </w:rPr>
        <w:t xml:space="preserve"> </w:t>
      </w:r>
      <w:r w:rsidR="00F2316D" w:rsidRPr="00000D82">
        <w:rPr>
          <w:rFonts w:ascii="Arial" w:hAnsi="Arial" w:cs="Arial"/>
          <w:color w:val="000000" w:themeColor="text1"/>
          <w:sz w:val="22"/>
          <w:lang w:val="es-ES_tradnl"/>
        </w:rPr>
        <w:t xml:space="preserve">Para estos casos, sin perjuicio de la posibilidad de que el proponente efectivamente subsane y sea habilitado, </w:t>
      </w:r>
      <w:r w:rsidR="009F1E0D" w:rsidRPr="00000D82">
        <w:rPr>
          <w:rFonts w:ascii="Arial" w:hAnsi="Arial" w:cs="Arial"/>
          <w:color w:val="000000" w:themeColor="text1"/>
          <w:sz w:val="22"/>
          <w:lang w:val="es-ES_tradnl"/>
        </w:rPr>
        <w:t>el</w:t>
      </w:r>
      <w:r w:rsidR="00181B56" w:rsidRPr="00000D82">
        <w:rPr>
          <w:rFonts w:ascii="Arial" w:hAnsi="Arial" w:cs="Arial"/>
          <w:color w:val="000000" w:themeColor="text1"/>
          <w:sz w:val="22"/>
          <w:lang w:val="es-ES_tradnl"/>
        </w:rPr>
        <w:t xml:space="preserve"> citado literal A del numeral</w:t>
      </w:r>
      <w:r w:rsidR="009A0C07" w:rsidRPr="00000D82">
        <w:rPr>
          <w:rFonts w:ascii="Arial" w:hAnsi="Arial" w:cs="Arial"/>
          <w:color w:val="000000" w:themeColor="text1"/>
          <w:sz w:val="22"/>
          <w:lang w:val="es-ES_tradnl"/>
        </w:rPr>
        <w:t xml:space="preserve"> 4.1. del</w:t>
      </w:r>
      <w:r w:rsidR="00181B56" w:rsidRPr="00000D82">
        <w:rPr>
          <w:rFonts w:ascii="Arial" w:hAnsi="Arial" w:cs="Arial"/>
          <w:color w:val="000000" w:themeColor="text1"/>
          <w:sz w:val="22"/>
          <w:lang w:val="es-ES_tradnl"/>
        </w:rPr>
        <w:t xml:space="preserve"> </w:t>
      </w:r>
      <w:r w:rsidR="009F1E0D" w:rsidRPr="00000D82">
        <w:rPr>
          <w:rFonts w:ascii="Arial" w:hAnsi="Arial" w:cs="Arial"/>
          <w:color w:val="000000" w:themeColor="text1"/>
          <w:sz w:val="22"/>
          <w:lang w:val="es-ES_tradnl"/>
        </w:rPr>
        <w:t>Documento Base adoptado por la Resolución No. 256 de 2020</w:t>
      </w:r>
      <w:r w:rsidR="00795B2E" w:rsidRPr="00000D82">
        <w:rPr>
          <w:rFonts w:ascii="Arial" w:hAnsi="Arial" w:cs="Arial"/>
          <w:color w:val="000000" w:themeColor="text1"/>
          <w:sz w:val="22"/>
          <w:lang w:val="es-ES_tradnl"/>
        </w:rPr>
        <w:t>, establece que corresponderá un punta</w:t>
      </w:r>
      <w:r w:rsidR="006916AE" w:rsidRPr="00000D82">
        <w:rPr>
          <w:rFonts w:ascii="Arial" w:hAnsi="Arial" w:cs="Arial"/>
          <w:color w:val="000000" w:themeColor="text1"/>
          <w:sz w:val="22"/>
          <w:lang w:val="es-ES_tradnl"/>
        </w:rPr>
        <w:t>je</w:t>
      </w:r>
      <w:r w:rsidR="00795B2E" w:rsidRPr="00000D82">
        <w:rPr>
          <w:rFonts w:ascii="Arial" w:hAnsi="Arial" w:cs="Arial"/>
          <w:color w:val="000000" w:themeColor="text1"/>
          <w:sz w:val="22"/>
          <w:lang w:val="es-ES_tradnl"/>
        </w:rPr>
        <w:t xml:space="preserve"> de cero (0) puntos por este factor de evaluación</w:t>
      </w:r>
      <w:r w:rsidR="00024644" w:rsidRPr="00000D82">
        <w:rPr>
          <w:rFonts w:ascii="Arial" w:hAnsi="Arial" w:cs="Arial"/>
          <w:color w:val="000000" w:themeColor="text1"/>
          <w:sz w:val="22"/>
          <w:lang w:val="es-ES_tradnl"/>
        </w:rPr>
        <w:t>, regla que evita que los efectos de la subsanación se extiendan a un factor sometido a puntaje</w:t>
      </w:r>
      <w:r w:rsidR="00BE1B65" w:rsidRPr="00000D82">
        <w:rPr>
          <w:rFonts w:ascii="Arial" w:hAnsi="Arial" w:cs="Arial"/>
          <w:color w:val="000000" w:themeColor="text1"/>
          <w:sz w:val="22"/>
          <w:lang w:val="es-ES_tradnl"/>
        </w:rPr>
        <w:t xml:space="preserve">. En ese sentido, </w:t>
      </w:r>
      <w:r w:rsidR="00A2182F" w:rsidRPr="00000D82">
        <w:rPr>
          <w:rFonts w:ascii="Arial" w:hAnsi="Arial" w:cs="Arial"/>
          <w:color w:val="000000" w:themeColor="text1"/>
          <w:sz w:val="22"/>
          <w:lang w:val="es-ES_tradnl"/>
        </w:rPr>
        <w:t>cuando el proponente subsana la experiencia mínima requerida, el hecho de conocer de antemano la TRM aplicable a la ponderaci</w:t>
      </w:r>
      <w:r w:rsidR="00C43035" w:rsidRPr="00000D82">
        <w:rPr>
          <w:rFonts w:ascii="Arial" w:hAnsi="Arial" w:cs="Arial"/>
          <w:color w:val="000000" w:themeColor="text1"/>
          <w:sz w:val="22"/>
          <w:lang w:val="es-ES_tradnl"/>
        </w:rPr>
        <w:t xml:space="preserve">ón, </w:t>
      </w:r>
      <w:r w:rsidR="00600709" w:rsidRPr="00000D82">
        <w:rPr>
          <w:rFonts w:ascii="Arial" w:hAnsi="Arial" w:cs="Arial"/>
          <w:color w:val="000000" w:themeColor="text1"/>
          <w:sz w:val="22"/>
          <w:lang w:val="es-ES_tradnl"/>
        </w:rPr>
        <w:t xml:space="preserve">tampoco </w:t>
      </w:r>
      <w:r w:rsidR="00C43035" w:rsidRPr="00000D82">
        <w:rPr>
          <w:rFonts w:ascii="Arial" w:hAnsi="Arial" w:cs="Arial"/>
          <w:color w:val="000000" w:themeColor="text1"/>
          <w:sz w:val="22"/>
          <w:lang w:val="es-ES_tradnl"/>
        </w:rPr>
        <w:t xml:space="preserve">constituye un factor que permita al proponente </w:t>
      </w:r>
      <w:r w:rsidR="00B6453C">
        <w:rPr>
          <w:rFonts w:ascii="Arial" w:hAnsi="Arial" w:cs="Arial"/>
          <w:color w:val="000000" w:themeColor="text1"/>
          <w:sz w:val="22"/>
          <w:lang w:val="es-ES_tradnl"/>
        </w:rPr>
        <w:t>la evaluación</w:t>
      </w:r>
      <w:r w:rsidR="00600709" w:rsidRPr="00000D82">
        <w:rPr>
          <w:rFonts w:ascii="Arial" w:hAnsi="Arial" w:cs="Arial"/>
          <w:color w:val="000000" w:themeColor="text1"/>
          <w:sz w:val="22"/>
          <w:lang w:val="es-ES_tradnl"/>
        </w:rPr>
        <w:t xml:space="preserve"> objetiva de</w:t>
      </w:r>
      <w:r w:rsidR="00C43035" w:rsidRPr="00000D82">
        <w:rPr>
          <w:rFonts w:ascii="Arial" w:hAnsi="Arial" w:cs="Arial"/>
          <w:color w:val="000000" w:themeColor="text1"/>
          <w:sz w:val="22"/>
          <w:lang w:val="es-ES_tradnl"/>
        </w:rPr>
        <w:t xml:space="preserve"> la</w:t>
      </w:r>
      <w:r w:rsidR="00B6453C">
        <w:rPr>
          <w:rFonts w:ascii="Arial" w:hAnsi="Arial" w:cs="Arial"/>
          <w:color w:val="000000" w:themeColor="text1"/>
          <w:sz w:val="22"/>
          <w:lang w:val="es-ES_tradnl"/>
        </w:rPr>
        <w:t>s propuestas</w:t>
      </w:r>
      <w:r w:rsidR="00C43035" w:rsidRPr="00000D82">
        <w:rPr>
          <w:rFonts w:ascii="Arial" w:hAnsi="Arial" w:cs="Arial"/>
          <w:color w:val="000000" w:themeColor="text1"/>
          <w:sz w:val="22"/>
          <w:lang w:val="es-ES_tradnl"/>
        </w:rPr>
        <w:t>.</w:t>
      </w:r>
    </w:p>
    <w:p w14:paraId="37FD60E8" w14:textId="0E7B834C" w:rsidR="00191B50" w:rsidRPr="009C7D09" w:rsidRDefault="00191B50" w:rsidP="00200477">
      <w:pPr>
        <w:jc w:val="both"/>
        <w:rPr>
          <w:rFonts w:ascii="Arial" w:hAnsi="Arial" w:cs="Arial"/>
          <w:color w:val="000000" w:themeColor="text1"/>
          <w:sz w:val="22"/>
          <w:lang w:val="es-ES_tradnl"/>
        </w:rPr>
      </w:pPr>
    </w:p>
    <w:p w14:paraId="32558D5D" w14:textId="637D173B" w:rsidR="00BD66E3" w:rsidRPr="009C7D09" w:rsidRDefault="00BE1E33" w:rsidP="005155C4">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9C7D09">
        <w:rPr>
          <w:rFonts w:ascii="Arial" w:hAnsi="Arial" w:cs="Arial"/>
          <w:b/>
          <w:bCs/>
          <w:sz w:val="22"/>
          <w:lang w:val="es-ES_tradnl"/>
        </w:rPr>
        <w:t xml:space="preserve">Respuesta </w:t>
      </w:r>
    </w:p>
    <w:p w14:paraId="50F1315D" w14:textId="77777777" w:rsidR="00AE2D81" w:rsidRPr="009C7D09" w:rsidRDefault="00AE2D81" w:rsidP="00000D82">
      <w:pPr>
        <w:pStyle w:val="Prrafodelista"/>
        <w:tabs>
          <w:tab w:val="left" w:pos="284"/>
        </w:tabs>
        <w:ind w:left="0" w:right="709"/>
        <w:jc w:val="both"/>
        <w:rPr>
          <w:rFonts w:ascii="Arial" w:hAnsi="Arial" w:cs="Arial"/>
          <w:sz w:val="22"/>
          <w:lang w:val="es-ES_tradnl"/>
        </w:rPr>
      </w:pPr>
    </w:p>
    <w:p w14:paraId="51999732" w14:textId="5A688379" w:rsidR="00396ED8" w:rsidRPr="009C7D09" w:rsidRDefault="00837991" w:rsidP="00C04E06">
      <w:pPr>
        <w:tabs>
          <w:tab w:val="left" w:pos="426"/>
        </w:tabs>
        <w:ind w:left="709" w:right="709"/>
        <w:jc w:val="both"/>
        <w:rPr>
          <w:rFonts w:ascii="Arial" w:eastAsia="Calibri" w:hAnsi="Arial" w:cs="Arial"/>
          <w:bCs/>
          <w:color w:val="000000" w:themeColor="text1"/>
          <w:sz w:val="22"/>
          <w:lang w:val="es-ES_tradnl"/>
        </w:rPr>
      </w:pPr>
      <w:r w:rsidRPr="009C7D09">
        <w:rPr>
          <w:rFonts w:ascii="Arial" w:eastAsia="Calibri" w:hAnsi="Arial" w:cs="Arial"/>
          <w:sz w:val="22"/>
          <w:lang w:val="es-ES"/>
        </w:rPr>
        <w:t>«</w:t>
      </w:r>
      <w:r w:rsidR="00F17041">
        <w:rPr>
          <w:rFonts w:ascii="Arial" w:eastAsia="Calibri" w:hAnsi="Arial" w:cs="Arial"/>
          <w:sz w:val="22"/>
          <w:lang w:val="es-ES"/>
        </w:rPr>
        <w:t>¿</w:t>
      </w:r>
      <w:r w:rsidR="00396ED8" w:rsidRPr="009C7D09">
        <w:rPr>
          <w:rFonts w:ascii="Arial" w:eastAsia="Calibri" w:hAnsi="Arial" w:cs="Arial"/>
          <w:bCs/>
          <w:color w:val="000000" w:themeColor="text1"/>
          <w:sz w:val="22"/>
          <w:lang w:val="es-ES_tradnl"/>
        </w:rPr>
        <w:t>[</w:t>
      </w:r>
      <w:proofErr w:type="gramStart"/>
      <w:r w:rsidR="00396ED8" w:rsidRPr="009C7D09">
        <w:rPr>
          <w:rFonts w:ascii="Arial" w:eastAsia="Calibri" w:hAnsi="Arial" w:cs="Arial"/>
          <w:bCs/>
          <w:color w:val="000000" w:themeColor="text1"/>
          <w:sz w:val="22"/>
          <w:lang w:val="es-ES_tradnl"/>
        </w:rPr>
        <w:t>... ]</w:t>
      </w:r>
      <w:proofErr w:type="gramEnd"/>
      <w:r w:rsidR="000D6181">
        <w:rPr>
          <w:rFonts w:ascii="Arial" w:eastAsia="Calibri" w:hAnsi="Arial" w:cs="Arial"/>
          <w:bCs/>
          <w:color w:val="000000" w:themeColor="text1"/>
          <w:sz w:val="22"/>
          <w:lang w:val="es-ES_tradnl"/>
        </w:rPr>
        <w:t xml:space="preserve"> </w:t>
      </w:r>
      <w:r w:rsidR="000415D2" w:rsidRPr="009C7D09">
        <w:rPr>
          <w:rFonts w:ascii="Arial" w:hAnsi="Arial" w:cs="Arial"/>
          <w:sz w:val="22"/>
        </w:rPr>
        <w:t xml:space="preserve">al ser la oferta económica susceptible de subsanación y al ser este valor utilizado para la asignación de puntaje; el oferente que deba subsanar la oferta económica no se debería tener para la asignación de puntaje en el acápite Experiencia del proponente puesto que el valor del presupuesto es necesario para la asignación de los valores de las variables de la fórmula de asignación de puntaje. Lo anterior, puesto que considero </w:t>
      </w:r>
      <w:proofErr w:type="gramStart"/>
      <w:r w:rsidR="000415D2" w:rsidRPr="009C7D09">
        <w:rPr>
          <w:rFonts w:ascii="Arial" w:hAnsi="Arial" w:cs="Arial"/>
          <w:sz w:val="22"/>
        </w:rPr>
        <w:t>que</w:t>
      </w:r>
      <w:proofErr w:type="gramEnd"/>
      <w:r w:rsidR="000415D2" w:rsidRPr="009C7D09">
        <w:rPr>
          <w:rFonts w:ascii="Arial" w:hAnsi="Arial" w:cs="Arial"/>
          <w:sz w:val="22"/>
        </w:rPr>
        <w:t xml:space="preserve"> de permitirse la subsanación de la oferta económica, y tener plazo para dicha subsanación, hasta tres días hábiles después de la publicación del informe de evaluación se violaría el principio de igualdad con los oferentes que si alleguen dicha información al momento del cierre; puesto que al ser tomada la TRM, del segundo día hábil después del cierre para determinar el método de ponderación. Esto quiere decir que quienes subsanen tendrán el conocimiento de la TRM pudiendo de alguna manera elaborar sus propuestas económicas teniendo el conocimiento de esta.?</w:t>
      </w:r>
      <w:r w:rsidR="000415D2" w:rsidRPr="009C7D09">
        <w:rPr>
          <w:rFonts w:ascii="Arial" w:eastAsia="Times New Roman" w:hAnsi="Arial" w:cs="Arial"/>
          <w:color w:val="000000" w:themeColor="text1"/>
          <w:sz w:val="22"/>
          <w:lang w:eastAsia="es-ES_tradnl"/>
        </w:rPr>
        <w:t>»</w:t>
      </w:r>
    </w:p>
    <w:p w14:paraId="3A71055F" w14:textId="4240E584" w:rsidR="000415D2" w:rsidRDefault="000415D2" w:rsidP="009C441E">
      <w:pPr>
        <w:jc w:val="both"/>
        <w:rPr>
          <w:rFonts w:ascii="Arial" w:hAnsi="Arial" w:cs="Arial"/>
          <w:color w:val="000000" w:themeColor="text1"/>
          <w:sz w:val="22"/>
        </w:rPr>
      </w:pPr>
    </w:p>
    <w:p w14:paraId="45899418" w14:textId="6AF60D4F" w:rsidR="00414EBC" w:rsidRDefault="005B159A" w:rsidP="00000D82">
      <w:pPr>
        <w:spacing w:after="120" w:line="276" w:lineRule="auto"/>
        <w:jc w:val="both"/>
        <w:rPr>
          <w:rFonts w:ascii="Arial" w:hAnsi="Arial" w:cs="Arial"/>
          <w:color w:val="000000" w:themeColor="text1"/>
          <w:sz w:val="22"/>
        </w:rPr>
      </w:pPr>
      <w:r>
        <w:rPr>
          <w:rFonts w:ascii="Arial" w:hAnsi="Arial" w:cs="Arial"/>
          <w:color w:val="000000" w:themeColor="text1"/>
          <w:sz w:val="22"/>
        </w:rPr>
        <w:t xml:space="preserve">Conforme a lo expuesto, </w:t>
      </w:r>
      <w:r w:rsidR="003818B0">
        <w:rPr>
          <w:rFonts w:ascii="Arial" w:hAnsi="Arial" w:cs="Arial"/>
          <w:color w:val="000000" w:themeColor="text1"/>
          <w:sz w:val="22"/>
        </w:rPr>
        <w:t xml:space="preserve">los documentos tipo de interventoría de obra pública de </w:t>
      </w:r>
      <w:r w:rsidR="00414EBC">
        <w:rPr>
          <w:rFonts w:ascii="Arial" w:hAnsi="Arial" w:cs="Arial"/>
          <w:color w:val="000000" w:themeColor="text1"/>
          <w:sz w:val="22"/>
        </w:rPr>
        <w:t>infraestructura de transporte, establecen como factores de evaluación o asignación de puntaje: i) e</w:t>
      </w:r>
      <w:r w:rsidR="00414EBC" w:rsidRPr="00414EBC">
        <w:rPr>
          <w:rFonts w:ascii="Arial" w:hAnsi="Arial" w:cs="Arial"/>
          <w:color w:val="000000" w:themeColor="text1"/>
          <w:sz w:val="22"/>
        </w:rPr>
        <w:t>xperiencia del proponente</w:t>
      </w:r>
      <w:r w:rsidR="00414EBC">
        <w:rPr>
          <w:rFonts w:ascii="Arial" w:hAnsi="Arial" w:cs="Arial"/>
          <w:color w:val="000000" w:themeColor="text1"/>
          <w:sz w:val="22"/>
        </w:rPr>
        <w:t>, ii) e</w:t>
      </w:r>
      <w:r w:rsidR="00414EBC" w:rsidRPr="00414EBC">
        <w:rPr>
          <w:rFonts w:ascii="Arial" w:hAnsi="Arial" w:cs="Arial"/>
          <w:color w:val="000000" w:themeColor="text1"/>
          <w:sz w:val="22"/>
        </w:rPr>
        <w:t>quipo de trabajo (personal clave evaluable)</w:t>
      </w:r>
      <w:r w:rsidR="00414EBC">
        <w:rPr>
          <w:rFonts w:ascii="Arial" w:hAnsi="Arial" w:cs="Arial"/>
          <w:color w:val="000000" w:themeColor="text1"/>
          <w:sz w:val="22"/>
        </w:rPr>
        <w:t xml:space="preserve">, </w:t>
      </w:r>
      <w:proofErr w:type="spellStart"/>
      <w:r w:rsidR="00414EBC">
        <w:rPr>
          <w:rFonts w:ascii="Arial" w:hAnsi="Arial" w:cs="Arial"/>
          <w:color w:val="000000" w:themeColor="text1"/>
          <w:sz w:val="22"/>
        </w:rPr>
        <w:t>iii</w:t>
      </w:r>
      <w:proofErr w:type="spellEnd"/>
      <w:r w:rsidR="00414EBC">
        <w:rPr>
          <w:rFonts w:ascii="Arial" w:hAnsi="Arial" w:cs="Arial"/>
          <w:color w:val="000000" w:themeColor="text1"/>
          <w:sz w:val="22"/>
        </w:rPr>
        <w:t>) a</w:t>
      </w:r>
      <w:r w:rsidR="00414EBC" w:rsidRPr="00414EBC">
        <w:rPr>
          <w:rFonts w:ascii="Arial" w:hAnsi="Arial" w:cs="Arial"/>
          <w:color w:val="000000" w:themeColor="text1"/>
          <w:sz w:val="22"/>
        </w:rPr>
        <w:t>poyo a la industria nacional</w:t>
      </w:r>
      <w:r w:rsidR="00414EBC">
        <w:rPr>
          <w:rFonts w:ascii="Arial" w:hAnsi="Arial" w:cs="Arial"/>
          <w:color w:val="000000" w:themeColor="text1"/>
          <w:sz w:val="22"/>
        </w:rPr>
        <w:t xml:space="preserve">, y </w:t>
      </w:r>
      <w:r w:rsidR="00A2134A">
        <w:rPr>
          <w:rFonts w:ascii="Arial" w:hAnsi="Arial" w:cs="Arial"/>
          <w:color w:val="000000" w:themeColor="text1"/>
          <w:sz w:val="22"/>
        </w:rPr>
        <w:t>iv) v</w:t>
      </w:r>
      <w:r w:rsidR="00414EBC" w:rsidRPr="00414EBC">
        <w:rPr>
          <w:rFonts w:ascii="Arial" w:hAnsi="Arial" w:cs="Arial"/>
          <w:color w:val="000000" w:themeColor="text1"/>
          <w:sz w:val="22"/>
        </w:rPr>
        <w:t>inculación de personas con discapacidad</w:t>
      </w:r>
      <w:r w:rsidR="00A2134A">
        <w:rPr>
          <w:rFonts w:ascii="Arial" w:hAnsi="Arial" w:cs="Arial"/>
          <w:color w:val="000000" w:themeColor="text1"/>
          <w:sz w:val="22"/>
        </w:rPr>
        <w:t>. Tratándose</w:t>
      </w:r>
      <w:r w:rsidR="000F380C">
        <w:rPr>
          <w:rFonts w:ascii="Arial" w:hAnsi="Arial" w:cs="Arial"/>
          <w:color w:val="000000" w:themeColor="text1"/>
          <w:sz w:val="22"/>
        </w:rPr>
        <w:t xml:space="preserve"> de</w:t>
      </w:r>
      <w:r w:rsidR="00A2134A">
        <w:rPr>
          <w:rFonts w:ascii="Arial" w:hAnsi="Arial" w:cs="Arial"/>
          <w:color w:val="000000" w:themeColor="text1"/>
          <w:sz w:val="22"/>
        </w:rPr>
        <w:t xml:space="preserve"> procedimientos de concursos de méritos, </w:t>
      </w:r>
      <w:r w:rsidR="00174C05">
        <w:rPr>
          <w:rFonts w:ascii="Arial" w:hAnsi="Arial" w:cs="Arial"/>
          <w:color w:val="000000" w:themeColor="text1"/>
          <w:sz w:val="22"/>
        </w:rPr>
        <w:t>aplicables a la selección de consultores, en virtud de lo dispuesto en el inciso final del artículo 5.4 de la Ley 1150 de 2007</w:t>
      </w:r>
      <w:r w:rsidR="00640727">
        <w:rPr>
          <w:rFonts w:ascii="Arial" w:hAnsi="Arial" w:cs="Arial"/>
          <w:color w:val="000000" w:themeColor="text1"/>
          <w:sz w:val="22"/>
        </w:rPr>
        <w:t xml:space="preserve">, se ha excluido el precio como factor de escogencia, razón por la que no se otorga puntaje a la oferta económica. </w:t>
      </w:r>
    </w:p>
    <w:p w14:paraId="28F146ED" w14:textId="792051C3" w:rsidR="005B159A" w:rsidRPr="009C7D09" w:rsidRDefault="00F26D41" w:rsidP="00000D82">
      <w:pPr>
        <w:spacing w:after="120" w:line="276" w:lineRule="auto"/>
        <w:jc w:val="both"/>
        <w:rPr>
          <w:rFonts w:ascii="Arial" w:hAnsi="Arial" w:cs="Arial"/>
          <w:color w:val="000000" w:themeColor="text1"/>
          <w:sz w:val="22"/>
        </w:rPr>
      </w:pPr>
      <w:r>
        <w:rPr>
          <w:rFonts w:ascii="Arial" w:hAnsi="Arial" w:cs="Arial"/>
          <w:color w:val="000000" w:themeColor="text1"/>
          <w:sz w:val="22"/>
        </w:rPr>
        <w:lastRenderedPageBreak/>
        <w:tab/>
        <w:t xml:space="preserve">De acuerdo </w:t>
      </w:r>
      <w:r w:rsidR="00847768">
        <w:rPr>
          <w:rFonts w:ascii="Arial" w:hAnsi="Arial" w:cs="Arial"/>
          <w:color w:val="000000" w:themeColor="text1"/>
          <w:sz w:val="22"/>
        </w:rPr>
        <w:t>con</w:t>
      </w:r>
      <w:r>
        <w:rPr>
          <w:rFonts w:ascii="Arial" w:hAnsi="Arial" w:cs="Arial"/>
          <w:color w:val="000000" w:themeColor="text1"/>
          <w:sz w:val="22"/>
        </w:rPr>
        <w:t xml:space="preserve"> el numeral 4.1 del Documento Base adoptado por la Resolución No. 256 de 2020</w:t>
      </w:r>
      <w:r w:rsidR="008D0A94">
        <w:rPr>
          <w:rFonts w:ascii="Arial" w:hAnsi="Arial" w:cs="Arial"/>
          <w:color w:val="000000" w:themeColor="text1"/>
          <w:sz w:val="22"/>
        </w:rPr>
        <w:t xml:space="preserve">, para asignar </w:t>
      </w:r>
      <w:r w:rsidR="00B86EEE">
        <w:rPr>
          <w:rFonts w:ascii="Arial" w:hAnsi="Arial" w:cs="Arial"/>
          <w:color w:val="000000" w:themeColor="text1"/>
          <w:sz w:val="22"/>
        </w:rPr>
        <w:t>puntaje a la experiencia del proponente</w:t>
      </w:r>
      <w:r w:rsidR="00D7130E">
        <w:rPr>
          <w:rFonts w:ascii="Arial" w:hAnsi="Arial" w:cs="Arial"/>
          <w:color w:val="000000" w:themeColor="text1"/>
          <w:sz w:val="22"/>
        </w:rPr>
        <w:t xml:space="preserve"> se debe tomar en cuenta</w:t>
      </w:r>
      <w:r w:rsidR="00E01E73">
        <w:rPr>
          <w:rFonts w:ascii="Arial" w:hAnsi="Arial" w:cs="Arial"/>
          <w:color w:val="000000" w:themeColor="text1"/>
          <w:sz w:val="22"/>
        </w:rPr>
        <w:t xml:space="preserve"> el valor promedio de los contratos aportados para acreditarla, expresado en SMMLV,</w:t>
      </w:r>
      <w:r w:rsidR="00B86EEE">
        <w:rPr>
          <w:rFonts w:ascii="Arial" w:hAnsi="Arial" w:cs="Arial"/>
          <w:color w:val="000000" w:themeColor="text1"/>
          <w:sz w:val="22"/>
        </w:rPr>
        <w:t xml:space="preserve"> </w:t>
      </w:r>
      <w:r w:rsidR="00D7130E">
        <w:rPr>
          <w:rFonts w:ascii="Arial" w:hAnsi="Arial" w:cs="Arial"/>
          <w:color w:val="000000" w:themeColor="text1"/>
          <w:sz w:val="22"/>
        </w:rPr>
        <w:t xml:space="preserve">el cual </w:t>
      </w:r>
      <w:r w:rsidR="00B86EEE">
        <w:rPr>
          <w:rFonts w:ascii="Arial" w:hAnsi="Arial" w:cs="Arial"/>
          <w:color w:val="000000" w:themeColor="text1"/>
          <w:sz w:val="22"/>
        </w:rPr>
        <w:t>deberá ser objeto de ponderación a través de</w:t>
      </w:r>
      <w:r w:rsidR="006610E4">
        <w:rPr>
          <w:rFonts w:ascii="Arial" w:hAnsi="Arial" w:cs="Arial"/>
          <w:color w:val="000000" w:themeColor="text1"/>
          <w:sz w:val="22"/>
        </w:rPr>
        <w:t xml:space="preserve"> los </w:t>
      </w:r>
      <w:r w:rsidR="00B446D8">
        <w:rPr>
          <w:rFonts w:ascii="Arial" w:hAnsi="Arial" w:cs="Arial"/>
          <w:color w:val="000000" w:themeColor="text1"/>
          <w:sz w:val="22"/>
        </w:rPr>
        <w:t>métodos:</w:t>
      </w:r>
      <w:r w:rsidR="00B86EEE">
        <w:rPr>
          <w:rFonts w:ascii="Arial" w:hAnsi="Arial" w:cs="Arial"/>
          <w:color w:val="000000" w:themeColor="text1"/>
          <w:sz w:val="22"/>
        </w:rPr>
        <w:t xml:space="preserve"> </w:t>
      </w:r>
      <w:r w:rsidR="006610E4">
        <w:rPr>
          <w:rFonts w:ascii="Arial" w:hAnsi="Arial" w:cs="Arial"/>
          <w:color w:val="000000" w:themeColor="text1"/>
          <w:sz w:val="22"/>
        </w:rPr>
        <w:t>i) m</w:t>
      </w:r>
      <w:r w:rsidR="006610E4" w:rsidRPr="006610E4">
        <w:rPr>
          <w:rFonts w:ascii="Arial" w:hAnsi="Arial" w:cs="Arial"/>
          <w:color w:val="000000" w:themeColor="text1"/>
          <w:sz w:val="22"/>
        </w:rPr>
        <w:t>ediana con valor absoluto</w:t>
      </w:r>
      <w:r w:rsidR="006610E4">
        <w:rPr>
          <w:rFonts w:ascii="Arial" w:hAnsi="Arial" w:cs="Arial"/>
          <w:color w:val="000000" w:themeColor="text1"/>
          <w:sz w:val="22"/>
        </w:rPr>
        <w:t>, ii) m</w:t>
      </w:r>
      <w:r w:rsidR="006610E4" w:rsidRPr="006610E4">
        <w:rPr>
          <w:rFonts w:ascii="Arial" w:hAnsi="Arial" w:cs="Arial"/>
          <w:color w:val="000000" w:themeColor="text1"/>
          <w:sz w:val="22"/>
        </w:rPr>
        <w:t>edia geométrica</w:t>
      </w:r>
      <w:r w:rsidR="006610E4">
        <w:rPr>
          <w:rFonts w:ascii="Arial" w:hAnsi="Arial" w:cs="Arial"/>
          <w:color w:val="000000" w:themeColor="text1"/>
          <w:sz w:val="22"/>
        </w:rPr>
        <w:t>, iii) m</w:t>
      </w:r>
      <w:r w:rsidR="006610E4" w:rsidRPr="006610E4">
        <w:rPr>
          <w:rFonts w:ascii="Arial" w:hAnsi="Arial" w:cs="Arial"/>
          <w:color w:val="000000" w:themeColor="text1"/>
          <w:sz w:val="22"/>
        </w:rPr>
        <w:t>edia aritmética alta</w:t>
      </w:r>
      <w:r w:rsidR="006610E4">
        <w:rPr>
          <w:rFonts w:ascii="Arial" w:hAnsi="Arial" w:cs="Arial"/>
          <w:color w:val="000000" w:themeColor="text1"/>
          <w:sz w:val="22"/>
        </w:rPr>
        <w:t>, o iv) m</w:t>
      </w:r>
      <w:r w:rsidR="006610E4" w:rsidRPr="006610E4">
        <w:rPr>
          <w:rFonts w:ascii="Arial" w:hAnsi="Arial" w:cs="Arial"/>
          <w:color w:val="000000" w:themeColor="text1"/>
          <w:sz w:val="22"/>
        </w:rPr>
        <w:t>edia aritmética baja</w:t>
      </w:r>
      <w:r w:rsidR="00B446D8">
        <w:rPr>
          <w:rFonts w:ascii="Arial" w:hAnsi="Arial" w:cs="Arial"/>
          <w:color w:val="000000" w:themeColor="text1"/>
          <w:sz w:val="22"/>
        </w:rPr>
        <w:t>. Estos métodos son aplicables en virtud de l</w:t>
      </w:r>
      <w:r w:rsidR="00F4302C">
        <w:rPr>
          <w:rFonts w:ascii="Arial" w:hAnsi="Arial" w:cs="Arial"/>
          <w:color w:val="000000" w:themeColor="text1"/>
          <w:sz w:val="22"/>
        </w:rPr>
        <w:t>a parte decimal</w:t>
      </w:r>
      <w:r w:rsidR="00B446D8">
        <w:rPr>
          <w:rFonts w:ascii="Arial" w:hAnsi="Arial" w:cs="Arial"/>
          <w:color w:val="000000" w:themeColor="text1"/>
          <w:sz w:val="22"/>
        </w:rPr>
        <w:t xml:space="preserve"> de la TRM </w:t>
      </w:r>
      <w:r w:rsidR="00FF0D6E">
        <w:rPr>
          <w:rFonts w:ascii="Arial" w:hAnsi="Arial" w:cs="Arial"/>
          <w:color w:val="000000" w:themeColor="text1"/>
          <w:sz w:val="22"/>
        </w:rPr>
        <w:t>certificada por la Superintendencia Financiera para el segundo día hábil siguiente a la fecha de cierre del proceso</w:t>
      </w:r>
      <w:r w:rsidR="00F4302C">
        <w:rPr>
          <w:rFonts w:ascii="Arial" w:hAnsi="Arial" w:cs="Arial"/>
          <w:color w:val="000000" w:themeColor="text1"/>
          <w:sz w:val="22"/>
        </w:rPr>
        <w:t xml:space="preserve">. </w:t>
      </w:r>
    </w:p>
    <w:p w14:paraId="476291E8" w14:textId="53D3BF15" w:rsidR="00A927BA" w:rsidRPr="009C7D09" w:rsidRDefault="004A605B" w:rsidP="00000D82">
      <w:pPr>
        <w:spacing w:line="276" w:lineRule="auto"/>
        <w:jc w:val="both"/>
        <w:rPr>
          <w:rFonts w:ascii="Arial" w:eastAsia="Times New Roman" w:hAnsi="Arial" w:cs="Arial"/>
          <w:color w:val="000000" w:themeColor="text1"/>
          <w:sz w:val="22"/>
          <w:lang w:eastAsia="es-ES_tradnl"/>
        </w:rPr>
      </w:pPr>
      <w:r>
        <w:rPr>
          <w:rFonts w:ascii="Arial" w:eastAsia="Calibri" w:hAnsi="Arial" w:cs="Arial"/>
          <w:sz w:val="22"/>
        </w:rPr>
        <w:tab/>
        <w:t xml:space="preserve">La oferta económica al no ser un </w:t>
      </w:r>
      <w:r w:rsidR="0026034D">
        <w:rPr>
          <w:rFonts w:ascii="Arial" w:eastAsia="Calibri" w:hAnsi="Arial" w:cs="Arial"/>
          <w:sz w:val="22"/>
        </w:rPr>
        <w:t xml:space="preserve">aspecto sometido a </w:t>
      </w:r>
      <w:proofErr w:type="gramStart"/>
      <w:r w:rsidR="0026034D">
        <w:rPr>
          <w:rFonts w:ascii="Arial" w:eastAsia="Calibri" w:hAnsi="Arial" w:cs="Arial"/>
          <w:sz w:val="22"/>
        </w:rPr>
        <w:t>puntaje,</w:t>
      </w:r>
      <w:proofErr w:type="gramEnd"/>
      <w:r w:rsidR="0026034D">
        <w:rPr>
          <w:rFonts w:ascii="Arial" w:eastAsia="Calibri" w:hAnsi="Arial" w:cs="Arial"/>
          <w:sz w:val="22"/>
        </w:rPr>
        <w:t xml:space="preserve"> es susceptible de ser subsanada</w:t>
      </w:r>
      <w:r w:rsidR="00CC1E6E">
        <w:rPr>
          <w:rFonts w:ascii="Arial" w:eastAsia="Calibri" w:hAnsi="Arial" w:cs="Arial"/>
          <w:sz w:val="22"/>
        </w:rPr>
        <w:t xml:space="preserve"> de acuerdo con el parágrafo 1 del artículo 5 de la Ley 1150 de 2007 y el numeral 1</w:t>
      </w:r>
      <w:r w:rsidR="002807F2">
        <w:rPr>
          <w:rFonts w:ascii="Arial" w:eastAsia="Calibri" w:hAnsi="Arial" w:cs="Arial"/>
          <w:sz w:val="22"/>
        </w:rPr>
        <w:t xml:space="preserve">.6 del Documento Base, hasta el término del traslado del informe de evaluación. </w:t>
      </w:r>
      <w:r w:rsidR="00A927BA" w:rsidRPr="009C7D09">
        <w:rPr>
          <w:rFonts w:ascii="Arial" w:eastAsia="Times New Roman" w:hAnsi="Arial" w:cs="Arial"/>
          <w:color w:val="000000" w:themeColor="text1"/>
          <w:sz w:val="22"/>
          <w:lang w:eastAsia="es-ES_tradnl"/>
        </w:rPr>
        <w:t xml:space="preserve">Teniendo en cuenta lo anterior, la posibilidad de que un oferente subsane su oferta económica conociendo el valor de la TRM que se aplicará para </w:t>
      </w:r>
      <w:r w:rsidR="00225A12">
        <w:rPr>
          <w:rFonts w:ascii="Arial" w:eastAsia="Times New Roman" w:hAnsi="Arial" w:cs="Arial"/>
          <w:color w:val="000000" w:themeColor="text1"/>
          <w:sz w:val="22"/>
          <w:lang w:eastAsia="es-ES_tradnl"/>
        </w:rPr>
        <w:t>realizar la ponderación a la que se refiere el numeral 4.1 del Documento Base</w:t>
      </w:r>
      <w:r w:rsidR="00BE0FDC">
        <w:rPr>
          <w:rFonts w:ascii="Arial" w:eastAsia="Times New Roman" w:hAnsi="Arial" w:cs="Arial"/>
          <w:color w:val="000000" w:themeColor="text1"/>
          <w:sz w:val="22"/>
          <w:lang w:eastAsia="es-ES_tradnl"/>
        </w:rPr>
        <w:t xml:space="preserve">, no </w:t>
      </w:r>
      <w:r w:rsidR="006671DB">
        <w:rPr>
          <w:rFonts w:ascii="Arial" w:eastAsia="Times New Roman" w:hAnsi="Arial" w:cs="Arial"/>
          <w:color w:val="000000" w:themeColor="text1"/>
          <w:sz w:val="22"/>
          <w:lang w:eastAsia="es-ES_tradnl"/>
        </w:rPr>
        <w:t>incide en la asignación de puntaje</w:t>
      </w:r>
      <w:r w:rsidR="00B85926">
        <w:rPr>
          <w:rFonts w:ascii="Arial" w:eastAsia="Times New Roman" w:hAnsi="Arial" w:cs="Arial"/>
          <w:color w:val="000000" w:themeColor="text1"/>
          <w:sz w:val="22"/>
          <w:lang w:eastAsia="es-ES_tradnl"/>
        </w:rPr>
        <w:t xml:space="preserve"> </w:t>
      </w:r>
      <w:r w:rsidR="005D57FD">
        <w:rPr>
          <w:rFonts w:ascii="Arial" w:eastAsia="Times New Roman" w:hAnsi="Arial" w:cs="Arial"/>
          <w:color w:val="000000" w:themeColor="text1"/>
          <w:sz w:val="22"/>
          <w:lang w:eastAsia="es-ES_tradnl"/>
        </w:rPr>
        <w:t xml:space="preserve">ya que lo que se pondera es la experiencia y no el precio. </w:t>
      </w:r>
      <w:r w:rsidR="003D433A">
        <w:rPr>
          <w:rFonts w:ascii="Arial" w:eastAsia="Times New Roman" w:hAnsi="Arial" w:cs="Arial"/>
          <w:color w:val="000000" w:themeColor="text1"/>
          <w:sz w:val="22"/>
          <w:lang w:eastAsia="es-ES_tradnl"/>
        </w:rPr>
        <w:t>D</w:t>
      </w:r>
      <w:r w:rsidR="00A927BA" w:rsidRPr="009C7D09">
        <w:rPr>
          <w:rFonts w:ascii="Arial" w:eastAsia="Times New Roman" w:hAnsi="Arial" w:cs="Arial"/>
          <w:color w:val="000000" w:themeColor="text1"/>
          <w:sz w:val="22"/>
          <w:lang w:eastAsia="es-ES_tradnl"/>
        </w:rPr>
        <w:t xml:space="preserve">icha posibilidad se descarta también en el evento en el que se permite señalar la experiencia habilitante, </w:t>
      </w:r>
      <w:r w:rsidR="003D433A">
        <w:rPr>
          <w:rFonts w:ascii="Arial" w:eastAsia="Times New Roman" w:hAnsi="Arial" w:cs="Arial"/>
          <w:color w:val="000000" w:themeColor="text1"/>
          <w:sz w:val="22"/>
          <w:lang w:eastAsia="es-ES_tradnl"/>
        </w:rPr>
        <w:t>como quiera</w:t>
      </w:r>
      <w:r w:rsidR="00A927BA" w:rsidRPr="009C7D09">
        <w:rPr>
          <w:rFonts w:ascii="Arial" w:eastAsia="Times New Roman" w:hAnsi="Arial" w:cs="Arial"/>
          <w:color w:val="000000" w:themeColor="text1"/>
          <w:sz w:val="22"/>
          <w:lang w:eastAsia="es-ES_tradnl"/>
        </w:rPr>
        <w:t xml:space="preserve"> que conforme a lo establecido en el literal A del numeral 4.1 del Documento Base, a pesar de la subsanación, en estos casos el puntaje debe ser 0 en la experiencia sujeta a puntaje.</w:t>
      </w:r>
    </w:p>
    <w:p w14:paraId="1C4DAD09" w14:textId="77777777" w:rsidR="006F2031" w:rsidRPr="009C7D09" w:rsidRDefault="006F2031" w:rsidP="00000D82">
      <w:pPr>
        <w:spacing w:line="276" w:lineRule="auto"/>
        <w:ind w:firstLine="708"/>
        <w:jc w:val="both"/>
        <w:rPr>
          <w:rFonts w:ascii="Arial" w:eastAsia="Calibri" w:hAnsi="Arial" w:cs="Arial"/>
          <w:sz w:val="22"/>
        </w:rPr>
      </w:pPr>
    </w:p>
    <w:p w14:paraId="138D33A2" w14:textId="3DFCCA3E" w:rsidR="00BE1E33" w:rsidRPr="009C7D09" w:rsidRDefault="00BE1E33" w:rsidP="00BD66E3">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9C7D09">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728C0EEA" w14:textId="77777777" w:rsidR="00BD66E3" w:rsidRPr="009C7D09" w:rsidRDefault="00BD66E3" w:rsidP="00BD66E3">
      <w:pPr>
        <w:spacing w:after="120" w:line="276" w:lineRule="auto"/>
        <w:ind w:right="51"/>
        <w:jc w:val="both"/>
        <w:rPr>
          <w:rFonts w:ascii="Arial" w:eastAsia="Calibri" w:hAnsi="Arial" w:cs="Arial"/>
          <w:sz w:val="22"/>
          <w:lang w:val="es-ES_tradnl"/>
        </w:rPr>
      </w:pPr>
    </w:p>
    <w:p w14:paraId="2B02915D" w14:textId="77777777" w:rsidR="00BE1E33" w:rsidRPr="009C7D09" w:rsidRDefault="00BE1E33" w:rsidP="00BE1E33">
      <w:pPr>
        <w:jc w:val="both"/>
        <w:rPr>
          <w:rFonts w:ascii="Arial" w:eastAsia="Times New Roman" w:hAnsi="Arial" w:cs="Arial"/>
          <w:sz w:val="22"/>
          <w:lang w:val="es-ES_tradnl" w:eastAsia="es-CO"/>
        </w:rPr>
      </w:pPr>
      <w:r w:rsidRPr="009C7D09">
        <w:rPr>
          <w:rFonts w:ascii="Arial" w:eastAsia="Times New Roman" w:hAnsi="Arial" w:cs="Arial"/>
          <w:sz w:val="22"/>
          <w:lang w:val="es-ES_tradnl" w:eastAsia="es-CO"/>
        </w:rPr>
        <w:t>Atentamente,</w:t>
      </w:r>
    </w:p>
    <w:bookmarkEnd w:id="0"/>
    <w:bookmarkEnd w:id="1"/>
    <w:p w14:paraId="1C8F6984" w14:textId="44D9F900" w:rsidR="00BE1E33" w:rsidRPr="00FB1DF4" w:rsidRDefault="004D2993" w:rsidP="00BE1E33">
      <w:pPr>
        <w:jc w:val="center"/>
        <w:rPr>
          <w:rFonts w:ascii="Arial" w:eastAsia="Times New Roman" w:hAnsi="Arial" w:cs="Arial"/>
          <w:sz w:val="22"/>
          <w:lang w:val="es-ES_tradnl" w:eastAsia="es-CO"/>
        </w:rPr>
      </w:pPr>
      <w:r w:rsidRPr="00074914">
        <w:rPr>
          <w:rFonts w:ascii="Arial" w:hAnsi="Arial" w:cs="Arial"/>
          <w:noProof/>
          <w:sz w:val="22"/>
          <w:lang w:val="es-ES" w:eastAsia="es-ES"/>
        </w:rPr>
        <w:drawing>
          <wp:inline distT="0" distB="0" distL="0" distR="0" wp14:anchorId="79324FA9" wp14:editId="183F5123">
            <wp:extent cx="2419350" cy="938745"/>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3"/>
                    <a:stretch>
                      <a:fillRect/>
                    </a:stretch>
                  </pic:blipFill>
                  <pic:spPr>
                    <a:xfrm>
                      <a:off x="0" y="0"/>
                      <a:ext cx="2495754" cy="968391"/>
                    </a:xfrm>
                    <a:prstGeom prst="rect">
                      <a:avLst/>
                    </a:prstGeom>
                  </pic:spPr>
                </pic:pic>
              </a:graphicData>
            </a:graphic>
          </wp:inline>
        </w:drawing>
      </w:r>
    </w:p>
    <w:p w14:paraId="091B590C" w14:textId="208B1D7B" w:rsidR="00A2462A" w:rsidRPr="00FB1DF4" w:rsidRDefault="00A2462A" w:rsidP="00BE1E33">
      <w:pPr>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C7D09" w14:paraId="7E5CB93D" w14:textId="77777777" w:rsidTr="004101BC">
        <w:trPr>
          <w:trHeight w:val="315"/>
        </w:trPr>
        <w:tc>
          <w:tcPr>
            <w:tcW w:w="812" w:type="dxa"/>
            <w:vAlign w:val="center"/>
            <w:hideMark/>
          </w:tcPr>
          <w:p w14:paraId="44CFA06E" w14:textId="77777777" w:rsidR="00BE1E33" w:rsidRPr="00CB2E46" w:rsidRDefault="00BE1E33" w:rsidP="004101BC">
            <w:pPr>
              <w:rPr>
                <w:rFonts w:ascii="Arial" w:eastAsia="Times New Roman" w:hAnsi="Arial" w:cs="Arial"/>
                <w:sz w:val="16"/>
                <w:lang w:val="es-ES_tradnl" w:eastAsia="es-ES"/>
              </w:rPr>
            </w:pPr>
            <w:r w:rsidRPr="004966E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9C7D09" w:rsidRDefault="00346F88"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Guillermo Escolar Flórez</w:t>
            </w:r>
          </w:p>
          <w:p w14:paraId="6C4A6DA1" w14:textId="5897BB3C" w:rsidR="00982E99" w:rsidRPr="009C7D09" w:rsidRDefault="00982E99"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Contratista de la Subdirección de Gestión Contractual</w:t>
            </w:r>
          </w:p>
        </w:tc>
      </w:tr>
      <w:tr w:rsidR="00985885" w:rsidRPr="009C7D09" w14:paraId="092BCD16" w14:textId="77777777" w:rsidTr="004101BC">
        <w:trPr>
          <w:trHeight w:val="330"/>
        </w:trPr>
        <w:tc>
          <w:tcPr>
            <w:tcW w:w="812" w:type="dxa"/>
            <w:vAlign w:val="center"/>
            <w:hideMark/>
          </w:tcPr>
          <w:p w14:paraId="463B4DD3" w14:textId="77777777" w:rsidR="00BE1E33" w:rsidRPr="009C7D09" w:rsidRDefault="00BE1E33"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2812A7" w14:textId="63F09EA2" w:rsidR="001148C6" w:rsidRPr="009C7D09" w:rsidRDefault="005A632F" w:rsidP="001148C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Alejandro Sarmiento</w:t>
            </w:r>
          </w:p>
          <w:p w14:paraId="72718C99" w14:textId="18D1A55E" w:rsidR="00BE1E33" w:rsidRPr="00C04E06" w:rsidRDefault="00C04E06" w:rsidP="00730CDB">
            <w:pPr>
              <w:rPr>
                <w:rFonts w:ascii="Arial" w:eastAsia="Times New Roman" w:hAnsi="Arial" w:cs="Arial"/>
                <w:sz w:val="16"/>
                <w:lang w:val="es-ES_tradnl" w:eastAsia="es-ES"/>
              </w:rPr>
            </w:pPr>
            <w:r>
              <w:rPr>
                <w:rFonts w:ascii="Arial" w:eastAsia="Times New Roman" w:hAnsi="Arial" w:cs="Arial"/>
                <w:sz w:val="16"/>
                <w:lang w:val="es-ES_tradnl" w:eastAsia="es-ES"/>
              </w:rPr>
              <w:t>Gestor T1-11</w:t>
            </w:r>
            <w:r w:rsidR="002952E9">
              <w:rPr>
                <w:rFonts w:ascii="Arial" w:eastAsia="Times New Roman" w:hAnsi="Arial" w:cs="Arial"/>
                <w:sz w:val="16"/>
                <w:lang w:val="es-ES_tradnl" w:eastAsia="es-ES"/>
              </w:rPr>
              <w:t xml:space="preserve"> de la</w:t>
            </w:r>
            <w:r w:rsidR="001148C6" w:rsidRPr="00C04E06">
              <w:rPr>
                <w:rFonts w:ascii="Arial" w:eastAsia="Times New Roman" w:hAnsi="Arial" w:cs="Arial"/>
                <w:sz w:val="16"/>
                <w:lang w:val="es-ES_tradnl" w:eastAsia="es-ES"/>
              </w:rPr>
              <w:t xml:space="preserve"> Subdirección de Gestión Contractual</w:t>
            </w:r>
          </w:p>
        </w:tc>
      </w:tr>
      <w:tr w:rsidR="00985885" w:rsidRPr="00985885" w14:paraId="57DAFEF9" w14:textId="77777777" w:rsidTr="004101BC">
        <w:trPr>
          <w:trHeight w:val="300"/>
        </w:trPr>
        <w:tc>
          <w:tcPr>
            <w:tcW w:w="812" w:type="dxa"/>
            <w:vAlign w:val="center"/>
            <w:hideMark/>
          </w:tcPr>
          <w:p w14:paraId="70677013" w14:textId="77777777" w:rsidR="00BE1E33" w:rsidRPr="009C7D09" w:rsidRDefault="00BE1E33"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9C7D09" w:rsidRDefault="00346F88"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Jorge Augusto Tirado Navarro</w:t>
            </w:r>
          </w:p>
          <w:p w14:paraId="75BC677C" w14:textId="76A38807" w:rsidR="00BE1E33" w:rsidRPr="00A2462A" w:rsidRDefault="00346F88"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Subdirector de Gestión Contractual</w:t>
            </w:r>
          </w:p>
        </w:tc>
      </w:tr>
    </w:tbl>
    <w:p w14:paraId="085A31AB" w14:textId="77777777" w:rsidR="006C5955" w:rsidRPr="00985885" w:rsidRDefault="006C5955" w:rsidP="00BD66E3">
      <w:pPr>
        <w:rPr>
          <w:sz w:val="22"/>
          <w:lang w:val="es-ES_tradnl"/>
        </w:rPr>
      </w:pPr>
    </w:p>
    <w:sectPr w:rsidR="006C5955" w:rsidRPr="00985885"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A2A2" w14:textId="77777777" w:rsidR="001B0C08" w:rsidRDefault="001B0C08" w:rsidP="008C487C">
      <w:r>
        <w:separator/>
      </w:r>
    </w:p>
  </w:endnote>
  <w:endnote w:type="continuationSeparator" w:id="0">
    <w:p w14:paraId="4E993655" w14:textId="77777777" w:rsidR="001B0C08" w:rsidRDefault="001B0C08" w:rsidP="008C487C">
      <w:r>
        <w:continuationSeparator/>
      </w:r>
    </w:p>
  </w:endnote>
  <w:endnote w:type="continuationNotice" w:id="1">
    <w:p w14:paraId="5BEFD361" w14:textId="77777777" w:rsidR="001B0C08" w:rsidRDefault="001B0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1B0C08"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2BF9432"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1B0C08" w:rsidP="007B0854">
    <w:pPr>
      <w:pStyle w:val="Piedepgina"/>
      <w:jc w:val="center"/>
      <w:rPr>
        <w:sz w:val="18"/>
        <w:szCs w:val="18"/>
        <w:lang w:val="es-ES"/>
      </w:rPr>
    </w:pPr>
  </w:p>
  <w:p w14:paraId="428179B1" w14:textId="77777777" w:rsidR="004A34D2" w:rsidRPr="00E756AC" w:rsidRDefault="001B0C08"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5283" w14:textId="77777777" w:rsidR="001B0C08" w:rsidRDefault="001B0C08" w:rsidP="008C487C">
      <w:r>
        <w:separator/>
      </w:r>
    </w:p>
  </w:footnote>
  <w:footnote w:type="continuationSeparator" w:id="0">
    <w:p w14:paraId="7F43B8C1" w14:textId="77777777" w:rsidR="001B0C08" w:rsidRDefault="001B0C08" w:rsidP="008C487C">
      <w:r>
        <w:continuationSeparator/>
      </w:r>
    </w:p>
  </w:footnote>
  <w:footnote w:type="continuationNotice" w:id="1">
    <w:p w14:paraId="63933DDD" w14:textId="77777777" w:rsidR="001B0C08" w:rsidRDefault="001B0C08"/>
  </w:footnote>
  <w:footnote w:id="2">
    <w:p w14:paraId="4A229F26" w14:textId="77777777" w:rsidR="002152AF" w:rsidRPr="00331208" w:rsidRDefault="002152AF" w:rsidP="002152AF">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D405803" w14:textId="77777777" w:rsidR="002152AF" w:rsidRPr="00331208" w:rsidRDefault="002152AF" w:rsidP="002152AF">
      <w:pPr>
        <w:pStyle w:val="Textonotapie"/>
        <w:ind w:firstLine="709"/>
        <w:jc w:val="both"/>
        <w:rPr>
          <w:rFonts w:ascii="Arial" w:hAnsi="Arial" w:cs="Arial"/>
          <w:color w:val="000000" w:themeColor="text1"/>
          <w:sz w:val="19"/>
          <w:szCs w:val="19"/>
          <w:lang w:val="es-CO"/>
        </w:rPr>
      </w:pPr>
    </w:p>
  </w:footnote>
  <w:footnote w:id="3">
    <w:p w14:paraId="187D3173" w14:textId="77777777" w:rsidR="002152AF" w:rsidRPr="00331208" w:rsidRDefault="002152AF" w:rsidP="002152AF">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CO"/>
        </w:rPr>
        <w:t xml:space="preserve">Ley 1882 de 2018: «Artículo 4. </w:t>
      </w:r>
      <w:r w:rsidRPr="00331208">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5DED1C3" w14:textId="77777777" w:rsidR="002152AF" w:rsidRPr="00331208" w:rsidRDefault="002152AF" w:rsidP="002152AF">
      <w:pPr>
        <w:pStyle w:val="Textonotapie"/>
        <w:ind w:firstLine="709"/>
        <w:jc w:val="both"/>
        <w:rPr>
          <w:rFonts w:ascii="Arial" w:hAnsi="Arial" w:cs="Arial"/>
          <w:color w:val="000000" w:themeColor="text1"/>
          <w:sz w:val="19"/>
          <w:szCs w:val="19"/>
          <w:lang w:val="es-CO"/>
        </w:rPr>
      </w:pPr>
      <w:proofErr w:type="gramStart"/>
      <w:r w:rsidRPr="00331208">
        <w:rPr>
          <w:rFonts w:ascii="Arial" w:hAnsi="Arial" w:cs="Arial"/>
          <w:color w:val="000000" w:themeColor="text1"/>
          <w:sz w:val="19"/>
          <w:szCs w:val="19"/>
          <w:lang w:val="es-CO"/>
        </w:rPr>
        <w:t>»La</w:t>
      </w:r>
      <w:proofErr w:type="gramEnd"/>
      <w:r w:rsidRPr="00331208">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4D220F87" w14:textId="7253EC1F" w:rsidR="002152AF" w:rsidRPr="00331208" w:rsidRDefault="002152AF" w:rsidP="002152AF">
      <w:pPr>
        <w:pStyle w:val="Textonotapie"/>
        <w:ind w:firstLine="709"/>
        <w:jc w:val="both"/>
        <w:rPr>
          <w:rFonts w:ascii="Arial" w:hAnsi="Arial" w:cs="Arial"/>
          <w:color w:val="000000" w:themeColor="text1"/>
          <w:sz w:val="19"/>
          <w:szCs w:val="19"/>
          <w:lang w:val="es-CO"/>
        </w:rPr>
      </w:pPr>
      <w:proofErr w:type="gramStart"/>
      <w:r w:rsidRPr="00331208">
        <w:rPr>
          <w:rFonts w:ascii="Arial" w:hAnsi="Arial" w:cs="Arial"/>
          <w:color w:val="000000" w:themeColor="text1"/>
          <w:sz w:val="19"/>
          <w:szCs w:val="19"/>
          <w:lang w:val="es-CO"/>
        </w:rPr>
        <w:t>»Los</w:t>
      </w:r>
      <w:proofErr w:type="gramEnd"/>
      <w:r w:rsidRPr="00331208">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4">
    <w:p w14:paraId="47DB99AA" w14:textId="6E7C2461" w:rsidR="002152AF" w:rsidRPr="00331208" w:rsidRDefault="002152AF" w:rsidP="002152AF">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5D90A6EC" w14:textId="77777777" w:rsidR="002152AF" w:rsidRPr="00331208" w:rsidRDefault="002152AF" w:rsidP="002152AF">
      <w:pPr>
        <w:pStyle w:val="Textonotapie"/>
        <w:ind w:firstLine="708"/>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 xml:space="preserve">Cfr. conceptos C-218 de 2020, C-267 de 2020, C-283 de 2020, C-307 de 2020, C-365 de 2020, C-391 de 2020, C-675 de 2020, C-683 de 2020, C-730 de 2020 y C-779 de 2020. Los conceptos expedidos por la Agencia pueden consultarse en el siguiente </w:t>
      </w:r>
      <w:proofErr w:type="gramStart"/>
      <w:r w:rsidRPr="00331208">
        <w:rPr>
          <w:rFonts w:ascii="Arial" w:hAnsi="Arial" w:cs="Arial"/>
          <w:color w:val="000000" w:themeColor="text1"/>
          <w:sz w:val="19"/>
          <w:szCs w:val="19"/>
          <w:lang w:val="es-ES"/>
        </w:rPr>
        <w:t>link</w:t>
      </w:r>
      <w:proofErr w:type="gramEnd"/>
      <w:r w:rsidRPr="00331208">
        <w:rPr>
          <w:rFonts w:ascii="Arial" w:hAnsi="Arial" w:cs="Arial"/>
          <w:color w:val="000000" w:themeColor="text1"/>
          <w:sz w:val="19"/>
          <w:szCs w:val="19"/>
          <w:lang w:val="es-ES"/>
        </w:rPr>
        <w:t>: http://relatoria.colombiacompra.gov.co/busqueda/conceptos.</w:t>
      </w:r>
    </w:p>
    <w:p w14:paraId="11608AAC" w14:textId="77777777" w:rsidR="002152AF" w:rsidRPr="00331208" w:rsidRDefault="002152AF" w:rsidP="002152AF">
      <w:pPr>
        <w:pStyle w:val="Textonotapie"/>
        <w:ind w:firstLine="708"/>
        <w:jc w:val="both"/>
        <w:rPr>
          <w:rFonts w:ascii="Arial" w:hAnsi="Arial" w:cs="Arial"/>
          <w:color w:val="000000" w:themeColor="text1"/>
          <w:sz w:val="19"/>
          <w:szCs w:val="19"/>
          <w:lang w:val="es-CO"/>
        </w:rPr>
      </w:pPr>
    </w:p>
  </w:footnote>
  <w:footnote w:id="6">
    <w:p w14:paraId="3FB4A148" w14:textId="77777777" w:rsidR="002152AF" w:rsidRPr="00331208" w:rsidRDefault="002152AF" w:rsidP="002152AF">
      <w:pPr>
        <w:pStyle w:val="Textonotapie"/>
        <w:ind w:firstLine="708"/>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Las conclusiones indicadas se fundamentan en los numerales primero y cuarto de la Ley 1150 de 2007, de donde se destaca en cursivas lo más relevante: «1. La capacidad jurídica y </w:t>
      </w:r>
      <w:r w:rsidRPr="00331208">
        <w:rPr>
          <w:rFonts w:ascii="Arial" w:hAnsi="Arial" w:cs="Arial"/>
          <w:i/>
          <w:iCs/>
          <w:color w:val="000000" w:themeColor="text1"/>
          <w:sz w:val="19"/>
          <w:szCs w:val="19"/>
        </w:rPr>
        <w:t>las condiciones de experiencia</w:t>
      </w:r>
      <w:r w:rsidRPr="00331208">
        <w:rPr>
          <w:rFonts w:ascii="Arial" w:hAnsi="Arial" w:cs="Arial"/>
          <w:color w:val="000000" w:themeColor="text1"/>
          <w:sz w:val="19"/>
          <w:szCs w:val="19"/>
        </w:rPr>
        <w:t xml:space="preserve">, capacidad financiera y de organización de los proponentes </w:t>
      </w:r>
      <w:r w:rsidRPr="00331208">
        <w:rPr>
          <w:rFonts w:ascii="Arial" w:hAnsi="Arial" w:cs="Arial"/>
          <w:i/>
          <w:iCs/>
          <w:color w:val="000000" w:themeColor="text1"/>
          <w:sz w:val="19"/>
          <w:szCs w:val="19"/>
        </w:rPr>
        <w:t>serán objeto de verificación de cumplimiento como requisitos habilitantes para la participación en el proceso de selección y no otorgarán puntaje, con excepción de lo previsto en el numeral 4 del presente artículo […]</w:t>
      </w:r>
      <w:r w:rsidRPr="00331208">
        <w:rPr>
          <w:rFonts w:ascii="Arial" w:hAnsi="Arial" w:cs="Arial"/>
          <w:color w:val="000000" w:themeColor="text1"/>
          <w:sz w:val="19"/>
          <w:szCs w:val="19"/>
        </w:rPr>
        <w:t xml:space="preserve">. </w:t>
      </w:r>
    </w:p>
    <w:p w14:paraId="0F9C14DC" w14:textId="77777777" w:rsidR="002152AF" w:rsidRPr="00331208" w:rsidRDefault="002152AF" w:rsidP="002152AF">
      <w:pPr>
        <w:pStyle w:val="Textonotapie"/>
        <w:ind w:firstLine="708"/>
        <w:jc w:val="both"/>
        <w:rPr>
          <w:rFonts w:ascii="Arial" w:hAnsi="Arial" w:cs="Arial"/>
          <w:color w:val="000000" w:themeColor="text1"/>
          <w:sz w:val="19"/>
          <w:szCs w:val="19"/>
        </w:rPr>
      </w:pPr>
      <w:r w:rsidRPr="00331208">
        <w:rPr>
          <w:rFonts w:ascii="Arial" w:hAnsi="Arial" w:cs="Arial"/>
          <w:color w:val="000000" w:themeColor="text1"/>
          <w:sz w:val="19"/>
          <w:szCs w:val="19"/>
        </w:rPr>
        <w:t>[…]</w:t>
      </w:r>
    </w:p>
    <w:p w14:paraId="71D8FD42" w14:textId="77777777" w:rsidR="002152AF" w:rsidRPr="00331208" w:rsidRDefault="002152AF" w:rsidP="002152AF">
      <w:pPr>
        <w:pStyle w:val="NormalWeb"/>
        <w:spacing w:before="0" w:beforeAutospacing="0" w:after="0" w:afterAutospacing="0"/>
        <w:ind w:firstLine="708"/>
        <w:jc w:val="both"/>
        <w:rPr>
          <w:rFonts w:ascii="Arial" w:hAnsi="Arial" w:cs="Arial"/>
          <w:color w:val="000000" w:themeColor="text1"/>
          <w:sz w:val="19"/>
          <w:szCs w:val="19"/>
        </w:rPr>
      </w:pPr>
      <w:r w:rsidRPr="00331208">
        <w:rPr>
          <w:rFonts w:ascii="Arial" w:hAnsi="Arial" w:cs="Arial"/>
          <w:color w:val="000000" w:themeColor="text1"/>
          <w:sz w:val="19"/>
          <w:szCs w:val="19"/>
        </w:rPr>
        <w:t xml:space="preserve">«4. </w:t>
      </w:r>
      <w:r w:rsidRPr="00331208">
        <w:rPr>
          <w:rFonts w:ascii="Arial" w:hAnsi="Arial" w:cs="Arial"/>
          <w:i/>
          <w:iCs/>
          <w:color w:val="000000" w:themeColor="text1"/>
          <w:sz w:val="19"/>
          <w:szCs w:val="19"/>
        </w:rPr>
        <w:t>En los procesos para la selección de consultores</w:t>
      </w:r>
      <w:r w:rsidRPr="00331208">
        <w:rPr>
          <w:rFonts w:ascii="Arial" w:hAnsi="Arial" w:cs="Arial"/>
          <w:color w:val="000000" w:themeColor="text1"/>
          <w:sz w:val="19"/>
          <w:szCs w:val="19"/>
        </w:rPr>
        <w:t xml:space="preserve"> se hará uso de factores de calificación destinados a valorar los aspectos técnicos de la oferta o proyecto. De conformidad con las condiciones que señale el reglamento, </w:t>
      </w:r>
      <w:r w:rsidRPr="00331208">
        <w:rPr>
          <w:rFonts w:ascii="Arial" w:hAnsi="Arial" w:cs="Arial"/>
          <w:i/>
          <w:iCs/>
          <w:color w:val="000000" w:themeColor="text1"/>
          <w:sz w:val="19"/>
          <w:szCs w:val="19"/>
        </w:rPr>
        <w:t xml:space="preserve">se podrán utilizar criterios de experiencia específica del oferente </w:t>
      </w:r>
      <w:r w:rsidRPr="00331208">
        <w:rPr>
          <w:rFonts w:ascii="Arial" w:hAnsi="Arial" w:cs="Arial"/>
          <w:color w:val="000000" w:themeColor="text1"/>
          <w:sz w:val="19"/>
          <w:szCs w:val="19"/>
        </w:rPr>
        <w:t>y del equipo de trabajo, en el campo de que se trate» (Cursivas fuera del original).</w:t>
      </w:r>
    </w:p>
    <w:p w14:paraId="2C78B5CE" w14:textId="77777777" w:rsidR="002152AF" w:rsidRPr="00331208" w:rsidRDefault="002152AF" w:rsidP="002152AF">
      <w:pPr>
        <w:pStyle w:val="Textonotapie"/>
        <w:ind w:firstLine="708"/>
        <w:jc w:val="both"/>
        <w:rPr>
          <w:rFonts w:ascii="Arial" w:hAnsi="Arial" w:cs="Arial"/>
          <w:color w:val="000000" w:themeColor="text1"/>
          <w:sz w:val="19"/>
          <w:szCs w:val="19"/>
          <w:lang w:val="es-CO"/>
        </w:rPr>
      </w:pPr>
    </w:p>
  </w:footnote>
  <w:footnote w:id="7">
    <w:p w14:paraId="2DE357CF" w14:textId="77777777" w:rsidR="002152AF" w:rsidRPr="00331208" w:rsidRDefault="002152AF" w:rsidP="002152AF">
      <w:pPr>
        <w:pStyle w:val="NormalWeb"/>
        <w:spacing w:before="0" w:beforeAutospacing="0" w:after="0" w:afterAutospacing="0"/>
        <w:ind w:firstLine="708"/>
        <w:jc w:val="both"/>
        <w:rPr>
          <w:rFonts w:ascii="Arial" w:hAnsi="Arial" w:cs="Arial"/>
          <w:color w:val="000000" w:themeColor="text1"/>
          <w:sz w:val="19"/>
          <w:szCs w:val="19"/>
        </w:rPr>
      </w:pPr>
      <w:r w:rsidRPr="00331208">
        <w:rPr>
          <w:rFonts w:ascii="Arial" w:hAnsi="Arial" w:cs="Arial"/>
          <w:color w:val="000000" w:themeColor="text1"/>
          <w:sz w:val="19"/>
          <w:szCs w:val="19"/>
          <w:vertAlign w:val="superscript"/>
        </w:rPr>
        <w:footnoteRef/>
      </w:r>
      <w:r w:rsidRPr="00331208">
        <w:rPr>
          <w:rFonts w:ascii="Arial" w:hAnsi="Arial" w:cs="Arial"/>
          <w:color w:val="000000" w:themeColor="text1"/>
          <w:sz w:val="19"/>
          <w:szCs w:val="19"/>
        </w:rPr>
        <w:t xml:space="preserve"> Artículo 32 de la Ley 80 de 1993, artículo 2, inciso 2, establece que: «Son también contratos de consultoría los que tienen por objeto la interventoría […]».</w:t>
      </w:r>
    </w:p>
    <w:p w14:paraId="05AC6DFB" w14:textId="77777777" w:rsidR="002152AF" w:rsidRPr="00331208" w:rsidRDefault="002152AF" w:rsidP="002152AF">
      <w:pPr>
        <w:pStyle w:val="Textonotapie"/>
        <w:ind w:firstLine="708"/>
        <w:jc w:val="both"/>
        <w:rPr>
          <w:rFonts w:ascii="Arial" w:hAnsi="Arial" w:cs="Arial"/>
          <w:sz w:val="19"/>
          <w:szCs w:val="19"/>
          <w:lang w:val="es-CO"/>
        </w:rPr>
      </w:pPr>
      <w:r w:rsidRPr="00331208">
        <w:rPr>
          <w:rFonts w:ascii="Arial" w:hAnsi="Arial" w:cs="Arial"/>
          <w:sz w:val="19"/>
          <w:szCs w:val="19"/>
        </w:rPr>
        <w:t xml:space="preserve"> </w:t>
      </w:r>
    </w:p>
  </w:footnote>
  <w:footnote w:id="8">
    <w:p w14:paraId="4303D820" w14:textId="77777777" w:rsidR="002152AF" w:rsidRPr="00331208" w:rsidRDefault="002152AF" w:rsidP="002152AF">
      <w:pPr>
        <w:pStyle w:val="Textonotapie"/>
        <w:ind w:firstLine="708"/>
        <w:jc w:val="both"/>
        <w:rPr>
          <w:rFonts w:ascii="Arial" w:hAnsi="Arial" w:cs="Arial"/>
          <w:sz w:val="19"/>
          <w:szCs w:val="19"/>
          <w:lang w:val="es-CO"/>
        </w:rPr>
      </w:pPr>
      <w:r w:rsidRPr="00331208">
        <w:rPr>
          <w:rStyle w:val="Refdenotaalpie"/>
          <w:rFonts w:ascii="Arial" w:hAnsi="Arial" w:cs="Arial"/>
          <w:sz w:val="19"/>
          <w:szCs w:val="19"/>
        </w:rPr>
        <w:footnoteRef/>
      </w:r>
      <w:r w:rsidRPr="00331208">
        <w:rPr>
          <w:rFonts w:ascii="Arial" w:hAnsi="Arial" w:cs="Arial"/>
          <w:sz w:val="19"/>
          <w:szCs w:val="19"/>
        </w:rPr>
        <w:t xml:space="preserve"> </w:t>
      </w:r>
      <w:r>
        <w:rPr>
          <w:rFonts w:ascii="Arial" w:hAnsi="Arial" w:cs="Arial"/>
          <w:sz w:val="19"/>
          <w:szCs w:val="19"/>
        </w:rPr>
        <w:t xml:space="preserve">«7o. </w:t>
      </w:r>
      <w:r w:rsidRPr="00331208">
        <w:rPr>
          <w:rFonts w:ascii="Arial" w:hAnsi="Arial" w:cs="Arial"/>
          <w:sz w:val="19"/>
          <w:szCs w:val="19"/>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sz w:val="19"/>
          <w:szCs w:val="19"/>
        </w:rPr>
        <w:t>»</w:t>
      </w:r>
      <w:r w:rsidRPr="00331208">
        <w:rPr>
          <w:rFonts w:ascii="Arial" w:hAnsi="Arial" w:cs="Arial"/>
          <w:sz w:val="19"/>
          <w:szCs w:val="19"/>
        </w:rPr>
        <w:t>.</w:t>
      </w:r>
    </w:p>
  </w:footnote>
  <w:footnote w:id="9">
    <w:p w14:paraId="4DD9080E" w14:textId="5A386E42" w:rsidR="00CD3820" w:rsidRPr="00753A7F" w:rsidRDefault="00CD3820" w:rsidP="00CD3820">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Circular Reglamentaria Externa – DOAM- 146 de 4 de noviembre de 202</w:t>
      </w:r>
      <w:r w:rsidR="009E0421">
        <w:rPr>
          <w:rFonts w:ascii="Arial" w:hAnsi="Arial" w:cs="Arial"/>
          <w:sz w:val="19"/>
          <w:szCs w:val="19"/>
        </w:rPr>
        <w:t>0</w:t>
      </w:r>
      <w:r w:rsidRPr="009F5A2A">
        <w:rPr>
          <w:rFonts w:ascii="Arial" w:hAnsi="Arial" w:cs="Arial"/>
          <w:sz w:val="19"/>
          <w:szCs w:val="19"/>
        </w:rPr>
        <w:t>, expedida por la ju</w:t>
      </w:r>
      <w:r w:rsidRPr="00753A7F">
        <w:rPr>
          <w:rFonts w:ascii="Arial" w:hAnsi="Arial" w:cs="Arial"/>
          <w:sz w:val="19"/>
          <w:szCs w:val="19"/>
        </w:rPr>
        <w:t>n</w:t>
      </w:r>
      <w:r w:rsidRPr="009F5A2A">
        <w:rPr>
          <w:rFonts w:ascii="Arial" w:hAnsi="Arial" w:cs="Arial"/>
          <w:sz w:val="19"/>
          <w:szCs w:val="19"/>
        </w:rPr>
        <w:t>t</w:t>
      </w:r>
      <w:r w:rsidRPr="00753A7F">
        <w:rPr>
          <w:rFonts w:ascii="Arial" w:hAnsi="Arial" w:cs="Arial"/>
          <w:sz w:val="19"/>
          <w:szCs w:val="19"/>
        </w:rPr>
        <w:t>a</w:t>
      </w:r>
      <w:r w:rsidRPr="009F5A2A">
        <w:rPr>
          <w:rFonts w:ascii="Arial" w:hAnsi="Arial" w:cs="Arial"/>
          <w:sz w:val="19"/>
          <w:szCs w:val="19"/>
        </w:rPr>
        <w:t xml:space="preserve"> directiva del Banco de la República de Colombia. </w:t>
      </w:r>
    </w:p>
    <w:p w14:paraId="1A16E618" w14:textId="77777777" w:rsidR="00CD3820" w:rsidRPr="009F5A2A" w:rsidRDefault="00CD3820" w:rsidP="00CD3820">
      <w:pPr>
        <w:pStyle w:val="Textonotapie"/>
        <w:ind w:firstLine="708"/>
        <w:jc w:val="both"/>
        <w:rPr>
          <w:rFonts w:ascii="Arial" w:hAnsi="Arial" w:cs="Arial"/>
          <w:sz w:val="19"/>
          <w:szCs w:val="19"/>
        </w:rPr>
      </w:pPr>
    </w:p>
  </w:footnote>
  <w:footnote w:id="10">
    <w:p w14:paraId="2C22EF68" w14:textId="77777777" w:rsidR="00CD3820" w:rsidRPr="009F5A2A" w:rsidRDefault="00CD3820" w:rsidP="00CD3820">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w:t>
      </w:r>
      <w:hyperlink r:id="rId1" w:history="1">
        <w:r w:rsidRPr="009F5A2A">
          <w:rPr>
            <w:rStyle w:val="Hipervnculo"/>
            <w:rFonts w:ascii="Arial" w:hAnsi="Arial" w:cs="Arial"/>
            <w:sz w:val="19"/>
            <w:szCs w:val="19"/>
          </w:rPr>
          <w:t>https://www.banrep.gov.co/es/estadisticas/trm</w:t>
        </w:r>
      </w:hyperlink>
      <w:r w:rsidRPr="009F5A2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13643569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861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5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759716">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2204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928262">
    <w:abstractNumId w:val="12"/>
  </w:num>
  <w:num w:numId="7" w16cid:durableId="1314989265">
    <w:abstractNumId w:val="11"/>
  </w:num>
  <w:num w:numId="8" w16cid:durableId="1126316680">
    <w:abstractNumId w:val="8"/>
  </w:num>
  <w:num w:numId="9" w16cid:durableId="2071884750">
    <w:abstractNumId w:val="7"/>
  </w:num>
  <w:num w:numId="10" w16cid:durableId="1171683413">
    <w:abstractNumId w:val="4"/>
  </w:num>
  <w:num w:numId="11" w16cid:durableId="1835337472">
    <w:abstractNumId w:val="6"/>
  </w:num>
  <w:num w:numId="12" w16cid:durableId="246571833">
    <w:abstractNumId w:val="3"/>
  </w:num>
  <w:num w:numId="13" w16cid:durableId="496460628">
    <w:abstractNumId w:val="1"/>
  </w:num>
  <w:num w:numId="14" w16cid:durableId="1762531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679C"/>
    <w:rsid w:val="00021E2C"/>
    <w:rsid w:val="00024644"/>
    <w:rsid w:val="000300A6"/>
    <w:rsid w:val="0003091B"/>
    <w:rsid w:val="000333A2"/>
    <w:rsid w:val="000376E6"/>
    <w:rsid w:val="00040C88"/>
    <w:rsid w:val="00040D6E"/>
    <w:rsid w:val="000415D2"/>
    <w:rsid w:val="00042C0C"/>
    <w:rsid w:val="00044FF2"/>
    <w:rsid w:val="00047EAE"/>
    <w:rsid w:val="00051C22"/>
    <w:rsid w:val="00052A17"/>
    <w:rsid w:val="00055688"/>
    <w:rsid w:val="00060575"/>
    <w:rsid w:val="00061E92"/>
    <w:rsid w:val="00061EE4"/>
    <w:rsid w:val="00062B0D"/>
    <w:rsid w:val="0006519B"/>
    <w:rsid w:val="0006747C"/>
    <w:rsid w:val="000707A0"/>
    <w:rsid w:val="00074CF3"/>
    <w:rsid w:val="00086A16"/>
    <w:rsid w:val="0008755B"/>
    <w:rsid w:val="00091A17"/>
    <w:rsid w:val="00093069"/>
    <w:rsid w:val="00097CD6"/>
    <w:rsid w:val="000A1DBA"/>
    <w:rsid w:val="000A2381"/>
    <w:rsid w:val="000A290A"/>
    <w:rsid w:val="000A4995"/>
    <w:rsid w:val="000A6338"/>
    <w:rsid w:val="000A73F6"/>
    <w:rsid w:val="000A7E0C"/>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566F"/>
    <w:rsid w:val="000D6181"/>
    <w:rsid w:val="000D6CCF"/>
    <w:rsid w:val="000E09DC"/>
    <w:rsid w:val="000E2C90"/>
    <w:rsid w:val="000E44D0"/>
    <w:rsid w:val="000E4528"/>
    <w:rsid w:val="000E4A3C"/>
    <w:rsid w:val="000E6867"/>
    <w:rsid w:val="000F329F"/>
    <w:rsid w:val="000F380C"/>
    <w:rsid w:val="000F5E7A"/>
    <w:rsid w:val="000F7042"/>
    <w:rsid w:val="001046CB"/>
    <w:rsid w:val="001056C0"/>
    <w:rsid w:val="00105F55"/>
    <w:rsid w:val="00107607"/>
    <w:rsid w:val="0010768C"/>
    <w:rsid w:val="00112597"/>
    <w:rsid w:val="001148C6"/>
    <w:rsid w:val="00116557"/>
    <w:rsid w:val="001235CF"/>
    <w:rsid w:val="0013205F"/>
    <w:rsid w:val="001321AB"/>
    <w:rsid w:val="00132F3A"/>
    <w:rsid w:val="001352A5"/>
    <w:rsid w:val="00135E98"/>
    <w:rsid w:val="00137B0D"/>
    <w:rsid w:val="00140E57"/>
    <w:rsid w:val="00141C64"/>
    <w:rsid w:val="0014462B"/>
    <w:rsid w:val="00146064"/>
    <w:rsid w:val="00147E4A"/>
    <w:rsid w:val="00150995"/>
    <w:rsid w:val="00152C75"/>
    <w:rsid w:val="0015311E"/>
    <w:rsid w:val="001540EC"/>
    <w:rsid w:val="00155F8F"/>
    <w:rsid w:val="001573A6"/>
    <w:rsid w:val="00160AB9"/>
    <w:rsid w:val="001610B4"/>
    <w:rsid w:val="00161EEA"/>
    <w:rsid w:val="0016200C"/>
    <w:rsid w:val="00164CEF"/>
    <w:rsid w:val="00164E79"/>
    <w:rsid w:val="00173047"/>
    <w:rsid w:val="00174C05"/>
    <w:rsid w:val="0017558C"/>
    <w:rsid w:val="00175674"/>
    <w:rsid w:val="00175DA1"/>
    <w:rsid w:val="0017603D"/>
    <w:rsid w:val="00177397"/>
    <w:rsid w:val="001809FF"/>
    <w:rsid w:val="0018144F"/>
    <w:rsid w:val="00181A3E"/>
    <w:rsid w:val="00181B56"/>
    <w:rsid w:val="00182BF2"/>
    <w:rsid w:val="001830A8"/>
    <w:rsid w:val="00190B79"/>
    <w:rsid w:val="00190F15"/>
    <w:rsid w:val="00190F26"/>
    <w:rsid w:val="00191B50"/>
    <w:rsid w:val="00192084"/>
    <w:rsid w:val="00194C50"/>
    <w:rsid w:val="001969C6"/>
    <w:rsid w:val="001A0536"/>
    <w:rsid w:val="001A1740"/>
    <w:rsid w:val="001A6A98"/>
    <w:rsid w:val="001B0C08"/>
    <w:rsid w:val="001B2E5D"/>
    <w:rsid w:val="001B3CAF"/>
    <w:rsid w:val="001B5D63"/>
    <w:rsid w:val="001B67D2"/>
    <w:rsid w:val="001B6C66"/>
    <w:rsid w:val="001B6F70"/>
    <w:rsid w:val="001C4850"/>
    <w:rsid w:val="001C568D"/>
    <w:rsid w:val="001D189D"/>
    <w:rsid w:val="001E4AEB"/>
    <w:rsid w:val="001E5DBB"/>
    <w:rsid w:val="001F1051"/>
    <w:rsid w:val="001F3010"/>
    <w:rsid w:val="001F34A8"/>
    <w:rsid w:val="001F54C2"/>
    <w:rsid w:val="001F7297"/>
    <w:rsid w:val="00200477"/>
    <w:rsid w:val="00201547"/>
    <w:rsid w:val="00202B63"/>
    <w:rsid w:val="002030C5"/>
    <w:rsid w:val="00203499"/>
    <w:rsid w:val="002034AD"/>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37FE"/>
    <w:rsid w:val="00234921"/>
    <w:rsid w:val="00234C6C"/>
    <w:rsid w:val="002362D0"/>
    <w:rsid w:val="00236C2A"/>
    <w:rsid w:val="0023774F"/>
    <w:rsid w:val="00245020"/>
    <w:rsid w:val="00245D50"/>
    <w:rsid w:val="002511E0"/>
    <w:rsid w:val="002516D4"/>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D02CC"/>
    <w:rsid w:val="002E1C4B"/>
    <w:rsid w:val="002E435D"/>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2390E"/>
    <w:rsid w:val="00325E03"/>
    <w:rsid w:val="00326753"/>
    <w:rsid w:val="00327BD4"/>
    <w:rsid w:val="00333A07"/>
    <w:rsid w:val="003401FE"/>
    <w:rsid w:val="00340A7A"/>
    <w:rsid w:val="003436AD"/>
    <w:rsid w:val="00343715"/>
    <w:rsid w:val="00343A0C"/>
    <w:rsid w:val="00346D80"/>
    <w:rsid w:val="00346F88"/>
    <w:rsid w:val="00346F8E"/>
    <w:rsid w:val="00351536"/>
    <w:rsid w:val="00351846"/>
    <w:rsid w:val="00355B95"/>
    <w:rsid w:val="00356434"/>
    <w:rsid w:val="00356C8E"/>
    <w:rsid w:val="00360470"/>
    <w:rsid w:val="00360F9A"/>
    <w:rsid w:val="00366CA7"/>
    <w:rsid w:val="00371192"/>
    <w:rsid w:val="00371C10"/>
    <w:rsid w:val="00373A0B"/>
    <w:rsid w:val="00373EDD"/>
    <w:rsid w:val="003750DA"/>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B0DEF"/>
    <w:rsid w:val="003B163E"/>
    <w:rsid w:val="003B2FEA"/>
    <w:rsid w:val="003B3264"/>
    <w:rsid w:val="003B604C"/>
    <w:rsid w:val="003B6604"/>
    <w:rsid w:val="003B7BC8"/>
    <w:rsid w:val="003C1597"/>
    <w:rsid w:val="003C2074"/>
    <w:rsid w:val="003C328D"/>
    <w:rsid w:val="003C3ADB"/>
    <w:rsid w:val="003C5C2D"/>
    <w:rsid w:val="003C5E88"/>
    <w:rsid w:val="003C60C9"/>
    <w:rsid w:val="003C6F11"/>
    <w:rsid w:val="003D11B5"/>
    <w:rsid w:val="003D134C"/>
    <w:rsid w:val="003D433A"/>
    <w:rsid w:val="003D69A5"/>
    <w:rsid w:val="003E0079"/>
    <w:rsid w:val="003E09D5"/>
    <w:rsid w:val="003E13F5"/>
    <w:rsid w:val="003E14F9"/>
    <w:rsid w:val="003E33C1"/>
    <w:rsid w:val="003E5D11"/>
    <w:rsid w:val="003F3119"/>
    <w:rsid w:val="003F3C60"/>
    <w:rsid w:val="003F4D44"/>
    <w:rsid w:val="003F6D32"/>
    <w:rsid w:val="00400B3D"/>
    <w:rsid w:val="0040700A"/>
    <w:rsid w:val="0041019C"/>
    <w:rsid w:val="0041050D"/>
    <w:rsid w:val="00414EBC"/>
    <w:rsid w:val="004156EA"/>
    <w:rsid w:val="004157B4"/>
    <w:rsid w:val="0042261E"/>
    <w:rsid w:val="004265FC"/>
    <w:rsid w:val="00430B5A"/>
    <w:rsid w:val="00433B17"/>
    <w:rsid w:val="004362BF"/>
    <w:rsid w:val="00436EB3"/>
    <w:rsid w:val="00440F03"/>
    <w:rsid w:val="0044207D"/>
    <w:rsid w:val="0044209F"/>
    <w:rsid w:val="00443937"/>
    <w:rsid w:val="00445E6A"/>
    <w:rsid w:val="00447AEF"/>
    <w:rsid w:val="00447FE5"/>
    <w:rsid w:val="004526DF"/>
    <w:rsid w:val="00453541"/>
    <w:rsid w:val="00456A7D"/>
    <w:rsid w:val="004617B8"/>
    <w:rsid w:val="0046504E"/>
    <w:rsid w:val="00465386"/>
    <w:rsid w:val="004716DE"/>
    <w:rsid w:val="00471FA5"/>
    <w:rsid w:val="004730F3"/>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A0D4B"/>
    <w:rsid w:val="004A605B"/>
    <w:rsid w:val="004A6E34"/>
    <w:rsid w:val="004A6EE1"/>
    <w:rsid w:val="004B0013"/>
    <w:rsid w:val="004B1BEE"/>
    <w:rsid w:val="004B22E7"/>
    <w:rsid w:val="004B2AB8"/>
    <w:rsid w:val="004B782A"/>
    <w:rsid w:val="004C1BA6"/>
    <w:rsid w:val="004C405D"/>
    <w:rsid w:val="004D04EB"/>
    <w:rsid w:val="004D0DBB"/>
    <w:rsid w:val="004D1DE8"/>
    <w:rsid w:val="004D2993"/>
    <w:rsid w:val="004D770C"/>
    <w:rsid w:val="004E0696"/>
    <w:rsid w:val="004E0FC6"/>
    <w:rsid w:val="004E2CA1"/>
    <w:rsid w:val="004E3243"/>
    <w:rsid w:val="004E370E"/>
    <w:rsid w:val="004E7309"/>
    <w:rsid w:val="004F13BC"/>
    <w:rsid w:val="004F407C"/>
    <w:rsid w:val="004F4387"/>
    <w:rsid w:val="004F66E7"/>
    <w:rsid w:val="004F7A45"/>
    <w:rsid w:val="00500FC1"/>
    <w:rsid w:val="00501AFE"/>
    <w:rsid w:val="005029C2"/>
    <w:rsid w:val="00503F97"/>
    <w:rsid w:val="0050712C"/>
    <w:rsid w:val="005105BE"/>
    <w:rsid w:val="005109C7"/>
    <w:rsid w:val="00510BF5"/>
    <w:rsid w:val="005135C7"/>
    <w:rsid w:val="00515ED6"/>
    <w:rsid w:val="00521BA7"/>
    <w:rsid w:val="00522751"/>
    <w:rsid w:val="00523757"/>
    <w:rsid w:val="00523F52"/>
    <w:rsid w:val="00525051"/>
    <w:rsid w:val="005252E2"/>
    <w:rsid w:val="00526966"/>
    <w:rsid w:val="00527E6F"/>
    <w:rsid w:val="00536B34"/>
    <w:rsid w:val="00536C55"/>
    <w:rsid w:val="00537C32"/>
    <w:rsid w:val="00542F8C"/>
    <w:rsid w:val="00546BE0"/>
    <w:rsid w:val="005511D5"/>
    <w:rsid w:val="00551564"/>
    <w:rsid w:val="00554E71"/>
    <w:rsid w:val="005618A7"/>
    <w:rsid w:val="00563FE8"/>
    <w:rsid w:val="00573026"/>
    <w:rsid w:val="00574912"/>
    <w:rsid w:val="00575DC6"/>
    <w:rsid w:val="00580BAF"/>
    <w:rsid w:val="0058176B"/>
    <w:rsid w:val="00581BDD"/>
    <w:rsid w:val="005843FE"/>
    <w:rsid w:val="00585210"/>
    <w:rsid w:val="00585FB5"/>
    <w:rsid w:val="00586D36"/>
    <w:rsid w:val="00591586"/>
    <w:rsid w:val="005940B2"/>
    <w:rsid w:val="00594A56"/>
    <w:rsid w:val="00595776"/>
    <w:rsid w:val="005965D0"/>
    <w:rsid w:val="005A1143"/>
    <w:rsid w:val="005A14BC"/>
    <w:rsid w:val="005A3EDE"/>
    <w:rsid w:val="005A4BC5"/>
    <w:rsid w:val="005A632F"/>
    <w:rsid w:val="005A6A1C"/>
    <w:rsid w:val="005B159A"/>
    <w:rsid w:val="005B6F36"/>
    <w:rsid w:val="005C4D6F"/>
    <w:rsid w:val="005C659E"/>
    <w:rsid w:val="005D3442"/>
    <w:rsid w:val="005D57FD"/>
    <w:rsid w:val="005E1E1A"/>
    <w:rsid w:val="005E1ED6"/>
    <w:rsid w:val="005E6787"/>
    <w:rsid w:val="005E685E"/>
    <w:rsid w:val="005F2B21"/>
    <w:rsid w:val="005F5D19"/>
    <w:rsid w:val="005F6CB7"/>
    <w:rsid w:val="005F6CBF"/>
    <w:rsid w:val="00600709"/>
    <w:rsid w:val="006062E0"/>
    <w:rsid w:val="0061332C"/>
    <w:rsid w:val="006135E6"/>
    <w:rsid w:val="00616FE1"/>
    <w:rsid w:val="00621810"/>
    <w:rsid w:val="00624A85"/>
    <w:rsid w:val="00632EA5"/>
    <w:rsid w:val="006373AA"/>
    <w:rsid w:val="00640727"/>
    <w:rsid w:val="00640F06"/>
    <w:rsid w:val="00642E07"/>
    <w:rsid w:val="0065068C"/>
    <w:rsid w:val="00654B11"/>
    <w:rsid w:val="006550F8"/>
    <w:rsid w:val="00656926"/>
    <w:rsid w:val="0065701C"/>
    <w:rsid w:val="006610E4"/>
    <w:rsid w:val="006613FF"/>
    <w:rsid w:val="00661CE0"/>
    <w:rsid w:val="00662792"/>
    <w:rsid w:val="00662B60"/>
    <w:rsid w:val="00663D0C"/>
    <w:rsid w:val="00664F15"/>
    <w:rsid w:val="00666ED7"/>
    <w:rsid w:val="006671DB"/>
    <w:rsid w:val="006734CA"/>
    <w:rsid w:val="00675C45"/>
    <w:rsid w:val="006818B6"/>
    <w:rsid w:val="006824B8"/>
    <w:rsid w:val="006834EE"/>
    <w:rsid w:val="00683B7C"/>
    <w:rsid w:val="00684080"/>
    <w:rsid w:val="006841C0"/>
    <w:rsid w:val="0068439F"/>
    <w:rsid w:val="006848CA"/>
    <w:rsid w:val="00685DAF"/>
    <w:rsid w:val="00686308"/>
    <w:rsid w:val="006916AE"/>
    <w:rsid w:val="00692D8E"/>
    <w:rsid w:val="006A3D8D"/>
    <w:rsid w:val="006A7743"/>
    <w:rsid w:val="006B2A25"/>
    <w:rsid w:val="006B6339"/>
    <w:rsid w:val="006B6C6A"/>
    <w:rsid w:val="006C15D5"/>
    <w:rsid w:val="006C234F"/>
    <w:rsid w:val="006C3C03"/>
    <w:rsid w:val="006C3D0C"/>
    <w:rsid w:val="006C4577"/>
    <w:rsid w:val="006C5955"/>
    <w:rsid w:val="006C74AC"/>
    <w:rsid w:val="006D0FAB"/>
    <w:rsid w:val="006D31E1"/>
    <w:rsid w:val="006D359C"/>
    <w:rsid w:val="006D519D"/>
    <w:rsid w:val="006D5A9A"/>
    <w:rsid w:val="006E2B9C"/>
    <w:rsid w:val="006E63F1"/>
    <w:rsid w:val="006F14CE"/>
    <w:rsid w:val="006F2031"/>
    <w:rsid w:val="006F39D0"/>
    <w:rsid w:val="006F49C7"/>
    <w:rsid w:val="006F5DB6"/>
    <w:rsid w:val="006F7746"/>
    <w:rsid w:val="00700DC6"/>
    <w:rsid w:val="00701A80"/>
    <w:rsid w:val="00702337"/>
    <w:rsid w:val="00710C2A"/>
    <w:rsid w:val="00711157"/>
    <w:rsid w:val="00715B7E"/>
    <w:rsid w:val="007172E5"/>
    <w:rsid w:val="00730CDB"/>
    <w:rsid w:val="00733771"/>
    <w:rsid w:val="00736C89"/>
    <w:rsid w:val="00740219"/>
    <w:rsid w:val="00743527"/>
    <w:rsid w:val="00745744"/>
    <w:rsid w:val="007462F1"/>
    <w:rsid w:val="00750022"/>
    <w:rsid w:val="0075032A"/>
    <w:rsid w:val="007535D3"/>
    <w:rsid w:val="0076003D"/>
    <w:rsid w:val="00760692"/>
    <w:rsid w:val="00767111"/>
    <w:rsid w:val="007708B1"/>
    <w:rsid w:val="00770D7D"/>
    <w:rsid w:val="00772497"/>
    <w:rsid w:val="0077323F"/>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D62C7"/>
    <w:rsid w:val="007D70C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66E"/>
    <w:rsid w:val="008234E2"/>
    <w:rsid w:val="0082354A"/>
    <w:rsid w:val="00824361"/>
    <w:rsid w:val="00831307"/>
    <w:rsid w:val="008327EE"/>
    <w:rsid w:val="0083350D"/>
    <w:rsid w:val="00837991"/>
    <w:rsid w:val="00841FE3"/>
    <w:rsid w:val="00842E74"/>
    <w:rsid w:val="00843BE5"/>
    <w:rsid w:val="008446D5"/>
    <w:rsid w:val="00847768"/>
    <w:rsid w:val="0084777B"/>
    <w:rsid w:val="008477C5"/>
    <w:rsid w:val="00850D11"/>
    <w:rsid w:val="00856B64"/>
    <w:rsid w:val="008602F0"/>
    <w:rsid w:val="0086337C"/>
    <w:rsid w:val="00863DD9"/>
    <w:rsid w:val="008646BA"/>
    <w:rsid w:val="00866446"/>
    <w:rsid w:val="0086741B"/>
    <w:rsid w:val="0087261A"/>
    <w:rsid w:val="0087326E"/>
    <w:rsid w:val="008748A4"/>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F34"/>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7D2E"/>
    <w:rsid w:val="009506A7"/>
    <w:rsid w:val="00951F3E"/>
    <w:rsid w:val="00952AF6"/>
    <w:rsid w:val="0095386D"/>
    <w:rsid w:val="009549DD"/>
    <w:rsid w:val="0095626E"/>
    <w:rsid w:val="0095634D"/>
    <w:rsid w:val="0095686F"/>
    <w:rsid w:val="0095763F"/>
    <w:rsid w:val="00962D6C"/>
    <w:rsid w:val="0096606B"/>
    <w:rsid w:val="00967230"/>
    <w:rsid w:val="00972C13"/>
    <w:rsid w:val="00973A84"/>
    <w:rsid w:val="00976BDC"/>
    <w:rsid w:val="00976F3B"/>
    <w:rsid w:val="009803E2"/>
    <w:rsid w:val="009812D7"/>
    <w:rsid w:val="00982E99"/>
    <w:rsid w:val="00985885"/>
    <w:rsid w:val="00993BFE"/>
    <w:rsid w:val="009943D7"/>
    <w:rsid w:val="009963CB"/>
    <w:rsid w:val="009A0C07"/>
    <w:rsid w:val="009A26BA"/>
    <w:rsid w:val="009A50EB"/>
    <w:rsid w:val="009A5714"/>
    <w:rsid w:val="009A5DA7"/>
    <w:rsid w:val="009A7BC4"/>
    <w:rsid w:val="009B1AEC"/>
    <w:rsid w:val="009B63C6"/>
    <w:rsid w:val="009C1419"/>
    <w:rsid w:val="009C441E"/>
    <w:rsid w:val="009C6F56"/>
    <w:rsid w:val="009C7D09"/>
    <w:rsid w:val="009D1D57"/>
    <w:rsid w:val="009D1F2E"/>
    <w:rsid w:val="009E02C5"/>
    <w:rsid w:val="009E0421"/>
    <w:rsid w:val="009E0591"/>
    <w:rsid w:val="009E1579"/>
    <w:rsid w:val="009E2544"/>
    <w:rsid w:val="009E2770"/>
    <w:rsid w:val="009E2D72"/>
    <w:rsid w:val="009E3490"/>
    <w:rsid w:val="009E41C2"/>
    <w:rsid w:val="009E4A43"/>
    <w:rsid w:val="009E4EB7"/>
    <w:rsid w:val="009E5B2B"/>
    <w:rsid w:val="009E63D3"/>
    <w:rsid w:val="009E7631"/>
    <w:rsid w:val="009F1E0D"/>
    <w:rsid w:val="009F2261"/>
    <w:rsid w:val="009F3537"/>
    <w:rsid w:val="009F384C"/>
    <w:rsid w:val="009F6C58"/>
    <w:rsid w:val="00A05417"/>
    <w:rsid w:val="00A057D9"/>
    <w:rsid w:val="00A10791"/>
    <w:rsid w:val="00A2134A"/>
    <w:rsid w:val="00A2182F"/>
    <w:rsid w:val="00A21B01"/>
    <w:rsid w:val="00A22C8E"/>
    <w:rsid w:val="00A2462A"/>
    <w:rsid w:val="00A25657"/>
    <w:rsid w:val="00A2692A"/>
    <w:rsid w:val="00A27568"/>
    <w:rsid w:val="00A27907"/>
    <w:rsid w:val="00A329B6"/>
    <w:rsid w:val="00A33045"/>
    <w:rsid w:val="00A3351D"/>
    <w:rsid w:val="00A34597"/>
    <w:rsid w:val="00A367A1"/>
    <w:rsid w:val="00A415D2"/>
    <w:rsid w:val="00A4301D"/>
    <w:rsid w:val="00A45CC6"/>
    <w:rsid w:val="00A460BA"/>
    <w:rsid w:val="00A510F6"/>
    <w:rsid w:val="00A52170"/>
    <w:rsid w:val="00A53360"/>
    <w:rsid w:val="00A56614"/>
    <w:rsid w:val="00A57F7A"/>
    <w:rsid w:val="00A651C9"/>
    <w:rsid w:val="00A75B4C"/>
    <w:rsid w:val="00A75C39"/>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D7725"/>
    <w:rsid w:val="00AE1CAD"/>
    <w:rsid w:val="00AE2D81"/>
    <w:rsid w:val="00AE4877"/>
    <w:rsid w:val="00AE668A"/>
    <w:rsid w:val="00AE6858"/>
    <w:rsid w:val="00AF185A"/>
    <w:rsid w:val="00AF1AE0"/>
    <w:rsid w:val="00AF317C"/>
    <w:rsid w:val="00AF4523"/>
    <w:rsid w:val="00AF5C62"/>
    <w:rsid w:val="00AF7270"/>
    <w:rsid w:val="00B03FDA"/>
    <w:rsid w:val="00B04B76"/>
    <w:rsid w:val="00B100E5"/>
    <w:rsid w:val="00B11A7E"/>
    <w:rsid w:val="00B17BC5"/>
    <w:rsid w:val="00B2158C"/>
    <w:rsid w:val="00B21643"/>
    <w:rsid w:val="00B24E57"/>
    <w:rsid w:val="00B2594C"/>
    <w:rsid w:val="00B30582"/>
    <w:rsid w:val="00B30D96"/>
    <w:rsid w:val="00B36746"/>
    <w:rsid w:val="00B422E4"/>
    <w:rsid w:val="00B446D8"/>
    <w:rsid w:val="00B44EB3"/>
    <w:rsid w:val="00B46660"/>
    <w:rsid w:val="00B5123E"/>
    <w:rsid w:val="00B522C4"/>
    <w:rsid w:val="00B52B0E"/>
    <w:rsid w:val="00B5337D"/>
    <w:rsid w:val="00B57A89"/>
    <w:rsid w:val="00B63A7D"/>
    <w:rsid w:val="00B63FEA"/>
    <w:rsid w:val="00B6453C"/>
    <w:rsid w:val="00B65290"/>
    <w:rsid w:val="00B65788"/>
    <w:rsid w:val="00B67419"/>
    <w:rsid w:val="00B70E26"/>
    <w:rsid w:val="00B715EC"/>
    <w:rsid w:val="00B71762"/>
    <w:rsid w:val="00B71C1B"/>
    <w:rsid w:val="00B77186"/>
    <w:rsid w:val="00B847C9"/>
    <w:rsid w:val="00B85926"/>
    <w:rsid w:val="00B86EEE"/>
    <w:rsid w:val="00B90E2B"/>
    <w:rsid w:val="00B93129"/>
    <w:rsid w:val="00B961E2"/>
    <w:rsid w:val="00B97D95"/>
    <w:rsid w:val="00BA36EA"/>
    <w:rsid w:val="00BA46FA"/>
    <w:rsid w:val="00BA7B87"/>
    <w:rsid w:val="00BA7E78"/>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202DD"/>
    <w:rsid w:val="00C22412"/>
    <w:rsid w:val="00C24EA3"/>
    <w:rsid w:val="00C25E14"/>
    <w:rsid w:val="00C31CA2"/>
    <w:rsid w:val="00C35ADE"/>
    <w:rsid w:val="00C362AF"/>
    <w:rsid w:val="00C42E05"/>
    <w:rsid w:val="00C43035"/>
    <w:rsid w:val="00C4526C"/>
    <w:rsid w:val="00C50B1B"/>
    <w:rsid w:val="00C52801"/>
    <w:rsid w:val="00C570E4"/>
    <w:rsid w:val="00C6210F"/>
    <w:rsid w:val="00C628EE"/>
    <w:rsid w:val="00C64CEB"/>
    <w:rsid w:val="00C66EB6"/>
    <w:rsid w:val="00C745C6"/>
    <w:rsid w:val="00C75DB8"/>
    <w:rsid w:val="00C76A82"/>
    <w:rsid w:val="00C8688B"/>
    <w:rsid w:val="00C9148A"/>
    <w:rsid w:val="00C960CD"/>
    <w:rsid w:val="00C964DE"/>
    <w:rsid w:val="00C96C57"/>
    <w:rsid w:val="00CA3C3B"/>
    <w:rsid w:val="00CA5790"/>
    <w:rsid w:val="00CA634C"/>
    <w:rsid w:val="00CB2E46"/>
    <w:rsid w:val="00CB30C7"/>
    <w:rsid w:val="00CB56B3"/>
    <w:rsid w:val="00CC08BB"/>
    <w:rsid w:val="00CC1E6E"/>
    <w:rsid w:val="00CC3C9A"/>
    <w:rsid w:val="00CC773C"/>
    <w:rsid w:val="00CD0097"/>
    <w:rsid w:val="00CD11FB"/>
    <w:rsid w:val="00CD3820"/>
    <w:rsid w:val="00CD6B00"/>
    <w:rsid w:val="00CE7C17"/>
    <w:rsid w:val="00CF0204"/>
    <w:rsid w:val="00CF18DD"/>
    <w:rsid w:val="00CF326B"/>
    <w:rsid w:val="00D034D4"/>
    <w:rsid w:val="00D05EAC"/>
    <w:rsid w:val="00D0763E"/>
    <w:rsid w:val="00D12644"/>
    <w:rsid w:val="00D13669"/>
    <w:rsid w:val="00D1531B"/>
    <w:rsid w:val="00D24682"/>
    <w:rsid w:val="00D24F06"/>
    <w:rsid w:val="00D25AEF"/>
    <w:rsid w:val="00D3102E"/>
    <w:rsid w:val="00D349EE"/>
    <w:rsid w:val="00D365CF"/>
    <w:rsid w:val="00D47BD4"/>
    <w:rsid w:val="00D50C10"/>
    <w:rsid w:val="00D51A2F"/>
    <w:rsid w:val="00D527F4"/>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12B0"/>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265C"/>
    <w:rsid w:val="00DD558D"/>
    <w:rsid w:val="00DD5FE9"/>
    <w:rsid w:val="00DD6DB9"/>
    <w:rsid w:val="00DD7CCE"/>
    <w:rsid w:val="00DE1678"/>
    <w:rsid w:val="00DE4565"/>
    <w:rsid w:val="00DE64DE"/>
    <w:rsid w:val="00DE7AB4"/>
    <w:rsid w:val="00DF2F9C"/>
    <w:rsid w:val="00DF4D86"/>
    <w:rsid w:val="00DF6042"/>
    <w:rsid w:val="00DF7C17"/>
    <w:rsid w:val="00E0053A"/>
    <w:rsid w:val="00E01D84"/>
    <w:rsid w:val="00E01E73"/>
    <w:rsid w:val="00E027C6"/>
    <w:rsid w:val="00E030B1"/>
    <w:rsid w:val="00E11260"/>
    <w:rsid w:val="00E137BB"/>
    <w:rsid w:val="00E17AA0"/>
    <w:rsid w:val="00E22010"/>
    <w:rsid w:val="00E269AA"/>
    <w:rsid w:val="00E3199C"/>
    <w:rsid w:val="00E32006"/>
    <w:rsid w:val="00E35B0E"/>
    <w:rsid w:val="00E37102"/>
    <w:rsid w:val="00E42425"/>
    <w:rsid w:val="00E51495"/>
    <w:rsid w:val="00E56245"/>
    <w:rsid w:val="00E56F88"/>
    <w:rsid w:val="00E64988"/>
    <w:rsid w:val="00E64A38"/>
    <w:rsid w:val="00E650D8"/>
    <w:rsid w:val="00E665E3"/>
    <w:rsid w:val="00E714FB"/>
    <w:rsid w:val="00E73203"/>
    <w:rsid w:val="00E74E2C"/>
    <w:rsid w:val="00E756AC"/>
    <w:rsid w:val="00E77085"/>
    <w:rsid w:val="00E81306"/>
    <w:rsid w:val="00E8381A"/>
    <w:rsid w:val="00E86529"/>
    <w:rsid w:val="00E87596"/>
    <w:rsid w:val="00E87606"/>
    <w:rsid w:val="00E87794"/>
    <w:rsid w:val="00E94150"/>
    <w:rsid w:val="00E941A5"/>
    <w:rsid w:val="00E951A4"/>
    <w:rsid w:val="00E95EAA"/>
    <w:rsid w:val="00E96422"/>
    <w:rsid w:val="00EA437E"/>
    <w:rsid w:val="00EA5A59"/>
    <w:rsid w:val="00EB0F1E"/>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7C2"/>
    <w:rsid w:val="00ED5E06"/>
    <w:rsid w:val="00ED73B2"/>
    <w:rsid w:val="00EE0BD0"/>
    <w:rsid w:val="00EE121F"/>
    <w:rsid w:val="00EE2450"/>
    <w:rsid w:val="00EE2707"/>
    <w:rsid w:val="00EF1C55"/>
    <w:rsid w:val="00EF2CA6"/>
    <w:rsid w:val="00F03734"/>
    <w:rsid w:val="00F0404F"/>
    <w:rsid w:val="00F0422A"/>
    <w:rsid w:val="00F0513B"/>
    <w:rsid w:val="00F0523A"/>
    <w:rsid w:val="00F05A86"/>
    <w:rsid w:val="00F07A17"/>
    <w:rsid w:val="00F117B1"/>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302C"/>
    <w:rsid w:val="00F47FCE"/>
    <w:rsid w:val="00F501C1"/>
    <w:rsid w:val="00F501D2"/>
    <w:rsid w:val="00F5266F"/>
    <w:rsid w:val="00F55638"/>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481A"/>
    <w:rsid w:val="00F96AB1"/>
    <w:rsid w:val="00FA045E"/>
    <w:rsid w:val="00FA2523"/>
    <w:rsid w:val="00FA4C95"/>
    <w:rsid w:val="00FA547C"/>
    <w:rsid w:val="00FA7B7C"/>
    <w:rsid w:val="00FB1DF4"/>
    <w:rsid w:val="00FB46DD"/>
    <w:rsid w:val="00FC4508"/>
    <w:rsid w:val="00FC587C"/>
    <w:rsid w:val="00FC755D"/>
    <w:rsid w:val="00FD40DB"/>
    <w:rsid w:val="00FD68FF"/>
    <w:rsid w:val="00FD724A"/>
    <w:rsid w:val="00FE3DBF"/>
    <w:rsid w:val="00FE3EED"/>
    <w:rsid w:val="00FE6424"/>
    <w:rsid w:val="00FF0D6E"/>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2.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6780</Words>
  <Characters>37291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2020-03-17T17:42:00Z</cp:lastPrinted>
  <dcterms:created xsi:type="dcterms:W3CDTF">2022-04-12T16:16:00Z</dcterms:created>
  <dcterms:modified xsi:type="dcterms:W3CDTF">2022-04-12T16:16:00Z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