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9AC5" w14:textId="77777777" w:rsidR="004A303C" w:rsidRPr="00E579B5" w:rsidRDefault="004A303C" w:rsidP="007B09AB">
      <w:pPr>
        <w:jc w:val="right"/>
        <w:outlineLvl w:val="0"/>
        <w:rPr>
          <w:rFonts w:ascii="Arial" w:hAnsi="Arial" w:cs="Arial"/>
          <w:bCs/>
          <w:color w:val="000000" w:themeColor="text1"/>
          <w:sz w:val="20"/>
          <w:szCs w:val="20"/>
          <w:lang w:val="es-ES" w:eastAsia="es-ES"/>
        </w:rPr>
      </w:pPr>
      <w:bookmarkStart w:id="0" w:name="_Hlk28946138"/>
      <w:bookmarkStart w:id="1" w:name="_Hlk29548183"/>
      <w:r w:rsidRPr="00B343F3">
        <w:rPr>
          <w:rFonts w:ascii="Arial" w:hAnsi="Arial" w:cs="Arial"/>
          <w:b/>
          <w:color w:val="000000" w:themeColor="text1"/>
          <w:sz w:val="20"/>
          <w:szCs w:val="20"/>
          <w:lang w:val="es-ES" w:eastAsia="es-ES"/>
        </w:rPr>
        <w:tab/>
      </w:r>
      <w:r w:rsidRPr="00E579B5">
        <w:rPr>
          <w:rFonts w:ascii="Arial" w:hAnsi="Arial" w:cs="Arial"/>
          <w:bCs/>
          <w:color w:val="000000" w:themeColor="text1"/>
          <w:sz w:val="20"/>
          <w:szCs w:val="20"/>
          <w:lang w:val="es-ES" w:eastAsia="es-ES"/>
        </w:rPr>
        <w:t>CCE-DES-FM-17</w:t>
      </w:r>
    </w:p>
    <w:p w14:paraId="45BE16CC" w14:textId="77777777" w:rsidR="002D14DD" w:rsidRDefault="002D14DD" w:rsidP="007B09AB">
      <w:pPr>
        <w:jc w:val="both"/>
        <w:rPr>
          <w:rFonts w:ascii="Arial" w:eastAsia="Calibri" w:hAnsi="Arial" w:cs="Arial"/>
          <w:b/>
          <w:sz w:val="22"/>
        </w:rPr>
      </w:pPr>
    </w:p>
    <w:p w14:paraId="764DEAF3" w14:textId="1C0E7219" w:rsidR="007B09AB" w:rsidRPr="000A20B7" w:rsidRDefault="007B09AB" w:rsidP="000A20B7">
      <w:pPr>
        <w:spacing w:line="276" w:lineRule="auto"/>
        <w:jc w:val="both"/>
        <w:rPr>
          <w:rFonts w:ascii="Arial" w:hAnsi="Arial" w:cs="Arial"/>
          <w:b/>
          <w:bCs/>
          <w:color w:val="000000" w:themeColor="text1"/>
          <w:sz w:val="22"/>
          <w:lang w:val="es-ES"/>
        </w:rPr>
      </w:pPr>
      <w:r w:rsidRPr="000A20B7">
        <w:rPr>
          <w:rFonts w:ascii="Arial" w:hAnsi="Arial" w:cs="Arial"/>
          <w:b/>
          <w:bCs/>
          <w:color w:val="000000" w:themeColor="text1"/>
          <w:sz w:val="22"/>
          <w:lang w:val="es-ES"/>
        </w:rPr>
        <w:t xml:space="preserve">SELECCIÓN OBJETIVA </w:t>
      </w:r>
      <w:r w:rsidR="00EA76DB">
        <w:rPr>
          <w:rFonts w:ascii="Arial" w:hAnsi="Arial" w:cs="Arial"/>
          <w:b/>
          <w:bCs/>
          <w:color w:val="000000" w:themeColor="text1"/>
          <w:sz w:val="22"/>
          <w:lang w:val="es-ES"/>
        </w:rPr>
        <w:t>–</w:t>
      </w:r>
      <w:r w:rsidRPr="000A20B7">
        <w:rPr>
          <w:rFonts w:ascii="Arial" w:hAnsi="Arial" w:cs="Arial"/>
          <w:b/>
          <w:bCs/>
          <w:color w:val="000000" w:themeColor="text1"/>
          <w:sz w:val="22"/>
          <w:lang w:val="es-ES"/>
        </w:rPr>
        <w:t xml:space="preserve"> Noción </w:t>
      </w:r>
      <w:r w:rsidR="00EA76DB">
        <w:rPr>
          <w:rFonts w:ascii="Arial" w:hAnsi="Arial" w:cs="Arial"/>
          <w:b/>
          <w:bCs/>
          <w:color w:val="000000" w:themeColor="text1"/>
          <w:sz w:val="22"/>
          <w:lang w:val="es-ES"/>
        </w:rPr>
        <w:t>–</w:t>
      </w:r>
      <w:r w:rsidRPr="000A20B7">
        <w:rPr>
          <w:rFonts w:ascii="Arial" w:hAnsi="Arial" w:cs="Arial"/>
          <w:b/>
          <w:bCs/>
          <w:color w:val="000000" w:themeColor="text1"/>
          <w:sz w:val="22"/>
          <w:lang w:val="es-ES"/>
        </w:rPr>
        <w:t xml:space="preserve"> Requisitos habilitantes</w:t>
      </w:r>
    </w:p>
    <w:p w14:paraId="263B6B35" w14:textId="77777777" w:rsidR="007B09AB" w:rsidRPr="000A20B7" w:rsidRDefault="007B09AB" w:rsidP="000A20B7">
      <w:pPr>
        <w:spacing w:line="276" w:lineRule="auto"/>
        <w:jc w:val="both"/>
        <w:rPr>
          <w:rFonts w:ascii="Arial" w:hAnsi="Arial" w:cs="Arial"/>
          <w:b/>
          <w:bCs/>
          <w:color w:val="000000" w:themeColor="text1"/>
          <w:sz w:val="22"/>
          <w:lang w:val="es-ES"/>
        </w:rPr>
      </w:pPr>
    </w:p>
    <w:p w14:paraId="4CCB37F7" w14:textId="65400471" w:rsidR="00AA2D41" w:rsidRDefault="00AA2D41" w:rsidP="007B09AB">
      <w:pPr>
        <w:jc w:val="both"/>
        <w:rPr>
          <w:rFonts w:ascii="Arial" w:eastAsia="Calibri" w:hAnsi="Arial" w:cs="Arial"/>
          <w:bCs/>
          <w:color w:val="000000" w:themeColor="text1"/>
          <w:sz w:val="20"/>
          <w:szCs w:val="20"/>
          <w:lang w:val="es-ES_tradnl"/>
        </w:rPr>
      </w:pPr>
      <w:r w:rsidRPr="00AA2D41">
        <w:rPr>
          <w:rFonts w:ascii="Arial" w:eastAsia="Calibri" w:hAnsi="Arial" w:cs="Arial"/>
          <w:bCs/>
          <w:color w:val="000000" w:themeColor="text1"/>
          <w:sz w:val="20"/>
          <w:szCs w:val="20"/>
          <w:lang w:val="es-ES_tradnl"/>
        </w:rPr>
        <w:t>Los requisitos habilitantes se definen como exigencias de participación en los procedimientos de selección, establecidos en disposiciones normativas, de carácter legal o reglamentario, o contenidas en el acto administrativo que regula las reglas de la convocatoria, es decir, en el pliego de condiciones o el documento equivalente a este</w:t>
      </w:r>
      <w:r w:rsidR="00EF3BBB">
        <w:rPr>
          <w:rFonts w:ascii="Arial" w:eastAsia="Calibri" w:hAnsi="Arial" w:cs="Arial"/>
          <w:bCs/>
          <w:color w:val="000000" w:themeColor="text1"/>
          <w:sz w:val="20"/>
          <w:szCs w:val="20"/>
          <w:lang w:val="es-ES_tradnl"/>
        </w:rPr>
        <w:t xml:space="preserve"> </w:t>
      </w:r>
      <w:r>
        <w:rPr>
          <w:rFonts w:ascii="Arial" w:eastAsia="Calibri" w:hAnsi="Arial" w:cs="Arial"/>
          <w:bCs/>
          <w:color w:val="000000" w:themeColor="text1"/>
          <w:sz w:val="20"/>
          <w:szCs w:val="20"/>
          <w:lang w:val="es-ES_tradnl"/>
        </w:rPr>
        <w:t>[…]</w:t>
      </w:r>
      <w:r w:rsidR="00EF3BBB">
        <w:rPr>
          <w:rFonts w:ascii="Arial" w:eastAsia="Calibri" w:hAnsi="Arial" w:cs="Arial"/>
          <w:bCs/>
          <w:color w:val="000000" w:themeColor="text1"/>
          <w:sz w:val="20"/>
          <w:szCs w:val="20"/>
          <w:lang w:val="es-ES_tradnl"/>
        </w:rPr>
        <w:t>.</w:t>
      </w:r>
    </w:p>
    <w:p w14:paraId="550365FE" w14:textId="77777777" w:rsidR="00AA2D41" w:rsidRDefault="00AA2D41" w:rsidP="007B09AB">
      <w:pPr>
        <w:jc w:val="both"/>
        <w:rPr>
          <w:rFonts w:ascii="Arial" w:eastAsia="Calibri" w:hAnsi="Arial" w:cs="Arial"/>
          <w:bCs/>
          <w:color w:val="000000" w:themeColor="text1"/>
          <w:sz w:val="20"/>
          <w:szCs w:val="20"/>
          <w:lang w:val="es-ES_tradnl"/>
        </w:rPr>
      </w:pPr>
    </w:p>
    <w:p w14:paraId="0CB24F11" w14:textId="31313513" w:rsidR="007B09AB" w:rsidRDefault="00EE7A94" w:rsidP="007B09AB">
      <w:pPr>
        <w:jc w:val="both"/>
        <w:rPr>
          <w:rFonts w:ascii="Arial" w:eastAsia="Calibri" w:hAnsi="Arial" w:cs="Arial"/>
          <w:bCs/>
          <w:color w:val="000000" w:themeColor="text1"/>
          <w:sz w:val="20"/>
          <w:szCs w:val="20"/>
          <w:lang w:val="es-ES_tradnl"/>
        </w:rPr>
      </w:pPr>
      <w:r w:rsidRPr="00EE7A94">
        <w:rPr>
          <w:rFonts w:ascii="Arial" w:eastAsia="Calibri" w:hAnsi="Arial" w:cs="Arial"/>
          <w:bCs/>
          <w:color w:val="000000" w:themeColor="text1"/>
          <w:sz w:val="20"/>
          <w:szCs w:val="20"/>
          <w:lang w:val="es-ES_tradnl"/>
        </w:rPr>
        <w:t>A partir de lo dicho se deduce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r w:rsidR="00EF3BBB">
        <w:rPr>
          <w:rFonts w:ascii="Arial" w:eastAsia="Calibri" w:hAnsi="Arial" w:cs="Arial"/>
          <w:bCs/>
          <w:color w:val="000000" w:themeColor="text1"/>
          <w:sz w:val="20"/>
          <w:szCs w:val="20"/>
          <w:lang w:val="es-ES_tradnl"/>
        </w:rPr>
        <w:t>.</w:t>
      </w:r>
    </w:p>
    <w:p w14:paraId="47CDEEDF" w14:textId="77777777" w:rsidR="00EF3BBB" w:rsidRDefault="00EF3BBB" w:rsidP="007B09AB">
      <w:pPr>
        <w:jc w:val="both"/>
        <w:rPr>
          <w:rFonts w:ascii="Arial" w:eastAsia="Calibri" w:hAnsi="Arial" w:cs="Arial"/>
          <w:b/>
          <w:bCs/>
          <w:color w:val="000000"/>
          <w:sz w:val="22"/>
        </w:rPr>
      </w:pPr>
    </w:p>
    <w:p w14:paraId="15661A8B" w14:textId="4CC749CE" w:rsidR="007B09AB" w:rsidRPr="000A20B7" w:rsidRDefault="00EF3BBB" w:rsidP="000A20B7">
      <w:pPr>
        <w:spacing w:line="276" w:lineRule="auto"/>
        <w:jc w:val="both"/>
        <w:rPr>
          <w:rFonts w:ascii="Arial" w:hAnsi="Arial" w:cs="Arial"/>
          <w:b/>
          <w:bCs/>
          <w:color w:val="000000" w:themeColor="text1"/>
          <w:sz w:val="22"/>
          <w:lang w:val="es-ES"/>
        </w:rPr>
      </w:pPr>
      <w:r>
        <w:rPr>
          <w:rFonts w:ascii="Arial" w:hAnsi="Arial" w:cs="Arial"/>
          <w:b/>
          <w:bCs/>
          <w:color w:val="000000" w:themeColor="text1"/>
          <w:sz w:val="22"/>
          <w:lang w:val="es-ES"/>
        </w:rPr>
        <w:t xml:space="preserve">SELECCIÓN OBJETIVA – </w:t>
      </w:r>
      <w:r w:rsidR="007B09AB" w:rsidRPr="000A20B7">
        <w:rPr>
          <w:rFonts w:ascii="Arial" w:hAnsi="Arial" w:cs="Arial"/>
          <w:b/>
          <w:bCs/>
          <w:color w:val="000000" w:themeColor="text1"/>
          <w:sz w:val="22"/>
          <w:lang w:val="es-ES"/>
        </w:rPr>
        <w:t>R</w:t>
      </w:r>
      <w:r>
        <w:rPr>
          <w:rFonts w:ascii="Arial" w:hAnsi="Arial" w:cs="Arial"/>
          <w:b/>
          <w:bCs/>
          <w:color w:val="000000" w:themeColor="text1"/>
          <w:sz w:val="22"/>
          <w:lang w:val="es-ES"/>
        </w:rPr>
        <w:t>equisitos habilitantes</w:t>
      </w:r>
      <w:r w:rsidR="007B09AB" w:rsidRPr="000A20B7">
        <w:rPr>
          <w:rFonts w:ascii="Arial" w:hAnsi="Arial" w:cs="Arial"/>
          <w:b/>
          <w:bCs/>
          <w:color w:val="000000" w:themeColor="text1"/>
          <w:sz w:val="22"/>
          <w:lang w:val="es-ES"/>
        </w:rPr>
        <w:t xml:space="preserve"> – Capacidad financiera</w:t>
      </w:r>
    </w:p>
    <w:p w14:paraId="09150B5C" w14:textId="77777777" w:rsidR="007B09AB" w:rsidRPr="000A20B7" w:rsidRDefault="007B09AB" w:rsidP="000A20B7">
      <w:pPr>
        <w:spacing w:line="276" w:lineRule="auto"/>
        <w:jc w:val="both"/>
        <w:rPr>
          <w:rFonts w:ascii="Arial" w:hAnsi="Arial" w:cs="Arial"/>
          <w:b/>
          <w:bCs/>
          <w:color w:val="000000" w:themeColor="text1"/>
          <w:sz w:val="22"/>
          <w:lang w:val="es-ES"/>
        </w:rPr>
      </w:pPr>
    </w:p>
    <w:p w14:paraId="07617921" w14:textId="49E937D6" w:rsidR="007B09AB" w:rsidRPr="00806ACE" w:rsidRDefault="00AD246B" w:rsidP="007B09AB">
      <w:pPr>
        <w:jc w:val="both"/>
        <w:rPr>
          <w:rFonts w:ascii="Arial" w:eastAsia="Calibri" w:hAnsi="Arial" w:cs="Arial"/>
          <w:bCs/>
          <w:color w:val="000000" w:themeColor="text1"/>
          <w:sz w:val="20"/>
          <w:szCs w:val="20"/>
          <w:lang w:val="es-ES_tradnl"/>
        </w:rPr>
      </w:pPr>
      <w:r w:rsidRPr="00AD246B">
        <w:rPr>
          <w:rFonts w:ascii="Arial" w:eastAsia="Calibri" w:hAnsi="Arial" w:cs="Arial"/>
          <w:bCs/>
          <w:color w:val="000000" w:themeColor="text1"/>
          <w:sz w:val="20"/>
          <w:szCs w:val="20"/>
          <w:lang w:val="es-ES_tradnl"/>
        </w:rPr>
        <w:t>La capacidad financiera se deriva del comportamiento contable de la empresa, su liquidez y endeudamiento, para determinar que sus recursos y solidez financiera le permita cumplir los compromisos que adquiera. Como explica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sidR="007B09AB" w:rsidRPr="00806ACE">
        <w:rPr>
          <w:rFonts w:ascii="Arial" w:eastAsia="Calibri" w:hAnsi="Arial" w:cs="Arial"/>
          <w:bCs/>
          <w:color w:val="000000" w:themeColor="text1"/>
          <w:sz w:val="20"/>
          <w:szCs w:val="20"/>
          <w:lang w:val="es-ES_tradnl"/>
        </w:rPr>
        <w:t>.</w:t>
      </w:r>
    </w:p>
    <w:p w14:paraId="41709D03" w14:textId="77777777" w:rsidR="007B09AB" w:rsidRPr="007B09AB" w:rsidRDefault="007B09AB" w:rsidP="007B09AB">
      <w:pPr>
        <w:jc w:val="both"/>
        <w:rPr>
          <w:rFonts w:ascii="Arial" w:eastAsia="Calibri" w:hAnsi="Arial" w:cs="Arial"/>
          <w:color w:val="000000"/>
          <w:sz w:val="20"/>
          <w:szCs w:val="20"/>
          <w:lang w:val="es-CO"/>
        </w:rPr>
      </w:pPr>
    </w:p>
    <w:p w14:paraId="49B350D3" w14:textId="79B372FE" w:rsidR="00F521F0" w:rsidRPr="000A20B7" w:rsidRDefault="00F521F0" w:rsidP="00F521F0">
      <w:pPr>
        <w:spacing w:line="276" w:lineRule="auto"/>
        <w:jc w:val="both"/>
        <w:rPr>
          <w:rFonts w:ascii="Arial" w:hAnsi="Arial" w:cs="Arial"/>
          <w:b/>
          <w:bCs/>
          <w:color w:val="000000" w:themeColor="text1"/>
          <w:sz w:val="22"/>
          <w:lang w:val="es-ES"/>
        </w:rPr>
      </w:pPr>
      <w:r>
        <w:rPr>
          <w:rFonts w:ascii="Arial" w:hAnsi="Arial" w:cs="Arial"/>
          <w:b/>
          <w:bCs/>
          <w:color w:val="000000" w:themeColor="text1"/>
          <w:sz w:val="22"/>
          <w:lang w:val="es-ES"/>
        </w:rPr>
        <w:t xml:space="preserve">SELECCIÓN OBJETIVA – </w:t>
      </w:r>
      <w:r w:rsidRPr="000A20B7">
        <w:rPr>
          <w:rFonts w:ascii="Arial" w:hAnsi="Arial" w:cs="Arial"/>
          <w:b/>
          <w:bCs/>
          <w:color w:val="000000" w:themeColor="text1"/>
          <w:sz w:val="22"/>
          <w:lang w:val="es-ES"/>
        </w:rPr>
        <w:t>R</w:t>
      </w:r>
      <w:r>
        <w:rPr>
          <w:rFonts w:ascii="Arial" w:hAnsi="Arial" w:cs="Arial"/>
          <w:b/>
          <w:bCs/>
          <w:color w:val="000000" w:themeColor="text1"/>
          <w:sz w:val="22"/>
          <w:lang w:val="es-ES"/>
        </w:rPr>
        <w:t>equisitos habilitantes</w:t>
      </w:r>
      <w:r w:rsidRPr="000A20B7">
        <w:rPr>
          <w:rFonts w:ascii="Arial" w:hAnsi="Arial" w:cs="Arial"/>
          <w:b/>
          <w:bCs/>
          <w:color w:val="000000" w:themeColor="text1"/>
          <w:sz w:val="22"/>
          <w:lang w:val="es-ES"/>
        </w:rPr>
        <w:t xml:space="preserve"> – Capacidad </w:t>
      </w:r>
      <w:r>
        <w:rPr>
          <w:rFonts w:ascii="Arial" w:hAnsi="Arial" w:cs="Arial"/>
          <w:b/>
          <w:bCs/>
          <w:color w:val="000000" w:themeColor="text1"/>
          <w:sz w:val="22"/>
          <w:lang w:val="es-ES"/>
        </w:rPr>
        <w:t>organizacional</w:t>
      </w:r>
    </w:p>
    <w:p w14:paraId="2E1380EE" w14:textId="77777777" w:rsidR="00883239" w:rsidRDefault="00883239" w:rsidP="007B09AB">
      <w:pPr>
        <w:jc w:val="both"/>
        <w:rPr>
          <w:rFonts w:ascii="Arial" w:hAnsi="Arial" w:cs="Arial"/>
          <w:b/>
          <w:bCs/>
          <w:color w:val="000000" w:themeColor="text1"/>
          <w:sz w:val="22"/>
          <w:lang w:val="es-ES"/>
        </w:rPr>
      </w:pPr>
    </w:p>
    <w:p w14:paraId="3EA4BC93" w14:textId="64AAD687" w:rsidR="00084619" w:rsidRPr="00806ACE" w:rsidRDefault="00602209" w:rsidP="007B09AB">
      <w:pPr>
        <w:jc w:val="both"/>
        <w:rPr>
          <w:rFonts w:ascii="Arial" w:eastAsia="Calibri" w:hAnsi="Arial" w:cs="Arial"/>
          <w:bCs/>
          <w:color w:val="000000" w:themeColor="text1"/>
          <w:sz w:val="20"/>
          <w:szCs w:val="20"/>
          <w:lang w:val="es-ES_tradnl"/>
        </w:rPr>
      </w:pPr>
      <w:r w:rsidRPr="00602209">
        <w:rPr>
          <w:rFonts w:ascii="Arial" w:eastAsia="Calibri" w:hAnsi="Arial" w:cs="Arial"/>
          <w:bCs/>
          <w:color w:val="000000" w:themeColor="text1"/>
          <w:sz w:val="20"/>
          <w:szCs w:val="20"/>
          <w:lang w:val="es-ES_tradnl"/>
        </w:rPr>
        <w:t>La capacidad de organización, según el «Manual para determinar y verificar los requisitos habilitantes en los Procesos de Contratación», elaborado por esta Agencia, es «la aptitud de un proponente para cumplir oportuna y cabalmente el objeto del contrato en función de su organización interna». Según el artículo 2.2.1.1.1.5.3., numeral 4, del Decreto 1082 de 2015, los indicadores para medir la capacidad organizacional de un proponente son: por un lado, la rentabilidad del patrimonio, que corresponde a la utilidad operacional dividida por el patrimonio, y que determina la rentabilidad del patrimonio del proponente, es decir, la capacidad de generación de utilidad operacional por cada peso invertido en el patrimonio, del tal forma que, a mayor rentabilidad sobre el patrimonio, mayor es la rentabilidad de los accionistas y mejor la capacidad organizacional del proponente</w:t>
      </w:r>
      <w:r w:rsidR="007B09AB" w:rsidRPr="00806ACE">
        <w:rPr>
          <w:rFonts w:ascii="Arial" w:eastAsia="Calibri" w:hAnsi="Arial" w:cs="Arial"/>
          <w:bCs/>
          <w:color w:val="000000" w:themeColor="text1"/>
          <w:sz w:val="20"/>
          <w:szCs w:val="20"/>
          <w:lang w:val="es-ES_tradnl"/>
        </w:rPr>
        <w:t>.</w:t>
      </w:r>
    </w:p>
    <w:p w14:paraId="6F24E565" w14:textId="77777777" w:rsidR="007B09AB" w:rsidRPr="007B09AB" w:rsidRDefault="007B09AB" w:rsidP="007B09AB">
      <w:pPr>
        <w:jc w:val="both"/>
        <w:rPr>
          <w:rFonts w:ascii="Arial" w:eastAsia="Calibri" w:hAnsi="Arial" w:cs="Arial"/>
          <w:color w:val="000000"/>
          <w:sz w:val="20"/>
          <w:szCs w:val="20"/>
        </w:rPr>
      </w:pPr>
    </w:p>
    <w:p w14:paraId="37901CD8" w14:textId="64FA805A" w:rsidR="00F65B38" w:rsidRPr="000A20B7" w:rsidRDefault="00F65B38" w:rsidP="00F65B38">
      <w:pPr>
        <w:spacing w:line="276" w:lineRule="auto"/>
        <w:jc w:val="both"/>
        <w:rPr>
          <w:rFonts w:ascii="Arial" w:hAnsi="Arial" w:cs="Arial"/>
          <w:b/>
          <w:bCs/>
          <w:color w:val="000000" w:themeColor="text1"/>
          <w:sz w:val="22"/>
          <w:lang w:val="es-ES"/>
        </w:rPr>
      </w:pPr>
      <w:r>
        <w:rPr>
          <w:rFonts w:ascii="Arial" w:hAnsi="Arial" w:cs="Arial"/>
          <w:b/>
          <w:bCs/>
          <w:color w:val="000000" w:themeColor="text1"/>
          <w:sz w:val="22"/>
          <w:lang w:val="es-ES"/>
        </w:rPr>
        <w:t xml:space="preserve">SELECCIÓN OBJETIVA – </w:t>
      </w:r>
      <w:r w:rsidRPr="000A20B7">
        <w:rPr>
          <w:rFonts w:ascii="Arial" w:hAnsi="Arial" w:cs="Arial"/>
          <w:b/>
          <w:bCs/>
          <w:color w:val="000000" w:themeColor="text1"/>
          <w:sz w:val="22"/>
          <w:lang w:val="es-ES"/>
        </w:rPr>
        <w:t>R</w:t>
      </w:r>
      <w:r>
        <w:rPr>
          <w:rFonts w:ascii="Arial" w:hAnsi="Arial" w:cs="Arial"/>
          <w:b/>
          <w:bCs/>
          <w:color w:val="000000" w:themeColor="text1"/>
          <w:sz w:val="22"/>
          <w:lang w:val="es-ES"/>
        </w:rPr>
        <w:t>equisitos habilitantes</w:t>
      </w:r>
      <w:r w:rsidRPr="000A20B7">
        <w:rPr>
          <w:rFonts w:ascii="Arial" w:hAnsi="Arial" w:cs="Arial"/>
          <w:b/>
          <w:bCs/>
          <w:color w:val="000000" w:themeColor="text1"/>
          <w:sz w:val="22"/>
          <w:lang w:val="es-ES"/>
        </w:rPr>
        <w:t xml:space="preserve"> – Capacidad </w:t>
      </w:r>
      <w:r>
        <w:rPr>
          <w:rFonts w:ascii="Arial" w:hAnsi="Arial" w:cs="Arial"/>
          <w:b/>
          <w:bCs/>
          <w:color w:val="000000" w:themeColor="text1"/>
          <w:sz w:val="22"/>
          <w:lang w:val="es-ES"/>
        </w:rPr>
        <w:t xml:space="preserve">financiera </w:t>
      </w:r>
      <w:r w:rsidR="005054C9">
        <w:rPr>
          <w:rFonts w:ascii="Arial" w:hAnsi="Arial" w:cs="Arial"/>
          <w:b/>
          <w:bCs/>
          <w:color w:val="000000" w:themeColor="text1"/>
          <w:sz w:val="22"/>
          <w:lang w:val="es-ES"/>
        </w:rPr>
        <w:t>– Capacidad</w:t>
      </w:r>
      <w:r>
        <w:rPr>
          <w:rFonts w:ascii="Arial" w:hAnsi="Arial" w:cs="Arial"/>
          <w:b/>
          <w:bCs/>
          <w:color w:val="000000" w:themeColor="text1"/>
          <w:sz w:val="22"/>
          <w:lang w:val="es-ES"/>
        </w:rPr>
        <w:t xml:space="preserve"> organizacional – Forma de acreditación</w:t>
      </w:r>
    </w:p>
    <w:p w14:paraId="79E7531D" w14:textId="77777777" w:rsidR="007B09AB" w:rsidRPr="000A20B7" w:rsidRDefault="007B09AB" w:rsidP="000A20B7">
      <w:pPr>
        <w:spacing w:line="276" w:lineRule="auto"/>
        <w:jc w:val="both"/>
        <w:rPr>
          <w:rFonts w:ascii="Arial" w:hAnsi="Arial" w:cs="Arial"/>
          <w:b/>
          <w:bCs/>
          <w:color w:val="000000" w:themeColor="text1"/>
          <w:sz w:val="22"/>
          <w:lang w:val="es-ES"/>
        </w:rPr>
      </w:pPr>
    </w:p>
    <w:p w14:paraId="3A6C89A1" w14:textId="55277003" w:rsidR="007B09AB" w:rsidRPr="00806ACE" w:rsidRDefault="001217E2" w:rsidP="007B09AB">
      <w:pPr>
        <w:jc w:val="both"/>
        <w:rPr>
          <w:rFonts w:ascii="Arial" w:eastAsia="Calibri" w:hAnsi="Arial" w:cs="Arial"/>
          <w:bCs/>
          <w:color w:val="000000" w:themeColor="text1"/>
          <w:sz w:val="20"/>
          <w:szCs w:val="20"/>
          <w:lang w:val="es-ES_tradnl"/>
        </w:rPr>
      </w:pPr>
      <w:r w:rsidRPr="001217E2">
        <w:rPr>
          <w:rFonts w:ascii="Arial" w:eastAsia="Calibri" w:hAnsi="Arial" w:cs="Arial"/>
          <w:bCs/>
          <w:color w:val="000000" w:themeColor="text1"/>
          <w:sz w:val="20"/>
          <w:szCs w:val="20"/>
          <w:lang w:val="es-ES_tradnl"/>
        </w:rPr>
        <w:t xml:space="preserve">Respecto a la capacidad financiera, esta debe acreditarse en el RUP con los estados financieros del proponente, suscritos por el representante legal y el revisor fiscal, si cuenta con tales documentos. De este modo, lo que se verifica con el registro es que el proponente tenga los indicadores financieros solicitados por la entidad, que le permitan satisfacer la necesidad que se contratará una vez desarrollado el procedimiento de selección. Por otro lado, la capacidad organizacional evalúa la </w:t>
      </w:r>
      <w:r w:rsidRPr="001217E2">
        <w:rPr>
          <w:rFonts w:ascii="Arial" w:eastAsia="Calibri" w:hAnsi="Arial" w:cs="Arial"/>
          <w:bCs/>
          <w:color w:val="000000" w:themeColor="text1"/>
          <w:sz w:val="20"/>
          <w:szCs w:val="20"/>
          <w:lang w:val="es-ES_tradnl"/>
        </w:rPr>
        <w:lastRenderedPageBreak/>
        <w:t>rentabilidad de la empresa, que es directamente proporcional a su organización interna, y también se verifica con el RUP de acuerdo con los indicadores del artículo 2.2.1.1.1.5.3 del Decreto 1082 de 2015</w:t>
      </w:r>
      <w:r w:rsidR="007B09AB" w:rsidRPr="00806ACE">
        <w:rPr>
          <w:rFonts w:ascii="Arial" w:eastAsia="Calibri" w:hAnsi="Arial" w:cs="Arial"/>
          <w:bCs/>
          <w:color w:val="000000" w:themeColor="text1"/>
          <w:sz w:val="20"/>
          <w:szCs w:val="20"/>
          <w:lang w:val="es-ES_tradnl"/>
        </w:rPr>
        <w:t>.</w:t>
      </w:r>
    </w:p>
    <w:p w14:paraId="499BD691" w14:textId="4718097A" w:rsidR="00656E68" w:rsidRDefault="00656E68" w:rsidP="007B09AB">
      <w:pPr>
        <w:jc w:val="both"/>
        <w:rPr>
          <w:rFonts w:ascii="Arial" w:eastAsia="Calibri" w:hAnsi="Arial" w:cs="Arial"/>
          <w:b/>
          <w:sz w:val="22"/>
          <w:lang w:val="es-ES_tradnl"/>
        </w:rPr>
      </w:pPr>
    </w:p>
    <w:p w14:paraId="1DE91BAF" w14:textId="77777777" w:rsidR="007B09AB" w:rsidRPr="000A20B7" w:rsidRDefault="007B09AB" w:rsidP="000A20B7">
      <w:pPr>
        <w:spacing w:line="276" w:lineRule="auto"/>
        <w:jc w:val="both"/>
        <w:rPr>
          <w:rFonts w:ascii="Arial" w:hAnsi="Arial" w:cs="Arial"/>
          <w:b/>
          <w:bCs/>
          <w:color w:val="000000" w:themeColor="text1"/>
          <w:sz w:val="22"/>
          <w:lang w:val="es-ES"/>
        </w:rPr>
      </w:pPr>
      <w:r w:rsidRPr="000A20B7">
        <w:rPr>
          <w:rFonts w:ascii="Arial" w:hAnsi="Arial" w:cs="Arial"/>
          <w:b/>
          <w:bCs/>
          <w:color w:val="000000" w:themeColor="text1"/>
          <w:sz w:val="22"/>
          <w:lang w:val="es-ES"/>
        </w:rPr>
        <w:t>DECRETO 399 DE 2021 – Finalidad – Reactivación económica</w:t>
      </w:r>
    </w:p>
    <w:p w14:paraId="12D7BC47" w14:textId="77777777" w:rsidR="007B09AB" w:rsidRPr="000A20B7" w:rsidRDefault="007B09AB" w:rsidP="000A20B7">
      <w:pPr>
        <w:spacing w:line="276" w:lineRule="auto"/>
        <w:jc w:val="both"/>
        <w:rPr>
          <w:rFonts w:ascii="Arial" w:hAnsi="Arial" w:cs="Arial"/>
          <w:b/>
          <w:bCs/>
          <w:color w:val="000000" w:themeColor="text1"/>
          <w:sz w:val="22"/>
          <w:lang w:val="es-ES"/>
        </w:rPr>
      </w:pPr>
    </w:p>
    <w:p w14:paraId="795EB001" w14:textId="4B0ED52A" w:rsidR="007B09AB" w:rsidRPr="00806ACE" w:rsidRDefault="004F4CC0" w:rsidP="007B09AB">
      <w:pPr>
        <w:jc w:val="both"/>
        <w:rPr>
          <w:rFonts w:ascii="Arial" w:eastAsia="Calibri" w:hAnsi="Arial" w:cs="Arial"/>
          <w:bCs/>
          <w:color w:val="000000" w:themeColor="text1"/>
          <w:sz w:val="20"/>
          <w:szCs w:val="20"/>
          <w:lang w:val="es-ES_tradnl"/>
        </w:rPr>
      </w:pPr>
      <w:r w:rsidRPr="004F4CC0">
        <w:rPr>
          <w:rFonts w:ascii="Arial" w:eastAsia="Calibri" w:hAnsi="Arial" w:cs="Arial"/>
          <w:bCs/>
          <w:color w:val="000000" w:themeColor="text1"/>
          <w:sz w:val="20"/>
          <w:szCs w:val="20"/>
          <w:lang w:val="es-ES_tradnl"/>
        </w:rPr>
        <w:t>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–a partir de la modificación posteriormente introducida por el Decreto 579 de 2021– que a partir del 1 de julio de 2021 las entidades estatales deberán tener en cuenta los datos sobre la capacidad financiera y organizacional de los últimos tres años, consignada en el RUP</w:t>
      </w:r>
      <w:r w:rsidR="007B09AB" w:rsidRPr="00806ACE">
        <w:rPr>
          <w:rFonts w:ascii="Arial" w:eastAsia="Calibri" w:hAnsi="Arial" w:cs="Arial"/>
          <w:bCs/>
          <w:color w:val="000000" w:themeColor="text1"/>
          <w:sz w:val="20"/>
          <w:szCs w:val="20"/>
          <w:lang w:val="es-ES_tradnl"/>
        </w:rPr>
        <w:t xml:space="preserve">. </w:t>
      </w:r>
    </w:p>
    <w:p w14:paraId="409309C1" w14:textId="77777777" w:rsidR="007B09AB" w:rsidRPr="00806ACE" w:rsidRDefault="007B09AB" w:rsidP="007B09AB">
      <w:pPr>
        <w:jc w:val="both"/>
        <w:rPr>
          <w:rFonts w:ascii="Arial" w:eastAsia="Calibri" w:hAnsi="Arial" w:cs="Arial"/>
          <w:bCs/>
          <w:color w:val="000000" w:themeColor="text1"/>
          <w:sz w:val="20"/>
          <w:szCs w:val="20"/>
          <w:lang w:val="es-ES_tradnl"/>
        </w:rPr>
      </w:pPr>
    </w:p>
    <w:p w14:paraId="63EA0076" w14:textId="6C366792" w:rsidR="007B09AB" w:rsidRPr="000A20B7" w:rsidRDefault="007B09AB" w:rsidP="000A20B7">
      <w:pPr>
        <w:spacing w:line="276" w:lineRule="auto"/>
        <w:jc w:val="both"/>
        <w:rPr>
          <w:rFonts w:ascii="Arial" w:hAnsi="Arial" w:cs="Arial"/>
          <w:b/>
          <w:bCs/>
          <w:color w:val="000000" w:themeColor="text1"/>
          <w:sz w:val="22"/>
          <w:lang w:val="es-ES"/>
        </w:rPr>
      </w:pPr>
      <w:r w:rsidRPr="000A20B7">
        <w:rPr>
          <w:rFonts w:ascii="Arial" w:hAnsi="Arial" w:cs="Arial"/>
          <w:b/>
          <w:bCs/>
          <w:color w:val="000000" w:themeColor="text1"/>
          <w:sz w:val="22"/>
          <w:lang w:val="es-ES"/>
        </w:rPr>
        <w:t xml:space="preserve">DECRETO 399 DE 2021 – Información – </w:t>
      </w:r>
      <w:r w:rsidR="006F6FB2">
        <w:rPr>
          <w:rFonts w:ascii="Arial" w:hAnsi="Arial" w:cs="Arial"/>
          <w:b/>
          <w:bCs/>
          <w:color w:val="000000" w:themeColor="text1"/>
          <w:sz w:val="22"/>
          <w:lang w:val="es-ES"/>
        </w:rPr>
        <w:t xml:space="preserve">RUP </w:t>
      </w:r>
      <w:r w:rsidR="00D831FD">
        <w:rPr>
          <w:rFonts w:ascii="Arial" w:hAnsi="Arial" w:cs="Arial"/>
          <w:b/>
          <w:bCs/>
          <w:color w:val="000000" w:themeColor="text1"/>
          <w:sz w:val="22"/>
          <w:lang w:val="es-ES"/>
        </w:rPr>
        <w:t>–</w:t>
      </w:r>
      <w:r w:rsidR="006F6FB2">
        <w:rPr>
          <w:rFonts w:ascii="Arial" w:hAnsi="Arial" w:cs="Arial"/>
          <w:b/>
          <w:bCs/>
          <w:color w:val="000000" w:themeColor="text1"/>
          <w:sz w:val="22"/>
          <w:lang w:val="es-ES"/>
        </w:rPr>
        <w:t xml:space="preserve"> </w:t>
      </w:r>
      <w:r w:rsidR="00FA3C71">
        <w:rPr>
          <w:rFonts w:ascii="Arial" w:hAnsi="Arial" w:cs="Arial"/>
          <w:b/>
          <w:bCs/>
          <w:color w:val="000000" w:themeColor="text1"/>
          <w:sz w:val="22"/>
          <w:lang w:val="es-ES"/>
        </w:rPr>
        <w:t>Período</w:t>
      </w:r>
    </w:p>
    <w:p w14:paraId="2320966C" w14:textId="77777777" w:rsidR="007B09AB" w:rsidRPr="000A20B7" w:rsidRDefault="007B09AB" w:rsidP="000A20B7">
      <w:pPr>
        <w:spacing w:line="276" w:lineRule="auto"/>
        <w:jc w:val="both"/>
        <w:rPr>
          <w:rFonts w:ascii="Arial" w:hAnsi="Arial" w:cs="Arial"/>
          <w:b/>
          <w:bCs/>
          <w:color w:val="000000" w:themeColor="text1"/>
          <w:sz w:val="22"/>
          <w:lang w:val="es-ES"/>
        </w:rPr>
      </w:pPr>
    </w:p>
    <w:p w14:paraId="343761C3" w14:textId="5325AC08" w:rsidR="007B09AB" w:rsidRPr="00806ACE" w:rsidRDefault="005054C9" w:rsidP="007B09AB">
      <w:pPr>
        <w:jc w:val="both"/>
        <w:rPr>
          <w:rFonts w:ascii="Arial" w:eastAsia="Calibri" w:hAnsi="Arial" w:cs="Arial"/>
          <w:bCs/>
          <w:color w:val="000000" w:themeColor="text1"/>
          <w:sz w:val="20"/>
          <w:szCs w:val="20"/>
          <w:lang w:val="es-ES_tradnl"/>
        </w:rPr>
      </w:pPr>
      <w:r w:rsidRPr="005054C9">
        <w:rPr>
          <w:rFonts w:ascii="Arial" w:eastAsia="Calibri" w:hAnsi="Arial" w:cs="Arial"/>
          <w:bCs/>
          <w:color w:val="000000" w:themeColor="text1"/>
          <w:sz w:val="20"/>
          <w:szCs w:val="20"/>
          <w:lang w:val="es-ES_tradnl"/>
        </w:rPr>
        <w:t>[…]</w:t>
      </w:r>
      <w:r>
        <w:rPr>
          <w:rFonts w:ascii="Arial" w:eastAsia="Calibri" w:hAnsi="Arial" w:cs="Arial"/>
          <w:bCs/>
          <w:color w:val="000000" w:themeColor="text1"/>
          <w:sz w:val="20"/>
          <w:szCs w:val="20"/>
          <w:lang w:val="es-ES_tradnl"/>
        </w:rPr>
        <w:t xml:space="preserve"> </w:t>
      </w:r>
      <w:r w:rsidRPr="005054C9">
        <w:rPr>
          <w:rFonts w:ascii="Arial" w:eastAsia="Calibri" w:hAnsi="Arial" w:cs="Arial"/>
          <w:bCs/>
          <w:color w:val="000000" w:themeColor="text1"/>
          <w:sz w:val="20"/>
          <w:szCs w:val="20"/>
          <w:lang w:val="es-ES_tradnl"/>
        </w:rPr>
        <w:t>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establece que «[…] 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«certificarán la información de que tratan los parágrafos transitorios 1 y 2 del artículo 2.2.1.1.1.5.2. de este Decreto»</w:t>
      </w:r>
      <w:r w:rsidR="007B09AB" w:rsidRPr="00806ACE">
        <w:rPr>
          <w:rFonts w:ascii="Arial" w:eastAsia="Calibri" w:hAnsi="Arial" w:cs="Arial"/>
          <w:bCs/>
          <w:color w:val="000000" w:themeColor="text1"/>
          <w:sz w:val="20"/>
          <w:szCs w:val="20"/>
          <w:lang w:val="es-ES_tradnl"/>
        </w:rPr>
        <w:t>.</w:t>
      </w:r>
      <w:r w:rsidR="00D149E6" w:rsidRPr="00D149E6">
        <w:t xml:space="preserve"> </w:t>
      </w:r>
      <w:r w:rsidR="00D149E6" w:rsidRPr="00D149E6">
        <w:rPr>
          <w:rFonts w:ascii="Arial" w:eastAsia="Calibri" w:hAnsi="Arial" w:cs="Arial"/>
          <w:bCs/>
          <w:color w:val="000000" w:themeColor="text1"/>
          <w:sz w:val="20"/>
          <w:szCs w:val="20"/>
          <w:lang w:val="es-ES_tradnl"/>
        </w:rPr>
        <w:t>Los requisitos e indicadores de la capacidad financiera consagrados en el literal (b) del artículo 2.2.1.1.1.5.6. del Decreto 1082 de 2015 son: i) el índice de liquidez, ii) el índice de endeudamiento y iii) la razón de cobertura de intereses. Los requisitos e indicadores de capacidad organizacional son: i) la rentabilidad del patrimonio y ii) la rentabilidad del activo. El segundo parágrafo transitorio establece que «El 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r w:rsidR="00D149E6">
        <w:rPr>
          <w:rFonts w:ascii="Arial" w:eastAsia="Calibri" w:hAnsi="Arial" w:cs="Arial"/>
          <w:bCs/>
          <w:color w:val="000000" w:themeColor="text1"/>
          <w:sz w:val="20"/>
          <w:szCs w:val="20"/>
          <w:lang w:val="es-ES_tradnl"/>
        </w:rPr>
        <w:t>.</w:t>
      </w:r>
    </w:p>
    <w:p w14:paraId="6A483CCC" w14:textId="77777777" w:rsidR="007B09AB" w:rsidRDefault="007B09AB" w:rsidP="007B09AB">
      <w:pPr>
        <w:jc w:val="both"/>
        <w:rPr>
          <w:rFonts w:ascii="Arial" w:eastAsia="Calibri" w:hAnsi="Arial" w:cs="Arial"/>
          <w:b/>
          <w:bCs/>
          <w:sz w:val="22"/>
          <w:lang w:val="es-CO"/>
        </w:rPr>
      </w:pPr>
    </w:p>
    <w:p w14:paraId="71E31554" w14:textId="17AEDC6A" w:rsidR="007B09AB" w:rsidRPr="000A20B7" w:rsidRDefault="00755AEA" w:rsidP="000A20B7">
      <w:pPr>
        <w:spacing w:line="276" w:lineRule="auto"/>
        <w:jc w:val="both"/>
        <w:rPr>
          <w:rFonts w:ascii="Arial" w:hAnsi="Arial" w:cs="Arial"/>
          <w:b/>
          <w:bCs/>
          <w:color w:val="000000" w:themeColor="text1"/>
          <w:sz w:val="22"/>
          <w:lang w:val="es-ES"/>
        </w:rPr>
      </w:pPr>
      <w:r w:rsidRPr="000A20B7">
        <w:rPr>
          <w:rFonts w:ascii="Arial" w:hAnsi="Arial" w:cs="Arial"/>
          <w:b/>
          <w:bCs/>
          <w:color w:val="000000" w:themeColor="text1"/>
          <w:sz w:val="22"/>
          <w:lang w:val="es-ES"/>
        </w:rPr>
        <w:t>DECRETO 399 DE 2021</w:t>
      </w:r>
      <w:r>
        <w:rPr>
          <w:rFonts w:ascii="Arial" w:hAnsi="Arial" w:cs="Arial"/>
          <w:b/>
          <w:bCs/>
          <w:color w:val="000000" w:themeColor="text1"/>
          <w:sz w:val="22"/>
          <w:lang w:val="es-ES"/>
        </w:rPr>
        <w:t xml:space="preserve"> </w:t>
      </w:r>
      <w:r w:rsidR="007B09AB" w:rsidRPr="000A20B7">
        <w:rPr>
          <w:rFonts w:ascii="Arial" w:hAnsi="Arial" w:cs="Arial"/>
          <w:b/>
          <w:bCs/>
          <w:color w:val="000000" w:themeColor="text1"/>
          <w:sz w:val="22"/>
          <w:lang w:val="es-ES"/>
        </w:rPr>
        <w:t xml:space="preserve">– </w:t>
      </w:r>
      <w:r>
        <w:rPr>
          <w:rFonts w:ascii="Arial" w:hAnsi="Arial" w:cs="Arial"/>
          <w:b/>
          <w:bCs/>
          <w:color w:val="000000" w:themeColor="text1"/>
          <w:sz w:val="22"/>
          <w:lang w:val="es-ES"/>
        </w:rPr>
        <w:t>Mejor año fiscal</w:t>
      </w:r>
      <w:r w:rsidR="007B09AB" w:rsidRPr="000A20B7">
        <w:rPr>
          <w:rFonts w:ascii="Arial" w:hAnsi="Arial" w:cs="Arial"/>
          <w:b/>
          <w:bCs/>
          <w:color w:val="000000" w:themeColor="text1"/>
          <w:sz w:val="22"/>
          <w:lang w:val="es-ES"/>
        </w:rPr>
        <w:t xml:space="preserve"> – Capacidad financiera – Capacidad organizacional – Interpretación</w:t>
      </w:r>
    </w:p>
    <w:p w14:paraId="2FB61AB9" w14:textId="77777777" w:rsidR="007B09AB" w:rsidRPr="000A20B7" w:rsidRDefault="007B09AB" w:rsidP="000A20B7">
      <w:pPr>
        <w:spacing w:line="276" w:lineRule="auto"/>
        <w:jc w:val="both"/>
        <w:rPr>
          <w:rFonts w:ascii="Arial" w:hAnsi="Arial" w:cs="Arial"/>
          <w:b/>
          <w:bCs/>
          <w:color w:val="000000" w:themeColor="text1"/>
          <w:sz w:val="22"/>
          <w:lang w:val="es-ES"/>
        </w:rPr>
      </w:pPr>
    </w:p>
    <w:p w14:paraId="64E095FD" w14:textId="2544D80B" w:rsidR="007B09AB" w:rsidRDefault="00286CC0" w:rsidP="00286CC0">
      <w:pPr>
        <w:jc w:val="both"/>
        <w:rPr>
          <w:rFonts w:ascii="Arial" w:eastAsia="Calibri" w:hAnsi="Arial" w:cs="Arial"/>
          <w:bCs/>
          <w:color w:val="000000" w:themeColor="text1"/>
          <w:sz w:val="20"/>
          <w:szCs w:val="20"/>
          <w:lang w:val="es-ES_tradnl"/>
        </w:rPr>
      </w:pPr>
      <w:r w:rsidRPr="00286CC0">
        <w:rPr>
          <w:rFonts w:ascii="Arial" w:eastAsia="Calibri" w:hAnsi="Arial" w:cs="Arial"/>
          <w:bCs/>
          <w:color w:val="000000" w:themeColor="text1"/>
          <w:sz w:val="20"/>
          <w:szCs w:val="20"/>
          <w:lang w:val="es-ES_tradnl"/>
        </w:rPr>
        <w:t>Como se observa, el parágrafo transitorio, agregado al artículo 2.2.1.1.1.6.2. del Decreto 1082 de 2015 por el artículo 6 del Decreto 399 de 2021 y sustituido por el artículo 3 del Decreto 579 de 2021, establece que:</w:t>
      </w:r>
      <w:r>
        <w:rPr>
          <w:rFonts w:ascii="Arial" w:eastAsia="Calibri" w:hAnsi="Arial" w:cs="Arial"/>
          <w:bCs/>
          <w:color w:val="000000" w:themeColor="text1"/>
          <w:sz w:val="20"/>
          <w:szCs w:val="20"/>
          <w:lang w:val="es-ES_tradnl"/>
        </w:rPr>
        <w:t xml:space="preserve"> </w:t>
      </w:r>
      <w:r w:rsidRPr="00286CC0">
        <w:rPr>
          <w:rFonts w:ascii="Arial" w:eastAsia="Calibri" w:hAnsi="Arial" w:cs="Arial"/>
          <w:bCs/>
          <w:color w:val="000000" w:themeColor="text1"/>
          <w:sz w:val="20"/>
          <w:szCs w:val="20"/>
          <w:lang w:val="es-ES_tradnl"/>
        </w:rPr>
        <w:t>i) A partir del 1 de julio de 2021 las entidades estatales «[…] establecerán y evaluarán los requisitos habilitantes de capacidad financiera y organizacional teniendo en cuenta la información que conste en el Registro Único de Proponentes». Es decir, las entidades estatales deben tener en cuenta la información sobre la capacidad financiera y organizacional «correspondiente a los últimos tres (3) años fiscales anteriores al respectivo acto» o «desde su primer cierre fiscal», según el caso</w:t>
      </w:r>
      <w:r w:rsidR="007B09AB" w:rsidRPr="00806ACE">
        <w:rPr>
          <w:rFonts w:ascii="Arial" w:eastAsia="Calibri" w:hAnsi="Arial" w:cs="Arial"/>
          <w:bCs/>
          <w:color w:val="000000" w:themeColor="text1"/>
          <w:sz w:val="20"/>
          <w:szCs w:val="20"/>
          <w:lang w:val="es-ES_tradnl"/>
        </w:rPr>
        <w:t>.</w:t>
      </w:r>
    </w:p>
    <w:p w14:paraId="5D20F3B6" w14:textId="54328587" w:rsidR="00286CC0" w:rsidRDefault="00286CC0" w:rsidP="00286CC0">
      <w:pPr>
        <w:jc w:val="both"/>
        <w:rPr>
          <w:rFonts w:ascii="Arial" w:eastAsia="Calibri" w:hAnsi="Arial" w:cs="Arial"/>
          <w:bCs/>
          <w:color w:val="000000" w:themeColor="text1"/>
          <w:sz w:val="20"/>
          <w:szCs w:val="20"/>
          <w:lang w:val="es-ES_tradnl"/>
        </w:rPr>
      </w:pPr>
    </w:p>
    <w:p w14:paraId="4C1D737D" w14:textId="77777777" w:rsidR="005F6B7B" w:rsidRDefault="00286CC0" w:rsidP="00286CC0">
      <w:pPr>
        <w:jc w:val="both"/>
        <w:rPr>
          <w:rFonts w:ascii="Arial" w:eastAsia="Calibri" w:hAnsi="Arial" w:cs="Arial"/>
          <w:bCs/>
          <w:color w:val="000000" w:themeColor="text1"/>
          <w:sz w:val="20"/>
          <w:szCs w:val="20"/>
          <w:lang w:val="es-ES_tradnl"/>
        </w:rPr>
      </w:pPr>
      <w:r>
        <w:rPr>
          <w:rFonts w:ascii="Arial" w:eastAsia="Calibri" w:hAnsi="Arial" w:cs="Arial"/>
          <w:bCs/>
          <w:color w:val="000000" w:themeColor="text1"/>
          <w:sz w:val="20"/>
          <w:szCs w:val="20"/>
          <w:lang w:val="es-ES_tradnl"/>
        </w:rPr>
        <w:t>[…]</w:t>
      </w:r>
    </w:p>
    <w:p w14:paraId="7485AB7A" w14:textId="77777777" w:rsidR="005F6B7B" w:rsidRDefault="005F6B7B" w:rsidP="00286CC0">
      <w:pPr>
        <w:jc w:val="both"/>
        <w:rPr>
          <w:rFonts w:ascii="Arial" w:eastAsia="Calibri" w:hAnsi="Arial" w:cs="Arial"/>
          <w:bCs/>
          <w:color w:val="000000" w:themeColor="text1"/>
          <w:sz w:val="20"/>
          <w:szCs w:val="20"/>
          <w:lang w:val="es-ES_tradnl"/>
        </w:rPr>
      </w:pPr>
    </w:p>
    <w:p w14:paraId="313961E9" w14:textId="78F71500" w:rsidR="00286CC0" w:rsidRPr="00806ACE" w:rsidRDefault="00641436" w:rsidP="00286CC0">
      <w:pPr>
        <w:jc w:val="both"/>
        <w:rPr>
          <w:rFonts w:ascii="Arial" w:eastAsia="Calibri" w:hAnsi="Arial" w:cs="Arial"/>
          <w:bCs/>
          <w:color w:val="000000" w:themeColor="text1"/>
          <w:sz w:val="20"/>
          <w:szCs w:val="20"/>
          <w:lang w:val="es-ES_tradnl"/>
        </w:rPr>
      </w:pPr>
      <w:r w:rsidRPr="00641436">
        <w:rPr>
          <w:rFonts w:ascii="Arial" w:eastAsia="Calibri" w:hAnsi="Arial" w:cs="Arial"/>
          <w:bCs/>
          <w:color w:val="000000" w:themeColor="text1"/>
          <w:sz w:val="20"/>
          <w:szCs w:val="20"/>
          <w:lang w:val="es-ES_tradnl"/>
        </w:rPr>
        <w:t xml:space="preserve">Respecto al análisis que compete a la entidad en cada proceso de selección que adelante, y considerando los indicadores consagrados en el artículo 2.2.1.1.1.5.3. del Decreto 1082 de 2015, el </w:t>
      </w:r>
      <w:r w:rsidRPr="00641436">
        <w:rPr>
          <w:rFonts w:ascii="Arial" w:eastAsia="Calibri" w:hAnsi="Arial" w:cs="Arial"/>
          <w:bCs/>
          <w:color w:val="000000" w:themeColor="text1"/>
          <w:sz w:val="20"/>
          <w:szCs w:val="20"/>
          <w:lang w:val="es-ES_tradnl"/>
        </w:rPr>
        <w:lastRenderedPageBreak/>
        <w:t>«mejor año fiscal» objetivamente, será aquel en el que, vistos en su conjunto los indicadores de capacidad financiera y organizacional, otorgue al proponente mayor índice de liquidez, menor índice de endeudamiento, mayor cobertura de intereses, mayor rentabilidad sobre el patrimonio y mayor rentabilidad sobre activos, dentro de las condiciones propias de cada proceso. En suma, el mejor año fiscal es aquel que presente las mejores condiciones de elegibilidad para el proponente, atendiendo el propósito de la norma, y de cumplimiento del futuro contrato</w:t>
      </w:r>
      <w:r w:rsidR="005F6B7B">
        <w:rPr>
          <w:rFonts w:ascii="Arial" w:eastAsia="Calibri" w:hAnsi="Arial" w:cs="Arial"/>
          <w:bCs/>
          <w:color w:val="000000" w:themeColor="text1"/>
          <w:sz w:val="20"/>
          <w:szCs w:val="20"/>
          <w:lang w:val="es-ES_tradnl"/>
        </w:rPr>
        <w:t>.</w:t>
      </w:r>
      <w:r w:rsidR="00286CC0">
        <w:rPr>
          <w:rFonts w:ascii="Arial" w:eastAsia="Calibri" w:hAnsi="Arial" w:cs="Arial"/>
          <w:bCs/>
          <w:color w:val="000000" w:themeColor="text1"/>
          <w:sz w:val="20"/>
          <w:szCs w:val="20"/>
          <w:lang w:val="es-ES_tradnl"/>
        </w:rPr>
        <w:t xml:space="preserve"> </w:t>
      </w:r>
    </w:p>
    <w:p w14:paraId="020CCF53" w14:textId="6423E948" w:rsidR="00564A1D" w:rsidRDefault="00564A1D">
      <w:pPr>
        <w:spacing w:after="160" w:line="259" w:lineRule="auto"/>
        <w:rPr>
          <w:rFonts w:ascii="Arial" w:hAnsi="Arial" w:cs="Arial"/>
          <w:color w:val="000000" w:themeColor="text1"/>
          <w:sz w:val="22"/>
          <w:lang w:val="es-ES"/>
        </w:rPr>
      </w:pPr>
    </w:p>
    <w:p w14:paraId="733ABFDD" w14:textId="77777777" w:rsidR="00801853" w:rsidRDefault="00801853" w:rsidP="007B09AB">
      <w:pPr>
        <w:outlineLvl w:val="0"/>
        <w:rPr>
          <w:rFonts w:ascii="Arial" w:hAnsi="Arial" w:cs="Arial"/>
          <w:color w:val="000000" w:themeColor="text1"/>
          <w:sz w:val="22"/>
          <w:lang w:val="es-ES"/>
        </w:rPr>
      </w:pPr>
    </w:p>
    <w:p w14:paraId="2A4F82FD" w14:textId="77777777" w:rsidR="00801853" w:rsidRDefault="00801853" w:rsidP="007B09AB">
      <w:pPr>
        <w:outlineLvl w:val="0"/>
        <w:rPr>
          <w:rFonts w:ascii="Arial" w:hAnsi="Arial" w:cs="Arial"/>
          <w:color w:val="000000" w:themeColor="text1"/>
          <w:sz w:val="22"/>
          <w:lang w:val="es-ES"/>
        </w:rPr>
      </w:pPr>
    </w:p>
    <w:p w14:paraId="73038456" w14:textId="77777777" w:rsidR="00641436" w:rsidRDefault="00641436">
      <w:pPr>
        <w:spacing w:after="160" w:line="259" w:lineRule="auto"/>
        <w:rPr>
          <w:rFonts w:ascii="Arial" w:hAnsi="Arial" w:cs="Arial"/>
          <w:color w:val="000000" w:themeColor="text1"/>
          <w:sz w:val="22"/>
          <w:lang w:val="es-ES"/>
        </w:rPr>
      </w:pPr>
      <w:r>
        <w:rPr>
          <w:rFonts w:ascii="Arial" w:hAnsi="Arial" w:cs="Arial"/>
          <w:color w:val="000000" w:themeColor="text1"/>
          <w:sz w:val="22"/>
          <w:lang w:val="es-ES"/>
        </w:rPr>
        <w:br w:type="page"/>
      </w:r>
    </w:p>
    <w:p w14:paraId="0B852AC8" w14:textId="2C7221CE" w:rsidR="00AE1DD7" w:rsidRDefault="00347FB2" w:rsidP="007B09AB">
      <w:pPr>
        <w:jc w:val="right"/>
        <w:outlineLvl w:val="0"/>
        <w:rPr>
          <w:rFonts w:ascii="Arial" w:hAnsi="Arial" w:cs="Arial"/>
          <w:b/>
          <w:bCs/>
          <w:color w:val="000000" w:themeColor="text1"/>
          <w:sz w:val="22"/>
          <w:lang w:val="es-ES"/>
        </w:rPr>
      </w:pPr>
      <w:r w:rsidRPr="00AE1DD7">
        <w:rPr>
          <w:rFonts w:ascii="Arial" w:hAnsi="Arial" w:cs="Arial"/>
          <w:b/>
          <w:noProof/>
          <w:color w:val="000000" w:themeColor="text1"/>
          <w:sz w:val="22"/>
          <w:lang w:val="es-ES"/>
        </w:rPr>
        <w:lastRenderedPageBreak/>
        <w:drawing>
          <wp:anchor distT="0" distB="0" distL="114300" distR="114300" simplePos="0" relativeHeight="251658240" behindDoc="1" locked="0" layoutInCell="1" allowOverlap="1" wp14:anchorId="0FCEDCBF" wp14:editId="11AA9FBE">
            <wp:simplePos x="0" y="0"/>
            <wp:positionH relativeFrom="column">
              <wp:posOffset>2681420</wp:posOffset>
            </wp:positionH>
            <wp:positionV relativeFrom="paragraph">
              <wp:posOffset>-30761</wp:posOffset>
            </wp:positionV>
            <wp:extent cx="3257819" cy="903768"/>
            <wp:effectExtent l="0" t="0" r="0" b="0"/>
            <wp:wrapNone/>
            <wp:docPr id="2" name="Imagen 2"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10;&#10;Descripción generada automáticamente"/>
                    <pic:cNvPicPr/>
                  </pic:nvPicPr>
                  <pic:blipFill rotWithShape="1">
                    <a:blip r:embed="rId11">
                      <a:extLst>
                        <a:ext uri="{28A0092B-C50C-407E-A947-70E740481C1C}">
                          <a14:useLocalDpi xmlns:a14="http://schemas.microsoft.com/office/drawing/2010/main" val="0"/>
                        </a:ext>
                      </a:extLst>
                    </a:blip>
                    <a:srcRect t="10759"/>
                    <a:stretch/>
                  </pic:blipFill>
                  <pic:spPr bwMode="auto">
                    <a:xfrm>
                      <a:off x="0" y="0"/>
                      <a:ext cx="3263916" cy="9054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FE88A4" w14:textId="1154FEE7" w:rsidR="00735D1C" w:rsidRPr="00E579B5" w:rsidRDefault="00735D1C" w:rsidP="007B09AB">
      <w:pPr>
        <w:jc w:val="right"/>
        <w:outlineLvl w:val="0"/>
        <w:rPr>
          <w:rFonts w:ascii="Arial" w:hAnsi="Arial" w:cs="Arial"/>
          <w:b/>
          <w:bCs/>
          <w:color w:val="000000" w:themeColor="text1"/>
          <w:sz w:val="22"/>
          <w:lang w:val="es-ES"/>
        </w:rPr>
      </w:pPr>
    </w:p>
    <w:p w14:paraId="21CCD891" w14:textId="3FEE1A42" w:rsidR="00735D1C" w:rsidRPr="00E579B5" w:rsidRDefault="00735D1C" w:rsidP="007B09AB">
      <w:pPr>
        <w:jc w:val="right"/>
        <w:outlineLvl w:val="0"/>
        <w:rPr>
          <w:rFonts w:ascii="Arial" w:hAnsi="Arial" w:cs="Arial"/>
          <w:b/>
          <w:color w:val="000000" w:themeColor="text1"/>
          <w:sz w:val="22"/>
          <w:lang w:val="es-ES"/>
        </w:rPr>
      </w:pPr>
    </w:p>
    <w:p w14:paraId="2D0ADB5F" w14:textId="77777777" w:rsidR="00AE1DD7" w:rsidRDefault="00AE1DD7" w:rsidP="007B09AB">
      <w:pPr>
        <w:outlineLvl w:val="0"/>
        <w:rPr>
          <w:rFonts w:ascii="Arial" w:eastAsia="Calibri" w:hAnsi="Arial" w:cs="Arial"/>
          <w:color w:val="000000" w:themeColor="text1"/>
          <w:sz w:val="22"/>
          <w:lang w:val="es-CO"/>
        </w:rPr>
      </w:pPr>
    </w:p>
    <w:p w14:paraId="3D53976C" w14:textId="77777777" w:rsidR="00AE1DD7" w:rsidRDefault="00AE1DD7" w:rsidP="007B09AB">
      <w:pPr>
        <w:outlineLvl w:val="0"/>
        <w:rPr>
          <w:rFonts w:ascii="Arial" w:eastAsia="Calibri" w:hAnsi="Arial" w:cs="Arial"/>
          <w:color w:val="000000" w:themeColor="text1"/>
          <w:sz w:val="22"/>
          <w:lang w:val="es-CO"/>
        </w:rPr>
      </w:pPr>
    </w:p>
    <w:p w14:paraId="49E080A5" w14:textId="0728CF23" w:rsidR="00AE1DD7" w:rsidRDefault="00D80076" w:rsidP="007B09AB">
      <w:pPr>
        <w:outlineLvl w:val="0"/>
        <w:rPr>
          <w:rFonts w:ascii="Arial" w:eastAsia="Calibri" w:hAnsi="Arial" w:cs="Arial"/>
          <w:color w:val="000000" w:themeColor="text1"/>
          <w:sz w:val="22"/>
          <w:lang w:val="es-CO"/>
        </w:rPr>
      </w:pPr>
      <w:r w:rsidRPr="00D80076">
        <w:rPr>
          <w:rFonts w:ascii="Arial" w:eastAsia="Calibri" w:hAnsi="Arial" w:cs="Arial"/>
          <w:color w:val="000000" w:themeColor="text1"/>
          <w:sz w:val="22"/>
          <w:lang w:val="es-CO"/>
        </w:rPr>
        <w:t xml:space="preserve">Bogotá, 13 </w:t>
      </w:r>
      <w:proofErr w:type="gramStart"/>
      <w:r w:rsidRPr="00D80076">
        <w:rPr>
          <w:rFonts w:ascii="Arial" w:eastAsia="Calibri" w:hAnsi="Arial" w:cs="Arial"/>
          <w:color w:val="000000" w:themeColor="text1"/>
          <w:sz w:val="22"/>
          <w:lang w:val="es-CO"/>
        </w:rPr>
        <w:t>Agosto</w:t>
      </w:r>
      <w:proofErr w:type="gramEnd"/>
      <w:r w:rsidRPr="00D80076">
        <w:rPr>
          <w:rFonts w:ascii="Arial" w:eastAsia="Calibri" w:hAnsi="Arial" w:cs="Arial"/>
          <w:color w:val="000000" w:themeColor="text1"/>
          <w:sz w:val="22"/>
          <w:lang w:val="es-CO"/>
        </w:rPr>
        <w:t xml:space="preserve"> 2021</w:t>
      </w:r>
    </w:p>
    <w:p w14:paraId="49B884BA" w14:textId="77777777" w:rsidR="00AE1DD7" w:rsidRDefault="00AE1DD7" w:rsidP="007B09AB">
      <w:pPr>
        <w:outlineLvl w:val="0"/>
        <w:rPr>
          <w:rFonts w:ascii="Arial" w:eastAsia="Calibri" w:hAnsi="Arial" w:cs="Arial"/>
          <w:color w:val="000000" w:themeColor="text1"/>
          <w:sz w:val="22"/>
          <w:lang w:val="es-CO"/>
        </w:rPr>
      </w:pPr>
    </w:p>
    <w:p w14:paraId="11A6E11A" w14:textId="44B4088B" w:rsidR="008026C6" w:rsidRPr="00DF080D" w:rsidRDefault="00033B27" w:rsidP="007B09AB">
      <w:pPr>
        <w:outlineLvl w:val="0"/>
        <w:rPr>
          <w:rFonts w:ascii="Arial" w:eastAsia="Calibri" w:hAnsi="Arial" w:cs="Arial"/>
          <w:color w:val="000000" w:themeColor="text1"/>
          <w:sz w:val="22"/>
          <w:lang w:val="es-CO"/>
        </w:rPr>
      </w:pPr>
      <w:r>
        <w:rPr>
          <w:rFonts w:ascii="Arial" w:eastAsia="Calibri" w:hAnsi="Arial" w:cs="Arial"/>
          <w:color w:val="000000" w:themeColor="text1"/>
          <w:sz w:val="22"/>
          <w:lang w:val="es-CO"/>
        </w:rPr>
        <w:t>Doctora</w:t>
      </w:r>
    </w:p>
    <w:p w14:paraId="460B3732" w14:textId="4AA26F5D" w:rsidR="00096901" w:rsidRPr="00DF080D" w:rsidRDefault="00256C86" w:rsidP="007B09AB">
      <w:pPr>
        <w:outlineLvl w:val="0"/>
        <w:rPr>
          <w:rFonts w:ascii="Arial" w:hAnsi="Arial" w:cs="Arial"/>
          <w:b/>
          <w:bCs/>
          <w:sz w:val="22"/>
          <w:lang w:val="es-CO"/>
        </w:rPr>
      </w:pPr>
      <w:r>
        <w:rPr>
          <w:rFonts w:ascii="Arial" w:hAnsi="Arial" w:cs="Arial"/>
          <w:b/>
          <w:bCs/>
          <w:sz w:val="22"/>
          <w:lang w:val="es-CO"/>
        </w:rPr>
        <w:t>Adibi Jalima Jalafes Montes</w:t>
      </w:r>
    </w:p>
    <w:p w14:paraId="73DA10FE" w14:textId="01926CAB" w:rsidR="00DF080D" w:rsidRPr="00DF080D" w:rsidRDefault="00256C86" w:rsidP="007B09AB">
      <w:pPr>
        <w:outlineLvl w:val="0"/>
        <w:rPr>
          <w:rFonts w:ascii="Arial" w:hAnsi="Arial" w:cs="Arial"/>
          <w:sz w:val="22"/>
          <w:lang w:val="es-CO"/>
        </w:rPr>
      </w:pPr>
      <w:r>
        <w:rPr>
          <w:rFonts w:ascii="Arial" w:hAnsi="Arial" w:cs="Arial"/>
          <w:sz w:val="22"/>
          <w:lang w:val="es-CO"/>
        </w:rPr>
        <w:t>Directora de Contratación Secretaría Distrital de la Mujer</w:t>
      </w:r>
    </w:p>
    <w:p w14:paraId="5F194906" w14:textId="289DBFB2" w:rsidR="00096901" w:rsidRDefault="00256C86" w:rsidP="007B09AB">
      <w:pPr>
        <w:rPr>
          <w:rFonts w:ascii="Arial" w:hAnsi="Arial" w:cs="Arial"/>
          <w:sz w:val="22"/>
          <w:lang w:val="es-CO"/>
        </w:rPr>
      </w:pPr>
      <w:r>
        <w:rPr>
          <w:rFonts w:ascii="Arial" w:hAnsi="Arial" w:cs="Arial"/>
          <w:sz w:val="22"/>
          <w:lang w:val="es-CO"/>
        </w:rPr>
        <w:t xml:space="preserve">Alcaldía Mayor de Bogotá D.C. </w:t>
      </w:r>
    </w:p>
    <w:p w14:paraId="537C2E2E" w14:textId="17B79AD3" w:rsidR="004A303C" w:rsidRPr="008315C0" w:rsidRDefault="004A303C" w:rsidP="007B09AB">
      <w:pPr>
        <w:rPr>
          <w:rFonts w:ascii="Arial" w:eastAsia="Calibri" w:hAnsi="Arial" w:cs="Arial"/>
          <w:color w:val="000000" w:themeColor="text1"/>
          <w:sz w:val="22"/>
          <w:lang w:val="es-CO"/>
        </w:rPr>
      </w:pPr>
    </w:p>
    <w:p w14:paraId="79BB60E6" w14:textId="77777777" w:rsidR="00B343F3" w:rsidRPr="008315C0" w:rsidRDefault="00B343F3" w:rsidP="007B09AB">
      <w:pPr>
        <w:rPr>
          <w:rFonts w:ascii="Arial" w:eastAsia="Calibri" w:hAnsi="Arial" w:cs="Arial"/>
          <w:color w:val="000000" w:themeColor="text1"/>
          <w:sz w:val="22"/>
          <w:lang w:val="es-CO"/>
        </w:rPr>
      </w:pPr>
    </w:p>
    <w:p w14:paraId="5E047539" w14:textId="6A668BD2" w:rsidR="004A303C" w:rsidRPr="00E579B5" w:rsidRDefault="004A303C" w:rsidP="007B09AB">
      <w:pPr>
        <w:ind w:firstLine="2694"/>
        <w:outlineLvl w:val="0"/>
        <w:rPr>
          <w:rFonts w:ascii="Arial" w:eastAsia="Calibri" w:hAnsi="Arial" w:cs="Arial"/>
          <w:b/>
          <w:color w:val="000000" w:themeColor="text1"/>
          <w:sz w:val="22"/>
          <w:lang w:val="es-ES"/>
        </w:rPr>
      </w:pPr>
      <w:r w:rsidRPr="00E579B5">
        <w:rPr>
          <w:rFonts w:ascii="Arial" w:eastAsia="Calibri" w:hAnsi="Arial" w:cs="Arial"/>
          <w:b/>
          <w:color w:val="000000" w:themeColor="text1"/>
          <w:sz w:val="22"/>
          <w:lang w:val="es-ES"/>
        </w:rPr>
        <w:t xml:space="preserve">Concepto C – </w:t>
      </w:r>
      <w:r w:rsidR="00256C86">
        <w:rPr>
          <w:rFonts w:ascii="Arial" w:eastAsia="Calibri" w:hAnsi="Arial" w:cs="Arial"/>
          <w:b/>
          <w:color w:val="000000" w:themeColor="text1"/>
          <w:sz w:val="22"/>
          <w:lang w:val="es-ES"/>
        </w:rPr>
        <w:t>406</w:t>
      </w:r>
      <w:r w:rsidR="00096901" w:rsidRPr="00E579B5">
        <w:rPr>
          <w:rFonts w:ascii="Arial" w:eastAsia="Calibri" w:hAnsi="Arial" w:cs="Arial"/>
          <w:b/>
          <w:color w:val="000000" w:themeColor="text1"/>
          <w:sz w:val="22"/>
          <w:lang w:val="es-ES"/>
        </w:rPr>
        <w:t xml:space="preserve"> de 2021</w:t>
      </w:r>
    </w:p>
    <w:p w14:paraId="6C11F5BA" w14:textId="77777777" w:rsidR="004A303C" w:rsidRPr="008315C0" w:rsidRDefault="004A303C" w:rsidP="007B09AB">
      <w:pPr>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079A6" w:rsidRPr="00E579B5" w14:paraId="1A0E95A2" w14:textId="77777777" w:rsidTr="00A52EA7">
        <w:tc>
          <w:tcPr>
            <w:tcW w:w="2689" w:type="dxa"/>
            <w:hideMark/>
          </w:tcPr>
          <w:p w14:paraId="080CE19A" w14:textId="77777777" w:rsidR="004A303C" w:rsidRPr="00E579B5" w:rsidRDefault="004A303C" w:rsidP="007B09AB">
            <w:pPr>
              <w:rPr>
                <w:rFonts w:ascii="Arial" w:eastAsia="Calibri" w:hAnsi="Arial" w:cs="Arial"/>
                <w:color w:val="000000" w:themeColor="text1"/>
                <w:sz w:val="22"/>
                <w:lang w:val="es-ES"/>
              </w:rPr>
            </w:pPr>
            <w:r w:rsidRPr="00E579B5">
              <w:rPr>
                <w:rFonts w:ascii="Arial" w:eastAsia="Calibri" w:hAnsi="Arial" w:cs="Arial"/>
                <w:b/>
                <w:color w:val="000000" w:themeColor="text1"/>
                <w:sz w:val="22"/>
                <w:lang w:val="es-ES"/>
              </w:rPr>
              <w:t>Temas:</w:t>
            </w:r>
            <w:r w:rsidRPr="00E579B5">
              <w:rPr>
                <w:rFonts w:ascii="Arial" w:eastAsia="Calibri" w:hAnsi="Arial" w:cs="Arial"/>
                <w:color w:val="000000" w:themeColor="text1"/>
                <w:sz w:val="22"/>
                <w:lang w:val="es-ES"/>
              </w:rPr>
              <w:t xml:space="preserve">           </w:t>
            </w:r>
          </w:p>
          <w:p w14:paraId="71377C53" w14:textId="77777777" w:rsidR="004A303C" w:rsidRPr="00E579B5" w:rsidRDefault="004A303C" w:rsidP="007B09AB">
            <w:pPr>
              <w:rPr>
                <w:rFonts w:ascii="Arial" w:eastAsia="Calibri" w:hAnsi="Arial" w:cs="Arial"/>
                <w:color w:val="000000" w:themeColor="text1"/>
                <w:sz w:val="22"/>
                <w:lang w:val="es-ES"/>
              </w:rPr>
            </w:pPr>
            <w:r w:rsidRPr="00E579B5">
              <w:rPr>
                <w:rFonts w:ascii="Arial" w:eastAsia="Calibri" w:hAnsi="Arial" w:cs="Arial"/>
                <w:color w:val="000000" w:themeColor="text1"/>
                <w:sz w:val="22"/>
                <w:lang w:val="es-ES"/>
              </w:rPr>
              <w:t xml:space="preserve">                           </w:t>
            </w:r>
          </w:p>
        </w:tc>
        <w:tc>
          <w:tcPr>
            <w:tcW w:w="6237" w:type="dxa"/>
            <w:hideMark/>
          </w:tcPr>
          <w:p w14:paraId="78A982DF" w14:textId="00A5C02A" w:rsidR="004A303C" w:rsidRPr="00C72404" w:rsidRDefault="00DC37B5" w:rsidP="007B09AB">
            <w:pPr>
              <w:jc w:val="both"/>
              <w:rPr>
                <w:rFonts w:ascii="Arial" w:eastAsia="Calibri" w:hAnsi="Arial" w:cs="Arial"/>
                <w:bCs/>
                <w:sz w:val="22"/>
                <w:szCs w:val="20"/>
                <w:lang w:val="es-ES"/>
              </w:rPr>
            </w:pPr>
            <w:r w:rsidRPr="00DC37B5">
              <w:rPr>
                <w:rFonts w:ascii="Arial" w:eastAsia="Calibri" w:hAnsi="Arial" w:cs="Arial"/>
                <w:bCs/>
                <w:color w:val="000000" w:themeColor="text1"/>
                <w:sz w:val="22"/>
                <w:lang w:val="es-ES_tradnl"/>
              </w:rPr>
              <w:t>SELECCIÓN OBJETIVA – Noción – Requisitos habilitantes / SELECCIÓN OBJETIVA – Requisitos habilitantes – Capacidad financiera / SELECCIÓN OBJETIVA – Requisitos habilitantes – Capacidad organizacional / SELECCIÓN OBJETIVA – Requisitos habilitantes – Capacidad financiera – Capacidad organizacional – Forma de acreditación / DECRETO 399 DE 2021 – Finalidad – Reactivación económica / DECRETO 399 DE 2021 – Información – RUP – Período /</w:t>
            </w:r>
            <w:r>
              <w:rPr>
                <w:rFonts w:ascii="Arial" w:eastAsia="Calibri" w:hAnsi="Arial" w:cs="Arial"/>
                <w:bCs/>
                <w:color w:val="000000" w:themeColor="text1"/>
                <w:sz w:val="22"/>
                <w:lang w:val="es-ES_tradnl"/>
              </w:rPr>
              <w:t xml:space="preserve"> </w:t>
            </w:r>
            <w:r w:rsidRPr="00DC37B5">
              <w:rPr>
                <w:rFonts w:ascii="Arial" w:eastAsia="Calibri" w:hAnsi="Arial" w:cs="Arial"/>
                <w:bCs/>
                <w:color w:val="000000" w:themeColor="text1"/>
                <w:sz w:val="22"/>
                <w:lang w:val="es-ES_tradnl"/>
              </w:rPr>
              <w:t>DECRETO 399 DE 2021 – Mejor año fiscal – Capacidad financiera – Capacidad organizacional – Interpretación</w:t>
            </w:r>
          </w:p>
        </w:tc>
      </w:tr>
      <w:tr w:rsidR="000079A6" w:rsidRPr="00E579B5" w14:paraId="4A23AD64" w14:textId="77777777" w:rsidTr="00AF7F1C">
        <w:trPr>
          <w:trHeight w:val="74"/>
        </w:trPr>
        <w:tc>
          <w:tcPr>
            <w:tcW w:w="2689" w:type="dxa"/>
          </w:tcPr>
          <w:p w14:paraId="3C8F1BA1" w14:textId="77777777" w:rsidR="004A303C" w:rsidRPr="00E579B5" w:rsidRDefault="004A303C" w:rsidP="007B09AB">
            <w:pPr>
              <w:spacing w:before="120"/>
              <w:rPr>
                <w:rFonts w:ascii="Arial" w:eastAsia="Calibri" w:hAnsi="Arial" w:cs="Arial"/>
                <w:b/>
                <w:color w:val="000000" w:themeColor="text1"/>
                <w:sz w:val="22"/>
                <w:lang w:val="es-ES"/>
              </w:rPr>
            </w:pPr>
            <w:r w:rsidRPr="00E579B5">
              <w:rPr>
                <w:rFonts w:ascii="Arial" w:eastAsia="Calibri" w:hAnsi="Arial" w:cs="Arial"/>
                <w:b/>
                <w:color w:val="000000" w:themeColor="text1"/>
                <w:sz w:val="22"/>
                <w:lang w:val="es-ES"/>
              </w:rPr>
              <w:t>Radicación:</w:t>
            </w:r>
            <w:r w:rsidRPr="00E579B5">
              <w:rPr>
                <w:rFonts w:ascii="Arial" w:eastAsia="Calibri" w:hAnsi="Arial" w:cs="Arial"/>
                <w:color w:val="000000" w:themeColor="text1"/>
                <w:sz w:val="22"/>
                <w:lang w:val="es-ES"/>
              </w:rPr>
              <w:t xml:space="preserve">                              </w:t>
            </w:r>
          </w:p>
        </w:tc>
        <w:tc>
          <w:tcPr>
            <w:tcW w:w="6237" w:type="dxa"/>
          </w:tcPr>
          <w:p w14:paraId="5923B6AB" w14:textId="2E6320AF" w:rsidR="004A303C" w:rsidRPr="00E579B5" w:rsidRDefault="004A303C" w:rsidP="007B09AB">
            <w:pPr>
              <w:spacing w:before="120"/>
              <w:jc w:val="both"/>
              <w:rPr>
                <w:rFonts w:ascii="Arial" w:eastAsia="Calibri" w:hAnsi="Arial" w:cs="Arial"/>
                <w:color w:val="000000" w:themeColor="text1"/>
                <w:sz w:val="22"/>
                <w:lang w:val="es-ES"/>
              </w:rPr>
            </w:pPr>
            <w:r w:rsidRPr="00E579B5">
              <w:rPr>
                <w:rFonts w:ascii="Arial" w:eastAsia="Calibri" w:hAnsi="Arial" w:cs="Arial"/>
                <w:color w:val="000000" w:themeColor="text1"/>
                <w:sz w:val="22"/>
                <w:lang w:val="es-ES"/>
              </w:rPr>
              <w:t>Respuesta a consulta</w:t>
            </w:r>
            <w:r w:rsidR="009413FD" w:rsidRPr="00E579B5">
              <w:rPr>
                <w:rFonts w:ascii="Arial" w:eastAsia="Calibri" w:hAnsi="Arial" w:cs="Arial"/>
                <w:color w:val="000000" w:themeColor="text1"/>
                <w:sz w:val="22"/>
                <w:lang w:val="es-ES"/>
              </w:rPr>
              <w:t xml:space="preserve"> </w:t>
            </w:r>
            <w:r w:rsidR="005E0C06" w:rsidRPr="005E0C06">
              <w:rPr>
                <w:rFonts w:ascii="Arial" w:eastAsia="Calibri" w:hAnsi="Arial" w:cs="Arial"/>
                <w:color w:val="000000" w:themeColor="text1"/>
                <w:sz w:val="22"/>
                <w:lang w:val="es-ES"/>
              </w:rPr>
              <w:t>P20210629005666</w:t>
            </w:r>
          </w:p>
        </w:tc>
      </w:tr>
    </w:tbl>
    <w:p w14:paraId="5B5442B6" w14:textId="6614AF56" w:rsidR="004302E9" w:rsidRDefault="004302E9" w:rsidP="007B09AB">
      <w:pPr>
        <w:rPr>
          <w:rFonts w:ascii="Arial" w:eastAsia="Calibri" w:hAnsi="Arial" w:cs="Arial"/>
          <w:color w:val="000000" w:themeColor="text1"/>
          <w:sz w:val="22"/>
          <w:lang w:val="es-ES"/>
        </w:rPr>
      </w:pPr>
    </w:p>
    <w:p w14:paraId="429755C7" w14:textId="77777777" w:rsidR="008315C0" w:rsidRPr="00E579B5" w:rsidRDefault="008315C0" w:rsidP="007B09AB">
      <w:pPr>
        <w:rPr>
          <w:rFonts w:ascii="Arial" w:eastAsia="Calibri" w:hAnsi="Arial" w:cs="Arial"/>
          <w:color w:val="000000" w:themeColor="text1"/>
          <w:sz w:val="22"/>
          <w:lang w:val="es-ES"/>
        </w:rPr>
      </w:pPr>
    </w:p>
    <w:p w14:paraId="5A323A09" w14:textId="5B8DED9A" w:rsidR="00BE151C" w:rsidRPr="00E579B5" w:rsidRDefault="00EB7D36" w:rsidP="00B61369">
      <w:pPr>
        <w:spacing w:line="276" w:lineRule="auto"/>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Estimada </w:t>
      </w:r>
      <w:r w:rsidR="00256C86">
        <w:rPr>
          <w:rFonts w:ascii="Arial" w:eastAsia="Calibri" w:hAnsi="Arial" w:cs="Arial"/>
          <w:color w:val="000000" w:themeColor="text1"/>
          <w:sz w:val="22"/>
          <w:lang w:val="es-ES"/>
        </w:rPr>
        <w:t>señora</w:t>
      </w:r>
      <w:r>
        <w:rPr>
          <w:rFonts w:ascii="Arial" w:eastAsia="Calibri" w:hAnsi="Arial" w:cs="Arial"/>
          <w:color w:val="000000" w:themeColor="text1"/>
          <w:sz w:val="22"/>
          <w:lang w:val="es-ES"/>
        </w:rPr>
        <w:t xml:space="preserve"> </w:t>
      </w:r>
      <w:r w:rsidR="00256C86">
        <w:rPr>
          <w:rFonts w:ascii="Arial" w:eastAsia="Calibri" w:hAnsi="Arial" w:cs="Arial"/>
          <w:color w:val="000000" w:themeColor="text1"/>
          <w:sz w:val="22"/>
          <w:lang w:val="es-ES"/>
        </w:rPr>
        <w:t>Jalafes</w:t>
      </w:r>
      <w:r>
        <w:rPr>
          <w:rFonts w:ascii="Arial" w:eastAsia="Calibri" w:hAnsi="Arial" w:cs="Arial"/>
          <w:color w:val="000000" w:themeColor="text1"/>
          <w:sz w:val="22"/>
          <w:lang w:val="es-ES"/>
        </w:rPr>
        <w:t>:</w:t>
      </w:r>
    </w:p>
    <w:p w14:paraId="5D535C7E" w14:textId="77777777" w:rsidR="004302E9" w:rsidRPr="00E579B5" w:rsidRDefault="004302E9" w:rsidP="00B61369">
      <w:pPr>
        <w:spacing w:line="276" w:lineRule="auto"/>
        <w:rPr>
          <w:rFonts w:ascii="Arial" w:eastAsia="Calibri" w:hAnsi="Arial" w:cs="Arial"/>
          <w:color w:val="000000" w:themeColor="text1"/>
          <w:sz w:val="22"/>
          <w:lang w:val="es-ES"/>
        </w:rPr>
      </w:pPr>
    </w:p>
    <w:p w14:paraId="687A4976" w14:textId="4041E80D" w:rsidR="00365097" w:rsidRPr="00E579B5" w:rsidRDefault="004A303C">
      <w:pPr>
        <w:spacing w:line="276" w:lineRule="auto"/>
        <w:jc w:val="both"/>
        <w:rPr>
          <w:rFonts w:ascii="Arial" w:eastAsia="Calibri" w:hAnsi="Arial" w:cs="Arial"/>
          <w:color w:val="000000" w:themeColor="text1"/>
          <w:sz w:val="22"/>
          <w:lang w:val="es-ES"/>
        </w:rPr>
      </w:pPr>
      <w:r w:rsidRPr="00E579B5">
        <w:rPr>
          <w:rFonts w:ascii="Arial" w:eastAsia="Calibri" w:hAnsi="Arial" w:cs="Arial"/>
          <w:color w:val="000000" w:themeColor="text1"/>
          <w:sz w:val="22"/>
          <w:lang w:val="es-ES"/>
        </w:rPr>
        <w:t>En ejercicio de la competencia otorgada p</w:t>
      </w:r>
      <w:r w:rsidR="004213D4" w:rsidRPr="00E579B5">
        <w:rPr>
          <w:rFonts w:ascii="Arial" w:eastAsia="Calibri" w:hAnsi="Arial" w:cs="Arial"/>
          <w:color w:val="000000" w:themeColor="text1"/>
          <w:sz w:val="22"/>
          <w:lang w:val="es-ES"/>
        </w:rPr>
        <w:t xml:space="preserve">or </w:t>
      </w:r>
      <w:r w:rsidR="00622C6E" w:rsidRPr="00E579B5">
        <w:rPr>
          <w:rFonts w:ascii="Arial" w:eastAsia="Calibri" w:hAnsi="Arial" w:cs="Arial"/>
          <w:color w:val="000000" w:themeColor="text1"/>
          <w:sz w:val="22"/>
          <w:lang w:val="es-ES"/>
        </w:rPr>
        <w:t>el numeral 8 del artículo 11 y el numeral 5 del artículo</w:t>
      </w:r>
      <w:r w:rsidR="00096901" w:rsidRPr="00E579B5">
        <w:rPr>
          <w:rFonts w:ascii="Arial" w:eastAsia="Calibri" w:hAnsi="Arial" w:cs="Arial"/>
          <w:color w:val="000000" w:themeColor="text1"/>
          <w:sz w:val="22"/>
          <w:lang w:val="es-ES"/>
        </w:rPr>
        <w:t xml:space="preserve"> 3</w:t>
      </w:r>
      <w:r w:rsidR="00622C6E" w:rsidRPr="00E579B5">
        <w:rPr>
          <w:rFonts w:ascii="Arial" w:eastAsia="Calibri" w:hAnsi="Arial" w:cs="Arial"/>
          <w:color w:val="000000" w:themeColor="text1"/>
          <w:sz w:val="22"/>
          <w:lang w:val="es-ES"/>
        </w:rPr>
        <w:t xml:space="preserve"> </w:t>
      </w:r>
      <w:r w:rsidRPr="00E579B5">
        <w:rPr>
          <w:rFonts w:ascii="Arial" w:eastAsia="Calibri" w:hAnsi="Arial" w:cs="Arial"/>
          <w:color w:val="000000" w:themeColor="text1"/>
          <w:sz w:val="22"/>
          <w:lang w:val="es-ES"/>
        </w:rPr>
        <w:t>del Decreto Ley 4170 de 2011, la Agencia Nacional de Contratación Pública − Colombia Compra Eficiente responde su consulta del</w:t>
      </w:r>
      <w:r w:rsidR="001C4C5C">
        <w:rPr>
          <w:rFonts w:ascii="Arial" w:eastAsia="Calibri" w:hAnsi="Arial" w:cs="Arial"/>
          <w:color w:val="000000" w:themeColor="text1"/>
          <w:sz w:val="22"/>
          <w:lang w:val="es-ES"/>
        </w:rPr>
        <w:t xml:space="preserve"> </w:t>
      </w:r>
      <w:r w:rsidR="00256C86">
        <w:rPr>
          <w:rFonts w:ascii="Arial" w:eastAsia="Calibri" w:hAnsi="Arial" w:cs="Arial"/>
          <w:color w:val="000000" w:themeColor="text1"/>
          <w:sz w:val="22"/>
          <w:lang w:val="es-ES"/>
        </w:rPr>
        <w:t>29 de junio de 2021.</w:t>
      </w:r>
      <w:r w:rsidR="00861ADD" w:rsidRPr="00E579B5">
        <w:rPr>
          <w:rFonts w:ascii="Arial" w:eastAsia="Calibri" w:hAnsi="Arial" w:cs="Arial"/>
          <w:color w:val="000000" w:themeColor="text1"/>
          <w:sz w:val="22"/>
          <w:lang w:val="es-ES"/>
        </w:rPr>
        <w:t xml:space="preserve"> </w:t>
      </w:r>
    </w:p>
    <w:p w14:paraId="207ACBC2" w14:textId="77777777" w:rsidR="00BE151C" w:rsidRPr="00E579B5" w:rsidRDefault="00BE151C" w:rsidP="00B61369">
      <w:pPr>
        <w:spacing w:line="276" w:lineRule="auto"/>
        <w:jc w:val="both"/>
        <w:rPr>
          <w:rFonts w:ascii="Arial" w:eastAsia="Calibri" w:hAnsi="Arial" w:cs="Arial"/>
          <w:color w:val="000000" w:themeColor="text1"/>
          <w:sz w:val="22"/>
          <w:lang w:val="es-ES"/>
        </w:rPr>
      </w:pPr>
    </w:p>
    <w:p w14:paraId="63C44639" w14:textId="7DAFE678" w:rsidR="00091741" w:rsidRPr="00C30BDE" w:rsidRDefault="00C30BDE" w:rsidP="00B61369">
      <w:pPr>
        <w:tabs>
          <w:tab w:val="left" w:pos="284"/>
        </w:tabs>
        <w:spacing w:line="276" w:lineRule="auto"/>
        <w:jc w:val="both"/>
        <w:rPr>
          <w:rFonts w:ascii="Arial" w:eastAsia="Calibri" w:hAnsi="Arial" w:cs="Arial"/>
          <w:b/>
          <w:color w:val="000000" w:themeColor="text1"/>
          <w:sz w:val="22"/>
          <w:lang w:val="es-ES"/>
        </w:rPr>
      </w:pPr>
      <w:r w:rsidRPr="00C30BDE">
        <w:rPr>
          <w:rFonts w:ascii="Arial" w:eastAsia="Calibri" w:hAnsi="Arial" w:cs="Arial"/>
          <w:b/>
          <w:color w:val="000000" w:themeColor="text1"/>
          <w:sz w:val="22"/>
          <w:lang w:val="es-ES"/>
        </w:rPr>
        <w:t>1.</w:t>
      </w:r>
      <w:r>
        <w:rPr>
          <w:rFonts w:ascii="Arial" w:eastAsia="Calibri" w:hAnsi="Arial" w:cs="Arial"/>
          <w:b/>
          <w:color w:val="000000" w:themeColor="text1"/>
          <w:sz w:val="22"/>
          <w:lang w:val="es-ES"/>
        </w:rPr>
        <w:t xml:space="preserve"> </w:t>
      </w:r>
      <w:r w:rsidR="004A303C" w:rsidRPr="00C30BDE">
        <w:rPr>
          <w:rFonts w:ascii="Arial" w:eastAsia="Calibri" w:hAnsi="Arial" w:cs="Arial"/>
          <w:b/>
          <w:color w:val="000000" w:themeColor="text1"/>
          <w:sz w:val="22"/>
          <w:lang w:val="es-ES"/>
        </w:rPr>
        <w:t xml:space="preserve">Problemas planteados </w:t>
      </w:r>
    </w:p>
    <w:p w14:paraId="3ADB63E0" w14:textId="77777777" w:rsidR="00EB7D36" w:rsidRDefault="00EB7D36" w:rsidP="00B61369">
      <w:pPr>
        <w:pStyle w:val="NormalWeb"/>
        <w:shd w:val="clear" w:color="auto" w:fill="FFFFFF"/>
        <w:spacing w:before="0" w:beforeAutospacing="0" w:after="0" w:afterAutospacing="0" w:line="276" w:lineRule="auto"/>
        <w:jc w:val="both"/>
        <w:rPr>
          <w:rFonts w:ascii="Arial" w:eastAsia="Calibri" w:hAnsi="Arial" w:cs="Arial"/>
          <w:color w:val="000000" w:themeColor="text1"/>
          <w:sz w:val="22"/>
          <w:szCs w:val="22"/>
          <w:lang w:val="es-ES"/>
        </w:rPr>
      </w:pPr>
    </w:p>
    <w:p w14:paraId="53AC923E" w14:textId="0E6BF8E2" w:rsidR="00256C86" w:rsidRPr="00256C86" w:rsidRDefault="00860017" w:rsidP="00B61369">
      <w:pPr>
        <w:spacing w:line="276" w:lineRule="auto"/>
        <w:jc w:val="both"/>
        <w:rPr>
          <w:rFonts w:ascii="Arial" w:eastAsia="Times New Roman" w:hAnsi="Arial" w:cs="Arial"/>
          <w:color w:val="000000"/>
          <w:sz w:val="21"/>
          <w:szCs w:val="21"/>
          <w:lang w:val="es-ES_tradnl" w:eastAsia="es-ES_tradnl"/>
        </w:rPr>
      </w:pPr>
      <w:r>
        <w:rPr>
          <w:rFonts w:ascii="Arial" w:eastAsia="Times New Roman" w:hAnsi="Arial" w:cs="Arial"/>
          <w:color w:val="000000" w:themeColor="text1"/>
          <w:sz w:val="22"/>
          <w:lang w:val="es-ES" w:eastAsia="es-ES_tradnl"/>
        </w:rPr>
        <w:t>Respecto a</w:t>
      </w:r>
      <w:r w:rsidR="00B45754" w:rsidRPr="00B45754">
        <w:rPr>
          <w:rFonts w:ascii="Arial" w:eastAsia="Times New Roman" w:hAnsi="Arial" w:cs="Arial"/>
          <w:color w:val="000000" w:themeColor="text1"/>
          <w:sz w:val="22"/>
          <w:lang w:val="es-ES" w:eastAsia="es-ES_tradnl"/>
        </w:rPr>
        <w:t xml:space="preserve"> los </w:t>
      </w:r>
      <w:r w:rsidR="00B45754">
        <w:rPr>
          <w:rFonts w:ascii="Arial" w:eastAsia="Times New Roman" w:hAnsi="Arial" w:cs="Arial"/>
          <w:color w:val="000000" w:themeColor="text1"/>
          <w:sz w:val="22"/>
          <w:lang w:val="es-ES" w:eastAsia="es-ES_tradnl"/>
        </w:rPr>
        <w:t>indicadores de capacidad financiera y organizacional</w:t>
      </w:r>
      <w:r>
        <w:rPr>
          <w:rFonts w:ascii="Arial" w:eastAsia="Times New Roman" w:hAnsi="Arial" w:cs="Arial"/>
          <w:color w:val="000000" w:themeColor="text1"/>
          <w:sz w:val="22"/>
          <w:lang w:val="es-ES" w:eastAsia="es-ES_tradnl"/>
        </w:rPr>
        <w:t>, usted realiza las siguientes preguntas</w:t>
      </w:r>
      <w:r w:rsidR="00B45754">
        <w:rPr>
          <w:rFonts w:ascii="Arial" w:eastAsia="Times New Roman" w:hAnsi="Arial" w:cs="Arial"/>
          <w:color w:val="000000" w:themeColor="text1"/>
          <w:sz w:val="22"/>
          <w:lang w:val="es-ES" w:eastAsia="es-ES_tradnl"/>
        </w:rPr>
        <w:t>:</w:t>
      </w:r>
      <w:r w:rsidR="00C260C3">
        <w:rPr>
          <w:rFonts w:ascii="Arial" w:eastAsia="Times New Roman" w:hAnsi="Arial" w:cs="Arial"/>
          <w:color w:val="000000"/>
          <w:sz w:val="21"/>
          <w:szCs w:val="21"/>
          <w:lang w:val="es-ES_tradnl" w:eastAsia="es-ES_tradnl"/>
        </w:rPr>
        <w:t xml:space="preserve"> i) «</w:t>
      </w:r>
      <w:r w:rsidR="00256C86" w:rsidRPr="00256C86">
        <w:rPr>
          <w:rFonts w:ascii="Arial" w:eastAsia="Times New Roman" w:hAnsi="Arial" w:cs="Arial"/>
          <w:color w:val="000000"/>
          <w:sz w:val="21"/>
          <w:szCs w:val="21"/>
          <w:lang w:val="es-ES_tradnl" w:eastAsia="es-ES_tradnl"/>
        </w:rPr>
        <w:t>¿Las Entidades Estatales, deben analizar y establecer desde el estudio del sector los indicadores de capacidad financiera y capacidad organizacional de los 3 últimos años o sólo del último año 2020?</w:t>
      </w:r>
      <w:r w:rsidR="00C260C3">
        <w:rPr>
          <w:rFonts w:ascii="Arial" w:eastAsia="Times New Roman" w:hAnsi="Arial" w:cs="Arial"/>
          <w:color w:val="000000"/>
          <w:sz w:val="21"/>
          <w:szCs w:val="21"/>
          <w:lang w:val="es-ES_tradnl" w:eastAsia="es-ES_tradnl"/>
        </w:rPr>
        <w:t xml:space="preserve">», ii) </w:t>
      </w:r>
      <w:r w:rsidR="00FE599B">
        <w:rPr>
          <w:rFonts w:ascii="Arial" w:eastAsia="Times New Roman" w:hAnsi="Arial" w:cs="Arial"/>
          <w:color w:val="000000"/>
          <w:sz w:val="21"/>
          <w:szCs w:val="21"/>
          <w:lang w:val="es-ES_tradnl" w:eastAsia="es-ES_tradnl"/>
        </w:rPr>
        <w:t>«</w:t>
      </w:r>
      <w:r w:rsidR="00256C86" w:rsidRPr="00256C86">
        <w:rPr>
          <w:rFonts w:ascii="Arial" w:eastAsia="Times New Roman" w:hAnsi="Arial" w:cs="Arial"/>
          <w:color w:val="000000"/>
          <w:sz w:val="21"/>
          <w:szCs w:val="21"/>
          <w:lang w:val="es-ES_tradnl" w:eastAsia="es-ES_tradnl"/>
        </w:rPr>
        <w:t>Las Entidades Estatales deben establecer los indicadores de capacidad financiera y capacidad organizacional de cada año, 2018, 2019 y 2020 de manera independiente,</w:t>
      </w:r>
      <w:r w:rsidR="00256C86">
        <w:rPr>
          <w:rFonts w:ascii="Arial" w:eastAsia="Times New Roman" w:hAnsi="Arial" w:cs="Arial"/>
          <w:color w:val="000000"/>
          <w:sz w:val="21"/>
          <w:szCs w:val="21"/>
          <w:lang w:val="es-ES_tradnl" w:eastAsia="es-ES_tradnl"/>
        </w:rPr>
        <w:t xml:space="preserve"> </w:t>
      </w:r>
      <w:r w:rsidR="00256C86" w:rsidRPr="00256C86">
        <w:rPr>
          <w:rFonts w:ascii="Arial" w:eastAsia="Times New Roman" w:hAnsi="Arial" w:cs="Arial"/>
          <w:color w:val="000000"/>
          <w:sz w:val="21"/>
          <w:szCs w:val="21"/>
          <w:lang w:val="es-ES_tradnl" w:eastAsia="es-ES_tradnl"/>
        </w:rPr>
        <w:t>¿estableciendo unos indicadores por cada año?</w:t>
      </w:r>
      <w:r w:rsidR="00FE599B">
        <w:rPr>
          <w:rFonts w:ascii="Arial" w:eastAsia="Times New Roman" w:hAnsi="Arial" w:cs="Arial"/>
          <w:color w:val="000000"/>
          <w:sz w:val="21"/>
          <w:szCs w:val="21"/>
          <w:lang w:val="es-ES_tradnl" w:eastAsia="es-ES_tradnl"/>
        </w:rPr>
        <w:t>», iii) «</w:t>
      </w:r>
      <w:r w:rsidR="00256C86" w:rsidRPr="00256C86">
        <w:rPr>
          <w:rFonts w:ascii="Arial" w:eastAsia="Times New Roman" w:hAnsi="Arial" w:cs="Arial"/>
          <w:color w:val="000000"/>
          <w:sz w:val="21"/>
          <w:szCs w:val="21"/>
          <w:lang w:val="es-ES_tradnl" w:eastAsia="es-ES_tradnl"/>
        </w:rPr>
        <w:t xml:space="preserve">¿Las Entidades Estatales deben tener en cuenta desde el estudio del sector, los 3 últimos años y al </w:t>
      </w:r>
      <w:r w:rsidR="00256C86" w:rsidRPr="00256C86">
        <w:rPr>
          <w:rFonts w:ascii="Arial" w:eastAsia="Times New Roman" w:hAnsi="Arial" w:cs="Arial"/>
          <w:color w:val="000000"/>
          <w:sz w:val="21"/>
          <w:szCs w:val="21"/>
          <w:lang w:val="es-ES_tradnl" w:eastAsia="es-ES_tradnl"/>
        </w:rPr>
        <w:lastRenderedPageBreak/>
        <w:t>final promediarlos para así establecer un sólo indicador a verificar – evaluar como requisito habilitante, en el proceso de selección Ó debe establecer un indicador por cada año, que serán verificados - evaluados en el proceso de selección, cotejando el REGISTRO ÚNICO DE PROPONENTES – RUP, presentado por los oferentes que demuestre el mejor indicador?</w:t>
      </w:r>
      <w:r w:rsidR="00C31522">
        <w:rPr>
          <w:rFonts w:ascii="Arial" w:eastAsia="Times New Roman" w:hAnsi="Arial" w:cs="Arial"/>
          <w:color w:val="000000"/>
          <w:sz w:val="21"/>
          <w:szCs w:val="21"/>
          <w:lang w:val="es-ES_tradnl" w:eastAsia="es-ES_tradnl"/>
        </w:rPr>
        <w:t>» y iv) «</w:t>
      </w:r>
      <w:r w:rsidR="00256C86" w:rsidRPr="00256C86">
        <w:rPr>
          <w:rFonts w:ascii="Arial" w:eastAsia="Times New Roman" w:hAnsi="Arial" w:cs="Arial"/>
          <w:color w:val="000000"/>
          <w:sz w:val="21"/>
          <w:szCs w:val="21"/>
          <w:lang w:val="es-ES_tradnl" w:eastAsia="es-ES_tradnl"/>
        </w:rPr>
        <w:t>¿Las Entidades Estatales al momento de verificar las ofertas y con el fin de escoger la mejor información del proponente, establecida en el REGISTRO ÚNICO DE</w:t>
      </w:r>
      <w:r w:rsidR="00256C86">
        <w:rPr>
          <w:rFonts w:ascii="Arial" w:eastAsia="Times New Roman" w:hAnsi="Arial" w:cs="Arial"/>
          <w:color w:val="000000"/>
          <w:sz w:val="21"/>
          <w:szCs w:val="21"/>
          <w:lang w:val="es-ES_tradnl" w:eastAsia="es-ES_tradnl"/>
        </w:rPr>
        <w:t xml:space="preserve"> </w:t>
      </w:r>
      <w:r w:rsidR="00256C86" w:rsidRPr="00256C86">
        <w:rPr>
          <w:rFonts w:ascii="Arial" w:eastAsia="Times New Roman" w:hAnsi="Arial" w:cs="Arial"/>
          <w:color w:val="000000"/>
          <w:sz w:val="21"/>
          <w:szCs w:val="21"/>
          <w:lang w:val="es-ES_tradnl" w:eastAsia="es-ES_tradnl"/>
        </w:rPr>
        <w:t>PROPONENTES – RUP, debe tomar la información de capacidad financiera y capacidad organizacional de una misma vigencia en bloque? Ó ¿Debe tomar el mejor indicador de cada año independientemente de no pertenecer a la misma vigencia fiscal?, por ejemplo: el mejor índice de liquidez del 2018 y la mejor capacidad de endeudamiento de 2019?».</w:t>
      </w:r>
    </w:p>
    <w:p w14:paraId="0E04AA25" w14:textId="77777777" w:rsidR="00256C86" w:rsidRPr="00E244A4" w:rsidRDefault="00256C86" w:rsidP="00B61369">
      <w:pPr>
        <w:spacing w:line="276" w:lineRule="auto"/>
        <w:jc w:val="both"/>
        <w:rPr>
          <w:rFonts w:ascii="Arial" w:eastAsia="Times New Roman" w:hAnsi="Arial" w:cs="Arial"/>
          <w:color w:val="000000" w:themeColor="text1"/>
          <w:sz w:val="22"/>
          <w:lang w:val="es-ES" w:eastAsia="es-ES_tradnl"/>
        </w:rPr>
      </w:pPr>
    </w:p>
    <w:p w14:paraId="32B9127B" w14:textId="28A0EAAB" w:rsidR="00E02237" w:rsidRPr="00E579B5" w:rsidRDefault="008D5223" w:rsidP="00B61369">
      <w:pPr>
        <w:pStyle w:val="Prrafodelista"/>
        <w:tabs>
          <w:tab w:val="left" w:pos="284"/>
        </w:tabs>
        <w:spacing w:line="276" w:lineRule="auto"/>
        <w:ind w:left="0"/>
        <w:jc w:val="both"/>
        <w:rPr>
          <w:rFonts w:ascii="Arial" w:eastAsia="Calibri" w:hAnsi="Arial" w:cs="Arial"/>
          <w:b/>
          <w:color w:val="000000" w:themeColor="text1"/>
          <w:sz w:val="22"/>
          <w:lang w:val="es-ES"/>
        </w:rPr>
      </w:pPr>
      <w:r w:rsidRPr="00E579B5">
        <w:rPr>
          <w:rFonts w:ascii="Arial" w:eastAsia="Calibri" w:hAnsi="Arial" w:cs="Arial"/>
          <w:b/>
          <w:color w:val="000000" w:themeColor="text1"/>
          <w:sz w:val="22"/>
          <w:lang w:val="es-ES"/>
        </w:rPr>
        <w:t xml:space="preserve">2. </w:t>
      </w:r>
      <w:r w:rsidR="007D0174" w:rsidRPr="00E579B5">
        <w:rPr>
          <w:rFonts w:ascii="Arial" w:eastAsia="Calibri" w:hAnsi="Arial" w:cs="Arial"/>
          <w:b/>
          <w:color w:val="000000" w:themeColor="text1"/>
          <w:sz w:val="22"/>
          <w:lang w:val="es-ES"/>
        </w:rPr>
        <w:t>Consideraciones</w:t>
      </w:r>
      <w:r w:rsidR="00E02237" w:rsidRPr="00E579B5">
        <w:rPr>
          <w:rFonts w:ascii="Arial" w:eastAsia="Calibri" w:hAnsi="Arial" w:cs="Arial"/>
          <w:b/>
          <w:color w:val="000000" w:themeColor="text1"/>
          <w:sz w:val="22"/>
          <w:lang w:val="es-ES"/>
        </w:rPr>
        <w:t xml:space="preserve"> </w:t>
      </w:r>
    </w:p>
    <w:p w14:paraId="0106C99C" w14:textId="77777777" w:rsidR="00E02237" w:rsidRPr="00E579B5" w:rsidRDefault="00E02237" w:rsidP="00B61369">
      <w:pPr>
        <w:pStyle w:val="Prrafodelista"/>
        <w:tabs>
          <w:tab w:val="left" w:pos="284"/>
        </w:tabs>
        <w:spacing w:line="276" w:lineRule="auto"/>
        <w:ind w:left="0"/>
        <w:jc w:val="both"/>
        <w:rPr>
          <w:rFonts w:ascii="Arial" w:eastAsia="Calibri" w:hAnsi="Arial" w:cs="Arial"/>
          <w:b/>
          <w:color w:val="000000" w:themeColor="text1"/>
          <w:sz w:val="22"/>
          <w:lang w:val="es-ES"/>
        </w:rPr>
      </w:pPr>
    </w:p>
    <w:p w14:paraId="42C44C2E" w14:textId="77777777" w:rsidR="001C2E2B" w:rsidRPr="009544BC" w:rsidRDefault="001C2E2B" w:rsidP="007A7C55">
      <w:pPr>
        <w:spacing w:after="120" w:line="276" w:lineRule="auto"/>
        <w:jc w:val="both"/>
        <w:rPr>
          <w:rFonts w:ascii="Arial" w:hAnsi="Arial" w:cs="Arial"/>
          <w:bCs/>
          <w:sz w:val="22"/>
        </w:rPr>
      </w:pPr>
      <w:r w:rsidRPr="009544BC">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7FAB6A6E" w14:textId="77777777" w:rsidR="001C2E2B" w:rsidRPr="009544BC" w:rsidRDefault="001C2E2B" w:rsidP="008A3C8B">
      <w:pPr>
        <w:spacing w:before="120" w:after="120" w:line="276" w:lineRule="auto"/>
        <w:ind w:firstLine="708"/>
        <w:jc w:val="both"/>
        <w:rPr>
          <w:rFonts w:ascii="Arial" w:hAnsi="Arial" w:cs="Arial"/>
          <w:sz w:val="22"/>
          <w:lang w:val="es-ES"/>
        </w:rPr>
      </w:pPr>
      <w:bookmarkStart w:id="2" w:name="_Hlk61701014"/>
      <w:bookmarkStart w:id="3" w:name="_Hlk62136649"/>
      <w:r w:rsidRPr="009544BC">
        <w:rPr>
          <w:rFonts w:ascii="Arial" w:hAnsi="Arial" w:cs="Arial"/>
          <w:sz w:val="22"/>
          <w:lang w:val="es-ES"/>
        </w:rPr>
        <w:t xml:space="preserve">Es necesario tener en cuenta que </w:t>
      </w:r>
      <w:bookmarkStart w:id="4" w:name="_Hlk61026958"/>
      <w:r w:rsidRPr="009544BC">
        <w:rPr>
          <w:rFonts w:ascii="Arial" w:hAnsi="Arial" w:cs="Arial"/>
          <w:sz w:val="22"/>
          <w:lang w:val="es-ES"/>
        </w:rPr>
        <w:t>esta entidad solo tiene competencia para responder solicitudes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w:t>
      </w:r>
      <w:r w:rsidRPr="009544BC">
        <w:rPr>
          <w:rFonts w:ascii="Arial" w:hAnsi="Arial" w:cs="Arial"/>
          <w:bCs/>
          <w:sz w:val="22"/>
        </w:rPr>
        <w:t xml:space="preserve"> de todos los partícipes de la contratación estatal.</w:t>
      </w:r>
    </w:p>
    <w:p w14:paraId="31F934D5" w14:textId="576A392F" w:rsidR="008969B3" w:rsidRDefault="001C2E2B" w:rsidP="008969B3">
      <w:pPr>
        <w:spacing w:before="120" w:after="120" w:line="276" w:lineRule="auto"/>
        <w:ind w:firstLine="708"/>
        <w:jc w:val="both"/>
        <w:rPr>
          <w:rFonts w:ascii="Arial" w:hAnsi="Arial" w:cs="Arial"/>
          <w:sz w:val="22"/>
          <w:lang w:val="es-ES"/>
        </w:rPr>
      </w:pPr>
      <w:r w:rsidRPr="009544BC">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9544BC">
        <w:rPr>
          <w:rFonts w:ascii="Arial" w:hAnsi="Arial" w:cs="Arial"/>
          <w:vertAlign w:val="superscript"/>
        </w:rPr>
        <w:footnoteReference w:id="1"/>
      </w:r>
      <w:r w:rsidRPr="009544BC">
        <w:rPr>
          <w:rFonts w:ascii="Arial" w:hAnsi="Arial" w:cs="Arial"/>
          <w:sz w:val="22"/>
          <w:lang w:val="es-ES"/>
        </w:rPr>
        <w:t xml:space="preserve">. Esta competencia de interpretación de normas generales, por definición, no puede extenderse a la resolución de controversias, ni a brindar asesorías sobre casos puntuales. </w:t>
      </w:r>
      <w:bookmarkEnd w:id="2"/>
      <w:bookmarkEnd w:id="3"/>
      <w:bookmarkEnd w:id="4"/>
    </w:p>
    <w:p w14:paraId="73D49BDF" w14:textId="761EDE2F" w:rsidR="00803B3E" w:rsidRPr="009544BC" w:rsidRDefault="008969B3" w:rsidP="00B61369">
      <w:pPr>
        <w:spacing w:before="120" w:after="120" w:line="276" w:lineRule="auto"/>
        <w:ind w:firstLine="708"/>
        <w:jc w:val="both"/>
        <w:rPr>
          <w:rFonts w:ascii="Arial" w:eastAsia="Calibri" w:hAnsi="Arial" w:cs="Arial"/>
          <w:color w:val="000000" w:themeColor="text1"/>
          <w:sz w:val="22"/>
          <w:lang w:val="es-CO" w:eastAsia="es-MX"/>
        </w:rPr>
      </w:pPr>
      <w:r>
        <w:rPr>
          <w:rFonts w:ascii="Arial" w:hAnsi="Arial" w:cs="Arial"/>
          <w:sz w:val="22"/>
          <w:lang w:val="es-ES"/>
        </w:rPr>
        <w:t>Por ello</w:t>
      </w:r>
      <w:r w:rsidR="001C2E2B" w:rsidRPr="009544BC">
        <w:rPr>
          <w:rFonts w:ascii="Arial" w:eastAsia="Calibri" w:hAnsi="Arial" w:cs="Arial"/>
          <w:color w:val="000000" w:themeColor="text1"/>
          <w:sz w:val="22"/>
        </w:rPr>
        <w:t xml:space="preserve">, </w:t>
      </w:r>
      <w:r w:rsidR="00A10A4D" w:rsidRPr="009544BC">
        <w:rPr>
          <w:rFonts w:ascii="Arial" w:eastAsia="Calibri" w:hAnsi="Arial" w:cs="Arial"/>
          <w:color w:val="000000" w:themeColor="text1"/>
          <w:sz w:val="22"/>
          <w:lang w:val="es-ES"/>
        </w:rPr>
        <w:t>dentro de los límites de sus atribuciones</w:t>
      </w:r>
      <w:r w:rsidR="00A10A4D">
        <w:rPr>
          <w:rFonts w:ascii="Arial" w:eastAsia="Calibri" w:hAnsi="Arial" w:cs="Arial"/>
          <w:color w:val="000000" w:themeColor="text1"/>
          <w:sz w:val="22"/>
          <w:lang w:val="es-ES"/>
        </w:rPr>
        <w:t>,</w:t>
      </w:r>
      <w:r w:rsidR="00A10A4D" w:rsidRPr="009544BC">
        <w:rPr>
          <w:rFonts w:ascii="Arial" w:eastAsia="Calibri" w:hAnsi="Arial" w:cs="Arial"/>
          <w:color w:val="000000" w:themeColor="text1"/>
          <w:sz w:val="22"/>
          <w:lang w:val="es-ES"/>
        </w:rPr>
        <w:t xml:space="preserve"> </w:t>
      </w:r>
      <w:r w:rsidR="001C2E2B" w:rsidRPr="009544BC">
        <w:rPr>
          <w:rFonts w:ascii="Arial" w:eastAsia="Calibri" w:hAnsi="Arial" w:cs="Arial"/>
          <w:color w:val="000000" w:themeColor="text1"/>
          <w:sz w:val="22"/>
          <w:lang w:val="es-ES"/>
        </w:rPr>
        <w:t xml:space="preserve">la </w:t>
      </w:r>
      <w:r>
        <w:rPr>
          <w:rFonts w:ascii="Arial" w:eastAsia="Calibri" w:hAnsi="Arial" w:cs="Arial"/>
          <w:color w:val="000000" w:themeColor="text1"/>
          <w:sz w:val="22"/>
          <w:lang w:val="es-ES"/>
        </w:rPr>
        <w:t>Agencia</w:t>
      </w:r>
      <w:r w:rsidR="001C2E2B" w:rsidRPr="009544BC">
        <w:rPr>
          <w:rFonts w:ascii="Arial" w:eastAsia="Calibri" w:hAnsi="Arial" w:cs="Arial"/>
          <w:color w:val="000000" w:themeColor="text1"/>
          <w:sz w:val="22"/>
          <w:lang w:val="es-ES"/>
        </w:rPr>
        <w:t xml:space="preserve"> resolverá la consulta conforme a las normas generales en materia de contratación estatal.  </w:t>
      </w:r>
      <w:r w:rsidR="001C2E2B" w:rsidRPr="009544BC">
        <w:rPr>
          <w:rFonts w:ascii="Arial" w:eastAsia="Calibri" w:hAnsi="Arial" w:cs="Arial"/>
          <w:color w:val="000000" w:themeColor="text1"/>
          <w:sz w:val="22"/>
          <w:lang w:val="es-ES_tradnl"/>
        </w:rPr>
        <w:t xml:space="preserve">De esta manera, para </w:t>
      </w:r>
      <w:r w:rsidR="001C2E2B" w:rsidRPr="009544BC">
        <w:rPr>
          <w:rFonts w:ascii="Arial" w:eastAsia="Calibri" w:hAnsi="Arial" w:cs="Arial"/>
          <w:color w:val="000000" w:themeColor="text1"/>
          <w:sz w:val="22"/>
          <w:lang w:val="es-ES_tradnl"/>
        </w:rPr>
        <w:lastRenderedPageBreak/>
        <w:t xml:space="preserve">absolver los interrogantes formulados, </w:t>
      </w:r>
      <w:r w:rsidR="007C32B8">
        <w:rPr>
          <w:rFonts w:ascii="Arial" w:eastAsia="Calibri" w:hAnsi="Arial" w:cs="Arial"/>
          <w:color w:val="000000" w:themeColor="text1"/>
          <w:sz w:val="22"/>
          <w:lang w:val="es-ES_tradnl"/>
        </w:rPr>
        <w:t>se</w:t>
      </w:r>
      <w:r w:rsidR="001C2E2B" w:rsidRPr="009544BC">
        <w:rPr>
          <w:rFonts w:ascii="Arial" w:eastAsia="Calibri" w:hAnsi="Arial" w:cs="Arial"/>
          <w:color w:val="000000" w:themeColor="text1"/>
          <w:sz w:val="22"/>
          <w:lang w:val="es-ES_tradnl"/>
        </w:rPr>
        <w:t xml:space="preserve"> analizará</w:t>
      </w:r>
      <w:r w:rsidR="007C32B8">
        <w:rPr>
          <w:rFonts w:ascii="Arial" w:eastAsia="Calibri" w:hAnsi="Arial" w:cs="Arial"/>
          <w:color w:val="000000" w:themeColor="text1"/>
          <w:sz w:val="22"/>
          <w:lang w:val="es-ES_tradnl"/>
        </w:rPr>
        <w:t>n</w:t>
      </w:r>
      <w:r w:rsidR="001C2E2B" w:rsidRPr="009544BC">
        <w:rPr>
          <w:rFonts w:ascii="Arial" w:eastAsia="Calibri" w:hAnsi="Arial" w:cs="Arial"/>
          <w:color w:val="000000" w:themeColor="text1"/>
          <w:sz w:val="22"/>
          <w:lang w:val="es-ES_tradnl"/>
        </w:rPr>
        <w:t xml:space="preserve"> los siguientes temas</w:t>
      </w:r>
      <w:r w:rsidR="005E0C06" w:rsidRPr="009544BC">
        <w:rPr>
          <w:rFonts w:ascii="Arial" w:eastAsia="Calibri" w:hAnsi="Arial" w:cs="Arial"/>
          <w:color w:val="000000" w:themeColor="text1"/>
          <w:sz w:val="22"/>
          <w:lang w:val="es-CO" w:eastAsia="es-MX"/>
        </w:rPr>
        <w:t>: i) requisitos habilitantes y su determinación</w:t>
      </w:r>
      <w:r w:rsidR="00C0219E">
        <w:rPr>
          <w:rFonts w:ascii="Arial" w:eastAsia="Calibri" w:hAnsi="Arial" w:cs="Arial"/>
          <w:color w:val="000000" w:themeColor="text1"/>
          <w:sz w:val="22"/>
          <w:lang w:val="es-CO" w:eastAsia="es-MX"/>
        </w:rPr>
        <w:t xml:space="preserve"> y</w:t>
      </w:r>
      <w:r w:rsidR="005E0C06" w:rsidRPr="009544BC">
        <w:rPr>
          <w:rFonts w:ascii="Arial" w:eastAsia="Calibri" w:hAnsi="Arial" w:cs="Arial"/>
          <w:color w:val="000000" w:themeColor="text1"/>
          <w:sz w:val="22"/>
          <w:lang w:val="es-CO" w:eastAsia="es-MX"/>
        </w:rPr>
        <w:t xml:space="preserve"> ii) </w:t>
      </w:r>
      <w:r w:rsidR="00803B3E" w:rsidRPr="009544BC">
        <w:rPr>
          <w:rFonts w:ascii="Arial" w:eastAsia="Calibri" w:hAnsi="Arial" w:cs="Arial"/>
          <w:color w:val="000000" w:themeColor="text1"/>
          <w:sz w:val="22"/>
          <w:lang w:val="es-CO" w:eastAsia="es-MX"/>
        </w:rPr>
        <w:t xml:space="preserve">modificaciones introducidas por los Decretos 399 de 2021 y 579 de 2021 frente a la información del RUP, así como a la verificación de la capacidad financiera y organizacional del proponente. </w:t>
      </w:r>
    </w:p>
    <w:p w14:paraId="21F4FEAE" w14:textId="2C018A43" w:rsidR="00E244A4" w:rsidRDefault="009B0096" w:rsidP="009D1B9B">
      <w:pPr>
        <w:spacing w:before="120" w:line="276" w:lineRule="auto"/>
        <w:ind w:firstLine="708"/>
        <w:jc w:val="both"/>
        <w:rPr>
          <w:rFonts w:ascii="Arial" w:eastAsia="Calibri" w:hAnsi="Arial" w:cs="Arial"/>
          <w:color w:val="000000" w:themeColor="text1"/>
          <w:sz w:val="22"/>
          <w:lang w:val="es-ES_tradnl"/>
        </w:rPr>
      </w:pPr>
      <w:r w:rsidRPr="009544BC">
        <w:rPr>
          <w:rFonts w:ascii="Arial" w:eastAsia="Times New Roman" w:hAnsi="Arial" w:cs="Arial"/>
          <w:color w:val="000000" w:themeColor="text1"/>
          <w:sz w:val="22"/>
          <w:lang w:val="es-ES" w:eastAsia="es-ES_tradnl"/>
        </w:rPr>
        <w:t>L</w:t>
      </w:r>
      <w:r w:rsidR="00393A8A" w:rsidRPr="009544BC">
        <w:rPr>
          <w:rFonts w:ascii="Arial" w:eastAsia="Times New Roman" w:hAnsi="Arial" w:cs="Arial"/>
          <w:color w:val="000000" w:themeColor="text1"/>
          <w:sz w:val="22"/>
          <w:lang w:val="es-ES" w:eastAsia="es-ES_tradnl"/>
        </w:rPr>
        <w:t>a Agencia Nacional de Contratación Pública – Colombia Compra Eficiente</w:t>
      </w:r>
      <w:r w:rsidR="00886D92" w:rsidRPr="009544BC">
        <w:rPr>
          <w:rFonts w:ascii="Arial" w:eastAsia="Times New Roman" w:hAnsi="Arial" w:cs="Arial"/>
          <w:color w:val="000000" w:themeColor="text1"/>
          <w:sz w:val="22"/>
          <w:lang w:val="es-ES" w:eastAsia="es-ES_tradnl"/>
        </w:rPr>
        <w:t xml:space="preserve"> </w:t>
      </w:r>
      <w:r w:rsidR="00E244A4" w:rsidRPr="009544BC">
        <w:rPr>
          <w:rFonts w:ascii="Arial" w:eastAsia="Times New Roman" w:hAnsi="Arial" w:cs="Arial"/>
          <w:color w:val="000000" w:themeColor="text1"/>
          <w:sz w:val="22"/>
          <w:lang w:val="es-ES" w:eastAsia="es-ES_tradnl"/>
        </w:rPr>
        <w:t xml:space="preserve">se pronunció sobre </w:t>
      </w:r>
      <w:r w:rsidR="00803B3E" w:rsidRPr="009544BC">
        <w:rPr>
          <w:rFonts w:ascii="Arial" w:hAnsi="Arial" w:cs="Arial"/>
          <w:color w:val="000000" w:themeColor="text1"/>
          <w:sz w:val="22"/>
          <w:lang w:val="es-ES_tradnl"/>
        </w:rPr>
        <w:t xml:space="preserve">la acreditación de los indicadores de capacidad financiera y organizacional de los oferentes mediante el RUP, así como el cálculo de la capacidad residual, entre otros, </w:t>
      </w:r>
      <w:r w:rsidR="00803B3E" w:rsidRPr="009544BC">
        <w:rPr>
          <w:rFonts w:ascii="Arial" w:eastAsia="Calibri" w:hAnsi="Arial" w:cs="Arial"/>
          <w:color w:val="000000" w:themeColor="text1"/>
          <w:sz w:val="22"/>
          <w:lang w:val="es-ES_tradnl"/>
        </w:rPr>
        <w:t xml:space="preserve">en los conceptos No. 4201912000006798 del 24 de octubre de 2019, C-002 del 12 de febrero de 2020, C-089 del 4 de marzo de 2020, C-099 del 06 de abril de 2020, C-166 del 14 de abril de 2020, C-233 del 16 de abril de 2020, C-326 del 9 de junio de 2020 y C-140 del 9 de abril de 2021. Respecto de las modificaciones introducidas por los Decretos 399 de 2021 y 579 de 2021 esta Agencia se pronunció en el </w:t>
      </w:r>
      <w:r w:rsidR="00124F1D">
        <w:rPr>
          <w:rFonts w:ascii="Arial" w:eastAsia="Calibri" w:hAnsi="Arial" w:cs="Arial"/>
          <w:color w:val="000000" w:themeColor="text1"/>
          <w:sz w:val="22"/>
          <w:lang w:val="es-ES_tradnl"/>
        </w:rPr>
        <w:t>C</w:t>
      </w:r>
      <w:r w:rsidR="00803B3E" w:rsidRPr="009544BC">
        <w:rPr>
          <w:rFonts w:ascii="Arial" w:eastAsia="Calibri" w:hAnsi="Arial" w:cs="Arial"/>
          <w:color w:val="000000" w:themeColor="text1"/>
          <w:sz w:val="22"/>
          <w:lang w:val="es-ES_tradnl"/>
        </w:rPr>
        <w:t>oncepto</w:t>
      </w:r>
      <w:r w:rsidR="00124F1D">
        <w:rPr>
          <w:rFonts w:ascii="Arial" w:eastAsia="Calibri" w:hAnsi="Arial" w:cs="Arial"/>
          <w:color w:val="000000" w:themeColor="text1"/>
          <w:sz w:val="22"/>
          <w:lang w:val="es-ES_tradnl"/>
        </w:rPr>
        <w:t>s</w:t>
      </w:r>
      <w:r w:rsidR="00803B3E" w:rsidRPr="009544BC">
        <w:rPr>
          <w:rFonts w:ascii="Arial" w:eastAsia="Calibri" w:hAnsi="Arial" w:cs="Arial"/>
          <w:color w:val="000000" w:themeColor="text1"/>
          <w:sz w:val="22"/>
          <w:lang w:val="es-ES_tradnl"/>
        </w:rPr>
        <w:t xml:space="preserve"> C-288 de 17 de junio de 2021</w:t>
      </w:r>
      <w:r w:rsidR="00570AC6">
        <w:rPr>
          <w:rFonts w:ascii="Arial" w:eastAsia="Calibri" w:hAnsi="Arial" w:cs="Arial"/>
          <w:color w:val="000000" w:themeColor="text1"/>
          <w:sz w:val="22"/>
          <w:lang w:val="es-ES_tradnl"/>
        </w:rPr>
        <w:t>,</w:t>
      </w:r>
      <w:r w:rsidR="00437926">
        <w:rPr>
          <w:rFonts w:ascii="Arial" w:eastAsia="Calibri" w:hAnsi="Arial" w:cs="Arial"/>
          <w:color w:val="000000" w:themeColor="text1"/>
          <w:sz w:val="22"/>
          <w:lang w:val="es-ES_tradnl"/>
        </w:rPr>
        <w:t xml:space="preserve"> C-353 del </w:t>
      </w:r>
      <w:r w:rsidR="00DE34D3">
        <w:rPr>
          <w:rFonts w:ascii="Arial" w:eastAsia="Calibri" w:hAnsi="Arial" w:cs="Arial"/>
          <w:color w:val="000000" w:themeColor="text1"/>
          <w:sz w:val="22"/>
          <w:lang w:val="es-ES_tradnl"/>
        </w:rPr>
        <w:t xml:space="preserve">19 de julio de 2021, </w:t>
      </w:r>
      <w:r w:rsidR="00570AC6">
        <w:rPr>
          <w:rFonts w:ascii="Arial" w:eastAsia="Calibri" w:hAnsi="Arial" w:cs="Arial"/>
          <w:color w:val="000000" w:themeColor="text1"/>
          <w:sz w:val="22"/>
          <w:lang w:val="es-ES_tradnl"/>
        </w:rPr>
        <w:t xml:space="preserve">C-366 del </w:t>
      </w:r>
      <w:r w:rsidR="000A58FB">
        <w:rPr>
          <w:rFonts w:ascii="Arial" w:eastAsia="Calibri" w:hAnsi="Arial" w:cs="Arial"/>
          <w:color w:val="000000" w:themeColor="text1"/>
          <w:sz w:val="22"/>
          <w:lang w:val="es-ES_tradnl"/>
        </w:rPr>
        <w:t>26 de julio de 2021</w:t>
      </w:r>
      <w:r w:rsidR="009D1B9B">
        <w:rPr>
          <w:rFonts w:ascii="Arial" w:eastAsia="Calibri" w:hAnsi="Arial" w:cs="Arial"/>
          <w:color w:val="000000" w:themeColor="text1"/>
          <w:sz w:val="22"/>
          <w:lang w:val="es-ES_tradnl"/>
        </w:rPr>
        <w:t xml:space="preserve"> y C-372 del 28 de julio de 2021</w:t>
      </w:r>
      <w:r w:rsidR="00803B3E" w:rsidRPr="009544BC">
        <w:rPr>
          <w:rFonts w:ascii="Arial" w:eastAsia="Calibri" w:hAnsi="Arial" w:cs="Arial"/>
          <w:color w:val="000000" w:themeColor="text1"/>
          <w:sz w:val="22"/>
          <w:lang w:val="es-ES_tradnl"/>
        </w:rPr>
        <w:t xml:space="preserve">. </w:t>
      </w:r>
      <w:r w:rsidR="00BE1BC4" w:rsidRPr="009544BC">
        <w:rPr>
          <w:rFonts w:ascii="Arial" w:eastAsia="Calibri" w:hAnsi="Arial" w:cs="Arial"/>
          <w:color w:val="000000" w:themeColor="text1"/>
          <w:sz w:val="22"/>
          <w:lang w:val="es-ES_tradnl"/>
        </w:rPr>
        <w:t>Las tesis expuestas en los anteriores conceptos se reiteran a continuación y se complementan en lo pertinente.</w:t>
      </w:r>
    </w:p>
    <w:p w14:paraId="522203EE" w14:textId="77777777" w:rsidR="009D1B9B" w:rsidRPr="008A3C8B" w:rsidRDefault="009D1B9B" w:rsidP="009D1B9B">
      <w:pPr>
        <w:spacing w:line="276" w:lineRule="auto"/>
        <w:ind w:firstLine="708"/>
        <w:jc w:val="both"/>
        <w:rPr>
          <w:rFonts w:ascii="Arial" w:eastAsia="Times New Roman" w:hAnsi="Arial" w:cs="Arial"/>
          <w:color w:val="000000" w:themeColor="text1"/>
          <w:sz w:val="22"/>
          <w:lang w:val="es-ES" w:eastAsia="es-ES_tradnl"/>
        </w:rPr>
      </w:pPr>
    </w:p>
    <w:p w14:paraId="32B0E785" w14:textId="13C7F244" w:rsidR="00976D90" w:rsidRDefault="008D5223" w:rsidP="007B09AB">
      <w:pPr>
        <w:tabs>
          <w:tab w:val="left" w:pos="426"/>
          <w:tab w:val="left" w:pos="851"/>
        </w:tabs>
        <w:jc w:val="both"/>
        <w:rPr>
          <w:rFonts w:ascii="Arial" w:eastAsia="Times New Roman" w:hAnsi="Arial" w:cs="Arial"/>
          <w:b/>
          <w:bCs/>
          <w:color w:val="000000" w:themeColor="text1"/>
          <w:sz w:val="22"/>
          <w:lang w:val="es-ES" w:eastAsia="es-ES_tradnl"/>
        </w:rPr>
      </w:pPr>
      <w:r w:rsidRPr="00E579B5">
        <w:rPr>
          <w:rFonts w:ascii="Arial" w:eastAsia="Times New Roman" w:hAnsi="Arial" w:cs="Arial"/>
          <w:b/>
          <w:bCs/>
          <w:color w:val="000000" w:themeColor="text1"/>
          <w:sz w:val="22"/>
          <w:lang w:val="es-ES" w:eastAsia="es-ES_tradnl"/>
        </w:rPr>
        <w:t>2.</w:t>
      </w:r>
      <w:r w:rsidR="00126B57" w:rsidRPr="00E579B5">
        <w:rPr>
          <w:rFonts w:ascii="Arial" w:eastAsia="Times New Roman" w:hAnsi="Arial" w:cs="Arial"/>
          <w:b/>
          <w:bCs/>
          <w:color w:val="000000" w:themeColor="text1"/>
          <w:sz w:val="22"/>
          <w:lang w:val="es-ES" w:eastAsia="es-ES_tradnl"/>
        </w:rPr>
        <w:t>1</w:t>
      </w:r>
      <w:r w:rsidRPr="00E579B5">
        <w:rPr>
          <w:rFonts w:ascii="Arial" w:eastAsia="Times New Roman" w:hAnsi="Arial" w:cs="Arial"/>
          <w:b/>
          <w:bCs/>
          <w:color w:val="000000" w:themeColor="text1"/>
          <w:sz w:val="22"/>
          <w:lang w:val="es-ES" w:eastAsia="es-ES_tradnl"/>
        </w:rPr>
        <w:t xml:space="preserve">. </w:t>
      </w:r>
      <w:r w:rsidR="00976D90" w:rsidRPr="00976D90">
        <w:rPr>
          <w:rFonts w:ascii="Arial" w:eastAsia="Times New Roman" w:hAnsi="Arial" w:cs="Arial"/>
          <w:b/>
          <w:bCs/>
          <w:color w:val="000000" w:themeColor="text1"/>
          <w:sz w:val="22"/>
          <w:lang w:val="es-ES" w:eastAsia="es-ES_tradnl"/>
        </w:rPr>
        <w:t>Requisitos habilitantes</w:t>
      </w:r>
      <w:r w:rsidR="00DB5265">
        <w:rPr>
          <w:rFonts w:ascii="Arial" w:eastAsia="Times New Roman" w:hAnsi="Arial" w:cs="Arial"/>
          <w:b/>
          <w:bCs/>
          <w:color w:val="000000" w:themeColor="text1"/>
          <w:sz w:val="22"/>
          <w:lang w:val="es-ES" w:eastAsia="es-ES_tradnl"/>
        </w:rPr>
        <w:t xml:space="preserve"> como</w:t>
      </w:r>
      <w:r w:rsidR="00976D90" w:rsidRPr="00976D90">
        <w:rPr>
          <w:rFonts w:ascii="Arial" w:eastAsia="Times New Roman" w:hAnsi="Arial" w:cs="Arial"/>
          <w:b/>
          <w:bCs/>
          <w:color w:val="000000" w:themeColor="text1"/>
          <w:sz w:val="22"/>
          <w:lang w:val="es-ES" w:eastAsia="es-ES_tradnl"/>
        </w:rPr>
        <w:t xml:space="preserve"> criterios obligatorios para participar en los procedimientos de selección</w:t>
      </w:r>
      <w:r w:rsidR="00DB5265">
        <w:rPr>
          <w:rFonts w:ascii="Arial" w:eastAsia="Times New Roman" w:hAnsi="Arial" w:cs="Arial"/>
          <w:b/>
          <w:bCs/>
          <w:color w:val="000000" w:themeColor="text1"/>
          <w:sz w:val="22"/>
          <w:lang w:val="es-ES" w:eastAsia="es-ES_tradnl"/>
        </w:rPr>
        <w:t>: e</w:t>
      </w:r>
      <w:r w:rsidR="00221D94">
        <w:rPr>
          <w:rFonts w:ascii="Arial" w:eastAsia="Times New Roman" w:hAnsi="Arial" w:cs="Arial"/>
          <w:b/>
          <w:bCs/>
          <w:color w:val="000000" w:themeColor="text1"/>
          <w:sz w:val="22"/>
          <w:lang w:val="es-ES" w:eastAsia="es-ES_tradnl"/>
        </w:rPr>
        <w:t>special referencia</w:t>
      </w:r>
      <w:r w:rsidR="00B221EE">
        <w:rPr>
          <w:rFonts w:ascii="Arial" w:eastAsia="Times New Roman" w:hAnsi="Arial" w:cs="Arial"/>
          <w:b/>
          <w:bCs/>
          <w:color w:val="000000" w:themeColor="text1"/>
          <w:sz w:val="22"/>
          <w:lang w:val="es-ES" w:eastAsia="es-ES_tradnl"/>
        </w:rPr>
        <w:t xml:space="preserve"> a</w:t>
      </w:r>
      <w:r w:rsidR="00221D94">
        <w:rPr>
          <w:rFonts w:ascii="Arial" w:eastAsia="Times New Roman" w:hAnsi="Arial" w:cs="Arial"/>
          <w:b/>
          <w:bCs/>
          <w:color w:val="000000" w:themeColor="text1"/>
          <w:sz w:val="22"/>
          <w:lang w:val="es-ES" w:eastAsia="es-ES_tradnl"/>
        </w:rPr>
        <w:t xml:space="preserve"> la capacidad financiera y organizacional</w:t>
      </w:r>
    </w:p>
    <w:p w14:paraId="43E5374E" w14:textId="050AC656" w:rsidR="00D17F02" w:rsidRDefault="008A3C8B" w:rsidP="00D17F02">
      <w:pPr>
        <w:spacing w:after="120" w:line="276" w:lineRule="auto"/>
        <w:jc w:val="both"/>
        <w:rPr>
          <w:rFonts w:ascii="Arial" w:eastAsia="Calibri" w:hAnsi="Arial" w:cs="Arial"/>
          <w:color w:val="000000" w:themeColor="text1"/>
          <w:sz w:val="22"/>
          <w:lang w:val="es-ES_tradnl"/>
        </w:rPr>
      </w:pPr>
      <w:r>
        <w:rPr>
          <w:rFonts w:ascii="Arial" w:eastAsia="Calibri" w:hAnsi="Arial" w:cs="Arial"/>
          <w:color w:val="000000"/>
          <w:sz w:val="22"/>
          <w:lang w:val="es-ES"/>
        </w:rPr>
        <w:br/>
      </w:r>
      <w:r w:rsidR="00D17F02">
        <w:rPr>
          <w:rFonts w:ascii="Arial" w:eastAsia="Calibri" w:hAnsi="Arial" w:cs="Arial"/>
          <w:color w:val="000000" w:themeColor="text1"/>
          <w:sz w:val="22"/>
          <w:lang w:val="es-ES_tradnl"/>
        </w:rPr>
        <w:t xml:space="preserve">Los </w:t>
      </w:r>
      <w:r w:rsidR="00D17F02" w:rsidRPr="00407ABC">
        <w:rPr>
          <w:rFonts w:ascii="Arial" w:eastAsia="Calibri" w:hAnsi="Arial" w:cs="Arial"/>
          <w:i/>
          <w:iCs/>
          <w:color w:val="000000" w:themeColor="text1"/>
          <w:sz w:val="22"/>
          <w:lang w:val="es-ES_tradnl"/>
        </w:rPr>
        <w:t>requisitos habilitantes</w:t>
      </w:r>
      <w:r w:rsidR="00D17F02">
        <w:rPr>
          <w:rFonts w:ascii="Arial" w:eastAsia="Calibri" w:hAnsi="Arial" w:cs="Arial"/>
          <w:color w:val="000000" w:themeColor="text1"/>
          <w:sz w:val="22"/>
          <w:lang w:val="es-ES_tradnl"/>
        </w:rPr>
        <w:t xml:space="preserve"> se definen como exigencias de participación en los procedimientos de selección, establecid</w:t>
      </w:r>
      <w:r w:rsidR="00FB3923">
        <w:rPr>
          <w:rFonts w:ascii="Arial" w:eastAsia="Calibri" w:hAnsi="Arial" w:cs="Arial"/>
          <w:color w:val="000000" w:themeColor="text1"/>
          <w:sz w:val="22"/>
          <w:lang w:val="es-ES_tradnl"/>
        </w:rPr>
        <w:t>o</w:t>
      </w:r>
      <w:r w:rsidR="00D17F02">
        <w:rPr>
          <w:rFonts w:ascii="Arial" w:eastAsia="Calibri" w:hAnsi="Arial" w:cs="Arial"/>
          <w:color w:val="000000" w:themeColor="text1"/>
          <w:sz w:val="22"/>
          <w:lang w:val="es-ES_tradnl"/>
        </w:rPr>
        <w:t xml:space="preserve">s en disposiciones normativas, de carácter legal o reglamentario, o contenidas en el acto administrativo que regula las reglas de la convocatoria, es decir, en el pliego de condiciones o el documento equivalente a este. Se diferencian de los </w:t>
      </w:r>
      <w:r w:rsidR="00D17F02" w:rsidRPr="00407ABC">
        <w:rPr>
          <w:rFonts w:ascii="Arial" w:eastAsia="Calibri" w:hAnsi="Arial" w:cs="Arial"/>
          <w:i/>
          <w:iCs/>
          <w:color w:val="000000" w:themeColor="text1"/>
          <w:sz w:val="22"/>
          <w:lang w:val="es-ES_tradnl"/>
        </w:rPr>
        <w:t>criterios de evaluación</w:t>
      </w:r>
      <w:r w:rsidR="00D17F02">
        <w:rPr>
          <w:rFonts w:ascii="Arial" w:eastAsia="Calibri" w:hAnsi="Arial" w:cs="Arial"/>
          <w:color w:val="000000" w:themeColor="text1"/>
          <w:sz w:val="22"/>
          <w:lang w:val="es-ES_tradnl"/>
        </w:rPr>
        <w:t xml:space="preserve"> –también conocidos como </w:t>
      </w:r>
      <w:r w:rsidR="00D17F02" w:rsidRPr="00191E63">
        <w:rPr>
          <w:rFonts w:ascii="Arial" w:eastAsia="Calibri" w:hAnsi="Arial" w:cs="Arial"/>
          <w:i/>
          <w:iCs/>
          <w:color w:val="000000" w:themeColor="text1"/>
          <w:sz w:val="22"/>
          <w:lang w:val="es-ES_tradnl"/>
        </w:rPr>
        <w:t xml:space="preserve">criterios de </w:t>
      </w:r>
      <w:r w:rsidR="00D17F02">
        <w:rPr>
          <w:rFonts w:ascii="Arial" w:eastAsia="Calibri" w:hAnsi="Arial" w:cs="Arial"/>
          <w:i/>
          <w:iCs/>
          <w:color w:val="000000" w:themeColor="text1"/>
          <w:sz w:val="22"/>
          <w:lang w:val="es-ES_tradnl"/>
        </w:rPr>
        <w:t>calificación</w:t>
      </w:r>
      <w:r w:rsidR="00D17F02">
        <w:rPr>
          <w:rFonts w:ascii="Arial" w:eastAsia="Calibri" w:hAnsi="Arial" w:cs="Arial"/>
          <w:color w:val="000000" w:themeColor="text1"/>
          <w:sz w:val="22"/>
          <w:lang w:val="es-ES_tradnl"/>
        </w:rPr>
        <w:t xml:space="preserve">– en que estos son los factores definidos por la entidad estatal para la asignación de puntaje en el momento de la comparación de las ofertas, y que, a partir de su ponderación, permiten establecer el orden de elegibilidad y, por ende, la propuesta ganadora. </w:t>
      </w:r>
    </w:p>
    <w:p w14:paraId="4B8771D8" w14:textId="3D84ED06" w:rsidR="00D17F02" w:rsidRDefault="00D17F02" w:rsidP="00D17F02">
      <w:pPr>
        <w:spacing w:after="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 partir de lo dicho se deduce que los requisitos habilitantes, si bien constituyen obligaciones que los proponentes deben cumplir y acreditar para participar en el procedimiento de selección, no se valoran con un puntaje que determine el orden de escogencia, sino que se analizan como criterios previos a la evaluación en sentido estricto, de manera que quienes no los reúnan no pueden continuar en el procedimiento de selección, o sea, incurren en causal de rechazo. Esto sin perjuicio del derecho que tienen los oferentes de subsanar los defectos que se presenten en la prueba de tales requisitos, de conformidad con el artículo 5, parágrafos 1º al 4º, de la Ley 1150 de 2007.</w:t>
      </w:r>
    </w:p>
    <w:p w14:paraId="4B2A9E6A" w14:textId="735774DC" w:rsidR="00D17F02" w:rsidRPr="004940E3" w:rsidRDefault="00D17F02" w:rsidP="00B61369">
      <w:pPr>
        <w:spacing w:line="276" w:lineRule="auto"/>
        <w:ind w:firstLine="708"/>
        <w:jc w:val="both"/>
        <w:rPr>
          <w:rFonts w:ascii="Arial" w:eastAsia="Calibri" w:hAnsi="Arial" w:cs="Arial"/>
          <w:color w:val="000000" w:themeColor="text1"/>
          <w:sz w:val="22"/>
          <w:lang w:val="es-ES_tradnl"/>
        </w:rPr>
      </w:pPr>
      <w:r w:rsidRPr="004940E3">
        <w:rPr>
          <w:rFonts w:ascii="Arial" w:eastAsia="Calibri" w:hAnsi="Arial" w:cs="Arial"/>
          <w:color w:val="000000" w:themeColor="text1"/>
          <w:sz w:val="22"/>
          <w:lang w:val="es-ES_tradnl"/>
        </w:rPr>
        <w:t xml:space="preserve">El </w:t>
      </w:r>
      <w:r>
        <w:rPr>
          <w:rFonts w:ascii="Arial" w:eastAsia="Calibri" w:hAnsi="Arial" w:cs="Arial"/>
          <w:color w:val="000000" w:themeColor="text1"/>
          <w:sz w:val="22"/>
          <w:lang w:val="es-ES_tradnl"/>
        </w:rPr>
        <w:t>mencionado artículo dispone</w:t>
      </w:r>
      <w:r w:rsidRPr="004940E3">
        <w:rPr>
          <w:rFonts w:ascii="Arial" w:eastAsia="Calibri" w:hAnsi="Arial" w:cs="Arial"/>
          <w:color w:val="000000" w:themeColor="text1"/>
          <w:sz w:val="22"/>
          <w:lang w:val="es-ES_tradnl"/>
        </w:rPr>
        <w:t xml:space="preserve"> que se considera «objetiva la selección en la cual la escogencia se haga al ofrecimiento más favorable a la entidad y a los fines que ella busca, sin tener en consideración factores de afecto o de interés y, en general, cualquier clase de </w:t>
      </w:r>
      <w:r w:rsidRPr="004940E3">
        <w:rPr>
          <w:rFonts w:ascii="Arial" w:eastAsia="Calibri" w:hAnsi="Arial" w:cs="Arial"/>
          <w:color w:val="000000" w:themeColor="text1"/>
          <w:sz w:val="22"/>
          <w:lang w:val="es-ES_tradnl"/>
        </w:rPr>
        <w:lastRenderedPageBreak/>
        <w:t xml:space="preserve">motivación subjetiva». En ese contexto, los factores de escogencia y calificación que establezcan las entidades en los pliegos de condiciones o sus </w:t>
      </w:r>
      <w:r>
        <w:rPr>
          <w:rFonts w:ascii="Arial" w:eastAsia="Calibri" w:hAnsi="Arial" w:cs="Arial"/>
          <w:color w:val="000000" w:themeColor="text1"/>
          <w:sz w:val="22"/>
          <w:lang w:val="es-ES_tradnl"/>
        </w:rPr>
        <w:t xml:space="preserve">documentos </w:t>
      </w:r>
      <w:r w:rsidRPr="004940E3">
        <w:rPr>
          <w:rFonts w:ascii="Arial" w:eastAsia="Calibri" w:hAnsi="Arial" w:cs="Arial"/>
          <w:color w:val="000000" w:themeColor="text1"/>
          <w:sz w:val="22"/>
          <w:lang w:val="es-ES_tradnl"/>
        </w:rPr>
        <w:t>equivalentes</w:t>
      </w:r>
      <w:r>
        <w:rPr>
          <w:rFonts w:ascii="Arial" w:eastAsia="Calibri" w:hAnsi="Arial" w:cs="Arial"/>
          <w:color w:val="000000" w:themeColor="text1"/>
          <w:sz w:val="22"/>
          <w:lang w:val="es-ES_tradnl"/>
        </w:rPr>
        <w:t xml:space="preserve"> </w:t>
      </w:r>
      <w:r w:rsidRPr="004940E3">
        <w:rPr>
          <w:rFonts w:ascii="Arial" w:eastAsia="Calibri" w:hAnsi="Arial" w:cs="Arial"/>
          <w:color w:val="000000" w:themeColor="text1"/>
          <w:sz w:val="22"/>
          <w:lang w:val="es-ES_tradnl"/>
        </w:rPr>
        <w:t xml:space="preserve">deberán tener en cuenta, entre otras cuestiones, los criterios establecidos en </w:t>
      </w:r>
      <w:r>
        <w:rPr>
          <w:rFonts w:ascii="Arial" w:eastAsia="Calibri" w:hAnsi="Arial" w:cs="Arial"/>
          <w:color w:val="000000" w:themeColor="text1"/>
          <w:sz w:val="22"/>
          <w:lang w:val="es-ES_tradnl"/>
        </w:rPr>
        <w:t>dicha disposición</w:t>
      </w:r>
      <w:r w:rsidRPr="004940E3">
        <w:rPr>
          <w:rFonts w:ascii="Arial" w:eastAsia="Calibri" w:hAnsi="Arial" w:cs="Arial"/>
          <w:color w:val="000000" w:themeColor="text1"/>
          <w:sz w:val="22"/>
          <w:lang w:val="es-ES_tradnl"/>
        </w:rPr>
        <w:t>. Específicamente, el numeral 1º de</w:t>
      </w:r>
      <w:r>
        <w:rPr>
          <w:rFonts w:ascii="Arial" w:eastAsia="Calibri" w:hAnsi="Arial" w:cs="Arial"/>
          <w:color w:val="000000" w:themeColor="text1"/>
          <w:sz w:val="22"/>
          <w:lang w:val="es-ES_tradnl"/>
        </w:rPr>
        <w:t xml:space="preserve">l artículo referido </w:t>
      </w:r>
      <w:r w:rsidRPr="004940E3">
        <w:rPr>
          <w:rFonts w:ascii="Arial" w:eastAsia="Calibri" w:hAnsi="Arial" w:cs="Arial"/>
          <w:color w:val="000000" w:themeColor="text1"/>
          <w:sz w:val="22"/>
          <w:lang w:val="es-ES_tradnl"/>
        </w:rPr>
        <w:t xml:space="preserve">establece que en los procesos de selección de contratistas serán objeto de verificación, como requisitos habilitantes, </w:t>
      </w:r>
      <w:r w:rsidRPr="00BF020D">
        <w:rPr>
          <w:rFonts w:ascii="Arial" w:eastAsia="Calibri" w:hAnsi="Arial" w:cs="Arial"/>
          <w:i/>
          <w:iCs/>
          <w:color w:val="000000" w:themeColor="text1"/>
          <w:sz w:val="22"/>
          <w:lang w:val="es-ES_tradnl"/>
        </w:rPr>
        <w:t>entre otros</w:t>
      </w:r>
      <w:r>
        <w:rPr>
          <w:rFonts w:ascii="Arial" w:eastAsia="Calibri" w:hAnsi="Arial" w:cs="Arial"/>
          <w:color w:val="000000" w:themeColor="text1"/>
          <w:sz w:val="22"/>
          <w:lang w:val="es-ES_tradnl"/>
        </w:rPr>
        <w:t xml:space="preserve">, </w:t>
      </w:r>
      <w:r w:rsidRPr="004940E3">
        <w:rPr>
          <w:rFonts w:ascii="Arial" w:eastAsia="Calibri" w:hAnsi="Arial" w:cs="Arial"/>
          <w:color w:val="000000" w:themeColor="text1"/>
          <w:sz w:val="22"/>
          <w:lang w:val="es-ES_tradnl"/>
        </w:rPr>
        <w:t xml:space="preserve">los siguientes: i) la capacidad jurídica; ii) la experiencia; iii) la capacidad financiera y iv) la capacidad de organización. En efecto, la normativa </w:t>
      </w:r>
      <w:r w:rsidRPr="00395970">
        <w:rPr>
          <w:rFonts w:ascii="Arial" w:eastAsia="Calibri" w:hAnsi="Arial" w:cs="Arial"/>
          <w:color w:val="000000" w:themeColor="text1"/>
          <w:sz w:val="22"/>
          <w:lang w:val="es-ES_tradnl"/>
        </w:rPr>
        <w:t>citada</w:t>
      </w:r>
      <w:r w:rsidRPr="004940E3">
        <w:rPr>
          <w:rFonts w:ascii="Arial" w:eastAsia="Calibri" w:hAnsi="Arial" w:cs="Arial"/>
          <w:color w:val="000000" w:themeColor="text1"/>
          <w:sz w:val="22"/>
          <w:lang w:val="es-ES_tradnl"/>
        </w:rPr>
        <w:t xml:space="preserve"> </w:t>
      </w:r>
      <w:r w:rsidR="004E3F3F">
        <w:rPr>
          <w:rFonts w:ascii="Arial" w:eastAsia="Calibri" w:hAnsi="Arial" w:cs="Arial"/>
          <w:color w:val="000000" w:themeColor="text1"/>
          <w:sz w:val="22"/>
          <w:lang w:val="es-ES_tradnl"/>
        </w:rPr>
        <w:t>prescribe lo siguiente</w:t>
      </w:r>
      <w:r w:rsidRPr="004940E3">
        <w:rPr>
          <w:rFonts w:ascii="Arial" w:eastAsia="Calibri" w:hAnsi="Arial" w:cs="Arial"/>
          <w:color w:val="000000" w:themeColor="text1"/>
          <w:sz w:val="22"/>
          <w:lang w:val="es-ES_tradnl"/>
        </w:rPr>
        <w:t xml:space="preserve">: </w:t>
      </w:r>
    </w:p>
    <w:p w14:paraId="3D0C292A" w14:textId="77777777" w:rsidR="00D17F02" w:rsidRPr="004940E3" w:rsidRDefault="00D17F02" w:rsidP="00D17F02">
      <w:pPr>
        <w:jc w:val="both"/>
        <w:rPr>
          <w:rFonts w:ascii="Arial" w:eastAsia="Calibri" w:hAnsi="Arial" w:cs="Arial"/>
          <w:color w:val="000000" w:themeColor="text1"/>
          <w:sz w:val="22"/>
          <w:lang w:val="es-ES_tradnl"/>
        </w:rPr>
      </w:pPr>
    </w:p>
    <w:p w14:paraId="1694163D" w14:textId="77777777" w:rsidR="00D17F02" w:rsidRPr="004940E3" w:rsidRDefault="00D17F02" w:rsidP="00D17F02">
      <w:pPr>
        <w:ind w:left="709" w:right="709"/>
        <w:jc w:val="both"/>
        <w:rPr>
          <w:rFonts w:ascii="Arial" w:eastAsia="Calibri" w:hAnsi="Arial" w:cs="Arial"/>
          <w:color w:val="000000" w:themeColor="text1"/>
          <w:sz w:val="21"/>
          <w:szCs w:val="21"/>
          <w:lang w:val="es-ES_tradnl"/>
        </w:rPr>
      </w:pPr>
      <w:r w:rsidRPr="004940E3">
        <w:rPr>
          <w:rFonts w:ascii="Arial" w:eastAsia="Calibri" w:hAnsi="Arial" w:cs="Arial"/>
          <w:color w:val="000000" w:themeColor="text1"/>
          <w:sz w:val="21"/>
          <w:szCs w:val="21"/>
          <w:lang w:val="es-ES_tradnl"/>
        </w:rPr>
        <w:t xml:space="preserve">Artículo 5. De la Selección Objetiva. </w:t>
      </w:r>
    </w:p>
    <w:p w14:paraId="4A25DDCE" w14:textId="77777777" w:rsidR="00D17F02" w:rsidRPr="004940E3" w:rsidRDefault="00D17F02" w:rsidP="00D17F02">
      <w:pPr>
        <w:spacing w:after="120"/>
        <w:ind w:left="709" w:right="709"/>
        <w:jc w:val="both"/>
        <w:rPr>
          <w:rFonts w:ascii="Arial" w:eastAsia="Calibri" w:hAnsi="Arial" w:cs="Arial"/>
          <w:color w:val="000000" w:themeColor="text1"/>
          <w:sz w:val="21"/>
          <w:szCs w:val="21"/>
          <w:lang w:val="es-ES_tradnl"/>
        </w:rPr>
      </w:pPr>
      <w:r w:rsidRPr="004940E3">
        <w:rPr>
          <w:rFonts w:ascii="Arial" w:eastAsia="Calibri" w:hAnsi="Arial" w:cs="Arial"/>
          <w:color w:val="000000" w:themeColor="text1"/>
          <w:sz w:val="21"/>
          <w:szCs w:val="21"/>
          <w:lang w:val="es-ES_tradnl"/>
        </w:rPr>
        <w:t>[…]</w:t>
      </w:r>
    </w:p>
    <w:p w14:paraId="29BAF1CB" w14:textId="77777777" w:rsidR="00D17F02" w:rsidRDefault="00D17F02" w:rsidP="00D17F02">
      <w:pPr>
        <w:pStyle w:val="Prrafodelista"/>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 xml:space="preserve">1. </w:t>
      </w:r>
      <w:r w:rsidRPr="0093085B">
        <w:rPr>
          <w:rFonts w:ascii="Arial" w:eastAsia="Calibri" w:hAnsi="Arial" w:cs="Arial"/>
          <w:color w:val="000000" w:themeColor="text1"/>
          <w:sz w:val="21"/>
          <w:szCs w:val="21"/>
          <w:lang w:val="es-ES_tradnl"/>
        </w:rPr>
        <w:t>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p>
    <w:p w14:paraId="03DAB6F1" w14:textId="77777777" w:rsidR="00D17F02" w:rsidRPr="00395970" w:rsidRDefault="00D17F02" w:rsidP="00D17F02">
      <w:pPr>
        <w:spacing w:line="276" w:lineRule="auto"/>
        <w:ind w:right="709"/>
        <w:jc w:val="both"/>
        <w:rPr>
          <w:rFonts w:ascii="Arial" w:eastAsia="Calibri" w:hAnsi="Arial" w:cs="Arial"/>
          <w:color w:val="000000" w:themeColor="text1"/>
          <w:sz w:val="22"/>
          <w:lang w:val="es-ES_tradnl"/>
        </w:rPr>
      </w:pPr>
    </w:p>
    <w:p w14:paraId="533DF47B" w14:textId="33FF1736" w:rsidR="0017599F" w:rsidRDefault="00D17F02" w:rsidP="00B61369">
      <w:pPr>
        <w:spacing w:after="120" w:line="276" w:lineRule="auto"/>
        <w:ind w:firstLine="567"/>
        <w:jc w:val="both"/>
        <w:rPr>
          <w:rFonts w:ascii="Arial" w:eastAsia="Times New Roman" w:hAnsi="Arial" w:cs="Arial"/>
          <w:b/>
          <w:bCs/>
          <w:color w:val="000000"/>
          <w:sz w:val="22"/>
          <w:bdr w:val="none" w:sz="0" w:space="0" w:color="auto" w:frame="1"/>
          <w:lang w:val="es-CO" w:eastAsia="es-MX"/>
        </w:rPr>
      </w:pPr>
      <w:r w:rsidRPr="004940E3">
        <w:rPr>
          <w:rFonts w:ascii="Arial" w:hAnsi="Arial" w:cs="Arial"/>
          <w:color w:val="000000" w:themeColor="text1"/>
          <w:sz w:val="22"/>
          <w:lang w:val="es-ES_tradnl"/>
        </w:rPr>
        <w:t xml:space="preserve">Una vez fijados los requisitos </w:t>
      </w:r>
      <w:r>
        <w:rPr>
          <w:rFonts w:ascii="Arial" w:hAnsi="Arial" w:cs="Arial"/>
          <w:color w:val="000000" w:themeColor="text1"/>
          <w:sz w:val="22"/>
          <w:lang w:val="es-ES_tradnl"/>
        </w:rPr>
        <w:t>habilitantes</w:t>
      </w:r>
      <w:r w:rsidRPr="004940E3">
        <w:rPr>
          <w:rFonts w:ascii="Arial" w:hAnsi="Arial" w:cs="Arial"/>
          <w:color w:val="000000" w:themeColor="text1"/>
          <w:sz w:val="22"/>
          <w:lang w:val="es-ES_tradnl"/>
        </w:rPr>
        <w:t xml:space="preserve"> por la entidad estatal, quienes presenten ofertas deben </w:t>
      </w:r>
      <w:r w:rsidRPr="004940E3">
        <w:rPr>
          <w:rFonts w:ascii="Arial" w:hAnsi="Arial" w:cs="Arial"/>
          <w:bCs/>
          <w:i/>
          <w:iCs/>
          <w:color w:val="000000" w:themeColor="text1"/>
          <w:sz w:val="22"/>
          <w:lang w:val="es-ES_tradnl"/>
        </w:rPr>
        <w:t>acreditar</w:t>
      </w:r>
      <w:r w:rsidRPr="004940E3">
        <w:rPr>
          <w:rFonts w:ascii="Arial" w:hAnsi="Arial" w:cs="Arial"/>
          <w:color w:val="000000" w:themeColor="text1"/>
          <w:sz w:val="22"/>
          <w:lang w:val="es-ES_tradnl"/>
        </w:rPr>
        <w:t xml:space="preserve"> que cumplen con los mismos, </w:t>
      </w:r>
      <w:r w:rsidR="00A8401C">
        <w:rPr>
          <w:rFonts w:ascii="Arial" w:hAnsi="Arial" w:cs="Arial"/>
          <w:color w:val="000000" w:themeColor="text1"/>
          <w:sz w:val="22"/>
          <w:lang w:val="es-ES_tradnl"/>
        </w:rPr>
        <w:t>so pena de rechazo</w:t>
      </w:r>
      <w:r w:rsidRPr="004940E3">
        <w:rPr>
          <w:rFonts w:ascii="Arial" w:hAnsi="Arial" w:cs="Arial"/>
          <w:color w:val="000000" w:themeColor="text1"/>
          <w:sz w:val="22"/>
          <w:lang w:val="es-ES_tradnl"/>
        </w:rPr>
        <w:t>.</w:t>
      </w:r>
      <w:r>
        <w:rPr>
          <w:rFonts w:ascii="Arial" w:hAnsi="Arial" w:cs="Arial"/>
          <w:color w:val="000000" w:themeColor="text1"/>
          <w:sz w:val="22"/>
          <w:lang w:val="es-ES_tradnl"/>
        </w:rPr>
        <w:t xml:space="preserve"> </w:t>
      </w:r>
      <w:r>
        <w:rPr>
          <w:rFonts w:ascii="Arial" w:eastAsia="Calibri" w:hAnsi="Arial" w:cs="Arial"/>
          <w:color w:val="000000" w:themeColor="text1"/>
          <w:sz w:val="22"/>
          <w:lang w:val="es-ES_tradnl"/>
        </w:rPr>
        <w:t>El ente encargado de verificar el cumplimiento por parte de los proponentes sobre los requisitos que haya considerado la entidad como habilitantes será la Cámara de Comercio, esto en la medida en que, mediante el Registro Único de Proponentes –RUP–, se pondrá de presente toda la información relacionada con la experiencia, capacidad jurídica, capacidad financiera y organizacional, así como la clasificación del proponente</w:t>
      </w:r>
      <w:r>
        <w:rPr>
          <w:rStyle w:val="Refdenotaalpie"/>
          <w:rFonts w:ascii="Arial" w:eastAsia="Calibri" w:hAnsi="Arial" w:cs="Arial"/>
          <w:color w:val="000000" w:themeColor="text1"/>
          <w:sz w:val="22"/>
          <w:lang w:val="es-ES_tradnl"/>
        </w:rPr>
        <w:footnoteReference w:id="2"/>
      </w:r>
      <w:r>
        <w:rPr>
          <w:rFonts w:ascii="Arial" w:eastAsia="Calibri" w:hAnsi="Arial" w:cs="Arial"/>
          <w:color w:val="000000" w:themeColor="text1"/>
          <w:sz w:val="22"/>
          <w:lang w:val="es-ES_tradnl"/>
        </w:rPr>
        <w:t xml:space="preserve">. De la misma manera es pertinente mencionar que existen determinados procesos donde se excepciona el </w:t>
      </w:r>
      <w:r>
        <w:rPr>
          <w:rFonts w:ascii="Arial" w:eastAsia="Calibri" w:hAnsi="Arial" w:cs="Arial"/>
          <w:color w:val="000000" w:themeColor="text1"/>
          <w:sz w:val="22"/>
          <w:lang w:val="es-ES_tradnl"/>
        </w:rPr>
        <w:lastRenderedPageBreak/>
        <w:t>mencionado registro y la clasificación del proponente, siendo estos los siguientes: contratación directa, contratos para la prestación de servicios de salud, contratos de mínima cuantía, entre otros</w:t>
      </w:r>
      <w:r w:rsidR="003B7A12">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w:t>
      </w:r>
      <w:r w:rsidR="003B7A12">
        <w:rPr>
          <w:rFonts w:ascii="Arial" w:eastAsia="Calibri" w:hAnsi="Arial" w:cs="Arial"/>
          <w:color w:val="000000" w:themeColor="text1"/>
          <w:sz w:val="22"/>
          <w:lang w:val="es-ES_tradnl"/>
        </w:rPr>
        <w:t>conforme</w:t>
      </w:r>
      <w:r>
        <w:rPr>
          <w:rFonts w:ascii="Arial" w:eastAsia="Calibri" w:hAnsi="Arial" w:cs="Arial"/>
          <w:color w:val="000000" w:themeColor="text1"/>
          <w:sz w:val="22"/>
          <w:lang w:val="es-ES_tradnl"/>
        </w:rPr>
        <w:t xml:space="preserve"> </w:t>
      </w:r>
      <w:r w:rsidR="003B7A12">
        <w:rPr>
          <w:rFonts w:ascii="Arial" w:eastAsia="Calibri" w:hAnsi="Arial" w:cs="Arial"/>
          <w:color w:val="000000" w:themeColor="text1"/>
          <w:sz w:val="22"/>
          <w:lang w:val="es-ES_tradnl"/>
        </w:rPr>
        <w:t>a</w:t>
      </w:r>
      <w:r>
        <w:rPr>
          <w:rFonts w:ascii="Arial" w:eastAsia="Calibri" w:hAnsi="Arial" w:cs="Arial"/>
          <w:color w:val="000000" w:themeColor="text1"/>
          <w:sz w:val="22"/>
          <w:lang w:val="es-ES_tradnl"/>
        </w:rPr>
        <w:t>l artículo 6 de la Ley 1150 de 2007</w:t>
      </w:r>
      <w:r>
        <w:rPr>
          <w:rStyle w:val="Refdenotaalpie"/>
          <w:rFonts w:ascii="Arial" w:eastAsia="Calibri" w:hAnsi="Arial" w:cs="Arial"/>
          <w:color w:val="000000" w:themeColor="text1"/>
          <w:sz w:val="22"/>
          <w:lang w:val="es-ES_tradnl"/>
        </w:rPr>
        <w:footnoteReference w:id="3"/>
      </w:r>
      <w:r>
        <w:rPr>
          <w:rFonts w:ascii="Arial" w:eastAsia="Calibri" w:hAnsi="Arial" w:cs="Arial"/>
          <w:color w:val="000000" w:themeColor="text1"/>
          <w:sz w:val="22"/>
          <w:lang w:val="es-ES_tradnl"/>
        </w:rPr>
        <w:t xml:space="preserve">. </w:t>
      </w:r>
    </w:p>
    <w:p w14:paraId="26702819" w14:textId="5BAA6E5C" w:rsidR="0017599F" w:rsidRPr="0017599F" w:rsidRDefault="00770ED6" w:rsidP="00B61369">
      <w:pPr>
        <w:spacing w:before="120" w:after="120" w:line="276" w:lineRule="auto"/>
        <w:ind w:firstLine="567"/>
        <w:jc w:val="both"/>
        <w:rPr>
          <w:rFonts w:ascii="Arial" w:eastAsia="Calibri" w:hAnsi="Arial" w:cs="Arial"/>
          <w:color w:val="000000"/>
          <w:sz w:val="22"/>
          <w:highlight w:val="yellow"/>
        </w:rPr>
      </w:pPr>
      <w:r>
        <w:rPr>
          <w:rFonts w:ascii="Arial" w:eastAsia="Calibri" w:hAnsi="Arial" w:cs="Arial"/>
          <w:color w:val="000000"/>
          <w:sz w:val="22"/>
        </w:rPr>
        <w:t>Dentro de los requisitos habilitantes se destaca la capacidad financiera y organizacional del proponente. Al respecto, l</w:t>
      </w:r>
      <w:r w:rsidR="0017599F" w:rsidRPr="0017599F">
        <w:rPr>
          <w:rFonts w:ascii="Arial" w:eastAsia="Calibri" w:hAnsi="Arial" w:cs="Arial"/>
          <w:color w:val="000000"/>
          <w:sz w:val="22"/>
        </w:rPr>
        <w:t>a entidad, como responsable de la estructuración de su procedimiento de selección, es autónoma para requerir la capacidad financiera y la capacidad organizacional necesaria de acuerdo con el objeto contractual que se pretende satisfacer</w:t>
      </w:r>
      <w:r w:rsidR="0017599F">
        <w:rPr>
          <w:rFonts w:ascii="Arial" w:eastAsia="Calibri" w:hAnsi="Arial" w:cs="Arial"/>
          <w:color w:val="000000"/>
          <w:sz w:val="22"/>
        </w:rPr>
        <w:t>. S</w:t>
      </w:r>
      <w:r w:rsidR="0017599F" w:rsidRPr="0017599F">
        <w:rPr>
          <w:rFonts w:ascii="Arial" w:eastAsia="Calibri" w:hAnsi="Arial" w:cs="Arial"/>
          <w:color w:val="000000"/>
          <w:sz w:val="22"/>
        </w:rPr>
        <w:t>egún el artículo 2.2.1.1.1.6.2 del Decreto 1082 de 2015</w:t>
      </w:r>
      <w:r w:rsidR="0017599F">
        <w:rPr>
          <w:rFonts w:ascii="Arial" w:eastAsia="Calibri" w:hAnsi="Arial" w:cs="Arial"/>
          <w:color w:val="000000"/>
          <w:sz w:val="22"/>
        </w:rPr>
        <w:t>, la entidad debe tener en cuenta</w:t>
      </w:r>
      <w:r w:rsidR="00587301">
        <w:rPr>
          <w:rFonts w:ascii="Arial" w:eastAsia="Calibri" w:hAnsi="Arial" w:cs="Arial"/>
          <w:color w:val="000000"/>
          <w:sz w:val="22"/>
        </w:rPr>
        <w:t>,</w:t>
      </w:r>
      <w:r w:rsidR="0017599F">
        <w:rPr>
          <w:rFonts w:ascii="Arial" w:eastAsia="Calibri" w:hAnsi="Arial" w:cs="Arial"/>
          <w:color w:val="000000"/>
          <w:sz w:val="22"/>
        </w:rPr>
        <w:t xml:space="preserve"> para la determinación de la capacidad financiera y organizaci</w:t>
      </w:r>
      <w:r w:rsidR="00976D90">
        <w:rPr>
          <w:rFonts w:ascii="Arial" w:eastAsia="Calibri" w:hAnsi="Arial" w:cs="Arial"/>
          <w:color w:val="000000"/>
          <w:sz w:val="22"/>
        </w:rPr>
        <w:t>onal</w:t>
      </w:r>
      <w:r w:rsidR="00587301">
        <w:rPr>
          <w:rFonts w:ascii="Arial" w:eastAsia="Calibri" w:hAnsi="Arial" w:cs="Arial"/>
          <w:color w:val="000000"/>
          <w:sz w:val="22"/>
        </w:rPr>
        <w:t>,</w:t>
      </w:r>
      <w:r w:rsidR="0017599F">
        <w:rPr>
          <w:rFonts w:ascii="Arial" w:eastAsia="Calibri" w:hAnsi="Arial" w:cs="Arial"/>
          <w:color w:val="000000"/>
          <w:sz w:val="22"/>
        </w:rPr>
        <w:t xml:space="preserve"> </w:t>
      </w:r>
      <w:r w:rsidR="0017599F" w:rsidRPr="0017599F">
        <w:rPr>
          <w:rFonts w:ascii="Arial" w:eastAsia="Calibri" w:hAnsi="Arial" w:cs="Arial"/>
          <w:color w:val="000000"/>
          <w:sz w:val="22"/>
        </w:rPr>
        <w:t>el estudio del sector y sus componentes como la identificación de riesgos y el mercado y precio del bien, obra o servicio a contratar</w:t>
      </w:r>
      <w:r w:rsidR="0017599F" w:rsidRPr="0017599F">
        <w:rPr>
          <w:rFonts w:ascii="Arial" w:eastAsia="Calibri" w:hAnsi="Arial" w:cs="Arial"/>
          <w:color w:val="000000"/>
          <w:sz w:val="22"/>
          <w:vertAlign w:val="superscript"/>
        </w:rPr>
        <w:footnoteReference w:id="4"/>
      </w:r>
      <w:r w:rsidR="0017599F" w:rsidRPr="0017599F">
        <w:rPr>
          <w:rFonts w:ascii="Arial" w:eastAsia="Calibri" w:hAnsi="Arial" w:cs="Arial"/>
          <w:color w:val="000000"/>
          <w:sz w:val="22"/>
        </w:rPr>
        <w:t>.</w:t>
      </w:r>
    </w:p>
    <w:p w14:paraId="1251A50D" w14:textId="41FE18EF" w:rsidR="009240F5" w:rsidRPr="009240F5" w:rsidRDefault="0017599F">
      <w:pPr>
        <w:spacing w:before="120" w:after="120" w:line="276" w:lineRule="auto"/>
        <w:ind w:firstLine="708"/>
        <w:jc w:val="both"/>
        <w:rPr>
          <w:rFonts w:ascii="Arial" w:eastAsia="Calibri" w:hAnsi="Arial" w:cs="Arial"/>
          <w:color w:val="000000"/>
          <w:sz w:val="22"/>
          <w:szCs w:val="24"/>
          <w:lang w:val="es-ES_tradnl" w:eastAsia="es-ES_tradnl"/>
        </w:rPr>
      </w:pPr>
      <w:r w:rsidRPr="0017599F">
        <w:rPr>
          <w:rFonts w:ascii="Arial" w:eastAsia="Calibri" w:hAnsi="Arial" w:cs="Arial"/>
          <w:color w:val="000000"/>
          <w:sz w:val="22"/>
        </w:rPr>
        <w:t>La capacidad financiera se deriva del comportamiento contable de la empresa, su liquidez y endeudamiento, para determinar</w:t>
      </w:r>
      <w:r w:rsidR="0033408C">
        <w:rPr>
          <w:rFonts w:ascii="Arial" w:eastAsia="Calibri" w:hAnsi="Arial" w:cs="Arial"/>
          <w:color w:val="000000"/>
          <w:sz w:val="22"/>
        </w:rPr>
        <w:t xml:space="preserve"> que</w:t>
      </w:r>
      <w:r w:rsidRPr="0017599F">
        <w:rPr>
          <w:rFonts w:ascii="Arial" w:eastAsia="Calibri" w:hAnsi="Arial" w:cs="Arial"/>
          <w:color w:val="000000"/>
          <w:sz w:val="22"/>
        </w:rPr>
        <w:t xml:space="preserve"> sus recursos y solidez financiera le permita cumplir los compromisos que adquiera</w:t>
      </w:r>
      <w:r>
        <w:rPr>
          <w:rFonts w:ascii="Arial" w:eastAsia="Calibri" w:hAnsi="Arial" w:cs="Arial"/>
          <w:color w:val="000000"/>
          <w:sz w:val="22"/>
        </w:rPr>
        <w:t xml:space="preserve">. </w:t>
      </w:r>
      <w:r w:rsidRPr="0017599F">
        <w:rPr>
          <w:rFonts w:ascii="Arial" w:eastAsia="Calibri" w:hAnsi="Arial" w:cs="Arial"/>
          <w:color w:val="000000"/>
          <w:sz w:val="22"/>
          <w:lang w:val="es-ES_tradnl"/>
        </w:rPr>
        <w:t>Como explic</w:t>
      </w:r>
      <w:r w:rsidR="00D42280">
        <w:rPr>
          <w:rFonts w:ascii="Arial" w:eastAsia="Calibri" w:hAnsi="Arial" w:cs="Arial"/>
          <w:color w:val="000000"/>
          <w:sz w:val="22"/>
          <w:lang w:val="es-ES_tradnl"/>
        </w:rPr>
        <w:t>a</w:t>
      </w:r>
      <w:r w:rsidRPr="0017599F">
        <w:rPr>
          <w:rFonts w:ascii="Arial" w:eastAsia="Calibri" w:hAnsi="Arial" w:cs="Arial"/>
          <w:color w:val="000000"/>
          <w:sz w:val="22"/>
          <w:lang w:val="es-ES_tradnl"/>
        </w:rPr>
        <w:t xml:space="preserve">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sidRPr="0017599F">
        <w:rPr>
          <w:rFonts w:ascii="Arial" w:eastAsia="Calibri" w:hAnsi="Arial" w:cs="Arial"/>
          <w:color w:val="000000"/>
          <w:sz w:val="22"/>
          <w:vertAlign w:val="superscript"/>
          <w:lang w:val="es-ES_tradnl"/>
        </w:rPr>
        <w:footnoteReference w:id="5"/>
      </w:r>
      <w:r w:rsidRPr="0017599F">
        <w:rPr>
          <w:rFonts w:ascii="Arial" w:eastAsia="Calibri" w:hAnsi="Arial" w:cs="Arial"/>
          <w:color w:val="000000"/>
          <w:sz w:val="22"/>
          <w:lang w:val="es-ES_tradnl"/>
        </w:rPr>
        <w:t xml:space="preserve">. </w:t>
      </w:r>
      <w:r w:rsidR="009240F5" w:rsidRPr="009240F5">
        <w:rPr>
          <w:rFonts w:ascii="Arial" w:eastAsia="Calibri" w:hAnsi="Arial" w:cs="Arial"/>
          <w:color w:val="000000"/>
          <w:sz w:val="22"/>
          <w:szCs w:val="24"/>
          <w:lang w:val="es-ES_tradnl" w:eastAsia="es-ES_tradnl"/>
        </w:rPr>
        <w:t xml:space="preserve">La capacidad organizacional, por su parte, «[…] es la aptitud de un proponente para cumplir oportuna y cabalmente el objeto del contrato en función de su organización interna. El Decreto 1082 de 2015 definió los indicadores de rentabilidad para medir la capacidad </w:t>
      </w:r>
      <w:r w:rsidR="009240F5" w:rsidRPr="009240F5">
        <w:rPr>
          <w:rFonts w:ascii="Arial" w:eastAsia="Calibri" w:hAnsi="Arial" w:cs="Arial"/>
          <w:color w:val="000000"/>
          <w:sz w:val="22"/>
          <w:szCs w:val="24"/>
          <w:lang w:val="es-ES_tradnl" w:eastAsia="es-ES_tradnl"/>
        </w:rPr>
        <w:lastRenderedPageBreak/>
        <w:t>organizacional de un proponente teniendo en cuenta que está bien organizado cuando es rentable»</w:t>
      </w:r>
      <w:r w:rsidR="009240F5" w:rsidRPr="009240F5">
        <w:rPr>
          <w:rFonts w:ascii="Arial" w:eastAsia="Calibri" w:hAnsi="Arial" w:cs="Arial"/>
          <w:color w:val="000000"/>
          <w:sz w:val="22"/>
          <w:szCs w:val="24"/>
          <w:vertAlign w:val="superscript"/>
          <w:lang w:val="es-ES_tradnl" w:eastAsia="es-ES_tradnl"/>
        </w:rPr>
        <w:footnoteReference w:id="6"/>
      </w:r>
      <w:r w:rsidR="009240F5" w:rsidRPr="009240F5">
        <w:rPr>
          <w:rFonts w:ascii="Arial" w:eastAsia="Calibri" w:hAnsi="Arial" w:cs="Arial"/>
          <w:color w:val="000000"/>
          <w:sz w:val="22"/>
          <w:szCs w:val="24"/>
          <w:lang w:val="es-ES_tradnl" w:eastAsia="es-ES_tradnl"/>
        </w:rPr>
        <w:t xml:space="preserve">. </w:t>
      </w:r>
    </w:p>
    <w:p w14:paraId="61359925" w14:textId="28215D88" w:rsidR="009240F5" w:rsidRPr="009240F5" w:rsidRDefault="009240F5" w:rsidP="008A3C8B">
      <w:pPr>
        <w:spacing w:before="120" w:after="120" w:line="276" w:lineRule="auto"/>
        <w:ind w:firstLine="709"/>
        <w:jc w:val="both"/>
        <w:rPr>
          <w:rFonts w:ascii="Arial" w:eastAsia="Calibri" w:hAnsi="Arial" w:cs="Arial"/>
          <w:color w:val="000000"/>
          <w:sz w:val="22"/>
          <w:szCs w:val="24"/>
          <w:lang w:val="es-ES_tradnl" w:eastAsia="es-ES_tradnl"/>
        </w:rPr>
      </w:pPr>
      <w:r w:rsidRPr="009240F5">
        <w:rPr>
          <w:rFonts w:ascii="Arial" w:eastAsia="Calibri" w:hAnsi="Arial" w:cs="Arial"/>
          <w:color w:val="000000"/>
          <w:sz w:val="22"/>
          <w:szCs w:val="24"/>
          <w:lang w:val="es-ES_tradnl" w:eastAsia="es-ES_tradnl"/>
        </w:rPr>
        <w:t xml:space="preserve">Respecto </w:t>
      </w:r>
      <w:r w:rsidR="00285AC7">
        <w:rPr>
          <w:rFonts w:ascii="Arial" w:eastAsia="Calibri" w:hAnsi="Arial" w:cs="Arial"/>
          <w:color w:val="000000"/>
          <w:sz w:val="22"/>
          <w:szCs w:val="24"/>
          <w:lang w:val="es-ES_tradnl" w:eastAsia="es-ES_tradnl"/>
        </w:rPr>
        <w:t>a</w:t>
      </w:r>
      <w:r w:rsidRPr="009240F5">
        <w:rPr>
          <w:rFonts w:ascii="Arial" w:eastAsia="Calibri" w:hAnsi="Arial" w:cs="Arial"/>
          <w:color w:val="000000"/>
          <w:sz w:val="22"/>
          <w:szCs w:val="24"/>
          <w:lang w:val="es-ES_tradnl" w:eastAsia="es-ES_tradnl"/>
        </w:rPr>
        <w:t xml:space="preserve"> la capacidad financiera, esta debe </w:t>
      </w:r>
      <w:r w:rsidR="00967B83">
        <w:rPr>
          <w:rFonts w:ascii="Arial" w:eastAsia="Calibri" w:hAnsi="Arial" w:cs="Arial"/>
          <w:color w:val="000000"/>
          <w:sz w:val="22"/>
          <w:szCs w:val="24"/>
          <w:lang w:val="es-ES_tradnl" w:eastAsia="es-ES_tradnl"/>
        </w:rPr>
        <w:t>acreditarse</w:t>
      </w:r>
      <w:r w:rsidR="00967B83" w:rsidRPr="009240F5">
        <w:rPr>
          <w:rFonts w:ascii="Arial" w:eastAsia="Calibri" w:hAnsi="Arial" w:cs="Arial"/>
          <w:color w:val="000000"/>
          <w:sz w:val="22"/>
          <w:szCs w:val="24"/>
          <w:lang w:val="es-ES_tradnl" w:eastAsia="es-ES_tradnl"/>
        </w:rPr>
        <w:t xml:space="preserve"> </w:t>
      </w:r>
      <w:r w:rsidRPr="009240F5">
        <w:rPr>
          <w:rFonts w:ascii="Arial" w:eastAsia="Calibri" w:hAnsi="Arial" w:cs="Arial"/>
          <w:color w:val="000000"/>
          <w:sz w:val="22"/>
          <w:szCs w:val="24"/>
          <w:lang w:val="es-ES_tradnl" w:eastAsia="es-ES_tradnl"/>
        </w:rPr>
        <w:t xml:space="preserve">en el RUP con los estados financieros del proponente, suscritos por el representante legal y el revisor fiscal, si cuenta con </w:t>
      </w:r>
      <w:r w:rsidR="00D64B29">
        <w:rPr>
          <w:rFonts w:ascii="Arial" w:eastAsia="Calibri" w:hAnsi="Arial" w:cs="Arial"/>
          <w:color w:val="000000"/>
          <w:sz w:val="22"/>
          <w:szCs w:val="24"/>
          <w:lang w:val="es-ES_tradnl" w:eastAsia="es-ES_tradnl"/>
        </w:rPr>
        <w:t>tales documentos</w:t>
      </w:r>
      <w:r w:rsidRPr="009240F5">
        <w:rPr>
          <w:rFonts w:ascii="Arial" w:eastAsia="Calibri" w:hAnsi="Arial" w:cs="Arial"/>
          <w:color w:val="000000"/>
          <w:sz w:val="22"/>
          <w:szCs w:val="24"/>
          <w:lang w:val="es-ES_tradnl" w:eastAsia="es-ES_tradnl"/>
        </w:rPr>
        <w:t>. De este modo, lo que se verifica con el</w:t>
      </w:r>
      <w:r w:rsidR="00967B83">
        <w:rPr>
          <w:rFonts w:ascii="Arial" w:eastAsia="Calibri" w:hAnsi="Arial" w:cs="Arial"/>
          <w:color w:val="000000"/>
          <w:sz w:val="22"/>
          <w:szCs w:val="24"/>
          <w:lang w:val="es-ES_tradnl" w:eastAsia="es-ES_tradnl"/>
        </w:rPr>
        <w:t xml:space="preserve"> registro</w:t>
      </w:r>
      <w:r w:rsidRPr="009240F5">
        <w:rPr>
          <w:rFonts w:ascii="Arial" w:eastAsia="Calibri" w:hAnsi="Arial" w:cs="Arial"/>
          <w:color w:val="000000"/>
          <w:sz w:val="22"/>
          <w:szCs w:val="24"/>
          <w:lang w:val="es-ES_tradnl" w:eastAsia="es-ES_tradnl"/>
        </w:rPr>
        <w:t xml:space="preserve"> es que el proponente tenga los indicadores financieros solicitados por la entidad, que le permitan satisfacer la necesidad que se contratará una vez desarrollado el procedimiento de selección. Por otro lado, la capacidad organizacional evalúa la rentabilidad de la empresa, que es directamente proporcional a su organización interna, y también se verifica con el RUP de acuerdo con los indicadores </w:t>
      </w:r>
      <w:r w:rsidR="00526489">
        <w:rPr>
          <w:rFonts w:ascii="Arial" w:eastAsia="Calibri" w:hAnsi="Arial" w:cs="Arial"/>
          <w:color w:val="000000"/>
          <w:sz w:val="22"/>
          <w:szCs w:val="24"/>
          <w:lang w:val="es-ES_tradnl" w:eastAsia="es-ES_tradnl"/>
        </w:rPr>
        <w:t>d</w:t>
      </w:r>
      <w:r w:rsidRPr="009240F5">
        <w:rPr>
          <w:rFonts w:ascii="Arial" w:eastAsia="Calibri" w:hAnsi="Arial" w:cs="Arial"/>
          <w:color w:val="000000"/>
          <w:sz w:val="22"/>
          <w:szCs w:val="24"/>
          <w:lang w:val="es-ES_tradnl" w:eastAsia="es-ES_tradnl"/>
        </w:rPr>
        <w:t>el artículo 2.2.1.1.1.5.3 del Decreto 1082 de 2015.</w:t>
      </w:r>
    </w:p>
    <w:p w14:paraId="6D73F768" w14:textId="6B9A987F" w:rsidR="00976D90" w:rsidRPr="00976D90" w:rsidRDefault="009240F5" w:rsidP="008A3C8B">
      <w:pPr>
        <w:spacing w:before="120" w:after="120" w:line="276" w:lineRule="auto"/>
        <w:ind w:firstLine="708"/>
        <w:jc w:val="both"/>
        <w:rPr>
          <w:rFonts w:ascii="Arial" w:eastAsia="Calibri" w:hAnsi="Arial" w:cs="Arial"/>
          <w:color w:val="000000"/>
          <w:sz w:val="22"/>
          <w:lang w:val="es-ES_tradnl"/>
        </w:rPr>
      </w:pPr>
      <w:r w:rsidRPr="009240F5">
        <w:rPr>
          <w:rFonts w:ascii="Arial" w:eastAsia="Calibri" w:hAnsi="Arial" w:cs="Arial"/>
          <w:color w:val="000000"/>
          <w:sz w:val="22"/>
          <w:szCs w:val="24"/>
          <w:lang w:val="es-ES_tradnl" w:eastAsia="es-ES_tradnl"/>
        </w:rPr>
        <w:t xml:space="preserve">La Agencia Nacional de Contratación Pública – Colombia Compra Eficiente puso a disposición de los interesados el «Manual para determinar y verificar los requisitos habilitantes en los procesos de contratación». En </w:t>
      </w:r>
      <w:r w:rsidR="00590278">
        <w:rPr>
          <w:rFonts w:ascii="Arial" w:eastAsia="Calibri" w:hAnsi="Arial" w:cs="Arial"/>
          <w:color w:val="000000"/>
          <w:sz w:val="22"/>
          <w:szCs w:val="24"/>
          <w:lang w:val="es-ES_tradnl" w:eastAsia="es-ES_tradnl"/>
        </w:rPr>
        <w:t>dicho Manual</w:t>
      </w:r>
      <w:r w:rsidRPr="009240F5">
        <w:rPr>
          <w:rFonts w:ascii="Arial" w:eastAsia="Calibri" w:hAnsi="Arial" w:cs="Arial"/>
          <w:color w:val="000000"/>
          <w:sz w:val="22"/>
          <w:szCs w:val="24"/>
          <w:lang w:val="es-ES_tradnl" w:eastAsia="es-ES_tradnl"/>
        </w:rPr>
        <w:t xml:space="preserve"> se plantean definiciones para cada requisito habilitante y se indican lineamientos orientadores que las entidades pueden considerar para establecerlos, en este caso, para exigir la capacidad financiera y la capacidad organizacional. </w:t>
      </w:r>
      <w:r w:rsidR="00976D90" w:rsidRPr="00976D90">
        <w:rPr>
          <w:rFonts w:ascii="Arial" w:eastAsia="Calibri" w:hAnsi="Arial" w:cs="Arial"/>
          <w:color w:val="000000"/>
          <w:sz w:val="22"/>
          <w:lang w:val="es-ES_tradnl"/>
        </w:rPr>
        <w:t>En ese sentido, la capacidad financiera que la entidad requiera para un proceso de contratación debe ser adecuada y proporcional a la naturaleza y al valor del contrato. Además, los requisitos de capacidad financiera deben ser establecidos con fundamento en los Estudios del Sector.</w:t>
      </w:r>
    </w:p>
    <w:p w14:paraId="14E74C1E" w14:textId="24D930FB" w:rsidR="00976D90" w:rsidRPr="00976D90" w:rsidRDefault="00976D90" w:rsidP="008A3C8B">
      <w:pPr>
        <w:spacing w:before="120" w:after="120" w:line="276" w:lineRule="auto"/>
        <w:ind w:firstLine="709"/>
        <w:jc w:val="both"/>
        <w:rPr>
          <w:rFonts w:ascii="Arial" w:eastAsia="Calibri" w:hAnsi="Arial" w:cs="Arial"/>
          <w:color w:val="000000"/>
          <w:sz w:val="22"/>
          <w:lang w:val="es-ES_tradnl"/>
        </w:rPr>
      </w:pPr>
      <w:r w:rsidRPr="00976D90">
        <w:rPr>
          <w:rFonts w:ascii="Arial" w:eastAsia="Calibri" w:hAnsi="Arial" w:cs="Arial"/>
          <w:color w:val="000000"/>
          <w:sz w:val="22"/>
          <w:lang w:val="es-ES_tradnl"/>
        </w:rPr>
        <w:t xml:space="preserve">En atención a la naturaleza del contrato a suscribir y su valor, plazo y forma de pago, la entidad debe usar los indicadores que considere adecuados respecto del objeto del proceso de contratación, para lo cual no es suficiente la aplicación mecánica de fórmulas financieras, pues deben conocer cada indicador, sus fórmulas de cálculo y su interpretación. Según el artículo 2.2.1.1.1.5.3. del Decreto 1082 de 2015, son indicadores de la capacidad financiera los siguientes: i) el </w:t>
      </w:r>
      <w:r w:rsidRPr="00976D90">
        <w:rPr>
          <w:rFonts w:ascii="Arial" w:eastAsia="Calibri" w:hAnsi="Arial" w:cs="Arial"/>
          <w:i/>
          <w:iCs/>
          <w:color w:val="000000"/>
          <w:sz w:val="22"/>
          <w:lang w:val="es-ES_tradnl"/>
        </w:rPr>
        <w:t>índice de liquidez</w:t>
      </w:r>
      <w:r w:rsidRPr="00976D90">
        <w:rPr>
          <w:rFonts w:ascii="Arial" w:eastAsia="Calibri" w:hAnsi="Arial" w:cs="Arial"/>
          <w:color w:val="000000"/>
          <w:sz w:val="22"/>
          <w:lang w:val="es-ES_tradnl"/>
        </w:rPr>
        <w:t xml:space="preserve">, que corresponde a la división entre el activo corriente y el pasivo corriente, y que determina la capacidad que tiene el proponente para cumplir con sus obligaciones de corto plazo; ii) el </w:t>
      </w:r>
      <w:r w:rsidRPr="00976D90">
        <w:rPr>
          <w:rFonts w:ascii="Arial" w:eastAsia="Calibri" w:hAnsi="Arial" w:cs="Arial"/>
          <w:i/>
          <w:iCs/>
          <w:color w:val="000000"/>
          <w:sz w:val="22"/>
          <w:lang w:val="es-ES_tradnl"/>
        </w:rPr>
        <w:t>índice de endeudamiento</w:t>
      </w:r>
      <w:r w:rsidRPr="00976D90">
        <w:rPr>
          <w:rFonts w:ascii="Arial" w:eastAsia="Calibri" w:hAnsi="Arial" w:cs="Arial"/>
          <w:color w:val="000000"/>
          <w:sz w:val="22"/>
          <w:lang w:val="es-ES_tradnl"/>
        </w:rPr>
        <w:t xml:space="preserve">, que se calcula dividiendo el pasivo total por el activo total, el cual determina el grado de endeudamiento en la estructura de financiación del proponente; y iii) la </w:t>
      </w:r>
      <w:r w:rsidRPr="00976D90">
        <w:rPr>
          <w:rFonts w:ascii="Arial" w:eastAsia="Calibri" w:hAnsi="Arial" w:cs="Arial"/>
          <w:i/>
          <w:iCs/>
          <w:color w:val="000000"/>
          <w:sz w:val="22"/>
          <w:lang w:val="es-ES_tradnl"/>
        </w:rPr>
        <w:t>razón de cobertura de intereses</w:t>
      </w:r>
      <w:r w:rsidRPr="00976D90">
        <w:rPr>
          <w:rFonts w:ascii="Arial" w:eastAsia="Calibri" w:hAnsi="Arial" w:cs="Arial"/>
          <w:color w:val="000000"/>
          <w:sz w:val="22"/>
          <w:lang w:val="es-ES_tradnl"/>
        </w:rPr>
        <w:t xml:space="preserve">, que es igual a la utilidad operacional, sobre los gastos de intereses, y que refleja la capacidad del proponente para cumplir con sus obligaciones financieras. Adicionalmente, </w:t>
      </w:r>
      <w:r w:rsidR="00587301">
        <w:rPr>
          <w:rFonts w:ascii="Arial" w:eastAsia="Calibri" w:hAnsi="Arial" w:cs="Arial"/>
          <w:color w:val="000000"/>
          <w:sz w:val="22"/>
          <w:lang w:val="es-ES_tradnl"/>
        </w:rPr>
        <w:t xml:space="preserve">la Agencia Nacional de Contratación Pública </w:t>
      </w:r>
      <w:r w:rsidR="00B0737D">
        <w:rPr>
          <w:rFonts w:ascii="Arial" w:eastAsia="Calibri" w:hAnsi="Arial" w:cs="Arial"/>
          <w:color w:val="000000"/>
          <w:sz w:val="22"/>
          <w:lang w:val="es-ES_tradnl"/>
        </w:rPr>
        <w:t>–</w:t>
      </w:r>
      <w:r w:rsidR="00587301">
        <w:rPr>
          <w:rFonts w:ascii="Arial" w:eastAsia="Calibri" w:hAnsi="Arial" w:cs="Arial"/>
          <w:color w:val="000000"/>
          <w:sz w:val="22"/>
          <w:lang w:val="es-ES_tradnl"/>
        </w:rPr>
        <w:t xml:space="preserve"> </w:t>
      </w:r>
      <w:r w:rsidRPr="00976D90">
        <w:rPr>
          <w:rFonts w:ascii="Arial" w:eastAsia="Calibri" w:hAnsi="Arial" w:cs="Arial"/>
          <w:color w:val="000000"/>
          <w:sz w:val="22"/>
          <w:lang w:val="es-ES_tradnl"/>
        </w:rPr>
        <w:t xml:space="preserve">Colombia Compra Eficiente recomienda valorar otro tipo </w:t>
      </w:r>
      <w:r w:rsidRPr="00976D90">
        <w:rPr>
          <w:rFonts w:ascii="Arial" w:eastAsia="Calibri" w:hAnsi="Arial" w:cs="Arial"/>
          <w:color w:val="000000"/>
          <w:sz w:val="22"/>
          <w:lang w:val="es-ES_tradnl"/>
        </w:rPr>
        <w:lastRenderedPageBreak/>
        <w:t xml:space="preserve">de indicadores como el </w:t>
      </w:r>
      <w:r w:rsidRPr="00976D90">
        <w:rPr>
          <w:rFonts w:ascii="Arial" w:eastAsia="Calibri" w:hAnsi="Arial" w:cs="Arial"/>
          <w:i/>
          <w:iCs/>
          <w:color w:val="000000"/>
          <w:sz w:val="22"/>
          <w:lang w:val="es-ES_tradnl"/>
        </w:rPr>
        <w:t>capital de trabajo</w:t>
      </w:r>
      <w:r w:rsidRPr="00976D90">
        <w:rPr>
          <w:rFonts w:ascii="Arial" w:eastAsia="Calibri" w:hAnsi="Arial" w:cs="Arial"/>
          <w:color w:val="000000"/>
          <w:sz w:val="22"/>
          <w:lang w:val="es-ES_tradnl"/>
        </w:rPr>
        <w:t xml:space="preserve">, la </w:t>
      </w:r>
      <w:r w:rsidRPr="00976D90">
        <w:rPr>
          <w:rFonts w:ascii="Arial" w:eastAsia="Calibri" w:hAnsi="Arial" w:cs="Arial"/>
          <w:i/>
          <w:iCs/>
          <w:color w:val="000000"/>
          <w:sz w:val="22"/>
          <w:lang w:val="es-ES_tradnl"/>
        </w:rPr>
        <w:t>razón de efectivo</w:t>
      </w:r>
      <w:r w:rsidRPr="00976D90">
        <w:rPr>
          <w:rFonts w:ascii="Arial" w:eastAsia="Calibri" w:hAnsi="Arial" w:cs="Arial"/>
          <w:color w:val="000000"/>
          <w:sz w:val="22"/>
          <w:lang w:val="es-ES_tradnl"/>
        </w:rPr>
        <w:t xml:space="preserve">, la denominada </w:t>
      </w:r>
      <w:r w:rsidRPr="00976D90">
        <w:rPr>
          <w:rFonts w:ascii="Arial" w:eastAsia="Calibri" w:hAnsi="Arial" w:cs="Arial"/>
          <w:i/>
          <w:iCs/>
          <w:color w:val="000000"/>
          <w:sz w:val="22"/>
          <w:lang w:val="es-ES_tradnl"/>
        </w:rPr>
        <w:t>prueba ácida</w:t>
      </w:r>
      <w:r w:rsidRPr="00976D90">
        <w:rPr>
          <w:rFonts w:ascii="Arial" w:eastAsia="Calibri" w:hAnsi="Arial" w:cs="Arial"/>
          <w:color w:val="000000"/>
          <w:sz w:val="22"/>
          <w:vertAlign w:val="superscript"/>
          <w:lang w:val="es-ES_tradnl"/>
        </w:rPr>
        <w:footnoteReference w:id="7"/>
      </w:r>
      <w:r w:rsidRPr="00976D90">
        <w:rPr>
          <w:rFonts w:ascii="Arial" w:eastAsia="Calibri" w:hAnsi="Arial" w:cs="Arial"/>
          <w:color w:val="000000"/>
          <w:sz w:val="22"/>
          <w:lang w:val="es-ES_tradnl"/>
        </w:rPr>
        <w:t xml:space="preserve">, la </w:t>
      </w:r>
      <w:r w:rsidRPr="00976D90">
        <w:rPr>
          <w:rFonts w:ascii="Arial" w:eastAsia="Calibri" w:hAnsi="Arial" w:cs="Arial"/>
          <w:i/>
          <w:iCs/>
          <w:color w:val="000000"/>
          <w:sz w:val="22"/>
          <w:lang w:val="es-ES_tradnl"/>
        </w:rPr>
        <w:t xml:space="preserve">concentración de endeudamiento a corto </w:t>
      </w:r>
      <w:r w:rsidRPr="00976D90">
        <w:rPr>
          <w:rFonts w:ascii="Arial" w:eastAsia="Calibri" w:hAnsi="Arial" w:cs="Arial"/>
          <w:color w:val="000000"/>
          <w:sz w:val="22"/>
          <w:lang w:val="es-ES_tradnl"/>
        </w:rPr>
        <w:t>y</w:t>
      </w:r>
      <w:r w:rsidRPr="00976D90">
        <w:rPr>
          <w:rFonts w:ascii="Arial" w:eastAsia="Calibri" w:hAnsi="Arial" w:cs="Arial"/>
          <w:i/>
          <w:iCs/>
          <w:color w:val="000000"/>
          <w:sz w:val="22"/>
          <w:lang w:val="es-ES_tradnl"/>
        </w:rPr>
        <w:t xml:space="preserve"> a largo plazo</w:t>
      </w:r>
      <w:r w:rsidRPr="00976D90">
        <w:rPr>
          <w:rFonts w:ascii="Arial" w:eastAsia="Calibri" w:hAnsi="Arial" w:cs="Arial"/>
          <w:color w:val="000000"/>
          <w:sz w:val="22"/>
          <w:lang w:val="es-ES_tradnl"/>
        </w:rPr>
        <w:t xml:space="preserve"> y el </w:t>
      </w:r>
      <w:r w:rsidRPr="00976D90">
        <w:rPr>
          <w:rFonts w:ascii="Arial" w:eastAsia="Calibri" w:hAnsi="Arial" w:cs="Arial"/>
          <w:i/>
          <w:iCs/>
          <w:color w:val="000000"/>
          <w:sz w:val="22"/>
          <w:lang w:val="es-ES_tradnl"/>
        </w:rPr>
        <w:t>patrimonio</w:t>
      </w:r>
      <w:r w:rsidR="00AD5E92">
        <w:rPr>
          <w:rStyle w:val="Refdenotaalpie"/>
          <w:rFonts w:ascii="Arial" w:eastAsia="Calibri" w:hAnsi="Arial" w:cs="Arial"/>
          <w:i/>
          <w:iCs/>
          <w:color w:val="000000"/>
          <w:sz w:val="22"/>
          <w:lang w:val="es-ES_tradnl"/>
        </w:rPr>
        <w:footnoteReference w:id="8"/>
      </w:r>
      <w:r w:rsidRPr="00976D90">
        <w:rPr>
          <w:rFonts w:ascii="Arial" w:eastAsia="Calibri" w:hAnsi="Arial" w:cs="Arial"/>
          <w:color w:val="000000"/>
          <w:sz w:val="22"/>
          <w:lang w:val="es-ES_tradnl"/>
        </w:rPr>
        <w:t>.</w:t>
      </w:r>
    </w:p>
    <w:p w14:paraId="085FCDC7" w14:textId="2AEB9380" w:rsidR="00976D90" w:rsidRPr="00976D90" w:rsidRDefault="00976D90" w:rsidP="008A3C8B">
      <w:pPr>
        <w:spacing w:before="120" w:after="120" w:line="276" w:lineRule="auto"/>
        <w:ind w:firstLine="709"/>
        <w:jc w:val="both"/>
        <w:rPr>
          <w:rFonts w:ascii="Arial" w:eastAsia="Calibri" w:hAnsi="Arial" w:cs="Arial"/>
          <w:color w:val="000000"/>
          <w:sz w:val="22"/>
          <w:lang w:val="es-ES_tradnl"/>
        </w:rPr>
      </w:pPr>
      <w:r w:rsidRPr="00976D90">
        <w:rPr>
          <w:rFonts w:ascii="Arial" w:eastAsia="Calibri" w:hAnsi="Arial" w:cs="Arial"/>
          <w:color w:val="000000"/>
          <w:sz w:val="22"/>
          <w:lang w:val="es-ES_tradnl"/>
        </w:rPr>
        <w:t xml:space="preserve">La </w:t>
      </w:r>
      <w:r w:rsidRPr="00976D90">
        <w:rPr>
          <w:rFonts w:ascii="Arial" w:eastAsia="Calibri" w:hAnsi="Arial" w:cs="Arial"/>
          <w:bCs/>
          <w:i/>
          <w:iCs/>
          <w:color w:val="000000"/>
          <w:sz w:val="22"/>
          <w:lang w:val="es-ES_tradnl"/>
        </w:rPr>
        <w:t>capacidad de organización</w:t>
      </w:r>
      <w:r w:rsidRPr="00976D90">
        <w:rPr>
          <w:rFonts w:ascii="Arial" w:eastAsia="Calibri" w:hAnsi="Arial" w:cs="Arial"/>
          <w:color w:val="000000"/>
          <w:sz w:val="22"/>
          <w:lang w:val="es-ES_tradnl"/>
        </w:rPr>
        <w:t xml:space="preserve">, según el «Manual para determinar y verificar los requisitos habilitantes en los Procesos de Contratación», elaborado por </w:t>
      </w:r>
      <w:r w:rsidR="00587301">
        <w:rPr>
          <w:rFonts w:ascii="Arial" w:eastAsia="Calibri" w:hAnsi="Arial" w:cs="Arial"/>
          <w:color w:val="000000"/>
          <w:sz w:val="22"/>
          <w:lang w:val="es-ES_tradnl"/>
        </w:rPr>
        <w:t xml:space="preserve">esta </w:t>
      </w:r>
      <w:r w:rsidRPr="00976D90">
        <w:rPr>
          <w:rFonts w:ascii="Arial" w:eastAsia="Calibri" w:hAnsi="Arial" w:cs="Arial"/>
          <w:color w:val="000000"/>
          <w:sz w:val="22"/>
          <w:lang w:val="es-ES_tradnl"/>
        </w:rPr>
        <w:t xml:space="preserve">Agencia, es «la aptitud de un proponente para cumplir oportuna y cabalmente el objeto del contrato en función de su organización interna». Según el artículo 2.2.1.1.1.5.3., numeral 4, del Decreto 1082 de 2015, los indicadores para medir la capacidad organizacional de un proponente son: por un lado, la </w:t>
      </w:r>
      <w:r w:rsidRPr="00976D90">
        <w:rPr>
          <w:rFonts w:ascii="Arial" w:eastAsia="Calibri" w:hAnsi="Arial" w:cs="Arial"/>
          <w:i/>
          <w:iCs/>
          <w:color w:val="000000"/>
          <w:sz w:val="22"/>
          <w:lang w:val="es-ES_tradnl"/>
        </w:rPr>
        <w:t>rentabilidad del patrimonio</w:t>
      </w:r>
      <w:r w:rsidRPr="00976D90">
        <w:rPr>
          <w:rFonts w:ascii="Arial" w:eastAsia="Calibri" w:hAnsi="Arial" w:cs="Arial"/>
          <w:color w:val="000000"/>
          <w:sz w:val="22"/>
          <w:lang w:val="es-ES_tradnl"/>
        </w:rPr>
        <w:t xml:space="preserve">, que corresponde a la utilidad operacional dividida por el patrimonio, y que determina la rentabilidad del patrimonio del proponente, es decir, la capacidad de generación de utilidad operacional por cada peso invertido en el patrimonio, del tal forma que, a mayor rentabilidad sobre el patrimonio, mayor es la rentabilidad de los accionistas y mejor la capacidad organizacional del proponente. Por el otro, la </w:t>
      </w:r>
      <w:r w:rsidRPr="00976D90">
        <w:rPr>
          <w:rFonts w:ascii="Arial" w:eastAsia="Calibri" w:hAnsi="Arial" w:cs="Arial"/>
          <w:i/>
          <w:iCs/>
          <w:color w:val="000000"/>
          <w:sz w:val="22"/>
          <w:lang w:val="es-ES_tradnl"/>
        </w:rPr>
        <w:t>rentabilidad del activo</w:t>
      </w:r>
      <w:r w:rsidRPr="00976D90">
        <w:rPr>
          <w:rFonts w:ascii="Arial" w:eastAsia="Calibri" w:hAnsi="Arial" w:cs="Arial"/>
          <w:color w:val="000000"/>
          <w:sz w:val="22"/>
          <w:lang w:val="es-ES_tradnl"/>
        </w:rPr>
        <w:t>, que se calcula al dividir la utilidad operacional por el activo total, y que mide la rentabilidad de los activos del proponente, esto es, la capacidad de generación de utilidad operacional por cada peso invertido en el activo, de tal manera que, a mayor rentabilidad sobre activos, mayor es la rentabilidad del negocio y mejor la capacidad organizacional del proponente. Este último indicador debe ser, en todo caso, menor o igual que el referido indicador de rentabilidad sobre patrimonio.</w:t>
      </w:r>
    </w:p>
    <w:p w14:paraId="6067AD8A" w14:textId="1CD50F84" w:rsidR="00976D90" w:rsidRDefault="00976D90" w:rsidP="00B61369">
      <w:pPr>
        <w:spacing w:before="120" w:after="120" w:line="276" w:lineRule="auto"/>
        <w:ind w:firstLine="709"/>
        <w:jc w:val="both"/>
        <w:rPr>
          <w:rFonts w:ascii="Arial" w:eastAsia="Calibri" w:hAnsi="Arial" w:cs="Arial"/>
          <w:color w:val="000000"/>
          <w:sz w:val="22"/>
          <w:szCs w:val="24"/>
          <w:lang w:val="es-ES_tradnl" w:eastAsia="es-ES_tradnl"/>
        </w:rPr>
      </w:pPr>
      <w:r w:rsidRPr="00976D90">
        <w:rPr>
          <w:rFonts w:ascii="Arial" w:eastAsia="Calibri" w:hAnsi="Arial" w:cs="Arial"/>
          <w:color w:val="000000"/>
          <w:sz w:val="22"/>
          <w:lang w:val="es-ES_tradnl"/>
        </w:rPr>
        <w:t>A juicio de esta Agencia, también son relevantes los siguientes indicadores, pero únicamente en aquellos casos en los que, por las características del objeto a contratar, la naturaleza o la complejidad del proceso de contratación, se requieran: i) margen bruto; ii) margen operacional; iii) margen neto; iv) retorno sobre capital invertido; v) rotación de activos totales; vi) rotación de activos fijos; y vii) rotación de inventarios</w:t>
      </w:r>
      <w:r w:rsidR="00230490">
        <w:rPr>
          <w:rStyle w:val="Refdenotaalpie"/>
          <w:rFonts w:ascii="Arial" w:eastAsia="Calibri" w:hAnsi="Arial" w:cs="Arial"/>
          <w:color w:val="000000"/>
          <w:sz w:val="22"/>
          <w:lang w:val="es-ES_tradnl"/>
        </w:rPr>
        <w:footnoteReference w:id="9"/>
      </w:r>
      <w:r w:rsidRPr="00976D90">
        <w:rPr>
          <w:rFonts w:ascii="Arial" w:eastAsia="Calibri" w:hAnsi="Arial" w:cs="Arial"/>
          <w:color w:val="000000"/>
          <w:sz w:val="22"/>
          <w:lang w:val="es-ES_tradnl"/>
        </w:rPr>
        <w:t>.</w:t>
      </w:r>
    </w:p>
    <w:p w14:paraId="30463BB6" w14:textId="64A74912" w:rsidR="009240F5" w:rsidRDefault="009240F5" w:rsidP="00BA5125">
      <w:pPr>
        <w:spacing w:before="120" w:line="276" w:lineRule="auto"/>
        <w:ind w:firstLine="708"/>
        <w:jc w:val="both"/>
        <w:rPr>
          <w:rFonts w:ascii="Arial" w:eastAsia="Calibri" w:hAnsi="Arial" w:cs="Arial"/>
          <w:color w:val="000000"/>
          <w:sz w:val="22"/>
          <w:szCs w:val="24"/>
          <w:lang w:val="es-ES_tradnl" w:eastAsia="es-ES_tradnl"/>
        </w:rPr>
      </w:pPr>
      <w:r w:rsidRPr="009240F5">
        <w:rPr>
          <w:rFonts w:ascii="Arial" w:eastAsia="Calibri" w:hAnsi="Arial" w:cs="Arial"/>
          <w:color w:val="000000"/>
          <w:sz w:val="22"/>
          <w:szCs w:val="24"/>
          <w:lang w:val="es-ES_tradnl" w:eastAsia="es-ES_tradnl"/>
        </w:rPr>
        <w:t>Sobre la capacidad financiera, como requisito habilitante, el Manual señala que sus indicadores deben establecerse de acuerdo con el estudio del sector que le permitió a la entidad conocer cómo se debe ejecutar el objeto contractual, y que es necesario analizar cada fórmula para que la interpretación no sea operativa, sino que su aplicación se base en el entendimiento del resultado y sus implicaciones para el procedimiento contractual</w:t>
      </w:r>
      <w:r w:rsidRPr="009240F5">
        <w:rPr>
          <w:rFonts w:ascii="Arial" w:eastAsia="Calibri" w:hAnsi="Arial" w:cs="Arial"/>
          <w:color w:val="000000"/>
          <w:sz w:val="22"/>
          <w:szCs w:val="24"/>
          <w:vertAlign w:val="superscript"/>
          <w:lang w:val="es-ES_tradnl" w:eastAsia="es-ES_tradnl"/>
        </w:rPr>
        <w:footnoteReference w:id="10"/>
      </w:r>
      <w:r w:rsidRPr="009240F5">
        <w:rPr>
          <w:rFonts w:ascii="Arial" w:eastAsia="Calibri" w:hAnsi="Arial" w:cs="Arial"/>
          <w:color w:val="000000"/>
          <w:sz w:val="22"/>
          <w:szCs w:val="24"/>
          <w:lang w:val="es-ES_tradnl" w:eastAsia="es-ES_tradnl"/>
        </w:rPr>
        <w:t>.</w:t>
      </w:r>
      <w:r w:rsidR="00B144BC">
        <w:rPr>
          <w:rFonts w:ascii="Arial" w:eastAsia="Calibri" w:hAnsi="Arial" w:cs="Arial"/>
          <w:color w:val="000000"/>
          <w:sz w:val="22"/>
          <w:szCs w:val="24"/>
          <w:lang w:val="es-ES_tradnl" w:eastAsia="es-ES_tradnl"/>
        </w:rPr>
        <w:t xml:space="preserve"> </w:t>
      </w:r>
      <w:r w:rsidR="00B144BC">
        <w:rPr>
          <w:rFonts w:ascii="Arial" w:eastAsia="Calibri" w:hAnsi="Arial" w:cs="Arial"/>
          <w:color w:val="000000"/>
          <w:sz w:val="22"/>
          <w:szCs w:val="24"/>
          <w:lang w:val="es-ES_tradnl" w:eastAsia="es-ES_tradnl"/>
        </w:rPr>
        <w:lastRenderedPageBreak/>
        <w:t>Igualmente</w:t>
      </w:r>
      <w:r w:rsidRPr="009240F5">
        <w:rPr>
          <w:rFonts w:ascii="Arial" w:eastAsia="Calibri" w:hAnsi="Arial" w:cs="Arial"/>
          <w:color w:val="000000"/>
          <w:sz w:val="22"/>
          <w:szCs w:val="24"/>
          <w:lang w:val="es-ES_tradnl" w:eastAsia="es-ES_tradnl"/>
        </w:rPr>
        <w:t xml:space="preserve">, la capacidad organizacional se mide </w:t>
      </w:r>
      <w:r w:rsidR="00D90126">
        <w:rPr>
          <w:rFonts w:ascii="Arial" w:eastAsia="Calibri" w:hAnsi="Arial" w:cs="Arial"/>
          <w:color w:val="000000"/>
          <w:sz w:val="22"/>
          <w:szCs w:val="24"/>
          <w:lang w:val="es-ES_tradnl" w:eastAsia="es-ES_tradnl"/>
        </w:rPr>
        <w:t>mediante los siguientes</w:t>
      </w:r>
      <w:r w:rsidRPr="009240F5">
        <w:rPr>
          <w:rFonts w:ascii="Arial" w:eastAsia="Calibri" w:hAnsi="Arial" w:cs="Arial"/>
          <w:color w:val="000000"/>
          <w:sz w:val="22"/>
          <w:szCs w:val="24"/>
          <w:lang w:val="es-ES_tradnl" w:eastAsia="es-ES_tradnl"/>
        </w:rPr>
        <w:t xml:space="preserve"> indicadores: i) rentabilidad del patrimonio y ii) rentabilidad del activo. Sus resultados deben interpretarse observando el riesgo que un indicador alto o bajo representa para el procedimiento. Por ende, la entidad debe establecer unos límites dentro de los cuales se garantice que el proponente pueda cumplir el contrato en caso de celebrarlo</w:t>
      </w:r>
      <w:r w:rsidRPr="009240F5">
        <w:rPr>
          <w:rFonts w:ascii="Arial" w:eastAsia="Calibri" w:hAnsi="Arial" w:cs="Arial"/>
          <w:color w:val="000000"/>
          <w:sz w:val="22"/>
          <w:szCs w:val="24"/>
          <w:vertAlign w:val="superscript"/>
          <w:lang w:val="es-ES_tradnl" w:eastAsia="es-ES_tradnl"/>
        </w:rPr>
        <w:footnoteReference w:id="11"/>
      </w:r>
      <w:r w:rsidRPr="009240F5">
        <w:rPr>
          <w:rFonts w:ascii="Arial" w:eastAsia="Calibri" w:hAnsi="Arial" w:cs="Arial"/>
          <w:color w:val="000000"/>
          <w:sz w:val="22"/>
          <w:szCs w:val="24"/>
          <w:lang w:val="es-ES_tradnl" w:eastAsia="es-ES_tradnl"/>
        </w:rPr>
        <w:t>. No obstante, las entidades estatales son autónomas en la estructuración de sus procedimientos contractuales, por lo cual en sus pliegos de condiciones o documentos equivalentes pueden establecer los indicadores financieros y organizacionales necesarios, siempre que estos sean proporcionales al objeto a ejecutar y al valor del contrato.</w:t>
      </w:r>
    </w:p>
    <w:p w14:paraId="39413C2B" w14:textId="77777777" w:rsidR="00BA5125" w:rsidRPr="009240F5" w:rsidRDefault="00BA5125" w:rsidP="00B61369">
      <w:pPr>
        <w:spacing w:line="276" w:lineRule="auto"/>
        <w:ind w:firstLine="708"/>
        <w:jc w:val="both"/>
        <w:rPr>
          <w:rFonts w:ascii="Arial" w:eastAsia="Calibri" w:hAnsi="Arial" w:cs="Arial"/>
          <w:color w:val="000000"/>
          <w:sz w:val="22"/>
          <w:szCs w:val="24"/>
          <w:lang w:val="es-ES_tradnl" w:eastAsia="es-ES_tradnl"/>
        </w:rPr>
      </w:pPr>
    </w:p>
    <w:p w14:paraId="0CC3A99E" w14:textId="58E7C24D" w:rsidR="00E244A4" w:rsidRDefault="00467C65" w:rsidP="00B61369">
      <w:pPr>
        <w:jc w:val="both"/>
        <w:rPr>
          <w:rFonts w:ascii="Arial" w:eastAsia="Calibri" w:hAnsi="Arial" w:cs="Arial"/>
          <w:b/>
          <w:bCs/>
          <w:color w:val="000000" w:themeColor="text1"/>
          <w:sz w:val="22"/>
          <w:lang w:val="es-ES_tradnl"/>
        </w:rPr>
      </w:pPr>
      <w:r w:rsidRPr="00E579B5">
        <w:rPr>
          <w:rFonts w:ascii="Arial" w:hAnsi="Arial" w:cs="Arial"/>
          <w:b/>
          <w:color w:val="000000" w:themeColor="text1"/>
          <w:sz w:val="22"/>
          <w:lang w:val="es-ES_tradnl"/>
        </w:rPr>
        <w:t>2.</w:t>
      </w:r>
      <w:r w:rsidR="00C74D17" w:rsidRPr="00E579B5">
        <w:rPr>
          <w:rFonts w:ascii="Arial" w:hAnsi="Arial" w:cs="Arial"/>
          <w:b/>
          <w:color w:val="000000" w:themeColor="text1"/>
          <w:sz w:val="22"/>
          <w:lang w:val="es-ES_tradnl"/>
        </w:rPr>
        <w:t>2</w:t>
      </w:r>
      <w:r w:rsidRPr="00E579B5">
        <w:rPr>
          <w:rFonts w:ascii="Arial" w:hAnsi="Arial" w:cs="Arial"/>
          <w:b/>
          <w:color w:val="000000" w:themeColor="text1"/>
          <w:sz w:val="22"/>
          <w:lang w:val="es-ES_tradnl"/>
        </w:rPr>
        <w:t xml:space="preserve">. </w:t>
      </w:r>
      <w:r w:rsidR="009240F5">
        <w:rPr>
          <w:rFonts w:ascii="Arial" w:hAnsi="Arial" w:cs="Arial"/>
          <w:b/>
          <w:color w:val="000000" w:themeColor="text1"/>
          <w:sz w:val="22"/>
          <w:lang w:val="es-ES_tradnl"/>
        </w:rPr>
        <w:t xml:space="preserve"> </w:t>
      </w:r>
      <w:r w:rsidR="00E41D5C" w:rsidRPr="00AC7A12">
        <w:rPr>
          <w:rFonts w:ascii="Arial" w:eastAsia="Calibri" w:hAnsi="Arial" w:cs="Arial"/>
          <w:b/>
          <w:bCs/>
          <w:color w:val="000000" w:themeColor="text1"/>
          <w:sz w:val="22"/>
          <w:lang w:val="es-ES_tradnl"/>
        </w:rPr>
        <w:t xml:space="preserve">Modificaciones introducidas </w:t>
      </w:r>
      <w:r w:rsidR="00E41D5C" w:rsidRPr="00F374C8">
        <w:rPr>
          <w:rFonts w:ascii="Arial" w:eastAsia="Calibri" w:hAnsi="Arial" w:cs="Arial"/>
          <w:b/>
          <w:bCs/>
          <w:color w:val="000000" w:themeColor="text1"/>
          <w:sz w:val="22"/>
          <w:lang w:val="es-ES_tradnl"/>
        </w:rPr>
        <w:t xml:space="preserve">por </w:t>
      </w:r>
      <w:r w:rsidR="00E41D5C" w:rsidRPr="00EA3C17">
        <w:rPr>
          <w:rFonts w:ascii="Arial" w:eastAsia="Calibri" w:hAnsi="Arial" w:cs="Arial"/>
          <w:b/>
          <w:bCs/>
          <w:color w:val="000000" w:themeColor="text1"/>
          <w:sz w:val="22"/>
          <w:lang w:val="es-ES_tradnl"/>
        </w:rPr>
        <w:t>los Decretos 399 de 2021 y 579 de 2021</w:t>
      </w:r>
      <w:r w:rsidR="00E41D5C" w:rsidRPr="007B6008">
        <w:rPr>
          <w:rFonts w:ascii="Arial" w:eastAsia="Calibri" w:hAnsi="Arial" w:cs="Arial"/>
          <w:b/>
          <w:bCs/>
          <w:color w:val="000000" w:themeColor="text1"/>
          <w:sz w:val="22"/>
          <w:lang w:val="es-ES_tradnl"/>
        </w:rPr>
        <w:t>,</w:t>
      </w:r>
      <w:r w:rsidR="00E41D5C" w:rsidRPr="00AC7A12">
        <w:rPr>
          <w:rFonts w:ascii="Arial" w:eastAsia="Calibri" w:hAnsi="Arial" w:cs="Arial"/>
          <w:b/>
          <w:bCs/>
          <w:color w:val="000000" w:themeColor="text1"/>
          <w:sz w:val="22"/>
          <w:lang w:val="es-ES_tradnl"/>
        </w:rPr>
        <w:t xml:space="preserve"> frente a la información del RUP, así como a la verificación de la capacidad financiera y organizacional del proponente</w:t>
      </w:r>
    </w:p>
    <w:p w14:paraId="30B4B1D6" w14:textId="77777777" w:rsidR="00831E9C" w:rsidRDefault="00831E9C" w:rsidP="00D81278">
      <w:pPr>
        <w:spacing w:line="276" w:lineRule="auto"/>
        <w:jc w:val="both"/>
        <w:rPr>
          <w:rFonts w:ascii="Arial" w:eastAsia="Calibri" w:hAnsi="Arial" w:cs="Arial"/>
          <w:color w:val="000000"/>
          <w:sz w:val="22"/>
          <w:lang w:val="es-ES_tradnl" w:eastAsia="es-ES_tradnl"/>
        </w:rPr>
      </w:pPr>
      <w:bookmarkStart w:id="5" w:name="_Hlk45531972"/>
    </w:p>
    <w:p w14:paraId="26053C8D" w14:textId="1C6E813C" w:rsidR="00770ED6" w:rsidRDefault="00770ED6" w:rsidP="00D81278">
      <w:pPr>
        <w:spacing w:line="276" w:lineRule="auto"/>
        <w:jc w:val="both"/>
        <w:rPr>
          <w:rFonts w:ascii="Arial" w:eastAsia="Calibri" w:hAnsi="Arial" w:cs="Arial"/>
          <w:color w:val="000000"/>
          <w:sz w:val="22"/>
          <w:lang w:val="es-ES_tradnl" w:eastAsia="es-ES_tradnl"/>
        </w:rPr>
      </w:pPr>
      <w:r w:rsidRPr="00770ED6">
        <w:rPr>
          <w:rFonts w:ascii="Arial" w:eastAsia="Calibri" w:hAnsi="Arial" w:cs="Arial"/>
          <w:color w:val="000000"/>
          <w:sz w:val="22"/>
          <w:lang w:val="es-ES_tradnl" w:eastAsia="es-ES_tradnl"/>
        </w:rPr>
        <w:t xml:space="preserve">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–a partir de la modificación posteriormente introducida por el Decreto 579 de 2021– que a partir del 1 de </w:t>
      </w:r>
      <w:r w:rsidRPr="00770ED6">
        <w:rPr>
          <w:rFonts w:ascii="Arial" w:eastAsia="Calibri" w:hAnsi="Arial" w:cs="Arial"/>
          <w:i/>
          <w:iCs/>
          <w:color w:val="000000"/>
          <w:sz w:val="22"/>
          <w:lang w:val="es-ES_tradnl" w:eastAsia="es-ES_tradnl"/>
        </w:rPr>
        <w:t>julio</w:t>
      </w:r>
      <w:r w:rsidRPr="00770ED6">
        <w:rPr>
          <w:rFonts w:ascii="Arial" w:eastAsia="Calibri" w:hAnsi="Arial" w:cs="Arial"/>
          <w:color w:val="000000"/>
          <w:sz w:val="22"/>
          <w:lang w:val="es-ES_tradnl" w:eastAsia="es-ES_tradnl"/>
        </w:rPr>
        <w:t xml:space="preserve"> de 2021 las entidades estatales deberán tener en cuenta los datos sobre la capacidad financiera y organizacional de los últimos tres años, consignada en el RUP</w:t>
      </w:r>
      <w:r w:rsidR="00252E36" w:rsidRPr="00770ED6">
        <w:rPr>
          <w:rFonts w:ascii="Arial" w:eastAsia="Calibri" w:hAnsi="Arial" w:cs="Arial"/>
          <w:color w:val="000000"/>
          <w:sz w:val="22"/>
          <w:vertAlign w:val="superscript"/>
          <w:lang w:val="es-ES_tradnl" w:eastAsia="es-ES_tradnl"/>
        </w:rPr>
        <w:footnoteReference w:id="12"/>
      </w:r>
      <w:r w:rsidRPr="00770ED6">
        <w:rPr>
          <w:rFonts w:ascii="Arial" w:eastAsia="Calibri" w:hAnsi="Arial" w:cs="Arial"/>
          <w:color w:val="000000"/>
          <w:sz w:val="22"/>
          <w:lang w:val="es-ES_tradnl" w:eastAsia="es-ES_tradnl"/>
        </w:rPr>
        <w:t>. Así lo justifica textualmente el reglamento mencionado, en sus consideraciones:</w:t>
      </w:r>
    </w:p>
    <w:p w14:paraId="55D4A0FA" w14:textId="77777777" w:rsidR="00831E9C" w:rsidRPr="008A3C8B" w:rsidRDefault="00831E9C" w:rsidP="00B61369">
      <w:pPr>
        <w:spacing w:line="276" w:lineRule="auto"/>
        <w:jc w:val="both"/>
        <w:rPr>
          <w:rFonts w:ascii="Arial" w:eastAsia="Calibri" w:hAnsi="Arial" w:cs="Arial"/>
          <w:color w:val="000000"/>
          <w:sz w:val="22"/>
          <w:lang w:val="es-ES_tradnl" w:eastAsia="es-ES_tradnl"/>
        </w:rPr>
      </w:pPr>
    </w:p>
    <w:p w14:paraId="77B0A06E" w14:textId="27731F76" w:rsidR="00770ED6" w:rsidRPr="00770ED6" w:rsidRDefault="00770ED6" w:rsidP="00B61369">
      <w:pPr>
        <w:spacing w:after="120"/>
        <w:ind w:left="709" w:right="709"/>
        <w:jc w:val="both"/>
        <w:rPr>
          <w:rFonts w:ascii="Arial" w:eastAsia="Calibri" w:hAnsi="Arial" w:cs="Arial"/>
          <w:color w:val="000000"/>
          <w:sz w:val="21"/>
          <w:szCs w:val="21"/>
          <w:lang w:val="es-ES_tradnl" w:eastAsia="es-ES_tradnl"/>
        </w:rPr>
      </w:pPr>
      <w:r w:rsidRPr="00770ED6">
        <w:rPr>
          <w:rFonts w:ascii="Arial" w:eastAsia="Calibri" w:hAnsi="Arial" w:cs="Arial"/>
          <w:color w:val="000000"/>
          <w:sz w:val="21"/>
          <w:szCs w:val="21"/>
          <w:lang w:val="es-ES_tradnl" w:eastAsia="es-ES_tradnl"/>
        </w:rPr>
        <w:t>Que debido al impacto negativo en la economía del país, generado por la pandemia del COVID-19, reconociendo la realidad financiera de muchas de las personas naturales y jurídicas que fueron afectadas por ella y con la finalidad de permitir la reactivación económica, es conveniente modificar transitoriamente algunos artículos del Decreto 1082 de 2015, para que el Registro Único de Proponentes contenga información financiera de los oferentes en relación con los últimos tres (3) años y no solo del último año, lo cual aplicaría para las inscripciones y renovaciones que se realicen en los años 2021 y 2022.</w:t>
      </w:r>
    </w:p>
    <w:p w14:paraId="11CB8DF1" w14:textId="7B04CFF7" w:rsidR="00770ED6" w:rsidRPr="00770ED6" w:rsidRDefault="00770ED6" w:rsidP="00B61369">
      <w:pPr>
        <w:spacing w:after="120"/>
        <w:ind w:left="709" w:right="709"/>
        <w:jc w:val="both"/>
        <w:rPr>
          <w:rFonts w:ascii="Arial" w:eastAsia="Calibri" w:hAnsi="Arial" w:cs="Arial"/>
          <w:color w:val="000000"/>
          <w:sz w:val="21"/>
          <w:szCs w:val="21"/>
          <w:lang w:val="es-ES_tradnl" w:eastAsia="es-ES_tradnl"/>
        </w:rPr>
      </w:pPr>
      <w:r w:rsidRPr="00770ED6">
        <w:rPr>
          <w:rFonts w:ascii="Arial" w:eastAsia="Calibri" w:hAnsi="Arial" w:cs="Arial"/>
          <w:color w:val="000000"/>
          <w:sz w:val="21"/>
          <w:szCs w:val="21"/>
          <w:lang w:val="es-ES_tradnl" w:eastAsia="es-ES_tradnl"/>
        </w:rPr>
        <w:t xml:space="preserve">Que la modificación anterior brindará herramientas adicionales a las entidades estatales para que, en su deber de planeación y de análisis del sector, determinen los requisitos habilitantes exigibles en sus procedimientos de selección, particularmente, en relación con la capacidad financiera y organizacional de los proponentes. Lo anterior, teniendo en cuenta la situación actual derivada de la pandemia del COVID-19, toda vez que la mayoría de </w:t>
      </w:r>
      <w:proofErr w:type="gramStart"/>
      <w:r w:rsidRPr="00770ED6">
        <w:rPr>
          <w:rFonts w:ascii="Arial" w:eastAsia="Calibri" w:hAnsi="Arial" w:cs="Arial"/>
          <w:color w:val="000000"/>
          <w:sz w:val="21"/>
          <w:szCs w:val="21"/>
          <w:lang w:val="es-ES_tradnl" w:eastAsia="es-ES_tradnl"/>
        </w:rPr>
        <w:t>sectores</w:t>
      </w:r>
      <w:proofErr w:type="gramEnd"/>
      <w:r w:rsidRPr="00770ED6">
        <w:rPr>
          <w:rFonts w:ascii="Arial" w:eastAsia="Calibri" w:hAnsi="Arial" w:cs="Arial"/>
          <w:color w:val="000000"/>
          <w:sz w:val="21"/>
          <w:szCs w:val="21"/>
          <w:lang w:val="es-ES_tradnl" w:eastAsia="es-ES_tradnl"/>
        </w:rPr>
        <w:t xml:space="preserve"> económicos han sufrido efectos negativos a causa de esta.</w:t>
      </w:r>
    </w:p>
    <w:p w14:paraId="2D89A26A" w14:textId="1084617E" w:rsidR="00770ED6" w:rsidRPr="00770ED6" w:rsidRDefault="00770ED6" w:rsidP="00B61369">
      <w:pPr>
        <w:spacing w:after="120"/>
        <w:ind w:left="709" w:right="709"/>
        <w:jc w:val="both"/>
        <w:rPr>
          <w:rFonts w:ascii="Arial" w:eastAsia="Calibri" w:hAnsi="Arial" w:cs="Arial"/>
          <w:color w:val="000000"/>
          <w:sz w:val="21"/>
          <w:szCs w:val="21"/>
          <w:lang w:val="es-ES_tradnl" w:eastAsia="es-ES_tradnl"/>
        </w:rPr>
      </w:pPr>
      <w:r w:rsidRPr="00770ED6">
        <w:rPr>
          <w:rFonts w:ascii="Arial" w:eastAsia="Calibri" w:hAnsi="Arial" w:cs="Arial"/>
          <w:color w:val="000000"/>
          <w:sz w:val="21"/>
          <w:szCs w:val="21"/>
          <w:lang w:val="es-ES_tradnl" w:eastAsia="es-ES_tradnl"/>
        </w:rPr>
        <w:t>Que en armonía con lo anterior, para los procesos de selección cuyo acto administrativo de apertura o invitación se publique a partir del 1 de septiembre de 2021, las entidades estatales al estructurar sus procedimientos de selección tendrán en cuenta la información vigente y en firme que conste en el RUP, por lo que al evaluar las ofertas verificarán el cumplimiento de los requisitos habilitantes de capacidad financiera y organizacional, con los indicadores del mejor año que se refleje en el registro de cada proponente. De esta manera, los oferentes podrán acreditar el cumplimiento de estos requisitos habilitantes con los mejores indicadores de los últimos tres (3) años.</w:t>
      </w:r>
    </w:p>
    <w:p w14:paraId="14288F3B" w14:textId="77777777" w:rsidR="00770ED6" w:rsidRPr="00770ED6" w:rsidRDefault="00770ED6" w:rsidP="007B09AB">
      <w:pPr>
        <w:ind w:left="709" w:right="709"/>
        <w:jc w:val="both"/>
        <w:rPr>
          <w:rFonts w:ascii="Arial" w:eastAsia="Calibri" w:hAnsi="Arial" w:cs="Arial"/>
          <w:color w:val="000000"/>
          <w:sz w:val="21"/>
          <w:szCs w:val="21"/>
          <w:lang w:val="es-ES_tradnl" w:eastAsia="es-ES_tradnl"/>
        </w:rPr>
      </w:pPr>
      <w:r w:rsidRPr="00770ED6">
        <w:rPr>
          <w:rFonts w:ascii="Arial" w:eastAsia="Calibri" w:hAnsi="Arial" w:cs="Arial"/>
          <w:color w:val="000000"/>
          <w:sz w:val="21"/>
          <w:szCs w:val="21"/>
          <w:lang w:val="es-ES_tradnl" w:eastAsia="es-ES_tradnl"/>
        </w:rPr>
        <w:t>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p>
    <w:p w14:paraId="730B9249" w14:textId="77777777" w:rsidR="00770ED6" w:rsidRPr="00770ED6" w:rsidRDefault="00770ED6" w:rsidP="00B61369">
      <w:pPr>
        <w:spacing w:line="276" w:lineRule="auto"/>
        <w:jc w:val="both"/>
        <w:rPr>
          <w:rFonts w:ascii="Arial" w:eastAsia="Calibri" w:hAnsi="Arial" w:cs="Arial"/>
          <w:color w:val="000000"/>
          <w:sz w:val="22"/>
          <w:lang w:val="es-ES_tradnl" w:eastAsia="es-ES_tradnl"/>
        </w:rPr>
      </w:pPr>
    </w:p>
    <w:p w14:paraId="67710636" w14:textId="37B678DF" w:rsidR="00E74FBB" w:rsidRPr="00AC7A12" w:rsidRDefault="00E74FBB" w:rsidP="00E74FBB">
      <w:pPr>
        <w:spacing w:line="276" w:lineRule="auto"/>
        <w:ind w:firstLine="708"/>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En tal sentido, el artículo 4 del Decreto 399 de 2021 adicionó dos parágrafos transitorios al artículo 2.2.1.1.1.5.2. del Decreto 1082 de 2015, que a su vez fueron sustituidos posteriormente por el artículo 1 del Decreto 579 del 31 de mayo de 2021</w:t>
      </w:r>
      <w:r w:rsidRPr="00AC7A12">
        <w:rPr>
          <w:rStyle w:val="Refdenotaalpie"/>
          <w:rFonts w:ascii="Arial" w:eastAsia="Calibri" w:hAnsi="Arial" w:cs="Arial"/>
          <w:color w:val="000000" w:themeColor="text1"/>
          <w:sz w:val="22"/>
          <w:lang w:val="es-ES_tradnl"/>
        </w:rPr>
        <w:footnoteReference w:id="13"/>
      </w:r>
      <w:r w:rsidRPr="00AC7A12">
        <w:rPr>
          <w:rFonts w:ascii="Arial" w:eastAsia="Calibri" w:hAnsi="Arial" w:cs="Arial"/>
          <w:color w:val="000000" w:themeColor="text1"/>
          <w:sz w:val="22"/>
          <w:lang w:val="es-ES_tradnl"/>
        </w:rPr>
        <w:t xml:space="preserve">. El </w:t>
      </w:r>
      <w:r w:rsidRPr="00AC7A12">
        <w:rPr>
          <w:rFonts w:ascii="Arial" w:eastAsia="Calibri" w:hAnsi="Arial" w:cs="Arial"/>
          <w:color w:val="000000" w:themeColor="text1"/>
          <w:sz w:val="22"/>
          <w:lang w:val="es-ES_tradnl"/>
        </w:rPr>
        <w:lastRenderedPageBreak/>
        <w:t xml:space="preserve">parágrafo transitorio 1 establece que desde el 1 de junio de 2021 los interesados en inscribirse en el RUP deben reportar la información contable y los estados financieros de los tres últimos años fiscales. </w:t>
      </w:r>
      <w:r>
        <w:rPr>
          <w:rFonts w:ascii="Arial" w:eastAsia="Calibri" w:hAnsi="Arial" w:cs="Arial"/>
          <w:color w:val="000000" w:themeColor="text1"/>
          <w:sz w:val="22"/>
          <w:lang w:val="es-ES_tradnl"/>
        </w:rPr>
        <w:t>Sin embargo</w:t>
      </w:r>
      <w:r w:rsidRPr="00AC7A12">
        <w:rPr>
          <w:rFonts w:ascii="Arial" w:eastAsia="Calibri" w:hAnsi="Arial" w:cs="Arial"/>
          <w:color w:val="000000" w:themeColor="text1"/>
          <w:sz w:val="22"/>
          <w:lang w:val="es-ES_tradnl"/>
        </w:rPr>
        <w:t xml:space="preserve">, si el interesado no tiene una antigüedad de tres años, podrá acreditar dicha información desde el primer cierre fiscal. </w:t>
      </w:r>
      <w:r w:rsidR="00A0720A">
        <w:rPr>
          <w:rFonts w:ascii="Arial" w:eastAsia="Calibri" w:hAnsi="Arial" w:cs="Arial"/>
          <w:color w:val="000000" w:themeColor="text1"/>
          <w:sz w:val="22"/>
          <w:lang w:val="es-ES_tradnl"/>
        </w:rPr>
        <w:t>Además, d</w:t>
      </w:r>
      <w:r w:rsidRPr="00AC7A12">
        <w:rPr>
          <w:rFonts w:ascii="Arial" w:eastAsia="Calibri" w:hAnsi="Arial" w:cs="Arial"/>
          <w:color w:val="000000" w:themeColor="text1"/>
          <w:sz w:val="22"/>
          <w:lang w:val="es-ES_tradnl"/>
        </w:rPr>
        <w:t xml:space="preserve">icho parágrafo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w:t>
      </w:r>
      <w:proofErr w:type="gramStart"/>
      <w:r w:rsidRPr="00AC7A12">
        <w:rPr>
          <w:rFonts w:ascii="Arial" w:eastAsia="Calibri" w:hAnsi="Arial" w:cs="Arial"/>
          <w:color w:val="000000" w:themeColor="text1"/>
          <w:sz w:val="22"/>
          <w:lang w:val="es-ES_tradnl"/>
        </w:rPr>
        <w:t>que</w:t>
      </w:r>
      <w:proofErr w:type="gramEnd"/>
      <w:r w:rsidRPr="00AC7A12">
        <w:rPr>
          <w:rFonts w:ascii="Arial" w:eastAsia="Calibri" w:hAnsi="Arial" w:cs="Arial"/>
          <w:color w:val="000000" w:themeColor="text1"/>
          <w:sz w:val="22"/>
          <w:lang w:val="es-ES_tradnl"/>
        </w:rPr>
        <w:t xml:space="preserve"> si el proponente tiene registrada la información de dichos años en la cámara de comercio, no deberá presentar </w:t>
      </w:r>
      <w:r>
        <w:rPr>
          <w:rFonts w:ascii="Arial" w:eastAsia="Calibri" w:hAnsi="Arial" w:cs="Arial"/>
          <w:color w:val="000000" w:themeColor="text1"/>
          <w:sz w:val="22"/>
          <w:lang w:val="es-ES_tradnl"/>
        </w:rPr>
        <w:t>esta información</w:t>
      </w:r>
      <w:r w:rsidRPr="00AC7A12">
        <w:rPr>
          <w:rFonts w:ascii="Arial" w:eastAsia="Calibri" w:hAnsi="Arial" w:cs="Arial"/>
          <w:color w:val="000000" w:themeColor="text1"/>
          <w:sz w:val="22"/>
          <w:lang w:val="es-ES_tradnl"/>
        </w:rPr>
        <w:t>.</w:t>
      </w:r>
    </w:p>
    <w:p w14:paraId="7608285F" w14:textId="77777777" w:rsidR="00E74FBB" w:rsidRPr="00AC7A12" w:rsidRDefault="00E74FBB" w:rsidP="00E74FBB">
      <w:pPr>
        <w:spacing w:before="120" w:line="276" w:lineRule="auto"/>
        <w:ind w:firstLine="709"/>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 xml:space="preserve">El parágrafo transitorio 2 </w:t>
      </w:r>
      <w:r>
        <w:rPr>
          <w:rFonts w:ascii="Arial" w:eastAsia="Calibri" w:hAnsi="Arial" w:cs="Arial"/>
          <w:color w:val="000000" w:themeColor="text1"/>
          <w:sz w:val="22"/>
          <w:lang w:val="es-ES_tradnl"/>
        </w:rPr>
        <w:t>establece</w:t>
      </w:r>
      <w:r w:rsidRPr="00AC7A12">
        <w:rPr>
          <w:rFonts w:ascii="Arial" w:eastAsia="Calibri" w:hAnsi="Arial" w:cs="Arial"/>
          <w:color w:val="000000" w:themeColor="text1"/>
          <w:sz w:val="22"/>
          <w:lang w:val="es-ES_tradnl"/>
        </w:rPr>
        <w:t xml:space="preserve"> </w:t>
      </w:r>
      <w:proofErr w:type="gramStart"/>
      <w:r w:rsidRPr="00AC7A12">
        <w:rPr>
          <w:rFonts w:ascii="Arial" w:eastAsia="Calibri" w:hAnsi="Arial" w:cs="Arial"/>
          <w:color w:val="000000" w:themeColor="text1"/>
          <w:sz w:val="22"/>
          <w:lang w:val="es-ES_tradnl"/>
        </w:rPr>
        <w:t>que</w:t>
      </w:r>
      <w:proofErr w:type="gramEnd"/>
      <w:r w:rsidRPr="00AC7A12">
        <w:rPr>
          <w:rFonts w:ascii="Arial" w:eastAsia="Calibri" w:hAnsi="Arial" w:cs="Arial"/>
          <w:color w:val="000000" w:themeColor="text1"/>
          <w:sz w:val="22"/>
          <w:lang w:val="es-ES_tradnl"/>
        </w:rPr>
        <w:t xml:space="preserve"> en el año 2022, para la inscripción en el RUP o para su renovación, el interesado debe reportar la información contable y los estados financieros, de los tres últimos años fiscales. Además, reitera </w:t>
      </w:r>
      <w:proofErr w:type="gramStart"/>
      <w:r w:rsidRPr="00AC7A12">
        <w:rPr>
          <w:rFonts w:ascii="Arial" w:eastAsia="Calibri" w:hAnsi="Arial" w:cs="Arial"/>
          <w:color w:val="000000" w:themeColor="text1"/>
          <w:sz w:val="22"/>
          <w:lang w:val="es-ES_tradnl"/>
        </w:rPr>
        <w:t>que</w:t>
      </w:r>
      <w:proofErr w:type="gramEnd"/>
      <w:r w:rsidRPr="00AC7A12">
        <w:rPr>
          <w:rFonts w:ascii="Arial" w:eastAsia="Calibri" w:hAnsi="Arial" w:cs="Arial"/>
          <w:color w:val="000000" w:themeColor="text1"/>
          <w:sz w:val="22"/>
          <w:lang w:val="es-ES_tradnl"/>
        </w:rPr>
        <w:t xml:space="preserve"> si aquel no cuenta con la información financiera de dichos años</w:t>
      </w:r>
      <w:r>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por no tener la antigüedad suficiente, podrá aportar la información de su primer cierre fiscal. Igualmente, señala </w:t>
      </w:r>
      <w:proofErr w:type="gramStart"/>
      <w:r w:rsidRPr="00AC7A12">
        <w:rPr>
          <w:rFonts w:ascii="Arial" w:eastAsia="Calibri" w:hAnsi="Arial" w:cs="Arial"/>
          <w:color w:val="000000" w:themeColor="text1"/>
          <w:sz w:val="22"/>
          <w:lang w:val="es-ES_tradnl"/>
        </w:rPr>
        <w:t>que</w:t>
      </w:r>
      <w:proofErr w:type="gramEnd"/>
      <w:r w:rsidRPr="00AC7A12">
        <w:rPr>
          <w:rFonts w:ascii="Arial" w:eastAsia="Calibri" w:hAnsi="Arial" w:cs="Arial"/>
          <w:color w:val="000000" w:themeColor="text1"/>
          <w:sz w:val="22"/>
          <w:lang w:val="es-ES_tradnl"/>
        </w:rPr>
        <w:t xml:space="preserve"> si la información</w:t>
      </w:r>
      <w:r>
        <w:rPr>
          <w:rFonts w:ascii="Arial" w:eastAsia="Calibri" w:hAnsi="Arial" w:cs="Arial"/>
          <w:color w:val="000000" w:themeColor="text1"/>
          <w:sz w:val="22"/>
          <w:lang w:val="es-ES_tradnl"/>
        </w:rPr>
        <w:t xml:space="preserve"> del interesado</w:t>
      </w:r>
      <w:r w:rsidRPr="00AC7A12">
        <w:rPr>
          <w:rFonts w:ascii="Arial" w:eastAsia="Calibri" w:hAnsi="Arial" w:cs="Arial"/>
          <w:color w:val="000000" w:themeColor="text1"/>
          <w:sz w:val="22"/>
          <w:lang w:val="es-ES_tradnl"/>
        </w:rPr>
        <w:t xml:space="preserve"> correspondiente a los años 2019 y/o 2020 reposa en la cámara de comercio, no se tendrá que presentar de nuevo, porque </w:t>
      </w:r>
      <w:r>
        <w:rPr>
          <w:rFonts w:ascii="Arial" w:eastAsia="Calibri" w:hAnsi="Arial" w:cs="Arial"/>
          <w:color w:val="000000" w:themeColor="text1"/>
          <w:sz w:val="22"/>
          <w:lang w:val="es-ES_tradnl"/>
        </w:rPr>
        <w:t xml:space="preserve">conservará </w:t>
      </w:r>
      <w:r w:rsidRPr="00AC7A12">
        <w:rPr>
          <w:rFonts w:ascii="Arial" w:eastAsia="Calibri" w:hAnsi="Arial" w:cs="Arial"/>
          <w:color w:val="000000" w:themeColor="text1"/>
          <w:sz w:val="22"/>
          <w:lang w:val="es-ES_tradnl"/>
        </w:rPr>
        <w:t>firmeza</w:t>
      </w:r>
      <w:r>
        <w:rPr>
          <w:rFonts w:ascii="Arial" w:eastAsia="Calibri" w:hAnsi="Arial" w:cs="Arial"/>
          <w:color w:val="000000" w:themeColor="text1"/>
          <w:sz w:val="22"/>
          <w:lang w:val="es-ES_tradnl"/>
        </w:rPr>
        <w:t xml:space="preserve"> para efectos de su certificación</w:t>
      </w:r>
      <w:r w:rsidRPr="00AC7A12">
        <w:rPr>
          <w:rFonts w:ascii="Arial" w:eastAsia="Calibri" w:hAnsi="Arial" w:cs="Arial"/>
          <w:color w:val="000000" w:themeColor="text1"/>
          <w:sz w:val="22"/>
          <w:lang w:val="es-ES_tradnl"/>
        </w:rPr>
        <w:t>.</w:t>
      </w:r>
    </w:p>
    <w:p w14:paraId="3201ADCA" w14:textId="77777777" w:rsidR="00E74FBB" w:rsidRPr="00AC7A12" w:rsidRDefault="00E74FBB" w:rsidP="00E74FBB">
      <w:pPr>
        <w:spacing w:before="120" w:line="276" w:lineRule="auto"/>
        <w:ind w:firstLine="709"/>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Por otra parte, 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establece que «</w:t>
      </w:r>
      <w:r w:rsidRPr="00AC7A12">
        <w:rPr>
          <w:rFonts w:ascii="Arial" w:hAnsi="Arial" w:cs="Arial"/>
          <w:sz w:val="22"/>
          <w:lang w:val="es-ES_tradnl"/>
        </w:rPr>
        <w:t xml:space="preserve">[…] </w:t>
      </w:r>
      <w:r w:rsidRPr="00AC7A12">
        <w:rPr>
          <w:rFonts w:ascii="Arial" w:eastAsia="Calibri" w:hAnsi="Arial" w:cs="Arial"/>
          <w:color w:val="000000" w:themeColor="text1"/>
          <w:sz w:val="22"/>
          <w:lang w:val="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w:t>
      </w:r>
      <w:r w:rsidRPr="00AC7A12">
        <w:rPr>
          <w:rFonts w:ascii="Arial" w:hAnsi="Arial" w:cs="Arial"/>
          <w:sz w:val="22"/>
          <w:lang w:val="es-ES_tradnl"/>
        </w:rPr>
        <w:t>c</w:t>
      </w:r>
      <w:r w:rsidRPr="00AC7A12">
        <w:rPr>
          <w:rFonts w:ascii="Arial" w:eastAsia="Calibri" w:hAnsi="Arial" w:cs="Arial"/>
          <w:color w:val="000000" w:themeColor="text1"/>
          <w:sz w:val="22"/>
          <w:lang w:val="es-ES_tradnl"/>
        </w:rPr>
        <w:t xml:space="preserve">ertificarán la información de que </w:t>
      </w:r>
      <w:r w:rsidRPr="00AC7A12">
        <w:rPr>
          <w:rFonts w:ascii="Arial" w:eastAsia="Calibri" w:hAnsi="Arial" w:cs="Arial"/>
          <w:color w:val="000000" w:themeColor="text1"/>
          <w:sz w:val="22"/>
          <w:lang w:val="es-ES_tradnl"/>
        </w:rPr>
        <w:lastRenderedPageBreak/>
        <w:t>tratan los parágrafos transitorios 1 y 2 del artículo 2.2.1.1.1.5.2. de este Decreto». Los requisitos e indicadores de la capacidad financiera consagrados en el literal (b) del artículo 2.2.1.1.1.5.6. del Decreto 1082 de 2015 son: i) el índice de liquidez, ii) el índice de endeudamiento y iii) la razón de cobertura de intereses. Los requisitos e indica</w:t>
      </w:r>
      <w:r>
        <w:rPr>
          <w:rFonts w:ascii="Arial" w:eastAsia="Calibri" w:hAnsi="Arial" w:cs="Arial"/>
          <w:color w:val="000000" w:themeColor="text1"/>
          <w:sz w:val="22"/>
          <w:lang w:val="es-ES_tradnl"/>
        </w:rPr>
        <w:t>do</w:t>
      </w:r>
      <w:r w:rsidRPr="00AC7A12">
        <w:rPr>
          <w:rFonts w:ascii="Arial" w:eastAsia="Calibri" w:hAnsi="Arial" w:cs="Arial"/>
          <w:color w:val="000000" w:themeColor="text1"/>
          <w:sz w:val="22"/>
          <w:lang w:val="es-ES_tradnl"/>
        </w:rPr>
        <w:t xml:space="preserve">res de capacidad organizacional son: i) la rentabilidad del patrimonio y ii) la rentabilidad del activo. El segundo parágrafo transitorio </w:t>
      </w:r>
      <w:r>
        <w:rPr>
          <w:rFonts w:ascii="Arial" w:eastAsia="Calibri" w:hAnsi="Arial" w:cs="Arial"/>
          <w:color w:val="000000" w:themeColor="text1"/>
          <w:sz w:val="22"/>
          <w:lang w:val="es-ES_tradnl"/>
        </w:rPr>
        <w:t>establece</w:t>
      </w:r>
      <w:r w:rsidRPr="00AC7A12">
        <w:rPr>
          <w:rFonts w:ascii="Arial" w:eastAsia="Calibri" w:hAnsi="Arial" w:cs="Arial"/>
          <w:color w:val="000000" w:themeColor="text1"/>
          <w:sz w:val="22"/>
          <w:lang w:val="es-ES_tradnl"/>
        </w:rPr>
        <w:t xml:space="preserve"> que «El</w:t>
      </w:r>
      <w:r w:rsidRPr="00AC7A12">
        <w:rPr>
          <w:rFonts w:ascii="Arial" w:hAnsi="Arial" w:cs="Arial"/>
          <w:sz w:val="22"/>
          <w:lang w:val="es-ES_tradnl"/>
        </w:rPr>
        <w:t xml:space="preserve"> </w:t>
      </w:r>
      <w:r w:rsidRPr="00AC7A12">
        <w:rPr>
          <w:rFonts w:ascii="Arial" w:eastAsia="Calibri" w:hAnsi="Arial" w:cs="Arial"/>
          <w:color w:val="000000" w:themeColor="text1"/>
          <w:sz w:val="22"/>
          <w:lang w:val="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0574D9CE" w14:textId="77777777" w:rsidR="00E74FBB" w:rsidRPr="00AC7A12" w:rsidRDefault="00E74FBB" w:rsidP="00E74FBB">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De otro lado, e</w:t>
      </w:r>
      <w:r w:rsidRPr="00AC7A12">
        <w:rPr>
          <w:rFonts w:ascii="Arial" w:eastAsia="Calibri" w:hAnsi="Arial" w:cs="Arial"/>
          <w:color w:val="000000" w:themeColor="text1"/>
          <w:sz w:val="22"/>
          <w:lang w:val="es-ES_tradnl"/>
        </w:rPr>
        <w:t>l artículo 6 del Decreto 399 de 2021 adiciona un parágrafo transitorio –sustituido después por el artículo 3 del Decreto 579 de 2021– al artículo 2.2.1.1.1.6.2. del Decreto 1082 de 2015</w:t>
      </w:r>
      <w:r w:rsidRPr="00AC7A12">
        <w:rPr>
          <w:rStyle w:val="Refdenotaalpie"/>
          <w:rFonts w:ascii="Arial" w:eastAsia="Calibri" w:hAnsi="Arial" w:cs="Arial"/>
          <w:color w:val="000000" w:themeColor="text1"/>
          <w:sz w:val="22"/>
          <w:lang w:val="es-ES_tradnl"/>
        </w:rPr>
        <w:footnoteReference w:id="14"/>
      </w:r>
      <w:r w:rsidRPr="00AC7A12">
        <w:rPr>
          <w:rFonts w:ascii="Arial" w:eastAsia="Calibri" w:hAnsi="Arial" w:cs="Arial"/>
          <w:color w:val="000000" w:themeColor="text1"/>
          <w:sz w:val="22"/>
          <w:lang w:val="es-ES_tradnl"/>
        </w:rPr>
        <w:t>, con el siguiente contenido:</w:t>
      </w:r>
    </w:p>
    <w:p w14:paraId="6ED468E2" w14:textId="77777777" w:rsidR="00E74FBB" w:rsidRPr="00AC7A12" w:rsidRDefault="00E74FBB" w:rsidP="00E74FBB">
      <w:pPr>
        <w:ind w:left="709" w:right="709"/>
        <w:jc w:val="both"/>
        <w:rPr>
          <w:rFonts w:ascii="Arial" w:eastAsia="Calibri" w:hAnsi="Arial" w:cs="Arial"/>
          <w:color w:val="000000" w:themeColor="text1"/>
          <w:sz w:val="21"/>
          <w:szCs w:val="21"/>
          <w:lang w:val="es-ES_tradnl"/>
        </w:rPr>
      </w:pPr>
    </w:p>
    <w:p w14:paraId="65C89704" w14:textId="77777777" w:rsidR="00E74FBB" w:rsidRPr="00AC7A12" w:rsidRDefault="00E74FBB" w:rsidP="00E74FBB">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 xml:space="preserve">De conformidad con los parágrafos transitorios de los artículos 2.2.1.1.1.5.2. y 2.2.1.1.1.5.6., y en desarrollo del deber de análisis de las Entidades Estatales, de que trata el artículo 2.2.1.1.1.6.1. de este Decreto, a partir del 1° de julio de 2021 las Entidades Estatales establecerán y evaluarán los requisitos habilitantes de capacidad financiera y organizacional teniendo en cuenta la información que conste en el Registro Único de Proponentes. En todo caso, se establecerán indicadores proporcionales al procedimiento de contratación. </w:t>
      </w:r>
    </w:p>
    <w:p w14:paraId="5B566A77" w14:textId="77777777" w:rsidR="00E74FBB" w:rsidRPr="00AC7A12" w:rsidRDefault="00E74FBB" w:rsidP="00E74FBB">
      <w:pPr>
        <w:ind w:left="709" w:right="709"/>
        <w:jc w:val="both"/>
        <w:rPr>
          <w:rFonts w:ascii="Arial" w:eastAsia="Calibri" w:hAnsi="Arial" w:cs="Arial"/>
          <w:color w:val="000000" w:themeColor="text1"/>
          <w:sz w:val="21"/>
          <w:szCs w:val="21"/>
          <w:lang w:val="es-ES_tradnl"/>
        </w:rPr>
      </w:pPr>
    </w:p>
    <w:p w14:paraId="1D3F344B" w14:textId="77777777" w:rsidR="00E74FBB" w:rsidRPr="00AC7A12" w:rsidRDefault="00E74FBB" w:rsidP="00E74FBB">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Para ello, atendiendo a las condiciones aludidas, en relación con los indicadores de la capacidad financiera y organizacional, de los procesos de selección cuyo acto administrativo de apertura o invitación se publique a partir del 1° de julio de 2021, se tendrá en cuenta la información vigente y en firme en el RUP, por lo que las Entidades Estatales evaluarán estos indicadores, teniendo en cuenta el mejor año fiscal que se refleje en el registro de cada proponente. ​​</w:t>
      </w:r>
    </w:p>
    <w:p w14:paraId="1CC5EBA7" w14:textId="77777777" w:rsidR="00E74FBB" w:rsidRPr="00AC7A12" w:rsidRDefault="00E74FBB" w:rsidP="00E74FBB">
      <w:pPr>
        <w:spacing w:line="276" w:lineRule="auto"/>
        <w:jc w:val="both"/>
        <w:rPr>
          <w:rFonts w:ascii="Arial" w:eastAsia="Calibri" w:hAnsi="Arial" w:cs="Arial"/>
          <w:color w:val="000000" w:themeColor="text1"/>
          <w:sz w:val="22"/>
          <w:lang w:val="es-ES_tradnl"/>
        </w:rPr>
      </w:pPr>
    </w:p>
    <w:p w14:paraId="6FEE274D" w14:textId="77777777" w:rsidR="00E74FBB" w:rsidRPr="00AC7A12" w:rsidRDefault="00E74FBB" w:rsidP="00E74FBB">
      <w:pPr>
        <w:spacing w:line="276" w:lineRule="auto"/>
        <w:ind w:firstLine="709"/>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Como se observa, el parágrafo transitorio, agregado al artículo 2.2.1.1.1.6.2. del Decreto 1082 de 2015 por el artículo 6 del Decreto 399 de 2021 y sustituido por el artículo 3 del Decreto 579 de 2021, establece que:</w:t>
      </w:r>
    </w:p>
    <w:p w14:paraId="1E66B9AC" w14:textId="77777777" w:rsidR="00E74FBB" w:rsidRPr="00AC7A12" w:rsidRDefault="00E74FBB" w:rsidP="00E74FBB">
      <w:pPr>
        <w:spacing w:before="120" w:line="276" w:lineRule="auto"/>
        <w:ind w:firstLine="709"/>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 xml:space="preserve">i) A partir del 1 de julio de 2021 las entidades estatales «[…] establecerán y evaluarán los requisitos habilitantes de capacidad financiera y organizacional teniendo en cuenta la información que conste en el Registro Único de Proponentes». Es decir, las entidades estatales deben tener en cuenta la información sobre la capacidad financiera y </w:t>
      </w:r>
      <w:r w:rsidRPr="00AC7A12">
        <w:rPr>
          <w:rFonts w:ascii="Arial" w:eastAsia="Calibri" w:hAnsi="Arial" w:cs="Arial"/>
          <w:color w:val="000000" w:themeColor="text1"/>
          <w:sz w:val="22"/>
          <w:lang w:val="es-ES_tradnl"/>
        </w:rPr>
        <w:lastRenderedPageBreak/>
        <w:t>organizacional «correspondiente a los últimos tres (3) años fiscales anteriores al respectivo acto» o «desde su primer cierre fiscal», según el caso.</w:t>
      </w:r>
    </w:p>
    <w:p w14:paraId="65EDC955" w14:textId="77777777" w:rsidR="00E74FBB" w:rsidRPr="00AC7A12" w:rsidRDefault="00E74FBB" w:rsidP="00E74FBB">
      <w:pPr>
        <w:spacing w:after="120" w:line="276" w:lineRule="auto"/>
        <w:ind w:firstLine="709"/>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ii) Las entidades estatales conservan su discrecionalidad administrativa para determinar los requisitos habilitantes de capacidad financiera y organizacional, pero «En todo caso, se establecerán indicadores proporcionales al procedimiento de contratación». El principio de proporcionalidad exige que dichos indicadores sean razonables, o sea, que guarden congruencia con el objeto, alcance, valor y plazo del contrato, que sean necesarios y no restrinjan injustificadamente la libre concurrencia.</w:t>
      </w:r>
    </w:p>
    <w:p w14:paraId="6E51B784" w14:textId="77777777" w:rsidR="00E74FBB" w:rsidRPr="00AC7A12" w:rsidRDefault="00E74FBB" w:rsidP="00E74FBB">
      <w:pPr>
        <w:spacing w:after="120" w:line="276" w:lineRule="auto"/>
        <w:ind w:firstLine="709"/>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iii) En los procesos de selección cuyo acto administrativo de apertura o invitación se publique a partir del 1 de julio de 2021 las entidades estatales deberán tener en cuenta la información financiera y organizacional que esté vigente y en firme en el RUP.</w:t>
      </w:r>
    </w:p>
    <w:p w14:paraId="4FFA2389" w14:textId="77777777" w:rsidR="00E74FBB" w:rsidRPr="00AC7A12" w:rsidRDefault="00E74FBB" w:rsidP="00E74FBB">
      <w:pPr>
        <w:spacing w:after="120" w:line="276" w:lineRule="auto"/>
        <w:ind w:firstLine="709"/>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 xml:space="preserve">iv) A partir de la fecha establecida anteriormente, la evaluación de los indicadores de capacidad </w:t>
      </w:r>
      <w:r w:rsidRPr="00AC7A12">
        <w:rPr>
          <w:rFonts w:ascii="Arial" w:eastAsia="Calibri" w:hAnsi="Arial" w:cs="Arial"/>
          <w:i/>
          <w:iCs/>
          <w:color w:val="000000" w:themeColor="text1"/>
          <w:sz w:val="22"/>
          <w:lang w:val="es-ES_tradnl"/>
        </w:rPr>
        <w:t>financiera –</w:t>
      </w:r>
      <w:r w:rsidRPr="00AC7A12">
        <w:rPr>
          <w:rFonts w:ascii="Arial" w:eastAsia="Calibri" w:hAnsi="Arial" w:cs="Arial"/>
          <w:color w:val="000000" w:themeColor="text1"/>
          <w:sz w:val="22"/>
          <w:lang w:val="es-ES_tradnl"/>
        </w:rPr>
        <w:t xml:space="preserve">índice de liquidez, índice de endeudamiento y razón de cobertura de intereses– y </w:t>
      </w:r>
      <w:r w:rsidRPr="00AC7A12">
        <w:rPr>
          <w:rFonts w:ascii="Arial" w:eastAsia="Calibri" w:hAnsi="Arial" w:cs="Arial"/>
          <w:i/>
          <w:iCs/>
          <w:color w:val="000000" w:themeColor="text1"/>
          <w:sz w:val="22"/>
          <w:lang w:val="es-ES_tradnl"/>
        </w:rPr>
        <w:t>organizacional</w:t>
      </w:r>
      <w:r w:rsidRPr="00AC7A12">
        <w:rPr>
          <w:rFonts w:ascii="Arial" w:eastAsia="Calibri" w:hAnsi="Arial" w:cs="Arial"/>
          <w:color w:val="000000" w:themeColor="text1"/>
          <w:sz w:val="22"/>
          <w:lang w:val="es-ES_tradnl"/>
        </w:rPr>
        <w:t xml:space="preserve"> –rentabilidad del patrimonio y rentabilidad del activo–, se deberá realizar por parte de las entidades estatales «teniendo en cuenta </w:t>
      </w:r>
      <w:r w:rsidRPr="00AC7A12">
        <w:rPr>
          <w:rFonts w:ascii="Arial" w:eastAsia="Calibri" w:hAnsi="Arial" w:cs="Arial"/>
          <w:i/>
          <w:iCs/>
          <w:color w:val="000000" w:themeColor="text1"/>
          <w:sz w:val="22"/>
          <w:lang w:val="es-ES_tradnl"/>
        </w:rPr>
        <w:t>el mejor año fiscal que se refleje en el registro</w:t>
      </w:r>
      <w:r w:rsidRPr="00AC7A12">
        <w:rPr>
          <w:rFonts w:ascii="Arial" w:eastAsia="Calibri" w:hAnsi="Arial" w:cs="Arial"/>
          <w:color w:val="000000" w:themeColor="text1"/>
          <w:sz w:val="22"/>
          <w:lang w:val="es-ES_tradnl"/>
        </w:rPr>
        <w:t xml:space="preserve"> de cada proponente» (énfasis fuera de texto). </w:t>
      </w:r>
    </w:p>
    <w:p w14:paraId="4A321DDA" w14:textId="77777777" w:rsidR="00E74FBB" w:rsidRPr="00AC7A12" w:rsidRDefault="00E74FBB" w:rsidP="00B61369">
      <w:pPr>
        <w:spacing w:line="276" w:lineRule="auto"/>
        <w:ind w:firstLine="709"/>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Es decir, como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y sustituido por el artículo 3 del Decreto 579 de 2021, establece que «</w:t>
      </w:r>
      <w:r w:rsidRPr="00AC7A12">
        <w:rPr>
          <w:rFonts w:ascii="Arial" w:hAnsi="Arial" w:cs="Arial"/>
          <w:sz w:val="22"/>
          <w:lang w:val="es-ES_tradnl"/>
        </w:rPr>
        <w:t xml:space="preserve">[…] </w:t>
      </w:r>
      <w:r w:rsidRPr="00AC7A12">
        <w:rPr>
          <w:rFonts w:ascii="Arial" w:eastAsia="Calibri" w:hAnsi="Arial" w:cs="Arial"/>
          <w:color w:val="000000" w:themeColor="text1"/>
          <w:sz w:val="22"/>
          <w:lang w:val="es-ES_tradnl"/>
        </w:rPr>
        <w:t>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w:t>
      </w:r>
      <w:r>
        <w:rPr>
          <w:rFonts w:ascii="Arial" w:eastAsia="Calibri" w:hAnsi="Arial" w:cs="Arial"/>
          <w:color w:val="000000" w:themeColor="text1"/>
          <w:sz w:val="22"/>
          <w:lang w:val="es-ES_tradnl"/>
        </w:rPr>
        <w:t xml:space="preserve">, </w:t>
      </w:r>
      <w:r w:rsidRPr="00AC7A12">
        <w:rPr>
          <w:rFonts w:ascii="Arial" w:eastAsia="Calibri" w:hAnsi="Arial" w:cs="Arial"/>
          <w:color w:val="000000" w:themeColor="text1"/>
          <w:sz w:val="22"/>
          <w:lang w:val="es-ES_tradnl"/>
        </w:rPr>
        <w:t>que permita al proponente cumplir los requisitos habilitantes de capacidad financiera y organizacional</w:t>
      </w:r>
      <w:r>
        <w:rPr>
          <w:rFonts w:ascii="Arial" w:eastAsia="Calibri" w:hAnsi="Arial" w:cs="Arial"/>
          <w:color w:val="000000" w:themeColor="text1"/>
          <w:sz w:val="22"/>
          <w:lang w:val="es-ES_tradnl"/>
        </w:rPr>
        <w:t>.</w:t>
      </w:r>
    </w:p>
    <w:p w14:paraId="73DEF46C" w14:textId="31688A2B" w:rsidR="003043F8" w:rsidRPr="00770ED6" w:rsidRDefault="003043F8" w:rsidP="008A3C8B">
      <w:pPr>
        <w:spacing w:before="120" w:after="120" w:line="276" w:lineRule="auto"/>
        <w:ind w:firstLine="709"/>
        <w:jc w:val="both"/>
        <w:rPr>
          <w:rFonts w:ascii="Arial" w:eastAsia="Calibri" w:hAnsi="Arial" w:cs="Arial"/>
          <w:color w:val="000000"/>
          <w:sz w:val="22"/>
          <w:lang w:val="es-ES_tradnl" w:eastAsia="es-ES_tradnl"/>
        </w:rPr>
      </w:pPr>
      <w:r>
        <w:rPr>
          <w:rFonts w:ascii="Arial" w:eastAsia="Calibri" w:hAnsi="Arial" w:cs="Arial"/>
          <w:color w:val="000000"/>
          <w:sz w:val="22"/>
          <w:lang w:val="es-ES_tradnl" w:eastAsia="es-ES_tradnl"/>
        </w:rPr>
        <w:t xml:space="preserve">Sin perjuicio de lo expuesto, </w:t>
      </w:r>
      <w:bookmarkStart w:id="6" w:name="_Hlk79416347"/>
      <w:r>
        <w:rPr>
          <w:rFonts w:ascii="Arial" w:eastAsia="Calibri" w:hAnsi="Arial" w:cs="Arial"/>
          <w:color w:val="000000"/>
          <w:sz w:val="22"/>
          <w:lang w:val="es-ES_tradnl" w:eastAsia="es-ES_tradnl"/>
        </w:rPr>
        <w:t xml:space="preserve">debe tenerse en cuenta que los Decretos 399 y 579 de 2021 </w:t>
      </w:r>
      <w:r w:rsidR="008118B0">
        <w:rPr>
          <w:rFonts w:ascii="Arial" w:eastAsia="Calibri" w:hAnsi="Arial" w:cs="Arial"/>
          <w:color w:val="000000"/>
          <w:sz w:val="22"/>
          <w:lang w:val="es-ES_tradnl" w:eastAsia="es-ES_tradnl"/>
        </w:rPr>
        <w:t>inciden</w:t>
      </w:r>
      <w:r>
        <w:rPr>
          <w:rFonts w:ascii="Arial" w:eastAsia="Calibri" w:hAnsi="Arial" w:cs="Arial"/>
          <w:color w:val="000000"/>
          <w:sz w:val="22"/>
          <w:lang w:val="es-ES_tradnl" w:eastAsia="es-ES_tradnl"/>
        </w:rPr>
        <w:t xml:space="preserve"> principalmente respecto de la forma en que se acreditan y evalúan los indicadores de capacidad financiera y organizacional. Esta forma de acreditación y evaluación, que </w:t>
      </w:r>
      <w:r w:rsidR="00552EF7">
        <w:rPr>
          <w:rFonts w:ascii="Arial" w:eastAsia="Calibri" w:hAnsi="Arial" w:cs="Arial"/>
          <w:color w:val="000000"/>
          <w:sz w:val="22"/>
          <w:lang w:val="es-ES_tradnl" w:eastAsia="es-ES_tradnl"/>
        </w:rPr>
        <w:t>aplica a</w:t>
      </w:r>
      <w:r>
        <w:rPr>
          <w:rFonts w:ascii="Arial" w:eastAsia="Calibri" w:hAnsi="Arial" w:cs="Arial"/>
          <w:color w:val="000000"/>
          <w:sz w:val="22"/>
          <w:lang w:val="es-ES_tradnl" w:eastAsia="es-ES_tradnl"/>
        </w:rPr>
        <w:t xml:space="preserve"> los parágrafos transitorios incorporados, no </w:t>
      </w:r>
      <w:r w:rsidR="00E25055">
        <w:rPr>
          <w:rFonts w:ascii="Arial" w:eastAsia="Calibri" w:hAnsi="Arial" w:cs="Arial"/>
          <w:color w:val="000000"/>
          <w:sz w:val="22"/>
          <w:lang w:val="es-ES_tradnl" w:eastAsia="es-ES_tradnl"/>
        </w:rPr>
        <w:t>se relaciona con</w:t>
      </w:r>
      <w:r w:rsidR="00185F82">
        <w:rPr>
          <w:rFonts w:ascii="Arial" w:eastAsia="Calibri" w:hAnsi="Arial" w:cs="Arial"/>
          <w:color w:val="000000"/>
          <w:sz w:val="22"/>
          <w:lang w:val="es-ES_tradnl" w:eastAsia="es-ES_tradnl"/>
        </w:rPr>
        <w:t xml:space="preserve"> la</w:t>
      </w:r>
      <w:r>
        <w:rPr>
          <w:rFonts w:ascii="Arial" w:eastAsia="Calibri" w:hAnsi="Arial" w:cs="Arial"/>
          <w:color w:val="000000"/>
          <w:sz w:val="22"/>
          <w:lang w:val="es-ES_tradnl" w:eastAsia="es-ES_tradnl"/>
        </w:rPr>
        <w:t xml:space="preserve"> determinación de los factores habilitantes</w:t>
      </w:r>
      <w:r w:rsidR="003546CE">
        <w:rPr>
          <w:rFonts w:ascii="Arial" w:eastAsia="Calibri" w:hAnsi="Arial" w:cs="Arial"/>
          <w:color w:val="000000"/>
          <w:sz w:val="22"/>
          <w:lang w:val="es-ES_tradnl" w:eastAsia="es-ES_tradnl"/>
        </w:rPr>
        <w:t xml:space="preserve"> durante la etapa de planeación</w:t>
      </w:r>
      <w:r>
        <w:rPr>
          <w:rFonts w:ascii="Arial" w:eastAsia="Calibri" w:hAnsi="Arial" w:cs="Arial"/>
          <w:color w:val="000000"/>
          <w:sz w:val="22"/>
          <w:lang w:val="es-ES_tradnl" w:eastAsia="es-ES_tradnl"/>
        </w:rPr>
        <w:t xml:space="preserve">. En tal medida, sin perjuicio de que la entidad deba considerar la mayor cantidad de información posible para realizar los estudios del sector, la modificación normativa </w:t>
      </w:r>
      <w:r w:rsidR="00786ED0">
        <w:rPr>
          <w:rFonts w:ascii="Arial" w:eastAsia="Calibri" w:hAnsi="Arial" w:cs="Arial"/>
          <w:color w:val="000000"/>
          <w:sz w:val="22"/>
          <w:lang w:val="es-ES_tradnl" w:eastAsia="es-ES_tradnl"/>
        </w:rPr>
        <w:t>influye en</w:t>
      </w:r>
      <w:r>
        <w:rPr>
          <w:rFonts w:ascii="Arial" w:eastAsia="Calibri" w:hAnsi="Arial" w:cs="Arial"/>
          <w:color w:val="000000"/>
          <w:sz w:val="22"/>
          <w:lang w:val="es-ES_tradnl" w:eastAsia="es-ES_tradnl"/>
        </w:rPr>
        <w:t xml:space="preserve"> la acreditación y evaluación de los indicadores de capacidad financiera y organizacional, pero las entidades </w:t>
      </w:r>
      <w:r>
        <w:rPr>
          <w:rFonts w:ascii="Arial" w:eastAsia="Calibri" w:hAnsi="Arial" w:cs="Arial"/>
          <w:color w:val="000000"/>
          <w:sz w:val="22"/>
          <w:lang w:val="es-ES_tradnl" w:eastAsia="es-ES_tradnl"/>
        </w:rPr>
        <w:lastRenderedPageBreak/>
        <w:t xml:space="preserve">conservan la discrecionalidad administrativa para la determinación de los requisitos habilitantes. </w:t>
      </w:r>
      <w:bookmarkEnd w:id="6"/>
    </w:p>
    <w:p w14:paraId="34CD1926" w14:textId="64A45125" w:rsidR="00770ED6" w:rsidRPr="00770ED6" w:rsidRDefault="00770ED6" w:rsidP="008A3C8B">
      <w:pPr>
        <w:spacing w:before="120" w:after="120" w:line="276" w:lineRule="auto"/>
        <w:ind w:firstLine="709"/>
        <w:jc w:val="both"/>
        <w:rPr>
          <w:rFonts w:ascii="Arial" w:eastAsia="Calibri" w:hAnsi="Arial" w:cs="Arial"/>
          <w:color w:val="000000"/>
          <w:sz w:val="22"/>
          <w:lang w:val="es-ES_tradnl" w:eastAsia="es-ES_tradnl"/>
        </w:rPr>
      </w:pPr>
      <w:r w:rsidRPr="00770ED6">
        <w:rPr>
          <w:rFonts w:ascii="Arial" w:eastAsia="Calibri" w:hAnsi="Arial" w:cs="Arial"/>
          <w:color w:val="000000"/>
          <w:sz w:val="22"/>
          <w:lang w:val="es-ES_tradnl" w:eastAsia="es-ES_tradnl"/>
        </w:rPr>
        <w:t xml:space="preserve">Por lo tanto, el parágrafo transitorio, agregado al artículo 2.2.1.1.1.6.2. del Decreto 1082 de 2015 por el artículo 6 del Decreto 399 de 2021 y sustituido por el artículo 3 del Decreto 579 de 2021, no exige que las entidades estatales tengan en cuenta el mejor año </w:t>
      </w:r>
      <w:r w:rsidRPr="00770ED6">
        <w:rPr>
          <w:rFonts w:ascii="Arial" w:eastAsia="Calibri" w:hAnsi="Arial" w:cs="Arial"/>
          <w:i/>
          <w:iCs/>
          <w:color w:val="000000"/>
          <w:sz w:val="22"/>
          <w:lang w:val="es-ES_tradnl" w:eastAsia="es-ES_tradnl"/>
        </w:rPr>
        <w:t>por cada indicador</w:t>
      </w:r>
      <w:r w:rsidRPr="00770ED6">
        <w:rPr>
          <w:rFonts w:ascii="Arial" w:eastAsia="Calibri" w:hAnsi="Arial" w:cs="Arial"/>
          <w:color w:val="000000"/>
          <w:sz w:val="22"/>
          <w:lang w:val="es-ES_tradnl" w:eastAsia="es-ES_tradnl"/>
        </w:rPr>
        <w:t xml:space="preserve">;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el proponente cumpla con dichos requisitos habilitantes. </w:t>
      </w:r>
    </w:p>
    <w:p w14:paraId="3B4A83DF" w14:textId="77777777" w:rsidR="00770ED6" w:rsidRPr="00770ED6" w:rsidRDefault="00770ED6" w:rsidP="008A3C8B">
      <w:pPr>
        <w:spacing w:before="120" w:after="120" w:line="276" w:lineRule="auto"/>
        <w:ind w:firstLine="709"/>
        <w:jc w:val="both"/>
        <w:rPr>
          <w:rFonts w:ascii="Arial" w:eastAsia="Calibri" w:hAnsi="Arial" w:cs="Arial"/>
          <w:color w:val="000000"/>
          <w:sz w:val="22"/>
          <w:lang w:val="es-ES_tradnl" w:eastAsia="es-ES_tradnl"/>
        </w:rPr>
      </w:pPr>
      <w:r w:rsidRPr="00770ED6">
        <w:rPr>
          <w:rFonts w:ascii="Arial" w:eastAsia="Calibri" w:hAnsi="Arial" w:cs="Arial"/>
          <w:color w:val="000000"/>
          <w:sz w:val="22"/>
          <w:lang w:val="es-ES_tradnl" w:eastAsia="es-ES_tradnl"/>
        </w:rPr>
        <w:t>Aunque la referida norma no establece que sean los oferentes los que deban determinar cuál año desean que se les tenga en cuenta como el «mejor» al momento de verificar el cumplimiento de los requisitos habilitantes de capacidad financiera y organizacional, nada obsta para que la entidad estatal en el pliego de condiciones o documento equivalente, en ejercicio de su libertad de confección de este acto administrativo, permita que los proponentes así lo señalen. Sin embargo, en caso de que un oferente diga en la propuesta cuál, desde su perspectiva, es el mejor año, tal manifestación tendría un carácter meramente indicativo para la entidad estatal, pues si esta verifica que con ese año –indicado por el proponente– aquel no cumple los requisitos habilitantes de capacidad financiera y organizacional, debe analizar objetivamente el mejor año en la información que consta en el certificado del RUP. Lo anterior se infiere del último inciso del parágrafo transitorio agregado por el artículo 6 del Decreto 399 de 2021 y sustituido por el artículo 3 del Decreto 579 de 2021, que establece de manera imperativa que «[…] las Entidades Estatales evaluarán estos indicadores, teniendo en cuenta el mejor año fiscal que se refleje en el registro de cada proponente», independientemente de que el oferente lo haya indicado o no.</w:t>
      </w:r>
    </w:p>
    <w:p w14:paraId="34B1DD47" w14:textId="77777777" w:rsidR="00770ED6" w:rsidRPr="00770ED6" w:rsidRDefault="00770ED6" w:rsidP="008A3C8B">
      <w:pPr>
        <w:spacing w:before="120" w:after="120" w:line="276" w:lineRule="auto"/>
        <w:ind w:firstLine="709"/>
        <w:jc w:val="both"/>
        <w:rPr>
          <w:rFonts w:ascii="Arial" w:eastAsia="Calibri" w:hAnsi="Arial" w:cs="Arial"/>
          <w:color w:val="000000"/>
          <w:sz w:val="22"/>
          <w:lang w:val="es-ES_tradnl" w:eastAsia="es-ES_tradnl"/>
        </w:rPr>
      </w:pPr>
      <w:r w:rsidRPr="00770ED6">
        <w:rPr>
          <w:rFonts w:ascii="Arial" w:eastAsia="Calibri" w:hAnsi="Arial" w:cs="Arial"/>
          <w:color w:val="000000"/>
          <w:sz w:val="22"/>
          <w:lang w:val="es-ES_tradnl" w:eastAsia="es-ES_tradnl"/>
        </w:rPr>
        <w:t>Se concluye entonces que, según la finalidad del Decreto 399 de 2021, el «mejor año fiscal» es, objetivamente, aquel en el que, vistos en su conjunto los indicadores de capacidad financiera y organizacional, el proponente podría cumplir estos requisitos habilitantes en el proceso de selección. Tales requisitos deben establecerse por la entidad estatal en el pliego de condiciones o documento equivalente y han de ser el resultado de un adecuado análisis en la fase de planeación, que permita establecer índices de capacidad financiera y organizacional razonables. Ahora bien, del hecho de que la entidad estatal deba evaluar los indicadores de capacidad financiera y organizacional teniendo en cuenta el «mejor año fiscal», no se infiere que el proponente siempre cumplirá tales requisitos habilitantes, pues, precisamente, ese es el análisis que deberá hacer la entidad pública con la información disponible en el RUP.</w:t>
      </w:r>
    </w:p>
    <w:bookmarkEnd w:id="5"/>
    <w:p w14:paraId="79D08838" w14:textId="77777777" w:rsidR="007A2CB8" w:rsidRPr="007A2CB8" w:rsidRDefault="007A2CB8" w:rsidP="007B09AB">
      <w:pPr>
        <w:pStyle w:val="NormalWeb"/>
        <w:spacing w:before="0" w:beforeAutospacing="0" w:after="0" w:afterAutospacing="0"/>
        <w:ind w:firstLine="709"/>
        <w:jc w:val="both"/>
        <w:rPr>
          <w:rFonts w:ascii="Arial" w:hAnsi="Arial" w:cs="Arial"/>
          <w:color w:val="000000"/>
          <w:sz w:val="22"/>
          <w:szCs w:val="22"/>
          <w:bdr w:val="none" w:sz="0" w:space="0" w:color="auto" w:frame="1"/>
          <w:lang w:val="es-MX"/>
        </w:rPr>
      </w:pPr>
    </w:p>
    <w:p w14:paraId="73E1879B" w14:textId="717BDA33" w:rsidR="00B9522C" w:rsidRPr="00E579B5" w:rsidRDefault="00B9522C" w:rsidP="007B09AB">
      <w:pPr>
        <w:shd w:val="clear" w:color="auto" w:fill="FFFFFF"/>
        <w:tabs>
          <w:tab w:val="left" w:pos="426"/>
        </w:tabs>
        <w:ind w:right="709"/>
        <w:jc w:val="both"/>
        <w:rPr>
          <w:rFonts w:ascii="Arial" w:eastAsia="Times New Roman" w:hAnsi="Arial" w:cs="Arial"/>
          <w:b/>
          <w:color w:val="000000" w:themeColor="text1"/>
          <w:sz w:val="22"/>
          <w:lang w:eastAsia="es-ES_tradnl"/>
        </w:rPr>
      </w:pPr>
      <w:r w:rsidRPr="00E579B5">
        <w:rPr>
          <w:rFonts w:ascii="Arial" w:eastAsia="Times New Roman" w:hAnsi="Arial" w:cs="Arial"/>
          <w:b/>
          <w:color w:val="000000" w:themeColor="text1"/>
          <w:sz w:val="22"/>
          <w:lang w:eastAsia="es-ES_tradnl"/>
        </w:rPr>
        <w:lastRenderedPageBreak/>
        <w:t>3. Respuesta</w:t>
      </w:r>
    </w:p>
    <w:p w14:paraId="125A2578" w14:textId="77777777" w:rsidR="00B9522C" w:rsidRPr="00B61369" w:rsidRDefault="00B9522C" w:rsidP="007B09AB">
      <w:pPr>
        <w:shd w:val="clear" w:color="auto" w:fill="FFFFFF"/>
        <w:tabs>
          <w:tab w:val="left" w:pos="426"/>
        </w:tabs>
        <w:ind w:right="709"/>
        <w:jc w:val="both"/>
        <w:rPr>
          <w:rFonts w:ascii="Arial" w:eastAsia="Times New Roman" w:hAnsi="Arial" w:cs="Arial"/>
          <w:b/>
          <w:color w:val="000000" w:themeColor="text1"/>
          <w:sz w:val="22"/>
          <w:lang w:eastAsia="es-ES_tradnl"/>
        </w:rPr>
      </w:pPr>
    </w:p>
    <w:p w14:paraId="0AE7E894" w14:textId="77777777" w:rsidR="00504572" w:rsidRDefault="00504572" w:rsidP="00B61369">
      <w:pPr>
        <w:spacing w:after="120"/>
        <w:ind w:left="709" w:right="709"/>
        <w:jc w:val="both"/>
        <w:rPr>
          <w:rFonts w:ascii="Arial" w:eastAsia="Times New Roman" w:hAnsi="Arial" w:cs="Arial"/>
          <w:color w:val="000000"/>
          <w:sz w:val="21"/>
          <w:szCs w:val="21"/>
          <w:lang w:val="es-ES_tradnl" w:eastAsia="es-ES_tradnl"/>
        </w:rPr>
      </w:pPr>
      <w:r w:rsidRPr="00504572">
        <w:rPr>
          <w:rFonts w:ascii="Arial" w:eastAsia="Times New Roman" w:hAnsi="Arial" w:cs="Arial"/>
          <w:color w:val="000000"/>
          <w:sz w:val="21"/>
          <w:szCs w:val="21"/>
          <w:lang w:val="es-ES_tradnl" w:eastAsia="es-ES_tradnl"/>
        </w:rPr>
        <w:t>i) «¿Las Entidades Estatales, deben analizar y establecer desde el estudio del sector los indicadores de capacidad financiera y capacidad organizacional de los 3 últimos años o sólo del último año 2020?»</w:t>
      </w:r>
      <w:r>
        <w:rPr>
          <w:rFonts w:ascii="Arial" w:eastAsia="Times New Roman" w:hAnsi="Arial" w:cs="Arial"/>
          <w:color w:val="000000"/>
          <w:sz w:val="21"/>
          <w:szCs w:val="21"/>
          <w:lang w:val="es-ES_tradnl" w:eastAsia="es-ES_tradnl"/>
        </w:rPr>
        <w:t>.</w:t>
      </w:r>
    </w:p>
    <w:p w14:paraId="50FABF11" w14:textId="77777777" w:rsidR="00504572" w:rsidRDefault="00504572" w:rsidP="00B61369">
      <w:pPr>
        <w:spacing w:after="120"/>
        <w:ind w:left="709" w:right="709"/>
        <w:jc w:val="both"/>
        <w:rPr>
          <w:rFonts w:ascii="Arial" w:eastAsia="Times New Roman" w:hAnsi="Arial" w:cs="Arial"/>
          <w:color w:val="000000"/>
          <w:sz w:val="21"/>
          <w:szCs w:val="21"/>
          <w:lang w:val="es-ES_tradnl" w:eastAsia="es-ES_tradnl"/>
        </w:rPr>
      </w:pPr>
      <w:r w:rsidRPr="00504572">
        <w:rPr>
          <w:rFonts w:ascii="Arial" w:eastAsia="Times New Roman" w:hAnsi="Arial" w:cs="Arial"/>
          <w:color w:val="000000"/>
          <w:sz w:val="21"/>
          <w:szCs w:val="21"/>
          <w:lang w:val="es-ES_tradnl" w:eastAsia="es-ES_tradnl"/>
        </w:rPr>
        <w:t>ii) «Las Entidades Estatales deben establecer los indicadores de capacidad financiera y capacidad organizacional de cada año, 2018, 2019 y 2020 de manera independiente, ¿estableciendo unos indicadores por cada año?»</w:t>
      </w:r>
      <w:r>
        <w:rPr>
          <w:rFonts w:ascii="Arial" w:eastAsia="Times New Roman" w:hAnsi="Arial" w:cs="Arial"/>
          <w:color w:val="000000"/>
          <w:sz w:val="21"/>
          <w:szCs w:val="21"/>
          <w:lang w:val="es-ES_tradnl" w:eastAsia="es-ES_tradnl"/>
        </w:rPr>
        <w:t>.</w:t>
      </w:r>
    </w:p>
    <w:p w14:paraId="061D9E52" w14:textId="7D4B830C" w:rsidR="00C16847" w:rsidRDefault="00504572" w:rsidP="00B61369">
      <w:pPr>
        <w:spacing w:after="120"/>
        <w:ind w:left="709" w:right="709"/>
        <w:jc w:val="both"/>
        <w:rPr>
          <w:rFonts w:ascii="Arial" w:eastAsia="Times New Roman" w:hAnsi="Arial" w:cs="Arial"/>
          <w:color w:val="000000"/>
          <w:sz w:val="21"/>
          <w:szCs w:val="21"/>
          <w:lang w:val="es-ES_tradnl" w:eastAsia="es-ES_tradnl"/>
        </w:rPr>
      </w:pPr>
      <w:r w:rsidRPr="00504572">
        <w:rPr>
          <w:rFonts w:ascii="Arial" w:eastAsia="Times New Roman" w:hAnsi="Arial" w:cs="Arial"/>
          <w:color w:val="000000"/>
          <w:sz w:val="21"/>
          <w:szCs w:val="21"/>
          <w:lang w:val="es-ES_tradnl" w:eastAsia="es-ES_tradnl"/>
        </w:rPr>
        <w:t>iii) «¿Las Entidades Estatales deben tener en cuenta desde el estudio del sector, los 3 últimos años y al final promediarlos para así establecer un sólo indicador a verificar – evaluar como requisito habilitante, en el proceso de selección Ó debe establecer un indicador por cada año, que serán verificados - evaluados en el proceso de selección, cotejando el REGISTRO ÚNICO DE PROPONENTES – RUP, presentado por los oferentes que demuestre el mejor indicador?»</w:t>
      </w:r>
      <w:r>
        <w:rPr>
          <w:rFonts w:ascii="Arial" w:eastAsia="Times New Roman" w:hAnsi="Arial" w:cs="Arial"/>
          <w:color w:val="000000"/>
          <w:sz w:val="21"/>
          <w:szCs w:val="21"/>
          <w:lang w:val="es-ES_tradnl" w:eastAsia="es-ES_tradnl"/>
        </w:rPr>
        <w:t>.</w:t>
      </w:r>
    </w:p>
    <w:p w14:paraId="365DB0D7" w14:textId="0404C197" w:rsidR="00C16847" w:rsidRDefault="001327B5" w:rsidP="0020639D">
      <w:pPr>
        <w:ind w:left="709" w:right="709"/>
        <w:jc w:val="both"/>
        <w:rPr>
          <w:rFonts w:ascii="Arial" w:eastAsia="Times New Roman" w:hAnsi="Arial" w:cs="Arial"/>
          <w:color w:val="000000"/>
          <w:sz w:val="21"/>
          <w:szCs w:val="21"/>
          <w:lang w:val="es-ES_tradnl" w:eastAsia="es-ES_tradnl"/>
        </w:rPr>
      </w:pPr>
      <w:r w:rsidRPr="001327B5">
        <w:rPr>
          <w:rFonts w:ascii="Arial" w:eastAsia="Times New Roman" w:hAnsi="Arial" w:cs="Arial"/>
          <w:color w:val="000000"/>
          <w:sz w:val="21"/>
          <w:szCs w:val="21"/>
          <w:lang w:val="es-ES_tradnl" w:eastAsia="es-ES_tradnl"/>
        </w:rPr>
        <w:t>iv) «¿Las Entidades Estatales al momento de verificar las ofertas y con el fin de escoger la mejor información del proponente, establecida en el REGISTRO ÚNICO DE PROPONENTES – RUP, debe tomar la información de capacidad financiera y capacidad organizacional de una misma vigencia en bloque? Ó ¿Debe tomar el mejor indicador de cada año independientemente de no pertenecer a la misma vigencia fiscal?, por ejemplo: el mejor índice de liquidez del 2018 y la mejor capacidad de endeudamiento de 2019?».</w:t>
      </w:r>
    </w:p>
    <w:p w14:paraId="08344232" w14:textId="77777777" w:rsidR="00E14C56" w:rsidRPr="00B61369" w:rsidRDefault="00E14C56" w:rsidP="00B61369">
      <w:pPr>
        <w:spacing w:line="276" w:lineRule="auto"/>
        <w:ind w:left="709" w:right="709"/>
        <w:jc w:val="both"/>
        <w:rPr>
          <w:rFonts w:ascii="Arial" w:eastAsia="Times New Roman" w:hAnsi="Arial" w:cs="Arial"/>
          <w:color w:val="000000"/>
          <w:sz w:val="22"/>
          <w:lang w:val="es-ES_tradnl" w:eastAsia="es-ES_tradnl"/>
        </w:rPr>
      </w:pPr>
    </w:p>
    <w:p w14:paraId="57074195" w14:textId="13176EA7" w:rsidR="00B9325C" w:rsidRPr="00AC7A12" w:rsidRDefault="009A79E5" w:rsidP="00B9325C">
      <w:pPr>
        <w:spacing w:after="120" w:line="276" w:lineRule="auto"/>
        <w:jc w:val="both"/>
        <w:rPr>
          <w:rFonts w:ascii="Arial" w:eastAsia="Calibri" w:hAnsi="Arial" w:cs="Arial"/>
          <w:color w:val="000000" w:themeColor="text1"/>
          <w:sz w:val="22"/>
          <w:lang w:val="es-ES_tradnl"/>
        </w:rPr>
      </w:pPr>
      <w:r>
        <w:rPr>
          <w:rFonts w:ascii="Arial" w:hAnsi="Arial" w:cs="Arial"/>
          <w:color w:val="000000"/>
          <w:sz w:val="22"/>
          <w:shd w:val="clear" w:color="auto" w:fill="FFFFFF"/>
          <w:lang w:eastAsia="es-CO"/>
        </w:rPr>
        <w:t>R</w:t>
      </w:r>
      <w:r w:rsidR="00B9325C">
        <w:rPr>
          <w:rFonts w:ascii="Arial" w:hAnsi="Arial" w:cs="Arial"/>
          <w:color w:val="000000"/>
          <w:sz w:val="22"/>
          <w:shd w:val="clear" w:color="auto" w:fill="FFFFFF"/>
          <w:lang w:eastAsia="es-CO"/>
        </w:rPr>
        <w:t>especto al</w:t>
      </w:r>
      <w:r w:rsidR="00B9325C" w:rsidRPr="00F34590">
        <w:rPr>
          <w:rFonts w:ascii="Arial" w:hAnsi="Arial" w:cs="Arial"/>
          <w:color w:val="000000"/>
          <w:sz w:val="22"/>
          <w:shd w:val="clear" w:color="auto" w:fill="FFFFFF"/>
          <w:lang w:eastAsia="es-CO"/>
        </w:rPr>
        <w:t xml:space="preserve"> análisis que compete a la entidad en cada proceso de selección que adelante</w:t>
      </w:r>
      <w:r w:rsidR="00B9325C">
        <w:rPr>
          <w:rFonts w:ascii="Arial" w:hAnsi="Arial" w:cs="Arial"/>
          <w:color w:val="000000"/>
          <w:sz w:val="22"/>
          <w:shd w:val="clear" w:color="auto" w:fill="FFFFFF"/>
          <w:lang w:eastAsia="es-CO"/>
        </w:rPr>
        <w:t>,</w:t>
      </w:r>
      <w:r w:rsidR="00B9325C" w:rsidRPr="00F34590">
        <w:rPr>
          <w:rFonts w:ascii="Arial" w:hAnsi="Arial" w:cs="Arial"/>
          <w:color w:val="000000"/>
          <w:sz w:val="22"/>
          <w:shd w:val="clear" w:color="auto" w:fill="FFFFFF"/>
          <w:lang w:eastAsia="es-CO"/>
        </w:rPr>
        <w:t xml:space="preserve"> y </w:t>
      </w:r>
      <w:r w:rsidR="00B9325C">
        <w:rPr>
          <w:rFonts w:ascii="Arial" w:hAnsi="Arial" w:cs="Arial"/>
          <w:color w:val="000000"/>
          <w:sz w:val="22"/>
          <w:shd w:val="clear" w:color="auto" w:fill="FFFFFF"/>
          <w:lang w:eastAsia="es-CO"/>
        </w:rPr>
        <w:t xml:space="preserve">considerando </w:t>
      </w:r>
      <w:r w:rsidR="00B9325C" w:rsidRPr="00F34590">
        <w:rPr>
          <w:rFonts w:ascii="Arial" w:hAnsi="Arial" w:cs="Arial"/>
          <w:color w:val="000000"/>
          <w:sz w:val="22"/>
          <w:shd w:val="clear" w:color="auto" w:fill="FFFFFF"/>
          <w:lang w:eastAsia="es-CO"/>
        </w:rPr>
        <w:t xml:space="preserve">los indicadores </w:t>
      </w:r>
      <w:r w:rsidR="00B9325C">
        <w:rPr>
          <w:rFonts w:ascii="Arial" w:hAnsi="Arial" w:cs="Arial"/>
          <w:color w:val="000000"/>
          <w:sz w:val="22"/>
          <w:shd w:val="clear" w:color="auto" w:fill="FFFFFF"/>
          <w:lang w:eastAsia="es-CO"/>
        </w:rPr>
        <w:t>consagrados</w:t>
      </w:r>
      <w:r w:rsidR="00B9325C" w:rsidRPr="00F34590">
        <w:rPr>
          <w:rFonts w:ascii="Arial" w:hAnsi="Arial" w:cs="Arial"/>
          <w:color w:val="000000"/>
          <w:sz w:val="22"/>
          <w:shd w:val="clear" w:color="auto" w:fill="FFFFFF"/>
          <w:lang w:eastAsia="es-CO"/>
        </w:rPr>
        <w:t xml:space="preserve"> en el artículo </w:t>
      </w:r>
      <w:r w:rsidR="00B9325C" w:rsidRPr="00F34590">
        <w:rPr>
          <w:rFonts w:ascii="Arial" w:hAnsi="Arial" w:cs="Arial"/>
          <w:color w:val="000000"/>
          <w:sz w:val="22"/>
          <w:shd w:val="clear" w:color="auto" w:fill="FFFFFF"/>
          <w:lang w:val="es-ES_tradnl" w:eastAsia="es-CO"/>
        </w:rPr>
        <w:t xml:space="preserve">2.2.1.1.1.5.3. del Decreto 1082 de 2015, el </w:t>
      </w:r>
      <w:r w:rsidR="00B9325C" w:rsidRPr="00F34590">
        <w:rPr>
          <w:rFonts w:ascii="Arial" w:eastAsia="Calibri" w:hAnsi="Arial" w:cs="Arial"/>
          <w:color w:val="000000" w:themeColor="text1"/>
          <w:sz w:val="22"/>
          <w:lang w:val="es-ES_tradnl"/>
        </w:rPr>
        <w:t xml:space="preserve">«mejor año fiscal» objetivamente, </w:t>
      </w:r>
      <w:r w:rsidR="00B9325C">
        <w:rPr>
          <w:rFonts w:ascii="Arial" w:eastAsia="Calibri" w:hAnsi="Arial" w:cs="Arial"/>
          <w:color w:val="000000" w:themeColor="text1"/>
          <w:sz w:val="22"/>
          <w:lang w:val="es-ES_tradnl"/>
        </w:rPr>
        <w:t xml:space="preserve">será </w:t>
      </w:r>
      <w:r w:rsidR="00B9325C" w:rsidRPr="00F34590">
        <w:rPr>
          <w:rFonts w:ascii="Arial" w:eastAsia="Calibri" w:hAnsi="Arial" w:cs="Arial"/>
          <w:color w:val="000000" w:themeColor="text1"/>
          <w:sz w:val="22"/>
          <w:lang w:val="es-ES_tradnl"/>
        </w:rPr>
        <w:t>aquel en el que, vistos en su conjunto los indicadores de capacidad financiera y organizacional</w:t>
      </w:r>
      <w:r w:rsidR="00B9325C" w:rsidRPr="00F34590">
        <w:rPr>
          <w:rFonts w:ascii="Arial" w:hAnsi="Arial" w:cs="Arial"/>
          <w:color w:val="000000"/>
          <w:sz w:val="22"/>
          <w:shd w:val="clear" w:color="auto" w:fill="FFFFFF"/>
          <w:lang w:val="es-ES_tradnl" w:eastAsia="es-CO"/>
        </w:rPr>
        <w:t xml:space="preserve">, </w:t>
      </w:r>
      <w:r w:rsidR="00B9325C" w:rsidRPr="00F34590">
        <w:rPr>
          <w:rFonts w:ascii="Arial" w:hAnsi="Arial" w:cs="Arial"/>
          <w:color w:val="000000"/>
          <w:sz w:val="22"/>
          <w:shd w:val="clear" w:color="auto" w:fill="FFFFFF"/>
          <w:lang w:eastAsia="es-CO"/>
        </w:rPr>
        <w:t xml:space="preserve">otorgue al proponente </w:t>
      </w:r>
      <w:r w:rsidR="00B9325C" w:rsidRPr="00F34590">
        <w:rPr>
          <w:rFonts w:ascii="Arial" w:hAnsi="Arial" w:cs="Arial"/>
          <w:color w:val="000000"/>
          <w:sz w:val="22"/>
          <w:lang w:eastAsia="es-CO"/>
        </w:rPr>
        <w:t xml:space="preserve">mayor índice de liquidez, menor índice de endeudamiento, mayor cobertura de intereses, mayor rentabilidad sobre el patrimonio y mayor rentabilidad sobre activos, </w:t>
      </w:r>
      <w:r w:rsidR="00B9325C">
        <w:rPr>
          <w:rFonts w:ascii="Arial" w:hAnsi="Arial" w:cs="Arial"/>
          <w:color w:val="000000"/>
          <w:sz w:val="22"/>
          <w:lang w:eastAsia="es-CO"/>
        </w:rPr>
        <w:t>dentro de las condiciones propias de cada proceso. E</w:t>
      </w:r>
      <w:r w:rsidR="00B9325C" w:rsidRPr="00F34590">
        <w:rPr>
          <w:rFonts w:ascii="Arial" w:hAnsi="Arial" w:cs="Arial"/>
          <w:color w:val="000000"/>
          <w:sz w:val="22"/>
          <w:lang w:eastAsia="es-CO"/>
        </w:rPr>
        <w:t>n</w:t>
      </w:r>
      <w:r w:rsidR="00B9325C">
        <w:rPr>
          <w:rFonts w:ascii="Arial" w:hAnsi="Arial" w:cs="Arial"/>
          <w:color w:val="000000"/>
          <w:sz w:val="22"/>
          <w:lang w:eastAsia="es-CO"/>
        </w:rPr>
        <w:t xml:space="preserve"> </w:t>
      </w:r>
      <w:r w:rsidR="00B9325C" w:rsidRPr="00F34590">
        <w:rPr>
          <w:rFonts w:ascii="Arial" w:hAnsi="Arial" w:cs="Arial"/>
          <w:color w:val="000000"/>
          <w:sz w:val="22"/>
          <w:lang w:eastAsia="es-CO"/>
        </w:rPr>
        <w:t>suma,</w:t>
      </w:r>
      <w:r w:rsidR="00B9325C">
        <w:rPr>
          <w:rFonts w:ascii="Arial" w:hAnsi="Arial" w:cs="Arial"/>
          <w:color w:val="000000"/>
          <w:sz w:val="22"/>
          <w:lang w:eastAsia="es-CO"/>
        </w:rPr>
        <w:t xml:space="preserve"> el mejor año fiscal es </w:t>
      </w:r>
      <w:r w:rsidR="00B9325C" w:rsidRPr="00F34590">
        <w:rPr>
          <w:rFonts w:ascii="Arial" w:hAnsi="Arial" w:cs="Arial"/>
          <w:color w:val="000000"/>
          <w:sz w:val="22"/>
          <w:lang w:eastAsia="es-CO"/>
        </w:rPr>
        <w:t>aquel que presente las mejores condiciones de elegibilidad para el proponente, atendiendo el propósito de la norma, y de cumplimiento del futuro contrato.</w:t>
      </w:r>
    </w:p>
    <w:p w14:paraId="4C6BD7EE" w14:textId="77777777" w:rsidR="00B9325C" w:rsidRPr="00F34590" w:rsidRDefault="00B9325C" w:rsidP="00B9325C">
      <w:pPr>
        <w:tabs>
          <w:tab w:val="left" w:pos="426"/>
        </w:tabs>
        <w:spacing w:after="120" w:line="276" w:lineRule="auto"/>
        <w:ind w:firstLine="709"/>
        <w:jc w:val="both"/>
        <w:rPr>
          <w:rFonts w:ascii="Arial" w:eastAsia="Calibri" w:hAnsi="Arial" w:cs="Arial"/>
          <w:noProof/>
          <w:sz w:val="22"/>
          <w:lang w:val="es-ES_tradnl"/>
        </w:rPr>
      </w:pPr>
      <w:r>
        <w:rPr>
          <w:rFonts w:ascii="Arial" w:hAnsi="Arial" w:cs="Arial"/>
          <w:noProof/>
          <w:color w:val="000000"/>
          <w:sz w:val="22"/>
          <w:shd w:val="clear" w:color="auto" w:fill="FFFFFF"/>
          <w:lang w:eastAsia="es-CO"/>
        </w:rPr>
        <w:t>En otras palabras</w:t>
      </w:r>
      <w:r w:rsidRPr="00F34590">
        <w:rPr>
          <w:rFonts w:ascii="Arial" w:eastAsia="Calibri" w:hAnsi="Arial" w:cs="Arial"/>
          <w:color w:val="000000" w:themeColor="text1"/>
          <w:sz w:val="22"/>
          <w:lang w:val="es-ES_tradnl"/>
        </w:rPr>
        <w:t xml:space="preserve">, cuando el parágrafo transitorio del artículo 2.2.1.1.1.6.2, adicionado por el artículo 6 del Decreto 399 de 2021, y sustituido por el artículo 3 del Decreto 579 de 2021, </w:t>
      </w:r>
      <w:r>
        <w:rPr>
          <w:rFonts w:ascii="Arial" w:eastAsia="Calibri" w:hAnsi="Arial" w:cs="Arial"/>
          <w:color w:val="000000" w:themeColor="text1"/>
          <w:sz w:val="22"/>
          <w:lang w:val="es-ES_tradnl"/>
        </w:rPr>
        <w:t>dispone</w:t>
      </w:r>
      <w:r w:rsidRPr="00F34590">
        <w:rPr>
          <w:rFonts w:ascii="Arial" w:eastAsia="Calibri" w:hAnsi="Arial" w:cs="Arial"/>
          <w:color w:val="000000" w:themeColor="text1"/>
          <w:sz w:val="22"/>
          <w:lang w:val="es-ES_tradnl"/>
        </w:rPr>
        <w:t xml:space="preserve"> que «</w:t>
      </w:r>
      <w:r w:rsidRPr="00F34590">
        <w:rPr>
          <w:rFonts w:ascii="Arial" w:hAnsi="Arial" w:cs="Arial"/>
          <w:sz w:val="22"/>
          <w:lang w:val="es-ES_tradnl"/>
        </w:rPr>
        <w:t xml:space="preserve">[…] </w:t>
      </w:r>
      <w:r w:rsidRPr="00F34590">
        <w:rPr>
          <w:rFonts w:ascii="Arial" w:eastAsia="Calibri" w:hAnsi="Arial" w:cs="Arial"/>
          <w:color w:val="000000" w:themeColor="text1"/>
          <w:sz w:val="22"/>
          <w:lang w:val="es-ES_tradnl"/>
        </w:rPr>
        <w:t xml:space="preserve">las Entidades Estatales evaluarán estos indicadores, teniendo en cuenta el mejor año fiscal que se refleje en el registro de cada proponente», significa que deben </w:t>
      </w:r>
      <w:r>
        <w:rPr>
          <w:rFonts w:ascii="Arial" w:eastAsia="Calibri" w:hAnsi="Arial" w:cs="Arial"/>
          <w:color w:val="000000" w:themeColor="text1"/>
          <w:sz w:val="22"/>
          <w:lang w:val="es-ES_tradnl"/>
        </w:rPr>
        <w:t>verificar</w:t>
      </w:r>
      <w:r w:rsidRPr="00F34590">
        <w:rPr>
          <w:rFonts w:ascii="Arial" w:eastAsia="Calibri" w:hAnsi="Arial" w:cs="Arial"/>
          <w:color w:val="000000" w:themeColor="text1"/>
          <w:sz w:val="22"/>
          <w:lang w:val="es-ES_tradnl"/>
        </w:rPr>
        <w:t xml:space="preserve"> los años certificados en el RUP y escoger para </w:t>
      </w:r>
      <w:r>
        <w:rPr>
          <w:rFonts w:ascii="Arial" w:eastAsia="Calibri" w:hAnsi="Arial" w:cs="Arial"/>
          <w:color w:val="000000" w:themeColor="text1"/>
          <w:sz w:val="22"/>
          <w:lang w:val="es-ES_tradnl"/>
        </w:rPr>
        <w:t>la</w:t>
      </w:r>
      <w:r w:rsidRPr="00F34590">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evaluación</w:t>
      </w:r>
      <w:r w:rsidRPr="00F34590">
        <w:rPr>
          <w:rFonts w:ascii="Arial" w:eastAsia="Calibri" w:hAnsi="Arial" w:cs="Arial"/>
          <w:color w:val="000000" w:themeColor="text1"/>
          <w:sz w:val="22"/>
          <w:lang w:val="es-ES_tradnl"/>
        </w:rPr>
        <w:t xml:space="preserve"> el que refleje mejores indicadores de capacidad financiera y organizacional, que permita al proponente cumplir los requisitos habilitantes de capacidad financiera y organizacional.</w:t>
      </w:r>
    </w:p>
    <w:p w14:paraId="6047A764" w14:textId="7FF69C75" w:rsidR="00B9325C" w:rsidRDefault="00B9325C" w:rsidP="00B9325C">
      <w:pPr>
        <w:spacing w:line="276" w:lineRule="auto"/>
        <w:ind w:firstLine="709"/>
        <w:jc w:val="both"/>
        <w:rPr>
          <w:rFonts w:ascii="Arial" w:eastAsia="Calibri" w:hAnsi="Arial" w:cs="Arial"/>
          <w:color w:val="000000" w:themeColor="text1"/>
          <w:sz w:val="22"/>
          <w:lang w:val="es-ES_tradnl"/>
        </w:rPr>
      </w:pPr>
      <w:r w:rsidRPr="00F34590">
        <w:rPr>
          <w:rFonts w:ascii="Arial" w:eastAsia="Calibri" w:hAnsi="Arial" w:cs="Arial"/>
          <w:color w:val="000000" w:themeColor="text1"/>
          <w:sz w:val="22"/>
          <w:lang w:val="es-ES_tradnl"/>
        </w:rPr>
        <w:t xml:space="preserve">Por lo tanto, el parágrafo transitorio, agregado al artículo 2.2.1.1.1.6.2. del Decreto 1082 de 2015 por el artículo 6 del Decreto 399 de 2021 y sustituido por el artículo 3 del </w:t>
      </w:r>
      <w:r w:rsidRPr="00F34590">
        <w:rPr>
          <w:rFonts w:ascii="Arial" w:eastAsia="Calibri" w:hAnsi="Arial" w:cs="Arial"/>
          <w:color w:val="000000" w:themeColor="text1"/>
          <w:sz w:val="22"/>
          <w:lang w:val="es-ES_tradnl"/>
        </w:rPr>
        <w:lastRenderedPageBreak/>
        <w:t>Decreto 579 de 2021, no exige que las entidades estatales tengan en cuenta el mejor año para cada indicador. Aplicando una interpretación teleológica del Decreto 399 de 2021, por «mejor año» debe entenderse aquel en el que, analizados conjuntamente todos los indicadores de capacidad financiera y organizacional, el proponente podría cumplir con dichos requisitos habilitantes.</w:t>
      </w:r>
    </w:p>
    <w:p w14:paraId="6CAEA4BE" w14:textId="1FF781D6" w:rsidR="003A53AC" w:rsidRPr="00770ED6" w:rsidRDefault="003A53AC" w:rsidP="00B61369">
      <w:pPr>
        <w:spacing w:before="120" w:line="276" w:lineRule="auto"/>
        <w:ind w:firstLine="709"/>
        <w:jc w:val="both"/>
        <w:rPr>
          <w:rFonts w:ascii="Arial" w:eastAsia="Calibri" w:hAnsi="Arial" w:cs="Arial"/>
          <w:color w:val="000000"/>
          <w:sz w:val="22"/>
          <w:lang w:val="es-ES_tradnl" w:eastAsia="es-ES_tradnl"/>
        </w:rPr>
      </w:pPr>
      <w:r>
        <w:rPr>
          <w:rFonts w:ascii="Arial" w:eastAsia="Calibri" w:hAnsi="Arial" w:cs="Arial"/>
          <w:color w:val="000000"/>
          <w:sz w:val="22"/>
          <w:lang w:val="es-ES_tradnl" w:eastAsia="es-ES_tradnl"/>
        </w:rPr>
        <w:t xml:space="preserve">Sin perjuicio de lo expuesto, para efectos de las preguntas i), ii) y iii), </w:t>
      </w:r>
      <w:r w:rsidR="00E25055" w:rsidRPr="00E25055">
        <w:rPr>
          <w:rFonts w:ascii="Arial" w:eastAsia="Calibri" w:hAnsi="Arial" w:cs="Arial"/>
          <w:color w:val="000000"/>
          <w:sz w:val="22"/>
          <w:lang w:val="es-ES_tradnl" w:eastAsia="es-ES_tradnl"/>
        </w:rPr>
        <w:t>debe tenerse en cuenta que los Decretos 399 y 579 de 2021 inciden principalmente respecto de la forma en que se acreditan y evalúan los indicadores de capacidad financiera y organizacional. Esta forma de acreditación y evaluación, que aplica a los parágrafos transitorios incorporados, no se relaciona con la determinación de los factores habilitantes durante la etapa de planeación. En tal medida, sin perjuicio de que la entidad deba considerar la mayor cantidad de información posible para realizar los estudios del sector, la modificación normativa influye en la acreditación y evaluación de los indicadores de capacidad financiera y organizacional, pero las entidades conservan la discrecionalidad administrativa para la determinación de los requisitos habilitantes</w:t>
      </w:r>
      <w:r>
        <w:rPr>
          <w:rFonts w:ascii="Arial" w:eastAsia="Calibri" w:hAnsi="Arial" w:cs="Arial"/>
          <w:color w:val="000000"/>
          <w:sz w:val="22"/>
          <w:lang w:val="es-ES_tradnl" w:eastAsia="es-ES_tradnl"/>
        </w:rPr>
        <w:t xml:space="preserve">. </w:t>
      </w:r>
    </w:p>
    <w:p w14:paraId="32DD3E60" w14:textId="77777777" w:rsidR="003A53AC" w:rsidRDefault="003A53AC">
      <w:pPr>
        <w:spacing w:line="276" w:lineRule="auto"/>
        <w:ind w:firstLine="709"/>
        <w:jc w:val="both"/>
        <w:rPr>
          <w:rFonts w:ascii="Arial" w:eastAsia="Calibri" w:hAnsi="Arial" w:cs="Arial"/>
          <w:color w:val="000000" w:themeColor="text1"/>
          <w:sz w:val="22"/>
          <w:lang w:val="es-ES_tradnl"/>
        </w:rPr>
      </w:pPr>
    </w:p>
    <w:p w14:paraId="09C6999B" w14:textId="3A129E91" w:rsidR="00863245" w:rsidRDefault="004A303C" w:rsidP="008A3C8B">
      <w:pPr>
        <w:pStyle w:val="Sinespaciado"/>
        <w:spacing w:before="120" w:after="120" w:line="276" w:lineRule="auto"/>
        <w:jc w:val="both"/>
        <w:rPr>
          <w:rFonts w:ascii="Arial" w:eastAsia="Times New Roman" w:hAnsi="Arial" w:cs="Arial"/>
          <w:color w:val="000000" w:themeColor="text1"/>
          <w:sz w:val="22"/>
          <w:lang w:val="es-ES" w:eastAsia="es-ES_tradnl"/>
        </w:rPr>
      </w:pPr>
      <w:r w:rsidRPr="00E579B5">
        <w:rPr>
          <w:rFonts w:ascii="Arial" w:eastAsia="Times New Roman" w:hAnsi="Arial" w:cs="Arial"/>
          <w:color w:val="000000" w:themeColor="text1"/>
          <w:sz w:val="22"/>
          <w:lang w:val="es-ES" w:eastAsia="es-ES_tradnl"/>
        </w:rPr>
        <w:t>Este concepto tiene el alcance previsto en el artículo 28 del Código de Procedimiento Administrativo y de lo Contencioso Administrativo.</w:t>
      </w:r>
    </w:p>
    <w:p w14:paraId="7759E528" w14:textId="77777777" w:rsidR="00564A1D" w:rsidRPr="00E579B5" w:rsidRDefault="00564A1D" w:rsidP="008A3C8B">
      <w:pPr>
        <w:pStyle w:val="Sinespaciado"/>
        <w:spacing w:before="120" w:after="120" w:line="276" w:lineRule="auto"/>
        <w:jc w:val="both"/>
        <w:rPr>
          <w:rFonts w:ascii="Arial" w:hAnsi="Arial" w:cs="Arial"/>
          <w:lang w:val="es-ES_tradnl"/>
        </w:rPr>
      </w:pPr>
    </w:p>
    <w:p w14:paraId="55EF1794" w14:textId="6B3C3654" w:rsidR="004A303C" w:rsidRPr="00E579B5" w:rsidRDefault="004A303C" w:rsidP="007B09AB">
      <w:pPr>
        <w:tabs>
          <w:tab w:val="left" w:pos="426"/>
        </w:tabs>
        <w:spacing w:before="120"/>
        <w:jc w:val="both"/>
        <w:rPr>
          <w:rFonts w:ascii="Arial" w:eastAsia="Times New Roman" w:hAnsi="Arial" w:cs="Arial"/>
          <w:color w:val="000000" w:themeColor="text1"/>
          <w:sz w:val="22"/>
          <w:lang w:val="es-ES" w:eastAsia="es-ES_tradnl"/>
        </w:rPr>
      </w:pPr>
      <w:r w:rsidRPr="00E579B5">
        <w:rPr>
          <w:rFonts w:ascii="Arial" w:eastAsia="Times New Roman" w:hAnsi="Arial" w:cs="Arial"/>
          <w:color w:val="000000" w:themeColor="text1"/>
          <w:sz w:val="22"/>
          <w:lang w:val="es-ES" w:eastAsia="es-ES_tradnl"/>
        </w:rPr>
        <w:t>Atentamente,</w:t>
      </w:r>
    </w:p>
    <w:bookmarkEnd w:id="0"/>
    <w:bookmarkEnd w:id="1"/>
    <w:p w14:paraId="504FE10F" w14:textId="08F38B7F" w:rsidR="00CA3507" w:rsidRPr="00E579B5" w:rsidRDefault="00CA3507" w:rsidP="007B09AB">
      <w:pPr>
        <w:spacing w:before="120"/>
        <w:jc w:val="center"/>
        <w:rPr>
          <w:rFonts w:ascii="Arial" w:eastAsia="Times New Roman" w:hAnsi="Arial" w:cs="Arial"/>
          <w:color w:val="000000" w:themeColor="text1"/>
          <w:sz w:val="18"/>
          <w:szCs w:val="18"/>
          <w:lang w:val="es-ES" w:eastAsia="es-CO"/>
        </w:rPr>
      </w:pPr>
    </w:p>
    <w:p w14:paraId="4EC0D092" w14:textId="0D15153D" w:rsidR="00AE2F9D" w:rsidRPr="00E579B5" w:rsidRDefault="00814D8E" w:rsidP="007B09AB">
      <w:pPr>
        <w:spacing w:before="120"/>
        <w:jc w:val="center"/>
        <w:rPr>
          <w:rFonts w:ascii="Arial" w:eastAsia="Times New Roman" w:hAnsi="Arial" w:cs="Arial"/>
          <w:color w:val="000000" w:themeColor="text1"/>
          <w:szCs w:val="24"/>
          <w:lang w:val="es-ES" w:eastAsia="es-CO"/>
        </w:rPr>
      </w:pPr>
      <w:r>
        <w:rPr>
          <w:noProof/>
        </w:rPr>
        <w:drawing>
          <wp:inline distT="0" distB="0" distL="0" distR="0" wp14:anchorId="7CDC8525" wp14:editId="32ECE14A">
            <wp:extent cx="2342515" cy="1038225"/>
            <wp:effectExtent l="0" t="0" r="635" b="952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342515" cy="1038225"/>
                    </a:xfrm>
                    <a:prstGeom prst="rect">
                      <a:avLst/>
                    </a:prstGeom>
                  </pic:spPr>
                </pic:pic>
              </a:graphicData>
            </a:graphic>
          </wp:inline>
        </w:drawing>
      </w:r>
    </w:p>
    <w:p w14:paraId="4F89E839" w14:textId="789EAB32" w:rsidR="00B343F3" w:rsidRPr="00E579B5" w:rsidRDefault="00B343F3" w:rsidP="007B09AB">
      <w:pPr>
        <w:jc w:val="center"/>
        <w:rPr>
          <w:rFonts w:ascii="Arial" w:eastAsia="Times New Roman" w:hAnsi="Arial" w:cs="Arial"/>
          <w:color w:val="000000" w:themeColor="text1"/>
          <w:sz w:val="18"/>
          <w:szCs w:val="20"/>
          <w:lang w:val="es-ES" w:eastAsia="es-CO"/>
        </w:rPr>
      </w:pPr>
    </w:p>
    <w:p w14:paraId="7A1A8ADB" w14:textId="77777777" w:rsidR="00B343F3" w:rsidRPr="00E579B5" w:rsidRDefault="00B343F3" w:rsidP="007B09AB">
      <w:pPr>
        <w:jc w:val="center"/>
        <w:rPr>
          <w:rFonts w:ascii="Arial" w:eastAsia="Times New Roman"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079A6" w:rsidRPr="00E579B5" w14:paraId="3845EF28" w14:textId="77777777" w:rsidTr="00C4215E">
        <w:trPr>
          <w:trHeight w:val="315"/>
        </w:trPr>
        <w:tc>
          <w:tcPr>
            <w:tcW w:w="812" w:type="dxa"/>
            <w:vAlign w:val="center"/>
            <w:hideMark/>
          </w:tcPr>
          <w:p w14:paraId="46573DA4" w14:textId="77777777" w:rsidR="004A303C" w:rsidRPr="00E579B5" w:rsidRDefault="004A303C" w:rsidP="007B09AB">
            <w:pPr>
              <w:rPr>
                <w:rFonts w:ascii="Arial" w:eastAsia="Times New Roman" w:hAnsi="Arial" w:cs="Arial"/>
                <w:color w:val="000000" w:themeColor="text1"/>
                <w:sz w:val="16"/>
                <w:szCs w:val="16"/>
                <w:lang w:val="es-ES" w:eastAsia="es-ES"/>
              </w:rPr>
            </w:pPr>
            <w:r w:rsidRPr="00E579B5">
              <w:rPr>
                <w:rFonts w:ascii="Arial" w:eastAsia="Times New Roman"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35B831BF" w14:textId="77777777" w:rsidR="004A303C" w:rsidRPr="00E579B5" w:rsidRDefault="004A303C" w:rsidP="007B09AB">
            <w:pPr>
              <w:rPr>
                <w:rFonts w:ascii="Arial" w:eastAsia="Times New Roman" w:hAnsi="Arial" w:cs="Arial"/>
                <w:color w:val="000000" w:themeColor="text1"/>
                <w:sz w:val="16"/>
                <w:szCs w:val="16"/>
                <w:lang w:val="es-ES" w:eastAsia="es-ES"/>
              </w:rPr>
            </w:pPr>
            <w:r w:rsidRPr="00E579B5">
              <w:rPr>
                <w:rFonts w:ascii="Arial" w:eastAsia="Times New Roman" w:hAnsi="Arial" w:cs="Arial"/>
                <w:color w:val="000000" w:themeColor="text1"/>
                <w:sz w:val="16"/>
                <w:szCs w:val="16"/>
                <w:lang w:val="es-ES" w:eastAsia="es-ES"/>
              </w:rPr>
              <w:t>Guillermo Escolar Flórez</w:t>
            </w:r>
          </w:p>
          <w:p w14:paraId="2D2324C2" w14:textId="6439F39A" w:rsidR="00186E11" w:rsidRPr="00E579B5" w:rsidRDefault="00186E11" w:rsidP="007B09AB">
            <w:pPr>
              <w:rPr>
                <w:rFonts w:ascii="Arial" w:eastAsia="Times New Roman" w:hAnsi="Arial" w:cs="Arial"/>
                <w:color w:val="000000" w:themeColor="text1"/>
                <w:sz w:val="16"/>
                <w:szCs w:val="16"/>
                <w:lang w:val="es-ES" w:eastAsia="es-ES"/>
              </w:rPr>
            </w:pPr>
            <w:r w:rsidRPr="00E579B5">
              <w:rPr>
                <w:rFonts w:ascii="Arial" w:eastAsia="Times New Roman" w:hAnsi="Arial" w:cs="Arial"/>
                <w:color w:val="000000" w:themeColor="text1"/>
                <w:sz w:val="16"/>
                <w:szCs w:val="16"/>
                <w:lang w:val="es-ES" w:eastAsia="es-ES"/>
              </w:rPr>
              <w:t>Contratista de la Subdirección de Gestión Contractual</w:t>
            </w:r>
          </w:p>
        </w:tc>
      </w:tr>
      <w:tr w:rsidR="000079A6" w:rsidRPr="00E579B5" w14:paraId="185A8054" w14:textId="77777777" w:rsidTr="00C4215E">
        <w:trPr>
          <w:trHeight w:val="330"/>
        </w:trPr>
        <w:tc>
          <w:tcPr>
            <w:tcW w:w="812" w:type="dxa"/>
            <w:vAlign w:val="center"/>
            <w:hideMark/>
          </w:tcPr>
          <w:p w14:paraId="6DF4B2B6" w14:textId="77777777" w:rsidR="004A303C" w:rsidRPr="00E579B5" w:rsidRDefault="004A303C" w:rsidP="007B09AB">
            <w:pPr>
              <w:rPr>
                <w:rFonts w:ascii="Arial" w:eastAsia="Times New Roman" w:hAnsi="Arial" w:cs="Arial"/>
                <w:color w:val="000000" w:themeColor="text1"/>
                <w:sz w:val="16"/>
                <w:szCs w:val="16"/>
                <w:lang w:val="es-ES" w:eastAsia="es-ES"/>
              </w:rPr>
            </w:pPr>
            <w:r w:rsidRPr="00E579B5">
              <w:rPr>
                <w:rFonts w:ascii="Arial" w:eastAsia="Times New Roman"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B96C20D" w14:textId="77777777" w:rsidR="00C30BDE" w:rsidRPr="00C30BDE" w:rsidRDefault="00C30BDE" w:rsidP="007B09AB">
            <w:pPr>
              <w:rPr>
                <w:rFonts w:ascii="Arial" w:eastAsia="Times New Roman" w:hAnsi="Arial" w:cs="Arial"/>
                <w:color w:val="000000" w:themeColor="text1"/>
                <w:sz w:val="16"/>
                <w:szCs w:val="16"/>
                <w:lang w:val="es-ES" w:eastAsia="es-ES"/>
              </w:rPr>
            </w:pPr>
            <w:r w:rsidRPr="00C30BDE">
              <w:rPr>
                <w:rFonts w:ascii="Arial" w:eastAsia="Times New Roman" w:hAnsi="Arial" w:cs="Arial"/>
                <w:color w:val="000000" w:themeColor="text1"/>
                <w:sz w:val="16"/>
                <w:szCs w:val="16"/>
                <w:lang w:val="es-ES" w:eastAsia="es-ES"/>
              </w:rPr>
              <w:t xml:space="preserve">Juan David Montoya Penagos </w:t>
            </w:r>
          </w:p>
          <w:p w14:paraId="3B49C6C0" w14:textId="419F40CB" w:rsidR="00186E11" w:rsidRPr="00E579B5" w:rsidRDefault="00C30BDE" w:rsidP="007B09AB">
            <w:pPr>
              <w:rPr>
                <w:rFonts w:ascii="Arial" w:eastAsia="Times New Roman" w:hAnsi="Arial" w:cs="Arial"/>
                <w:color w:val="000000" w:themeColor="text1"/>
                <w:sz w:val="16"/>
                <w:szCs w:val="16"/>
                <w:lang w:val="es-ES" w:eastAsia="es-ES"/>
              </w:rPr>
            </w:pPr>
            <w:r w:rsidRPr="00C30BDE">
              <w:rPr>
                <w:rFonts w:ascii="Arial" w:eastAsia="Times New Roman" w:hAnsi="Arial" w:cs="Arial"/>
                <w:color w:val="000000" w:themeColor="text1"/>
                <w:sz w:val="16"/>
                <w:szCs w:val="16"/>
                <w:lang w:val="es-ES" w:eastAsia="es-ES"/>
              </w:rPr>
              <w:t>Gestor T1-15 de la Subdirección de Gestión Contractual</w:t>
            </w:r>
          </w:p>
        </w:tc>
      </w:tr>
      <w:tr w:rsidR="000079A6" w:rsidRPr="00B343F3" w14:paraId="0264BFAB" w14:textId="77777777" w:rsidTr="00C4215E">
        <w:trPr>
          <w:trHeight w:val="300"/>
        </w:trPr>
        <w:tc>
          <w:tcPr>
            <w:tcW w:w="812" w:type="dxa"/>
            <w:vAlign w:val="center"/>
            <w:hideMark/>
          </w:tcPr>
          <w:p w14:paraId="62F9E26B" w14:textId="77777777" w:rsidR="004A303C" w:rsidRPr="00E579B5" w:rsidRDefault="004A303C" w:rsidP="007B09AB">
            <w:pPr>
              <w:rPr>
                <w:rFonts w:ascii="Arial" w:eastAsia="Times New Roman" w:hAnsi="Arial" w:cs="Arial"/>
                <w:color w:val="000000" w:themeColor="text1"/>
                <w:sz w:val="16"/>
                <w:szCs w:val="16"/>
                <w:lang w:val="es-ES" w:eastAsia="es-ES"/>
              </w:rPr>
            </w:pPr>
            <w:r w:rsidRPr="00E579B5">
              <w:rPr>
                <w:rFonts w:ascii="Arial" w:eastAsia="Times New Roman"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76FFCC9" w14:textId="2005D11D" w:rsidR="004A303C" w:rsidRPr="00E579B5" w:rsidRDefault="00A443F2" w:rsidP="007B09AB">
            <w:pPr>
              <w:rPr>
                <w:rFonts w:ascii="Arial" w:eastAsia="Times New Roman" w:hAnsi="Arial" w:cs="Arial"/>
                <w:color w:val="000000" w:themeColor="text1"/>
                <w:sz w:val="16"/>
                <w:szCs w:val="16"/>
                <w:lang w:val="es-ES" w:eastAsia="es-ES"/>
              </w:rPr>
            </w:pPr>
            <w:r w:rsidRPr="00E579B5">
              <w:rPr>
                <w:rFonts w:ascii="Arial" w:eastAsia="Times New Roman" w:hAnsi="Arial" w:cs="Arial"/>
                <w:color w:val="000000" w:themeColor="text1"/>
                <w:sz w:val="16"/>
                <w:szCs w:val="16"/>
                <w:lang w:val="es-ES" w:eastAsia="es-ES"/>
              </w:rPr>
              <w:t>Jorge Augusto Tirado Navarro</w:t>
            </w:r>
          </w:p>
          <w:p w14:paraId="0E4183AA" w14:textId="4BA88713" w:rsidR="004A303C" w:rsidRPr="00B343F3" w:rsidRDefault="004A303C" w:rsidP="007B09AB">
            <w:pPr>
              <w:rPr>
                <w:rFonts w:ascii="Arial" w:eastAsia="Times New Roman" w:hAnsi="Arial" w:cs="Arial"/>
                <w:color w:val="000000" w:themeColor="text1"/>
                <w:sz w:val="16"/>
                <w:szCs w:val="16"/>
                <w:lang w:val="es-ES" w:eastAsia="es-ES"/>
              </w:rPr>
            </w:pPr>
            <w:r w:rsidRPr="00E579B5">
              <w:rPr>
                <w:rFonts w:ascii="Arial" w:eastAsia="Times New Roman" w:hAnsi="Arial" w:cs="Arial"/>
                <w:color w:val="000000" w:themeColor="text1"/>
                <w:sz w:val="16"/>
                <w:szCs w:val="16"/>
                <w:lang w:val="es-ES" w:eastAsia="es-ES"/>
              </w:rPr>
              <w:t>Subdirector de Gestión Contractual</w:t>
            </w:r>
            <w:r w:rsidR="00843AB7" w:rsidRPr="00E579B5">
              <w:rPr>
                <w:rFonts w:ascii="Arial" w:eastAsia="Times New Roman" w:hAnsi="Arial" w:cs="Arial"/>
                <w:color w:val="000000" w:themeColor="text1"/>
                <w:sz w:val="16"/>
                <w:szCs w:val="16"/>
                <w:lang w:val="es-ES" w:eastAsia="es-ES"/>
              </w:rPr>
              <w:t xml:space="preserve"> </w:t>
            </w:r>
            <w:r w:rsidR="00843AB7" w:rsidRPr="00E579B5">
              <w:rPr>
                <w:rFonts w:ascii="Arial" w:eastAsia="Times New Roman" w:hAnsi="Arial" w:cs="Arial"/>
                <w:color w:val="000000" w:themeColor="text1"/>
                <w:sz w:val="16"/>
                <w:szCs w:val="16"/>
                <w:lang w:eastAsia="es-ES"/>
              </w:rPr>
              <w:t>ANCP – CCE</w:t>
            </w:r>
          </w:p>
        </w:tc>
      </w:tr>
    </w:tbl>
    <w:p w14:paraId="1B0D48EA" w14:textId="77777777" w:rsidR="00BD6605" w:rsidRPr="00126B57" w:rsidRDefault="00BD6605" w:rsidP="007B09AB">
      <w:pPr>
        <w:rPr>
          <w:rFonts w:ascii="Arial" w:hAnsi="Arial" w:cs="Arial"/>
          <w:color w:val="000000" w:themeColor="text1"/>
          <w:lang w:val="es-ES"/>
        </w:rPr>
      </w:pPr>
    </w:p>
    <w:sectPr w:rsidR="00BD6605" w:rsidRPr="00126B57" w:rsidSect="00C4215E">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CB69" w14:textId="77777777" w:rsidR="00C27833" w:rsidRDefault="00C27833" w:rsidP="004A303C">
      <w:r>
        <w:separator/>
      </w:r>
    </w:p>
  </w:endnote>
  <w:endnote w:type="continuationSeparator" w:id="0">
    <w:p w14:paraId="531CC75F" w14:textId="77777777" w:rsidR="00C27833" w:rsidRDefault="00C27833" w:rsidP="004A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Arial"/>
    <w:panose1 w:val="00000000000000000000"/>
    <w:charset w:val="00"/>
    <w:family w:val="roman"/>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BB9E" w14:textId="77777777" w:rsidR="00C4215E" w:rsidRDefault="00C4215E" w:rsidP="00C4215E">
    <w:pPr>
      <w:pStyle w:val="Sinespaciado"/>
      <w:jc w:val="right"/>
      <w:rPr>
        <w:rFonts w:ascii="Arial" w:hAnsi="Arial" w:cs="Arial"/>
        <w:sz w:val="18"/>
        <w:szCs w:val="18"/>
      </w:rPr>
    </w:pPr>
  </w:p>
  <w:p w14:paraId="2A927604" w14:textId="77777777" w:rsidR="00C4215E" w:rsidRDefault="00C4215E" w:rsidP="00C4215E">
    <w:pPr>
      <w:pStyle w:val="Sinespaciado"/>
      <w:jc w:val="right"/>
      <w:rPr>
        <w:rFonts w:ascii="Arial" w:hAnsi="Arial" w:cs="Arial"/>
        <w:sz w:val="18"/>
        <w:szCs w:val="18"/>
      </w:rPr>
    </w:pPr>
  </w:p>
  <w:p w14:paraId="4FC63438" w14:textId="77777777" w:rsidR="00C4215E" w:rsidRPr="008217B7" w:rsidRDefault="00C4215E" w:rsidP="00C4215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038AE">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038AE">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01CE2E1A" w14:textId="77777777" w:rsidR="00C4215E" w:rsidRDefault="3C399BE9" w:rsidP="00C4215E">
    <w:pPr>
      <w:pStyle w:val="Piedepgina"/>
      <w:jc w:val="center"/>
      <w:rPr>
        <w:lang w:val="es-ES"/>
      </w:rPr>
    </w:pPr>
    <w:r>
      <w:rPr>
        <w:noProof/>
      </w:rPr>
      <w:drawing>
        <wp:inline distT="0" distB="0" distL="0" distR="0" wp14:anchorId="718D15A4" wp14:editId="2D2E23DB">
          <wp:extent cx="3700130" cy="51913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CB422F" w14:textId="77777777" w:rsidR="00C4215E" w:rsidRPr="00E756AC" w:rsidRDefault="00C4215E" w:rsidP="00C4215E">
    <w:pPr>
      <w:pStyle w:val="Piedepgina"/>
      <w:jc w:val="center"/>
      <w:rPr>
        <w:sz w:val="18"/>
        <w:szCs w:val="18"/>
        <w:lang w:val="es-ES"/>
      </w:rPr>
    </w:pPr>
  </w:p>
  <w:p w14:paraId="59B6DB65" w14:textId="77777777" w:rsidR="00C4215E" w:rsidRPr="00E756AC" w:rsidRDefault="00C4215E" w:rsidP="00C4215E">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60C8F" w14:textId="77777777" w:rsidR="00C27833" w:rsidRDefault="00C27833" w:rsidP="004A303C">
      <w:r>
        <w:separator/>
      </w:r>
    </w:p>
  </w:footnote>
  <w:footnote w:type="continuationSeparator" w:id="0">
    <w:p w14:paraId="3F99C314" w14:textId="77777777" w:rsidR="00C27833" w:rsidRDefault="00C27833" w:rsidP="004A303C">
      <w:r>
        <w:continuationSeparator/>
      </w:r>
    </w:p>
  </w:footnote>
  <w:footnote w:id="1">
    <w:p w14:paraId="2CB35329" w14:textId="77777777" w:rsidR="001C2E2B" w:rsidRPr="00F70B3F" w:rsidRDefault="001C2E2B" w:rsidP="001C2E2B">
      <w:pPr>
        <w:pStyle w:val="Textonotapie"/>
        <w:ind w:firstLine="708"/>
        <w:jc w:val="both"/>
        <w:rPr>
          <w:rFonts w:ascii="Arial" w:hAnsi="Arial" w:cs="Arial"/>
          <w:sz w:val="19"/>
          <w:szCs w:val="19"/>
        </w:rPr>
      </w:pPr>
      <w:r w:rsidRPr="00F70B3F">
        <w:rPr>
          <w:rStyle w:val="Refdenotaalpie"/>
          <w:rFonts w:ascii="Arial" w:hAnsi="Arial" w:cs="Arial"/>
          <w:sz w:val="19"/>
          <w:szCs w:val="19"/>
        </w:rPr>
        <w:footnoteRef/>
      </w:r>
      <w:r w:rsidRPr="00F70B3F">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F70B3F">
        <w:rPr>
          <w:rFonts w:ascii="Arial" w:hAnsi="Arial" w:cs="Arial"/>
          <w:i/>
          <w:iCs/>
          <w:sz w:val="19"/>
          <w:szCs w:val="19"/>
        </w:rPr>
        <w:t xml:space="preserve">ibidem </w:t>
      </w:r>
      <w:r w:rsidRPr="00F70B3F">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768A04B0" w14:textId="77777777" w:rsidR="001C2E2B" w:rsidRPr="00F70B3F" w:rsidRDefault="001C2E2B" w:rsidP="001C2E2B">
      <w:pPr>
        <w:pStyle w:val="Textonotapie"/>
        <w:ind w:firstLine="708"/>
        <w:jc w:val="both"/>
        <w:rPr>
          <w:rFonts w:ascii="Arial" w:hAnsi="Arial" w:cs="Arial"/>
          <w:sz w:val="19"/>
          <w:szCs w:val="19"/>
          <w:lang w:val="es-ES"/>
        </w:rPr>
      </w:pPr>
    </w:p>
  </w:footnote>
  <w:footnote w:id="2">
    <w:p w14:paraId="709E2600" w14:textId="77777777" w:rsidR="00D17F02" w:rsidRPr="00F70B3F" w:rsidRDefault="00D17F02" w:rsidP="00B61369">
      <w:pPr>
        <w:pStyle w:val="NormalWeb"/>
        <w:spacing w:before="0" w:beforeAutospacing="0" w:after="0" w:afterAutospacing="0"/>
        <w:ind w:firstLine="708"/>
        <w:jc w:val="both"/>
        <w:rPr>
          <w:rFonts w:ascii="Arial" w:hAnsi="Arial" w:cs="Arial"/>
          <w:sz w:val="19"/>
          <w:szCs w:val="19"/>
        </w:rPr>
      </w:pPr>
      <w:r w:rsidRPr="00F70B3F">
        <w:rPr>
          <w:rStyle w:val="Refdenotaalpie"/>
          <w:rFonts w:ascii="Arial" w:hAnsi="Arial" w:cs="Arial"/>
          <w:sz w:val="19"/>
          <w:szCs w:val="19"/>
        </w:rPr>
        <w:footnoteRef/>
      </w:r>
      <w:r w:rsidRPr="00F70B3F">
        <w:rPr>
          <w:rFonts w:ascii="Arial" w:hAnsi="Arial" w:cs="Arial"/>
          <w:sz w:val="19"/>
          <w:szCs w:val="19"/>
        </w:rPr>
        <w:t xml:space="preserve"> </w:t>
      </w:r>
      <w:r w:rsidRPr="00F70B3F">
        <w:rPr>
          <w:rFonts w:ascii="Arial" w:hAnsi="Arial" w:cs="Arial"/>
          <w:sz w:val="19"/>
          <w:szCs w:val="19"/>
          <w:lang w:val="es-ES"/>
        </w:rPr>
        <w:t>Art 6 Ley 1150 de 2007 “</w:t>
      </w:r>
      <w:r w:rsidRPr="00F70B3F">
        <w:rPr>
          <w:rFonts w:ascii="Arial" w:hAnsi="Arial" w:cs="Arial"/>
          <w:sz w:val="19"/>
          <w:szCs w:val="19"/>
        </w:rPr>
        <w:t>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E24B865" w14:textId="77777777" w:rsidR="00D17F02" w:rsidRPr="00F70B3F" w:rsidRDefault="00D17F02" w:rsidP="00B61369">
      <w:pPr>
        <w:pStyle w:val="NormalWeb"/>
        <w:spacing w:before="0" w:beforeAutospacing="0" w:after="0" w:afterAutospacing="0"/>
        <w:ind w:firstLine="708"/>
        <w:jc w:val="both"/>
        <w:rPr>
          <w:rFonts w:ascii="Arial" w:hAnsi="Arial" w:cs="Arial"/>
          <w:sz w:val="19"/>
          <w:szCs w:val="19"/>
        </w:rPr>
      </w:pPr>
      <w:r w:rsidRPr="00F70B3F">
        <w:rPr>
          <w:rFonts w:ascii="Arial" w:hAnsi="Arial" w:cs="Arial"/>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61C2F832" w14:textId="77777777" w:rsidR="00D17F02" w:rsidRPr="00F70B3F" w:rsidRDefault="00D17F02">
      <w:pPr>
        <w:pStyle w:val="NormalWeb"/>
        <w:spacing w:before="0" w:beforeAutospacing="0" w:after="0" w:afterAutospacing="0"/>
        <w:ind w:firstLine="708"/>
        <w:jc w:val="both"/>
        <w:rPr>
          <w:rFonts w:ascii="Arial" w:hAnsi="Arial" w:cs="Arial"/>
          <w:sz w:val="19"/>
          <w:szCs w:val="19"/>
        </w:rPr>
      </w:pPr>
      <w:r w:rsidRPr="00F70B3F">
        <w:rPr>
          <w:rFonts w:ascii="Arial" w:hAnsi="Arial" w:cs="Arial"/>
          <w:sz w:val="19"/>
          <w:szCs w:val="19"/>
        </w:rPr>
        <w:t>En dicho registro constará la información relacionada con la experiencia, capacidad jurídica, financiera y de organización del proponente y su clasificación”.</w:t>
      </w:r>
    </w:p>
    <w:p w14:paraId="0FB87999" w14:textId="77777777" w:rsidR="00D17F02" w:rsidRPr="00F70B3F" w:rsidRDefault="00D17F02" w:rsidP="00B61369">
      <w:pPr>
        <w:pStyle w:val="NormalWeb"/>
        <w:spacing w:before="0" w:beforeAutospacing="0" w:after="0" w:afterAutospacing="0"/>
        <w:ind w:firstLine="708"/>
        <w:jc w:val="both"/>
        <w:rPr>
          <w:rFonts w:ascii="Arial" w:hAnsi="Arial" w:cs="Arial"/>
          <w:sz w:val="19"/>
          <w:szCs w:val="19"/>
        </w:rPr>
      </w:pPr>
    </w:p>
  </w:footnote>
  <w:footnote w:id="3">
    <w:p w14:paraId="331D977C" w14:textId="77777777" w:rsidR="00D17F02" w:rsidRPr="00F70B3F" w:rsidRDefault="00D17F02" w:rsidP="00D17F02">
      <w:pPr>
        <w:ind w:firstLine="708"/>
        <w:jc w:val="both"/>
        <w:rPr>
          <w:rFonts w:ascii="Arial" w:hAnsi="Arial" w:cs="Arial"/>
          <w:sz w:val="19"/>
          <w:szCs w:val="19"/>
        </w:rPr>
      </w:pPr>
      <w:r w:rsidRPr="00F70B3F">
        <w:rPr>
          <w:rStyle w:val="Refdenotaalpie"/>
          <w:rFonts w:ascii="Arial" w:hAnsi="Arial" w:cs="Arial"/>
          <w:sz w:val="19"/>
          <w:szCs w:val="19"/>
        </w:rPr>
        <w:footnoteRef/>
      </w:r>
      <w:r w:rsidRPr="00F70B3F">
        <w:rPr>
          <w:rFonts w:ascii="Arial" w:hAnsi="Arial" w:cs="Arial"/>
          <w:sz w:val="19"/>
          <w:szCs w:val="19"/>
        </w:rPr>
        <w:t xml:space="preserve"> “No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p>
    <w:p w14:paraId="11492CAB" w14:textId="77777777" w:rsidR="00D17F02" w:rsidRPr="00F70B3F" w:rsidRDefault="00D17F02" w:rsidP="00D17F02">
      <w:pPr>
        <w:pStyle w:val="Textonotapie"/>
        <w:rPr>
          <w:lang w:val="es-ES"/>
        </w:rPr>
      </w:pPr>
    </w:p>
  </w:footnote>
  <w:footnote w:id="4">
    <w:p w14:paraId="5133BA8D" w14:textId="77777777" w:rsidR="0017599F" w:rsidRPr="00F70B3F" w:rsidRDefault="0017599F" w:rsidP="00230490">
      <w:pPr>
        <w:pStyle w:val="Textonotapie"/>
        <w:ind w:firstLine="708"/>
        <w:jc w:val="both"/>
        <w:rPr>
          <w:rFonts w:ascii="Arial" w:hAnsi="Arial" w:cs="Arial"/>
          <w:sz w:val="19"/>
          <w:szCs w:val="19"/>
        </w:rPr>
      </w:pPr>
      <w:r w:rsidRPr="00F70B3F">
        <w:rPr>
          <w:rStyle w:val="Refdenotaalpie"/>
          <w:rFonts w:ascii="Arial" w:hAnsi="Arial" w:cs="Arial"/>
          <w:sz w:val="19"/>
          <w:szCs w:val="19"/>
        </w:rPr>
        <w:footnoteRef/>
      </w:r>
      <w:r w:rsidRPr="00F70B3F">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488890F6" w14:textId="77777777" w:rsidR="0017599F" w:rsidRPr="00F70B3F" w:rsidRDefault="0017599F" w:rsidP="00230490">
      <w:pPr>
        <w:pStyle w:val="Textonotapie"/>
        <w:ind w:firstLine="708"/>
        <w:jc w:val="both"/>
        <w:rPr>
          <w:rFonts w:ascii="Arial" w:hAnsi="Arial" w:cs="Arial"/>
          <w:sz w:val="19"/>
          <w:szCs w:val="19"/>
          <w:lang w:val="es-ES"/>
        </w:rPr>
      </w:pPr>
    </w:p>
  </w:footnote>
  <w:footnote w:id="5">
    <w:p w14:paraId="43FB8B8F" w14:textId="77777777" w:rsidR="0017599F" w:rsidRPr="00F70B3F" w:rsidRDefault="0017599F" w:rsidP="00230490">
      <w:pPr>
        <w:pStyle w:val="Textonotapie"/>
        <w:ind w:firstLine="709"/>
        <w:jc w:val="both"/>
        <w:rPr>
          <w:rFonts w:ascii="Arial" w:hAnsi="Arial" w:cs="Arial"/>
          <w:sz w:val="19"/>
          <w:szCs w:val="19"/>
          <w:lang w:val="es-ES"/>
        </w:rPr>
      </w:pPr>
      <w:r w:rsidRPr="00F70B3F">
        <w:rPr>
          <w:rStyle w:val="Refdenotaalpie"/>
          <w:rFonts w:ascii="Arial" w:hAnsi="Arial" w:cs="Arial"/>
          <w:sz w:val="19"/>
          <w:szCs w:val="19"/>
        </w:rPr>
        <w:footnoteRef/>
      </w:r>
      <w:r w:rsidRPr="00F70B3F">
        <w:rPr>
          <w:rFonts w:ascii="Arial" w:hAnsi="Arial" w:cs="Arial"/>
          <w:sz w:val="19"/>
          <w:szCs w:val="19"/>
        </w:rPr>
        <w:t xml:space="preserve"> </w:t>
      </w:r>
      <w:r w:rsidRPr="00F70B3F">
        <w:rPr>
          <w:rFonts w:ascii="Arial" w:hAnsi="Arial" w:cs="Arial"/>
          <w:sz w:val="19"/>
          <w:szCs w:val="19"/>
          <w:lang w:val="es-ES"/>
        </w:rPr>
        <w:t>Disponible en:</w:t>
      </w:r>
    </w:p>
    <w:p w14:paraId="2425BD46" w14:textId="3B2915F9" w:rsidR="0017599F" w:rsidRPr="00F70B3F" w:rsidRDefault="00C27833" w:rsidP="00230490">
      <w:pPr>
        <w:pStyle w:val="Textonotapie"/>
        <w:ind w:firstLine="709"/>
        <w:jc w:val="both"/>
        <w:rPr>
          <w:rFonts w:ascii="Arial" w:hAnsi="Arial" w:cs="Arial"/>
          <w:sz w:val="19"/>
          <w:szCs w:val="19"/>
          <w:lang w:val="es-ES"/>
        </w:rPr>
      </w:pPr>
      <w:hyperlink r:id="rId1" w:history="1">
        <w:r w:rsidR="00D42280" w:rsidRPr="00F70B3F">
          <w:rPr>
            <w:rStyle w:val="Hipervnculo"/>
            <w:rFonts w:ascii="Arial" w:hAnsi="Arial" w:cs="Arial"/>
            <w:color w:val="auto"/>
            <w:sz w:val="19"/>
            <w:szCs w:val="19"/>
            <w:lang w:val="es-ES"/>
          </w:rPr>
          <w:t>https://www.colombiacompra.gov.co/sites/cce_public/files/cce_documents/cce_manual_requisitos_habilitantes.pdf</w:t>
        </w:r>
      </w:hyperlink>
      <w:r w:rsidR="00D42280" w:rsidRPr="00F70B3F">
        <w:rPr>
          <w:rFonts w:ascii="Arial" w:hAnsi="Arial" w:cs="Arial"/>
          <w:sz w:val="19"/>
          <w:szCs w:val="19"/>
          <w:lang w:val="es-ES"/>
        </w:rPr>
        <w:t xml:space="preserve">. </w:t>
      </w:r>
    </w:p>
  </w:footnote>
  <w:footnote w:id="6">
    <w:p w14:paraId="73222CDE" w14:textId="77777777" w:rsidR="009240F5" w:rsidRPr="00F70B3F" w:rsidRDefault="009240F5" w:rsidP="00230490">
      <w:pPr>
        <w:pStyle w:val="Textonotapie"/>
        <w:ind w:firstLine="709"/>
        <w:jc w:val="both"/>
        <w:rPr>
          <w:rFonts w:ascii="Arial" w:hAnsi="Arial" w:cs="Arial"/>
          <w:sz w:val="19"/>
          <w:szCs w:val="19"/>
        </w:rPr>
      </w:pPr>
    </w:p>
    <w:p w14:paraId="012023EF" w14:textId="77777777" w:rsidR="009240F5" w:rsidRPr="00F70B3F" w:rsidRDefault="009240F5" w:rsidP="00230490">
      <w:pPr>
        <w:pStyle w:val="Textonotapie"/>
        <w:ind w:firstLine="709"/>
        <w:jc w:val="both"/>
        <w:rPr>
          <w:rFonts w:ascii="Arial" w:hAnsi="Arial" w:cs="Arial"/>
          <w:sz w:val="19"/>
          <w:szCs w:val="19"/>
          <w:lang w:val="es-ES"/>
        </w:rPr>
      </w:pPr>
      <w:r w:rsidRPr="00F70B3F">
        <w:rPr>
          <w:rStyle w:val="Refdenotaalpie"/>
          <w:rFonts w:ascii="Arial" w:hAnsi="Arial" w:cs="Arial"/>
          <w:sz w:val="19"/>
          <w:szCs w:val="19"/>
        </w:rPr>
        <w:footnoteRef/>
      </w:r>
      <w:r w:rsidRPr="00F70B3F">
        <w:rPr>
          <w:rFonts w:ascii="Arial" w:hAnsi="Arial" w:cs="Arial"/>
          <w:sz w:val="19"/>
          <w:szCs w:val="19"/>
        </w:rPr>
        <w:t xml:space="preserve"> </w:t>
      </w:r>
      <w:r w:rsidRPr="00F70B3F">
        <w:rPr>
          <w:rFonts w:ascii="Arial" w:hAnsi="Arial" w:cs="Arial"/>
          <w:sz w:val="19"/>
          <w:szCs w:val="19"/>
          <w:lang w:val="es-ES"/>
        </w:rPr>
        <w:t>Ibíd.</w:t>
      </w:r>
    </w:p>
  </w:footnote>
  <w:footnote w:id="7">
    <w:p w14:paraId="0BD72721" w14:textId="7F8C438D" w:rsidR="00976D90" w:rsidRPr="00F70B3F" w:rsidRDefault="00976D90" w:rsidP="00230490">
      <w:pPr>
        <w:pStyle w:val="Textonotapie"/>
        <w:ind w:firstLine="708"/>
        <w:jc w:val="both"/>
        <w:rPr>
          <w:rFonts w:ascii="Arial" w:hAnsi="Arial" w:cs="Arial"/>
          <w:sz w:val="19"/>
          <w:szCs w:val="19"/>
        </w:rPr>
      </w:pPr>
      <w:r w:rsidRPr="00F70B3F">
        <w:rPr>
          <w:rStyle w:val="Refdenotaalpie"/>
          <w:rFonts w:ascii="Arial" w:hAnsi="Arial" w:cs="Arial"/>
          <w:sz w:val="19"/>
          <w:szCs w:val="19"/>
        </w:rPr>
        <w:footnoteRef/>
      </w:r>
      <w:r w:rsidRPr="00F70B3F">
        <w:rPr>
          <w:rFonts w:ascii="Arial" w:hAnsi="Arial" w:cs="Arial"/>
          <w:sz w:val="19"/>
          <w:szCs w:val="19"/>
        </w:rPr>
        <w:t xml:space="preserve"> Mide la liquidez del proponente de manera más estricta que el índice de liquidez, pues no tiene en cuenta su inventario. El inventario es excluido, teniendo en cuenta que es la cuenta menos líquida del activo corriente y no debe ser usada para pagar las obligaciones de corto plazo.</w:t>
      </w:r>
    </w:p>
    <w:p w14:paraId="430883E4" w14:textId="77777777" w:rsidR="00AF67F5" w:rsidRPr="00F70B3F" w:rsidRDefault="00AF67F5" w:rsidP="00230490">
      <w:pPr>
        <w:pStyle w:val="Textonotapie"/>
        <w:ind w:firstLine="708"/>
        <w:jc w:val="both"/>
        <w:rPr>
          <w:rFonts w:ascii="Arial" w:hAnsi="Arial" w:cs="Arial"/>
          <w:sz w:val="19"/>
          <w:szCs w:val="19"/>
          <w:lang w:val="es-ES"/>
        </w:rPr>
      </w:pPr>
    </w:p>
  </w:footnote>
  <w:footnote w:id="8">
    <w:p w14:paraId="1CBA7E02" w14:textId="2630FAAF" w:rsidR="00AD5E92" w:rsidRPr="00F70B3F" w:rsidRDefault="00AD5E92" w:rsidP="00230490">
      <w:pPr>
        <w:pStyle w:val="Textonotapie"/>
        <w:ind w:firstLine="567"/>
        <w:jc w:val="both"/>
        <w:rPr>
          <w:rFonts w:ascii="Arial" w:hAnsi="Arial" w:cs="Arial"/>
          <w:sz w:val="19"/>
          <w:szCs w:val="19"/>
          <w:lang w:val="es-ES"/>
        </w:rPr>
      </w:pPr>
      <w:r w:rsidRPr="00F70B3F">
        <w:rPr>
          <w:rStyle w:val="Refdenotaalpie"/>
          <w:rFonts w:ascii="Arial" w:hAnsi="Arial" w:cs="Arial"/>
          <w:sz w:val="19"/>
          <w:szCs w:val="19"/>
        </w:rPr>
        <w:footnoteRef/>
      </w:r>
      <w:r w:rsidRPr="00F70B3F">
        <w:rPr>
          <w:rFonts w:ascii="Arial" w:hAnsi="Arial" w:cs="Arial"/>
          <w:sz w:val="19"/>
          <w:szCs w:val="19"/>
        </w:rPr>
        <w:t xml:space="preserve"> </w:t>
      </w:r>
      <w:r w:rsidRPr="00F70B3F">
        <w:rPr>
          <w:rFonts w:ascii="Arial" w:hAnsi="Arial" w:cs="Arial"/>
          <w:sz w:val="19"/>
          <w:szCs w:val="19"/>
          <w:lang w:val="es-ES"/>
        </w:rPr>
        <w:t>Agencia Nacional de Contratación Pública – Colombia Compra Eficiente, Manual para determinar y verificar los requisitos habilitantes en los Procesos de Contratación. El citado Manual puede ser consultado</w:t>
      </w:r>
      <w:r w:rsidR="00230490" w:rsidRPr="00F70B3F">
        <w:rPr>
          <w:rFonts w:ascii="Arial" w:hAnsi="Arial" w:cs="Arial"/>
          <w:sz w:val="19"/>
          <w:szCs w:val="19"/>
          <w:lang w:val="es-ES"/>
        </w:rPr>
        <w:t xml:space="preserve"> en el siguiente en lace: </w:t>
      </w:r>
      <w:hyperlink r:id="rId2" w:history="1">
        <w:r w:rsidR="00AF67F5" w:rsidRPr="00F70B3F">
          <w:rPr>
            <w:rStyle w:val="Hipervnculo"/>
            <w:rFonts w:ascii="Arial" w:hAnsi="Arial" w:cs="Arial"/>
            <w:color w:val="auto"/>
            <w:sz w:val="19"/>
            <w:szCs w:val="19"/>
            <w:lang w:val="es-ES"/>
          </w:rPr>
          <w:t>https://colombiacompra.gov.co/sites/default/files/manuales/20140901_manual_requisitos_habilitantes_4_web.pdf</w:t>
        </w:r>
      </w:hyperlink>
      <w:r w:rsidR="00AF67F5" w:rsidRPr="00F70B3F">
        <w:rPr>
          <w:rFonts w:ascii="Arial" w:hAnsi="Arial" w:cs="Arial"/>
          <w:sz w:val="19"/>
          <w:szCs w:val="19"/>
          <w:lang w:val="es-ES"/>
        </w:rPr>
        <w:t xml:space="preserve">. </w:t>
      </w:r>
    </w:p>
    <w:p w14:paraId="400DC39F" w14:textId="77777777" w:rsidR="00AF67F5" w:rsidRPr="00F70B3F" w:rsidRDefault="00AF67F5" w:rsidP="00230490">
      <w:pPr>
        <w:pStyle w:val="Textonotapie"/>
        <w:ind w:firstLine="567"/>
        <w:jc w:val="both"/>
        <w:rPr>
          <w:rFonts w:ascii="Arial" w:hAnsi="Arial" w:cs="Arial"/>
          <w:sz w:val="19"/>
          <w:szCs w:val="19"/>
          <w:lang w:val="es-ES"/>
        </w:rPr>
      </w:pPr>
    </w:p>
  </w:footnote>
  <w:footnote w:id="9">
    <w:p w14:paraId="3CE3109B" w14:textId="1E49748F" w:rsidR="00230490" w:rsidRPr="00F70B3F" w:rsidRDefault="00230490" w:rsidP="00230490">
      <w:pPr>
        <w:pStyle w:val="Textonotapie"/>
        <w:ind w:firstLine="709"/>
        <w:jc w:val="both"/>
        <w:rPr>
          <w:rFonts w:ascii="Arial" w:hAnsi="Arial" w:cs="Arial"/>
          <w:sz w:val="19"/>
          <w:szCs w:val="19"/>
          <w:lang w:val="es-ES"/>
        </w:rPr>
      </w:pPr>
      <w:r w:rsidRPr="00F70B3F">
        <w:rPr>
          <w:rStyle w:val="Refdenotaalpie"/>
          <w:rFonts w:ascii="Arial" w:hAnsi="Arial" w:cs="Arial"/>
          <w:sz w:val="19"/>
          <w:szCs w:val="19"/>
        </w:rPr>
        <w:footnoteRef/>
      </w:r>
      <w:r w:rsidRPr="00F70B3F">
        <w:rPr>
          <w:rFonts w:ascii="Arial" w:hAnsi="Arial" w:cs="Arial"/>
          <w:sz w:val="19"/>
          <w:szCs w:val="19"/>
        </w:rPr>
        <w:t xml:space="preserve"> Ibídem.</w:t>
      </w:r>
    </w:p>
  </w:footnote>
  <w:footnote w:id="10">
    <w:p w14:paraId="490F2EDD" w14:textId="77777777" w:rsidR="009240F5" w:rsidRPr="00F70B3F" w:rsidRDefault="009240F5" w:rsidP="00230490">
      <w:pPr>
        <w:pStyle w:val="Textonotapie"/>
        <w:ind w:firstLine="709"/>
        <w:jc w:val="both"/>
        <w:rPr>
          <w:rFonts w:ascii="Arial" w:hAnsi="Arial" w:cs="Arial"/>
          <w:sz w:val="19"/>
          <w:szCs w:val="19"/>
        </w:rPr>
      </w:pPr>
    </w:p>
    <w:p w14:paraId="6685A01D" w14:textId="77777777" w:rsidR="009240F5" w:rsidRPr="00F70B3F" w:rsidRDefault="009240F5" w:rsidP="00230490">
      <w:pPr>
        <w:pStyle w:val="Textonotapie"/>
        <w:ind w:firstLine="709"/>
        <w:jc w:val="both"/>
        <w:rPr>
          <w:rFonts w:ascii="Arial" w:hAnsi="Arial" w:cs="Arial"/>
          <w:sz w:val="19"/>
          <w:szCs w:val="19"/>
        </w:rPr>
      </w:pPr>
      <w:r w:rsidRPr="00F70B3F">
        <w:rPr>
          <w:rStyle w:val="Refdenotaalpie"/>
          <w:rFonts w:ascii="Arial" w:hAnsi="Arial" w:cs="Arial"/>
          <w:sz w:val="19"/>
          <w:szCs w:val="19"/>
        </w:rPr>
        <w:footnoteRef/>
      </w:r>
      <w:r w:rsidRPr="00F70B3F">
        <w:rPr>
          <w:rFonts w:ascii="Arial" w:hAnsi="Arial" w:cs="Arial"/>
          <w:sz w:val="19"/>
          <w:szCs w:val="19"/>
        </w:rPr>
        <w:t xml:space="preserve"> Dice el Manual que: «[...] En atención a la naturaleza del contrato a suscribir y de su valor, plazo y forma de pago, la Entidad Estatal debe hacer uso de los indicadores que considere adecuados respecto al objeto del Proceso de Contratación.</w:t>
      </w:r>
    </w:p>
    <w:p w14:paraId="65010335" w14:textId="77777777" w:rsidR="00230490" w:rsidRPr="00F70B3F" w:rsidRDefault="00230490" w:rsidP="00230490">
      <w:pPr>
        <w:pStyle w:val="Textonotapie"/>
        <w:ind w:firstLine="709"/>
        <w:jc w:val="both"/>
        <w:rPr>
          <w:rFonts w:ascii="Arial" w:hAnsi="Arial" w:cs="Arial"/>
          <w:sz w:val="19"/>
          <w:szCs w:val="19"/>
        </w:rPr>
      </w:pPr>
    </w:p>
    <w:p w14:paraId="2F5C56F2" w14:textId="25CDD8C0" w:rsidR="009240F5" w:rsidRPr="00F70B3F" w:rsidRDefault="009240F5" w:rsidP="00230490">
      <w:pPr>
        <w:pStyle w:val="Textonotapie"/>
        <w:ind w:firstLine="709"/>
        <w:jc w:val="both"/>
        <w:rPr>
          <w:rFonts w:ascii="Arial" w:hAnsi="Arial" w:cs="Arial"/>
          <w:sz w:val="19"/>
          <w:szCs w:val="19"/>
        </w:rPr>
      </w:pPr>
      <w:r w:rsidRPr="00F70B3F">
        <w:rPr>
          <w:rFonts w:ascii="Arial" w:hAnsi="Arial" w:cs="Arial"/>
          <w:sz w:val="19"/>
          <w:szCs w:val="19"/>
        </w:rPr>
        <w:t>«Las Entidades Estatales no deben limitarse a determinar y aplicar de forma mecánica fórmulas financieras para determinar los indicadores. Deben conocer cada indicador, sus fórmulas de cálculo y su interpretación».</w:t>
      </w:r>
    </w:p>
  </w:footnote>
  <w:footnote w:id="11">
    <w:p w14:paraId="048056A9" w14:textId="77777777" w:rsidR="009240F5" w:rsidRPr="00F70B3F" w:rsidRDefault="009240F5" w:rsidP="00230490">
      <w:pPr>
        <w:pStyle w:val="Textonotapie"/>
        <w:ind w:firstLine="709"/>
        <w:jc w:val="both"/>
        <w:rPr>
          <w:rFonts w:ascii="Arial" w:hAnsi="Arial" w:cs="Arial"/>
          <w:sz w:val="19"/>
          <w:szCs w:val="19"/>
        </w:rPr>
      </w:pPr>
    </w:p>
    <w:p w14:paraId="4A895594" w14:textId="77777777" w:rsidR="009240F5" w:rsidRPr="00F70B3F" w:rsidRDefault="009240F5" w:rsidP="00230490">
      <w:pPr>
        <w:pStyle w:val="Textonotapie"/>
        <w:ind w:firstLine="709"/>
        <w:jc w:val="both"/>
        <w:rPr>
          <w:rFonts w:ascii="Arial" w:hAnsi="Arial" w:cs="Arial"/>
          <w:sz w:val="19"/>
          <w:szCs w:val="19"/>
          <w:lang w:val="es-ES"/>
        </w:rPr>
      </w:pPr>
      <w:r w:rsidRPr="00F70B3F">
        <w:rPr>
          <w:rStyle w:val="Refdenotaalpie"/>
          <w:rFonts w:ascii="Arial" w:hAnsi="Arial" w:cs="Arial"/>
          <w:sz w:val="19"/>
          <w:szCs w:val="19"/>
        </w:rPr>
        <w:footnoteRef/>
      </w:r>
      <w:r w:rsidRPr="00F70B3F">
        <w:rPr>
          <w:rFonts w:ascii="Arial" w:hAnsi="Arial" w:cs="Arial"/>
          <w:sz w:val="19"/>
          <w:szCs w:val="19"/>
        </w:rPr>
        <w:t xml:space="preserve"> Al respecto, el Manual indica: «La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p>
  </w:footnote>
  <w:footnote w:id="12">
    <w:p w14:paraId="069063AC" w14:textId="77777777" w:rsidR="00252E36" w:rsidRPr="00F70B3F" w:rsidRDefault="00252E36" w:rsidP="00252E36">
      <w:pPr>
        <w:pStyle w:val="Textonotapie"/>
        <w:ind w:firstLine="709"/>
        <w:jc w:val="both"/>
        <w:rPr>
          <w:rFonts w:ascii="Arial" w:hAnsi="Arial" w:cs="Arial"/>
          <w:sz w:val="19"/>
          <w:szCs w:val="19"/>
        </w:rPr>
      </w:pPr>
    </w:p>
    <w:p w14:paraId="6C4C7D2C" w14:textId="77777777" w:rsidR="00252E36" w:rsidRPr="00F70B3F" w:rsidRDefault="00252E36" w:rsidP="00252E36">
      <w:pPr>
        <w:pStyle w:val="Textonotapie"/>
        <w:ind w:firstLine="709"/>
        <w:jc w:val="both"/>
        <w:rPr>
          <w:rFonts w:ascii="Arial" w:hAnsi="Arial" w:cs="Arial"/>
          <w:sz w:val="19"/>
          <w:szCs w:val="19"/>
          <w:lang w:val="es-ES"/>
        </w:rPr>
      </w:pPr>
      <w:r w:rsidRPr="00F70B3F">
        <w:rPr>
          <w:rStyle w:val="Refdenotaalpie"/>
          <w:rFonts w:ascii="Arial" w:hAnsi="Arial" w:cs="Arial"/>
          <w:sz w:val="19"/>
          <w:szCs w:val="19"/>
        </w:rPr>
        <w:footnoteRef/>
      </w:r>
      <w:r w:rsidRPr="00F70B3F">
        <w:rPr>
          <w:rFonts w:ascii="Arial" w:hAnsi="Arial" w:cs="Arial"/>
          <w:sz w:val="19"/>
          <w:szCs w:val="19"/>
        </w:rPr>
        <w:t xml:space="preserve"> En efecto</w:t>
      </w:r>
      <w:r w:rsidRPr="00F70B3F">
        <w:rPr>
          <w:rFonts w:ascii="Arial" w:hAnsi="Arial" w:cs="Arial"/>
          <w:sz w:val="19"/>
          <w:szCs w:val="19"/>
          <w:lang w:val="es-ES"/>
        </w:rPr>
        <w:t xml:space="preserve">, es importante mencionar desde este momento que mediante el Decreto 579 de 2021, expedido recientemente, el gobierno nacional anticipó estas medidas, sustituyendo algunos parágrafos transitorios que había agregado el Decreto 399 de 2021, como se explicará más adelante. Concretamente, el Decreto 579 de 2021 establece que en los procesos de selección cuyo acto administrativo de apertura o invitación se publique a partir del 1 de </w:t>
      </w:r>
      <w:r w:rsidRPr="00F70B3F">
        <w:rPr>
          <w:rFonts w:ascii="Arial" w:hAnsi="Arial" w:cs="Arial"/>
          <w:i/>
          <w:iCs/>
          <w:sz w:val="19"/>
          <w:szCs w:val="19"/>
          <w:lang w:val="es-ES"/>
        </w:rPr>
        <w:t>julio</w:t>
      </w:r>
      <w:r w:rsidRPr="00F70B3F">
        <w:rPr>
          <w:rFonts w:ascii="Arial" w:hAnsi="Arial" w:cs="Arial"/>
          <w:sz w:val="19"/>
          <w:szCs w:val="19"/>
          <w:lang w:val="es-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footnote>
  <w:footnote w:id="13">
    <w:p w14:paraId="7FB0214A" w14:textId="77777777" w:rsidR="00E74FBB" w:rsidRPr="00F70B3F" w:rsidRDefault="00E74FBB" w:rsidP="00E74FBB">
      <w:pPr>
        <w:pStyle w:val="Textonotapie"/>
        <w:ind w:firstLine="709"/>
        <w:jc w:val="both"/>
        <w:rPr>
          <w:rFonts w:ascii="Arial" w:hAnsi="Arial" w:cs="Arial"/>
          <w:sz w:val="19"/>
          <w:szCs w:val="19"/>
          <w:lang w:val="es-ES"/>
        </w:rPr>
      </w:pPr>
      <w:r w:rsidRPr="00F70B3F">
        <w:rPr>
          <w:rStyle w:val="Refdenotaalpie"/>
          <w:rFonts w:ascii="Arial" w:hAnsi="Arial" w:cs="Arial"/>
          <w:sz w:val="19"/>
          <w:szCs w:val="19"/>
        </w:rPr>
        <w:footnoteRef/>
      </w:r>
      <w:r w:rsidRPr="00F70B3F">
        <w:rPr>
          <w:rFonts w:ascii="Arial" w:hAnsi="Arial" w:cs="Arial"/>
          <w:sz w:val="19"/>
          <w:szCs w:val="19"/>
        </w:rPr>
        <w:t xml:space="preserve"> </w:t>
      </w:r>
      <w:r w:rsidRPr="00F70B3F">
        <w:rPr>
          <w:rFonts w:ascii="Arial" w:hAnsi="Arial" w:cs="Arial"/>
          <w:sz w:val="19"/>
          <w:szCs w:val="19"/>
          <w:lang w:val="es-ES"/>
        </w:rPr>
        <w:t>«</w:t>
      </w:r>
      <w:r w:rsidRPr="00F70B3F">
        <w:rPr>
          <w:rFonts w:ascii="Arial" w:hAnsi="Arial" w:cs="Arial"/>
          <w:sz w:val="19"/>
          <w:szCs w:val="19"/>
          <w:lang w:val="es-ES"/>
        </w:rPr>
        <w:t>Artículo  1. Sustitución de los parágrafos transitorios del artículo 2.2.1.1.1.5.2. del Decreto 1082 de 2015, Único Reglamentario del Sector Administrativo de Planeación Nacional. Sustitúyase los parágrafos transitorios del artículo 2.2.1.1.1.5.2. de la Subsección 5 de la Sección 1 del Capítulo 1 del Título 1 de la Parte 2 del Libro 2 del Decreto 1082 de 2015, Único Reglamentario del Sector Administrativo de Planeación Nacional, los cuales quedarán así:</w:t>
      </w:r>
    </w:p>
    <w:p w14:paraId="22F9FFB5" w14:textId="77777777" w:rsidR="00E74FBB" w:rsidRPr="00F70B3F" w:rsidRDefault="00E74FBB" w:rsidP="00E74FBB">
      <w:pPr>
        <w:pStyle w:val="Textonotapie"/>
        <w:ind w:firstLine="709"/>
        <w:jc w:val="both"/>
        <w:rPr>
          <w:rFonts w:ascii="Arial" w:hAnsi="Arial" w:cs="Arial"/>
          <w:sz w:val="19"/>
          <w:szCs w:val="19"/>
          <w:lang w:val="es-ES"/>
        </w:rPr>
      </w:pPr>
      <w:r w:rsidRPr="00F70B3F">
        <w:rPr>
          <w:rFonts w:ascii="Arial" w:hAnsi="Arial" w:cs="Arial"/>
          <w:sz w:val="19"/>
          <w:szCs w:val="19"/>
          <w:lang w:val="es-ES"/>
        </w:rPr>
        <w:t>»"PARÁGRAFO TRANSITORIO 1: A partir del 1 de junio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6BD384EA" w14:textId="77777777" w:rsidR="00E74FBB" w:rsidRPr="00F70B3F" w:rsidRDefault="00E74FBB" w:rsidP="00E74FBB">
      <w:pPr>
        <w:pStyle w:val="Textonotapie"/>
        <w:ind w:firstLine="709"/>
        <w:jc w:val="both"/>
        <w:rPr>
          <w:rFonts w:ascii="Arial" w:hAnsi="Arial" w:cs="Arial"/>
          <w:sz w:val="19"/>
          <w:szCs w:val="19"/>
          <w:lang w:val="es-ES"/>
        </w:rPr>
      </w:pPr>
      <w:r w:rsidRPr="00F70B3F">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2C9EEDC2" w14:textId="77777777" w:rsidR="00E74FBB" w:rsidRPr="00F70B3F" w:rsidRDefault="00E74FBB" w:rsidP="00E74FBB">
      <w:pPr>
        <w:pStyle w:val="Textonotapie"/>
        <w:ind w:firstLine="709"/>
        <w:jc w:val="both"/>
        <w:rPr>
          <w:rFonts w:ascii="Arial" w:hAnsi="Arial" w:cs="Arial"/>
          <w:sz w:val="19"/>
          <w:szCs w:val="19"/>
          <w:lang w:val="es-ES"/>
        </w:rPr>
      </w:pPr>
      <w:r w:rsidRPr="00F70B3F">
        <w:rPr>
          <w:rFonts w:ascii="Arial" w:hAnsi="Arial" w:cs="Arial"/>
          <w:sz w:val="19"/>
          <w:szCs w:val="19"/>
          <w:lang w:val="es-ES"/>
        </w:rPr>
        <w:t>»El proponente con inscripción activa y vigente que no tenga la información de la capacidad financiera y organizacional delos años 2018 y/o 2019 inscrita en el Registro Único de Proponentes, durante el mes de junio de 2021, podrá reportar por única vez, mediante una solicitud de actualización, únicamente la información contable correspondiente a estos años, sin costo alguno.</w:t>
      </w:r>
    </w:p>
    <w:p w14:paraId="681402EA" w14:textId="77777777" w:rsidR="00E74FBB" w:rsidRPr="00F70B3F" w:rsidRDefault="00E74FBB" w:rsidP="00E74FBB">
      <w:pPr>
        <w:pStyle w:val="Textonotapie"/>
        <w:ind w:firstLine="709"/>
        <w:jc w:val="both"/>
        <w:rPr>
          <w:rFonts w:ascii="Arial" w:hAnsi="Arial" w:cs="Arial"/>
          <w:sz w:val="19"/>
          <w:szCs w:val="19"/>
          <w:lang w:val="es-ES"/>
        </w:rPr>
      </w:pPr>
      <w:r w:rsidRPr="00F70B3F">
        <w:rPr>
          <w:rFonts w:ascii="Arial" w:hAnsi="Arial" w:cs="Arial"/>
          <w:sz w:val="19"/>
          <w:szCs w:val="19"/>
          <w:lang w:val="es-ES"/>
        </w:rPr>
        <w:t>»El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62C0CA3C" w14:textId="77777777" w:rsidR="00E74FBB" w:rsidRPr="00F70B3F" w:rsidRDefault="00E74FBB" w:rsidP="00E74FBB">
      <w:pPr>
        <w:pStyle w:val="Textonotapie"/>
        <w:ind w:firstLine="709"/>
        <w:jc w:val="both"/>
        <w:rPr>
          <w:rFonts w:ascii="Arial" w:hAnsi="Arial" w:cs="Arial"/>
          <w:sz w:val="19"/>
          <w:szCs w:val="19"/>
          <w:lang w:val="es-ES"/>
        </w:rPr>
      </w:pPr>
      <w:r w:rsidRPr="00F70B3F">
        <w:rPr>
          <w:rFonts w:ascii="Arial" w:hAnsi="Arial" w:cs="Arial"/>
          <w:sz w:val="19"/>
          <w:szCs w:val="19"/>
          <w:lang w:val="es-ES"/>
        </w:rPr>
        <w:t>»PARÁGRAFO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191B49F9" w14:textId="77777777" w:rsidR="00E74FBB" w:rsidRPr="00F70B3F" w:rsidRDefault="00E74FBB" w:rsidP="00E74FBB">
      <w:pPr>
        <w:pStyle w:val="Textonotapie"/>
        <w:ind w:firstLine="709"/>
        <w:jc w:val="both"/>
        <w:rPr>
          <w:rFonts w:ascii="Arial" w:hAnsi="Arial" w:cs="Arial"/>
          <w:sz w:val="19"/>
          <w:szCs w:val="19"/>
          <w:lang w:val="es-ES"/>
        </w:rPr>
      </w:pPr>
      <w:r w:rsidRPr="00F70B3F">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46F197B2" w14:textId="77777777" w:rsidR="00E74FBB" w:rsidRPr="00F70B3F" w:rsidRDefault="00E74FBB" w:rsidP="00E74FBB">
      <w:pPr>
        <w:pStyle w:val="Textonotapie"/>
        <w:ind w:firstLine="709"/>
        <w:jc w:val="both"/>
        <w:rPr>
          <w:rFonts w:ascii="Arial" w:hAnsi="Arial" w:cs="Arial"/>
          <w:sz w:val="19"/>
          <w:szCs w:val="19"/>
          <w:lang w:val="es-CO"/>
        </w:rPr>
      </w:pPr>
      <w:r w:rsidRPr="00F70B3F">
        <w:rPr>
          <w:rFonts w:ascii="Arial" w:hAnsi="Arial" w:cs="Arial"/>
          <w:sz w:val="19"/>
          <w:szCs w:val="19"/>
          <w:lang w:val="es-ES"/>
        </w:rPr>
        <w:t>»El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footnote>
  <w:footnote w:id="14">
    <w:p w14:paraId="3D555105" w14:textId="77777777" w:rsidR="00E74FBB" w:rsidRPr="00F70B3F" w:rsidRDefault="00E74FBB" w:rsidP="00E74FBB">
      <w:pPr>
        <w:pStyle w:val="Textonotapie"/>
        <w:ind w:firstLine="709"/>
        <w:jc w:val="both"/>
        <w:rPr>
          <w:rFonts w:ascii="Arial" w:hAnsi="Arial" w:cs="Arial"/>
          <w:sz w:val="19"/>
          <w:szCs w:val="19"/>
          <w:lang w:val="es-ES"/>
        </w:rPr>
      </w:pPr>
      <w:r w:rsidRPr="00F70B3F">
        <w:rPr>
          <w:rStyle w:val="Refdenotaalpie"/>
          <w:rFonts w:ascii="Arial" w:hAnsi="Arial" w:cs="Arial"/>
          <w:sz w:val="19"/>
          <w:szCs w:val="19"/>
        </w:rPr>
        <w:footnoteRef/>
      </w:r>
      <w:r w:rsidRPr="00F70B3F">
        <w:rPr>
          <w:rFonts w:ascii="Arial" w:hAnsi="Arial" w:cs="Arial"/>
          <w:sz w:val="19"/>
          <w:szCs w:val="19"/>
        </w:rPr>
        <w:t xml:space="preserve"> </w:t>
      </w:r>
      <w:r w:rsidRPr="00F70B3F">
        <w:rPr>
          <w:rFonts w:ascii="Arial" w:hAnsi="Arial" w:cs="Arial"/>
          <w:sz w:val="19"/>
          <w:szCs w:val="19"/>
          <w:lang w:val="es-ES"/>
        </w:rPr>
        <w:t xml:space="preserve">Debe recordarse que el artículo 2.2.1.1.1.6.2. del Decreto 1082 de 2015 prevé lo siguiente: </w:t>
      </w:r>
      <w:r w:rsidRPr="00F70B3F">
        <w:rPr>
          <w:rFonts w:ascii="Arial" w:hAnsi="Arial" w:cs="Arial"/>
          <w:sz w:val="19"/>
          <w:szCs w:val="19"/>
          <w:lang w:val="es-ES"/>
        </w:rPr>
        <w:t>«</w:t>
      </w:r>
      <w:r w:rsidRPr="00F70B3F">
        <w:rPr>
          <w:rFonts w:ascii="Arial" w:hAnsi="Arial" w:cs="Arial"/>
          <w:sz w:val="19"/>
          <w:szCs w:val="19"/>
        </w:rPr>
        <w:t xml:space="preserve"> </w:t>
      </w:r>
      <w:r w:rsidRPr="00F70B3F">
        <w:rPr>
          <w:rFonts w:ascii="Arial" w:hAnsi="Arial" w:cs="Arial"/>
          <w:sz w:val="19"/>
          <w:szCs w:val="19"/>
          <w:lang w:val="es-ES"/>
        </w:rPr>
        <w:t>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3E02" w14:textId="77777777" w:rsidR="00C4215E" w:rsidRDefault="00C4215E">
    <w:pPr>
      <w:pStyle w:val="Encabezado"/>
    </w:pPr>
    <w:r>
      <w:rPr>
        <w:noProof/>
        <w:lang w:val="es-CO" w:eastAsia="es-CO"/>
      </w:rPr>
      <w:drawing>
        <wp:anchor distT="0" distB="0" distL="114300" distR="114300" simplePos="0" relativeHeight="251659264" behindDoc="1" locked="0" layoutInCell="1" allowOverlap="1" wp14:anchorId="70175C09" wp14:editId="4B32A91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385"/>
    <w:multiLevelType w:val="hybridMultilevel"/>
    <w:tmpl w:val="AC860BA6"/>
    <w:lvl w:ilvl="0" w:tplc="AA8C5E22">
      <w:start w:val="3"/>
      <w:numFmt w:val="decimal"/>
      <w:lvlText w:val="%1."/>
      <w:lvlJc w:val="left"/>
      <w:pPr>
        <w:ind w:left="360" w:hanging="360"/>
      </w:pPr>
      <w:rPr>
        <w:rFonts w:ascii="ArialMT" w:eastAsia="Times New Roman" w:hAnsi="ArialMT" w:cs="Times New Roman" w:hint="default"/>
        <w:b/>
        <w:sz w:val="22"/>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1C06310"/>
    <w:multiLevelType w:val="multilevel"/>
    <w:tmpl w:val="3FA27F4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290B3586"/>
    <w:multiLevelType w:val="multilevel"/>
    <w:tmpl w:val="53D46C90"/>
    <w:lvl w:ilvl="0">
      <w:start w:val="2"/>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3B27F9"/>
    <w:multiLevelType w:val="multilevel"/>
    <w:tmpl w:val="3B72F034"/>
    <w:lvl w:ilvl="0">
      <w:start w:val="2"/>
      <w:numFmt w:val="decimal"/>
      <w:lvlText w:val="%1."/>
      <w:lvlJc w:val="left"/>
      <w:pPr>
        <w:ind w:left="380" w:hanging="380"/>
      </w:pPr>
      <w:rPr>
        <w:rFonts w:hint="default"/>
        <w:b/>
        <w:bCs/>
      </w:rPr>
    </w:lvl>
    <w:lvl w:ilvl="1">
      <w:start w:val="1"/>
      <w:numFmt w:val="decimal"/>
      <w:lvlText w:val="%1.%2."/>
      <w:lvlJc w:val="left"/>
      <w:pPr>
        <w:ind w:left="720"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7310106"/>
    <w:multiLevelType w:val="hybridMultilevel"/>
    <w:tmpl w:val="C1708770"/>
    <w:lvl w:ilvl="0" w:tplc="84620E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A306FC5"/>
    <w:multiLevelType w:val="hybridMultilevel"/>
    <w:tmpl w:val="EFF64480"/>
    <w:lvl w:ilvl="0" w:tplc="05CA5CE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0" w15:restartNumberingAfterBreak="0">
    <w:nsid w:val="783D0818"/>
    <w:multiLevelType w:val="hybridMultilevel"/>
    <w:tmpl w:val="633A25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4755995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40449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04896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95463">
    <w:abstractNumId w:val="2"/>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01385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4622434">
    <w:abstractNumId w:val="5"/>
  </w:num>
  <w:num w:numId="7" w16cid:durableId="1987658067">
    <w:abstractNumId w:val="8"/>
  </w:num>
  <w:num w:numId="8" w16cid:durableId="932855463">
    <w:abstractNumId w:val="3"/>
  </w:num>
  <w:num w:numId="9" w16cid:durableId="1181968037">
    <w:abstractNumId w:val="0"/>
  </w:num>
  <w:num w:numId="10" w16cid:durableId="1743062770">
    <w:abstractNumId w:val="10"/>
  </w:num>
  <w:num w:numId="11" w16cid:durableId="2142380312">
    <w:abstractNumId w:val="4"/>
  </w:num>
  <w:num w:numId="12" w16cid:durableId="12387141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3C"/>
    <w:rsid w:val="000035EA"/>
    <w:rsid w:val="00006681"/>
    <w:rsid w:val="00006ECA"/>
    <w:rsid w:val="000079A6"/>
    <w:rsid w:val="00011190"/>
    <w:rsid w:val="0001466D"/>
    <w:rsid w:val="00014EB6"/>
    <w:rsid w:val="0001620B"/>
    <w:rsid w:val="000176DE"/>
    <w:rsid w:val="000204FC"/>
    <w:rsid w:val="000234B2"/>
    <w:rsid w:val="00023EF1"/>
    <w:rsid w:val="00024FFB"/>
    <w:rsid w:val="0002529B"/>
    <w:rsid w:val="0002684A"/>
    <w:rsid w:val="00026B88"/>
    <w:rsid w:val="00027330"/>
    <w:rsid w:val="00032C44"/>
    <w:rsid w:val="00033B27"/>
    <w:rsid w:val="00034102"/>
    <w:rsid w:val="00034222"/>
    <w:rsid w:val="000402A2"/>
    <w:rsid w:val="00043E70"/>
    <w:rsid w:val="00044956"/>
    <w:rsid w:val="000458A1"/>
    <w:rsid w:val="00045B9D"/>
    <w:rsid w:val="00046118"/>
    <w:rsid w:val="0004614C"/>
    <w:rsid w:val="0004642B"/>
    <w:rsid w:val="0005188E"/>
    <w:rsid w:val="000544AE"/>
    <w:rsid w:val="00060CEB"/>
    <w:rsid w:val="00062738"/>
    <w:rsid w:val="00062B22"/>
    <w:rsid w:val="00062F28"/>
    <w:rsid w:val="00063AC1"/>
    <w:rsid w:val="0006513E"/>
    <w:rsid w:val="00065F14"/>
    <w:rsid w:val="00070135"/>
    <w:rsid w:val="00071789"/>
    <w:rsid w:val="00073815"/>
    <w:rsid w:val="000769F7"/>
    <w:rsid w:val="000778DE"/>
    <w:rsid w:val="000802F6"/>
    <w:rsid w:val="00081247"/>
    <w:rsid w:val="000813CC"/>
    <w:rsid w:val="00081913"/>
    <w:rsid w:val="00082027"/>
    <w:rsid w:val="00084619"/>
    <w:rsid w:val="000869D7"/>
    <w:rsid w:val="00087EDA"/>
    <w:rsid w:val="00091741"/>
    <w:rsid w:val="000919DA"/>
    <w:rsid w:val="00093199"/>
    <w:rsid w:val="00096901"/>
    <w:rsid w:val="000A0AEC"/>
    <w:rsid w:val="000A20B7"/>
    <w:rsid w:val="000A58FB"/>
    <w:rsid w:val="000A6E67"/>
    <w:rsid w:val="000B660E"/>
    <w:rsid w:val="000B7FDC"/>
    <w:rsid w:val="000C064C"/>
    <w:rsid w:val="000C0A21"/>
    <w:rsid w:val="000C4362"/>
    <w:rsid w:val="000C74CE"/>
    <w:rsid w:val="000C770E"/>
    <w:rsid w:val="000D071C"/>
    <w:rsid w:val="000D0CA4"/>
    <w:rsid w:val="000D2EED"/>
    <w:rsid w:val="000D43EA"/>
    <w:rsid w:val="000D6E4B"/>
    <w:rsid w:val="000E2C4F"/>
    <w:rsid w:val="000E4F2A"/>
    <w:rsid w:val="000E5E0B"/>
    <w:rsid w:val="000E6DD2"/>
    <w:rsid w:val="000E7A9A"/>
    <w:rsid w:val="000F16CF"/>
    <w:rsid w:val="000F61D3"/>
    <w:rsid w:val="000F6848"/>
    <w:rsid w:val="00103FB0"/>
    <w:rsid w:val="00105A27"/>
    <w:rsid w:val="001062AF"/>
    <w:rsid w:val="001075EA"/>
    <w:rsid w:val="00111454"/>
    <w:rsid w:val="00111971"/>
    <w:rsid w:val="001125C2"/>
    <w:rsid w:val="0011698D"/>
    <w:rsid w:val="001217E2"/>
    <w:rsid w:val="001230BC"/>
    <w:rsid w:val="00123F48"/>
    <w:rsid w:val="00124F1D"/>
    <w:rsid w:val="00126B57"/>
    <w:rsid w:val="00127307"/>
    <w:rsid w:val="0012781C"/>
    <w:rsid w:val="00130681"/>
    <w:rsid w:val="001327B5"/>
    <w:rsid w:val="00141723"/>
    <w:rsid w:val="00141EE7"/>
    <w:rsid w:val="00142E79"/>
    <w:rsid w:val="00146B60"/>
    <w:rsid w:val="00146F8C"/>
    <w:rsid w:val="001507AE"/>
    <w:rsid w:val="00152D59"/>
    <w:rsid w:val="00153435"/>
    <w:rsid w:val="001535E5"/>
    <w:rsid w:val="001539C9"/>
    <w:rsid w:val="00153B67"/>
    <w:rsid w:val="00153F8E"/>
    <w:rsid w:val="00154880"/>
    <w:rsid w:val="001571B3"/>
    <w:rsid w:val="0016068F"/>
    <w:rsid w:val="00162EC2"/>
    <w:rsid w:val="00163A8B"/>
    <w:rsid w:val="001647ED"/>
    <w:rsid w:val="001659D1"/>
    <w:rsid w:val="00167479"/>
    <w:rsid w:val="00170558"/>
    <w:rsid w:val="001708CF"/>
    <w:rsid w:val="0017599F"/>
    <w:rsid w:val="00184810"/>
    <w:rsid w:val="00185795"/>
    <w:rsid w:val="00185F82"/>
    <w:rsid w:val="00186301"/>
    <w:rsid w:val="001863B2"/>
    <w:rsid w:val="00186E11"/>
    <w:rsid w:val="0019117C"/>
    <w:rsid w:val="00191A25"/>
    <w:rsid w:val="0019228D"/>
    <w:rsid w:val="00192E63"/>
    <w:rsid w:val="00195226"/>
    <w:rsid w:val="00196198"/>
    <w:rsid w:val="00196BD7"/>
    <w:rsid w:val="001A21C0"/>
    <w:rsid w:val="001A30BA"/>
    <w:rsid w:val="001A6B3E"/>
    <w:rsid w:val="001A7E08"/>
    <w:rsid w:val="001B1DFC"/>
    <w:rsid w:val="001B4AAC"/>
    <w:rsid w:val="001B5526"/>
    <w:rsid w:val="001B684E"/>
    <w:rsid w:val="001C0105"/>
    <w:rsid w:val="001C06F0"/>
    <w:rsid w:val="001C209E"/>
    <w:rsid w:val="001C2E2B"/>
    <w:rsid w:val="001C359E"/>
    <w:rsid w:val="001C3DC2"/>
    <w:rsid w:val="001C4C5C"/>
    <w:rsid w:val="001C60D3"/>
    <w:rsid w:val="001D2743"/>
    <w:rsid w:val="001D6DB5"/>
    <w:rsid w:val="001D71EC"/>
    <w:rsid w:val="001E10D1"/>
    <w:rsid w:val="001E2E10"/>
    <w:rsid w:val="001E4CF5"/>
    <w:rsid w:val="001E5852"/>
    <w:rsid w:val="001F0BFE"/>
    <w:rsid w:val="001F19A5"/>
    <w:rsid w:val="001F2F64"/>
    <w:rsid w:val="001F56CF"/>
    <w:rsid w:val="00201EBD"/>
    <w:rsid w:val="0020639D"/>
    <w:rsid w:val="00207F73"/>
    <w:rsid w:val="00212317"/>
    <w:rsid w:val="0021284F"/>
    <w:rsid w:val="0021420D"/>
    <w:rsid w:val="00217886"/>
    <w:rsid w:val="00220422"/>
    <w:rsid w:val="00221552"/>
    <w:rsid w:val="00221D94"/>
    <w:rsid w:val="00222DE6"/>
    <w:rsid w:val="00223524"/>
    <w:rsid w:val="002236A3"/>
    <w:rsid w:val="00226878"/>
    <w:rsid w:val="0022772A"/>
    <w:rsid w:val="0023044E"/>
    <w:rsid w:val="00230490"/>
    <w:rsid w:val="00230A7E"/>
    <w:rsid w:val="002321AE"/>
    <w:rsid w:val="002326D5"/>
    <w:rsid w:val="00233525"/>
    <w:rsid w:val="0023384C"/>
    <w:rsid w:val="002354D5"/>
    <w:rsid w:val="00236F30"/>
    <w:rsid w:val="002371CD"/>
    <w:rsid w:val="00237EAB"/>
    <w:rsid w:val="002403F2"/>
    <w:rsid w:val="002405B5"/>
    <w:rsid w:val="00241DC2"/>
    <w:rsid w:val="00241F51"/>
    <w:rsid w:val="002432F0"/>
    <w:rsid w:val="002465B4"/>
    <w:rsid w:val="00246CBC"/>
    <w:rsid w:val="00247959"/>
    <w:rsid w:val="00252E36"/>
    <w:rsid w:val="002535D3"/>
    <w:rsid w:val="002544C2"/>
    <w:rsid w:val="00256B18"/>
    <w:rsid w:val="00256C86"/>
    <w:rsid w:val="00262CAD"/>
    <w:rsid w:val="00263510"/>
    <w:rsid w:val="00265B63"/>
    <w:rsid w:val="00265EF2"/>
    <w:rsid w:val="00266F4A"/>
    <w:rsid w:val="00272082"/>
    <w:rsid w:val="0027211F"/>
    <w:rsid w:val="00274556"/>
    <w:rsid w:val="00280653"/>
    <w:rsid w:val="002813C1"/>
    <w:rsid w:val="00281F95"/>
    <w:rsid w:val="00282BA6"/>
    <w:rsid w:val="00284DA6"/>
    <w:rsid w:val="00285541"/>
    <w:rsid w:val="00285AC7"/>
    <w:rsid w:val="00286CC0"/>
    <w:rsid w:val="002875EE"/>
    <w:rsid w:val="00287834"/>
    <w:rsid w:val="0029198D"/>
    <w:rsid w:val="00291F2F"/>
    <w:rsid w:val="00293F1F"/>
    <w:rsid w:val="00296D50"/>
    <w:rsid w:val="00297AA1"/>
    <w:rsid w:val="002A2BDD"/>
    <w:rsid w:val="002A2F5B"/>
    <w:rsid w:val="002A39F3"/>
    <w:rsid w:val="002A6249"/>
    <w:rsid w:val="002A7B76"/>
    <w:rsid w:val="002B13F7"/>
    <w:rsid w:val="002B1C05"/>
    <w:rsid w:val="002B1CB3"/>
    <w:rsid w:val="002B4D31"/>
    <w:rsid w:val="002B66D7"/>
    <w:rsid w:val="002C0C44"/>
    <w:rsid w:val="002C554A"/>
    <w:rsid w:val="002C593D"/>
    <w:rsid w:val="002C62F1"/>
    <w:rsid w:val="002D14DD"/>
    <w:rsid w:val="002D31A8"/>
    <w:rsid w:val="002D5388"/>
    <w:rsid w:val="002D6146"/>
    <w:rsid w:val="002E058A"/>
    <w:rsid w:val="002E06AA"/>
    <w:rsid w:val="002E1529"/>
    <w:rsid w:val="002E284A"/>
    <w:rsid w:val="002E3086"/>
    <w:rsid w:val="002E545F"/>
    <w:rsid w:val="002E73C8"/>
    <w:rsid w:val="002F17A4"/>
    <w:rsid w:val="002F1E99"/>
    <w:rsid w:val="002F2DFB"/>
    <w:rsid w:val="002F3F6A"/>
    <w:rsid w:val="002F4CCC"/>
    <w:rsid w:val="002F6093"/>
    <w:rsid w:val="002F62D8"/>
    <w:rsid w:val="002F6521"/>
    <w:rsid w:val="0030206E"/>
    <w:rsid w:val="003026FE"/>
    <w:rsid w:val="003038BC"/>
    <w:rsid w:val="003043F8"/>
    <w:rsid w:val="00310242"/>
    <w:rsid w:val="003102D3"/>
    <w:rsid w:val="00311239"/>
    <w:rsid w:val="00311753"/>
    <w:rsid w:val="003123C8"/>
    <w:rsid w:val="0031266F"/>
    <w:rsid w:val="00313F62"/>
    <w:rsid w:val="0031793E"/>
    <w:rsid w:val="003215F6"/>
    <w:rsid w:val="00324CB6"/>
    <w:rsid w:val="003273B8"/>
    <w:rsid w:val="00327EF4"/>
    <w:rsid w:val="00332537"/>
    <w:rsid w:val="0033408C"/>
    <w:rsid w:val="00334D76"/>
    <w:rsid w:val="0033514B"/>
    <w:rsid w:val="003355C9"/>
    <w:rsid w:val="003371D6"/>
    <w:rsid w:val="00341AA9"/>
    <w:rsid w:val="00341C82"/>
    <w:rsid w:val="00344DD9"/>
    <w:rsid w:val="00345C69"/>
    <w:rsid w:val="00347FB2"/>
    <w:rsid w:val="0035026D"/>
    <w:rsid w:val="003517A0"/>
    <w:rsid w:val="003546CE"/>
    <w:rsid w:val="00355294"/>
    <w:rsid w:val="00357D6F"/>
    <w:rsid w:val="00361F71"/>
    <w:rsid w:val="00363A41"/>
    <w:rsid w:val="003641B4"/>
    <w:rsid w:val="003643A9"/>
    <w:rsid w:val="00365097"/>
    <w:rsid w:val="00365A59"/>
    <w:rsid w:val="00366668"/>
    <w:rsid w:val="00366846"/>
    <w:rsid w:val="00374378"/>
    <w:rsid w:val="00374A17"/>
    <w:rsid w:val="0037511A"/>
    <w:rsid w:val="0037569C"/>
    <w:rsid w:val="00375CD3"/>
    <w:rsid w:val="00376CF7"/>
    <w:rsid w:val="00380E9B"/>
    <w:rsid w:val="003820E3"/>
    <w:rsid w:val="003828A9"/>
    <w:rsid w:val="00383A02"/>
    <w:rsid w:val="003861A3"/>
    <w:rsid w:val="00393A8A"/>
    <w:rsid w:val="00395DCF"/>
    <w:rsid w:val="00397C31"/>
    <w:rsid w:val="003A06E8"/>
    <w:rsid w:val="003A0755"/>
    <w:rsid w:val="003A0B9C"/>
    <w:rsid w:val="003A161F"/>
    <w:rsid w:val="003A16E4"/>
    <w:rsid w:val="003A53AC"/>
    <w:rsid w:val="003A7D4E"/>
    <w:rsid w:val="003B02D6"/>
    <w:rsid w:val="003B06C3"/>
    <w:rsid w:val="003B06C4"/>
    <w:rsid w:val="003B234A"/>
    <w:rsid w:val="003B23C8"/>
    <w:rsid w:val="003B425E"/>
    <w:rsid w:val="003B4CB5"/>
    <w:rsid w:val="003B5D12"/>
    <w:rsid w:val="003B7A12"/>
    <w:rsid w:val="003C290B"/>
    <w:rsid w:val="003C3676"/>
    <w:rsid w:val="003C6DE9"/>
    <w:rsid w:val="003C7AE5"/>
    <w:rsid w:val="003D1F97"/>
    <w:rsid w:val="003D2A2D"/>
    <w:rsid w:val="003D5A67"/>
    <w:rsid w:val="003D63A4"/>
    <w:rsid w:val="003E5E45"/>
    <w:rsid w:val="003E6812"/>
    <w:rsid w:val="003F45DC"/>
    <w:rsid w:val="003F57BE"/>
    <w:rsid w:val="003F75F3"/>
    <w:rsid w:val="0040004C"/>
    <w:rsid w:val="004016FF"/>
    <w:rsid w:val="00404138"/>
    <w:rsid w:val="00405C93"/>
    <w:rsid w:val="0040674B"/>
    <w:rsid w:val="00406E76"/>
    <w:rsid w:val="004079FF"/>
    <w:rsid w:val="004117DD"/>
    <w:rsid w:val="004124C1"/>
    <w:rsid w:val="004128C5"/>
    <w:rsid w:val="004151E9"/>
    <w:rsid w:val="00420A9F"/>
    <w:rsid w:val="004213D4"/>
    <w:rsid w:val="00422D43"/>
    <w:rsid w:val="00424422"/>
    <w:rsid w:val="00425D7D"/>
    <w:rsid w:val="00426F03"/>
    <w:rsid w:val="004271E6"/>
    <w:rsid w:val="00430023"/>
    <w:rsid w:val="004302E9"/>
    <w:rsid w:val="00430582"/>
    <w:rsid w:val="004315F6"/>
    <w:rsid w:val="004324D9"/>
    <w:rsid w:val="004327E3"/>
    <w:rsid w:val="00435A56"/>
    <w:rsid w:val="00435D91"/>
    <w:rsid w:val="00437926"/>
    <w:rsid w:val="004407B9"/>
    <w:rsid w:val="00440E6B"/>
    <w:rsid w:val="00441E75"/>
    <w:rsid w:val="004437EA"/>
    <w:rsid w:val="00443C07"/>
    <w:rsid w:val="004452AC"/>
    <w:rsid w:val="004462F2"/>
    <w:rsid w:val="00452E2A"/>
    <w:rsid w:val="004545AE"/>
    <w:rsid w:val="00456C50"/>
    <w:rsid w:val="00457ADD"/>
    <w:rsid w:val="00460133"/>
    <w:rsid w:val="0046174F"/>
    <w:rsid w:val="00463FFA"/>
    <w:rsid w:val="0046502B"/>
    <w:rsid w:val="0046528B"/>
    <w:rsid w:val="00465749"/>
    <w:rsid w:val="00466859"/>
    <w:rsid w:val="00467C65"/>
    <w:rsid w:val="00471790"/>
    <w:rsid w:val="004725FC"/>
    <w:rsid w:val="00474352"/>
    <w:rsid w:val="004753ED"/>
    <w:rsid w:val="00475C68"/>
    <w:rsid w:val="00480273"/>
    <w:rsid w:val="004802D0"/>
    <w:rsid w:val="0048033F"/>
    <w:rsid w:val="00482E69"/>
    <w:rsid w:val="00483B49"/>
    <w:rsid w:val="004843C2"/>
    <w:rsid w:val="00485D48"/>
    <w:rsid w:val="00485F62"/>
    <w:rsid w:val="004958D7"/>
    <w:rsid w:val="004966BA"/>
    <w:rsid w:val="00497DA1"/>
    <w:rsid w:val="004A303C"/>
    <w:rsid w:val="004A3487"/>
    <w:rsid w:val="004A7437"/>
    <w:rsid w:val="004A743C"/>
    <w:rsid w:val="004B0CAB"/>
    <w:rsid w:val="004B10A1"/>
    <w:rsid w:val="004B2B5B"/>
    <w:rsid w:val="004C17CF"/>
    <w:rsid w:val="004C1F93"/>
    <w:rsid w:val="004C59D3"/>
    <w:rsid w:val="004C6330"/>
    <w:rsid w:val="004D2D3A"/>
    <w:rsid w:val="004D35C8"/>
    <w:rsid w:val="004D3F03"/>
    <w:rsid w:val="004D51F9"/>
    <w:rsid w:val="004D525E"/>
    <w:rsid w:val="004D69C3"/>
    <w:rsid w:val="004E0C9F"/>
    <w:rsid w:val="004E3619"/>
    <w:rsid w:val="004E3DA3"/>
    <w:rsid w:val="004E3F3F"/>
    <w:rsid w:val="004E7E51"/>
    <w:rsid w:val="004F07AE"/>
    <w:rsid w:val="004F16A9"/>
    <w:rsid w:val="004F208F"/>
    <w:rsid w:val="004F4CC0"/>
    <w:rsid w:val="004F4D17"/>
    <w:rsid w:val="004F75E7"/>
    <w:rsid w:val="00500D0D"/>
    <w:rsid w:val="0050179D"/>
    <w:rsid w:val="00502096"/>
    <w:rsid w:val="00502E68"/>
    <w:rsid w:val="00504572"/>
    <w:rsid w:val="0050497B"/>
    <w:rsid w:val="005052D5"/>
    <w:rsid w:val="005053F9"/>
    <w:rsid w:val="005054C9"/>
    <w:rsid w:val="0050794B"/>
    <w:rsid w:val="00510272"/>
    <w:rsid w:val="00511BEC"/>
    <w:rsid w:val="0051286F"/>
    <w:rsid w:val="0051547E"/>
    <w:rsid w:val="005167CE"/>
    <w:rsid w:val="00517FBF"/>
    <w:rsid w:val="005202C0"/>
    <w:rsid w:val="00523EB9"/>
    <w:rsid w:val="00526489"/>
    <w:rsid w:val="00526823"/>
    <w:rsid w:val="00527FF3"/>
    <w:rsid w:val="00531082"/>
    <w:rsid w:val="00536D8C"/>
    <w:rsid w:val="00543C0D"/>
    <w:rsid w:val="005457D3"/>
    <w:rsid w:val="00547CB3"/>
    <w:rsid w:val="00552134"/>
    <w:rsid w:val="00552D49"/>
    <w:rsid w:val="00552EF7"/>
    <w:rsid w:val="00556F2A"/>
    <w:rsid w:val="00560B67"/>
    <w:rsid w:val="00561A25"/>
    <w:rsid w:val="00564A1D"/>
    <w:rsid w:val="00570AC6"/>
    <w:rsid w:val="005713CA"/>
    <w:rsid w:val="005725CC"/>
    <w:rsid w:val="005751EC"/>
    <w:rsid w:val="00575719"/>
    <w:rsid w:val="00577D87"/>
    <w:rsid w:val="005800BF"/>
    <w:rsid w:val="00580F88"/>
    <w:rsid w:val="00583A8A"/>
    <w:rsid w:val="00583ED1"/>
    <w:rsid w:val="00587301"/>
    <w:rsid w:val="00590278"/>
    <w:rsid w:val="00595BCC"/>
    <w:rsid w:val="00596A92"/>
    <w:rsid w:val="00596C81"/>
    <w:rsid w:val="0059714E"/>
    <w:rsid w:val="005A0C03"/>
    <w:rsid w:val="005A2552"/>
    <w:rsid w:val="005A63F0"/>
    <w:rsid w:val="005B03D8"/>
    <w:rsid w:val="005B0C6D"/>
    <w:rsid w:val="005B2A24"/>
    <w:rsid w:val="005B4264"/>
    <w:rsid w:val="005B79A6"/>
    <w:rsid w:val="005C1EEE"/>
    <w:rsid w:val="005C3A2D"/>
    <w:rsid w:val="005C46A2"/>
    <w:rsid w:val="005C50B5"/>
    <w:rsid w:val="005C691A"/>
    <w:rsid w:val="005D10FE"/>
    <w:rsid w:val="005D17E8"/>
    <w:rsid w:val="005D365F"/>
    <w:rsid w:val="005D7684"/>
    <w:rsid w:val="005E0C06"/>
    <w:rsid w:val="005E0F0A"/>
    <w:rsid w:val="005E0FC6"/>
    <w:rsid w:val="005E3F08"/>
    <w:rsid w:val="005E574C"/>
    <w:rsid w:val="005E5D92"/>
    <w:rsid w:val="005E5E1F"/>
    <w:rsid w:val="005E6CDC"/>
    <w:rsid w:val="005F0DF6"/>
    <w:rsid w:val="005F0E52"/>
    <w:rsid w:val="005F2D19"/>
    <w:rsid w:val="005F4A9A"/>
    <w:rsid w:val="005F6B7B"/>
    <w:rsid w:val="005F7E2B"/>
    <w:rsid w:val="00601E87"/>
    <w:rsid w:val="00602209"/>
    <w:rsid w:val="0060615E"/>
    <w:rsid w:val="00606ABB"/>
    <w:rsid w:val="00606D2B"/>
    <w:rsid w:val="0060708B"/>
    <w:rsid w:val="006107D4"/>
    <w:rsid w:val="0061316D"/>
    <w:rsid w:val="0061417E"/>
    <w:rsid w:val="00614289"/>
    <w:rsid w:val="0061503C"/>
    <w:rsid w:val="006158F4"/>
    <w:rsid w:val="00615F78"/>
    <w:rsid w:val="00617785"/>
    <w:rsid w:val="00617F82"/>
    <w:rsid w:val="00620E83"/>
    <w:rsid w:val="00621E2B"/>
    <w:rsid w:val="006220FB"/>
    <w:rsid w:val="00622C2E"/>
    <w:rsid w:val="00622C6E"/>
    <w:rsid w:val="00626F3F"/>
    <w:rsid w:val="00631789"/>
    <w:rsid w:val="00633255"/>
    <w:rsid w:val="0063433B"/>
    <w:rsid w:val="0063680C"/>
    <w:rsid w:val="006401CC"/>
    <w:rsid w:val="00641436"/>
    <w:rsid w:val="0064247D"/>
    <w:rsid w:val="00642562"/>
    <w:rsid w:val="00650642"/>
    <w:rsid w:val="00651586"/>
    <w:rsid w:val="00656E68"/>
    <w:rsid w:val="0065749A"/>
    <w:rsid w:val="00660ED0"/>
    <w:rsid w:val="0066116F"/>
    <w:rsid w:val="006627DA"/>
    <w:rsid w:val="00663D13"/>
    <w:rsid w:val="006645E7"/>
    <w:rsid w:val="00670580"/>
    <w:rsid w:val="00671A2C"/>
    <w:rsid w:val="00672207"/>
    <w:rsid w:val="00674877"/>
    <w:rsid w:val="00675651"/>
    <w:rsid w:val="006761A9"/>
    <w:rsid w:val="00677B2E"/>
    <w:rsid w:val="0068058B"/>
    <w:rsid w:val="00681396"/>
    <w:rsid w:val="0068262D"/>
    <w:rsid w:val="00682C11"/>
    <w:rsid w:val="006839C6"/>
    <w:rsid w:val="00685449"/>
    <w:rsid w:val="00686486"/>
    <w:rsid w:val="006879EF"/>
    <w:rsid w:val="0069091C"/>
    <w:rsid w:val="00691601"/>
    <w:rsid w:val="0069241C"/>
    <w:rsid w:val="006952FF"/>
    <w:rsid w:val="00696687"/>
    <w:rsid w:val="006A2D6F"/>
    <w:rsid w:val="006A414A"/>
    <w:rsid w:val="006A72E5"/>
    <w:rsid w:val="006B0E3A"/>
    <w:rsid w:val="006B4CBD"/>
    <w:rsid w:val="006B6332"/>
    <w:rsid w:val="006B67BF"/>
    <w:rsid w:val="006C04D5"/>
    <w:rsid w:val="006C1B13"/>
    <w:rsid w:val="006C23E1"/>
    <w:rsid w:val="006C2807"/>
    <w:rsid w:val="006C53CF"/>
    <w:rsid w:val="006D016E"/>
    <w:rsid w:val="006D0CE2"/>
    <w:rsid w:val="006D3764"/>
    <w:rsid w:val="006D695A"/>
    <w:rsid w:val="006E188A"/>
    <w:rsid w:val="006E2AF0"/>
    <w:rsid w:val="006E47E1"/>
    <w:rsid w:val="006E7476"/>
    <w:rsid w:val="006E74A0"/>
    <w:rsid w:val="006F05C5"/>
    <w:rsid w:val="006F32D9"/>
    <w:rsid w:val="006F3800"/>
    <w:rsid w:val="006F4A1A"/>
    <w:rsid w:val="006F6FB2"/>
    <w:rsid w:val="006F71A2"/>
    <w:rsid w:val="006F771D"/>
    <w:rsid w:val="006F7835"/>
    <w:rsid w:val="007007C0"/>
    <w:rsid w:val="007015A8"/>
    <w:rsid w:val="00704570"/>
    <w:rsid w:val="0070780B"/>
    <w:rsid w:val="00710E95"/>
    <w:rsid w:val="007128B4"/>
    <w:rsid w:val="0071304C"/>
    <w:rsid w:val="007158FC"/>
    <w:rsid w:val="007164FE"/>
    <w:rsid w:val="007241E4"/>
    <w:rsid w:val="00726648"/>
    <w:rsid w:val="0073221D"/>
    <w:rsid w:val="00732CD3"/>
    <w:rsid w:val="00734252"/>
    <w:rsid w:val="0073455E"/>
    <w:rsid w:val="00735D1C"/>
    <w:rsid w:val="0073659A"/>
    <w:rsid w:val="00743A7B"/>
    <w:rsid w:val="007443CE"/>
    <w:rsid w:val="0075059B"/>
    <w:rsid w:val="00751950"/>
    <w:rsid w:val="00754068"/>
    <w:rsid w:val="00755AEA"/>
    <w:rsid w:val="007569AA"/>
    <w:rsid w:val="00757DF6"/>
    <w:rsid w:val="00760276"/>
    <w:rsid w:val="007622E0"/>
    <w:rsid w:val="00763221"/>
    <w:rsid w:val="00763570"/>
    <w:rsid w:val="00763FC3"/>
    <w:rsid w:val="007648DD"/>
    <w:rsid w:val="007664DF"/>
    <w:rsid w:val="007667CB"/>
    <w:rsid w:val="00767090"/>
    <w:rsid w:val="00770ED6"/>
    <w:rsid w:val="0077311F"/>
    <w:rsid w:val="00773B80"/>
    <w:rsid w:val="00774AB5"/>
    <w:rsid w:val="00775872"/>
    <w:rsid w:val="00775BD6"/>
    <w:rsid w:val="00777E72"/>
    <w:rsid w:val="0078012C"/>
    <w:rsid w:val="0078185D"/>
    <w:rsid w:val="00781C22"/>
    <w:rsid w:val="00782884"/>
    <w:rsid w:val="0078438A"/>
    <w:rsid w:val="00786ED0"/>
    <w:rsid w:val="00787398"/>
    <w:rsid w:val="0079160C"/>
    <w:rsid w:val="00792620"/>
    <w:rsid w:val="00794589"/>
    <w:rsid w:val="00795AE7"/>
    <w:rsid w:val="007A0055"/>
    <w:rsid w:val="007A2CB8"/>
    <w:rsid w:val="007A30A3"/>
    <w:rsid w:val="007A40EC"/>
    <w:rsid w:val="007A7284"/>
    <w:rsid w:val="007A77BD"/>
    <w:rsid w:val="007A7C55"/>
    <w:rsid w:val="007B01CC"/>
    <w:rsid w:val="007B09AB"/>
    <w:rsid w:val="007B0DE5"/>
    <w:rsid w:val="007B31AB"/>
    <w:rsid w:val="007B4A00"/>
    <w:rsid w:val="007B4A37"/>
    <w:rsid w:val="007C2586"/>
    <w:rsid w:val="007C3126"/>
    <w:rsid w:val="007C32B8"/>
    <w:rsid w:val="007C5740"/>
    <w:rsid w:val="007C6272"/>
    <w:rsid w:val="007C6368"/>
    <w:rsid w:val="007D0174"/>
    <w:rsid w:val="007D1D86"/>
    <w:rsid w:val="007D30FF"/>
    <w:rsid w:val="007D3A7C"/>
    <w:rsid w:val="007D7A5D"/>
    <w:rsid w:val="007E16B1"/>
    <w:rsid w:val="007E30D2"/>
    <w:rsid w:val="007E6480"/>
    <w:rsid w:val="007E7707"/>
    <w:rsid w:val="007F4042"/>
    <w:rsid w:val="007F5920"/>
    <w:rsid w:val="008004FD"/>
    <w:rsid w:val="008010C7"/>
    <w:rsid w:val="00801853"/>
    <w:rsid w:val="008026C6"/>
    <w:rsid w:val="00803B3E"/>
    <w:rsid w:val="008058A8"/>
    <w:rsid w:val="00806ACE"/>
    <w:rsid w:val="008118B0"/>
    <w:rsid w:val="00814493"/>
    <w:rsid w:val="00814D8E"/>
    <w:rsid w:val="008157A0"/>
    <w:rsid w:val="00816038"/>
    <w:rsid w:val="008162B5"/>
    <w:rsid w:val="00816C02"/>
    <w:rsid w:val="00823662"/>
    <w:rsid w:val="00823737"/>
    <w:rsid w:val="00824C33"/>
    <w:rsid w:val="00824E6B"/>
    <w:rsid w:val="00824F6A"/>
    <w:rsid w:val="00825150"/>
    <w:rsid w:val="00825746"/>
    <w:rsid w:val="00826C45"/>
    <w:rsid w:val="00827FB6"/>
    <w:rsid w:val="008315C0"/>
    <w:rsid w:val="00831E9C"/>
    <w:rsid w:val="00837734"/>
    <w:rsid w:val="0083799C"/>
    <w:rsid w:val="008379C2"/>
    <w:rsid w:val="00837D0A"/>
    <w:rsid w:val="008416B5"/>
    <w:rsid w:val="00841841"/>
    <w:rsid w:val="0084278C"/>
    <w:rsid w:val="0084312D"/>
    <w:rsid w:val="00843AB7"/>
    <w:rsid w:val="00844558"/>
    <w:rsid w:val="00846856"/>
    <w:rsid w:val="00846C28"/>
    <w:rsid w:val="008475BC"/>
    <w:rsid w:val="0085256D"/>
    <w:rsid w:val="008576B0"/>
    <w:rsid w:val="00860017"/>
    <w:rsid w:val="0086037B"/>
    <w:rsid w:val="00861ADD"/>
    <w:rsid w:val="00861F7E"/>
    <w:rsid w:val="00863245"/>
    <w:rsid w:val="00864F51"/>
    <w:rsid w:val="00871150"/>
    <w:rsid w:val="008711D3"/>
    <w:rsid w:val="008724A0"/>
    <w:rsid w:val="00872887"/>
    <w:rsid w:val="0087689D"/>
    <w:rsid w:val="00877AF6"/>
    <w:rsid w:val="0088150A"/>
    <w:rsid w:val="008824BA"/>
    <w:rsid w:val="00883122"/>
    <w:rsid w:val="00883239"/>
    <w:rsid w:val="008836BC"/>
    <w:rsid w:val="008841AE"/>
    <w:rsid w:val="00885AD9"/>
    <w:rsid w:val="00886D92"/>
    <w:rsid w:val="00887030"/>
    <w:rsid w:val="00887417"/>
    <w:rsid w:val="008875B4"/>
    <w:rsid w:val="00891FA3"/>
    <w:rsid w:val="008925AC"/>
    <w:rsid w:val="00893AA3"/>
    <w:rsid w:val="008943F8"/>
    <w:rsid w:val="0089592C"/>
    <w:rsid w:val="00895998"/>
    <w:rsid w:val="008969B3"/>
    <w:rsid w:val="008A0193"/>
    <w:rsid w:val="008A310E"/>
    <w:rsid w:val="008A338E"/>
    <w:rsid w:val="008A36E9"/>
    <w:rsid w:val="008A3C8B"/>
    <w:rsid w:val="008A5323"/>
    <w:rsid w:val="008B2EEC"/>
    <w:rsid w:val="008B2F83"/>
    <w:rsid w:val="008B3CF1"/>
    <w:rsid w:val="008B3D9E"/>
    <w:rsid w:val="008B4095"/>
    <w:rsid w:val="008B4F5B"/>
    <w:rsid w:val="008B70F8"/>
    <w:rsid w:val="008C1186"/>
    <w:rsid w:val="008D0CCE"/>
    <w:rsid w:val="008D2AF8"/>
    <w:rsid w:val="008D309B"/>
    <w:rsid w:val="008D4731"/>
    <w:rsid w:val="008D5223"/>
    <w:rsid w:val="008E312F"/>
    <w:rsid w:val="008E3C64"/>
    <w:rsid w:val="008F0B23"/>
    <w:rsid w:val="008F1902"/>
    <w:rsid w:val="008F24E7"/>
    <w:rsid w:val="009011FA"/>
    <w:rsid w:val="00901D7F"/>
    <w:rsid w:val="00903B2A"/>
    <w:rsid w:val="009044F3"/>
    <w:rsid w:val="00905991"/>
    <w:rsid w:val="00905BED"/>
    <w:rsid w:val="009060C8"/>
    <w:rsid w:val="00913021"/>
    <w:rsid w:val="00920440"/>
    <w:rsid w:val="00922D22"/>
    <w:rsid w:val="009234F7"/>
    <w:rsid w:val="009239EE"/>
    <w:rsid w:val="009240F5"/>
    <w:rsid w:val="00926468"/>
    <w:rsid w:val="009266FF"/>
    <w:rsid w:val="009268AC"/>
    <w:rsid w:val="00930C5D"/>
    <w:rsid w:val="009312E1"/>
    <w:rsid w:val="00932598"/>
    <w:rsid w:val="009413FD"/>
    <w:rsid w:val="0094194C"/>
    <w:rsid w:val="00941EA5"/>
    <w:rsid w:val="00946659"/>
    <w:rsid w:val="00947412"/>
    <w:rsid w:val="0095113E"/>
    <w:rsid w:val="0095373A"/>
    <w:rsid w:val="009544BC"/>
    <w:rsid w:val="0095753A"/>
    <w:rsid w:val="00957DB6"/>
    <w:rsid w:val="00960C4B"/>
    <w:rsid w:val="009649CA"/>
    <w:rsid w:val="009654FF"/>
    <w:rsid w:val="00967B83"/>
    <w:rsid w:val="00970397"/>
    <w:rsid w:val="00976023"/>
    <w:rsid w:val="00976D90"/>
    <w:rsid w:val="009775B0"/>
    <w:rsid w:val="00982685"/>
    <w:rsid w:val="009831C6"/>
    <w:rsid w:val="00983F80"/>
    <w:rsid w:val="00984A9E"/>
    <w:rsid w:val="00985C4E"/>
    <w:rsid w:val="009867C3"/>
    <w:rsid w:val="00987CA8"/>
    <w:rsid w:val="00990887"/>
    <w:rsid w:val="009916EF"/>
    <w:rsid w:val="009920A5"/>
    <w:rsid w:val="00992771"/>
    <w:rsid w:val="00996310"/>
    <w:rsid w:val="0099758F"/>
    <w:rsid w:val="00997C49"/>
    <w:rsid w:val="009A0112"/>
    <w:rsid w:val="009A05D8"/>
    <w:rsid w:val="009A21B5"/>
    <w:rsid w:val="009A2DA3"/>
    <w:rsid w:val="009A466F"/>
    <w:rsid w:val="009A79E5"/>
    <w:rsid w:val="009B0096"/>
    <w:rsid w:val="009B317D"/>
    <w:rsid w:val="009B4306"/>
    <w:rsid w:val="009C13FB"/>
    <w:rsid w:val="009C495F"/>
    <w:rsid w:val="009C538B"/>
    <w:rsid w:val="009C6BE9"/>
    <w:rsid w:val="009C7094"/>
    <w:rsid w:val="009D0016"/>
    <w:rsid w:val="009D013E"/>
    <w:rsid w:val="009D10E5"/>
    <w:rsid w:val="009D147B"/>
    <w:rsid w:val="009D1642"/>
    <w:rsid w:val="009D1B9B"/>
    <w:rsid w:val="009D2060"/>
    <w:rsid w:val="009D3AA9"/>
    <w:rsid w:val="009D3E8F"/>
    <w:rsid w:val="009D47FC"/>
    <w:rsid w:val="009D633F"/>
    <w:rsid w:val="009E04DD"/>
    <w:rsid w:val="009E0C41"/>
    <w:rsid w:val="009E1A0F"/>
    <w:rsid w:val="009E29B9"/>
    <w:rsid w:val="009E2DA7"/>
    <w:rsid w:val="009E3088"/>
    <w:rsid w:val="009E4641"/>
    <w:rsid w:val="009E5292"/>
    <w:rsid w:val="009E69AE"/>
    <w:rsid w:val="009F2969"/>
    <w:rsid w:val="009F52EF"/>
    <w:rsid w:val="009F69D6"/>
    <w:rsid w:val="00A009D1"/>
    <w:rsid w:val="00A059F1"/>
    <w:rsid w:val="00A05A7F"/>
    <w:rsid w:val="00A0654C"/>
    <w:rsid w:val="00A069EF"/>
    <w:rsid w:val="00A0720A"/>
    <w:rsid w:val="00A10A4D"/>
    <w:rsid w:val="00A123A6"/>
    <w:rsid w:val="00A1339C"/>
    <w:rsid w:val="00A14317"/>
    <w:rsid w:val="00A14F4A"/>
    <w:rsid w:val="00A17869"/>
    <w:rsid w:val="00A21650"/>
    <w:rsid w:val="00A21D1A"/>
    <w:rsid w:val="00A23E19"/>
    <w:rsid w:val="00A25613"/>
    <w:rsid w:val="00A2588C"/>
    <w:rsid w:val="00A27343"/>
    <w:rsid w:val="00A279D1"/>
    <w:rsid w:val="00A36E31"/>
    <w:rsid w:val="00A36F95"/>
    <w:rsid w:val="00A37C6B"/>
    <w:rsid w:val="00A40F07"/>
    <w:rsid w:val="00A416F9"/>
    <w:rsid w:val="00A41E01"/>
    <w:rsid w:val="00A4435D"/>
    <w:rsid w:val="00A443F2"/>
    <w:rsid w:val="00A5231A"/>
    <w:rsid w:val="00A52EA7"/>
    <w:rsid w:val="00A6238E"/>
    <w:rsid w:val="00A62B1B"/>
    <w:rsid w:val="00A641A6"/>
    <w:rsid w:val="00A67075"/>
    <w:rsid w:val="00A671C8"/>
    <w:rsid w:val="00A71558"/>
    <w:rsid w:val="00A71D3D"/>
    <w:rsid w:val="00A73D75"/>
    <w:rsid w:val="00A81CAD"/>
    <w:rsid w:val="00A81F4E"/>
    <w:rsid w:val="00A83192"/>
    <w:rsid w:val="00A8401C"/>
    <w:rsid w:val="00A842AA"/>
    <w:rsid w:val="00A8590D"/>
    <w:rsid w:val="00A86E4A"/>
    <w:rsid w:val="00A87614"/>
    <w:rsid w:val="00A907C5"/>
    <w:rsid w:val="00A93C16"/>
    <w:rsid w:val="00A94EDC"/>
    <w:rsid w:val="00A959FC"/>
    <w:rsid w:val="00A97DD8"/>
    <w:rsid w:val="00AA1D17"/>
    <w:rsid w:val="00AA1D4E"/>
    <w:rsid w:val="00AA2D41"/>
    <w:rsid w:val="00AA3352"/>
    <w:rsid w:val="00AA3847"/>
    <w:rsid w:val="00AA5BBF"/>
    <w:rsid w:val="00AA6CEE"/>
    <w:rsid w:val="00AA74EA"/>
    <w:rsid w:val="00AB06D1"/>
    <w:rsid w:val="00AB3133"/>
    <w:rsid w:val="00AB6AB5"/>
    <w:rsid w:val="00AB756D"/>
    <w:rsid w:val="00AC0C5A"/>
    <w:rsid w:val="00AC293B"/>
    <w:rsid w:val="00AC6D76"/>
    <w:rsid w:val="00AD063C"/>
    <w:rsid w:val="00AD1BEA"/>
    <w:rsid w:val="00AD246B"/>
    <w:rsid w:val="00AD24C3"/>
    <w:rsid w:val="00AD2CD4"/>
    <w:rsid w:val="00AD3702"/>
    <w:rsid w:val="00AD5E92"/>
    <w:rsid w:val="00AD730B"/>
    <w:rsid w:val="00AE0165"/>
    <w:rsid w:val="00AE1DD7"/>
    <w:rsid w:val="00AE2F9D"/>
    <w:rsid w:val="00AE31E2"/>
    <w:rsid w:val="00AE3748"/>
    <w:rsid w:val="00AE37DD"/>
    <w:rsid w:val="00AE5373"/>
    <w:rsid w:val="00AE558F"/>
    <w:rsid w:val="00AE7089"/>
    <w:rsid w:val="00AE7421"/>
    <w:rsid w:val="00AF1CBB"/>
    <w:rsid w:val="00AF67F5"/>
    <w:rsid w:val="00AF75F2"/>
    <w:rsid w:val="00AF7F1C"/>
    <w:rsid w:val="00B00B5F"/>
    <w:rsid w:val="00B01589"/>
    <w:rsid w:val="00B026B3"/>
    <w:rsid w:val="00B0552B"/>
    <w:rsid w:val="00B06BF3"/>
    <w:rsid w:val="00B0737D"/>
    <w:rsid w:val="00B07AE6"/>
    <w:rsid w:val="00B10282"/>
    <w:rsid w:val="00B1410A"/>
    <w:rsid w:val="00B144BC"/>
    <w:rsid w:val="00B14575"/>
    <w:rsid w:val="00B146B4"/>
    <w:rsid w:val="00B147DF"/>
    <w:rsid w:val="00B20B62"/>
    <w:rsid w:val="00B221EE"/>
    <w:rsid w:val="00B257D5"/>
    <w:rsid w:val="00B31F81"/>
    <w:rsid w:val="00B32C40"/>
    <w:rsid w:val="00B343F3"/>
    <w:rsid w:val="00B35DB4"/>
    <w:rsid w:val="00B37F25"/>
    <w:rsid w:val="00B40677"/>
    <w:rsid w:val="00B41AD4"/>
    <w:rsid w:val="00B42055"/>
    <w:rsid w:val="00B45754"/>
    <w:rsid w:val="00B46482"/>
    <w:rsid w:val="00B46E5E"/>
    <w:rsid w:val="00B51A8E"/>
    <w:rsid w:val="00B52FD3"/>
    <w:rsid w:val="00B536D9"/>
    <w:rsid w:val="00B537DD"/>
    <w:rsid w:val="00B53B16"/>
    <w:rsid w:val="00B5457A"/>
    <w:rsid w:val="00B55023"/>
    <w:rsid w:val="00B5626A"/>
    <w:rsid w:val="00B61369"/>
    <w:rsid w:val="00B70521"/>
    <w:rsid w:val="00B70D11"/>
    <w:rsid w:val="00B7158B"/>
    <w:rsid w:val="00B71BB4"/>
    <w:rsid w:val="00B72592"/>
    <w:rsid w:val="00B74439"/>
    <w:rsid w:val="00B74E4A"/>
    <w:rsid w:val="00B81517"/>
    <w:rsid w:val="00B81A5D"/>
    <w:rsid w:val="00B84059"/>
    <w:rsid w:val="00B85EB4"/>
    <w:rsid w:val="00B9068A"/>
    <w:rsid w:val="00B91E68"/>
    <w:rsid w:val="00B922AB"/>
    <w:rsid w:val="00B9325C"/>
    <w:rsid w:val="00B93636"/>
    <w:rsid w:val="00B93BC9"/>
    <w:rsid w:val="00B942CA"/>
    <w:rsid w:val="00B94B70"/>
    <w:rsid w:val="00B9522C"/>
    <w:rsid w:val="00B9530B"/>
    <w:rsid w:val="00BA315C"/>
    <w:rsid w:val="00BA44E5"/>
    <w:rsid w:val="00BA5125"/>
    <w:rsid w:val="00BA713E"/>
    <w:rsid w:val="00BA766A"/>
    <w:rsid w:val="00BB5F7C"/>
    <w:rsid w:val="00BB6108"/>
    <w:rsid w:val="00BB6E86"/>
    <w:rsid w:val="00BC5201"/>
    <w:rsid w:val="00BC5F83"/>
    <w:rsid w:val="00BC6235"/>
    <w:rsid w:val="00BC66DF"/>
    <w:rsid w:val="00BC6955"/>
    <w:rsid w:val="00BD384F"/>
    <w:rsid w:val="00BD4A41"/>
    <w:rsid w:val="00BD60EF"/>
    <w:rsid w:val="00BD6605"/>
    <w:rsid w:val="00BD74D1"/>
    <w:rsid w:val="00BE087C"/>
    <w:rsid w:val="00BE0997"/>
    <w:rsid w:val="00BE151C"/>
    <w:rsid w:val="00BE1BC4"/>
    <w:rsid w:val="00BE2FBE"/>
    <w:rsid w:val="00BE7FFB"/>
    <w:rsid w:val="00BF2CE2"/>
    <w:rsid w:val="00BF32C1"/>
    <w:rsid w:val="00BF3F44"/>
    <w:rsid w:val="00BF7023"/>
    <w:rsid w:val="00C005C3"/>
    <w:rsid w:val="00C0219E"/>
    <w:rsid w:val="00C02E74"/>
    <w:rsid w:val="00C038AE"/>
    <w:rsid w:val="00C04461"/>
    <w:rsid w:val="00C0678F"/>
    <w:rsid w:val="00C111A7"/>
    <w:rsid w:val="00C136F3"/>
    <w:rsid w:val="00C13CF7"/>
    <w:rsid w:val="00C1629E"/>
    <w:rsid w:val="00C16847"/>
    <w:rsid w:val="00C171BD"/>
    <w:rsid w:val="00C20ECD"/>
    <w:rsid w:val="00C23C19"/>
    <w:rsid w:val="00C260C3"/>
    <w:rsid w:val="00C2611B"/>
    <w:rsid w:val="00C26B34"/>
    <w:rsid w:val="00C27833"/>
    <w:rsid w:val="00C30BDE"/>
    <w:rsid w:val="00C3136E"/>
    <w:rsid w:val="00C31522"/>
    <w:rsid w:val="00C35180"/>
    <w:rsid w:val="00C35256"/>
    <w:rsid w:val="00C4215E"/>
    <w:rsid w:val="00C421CB"/>
    <w:rsid w:val="00C426CA"/>
    <w:rsid w:val="00C44A2E"/>
    <w:rsid w:val="00C44F4D"/>
    <w:rsid w:val="00C44FCD"/>
    <w:rsid w:val="00C450B3"/>
    <w:rsid w:val="00C45A9D"/>
    <w:rsid w:val="00C46820"/>
    <w:rsid w:val="00C503E4"/>
    <w:rsid w:val="00C50FA2"/>
    <w:rsid w:val="00C54924"/>
    <w:rsid w:val="00C6137C"/>
    <w:rsid w:val="00C61C64"/>
    <w:rsid w:val="00C653FC"/>
    <w:rsid w:val="00C71673"/>
    <w:rsid w:val="00C72404"/>
    <w:rsid w:val="00C74D17"/>
    <w:rsid w:val="00C74E89"/>
    <w:rsid w:val="00C76A02"/>
    <w:rsid w:val="00C77658"/>
    <w:rsid w:val="00C77AF6"/>
    <w:rsid w:val="00C8069B"/>
    <w:rsid w:val="00C8250C"/>
    <w:rsid w:val="00C839F9"/>
    <w:rsid w:val="00C840DC"/>
    <w:rsid w:val="00C861BA"/>
    <w:rsid w:val="00C90B0F"/>
    <w:rsid w:val="00C94594"/>
    <w:rsid w:val="00C966B6"/>
    <w:rsid w:val="00CA3507"/>
    <w:rsid w:val="00CA5CA7"/>
    <w:rsid w:val="00CA6993"/>
    <w:rsid w:val="00CB2499"/>
    <w:rsid w:val="00CB258A"/>
    <w:rsid w:val="00CC0C7F"/>
    <w:rsid w:val="00CC3A1E"/>
    <w:rsid w:val="00CC46F2"/>
    <w:rsid w:val="00CC7133"/>
    <w:rsid w:val="00CD4498"/>
    <w:rsid w:val="00CD5D2C"/>
    <w:rsid w:val="00CD73F8"/>
    <w:rsid w:val="00CE20DF"/>
    <w:rsid w:val="00CE2500"/>
    <w:rsid w:val="00CE3985"/>
    <w:rsid w:val="00CE7739"/>
    <w:rsid w:val="00CE7D17"/>
    <w:rsid w:val="00CF0038"/>
    <w:rsid w:val="00CF2D89"/>
    <w:rsid w:val="00CF2E88"/>
    <w:rsid w:val="00CF3222"/>
    <w:rsid w:val="00CF7C6D"/>
    <w:rsid w:val="00D001F1"/>
    <w:rsid w:val="00D016BB"/>
    <w:rsid w:val="00D0172E"/>
    <w:rsid w:val="00D04544"/>
    <w:rsid w:val="00D059A6"/>
    <w:rsid w:val="00D064CE"/>
    <w:rsid w:val="00D11B0A"/>
    <w:rsid w:val="00D134A9"/>
    <w:rsid w:val="00D1359C"/>
    <w:rsid w:val="00D14744"/>
    <w:rsid w:val="00D149E6"/>
    <w:rsid w:val="00D152E7"/>
    <w:rsid w:val="00D16B8D"/>
    <w:rsid w:val="00D176E6"/>
    <w:rsid w:val="00D17F02"/>
    <w:rsid w:val="00D20FE0"/>
    <w:rsid w:val="00D2502C"/>
    <w:rsid w:val="00D2594A"/>
    <w:rsid w:val="00D26A9F"/>
    <w:rsid w:val="00D27B68"/>
    <w:rsid w:val="00D307AE"/>
    <w:rsid w:val="00D34983"/>
    <w:rsid w:val="00D3667E"/>
    <w:rsid w:val="00D368E6"/>
    <w:rsid w:val="00D377ED"/>
    <w:rsid w:val="00D40FC9"/>
    <w:rsid w:val="00D41D56"/>
    <w:rsid w:val="00D42111"/>
    <w:rsid w:val="00D42280"/>
    <w:rsid w:val="00D42DE9"/>
    <w:rsid w:val="00D43A34"/>
    <w:rsid w:val="00D47158"/>
    <w:rsid w:val="00D47AF9"/>
    <w:rsid w:val="00D50B5C"/>
    <w:rsid w:val="00D50FEA"/>
    <w:rsid w:val="00D56B7A"/>
    <w:rsid w:val="00D62C42"/>
    <w:rsid w:val="00D6377E"/>
    <w:rsid w:val="00D64B29"/>
    <w:rsid w:val="00D664DD"/>
    <w:rsid w:val="00D6779F"/>
    <w:rsid w:val="00D70D45"/>
    <w:rsid w:val="00D763B4"/>
    <w:rsid w:val="00D80076"/>
    <w:rsid w:val="00D805C0"/>
    <w:rsid w:val="00D81278"/>
    <w:rsid w:val="00D83083"/>
    <w:rsid w:val="00D831FD"/>
    <w:rsid w:val="00D84939"/>
    <w:rsid w:val="00D874F0"/>
    <w:rsid w:val="00D90126"/>
    <w:rsid w:val="00D9022C"/>
    <w:rsid w:val="00D92FB4"/>
    <w:rsid w:val="00D937E1"/>
    <w:rsid w:val="00D94B4B"/>
    <w:rsid w:val="00D94D34"/>
    <w:rsid w:val="00D955C4"/>
    <w:rsid w:val="00D97231"/>
    <w:rsid w:val="00D97E0D"/>
    <w:rsid w:val="00DA37E4"/>
    <w:rsid w:val="00DA3E0B"/>
    <w:rsid w:val="00DB0BBD"/>
    <w:rsid w:val="00DB170E"/>
    <w:rsid w:val="00DB17F3"/>
    <w:rsid w:val="00DB2999"/>
    <w:rsid w:val="00DB471A"/>
    <w:rsid w:val="00DB5265"/>
    <w:rsid w:val="00DB76B6"/>
    <w:rsid w:val="00DC1C6A"/>
    <w:rsid w:val="00DC29BD"/>
    <w:rsid w:val="00DC37B5"/>
    <w:rsid w:val="00DC5660"/>
    <w:rsid w:val="00DC7F16"/>
    <w:rsid w:val="00DC7FEF"/>
    <w:rsid w:val="00DD1FF2"/>
    <w:rsid w:val="00DD4471"/>
    <w:rsid w:val="00DD503B"/>
    <w:rsid w:val="00DE34D3"/>
    <w:rsid w:val="00DE4FBC"/>
    <w:rsid w:val="00DF080D"/>
    <w:rsid w:val="00DF0CF7"/>
    <w:rsid w:val="00DF11B6"/>
    <w:rsid w:val="00DF2653"/>
    <w:rsid w:val="00DF3944"/>
    <w:rsid w:val="00DF3A78"/>
    <w:rsid w:val="00E02237"/>
    <w:rsid w:val="00E033A4"/>
    <w:rsid w:val="00E03471"/>
    <w:rsid w:val="00E1080F"/>
    <w:rsid w:val="00E13313"/>
    <w:rsid w:val="00E14C56"/>
    <w:rsid w:val="00E154AF"/>
    <w:rsid w:val="00E204CA"/>
    <w:rsid w:val="00E210E5"/>
    <w:rsid w:val="00E2360F"/>
    <w:rsid w:val="00E244A4"/>
    <w:rsid w:val="00E25055"/>
    <w:rsid w:val="00E30329"/>
    <w:rsid w:val="00E30FE5"/>
    <w:rsid w:val="00E31169"/>
    <w:rsid w:val="00E3429D"/>
    <w:rsid w:val="00E356E9"/>
    <w:rsid w:val="00E3635E"/>
    <w:rsid w:val="00E36F54"/>
    <w:rsid w:val="00E41492"/>
    <w:rsid w:val="00E41D5C"/>
    <w:rsid w:val="00E42650"/>
    <w:rsid w:val="00E452FE"/>
    <w:rsid w:val="00E45586"/>
    <w:rsid w:val="00E456B4"/>
    <w:rsid w:val="00E460E5"/>
    <w:rsid w:val="00E46A6C"/>
    <w:rsid w:val="00E47D4C"/>
    <w:rsid w:val="00E549C6"/>
    <w:rsid w:val="00E579B5"/>
    <w:rsid w:val="00E600D9"/>
    <w:rsid w:val="00E60B32"/>
    <w:rsid w:val="00E62A7E"/>
    <w:rsid w:val="00E658B7"/>
    <w:rsid w:val="00E71958"/>
    <w:rsid w:val="00E7425B"/>
    <w:rsid w:val="00E74FBB"/>
    <w:rsid w:val="00E76894"/>
    <w:rsid w:val="00E76978"/>
    <w:rsid w:val="00E80336"/>
    <w:rsid w:val="00E821F7"/>
    <w:rsid w:val="00E827AD"/>
    <w:rsid w:val="00E8651C"/>
    <w:rsid w:val="00E871C8"/>
    <w:rsid w:val="00E87FEC"/>
    <w:rsid w:val="00E928A5"/>
    <w:rsid w:val="00EA04B8"/>
    <w:rsid w:val="00EA0EFF"/>
    <w:rsid w:val="00EA137D"/>
    <w:rsid w:val="00EA1551"/>
    <w:rsid w:val="00EA2791"/>
    <w:rsid w:val="00EA347E"/>
    <w:rsid w:val="00EA3DB5"/>
    <w:rsid w:val="00EA6591"/>
    <w:rsid w:val="00EA76DB"/>
    <w:rsid w:val="00EA7969"/>
    <w:rsid w:val="00EA7BD8"/>
    <w:rsid w:val="00EB22F2"/>
    <w:rsid w:val="00EB4996"/>
    <w:rsid w:val="00EB6CFC"/>
    <w:rsid w:val="00EB7D36"/>
    <w:rsid w:val="00EC050E"/>
    <w:rsid w:val="00EC2012"/>
    <w:rsid w:val="00EC2E27"/>
    <w:rsid w:val="00EC443D"/>
    <w:rsid w:val="00ED19C5"/>
    <w:rsid w:val="00ED1B4C"/>
    <w:rsid w:val="00ED34D6"/>
    <w:rsid w:val="00ED4A75"/>
    <w:rsid w:val="00ED7A4D"/>
    <w:rsid w:val="00EE0087"/>
    <w:rsid w:val="00EE13E5"/>
    <w:rsid w:val="00EE3F13"/>
    <w:rsid w:val="00EE4474"/>
    <w:rsid w:val="00EE6769"/>
    <w:rsid w:val="00EE73BA"/>
    <w:rsid w:val="00EE7A94"/>
    <w:rsid w:val="00EF3BBB"/>
    <w:rsid w:val="00EF3E26"/>
    <w:rsid w:val="00EF47FC"/>
    <w:rsid w:val="00EF5452"/>
    <w:rsid w:val="00F02D6C"/>
    <w:rsid w:val="00F05631"/>
    <w:rsid w:val="00F05A3A"/>
    <w:rsid w:val="00F066FE"/>
    <w:rsid w:val="00F06939"/>
    <w:rsid w:val="00F07D62"/>
    <w:rsid w:val="00F108FF"/>
    <w:rsid w:val="00F12E2C"/>
    <w:rsid w:val="00F200D3"/>
    <w:rsid w:val="00F216C3"/>
    <w:rsid w:val="00F223B9"/>
    <w:rsid w:val="00F27A00"/>
    <w:rsid w:val="00F3049F"/>
    <w:rsid w:val="00F3071A"/>
    <w:rsid w:val="00F325F7"/>
    <w:rsid w:val="00F33DCF"/>
    <w:rsid w:val="00F35E41"/>
    <w:rsid w:val="00F375E4"/>
    <w:rsid w:val="00F37FE3"/>
    <w:rsid w:val="00F41118"/>
    <w:rsid w:val="00F41618"/>
    <w:rsid w:val="00F419AA"/>
    <w:rsid w:val="00F428AC"/>
    <w:rsid w:val="00F43280"/>
    <w:rsid w:val="00F43897"/>
    <w:rsid w:val="00F46DCD"/>
    <w:rsid w:val="00F479BF"/>
    <w:rsid w:val="00F51CC3"/>
    <w:rsid w:val="00F521F0"/>
    <w:rsid w:val="00F52A9A"/>
    <w:rsid w:val="00F53833"/>
    <w:rsid w:val="00F62E11"/>
    <w:rsid w:val="00F6477A"/>
    <w:rsid w:val="00F649A2"/>
    <w:rsid w:val="00F65227"/>
    <w:rsid w:val="00F658E6"/>
    <w:rsid w:val="00F65B38"/>
    <w:rsid w:val="00F6650A"/>
    <w:rsid w:val="00F672A9"/>
    <w:rsid w:val="00F70B3F"/>
    <w:rsid w:val="00F7187B"/>
    <w:rsid w:val="00F71C8A"/>
    <w:rsid w:val="00F749A2"/>
    <w:rsid w:val="00F775E1"/>
    <w:rsid w:val="00F800A1"/>
    <w:rsid w:val="00F82033"/>
    <w:rsid w:val="00F85810"/>
    <w:rsid w:val="00F86CFF"/>
    <w:rsid w:val="00F9226F"/>
    <w:rsid w:val="00F94EA2"/>
    <w:rsid w:val="00F962AF"/>
    <w:rsid w:val="00F96ED9"/>
    <w:rsid w:val="00FA02FB"/>
    <w:rsid w:val="00FA19BE"/>
    <w:rsid w:val="00FA220E"/>
    <w:rsid w:val="00FA2604"/>
    <w:rsid w:val="00FA26B9"/>
    <w:rsid w:val="00FA2AD7"/>
    <w:rsid w:val="00FA3C71"/>
    <w:rsid w:val="00FA5281"/>
    <w:rsid w:val="00FA57FD"/>
    <w:rsid w:val="00FB0DEB"/>
    <w:rsid w:val="00FB3923"/>
    <w:rsid w:val="00FB50F9"/>
    <w:rsid w:val="00FB633E"/>
    <w:rsid w:val="00FB7193"/>
    <w:rsid w:val="00FC2195"/>
    <w:rsid w:val="00FC2FE2"/>
    <w:rsid w:val="00FC4A52"/>
    <w:rsid w:val="00FC4D0C"/>
    <w:rsid w:val="00FC5FB0"/>
    <w:rsid w:val="00FC6015"/>
    <w:rsid w:val="00FD25AE"/>
    <w:rsid w:val="00FD5821"/>
    <w:rsid w:val="00FD6A7D"/>
    <w:rsid w:val="00FE10F7"/>
    <w:rsid w:val="00FE21BB"/>
    <w:rsid w:val="00FE3A42"/>
    <w:rsid w:val="00FE4F25"/>
    <w:rsid w:val="00FE599B"/>
    <w:rsid w:val="00FE6653"/>
    <w:rsid w:val="00FF04D2"/>
    <w:rsid w:val="00FF222F"/>
    <w:rsid w:val="00FF3E8F"/>
    <w:rsid w:val="00FF4428"/>
    <w:rsid w:val="00FF4D94"/>
    <w:rsid w:val="00FF5A98"/>
    <w:rsid w:val="00FF6DED"/>
    <w:rsid w:val="3B7D70DC"/>
    <w:rsid w:val="3C399B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EA877"/>
  <w15:chartTrackingRefBased/>
  <w15:docId w15:val="{3A7DA35E-1D7A-4856-802E-A064342A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A1D"/>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A303C"/>
    <w:pPr>
      <w:tabs>
        <w:tab w:val="center" w:pos="4419"/>
        <w:tab w:val="right" w:pos="8838"/>
      </w:tabs>
    </w:pPr>
  </w:style>
  <w:style w:type="character" w:customStyle="1" w:styleId="PiedepginaCar">
    <w:name w:val="Pie de página Car"/>
    <w:basedOn w:val="Fuentedeprrafopredeter"/>
    <w:link w:val="Piedepgina"/>
    <w:uiPriority w:val="99"/>
    <w:rsid w:val="004A303C"/>
    <w:rPr>
      <w:sz w:val="24"/>
      <w:lang w:val="es-MX"/>
    </w:rPr>
  </w:style>
  <w:style w:type="paragraph" w:styleId="Encabezado">
    <w:name w:val="header"/>
    <w:basedOn w:val="Normal"/>
    <w:link w:val="EncabezadoCar"/>
    <w:uiPriority w:val="99"/>
    <w:unhideWhenUsed/>
    <w:rsid w:val="004A303C"/>
    <w:pPr>
      <w:tabs>
        <w:tab w:val="center" w:pos="4252"/>
        <w:tab w:val="right" w:pos="8504"/>
      </w:tabs>
    </w:pPr>
  </w:style>
  <w:style w:type="character" w:customStyle="1" w:styleId="EncabezadoCar">
    <w:name w:val="Encabezado Car"/>
    <w:basedOn w:val="Fuentedeprrafopredeter"/>
    <w:link w:val="Encabezado"/>
    <w:uiPriority w:val="99"/>
    <w:rsid w:val="004A303C"/>
    <w:rPr>
      <w:sz w:val="24"/>
      <w:lang w:val="es-MX"/>
    </w:rPr>
  </w:style>
  <w:style w:type="table" w:styleId="Tablaconcuadrcula">
    <w:name w:val="Table Grid"/>
    <w:basedOn w:val="Tablanormal"/>
    <w:uiPriority w:val="39"/>
    <w:rsid w:val="004A3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4A303C"/>
    <w:pPr>
      <w:ind w:left="720"/>
      <w:contextualSpacing/>
    </w:pPr>
  </w:style>
  <w:style w:type="paragraph" w:styleId="Sinespaciado">
    <w:name w:val="No Spacing"/>
    <w:uiPriority w:val="1"/>
    <w:qFormat/>
    <w:rsid w:val="004A303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A303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A303C"/>
    <w:rPr>
      <w:sz w:val="20"/>
      <w:szCs w:val="20"/>
    </w:rPr>
  </w:style>
  <w:style w:type="character" w:customStyle="1" w:styleId="TextonotapieCar1">
    <w:name w:val="Texto nota pie Car1"/>
    <w:basedOn w:val="Fuentedeprrafopredeter"/>
    <w:uiPriority w:val="99"/>
    <w:semiHidden/>
    <w:rsid w:val="004A303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A303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4A303C"/>
    <w:rPr>
      <w:vertAlign w:val="superscript"/>
    </w:rPr>
  </w:style>
  <w:style w:type="paragraph" w:customStyle="1" w:styleId="InviasNormal">
    <w:name w:val="Invias Normal"/>
    <w:basedOn w:val="Normal"/>
    <w:link w:val="InviasNormalCar"/>
    <w:qFormat/>
    <w:rsid w:val="004A303C"/>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4A303C"/>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4A303C"/>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4A303C"/>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4A303C"/>
    <w:rPr>
      <w:sz w:val="16"/>
      <w:szCs w:val="16"/>
    </w:rPr>
  </w:style>
  <w:style w:type="paragraph" w:styleId="Textocomentario">
    <w:name w:val="annotation text"/>
    <w:basedOn w:val="Normal"/>
    <w:link w:val="TextocomentarioCar"/>
    <w:uiPriority w:val="99"/>
    <w:unhideWhenUsed/>
    <w:rsid w:val="004A303C"/>
    <w:rPr>
      <w:sz w:val="20"/>
      <w:szCs w:val="20"/>
    </w:rPr>
  </w:style>
  <w:style w:type="character" w:customStyle="1" w:styleId="TextocomentarioCar">
    <w:name w:val="Texto comentario Car"/>
    <w:basedOn w:val="Fuentedeprrafopredeter"/>
    <w:link w:val="Textocomentario"/>
    <w:uiPriority w:val="99"/>
    <w:rsid w:val="004A303C"/>
    <w:rPr>
      <w:sz w:val="20"/>
      <w:szCs w:val="20"/>
      <w:lang w:val="es-MX"/>
    </w:rPr>
  </w:style>
  <w:style w:type="paragraph" w:styleId="Textodeglobo">
    <w:name w:val="Balloon Text"/>
    <w:basedOn w:val="Normal"/>
    <w:link w:val="TextodegloboCar"/>
    <w:uiPriority w:val="99"/>
    <w:semiHidden/>
    <w:unhideWhenUsed/>
    <w:rsid w:val="004A30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303C"/>
    <w:rPr>
      <w:rFonts w:ascii="Segoe UI" w:hAnsi="Segoe UI" w:cs="Segoe UI"/>
      <w:sz w:val="18"/>
      <w:szCs w:val="18"/>
      <w:lang w:val="es-MX"/>
    </w:rPr>
  </w:style>
  <w:style w:type="paragraph" w:styleId="Asuntodelcomentario">
    <w:name w:val="annotation subject"/>
    <w:basedOn w:val="Textocomentario"/>
    <w:next w:val="Textocomentario"/>
    <w:link w:val="AsuntodelcomentarioCar"/>
    <w:uiPriority w:val="99"/>
    <w:semiHidden/>
    <w:unhideWhenUsed/>
    <w:rsid w:val="00FF5A98"/>
    <w:rPr>
      <w:b/>
      <w:bCs/>
    </w:rPr>
  </w:style>
  <w:style w:type="character" w:customStyle="1" w:styleId="AsuntodelcomentarioCar">
    <w:name w:val="Asunto del comentario Car"/>
    <w:basedOn w:val="TextocomentarioCar"/>
    <w:link w:val="Asuntodelcomentario"/>
    <w:uiPriority w:val="99"/>
    <w:semiHidden/>
    <w:rsid w:val="00FF5A98"/>
    <w:rPr>
      <w:b/>
      <w:bCs/>
      <w:sz w:val="20"/>
      <w:szCs w:val="20"/>
      <w:lang w:val="es-MX"/>
    </w:rPr>
  </w:style>
  <w:style w:type="paragraph" w:styleId="Revisin">
    <w:name w:val="Revision"/>
    <w:hidden/>
    <w:uiPriority w:val="99"/>
    <w:semiHidden/>
    <w:rsid w:val="00087EDA"/>
    <w:pPr>
      <w:spacing w:after="0" w:line="240" w:lineRule="auto"/>
    </w:pPr>
    <w:rPr>
      <w:sz w:val="24"/>
      <w:lang w:val="es-MX"/>
    </w:rPr>
  </w:style>
  <w:style w:type="paragraph" w:styleId="NormalWeb">
    <w:name w:val="Normal (Web)"/>
    <w:basedOn w:val="Normal"/>
    <w:link w:val="NormalWebCar"/>
    <w:uiPriority w:val="99"/>
    <w:unhideWhenUsed/>
    <w:rsid w:val="00B942CA"/>
    <w:pPr>
      <w:spacing w:before="100" w:beforeAutospacing="1" w:after="100" w:afterAutospacing="1"/>
    </w:pPr>
    <w:rPr>
      <w:rFonts w:ascii="Times New Roman" w:eastAsia="Times New Roman" w:hAnsi="Times New Roman" w:cs="Times New Roman"/>
      <w:szCs w:val="24"/>
      <w:lang w:val="es-US" w:eastAsia="es-ES_tradnl"/>
    </w:rPr>
  </w:style>
  <w:style w:type="paragraph" w:styleId="Textoindependiente">
    <w:name w:val="Body Text"/>
    <w:basedOn w:val="Normal"/>
    <w:link w:val="TextoindependienteCar"/>
    <w:uiPriority w:val="1"/>
    <w:qFormat/>
    <w:rsid w:val="00781C22"/>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781C22"/>
    <w:rPr>
      <w:rFonts w:ascii="Arial" w:eastAsia="Arial" w:hAnsi="Arial" w:cs="Arial"/>
      <w:lang w:val="es-ES"/>
    </w:rPr>
  </w:style>
  <w:style w:type="paragraph" w:customStyle="1" w:styleId="Appelnotedebasde">
    <w:name w:val="Appel note de bas de..."/>
    <w:basedOn w:val="Normal"/>
    <w:link w:val="Refdenotaalpie"/>
    <w:uiPriority w:val="99"/>
    <w:rsid w:val="00826C45"/>
    <w:pPr>
      <w:spacing w:after="160" w:line="240" w:lineRule="exact"/>
    </w:pPr>
    <w:rPr>
      <w:sz w:val="22"/>
      <w:vertAlign w:val="superscript"/>
      <w:lang w:val="es-CO"/>
    </w:rPr>
  </w:style>
  <w:style w:type="character" w:customStyle="1" w:styleId="apple-converted-space">
    <w:name w:val="apple-converted-space"/>
    <w:basedOn w:val="Fuentedeprrafopredeter"/>
    <w:rsid w:val="00D955C4"/>
  </w:style>
  <w:style w:type="character" w:styleId="nfasis">
    <w:name w:val="Emphasis"/>
    <w:basedOn w:val="Fuentedeprrafopredeter"/>
    <w:uiPriority w:val="20"/>
    <w:qFormat/>
    <w:rsid w:val="009D633F"/>
    <w:rPr>
      <w:i/>
      <w:iCs/>
    </w:rPr>
  </w:style>
  <w:style w:type="paragraph" w:customStyle="1" w:styleId="paragraph">
    <w:name w:val="paragraph"/>
    <w:basedOn w:val="Normal"/>
    <w:rsid w:val="00B0552B"/>
    <w:pPr>
      <w:spacing w:before="100" w:beforeAutospacing="1" w:after="100" w:afterAutospacing="1"/>
    </w:pPr>
    <w:rPr>
      <w:rFonts w:ascii="Times New Roman" w:eastAsia="Times New Roman" w:hAnsi="Times New Roman" w:cs="Times New Roman"/>
      <w:szCs w:val="24"/>
      <w:lang w:val="es-CO" w:eastAsia="es-ES_tradnl"/>
    </w:rPr>
  </w:style>
  <w:style w:type="character" w:customStyle="1" w:styleId="normaltextrun">
    <w:name w:val="normaltextrun"/>
    <w:basedOn w:val="Fuentedeprrafopredeter"/>
    <w:rsid w:val="00B0552B"/>
  </w:style>
  <w:style w:type="character" w:customStyle="1" w:styleId="eop">
    <w:name w:val="eop"/>
    <w:basedOn w:val="Fuentedeprrafopredeter"/>
    <w:rsid w:val="00B0552B"/>
  </w:style>
  <w:style w:type="character" w:styleId="Hipervnculo">
    <w:name w:val="Hyperlink"/>
    <w:basedOn w:val="Fuentedeprrafopredeter"/>
    <w:uiPriority w:val="99"/>
    <w:unhideWhenUsed/>
    <w:rsid w:val="00E36F54"/>
    <w:rPr>
      <w:color w:val="0563C1" w:themeColor="hyperlink"/>
      <w:u w:val="single"/>
    </w:rPr>
  </w:style>
  <w:style w:type="character" w:styleId="Mencinsinresolver">
    <w:name w:val="Unresolved Mention"/>
    <w:basedOn w:val="Fuentedeprrafopredeter"/>
    <w:uiPriority w:val="99"/>
    <w:semiHidden/>
    <w:unhideWhenUsed/>
    <w:rsid w:val="00E36F54"/>
    <w:rPr>
      <w:color w:val="605E5C"/>
      <w:shd w:val="clear" w:color="auto" w:fill="E1DFDD"/>
    </w:rPr>
  </w:style>
  <w:style w:type="character" w:styleId="Textoennegrita">
    <w:name w:val="Strong"/>
    <w:basedOn w:val="Fuentedeprrafopredeter"/>
    <w:uiPriority w:val="22"/>
    <w:qFormat/>
    <w:rsid w:val="004452AC"/>
    <w:rPr>
      <w:b/>
      <w:bCs/>
    </w:rPr>
  </w:style>
  <w:style w:type="paragraph" w:customStyle="1" w:styleId="Default">
    <w:name w:val="Default"/>
    <w:rsid w:val="002B13F7"/>
    <w:pPr>
      <w:autoSpaceDE w:val="0"/>
      <w:autoSpaceDN w:val="0"/>
      <w:adjustRightInd w:val="0"/>
      <w:spacing w:after="0" w:line="240" w:lineRule="auto"/>
    </w:pPr>
    <w:rPr>
      <w:rFonts w:ascii="Arial" w:hAnsi="Arial" w:cs="Arial"/>
      <w:color w:val="000000"/>
      <w:sz w:val="24"/>
      <w:szCs w:val="24"/>
    </w:rPr>
  </w:style>
  <w:style w:type="paragraph" w:styleId="TDC5">
    <w:name w:val="toc 5"/>
    <w:basedOn w:val="Normal"/>
    <w:next w:val="Normal"/>
    <w:autoRedefine/>
    <w:uiPriority w:val="39"/>
    <w:semiHidden/>
    <w:unhideWhenUsed/>
    <w:rsid w:val="00FA57FD"/>
    <w:pPr>
      <w:spacing w:after="100"/>
      <w:ind w:left="960"/>
    </w:pPr>
  </w:style>
  <w:style w:type="character" w:customStyle="1" w:styleId="NormalWebCar">
    <w:name w:val="Normal (Web) Car"/>
    <w:link w:val="NormalWeb"/>
    <w:uiPriority w:val="99"/>
    <w:rsid w:val="007A2CB8"/>
    <w:rPr>
      <w:rFonts w:ascii="Times New Roman" w:eastAsia="Times New Roman" w:hAnsi="Times New Roman" w:cs="Times New Roman"/>
      <w:sz w:val="24"/>
      <w:szCs w:val="24"/>
      <w:lang w:val="es-U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765">
      <w:bodyDiv w:val="1"/>
      <w:marLeft w:val="0"/>
      <w:marRight w:val="0"/>
      <w:marTop w:val="0"/>
      <w:marBottom w:val="0"/>
      <w:divBdr>
        <w:top w:val="none" w:sz="0" w:space="0" w:color="auto"/>
        <w:left w:val="none" w:sz="0" w:space="0" w:color="auto"/>
        <w:bottom w:val="none" w:sz="0" w:space="0" w:color="auto"/>
        <w:right w:val="none" w:sz="0" w:space="0" w:color="auto"/>
      </w:divBdr>
    </w:div>
    <w:div w:id="29499184">
      <w:bodyDiv w:val="1"/>
      <w:marLeft w:val="0"/>
      <w:marRight w:val="0"/>
      <w:marTop w:val="0"/>
      <w:marBottom w:val="0"/>
      <w:divBdr>
        <w:top w:val="none" w:sz="0" w:space="0" w:color="auto"/>
        <w:left w:val="none" w:sz="0" w:space="0" w:color="auto"/>
        <w:bottom w:val="none" w:sz="0" w:space="0" w:color="auto"/>
        <w:right w:val="none" w:sz="0" w:space="0" w:color="auto"/>
      </w:divBdr>
    </w:div>
    <w:div w:id="116797859">
      <w:bodyDiv w:val="1"/>
      <w:marLeft w:val="0"/>
      <w:marRight w:val="0"/>
      <w:marTop w:val="0"/>
      <w:marBottom w:val="0"/>
      <w:divBdr>
        <w:top w:val="none" w:sz="0" w:space="0" w:color="auto"/>
        <w:left w:val="none" w:sz="0" w:space="0" w:color="auto"/>
        <w:bottom w:val="none" w:sz="0" w:space="0" w:color="auto"/>
        <w:right w:val="none" w:sz="0" w:space="0" w:color="auto"/>
      </w:divBdr>
    </w:div>
    <w:div w:id="127208663">
      <w:bodyDiv w:val="1"/>
      <w:marLeft w:val="0"/>
      <w:marRight w:val="0"/>
      <w:marTop w:val="0"/>
      <w:marBottom w:val="0"/>
      <w:divBdr>
        <w:top w:val="none" w:sz="0" w:space="0" w:color="auto"/>
        <w:left w:val="none" w:sz="0" w:space="0" w:color="auto"/>
        <w:bottom w:val="none" w:sz="0" w:space="0" w:color="auto"/>
        <w:right w:val="none" w:sz="0" w:space="0" w:color="auto"/>
      </w:divBdr>
      <w:divsChild>
        <w:div w:id="1781754884">
          <w:marLeft w:val="0"/>
          <w:marRight w:val="0"/>
          <w:marTop w:val="0"/>
          <w:marBottom w:val="0"/>
          <w:divBdr>
            <w:top w:val="none" w:sz="0" w:space="0" w:color="auto"/>
            <w:left w:val="none" w:sz="0" w:space="0" w:color="auto"/>
            <w:bottom w:val="none" w:sz="0" w:space="0" w:color="auto"/>
            <w:right w:val="none" w:sz="0" w:space="0" w:color="auto"/>
          </w:divBdr>
          <w:divsChild>
            <w:div w:id="1810130767">
              <w:marLeft w:val="0"/>
              <w:marRight w:val="0"/>
              <w:marTop w:val="0"/>
              <w:marBottom w:val="0"/>
              <w:divBdr>
                <w:top w:val="none" w:sz="0" w:space="0" w:color="auto"/>
                <w:left w:val="none" w:sz="0" w:space="0" w:color="auto"/>
                <w:bottom w:val="none" w:sz="0" w:space="0" w:color="auto"/>
                <w:right w:val="none" w:sz="0" w:space="0" w:color="auto"/>
              </w:divBdr>
              <w:divsChild>
                <w:div w:id="1466778625">
                  <w:marLeft w:val="0"/>
                  <w:marRight w:val="0"/>
                  <w:marTop w:val="0"/>
                  <w:marBottom w:val="0"/>
                  <w:divBdr>
                    <w:top w:val="none" w:sz="0" w:space="0" w:color="auto"/>
                    <w:left w:val="none" w:sz="0" w:space="0" w:color="auto"/>
                    <w:bottom w:val="none" w:sz="0" w:space="0" w:color="auto"/>
                    <w:right w:val="none" w:sz="0" w:space="0" w:color="auto"/>
                  </w:divBdr>
                  <w:divsChild>
                    <w:div w:id="7641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9740">
      <w:bodyDiv w:val="1"/>
      <w:marLeft w:val="0"/>
      <w:marRight w:val="0"/>
      <w:marTop w:val="0"/>
      <w:marBottom w:val="0"/>
      <w:divBdr>
        <w:top w:val="none" w:sz="0" w:space="0" w:color="auto"/>
        <w:left w:val="none" w:sz="0" w:space="0" w:color="auto"/>
        <w:bottom w:val="none" w:sz="0" w:space="0" w:color="auto"/>
        <w:right w:val="none" w:sz="0" w:space="0" w:color="auto"/>
      </w:divBdr>
      <w:divsChild>
        <w:div w:id="1137801038">
          <w:marLeft w:val="0"/>
          <w:marRight w:val="0"/>
          <w:marTop w:val="0"/>
          <w:marBottom w:val="0"/>
          <w:divBdr>
            <w:top w:val="none" w:sz="0" w:space="0" w:color="auto"/>
            <w:left w:val="none" w:sz="0" w:space="0" w:color="auto"/>
            <w:bottom w:val="none" w:sz="0" w:space="0" w:color="auto"/>
            <w:right w:val="none" w:sz="0" w:space="0" w:color="auto"/>
          </w:divBdr>
          <w:divsChild>
            <w:div w:id="538515172">
              <w:marLeft w:val="0"/>
              <w:marRight w:val="0"/>
              <w:marTop w:val="0"/>
              <w:marBottom w:val="0"/>
              <w:divBdr>
                <w:top w:val="none" w:sz="0" w:space="0" w:color="auto"/>
                <w:left w:val="none" w:sz="0" w:space="0" w:color="auto"/>
                <w:bottom w:val="none" w:sz="0" w:space="0" w:color="auto"/>
                <w:right w:val="none" w:sz="0" w:space="0" w:color="auto"/>
              </w:divBdr>
              <w:divsChild>
                <w:div w:id="688875898">
                  <w:marLeft w:val="0"/>
                  <w:marRight w:val="0"/>
                  <w:marTop w:val="0"/>
                  <w:marBottom w:val="0"/>
                  <w:divBdr>
                    <w:top w:val="none" w:sz="0" w:space="0" w:color="auto"/>
                    <w:left w:val="none" w:sz="0" w:space="0" w:color="auto"/>
                    <w:bottom w:val="none" w:sz="0" w:space="0" w:color="auto"/>
                    <w:right w:val="none" w:sz="0" w:space="0" w:color="auto"/>
                  </w:divBdr>
                  <w:divsChild>
                    <w:div w:id="16954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3757">
      <w:bodyDiv w:val="1"/>
      <w:marLeft w:val="0"/>
      <w:marRight w:val="0"/>
      <w:marTop w:val="0"/>
      <w:marBottom w:val="0"/>
      <w:divBdr>
        <w:top w:val="none" w:sz="0" w:space="0" w:color="auto"/>
        <w:left w:val="none" w:sz="0" w:space="0" w:color="auto"/>
        <w:bottom w:val="none" w:sz="0" w:space="0" w:color="auto"/>
        <w:right w:val="none" w:sz="0" w:space="0" w:color="auto"/>
      </w:divBdr>
    </w:div>
    <w:div w:id="207619037">
      <w:bodyDiv w:val="1"/>
      <w:marLeft w:val="0"/>
      <w:marRight w:val="0"/>
      <w:marTop w:val="0"/>
      <w:marBottom w:val="0"/>
      <w:divBdr>
        <w:top w:val="none" w:sz="0" w:space="0" w:color="auto"/>
        <w:left w:val="none" w:sz="0" w:space="0" w:color="auto"/>
        <w:bottom w:val="none" w:sz="0" w:space="0" w:color="auto"/>
        <w:right w:val="none" w:sz="0" w:space="0" w:color="auto"/>
      </w:divBdr>
      <w:divsChild>
        <w:div w:id="2102484742">
          <w:marLeft w:val="0"/>
          <w:marRight w:val="0"/>
          <w:marTop w:val="0"/>
          <w:marBottom w:val="0"/>
          <w:divBdr>
            <w:top w:val="none" w:sz="0" w:space="0" w:color="auto"/>
            <w:left w:val="none" w:sz="0" w:space="0" w:color="auto"/>
            <w:bottom w:val="none" w:sz="0" w:space="0" w:color="auto"/>
            <w:right w:val="none" w:sz="0" w:space="0" w:color="auto"/>
          </w:divBdr>
          <w:divsChild>
            <w:div w:id="1027177117">
              <w:marLeft w:val="0"/>
              <w:marRight w:val="0"/>
              <w:marTop w:val="0"/>
              <w:marBottom w:val="0"/>
              <w:divBdr>
                <w:top w:val="none" w:sz="0" w:space="0" w:color="auto"/>
                <w:left w:val="none" w:sz="0" w:space="0" w:color="auto"/>
                <w:bottom w:val="none" w:sz="0" w:space="0" w:color="auto"/>
                <w:right w:val="none" w:sz="0" w:space="0" w:color="auto"/>
              </w:divBdr>
              <w:divsChild>
                <w:div w:id="1643579521">
                  <w:marLeft w:val="0"/>
                  <w:marRight w:val="0"/>
                  <w:marTop w:val="0"/>
                  <w:marBottom w:val="0"/>
                  <w:divBdr>
                    <w:top w:val="none" w:sz="0" w:space="0" w:color="auto"/>
                    <w:left w:val="none" w:sz="0" w:space="0" w:color="auto"/>
                    <w:bottom w:val="none" w:sz="0" w:space="0" w:color="auto"/>
                    <w:right w:val="none" w:sz="0" w:space="0" w:color="auto"/>
                  </w:divBdr>
                  <w:divsChild>
                    <w:div w:id="12304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621509">
      <w:bodyDiv w:val="1"/>
      <w:marLeft w:val="0"/>
      <w:marRight w:val="0"/>
      <w:marTop w:val="0"/>
      <w:marBottom w:val="0"/>
      <w:divBdr>
        <w:top w:val="none" w:sz="0" w:space="0" w:color="auto"/>
        <w:left w:val="none" w:sz="0" w:space="0" w:color="auto"/>
        <w:bottom w:val="none" w:sz="0" w:space="0" w:color="auto"/>
        <w:right w:val="none" w:sz="0" w:space="0" w:color="auto"/>
      </w:divBdr>
      <w:divsChild>
        <w:div w:id="1809665296">
          <w:marLeft w:val="0"/>
          <w:marRight w:val="0"/>
          <w:marTop w:val="0"/>
          <w:marBottom w:val="0"/>
          <w:divBdr>
            <w:top w:val="none" w:sz="0" w:space="0" w:color="auto"/>
            <w:left w:val="none" w:sz="0" w:space="0" w:color="auto"/>
            <w:bottom w:val="none" w:sz="0" w:space="0" w:color="auto"/>
            <w:right w:val="none" w:sz="0" w:space="0" w:color="auto"/>
          </w:divBdr>
          <w:divsChild>
            <w:div w:id="451174673">
              <w:marLeft w:val="0"/>
              <w:marRight w:val="0"/>
              <w:marTop w:val="0"/>
              <w:marBottom w:val="0"/>
              <w:divBdr>
                <w:top w:val="none" w:sz="0" w:space="0" w:color="auto"/>
                <w:left w:val="none" w:sz="0" w:space="0" w:color="auto"/>
                <w:bottom w:val="none" w:sz="0" w:space="0" w:color="auto"/>
                <w:right w:val="none" w:sz="0" w:space="0" w:color="auto"/>
              </w:divBdr>
              <w:divsChild>
                <w:div w:id="1353023304">
                  <w:marLeft w:val="0"/>
                  <w:marRight w:val="0"/>
                  <w:marTop w:val="0"/>
                  <w:marBottom w:val="0"/>
                  <w:divBdr>
                    <w:top w:val="none" w:sz="0" w:space="0" w:color="auto"/>
                    <w:left w:val="none" w:sz="0" w:space="0" w:color="auto"/>
                    <w:bottom w:val="none" w:sz="0" w:space="0" w:color="auto"/>
                    <w:right w:val="none" w:sz="0" w:space="0" w:color="auto"/>
                  </w:divBdr>
                  <w:divsChild>
                    <w:div w:id="2859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17707">
      <w:bodyDiv w:val="1"/>
      <w:marLeft w:val="0"/>
      <w:marRight w:val="0"/>
      <w:marTop w:val="0"/>
      <w:marBottom w:val="0"/>
      <w:divBdr>
        <w:top w:val="none" w:sz="0" w:space="0" w:color="auto"/>
        <w:left w:val="none" w:sz="0" w:space="0" w:color="auto"/>
        <w:bottom w:val="none" w:sz="0" w:space="0" w:color="auto"/>
        <w:right w:val="none" w:sz="0" w:space="0" w:color="auto"/>
      </w:divBdr>
    </w:div>
    <w:div w:id="374812968">
      <w:bodyDiv w:val="1"/>
      <w:marLeft w:val="0"/>
      <w:marRight w:val="0"/>
      <w:marTop w:val="0"/>
      <w:marBottom w:val="0"/>
      <w:divBdr>
        <w:top w:val="none" w:sz="0" w:space="0" w:color="auto"/>
        <w:left w:val="none" w:sz="0" w:space="0" w:color="auto"/>
        <w:bottom w:val="none" w:sz="0" w:space="0" w:color="auto"/>
        <w:right w:val="none" w:sz="0" w:space="0" w:color="auto"/>
      </w:divBdr>
      <w:divsChild>
        <w:div w:id="66268661">
          <w:marLeft w:val="0"/>
          <w:marRight w:val="0"/>
          <w:marTop w:val="0"/>
          <w:marBottom w:val="0"/>
          <w:divBdr>
            <w:top w:val="none" w:sz="0" w:space="0" w:color="auto"/>
            <w:left w:val="none" w:sz="0" w:space="0" w:color="auto"/>
            <w:bottom w:val="none" w:sz="0" w:space="0" w:color="auto"/>
            <w:right w:val="none" w:sz="0" w:space="0" w:color="auto"/>
          </w:divBdr>
          <w:divsChild>
            <w:div w:id="759640695">
              <w:marLeft w:val="0"/>
              <w:marRight w:val="0"/>
              <w:marTop w:val="0"/>
              <w:marBottom w:val="0"/>
              <w:divBdr>
                <w:top w:val="none" w:sz="0" w:space="0" w:color="auto"/>
                <w:left w:val="none" w:sz="0" w:space="0" w:color="auto"/>
                <w:bottom w:val="none" w:sz="0" w:space="0" w:color="auto"/>
                <w:right w:val="none" w:sz="0" w:space="0" w:color="auto"/>
              </w:divBdr>
              <w:divsChild>
                <w:div w:id="1531527163">
                  <w:marLeft w:val="0"/>
                  <w:marRight w:val="0"/>
                  <w:marTop w:val="0"/>
                  <w:marBottom w:val="0"/>
                  <w:divBdr>
                    <w:top w:val="none" w:sz="0" w:space="0" w:color="auto"/>
                    <w:left w:val="none" w:sz="0" w:space="0" w:color="auto"/>
                    <w:bottom w:val="none" w:sz="0" w:space="0" w:color="auto"/>
                    <w:right w:val="none" w:sz="0" w:space="0" w:color="auto"/>
                  </w:divBdr>
                  <w:divsChild>
                    <w:div w:id="5888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80423">
      <w:bodyDiv w:val="1"/>
      <w:marLeft w:val="0"/>
      <w:marRight w:val="0"/>
      <w:marTop w:val="0"/>
      <w:marBottom w:val="0"/>
      <w:divBdr>
        <w:top w:val="none" w:sz="0" w:space="0" w:color="auto"/>
        <w:left w:val="none" w:sz="0" w:space="0" w:color="auto"/>
        <w:bottom w:val="none" w:sz="0" w:space="0" w:color="auto"/>
        <w:right w:val="none" w:sz="0" w:space="0" w:color="auto"/>
      </w:divBdr>
    </w:div>
    <w:div w:id="434441264">
      <w:bodyDiv w:val="1"/>
      <w:marLeft w:val="0"/>
      <w:marRight w:val="0"/>
      <w:marTop w:val="0"/>
      <w:marBottom w:val="0"/>
      <w:divBdr>
        <w:top w:val="none" w:sz="0" w:space="0" w:color="auto"/>
        <w:left w:val="none" w:sz="0" w:space="0" w:color="auto"/>
        <w:bottom w:val="none" w:sz="0" w:space="0" w:color="auto"/>
        <w:right w:val="none" w:sz="0" w:space="0" w:color="auto"/>
      </w:divBdr>
    </w:div>
    <w:div w:id="467163485">
      <w:bodyDiv w:val="1"/>
      <w:marLeft w:val="0"/>
      <w:marRight w:val="0"/>
      <w:marTop w:val="0"/>
      <w:marBottom w:val="0"/>
      <w:divBdr>
        <w:top w:val="none" w:sz="0" w:space="0" w:color="auto"/>
        <w:left w:val="none" w:sz="0" w:space="0" w:color="auto"/>
        <w:bottom w:val="none" w:sz="0" w:space="0" w:color="auto"/>
        <w:right w:val="none" w:sz="0" w:space="0" w:color="auto"/>
      </w:divBdr>
    </w:div>
    <w:div w:id="484206212">
      <w:bodyDiv w:val="1"/>
      <w:marLeft w:val="0"/>
      <w:marRight w:val="0"/>
      <w:marTop w:val="0"/>
      <w:marBottom w:val="0"/>
      <w:divBdr>
        <w:top w:val="none" w:sz="0" w:space="0" w:color="auto"/>
        <w:left w:val="none" w:sz="0" w:space="0" w:color="auto"/>
        <w:bottom w:val="none" w:sz="0" w:space="0" w:color="auto"/>
        <w:right w:val="none" w:sz="0" w:space="0" w:color="auto"/>
      </w:divBdr>
    </w:div>
    <w:div w:id="488443040">
      <w:bodyDiv w:val="1"/>
      <w:marLeft w:val="0"/>
      <w:marRight w:val="0"/>
      <w:marTop w:val="0"/>
      <w:marBottom w:val="0"/>
      <w:divBdr>
        <w:top w:val="none" w:sz="0" w:space="0" w:color="auto"/>
        <w:left w:val="none" w:sz="0" w:space="0" w:color="auto"/>
        <w:bottom w:val="none" w:sz="0" w:space="0" w:color="auto"/>
        <w:right w:val="none" w:sz="0" w:space="0" w:color="auto"/>
      </w:divBdr>
    </w:div>
    <w:div w:id="505629704">
      <w:bodyDiv w:val="1"/>
      <w:marLeft w:val="0"/>
      <w:marRight w:val="0"/>
      <w:marTop w:val="0"/>
      <w:marBottom w:val="0"/>
      <w:divBdr>
        <w:top w:val="none" w:sz="0" w:space="0" w:color="auto"/>
        <w:left w:val="none" w:sz="0" w:space="0" w:color="auto"/>
        <w:bottom w:val="none" w:sz="0" w:space="0" w:color="auto"/>
        <w:right w:val="none" w:sz="0" w:space="0" w:color="auto"/>
      </w:divBdr>
      <w:divsChild>
        <w:div w:id="62066826">
          <w:marLeft w:val="0"/>
          <w:marRight w:val="0"/>
          <w:marTop w:val="0"/>
          <w:marBottom w:val="0"/>
          <w:divBdr>
            <w:top w:val="none" w:sz="0" w:space="0" w:color="auto"/>
            <w:left w:val="none" w:sz="0" w:space="0" w:color="auto"/>
            <w:bottom w:val="none" w:sz="0" w:space="0" w:color="auto"/>
            <w:right w:val="none" w:sz="0" w:space="0" w:color="auto"/>
          </w:divBdr>
          <w:divsChild>
            <w:div w:id="942029731">
              <w:marLeft w:val="0"/>
              <w:marRight w:val="0"/>
              <w:marTop w:val="0"/>
              <w:marBottom w:val="0"/>
              <w:divBdr>
                <w:top w:val="none" w:sz="0" w:space="0" w:color="auto"/>
                <w:left w:val="none" w:sz="0" w:space="0" w:color="auto"/>
                <w:bottom w:val="none" w:sz="0" w:space="0" w:color="auto"/>
                <w:right w:val="none" w:sz="0" w:space="0" w:color="auto"/>
              </w:divBdr>
              <w:divsChild>
                <w:div w:id="860434657">
                  <w:marLeft w:val="0"/>
                  <w:marRight w:val="0"/>
                  <w:marTop w:val="0"/>
                  <w:marBottom w:val="0"/>
                  <w:divBdr>
                    <w:top w:val="none" w:sz="0" w:space="0" w:color="auto"/>
                    <w:left w:val="none" w:sz="0" w:space="0" w:color="auto"/>
                    <w:bottom w:val="none" w:sz="0" w:space="0" w:color="auto"/>
                    <w:right w:val="none" w:sz="0" w:space="0" w:color="auto"/>
                  </w:divBdr>
                  <w:divsChild>
                    <w:div w:id="9678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0670">
      <w:bodyDiv w:val="1"/>
      <w:marLeft w:val="0"/>
      <w:marRight w:val="0"/>
      <w:marTop w:val="0"/>
      <w:marBottom w:val="0"/>
      <w:divBdr>
        <w:top w:val="none" w:sz="0" w:space="0" w:color="auto"/>
        <w:left w:val="none" w:sz="0" w:space="0" w:color="auto"/>
        <w:bottom w:val="none" w:sz="0" w:space="0" w:color="auto"/>
        <w:right w:val="none" w:sz="0" w:space="0" w:color="auto"/>
      </w:divBdr>
      <w:divsChild>
        <w:div w:id="1319192458">
          <w:marLeft w:val="0"/>
          <w:marRight w:val="0"/>
          <w:marTop w:val="0"/>
          <w:marBottom w:val="0"/>
          <w:divBdr>
            <w:top w:val="none" w:sz="0" w:space="0" w:color="auto"/>
            <w:left w:val="none" w:sz="0" w:space="0" w:color="auto"/>
            <w:bottom w:val="none" w:sz="0" w:space="0" w:color="auto"/>
            <w:right w:val="none" w:sz="0" w:space="0" w:color="auto"/>
          </w:divBdr>
          <w:divsChild>
            <w:div w:id="1641495545">
              <w:marLeft w:val="0"/>
              <w:marRight w:val="0"/>
              <w:marTop w:val="0"/>
              <w:marBottom w:val="0"/>
              <w:divBdr>
                <w:top w:val="none" w:sz="0" w:space="0" w:color="auto"/>
                <w:left w:val="none" w:sz="0" w:space="0" w:color="auto"/>
                <w:bottom w:val="none" w:sz="0" w:space="0" w:color="auto"/>
                <w:right w:val="none" w:sz="0" w:space="0" w:color="auto"/>
              </w:divBdr>
              <w:divsChild>
                <w:div w:id="1194147380">
                  <w:marLeft w:val="0"/>
                  <w:marRight w:val="0"/>
                  <w:marTop w:val="0"/>
                  <w:marBottom w:val="0"/>
                  <w:divBdr>
                    <w:top w:val="none" w:sz="0" w:space="0" w:color="auto"/>
                    <w:left w:val="none" w:sz="0" w:space="0" w:color="auto"/>
                    <w:bottom w:val="none" w:sz="0" w:space="0" w:color="auto"/>
                    <w:right w:val="none" w:sz="0" w:space="0" w:color="auto"/>
                  </w:divBdr>
                  <w:divsChild>
                    <w:div w:id="4509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194049">
      <w:bodyDiv w:val="1"/>
      <w:marLeft w:val="0"/>
      <w:marRight w:val="0"/>
      <w:marTop w:val="0"/>
      <w:marBottom w:val="0"/>
      <w:divBdr>
        <w:top w:val="none" w:sz="0" w:space="0" w:color="auto"/>
        <w:left w:val="none" w:sz="0" w:space="0" w:color="auto"/>
        <w:bottom w:val="none" w:sz="0" w:space="0" w:color="auto"/>
        <w:right w:val="none" w:sz="0" w:space="0" w:color="auto"/>
      </w:divBdr>
    </w:div>
    <w:div w:id="662515115">
      <w:bodyDiv w:val="1"/>
      <w:marLeft w:val="0"/>
      <w:marRight w:val="0"/>
      <w:marTop w:val="0"/>
      <w:marBottom w:val="0"/>
      <w:divBdr>
        <w:top w:val="none" w:sz="0" w:space="0" w:color="auto"/>
        <w:left w:val="none" w:sz="0" w:space="0" w:color="auto"/>
        <w:bottom w:val="none" w:sz="0" w:space="0" w:color="auto"/>
        <w:right w:val="none" w:sz="0" w:space="0" w:color="auto"/>
      </w:divBdr>
      <w:divsChild>
        <w:div w:id="588737217">
          <w:marLeft w:val="0"/>
          <w:marRight w:val="0"/>
          <w:marTop w:val="0"/>
          <w:marBottom w:val="0"/>
          <w:divBdr>
            <w:top w:val="none" w:sz="0" w:space="0" w:color="auto"/>
            <w:left w:val="none" w:sz="0" w:space="0" w:color="auto"/>
            <w:bottom w:val="none" w:sz="0" w:space="0" w:color="auto"/>
            <w:right w:val="none" w:sz="0" w:space="0" w:color="auto"/>
          </w:divBdr>
          <w:divsChild>
            <w:div w:id="1718511481">
              <w:marLeft w:val="0"/>
              <w:marRight w:val="0"/>
              <w:marTop w:val="0"/>
              <w:marBottom w:val="0"/>
              <w:divBdr>
                <w:top w:val="none" w:sz="0" w:space="0" w:color="auto"/>
                <w:left w:val="none" w:sz="0" w:space="0" w:color="auto"/>
                <w:bottom w:val="none" w:sz="0" w:space="0" w:color="auto"/>
                <w:right w:val="none" w:sz="0" w:space="0" w:color="auto"/>
              </w:divBdr>
              <w:divsChild>
                <w:div w:id="463692052">
                  <w:marLeft w:val="0"/>
                  <w:marRight w:val="0"/>
                  <w:marTop w:val="0"/>
                  <w:marBottom w:val="0"/>
                  <w:divBdr>
                    <w:top w:val="none" w:sz="0" w:space="0" w:color="auto"/>
                    <w:left w:val="none" w:sz="0" w:space="0" w:color="auto"/>
                    <w:bottom w:val="none" w:sz="0" w:space="0" w:color="auto"/>
                    <w:right w:val="none" w:sz="0" w:space="0" w:color="auto"/>
                  </w:divBdr>
                  <w:divsChild>
                    <w:div w:id="4581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3738">
      <w:bodyDiv w:val="1"/>
      <w:marLeft w:val="0"/>
      <w:marRight w:val="0"/>
      <w:marTop w:val="0"/>
      <w:marBottom w:val="0"/>
      <w:divBdr>
        <w:top w:val="none" w:sz="0" w:space="0" w:color="auto"/>
        <w:left w:val="none" w:sz="0" w:space="0" w:color="auto"/>
        <w:bottom w:val="none" w:sz="0" w:space="0" w:color="auto"/>
        <w:right w:val="none" w:sz="0" w:space="0" w:color="auto"/>
      </w:divBdr>
    </w:div>
    <w:div w:id="948583465">
      <w:bodyDiv w:val="1"/>
      <w:marLeft w:val="0"/>
      <w:marRight w:val="0"/>
      <w:marTop w:val="0"/>
      <w:marBottom w:val="0"/>
      <w:divBdr>
        <w:top w:val="none" w:sz="0" w:space="0" w:color="auto"/>
        <w:left w:val="none" w:sz="0" w:space="0" w:color="auto"/>
        <w:bottom w:val="none" w:sz="0" w:space="0" w:color="auto"/>
        <w:right w:val="none" w:sz="0" w:space="0" w:color="auto"/>
      </w:divBdr>
    </w:div>
    <w:div w:id="984701645">
      <w:bodyDiv w:val="1"/>
      <w:marLeft w:val="0"/>
      <w:marRight w:val="0"/>
      <w:marTop w:val="0"/>
      <w:marBottom w:val="0"/>
      <w:divBdr>
        <w:top w:val="none" w:sz="0" w:space="0" w:color="auto"/>
        <w:left w:val="none" w:sz="0" w:space="0" w:color="auto"/>
        <w:bottom w:val="none" w:sz="0" w:space="0" w:color="auto"/>
        <w:right w:val="none" w:sz="0" w:space="0" w:color="auto"/>
      </w:divBdr>
    </w:div>
    <w:div w:id="1054237002">
      <w:bodyDiv w:val="1"/>
      <w:marLeft w:val="0"/>
      <w:marRight w:val="0"/>
      <w:marTop w:val="0"/>
      <w:marBottom w:val="0"/>
      <w:divBdr>
        <w:top w:val="none" w:sz="0" w:space="0" w:color="auto"/>
        <w:left w:val="none" w:sz="0" w:space="0" w:color="auto"/>
        <w:bottom w:val="none" w:sz="0" w:space="0" w:color="auto"/>
        <w:right w:val="none" w:sz="0" w:space="0" w:color="auto"/>
      </w:divBdr>
    </w:div>
    <w:div w:id="1083599181">
      <w:bodyDiv w:val="1"/>
      <w:marLeft w:val="0"/>
      <w:marRight w:val="0"/>
      <w:marTop w:val="0"/>
      <w:marBottom w:val="0"/>
      <w:divBdr>
        <w:top w:val="none" w:sz="0" w:space="0" w:color="auto"/>
        <w:left w:val="none" w:sz="0" w:space="0" w:color="auto"/>
        <w:bottom w:val="none" w:sz="0" w:space="0" w:color="auto"/>
        <w:right w:val="none" w:sz="0" w:space="0" w:color="auto"/>
      </w:divBdr>
      <w:divsChild>
        <w:div w:id="1037320472">
          <w:marLeft w:val="0"/>
          <w:marRight w:val="0"/>
          <w:marTop w:val="0"/>
          <w:marBottom w:val="0"/>
          <w:divBdr>
            <w:top w:val="none" w:sz="0" w:space="0" w:color="auto"/>
            <w:left w:val="none" w:sz="0" w:space="0" w:color="auto"/>
            <w:bottom w:val="none" w:sz="0" w:space="0" w:color="auto"/>
            <w:right w:val="none" w:sz="0" w:space="0" w:color="auto"/>
          </w:divBdr>
          <w:divsChild>
            <w:div w:id="545215649">
              <w:marLeft w:val="0"/>
              <w:marRight w:val="0"/>
              <w:marTop w:val="0"/>
              <w:marBottom w:val="0"/>
              <w:divBdr>
                <w:top w:val="none" w:sz="0" w:space="0" w:color="auto"/>
                <w:left w:val="none" w:sz="0" w:space="0" w:color="auto"/>
                <w:bottom w:val="none" w:sz="0" w:space="0" w:color="auto"/>
                <w:right w:val="none" w:sz="0" w:space="0" w:color="auto"/>
              </w:divBdr>
              <w:divsChild>
                <w:div w:id="790364611">
                  <w:marLeft w:val="0"/>
                  <w:marRight w:val="0"/>
                  <w:marTop w:val="0"/>
                  <w:marBottom w:val="0"/>
                  <w:divBdr>
                    <w:top w:val="none" w:sz="0" w:space="0" w:color="auto"/>
                    <w:left w:val="none" w:sz="0" w:space="0" w:color="auto"/>
                    <w:bottom w:val="none" w:sz="0" w:space="0" w:color="auto"/>
                    <w:right w:val="none" w:sz="0" w:space="0" w:color="auto"/>
                  </w:divBdr>
                  <w:divsChild>
                    <w:div w:id="21182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2151">
      <w:bodyDiv w:val="1"/>
      <w:marLeft w:val="0"/>
      <w:marRight w:val="0"/>
      <w:marTop w:val="0"/>
      <w:marBottom w:val="0"/>
      <w:divBdr>
        <w:top w:val="none" w:sz="0" w:space="0" w:color="auto"/>
        <w:left w:val="none" w:sz="0" w:space="0" w:color="auto"/>
        <w:bottom w:val="none" w:sz="0" w:space="0" w:color="auto"/>
        <w:right w:val="none" w:sz="0" w:space="0" w:color="auto"/>
      </w:divBdr>
    </w:div>
    <w:div w:id="1123694878">
      <w:bodyDiv w:val="1"/>
      <w:marLeft w:val="0"/>
      <w:marRight w:val="0"/>
      <w:marTop w:val="0"/>
      <w:marBottom w:val="0"/>
      <w:divBdr>
        <w:top w:val="none" w:sz="0" w:space="0" w:color="auto"/>
        <w:left w:val="none" w:sz="0" w:space="0" w:color="auto"/>
        <w:bottom w:val="none" w:sz="0" w:space="0" w:color="auto"/>
        <w:right w:val="none" w:sz="0" w:space="0" w:color="auto"/>
      </w:divBdr>
    </w:div>
    <w:div w:id="1126655544">
      <w:bodyDiv w:val="1"/>
      <w:marLeft w:val="0"/>
      <w:marRight w:val="0"/>
      <w:marTop w:val="0"/>
      <w:marBottom w:val="0"/>
      <w:divBdr>
        <w:top w:val="none" w:sz="0" w:space="0" w:color="auto"/>
        <w:left w:val="none" w:sz="0" w:space="0" w:color="auto"/>
        <w:bottom w:val="none" w:sz="0" w:space="0" w:color="auto"/>
        <w:right w:val="none" w:sz="0" w:space="0" w:color="auto"/>
      </w:divBdr>
    </w:div>
    <w:div w:id="1210533877">
      <w:bodyDiv w:val="1"/>
      <w:marLeft w:val="0"/>
      <w:marRight w:val="0"/>
      <w:marTop w:val="0"/>
      <w:marBottom w:val="0"/>
      <w:divBdr>
        <w:top w:val="none" w:sz="0" w:space="0" w:color="auto"/>
        <w:left w:val="none" w:sz="0" w:space="0" w:color="auto"/>
        <w:bottom w:val="none" w:sz="0" w:space="0" w:color="auto"/>
        <w:right w:val="none" w:sz="0" w:space="0" w:color="auto"/>
      </w:divBdr>
      <w:divsChild>
        <w:div w:id="332727421">
          <w:marLeft w:val="0"/>
          <w:marRight w:val="0"/>
          <w:marTop w:val="0"/>
          <w:marBottom w:val="0"/>
          <w:divBdr>
            <w:top w:val="none" w:sz="0" w:space="0" w:color="auto"/>
            <w:left w:val="none" w:sz="0" w:space="0" w:color="auto"/>
            <w:bottom w:val="none" w:sz="0" w:space="0" w:color="auto"/>
            <w:right w:val="none" w:sz="0" w:space="0" w:color="auto"/>
          </w:divBdr>
          <w:divsChild>
            <w:div w:id="199131032">
              <w:marLeft w:val="0"/>
              <w:marRight w:val="0"/>
              <w:marTop w:val="0"/>
              <w:marBottom w:val="0"/>
              <w:divBdr>
                <w:top w:val="none" w:sz="0" w:space="0" w:color="auto"/>
                <w:left w:val="none" w:sz="0" w:space="0" w:color="auto"/>
                <w:bottom w:val="none" w:sz="0" w:space="0" w:color="auto"/>
                <w:right w:val="none" w:sz="0" w:space="0" w:color="auto"/>
              </w:divBdr>
              <w:divsChild>
                <w:div w:id="1401096493">
                  <w:marLeft w:val="0"/>
                  <w:marRight w:val="0"/>
                  <w:marTop w:val="0"/>
                  <w:marBottom w:val="0"/>
                  <w:divBdr>
                    <w:top w:val="none" w:sz="0" w:space="0" w:color="auto"/>
                    <w:left w:val="none" w:sz="0" w:space="0" w:color="auto"/>
                    <w:bottom w:val="none" w:sz="0" w:space="0" w:color="auto"/>
                    <w:right w:val="none" w:sz="0" w:space="0" w:color="auto"/>
                  </w:divBdr>
                  <w:divsChild>
                    <w:div w:id="4138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7578">
      <w:bodyDiv w:val="1"/>
      <w:marLeft w:val="0"/>
      <w:marRight w:val="0"/>
      <w:marTop w:val="0"/>
      <w:marBottom w:val="0"/>
      <w:divBdr>
        <w:top w:val="none" w:sz="0" w:space="0" w:color="auto"/>
        <w:left w:val="none" w:sz="0" w:space="0" w:color="auto"/>
        <w:bottom w:val="none" w:sz="0" w:space="0" w:color="auto"/>
        <w:right w:val="none" w:sz="0" w:space="0" w:color="auto"/>
      </w:divBdr>
      <w:divsChild>
        <w:div w:id="463234314">
          <w:marLeft w:val="0"/>
          <w:marRight w:val="0"/>
          <w:marTop w:val="0"/>
          <w:marBottom w:val="0"/>
          <w:divBdr>
            <w:top w:val="none" w:sz="0" w:space="0" w:color="auto"/>
            <w:left w:val="none" w:sz="0" w:space="0" w:color="auto"/>
            <w:bottom w:val="none" w:sz="0" w:space="0" w:color="auto"/>
            <w:right w:val="none" w:sz="0" w:space="0" w:color="auto"/>
          </w:divBdr>
          <w:divsChild>
            <w:div w:id="552280367">
              <w:marLeft w:val="0"/>
              <w:marRight w:val="0"/>
              <w:marTop w:val="0"/>
              <w:marBottom w:val="0"/>
              <w:divBdr>
                <w:top w:val="none" w:sz="0" w:space="0" w:color="auto"/>
                <w:left w:val="none" w:sz="0" w:space="0" w:color="auto"/>
                <w:bottom w:val="none" w:sz="0" w:space="0" w:color="auto"/>
                <w:right w:val="none" w:sz="0" w:space="0" w:color="auto"/>
              </w:divBdr>
              <w:divsChild>
                <w:div w:id="937905885">
                  <w:marLeft w:val="0"/>
                  <w:marRight w:val="0"/>
                  <w:marTop w:val="0"/>
                  <w:marBottom w:val="0"/>
                  <w:divBdr>
                    <w:top w:val="none" w:sz="0" w:space="0" w:color="auto"/>
                    <w:left w:val="none" w:sz="0" w:space="0" w:color="auto"/>
                    <w:bottom w:val="none" w:sz="0" w:space="0" w:color="auto"/>
                    <w:right w:val="none" w:sz="0" w:space="0" w:color="auto"/>
                  </w:divBdr>
                  <w:divsChild>
                    <w:div w:id="12757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381168">
      <w:bodyDiv w:val="1"/>
      <w:marLeft w:val="0"/>
      <w:marRight w:val="0"/>
      <w:marTop w:val="0"/>
      <w:marBottom w:val="0"/>
      <w:divBdr>
        <w:top w:val="none" w:sz="0" w:space="0" w:color="auto"/>
        <w:left w:val="none" w:sz="0" w:space="0" w:color="auto"/>
        <w:bottom w:val="none" w:sz="0" w:space="0" w:color="auto"/>
        <w:right w:val="none" w:sz="0" w:space="0" w:color="auto"/>
      </w:divBdr>
    </w:div>
    <w:div w:id="1431897677">
      <w:bodyDiv w:val="1"/>
      <w:marLeft w:val="0"/>
      <w:marRight w:val="0"/>
      <w:marTop w:val="0"/>
      <w:marBottom w:val="0"/>
      <w:divBdr>
        <w:top w:val="none" w:sz="0" w:space="0" w:color="auto"/>
        <w:left w:val="none" w:sz="0" w:space="0" w:color="auto"/>
        <w:bottom w:val="none" w:sz="0" w:space="0" w:color="auto"/>
        <w:right w:val="none" w:sz="0" w:space="0" w:color="auto"/>
      </w:divBdr>
    </w:div>
    <w:div w:id="1462381350">
      <w:bodyDiv w:val="1"/>
      <w:marLeft w:val="0"/>
      <w:marRight w:val="0"/>
      <w:marTop w:val="0"/>
      <w:marBottom w:val="0"/>
      <w:divBdr>
        <w:top w:val="none" w:sz="0" w:space="0" w:color="auto"/>
        <w:left w:val="none" w:sz="0" w:space="0" w:color="auto"/>
        <w:bottom w:val="none" w:sz="0" w:space="0" w:color="auto"/>
        <w:right w:val="none" w:sz="0" w:space="0" w:color="auto"/>
      </w:divBdr>
    </w:div>
    <w:div w:id="1509905359">
      <w:bodyDiv w:val="1"/>
      <w:marLeft w:val="0"/>
      <w:marRight w:val="0"/>
      <w:marTop w:val="0"/>
      <w:marBottom w:val="0"/>
      <w:divBdr>
        <w:top w:val="none" w:sz="0" w:space="0" w:color="auto"/>
        <w:left w:val="none" w:sz="0" w:space="0" w:color="auto"/>
        <w:bottom w:val="none" w:sz="0" w:space="0" w:color="auto"/>
        <w:right w:val="none" w:sz="0" w:space="0" w:color="auto"/>
      </w:divBdr>
    </w:div>
    <w:div w:id="1551501495">
      <w:bodyDiv w:val="1"/>
      <w:marLeft w:val="0"/>
      <w:marRight w:val="0"/>
      <w:marTop w:val="0"/>
      <w:marBottom w:val="0"/>
      <w:divBdr>
        <w:top w:val="none" w:sz="0" w:space="0" w:color="auto"/>
        <w:left w:val="none" w:sz="0" w:space="0" w:color="auto"/>
        <w:bottom w:val="none" w:sz="0" w:space="0" w:color="auto"/>
        <w:right w:val="none" w:sz="0" w:space="0" w:color="auto"/>
      </w:divBdr>
      <w:divsChild>
        <w:div w:id="1004867624">
          <w:marLeft w:val="0"/>
          <w:marRight w:val="0"/>
          <w:marTop w:val="0"/>
          <w:marBottom w:val="0"/>
          <w:divBdr>
            <w:top w:val="none" w:sz="0" w:space="0" w:color="auto"/>
            <w:left w:val="none" w:sz="0" w:space="0" w:color="auto"/>
            <w:bottom w:val="none" w:sz="0" w:space="0" w:color="auto"/>
            <w:right w:val="none" w:sz="0" w:space="0" w:color="auto"/>
          </w:divBdr>
          <w:divsChild>
            <w:div w:id="735862705">
              <w:marLeft w:val="0"/>
              <w:marRight w:val="0"/>
              <w:marTop w:val="0"/>
              <w:marBottom w:val="0"/>
              <w:divBdr>
                <w:top w:val="none" w:sz="0" w:space="0" w:color="auto"/>
                <w:left w:val="none" w:sz="0" w:space="0" w:color="auto"/>
                <w:bottom w:val="none" w:sz="0" w:space="0" w:color="auto"/>
                <w:right w:val="none" w:sz="0" w:space="0" w:color="auto"/>
              </w:divBdr>
              <w:divsChild>
                <w:div w:id="1979334228">
                  <w:marLeft w:val="0"/>
                  <w:marRight w:val="0"/>
                  <w:marTop w:val="0"/>
                  <w:marBottom w:val="0"/>
                  <w:divBdr>
                    <w:top w:val="none" w:sz="0" w:space="0" w:color="auto"/>
                    <w:left w:val="none" w:sz="0" w:space="0" w:color="auto"/>
                    <w:bottom w:val="none" w:sz="0" w:space="0" w:color="auto"/>
                    <w:right w:val="none" w:sz="0" w:space="0" w:color="auto"/>
                  </w:divBdr>
                  <w:divsChild>
                    <w:div w:id="528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213434">
      <w:bodyDiv w:val="1"/>
      <w:marLeft w:val="0"/>
      <w:marRight w:val="0"/>
      <w:marTop w:val="0"/>
      <w:marBottom w:val="0"/>
      <w:divBdr>
        <w:top w:val="none" w:sz="0" w:space="0" w:color="auto"/>
        <w:left w:val="none" w:sz="0" w:space="0" w:color="auto"/>
        <w:bottom w:val="none" w:sz="0" w:space="0" w:color="auto"/>
        <w:right w:val="none" w:sz="0" w:space="0" w:color="auto"/>
      </w:divBdr>
    </w:div>
    <w:div w:id="1695500568">
      <w:bodyDiv w:val="1"/>
      <w:marLeft w:val="0"/>
      <w:marRight w:val="0"/>
      <w:marTop w:val="0"/>
      <w:marBottom w:val="0"/>
      <w:divBdr>
        <w:top w:val="none" w:sz="0" w:space="0" w:color="auto"/>
        <w:left w:val="none" w:sz="0" w:space="0" w:color="auto"/>
        <w:bottom w:val="none" w:sz="0" w:space="0" w:color="auto"/>
        <w:right w:val="none" w:sz="0" w:space="0" w:color="auto"/>
      </w:divBdr>
      <w:divsChild>
        <w:div w:id="1275631">
          <w:marLeft w:val="0"/>
          <w:marRight w:val="0"/>
          <w:marTop w:val="0"/>
          <w:marBottom w:val="0"/>
          <w:divBdr>
            <w:top w:val="none" w:sz="0" w:space="0" w:color="auto"/>
            <w:left w:val="none" w:sz="0" w:space="0" w:color="auto"/>
            <w:bottom w:val="none" w:sz="0" w:space="0" w:color="auto"/>
            <w:right w:val="none" w:sz="0" w:space="0" w:color="auto"/>
          </w:divBdr>
          <w:divsChild>
            <w:div w:id="42991939">
              <w:marLeft w:val="0"/>
              <w:marRight w:val="0"/>
              <w:marTop w:val="0"/>
              <w:marBottom w:val="0"/>
              <w:divBdr>
                <w:top w:val="none" w:sz="0" w:space="0" w:color="auto"/>
                <w:left w:val="none" w:sz="0" w:space="0" w:color="auto"/>
                <w:bottom w:val="none" w:sz="0" w:space="0" w:color="auto"/>
                <w:right w:val="none" w:sz="0" w:space="0" w:color="auto"/>
              </w:divBdr>
              <w:divsChild>
                <w:div w:id="776565611">
                  <w:marLeft w:val="0"/>
                  <w:marRight w:val="0"/>
                  <w:marTop w:val="0"/>
                  <w:marBottom w:val="0"/>
                  <w:divBdr>
                    <w:top w:val="none" w:sz="0" w:space="0" w:color="auto"/>
                    <w:left w:val="none" w:sz="0" w:space="0" w:color="auto"/>
                    <w:bottom w:val="none" w:sz="0" w:space="0" w:color="auto"/>
                    <w:right w:val="none" w:sz="0" w:space="0" w:color="auto"/>
                  </w:divBdr>
                  <w:divsChild>
                    <w:div w:id="4126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54911">
      <w:bodyDiv w:val="1"/>
      <w:marLeft w:val="0"/>
      <w:marRight w:val="0"/>
      <w:marTop w:val="0"/>
      <w:marBottom w:val="0"/>
      <w:divBdr>
        <w:top w:val="none" w:sz="0" w:space="0" w:color="auto"/>
        <w:left w:val="none" w:sz="0" w:space="0" w:color="auto"/>
        <w:bottom w:val="none" w:sz="0" w:space="0" w:color="auto"/>
        <w:right w:val="none" w:sz="0" w:space="0" w:color="auto"/>
      </w:divBdr>
    </w:div>
    <w:div w:id="1927570777">
      <w:bodyDiv w:val="1"/>
      <w:marLeft w:val="0"/>
      <w:marRight w:val="0"/>
      <w:marTop w:val="0"/>
      <w:marBottom w:val="0"/>
      <w:divBdr>
        <w:top w:val="none" w:sz="0" w:space="0" w:color="auto"/>
        <w:left w:val="none" w:sz="0" w:space="0" w:color="auto"/>
        <w:bottom w:val="none" w:sz="0" w:space="0" w:color="auto"/>
        <w:right w:val="none" w:sz="0" w:space="0" w:color="auto"/>
      </w:divBdr>
    </w:div>
    <w:div w:id="1955818245">
      <w:bodyDiv w:val="1"/>
      <w:marLeft w:val="0"/>
      <w:marRight w:val="0"/>
      <w:marTop w:val="0"/>
      <w:marBottom w:val="0"/>
      <w:divBdr>
        <w:top w:val="none" w:sz="0" w:space="0" w:color="auto"/>
        <w:left w:val="none" w:sz="0" w:space="0" w:color="auto"/>
        <w:bottom w:val="none" w:sz="0" w:space="0" w:color="auto"/>
        <w:right w:val="none" w:sz="0" w:space="0" w:color="auto"/>
      </w:divBdr>
    </w:div>
    <w:div w:id="1971281399">
      <w:bodyDiv w:val="1"/>
      <w:marLeft w:val="0"/>
      <w:marRight w:val="0"/>
      <w:marTop w:val="0"/>
      <w:marBottom w:val="0"/>
      <w:divBdr>
        <w:top w:val="none" w:sz="0" w:space="0" w:color="auto"/>
        <w:left w:val="none" w:sz="0" w:space="0" w:color="auto"/>
        <w:bottom w:val="none" w:sz="0" w:space="0" w:color="auto"/>
        <w:right w:val="none" w:sz="0" w:space="0" w:color="auto"/>
      </w:divBdr>
    </w:div>
    <w:div w:id="1977563242">
      <w:bodyDiv w:val="1"/>
      <w:marLeft w:val="0"/>
      <w:marRight w:val="0"/>
      <w:marTop w:val="0"/>
      <w:marBottom w:val="0"/>
      <w:divBdr>
        <w:top w:val="none" w:sz="0" w:space="0" w:color="auto"/>
        <w:left w:val="none" w:sz="0" w:space="0" w:color="auto"/>
        <w:bottom w:val="none" w:sz="0" w:space="0" w:color="auto"/>
        <w:right w:val="none" w:sz="0" w:space="0" w:color="auto"/>
      </w:divBdr>
    </w:div>
    <w:div w:id="2011103271">
      <w:bodyDiv w:val="1"/>
      <w:marLeft w:val="0"/>
      <w:marRight w:val="0"/>
      <w:marTop w:val="0"/>
      <w:marBottom w:val="0"/>
      <w:divBdr>
        <w:top w:val="none" w:sz="0" w:space="0" w:color="auto"/>
        <w:left w:val="none" w:sz="0" w:space="0" w:color="auto"/>
        <w:bottom w:val="none" w:sz="0" w:space="0" w:color="auto"/>
        <w:right w:val="none" w:sz="0" w:space="0" w:color="auto"/>
      </w:divBdr>
      <w:divsChild>
        <w:div w:id="1533961736">
          <w:marLeft w:val="0"/>
          <w:marRight w:val="0"/>
          <w:marTop w:val="0"/>
          <w:marBottom w:val="0"/>
          <w:divBdr>
            <w:top w:val="none" w:sz="0" w:space="0" w:color="auto"/>
            <w:left w:val="none" w:sz="0" w:space="0" w:color="auto"/>
            <w:bottom w:val="none" w:sz="0" w:space="0" w:color="auto"/>
            <w:right w:val="none" w:sz="0" w:space="0" w:color="auto"/>
          </w:divBdr>
          <w:divsChild>
            <w:div w:id="1390418965">
              <w:marLeft w:val="0"/>
              <w:marRight w:val="0"/>
              <w:marTop w:val="0"/>
              <w:marBottom w:val="0"/>
              <w:divBdr>
                <w:top w:val="none" w:sz="0" w:space="0" w:color="auto"/>
                <w:left w:val="none" w:sz="0" w:space="0" w:color="auto"/>
                <w:bottom w:val="none" w:sz="0" w:space="0" w:color="auto"/>
                <w:right w:val="none" w:sz="0" w:space="0" w:color="auto"/>
              </w:divBdr>
              <w:divsChild>
                <w:div w:id="1340350688">
                  <w:marLeft w:val="0"/>
                  <w:marRight w:val="0"/>
                  <w:marTop w:val="0"/>
                  <w:marBottom w:val="0"/>
                  <w:divBdr>
                    <w:top w:val="none" w:sz="0" w:space="0" w:color="auto"/>
                    <w:left w:val="none" w:sz="0" w:space="0" w:color="auto"/>
                    <w:bottom w:val="none" w:sz="0" w:space="0" w:color="auto"/>
                    <w:right w:val="none" w:sz="0" w:space="0" w:color="auto"/>
                  </w:divBdr>
                  <w:divsChild>
                    <w:div w:id="17748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04599">
      <w:bodyDiv w:val="1"/>
      <w:marLeft w:val="0"/>
      <w:marRight w:val="0"/>
      <w:marTop w:val="0"/>
      <w:marBottom w:val="0"/>
      <w:divBdr>
        <w:top w:val="none" w:sz="0" w:space="0" w:color="auto"/>
        <w:left w:val="none" w:sz="0" w:space="0" w:color="auto"/>
        <w:bottom w:val="none" w:sz="0" w:space="0" w:color="auto"/>
        <w:right w:val="none" w:sz="0" w:space="0" w:color="auto"/>
      </w:divBdr>
    </w:div>
    <w:div w:id="2121488423">
      <w:bodyDiv w:val="1"/>
      <w:marLeft w:val="0"/>
      <w:marRight w:val="0"/>
      <w:marTop w:val="0"/>
      <w:marBottom w:val="0"/>
      <w:divBdr>
        <w:top w:val="none" w:sz="0" w:space="0" w:color="auto"/>
        <w:left w:val="none" w:sz="0" w:space="0" w:color="auto"/>
        <w:bottom w:val="none" w:sz="0" w:space="0" w:color="auto"/>
        <w:right w:val="none" w:sz="0" w:space="0" w:color="auto"/>
      </w:divBdr>
    </w:div>
    <w:div w:id="2131892408">
      <w:bodyDiv w:val="1"/>
      <w:marLeft w:val="0"/>
      <w:marRight w:val="0"/>
      <w:marTop w:val="0"/>
      <w:marBottom w:val="0"/>
      <w:divBdr>
        <w:top w:val="none" w:sz="0" w:space="0" w:color="auto"/>
        <w:left w:val="none" w:sz="0" w:space="0" w:color="auto"/>
        <w:bottom w:val="none" w:sz="0" w:space="0" w:color="auto"/>
        <w:right w:val="none" w:sz="0" w:space="0" w:color="auto"/>
      </w:divBdr>
      <w:divsChild>
        <w:div w:id="326830257">
          <w:marLeft w:val="0"/>
          <w:marRight w:val="0"/>
          <w:marTop w:val="0"/>
          <w:marBottom w:val="0"/>
          <w:divBdr>
            <w:top w:val="none" w:sz="0" w:space="0" w:color="auto"/>
            <w:left w:val="none" w:sz="0" w:space="0" w:color="auto"/>
            <w:bottom w:val="none" w:sz="0" w:space="0" w:color="auto"/>
            <w:right w:val="none" w:sz="0" w:space="0" w:color="auto"/>
          </w:divBdr>
          <w:divsChild>
            <w:div w:id="1744790976">
              <w:marLeft w:val="0"/>
              <w:marRight w:val="0"/>
              <w:marTop w:val="0"/>
              <w:marBottom w:val="0"/>
              <w:divBdr>
                <w:top w:val="none" w:sz="0" w:space="0" w:color="auto"/>
                <w:left w:val="none" w:sz="0" w:space="0" w:color="auto"/>
                <w:bottom w:val="none" w:sz="0" w:space="0" w:color="auto"/>
                <w:right w:val="none" w:sz="0" w:space="0" w:color="auto"/>
              </w:divBdr>
              <w:divsChild>
                <w:div w:id="2013558011">
                  <w:marLeft w:val="0"/>
                  <w:marRight w:val="0"/>
                  <w:marTop w:val="0"/>
                  <w:marBottom w:val="0"/>
                  <w:divBdr>
                    <w:top w:val="none" w:sz="0" w:space="0" w:color="auto"/>
                    <w:left w:val="none" w:sz="0" w:space="0" w:color="auto"/>
                    <w:bottom w:val="none" w:sz="0" w:space="0" w:color="auto"/>
                    <w:right w:val="none" w:sz="0" w:space="0" w:color="auto"/>
                  </w:divBdr>
                  <w:divsChild>
                    <w:div w:id="17286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colombiacompra.gov.co/sites/default/files/manuales/20140901_manual_requisitos_habilitantes_4_web.pdf" TargetMode="External"/><Relationship Id="rId1" Type="http://schemas.openxmlformats.org/officeDocument/2006/relationships/hyperlink" Target="https://www.colombiacompra.gov.co/sites/cce_public/files/cce_documents/cce_manual_requisitos_habilitant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10ED3-8C9B-4148-98AD-ADC6328AC9E8}">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E2D6241-B2E4-4F29-AF15-36E0C3F9D4CD}">
  <ds:schemaRefs>
    <ds:schemaRef ds:uri="http://schemas.microsoft.com/sharepoint/v3/contenttype/forms"/>
  </ds:schemaRefs>
</ds:datastoreItem>
</file>

<file path=customXml/itemProps3.xml><?xml version="1.0" encoding="utf-8"?>
<ds:datastoreItem xmlns:ds="http://schemas.openxmlformats.org/officeDocument/2006/customXml" ds:itemID="{5B2C6863-819D-4FE2-8C3F-BDD2A9298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AC9CE9-65A9-3F49-9AA9-32B62A240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6683</Words>
  <Characters>36760</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Ramírez Castañeda</dc:creator>
  <cp:keywords/>
  <dc:description/>
  <cp:lastModifiedBy>Martin Rojas Mejia</cp:lastModifiedBy>
  <cp:revision>4</cp:revision>
  <cp:lastPrinted>2020-10-23T22:20:00Z</cp:lastPrinted>
  <dcterms:created xsi:type="dcterms:W3CDTF">2022-04-13T15:36:00Z</dcterms:created>
  <dcterms:modified xsi:type="dcterms:W3CDTF">2022-05-04T20:10:00Z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