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77AE6" w:rsidRDefault="00B55C69" w:rsidP="008536BB">
      <w:pPr>
        <w:jc w:val="right"/>
        <w:rPr>
          <w:rFonts w:ascii="Arial" w:eastAsia="Calibri" w:hAnsi="Arial" w:cs="Arial"/>
          <w:b/>
          <w:sz w:val="20"/>
          <w:szCs w:val="20"/>
          <w:lang w:val="es-ES_tradnl"/>
        </w:rPr>
      </w:pPr>
      <w:bookmarkStart w:id="0" w:name="_Hlk28946138"/>
      <w:bookmarkStart w:id="1" w:name="_Hlk29548183"/>
      <w:r w:rsidRPr="00577AE6">
        <w:rPr>
          <w:rFonts w:ascii="Arial" w:hAnsi="Arial" w:cs="Arial"/>
          <w:bCs/>
          <w:sz w:val="16"/>
          <w:szCs w:val="16"/>
          <w:lang w:val="es-ES_tradnl" w:eastAsia="es-ES"/>
        </w:rPr>
        <w:t>CCE-DES-FM-17</w:t>
      </w:r>
      <w:bookmarkEnd w:id="0"/>
      <w:bookmarkEnd w:id="1"/>
    </w:p>
    <w:p w14:paraId="6A654097" w14:textId="523CAACE" w:rsidR="00C978D4" w:rsidRPr="00577AE6" w:rsidRDefault="00272945" w:rsidP="00C978D4">
      <w:pPr>
        <w:jc w:val="both"/>
        <w:rPr>
          <w:rFonts w:ascii="Arial" w:eastAsia="Calibri" w:hAnsi="Arial" w:cs="Arial"/>
          <w:b/>
          <w:sz w:val="22"/>
          <w:lang w:val="es-ES_tradnl"/>
        </w:rPr>
      </w:pPr>
      <w:r w:rsidRPr="00577AE6">
        <w:rPr>
          <w:rFonts w:ascii="Arial" w:eastAsia="Calibri" w:hAnsi="Arial" w:cs="Arial"/>
          <w:b/>
          <w:sz w:val="22"/>
          <w:lang w:val="es-ES_tradnl"/>
        </w:rPr>
        <w:t>SELECCIÓN OBJETIVA</w:t>
      </w:r>
      <w:r w:rsidR="00C978D4" w:rsidRPr="00577AE6">
        <w:rPr>
          <w:rFonts w:ascii="Arial" w:eastAsia="Calibri" w:hAnsi="Arial" w:cs="Arial"/>
          <w:b/>
          <w:sz w:val="22"/>
          <w:lang w:val="es-ES_tradnl"/>
        </w:rPr>
        <w:t xml:space="preserve"> – </w:t>
      </w:r>
      <w:r w:rsidR="00003D39" w:rsidRPr="00577AE6">
        <w:rPr>
          <w:rFonts w:ascii="Arial" w:eastAsia="Calibri" w:hAnsi="Arial" w:cs="Arial"/>
          <w:b/>
          <w:sz w:val="22"/>
          <w:lang w:val="es-ES_tradnl"/>
        </w:rPr>
        <w:t>Contratación estatal</w:t>
      </w:r>
      <w:r w:rsidR="00616D7F" w:rsidRPr="00577AE6">
        <w:rPr>
          <w:rFonts w:ascii="Arial" w:eastAsia="Calibri" w:hAnsi="Arial" w:cs="Arial"/>
          <w:b/>
          <w:sz w:val="22"/>
          <w:lang w:val="es-ES_tradnl"/>
        </w:rPr>
        <w:t xml:space="preserve"> </w:t>
      </w:r>
      <w:r w:rsidR="00C978D4" w:rsidRPr="00577AE6">
        <w:rPr>
          <w:rFonts w:ascii="Arial" w:eastAsia="Calibri" w:hAnsi="Arial" w:cs="Arial"/>
          <w:b/>
          <w:sz w:val="22"/>
          <w:lang w:val="es-ES_tradnl"/>
        </w:rPr>
        <w:t xml:space="preserve">– </w:t>
      </w:r>
      <w:r w:rsidRPr="00577AE6">
        <w:rPr>
          <w:rFonts w:ascii="Arial" w:eastAsia="Calibri" w:hAnsi="Arial" w:cs="Arial"/>
          <w:b/>
          <w:sz w:val="22"/>
          <w:lang w:val="es-ES_tradnl"/>
        </w:rPr>
        <w:t>Concepto</w:t>
      </w:r>
    </w:p>
    <w:p w14:paraId="4AAB8DDD" w14:textId="537B898C" w:rsidR="00C978D4" w:rsidRPr="00577AE6" w:rsidRDefault="00C978D4" w:rsidP="0099531F">
      <w:pPr>
        <w:jc w:val="both"/>
        <w:rPr>
          <w:rFonts w:ascii="Arial" w:eastAsia="Calibri" w:hAnsi="Arial" w:cs="Arial"/>
          <w:b/>
          <w:sz w:val="22"/>
          <w:lang w:val="es-ES_tradnl"/>
        </w:rPr>
      </w:pPr>
    </w:p>
    <w:p w14:paraId="33E10CCB" w14:textId="24027DD7" w:rsidR="00636F88" w:rsidRPr="00577AE6" w:rsidRDefault="00AF6DEC" w:rsidP="0099531F">
      <w:pPr>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77AE6">
        <w:rPr>
          <w:rFonts w:ascii="Arial" w:eastAsia="Calibri" w:hAnsi="Arial" w:cs="Arial"/>
          <w:sz w:val="20"/>
          <w:szCs w:val="20"/>
          <w:lang w:val="es-ES_tradnl"/>
        </w:rPr>
        <w:t>equivalentes,</w:t>
      </w:r>
      <w:proofErr w:type="gramEnd"/>
      <w:r w:rsidRPr="00577AE6">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577AE6" w:rsidRDefault="00AF6DEC" w:rsidP="0099531F">
      <w:pPr>
        <w:jc w:val="both"/>
        <w:rPr>
          <w:rFonts w:ascii="Arial" w:eastAsia="Calibri" w:hAnsi="Arial" w:cs="Arial"/>
          <w:b/>
          <w:sz w:val="22"/>
          <w:lang w:val="es-ES_tradnl"/>
        </w:rPr>
      </w:pPr>
    </w:p>
    <w:p w14:paraId="73365DCF" w14:textId="63E2A713" w:rsidR="00272945" w:rsidRPr="00577AE6" w:rsidRDefault="00B54215" w:rsidP="00272945">
      <w:pPr>
        <w:jc w:val="both"/>
        <w:rPr>
          <w:rFonts w:ascii="Arial" w:eastAsia="Calibri" w:hAnsi="Arial" w:cs="Arial"/>
          <w:b/>
          <w:sz w:val="22"/>
          <w:lang w:val="es-ES_tradnl"/>
        </w:rPr>
      </w:pPr>
      <w:r w:rsidRPr="00577AE6">
        <w:rPr>
          <w:rFonts w:ascii="Arial" w:eastAsia="Calibri" w:hAnsi="Arial" w:cs="Arial"/>
          <w:b/>
          <w:sz w:val="22"/>
          <w:lang w:val="es-ES_tradnl"/>
        </w:rPr>
        <w:t>EMPATE</w:t>
      </w:r>
      <w:r w:rsidR="00272945" w:rsidRPr="00577AE6">
        <w:rPr>
          <w:rFonts w:ascii="Arial" w:eastAsia="Calibri" w:hAnsi="Arial" w:cs="Arial"/>
          <w:b/>
          <w:sz w:val="22"/>
          <w:lang w:val="es-ES_tradnl"/>
        </w:rPr>
        <w:t xml:space="preserve"> – </w:t>
      </w:r>
      <w:r w:rsidRPr="00577AE6">
        <w:rPr>
          <w:rFonts w:ascii="Arial" w:eastAsia="Calibri" w:hAnsi="Arial" w:cs="Arial"/>
          <w:b/>
          <w:sz w:val="22"/>
          <w:lang w:val="es-ES_tradnl"/>
        </w:rPr>
        <w:t>Procedimiento de selección</w:t>
      </w:r>
      <w:r w:rsidR="00272945" w:rsidRPr="00577AE6">
        <w:rPr>
          <w:rFonts w:ascii="Arial" w:eastAsia="Calibri" w:hAnsi="Arial" w:cs="Arial"/>
          <w:b/>
          <w:sz w:val="22"/>
          <w:lang w:val="es-ES_tradnl"/>
        </w:rPr>
        <w:t xml:space="preserve"> – Concepto</w:t>
      </w:r>
    </w:p>
    <w:p w14:paraId="182F8CB9" w14:textId="246E5B50" w:rsidR="00272945" w:rsidRPr="00577AE6" w:rsidRDefault="00272945" w:rsidP="0099531F">
      <w:pPr>
        <w:jc w:val="both"/>
        <w:rPr>
          <w:rFonts w:ascii="Arial" w:eastAsia="Calibri" w:hAnsi="Arial" w:cs="Arial"/>
          <w:b/>
          <w:sz w:val="22"/>
          <w:lang w:val="es-ES_tradnl"/>
        </w:rPr>
      </w:pPr>
    </w:p>
    <w:p w14:paraId="29DD8E0A" w14:textId="042C4C7A" w:rsidR="006F71F5" w:rsidRPr="00577AE6" w:rsidRDefault="005C6D19" w:rsidP="005C6D19">
      <w:pPr>
        <w:jc w:val="both"/>
        <w:rPr>
          <w:rFonts w:ascii="Arial" w:hAnsi="Arial" w:cs="Arial"/>
          <w:noProof/>
          <w:sz w:val="22"/>
          <w:lang w:val="es-ES_tradnl"/>
        </w:rPr>
      </w:pPr>
      <w:r w:rsidRPr="00577AE6">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577AE6" w:rsidRDefault="005C6D19" w:rsidP="00DF71EA">
      <w:pPr>
        <w:jc w:val="both"/>
        <w:rPr>
          <w:rFonts w:ascii="Arial" w:eastAsia="Calibri" w:hAnsi="Arial" w:cs="Arial"/>
          <w:b/>
          <w:sz w:val="22"/>
          <w:lang w:val="es-ES_tradnl"/>
        </w:rPr>
      </w:pPr>
    </w:p>
    <w:p w14:paraId="04086EC5" w14:textId="5C2FA739" w:rsidR="00DF71EA" w:rsidRPr="00577AE6" w:rsidRDefault="00D73881" w:rsidP="00DF71EA">
      <w:pPr>
        <w:jc w:val="both"/>
        <w:rPr>
          <w:rFonts w:ascii="Arial" w:eastAsia="Calibri" w:hAnsi="Arial" w:cs="Arial"/>
          <w:b/>
          <w:sz w:val="22"/>
          <w:lang w:val="es-ES_tradnl"/>
        </w:rPr>
      </w:pPr>
      <w:r w:rsidRPr="00577AE6">
        <w:rPr>
          <w:rFonts w:ascii="Arial" w:eastAsia="Calibri" w:hAnsi="Arial" w:cs="Arial"/>
          <w:b/>
          <w:sz w:val="22"/>
          <w:lang w:val="es-ES_tradnl"/>
        </w:rPr>
        <w:t>FACTORES DE DESEMPATE</w:t>
      </w:r>
      <w:r w:rsidR="00DF71EA" w:rsidRPr="00577AE6">
        <w:rPr>
          <w:rFonts w:ascii="Arial" w:eastAsia="Calibri" w:hAnsi="Arial" w:cs="Arial"/>
          <w:b/>
          <w:sz w:val="22"/>
          <w:lang w:val="es-ES_tradnl"/>
        </w:rPr>
        <w:t xml:space="preserve"> – </w:t>
      </w:r>
      <w:r w:rsidRPr="00577AE6">
        <w:rPr>
          <w:rFonts w:ascii="Arial" w:eastAsia="Calibri" w:hAnsi="Arial" w:cs="Arial"/>
          <w:b/>
          <w:sz w:val="22"/>
          <w:lang w:val="es-ES_tradnl"/>
        </w:rPr>
        <w:t>Características</w:t>
      </w:r>
      <w:r w:rsidR="00DF71EA" w:rsidRPr="00577AE6">
        <w:rPr>
          <w:rFonts w:ascii="Arial" w:eastAsia="Calibri" w:hAnsi="Arial" w:cs="Arial"/>
          <w:b/>
          <w:sz w:val="22"/>
          <w:lang w:val="es-ES_tradnl"/>
        </w:rPr>
        <w:t xml:space="preserve"> – </w:t>
      </w:r>
      <w:r w:rsidRPr="00577AE6">
        <w:rPr>
          <w:rFonts w:ascii="Arial" w:eastAsia="Calibri" w:hAnsi="Arial" w:cs="Arial"/>
          <w:b/>
          <w:sz w:val="22"/>
          <w:lang w:val="es-ES_tradnl"/>
        </w:rPr>
        <w:t>Límites</w:t>
      </w:r>
    </w:p>
    <w:p w14:paraId="583F00A4" w14:textId="390EB1EB" w:rsidR="00DF71EA" w:rsidRPr="00577AE6" w:rsidRDefault="00DF71EA" w:rsidP="00B95C30">
      <w:pPr>
        <w:spacing w:line="276" w:lineRule="auto"/>
        <w:jc w:val="both"/>
        <w:rPr>
          <w:rFonts w:ascii="Arial" w:hAnsi="Arial" w:cs="Arial"/>
          <w:noProof/>
          <w:sz w:val="22"/>
          <w:lang w:val="es-ES_tradnl"/>
        </w:rPr>
      </w:pPr>
    </w:p>
    <w:p w14:paraId="136CBDA3" w14:textId="169CA310" w:rsidR="005C6D19" w:rsidRPr="00577AE6" w:rsidRDefault="005C6D19" w:rsidP="00116D7E">
      <w:pPr>
        <w:spacing w:after="120"/>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577AE6">
        <w:rPr>
          <w:rFonts w:ascii="Arial" w:eastAsia="Calibri" w:hAnsi="Arial" w:cs="Arial"/>
          <w:sz w:val="20"/>
          <w:szCs w:val="20"/>
          <w:lang w:val="es-ES_tradnl"/>
        </w:rPr>
        <w:t>2069</w:t>
      </w:r>
      <w:r w:rsidRPr="00577AE6">
        <w:rPr>
          <w:rFonts w:ascii="Arial" w:eastAsia="Calibri" w:hAnsi="Arial" w:cs="Arial"/>
          <w:sz w:val="20"/>
          <w:szCs w:val="20"/>
          <w:lang w:val="es-ES_tradnl"/>
        </w:rPr>
        <w:t xml:space="preserve"> de 2020. La </w:t>
      </w:r>
      <w:r w:rsidR="000422EA" w:rsidRPr="00577AE6">
        <w:rPr>
          <w:rFonts w:ascii="Arial" w:eastAsia="Calibri" w:hAnsi="Arial" w:cs="Arial"/>
          <w:sz w:val="20"/>
          <w:szCs w:val="20"/>
          <w:lang w:val="es-ES_tradnl"/>
        </w:rPr>
        <w:t>jurisprudencia</w:t>
      </w:r>
      <w:r w:rsidRPr="00577AE6">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5204F243" w14:textId="3F3E942D" w:rsidR="00D73881" w:rsidRPr="00577AE6" w:rsidRDefault="003D3F28" w:rsidP="00D73881">
      <w:pPr>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577AE6">
        <w:rPr>
          <w:rFonts w:ascii="Arial" w:eastAsia="Calibri" w:hAnsi="Arial" w:cs="Arial"/>
          <w:sz w:val="20"/>
          <w:szCs w:val="20"/>
          <w:lang w:val="es-ES_tradnl"/>
        </w:rPr>
        <w:t>inaplicarlos</w:t>
      </w:r>
      <w:proofErr w:type="spellEnd"/>
      <w:r w:rsidRPr="00577AE6">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577AE6">
        <w:rPr>
          <w:rFonts w:ascii="Arial" w:eastAsia="Calibri" w:hAnsi="Arial" w:cs="Arial"/>
          <w:sz w:val="20"/>
          <w:szCs w:val="20"/>
          <w:lang w:val="es-ES_tradnl"/>
        </w:rPr>
        <w:t xml:space="preserve"> </w:t>
      </w:r>
    </w:p>
    <w:p w14:paraId="20087230" w14:textId="77777777" w:rsidR="00617D72" w:rsidRPr="00577AE6" w:rsidRDefault="00617D72" w:rsidP="00D73881">
      <w:pPr>
        <w:jc w:val="both"/>
        <w:rPr>
          <w:rFonts w:ascii="Arial" w:eastAsia="Calibri" w:hAnsi="Arial" w:cs="Arial"/>
          <w:b/>
          <w:sz w:val="22"/>
          <w:lang w:val="es-ES_tradnl"/>
        </w:rPr>
      </w:pPr>
    </w:p>
    <w:p w14:paraId="7144E95B" w14:textId="6179FDBF" w:rsidR="00D73881" w:rsidRPr="00577AE6" w:rsidRDefault="00D73881" w:rsidP="00D73881">
      <w:pPr>
        <w:jc w:val="both"/>
        <w:rPr>
          <w:rFonts w:ascii="Arial" w:eastAsia="Calibri" w:hAnsi="Arial" w:cs="Arial"/>
          <w:b/>
          <w:sz w:val="22"/>
          <w:lang w:val="es-ES_tradnl"/>
        </w:rPr>
      </w:pPr>
      <w:r w:rsidRPr="00577AE6">
        <w:rPr>
          <w:rFonts w:ascii="Arial" w:eastAsia="Calibri" w:hAnsi="Arial" w:cs="Arial"/>
          <w:b/>
          <w:sz w:val="22"/>
          <w:lang w:val="es-ES_tradnl"/>
        </w:rPr>
        <w:t xml:space="preserve">LEY DE EMPRENDIMIENTO – Ley </w:t>
      </w:r>
      <w:r w:rsidR="007B209C" w:rsidRPr="00577AE6">
        <w:rPr>
          <w:rFonts w:ascii="Arial" w:eastAsia="Calibri" w:hAnsi="Arial" w:cs="Arial"/>
          <w:b/>
          <w:sz w:val="22"/>
          <w:lang w:val="es-ES_tradnl"/>
        </w:rPr>
        <w:t>2069</w:t>
      </w:r>
      <w:r w:rsidRPr="00577AE6">
        <w:rPr>
          <w:rFonts w:ascii="Arial" w:eastAsia="Calibri" w:hAnsi="Arial" w:cs="Arial"/>
          <w:b/>
          <w:sz w:val="22"/>
          <w:lang w:val="es-ES_tradnl"/>
        </w:rPr>
        <w:t xml:space="preserve"> de 2020 – Vigencia </w:t>
      </w:r>
    </w:p>
    <w:p w14:paraId="0D3B8DEB" w14:textId="33C83BCF" w:rsidR="00D73881" w:rsidRPr="00577AE6" w:rsidRDefault="00D73881" w:rsidP="00D73881">
      <w:pPr>
        <w:jc w:val="both"/>
        <w:rPr>
          <w:rFonts w:ascii="Arial" w:eastAsia="Calibri" w:hAnsi="Arial" w:cs="Arial"/>
          <w:b/>
          <w:sz w:val="22"/>
          <w:lang w:val="es-ES_tradnl"/>
        </w:rPr>
      </w:pPr>
    </w:p>
    <w:p w14:paraId="186BC4E6" w14:textId="031C0A93" w:rsidR="008410B1" w:rsidRPr="00577AE6" w:rsidRDefault="008410B1" w:rsidP="00116D7E">
      <w:pPr>
        <w:spacing w:after="120"/>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El 31 de diciembre de 2020 se promulgó la Ley </w:t>
      </w:r>
      <w:r w:rsidR="007B209C" w:rsidRPr="00577AE6">
        <w:rPr>
          <w:rFonts w:ascii="Arial" w:eastAsia="Calibri" w:hAnsi="Arial" w:cs="Arial"/>
          <w:sz w:val="20"/>
          <w:szCs w:val="20"/>
          <w:lang w:val="es-ES_tradnl"/>
        </w:rPr>
        <w:t>2069</w:t>
      </w:r>
      <w:r w:rsidRPr="00577AE6">
        <w:rPr>
          <w:rFonts w:ascii="Arial" w:eastAsia="Calibri" w:hAnsi="Arial" w:cs="Arial"/>
          <w:sz w:val="20"/>
          <w:szCs w:val="20"/>
          <w:lang w:val="es-ES_tradnl"/>
        </w:rPr>
        <w:t xml:space="preserve">, «Por medio de la cual se impulsa el emprendimiento en Colombia». De acuerdo con el artículo 84 de dicho cuerpo normativo, «La </w:t>
      </w:r>
      <w:r w:rsidRPr="00577AE6">
        <w:rPr>
          <w:rFonts w:ascii="Arial" w:eastAsia="Calibri" w:hAnsi="Arial" w:cs="Arial"/>
          <w:sz w:val="20"/>
          <w:szCs w:val="20"/>
          <w:lang w:val="es-ES_tradnl"/>
        </w:rPr>
        <w:lastRenderedPageBreak/>
        <w:t>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23AB3850" w14:textId="71F6214C" w:rsidR="008410B1" w:rsidRPr="00577AE6" w:rsidRDefault="008410B1" w:rsidP="008410B1">
      <w:pPr>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77AE6">
        <w:rPr>
          <w:rFonts w:ascii="Arial" w:eastAsia="Calibri" w:hAnsi="Arial" w:cs="Arial"/>
          <w:sz w:val="20"/>
          <w:szCs w:val="20"/>
          <w:lang w:val="es-ES_tradnl"/>
        </w:rPr>
        <w:t>de acuerdo a</w:t>
      </w:r>
      <w:proofErr w:type="gramEnd"/>
      <w:r w:rsidRPr="00577AE6">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577AE6">
        <w:rPr>
          <w:rFonts w:ascii="Arial" w:eastAsia="Calibri" w:hAnsi="Arial" w:cs="Arial"/>
          <w:sz w:val="20"/>
          <w:szCs w:val="20"/>
          <w:lang w:val="es-ES_tradnl"/>
        </w:rPr>
        <w:t>mipymes</w:t>
      </w:r>
      <w:proofErr w:type="spellEnd"/>
      <w:r w:rsidRPr="00577AE6">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577AE6">
        <w:rPr>
          <w:rFonts w:ascii="Arial" w:eastAsia="Calibri" w:hAnsi="Arial" w:cs="Arial"/>
          <w:sz w:val="20"/>
          <w:szCs w:val="20"/>
          <w:lang w:val="es-ES_tradnl"/>
        </w:rPr>
        <w:t>,</w:t>
      </w:r>
      <w:r w:rsidR="00B74EF8" w:rsidRPr="00577AE6">
        <w:rPr>
          <w:rFonts w:ascii="Arial" w:eastAsia="Calibri" w:hAnsi="Arial" w:cs="Arial"/>
          <w:sz w:val="20"/>
          <w:szCs w:val="20"/>
          <w:lang w:val="es-ES_tradnl"/>
        </w:rPr>
        <w:t xml:space="preserve"> </w:t>
      </w:r>
      <w:r w:rsidRPr="00577AE6">
        <w:rPr>
          <w:rFonts w:ascii="Arial" w:eastAsia="Calibri" w:hAnsi="Arial" w:cs="Arial"/>
          <w:sz w:val="20"/>
          <w:szCs w:val="20"/>
          <w:lang w:val="es-ES_tradnl"/>
        </w:rPr>
        <w:t>y se prevén medidas de educación para el emprendimiento y la innovación.</w:t>
      </w:r>
    </w:p>
    <w:p w14:paraId="7B24A529" w14:textId="77777777" w:rsidR="008410B1" w:rsidRPr="00577AE6" w:rsidRDefault="008410B1" w:rsidP="008410B1">
      <w:pPr>
        <w:jc w:val="both"/>
        <w:rPr>
          <w:rFonts w:ascii="Arial" w:eastAsia="Calibri" w:hAnsi="Arial" w:cs="Arial"/>
          <w:b/>
          <w:sz w:val="22"/>
          <w:lang w:val="es-ES_tradnl"/>
        </w:rPr>
      </w:pPr>
    </w:p>
    <w:p w14:paraId="5C894141" w14:textId="15F52C8C" w:rsidR="00D73881" w:rsidRPr="00577AE6" w:rsidRDefault="00D73881" w:rsidP="00D73881">
      <w:pPr>
        <w:jc w:val="both"/>
        <w:rPr>
          <w:rFonts w:ascii="Arial" w:eastAsia="Calibri" w:hAnsi="Arial" w:cs="Arial"/>
          <w:b/>
          <w:sz w:val="22"/>
          <w:lang w:val="es-ES_tradnl"/>
        </w:rPr>
      </w:pPr>
      <w:r w:rsidRPr="00577AE6">
        <w:rPr>
          <w:rFonts w:ascii="Arial" w:eastAsia="Calibri" w:hAnsi="Arial" w:cs="Arial"/>
          <w:b/>
          <w:sz w:val="22"/>
          <w:lang w:val="es-ES_tradnl"/>
        </w:rPr>
        <w:t xml:space="preserve">FACTORES DE DESEMPATE – Ley </w:t>
      </w:r>
      <w:r w:rsidR="007B209C" w:rsidRPr="00577AE6">
        <w:rPr>
          <w:rFonts w:ascii="Arial" w:eastAsia="Calibri" w:hAnsi="Arial" w:cs="Arial"/>
          <w:b/>
          <w:sz w:val="22"/>
          <w:lang w:val="es-ES_tradnl"/>
        </w:rPr>
        <w:t>2069</w:t>
      </w:r>
      <w:r w:rsidRPr="00577AE6">
        <w:rPr>
          <w:rFonts w:ascii="Arial" w:eastAsia="Calibri" w:hAnsi="Arial" w:cs="Arial"/>
          <w:b/>
          <w:sz w:val="22"/>
          <w:lang w:val="es-ES_tradnl"/>
        </w:rPr>
        <w:t xml:space="preserve"> – Artículo 35 – Acreditación</w:t>
      </w:r>
    </w:p>
    <w:p w14:paraId="4D9EB4C1" w14:textId="20D03020" w:rsidR="00D73881" w:rsidRPr="00577AE6" w:rsidRDefault="00D73881" w:rsidP="00B95C30">
      <w:pPr>
        <w:spacing w:line="276" w:lineRule="auto"/>
        <w:jc w:val="both"/>
        <w:rPr>
          <w:rFonts w:ascii="Arial" w:hAnsi="Arial" w:cs="Arial"/>
          <w:noProof/>
          <w:sz w:val="22"/>
          <w:lang w:val="es-ES_tradnl"/>
        </w:rPr>
      </w:pPr>
    </w:p>
    <w:p w14:paraId="53B8D6C5" w14:textId="39A29CC1" w:rsidR="00652F29" w:rsidRPr="00577AE6" w:rsidRDefault="00160C01" w:rsidP="003C5E8A">
      <w:pPr>
        <w:jc w:val="both"/>
        <w:rPr>
          <w:rFonts w:ascii="Arial" w:eastAsia="Calibri" w:hAnsi="Arial" w:cs="Arial"/>
          <w:sz w:val="20"/>
          <w:szCs w:val="20"/>
          <w:lang w:val="es-ES_tradnl"/>
        </w:rPr>
      </w:pPr>
      <w:r w:rsidRPr="00577AE6">
        <w:rPr>
          <w:rFonts w:ascii="Arial" w:eastAsia="Calibri" w:hAnsi="Arial" w:cs="Arial"/>
          <w:sz w:val="20"/>
          <w:szCs w:val="20"/>
          <w:lang w:val="es-ES_tradnl"/>
        </w:rPr>
        <w:t>[…]</w:t>
      </w:r>
      <w:r w:rsidR="00B02F7C" w:rsidRPr="00577AE6">
        <w:rPr>
          <w:rFonts w:ascii="Arial" w:eastAsia="Calibri" w:hAnsi="Arial" w:cs="Arial"/>
          <w:sz w:val="20"/>
          <w:szCs w:val="20"/>
          <w:lang w:val="es-ES_tradnl"/>
        </w:rPr>
        <w:t xml:space="preserve">,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sidRPr="00577AE6">
        <w:rPr>
          <w:rFonts w:ascii="Arial" w:eastAsia="Calibri" w:hAnsi="Arial" w:cs="Arial"/>
          <w:sz w:val="20"/>
          <w:szCs w:val="20"/>
          <w:lang w:val="es-ES_tradnl"/>
        </w:rPr>
        <w:t>2069</w:t>
      </w:r>
      <w:r w:rsidR="00B02F7C" w:rsidRPr="00577AE6">
        <w:rPr>
          <w:rFonts w:ascii="Arial" w:eastAsia="Calibri" w:hAnsi="Arial"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03ABB5E6" w14:textId="2C35937A" w:rsidR="00E97079" w:rsidRPr="00577AE6" w:rsidRDefault="00E97079" w:rsidP="003C5E8A">
      <w:pPr>
        <w:jc w:val="both"/>
        <w:rPr>
          <w:rFonts w:ascii="Arial" w:eastAsia="Calibri" w:hAnsi="Arial" w:cs="Arial"/>
          <w:sz w:val="20"/>
          <w:szCs w:val="20"/>
          <w:lang w:val="es-ES_tradnl"/>
        </w:rPr>
      </w:pPr>
    </w:p>
    <w:p w14:paraId="1E676CFD" w14:textId="7FA7EF3D" w:rsidR="00477663" w:rsidRPr="00577AE6" w:rsidRDefault="00477663" w:rsidP="003C5E8A">
      <w:pPr>
        <w:jc w:val="both"/>
        <w:rPr>
          <w:rFonts w:ascii="Arial" w:eastAsia="Calibri" w:hAnsi="Arial" w:cs="Arial"/>
          <w:sz w:val="20"/>
          <w:szCs w:val="20"/>
          <w:lang w:val="es-ES_tradnl"/>
        </w:rPr>
      </w:pPr>
      <w:r w:rsidRPr="00577AE6">
        <w:rPr>
          <w:rFonts w:ascii="Arial" w:eastAsia="Calibri" w:hAnsi="Arial" w:cs="Arial"/>
          <w:b/>
          <w:sz w:val="22"/>
          <w:lang w:val="es-ES_tradnl"/>
        </w:rPr>
        <w:t xml:space="preserve">FACTORES DE DESEMPATE – Ley 2069 – Artículo 35 – Numeral 4 – Adulto mayor – Pensión – Requisito de edad </w:t>
      </w:r>
    </w:p>
    <w:p w14:paraId="508DFC2D" w14:textId="72102529" w:rsidR="00477663" w:rsidRPr="00577AE6" w:rsidRDefault="00477663" w:rsidP="003C5E8A">
      <w:pPr>
        <w:jc w:val="both"/>
        <w:rPr>
          <w:rFonts w:ascii="Arial" w:eastAsia="Calibri" w:hAnsi="Arial" w:cs="Arial"/>
          <w:sz w:val="20"/>
          <w:szCs w:val="20"/>
          <w:lang w:val="es-ES_tradnl"/>
        </w:rPr>
      </w:pPr>
    </w:p>
    <w:p w14:paraId="3E87A431" w14:textId="6891FFD4" w:rsidR="00477663" w:rsidRPr="00577AE6" w:rsidRDefault="00477663" w:rsidP="006B1E71">
      <w:pPr>
        <w:spacing w:after="120"/>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w:t>
      </w:r>
      <w:proofErr w:type="gramStart"/>
      <w:r w:rsidRPr="00577AE6">
        <w:rPr>
          <w:rFonts w:ascii="Arial" w:eastAsia="Calibri" w:hAnsi="Arial" w:cs="Arial"/>
          <w:sz w:val="20"/>
          <w:szCs w:val="20"/>
          <w:lang w:val="es-ES_tradnl"/>
        </w:rPr>
        <w:t>años de edad</w:t>
      </w:r>
      <w:proofErr w:type="gramEnd"/>
      <w:r w:rsidRPr="00577AE6">
        <w:rPr>
          <w:rFonts w:ascii="Arial" w:eastAsia="Calibri" w:hAnsi="Arial" w:cs="Arial"/>
          <w:sz w:val="20"/>
          <w:szCs w:val="20"/>
          <w:lang w:val="es-ES_tradnl"/>
        </w:rPr>
        <w:t xml:space="preserve"> o más», lo cual se puede acreditar con el documento de identidad correspondiente.</w:t>
      </w:r>
    </w:p>
    <w:p w14:paraId="74B2C26A" w14:textId="5B9D28AB" w:rsidR="00477663" w:rsidRPr="00577AE6" w:rsidRDefault="00477663" w:rsidP="006B1E71">
      <w:pPr>
        <w:spacing w:after="120"/>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No obstante, conforme a lo explicado en el Concepto 206 del 3 de mayo de 2021, también existe de la posibilidad de entender que esta causal aplica a todas las personas que –en el rango de edad correspondiente a cada género– no han alcanzado la pensión, interpretación que – sin perjuicio de lo que defina el reglamento– está </w:t>
      </w:r>
      <w:r w:rsidR="009C0759" w:rsidRPr="00577AE6">
        <w:rPr>
          <w:rFonts w:ascii="Arial" w:eastAsia="Calibri" w:hAnsi="Arial" w:cs="Arial"/>
          <w:sz w:val="20"/>
          <w:szCs w:val="20"/>
          <w:lang w:val="es-ES_tradnl"/>
        </w:rPr>
        <w:t>más</w:t>
      </w:r>
      <w:r w:rsidRPr="00577AE6">
        <w:rPr>
          <w:rFonts w:ascii="Arial" w:eastAsia="Calibri" w:hAnsi="Arial" w:cs="Arial"/>
          <w:sz w:val="20"/>
          <w:szCs w:val="20"/>
          <w:lang w:val="es-ES_tradnl"/>
        </w:rPr>
        <w:t xml:space="preserve"> ajustada al principio de favorabilidad. A efectos de aplicar esta interpretación, es determinante la remisión realizada en la norma al «[…] requisito de edad de pensión establecido en la Ley», el cual, en el régimen pensional de la Ley 100 de 1993, está determinado por los artículos 33 y 36. El primero de estos artículos señala como requisitos, la edad </w:t>
      </w:r>
      <w:r w:rsidRPr="00577AE6">
        <w:rPr>
          <w:rFonts w:ascii="Arial" w:eastAsia="Calibri" w:hAnsi="Arial" w:cs="Arial"/>
          <w:sz w:val="20"/>
          <w:szCs w:val="20"/>
          <w:lang w:val="es-ES_tradnl"/>
        </w:rPr>
        <w:lastRenderedPageBreak/>
        <w:t xml:space="preserve">de cincuenta (55) años en el caso de las mujeres y sesenta (60) años para los hombres, sin embargo, en virtud de lo dispuesto en el primer inciso del 36 indica que tales requisitos han sido incrementados en dos (2) años, correspondiendo a la fecha las edades de cincuenta y siete (57) y sesenta y dos (62) años, respectivamente.  </w:t>
      </w:r>
    </w:p>
    <w:p w14:paraId="706E80E4" w14:textId="372E0DCD" w:rsidR="00477663" w:rsidRPr="00577AE6" w:rsidRDefault="00477663" w:rsidP="00477663">
      <w:pPr>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Al respecto también es relevante el inciso segundo del artículo 36 que establece un régimen de transición para las mujeres y hombres que, a la fecha de la </w:t>
      </w:r>
      <w:proofErr w:type="gramStart"/>
      <w:r w:rsidRPr="00577AE6">
        <w:rPr>
          <w:rFonts w:ascii="Arial" w:eastAsia="Calibri" w:hAnsi="Arial" w:cs="Arial"/>
          <w:sz w:val="20"/>
          <w:szCs w:val="20"/>
          <w:lang w:val="es-ES_tradnl"/>
        </w:rPr>
        <w:t>entrada en vigencia</w:t>
      </w:r>
      <w:proofErr w:type="gramEnd"/>
      <w:r w:rsidRPr="00577AE6">
        <w:rPr>
          <w:rFonts w:ascii="Arial" w:eastAsia="Calibri" w:hAnsi="Arial" w:cs="Arial"/>
          <w:sz w:val="20"/>
          <w:szCs w:val="20"/>
          <w:lang w:val="es-ES_tradnl"/>
        </w:rPr>
        <w:t xml:space="preserve"> de la Ley 100 de 1993, hubiesen cumplido treinta y cinco (35) y cuarenta (40) años, respectivamente, y a quienes hubieran cotizado quince (15) años o más a dicha fecha. La   edad de pensión de las personas beneficiarias de este régimen de transición, por expresa disposición del mencionado inciso «[…]será la establecida en el régimen anterior al cual se encuentren afiliados», lo cual debe tenerse en cuenta al aplicar el factor de desempate del artículo 35.4. Esto significa que, el requisito de edad de pensión de vejez al que se refiere este último artículo, debe ser determinado a partir del requisito de edad aplicable a los sujetos vinculados a la planta de personal del proponente en función de los cuales se opta al factor de desempate, el cual, en principio, son las edades de cincuenta y siete (57) y sesenta y dos (62) años para mujeres y hombres, respectivamente, sin perjuicio de que se apliquen edades diferentes a personas beneficiarias del régimen de transición al que hace referencia el inciso segundo del artículo 36 de la Ley 100 de 1993.</w:t>
      </w:r>
    </w:p>
    <w:p w14:paraId="2B193C93" w14:textId="77777777" w:rsidR="00477663" w:rsidRPr="00577AE6" w:rsidRDefault="00477663" w:rsidP="003C5E8A">
      <w:pPr>
        <w:jc w:val="both"/>
        <w:rPr>
          <w:rFonts w:ascii="Arial" w:eastAsia="Calibri" w:hAnsi="Arial" w:cs="Arial"/>
          <w:sz w:val="20"/>
          <w:szCs w:val="20"/>
          <w:lang w:val="es-ES_tradnl"/>
        </w:rPr>
      </w:pPr>
    </w:p>
    <w:p w14:paraId="2DB9D86F" w14:textId="453A34A5" w:rsidR="00E97079" w:rsidRPr="00577AE6" w:rsidRDefault="00E97079" w:rsidP="003C5E8A">
      <w:pPr>
        <w:jc w:val="both"/>
        <w:rPr>
          <w:rFonts w:ascii="Arial" w:eastAsia="Calibri" w:hAnsi="Arial" w:cs="Arial"/>
          <w:sz w:val="20"/>
          <w:szCs w:val="20"/>
          <w:lang w:val="es-ES_tradnl"/>
        </w:rPr>
      </w:pPr>
      <w:r w:rsidRPr="00577AE6">
        <w:rPr>
          <w:rFonts w:ascii="Arial" w:eastAsia="Calibri" w:hAnsi="Arial" w:cs="Arial"/>
          <w:b/>
          <w:sz w:val="22"/>
          <w:lang w:val="es-ES_tradnl"/>
        </w:rPr>
        <w:t>FACTORES DE DESEMPATE – Ley 2069 – Artículo 35 – Numeral 4 –</w:t>
      </w:r>
      <w:r w:rsidR="00EB0C9B" w:rsidRPr="00577AE6">
        <w:rPr>
          <w:rFonts w:ascii="Arial" w:eastAsia="Calibri" w:hAnsi="Arial" w:cs="Arial"/>
          <w:b/>
          <w:sz w:val="22"/>
          <w:lang w:val="es-ES_tradnl"/>
        </w:rPr>
        <w:t xml:space="preserve"> Pensión </w:t>
      </w:r>
      <w:r w:rsidR="00577AE6" w:rsidRPr="00577AE6">
        <w:rPr>
          <w:rFonts w:ascii="Arial" w:eastAsia="Calibri" w:hAnsi="Arial" w:cs="Arial"/>
          <w:b/>
          <w:sz w:val="22"/>
          <w:lang w:val="es-ES_tradnl"/>
        </w:rPr>
        <w:t>– Requisito</w:t>
      </w:r>
      <w:r w:rsidR="00EB0C9B" w:rsidRPr="00577AE6">
        <w:rPr>
          <w:rFonts w:ascii="Arial" w:eastAsia="Calibri" w:hAnsi="Arial" w:cs="Arial"/>
          <w:b/>
          <w:sz w:val="22"/>
          <w:lang w:val="es-ES_tradnl"/>
        </w:rPr>
        <w:t xml:space="preserve"> de edad – </w:t>
      </w:r>
      <w:proofErr w:type="spellStart"/>
      <w:r w:rsidR="00EB0C9B" w:rsidRPr="00577AE6">
        <w:rPr>
          <w:rFonts w:ascii="Arial" w:eastAsia="Calibri" w:hAnsi="Arial" w:cs="Arial"/>
          <w:b/>
          <w:sz w:val="22"/>
          <w:lang w:val="es-ES_tradnl"/>
        </w:rPr>
        <w:t>Prepensionados</w:t>
      </w:r>
      <w:proofErr w:type="spellEnd"/>
    </w:p>
    <w:p w14:paraId="62F9E844" w14:textId="28506666" w:rsidR="00E97079" w:rsidRPr="00577AE6" w:rsidRDefault="00E97079" w:rsidP="003C5E8A">
      <w:pPr>
        <w:jc w:val="both"/>
        <w:rPr>
          <w:rFonts w:ascii="Arial" w:eastAsia="Calibri" w:hAnsi="Arial" w:cs="Arial"/>
          <w:sz w:val="20"/>
          <w:szCs w:val="20"/>
          <w:lang w:val="es-ES_tradnl"/>
        </w:rPr>
      </w:pPr>
    </w:p>
    <w:p w14:paraId="004901E8" w14:textId="7CD4379A" w:rsidR="001B2505" w:rsidRPr="00577AE6" w:rsidRDefault="00577AE6" w:rsidP="006B1E71">
      <w:pPr>
        <w:spacing w:after="120"/>
        <w:jc w:val="both"/>
        <w:rPr>
          <w:rFonts w:ascii="Arial" w:hAnsi="Arial" w:cs="Arial"/>
          <w:sz w:val="20"/>
          <w:szCs w:val="20"/>
          <w:lang w:val="es-ES_tradnl"/>
        </w:rPr>
      </w:pPr>
      <w:r w:rsidRPr="00577AE6">
        <w:rPr>
          <w:rFonts w:ascii="Arial" w:hAnsi="Arial" w:cs="Arial"/>
          <w:sz w:val="20"/>
          <w:szCs w:val="20"/>
          <w:lang w:val="es-ES_tradnl"/>
        </w:rPr>
        <w:t>[P]</w:t>
      </w:r>
      <w:r w:rsidR="00477663" w:rsidRPr="00577AE6">
        <w:rPr>
          <w:rFonts w:ascii="Arial" w:hAnsi="Arial" w:cs="Arial"/>
          <w:sz w:val="20"/>
          <w:szCs w:val="20"/>
          <w:lang w:val="es-ES_tradnl"/>
        </w:rPr>
        <w:t>ara determinar la posibilidad de tener en cuenta a trabajadores con la condición de «</w:t>
      </w:r>
      <w:proofErr w:type="spellStart"/>
      <w:r w:rsidR="00477663" w:rsidRPr="00577AE6">
        <w:rPr>
          <w:rFonts w:ascii="Arial" w:hAnsi="Arial" w:cs="Arial"/>
          <w:sz w:val="20"/>
          <w:szCs w:val="20"/>
          <w:lang w:val="es-ES_tradnl"/>
        </w:rPr>
        <w:t>prepensionados</w:t>
      </w:r>
      <w:proofErr w:type="spellEnd"/>
      <w:r w:rsidR="00477663" w:rsidRPr="00577AE6">
        <w:rPr>
          <w:rFonts w:ascii="Arial" w:hAnsi="Arial" w:cs="Arial"/>
          <w:sz w:val="20"/>
          <w:szCs w:val="20"/>
          <w:lang w:val="es-ES_tradnl"/>
        </w:rPr>
        <w:t xml:space="preserve">», a efectos de aplicar el factor de desempate del artículo 35.4, es necesario detener en el supuesto de hecho de la norma y en las condiciones que determinan tal calidad. Al respecto es necesario tener en cuenta que, conforme ha manifestado la Corte Constitucional, la calidad de </w:t>
      </w:r>
      <w:proofErr w:type="spellStart"/>
      <w:r w:rsidR="00477663" w:rsidRPr="00577AE6">
        <w:rPr>
          <w:rFonts w:ascii="Arial" w:hAnsi="Arial" w:cs="Arial"/>
          <w:sz w:val="20"/>
          <w:szCs w:val="20"/>
          <w:lang w:val="es-ES_tradnl"/>
        </w:rPr>
        <w:t>prepensionado</w:t>
      </w:r>
      <w:proofErr w:type="spellEnd"/>
      <w:r w:rsidR="00477663" w:rsidRPr="00577AE6">
        <w:rPr>
          <w:rFonts w:ascii="Arial" w:hAnsi="Arial" w:cs="Arial"/>
          <w:sz w:val="20"/>
          <w:szCs w:val="20"/>
          <w:lang w:val="es-ES_tradnl"/>
        </w:rPr>
        <w:t xml:space="preserve"> se predica de quienes, por la circunstancia de estar próximos a cumplir los requisitos para acceder a una pensión, son objeto de una estabilidad laboral reforzada tendiente a garantizar su derecho a la seguridad </w:t>
      </w:r>
      <w:proofErr w:type="gramStart"/>
      <w:r w:rsidR="00477663" w:rsidRPr="00577AE6">
        <w:rPr>
          <w:rFonts w:ascii="Arial" w:hAnsi="Arial" w:cs="Arial"/>
          <w:sz w:val="20"/>
          <w:szCs w:val="20"/>
          <w:lang w:val="es-ES_tradnl"/>
        </w:rPr>
        <w:t>social .</w:t>
      </w:r>
      <w:proofErr w:type="gramEnd"/>
      <w:r w:rsidR="00477663" w:rsidRPr="00577AE6">
        <w:rPr>
          <w:rFonts w:ascii="Arial" w:hAnsi="Arial" w:cs="Arial"/>
          <w:sz w:val="20"/>
          <w:szCs w:val="20"/>
          <w:lang w:val="es-ES_tradnl"/>
        </w:rPr>
        <w:t xml:space="preserve"> En ese sentido, quien goza de la referida protección no es beneficiario de una pensión, independientemente de que esté más o menos próximo a cumplir los requisitos del caso, es decir, se trata de personas a las que no se les ha reconocido pensión, ya sea porque no han cumplido el tiempo de servicio, no han cotizado las semanas requeridas, no han acumulado el monto necesario para financiar una pensión mínima o no han alcanzado la edad requerida en el régimen al cual se encuentre inscritas. </w:t>
      </w:r>
    </w:p>
    <w:p w14:paraId="2F752DE6" w14:textId="1B03A362" w:rsidR="00E97079" w:rsidRPr="00577AE6" w:rsidRDefault="00477663" w:rsidP="00477663">
      <w:pPr>
        <w:jc w:val="both"/>
        <w:rPr>
          <w:rFonts w:ascii="Arial" w:hAnsi="Arial" w:cs="Arial"/>
          <w:sz w:val="20"/>
          <w:szCs w:val="20"/>
          <w:lang w:val="es-ES_tradnl"/>
        </w:rPr>
      </w:pPr>
      <w:r w:rsidRPr="00577AE6">
        <w:rPr>
          <w:rFonts w:ascii="Arial" w:hAnsi="Arial" w:cs="Arial"/>
          <w:sz w:val="20"/>
          <w:szCs w:val="20"/>
          <w:lang w:val="es-ES_tradnl"/>
        </w:rPr>
        <w:t xml:space="preserve">Ahora, el artículo 35.4 se refiere a «[…] personas mayores que no sean beneficiarios de la pensión de vejez, familiar o de sobrevivencia y que hayan cumplido el requisito de edad de pensión establecido en la Ley», lo que indica que lo trabajadores </w:t>
      </w:r>
      <w:proofErr w:type="spellStart"/>
      <w:r w:rsidRPr="00577AE6">
        <w:rPr>
          <w:rFonts w:ascii="Arial" w:hAnsi="Arial" w:cs="Arial"/>
          <w:sz w:val="20"/>
          <w:szCs w:val="20"/>
          <w:lang w:val="es-ES_tradnl"/>
        </w:rPr>
        <w:t>prepensionados</w:t>
      </w:r>
      <w:proofErr w:type="spellEnd"/>
      <w:r w:rsidRPr="00577AE6">
        <w:rPr>
          <w:rFonts w:ascii="Arial" w:hAnsi="Arial" w:cs="Arial"/>
          <w:sz w:val="20"/>
          <w:szCs w:val="20"/>
          <w:lang w:val="es-ES_tradnl"/>
        </w:rPr>
        <w:t xml:space="preserve"> que, si hubiesen cumplido el requisito de edad, podrían ser tenidos en cuenta a efectos de que el proponente–empleador– acredite la circunstancia en virtud de la cual aplica la regla de desempate del artículo 35.4, comoquiera que estas personas, en estricto sentido, no son beneficiarias de la pensión, al no habérseles reconocido o pagado dicha prestación. Caso contrario ocurre tratándose de </w:t>
      </w:r>
      <w:proofErr w:type="spellStart"/>
      <w:r w:rsidRPr="00577AE6">
        <w:rPr>
          <w:rFonts w:ascii="Arial" w:hAnsi="Arial" w:cs="Arial"/>
          <w:sz w:val="20"/>
          <w:szCs w:val="20"/>
          <w:lang w:val="es-ES_tradnl"/>
        </w:rPr>
        <w:t>preprensionados</w:t>
      </w:r>
      <w:proofErr w:type="spellEnd"/>
      <w:r w:rsidRPr="00577AE6">
        <w:rPr>
          <w:rFonts w:ascii="Arial" w:hAnsi="Arial" w:cs="Arial"/>
          <w:sz w:val="20"/>
          <w:szCs w:val="20"/>
          <w:lang w:val="es-ES_tradnl"/>
        </w:rPr>
        <w:t xml:space="preserve"> que hubieren cumplido todos los requisitos exigibles para el reconocimiento de la pensión salvo el de edad, quienes, a pesar de no ser beneficiarios de pensión, no son susceptibles de ser considerados para acreditar lo dispuesto en el artículo 35.4, al no haber cumplido este último requisito, lo que los ubica por fuera del supuesto de hecho de dicho factor de desempate</w:t>
      </w:r>
      <w:r w:rsidR="001B2505" w:rsidRPr="00577AE6">
        <w:rPr>
          <w:rFonts w:ascii="Arial" w:hAnsi="Arial" w:cs="Arial"/>
          <w:sz w:val="20"/>
          <w:szCs w:val="20"/>
          <w:lang w:val="es-ES_tradnl"/>
        </w:rPr>
        <w:t>.</w:t>
      </w:r>
    </w:p>
    <w:p w14:paraId="759F97E7" w14:textId="1A7249DB" w:rsidR="001B2505" w:rsidRPr="00577AE6" w:rsidRDefault="001B2505" w:rsidP="00477663">
      <w:pPr>
        <w:jc w:val="both"/>
        <w:rPr>
          <w:rFonts w:ascii="Arial" w:hAnsi="Arial" w:cs="Arial"/>
          <w:sz w:val="20"/>
          <w:szCs w:val="20"/>
          <w:lang w:val="es-ES_tradnl"/>
        </w:rPr>
      </w:pPr>
    </w:p>
    <w:p w14:paraId="2D88181F" w14:textId="569E68CE" w:rsidR="001B2505" w:rsidRPr="00577AE6" w:rsidRDefault="001B2505" w:rsidP="00477663">
      <w:pPr>
        <w:jc w:val="both"/>
        <w:rPr>
          <w:rFonts w:ascii="Arial" w:hAnsi="Arial" w:cs="Arial"/>
          <w:sz w:val="20"/>
          <w:szCs w:val="20"/>
          <w:lang w:val="es-ES_tradnl"/>
        </w:rPr>
      </w:pPr>
      <w:r w:rsidRPr="00577AE6">
        <w:rPr>
          <w:rFonts w:ascii="Arial" w:eastAsia="Calibri" w:hAnsi="Arial" w:cs="Arial"/>
          <w:b/>
          <w:sz w:val="22"/>
          <w:lang w:val="es-ES_tradnl"/>
        </w:rPr>
        <w:t xml:space="preserve">FACTORES DE DESEMPATE – Ley 2069 – Artículo 35 – Numeral 4 – </w:t>
      </w:r>
      <w:r w:rsidR="00577AE6" w:rsidRPr="00577AE6">
        <w:rPr>
          <w:rFonts w:ascii="Arial" w:eastAsia="Calibri" w:hAnsi="Arial" w:cs="Arial"/>
          <w:b/>
          <w:sz w:val="22"/>
          <w:lang w:val="es-ES_tradnl"/>
        </w:rPr>
        <w:t>Acreditación – Proponentes plurales – Pliego de condiciones – Potestad discrecional</w:t>
      </w:r>
    </w:p>
    <w:p w14:paraId="2A79D663" w14:textId="77777777" w:rsidR="001B2505" w:rsidRPr="00577AE6" w:rsidRDefault="001B2505" w:rsidP="00477663">
      <w:pPr>
        <w:jc w:val="both"/>
        <w:rPr>
          <w:rFonts w:ascii="Arial" w:hAnsi="Arial" w:cs="Arial"/>
          <w:sz w:val="20"/>
          <w:szCs w:val="20"/>
          <w:lang w:val="es-ES_tradnl"/>
        </w:rPr>
      </w:pPr>
    </w:p>
    <w:p w14:paraId="6792A7F9" w14:textId="74660FBF" w:rsidR="00577AE6" w:rsidRPr="00577AE6" w:rsidRDefault="001B2505" w:rsidP="006B1E71">
      <w:pPr>
        <w:spacing w:after="120"/>
        <w:jc w:val="both"/>
        <w:rPr>
          <w:rFonts w:ascii="Arial" w:eastAsia="Calibri" w:hAnsi="Arial" w:cs="Arial"/>
          <w:sz w:val="20"/>
          <w:szCs w:val="20"/>
          <w:lang w:val="es-ES_tradnl"/>
        </w:rPr>
      </w:pPr>
      <w:r w:rsidRPr="00577AE6">
        <w:rPr>
          <w:rFonts w:ascii="Arial" w:eastAsia="Calibri" w:hAnsi="Arial" w:cs="Arial"/>
          <w:sz w:val="20"/>
          <w:szCs w:val="20"/>
          <w:lang w:val="es-ES_tradnl"/>
        </w:rPr>
        <w:lastRenderedPageBreak/>
        <w:t>Teniendo en cuenta que el numeral no distingue tipos de oferente, este criterio de desempate debe aplicarse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la aplicación del factor de desempate. Por tanto, esta Agencia considera que, sin perjuicio de que el reglamento que expida el Gobierno nacional determine un medio de acreditación especial, existe libertad probatoria sobre el tema. En consecuencia, la entidad estatal contratante puede determinar en el pliego de condiciones o documento equivalente cuál será el medio pertinente y conducente que permitirá evidenciar la vinculación de las personas mayores por parte del oferente.</w:t>
      </w:r>
      <w:r w:rsidR="00577AE6" w:rsidRPr="00577AE6">
        <w:rPr>
          <w:rFonts w:ascii="Arial" w:eastAsia="Calibri" w:hAnsi="Arial" w:cs="Arial"/>
          <w:sz w:val="20"/>
          <w:szCs w:val="20"/>
          <w:lang w:val="es-ES_tradnl"/>
        </w:rPr>
        <w:t xml:space="preserve"> </w:t>
      </w:r>
      <w:r w:rsidRPr="00577AE6">
        <w:rPr>
          <w:rFonts w:ascii="Arial" w:eastAsia="Calibri" w:hAnsi="Arial" w:cs="Arial"/>
          <w:sz w:val="20"/>
          <w:szCs w:val="20"/>
          <w:lang w:val="es-ES_tradnl"/>
        </w:rPr>
        <w:t xml:space="preserve">Dado que el artículo 35.4 de la Ley 2069 de 2020 no dispone la forma en que los proponentes plurales acreditan el factor de desempate, es necesario que –conforme a lo explicado ut supra– este aspecto puntual se defina en el pliego de condiciones, pues ante la ausencia de regulación normativa se activa el ejercicio de potestades </w:t>
      </w:r>
      <w:proofErr w:type="gramStart"/>
      <w:r w:rsidRPr="00577AE6">
        <w:rPr>
          <w:rFonts w:ascii="Arial" w:eastAsia="Calibri" w:hAnsi="Arial" w:cs="Arial"/>
          <w:sz w:val="20"/>
          <w:szCs w:val="20"/>
          <w:lang w:val="es-ES_tradnl"/>
        </w:rPr>
        <w:t>discrecionales .</w:t>
      </w:r>
      <w:proofErr w:type="gramEnd"/>
      <w:r w:rsidRPr="00577AE6">
        <w:rPr>
          <w:rFonts w:ascii="Arial" w:eastAsia="Calibri" w:hAnsi="Arial" w:cs="Arial"/>
          <w:sz w:val="20"/>
          <w:szCs w:val="20"/>
          <w:lang w:val="es-ES_tradnl"/>
        </w:rPr>
        <w:t xml:space="preserve"> Por tanto, la entidad contratante puede definir si la vinculación de deben acreditarla todos o uno de los miembros del consorcio o la unión temporal. </w:t>
      </w:r>
    </w:p>
    <w:p w14:paraId="5FD74BD2" w14:textId="0BE6541E" w:rsidR="001B2505" w:rsidRPr="00577AE6" w:rsidRDefault="001B2505" w:rsidP="001B2505">
      <w:pPr>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Al respecto debe descartarse la posibilidad de exigir la acreditación del factor desempate por parte del proponente plural como ente autónomo distinto de sus integrantes, ya que la naturaleza jurídica de estas figuras asociativas no lo permite.  Esto comoquiera que los proponentes plurales no tienen personalidad jurídica, sino que se trata de personas naturales y/o jurídicas que, de conformidad con lo dispuesto en el artículo 7 de la Ley 80 de </w:t>
      </w:r>
      <w:proofErr w:type="gramStart"/>
      <w:r w:rsidRPr="00577AE6">
        <w:rPr>
          <w:rFonts w:ascii="Arial" w:eastAsia="Calibri" w:hAnsi="Arial" w:cs="Arial"/>
          <w:sz w:val="20"/>
          <w:szCs w:val="20"/>
          <w:lang w:val="es-ES_tradnl"/>
        </w:rPr>
        <w:t>1993 ,</w:t>
      </w:r>
      <w:proofErr w:type="gramEnd"/>
      <w:r w:rsidRPr="00577AE6">
        <w:rPr>
          <w:rFonts w:ascii="Arial" w:eastAsia="Calibri" w:hAnsi="Arial" w:cs="Arial"/>
          <w:sz w:val="20"/>
          <w:szCs w:val="20"/>
          <w:lang w:val="es-ES_tradnl"/>
        </w:rPr>
        <w:t xml:space="preserve"> se asocian para presentar ofertas conjuntas en procesos de selección, tras la expectativa de que les sea adjudicado un contrato estatal que, eventualmente, ejecutaran de forma conjunta en los porcentajes de participación o distribución establecidas. En virtud de esto, el artículo 6 de la Ley 80 de </w:t>
      </w:r>
      <w:proofErr w:type="gramStart"/>
      <w:r w:rsidRPr="00577AE6">
        <w:rPr>
          <w:rFonts w:ascii="Arial" w:eastAsia="Calibri" w:hAnsi="Arial" w:cs="Arial"/>
          <w:sz w:val="20"/>
          <w:szCs w:val="20"/>
          <w:lang w:val="es-ES_tradnl"/>
        </w:rPr>
        <w:t>1993  les</w:t>
      </w:r>
      <w:proofErr w:type="gramEnd"/>
      <w:r w:rsidRPr="00577AE6">
        <w:rPr>
          <w:rFonts w:ascii="Arial" w:eastAsia="Calibri" w:hAnsi="Arial" w:cs="Arial"/>
          <w:sz w:val="20"/>
          <w:szCs w:val="20"/>
          <w:lang w:val="es-ES_tradnl"/>
        </w:rPr>
        <w:t xml:space="preserve"> otorga capacidad contractual para suscribir el contrato estatal, sin que ello signifique que el consorcio constituya una persona jurídica diferente de sus integrantes, quienes deberán responder de forma solidaria por las obligaciones contraídas como consorcio o unión temporal. En sentido, son los miembros del consorcio o la unión temporal quienes están llamados a contratar y aportar el personal necesario para ejecutar las obligaciones que le corresponden en virtud del contrato que se les ha adjudicado, no teniendo el proponente plural–individualmente considerado– capacidad para contraer obligaciones laborales, por lo que resulta un contrasentido exigir que sea este quien acredite el factor de desempate del artículo 35.4, ya que jurídicamente no es viable, máxime considerando que el proponente plural se constituye para participar en proceso .</w:t>
      </w:r>
    </w:p>
    <w:p w14:paraId="2B7CBBDB" w14:textId="77777777" w:rsidR="00577AE6" w:rsidRPr="00577AE6" w:rsidRDefault="00577AE6" w:rsidP="00577AE6">
      <w:pPr>
        <w:spacing w:line="276" w:lineRule="auto"/>
        <w:jc w:val="both"/>
        <w:rPr>
          <w:rFonts w:ascii="Arial" w:eastAsia="Calibri" w:hAnsi="Arial" w:cs="Arial"/>
          <w:b/>
          <w:sz w:val="22"/>
          <w:lang w:val="es-ES_tradnl"/>
        </w:rPr>
      </w:pPr>
    </w:p>
    <w:p w14:paraId="3CC32A59" w14:textId="1BA8882C" w:rsidR="00577AE6" w:rsidRPr="00577AE6" w:rsidRDefault="00577AE6" w:rsidP="00577AE6">
      <w:pPr>
        <w:spacing w:line="276" w:lineRule="auto"/>
        <w:jc w:val="both"/>
        <w:rPr>
          <w:rFonts w:ascii="Arial" w:eastAsia="Calibri" w:hAnsi="Arial" w:cs="Arial"/>
          <w:sz w:val="20"/>
          <w:szCs w:val="20"/>
          <w:lang w:val="es-ES_tradnl"/>
        </w:rPr>
      </w:pPr>
      <w:r w:rsidRPr="00577AE6">
        <w:rPr>
          <w:rFonts w:ascii="Arial" w:eastAsia="Calibri" w:hAnsi="Arial" w:cs="Arial"/>
          <w:b/>
          <w:sz w:val="22"/>
          <w:lang w:val="es-ES_tradnl"/>
        </w:rPr>
        <w:t xml:space="preserve">FACTORES DE DESEMPATE – Ley 2069 – Artículo 35 – Numeral 4 – Parágrafo segundo – Capital humano – Vinculación laboral – Antigüedad </w:t>
      </w:r>
    </w:p>
    <w:p w14:paraId="30A30580" w14:textId="77777777" w:rsidR="00577AE6" w:rsidRPr="00577AE6" w:rsidRDefault="00577AE6" w:rsidP="00577AE6">
      <w:pPr>
        <w:jc w:val="both"/>
        <w:rPr>
          <w:rFonts w:ascii="Arial" w:eastAsia="Calibri" w:hAnsi="Arial" w:cs="Arial"/>
          <w:sz w:val="20"/>
          <w:szCs w:val="20"/>
          <w:lang w:val="es-ES_tradnl"/>
        </w:rPr>
      </w:pPr>
    </w:p>
    <w:p w14:paraId="5FEED964" w14:textId="214008EC" w:rsidR="00577AE6" w:rsidRPr="00577AE6" w:rsidRDefault="00577AE6" w:rsidP="00577AE6">
      <w:pPr>
        <w:jc w:val="both"/>
        <w:rPr>
          <w:rFonts w:ascii="Arial" w:eastAsia="Calibri" w:hAnsi="Arial" w:cs="Arial"/>
          <w:sz w:val="20"/>
          <w:szCs w:val="20"/>
          <w:lang w:val="es-ES_tradnl"/>
        </w:rPr>
      </w:pPr>
      <w:r w:rsidRPr="00577AE6">
        <w:rPr>
          <w:rFonts w:ascii="Arial" w:eastAsia="Calibri" w:hAnsi="Arial" w:cs="Arial"/>
          <w:sz w:val="20"/>
          <w:szCs w:val="20"/>
          <w:lang w:val="es-ES_tradnl"/>
        </w:rPr>
        <w:t xml:space="preserve">Por otro lado, el artículo 35.4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w:t>
      </w:r>
      <w:proofErr w:type="gramStart"/>
      <w:r w:rsidRPr="00577AE6">
        <w:rPr>
          <w:rFonts w:ascii="Arial" w:eastAsia="Calibri" w:hAnsi="Arial" w:cs="Arial"/>
          <w:sz w:val="20"/>
          <w:szCs w:val="20"/>
          <w:lang w:val="es-ES_tradnl"/>
        </w:rPr>
        <w:t>la misma</w:t>
      </w:r>
      <w:proofErr w:type="gramEnd"/>
      <w:r w:rsidRPr="00577AE6">
        <w:rPr>
          <w:rFonts w:ascii="Arial" w:eastAsia="Calibri" w:hAnsi="Arial" w:cs="Arial"/>
          <w:sz w:val="20"/>
          <w:szCs w:val="20"/>
          <w:lang w:val="es-ES_tradnl"/>
        </w:rPr>
        <w:t xml:space="preserve">» (Énfasis fuera de texto). Como se observa la norma se refiere a la vinculación de trabajadores, lo cual excluye la posibilidad de acreditar el factor de desempate con prestadores de servicios.  </w:t>
      </w:r>
    </w:p>
    <w:p w14:paraId="5B078637" w14:textId="242476E4" w:rsidR="00B167C8" w:rsidRPr="00577AE6" w:rsidRDefault="00D81054" w:rsidP="00D81054">
      <w:pPr>
        <w:spacing w:line="276" w:lineRule="auto"/>
        <w:jc w:val="right"/>
        <w:rPr>
          <w:rFonts w:ascii="Arial" w:hAnsi="Arial" w:cs="Arial"/>
          <w:noProof/>
          <w:sz w:val="22"/>
          <w:lang w:val="es-ES_tradnl"/>
        </w:rPr>
      </w:pPr>
      <w:r w:rsidRPr="00D81054">
        <w:rPr>
          <w:rFonts w:ascii="Arial" w:hAnsi="Arial" w:cs="Arial"/>
          <w:noProof/>
          <w:sz w:val="22"/>
          <w:lang w:val="es-ES_tradnl"/>
        </w:rPr>
        <w:lastRenderedPageBreak/>
        <w:drawing>
          <wp:inline distT="0" distB="0" distL="0" distR="0" wp14:anchorId="25F1D15C" wp14:editId="7C35211F">
            <wp:extent cx="2906824" cy="808075"/>
            <wp:effectExtent l="0" t="0" r="825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918628" cy="811356"/>
                    </a:xfrm>
                    <a:prstGeom prst="rect">
                      <a:avLst/>
                    </a:prstGeom>
                  </pic:spPr>
                </pic:pic>
              </a:graphicData>
            </a:graphic>
          </wp:inline>
        </w:drawing>
      </w:r>
    </w:p>
    <w:p w14:paraId="12A9C41A" w14:textId="77777777" w:rsidR="00F53F4F" w:rsidRPr="00577AE6" w:rsidRDefault="00F53F4F" w:rsidP="00B95C30">
      <w:pPr>
        <w:spacing w:line="276" w:lineRule="auto"/>
        <w:jc w:val="both"/>
        <w:rPr>
          <w:rFonts w:ascii="Arial" w:hAnsi="Arial" w:cs="Arial"/>
          <w:noProof/>
          <w:sz w:val="22"/>
          <w:lang w:val="es-ES_tradnl"/>
        </w:rPr>
      </w:pPr>
    </w:p>
    <w:p w14:paraId="5F5AE9EF" w14:textId="22477258" w:rsidR="00B95C30" w:rsidRPr="00577AE6" w:rsidRDefault="00BE4FBF" w:rsidP="00B95C30">
      <w:pPr>
        <w:jc w:val="both"/>
        <w:rPr>
          <w:rFonts w:ascii="Arial" w:eastAsia="Calibri" w:hAnsi="Arial" w:cs="Arial"/>
          <w:sz w:val="22"/>
          <w:lang w:val="es-ES_tradnl"/>
        </w:rPr>
      </w:pPr>
      <w:r w:rsidRPr="00577AE6">
        <w:rPr>
          <w:rFonts w:ascii="Arial" w:eastAsia="Calibri" w:hAnsi="Arial" w:cs="Arial"/>
          <w:sz w:val="22"/>
          <w:lang w:val="es-ES_tradnl"/>
        </w:rPr>
        <w:t>Señor</w:t>
      </w:r>
      <w:r w:rsidR="00DC2774" w:rsidRPr="00577AE6">
        <w:rPr>
          <w:rFonts w:ascii="Arial" w:eastAsia="Calibri" w:hAnsi="Arial" w:cs="Arial"/>
          <w:sz w:val="22"/>
          <w:lang w:val="es-ES_tradnl"/>
        </w:rPr>
        <w:t>es</w:t>
      </w:r>
    </w:p>
    <w:p w14:paraId="2DE08AE4" w14:textId="77777777" w:rsidR="00DC2774" w:rsidRPr="00577AE6" w:rsidRDefault="006A5500" w:rsidP="006A5500">
      <w:pPr>
        <w:autoSpaceDE w:val="0"/>
        <w:autoSpaceDN w:val="0"/>
        <w:adjustRightInd w:val="0"/>
        <w:rPr>
          <w:rFonts w:ascii="Arial" w:eastAsiaTheme="minorHAnsi" w:hAnsi="Arial" w:cs="Arial"/>
          <w:b/>
          <w:bCs/>
          <w:sz w:val="22"/>
          <w:szCs w:val="22"/>
          <w:lang w:eastAsia="en-US"/>
        </w:rPr>
      </w:pPr>
      <w:r w:rsidRPr="00577AE6">
        <w:rPr>
          <w:rFonts w:ascii="Arial" w:eastAsiaTheme="minorHAnsi" w:hAnsi="Arial" w:cs="Arial"/>
          <w:b/>
          <w:bCs/>
          <w:sz w:val="22"/>
          <w:szCs w:val="22"/>
          <w:lang w:eastAsia="en-US"/>
        </w:rPr>
        <w:t>Carlos Andrés Duarte Valenzuela</w:t>
      </w:r>
    </w:p>
    <w:p w14:paraId="3059EB40" w14:textId="107F1CCD" w:rsidR="006A5500" w:rsidRPr="006A5500" w:rsidRDefault="00DC2774" w:rsidP="006A5500">
      <w:pPr>
        <w:autoSpaceDE w:val="0"/>
        <w:autoSpaceDN w:val="0"/>
        <w:adjustRightInd w:val="0"/>
        <w:rPr>
          <w:rFonts w:ascii="Arial" w:eastAsiaTheme="minorHAnsi" w:hAnsi="Arial" w:cs="Arial"/>
          <w:b/>
          <w:bCs/>
          <w:sz w:val="22"/>
          <w:szCs w:val="22"/>
          <w:lang w:eastAsia="en-US"/>
        </w:rPr>
      </w:pPr>
      <w:r w:rsidRPr="00577AE6">
        <w:rPr>
          <w:rFonts w:ascii="Arial" w:eastAsiaTheme="minorHAnsi" w:hAnsi="Arial" w:cs="Arial"/>
          <w:b/>
          <w:bCs/>
          <w:sz w:val="22"/>
          <w:szCs w:val="22"/>
          <w:lang w:eastAsia="en-US"/>
        </w:rPr>
        <w:t xml:space="preserve">John Flavio Colmenares </w:t>
      </w:r>
      <w:r w:rsidR="006B1E71" w:rsidRPr="00577AE6">
        <w:rPr>
          <w:rFonts w:ascii="Arial" w:eastAsiaTheme="minorHAnsi" w:hAnsi="Arial" w:cs="Arial"/>
          <w:b/>
          <w:bCs/>
          <w:sz w:val="22"/>
          <w:szCs w:val="22"/>
          <w:lang w:eastAsia="en-US"/>
        </w:rPr>
        <w:t>Virgüez</w:t>
      </w:r>
      <w:r w:rsidRPr="00577AE6">
        <w:rPr>
          <w:rFonts w:ascii="Arial" w:eastAsiaTheme="minorHAnsi" w:hAnsi="Arial" w:cs="Arial"/>
          <w:b/>
          <w:bCs/>
          <w:sz w:val="22"/>
          <w:szCs w:val="22"/>
          <w:lang w:eastAsia="en-US"/>
        </w:rPr>
        <w:t xml:space="preserve"> </w:t>
      </w:r>
    </w:p>
    <w:p w14:paraId="09D4AEA8" w14:textId="189BB46C" w:rsidR="00B95C30" w:rsidRPr="00577AE6" w:rsidRDefault="00716BB0" w:rsidP="006A5500">
      <w:pPr>
        <w:jc w:val="both"/>
        <w:rPr>
          <w:rFonts w:ascii="Arial" w:eastAsia="Calibri" w:hAnsi="Arial" w:cs="Arial"/>
          <w:sz w:val="22"/>
          <w:lang w:val="es-ES_tradnl"/>
        </w:rPr>
      </w:pPr>
      <w:r w:rsidRPr="00577AE6">
        <w:rPr>
          <w:rFonts w:ascii="Arial" w:eastAsia="Calibri" w:hAnsi="Arial" w:cs="Arial"/>
          <w:sz w:val="22"/>
          <w:lang w:val="es-ES_tradnl"/>
        </w:rPr>
        <w:t>Bogotá D.C.</w:t>
      </w:r>
    </w:p>
    <w:p w14:paraId="3B584A57" w14:textId="4528CA3D" w:rsidR="00F53F4F" w:rsidRPr="00577AE6" w:rsidRDefault="00F53F4F" w:rsidP="00B95C30">
      <w:pPr>
        <w:jc w:val="both"/>
        <w:rPr>
          <w:rFonts w:ascii="Arial" w:eastAsia="Calibri" w:hAnsi="Arial" w:cs="Arial"/>
          <w:sz w:val="22"/>
          <w:lang w:val="es-ES_tradnl"/>
        </w:rPr>
      </w:pPr>
    </w:p>
    <w:p w14:paraId="48E36FCF" w14:textId="77777777" w:rsidR="00F53F4F" w:rsidRPr="00577AE6" w:rsidRDefault="00F53F4F" w:rsidP="00B95C30">
      <w:pPr>
        <w:jc w:val="both"/>
        <w:rPr>
          <w:rFonts w:ascii="Arial" w:eastAsia="Calibri" w:hAnsi="Arial" w:cs="Arial"/>
          <w:sz w:val="22"/>
          <w:lang w:val="es-ES_tradnl"/>
        </w:rPr>
      </w:pPr>
    </w:p>
    <w:p w14:paraId="12E66182" w14:textId="1F84C154" w:rsidR="00B95C30" w:rsidRPr="00577AE6" w:rsidRDefault="00F53F4F" w:rsidP="001D6CD2">
      <w:pPr>
        <w:rPr>
          <w:rFonts w:ascii="Arial" w:eastAsia="Calibri" w:hAnsi="Arial" w:cs="Arial"/>
          <w:b/>
          <w:bCs/>
          <w:sz w:val="22"/>
          <w:lang w:val="es-ES_tradnl"/>
        </w:rPr>
      </w:pPr>
      <w:r w:rsidRPr="00577AE6">
        <w:rPr>
          <w:rFonts w:ascii="Arial" w:eastAsia="Calibri" w:hAnsi="Arial" w:cs="Arial"/>
          <w:b/>
          <w:bCs/>
          <w:sz w:val="22"/>
          <w:lang w:val="es-ES_tradnl"/>
        </w:rPr>
        <w:t xml:space="preserve">                                            </w:t>
      </w:r>
      <w:r w:rsidR="00B95C30" w:rsidRPr="00577AE6">
        <w:rPr>
          <w:rFonts w:ascii="Arial" w:eastAsia="Calibri" w:hAnsi="Arial" w:cs="Arial"/>
          <w:b/>
          <w:bCs/>
          <w:sz w:val="22"/>
          <w:lang w:val="es-ES_tradnl"/>
        </w:rPr>
        <w:t xml:space="preserve">Concepto C ‒ </w:t>
      </w:r>
      <w:r w:rsidR="00AD3B0C" w:rsidRPr="00577AE6">
        <w:rPr>
          <w:rFonts w:ascii="Arial" w:eastAsia="Calibri" w:hAnsi="Arial" w:cs="Arial"/>
          <w:b/>
          <w:bCs/>
          <w:sz w:val="22"/>
          <w:lang w:val="es-ES_tradnl"/>
        </w:rPr>
        <w:t>2</w:t>
      </w:r>
      <w:r w:rsidR="006A5500" w:rsidRPr="00577AE6">
        <w:rPr>
          <w:rFonts w:ascii="Arial" w:eastAsia="Calibri" w:hAnsi="Arial" w:cs="Arial"/>
          <w:b/>
          <w:bCs/>
          <w:sz w:val="22"/>
          <w:lang w:val="es-ES_tradnl"/>
        </w:rPr>
        <w:t>86</w:t>
      </w:r>
      <w:r w:rsidR="00B95C30" w:rsidRPr="00577AE6">
        <w:rPr>
          <w:rFonts w:ascii="Arial" w:eastAsia="Calibri" w:hAnsi="Arial" w:cs="Arial"/>
          <w:b/>
          <w:bCs/>
          <w:sz w:val="22"/>
          <w:lang w:val="es-ES_tradnl"/>
        </w:rPr>
        <w:t xml:space="preserve"> de 202</w:t>
      </w:r>
      <w:r w:rsidR="005E781C" w:rsidRPr="00577AE6">
        <w:rPr>
          <w:rFonts w:ascii="Arial" w:eastAsia="Calibri" w:hAnsi="Arial" w:cs="Arial"/>
          <w:b/>
          <w:bCs/>
          <w:sz w:val="22"/>
          <w:lang w:val="es-ES_tradnl"/>
        </w:rPr>
        <w:t>1</w:t>
      </w:r>
    </w:p>
    <w:p w14:paraId="1BD594F9" w14:textId="77777777" w:rsidR="00B95C30" w:rsidRPr="00577AE6"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7AE6" w:rsidRPr="00577AE6" w14:paraId="19DFC051" w14:textId="77777777" w:rsidTr="008F4163">
        <w:tc>
          <w:tcPr>
            <w:tcW w:w="2689" w:type="dxa"/>
          </w:tcPr>
          <w:p w14:paraId="6BC0D1AC" w14:textId="77777777" w:rsidR="00B95C30" w:rsidRPr="00577AE6" w:rsidRDefault="00B95C30" w:rsidP="008F4163">
            <w:pPr>
              <w:jc w:val="both"/>
              <w:rPr>
                <w:rFonts w:ascii="Arial" w:eastAsia="Calibri" w:hAnsi="Arial" w:cs="Arial"/>
                <w:sz w:val="22"/>
                <w:lang w:val="es-ES_tradnl"/>
              </w:rPr>
            </w:pPr>
            <w:r w:rsidRPr="00577AE6">
              <w:rPr>
                <w:rFonts w:ascii="Arial" w:eastAsia="Calibri" w:hAnsi="Arial" w:cs="Arial"/>
                <w:b/>
                <w:sz w:val="22"/>
                <w:lang w:val="es-ES_tradnl"/>
              </w:rPr>
              <w:t>Temas:</w:t>
            </w:r>
            <w:r w:rsidRPr="00577AE6">
              <w:rPr>
                <w:rFonts w:ascii="Arial" w:eastAsia="Calibri" w:hAnsi="Arial" w:cs="Arial"/>
                <w:sz w:val="22"/>
                <w:lang w:val="es-ES_tradnl"/>
              </w:rPr>
              <w:t xml:space="preserve">                                      </w:t>
            </w:r>
          </w:p>
        </w:tc>
        <w:tc>
          <w:tcPr>
            <w:tcW w:w="6237" w:type="dxa"/>
          </w:tcPr>
          <w:p w14:paraId="5F389CAF" w14:textId="0946606E" w:rsidR="00B95C30" w:rsidRPr="00577AE6" w:rsidRDefault="008B63FE" w:rsidP="00577AE6">
            <w:pPr>
              <w:jc w:val="both"/>
              <w:rPr>
                <w:rFonts w:ascii="Arial" w:eastAsia="Calibri" w:hAnsi="Arial" w:cs="Arial"/>
                <w:sz w:val="22"/>
                <w:lang w:val="es-ES_tradnl"/>
              </w:rPr>
            </w:pPr>
            <w:r w:rsidRPr="00577AE6">
              <w:rPr>
                <w:rFonts w:ascii="Arial" w:eastAsia="Calibri" w:hAnsi="Arial" w:cs="Arial"/>
                <w:bCs/>
                <w:sz w:val="22"/>
                <w:lang w:val="es-ES_tradnl"/>
              </w:rPr>
              <w:t xml:space="preserve">SELECCIÓN OBJETIVA – Contratación estatal – Concepto </w:t>
            </w:r>
            <w:r w:rsidR="00B95C30" w:rsidRPr="00577AE6">
              <w:rPr>
                <w:rFonts w:ascii="Arial" w:eastAsia="Calibri" w:hAnsi="Arial" w:cs="Arial"/>
                <w:bCs/>
                <w:sz w:val="22"/>
                <w:lang w:val="es-ES_tradnl"/>
              </w:rPr>
              <w:t>/</w:t>
            </w:r>
            <w:r w:rsidRPr="00577AE6">
              <w:rPr>
                <w:rFonts w:ascii="Arial" w:eastAsia="Calibri" w:hAnsi="Arial" w:cs="Arial"/>
                <w:bCs/>
                <w:sz w:val="22"/>
                <w:lang w:val="es-ES_tradnl"/>
              </w:rPr>
              <w:t xml:space="preserve"> EMPATE – Procedimiento de selección – Concepto / FACTORES DE DESEMPATE – Características – Límites / LEY DE EMPRENDIMIENTO – Ley </w:t>
            </w:r>
            <w:r w:rsidR="007B209C" w:rsidRPr="00577AE6">
              <w:rPr>
                <w:rFonts w:ascii="Arial" w:eastAsia="Calibri" w:hAnsi="Arial" w:cs="Arial"/>
                <w:bCs/>
                <w:sz w:val="22"/>
                <w:lang w:val="es-ES_tradnl"/>
              </w:rPr>
              <w:t>2069</w:t>
            </w:r>
            <w:r w:rsidRPr="00577AE6">
              <w:rPr>
                <w:rFonts w:ascii="Arial" w:eastAsia="Calibri" w:hAnsi="Arial" w:cs="Arial"/>
                <w:bCs/>
                <w:sz w:val="22"/>
                <w:lang w:val="es-ES_tradnl"/>
              </w:rPr>
              <w:t xml:space="preserve"> de 2020 – Vigencia / FACTORES DE DESEMPATE – Ley </w:t>
            </w:r>
            <w:r w:rsidR="007B209C" w:rsidRPr="00577AE6">
              <w:rPr>
                <w:rFonts w:ascii="Arial" w:eastAsia="Calibri" w:hAnsi="Arial" w:cs="Arial"/>
                <w:bCs/>
                <w:sz w:val="22"/>
                <w:lang w:val="es-ES_tradnl"/>
              </w:rPr>
              <w:t>2069</w:t>
            </w:r>
            <w:r w:rsidRPr="00577AE6">
              <w:rPr>
                <w:rFonts w:ascii="Arial" w:eastAsia="Calibri" w:hAnsi="Arial" w:cs="Arial"/>
                <w:bCs/>
                <w:sz w:val="22"/>
                <w:lang w:val="es-ES_tradnl"/>
              </w:rPr>
              <w:t xml:space="preserve"> – Artículo 35 – Acreditación</w:t>
            </w:r>
            <w:r w:rsidR="00577AE6" w:rsidRPr="00577AE6">
              <w:rPr>
                <w:rFonts w:ascii="Arial" w:eastAsia="Calibri" w:hAnsi="Arial" w:cs="Arial"/>
                <w:bCs/>
                <w:sz w:val="22"/>
                <w:lang w:val="es-ES_tradnl"/>
              </w:rPr>
              <w:t xml:space="preserve"> / FACTORES DE DESEMPATE – Ley 2069 – Artículo 35 – Numeral 4 – Adulto mayor – Pensión – Requisito de edad / FACTORES DE DESEMPATE – Ley 2069 – Artículo 35 – Numeral 4 – Pensión –  Requisito de edad – </w:t>
            </w:r>
            <w:proofErr w:type="spellStart"/>
            <w:r w:rsidR="00577AE6" w:rsidRPr="00577AE6">
              <w:rPr>
                <w:rFonts w:ascii="Arial" w:eastAsia="Calibri" w:hAnsi="Arial" w:cs="Arial"/>
                <w:bCs/>
                <w:sz w:val="22"/>
                <w:lang w:val="es-ES_tradnl"/>
              </w:rPr>
              <w:t>Prepensionados</w:t>
            </w:r>
            <w:proofErr w:type="spellEnd"/>
            <w:r w:rsidR="00577AE6" w:rsidRPr="00577AE6">
              <w:rPr>
                <w:rFonts w:ascii="Arial" w:eastAsia="Calibri" w:hAnsi="Arial" w:cs="Arial"/>
                <w:bCs/>
                <w:sz w:val="22"/>
                <w:lang w:val="es-ES_tradnl"/>
              </w:rPr>
              <w:t xml:space="preserve"> / FACTORES DE DESEMPATE – Ley 2069 – Artículo 35 – Numeral 4 – Acreditación – Proponentes plurales – Pliego de condiciones – Potestad discrecional / FACTORES DE DESEMPATE – Ley 2069 – Artículo 35 – Numeral 4 – Parágrafo segundo – Capital humano – Vinculación laboral – Antigüedad</w:t>
            </w:r>
          </w:p>
        </w:tc>
      </w:tr>
      <w:tr w:rsidR="00577AE6" w:rsidRPr="00577AE6" w14:paraId="27CD52AB" w14:textId="77777777" w:rsidTr="008F4163">
        <w:tc>
          <w:tcPr>
            <w:tcW w:w="2689" w:type="dxa"/>
          </w:tcPr>
          <w:p w14:paraId="37E195A1" w14:textId="1BA218D5" w:rsidR="00B95C30" w:rsidRPr="00577AE6" w:rsidRDefault="00B95C30" w:rsidP="008F4163">
            <w:pPr>
              <w:spacing w:before="120"/>
              <w:jc w:val="both"/>
              <w:rPr>
                <w:rFonts w:ascii="Arial" w:eastAsia="Calibri" w:hAnsi="Arial" w:cs="Arial"/>
                <w:b/>
                <w:sz w:val="22"/>
                <w:lang w:val="es-ES_tradnl"/>
              </w:rPr>
            </w:pPr>
            <w:r w:rsidRPr="00577AE6">
              <w:rPr>
                <w:rFonts w:ascii="Arial" w:eastAsia="Calibri" w:hAnsi="Arial" w:cs="Arial"/>
                <w:b/>
                <w:sz w:val="22"/>
                <w:lang w:val="es-ES_tradnl"/>
              </w:rPr>
              <w:t>Radicación:</w:t>
            </w:r>
            <w:r w:rsidRPr="00577AE6">
              <w:rPr>
                <w:rFonts w:ascii="Arial" w:eastAsia="Calibri" w:hAnsi="Arial" w:cs="Arial"/>
                <w:sz w:val="22"/>
                <w:lang w:val="es-ES_tradnl"/>
              </w:rPr>
              <w:t xml:space="preserve">                              </w:t>
            </w:r>
          </w:p>
        </w:tc>
        <w:tc>
          <w:tcPr>
            <w:tcW w:w="6237" w:type="dxa"/>
          </w:tcPr>
          <w:p w14:paraId="09088B1B" w14:textId="3C5B843A" w:rsidR="00B95C30" w:rsidRPr="00577AE6" w:rsidRDefault="00B95C30" w:rsidP="008F4163">
            <w:pPr>
              <w:spacing w:before="120"/>
              <w:jc w:val="both"/>
              <w:rPr>
                <w:rFonts w:ascii="Arial" w:eastAsia="Calibri" w:hAnsi="Arial" w:cs="Arial"/>
                <w:sz w:val="22"/>
                <w:lang w:val="es-ES_tradnl"/>
              </w:rPr>
            </w:pPr>
            <w:r w:rsidRPr="00577AE6">
              <w:rPr>
                <w:rFonts w:ascii="Arial" w:eastAsia="Calibri" w:hAnsi="Arial" w:cs="Arial"/>
                <w:sz w:val="22"/>
                <w:lang w:val="es-ES_tradnl"/>
              </w:rPr>
              <w:t xml:space="preserve">Respuesta a consulta # </w:t>
            </w:r>
            <w:r w:rsidR="006A5500" w:rsidRPr="00577AE6">
              <w:rPr>
                <w:rFonts w:ascii="Arial" w:eastAsia="Calibri" w:hAnsi="Arial" w:cs="Arial"/>
                <w:sz w:val="22"/>
                <w:lang w:val="es-ES_tradnl"/>
              </w:rPr>
              <w:t>P20210503003759</w:t>
            </w:r>
          </w:p>
        </w:tc>
      </w:tr>
    </w:tbl>
    <w:p w14:paraId="4955BD90" w14:textId="5ED89009" w:rsidR="00577AE6" w:rsidRPr="00577AE6" w:rsidRDefault="00577AE6" w:rsidP="003C3339">
      <w:pPr>
        <w:jc w:val="both"/>
        <w:rPr>
          <w:rFonts w:ascii="Arial" w:eastAsia="Calibri" w:hAnsi="Arial" w:cs="Arial"/>
          <w:sz w:val="22"/>
          <w:lang w:val="es-ES_tradnl"/>
        </w:rPr>
      </w:pPr>
    </w:p>
    <w:p w14:paraId="351A844F" w14:textId="77777777" w:rsidR="00577AE6" w:rsidRPr="00577AE6" w:rsidRDefault="00577AE6" w:rsidP="003C3339">
      <w:pPr>
        <w:jc w:val="both"/>
        <w:rPr>
          <w:rFonts w:ascii="Arial" w:eastAsia="Calibri" w:hAnsi="Arial" w:cs="Arial"/>
          <w:sz w:val="22"/>
          <w:lang w:val="es-ES_tradnl"/>
        </w:rPr>
      </w:pPr>
    </w:p>
    <w:p w14:paraId="1CF4AEA0" w14:textId="74035C48" w:rsidR="003C3339" w:rsidRPr="00577AE6" w:rsidRDefault="003C3339" w:rsidP="003C3339">
      <w:pPr>
        <w:jc w:val="both"/>
        <w:rPr>
          <w:rFonts w:ascii="Arial" w:eastAsia="Calibri" w:hAnsi="Arial" w:cs="Arial"/>
          <w:sz w:val="22"/>
          <w:lang w:val="es-ES_tradnl"/>
        </w:rPr>
      </w:pPr>
      <w:r w:rsidRPr="00577AE6">
        <w:rPr>
          <w:rFonts w:ascii="Arial" w:eastAsia="Calibri" w:hAnsi="Arial" w:cs="Arial"/>
          <w:sz w:val="22"/>
          <w:lang w:val="es-ES_tradnl"/>
        </w:rPr>
        <w:t>Estimad</w:t>
      </w:r>
      <w:r w:rsidR="00993DB9" w:rsidRPr="00577AE6">
        <w:rPr>
          <w:rFonts w:ascii="Arial" w:eastAsia="Calibri" w:hAnsi="Arial" w:cs="Arial"/>
          <w:sz w:val="22"/>
          <w:lang w:val="es-ES_tradnl"/>
        </w:rPr>
        <w:t>o</w:t>
      </w:r>
      <w:r w:rsidR="00DC2774" w:rsidRPr="00577AE6">
        <w:rPr>
          <w:rFonts w:ascii="Arial" w:eastAsia="Calibri" w:hAnsi="Arial" w:cs="Arial"/>
          <w:sz w:val="22"/>
          <w:lang w:val="es-ES_tradnl"/>
        </w:rPr>
        <w:t>s</w:t>
      </w:r>
      <w:r w:rsidRPr="00577AE6">
        <w:rPr>
          <w:rFonts w:ascii="Arial" w:eastAsia="Calibri" w:hAnsi="Arial" w:cs="Arial"/>
          <w:sz w:val="22"/>
          <w:lang w:val="es-ES_tradnl"/>
        </w:rPr>
        <w:t xml:space="preserve"> </w:t>
      </w:r>
      <w:r w:rsidR="0063732C" w:rsidRPr="00577AE6">
        <w:rPr>
          <w:rFonts w:ascii="Arial" w:eastAsia="Calibri" w:hAnsi="Arial" w:cs="Arial"/>
          <w:sz w:val="22"/>
          <w:lang w:val="es-ES_tradnl"/>
        </w:rPr>
        <w:t>señor</w:t>
      </w:r>
      <w:r w:rsidR="00DC2774" w:rsidRPr="00577AE6">
        <w:rPr>
          <w:rFonts w:ascii="Arial" w:eastAsia="Calibri" w:hAnsi="Arial" w:cs="Arial"/>
          <w:sz w:val="22"/>
          <w:lang w:val="es-ES_tradnl"/>
        </w:rPr>
        <w:t>es</w:t>
      </w:r>
      <w:r w:rsidR="00BE4FBF" w:rsidRPr="00577AE6">
        <w:rPr>
          <w:rFonts w:ascii="Arial" w:eastAsia="Calibri" w:hAnsi="Arial" w:cs="Arial"/>
          <w:sz w:val="22"/>
          <w:lang w:val="es-ES_tradnl"/>
        </w:rPr>
        <w:t xml:space="preserve"> </w:t>
      </w:r>
      <w:r w:rsidR="006A5500" w:rsidRPr="00577AE6">
        <w:rPr>
          <w:rFonts w:ascii="Arial" w:eastAsia="Calibri" w:hAnsi="Arial" w:cs="Arial"/>
          <w:sz w:val="22"/>
          <w:lang w:val="es-ES_tradnl"/>
        </w:rPr>
        <w:t>Duarte</w:t>
      </w:r>
      <w:r w:rsidR="00DC2774" w:rsidRPr="00577AE6">
        <w:rPr>
          <w:rFonts w:ascii="Arial" w:eastAsia="Calibri" w:hAnsi="Arial" w:cs="Arial"/>
          <w:sz w:val="22"/>
          <w:lang w:val="es-ES_tradnl"/>
        </w:rPr>
        <w:t xml:space="preserve"> y Colmenares</w:t>
      </w:r>
      <w:r w:rsidRPr="00577AE6">
        <w:rPr>
          <w:rFonts w:ascii="Arial" w:eastAsia="Calibri" w:hAnsi="Arial" w:cs="Arial"/>
          <w:sz w:val="22"/>
          <w:lang w:val="es-ES_tradnl"/>
        </w:rPr>
        <w:t>:</w:t>
      </w:r>
    </w:p>
    <w:p w14:paraId="4B0F7469" w14:textId="77777777" w:rsidR="00577AE6" w:rsidRPr="00577AE6" w:rsidRDefault="00577AE6" w:rsidP="00DF76A2">
      <w:pPr>
        <w:jc w:val="both"/>
        <w:rPr>
          <w:rFonts w:ascii="Arial" w:eastAsia="Calibri" w:hAnsi="Arial" w:cs="Arial"/>
          <w:sz w:val="22"/>
          <w:lang w:val="es-ES_tradnl"/>
        </w:rPr>
      </w:pPr>
    </w:p>
    <w:p w14:paraId="2109B2D3" w14:textId="63EA3D98" w:rsidR="00DD5B04" w:rsidRPr="00577AE6" w:rsidRDefault="00DD5B04" w:rsidP="00DF76A2">
      <w:pPr>
        <w:spacing w:line="276" w:lineRule="auto"/>
        <w:jc w:val="both"/>
        <w:rPr>
          <w:rFonts w:ascii="Arial" w:eastAsia="Calibri" w:hAnsi="Arial" w:cs="Arial"/>
          <w:sz w:val="22"/>
          <w:lang w:val="es-ES_tradnl"/>
        </w:rPr>
      </w:pPr>
      <w:r w:rsidRPr="00577AE6">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77AE6">
        <w:rPr>
          <w:rFonts w:ascii="Arial" w:eastAsia="Calibri" w:hAnsi="Arial" w:cs="Arial"/>
          <w:sz w:val="22"/>
          <w:lang w:val="es-ES_tradnl"/>
        </w:rPr>
        <w:t xml:space="preserve"> </w:t>
      </w:r>
      <w:r w:rsidRPr="00577AE6">
        <w:rPr>
          <w:rFonts w:ascii="Arial" w:eastAsia="Calibri" w:hAnsi="Arial" w:cs="Arial"/>
          <w:sz w:val="22"/>
          <w:lang w:val="es-ES_tradnl"/>
        </w:rPr>
        <w:t xml:space="preserve">responde su consulta del </w:t>
      </w:r>
      <w:r w:rsidR="006A5500" w:rsidRPr="00577AE6">
        <w:rPr>
          <w:rFonts w:ascii="Arial" w:eastAsia="Calibri" w:hAnsi="Arial" w:cs="Arial"/>
          <w:sz w:val="22"/>
          <w:lang w:val="es-ES_tradnl"/>
        </w:rPr>
        <w:t>3</w:t>
      </w:r>
      <w:r w:rsidR="00FD4AF3" w:rsidRPr="00577AE6">
        <w:rPr>
          <w:rFonts w:ascii="Arial" w:eastAsia="Calibri" w:hAnsi="Arial" w:cs="Arial"/>
          <w:sz w:val="22"/>
          <w:lang w:val="es-ES_tradnl"/>
        </w:rPr>
        <w:t xml:space="preserve"> de </w:t>
      </w:r>
      <w:r w:rsidR="006A5500" w:rsidRPr="00577AE6">
        <w:rPr>
          <w:rFonts w:ascii="Arial" w:eastAsia="Calibri" w:hAnsi="Arial" w:cs="Arial"/>
          <w:sz w:val="22"/>
          <w:lang w:val="es-ES_tradnl"/>
        </w:rPr>
        <w:t>mayo</w:t>
      </w:r>
      <w:r w:rsidRPr="00577AE6">
        <w:rPr>
          <w:rFonts w:ascii="Arial" w:eastAsia="Calibri" w:hAnsi="Arial" w:cs="Arial"/>
          <w:sz w:val="22"/>
          <w:lang w:val="es-ES_tradnl"/>
        </w:rPr>
        <w:t xml:space="preserve"> de</w:t>
      </w:r>
      <w:r w:rsidR="007E74BF" w:rsidRPr="00577AE6">
        <w:rPr>
          <w:rFonts w:ascii="Arial" w:eastAsia="Calibri" w:hAnsi="Arial" w:cs="Arial"/>
          <w:sz w:val="22"/>
          <w:lang w:val="es-ES_tradnl"/>
        </w:rPr>
        <w:t xml:space="preserve"> </w:t>
      </w:r>
      <w:r w:rsidRPr="00577AE6">
        <w:rPr>
          <w:rFonts w:ascii="Arial" w:eastAsia="Calibri" w:hAnsi="Arial" w:cs="Arial"/>
          <w:sz w:val="22"/>
          <w:lang w:val="es-ES_tradnl"/>
        </w:rPr>
        <w:t>202</w:t>
      </w:r>
      <w:r w:rsidR="00FB0880" w:rsidRPr="00577AE6">
        <w:rPr>
          <w:rFonts w:ascii="Arial" w:eastAsia="Calibri" w:hAnsi="Arial" w:cs="Arial"/>
          <w:sz w:val="22"/>
          <w:lang w:val="es-ES_tradnl"/>
        </w:rPr>
        <w:t>1</w:t>
      </w:r>
      <w:r w:rsidR="008C3C57" w:rsidRPr="00577AE6">
        <w:rPr>
          <w:rFonts w:ascii="Arial" w:eastAsia="Calibri" w:hAnsi="Arial" w:cs="Arial"/>
          <w:sz w:val="22"/>
          <w:lang w:val="es-ES_tradnl"/>
        </w:rPr>
        <w:t>.</w:t>
      </w:r>
    </w:p>
    <w:p w14:paraId="7D144A88" w14:textId="77777777" w:rsidR="00577AE6" w:rsidRPr="00577AE6" w:rsidRDefault="00577AE6" w:rsidP="00DF76A2">
      <w:pPr>
        <w:spacing w:line="276" w:lineRule="auto"/>
        <w:jc w:val="both"/>
        <w:rPr>
          <w:rFonts w:ascii="Arial" w:eastAsia="Calibri" w:hAnsi="Arial" w:cs="Arial"/>
          <w:b/>
          <w:sz w:val="22"/>
          <w:lang w:val="es-ES_tradnl"/>
        </w:rPr>
      </w:pPr>
    </w:p>
    <w:p w14:paraId="7701FCC7" w14:textId="5B41A300" w:rsidR="00DD5B04" w:rsidRPr="00577AE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577AE6">
        <w:rPr>
          <w:rFonts w:ascii="Arial" w:eastAsia="Calibri" w:hAnsi="Arial" w:cs="Arial"/>
          <w:b/>
          <w:sz w:val="22"/>
          <w:lang w:val="es-ES_tradnl"/>
        </w:rPr>
        <w:t>Problema</w:t>
      </w:r>
      <w:r w:rsidR="00652F29" w:rsidRPr="00577AE6">
        <w:rPr>
          <w:rFonts w:ascii="Arial" w:eastAsia="Calibri" w:hAnsi="Arial" w:cs="Arial"/>
          <w:b/>
          <w:sz w:val="22"/>
          <w:lang w:val="es-ES_tradnl"/>
        </w:rPr>
        <w:t>s</w:t>
      </w:r>
      <w:r w:rsidRPr="00577AE6">
        <w:rPr>
          <w:rFonts w:ascii="Arial" w:eastAsia="Calibri" w:hAnsi="Arial" w:cs="Arial"/>
          <w:b/>
          <w:sz w:val="22"/>
          <w:lang w:val="es-ES_tradnl"/>
        </w:rPr>
        <w:t xml:space="preserve"> planteado</w:t>
      </w:r>
      <w:r w:rsidR="00652F29" w:rsidRPr="00577AE6">
        <w:rPr>
          <w:rFonts w:ascii="Arial" w:eastAsia="Calibri" w:hAnsi="Arial" w:cs="Arial"/>
          <w:b/>
          <w:sz w:val="22"/>
          <w:lang w:val="es-ES_tradnl"/>
        </w:rPr>
        <w:t>s</w:t>
      </w:r>
      <w:r w:rsidRPr="00577AE6">
        <w:rPr>
          <w:rFonts w:ascii="Arial" w:eastAsia="Calibri" w:hAnsi="Arial" w:cs="Arial"/>
          <w:b/>
          <w:sz w:val="22"/>
          <w:lang w:val="es-ES_tradnl"/>
        </w:rPr>
        <w:t xml:space="preserve"> </w:t>
      </w:r>
    </w:p>
    <w:p w14:paraId="5B04778B" w14:textId="77777777" w:rsidR="00883E91" w:rsidRPr="00577AE6" w:rsidRDefault="00883E91" w:rsidP="00577AE6">
      <w:pPr>
        <w:pStyle w:val="Default"/>
        <w:jc w:val="both"/>
        <w:rPr>
          <w:rFonts w:eastAsia="Calibri"/>
          <w:color w:val="auto"/>
          <w:sz w:val="22"/>
        </w:rPr>
      </w:pPr>
    </w:p>
    <w:p w14:paraId="6F5F377D" w14:textId="77777777" w:rsidR="007D7E82" w:rsidRPr="00577AE6" w:rsidRDefault="00883E91" w:rsidP="007D7E82">
      <w:pPr>
        <w:pStyle w:val="Default"/>
        <w:spacing w:after="120" w:line="276" w:lineRule="auto"/>
        <w:jc w:val="both"/>
        <w:rPr>
          <w:rFonts w:eastAsia="Calibri"/>
          <w:color w:val="auto"/>
          <w:sz w:val="22"/>
        </w:rPr>
      </w:pPr>
      <w:r w:rsidRPr="00577AE6">
        <w:rPr>
          <w:rFonts w:eastAsia="Calibri"/>
          <w:color w:val="auto"/>
          <w:sz w:val="22"/>
        </w:rPr>
        <w:t>El peticionario relata una serie de</w:t>
      </w:r>
      <w:r w:rsidR="00F14A6D" w:rsidRPr="00577AE6">
        <w:rPr>
          <w:rFonts w:eastAsia="Calibri"/>
          <w:color w:val="auto"/>
          <w:sz w:val="22"/>
        </w:rPr>
        <w:t xml:space="preserve"> hechos sucedidos en el marco de diferentes procesos contractuales</w:t>
      </w:r>
      <w:r w:rsidR="006313DF" w:rsidRPr="00577AE6">
        <w:rPr>
          <w:rFonts w:eastAsia="Calibri"/>
          <w:color w:val="auto"/>
          <w:sz w:val="22"/>
        </w:rPr>
        <w:t>, en los que se evidencia</w:t>
      </w:r>
      <w:r w:rsidR="00A65EA7" w:rsidRPr="00577AE6">
        <w:rPr>
          <w:rFonts w:eastAsia="Calibri"/>
          <w:color w:val="auto"/>
          <w:sz w:val="22"/>
        </w:rPr>
        <w:t xml:space="preserve"> una aplicación disímil de</w:t>
      </w:r>
      <w:r w:rsidR="004831FB" w:rsidRPr="00577AE6">
        <w:rPr>
          <w:rFonts w:eastAsia="Calibri"/>
          <w:color w:val="auto"/>
          <w:sz w:val="22"/>
        </w:rPr>
        <w:t>l factor de desempate del artículo 35.4 de la Ley 2069 de 2020</w:t>
      </w:r>
      <w:r w:rsidR="0026204F" w:rsidRPr="00577AE6">
        <w:rPr>
          <w:rFonts w:eastAsia="Calibri"/>
          <w:color w:val="auto"/>
          <w:sz w:val="22"/>
        </w:rPr>
        <w:t>, asuntos sobre los que se solicita aclaración</w:t>
      </w:r>
      <w:r w:rsidR="00623093" w:rsidRPr="00577AE6">
        <w:rPr>
          <w:rFonts w:eastAsia="Calibri"/>
          <w:color w:val="auto"/>
          <w:sz w:val="22"/>
        </w:rPr>
        <w:t xml:space="preserve">. </w:t>
      </w:r>
    </w:p>
    <w:p w14:paraId="7AE14E53" w14:textId="6F1F0847" w:rsidR="00720222" w:rsidRPr="00577AE6" w:rsidRDefault="00883E91" w:rsidP="00577AE6">
      <w:pPr>
        <w:pStyle w:val="Default"/>
        <w:spacing w:line="276" w:lineRule="auto"/>
        <w:ind w:firstLine="708"/>
        <w:jc w:val="both"/>
        <w:rPr>
          <w:rFonts w:eastAsia="Calibri"/>
          <w:color w:val="auto"/>
          <w:sz w:val="22"/>
        </w:rPr>
      </w:pPr>
      <w:r w:rsidRPr="00577AE6">
        <w:rPr>
          <w:rFonts w:eastAsia="Calibri"/>
          <w:color w:val="auto"/>
          <w:sz w:val="22"/>
        </w:rPr>
        <w:lastRenderedPageBreak/>
        <w:t>De l</w:t>
      </w:r>
      <w:r w:rsidR="00720222" w:rsidRPr="00577AE6">
        <w:rPr>
          <w:rFonts w:eastAsia="Calibri"/>
          <w:color w:val="auto"/>
          <w:sz w:val="22"/>
        </w:rPr>
        <w:t xml:space="preserve">o relatado por el peticionario </w:t>
      </w:r>
      <w:r w:rsidRPr="00577AE6">
        <w:rPr>
          <w:rFonts w:eastAsia="Calibri"/>
          <w:color w:val="auto"/>
          <w:sz w:val="22"/>
        </w:rPr>
        <w:t xml:space="preserve">se coligen las siguientes preguntas: i) </w:t>
      </w:r>
      <w:proofErr w:type="gramStart"/>
      <w:r w:rsidR="00541D68" w:rsidRPr="00577AE6">
        <w:rPr>
          <w:rFonts w:eastAsia="Calibri"/>
          <w:color w:val="auto"/>
          <w:sz w:val="22"/>
        </w:rPr>
        <w:t xml:space="preserve">¿Se puede tener en cuenta a personas vinculadas en la condición de </w:t>
      </w:r>
      <w:proofErr w:type="spellStart"/>
      <w:r w:rsidR="00541D68" w:rsidRPr="00577AE6">
        <w:rPr>
          <w:rFonts w:eastAsia="Calibri"/>
          <w:i/>
          <w:iCs/>
          <w:color w:val="auto"/>
          <w:sz w:val="22"/>
        </w:rPr>
        <w:t>pre-pensionados</w:t>
      </w:r>
      <w:proofErr w:type="spellEnd"/>
      <w:r w:rsidR="00541D68" w:rsidRPr="00577AE6">
        <w:rPr>
          <w:rFonts w:eastAsia="Calibri"/>
          <w:color w:val="auto"/>
          <w:sz w:val="22"/>
        </w:rPr>
        <w:t xml:space="preserve"> a efectos de aplicar el factor de desempate del artículo 35</w:t>
      </w:r>
      <w:r w:rsidR="00A6723C" w:rsidRPr="00577AE6">
        <w:rPr>
          <w:rFonts w:eastAsia="Calibri"/>
          <w:color w:val="auto"/>
          <w:sz w:val="22"/>
        </w:rPr>
        <w:t>.</w:t>
      </w:r>
      <w:proofErr w:type="gramEnd"/>
      <w:r w:rsidR="007D7E82" w:rsidRPr="00577AE6">
        <w:rPr>
          <w:rFonts w:eastAsia="Calibri"/>
          <w:color w:val="auto"/>
          <w:sz w:val="22"/>
        </w:rPr>
        <w:t xml:space="preserve">4?; </w:t>
      </w:r>
      <w:proofErr w:type="spellStart"/>
      <w:r w:rsidR="007D7E82" w:rsidRPr="00577AE6">
        <w:rPr>
          <w:rFonts w:eastAsia="Calibri"/>
          <w:color w:val="auto"/>
          <w:sz w:val="22"/>
        </w:rPr>
        <w:t>ii</w:t>
      </w:r>
      <w:proofErr w:type="spellEnd"/>
      <w:r w:rsidR="007D7E82" w:rsidRPr="00577AE6">
        <w:rPr>
          <w:rFonts w:eastAsia="Calibri"/>
          <w:color w:val="auto"/>
          <w:sz w:val="22"/>
        </w:rPr>
        <w:t>) ¿Cuál es la edad a partir de las cual se considera a una persona mayor? ¿Debe entenderse de acuerdo con lo dispuesto en el artículo 36 de la Ley 100 de 1993?</w:t>
      </w:r>
      <w:r w:rsidR="00A6723C" w:rsidRPr="00577AE6">
        <w:rPr>
          <w:rFonts w:eastAsia="Calibri"/>
          <w:color w:val="auto"/>
          <w:sz w:val="22"/>
        </w:rPr>
        <w:t>;</w:t>
      </w:r>
      <w:r w:rsidR="007D7E82" w:rsidRPr="00577AE6">
        <w:rPr>
          <w:rFonts w:eastAsia="Calibri"/>
          <w:color w:val="auto"/>
          <w:sz w:val="22"/>
        </w:rPr>
        <w:t xml:space="preserve"> </w:t>
      </w:r>
      <w:proofErr w:type="spellStart"/>
      <w:r w:rsidR="007D7E82" w:rsidRPr="00577AE6">
        <w:rPr>
          <w:rFonts w:eastAsia="Calibri"/>
          <w:color w:val="auto"/>
          <w:sz w:val="22"/>
        </w:rPr>
        <w:t>iii</w:t>
      </w:r>
      <w:proofErr w:type="spellEnd"/>
      <w:r w:rsidR="007D7E82" w:rsidRPr="00577AE6">
        <w:rPr>
          <w:rFonts w:eastAsia="Calibri"/>
          <w:color w:val="auto"/>
          <w:sz w:val="22"/>
        </w:rPr>
        <w:t>)</w:t>
      </w:r>
      <w:r w:rsidR="00A47FC8">
        <w:rPr>
          <w:rFonts w:eastAsia="Calibri"/>
          <w:color w:val="auto"/>
          <w:sz w:val="22"/>
        </w:rPr>
        <w:t xml:space="preserve"> </w:t>
      </w:r>
      <w:proofErr w:type="gramStart"/>
      <w:r w:rsidR="007D7E82" w:rsidRPr="00577AE6">
        <w:rPr>
          <w:rFonts w:eastAsia="Calibri"/>
          <w:color w:val="auto"/>
          <w:sz w:val="22"/>
        </w:rPr>
        <w:t>¿Cómo debe aplicarse el factor de desempate artículo 35.</w:t>
      </w:r>
      <w:proofErr w:type="gramEnd"/>
      <w:r w:rsidR="007D7E82" w:rsidRPr="00577AE6">
        <w:rPr>
          <w:rFonts w:eastAsia="Calibri"/>
          <w:color w:val="auto"/>
          <w:sz w:val="22"/>
        </w:rPr>
        <w:t>4 a proponentes plurales? ¿Debe acreditarlo el proponente plural o deben hacerlo sus integrantes?</w:t>
      </w:r>
      <w:r w:rsidR="00541D68" w:rsidRPr="00577AE6">
        <w:rPr>
          <w:rFonts w:eastAsia="Calibri"/>
          <w:color w:val="auto"/>
          <w:sz w:val="22"/>
        </w:rPr>
        <w:t xml:space="preserve">; </w:t>
      </w:r>
      <w:proofErr w:type="spellStart"/>
      <w:r w:rsidR="007D7E82" w:rsidRPr="00577AE6">
        <w:rPr>
          <w:rFonts w:eastAsia="Calibri"/>
          <w:color w:val="auto"/>
          <w:sz w:val="22"/>
        </w:rPr>
        <w:t>iv</w:t>
      </w:r>
      <w:proofErr w:type="spellEnd"/>
      <w:r w:rsidR="007D7E82" w:rsidRPr="00577AE6">
        <w:rPr>
          <w:rFonts w:eastAsia="Calibri"/>
          <w:color w:val="auto"/>
          <w:sz w:val="22"/>
        </w:rPr>
        <w:t>) ¿Como aplica lo dispuesto en el parágrafo segundo del artículo 35 para proponentes plurales en relación con el</w:t>
      </w:r>
      <w:r w:rsidR="00A6723C" w:rsidRPr="00577AE6">
        <w:rPr>
          <w:rFonts w:eastAsia="Calibri"/>
          <w:color w:val="auto"/>
          <w:sz w:val="22"/>
        </w:rPr>
        <w:t xml:space="preserve"> </w:t>
      </w:r>
      <w:r w:rsidR="007D7E82" w:rsidRPr="00577AE6">
        <w:rPr>
          <w:rFonts w:eastAsia="Calibri"/>
          <w:color w:val="auto"/>
          <w:sz w:val="22"/>
        </w:rPr>
        <w:t>factor de desempate del numeral 4 de dicha norma? ¿Es exigible la antigüedad de un año del correspondiente personal como condición para beneficiarse del factor de desempate?</w:t>
      </w:r>
    </w:p>
    <w:p w14:paraId="56A6C204" w14:textId="77777777" w:rsidR="00A216F9" w:rsidRPr="00577AE6" w:rsidRDefault="00A216F9" w:rsidP="00116D7E">
      <w:pPr>
        <w:spacing w:line="276" w:lineRule="auto"/>
        <w:ind w:left="709" w:right="709"/>
        <w:jc w:val="both"/>
        <w:rPr>
          <w:rFonts w:ascii="Arial" w:hAnsi="Arial" w:cs="Arial"/>
          <w:sz w:val="22"/>
          <w:szCs w:val="22"/>
        </w:rPr>
      </w:pPr>
    </w:p>
    <w:p w14:paraId="124D2DCA" w14:textId="081130B7" w:rsidR="00DD5B04" w:rsidRPr="00577AE6"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577AE6">
        <w:rPr>
          <w:rFonts w:ascii="Arial" w:eastAsia="Calibri" w:hAnsi="Arial" w:cs="Arial"/>
          <w:b/>
          <w:sz w:val="22"/>
          <w:lang w:val="es-ES_tradnl"/>
        </w:rPr>
        <w:t>Consideraciones</w:t>
      </w:r>
    </w:p>
    <w:p w14:paraId="16868731" w14:textId="77777777" w:rsidR="002F60B8" w:rsidRPr="00577AE6" w:rsidRDefault="002F60B8" w:rsidP="002F60B8">
      <w:pPr>
        <w:pStyle w:val="Prrafodelista"/>
        <w:tabs>
          <w:tab w:val="left" w:pos="0"/>
          <w:tab w:val="left" w:pos="284"/>
        </w:tabs>
        <w:ind w:left="0"/>
        <w:jc w:val="both"/>
        <w:rPr>
          <w:rFonts w:ascii="Arial" w:eastAsia="Calibri" w:hAnsi="Arial" w:cs="Arial"/>
          <w:b/>
          <w:sz w:val="22"/>
          <w:lang w:val="es-ES_tradnl"/>
        </w:rPr>
      </w:pPr>
    </w:p>
    <w:p w14:paraId="7D050D2E" w14:textId="10B5AEC9" w:rsidR="00435703" w:rsidRPr="00577AE6" w:rsidRDefault="00B608A1" w:rsidP="0073131B">
      <w:pPr>
        <w:spacing w:after="120" w:line="276" w:lineRule="auto"/>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Antes de proceder </w:t>
      </w:r>
      <w:r w:rsidR="00EB1D16">
        <w:rPr>
          <w:rFonts w:ascii="Arial" w:eastAsia="Calibri" w:hAnsi="Arial" w:cs="Arial"/>
          <w:sz w:val="22"/>
          <w:szCs w:val="22"/>
          <w:lang w:val="es-ES_tradnl"/>
        </w:rPr>
        <w:t xml:space="preserve">a </w:t>
      </w:r>
      <w:r w:rsidRPr="00577AE6">
        <w:rPr>
          <w:rFonts w:ascii="Arial" w:eastAsia="Calibri" w:hAnsi="Arial" w:cs="Arial"/>
          <w:sz w:val="22"/>
          <w:szCs w:val="22"/>
          <w:lang w:val="es-ES_tradnl"/>
        </w:rPr>
        <w:t>responder las preguntas señaladas debe advertirse que, d</w:t>
      </w:r>
      <w:r w:rsidR="002F60B8" w:rsidRPr="00577AE6">
        <w:rPr>
          <w:rFonts w:ascii="Arial" w:eastAsia="Calibri" w:hAnsi="Arial" w:cs="Arial"/>
          <w:sz w:val="22"/>
          <w:szCs w:val="22"/>
          <w:lang w:val="es-ES_tradnl"/>
        </w:rPr>
        <w:t>e conformidad con la competencia consultiva otorgada por el numeral 5 del artículo 3 y el numeral 8 del artículo 11 del Decreto Ley 4170 de 2011, la Agencia Nacional de Contratación Pública</w:t>
      </w:r>
      <w:r w:rsidRPr="00577AE6">
        <w:rPr>
          <w:rFonts w:ascii="Arial" w:eastAsia="Calibri" w:hAnsi="Arial" w:cs="Arial"/>
          <w:sz w:val="22"/>
          <w:szCs w:val="22"/>
          <w:lang w:val="es-ES_tradnl"/>
        </w:rPr>
        <w:t xml:space="preserve"> solo</w:t>
      </w:r>
      <w:r w:rsidR="002F60B8" w:rsidRPr="00577AE6">
        <w:rPr>
          <w:rFonts w:ascii="Arial" w:eastAsia="Calibri" w:hAnsi="Arial" w:cs="Arial"/>
          <w:sz w:val="22"/>
          <w:szCs w:val="22"/>
          <w:lang w:val="es-ES_tradnl"/>
        </w:rPr>
        <w:t xml:space="preserve"> está facultada para atender solicitudes relacionadas con temas contractuales, pero solo para «absolver consultas sobre la aplicación de normas de carácter general». </w:t>
      </w:r>
      <w:r w:rsidR="00CF27BD">
        <w:rPr>
          <w:rFonts w:ascii="Arial" w:eastAsia="Calibri" w:hAnsi="Arial" w:cs="Arial"/>
          <w:sz w:val="22"/>
          <w:szCs w:val="22"/>
          <w:lang w:val="es-ES_tradnl"/>
        </w:rPr>
        <w:t>Por ello</w:t>
      </w:r>
      <w:r w:rsidR="002F60B8" w:rsidRPr="00577AE6">
        <w:rPr>
          <w:rFonts w:ascii="Arial" w:eastAsia="Calibri" w:hAnsi="Arial" w:cs="Arial"/>
          <w:sz w:val="22"/>
          <w:szCs w:val="22"/>
          <w:lang w:val="es-ES_tradnl"/>
        </w:rPr>
        <w:t>, la Agencia no tiene atribuciones para resolver casos particulares, ni para validar hipótesis o actuaciones</w:t>
      </w:r>
      <w:r w:rsidRPr="00577AE6">
        <w:rPr>
          <w:rFonts w:ascii="Arial" w:eastAsia="Calibri" w:hAnsi="Arial" w:cs="Arial"/>
          <w:sz w:val="22"/>
          <w:szCs w:val="22"/>
          <w:lang w:val="es-ES_tradnl"/>
        </w:rPr>
        <w:t>, ni para referirse a procesos de contratación en concreto desarrollados por las entidades estatales</w:t>
      </w:r>
      <w:r w:rsidR="002F60B8" w:rsidRPr="00577AE6">
        <w:rPr>
          <w:rFonts w:ascii="Arial" w:eastAsia="Calibri" w:hAnsi="Arial" w:cs="Arial"/>
          <w:sz w:val="22"/>
          <w:szCs w:val="22"/>
          <w:lang w:val="es-ES_tradnl"/>
        </w:rPr>
        <w:t>. En tales términos, se procederá a absolver la solicitud de consulta de conformidad con los interrogantes arriba precisados, explicando la postura de la Agencia sobre la aplicación de las normas relevantes, con el alcance señalado por el artículo 28 del Código de Procedimiento Administrativo y de lo Contencioso Administrativo.</w:t>
      </w:r>
    </w:p>
    <w:p w14:paraId="305BC2F1" w14:textId="03075DC8" w:rsidR="003C4317" w:rsidRPr="00577AE6" w:rsidRDefault="0073131B" w:rsidP="0073131B">
      <w:pPr>
        <w:spacing w:line="276" w:lineRule="auto"/>
        <w:ind w:firstLine="708"/>
        <w:jc w:val="both"/>
        <w:rPr>
          <w:rFonts w:ascii="Arial" w:eastAsia="Calibri" w:hAnsi="Arial" w:cs="Arial"/>
          <w:sz w:val="22"/>
          <w:szCs w:val="22"/>
          <w:lang w:val="es-ES_tradnl"/>
        </w:rPr>
      </w:pPr>
      <w:r w:rsidRPr="00577AE6">
        <w:rPr>
          <w:rFonts w:ascii="Arial" w:eastAsia="Calibri" w:hAnsi="Arial" w:cs="Arial"/>
          <w:sz w:val="22"/>
          <w:szCs w:val="22"/>
          <w:lang w:val="es-ES_tradnl"/>
        </w:rPr>
        <w:t>Dicho lo anterior, l</w:t>
      </w:r>
      <w:r w:rsidR="008E30C4" w:rsidRPr="00577AE6">
        <w:rPr>
          <w:rFonts w:ascii="Arial" w:eastAsia="Calibri" w:hAnsi="Arial" w:cs="Arial"/>
          <w:sz w:val="22"/>
          <w:szCs w:val="22"/>
          <w:lang w:val="es-ES_tradnl"/>
        </w:rPr>
        <w:t xml:space="preserve">a Subdirección de Gestión Contractual responderá </w:t>
      </w:r>
      <w:r w:rsidR="00271230" w:rsidRPr="00577AE6">
        <w:rPr>
          <w:rFonts w:ascii="Arial" w:eastAsia="Calibri" w:hAnsi="Arial" w:cs="Arial"/>
          <w:sz w:val="22"/>
          <w:szCs w:val="22"/>
          <w:lang w:val="es-ES_tradnl"/>
        </w:rPr>
        <w:t>la consulta</w:t>
      </w:r>
      <w:r w:rsidR="008E30C4" w:rsidRPr="00577AE6">
        <w:rPr>
          <w:rFonts w:ascii="Arial" w:eastAsia="Calibri" w:hAnsi="Arial" w:cs="Arial"/>
          <w:sz w:val="22"/>
          <w:szCs w:val="22"/>
          <w:lang w:val="es-ES_tradnl"/>
        </w:rPr>
        <w:t xml:space="preserve">, </w:t>
      </w:r>
      <w:r w:rsidR="00271230" w:rsidRPr="00577AE6">
        <w:rPr>
          <w:rFonts w:ascii="Arial" w:eastAsia="Calibri" w:hAnsi="Arial" w:cs="Arial"/>
          <w:sz w:val="22"/>
          <w:szCs w:val="22"/>
          <w:lang w:val="es-ES_tradnl"/>
        </w:rPr>
        <w:t>luego de analizar los</w:t>
      </w:r>
      <w:r w:rsidR="00822EC4" w:rsidRPr="00577AE6">
        <w:rPr>
          <w:rFonts w:ascii="Arial" w:eastAsia="Calibri" w:hAnsi="Arial" w:cs="Arial"/>
          <w:sz w:val="22"/>
          <w:szCs w:val="22"/>
          <w:lang w:val="es-ES_tradnl"/>
        </w:rPr>
        <w:t xml:space="preserve"> siguientes temas: </w:t>
      </w:r>
      <w:r w:rsidR="00833ADA" w:rsidRPr="00577AE6">
        <w:rPr>
          <w:rFonts w:ascii="Arial" w:eastAsia="Calibri" w:hAnsi="Arial" w:cs="Arial"/>
          <w:sz w:val="22"/>
          <w:szCs w:val="22"/>
          <w:lang w:val="es-ES_tradnl"/>
        </w:rPr>
        <w:t xml:space="preserve">i) definición de los criterios de desempate en la contratación estatal, </w:t>
      </w:r>
      <w:proofErr w:type="spellStart"/>
      <w:r w:rsidR="00822EC4" w:rsidRPr="00577AE6">
        <w:rPr>
          <w:rFonts w:ascii="Arial" w:eastAsia="Calibri" w:hAnsi="Arial" w:cs="Arial"/>
          <w:sz w:val="22"/>
          <w:szCs w:val="22"/>
          <w:lang w:val="es-ES_tradnl"/>
        </w:rPr>
        <w:t>i</w:t>
      </w:r>
      <w:r w:rsidR="00833ADA" w:rsidRPr="00577AE6">
        <w:rPr>
          <w:rFonts w:ascii="Arial" w:eastAsia="Calibri" w:hAnsi="Arial" w:cs="Arial"/>
          <w:sz w:val="22"/>
          <w:szCs w:val="22"/>
          <w:lang w:val="es-ES_tradnl"/>
        </w:rPr>
        <w:t>i</w:t>
      </w:r>
      <w:proofErr w:type="spellEnd"/>
      <w:r w:rsidR="00822EC4" w:rsidRPr="00577AE6">
        <w:rPr>
          <w:rFonts w:ascii="Arial" w:eastAsia="Calibri" w:hAnsi="Arial" w:cs="Arial"/>
          <w:sz w:val="22"/>
          <w:szCs w:val="22"/>
          <w:lang w:val="es-ES_tradnl"/>
        </w:rPr>
        <w:t>)</w:t>
      </w:r>
      <w:r w:rsidR="00A12574" w:rsidRPr="00577AE6">
        <w:rPr>
          <w:rFonts w:ascii="Arial" w:eastAsia="Calibri" w:hAnsi="Arial" w:cs="Arial"/>
          <w:sz w:val="22"/>
          <w:szCs w:val="22"/>
          <w:lang w:val="es-ES_tradnl"/>
        </w:rPr>
        <w:t xml:space="preserve"> vigencia y ámbito de aplicación de la Ley </w:t>
      </w:r>
      <w:r w:rsidR="007B209C" w:rsidRPr="00577AE6">
        <w:rPr>
          <w:rFonts w:ascii="Arial" w:eastAsia="Calibri" w:hAnsi="Arial" w:cs="Arial"/>
          <w:sz w:val="22"/>
          <w:szCs w:val="22"/>
          <w:lang w:val="es-ES_tradnl"/>
        </w:rPr>
        <w:t>2069</w:t>
      </w:r>
      <w:r w:rsidR="00A12574" w:rsidRPr="00577AE6">
        <w:rPr>
          <w:rFonts w:ascii="Arial" w:eastAsia="Calibri" w:hAnsi="Arial" w:cs="Arial"/>
          <w:sz w:val="22"/>
          <w:szCs w:val="22"/>
          <w:lang w:val="es-ES_tradnl"/>
        </w:rPr>
        <w:t xml:space="preserve"> de 2020 y</w:t>
      </w:r>
      <w:r w:rsidR="00833ADA" w:rsidRPr="00577AE6">
        <w:rPr>
          <w:rFonts w:ascii="Arial" w:eastAsia="Calibri" w:hAnsi="Arial" w:cs="Arial"/>
          <w:sz w:val="22"/>
          <w:szCs w:val="22"/>
          <w:lang w:val="es-ES_tradnl"/>
        </w:rPr>
        <w:t xml:space="preserve"> </w:t>
      </w:r>
      <w:proofErr w:type="spellStart"/>
      <w:r w:rsidR="00523F41" w:rsidRPr="00577AE6">
        <w:rPr>
          <w:rFonts w:ascii="Arial" w:eastAsia="Calibri" w:hAnsi="Arial" w:cs="Arial"/>
          <w:sz w:val="22"/>
          <w:szCs w:val="22"/>
          <w:lang w:val="es-ES_tradnl"/>
        </w:rPr>
        <w:t>iii</w:t>
      </w:r>
      <w:proofErr w:type="spellEnd"/>
      <w:r w:rsidR="00523F41" w:rsidRPr="00577AE6">
        <w:rPr>
          <w:rFonts w:ascii="Arial" w:eastAsia="Calibri" w:hAnsi="Arial" w:cs="Arial"/>
          <w:sz w:val="22"/>
          <w:szCs w:val="22"/>
          <w:lang w:val="es-ES_tradnl"/>
        </w:rPr>
        <w:t xml:space="preserve">) </w:t>
      </w:r>
      <w:r w:rsidR="004E553A" w:rsidRPr="00577AE6">
        <w:rPr>
          <w:rFonts w:ascii="Arial" w:eastAsia="Calibri" w:hAnsi="Arial" w:cs="Arial"/>
          <w:sz w:val="22"/>
          <w:szCs w:val="22"/>
          <w:lang w:val="es-ES_tradnl"/>
        </w:rPr>
        <w:t>aplicación y acreditación del factor de desempate consagrado en el numeral 4 del artículo 35 de la Ley 2069 de 2020 respecto de proponentes plurales</w:t>
      </w:r>
    </w:p>
    <w:p w14:paraId="1144E6B3" w14:textId="24FF02BA" w:rsidR="00C8331F" w:rsidRPr="00577AE6" w:rsidRDefault="00EC1DAE" w:rsidP="00C8331F">
      <w:pPr>
        <w:spacing w:before="120" w:line="276" w:lineRule="auto"/>
        <w:ind w:firstLine="709"/>
        <w:jc w:val="both"/>
        <w:rPr>
          <w:rFonts w:ascii="Arial" w:eastAsia="Calibri" w:hAnsi="Arial" w:cs="Arial"/>
          <w:sz w:val="22"/>
          <w:szCs w:val="22"/>
        </w:rPr>
      </w:pPr>
      <w:r w:rsidRPr="00577AE6">
        <w:rPr>
          <w:rFonts w:ascii="Arial" w:eastAsia="Calibri" w:hAnsi="Arial" w:cs="Arial"/>
          <w:sz w:val="22"/>
          <w:szCs w:val="22"/>
          <w:lang w:val="es-ES_tradnl"/>
        </w:rPr>
        <w:t>E</w:t>
      </w:r>
      <w:r w:rsidR="00C8331F" w:rsidRPr="00577AE6">
        <w:rPr>
          <w:rFonts w:ascii="Arial" w:eastAsia="Calibri" w:hAnsi="Arial" w:cs="Arial"/>
          <w:sz w:val="22"/>
          <w:szCs w:val="22"/>
          <w:lang w:val="es-ES_tradnl"/>
        </w:rPr>
        <w:t>s importante destacar que la Agencia Nacional de Contratación Pública</w:t>
      </w:r>
      <w:r w:rsidRPr="00577AE6">
        <w:rPr>
          <w:rFonts w:ascii="Arial" w:eastAsia="Calibri" w:hAnsi="Arial" w:cs="Arial"/>
          <w:sz w:val="22"/>
          <w:szCs w:val="22"/>
          <w:lang w:val="es-ES_tradnl"/>
        </w:rPr>
        <w:t xml:space="preserve"> – Colombia Compra Eficiente se pronunció, en términos generales, sobre los factores de desempate en los procedimientos de contratación estatal</w:t>
      </w:r>
      <w:r w:rsidR="00442D13" w:rsidRPr="00577AE6">
        <w:rPr>
          <w:rFonts w:ascii="Arial" w:eastAsia="Calibri" w:hAnsi="Arial" w:cs="Arial"/>
          <w:sz w:val="22"/>
          <w:szCs w:val="22"/>
          <w:lang w:val="es-ES_tradnl"/>
        </w:rPr>
        <w:t>,</w:t>
      </w:r>
      <w:r w:rsidR="0091310F" w:rsidRPr="00577AE6">
        <w:rPr>
          <w:rFonts w:ascii="Arial" w:eastAsia="Calibri" w:hAnsi="Arial" w:cs="Arial"/>
          <w:sz w:val="22"/>
          <w:szCs w:val="22"/>
          <w:lang w:val="es-ES_tradnl"/>
        </w:rPr>
        <w:t xml:space="preserve"> en los conceptos C-285 del </w:t>
      </w:r>
      <w:r w:rsidR="00677212" w:rsidRPr="00577AE6">
        <w:rPr>
          <w:rFonts w:ascii="Arial" w:eastAsia="Calibri" w:hAnsi="Arial" w:cs="Arial"/>
          <w:sz w:val="22"/>
          <w:szCs w:val="22"/>
          <w:lang w:val="es-ES_tradnl"/>
        </w:rPr>
        <w:t>4</w:t>
      </w:r>
      <w:r w:rsidR="0091310F" w:rsidRPr="00577AE6">
        <w:rPr>
          <w:rFonts w:ascii="Arial" w:eastAsia="Calibri" w:hAnsi="Arial" w:cs="Arial"/>
          <w:sz w:val="22"/>
          <w:szCs w:val="22"/>
          <w:lang w:val="es-ES_tradnl"/>
        </w:rPr>
        <w:t xml:space="preserve"> de </w:t>
      </w:r>
      <w:r w:rsidR="00677212" w:rsidRPr="00577AE6">
        <w:rPr>
          <w:rFonts w:ascii="Arial" w:eastAsia="Calibri" w:hAnsi="Arial" w:cs="Arial"/>
          <w:sz w:val="22"/>
          <w:szCs w:val="22"/>
          <w:lang w:val="es-ES_tradnl"/>
        </w:rPr>
        <w:t>mayo</w:t>
      </w:r>
      <w:r w:rsidR="0091310F" w:rsidRPr="00577AE6">
        <w:rPr>
          <w:rFonts w:ascii="Arial" w:eastAsia="Calibri" w:hAnsi="Arial" w:cs="Arial"/>
          <w:sz w:val="22"/>
          <w:szCs w:val="22"/>
          <w:lang w:val="es-ES_tradnl"/>
        </w:rPr>
        <w:t xml:space="preserve"> de 2020, </w:t>
      </w:r>
      <w:r w:rsidR="006361C9" w:rsidRPr="00577AE6">
        <w:rPr>
          <w:rFonts w:ascii="Arial" w:eastAsia="Calibri" w:hAnsi="Arial" w:cs="Arial"/>
          <w:sz w:val="22"/>
          <w:szCs w:val="22"/>
          <w:lang w:val="es-ES_tradnl"/>
        </w:rPr>
        <w:t xml:space="preserve">C-481 del </w:t>
      </w:r>
      <w:r w:rsidR="004060DC" w:rsidRPr="00577AE6">
        <w:rPr>
          <w:rFonts w:ascii="Arial" w:eastAsia="Calibri" w:hAnsi="Arial" w:cs="Arial"/>
          <w:sz w:val="22"/>
          <w:szCs w:val="22"/>
          <w:lang w:val="es-ES_tradnl"/>
        </w:rPr>
        <w:t>27</w:t>
      </w:r>
      <w:r w:rsidR="00184219" w:rsidRPr="00577AE6">
        <w:rPr>
          <w:rFonts w:ascii="Arial" w:eastAsia="Calibri" w:hAnsi="Arial" w:cs="Arial"/>
          <w:sz w:val="22"/>
          <w:szCs w:val="22"/>
          <w:lang w:val="es-ES_tradnl"/>
        </w:rPr>
        <w:t xml:space="preserve"> de julio de 2020</w:t>
      </w:r>
      <w:r w:rsidR="006606A4" w:rsidRPr="00577AE6">
        <w:rPr>
          <w:rFonts w:ascii="Arial" w:eastAsia="Calibri" w:hAnsi="Arial" w:cs="Arial"/>
          <w:sz w:val="22"/>
          <w:szCs w:val="22"/>
          <w:lang w:val="es-ES_tradnl"/>
        </w:rPr>
        <w:t xml:space="preserve">, C-514 </w:t>
      </w:r>
      <w:r w:rsidR="002F7961" w:rsidRPr="00577AE6">
        <w:rPr>
          <w:rFonts w:ascii="Arial" w:eastAsia="Calibri" w:hAnsi="Arial" w:cs="Arial"/>
          <w:sz w:val="22"/>
          <w:szCs w:val="22"/>
          <w:lang w:val="es-ES_tradnl"/>
        </w:rPr>
        <w:t xml:space="preserve">y C-535 </w:t>
      </w:r>
      <w:r w:rsidR="006606A4" w:rsidRPr="00577AE6">
        <w:rPr>
          <w:rFonts w:ascii="Arial" w:eastAsia="Calibri" w:hAnsi="Arial" w:cs="Arial"/>
          <w:sz w:val="22"/>
          <w:szCs w:val="22"/>
          <w:lang w:val="es-ES_tradnl"/>
        </w:rPr>
        <w:t>del 26 de agosto de 2020</w:t>
      </w:r>
      <w:r w:rsidR="004060DC" w:rsidRPr="00577AE6">
        <w:rPr>
          <w:rFonts w:ascii="Arial" w:eastAsia="Calibri" w:hAnsi="Arial" w:cs="Arial"/>
          <w:sz w:val="22"/>
          <w:szCs w:val="22"/>
          <w:lang w:val="es-ES_tradnl"/>
        </w:rPr>
        <w:t xml:space="preserve"> y </w:t>
      </w:r>
      <w:r w:rsidR="00F96079" w:rsidRPr="00577AE6">
        <w:rPr>
          <w:rFonts w:ascii="Arial" w:eastAsia="Calibri" w:hAnsi="Arial" w:cs="Arial"/>
          <w:sz w:val="22"/>
          <w:szCs w:val="22"/>
          <w:lang w:val="es-ES_tradnl"/>
        </w:rPr>
        <w:t xml:space="preserve">C-556 del </w:t>
      </w:r>
      <w:r w:rsidR="00E820F4" w:rsidRPr="00577AE6">
        <w:rPr>
          <w:rFonts w:ascii="Arial" w:eastAsia="Calibri" w:hAnsi="Arial" w:cs="Arial"/>
          <w:sz w:val="22"/>
          <w:szCs w:val="22"/>
          <w:lang w:val="es-ES_tradnl"/>
        </w:rPr>
        <w:t>31 de agosto de 2020</w:t>
      </w:r>
      <w:r w:rsidR="004060DC" w:rsidRPr="00577AE6">
        <w:rPr>
          <w:rFonts w:ascii="Arial" w:eastAsia="Calibri" w:hAnsi="Arial" w:cs="Arial"/>
          <w:sz w:val="22"/>
          <w:szCs w:val="22"/>
          <w:lang w:val="es-ES_tradnl"/>
        </w:rPr>
        <w:t xml:space="preserve">. </w:t>
      </w:r>
      <w:r w:rsidR="001A04E2" w:rsidRPr="00577AE6">
        <w:rPr>
          <w:rFonts w:ascii="Arial" w:eastAsia="Calibri" w:hAnsi="Arial" w:cs="Arial"/>
          <w:sz w:val="22"/>
          <w:szCs w:val="22"/>
          <w:lang w:val="es-ES_tradnl"/>
        </w:rPr>
        <w:t>De igual manera, en los conceptos C-009, C-012, C-013, C-015, C-016, C-026 del 04 de febrero de 2021, C-006 del 5 de febrero de 2021, C-043 del 9 de febrero de 2021,C-008 del 16 de febrero de 2021, C-081, C-087 y C-089 del 23 de febrero de 2021, C-044 del de marzo de 2021, C-056 del 8 de marzo de 2021</w:t>
      </w:r>
      <w:r w:rsidR="00343F65" w:rsidRPr="00577AE6">
        <w:rPr>
          <w:rFonts w:ascii="Arial" w:eastAsia="Calibri" w:hAnsi="Arial" w:cs="Arial"/>
          <w:sz w:val="22"/>
          <w:szCs w:val="22"/>
          <w:lang w:val="es-ES_tradnl"/>
        </w:rPr>
        <w:t xml:space="preserve">, </w:t>
      </w:r>
      <w:r w:rsidR="001A04E2" w:rsidRPr="00577AE6">
        <w:rPr>
          <w:rFonts w:ascii="Arial" w:eastAsia="Calibri" w:hAnsi="Arial" w:cs="Arial"/>
          <w:sz w:val="22"/>
          <w:szCs w:val="22"/>
          <w:lang w:val="es-ES_tradnl"/>
        </w:rPr>
        <w:t>C‒055 del 10 de marzo de 2021</w:t>
      </w:r>
      <w:r w:rsidR="00343F65" w:rsidRPr="00577AE6">
        <w:rPr>
          <w:rFonts w:ascii="Arial" w:eastAsia="Calibri" w:hAnsi="Arial" w:cs="Arial"/>
          <w:sz w:val="22"/>
          <w:szCs w:val="22"/>
          <w:lang w:val="es-ES_tradnl"/>
        </w:rPr>
        <w:t xml:space="preserve">, C-058 del 11 de marzo de 2021, C-069 del 12 de marzo de 2021, C-102 del 25 de marzo de 2021, C-114 del 13 de marzo de 2021, C-101 del 24 de marzo de 2021, C-117 </w:t>
      </w:r>
      <w:r w:rsidR="00343F65" w:rsidRPr="00577AE6">
        <w:rPr>
          <w:rFonts w:ascii="Arial" w:eastAsia="Calibri" w:hAnsi="Arial" w:cs="Arial"/>
          <w:sz w:val="22"/>
          <w:szCs w:val="22"/>
          <w:lang w:val="es-ES_tradnl"/>
        </w:rPr>
        <w:lastRenderedPageBreak/>
        <w:t>del 26 de marzo de 2021 C-136, C-138 y C-139 del 7 de abril de 2021,  C-141 del 8 de abril de 2021, C-162 de 13 de abril de 2021, C-165 del 13 de abril de 2021, C-164 del 19 de abril de 2021, C-160 del 20 de abril de 2021, C−167 del 21 de abril de 2021, C-166 del 23 de abril de 2021, C-191 del 26 de abril de 2021, C-181 y C-187 del 28 de abril de 2021, C-192 del 29 de abril de 2021, C-100 y C-206 del 3 de mayo de 2021, C−198 del 5 de mayo de 2021, C-203 del 6 de mayo de 2021,  C-180, C-207, C-209 y C-210 del 10 de mayo de 2021, C-221 del 18 de mayo de 2021, C-239 del 25 de mayo de 2021</w:t>
      </w:r>
      <w:r w:rsidR="00A30795">
        <w:rPr>
          <w:rFonts w:ascii="Arial" w:eastAsia="Calibri" w:hAnsi="Arial" w:cs="Arial"/>
          <w:sz w:val="22"/>
          <w:szCs w:val="22"/>
          <w:lang w:val="es-ES_tradnl"/>
        </w:rPr>
        <w:t>,</w:t>
      </w:r>
      <w:r w:rsidR="00343F65" w:rsidRPr="00577AE6">
        <w:rPr>
          <w:rFonts w:ascii="Arial" w:eastAsia="Calibri" w:hAnsi="Arial" w:cs="Arial"/>
          <w:sz w:val="22"/>
          <w:szCs w:val="22"/>
          <w:lang w:val="es-ES_tradnl"/>
        </w:rPr>
        <w:t xml:space="preserve"> C-235 del 27 de mayo de 2021</w:t>
      </w:r>
      <w:r w:rsidR="00A30795">
        <w:rPr>
          <w:rFonts w:ascii="Arial" w:eastAsia="Calibri" w:hAnsi="Arial" w:cs="Arial"/>
          <w:sz w:val="22"/>
          <w:szCs w:val="22"/>
          <w:lang w:val="es-ES_tradnl"/>
        </w:rPr>
        <w:t xml:space="preserve"> y C-272 del 9 de junio de 2021</w:t>
      </w:r>
      <w:r w:rsidR="00343F65" w:rsidRPr="00577AE6">
        <w:rPr>
          <w:rFonts w:ascii="Arial" w:eastAsia="Calibri" w:hAnsi="Arial" w:cs="Arial"/>
          <w:sz w:val="22"/>
          <w:szCs w:val="22"/>
          <w:lang w:val="es-ES_tradnl"/>
        </w:rPr>
        <w:t>,</w:t>
      </w:r>
      <w:r w:rsidR="001A04E2" w:rsidRPr="00577AE6">
        <w:rPr>
          <w:rFonts w:ascii="Arial" w:eastAsia="Calibri" w:hAnsi="Arial" w:cs="Arial"/>
          <w:sz w:val="22"/>
          <w:szCs w:val="22"/>
          <w:lang w:val="es-ES_tradnl"/>
        </w:rPr>
        <w:t xml:space="preserve"> se estudiaron los factores de desempate del artículo 35 de la Ley 2069 de 2020.  </w:t>
      </w:r>
      <w:r w:rsidR="002D6504" w:rsidRPr="00577AE6">
        <w:rPr>
          <w:rFonts w:ascii="Arial" w:eastAsia="Calibri" w:hAnsi="Arial" w:cs="Arial"/>
          <w:sz w:val="22"/>
          <w:szCs w:val="22"/>
          <w:lang w:val="es-ES_tradnl"/>
        </w:rPr>
        <w:t>Algunas de las consideraciones de estos conceptos se reiteran a continuación.</w:t>
      </w:r>
    </w:p>
    <w:p w14:paraId="331D0ECA" w14:textId="77777777" w:rsidR="003C4317" w:rsidRPr="00577AE6" w:rsidRDefault="003C4317" w:rsidP="00271230">
      <w:pPr>
        <w:spacing w:line="276" w:lineRule="auto"/>
        <w:jc w:val="both"/>
        <w:rPr>
          <w:rFonts w:ascii="Arial" w:eastAsia="Calibri" w:hAnsi="Arial" w:cs="Arial"/>
          <w:sz w:val="22"/>
          <w:szCs w:val="22"/>
          <w:lang w:val="es-ES_tradnl"/>
        </w:rPr>
      </w:pPr>
    </w:p>
    <w:p w14:paraId="21EF0583" w14:textId="77777777" w:rsidR="00A96C6A" w:rsidRPr="00577AE6" w:rsidRDefault="00A96C6A" w:rsidP="00A96C6A">
      <w:pPr>
        <w:spacing w:line="276" w:lineRule="auto"/>
        <w:jc w:val="both"/>
        <w:rPr>
          <w:rFonts w:ascii="Arial" w:eastAsia="Calibri" w:hAnsi="Arial" w:cs="Arial"/>
          <w:b/>
          <w:bCs/>
          <w:sz w:val="22"/>
          <w:szCs w:val="22"/>
          <w:lang w:val="es-ES_tradnl"/>
        </w:rPr>
      </w:pPr>
      <w:r w:rsidRPr="00577AE6">
        <w:rPr>
          <w:rFonts w:ascii="Arial" w:eastAsia="Calibri" w:hAnsi="Arial" w:cs="Arial"/>
          <w:b/>
          <w:bCs/>
          <w:sz w:val="22"/>
          <w:szCs w:val="22"/>
          <w:lang w:val="es-ES_tradnl"/>
        </w:rPr>
        <w:t>2.1. Factores de desempate en la contratación estatal: concepto y características</w:t>
      </w:r>
    </w:p>
    <w:p w14:paraId="69B32C0F" w14:textId="77777777" w:rsidR="00A96C6A" w:rsidRPr="00577AE6" w:rsidRDefault="00A96C6A" w:rsidP="00A96C6A">
      <w:pPr>
        <w:spacing w:line="276" w:lineRule="auto"/>
        <w:jc w:val="both"/>
        <w:rPr>
          <w:rFonts w:ascii="Arial" w:eastAsia="Calibri" w:hAnsi="Arial" w:cs="Arial"/>
          <w:sz w:val="22"/>
          <w:szCs w:val="22"/>
          <w:lang w:val="es-ES_tradnl"/>
        </w:rPr>
      </w:pPr>
    </w:p>
    <w:p w14:paraId="19AE2181" w14:textId="48DEEF96" w:rsidR="00A96C6A" w:rsidRPr="00577AE6" w:rsidRDefault="00A96C6A" w:rsidP="00A96C6A">
      <w:pPr>
        <w:spacing w:line="276" w:lineRule="auto"/>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77AE6">
        <w:rPr>
          <w:rFonts w:ascii="Arial" w:eastAsia="Calibri" w:hAnsi="Arial" w:cs="Arial"/>
          <w:sz w:val="22"/>
          <w:szCs w:val="22"/>
          <w:lang w:val="es-ES_tradnl"/>
        </w:rPr>
        <w:t>equivalentes,</w:t>
      </w:r>
      <w:proofErr w:type="gramEnd"/>
      <w:r w:rsidRPr="00577AE6">
        <w:rPr>
          <w:rFonts w:ascii="Arial" w:eastAsia="Calibri" w:hAnsi="Arial" w:cs="Arial"/>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48481479" w14:textId="44847E78" w:rsidR="00A96C6A" w:rsidRPr="00577AE6" w:rsidRDefault="00A96C6A" w:rsidP="00A96C6A">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w:t>
      </w:r>
      <w:r w:rsidR="00A30795">
        <w:rPr>
          <w:rFonts w:ascii="Arial" w:eastAsia="Calibri" w:hAnsi="Arial" w:cs="Arial"/>
          <w:sz w:val="22"/>
          <w:szCs w:val="22"/>
          <w:lang w:val="es-ES_tradnl"/>
        </w:rPr>
        <w:t xml:space="preserve">materializar </w:t>
      </w:r>
      <w:r w:rsidRPr="00577AE6">
        <w:rPr>
          <w:rFonts w:ascii="Arial" w:eastAsia="Calibri" w:hAnsi="Arial" w:cs="Arial"/>
          <w:sz w:val="22"/>
          <w:szCs w:val="22"/>
          <w:lang w:val="es-ES_tradnl"/>
        </w:rPr>
        <w:t xml:space="preserve">el principio de selección objetiva en la contratación pública. Sin embargo, en algunas ocasiones, así se establezcan requisitos habilitantes y factores de calificación </w:t>
      </w:r>
      <w:r w:rsidR="00A30795">
        <w:rPr>
          <w:rFonts w:ascii="Arial" w:eastAsia="Calibri" w:hAnsi="Arial" w:cs="Arial"/>
          <w:sz w:val="22"/>
          <w:szCs w:val="22"/>
          <w:lang w:val="es-ES_tradnl"/>
        </w:rPr>
        <w:t>adecuados</w:t>
      </w:r>
      <w:r w:rsidRPr="00577AE6">
        <w:rPr>
          <w:rFonts w:ascii="Arial" w:eastAsia="Calibri" w:hAnsi="Arial" w:cs="Arial"/>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A30795">
        <w:rPr>
          <w:rFonts w:ascii="Arial" w:eastAsia="Calibri" w:hAnsi="Arial" w:cs="Arial"/>
          <w:sz w:val="22"/>
          <w:szCs w:val="22"/>
          <w:lang w:val="es-ES_tradnl"/>
        </w:rPr>
        <w:t>equivalente</w:t>
      </w:r>
      <w:r w:rsidRPr="00577AE6">
        <w:rPr>
          <w:rFonts w:ascii="Arial" w:eastAsia="Calibri" w:hAnsi="Arial" w:cs="Arial"/>
          <w:sz w:val="22"/>
          <w:szCs w:val="22"/>
          <w:lang w:val="es-ES_tradnl"/>
        </w:rPr>
        <w:t xml:space="preserve">, al ponderarse los criterios de calificación que, en principio, aplican al procedimiento de selección. </w:t>
      </w:r>
    </w:p>
    <w:p w14:paraId="10465228" w14:textId="77777777" w:rsidR="00A96C6A" w:rsidRPr="00577AE6" w:rsidRDefault="00A96C6A" w:rsidP="00A96C6A">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w:t>
      </w:r>
      <w:r w:rsidRPr="00577AE6">
        <w:rPr>
          <w:rFonts w:ascii="Arial" w:eastAsia="Calibri" w:hAnsi="Arial" w:cs="Arial"/>
          <w:sz w:val="22"/>
          <w:szCs w:val="22"/>
          <w:lang w:val="es-ES_tradnl"/>
        </w:rPr>
        <w:lastRenderedPageBreak/>
        <w:t>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577AE6">
        <w:rPr>
          <w:rStyle w:val="Refdenotaalpie"/>
          <w:rFonts w:ascii="Arial" w:hAnsi="Arial" w:cs="Arial"/>
          <w:sz w:val="22"/>
          <w:szCs w:val="22"/>
          <w:lang w:val="es-ES_tradnl"/>
        </w:rPr>
        <w:footnoteReference w:id="2"/>
      </w:r>
      <w:r w:rsidRPr="00577AE6">
        <w:rPr>
          <w:rFonts w:ascii="Arial" w:eastAsia="Calibri" w:hAnsi="Arial" w:cs="Arial"/>
          <w:sz w:val="22"/>
          <w:szCs w:val="22"/>
          <w:lang w:val="es-ES_tradnl"/>
        </w:rPr>
        <w:t xml:space="preserve">. </w:t>
      </w:r>
    </w:p>
    <w:p w14:paraId="74CA8718" w14:textId="77777777" w:rsidR="00A96C6A" w:rsidRPr="00577AE6" w:rsidRDefault="00A96C6A" w:rsidP="00A96C6A">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577AE6">
        <w:rPr>
          <w:rFonts w:ascii="Arial" w:eastAsia="Calibri" w:hAnsi="Arial" w:cs="Arial"/>
          <w:sz w:val="22"/>
          <w:szCs w:val="22"/>
          <w:lang w:val="es-ES_tradnl"/>
        </w:rPr>
        <w:t>inaplicarlos</w:t>
      </w:r>
      <w:proofErr w:type="spellEnd"/>
      <w:r w:rsidRPr="00577AE6">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Pr="00577AE6">
        <w:rPr>
          <w:rStyle w:val="Refdenotaalpie"/>
          <w:rFonts w:ascii="Arial" w:eastAsia="Calibri" w:hAnsi="Arial" w:cs="Arial"/>
          <w:sz w:val="22"/>
          <w:szCs w:val="22"/>
          <w:lang w:val="es-ES_tradnl"/>
        </w:rPr>
        <w:footnoteReference w:id="3"/>
      </w:r>
      <w:r w:rsidRPr="00577AE6">
        <w:rPr>
          <w:rFonts w:ascii="Arial" w:eastAsia="Calibri" w:hAnsi="Arial" w:cs="Arial"/>
          <w:sz w:val="22"/>
          <w:szCs w:val="22"/>
          <w:lang w:val="es-ES_tradnl"/>
        </w:rPr>
        <w:t>. Más aún, el Consejo de Estado ha señalado que contrariar los factores de desempate genera la nulidad del contrato, conforme al artículo 44, inciso 1º de la Ley 80 de 1993</w:t>
      </w:r>
      <w:r w:rsidRPr="00577AE6">
        <w:rPr>
          <w:rStyle w:val="Refdenotaalpie"/>
          <w:rFonts w:ascii="Arial" w:eastAsia="Calibri" w:hAnsi="Arial" w:cs="Arial"/>
          <w:sz w:val="22"/>
          <w:szCs w:val="22"/>
          <w:lang w:val="es-ES_tradnl"/>
        </w:rPr>
        <w:footnoteReference w:id="4"/>
      </w:r>
      <w:r w:rsidRPr="00577AE6">
        <w:rPr>
          <w:rFonts w:ascii="Arial" w:eastAsia="Calibri" w:hAnsi="Arial" w:cs="Arial"/>
          <w:sz w:val="22"/>
          <w:szCs w:val="22"/>
          <w:lang w:val="es-ES_tradnl"/>
        </w:rPr>
        <w:t>.</w:t>
      </w:r>
    </w:p>
    <w:p w14:paraId="18AD9743" w14:textId="77777777" w:rsidR="00A96C6A" w:rsidRPr="00577AE6" w:rsidRDefault="00A96C6A" w:rsidP="00A96C6A">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Ahora bien, en cumplimiento de los principios de reciprocidad y de </w:t>
      </w:r>
      <w:r w:rsidRPr="00577AE6">
        <w:rPr>
          <w:rFonts w:ascii="Arial" w:eastAsia="Calibri" w:hAnsi="Arial" w:cs="Arial"/>
          <w:i/>
          <w:iCs/>
          <w:sz w:val="22"/>
          <w:szCs w:val="22"/>
          <w:lang w:val="es-ES_tradnl"/>
        </w:rPr>
        <w:t xml:space="preserve">pacta sunt </w:t>
      </w:r>
      <w:proofErr w:type="spellStart"/>
      <w:r w:rsidRPr="00577AE6">
        <w:rPr>
          <w:rFonts w:ascii="Arial" w:eastAsia="Calibri" w:hAnsi="Arial" w:cs="Arial"/>
          <w:i/>
          <w:iCs/>
          <w:sz w:val="22"/>
          <w:szCs w:val="22"/>
          <w:lang w:val="es-ES_tradnl"/>
        </w:rPr>
        <w:t>servanda</w:t>
      </w:r>
      <w:proofErr w:type="spellEnd"/>
      <w:r w:rsidRPr="00577AE6">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56909C69" w14:textId="77777777" w:rsidR="00A96C6A" w:rsidRPr="00577AE6" w:rsidRDefault="00A96C6A" w:rsidP="00A96C6A">
      <w:pPr>
        <w:spacing w:line="276" w:lineRule="auto"/>
        <w:rPr>
          <w:rFonts w:ascii="Arial" w:eastAsia="Calibri" w:hAnsi="Arial" w:cs="Arial"/>
          <w:sz w:val="22"/>
          <w:szCs w:val="22"/>
          <w:lang w:val="es-ES_tradnl"/>
        </w:rPr>
      </w:pPr>
    </w:p>
    <w:p w14:paraId="04CD5565" w14:textId="77777777" w:rsidR="00A96C6A" w:rsidRPr="00577AE6" w:rsidRDefault="00A96C6A" w:rsidP="00A96C6A">
      <w:pPr>
        <w:spacing w:line="276" w:lineRule="auto"/>
        <w:jc w:val="both"/>
        <w:rPr>
          <w:rFonts w:ascii="Arial" w:eastAsia="Calibri" w:hAnsi="Arial" w:cs="Arial"/>
          <w:b/>
          <w:bCs/>
          <w:sz w:val="22"/>
          <w:szCs w:val="22"/>
          <w:lang w:val="es-ES_tradnl"/>
        </w:rPr>
      </w:pPr>
      <w:r w:rsidRPr="00577AE6">
        <w:rPr>
          <w:rFonts w:ascii="Arial" w:eastAsia="Calibri" w:hAnsi="Arial" w:cs="Arial"/>
          <w:b/>
          <w:bCs/>
          <w:sz w:val="22"/>
          <w:szCs w:val="22"/>
          <w:lang w:val="es-ES_tradnl"/>
        </w:rPr>
        <w:t>2.2. Vigencia y ámbito de aplicación de la Ley 2069 de 2020</w:t>
      </w:r>
    </w:p>
    <w:p w14:paraId="5451B0B9" w14:textId="77777777" w:rsidR="00A96C6A" w:rsidRPr="00577AE6" w:rsidRDefault="00A96C6A" w:rsidP="00A96C6A">
      <w:pPr>
        <w:spacing w:line="276" w:lineRule="auto"/>
        <w:jc w:val="both"/>
        <w:rPr>
          <w:rFonts w:ascii="Arial" w:eastAsia="Calibri" w:hAnsi="Arial" w:cs="Arial"/>
          <w:sz w:val="22"/>
          <w:szCs w:val="22"/>
          <w:lang w:val="es-ES_tradnl"/>
        </w:rPr>
      </w:pPr>
    </w:p>
    <w:p w14:paraId="5CF5896A" w14:textId="77777777" w:rsidR="00A96C6A" w:rsidRPr="00577AE6" w:rsidRDefault="00A96C6A" w:rsidP="00A96C6A">
      <w:pPr>
        <w:spacing w:line="276" w:lineRule="auto"/>
        <w:jc w:val="both"/>
        <w:rPr>
          <w:rFonts w:ascii="Arial" w:eastAsia="Calibri" w:hAnsi="Arial" w:cs="Arial"/>
          <w:sz w:val="22"/>
          <w:szCs w:val="22"/>
          <w:lang w:val="es-ES_tradnl"/>
        </w:rPr>
      </w:pPr>
      <w:r w:rsidRPr="00577AE6">
        <w:rPr>
          <w:rFonts w:ascii="Arial" w:eastAsia="Calibri" w:hAnsi="Arial" w:cs="Arial"/>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52A58A0A" w14:textId="77777777" w:rsidR="00A96C6A" w:rsidRPr="00577AE6" w:rsidRDefault="00A96C6A" w:rsidP="00A96C6A">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lastRenderedPageBreak/>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77AE6">
        <w:rPr>
          <w:rFonts w:ascii="Arial" w:eastAsia="Calibri" w:hAnsi="Arial" w:cs="Arial"/>
          <w:sz w:val="22"/>
          <w:szCs w:val="22"/>
          <w:lang w:val="es-ES_tradnl"/>
        </w:rPr>
        <w:t>de acuerdo a</w:t>
      </w:r>
      <w:proofErr w:type="gramEnd"/>
      <w:r w:rsidRPr="00577AE6">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577AE6">
        <w:rPr>
          <w:rFonts w:ascii="Arial" w:eastAsia="Calibri" w:hAnsi="Arial" w:cs="Arial"/>
          <w:sz w:val="22"/>
          <w:szCs w:val="22"/>
          <w:lang w:val="es-ES_tradnl"/>
        </w:rPr>
        <w:t>mipymes</w:t>
      </w:r>
      <w:proofErr w:type="spellEnd"/>
      <w:r w:rsidRPr="00577AE6">
        <w:rPr>
          <w:rFonts w:ascii="Arial" w:eastAsia="Calibri" w:hAnsi="Arial" w:cs="Arial"/>
          <w:sz w:val="22"/>
          <w:szCs w:val="22"/>
          <w:lang w:val="es-ES_tradnl"/>
        </w:rPr>
        <w:t>–, mediante la racionalización y simplificación de los trámites y tarifas</w:t>
      </w:r>
      <w:r w:rsidRPr="00577AE6">
        <w:rPr>
          <w:rStyle w:val="Refdenotaalpie"/>
          <w:rFonts w:ascii="Arial" w:eastAsia="Calibri" w:hAnsi="Arial" w:cs="Arial"/>
          <w:sz w:val="22"/>
          <w:szCs w:val="22"/>
          <w:lang w:val="es-ES_tradnl"/>
        </w:rPr>
        <w:footnoteReference w:id="5"/>
      </w:r>
      <w:r w:rsidRPr="00577AE6">
        <w:rPr>
          <w:rFonts w:ascii="Arial" w:eastAsia="Calibri" w:hAnsi="Arial" w:cs="Arial"/>
          <w:sz w:val="22"/>
          <w:szCs w:val="22"/>
          <w:lang w:val="es-ES_tradnl"/>
        </w:rPr>
        <w:t>, así como incentivos a favor de aquellas dentro del sistema de compras y contratación pública</w:t>
      </w:r>
      <w:r w:rsidRPr="00577AE6">
        <w:rPr>
          <w:rStyle w:val="Refdenotaalpie"/>
          <w:rFonts w:ascii="Arial" w:eastAsia="Calibri" w:hAnsi="Arial" w:cs="Arial"/>
          <w:sz w:val="22"/>
          <w:szCs w:val="22"/>
          <w:lang w:val="es-ES_tradnl"/>
        </w:rPr>
        <w:footnoteReference w:id="6"/>
      </w:r>
      <w:r w:rsidRPr="00577AE6">
        <w:rPr>
          <w:rFonts w:ascii="Arial" w:eastAsia="Calibri" w:hAnsi="Arial" w:cs="Arial"/>
          <w:sz w:val="22"/>
          <w:szCs w:val="22"/>
          <w:lang w:val="es-ES_tradnl"/>
        </w:rPr>
        <w:t>. De igual forma, se consagran mecanismos de acceso al financiamiento</w:t>
      </w:r>
      <w:r w:rsidRPr="00577AE6">
        <w:rPr>
          <w:rStyle w:val="Refdenotaalpie"/>
          <w:rFonts w:ascii="Arial" w:eastAsia="Calibri" w:hAnsi="Arial" w:cs="Arial"/>
          <w:sz w:val="22"/>
          <w:szCs w:val="22"/>
          <w:lang w:val="es-ES_tradnl"/>
        </w:rPr>
        <w:footnoteReference w:id="7"/>
      </w:r>
      <w:r w:rsidRPr="00577AE6">
        <w:rPr>
          <w:rFonts w:ascii="Arial" w:eastAsia="Calibri" w:hAnsi="Arial" w:cs="Arial"/>
          <w:sz w:val="22"/>
          <w:szCs w:val="22"/>
          <w:lang w:val="es-ES_tradnl"/>
        </w:rPr>
        <w:t>, se unifican las fuentes de emprendimiento y de desarrollo empresarial, para fortalecer y promover los distintos sectores de la economía</w:t>
      </w:r>
      <w:r w:rsidRPr="00577AE6">
        <w:rPr>
          <w:rStyle w:val="Refdenotaalpie"/>
          <w:rFonts w:ascii="Arial" w:eastAsia="Calibri" w:hAnsi="Arial" w:cs="Arial"/>
          <w:sz w:val="22"/>
          <w:szCs w:val="22"/>
          <w:lang w:val="es-ES_tradnl"/>
        </w:rPr>
        <w:footnoteReference w:id="8"/>
      </w:r>
      <w:r w:rsidRPr="00577AE6">
        <w:rPr>
          <w:rFonts w:ascii="Arial" w:eastAsia="Calibri" w:hAnsi="Arial" w:cs="Arial"/>
          <w:sz w:val="22"/>
          <w:szCs w:val="22"/>
          <w:lang w:val="es-ES_tradnl"/>
        </w:rPr>
        <w:t xml:space="preserve"> y se prevén medidas de educación para el emprendimiento y la innovación</w:t>
      </w:r>
      <w:r w:rsidRPr="00577AE6">
        <w:rPr>
          <w:rStyle w:val="Refdenotaalpie"/>
          <w:rFonts w:ascii="Arial" w:eastAsia="Calibri" w:hAnsi="Arial" w:cs="Arial"/>
          <w:sz w:val="22"/>
          <w:szCs w:val="22"/>
          <w:lang w:val="es-ES_tradnl"/>
        </w:rPr>
        <w:footnoteReference w:id="9"/>
      </w:r>
      <w:r w:rsidRPr="00577AE6">
        <w:rPr>
          <w:rFonts w:ascii="Arial" w:eastAsia="Calibri" w:hAnsi="Arial" w:cs="Arial"/>
          <w:sz w:val="22"/>
          <w:szCs w:val="22"/>
          <w:lang w:val="es-ES_tradnl"/>
        </w:rPr>
        <w:t>.</w:t>
      </w:r>
    </w:p>
    <w:p w14:paraId="748F81E7" w14:textId="2061C682" w:rsidR="00EA0455" w:rsidRPr="00577AE6" w:rsidRDefault="00A96C6A" w:rsidP="00177B3E">
      <w:pPr>
        <w:spacing w:before="120" w:line="276" w:lineRule="auto"/>
        <w:ind w:firstLine="708"/>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77AE6">
        <w:rPr>
          <w:rFonts w:ascii="Arial" w:eastAsia="Calibri" w:hAnsi="Arial" w:cs="Arial"/>
          <w:sz w:val="22"/>
          <w:szCs w:val="22"/>
          <w:lang w:val="es-ES_tradnl"/>
        </w:rPr>
        <w:t>mipymes</w:t>
      </w:r>
      <w:proofErr w:type="spellEnd"/>
      <w:r w:rsidRPr="00577AE6">
        <w:rPr>
          <w:rFonts w:ascii="Arial" w:eastAsia="Calibri" w:hAnsi="Arial" w:cs="Arial"/>
          <w:sz w:val="22"/>
          <w:szCs w:val="22"/>
          <w:lang w:val="es-ES_tradnl"/>
        </w:rPr>
        <w:t xml:space="preserve"> en el procedimiento de mínima cuantía, </w:t>
      </w:r>
      <w:proofErr w:type="spellStart"/>
      <w:r w:rsidRPr="00577AE6">
        <w:rPr>
          <w:rFonts w:ascii="Arial" w:eastAsia="Calibri" w:hAnsi="Arial" w:cs="Arial"/>
          <w:sz w:val="22"/>
          <w:szCs w:val="22"/>
          <w:lang w:val="es-ES_tradnl"/>
        </w:rPr>
        <w:t>ii</w:t>
      </w:r>
      <w:proofErr w:type="spellEnd"/>
      <w:r w:rsidRPr="00577AE6">
        <w:rPr>
          <w:rFonts w:ascii="Arial" w:eastAsia="Calibri" w:hAnsi="Arial" w:cs="Arial"/>
          <w:sz w:val="22"/>
          <w:szCs w:val="22"/>
          <w:lang w:val="es-ES_tradnl"/>
        </w:rPr>
        <w:t xml:space="preserve">) criterios diferenciales para </w:t>
      </w:r>
      <w:proofErr w:type="spellStart"/>
      <w:r w:rsidRPr="00577AE6">
        <w:rPr>
          <w:rFonts w:ascii="Arial" w:eastAsia="Calibri" w:hAnsi="Arial" w:cs="Arial"/>
          <w:sz w:val="22"/>
          <w:szCs w:val="22"/>
          <w:lang w:val="es-ES_tradnl"/>
        </w:rPr>
        <w:t>mipymes</w:t>
      </w:r>
      <w:proofErr w:type="spellEnd"/>
      <w:r w:rsidRPr="00577AE6">
        <w:rPr>
          <w:rFonts w:ascii="Arial" w:eastAsia="Calibri" w:hAnsi="Arial" w:cs="Arial"/>
          <w:sz w:val="22"/>
          <w:szCs w:val="22"/>
          <w:lang w:val="es-ES_tradnl"/>
        </w:rPr>
        <w:t xml:space="preserve"> en el sistema de compras públicas, </w:t>
      </w:r>
      <w:proofErr w:type="spellStart"/>
      <w:r w:rsidRPr="00577AE6">
        <w:rPr>
          <w:rFonts w:ascii="Arial" w:eastAsia="Calibri" w:hAnsi="Arial" w:cs="Arial"/>
          <w:sz w:val="22"/>
          <w:szCs w:val="22"/>
          <w:lang w:val="es-ES_tradnl"/>
        </w:rPr>
        <w:t>iii</w:t>
      </w:r>
      <w:proofErr w:type="spellEnd"/>
      <w:r w:rsidRPr="00577AE6">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577AE6">
        <w:rPr>
          <w:rFonts w:ascii="Arial" w:eastAsia="Calibri" w:hAnsi="Arial" w:cs="Arial"/>
          <w:sz w:val="22"/>
          <w:szCs w:val="22"/>
          <w:lang w:val="es-ES_tradnl"/>
        </w:rPr>
        <w:t>iv</w:t>
      </w:r>
      <w:proofErr w:type="spellEnd"/>
      <w:r w:rsidRPr="00577AE6">
        <w:rPr>
          <w:rFonts w:ascii="Arial" w:eastAsia="Calibri" w:hAnsi="Arial" w:cs="Arial"/>
          <w:sz w:val="22"/>
          <w:szCs w:val="22"/>
          <w:lang w:val="es-ES_tradnl"/>
        </w:rPr>
        <w:t xml:space="preserve">) promoción del acceso de las </w:t>
      </w:r>
      <w:proofErr w:type="spellStart"/>
      <w:r w:rsidRPr="00577AE6">
        <w:rPr>
          <w:rFonts w:ascii="Arial" w:eastAsia="Calibri" w:hAnsi="Arial" w:cs="Arial"/>
          <w:sz w:val="22"/>
          <w:szCs w:val="22"/>
          <w:lang w:val="es-ES_tradnl"/>
        </w:rPr>
        <w:t>mipymes</w:t>
      </w:r>
      <w:proofErr w:type="spellEnd"/>
      <w:r w:rsidRPr="00577AE6">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proofErr w:type="gramStart"/>
      <w:r w:rsidRPr="00577AE6">
        <w:rPr>
          <w:rFonts w:ascii="Arial" w:eastAsia="Calibri" w:hAnsi="Arial" w:cs="Arial"/>
          <w:sz w:val="22"/>
          <w:szCs w:val="22"/>
          <w:lang w:val="es-ES_tradnl"/>
        </w:rPr>
        <w:t>continuación</w:t>
      </w:r>
      <w:proofErr w:type="gramEnd"/>
      <w:r w:rsidRPr="00577AE6">
        <w:rPr>
          <w:rFonts w:ascii="Arial" w:eastAsia="Calibri" w:hAnsi="Arial" w:cs="Arial"/>
          <w:sz w:val="22"/>
          <w:szCs w:val="22"/>
          <w:lang w:val="es-ES_tradnl"/>
        </w:rPr>
        <w:t xml:space="preserve"> se estudiará el contenido y alcance de dicha norma.  </w:t>
      </w:r>
      <w:r w:rsidR="00EA0455" w:rsidRPr="00577AE6">
        <w:rPr>
          <w:rFonts w:ascii="Arial" w:eastAsia="Calibri" w:hAnsi="Arial" w:cs="Arial"/>
          <w:sz w:val="22"/>
          <w:szCs w:val="22"/>
          <w:lang w:val="es-ES_tradnl"/>
        </w:rPr>
        <w:t xml:space="preserve"> </w:t>
      </w:r>
    </w:p>
    <w:p w14:paraId="76F598EA" w14:textId="77777777" w:rsidR="006C189C" w:rsidRPr="00577AE6" w:rsidRDefault="006C189C" w:rsidP="00833ADA">
      <w:pPr>
        <w:spacing w:line="276" w:lineRule="auto"/>
        <w:jc w:val="both"/>
        <w:rPr>
          <w:rFonts w:ascii="Arial" w:eastAsia="Calibri" w:hAnsi="Arial" w:cs="Arial"/>
          <w:sz w:val="22"/>
          <w:szCs w:val="22"/>
          <w:lang w:val="es-ES_tradnl"/>
        </w:rPr>
      </w:pPr>
    </w:p>
    <w:p w14:paraId="2C2833A6" w14:textId="3472B8D2" w:rsidR="00833ADA" w:rsidRPr="00577AE6" w:rsidRDefault="00523F41" w:rsidP="00833ADA">
      <w:pPr>
        <w:spacing w:line="276" w:lineRule="auto"/>
        <w:jc w:val="both"/>
        <w:rPr>
          <w:rFonts w:ascii="Arial" w:eastAsia="Calibri" w:hAnsi="Arial" w:cs="Arial"/>
          <w:b/>
          <w:bCs/>
          <w:sz w:val="22"/>
          <w:szCs w:val="22"/>
          <w:lang w:val="es-ES_tradnl"/>
        </w:rPr>
      </w:pPr>
      <w:r w:rsidRPr="00577AE6">
        <w:rPr>
          <w:rFonts w:ascii="Arial" w:eastAsia="Calibri" w:hAnsi="Arial" w:cs="Arial"/>
          <w:b/>
          <w:bCs/>
          <w:sz w:val="22"/>
          <w:szCs w:val="22"/>
          <w:lang w:val="es-ES_tradnl"/>
        </w:rPr>
        <w:t>2.3.</w:t>
      </w:r>
      <w:r w:rsidR="00833ADA" w:rsidRPr="00577AE6">
        <w:rPr>
          <w:rFonts w:ascii="Arial" w:eastAsia="Calibri" w:hAnsi="Arial" w:cs="Arial"/>
          <w:b/>
          <w:bCs/>
          <w:sz w:val="22"/>
          <w:szCs w:val="22"/>
          <w:lang w:val="es-ES_tradnl"/>
        </w:rPr>
        <w:t xml:space="preserve"> </w:t>
      </w:r>
      <w:r w:rsidR="00702467" w:rsidRPr="00577AE6">
        <w:rPr>
          <w:rFonts w:ascii="Arial" w:eastAsia="Calibri" w:hAnsi="Arial" w:cs="Arial"/>
          <w:b/>
          <w:bCs/>
          <w:sz w:val="22"/>
          <w:szCs w:val="22"/>
          <w:lang w:val="es-ES_tradnl"/>
        </w:rPr>
        <w:t>Aplicación y</w:t>
      </w:r>
      <w:r w:rsidR="00833ADA" w:rsidRPr="00577AE6">
        <w:rPr>
          <w:rFonts w:ascii="Arial" w:eastAsia="Calibri" w:hAnsi="Arial" w:cs="Arial"/>
          <w:b/>
          <w:bCs/>
          <w:sz w:val="22"/>
          <w:szCs w:val="22"/>
          <w:lang w:val="es-ES_tradnl"/>
        </w:rPr>
        <w:t xml:space="preserve"> acreditación del factor de desempate consagrado en el </w:t>
      </w:r>
      <w:r w:rsidR="004E553A" w:rsidRPr="00577AE6">
        <w:rPr>
          <w:rFonts w:ascii="Arial" w:eastAsia="Calibri" w:hAnsi="Arial" w:cs="Arial"/>
          <w:b/>
          <w:bCs/>
          <w:sz w:val="22"/>
          <w:szCs w:val="22"/>
          <w:lang w:val="es-ES_tradnl"/>
        </w:rPr>
        <w:t xml:space="preserve">numeral 4 del </w:t>
      </w:r>
      <w:r w:rsidR="00833ADA" w:rsidRPr="00577AE6">
        <w:rPr>
          <w:rFonts w:ascii="Arial" w:eastAsia="Calibri" w:hAnsi="Arial" w:cs="Arial"/>
          <w:b/>
          <w:bCs/>
          <w:sz w:val="22"/>
          <w:szCs w:val="22"/>
          <w:lang w:val="es-ES_tradnl"/>
        </w:rPr>
        <w:t>artículo 35 de la</w:t>
      </w:r>
      <w:r w:rsidR="00755229" w:rsidRPr="00577AE6">
        <w:rPr>
          <w:rFonts w:ascii="Arial" w:eastAsia="Calibri" w:hAnsi="Arial" w:cs="Arial"/>
          <w:b/>
          <w:bCs/>
          <w:sz w:val="22"/>
          <w:szCs w:val="22"/>
          <w:lang w:val="es-ES_tradnl"/>
        </w:rPr>
        <w:t xml:space="preserve"> Ley </w:t>
      </w:r>
      <w:r w:rsidR="007B209C" w:rsidRPr="00577AE6">
        <w:rPr>
          <w:rFonts w:ascii="Arial" w:eastAsia="Calibri" w:hAnsi="Arial" w:cs="Arial"/>
          <w:b/>
          <w:bCs/>
          <w:sz w:val="22"/>
          <w:szCs w:val="22"/>
          <w:lang w:val="es-ES_tradnl"/>
        </w:rPr>
        <w:t>2069</w:t>
      </w:r>
      <w:r w:rsidR="00755229" w:rsidRPr="00577AE6">
        <w:rPr>
          <w:rFonts w:ascii="Arial" w:eastAsia="Calibri" w:hAnsi="Arial" w:cs="Arial"/>
          <w:b/>
          <w:bCs/>
          <w:sz w:val="22"/>
          <w:szCs w:val="22"/>
          <w:lang w:val="es-ES_tradnl"/>
        </w:rPr>
        <w:t xml:space="preserve"> de 2020</w:t>
      </w:r>
      <w:r w:rsidR="004E553A" w:rsidRPr="00577AE6">
        <w:rPr>
          <w:rFonts w:ascii="Arial" w:eastAsia="Calibri" w:hAnsi="Arial" w:cs="Arial"/>
          <w:b/>
          <w:bCs/>
          <w:sz w:val="22"/>
          <w:szCs w:val="22"/>
          <w:lang w:val="es-ES_tradnl"/>
        </w:rPr>
        <w:t xml:space="preserve"> respecto de proponentes plurales</w:t>
      </w:r>
    </w:p>
    <w:p w14:paraId="39B77F09" w14:textId="77777777" w:rsidR="00FC6DB9" w:rsidRPr="00577AE6" w:rsidRDefault="00FC6DB9" w:rsidP="00271230">
      <w:pPr>
        <w:spacing w:line="276" w:lineRule="auto"/>
        <w:jc w:val="both"/>
        <w:rPr>
          <w:rFonts w:ascii="Arial" w:eastAsia="Calibri" w:hAnsi="Arial" w:cs="Arial"/>
          <w:sz w:val="22"/>
          <w:szCs w:val="22"/>
          <w:lang w:val="es-ES_tradnl"/>
        </w:rPr>
      </w:pPr>
    </w:p>
    <w:p w14:paraId="28246740" w14:textId="1667AB7C" w:rsidR="00BD3AF1" w:rsidRPr="00577AE6" w:rsidRDefault="00FC6DB9" w:rsidP="00271230">
      <w:pPr>
        <w:spacing w:line="276" w:lineRule="auto"/>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El artículo 35 de la Ley </w:t>
      </w:r>
      <w:r w:rsidR="007B209C" w:rsidRPr="00577AE6">
        <w:rPr>
          <w:rFonts w:ascii="Arial" w:eastAsia="Calibri" w:hAnsi="Arial" w:cs="Arial"/>
          <w:sz w:val="22"/>
          <w:szCs w:val="22"/>
          <w:lang w:val="es-ES_tradnl"/>
        </w:rPr>
        <w:t>2069</w:t>
      </w:r>
      <w:r w:rsidRPr="00577AE6">
        <w:rPr>
          <w:rFonts w:ascii="Arial" w:eastAsia="Calibri" w:hAnsi="Arial" w:cs="Arial"/>
          <w:sz w:val="22"/>
          <w:szCs w:val="22"/>
          <w:lang w:val="es-ES_tradnl"/>
        </w:rPr>
        <w:t xml:space="preserve"> de 2020</w:t>
      </w:r>
      <w:r w:rsidR="00486226" w:rsidRPr="00577AE6">
        <w:rPr>
          <w:rFonts w:ascii="Arial" w:eastAsia="Calibri" w:hAnsi="Arial" w:cs="Arial"/>
          <w:sz w:val="22"/>
          <w:szCs w:val="22"/>
          <w:lang w:val="es-ES_tradnl"/>
        </w:rPr>
        <w:t xml:space="preserve"> modifica la regulación de los </w:t>
      </w:r>
      <w:r w:rsidR="008F4163" w:rsidRPr="00577AE6">
        <w:rPr>
          <w:rFonts w:ascii="Arial" w:eastAsia="Calibri" w:hAnsi="Arial" w:cs="Arial"/>
          <w:sz w:val="22"/>
          <w:szCs w:val="22"/>
          <w:lang w:val="es-ES_tradnl"/>
        </w:rPr>
        <w:t>factores</w:t>
      </w:r>
      <w:r w:rsidR="00486226" w:rsidRPr="00577AE6">
        <w:rPr>
          <w:rFonts w:ascii="Arial" w:eastAsia="Calibri" w:hAnsi="Arial" w:cs="Arial"/>
          <w:sz w:val="22"/>
          <w:szCs w:val="22"/>
          <w:lang w:val="es-ES_tradnl"/>
        </w:rPr>
        <w:t xml:space="preserve"> de</w:t>
      </w:r>
      <w:r w:rsidR="008F4163" w:rsidRPr="00577AE6">
        <w:rPr>
          <w:rFonts w:ascii="Arial" w:eastAsia="Calibri" w:hAnsi="Arial" w:cs="Arial"/>
          <w:sz w:val="22"/>
          <w:szCs w:val="22"/>
          <w:lang w:val="es-ES_tradnl"/>
        </w:rPr>
        <w:t xml:space="preserve"> desempate en la contratación estatal. En consideración a que</w:t>
      </w:r>
      <w:r w:rsidR="006660F0" w:rsidRPr="00577AE6">
        <w:rPr>
          <w:rFonts w:ascii="Arial" w:eastAsia="Calibri" w:hAnsi="Arial" w:cs="Arial"/>
          <w:sz w:val="22"/>
          <w:szCs w:val="22"/>
          <w:lang w:val="es-ES_tradnl"/>
        </w:rPr>
        <w:t xml:space="preserve"> en la consulta se solicita que la Agencia Nacional de Contratación Pública – Colombia Compra Eficiente</w:t>
      </w:r>
      <w:r w:rsidR="00B6040C" w:rsidRPr="00577AE6">
        <w:rPr>
          <w:rFonts w:ascii="Arial" w:eastAsia="Calibri" w:hAnsi="Arial" w:cs="Arial"/>
          <w:sz w:val="22"/>
          <w:szCs w:val="22"/>
          <w:lang w:val="es-ES_tradnl"/>
        </w:rPr>
        <w:t xml:space="preserve"> </w:t>
      </w:r>
      <w:r w:rsidR="00087A64" w:rsidRPr="00577AE6">
        <w:rPr>
          <w:rFonts w:ascii="Arial" w:eastAsia="Calibri" w:hAnsi="Arial" w:cs="Arial"/>
          <w:sz w:val="22"/>
          <w:szCs w:val="22"/>
          <w:lang w:val="es-ES_tradnl"/>
        </w:rPr>
        <w:t xml:space="preserve">efectúe </w:t>
      </w:r>
      <w:r w:rsidR="00707A2E" w:rsidRPr="00577AE6">
        <w:rPr>
          <w:rFonts w:ascii="Arial" w:eastAsia="Calibri" w:hAnsi="Arial" w:cs="Arial"/>
          <w:sz w:val="22"/>
          <w:szCs w:val="22"/>
          <w:lang w:val="es-ES_tradnl"/>
        </w:rPr>
        <w:t xml:space="preserve">ciertas </w:t>
      </w:r>
      <w:r w:rsidR="00087A64" w:rsidRPr="00577AE6">
        <w:rPr>
          <w:rFonts w:ascii="Arial" w:eastAsia="Calibri" w:hAnsi="Arial" w:cs="Arial"/>
          <w:sz w:val="22"/>
          <w:szCs w:val="22"/>
          <w:lang w:val="es-ES_tradnl"/>
        </w:rPr>
        <w:t>precisiones hermenéuticas sobre</w:t>
      </w:r>
      <w:r w:rsidR="00707A2E" w:rsidRPr="00577AE6">
        <w:rPr>
          <w:rFonts w:ascii="Arial" w:eastAsia="Calibri" w:hAnsi="Arial" w:cs="Arial"/>
          <w:sz w:val="22"/>
          <w:szCs w:val="22"/>
          <w:lang w:val="es-ES_tradnl"/>
        </w:rPr>
        <w:t xml:space="preserve"> algunos numerales de dicho artículo</w:t>
      </w:r>
      <w:r w:rsidR="00B6040C" w:rsidRPr="00577AE6">
        <w:rPr>
          <w:rFonts w:ascii="Arial" w:eastAsia="Calibri" w:hAnsi="Arial" w:cs="Arial"/>
          <w:sz w:val="22"/>
          <w:szCs w:val="22"/>
          <w:lang w:val="es-ES_tradnl"/>
        </w:rPr>
        <w:t xml:space="preserve">, </w:t>
      </w:r>
      <w:r w:rsidR="00707A2E" w:rsidRPr="00577AE6">
        <w:rPr>
          <w:rFonts w:ascii="Arial" w:eastAsia="Calibri" w:hAnsi="Arial" w:cs="Arial"/>
          <w:sz w:val="22"/>
          <w:szCs w:val="22"/>
          <w:lang w:val="es-ES_tradnl"/>
        </w:rPr>
        <w:t>la</w:t>
      </w:r>
      <w:r w:rsidR="00BE0CDF" w:rsidRPr="00577AE6">
        <w:rPr>
          <w:rFonts w:ascii="Arial" w:eastAsia="Calibri" w:hAnsi="Arial" w:cs="Arial"/>
          <w:sz w:val="22"/>
          <w:szCs w:val="22"/>
          <w:lang w:val="es-ES_tradnl"/>
        </w:rPr>
        <w:t xml:space="preserve"> Subdirección de Gestión </w:t>
      </w:r>
      <w:r w:rsidR="00BE0CDF" w:rsidRPr="00577AE6">
        <w:rPr>
          <w:rFonts w:ascii="Arial" w:eastAsia="Calibri" w:hAnsi="Arial" w:cs="Arial"/>
          <w:sz w:val="22"/>
          <w:szCs w:val="22"/>
          <w:lang w:val="es-ES_tradnl"/>
        </w:rPr>
        <w:lastRenderedPageBreak/>
        <w:t>Contractual</w:t>
      </w:r>
      <w:r w:rsidR="00C438A2" w:rsidRPr="00577AE6">
        <w:rPr>
          <w:rFonts w:ascii="Arial" w:eastAsia="Calibri" w:hAnsi="Arial" w:cs="Arial"/>
          <w:sz w:val="22"/>
          <w:szCs w:val="22"/>
          <w:lang w:val="es-ES_tradnl"/>
        </w:rPr>
        <w:t xml:space="preserve"> </w:t>
      </w:r>
      <w:r w:rsidR="00707A2E" w:rsidRPr="00577AE6">
        <w:rPr>
          <w:rFonts w:ascii="Arial" w:eastAsia="Calibri" w:hAnsi="Arial" w:cs="Arial"/>
          <w:sz w:val="22"/>
          <w:szCs w:val="22"/>
          <w:lang w:val="es-ES_tradnl"/>
        </w:rPr>
        <w:t xml:space="preserve">se pronunciará sobre el </w:t>
      </w:r>
      <w:r w:rsidR="00AC5D9D" w:rsidRPr="00577AE6">
        <w:rPr>
          <w:rFonts w:ascii="Arial" w:eastAsia="Calibri" w:hAnsi="Arial" w:cs="Arial"/>
          <w:sz w:val="22"/>
          <w:szCs w:val="22"/>
          <w:lang w:val="es-ES_tradnl"/>
        </w:rPr>
        <w:t>alcance</w:t>
      </w:r>
      <w:r w:rsidR="00707A2E" w:rsidRPr="00577AE6">
        <w:rPr>
          <w:rFonts w:ascii="Arial" w:eastAsia="Calibri" w:hAnsi="Arial" w:cs="Arial"/>
          <w:sz w:val="22"/>
          <w:szCs w:val="22"/>
          <w:lang w:val="es-ES_tradnl"/>
        </w:rPr>
        <w:t xml:space="preserve"> que otorga a tales disposiciones</w:t>
      </w:r>
      <w:r w:rsidR="00193852" w:rsidRPr="00577AE6">
        <w:rPr>
          <w:rFonts w:ascii="Arial" w:eastAsia="Calibri" w:hAnsi="Arial" w:cs="Arial"/>
          <w:sz w:val="22"/>
          <w:szCs w:val="22"/>
          <w:lang w:val="es-ES_tradnl"/>
        </w:rPr>
        <w:t>. Esto</w:t>
      </w:r>
      <w:r w:rsidR="00BE0CDF" w:rsidRPr="00577AE6">
        <w:rPr>
          <w:rFonts w:ascii="Arial" w:eastAsia="Calibri" w:hAnsi="Arial" w:cs="Arial"/>
          <w:sz w:val="22"/>
          <w:szCs w:val="22"/>
          <w:lang w:val="es-ES_tradnl"/>
        </w:rPr>
        <w:t xml:space="preserve"> sin pasar por alto la novedad de </w:t>
      </w:r>
      <w:r w:rsidR="00F92FC1" w:rsidRPr="00577AE6">
        <w:rPr>
          <w:rFonts w:ascii="Arial" w:eastAsia="Calibri" w:hAnsi="Arial" w:cs="Arial"/>
          <w:sz w:val="22"/>
          <w:szCs w:val="22"/>
          <w:lang w:val="es-ES_tradnl"/>
        </w:rPr>
        <w:t xml:space="preserve">la Ley </w:t>
      </w:r>
      <w:r w:rsidR="007B209C" w:rsidRPr="00577AE6">
        <w:rPr>
          <w:rFonts w:ascii="Arial" w:eastAsia="Calibri" w:hAnsi="Arial" w:cs="Arial"/>
          <w:sz w:val="22"/>
          <w:szCs w:val="22"/>
          <w:lang w:val="es-ES_tradnl"/>
        </w:rPr>
        <w:t>2069</w:t>
      </w:r>
      <w:r w:rsidR="00F92FC1" w:rsidRPr="00577AE6">
        <w:rPr>
          <w:rFonts w:ascii="Arial" w:eastAsia="Calibri" w:hAnsi="Arial" w:cs="Arial"/>
          <w:sz w:val="22"/>
          <w:szCs w:val="22"/>
          <w:lang w:val="es-ES_tradnl"/>
        </w:rPr>
        <w:t xml:space="preserve"> de 2020</w:t>
      </w:r>
      <w:r w:rsidR="00963550" w:rsidRPr="00577AE6">
        <w:rPr>
          <w:rFonts w:ascii="Arial" w:eastAsia="Calibri" w:hAnsi="Arial" w:cs="Arial"/>
          <w:sz w:val="22"/>
          <w:szCs w:val="22"/>
          <w:lang w:val="es-ES_tradnl"/>
        </w:rPr>
        <w:t xml:space="preserve"> –dada su reciente </w:t>
      </w:r>
      <w:proofErr w:type="gramStart"/>
      <w:r w:rsidR="00963550" w:rsidRPr="00577AE6">
        <w:rPr>
          <w:rFonts w:ascii="Arial" w:eastAsia="Calibri" w:hAnsi="Arial" w:cs="Arial"/>
          <w:sz w:val="22"/>
          <w:szCs w:val="22"/>
          <w:lang w:val="es-ES_tradnl"/>
        </w:rPr>
        <w:t>entrada en vigencia</w:t>
      </w:r>
      <w:proofErr w:type="gramEnd"/>
      <w:r w:rsidR="00963550" w:rsidRPr="00577AE6">
        <w:rPr>
          <w:rFonts w:ascii="Arial" w:eastAsia="Calibri" w:hAnsi="Arial" w:cs="Arial"/>
          <w:sz w:val="22"/>
          <w:szCs w:val="22"/>
          <w:lang w:val="es-ES_tradnl"/>
        </w:rPr>
        <w:t>–</w:t>
      </w:r>
      <w:r w:rsidR="00BE0CDF" w:rsidRPr="00577AE6">
        <w:rPr>
          <w:rFonts w:ascii="Arial" w:eastAsia="Calibri" w:hAnsi="Arial" w:cs="Arial"/>
          <w:sz w:val="22"/>
          <w:szCs w:val="22"/>
          <w:lang w:val="es-ES_tradnl"/>
        </w:rPr>
        <w:t xml:space="preserve"> y la ausencia de </w:t>
      </w:r>
      <w:r w:rsidR="00963550" w:rsidRPr="00577AE6">
        <w:rPr>
          <w:rFonts w:ascii="Arial" w:eastAsia="Calibri" w:hAnsi="Arial" w:cs="Arial"/>
          <w:sz w:val="22"/>
          <w:szCs w:val="22"/>
          <w:lang w:val="es-ES_tradnl"/>
        </w:rPr>
        <w:t>pronunciamientos jurisprudenciales</w:t>
      </w:r>
      <w:r w:rsidR="00BE0CDF" w:rsidRPr="00577AE6">
        <w:rPr>
          <w:rFonts w:ascii="Arial" w:eastAsia="Calibri" w:hAnsi="Arial" w:cs="Arial"/>
          <w:sz w:val="22"/>
          <w:szCs w:val="22"/>
          <w:lang w:val="es-ES_tradnl"/>
        </w:rPr>
        <w:t xml:space="preserve"> o estudios doctrinarios</w:t>
      </w:r>
      <w:r w:rsidR="00963550" w:rsidRPr="00577AE6">
        <w:rPr>
          <w:rFonts w:ascii="Arial" w:eastAsia="Calibri" w:hAnsi="Arial" w:cs="Arial"/>
          <w:sz w:val="22"/>
          <w:szCs w:val="22"/>
          <w:lang w:val="es-ES_tradnl"/>
        </w:rPr>
        <w:t xml:space="preserve"> sobre el tema</w:t>
      </w:r>
      <w:r w:rsidR="00545997" w:rsidRPr="00577AE6">
        <w:rPr>
          <w:rFonts w:ascii="Arial" w:eastAsia="Calibri" w:hAnsi="Arial" w:cs="Arial"/>
          <w:sz w:val="22"/>
          <w:szCs w:val="22"/>
          <w:lang w:val="es-ES_tradnl"/>
        </w:rPr>
        <w:t>, que seguramente contribuirán a decantar la interpretación de las normas en comento.</w:t>
      </w:r>
    </w:p>
    <w:p w14:paraId="3BBAF618" w14:textId="4E98FF73" w:rsidR="005359BF" w:rsidRPr="00577AE6" w:rsidRDefault="005359BF" w:rsidP="005359BF">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w:t>
      </w:r>
      <w:r w:rsidR="00D75232" w:rsidRPr="00577AE6">
        <w:rPr>
          <w:rFonts w:ascii="Arial" w:eastAsia="Calibri" w:hAnsi="Arial" w:cs="Arial"/>
          <w:sz w:val="22"/>
          <w:szCs w:val="22"/>
          <w:lang w:val="es-ES_tradnl"/>
        </w:rPr>
        <w:t>2069</w:t>
      </w:r>
      <w:r w:rsidRPr="00577AE6">
        <w:rPr>
          <w:rFonts w:ascii="Arial" w:eastAsia="Calibri" w:hAnsi="Arial" w:cs="Arial"/>
          <w:sz w:val="22"/>
          <w:szCs w:val="22"/>
          <w:lang w:val="es-ES_tradnl"/>
        </w:rPr>
        <w:t xml:space="preserve"> de 2020 goza de aplicación directa desde la fecha de su promulgación, es decir, no requiere de una reglamentación previa como presupuesto para su eficacia. Esta precisión reviste importancia, porque </w:t>
      </w:r>
      <w:r w:rsidR="00DB16CA" w:rsidRPr="00577AE6">
        <w:rPr>
          <w:rFonts w:ascii="Arial" w:eastAsia="Calibri" w:hAnsi="Arial" w:cs="Arial"/>
          <w:sz w:val="22"/>
          <w:szCs w:val="22"/>
          <w:lang w:val="es-ES_tradnl"/>
        </w:rPr>
        <w:t>algunas normas de la Ley de Emprendimiento</w:t>
      </w:r>
      <w:r w:rsidRPr="00577AE6">
        <w:rPr>
          <w:rFonts w:ascii="Arial" w:eastAsia="Calibri" w:hAnsi="Arial" w:cs="Arial"/>
          <w:sz w:val="22"/>
          <w:szCs w:val="22"/>
          <w:lang w:val="es-ES_tradnl"/>
        </w:rPr>
        <w:t xml:space="preserve"> establecen un mandato de reglamentación, dirigido al gobierno nacional, como condición para aplicar lo dispuesto en </w:t>
      </w:r>
      <w:r w:rsidR="00DB16CA" w:rsidRPr="00577AE6">
        <w:rPr>
          <w:rFonts w:ascii="Arial" w:eastAsia="Calibri" w:hAnsi="Arial" w:cs="Arial"/>
          <w:sz w:val="22"/>
          <w:szCs w:val="22"/>
          <w:lang w:val="es-ES_tradnl"/>
        </w:rPr>
        <w:t>la misma</w:t>
      </w:r>
      <w:r w:rsidRPr="00577AE6">
        <w:rPr>
          <w:rFonts w:ascii="Arial" w:eastAsia="Calibri" w:hAnsi="Arial" w:cs="Arial"/>
          <w:sz w:val="22"/>
          <w:szCs w:val="22"/>
          <w:lang w:val="es-ES_tradnl"/>
        </w:rPr>
        <w:t xml:space="preserve">. </w:t>
      </w:r>
    </w:p>
    <w:p w14:paraId="64E70AB9" w14:textId="119F1711" w:rsidR="00963550" w:rsidRPr="00577AE6" w:rsidRDefault="00BA482B">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Por ejemplo, </w:t>
      </w:r>
      <w:r w:rsidR="007534AD" w:rsidRPr="00577AE6">
        <w:rPr>
          <w:rFonts w:ascii="Arial" w:eastAsia="Calibri" w:hAnsi="Arial" w:cs="Arial"/>
          <w:sz w:val="22"/>
          <w:szCs w:val="22"/>
          <w:lang w:val="es-ES_tradnl"/>
        </w:rPr>
        <w:t xml:space="preserve">el artículo 31, en el segundo inciso, </w:t>
      </w:r>
      <w:r w:rsidR="00685D37" w:rsidRPr="00577AE6">
        <w:rPr>
          <w:rFonts w:ascii="Arial" w:eastAsia="Calibri" w:hAnsi="Arial" w:cs="Arial"/>
          <w:sz w:val="22"/>
          <w:szCs w:val="22"/>
          <w:lang w:val="es-ES_tradnl"/>
        </w:rPr>
        <w:t>determina que «El Gobierno Nacional reglamentará la definición de los criterios diferenciales, sobre reglas objetivas que podrán implementar las Entidades Estatales».</w:t>
      </w:r>
      <w:r w:rsidR="0006626E" w:rsidRPr="00577AE6">
        <w:rPr>
          <w:rFonts w:ascii="Arial" w:eastAsia="Calibri" w:hAnsi="Arial" w:cs="Arial"/>
          <w:sz w:val="22"/>
          <w:szCs w:val="22"/>
          <w:lang w:val="es-ES_tradnl"/>
        </w:rPr>
        <w:t xml:space="preserve"> </w:t>
      </w:r>
      <w:r w:rsidR="00787B1B" w:rsidRPr="00577AE6">
        <w:rPr>
          <w:rFonts w:ascii="Arial" w:eastAsia="Calibri" w:hAnsi="Arial" w:cs="Arial"/>
          <w:sz w:val="22"/>
          <w:szCs w:val="22"/>
          <w:lang w:val="es-ES_tradnl"/>
        </w:rPr>
        <w:t>Del mismo modo, el parágrafo primero del artículo 32 establece que «La definición de emprendimientos y empresas de mujeres se reglamentará por el gobierno nacional»</w:t>
      </w:r>
      <w:r w:rsidR="00FD72B1" w:rsidRPr="00577AE6">
        <w:rPr>
          <w:rFonts w:ascii="Arial" w:eastAsia="Calibri" w:hAnsi="Arial" w:cs="Arial"/>
          <w:sz w:val="22"/>
          <w:szCs w:val="22"/>
          <w:lang w:val="es-ES_tradnl"/>
        </w:rPr>
        <w:t xml:space="preserve">, en tanto que el inciso cuarto del artículo 12 de la Ley 1150 de 2007, modificado por el artículo </w:t>
      </w:r>
      <w:r w:rsidR="00F13F51" w:rsidRPr="00577AE6">
        <w:rPr>
          <w:rFonts w:ascii="Arial" w:eastAsia="Calibri" w:hAnsi="Arial" w:cs="Arial"/>
          <w:sz w:val="22"/>
          <w:szCs w:val="22"/>
          <w:lang w:val="es-ES_tradnl"/>
        </w:rPr>
        <w:t xml:space="preserve">34 de la Ley </w:t>
      </w:r>
      <w:r w:rsidR="007B209C" w:rsidRPr="00577AE6">
        <w:rPr>
          <w:rFonts w:ascii="Arial" w:eastAsia="Calibri" w:hAnsi="Arial" w:cs="Arial"/>
          <w:sz w:val="22"/>
          <w:szCs w:val="22"/>
          <w:lang w:val="es-ES_tradnl"/>
        </w:rPr>
        <w:t>2069</w:t>
      </w:r>
      <w:r w:rsidR="00F13F51" w:rsidRPr="00577AE6">
        <w:rPr>
          <w:rFonts w:ascii="Arial" w:eastAsia="Calibri" w:hAnsi="Arial" w:cs="Arial"/>
          <w:sz w:val="22"/>
          <w:szCs w:val="22"/>
          <w:lang w:val="es-ES_tradnl"/>
        </w:rPr>
        <w:t xml:space="preserve"> de 2020, </w:t>
      </w:r>
      <w:r w:rsidR="00CD02ED" w:rsidRPr="00577AE6">
        <w:rPr>
          <w:rFonts w:ascii="Arial" w:eastAsia="Calibri" w:hAnsi="Arial" w:cs="Arial"/>
          <w:sz w:val="22"/>
          <w:szCs w:val="22"/>
          <w:lang w:val="es-ES_tradnl"/>
        </w:rPr>
        <w:t xml:space="preserve">indica que en los pliegos de condiciones las entidades estatales deben </w:t>
      </w:r>
      <w:r w:rsidR="00B1507C" w:rsidRPr="00577AE6">
        <w:rPr>
          <w:rFonts w:ascii="Arial" w:eastAsia="Calibri" w:hAnsi="Arial" w:cs="Arial"/>
          <w:sz w:val="22"/>
          <w:szCs w:val="22"/>
          <w:lang w:val="es-ES_tradnl"/>
        </w:rPr>
        <w:t>prever mecanismos que garanticen la provisión de bienes y servicios por parte de sujetos de especial protección constitucional «</w:t>
      </w:r>
      <w:r w:rsidR="0017655B" w:rsidRPr="00577AE6">
        <w:rPr>
          <w:rFonts w:ascii="Arial" w:eastAsia="Calibri" w:hAnsi="Arial" w:cs="Arial"/>
          <w:sz w:val="22"/>
          <w:szCs w:val="22"/>
          <w:lang w:val="es-ES_tradnl"/>
        </w:rPr>
        <w:t>[…] en las condiciones que señale el reglamento».</w:t>
      </w:r>
    </w:p>
    <w:p w14:paraId="6BE8E6DF" w14:textId="5B7E8D06" w:rsidR="002F24DA" w:rsidRPr="00577AE6" w:rsidRDefault="002F24DA" w:rsidP="00BD3AF1">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Lo</w:t>
      </w:r>
      <w:r w:rsidR="008E4CAE" w:rsidRPr="00577AE6">
        <w:rPr>
          <w:rFonts w:ascii="Arial" w:eastAsia="Calibri" w:hAnsi="Arial" w:cs="Arial"/>
          <w:sz w:val="22"/>
          <w:szCs w:val="22"/>
          <w:lang w:val="es-ES_tradnl"/>
        </w:rPr>
        <w:t xml:space="preserve"> mismo no sucede con el artículo 35</w:t>
      </w:r>
      <w:r w:rsidR="00535B2F" w:rsidRPr="00577AE6">
        <w:rPr>
          <w:rFonts w:ascii="Arial" w:eastAsia="Calibri" w:hAnsi="Arial" w:cs="Arial"/>
          <w:sz w:val="22"/>
          <w:szCs w:val="22"/>
          <w:lang w:val="es-ES_tradnl"/>
        </w:rPr>
        <w:t xml:space="preserve">. En efecto, </w:t>
      </w:r>
      <w:r w:rsidR="00535B2F" w:rsidRPr="00577AE6">
        <w:rPr>
          <w:rFonts w:ascii="Arial" w:hAnsi="Arial" w:cs="Arial"/>
          <w:sz w:val="22"/>
          <w:szCs w:val="22"/>
          <w:lang w:val="es-ES_tradnl"/>
        </w:rPr>
        <w:t>si bien los factores de desempate regulados en el artículo 35 deben aplicarse «</w:t>
      </w:r>
      <w:r w:rsidR="00535B2F" w:rsidRPr="00577AE6">
        <w:rPr>
          <w:rFonts w:ascii="Arial" w:hAnsi="Arial" w:cs="Arial"/>
          <w:lang w:val="es-ES_tradnl"/>
        </w:rPr>
        <w:t xml:space="preserve">[…] </w:t>
      </w:r>
      <w:r w:rsidR="00535B2F" w:rsidRPr="00577AE6">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577AE6">
        <w:rPr>
          <w:rFonts w:ascii="Arial" w:eastAsia="Calibri" w:hAnsi="Arial" w:cs="Arial"/>
          <w:sz w:val="22"/>
          <w:szCs w:val="22"/>
          <w:lang w:val="es-ES_tradnl"/>
        </w:rPr>
        <w:t xml:space="preserve"> </w:t>
      </w:r>
      <w:r w:rsidR="00287BDB" w:rsidRPr="00577AE6">
        <w:rPr>
          <w:rFonts w:ascii="Arial" w:eastAsia="Calibri" w:hAnsi="Arial" w:cs="Arial"/>
          <w:sz w:val="22"/>
          <w:szCs w:val="22"/>
          <w:lang w:val="es-ES_tradnl"/>
        </w:rPr>
        <w:t xml:space="preserve"> </w:t>
      </w:r>
    </w:p>
    <w:p w14:paraId="295543E3" w14:textId="6976C85D" w:rsidR="005C06A5" w:rsidRPr="00577AE6" w:rsidRDefault="005C06A5" w:rsidP="005C06A5">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Como se observa se trata de una competencia que, en concordancia con el artículo 189.11 superior, el </w:t>
      </w:r>
      <w:r w:rsidR="00403179" w:rsidRPr="00577AE6">
        <w:rPr>
          <w:rFonts w:ascii="Arial" w:eastAsia="Calibri" w:hAnsi="Arial" w:cs="Arial"/>
          <w:sz w:val="22"/>
          <w:szCs w:val="22"/>
          <w:lang w:val="es-ES_tradnl"/>
        </w:rPr>
        <w:t>G</w:t>
      </w:r>
      <w:r w:rsidRPr="00577AE6">
        <w:rPr>
          <w:rFonts w:ascii="Arial" w:eastAsia="Calibri" w:hAnsi="Arial" w:cs="Arial"/>
          <w:sz w:val="22"/>
          <w:szCs w:val="22"/>
          <w:lang w:val="es-ES_tradnl"/>
        </w:rPr>
        <w:t>obierno nacional puede ejercer discrecionalmente para la ejecución de las leyes. Por tanto,</w:t>
      </w:r>
      <w:r w:rsidR="003D15B3" w:rsidRPr="00577AE6">
        <w:rPr>
          <w:rFonts w:ascii="Arial" w:eastAsia="Calibri" w:hAnsi="Arial" w:cs="Arial"/>
          <w:sz w:val="22"/>
          <w:szCs w:val="22"/>
          <w:lang w:val="es-ES_tradnl"/>
        </w:rPr>
        <w:t xml:space="preserve"> sin perjuicio de que el Gobierno </w:t>
      </w:r>
      <w:r w:rsidR="00403179" w:rsidRPr="00577AE6">
        <w:rPr>
          <w:rFonts w:ascii="Arial" w:eastAsia="Calibri" w:hAnsi="Arial" w:cs="Arial"/>
          <w:sz w:val="22"/>
          <w:szCs w:val="22"/>
          <w:lang w:val="es-ES_tradnl"/>
        </w:rPr>
        <w:t>n</w:t>
      </w:r>
      <w:r w:rsidR="003D15B3" w:rsidRPr="00577AE6">
        <w:rPr>
          <w:rFonts w:ascii="Arial" w:eastAsia="Calibri" w:hAnsi="Arial" w:cs="Arial"/>
          <w:sz w:val="22"/>
          <w:szCs w:val="22"/>
          <w:lang w:val="es-ES_tradnl"/>
        </w:rPr>
        <w:t xml:space="preserve">acional ejerza la potestad reglamentaria para regular los casos en que concurren dos o más de los factores de desempate, </w:t>
      </w:r>
      <w:r w:rsidRPr="00577AE6">
        <w:rPr>
          <w:rFonts w:ascii="Arial" w:eastAsia="Calibri" w:hAnsi="Arial" w:cs="Arial"/>
          <w:sz w:val="22"/>
          <w:szCs w:val="22"/>
          <w:lang w:val="es-ES_tradnl"/>
        </w:rPr>
        <w:t xml:space="preserve">no es necesaria la existencia del reglamento como presupuesto necesario para aplicar el artículo 35 de la Ley </w:t>
      </w:r>
      <w:r w:rsidR="007B209C" w:rsidRPr="00577AE6">
        <w:rPr>
          <w:rFonts w:ascii="Arial" w:eastAsia="Calibri" w:hAnsi="Arial" w:cs="Arial"/>
          <w:sz w:val="22"/>
          <w:szCs w:val="22"/>
          <w:lang w:val="es-ES_tradnl"/>
        </w:rPr>
        <w:t>2069</w:t>
      </w:r>
      <w:r w:rsidRPr="00577AE6">
        <w:rPr>
          <w:rFonts w:ascii="Arial" w:eastAsia="Calibri" w:hAnsi="Arial" w:cs="Arial"/>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6525352B" w14:textId="0495BDF2" w:rsidR="00325AD9" w:rsidRPr="00577AE6" w:rsidRDefault="009F210A" w:rsidP="005F4596">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lastRenderedPageBreak/>
        <w:t>Luego</w:t>
      </w:r>
      <w:r w:rsidR="00D82A7D" w:rsidRPr="00577AE6">
        <w:rPr>
          <w:rFonts w:ascii="Arial" w:eastAsia="Calibri" w:hAnsi="Arial" w:cs="Arial"/>
          <w:sz w:val="22"/>
          <w:szCs w:val="22"/>
          <w:lang w:val="es-ES_tradnl"/>
        </w:rPr>
        <w:t xml:space="preserve"> de aclarar</w:t>
      </w:r>
      <w:r w:rsidR="00325AD9" w:rsidRPr="00577AE6">
        <w:rPr>
          <w:rFonts w:ascii="Arial" w:eastAsia="Calibri" w:hAnsi="Arial" w:cs="Arial"/>
          <w:sz w:val="22"/>
          <w:szCs w:val="22"/>
          <w:lang w:val="es-ES_tradnl"/>
        </w:rPr>
        <w:t xml:space="preserve"> que el artículo 35 de la Ley </w:t>
      </w:r>
      <w:r w:rsidR="007B209C" w:rsidRPr="00577AE6">
        <w:rPr>
          <w:rFonts w:ascii="Arial" w:eastAsia="Calibri" w:hAnsi="Arial" w:cs="Arial"/>
          <w:sz w:val="22"/>
          <w:szCs w:val="22"/>
          <w:lang w:val="es-ES_tradnl"/>
        </w:rPr>
        <w:t>2069</w:t>
      </w:r>
      <w:r w:rsidR="00325AD9" w:rsidRPr="00577AE6">
        <w:rPr>
          <w:rFonts w:ascii="Arial" w:eastAsia="Calibri" w:hAnsi="Arial" w:cs="Arial"/>
          <w:sz w:val="22"/>
          <w:szCs w:val="22"/>
          <w:lang w:val="es-ES_tradnl"/>
        </w:rPr>
        <w:t xml:space="preserve"> de 2020 se encuentra vigente y que no requiere </w:t>
      </w:r>
      <w:r w:rsidR="00D82A7D" w:rsidRPr="00577AE6">
        <w:rPr>
          <w:rFonts w:ascii="Arial" w:eastAsia="Calibri" w:hAnsi="Arial" w:cs="Arial"/>
          <w:sz w:val="22"/>
          <w:szCs w:val="22"/>
          <w:lang w:val="es-ES_tradnl"/>
        </w:rPr>
        <w:t>reglamentación</w:t>
      </w:r>
      <w:r w:rsidR="00325AD9" w:rsidRPr="00577AE6">
        <w:rPr>
          <w:rFonts w:ascii="Arial" w:eastAsia="Calibri" w:hAnsi="Arial" w:cs="Arial"/>
          <w:sz w:val="22"/>
          <w:szCs w:val="22"/>
          <w:lang w:val="es-ES_tradnl"/>
        </w:rPr>
        <w:t xml:space="preserve"> previa para que </w:t>
      </w:r>
      <w:r w:rsidR="0041674B" w:rsidRPr="00577AE6">
        <w:rPr>
          <w:rFonts w:ascii="Arial" w:eastAsia="Calibri" w:hAnsi="Arial" w:cs="Arial"/>
          <w:sz w:val="22"/>
          <w:szCs w:val="22"/>
          <w:lang w:val="es-ES_tradnl"/>
        </w:rPr>
        <w:t xml:space="preserve">sea exigible en los procedimientos de selección, es </w:t>
      </w:r>
      <w:r w:rsidR="00D95A2A" w:rsidRPr="00577AE6">
        <w:rPr>
          <w:rFonts w:ascii="Arial" w:eastAsia="Calibri" w:hAnsi="Arial" w:cs="Arial"/>
          <w:sz w:val="22"/>
          <w:szCs w:val="22"/>
          <w:lang w:val="es-ES_tradnl"/>
        </w:rPr>
        <w:t xml:space="preserve">necesario </w:t>
      </w:r>
      <w:r w:rsidR="00545FDA" w:rsidRPr="00577AE6">
        <w:rPr>
          <w:rFonts w:ascii="Arial" w:eastAsia="Calibri" w:hAnsi="Arial" w:cs="Arial"/>
          <w:sz w:val="22"/>
          <w:szCs w:val="22"/>
          <w:lang w:val="es-ES_tradnl"/>
        </w:rPr>
        <w:t>ref</w:t>
      </w:r>
      <w:r w:rsidR="00FD22A2" w:rsidRPr="00577AE6">
        <w:rPr>
          <w:rFonts w:ascii="Arial" w:eastAsia="Calibri" w:hAnsi="Arial" w:cs="Arial"/>
          <w:sz w:val="22"/>
          <w:szCs w:val="22"/>
          <w:lang w:val="es-ES_tradnl"/>
        </w:rPr>
        <w:t>erirse</w:t>
      </w:r>
      <w:r w:rsidR="00545FDA" w:rsidRPr="00577AE6">
        <w:rPr>
          <w:rFonts w:ascii="Arial" w:eastAsia="Calibri" w:hAnsi="Arial" w:cs="Arial"/>
          <w:sz w:val="22"/>
          <w:szCs w:val="22"/>
          <w:lang w:val="es-ES_tradnl"/>
        </w:rPr>
        <w:t xml:space="preserve"> </w:t>
      </w:r>
      <w:r w:rsidR="002E57DC" w:rsidRPr="00577AE6">
        <w:rPr>
          <w:rFonts w:ascii="Arial" w:eastAsia="Calibri" w:hAnsi="Arial" w:cs="Arial"/>
          <w:sz w:val="22"/>
          <w:szCs w:val="22"/>
          <w:lang w:val="es-ES_tradnl"/>
        </w:rPr>
        <w:t>a la parte de esta norma que suscita</w:t>
      </w:r>
      <w:r w:rsidR="0041674B" w:rsidRPr="00577AE6">
        <w:rPr>
          <w:rFonts w:ascii="Arial" w:eastAsia="Calibri" w:hAnsi="Arial" w:cs="Arial"/>
          <w:sz w:val="22"/>
          <w:szCs w:val="22"/>
          <w:lang w:val="es-ES_tradnl"/>
        </w:rPr>
        <w:t xml:space="preserve"> </w:t>
      </w:r>
      <w:r w:rsidR="00A00F5E" w:rsidRPr="00577AE6">
        <w:rPr>
          <w:rFonts w:ascii="Arial" w:eastAsia="Calibri" w:hAnsi="Arial" w:cs="Arial"/>
          <w:sz w:val="22"/>
          <w:szCs w:val="22"/>
          <w:lang w:val="es-ES_tradnl"/>
        </w:rPr>
        <w:t>la</w:t>
      </w:r>
      <w:r w:rsidR="0041674B" w:rsidRPr="00577AE6">
        <w:rPr>
          <w:rFonts w:ascii="Arial" w:eastAsia="Calibri" w:hAnsi="Arial" w:cs="Arial"/>
          <w:sz w:val="22"/>
          <w:szCs w:val="22"/>
          <w:lang w:val="es-ES_tradnl"/>
        </w:rPr>
        <w:t xml:space="preserve"> consulta. </w:t>
      </w:r>
      <w:r w:rsidR="00BB2D9E" w:rsidRPr="00577AE6">
        <w:rPr>
          <w:rFonts w:ascii="Arial" w:eastAsia="Calibri" w:hAnsi="Arial" w:cs="Arial"/>
          <w:sz w:val="22"/>
          <w:szCs w:val="22"/>
          <w:lang w:val="es-ES_tradnl"/>
        </w:rPr>
        <w:t>Las inquietudes planteadas por el peticionario</w:t>
      </w:r>
      <w:r w:rsidR="0041674B" w:rsidRPr="00577AE6">
        <w:rPr>
          <w:rFonts w:ascii="Arial" w:eastAsia="Calibri" w:hAnsi="Arial" w:cs="Arial"/>
          <w:sz w:val="22"/>
          <w:szCs w:val="22"/>
          <w:lang w:val="es-ES_tradnl"/>
        </w:rPr>
        <w:t xml:space="preserve"> </w:t>
      </w:r>
      <w:r w:rsidR="00042E72" w:rsidRPr="00577AE6">
        <w:rPr>
          <w:rFonts w:ascii="Arial" w:eastAsia="Calibri" w:hAnsi="Arial" w:cs="Arial"/>
          <w:sz w:val="22"/>
          <w:szCs w:val="22"/>
          <w:lang w:val="es-ES_tradnl"/>
        </w:rPr>
        <w:t>versan sobre</w:t>
      </w:r>
      <w:r w:rsidR="0030257B" w:rsidRPr="00577AE6">
        <w:rPr>
          <w:rFonts w:ascii="Arial" w:eastAsia="Calibri" w:hAnsi="Arial" w:cs="Arial"/>
          <w:sz w:val="22"/>
          <w:szCs w:val="22"/>
          <w:lang w:val="es-ES_tradnl"/>
        </w:rPr>
        <w:t xml:space="preserve"> </w:t>
      </w:r>
      <w:r w:rsidR="00042E72" w:rsidRPr="00577AE6">
        <w:rPr>
          <w:rFonts w:ascii="Arial" w:eastAsia="Calibri" w:hAnsi="Arial" w:cs="Arial"/>
          <w:sz w:val="22"/>
          <w:szCs w:val="22"/>
          <w:lang w:val="es-ES_tradnl"/>
        </w:rPr>
        <w:t xml:space="preserve">la aplicación </w:t>
      </w:r>
      <w:r w:rsidR="00FD2BB8" w:rsidRPr="00577AE6">
        <w:rPr>
          <w:rFonts w:ascii="Arial" w:eastAsia="Calibri" w:hAnsi="Arial" w:cs="Arial"/>
          <w:sz w:val="22"/>
          <w:szCs w:val="22"/>
          <w:lang w:val="es-ES_tradnl"/>
        </w:rPr>
        <w:t>del</w:t>
      </w:r>
      <w:r w:rsidR="0030257B" w:rsidRPr="00577AE6">
        <w:rPr>
          <w:rFonts w:ascii="Arial" w:eastAsia="Calibri" w:hAnsi="Arial" w:cs="Arial"/>
          <w:sz w:val="22"/>
          <w:szCs w:val="22"/>
          <w:lang w:val="es-ES_tradnl"/>
        </w:rPr>
        <w:t xml:space="preserve"> factor de desempate previsto en </w:t>
      </w:r>
      <w:r w:rsidR="00FD2BB8" w:rsidRPr="00577AE6">
        <w:rPr>
          <w:rFonts w:ascii="Arial" w:eastAsia="Calibri" w:hAnsi="Arial" w:cs="Arial"/>
          <w:sz w:val="22"/>
          <w:szCs w:val="22"/>
          <w:lang w:val="es-ES_tradnl"/>
        </w:rPr>
        <w:t>el</w:t>
      </w:r>
      <w:r w:rsidR="0030257B" w:rsidRPr="00577AE6">
        <w:rPr>
          <w:rFonts w:ascii="Arial" w:eastAsia="Calibri" w:hAnsi="Arial" w:cs="Arial"/>
          <w:sz w:val="22"/>
          <w:szCs w:val="22"/>
          <w:lang w:val="es-ES_tradnl"/>
        </w:rPr>
        <w:t xml:space="preserve"> numeral </w:t>
      </w:r>
      <w:r w:rsidR="00FD2BB8" w:rsidRPr="00577AE6">
        <w:rPr>
          <w:rFonts w:ascii="Arial" w:eastAsia="Calibri" w:hAnsi="Arial" w:cs="Arial"/>
          <w:sz w:val="22"/>
          <w:szCs w:val="22"/>
          <w:lang w:val="es-ES_tradnl"/>
        </w:rPr>
        <w:t>4</w:t>
      </w:r>
      <w:r w:rsidR="00454DF8" w:rsidRPr="00577AE6">
        <w:rPr>
          <w:rFonts w:ascii="Arial" w:eastAsia="Calibri" w:hAnsi="Arial" w:cs="Arial"/>
          <w:sz w:val="22"/>
          <w:szCs w:val="22"/>
          <w:lang w:val="es-ES_tradnl"/>
        </w:rPr>
        <w:t xml:space="preserve">. </w:t>
      </w:r>
      <w:r w:rsidR="00015392" w:rsidRPr="00577AE6">
        <w:rPr>
          <w:rFonts w:ascii="Arial" w:eastAsia="Calibri" w:hAnsi="Arial" w:cs="Arial"/>
          <w:sz w:val="22"/>
          <w:szCs w:val="22"/>
          <w:lang w:val="es-ES_tradnl"/>
        </w:rPr>
        <w:t>Dicha</w:t>
      </w:r>
      <w:r w:rsidR="00454DF8" w:rsidRPr="00577AE6">
        <w:rPr>
          <w:rFonts w:ascii="Arial" w:eastAsia="Calibri" w:hAnsi="Arial" w:cs="Arial"/>
          <w:sz w:val="22"/>
          <w:szCs w:val="22"/>
          <w:lang w:val="es-ES_tradnl"/>
        </w:rPr>
        <w:t xml:space="preserve"> </w:t>
      </w:r>
      <w:r w:rsidR="00FD2BB8" w:rsidRPr="00577AE6">
        <w:rPr>
          <w:rFonts w:ascii="Arial" w:eastAsia="Calibri" w:hAnsi="Arial" w:cs="Arial"/>
          <w:sz w:val="22"/>
          <w:szCs w:val="22"/>
          <w:lang w:val="es-ES_tradnl"/>
        </w:rPr>
        <w:t>disposición</w:t>
      </w:r>
      <w:r w:rsidR="00454DF8" w:rsidRPr="00577AE6">
        <w:rPr>
          <w:rFonts w:ascii="Arial" w:eastAsia="Calibri" w:hAnsi="Arial" w:cs="Arial"/>
          <w:sz w:val="22"/>
          <w:szCs w:val="22"/>
          <w:lang w:val="es-ES_tradnl"/>
        </w:rPr>
        <w:t xml:space="preserve"> </w:t>
      </w:r>
      <w:r w:rsidR="00A30795">
        <w:rPr>
          <w:rFonts w:ascii="Arial" w:eastAsia="Calibri" w:hAnsi="Arial" w:cs="Arial"/>
          <w:sz w:val="22"/>
          <w:szCs w:val="22"/>
          <w:lang w:val="es-ES_tradnl"/>
        </w:rPr>
        <w:t>establece lo siguiente</w:t>
      </w:r>
      <w:r w:rsidR="00BB606C" w:rsidRPr="00577AE6">
        <w:rPr>
          <w:rFonts w:ascii="Arial" w:hAnsi="Arial" w:cs="Arial"/>
          <w:sz w:val="22"/>
          <w:szCs w:val="22"/>
          <w:lang w:val="es-ES_tradnl"/>
        </w:rPr>
        <w:t>:</w:t>
      </w:r>
      <w:r w:rsidR="00E073FC" w:rsidRPr="00577AE6">
        <w:rPr>
          <w:rFonts w:ascii="Arial" w:hAnsi="Arial" w:cs="Arial"/>
          <w:sz w:val="22"/>
          <w:szCs w:val="22"/>
          <w:lang w:val="es-ES_tradnl"/>
        </w:rPr>
        <w:t xml:space="preserve"> </w:t>
      </w:r>
    </w:p>
    <w:p w14:paraId="0F63709A" w14:textId="74E372D9" w:rsidR="00BB606C" w:rsidRPr="00577AE6" w:rsidRDefault="00BB606C" w:rsidP="004B205A">
      <w:pPr>
        <w:spacing w:line="276" w:lineRule="auto"/>
        <w:ind w:firstLine="709"/>
        <w:jc w:val="both"/>
        <w:rPr>
          <w:rFonts w:ascii="Arial" w:hAnsi="Arial" w:cs="Arial"/>
          <w:sz w:val="21"/>
          <w:szCs w:val="21"/>
          <w:lang w:val="es-ES_tradnl"/>
        </w:rPr>
      </w:pPr>
    </w:p>
    <w:p w14:paraId="0BC827BE" w14:textId="597906E0" w:rsidR="00530458" w:rsidRPr="00577AE6" w:rsidRDefault="00E2081A" w:rsidP="00884536">
      <w:pPr>
        <w:ind w:left="709" w:right="709"/>
        <w:jc w:val="both"/>
        <w:rPr>
          <w:rFonts w:ascii="Arial" w:eastAsia="Calibri" w:hAnsi="Arial" w:cs="Arial"/>
          <w:sz w:val="21"/>
          <w:szCs w:val="21"/>
          <w:lang w:val="es-ES_tradnl"/>
        </w:rPr>
      </w:pPr>
      <w:r w:rsidRPr="00577AE6">
        <w:rPr>
          <w:rFonts w:ascii="Arial" w:eastAsia="Calibri" w:hAnsi="Arial" w:cs="Arial"/>
          <w:sz w:val="21"/>
          <w:szCs w:val="21"/>
          <w:lang w:val="es-ES_tradnl"/>
        </w:rPr>
        <w:t xml:space="preserve">Artículo 35. Factores de desempate. </w:t>
      </w:r>
      <w:r w:rsidR="00530458" w:rsidRPr="00577AE6">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11259156" w14:textId="77777777" w:rsidR="00304D97" w:rsidRPr="00577AE6" w:rsidRDefault="00304D97" w:rsidP="00884536">
      <w:pPr>
        <w:ind w:left="709" w:right="709"/>
        <w:jc w:val="both"/>
        <w:rPr>
          <w:rFonts w:ascii="Arial" w:eastAsia="Calibri" w:hAnsi="Arial" w:cs="Arial"/>
          <w:sz w:val="21"/>
          <w:szCs w:val="21"/>
          <w:lang w:val="es-ES_tradnl"/>
        </w:rPr>
      </w:pPr>
    </w:p>
    <w:p w14:paraId="217A8E4B" w14:textId="29A66F90" w:rsidR="00530458" w:rsidRPr="00577AE6" w:rsidRDefault="00530458" w:rsidP="00884536">
      <w:pPr>
        <w:ind w:left="709" w:right="709"/>
        <w:jc w:val="both"/>
        <w:rPr>
          <w:rFonts w:ascii="Arial" w:eastAsia="Calibri" w:hAnsi="Arial" w:cs="Arial"/>
          <w:sz w:val="21"/>
          <w:szCs w:val="21"/>
          <w:lang w:val="es-ES_tradnl"/>
        </w:rPr>
      </w:pPr>
      <w:r w:rsidRPr="00577AE6">
        <w:rPr>
          <w:rFonts w:ascii="Arial" w:eastAsia="Calibri" w:hAnsi="Arial" w:cs="Arial"/>
          <w:sz w:val="21"/>
          <w:szCs w:val="21"/>
          <w:lang w:val="es-ES_tradnl"/>
        </w:rPr>
        <w:t>[…]</w:t>
      </w:r>
    </w:p>
    <w:p w14:paraId="7112AD4B" w14:textId="77777777" w:rsidR="00A771DB" w:rsidRPr="00577AE6" w:rsidRDefault="00A771DB" w:rsidP="00884536">
      <w:pPr>
        <w:ind w:left="709" w:right="709"/>
        <w:jc w:val="both"/>
        <w:rPr>
          <w:rFonts w:ascii="Arial" w:eastAsia="Calibri" w:hAnsi="Arial" w:cs="Arial"/>
          <w:sz w:val="21"/>
          <w:szCs w:val="21"/>
          <w:lang w:val="es-ES_tradnl"/>
        </w:rPr>
      </w:pPr>
    </w:p>
    <w:p w14:paraId="62100D4E" w14:textId="75126258" w:rsidR="00530458" w:rsidRPr="00577AE6" w:rsidRDefault="004E455B" w:rsidP="00884536">
      <w:pPr>
        <w:ind w:left="709" w:right="709"/>
        <w:jc w:val="both"/>
        <w:rPr>
          <w:rFonts w:ascii="Arial" w:eastAsia="Calibri" w:hAnsi="Arial" w:cs="Arial"/>
          <w:sz w:val="21"/>
          <w:szCs w:val="21"/>
          <w:lang w:val="es-ES_tradnl"/>
        </w:rPr>
      </w:pPr>
      <w:r w:rsidRPr="00577AE6">
        <w:rPr>
          <w:rFonts w:ascii="Arial" w:eastAsia="Calibri" w:hAnsi="Arial" w:cs="Arial"/>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1C8EB8E0" w14:textId="77777777" w:rsidR="00304D97" w:rsidRPr="00577AE6" w:rsidRDefault="00304D97" w:rsidP="00884536">
      <w:pPr>
        <w:ind w:left="709" w:right="709"/>
        <w:jc w:val="both"/>
        <w:rPr>
          <w:rFonts w:ascii="Arial" w:eastAsia="Calibri" w:hAnsi="Arial" w:cs="Arial"/>
          <w:sz w:val="21"/>
          <w:szCs w:val="21"/>
          <w:lang w:val="es-ES_tradnl"/>
        </w:rPr>
      </w:pPr>
    </w:p>
    <w:p w14:paraId="244771D8" w14:textId="5B24599D" w:rsidR="0011359A" w:rsidRPr="00577AE6" w:rsidRDefault="0011359A" w:rsidP="00884536">
      <w:pPr>
        <w:ind w:left="709" w:right="709"/>
        <w:jc w:val="both"/>
        <w:rPr>
          <w:rFonts w:ascii="Arial" w:eastAsia="Calibri" w:hAnsi="Arial" w:cs="Arial"/>
          <w:sz w:val="21"/>
          <w:szCs w:val="21"/>
          <w:lang w:val="es-ES_tradnl"/>
        </w:rPr>
      </w:pPr>
      <w:r w:rsidRPr="00577AE6">
        <w:rPr>
          <w:rFonts w:ascii="Arial" w:eastAsia="Calibri" w:hAnsi="Arial" w:cs="Arial"/>
          <w:sz w:val="21"/>
          <w:szCs w:val="21"/>
          <w:lang w:val="es-ES_tradnl"/>
        </w:rPr>
        <w:t>[…]</w:t>
      </w:r>
    </w:p>
    <w:p w14:paraId="6B48455F" w14:textId="77777777" w:rsidR="00304D97" w:rsidRPr="00577AE6" w:rsidRDefault="00304D97" w:rsidP="00884536">
      <w:pPr>
        <w:ind w:left="709" w:right="709"/>
        <w:jc w:val="both"/>
        <w:rPr>
          <w:rFonts w:ascii="Arial" w:eastAsia="Calibri" w:hAnsi="Arial" w:cs="Arial"/>
          <w:sz w:val="21"/>
          <w:szCs w:val="21"/>
          <w:lang w:val="es-ES_tradnl"/>
        </w:rPr>
      </w:pPr>
    </w:p>
    <w:p w14:paraId="7BDA48C4" w14:textId="5F40F5B3" w:rsidR="00304D97" w:rsidRPr="00577AE6" w:rsidRDefault="00304D97" w:rsidP="00884536">
      <w:pPr>
        <w:ind w:left="709" w:right="709"/>
        <w:jc w:val="both"/>
        <w:rPr>
          <w:rFonts w:ascii="Arial" w:eastAsia="Calibri" w:hAnsi="Arial" w:cs="Arial"/>
          <w:sz w:val="22"/>
          <w:szCs w:val="22"/>
          <w:lang w:val="es-ES_tradnl"/>
        </w:rPr>
      </w:pPr>
      <w:r w:rsidRPr="00577AE6">
        <w:rPr>
          <w:rFonts w:ascii="Arial" w:eastAsia="Calibri" w:hAnsi="Arial" w:cs="Arial"/>
          <w:sz w:val="21"/>
          <w:szCs w:val="21"/>
          <w:lang w:val="es-ES_tradnl"/>
        </w:rPr>
        <w:t>Parágrafo segundo. Para los criterios enunciados que involucren la</w:t>
      </w:r>
      <w:r w:rsidRPr="00577AE6">
        <w:rPr>
          <w:rFonts w:ascii="Arial" w:eastAsia="Calibri" w:hAnsi="Arial" w:cs="Arial"/>
          <w:i/>
          <w:iCs/>
          <w:sz w:val="21"/>
          <w:szCs w:val="21"/>
          <w:lang w:val="es-ES_tradnl"/>
        </w:rPr>
        <w:t xml:space="preserve"> vinculación de capital humano</w:t>
      </w:r>
      <w:r w:rsidRPr="00577AE6">
        <w:rPr>
          <w:rFonts w:ascii="Arial" w:eastAsia="Calibri" w:hAnsi="Arial" w:cs="Arial"/>
          <w:sz w:val="21"/>
          <w:szCs w:val="21"/>
          <w:lang w:val="es-ES_tradnl"/>
        </w:rPr>
        <w:t xml:space="preserve">, el oferente deberá acreditar una antigüedad igual o mayor a un año. Para los casos de constitución inferior a un año se tendrá en cuenta a aquellos trabajadores que hayan estado vinculados desde el momento de constitución de </w:t>
      </w:r>
      <w:proofErr w:type="gramStart"/>
      <w:r w:rsidRPr="00577AE6">
        <w:rPr>
          <w:rFonts w:ascii="Arial" w:eastAsia="Calibri" w:hAnsi="Arial" w:cs="Arial"/>
          <w:sz w:val="21"/>
          <w:szCs w:val="21"/>
          <w:lang w:val="es-ES_tradnl"/>
        </w:rPr>
        <w:t>la misma</w:t>
      </w:r>
      <w:proofErr w:type="gramEnd"/>
      <w:r w:rsidRPr="00577AE6">
        <w:rPr>
          <w:rFonts w:ascii="Arial" w:eastAsia="Calibri" w:hAnsi="Arial" w:cs="Arial"/>
          <w:sz w:val="21"/>
          <w:szCs w:val="21"/>
          <w:lang w:val="es-ES_tradnl"/>
        </w:rPr>
        <w:t xml:space="preserve">. </w:t>
      </w:r>
    </w:p>
    <w:p w14:paraId="5E1207E2" w14:textId="74C55D63" w:rsidR="00766D49" w:rsidRPr="00577AE6" w:rsidRDefault="00766D49" w:rsidP="00177B3E">
      <w:pPr>
        <w:spacing w:line="276" w:lineRule="auto"/>
        <w:ind w:left="709" w:right="709"/>
        <w:jc w:val="both"/>
        <w:rPr>
          <w:rFonts w:ascii="Arial" w:eastAsia="Calibri" w:hAnsi="Arial" w:cs="Arial"/>
          <w:sz w:val="22"/>
          <w:szCs w:val="22"/>
          <w:lang w:val="es-ES_tradnl"/>
        </w:rPr>
      </w:pPr>
    </w:p>
    <w:p w14:paraId="2CEA8ECE" w14:textId="0F199612" w:rsidR="00C01330" w:rsidRPr="00577AE6" w:rsidRDefault="00CC4EF4" w:rsidP="00FD313C">
      <w:pPr>
        <w:spacing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Como se advierte, est</w:t>
      </w:r>
      <w:r w:rsidR="005C54DF" w:rsidRPr="00577AE6">
        <w:rPr>
          <w:rFonts w:ascii="Arial" w:eastAsia="Calibri" w:hAnsi="Arial" w:cs="Arial"/>
          <w:sz w:val="22"/>
          <w:szCs w:val="22"/>
          <w:lang w:val="es-ES_tradnl"/>
        </w:rPr>
        <w:t>e</w:t>
      </w:r>
      <w:r w:rsidRPr="00577AE6">
        <w:rPr>
          <w:rFonts w:ascii="Arial" w:eastAsia="Calibri" w:hAnsi="Arial" w:cs="Arial"/>
          <w:sz w:val="22"/>
          <w:szCs w:val="22"/>
          <w:lang w:val="es-ES_tradnl"/>
        </w:rPr>
        <w:t xml:space="preserve"> numeral</w:t>
      </w:r>
      <w:r w:rsidR="00A30795">
        <w:rPr>
          <w:rFonts w:ascii="Arial" w:eastAsia="Calibri" w:hAnsi="Arial" w:cs="Arial"/>
          <w:sz w:val="22"/>
          <w:szCs w:val="22"/>
          <w:lang w:val="es-ES_tradnl"/>
        </w:rPr>
        <w:t xml:space="preserve"> </w:t>
      </w:r>
      <w:r w:rsidR="0084688E" w:rsidRPr="00577AE6">
        <w:rPr>
          <w:rFonts w:ascii="Arial" w:eastAsia="Calibri" w:hAnsi="Arial" w:cs="Arial"/>
          <w:sz w:val="22"/>
          <w:szCs w:val="22"/>
          <w:lang w:val="es-ES_tradnl"/>
        </w:rPr>
        <w:t>–al igual que los demás de este artículo–</w:t>
      </w:r>
      <w:r w:rsidRPr="00577AE6">
        <w:rPr>
          <w:rFonts w:ascii="Arial" w:eastAsia="Calibri" w:hAnsi="Arial" w:cs="Arial"/>
          <w:sz w:val="22"/>
          <w:szCs w:val="22"/>
          <w:lang w:val="es-ES_tradnl"/>
        </w:rPr>
        <w:t xml:space="preserve"> </w:t>
      </w:r>
      <w:bookmarkStart w:id="2" w:name="_Hlk62459524"/>
      <w:r w:rsidRPr="00577AE6">
        <w:rPr>
          <w:rFonts w:ascii="Arial" w:eastAsia="Calibri" w:hAnsi="Arial" w:cs="Arial"/>
          <w:sz w:val="22"/>
          <w:szCs w:val="22"/>
          <w:lang w:val="es-ES_tradnl"/>
        </w:rPr>
        <w:t xml:space="preserve">no establece un medio específico para acreditar la circunstancia a la que se refiere. Por lo tanto, corresponde a la entidad contratante </w:t>
      </w:r>
      <w:r w:rsidR="00A30795">
        <w:rPr>
          <w:rFonts w:ascii="Arial" w:eastAsia="Calibri" w:hAnsi="Arial" w:cs="Arial"/>
          <w:sz w:val="22"/>
          <w:szCs w:val="22"/>
          <w:lang w:val="es-ES_tradnl"/>
        </w:rPr>
        <w:t xml:space="preserve">al elaborar los pliegos de condiciones </w:t>
      </w:r>
      <w:r w:rsidRPr="00577AE6">
        <w:rPr>
          <w:rFonts w:ascii="Arial" w:eastAsia="Calibri" w:hAnsi="Arial" w:cs="Arial"/>
          <w:sz w:val="22"/>
          <w:szCs w:val="22"/>
          <w:lang w:val="es-ES_tradnl"/>
        </w:rPr>
        <w:t xml:space="preserve">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577AE6">
        <w:rPr>
          <w:rFonts w:ascii="Arial" w:eastAsia="Calibri" w:hAnsi="Arial" w:cs="Arial"/>
          <w:sz w:val="22"/>
          <w:szCs w:val="22"/>
          <w:lang w:val="es-ES_tradnl"/>
        </w:rPr>
        <w:t>encuentra</w:t>
      </w:r>
      <w:r w:rsidRPr="00577AE6">
        <w:rPr>
          <w:rFonts w:ascii="Arial" w:eastAsia="Calibri" w:hAnsi="Arial" w:cs="Arial"/>
          <w:sz w:val="22"/>
          <w:szCs w:val="22"/>
          <w:lang w:val="es-ES_tradnl"/>
        </w:rPr>
        <w:t xml:space="preserve"> bajo la condición que permite aplicar la regla de desempate. Por supuesto, el decreto reglamentario que expida el </w:t>
      </w:r>
      <w:r w:rsidR="00F46A7B" w:rsidRPr="00577AE6">
        <w:rPr>
          <w:rFonts w:ascii="Arial" w:eastAsia="Calibri" w:hAnsi="Arial" w:cs="Arial"/>
          <w:sz w:val="22"/>
          <w:szCs w:val="22"/>
          <w:lang w:val="es-ES_tradnl"/>
        </w:rPr>
        <w:t>G</w:t>
      </w:r>
      <w:r w:rsidRPr="00577AE6">
        <w:rPr>
          <w:rFonts w:ascii="Arial" w:eastAsia="Calibri" w:hAnsi="Arial" w:cs="Arial"/>
          <w:sz w:val="22"/>
          <w:szCs w:val="22"/>
          <w:lang w:val="es-ES_tradnl"/>
        </w:rPr>
        <w:t xml:space="preserve">obierno nacional para garantizar la cumplida ejecución de la Ley </w:t>
      </w:r>
      <w:r w:rsidR="007B209C" w:rsidRPr="00577AE6">
        <w:rPr>
          <w:rFonts w:ascii="Arial" w:eastAsia="Calibri" w:hAnsi="Arial" w:cs="Arial"/>
          <w:sz w:val="22"/>
          <w:szCs w:val="22"/>
          <w:lang w:val="es-ES_tradnl"/>
        </w:rPr>
        <w:t>2069</w:t>
      </w:r>
      <w:r w:rsidRPr="00577AE6">
        <w:rPr>
          <w:rFonts w:ascii="Arial" w:eastAsia="Calibri" w:hAnsi="Arial" w:cs="Arial"/>
          <w:sz w:val="22"/>
          <w:szCs w:val="22"/>
          <w:lang w:val="es-ES_tradnl"/>
        </w:rPr>
        <w:t xml:space="preserve"> de 2020 podría establecer los medios de prueba, así como las autoridades encargadas de certificar las </w:t>
      </w:r>
      <w:r w:rsidRPr="00577AE6">
        <w:rPr>
          <w:rFonts w:ascii="Arial" w:eastAsia="Calibri" w:hAnsi="Arial" w:cs="Arial"/>
          <w:sz w:val="22"/>
          <w:szCs w:val="22"/>
          <w:lang w:val="es-ES_tradnl"/>
        </w:rPr>
        <w:lastRenderedPageBreak/>
        <w:t>circunstancias del artículo 35. Sin embargo, mientras ello no suceda, deberá aplicarse el criterio indicado con anterioridad.</w:t>
      </w:r>
    </w:p>
    <w:bookmarkEnd w:id="2"/>
    <w:p w14:paraId="7377CBC0" w14:textId="39922A06" w:rsidR="006C1E16" w:rsidRPr="00577AE6" w:rsidRDefault="00051A3A" w:rsidP="00046429">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w:t>
      </w:r>
      <w:proofErr w:type="gramStart"/>
      <w:r w:rsidRPr="00577AE6">
        <w:rPr>
          <w:rFonts w:ascii="Arial" w:eastAsia="Calibri" w:hAnsi="Arial" w:cs="Arial"/>
          <w:sz w:val="22"/>
          <w:szCs w:val="22"/>
          <w:lang w:val="es-ES_tradnl"/>
        </w:rPr>
        <w:t>años de edad</w:t>
      </w:r>
      <w:proofErr w:type="gramEnd"/>
      <w:r w:rsidRPr="00577AE6">
        <w:rPr>
          <w:rFonts w:ascii="Arial" w:eastAsia="Calibri" w:hAnsi="Arial" w:cs="Arial"/>
          <w:sz w:val="22"/>
          <w:szCs w:val="22"/>
          <w:lang w:val="es-ES_tradnl"/>
        </w:rPr>
        <w:t xml:space="preserve"> o más», lo cual se puede acreditar con el documento de identidad correspondiente.</w:t>
      </w:r>
    </w:p>
    <w:p w14:paraId="51782318" w14:textId="531DF14D" w:rsidR="00D10D64" w:rsidRPr="00577AE6" w:rsidRDefault="006C1E16" w:rsidP="00046429">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No obstante</w:t>
      </w:r>
      <w:r w:rsidR="00051A3A" w:rsidRPr="00577AE6">
        <w:rPr>
          <w:rFonts w:ascii="Arial" w:eastAsia="Calibri" w:hAnsi="Arial" w:cs="Arial"/>
          <w:sz w:val="22"/>
          <w:szCs w:val="22"/>
          <w:lang w:val="es-ES_tradnl"/>
        </w:rPr>
        <w:t>,</w:t>
      </w:r>
      <w:r w:rsidR="00D23B47" w:rsidRPr="00577AE6">
        <w:rPr>
          <w:rFonts w:ascii="Arial" w:eastAsia="Calibri" w:hAnsi="Arial" w:cs="Arial"/>
          <w:sz w:val="22"/>
          <w:szCs w:val="22"/>
          <w:lang w:val="es-ES_tradnl"/>
        </w:rPr>
        <w:t xml:space="preserve"> conforme a lo explicado en el Concepto </w:t>
      </w:r>
      <w:r w:rsidR="00AF1CF5" w:rsidRPr="00577AE6">
        <w:rPr>
          <w:rFonts w:ascii="Arial" w:eastAsia="Calibri" w:hAnsi="Arial" w:cs="Arial"/>
          <w:sz w:val="22"/>
          <w:szCs w:val="22"/>
          <w:lang w:val="es-ES_tradnl"/>
        </w:rPr>
        <w:t xml:space="preserve">206 del </w:t>
      </w:r>
      <w:r w:rsidR="00943AF3" w:rsidRPr="00577AE6">
        <w:rPr>
          <w:rFonts w:ascii="Arial" w:eastAsia="Calibri" w:hAnsi="Arial" w:cs="Arial"/>
          <w:sz w:val="22"/>
          <w:szCs w:val="22"/>
          <w:lang w:val="es-ES_tradnl"/>
        </w:rPr>
        <w:t>3 de mayo de 2021</w:t>
      </w:r>
      <w:r w:rsidR="00051A3A" w:rsidRPr="00577AE6">
        <w:rPr>
          <w:rFonts w:ascii="Arial" w:eastAsia="Calibri" w:hAnsi="Arial" w:cs="Arial"/>
          <w:sz w:val="22"/>
          <w:szCs w:val="22"/>
          <w:lang w:val="es-ES_tradnl"/>
        </w:rPr>
        <w:t>, también existe la posibilidad de entender que esta causal aplica a todas las personas que –en el rango de edad correspondiente a cada género– no han alcanzado la pensión, interpretación que</w:t>
      </w:r>
      <w:r w:rsidR="00943AF3" w:rsidRPr="00577AE6">
        <w:rPr>
          <w:rFonts w:ascii="Arial" w:eastAsia="Calibri" w:hAnsi="Arial" w:cs="Arial"/>
          <w:sz w:val="22"/>
          <w:szCs w:val="22"/>
          <w:lang w:val="es-ES_tradnl"/>
        </w:rPr>
        <w:t xml:space="preserve"> –sin perjuicio de lo que defina el reglamento–</w:t>
      </w:r>
      <w:r w:rsidR="00051A3A" w:rsidRPr="00577AE6">
        <w:rPr>
          <w:rFonts w:ascii="Arial" w:eastAsia="Calibri" w:hAnsi="Arial" w:cs="Arial"/>
          <w:sz w:val="22"/>
          <w:szCs w:val="22"/>
          <w:lang w:val="es-ES_tradnl"/>
        </w:rPr>
        <w:t xml:space="preserve"> está </w:t>
      </w:r>
      <w:proofErr w:type="spellStart"/>
      <w:r w:rsidR="00051A3A" w:rsidRPr="00577AE6">
        <w:rPr>
          <w:rFonts w:ascii="Arial" w:eastAsia="Calibri" w:hAnsi="Arial" w:cs="Arial"/>
          <w:sz w:val="22"/>
          <w:szCs w:val="22"/>
          <w:lang w:val="es-ES_tradnl"/>
        </w:rPr>
        <w:t>mas</w:t>
      </w:r>
      <w:proofErr w:type="spellEnd"/>
      <w:r w:rsidR="00051A3A" w:rsidRPr="00577AE6">
        <w:rPr>
          <w:rFonts w:ascii="Arial" w:eastAsia="Calibri" w:hAnsi="Arial" w:cs="Arial"/>
          <w:sz w:val="22"/>
          <w:szCs w:val="22"/>
          <w:lang w:val="es-ES_tradnl"/>
        </w:rPr>
        <w:t xml:space="preserve"> ajustada al principio de favorabilidad.</w:t>
      </w:r>
      <w:r w:rsidR="006D79A7" w:rsidRPr="00577AE6">
        <w:rPr>
          <w:rFonts w:ascii="Arial" w:eastAsia="Calibri" w:hAnsi="Arial" w:cs="Arial"/>
          <w:sz w:val="22"/>
          <w:szCs w:val="22"/>
          <w:lang w:val="es-ES_tradnl"/>
        </w:rPr>
        <w:t xml:space="preserve"> </w:t>
      </w:r>
      <w:r w:rsidR="00491D6E" w:rsidRPr="00577AE6">
        <w:rPr>
          <w:rFonts w:ascii="Arial" w:eastAsia="Calibri" w:hAnsi="Arial" w:cs="Arial"/>
          <w:sz w:val="22"/>
          <w:szCs w:val="22"/>
          <w:lang w:val="es-ES_tradnl"/>
        </w:rPr>
        <w:t>A efectos de aplicar esta interpretación</w:t>
      </w:r>
      <w:r w:rsidR="0018661D" w:rsidRPr="00577AE6">
        <w:rPr>
          <w:rFonts w:ascii="Arial" w:eastAsia="Calibri" w:hAnsi="Arial" w:cs="Arial"/>
          <w:sz w:val="22"/>
          <w:szCs w:val="22"/>
          <w:lang w:val="es-ES_tradnl"/>
        </w:rPr>
        <w:t xml:space="preserve">, </w:t>
      </w:r>
      <w:r w:rsidR="00727FA4" w:rsidRPr="00577AE6">
        <w:rPr>
          <w:rFonts w:ascii="Arial" w:eastAsia="Calibri" w:hAnsi="Arial" w:cs="Arial"/>
          <w:sz w:val="22"/>
          <w:szCs w:val="22"/>
          <w:lang w:val="es-ES_tradnl"/>
        </w:rPr>
        <w:t xml:space="preserve">es determinante la remisión realizada en </w:t>
      </w:r>
      <w:r w:rsidR="00AE15BF" w:rsidRPr="00577AE6">
        <w:rPr>
          <w:rFonts w:ascii="Arial" w:eastAsia="Calibri" w:hAnsi="Arial" w:cs="Arial"/>
          <w:sz w:val="22"/>
          <w:szCs w:val="22"/>
          <w:lang w:val="es-ES_tradnl"/>
        </w:rPr>
        <w:t xml:space="preserve">la norma </w:t>
      </w:r>
      <w:r w:rsidR="00727FA4" w:rsidRPr="00577AE6">
        <w:rPr>
          <w:rFonts w:ascii="Arial" w:eastAsia="Calibri" w:hAnsi="Arial" w:cs="Arial"/>
          <w:sz w:val="22"/>
          <w:szCs w:val="22"/>
          <w:lang w:val="es-ES_tradnl"/>
        </w:rPr>
        <w:t xml:space="preserve">al </w:t>
      </w:r>
      <w:r w:rsidR="005318A2" w:rsidRPr="00577AE6">
        <w:rPr>
          <w:rFonts w:ascii="Arial" w:eastAsia="Calibri" w:hAnsi="Arial" w:cs="Arial"/>
          <w:sz w:val="22"/>
          <w:szCs w:val="22"/>
          <w:lang w:val="es-ES_tradnl"/>
        </w:rPr>
        <w:t xml:space="preserve">«[…] </w:t>
      </w:r>
      <w:r w:rsidR="00727FA4" w:rsidRPr="00577AE6">
        <w:rPr>
          <w:rFonts w:ascii="Arial" w:eastAsia="Calibri" w:hAnsi="Arial" w:cs="Arial"/>
          <w:sz w:val="22"/>
          <w:szCs w:val="22"/>
          <w:lang w:val="es-ES_tradnl"/>
        </w:rPr>
        <w:t xml:space="preserve">requisito de edad </w:t>
      </w:r>
      <w:r w:rsidR="005318A2" w:rsidRPr="00577AE6">
        <w:rPr>
          <w:rFonts w:ascii="Arial" w:eastAsia="Calibri" w:hAnsi="Arial" w:cs="Arial"/>
          <w:sz w:val="22"/>
          <w:szCs w:val="22"/>
          <w:lang w:val="es-ES_tradnl"/>
        </w:rPr>
        <w:t xml:space="preserve">de pensión </w:t>
      </w:r>
      <w:r w:rsidR="00F94536" w:rsidRPr="00577AE6">
        <w:rPr>
          <w:rFonts w:ascii="Arial" w:eastAsia="Calibri" w:hAnsi="Arial" w:cs="Arial"/>
          <w:sz w:val="22"/>
          <w:szCs w:val="22"/>
          <w:lang w:val="es-ES_tradnl"/>
        </w:rPr>
        <w:t xml:space="preserve">establecido en la </w:t>
      </w:r>
      <w:r w:rsidR="005318A2" w:rsidRPr="00577AE6">
        <w:rPr>
          <w:rFonts w:ascii="Arial" w:eastAsia="Calibri" w:hAnsi="Arial" w:cs="Arial"/>
          <w:sz w:val="22"/>
          <w:szCs w:val="22"/>
          <w:lang w:val="es-ES_tradnl"/>
        </w:rPr>
        <w:t>L</w:t>
      </w:r>
      <w:r w:rsidR="00F94536" w:rsidRPr="00577AE6">
        <w:rPr>
          <w:rFonts w:ascii="Arial" w:eastAsia="Calibri" w:hAnsi="Arial" w:cs="Arial"/>
          <w:sz w:val="22"/>
          <w:szCs w:val="22"/>
          <w:lang w:val="es-ES_tradnl"/>
        </w:rPr>
        <w:t>ey</w:t>
      </w:r>
      <w:r w:rsidR="005318A2" w:rsidRPr="00577AE6">
        <w:rPr>
          <w:rFonts w:ascii="Arial" w:eastAsia="Calibri" w:hAnsi="Arial" w:cs="Arial"/>
          <w:sz w:val="22"/>
          <w:szCs w:val="22"/>
          <w:lang w:val="es-ES_tradnl"/>
        </w:rPr>
        <w:t xml:space="preserve">», </w:t>
      </w:r>
      <w:r w:rsidR="00CE625F" w:rsidRPr="00577AE6">
        <w:rPr>
          <w:rFonts w:ascii="Arial" w:eastAsia="Calibri" w:hAnsi="Arial" w:cs="Arial"/>
          <w:sz w:val="22"/>
          <w:szCs w:val="22"/>
          <w:lang w:val="es-ES_tradnl"/>
        </w:rPr>
        <w:t>el cual, en el régimen pensional de la Ley 100 de 1993</w:t>
      </w:r>
      <w:r w:rsidR="00815AA0" w:rsidRPr="00577AE6">
        <w:rPr>
          <w:rFonts w:ascii="Arial" w:eastAsia="Calibri" w:hAnsi="Arial" w:cs="Arial"/>
          <w:sz w:val="22"/>
          <w:szCs w:val="22"/>
          <w:lang w:val="es-ES_tradnl"/>
        </w:rPr>
        <w:t>, est</w:t>
      </w:r>
      <w:r w:rsidR="000E74E4" w:rsidRPr="00577AE6">
        <w:rPr>
          <w:rFonts w:ascii="Arial" w:eastAsia="Calibri" w:hAnsi="Arial" w:cs="Arial"/>
          <w:sz w:val="22"/>
          <w:szCs w:val="22"/>
          <w:lang w:val="es-ES_tradnl"/>
        </w:rPr>
        <w:t>á</w:t>
      </w:r>
      <w:r w:rsidR="00815AA0" w:rsidRPr="00577AE6">
        <w:rPr>
          <w:rFonts w:ascii="Arial" w:eastAsia="Calibri" w:hAnsi="Arial" w:cs="Arial"/>
          <w:sz w:val="22"/>
          <w:szCs w:val="22"/>
          <w:lang w:val="es-ES_tradnl"/>
        </w:rPr>
        <w:t xml:space="preserve"> determinado por los artículos</w:t>
      </w:r>
      <w:r w:rsidR="000E74E4" w:rsidRPr="00577AE6">
        <w:rPr>
          <w:rFonts w:ascii="Arial" w:eastAsia="Calibri" w:hAnsi="Arial" w:cs="Arial"/>
          <w:sz w:val="22"/>
          <w:szCs w:val="22"/>
          <w:lang w:val="es-ES_tradnl"/>
        </w:rPr>
        <w:t xml:space="preserve"> 33 y 36</w:t>
      </w:r>
      <w:r w:rsidR="00F91BC7" w:rsidRPr="00577AE6">
        <w:rPr>
          <w:rStyle w:val="Refdenotaalpie"/>
          <w:rFonts w:ascii="Arial" w:eastAsia="Calibri" w:hAnsi="Arial" w:cs="Arial"/>
          <w:sz w:val="22"/>
          <w:szCs w:val="22"/>
          <w:lang w:val="es-ES_tradnl"/>
        </w:rPr>
        <w:footnoteReference w:id="10"/>
      </w:r>
      <w:r w:rsidR="000E74E4" w:rsidRPr="00577AE6">
        <w:rPr>
          <w:rFonts w:ascii="Arial" w:eastAsia="Calibri" w:hAnsi="Arial" w:cs="Arial"/>
          <w:sz w:val="22"/>
          <w:szCs w:val="22"/>
          <w:lang w:val="es-ES_tradnl"/>
        </w:rPr>
        <w:t>.</w:t>
      </w:r>
      <w:r w:rsidR="00815AA0" w:rsidRPr="00577AE6">
        <w:rPr>
          <w:rFonts w:ascii="Arial" w:eastAsia="Calibri" w:hAnsi="Arial" w:cs="Arial"/>
          <w:sz w:val="22"/>
          <w:szCs w:val="22"/>
          <w:lang w:val="es-ES_tradnl"/>
        </w:rPr>
        <w:t xml:space="preserve"> </w:t>
      </w:r>
      <w:r w:rsidR="008165C8" w:rsidRPr="00577AE6">
        <w:rPr>
          <w:rFonts w:ascii="Arial" w:eastAsia="Calibri" w:hAnsi="Arial" w:cs="Arial"/>
          <w:sz w:val="22"/>
          <w:szCs w:val="22"/>
          <w:lang w:val="es-ES_tradnl"/>
        </w:rPr>
        <w:t xml:space="preserve">El primero de estos artículos señala como requisitos, la edad de </w:t>
      </w:r>
      <w:r w:rsidR="0091202E" w:rsidRPr="00577AE6">
        <w:rPr>
          <w:rFonts w:ascii="Arial" w:eastAsia="Calibri" w:hAnsi="Arial" w:cs="Arial"/>
          <w:sz w:val="22"/>
          <w:szCs w:val="22"/>
          <w:lang w:val="es-ES_tradnl"/>
        </w:rPr>
        <w:t>cincuenta (</w:t>
      </w:r>
      <w:r w:rsidR="008165C8" w:rsidRPr="00577AE6">
        <w:rPr>
          <w:rFonts w:ascii="Arial" w:eastAsia="Calibri" w:hAnsi="Arial" w:cs="Arial"/>
          <w:sz w:val="22"/>
          <w:szCs w:val="22"/>
          <w:lang w:val="es-ES_tradnl"/>
        </w:rPr>
        <w:t>55</w:t>
      </w:r>
      <w:r w:rsidR="0091202E" w:rsidRPr="00577AE6">
        <w:rPr>
          <w:rFonts w:ascii="Arial" w:eastAsia="Calibri" w:hAnsi="Arial" w:cs="Arial"/>
          <w:sz w:val="22"/>
          <w:szCs w:val="22"/>
          <w:lang w:val="es-ES_tradnl"/>
        </w:rPr>
        <w:t>)</w:t>
      </w:r>
      <w:r w:rsidR="008165C8" w:rsidRPr="00577AE6">
        <w:rPr>
          <w:rFonts w:ascii="Arial" w:eastAsia="Calibri" w:hAnsi="Arial" w:cs="Arial"/>
          <w:sz w:val="22"/>
          <w:szCs w:val="22"/>
          <w:lang w:val="es-ES_tradnl"/>
        </w:rPr>
        <w:t xml:space="preserve"> años </w:t>
      </w:r>
      <w:r w:rsidR="0091202E" w:rsidRPr="00577AE6">
        <w:rPr>
          <w:rFonts w:ascii="Arial" w:eastAsia="Calibri" w:hAnsi="Arial" w:cs="Arial"/>
          <w:sz w:val="22"/>
          <w:szCs w:val="22"/>
          <w:lang w:val="es-ES_tradnl"/>
        </w:rPr>
        <w:t>en el caso de las mujeres y sesenta (60) años para los hombres</w:t>
      </w:r>
      <w:r w:rsidR="00A92100">
        <w:rPr>
          <w:rFonts w:ascii="Arial" w:eastAsia="Calibri" w:hAnsi="Arial" w:cs="Arial"/>
          <w:sz w:val="22"/>
          <w:szCs w:val="22"/>
          <w:lang w:val="es-ES_tradnl"/>
        </w:rPr>
        <w:t>;</w:t>
      </w:r>
      <w:r w:rsidR="0091202E" w:rsidRPr="00577AE6">
        <w:rPr>
          <w:rFonts w:ascii="Arial" w:eastAsia="Calibri" w:hAnsi="Arial" w:cs="Arial"/>
          <w:sz w:val="22"/>
          <w:szCs w:val="22"/>
          <w:lang w:val="es-ES_tradnl"/>
        </w:rPr>
        <w:t xml:space="preserve"> sin embargo, en virtud de lo dispuesto en el primer inciso del 36</w:t>
      </w:r>
      <w:r w:rsidR="00920EF3" w:rsidRPr="00577AE6">
        <w:rPr>
          <w:rFonts w:ascii="Arial" w:eastAsia="Calibri" w:hAnsi="Arial" w:cs="Arial"/>
          <w:sz w:val="22"/>
          <w:szCs w:val="22"/>
          <w:lang w:val="es-ES_tradnl"/>
        </w:rPr>
        <w:t xml:space="preserve"> indica que tales requisitos han sido incrementados en dos (2) años, </w:t>
      </w:r>
      <w:r w:rsidR="00187CE1" w:rsidRPr="00577AE6">
        <w:rPr>
          <w:rFonts w:ascii="Arial" w:eastAsia="Calibri" w:hAnsi="Arial" w:cs="Arial"/>
          <w:sz w:val="22"/>
          <w:szCs w:val="22"/>
          <w:lang w:val="es-ES_tradnl"/>
        </w:rPr>
        <w:t xml:space="preserve">correspondiendo </w:t>
      </w:r>
      <w:r w:rsidR="00920EF3" w:rsidRPr="00577AE6">
        <w:rPr>
          <w:rFonts w:ascii="Arial" w:eastAsia="Calibri" w:hAnsi="Arial" w:cs="Arial"/>
          <w:sz w:val="22"/>
          <w:szCs w:val="22"/>
          <w:lang w:val="es-ES_tradnl"/>
        </w:rPr>
        <w:t xml:space="preserve">a la fecha </w:t>
      </w:r>
      <w:r w:rsidR="00187CE1" w:rsidRPr="00577AE6">
        <w:rPr>
          <w:rFonts w:ascii="Arial" w:eastAsia="Calibri" w:hAnsi="Arial" w:cs="Arial"/>
          <w:sz w:val="22"/>
          <w:szCs w:val="22"/>
          <w:lang w:val="es-ES_tradnl"/>
        </w:rPr>
        <w:t>las edades</w:t>
      </w:r>
      <w:r w:rsidR="00920EF3" w:rsidRPr="00577AE6">
        <w:rPr>
          <w:rFonts w:ascii="Arial" w:eastAsia="Calibri" w:hAnsi="Arial" w:cs="Arial"/>
          <w:sz w:val="22"/>
          <w:szCs w:val="22"/>
          <w:lang w:val="es-ES_tradnl"/>
        </w:rPr>
        <w:t xml:space="preserve"> </w:t>
      </w:r>
      <w:r w:rsidR="00187CE1" w:rsidRPr="00577AE6">
        <w:rPr>
          <w:rFonts w:ascii="Arial" w:eastAsia="Calibri" w:hAnsi="Arial" w:cs="Arial"/>
          <w:sz w:val="22"/>
          <w:szCs w:val="22"/>
          <w:lang w:val="es-ES_tradnl"/>
        </w:rPr>
        <w:t xml:space="preserve">de cincuenta y siete (57) y sesenta y dos (62) años, respectivamente. </w:t>
      </w:r>
      <w:r w:rsidR="003F7D9C" w:rsidRPr="00577AE6">
        <w:rPr>
          <w:rFonts w:ascii="Arial" w:eastAsia="Calibri" w:hAnsi="Arial" w:cs="Arial"/>
          <w:sz w:val="22"/>
          <w:szCs w:val="22"/>
          <w:lang w:val="es-ES_tradnl"/>
        </w:rPr>
        <w:t xml:space="preserve"> </w:t>
      </w:r>
    </w:p>
    <w:p w14:paraId="6BADAB17" w14:textId="3EBF09FD" w:rsidR="00FD313C" w:rsidRPr="00577AE6" w:rsidRDefault="003F7D9C" w:rsidP="00046429">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lastRenderedPageBreak/>
        <w:t xml:space="preserve">Al respecto </w:t>
      </w:r>
      <w:r w:rsidR="00021208" w:rsidRPr="00577AE6">
        <w:rPr>
          <w:rFonts w:ascii="Arial" w:eastAsia="Calibri" w:hAnsi="Arial" w:cs="Arial"/>
          <w:sz w:val="22"/>
          <w:szCs w:val="22"/>
          <w:lang w:val="es-ES_tradnl"/>
        </w:rPr>
        <w:t>también</w:t>
      </w:r>
      <w:r w:rsidRPr="00577AE6">
        <w:rPr>
          <w:rFonts w:ascii="Arial" w:eastAsia="Calibri" w:hAnsi="Arial" w:cs="Arial"/>
          <w:sz w:val="22"/>
          <w:szCs w:val="22"/>
          <w:lang w:val="es-ES_tradnl"/>
        </w:rPr>
        <w:t xml:space="preserve"> es relevante</w:t>
      </w:r>
      <w:r w:rsidR="00021208" w:rsidRPr="00577AE6">
        <w:rPr>
          <w:rFonts w:ascii="Arial" w:eastAsia="Calibri" w:hAnsi="Arial" w:cs="Arial"/>
          <w:sz w:val="22"/>
          <w:szCs w:val="22"/>
          <w:lang w:val="es-ES_tradnl"/>
        </w:rPr>
        <w:t xml:space="preserve"> el inciso </w:t>
      </w:r>
      <w:r w:rsidR="000561F0" w:rsidRPr="00577AE6">
        <w:rPr>
          <w:rFonts w:ascii="Arial" w:eastAsia="Calibri" w:hAnsi="Arial" w:cs="Arial"/>
          <w:sz w:val="22"/>
          <w:szCs w:val="22"/>
          <w:lang w:val="es-ES_tradnl"/>
        </w:rPr>
        <w:t>segundo del artículo 36 que establece un régimen de transición para la</w:t>
      </w:r>
      <w:r w:rsidR="00D10D64" w:rsidRPr="00577AE6">
        <w:rPr>
          <w:rFonts w:ascii="Arial" w:eastAsia="Calibri" w:hAnsi="Arial" w:cs="Arial"/>
          <w:sz w:val="22"/>
          <w:szCs w:val="22"/>
          <w:lang w:val="es-ES_tradnl"/>
        </w:rPr>
        <w:t xml:space="preserve">s </w:t>
      </w:r>
      <w:r w:rsidR="000561F0" w:rsidRPr="00577AE6">
        <w:rPr>
          <w:rFonts w:ascii="Arial" w:eastAsia="Calibri" w:hAnsi="Arial" w:cs="Arial"/>
          <w:sz w:val="22"/>
          <w:szCs w:val="22"/>
          <w:lang w:val="es-ES_tradnl"/>
        </w:rPr>
        <w:t>mujeres</w:t>
      </w:r>
      <w:r w:rsidR="00D10D64" w:rsidRPr="00577AE6">
        <w:rPr>
          <w:rFonts w:ascii="Arial" w:eastAsia="Calibri" w:hAnsi="Arial" w:cs="Arial"/>
          <w:sz w:val="22"/>
          <w:szCs w:val="22"/>
          <w:lang w:val="es-ES_tradnl"/>
        </w:rPr>
        <w:t xml:space="preserve"> y hombres</w:t>
      </w:r>
      <w:r w:rsidR="000561F0" w:rsidRPr="00577AE6">
        <w:rPr>
          <w:rFonts w:ascii="Arial" w:eastAsia="Calibri" w:hAnsi="Arial" w:cs="Arial"/>
          <w:sz w:val="22"/>
          <w:szCs w:val="22"/>
          <w:lang w:val="es-ES_tradnl"/>
        </w:rPr>
        <w:t xml:space="preserve"> que</w:t>
      </w:r>
      <w:r w:rsidR="00D10D64" w:rsidRPr="00577AE6">
        <w:rPr>
          <w:rFonts w:ascii="Arial" w:eastAsia="Calibri" w:hAnsi="Arial" w:cs="Arial"/>
          <w:sz w:val="22"/>
          <w:szCs w:val="22"/>
          <w:lang w:val="es-ES_tradnl"/>
        </w:rPr>
        <w:t xml:space="preserve">, a la fecha de la </w:t>
      </w:r>
      <w:proofErr w:type="gramStart"/>
      <w:r w:rsidR="00D10D64" w:rsidRPr="00577AE6">
        <w:rPr>
          <w:rFonts w:ascii="Arial" w:eastAsia="Calibri" w:hAnsi="Arial" w:cs="Arial"/>
          <w:sz w:val="22"/>
          <w:szCs w:val="22"/>
          <w:lang w:val="es-ES_tradnl"/>
        </w:rPr>
        <w:t>entrada en vigencia</w:t>
      </w:r>
      <w:proofErr w:type="gramEnd"/>
      <w:r w:rsidR="00D10D64" w:rsidRPr="00577AE6">
        <w:rPr>
          <w:rFonts w:ascii="Arial" w:eastAsia="Calibri" w:hAnsi="Arial" w:cs="Arial"/>
          <w:sz w:val="22"/>
          <w:szCs w:val="22"/>
          <w:lang w:val="es-ES_tradnl"/>
        </w:rPr>
        <w:t xml:space="preserve"> de la Ley 100 de 1993, hubiesen cumplido treinta y cinco (35)</w:t>
      </w:r>
      <w:r w:rsidR="00190399" w:rsidRPr="00577AE6">
        <w:rPr>
          <w:rFonts w:ascii="Arial" w:eastAsia="Calibri" w:hAnsi="Arial" w:cs="Arial"/>
          <w:sz w:val="22"/>
          <w:szCs w:val="22"/>
          <w:lang w:val="es-ES_tradnl"/>
        </w:rPr>
        <w:t xml:space="preserve"> y cuarenta (40)</w:t>
      </w:r>
      <w:r w:rsidR="00D10D64" w:rsidRPr="00577AE6">
        <w:rPr>
          <w:rFonts w:ascii="Arial" w:eastAsia="Calibri" w:hAnsi="Arial" w:cs="Arial"/>
          <w:sz w:val="22"/>
          <w:szCs w:val="22"/>
          <w:lang w:val="es-ES_tradnl"/>
        </w:rPr>
        <w:t xml:space="preserve"> años</w:t>
      </w:r>
      <w:r w:rsidR="00190399" w:rsidRPr="00577AE6">
        <w:rPr>
          <w:rFonts w:ascii="Arial" w:eastAsia="Calibri" w:hAnsi="Arial" w:cs="Arial"/>
          <w:sz w:val="22"/>
          <w:szCs w:val="22"/>
          <w:lang w:val="es-ES_tradnl"/>
        </w:rPr>
        <w:t xml:space="preserve">, </w:t>
      </w:r>
      <w:r w:rsidR="00186850" w:rsidRPr="00577AE6">
        <w:rPr>
          <w:rFonts w:ascii="Arial" w:eastAsia="Calibri" w:hAnsi="Arial" w:cs="Arial"/>
          <w:sz w:val="22"/>
          <w:szCs w:val="22"/>
          <w:lang w:val="es-ES_tradnl"/>
        </w:rPr>
        <w:t>respectivamente, y a quienes</w:t>
      </w:r>
      <w:r w:rsidR="00AE338D" w:rsidRPr="00577AE6">
        <w:rPr>
          <w:rFonts w:ascii="Arial" w:eastAsia="Calibri" w:hAnsi="Arial" w:cs="Arial"/>
          <w:sz w:val="22"/>
          <w:szCs w:val="22"/>
          <w:lang w:val="es-ES_tradnl"/>
        </w:rPr>
        <w:t xml:space="preserve"> </w:t>
      </w:r>
      <w:r w:rsidR="00F630B2" w:rsidRPr="00577AE6">
        <w:rPr>
          <w:rFonts w:ascii="Arial" w:eastAsia="Calibri" w:hAnsi="Arial" w:cs="Arial"/>
          <w:sz w:val="22"/>
          <w:szCs w:val="22"/>
          <w:lang w:val="es-ES_tradnl"/>
        </w:rPr>
        <w:t xml:space="preserve">hubieran </w:t>
      </w:r>
      <w:r w:rsidR="00AE338D" w:rsidRPr="00577AE6">
        <w:rPr>
          <w:rFonts w:ascii="Arial" w:eastAsia="Calibri" w:hAnsi="Arial" w:cs="Arial"/>
          <w:sz w:val="22"/>
          <w:szCs w:val="22"/>
          <w:lang w:val="es-ES_tradnl"/>
        </w:rPr>
        <w:t>cotizado quince (15) años o más a</w:t>
      </w:r>
      <w:r w:rsidR="00F630B2" w:rsidRPr="00577AE6">
        <w:rPr>
          <w:rFonts w:ascii="Arial" w:eastAsia="Calibri" w:hAnsi="Arial" w:cs="Arial"/>
          <w:sz w:val="22"/>
          <w:szCs w:val="22"/>
          <w:lang w:val="es-ES_tradnl"/>
        </w:rPr>
        <w:t xml:space="preserve"> dicha fecha</w:t>
      </w:r>
      <w:r w:rsidR="00190399" w:rsidRPr="00577AE6">
        <w:rPr>
          <w:rFonts w:ascii="Arial" w:eastAsia="Calibri" w:hAnsi="Arial" w:cs="Arial"/>
          <w:sz w:val="22"/>
          <w:szCs w:val="22"/>
          <w:lang w:val="es-ES_tradnl"/>
        </w:rPr>
        <w:t>.</w:t>
      </w:r>
      <w:r w:rsidR="00CD6F03" w:rsidRPr="00577AE6">
        <w:rPr>
          <w:rFonts w:ascii="Arial" w:eastAsia="Calibri" w:hAnsi="Arial" w:cs="Arial"/>
          <w:sz w:val="22"/>
          <w:szCs w:val="22"/>
          <w:lang w:val="es-ES_tradnl"/>
        </w:rPr>
        <w:t xml:space="preserve"> La</w:t>
      </w:r>
      <w:r w:rsidR="00190399" w:rsidRPr="00577AE6">
        <w:rPr>
          <w:rFonts w:ascii="Arial" w:eastAsia="Calibri" w:hAnsi="Arial" w:cs="Arial"/>
          <w:sz w:val="22"/>
          <w:szCs w:val="22"/>
          <w:lang w:val="es-ES_tradnl"/>
        </w:rPr>
        <w:t xml:space="preserve"> </w:t>
      </w:r>
      <w:r w:rsidRPr="00577AE6">
        <w:rPr>
          <w:rFonts w:ascii="Arial" w:eastAsia="Calibri" w:hAnsi="Arial" w:cs="Arial"/>
          <w:sz w:val="22"/>
          <w:szCs w:val="22"/>
          <w:lang w:val="es-ES_tradnl"/>
        </w:rPr>
        <w:t xml:space="preserve"> </w:t>
      </w:r>
      <w:r w:rsidR="00541F98" w:rsidRPr="00577AE6">
        <w:rPr>
          <w:rFonts w:ascii="Arial" w:eastAsia="Calibri" w:hAnsi="Arial" w:cs="Arial"/>
          <w:sz w:val="22"/>
          <w:szCs w:val="22"/>
          <w:lang w:val="es-ES_tradnl"/>
        </w:rPr>
        <w:t xml:space="preserve"> edad de pensión de las</w:t>
      </w:r>
      <w:r w:rsidR="00F630B2" w:rsidRPr="00577AE6">
        <w:rPr>
          <w:rFonts w:ascii="Arial" w:eastAsia="Calibri" w:hAnsi="Arial" w:cs="Arial"/>
          <w:sz w:val="22"/>
          <w:szCs w:val="22"/>
          <w:lang w:val="es-ES_tradnl"/>
        </w:rPr>
        <w:t xml:space="preserve"> personas beneficiarias de este régimen de transición, por expresa disposición del mencionado inciso </w:t>
      </w:r>
      <w:r w:rsidR="00541F98" w:rsidRPr="00577AE6">
        <w:rPr>
          <w:rFonts w:ascii="Arial" w:eastAsia="Calibri" w:hAnsi="Arial" w:cs="Arial"/>
          <w:sz w:val="22"/>
          <w:szCs w:val="22"/>
          <w:lang w:val="es-ES_tradnl"/>
        </w:rPr>
        <w:t>«</w:t>
      </w:r>
      <w:r w:rsidR="00CD6F03" w:rsidRPr="00577AE6">
        <w:rPr>
          <w:rFonts w:ascii="Arial" w:eastAsia="Calibri" w:hAnsi="Arial" w:cs="Arial"/>
          <w:sz w:val="22"/>
          <w:szCs w:val="22"/>
          <w:lang w:val="es-ES_tradnl"/>
        </w:rPr>
        <w:t>[…]</w:t>
      </w:r>
      <w:r w:rsidR="00541F98" w:rsidRPr="00577AE6">
        <w:rPr>
          <w:rFonts w:ascii="Arial" w:eastAsia="Calibri" w:hAnsi="Arial" w:cs="Arial"/>
          <w:sz w:val="22"/>
          <w:szCs w:val="22"/>
          <w:lang w:val="es-ES_tradnl"/>
        </w:rPr>
        <w:t>será la establecida en el régimen anterior al cual se encuentren afiliados</w:t>
      </w:r>
      <w:r w:rsidR="00CD6F03" w:rsidRPr="00577AE6">
        <w:rPr>
          <w:rFonts w:ascii="Arial" w:eastAsia="Calibri" w:hAnsi="Arial" w:cs="Arial"/>
          <w:sz w:val="22"/>
          <w:szCs w:val="22"/>
          <w:lang w:val="es-ES_tradnl"/>
        </w:rPr>
        <w:t xml:space="preserve">», lo cual debe tenerse en cuenta al aplicar </w:t>
      </w:r>
      <w:r w:rsidR="00606E4E" w:rsidRPr="00577AE6">
        <w:rPr>
          <w:rFonts w:ascii="Arial" w:eastAsia="Calibri" w:hAnsi="Arial" w:cs="Arial"/>
          <w:sz w:val="22"/>
          <w:szCs w:val="22"/>
          <w:lang w:val="es-ES_tradnl"/>
        </w:rPr>
        <w:t>el</w:t>
      </w:r>
      <w:r w:rsidR="00CD6F03" w:rsidRPr="00577AE6">
        <w:rPr>
          <w:rFonts w:ascii="Arial" w:eastAsia="Calibri" w:hAnsi="Arial" w:cs="Arial"/>
          <w:sz w:val="22"/>
          <w:szCs w:val="22"/>
          <w:lang w:val="es-ES_tradnl"/>
        </w:rPr>
        <w:t xml:space="preserve"> factor de desempate del </w:t>
      </w:r>
      <w:r w:rsidR="00606E4E" w:rsidRPr="00577AE6">
        <w:rPr>
          <w:rFonts w:ascii="Arial" w:eastAsia="Calibri" w:hAnsi="Arial" w:cs="Arial"/>
          <w:sz w:val="22"/>
          <w:szCs w:val="22"/>
          <w:lang w:val="es-ES_tradnl"/>
        </w:rPr>
        <w:t>artículo 35.4</w:t>
      </w:r>
      <w:r w:rsidR="00915BC1" w:rsidRPr="00577AE6">
        <w:rPr>
          <w:rFonts w:ascii="Arial" w:eastAsia="Calibri" w:hAnsi="Arial" w:cs="Arial"/>
          <w:sz w:val="22"/>
          <w:szCs w:val="22"/>
          <w:lang w:val="es-ES_tradnl"/>
        </w:rPr>
        <w:t xml:space="preserve">. Esto significa que, el requisito de edad de pensión </w:t>
      </w:r>
      <w:r w:rsidR="003726A3" w:rsidRPr="00577AE6">
        <w:rPr>
          <w:rFonts w:ascii="Arial" w:eastAsia="Calibri" w:hAnsi="Arial" w:cs="Arial"/>
          <w:sz w:val="22"/>
          <w:szCs w:val="22"/>
          <w:lang w:val="es-ES_tradnl"/>
        </w:rPr>
        <w:t xml:space="preserve">de vejez </w:t>
      </w:r>
      <w:r w:rsidR="00915BC1" w:rsidRPr="00577AE6">
        <w:rPr>
          <w:rFonts w:ascii="Arial" w:eastAsia="Calibri" w:hAnsi="Arial" w:cs="Arial"/>
          <w:sz w:val="22"/>
          <w:szCs w:val="22"/>
          <w:lang w:val="es-ES_tradnl"/>
        </w:rPr>
        <w:t>al que se refiere este último artículo,</w:t>
      </w:r>
      <w:r w:rsidR="000B1C35" w:rsidRPr="00577AE6">
        <w:rPr>
          <w:rFonts w:ascii="Arial" w:eastAsia="Calibri" w:hAnsi="Arial" w:cs="Arial"/>
          <w:sz w:val="22"/>
          <w:szCs w:val="22"/>
          <w:lang w:val="es-ES_tradnl"/>
        </w:rPr>
        <w:t xml:space="preserve"> </w:t>
      </w:r>
      <w:r w:rsidR="003726A3" w:rsidRPr="00577AE6">
        <w:rPr>
          <w:rFonts w:ascii="Arial" w:eastAsia="Calibri" w:hAnsi="Arial" w:cs="Arial"/>
          <w:sz w:val="22"/>
          <w:szCs w:val="22"/>
          <w:lang w:val="es-ES_tradnl"/>
        </w:rPr>
        <w:t xml:space="preserve">debe ser </w:t>
      </w:r>
      <w:r w:rsidR="000B1C35" w:rsidRPr="00577AE6">
        <w:rPr>
          <w:rFonts w:ascii="Arial" w:eastAsia="Calibri" w:hAnsi="Arial" w:cs="Arial"/>
          <w:sz w:val="22"/>
          <w:szCs w:val="22"/>
          <w:lang w:val="es-ES_tradnl"/>
        </w:rPr>
        <w:t xml:space="preserve">determinado </w:t>
      </w:r>
      <w:r w:rsidR="003726A3" w:rsidRPr="00577AE6">
        <w:rPr>
          <w:rFonts w:ascii="Arial" w:eastAsia="Calibri" w:hAnsi="Arial" w:cs="Arial"/>
          <w:sz w:val="22"/>
          <w:szCs w:val="22"/>
          <w:lang w:val="es-ES_tradnl"/>
        </w:rPr>
        <w:t>a partir del requisito de edad aplicable a los sujetos vinculados a la planta</w:t>
      </w:r>
      <w:r w:rsidR="00612A0A" w:rsidRPr="00577AE6">
        <w:rPr>
          <w:rFonts w:ascii="Arial" w:eastAsia="Calibri" w:hAnsi="Arial" w:cs="Arial"/>
          <w:sz w:val="22"/>
          <w:szCs w:val="22"/>
          <w:lang w:val="es-ES_tradnl"/>
        </w:rPr>
        <w:t xml:space="preserve"> de personal del proponente en función de los cuales se opta al factor de desempate, </w:t>
      </w:r>
      <w:r w:rsidR="001C2BC4" w:rsidRPr="00577AE6">
        <w:rPr>
          <w:rFonts w:ascii="Arial" w:eastAsia="Calibri" w:hAnsi="Arial" w:cs="Arial"/>
          <w:sz w:val="22"/>
          <w:szCs w:val="22"/>
          <w:lang w:val="es-ES_tradnl"/>
        </w:rPr>
        <w:t>el cual, en principio, son las edades de cincuenta y siete (5</w:t>
      </w:r>
      <w:r w:rsidR="00655891" w:rsidRPr="00577AE6">
        <w:rPr>
          <w:rFonts w:ascii="Arial" w:eastAsia="Calibri" w:hAnsi="Arial" w:cs="Arial"/>
          <w:sz w:val="22"/>
          <w:szCs w:val="22"/>
          <w:lang w:val="es-ES_tradnl"/>
        </w:rPr>
        <w:t>7) y sesenta y dos (62) años para mujeres y hombres,</w:t>
      </w:r>
      <w:r w:rsidR="0077402E" w:rsidRPr="00577AE6">
        <w:rPr>
          <w:rFonts w:ascii="Arial" w:eastAsia="Calibri" w:hAnsi="Arial" w:cs="Arial"/>
          <w:sz w:val="22"/>
          <w:szCs w:val="22"/>
          <w:lang w:val="es-ES_tradnl"/>
        </w:rPr>
        <w:t xml:space="preserve"> respectivamente,</w:t>
      </w:r>
      <w:r w:rsidR="00655891" w:rsidRPr="00577AE6">
        <w:rPr>
          <w:rFonts w:ascii="Arial" w:eastAsia="Calibri" w:hAnsi="Arial" w:cs="Arial"/>
          <w:sz w:val="22"/>
          <w:szCs w:val="22"/>
          <w:lang w:val="es-ES_tradnl"/>
        </w:rPr>
        <w:t xml:space="preserve"> sin perjuicio de que se apliquen edades diferentes a personas beneficiarias del régimen de transición al que hace referencia el inciso segundo del</w:t>
      </w:r>
      <w:r w:rsidR="00E67EBC" w:rsidRPr="00577AE6">
        <w:rPr>
          <w:rFonts w:ascii="Arial" w:eastAsia="Calibri" w:hAnsi="Arial" w:cs="Arial"/>
          <w:sz w:val="22"/>
          <w:szCs w:val="22"/>
          <w:lang w:val="es-ES_tradnl"/>
        </w:rPr>
        <w:t xml:space="preserve"> artículo 36 de la Ley 100 de 1993. </w:t>
      </w:r>
    </w:p>
    <w:p w14:paraId="0C10223D" w14:textId="41EF01C8" w:rsidR="000C5988" w:rsidRPr="00577AE6" w:rsidRDefault="009F6D8F" w:rsidP="005D19C3">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Por otro lado, para determinar la posibilidad de tener en cuenta a trabajadores</w:t>
      </w:r>
      <w:r w:rsidR="004F7C95" w:rsidRPr="00577AE6">
        <w:rPr>
          <w:rFonts w:ascii="Arial" w:eastAsia="Calibri" w:hAnsi="Arial" w:cs="Arial"/>
          <w:sz w:val="22"/>
          <w:szCs w:val="22"/>
          <w:lang w:val="es-ES_tradnl"/>
        </w:rPr>
        <w:t xml:space="preserve"> con</w:t>
      </w:r>
      <w:r w:rsidRPr="00577AE6">
        <w:rPr>
          <w:rFonts w:ascii="Arial" w:eastAsia="Calibri" w:hAnsi="Arial" w:cs="Arial"/>
          <w:sz w:val="22"/>
          <w:szCs w:val="22"/>
          <w:lang w:val="es-ES_tradnl"/>
        </w:rPr>
        <w:t xml:space="preserve"> la condición de «</w:t>
      </w:r>
      <w:proofErr w:type="spellStart"/>
      <w:r w:rsidRPr="00577AE6">
        <w:rPr>
          <w:rFonts w:ascii="Arial" w:eastAsia="Calibri" w:hAnsi="Arial" w:cs="Arial"/>
          <w:i/>
          <w:iCs/>
          <w:sz w:val="22"/>
          <w:szCs w:val="22"/>
          <w:lang w:val="es-ES_tradnl"/>
        </w:rPr>
        <w:t>prepensionados</w:t>
      </w:r>
      <w:proofErr w:type="spellEnd"/>
      <w:r w:rsidRPr="00577AE6">
        <w:rPr>
          <w:rFonts w:ascii="Arial" w:eastAsia="Calibri" w:hAnsi="Arial" w:cs="Arial"/>
          <w:i/>
          <w:iCs/>
          <w:sz w:val="22"/>
          <w:szCs w:val="22"/>
          <w:lang w:val="es-ES_tradnl"/>
        </w:rPr>
        <w:t>»,</w:t>
      </w:r>
      <w:r w:rsidRPr="00577AE6">
        <w:rPr>
          <w:rFonts w:ascii="Arial" w:eastAsia="Calibri" w:hAnsi="Arial" w:cs="Arial"/>
          <w:sz w:val="22"/>
          <w:szCs w:val="22"/>
          <w:lang w:val="es-ES_tradnl"/>
        </w:rPr>
        <w:t xml:space="preserve"> a efectos de aplicar el factor de desempate del artículo 35.4, es necesario </w:t>
      </w:r>
      <w:r w:rsidR="00A92100">
        <w:rPr>
          <w:rFonts w:ascii="Arial" w:eastAsia="Calibri" w:hAnsi="Arial" w:cs="Arial"/>
          <w:sz w:val="22"/>
          <w:szCs w:val="22"/>
          <w:lang w:val="es-ES_tradnl"/>
        </w:rPr>
        <w:t>analizar con detalle</w:t>
      </w:r>
      <w:r w:rsidRPr="00577AE6">
        <w:rPr>
          <w:rFonts w:ascii="Arial" w:eastAsia="Calibri" w:hAnsi="Arial" w:cs="Arial"/>
          <w:sz w:val="22"/>
          <w:szCs w:val="22"/>
          <w:lang w:val="es-ES_tradnl"/>
        </w:rPr>
        <w:t xml:space="preserve"> el supuesto de hecho de la norma </w:t>
      </w:r>
      <w:r w:rsidR="004F7C95" w:rsidRPr="00577AE6">
        <w:rPr>
          <w:rFonts w:ascii="Arial" w:eastAsia="Calibri" w:hAnsi="Arial" w:cs="Arial"/>
          <w:sz w:val="22"/>
          <w:szCs w:val="22"/>
          <w:lang w:val="es-ES_tradnl"/>
        </w:rPr>
        <w:t xml:space="preserve">y en las condiciones que determinan tal </w:t>
      </w:r>
      <w:r w:rsidR="00660301" w:rsidRPr="00577AE6">
        <w:rPr>
          <w:rFonts w:ascii="Arial" w:eastAsia="Calibri" w:hAnsi="Arial" w:cs="Arial"/>
          <w:sz w:val="22"/>
          <w:szCs w:val="22"/>
          <w:lang w:val="es-ES_tradnl"/>
        </w:rPr>
        <w:t xml:space="preserve">calidad. Al respecto es necesario tener en cuenta que, conforme ha manifestado la Corte Constitucional, </w:t>
      </w:r>
      <w:r w:rsidR="00D104C1" w:rsidRPr="00577AE6">
        <w:rPr>
          <w:rFonts w:ascii="Arial" w:eastAsia="Calibri" w:hAnsi="Arial" w:cs="Arial"/>
          <w:sz w:val="22"/>
          <w:szCs w:val="22"/>
          <w:lang w:val="es-ES_tradnl"/>
        </w:rPr>
        <w:t xml:space="preserve">la calidad de </w:t>
      </w:r>
      <w:proofErr w:type="spellStart"/>
      <w:r w:rsidR="00D104C1" w:rsidRPr="00577AE6">
        <w:rPr>
          <w:rFonts w:ascii="Arial" w:eastAsia="Calibri" w:hAnsi="Arial" w:cs="Arial"/>
          <w:sz w:val="22"/>
          <w:szCs w:val="22"/>
          <w:lang w:val="es-ES_tradnl"/>
        </w:rPr>
        <w:t>prepensionado</w:t>
      </w:r>
      <w:proofErr w:type="spellEnd"/>
      <w:r w:rsidR="00D104C1" w:rsidRPr="00577AE6">
        <w:rPr>
          <w:rFonts w:ascii="Arial" w:eastAsia="Calibri" w:hAnsi="Arial" w:cs="Arial"/>
          <w:sz w:val="22"/>
          <w:szCs w:val="22"/>
          <w:lang w:val="es-ES_tradnl"/>
        </w:rPr>
        <w:t xml:space="preserve"> se predica de </w:t>
      </w:r>
      <w:r w:rsidR="00A40C1D" w:rsidRPr="00577AE6">
        <w:rPr>
          <w:rFonts w:ascii="Arial" w:eastAsia="Calibri" w:hAnsi="Arial" w:cs="Arial"/>
          <w:sz w:val="22"/>
          <w:szCs w:val="22"/>
          <w:lang w:val="es-ES_tradnl"/>
        </w:rPr>
        <w:t>quienes,</w:t>
      </w:r>
      <w:r w:rsidR="00D104C1" w:rsidRPr="00577AE6">
        <w:rPr>
          <w:rFonts w:ascii="Arial" w:eastAsia="Calibri" w:hAnsi="Arial" w:cs="Arial"/>
          <w:sz w:val="22"/>
          <w:szCs w:val="22"/>
          <w:lang w:val="es-ES_tradnl"/>
        </w:rPr>
        <w:t xml:space="preserve"> </w:t>
      </w:r>
      <w:r w:rsidR="006D0C75" w:rsidRPr="00577AE6">
        <w:rPr>
          <w:rFonts w:ascii="Arial" w:eastAsia="Calibri" w:hAnsi="Arial" w:cs="Arial"/>
          <w:sz w:val="22"/>
          <w:szCs w:val="22"/>
          <w:lang w:val="es-ES_tradnl"/>
        </w:rPr>
        <w:t>por la circunstancia de estar próximos a cumplir los requisitos para acceder a una pensi</w:t>
      </w:r>
      <w:r w:rsidR="008567AC" w:rsidRPr="00577AE6">
        <w:rPr>
          <w:rFonts w:ascii="Arial" w:eastAsia="Calibri" w:hAnsi="Arial" w:cs="Arial"/>
          <w:sz w:val="22"/>
          <w:szCs w:val="22"/>
          <w:lang w:val="es-ES_tradnl"/>
        </w:rPr>
        <w:t xml:space="preserve">ón, </w:t>
      </w:r>
      <w:r w:rsidR="003C606D" w:rsidRPr="00577AE6">
        <w:rPr>
          <w:rFonts w:ascii="Arial" w:eastAsia="Calibri" w:hAnsi="Arial" w:cs="Arial"/>
          <w:sz w:val="22"/>
          <w:szCs w:val="22"/>
          <w:lang w:val="es-ES_tradnl"/>
        </w:rPr>
        <w:t>son objeto de una estabilidad laboral reforzada tendiente a garantizar su derecho a la seguridad social</w:t>
      </w:r>
      <w:r w:rsidR="00636D9C" w:rsidRPr="00577AE6">
        <w:rPr>
          <w:rStyle w:val="Refdenotaalpie"/>
          <w:rFonts w:ascii="Arial" w:eastAsia="Calibri" w:hAnsi="Arial" w:cs="Arial"/>
          <w:sz w:val="22"/>
          <w:szCs w:val="22"/>
          <w:lang w:val="es-ES_tradnl"/>
        </w:rPr>
        <w:footnoteReference w:id="11"/>
      </w:r>
      <w:r w:rsidR="007C118E" w:rsidRPr="00577AE6">
        <w:rPr>
          <w:rFonts w:ascii="Arial" w:eastAsia="Calibri" w:hAnsi="Arial" w:cs="Arial"/>
          <w:sz w:val="22"/>
          <w:szCs w:val="22"/>
          <w:lang w:val="es-ES_tradnl"/>
        </w:rPr>
        <w:t xml:space="preserve">. </w:t>
      </w:r>
      <w:r w:rsidR="00E01CCE" w:rsidRPr="00577AE6">
        <w:rPr>
          <w:rFonts w:ascii="Arial" w:eastAsia="Calibri" w:hAnsi="Arial" w:cs="Arial"/>
          <w:sz w:val="22"/>
          <w:szCs w:val="22"/>
          <w:lang w:val="es-ES_tradnl"/>
        </w:rPr>
        <w:t>En ese sentido, quien goza de la referid</w:t>
      </w:r>
      <w:r w:rsidR="003163CB" w:rsidRPr="00577AE6">
        <w:rPr>
          <w:rFonts w:ascii="Arial" w:eastAsia="Calibri" w:hAnsi="Arial" w:cs="Arial"/>
          <w:sz w:val="22"/>
          <w:szCs w:val="22"/>
          <w:lang w:val="es-ES_tradnl"/>
        </w:rPr>
        <w:t>a protección no es beneficiario de una pensión</w:t>
      </w:r>
      <w:r w:rsidR="003A2681" w:rsidRPr="00577AE6">
        <w:rPr>
          <w:rFonts w:ascii="Arial" w:eastAsia="Calibri" w:hAnsi="Arial" w:cs="Arial"/>
          <w:sz w:val="22"/>
          <w:szCs w:val="22"/>
          <w:lang w:val="es-ES_tradnl"/>
        </w:rPr>
        <w:t>, independientemente de que est</w:t>
      </w:r>
      <w:r w:rsidR="00F960F7" w:rsidRPr="00577AE6">
        <w:rPr>
          <w:rFonts w:ascii="Arial" w:eastAsia="Calibri" w:hAnsi="Arial" w:cs="Arial"/>
          <w:sz w:val="22"/>
          <w:szCs w:val="22"/>
          <w:lang w:val="es-ES_tradnl"/>
        </w:rPr>
        <w:t>é</w:t>
      </w:r>
      <w:r w:rsidR="003A2681" w:rsidRPr="00577AE6">
        <w:rPr>
          <w:rFonts w:ascii="Arial" w:eastAsia="Calibri" w:hAnsi="Arial" w:cs="Arial"/>
          <w:sz w:val="22"/>
          <w:szCs w:val="22"/>
          <w:lang w:val="es-ES_tradnl"/>
        </w:rPr>
        <w:t xml:space="preserve"> más o menos próximo a cumplir los requisitos </w:t>
      </w:r>
      <w:r w:rsidR="00D50EE4" w:rsidRPr="00577AE6">
        <w:rPr>
          <w:rFonts w:ascii="Arial" w:eastAsia="Calibri" w:hAnsi="Arial" w:cs="Arial"/>
          <w:sz w:val="22"/>
          <w:szCs w:val="22"/>
          <w:lang w:val="es-ES_tradnl"/>
        </w:rPr>
        <w:t>del caso, es decir, se trata de persona</w:t>
      </w:r>
      <w:r w:rsidR="00F960F7" w:rsidRPr="00577AE6">
        <w:rPr>
          <w:rFonts w:ascii="Arial" w:eastAsia="Calibri" w:hAnsi="Arial" w:cs="Arial"/>
          <w:sz w:val="22"/>
          <w:szCs w:val="22"/>
          <w:lang w:val="es-ES_tradnl"/>
        </w:rPr>
        <w:t>s</w:t>
      </w:r>
      <w:r w:rsidR="00D50EE4" w:rsidRPr="00577AE6">
        <w:rPr>
          <w:rFonts w:ascii="Arial" w:eastAsia="Calibri" w:hAnsi="Arial" w:cs="Arial"/>
          <w:sz w:val="22"/>
          <w:szCs w:val="22"/>
          <w:lang w:val="es-ES_tradnl"/>
        </w:rPr>
        <w:t xml:space="preserve"> a la</w:t>
      </w:r>
      <w:r w:rsidR="00F960F7" w:rsidRPr="00577AE6">
        <w:rPr>
          <w:rFonts w:ascii="Arial" w:eastAsia="Calibri" w:hAnsi="Arial" w:cs="Arial"/>
          <w:sz w:val="22"/>
          <w:szCs w:val="22"/>
          <w:lang w:val="es-ES_tradnl"/>
        </w:rPr>
        <w:t>s</w:t>
      </w:r>
      <w:r w:rsidR="00D50EE4" w:rsidRPr="00577AE6">
        <w:rPr>
          <w:rFonts w:ascii="Arial" w:eastAsia="Calibri" w:hAnsi="Arial" w:cs="Arial"/>
          <w:sz w:val="22"/>
          <w:szCs w:val="22"/>
          <w:lang w:val="es-ES_tradnl"/>
        </w:rPr>
        <w:t xml:space="preserve"> que no </w:t>
      </w:r>
      <w:r w:rsidR="00F960F7" w:rsidRPr="00577AE6">
        <w:rPr>
          <w:rFonts w:ascii="Arial" w:eastAsia="Calibri" w:hAnsi="Arial" w:cs="Arial"/>
          <w:sz w:val="22"/>
          <w:szCs w:val="22"/>
          <w:lang w:val="es-ES_tradnl"/>
        </w:rPr>
        <w:t xml:space="preserve">se </w:t>
      </w:r>
      <w:r w:rsidR="00D50EE4" w:rsidRPr="00577AE6">
        <w:rPr>
          <w:rFonts w:ascii="Arial" w:eastAsia="Calibri" w:hAnsi="Arial" w:cs="Arial"/>
          <w:sz w:val="22"/>
          <w:szCs w:val="22"/>
          <w:lang w:val="es-ES_tradnl"/>
        </w:rPr>
        <w:t>le</w:t>
      </w:r>
      <w:r w:rsidR="00F960F7" w:rsidRPr="00577AE6">
        <w:rPr>
          <w:rFonts w:ascii="Arial" w:eastAsia="Calibri" w:hAnsi="Arial" w:cs="Arial"/>
          <w:sz w:val="22"/>
          <w:szCs w:val="22"/>
          <w:lang w:val="es-ES_tradnl"/>
        </w:rPr>
        <w:t>s</w:t>
      </w:r>
      <w:r w:rsidR="00D50EE4" w:rsidRPr="00577AE6">
        <w:rPr>
          <w:rFonts w:ascii="Arial" w:eastAsia="Calibri" w:hAnsi="Arial" w:cs="Arial"/>
          <w:sz w:val="22"/>
          <w:szCs w:val="22"/>
          <w:lang w:val="es-ES_tradnl"/>
        </w:rPr>
        <w:t xml:space="preserve"> ha </w:t>
      </w:r>
      <w:r w:rsidR="00D50EE4" w:rsidRPr="00577AE6">
        <w:rPr>
          <w:rFonts w:ascii="Arial" w:eastAsia="Calibri" w:hAnsi="Arial" w:cs="Arial"/>
          <w:sz w:val="22"/>
          <w:szCs w:val="22"/>
          <w:lang w:val="es-ES_tradnl"/>
        </w:rPr>
        <w:lastRenderedPageBreak/>
        <w:t>reconocido pensión</w:t>
      </w:r>
      <w:r w:rsidR="005B732A" w:rsidRPr="00577AE6">
        <w:rPr>
          <w:rFonts w:ascii="Arial" w:eastAsia="Calibri" w:hAnsi="Arial" w:cs="Arial"/>
          <w:sz w:val="22"/>
          <w:szCs w:val="22"/>
          <w:lang w:val="es-ES_tradnl"/>
        </w:rPr>
        <w:t>, ya sea porque no</w:t>
      </w:r>
      <w:r w:rsidR="00191B6A" w:rsidRPr="00577AE6">
        <w:rPr>
          <w:rFonts w:ascii="Arial" w:eastAsia="Calibri" w:hAnsi="Arial" w:cs="Arial"/>
          <w:sz w:val="22"/>
          <w:szCs w:val="22"/>
          <w:lang w:val="es-ES_tradnl"/>
        </w:rPr>
        <w:t xml:space="preserve"> ha</w:t>
      </w:r>
      <w:r w:rsidR="00F960F7" w:rsidRPr="00577AE6">
        <w:rPr>
          <w:rFonts w:ascii="Arial" w:eastAsia="Calibri" w:hAnsi="Arial" w:cs="Arial"/>
          <w:sz w:val="22"/>
          <w:szCs w:val="22"/>
          <w:lang w:val="es-ES_tradnl"/>
        </w:rPr>
        <w:t>n</w:t>
      </w:r>
      <w:r w:rsidR="00191B6A" w:rsidRPr="00577AE6">
        <w:rPr>
          <w:rFonts w:ascii="Arial" w:eastAsia="Calibri" w:hAnsi="Arial" w:cs="Arial"/>
          <w:sz w:val="22"/>
          <w:szCs w:val="22"/>
          <w:lang w:val="es-ES_tradnl"/>
        </w:rPr>
        <w:t xml:space="preserve"> cumplido el tiempo de servicio, no </w:t>
      </w:r>
      <w:r w:rsidR="00F960F7" w:rsidRPr="00577AE6">
        <w:rPr>
          <w:rFonts w:ascii="Arial" w:eastAsia="Calibri" w:hAnsi="Arial" w:cs="Arial"/>
          <w:sz w:val="22"/>
          <w:szCs w:val="22"/>
          <w:lang w:val="es-ES_tradnl"/>
        </w:rPr>
        <w:t xml:space="preserve">han </w:t>
      </w:r>
      <w:r w:rsidR="00191B6A" w:rsidRPr="00577AE6">
        <w:rPr>
          <w:rFonts w:ascii="Arial" w:eastAsia="Calibri" w:hAnsi="Arial" w:cs="Arial"/>
          <w:sz w:val="22"/>
          <w:szCs w:val="22"/>
          <w:lang w:val="es-ES_tradnl"/>
        </w:rPr>
        <w:t>cotizado las semanas requeridas, no ha</w:t>
      </w:r>
      <w:r w:rsidR="002A2E4F" w:rsidRPr="00577AE6">
        <w:rPr>
          <w:rFonts w:ascii="Arial" w:eastAsia="Calibri" w:hAnsi="Arial" w:cs="Arial"/>
          <w:sz w:val="22"/>
          <w:szCs w:val="22"/>
          <w:lang w:val="es-ES_tradnl"/>
        </w:rPr>
        <w:t>n</w:t>
      </w:r>
      <w:r w:rsidR="00191B6A" w:rsidRPr="00577AE6">
        <w:rPr>
          <w:rFonts w:ascii="Arial" w:eastAsia="Calibri" w:hAnsi="Arial" w:cs="Arial"/>
          <w:sz w:val="22"/>
          <w:szCs w:val="22"/>
          <w:lang w:val="es-ES_tradnl"/>
        </w:rPr>
        <w:t xml:space="preserve"> a</w:t>
      </w:r>
      <w:r w:rsidR="003F39C8" w:rsidRPr="00577AE6">
        <w:rPr>
          <w:rFonts w:ascii="Arial" w:eastAsia="Calibri" w:hAnsi="Arial" w:cs="Arial"/>
          <w:sz w:val="22"/>
          <w:szCs w:val="22"/>
          <w:lang w:val="es-ES_tradnl"/>
        </w:rPr>
        <w:t>cumulado</w:t>
      </w:r>
      <w:r w:rsidR="00191B6A" w:rsidRPr="00577AE6">
        <w:rPr>
          <w:rFonts w:ascii="Arial" w:eastAsia="Calibri" w:hAnsi="Arial" w:cs="Arial"/>
          <w:sz w:val="22"/>
          <w:szCs w:val="22"/>
          <w:lang w:val="es-ES_tradnl"/>
        </w:rPr>
        <w:t xml:space="preserve"> el monto necesario para financiar</w:t>
      </w:r>
      <w:r w:rsidR="00F960F7" w:rsidRPr="00577AE6">
        <w:rPr>
          <w:rFonts w:ascii="Arial" w:eastAsia="Calibri" w:hAnsi="Arial" w:cs="Arial"/>
          <w:sz w:val="22"/>
          <w:szCs w:val="22"/>
          <w:lang w:val="es-ES_tradnl"/>
        </w:rPr>
        <w:t xml:space="preserve"> una pensión mínima</w:t>
      </w:r>
      <w:r w:rsidR="00B73E00" w:rsidRPr="00577AE6">
        <w:rPr>
          <w:rFonts w:ascii="Arial" w:eastAsia="Calibri" w:hAnsi="Arial" w:cs="Arial"/>
          <w:sz w:val="22"/>
          <w:szCs w:val="22"/>
          <w:lang w:val="es-ES_tradnl"/>
        </w:rPr>
        <w:t xml:space="preserve"> o no ha</w:t>
      </w:r>
      <w:r w:rsidR="002A2E4F" w:rsidRPr="00577AE6">
        <w:rPr>
          <w:rFonts w:ascii="Arial" w:eastAsia="Calibri" w:hAnsi="Arial" w:cs="Arial"/>
          <w:sz w:val="22"/>
          <w:szCs w:val="22"/>
          <w:lang w:val="es-ES_tradnl"/>
        </w:rPr>
        <w:t>n</w:t>
      </w:r>
      <w:r w:rsidR="00B73E00" w:rsidRPr="00577AE6">
        <w:rPr>
          <w:rFonts w:ascii="Arial" w:eastAsia="Calibri" w:hAnsi="Arial" w:cs="Arial"/>
          <w:sz w:val="22"/>
          <w:szCs w:val="22"/>
          <w:lang w:val="es-ES_tradnl"/>
        </w:rPr>
        <w:t xml:space="preserve"> alcanzado la edad requerida en el régimen al cual </w:t>
      </w:r>
      <w:r w:rsidR="00265800" w:rsidRPr="00577AE6">
        <w:rPr>
          <w:rFonts w:ascii="Arial" w:eastAsia="Calibri" w:hAnsi="Arial" w:cs="Arial"/>
          <w:sz w:val="22"/>
          <w:szCs w:val="22"/>
          <w:lang w:val="es-ES_tradnl"/>
        </w:rPr>
        <w:t>se encuentre inscrit</w:t>
      </w:r>
      <w:r w:rsidR="003F39C8" w:rsidRPr="00577AE6">
        <w:rPr>
          <w:rFonts w:ascii="Arial" w:eastAsia="Calibri" w:hAnsi="Arial" w:cs="Arial"/>
          <w:sz w:val="22"/>
          <w:szCs w:val="22"/>
          <w:lang w:val="es-ES_tradnl"/>
        </w:rPr>
        <w:t>as</w:t>
      </w:r>
      <w:r w:rsidR="00265800" w:rsidRPr="00577AE6">
        <w:rPr>
          <w:rFonts w:ascii="Arial" w:eastAsia="Calibri" w:hAnsi="Arial" w:cs="Arial"/>
          <w:sz w:val="22"/>
          <w:szCs w:val="22"/>
          <w:lang w:val="es-ES_tradnl"/>
        </w:rPr>
        <w:t>.</w:t>
      </w:r>
      <w:r w:rsidR="002A2E4F" w:rsidRPr="00577AE6">
        <w:rPr>
          <w:rFonts w:ascii="Arial" w:eastAsia="Calibri" w:hAnsi="Arial" w:cs="Arial"/>
          <w:sz w:val="22"/>
          <w:szCs w:val="22"/>
          <w:lang w:val="es-ES_tradnl"/>
        </w:rPr>
        <w:t xml:space="preserve"> </w:t>
      </w:r>
    </w:p>
    <w:p w14:paraId="5C6425B6" w14:textId="477D0D61" w:rsidR="005D19C3" w:rsidRPr="00577AE6" w:rsidRDefault="00CA1A7F" w:rsidP="005D19C3">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Ahora, el </w:t>
      </w:r>
      <w:r w:rsidR="002A2E4F" w:rsidRPr="00577AE6">
        <w:rPr>
          <w:rFonts w:ascii="Arial" w:eastAsia="Calibri" w:hAnsi="Arial" w:cs="Arial"/>
          <w:sz w:val="22"/>
          <w:szCs w:val="22"/>
          <w:lang w:val="es-ES_tradnl"/>
        </w:rPr>
        <w:t xml:space="preserve">artículo 35.4 se refiere </w:t>
      </w:r>
      <w:r w:rsidRPr="00577AE6">
        <w:rPr>
          <w:rFonts w:ascii="Arial" w:eastAsia="Calibri" w:hAnsi="Arial" w:cs="Arial"/>
          <w:sz w:val="22"/>
          <w:szCs w:val="22"/>
          <w:lang w:val="es-ES_tradnl"/>
        </w:rPr>
        <w:t>a «[…] personas mayores que no sean beneficiarios de la pensión de vejez, familiar o de sobrevivencia y que hayan cumplido el requisito de edad de pensión establecido en la Ley», lo que ind</w:t>
      </w:r>
      <w:r w:rsidR="00E51EBC" w:rsidRPr="00577AE6">
        <w:rPr>
          <w:rFonts w:ascii="Arial" w:eastAsia="Calibri" w:hAnsi="Arial" w:cs="Arial"/>
          <w:sz w:val="22"/>
          <w:szCs w:val="22"/>
          <w:lang w:val="es-ES_tradnl"/>
        </w:rPr>
        <w:t>ica que lo</w:t>
      </w:r>
      <w:r w:rsidR="00B4526F" w:rsidRPr="00577AE6">
        <w:rPr>
          <w:rFonts w:ascii="Arial" w:eastAsia="Calibri" w:hAnsi="Arial" w:cs="Arial"/>
          <w:sz w:val="22"/>
          <w:szCs w:val="22"/>
          <w:lang w:val="es-ES_tradnl"/>
        </w:rPr>
        <w:t xml:space="preserve"> trabajadores</w:t>
      </w:r>
      <w:r w:rsidR="00E51EBC" w:rsidRPr="00577AE6">
        <w:rPr>
          <w:rFonts w:ascii="Arial" w:eastAsia="Calibri" w:hAnsi="Arial" w:cs="Arial"/>
          <w:sz w:val="22"/>
          <w:szCs w:val="22"/>
          <w:lang w:val="es-ES_tradnl"/>
        </w:rPr>
        <w:t xml:space="preserve"> </w:t>
      </w:r>
      <w:proofErr w:type="spellStart"/>
      <w:r w:rsidR="00E51EBC" w:rsidRPr="00577AE6">
        <w:rPr>
          <w:rFonts w:ascii="Arial" w:eastAsia="Calibri" w:hAnsi="Arial" w:cs="Arial"/>
          <w:sz w:val="22"/>
          <w:szCs w:val="22"/>
          <w:lang w:val="es-ES_tradnl"/>
        </w:rPr>
        <w:t>prepensionados</w:t>
      </w:r>
      <w:proofErr w:type="spellEnd"/>
      <w:r w:rsidR="00E51EBC" w:rsidRPr="00577AE6">
        <w:rPr>
          <w:rFonts w:ascii="Arial" w:eastAsia="Calibri" w:hAnsi="Arial" w:cs="Arial"/>
          <w:sz w:val="22"/>
          <w:szCs w:val="22"/>
          <w:lang w:val="es-ES_tradnl"/>
        </w:rPr>
        <w:t xml:space="preserve"> </w:t>
      </w:r>
      <w:r w:rsidR="00FE7A01" w:rsidRPr="00577AE6">
        <w:rPr>
          <w:rFonts w:ascii="Arial" w:eastAsia="Calibri" w:hAnsi="Arial" w:cs="Arial"/>
          <w:sz w:val="22"/>
          <w:szCs w:val="22"/>
          <w:lang w:val="es-ES_tradnl"/>
        </w:rPr>
        <w:t>que,</w:t>
      </w:r>
      <w:r w:rsidR="00E51EBC" w:rsidRPr="00577AE6">
        <w:rPr>
          <w:rFonts w:ascii="Arial" w:eastAsia="Calibri" w:hAnsi="Arial" w:cs="Arial"/>
          <w:sz w:val="22"/>
          <w:szCs w:val="22"/>
          <w:lang w:val="es-ES_tradnl"/>
        </w:rPr>
        <w:t xml:space="preserve"> si hubiesen cumplido el requisito de edad, podrían ser tenidos en c</w:t>
      </w:r>
      <w:r w:rsidR="00FE7A01" w:rsidRPr="00577AE6">
        <w:rPr>
          <w:rFonts w:ascii="Arial" w:eastAsia="Calibri" w:hAnsi="Arial" w:cs="Arial"/>
          <w:sz w:val="22"/>
          <w:szCs w:val="22"/>
          <w:lang w:val="es-ES_tradnl"/>
        </w:rPr>
        <w:t>u</w:t>
      </w:r>
      <w:r w:rsidR="00B4526F" w:rsidRPr="00577AE6">
        <w:rPr>
          <w:rFonts w:ascii="Arial" w:eastAsia="Calibri" w:hAnsi="Arial" w:cs="Arial"/>
          <w:sz w:val="22"/>
          <w:szCs w:val="22"/>
          <w:lang w:val="es-ES_tradnl"/>
        </w:rPr>
        <w:t>enta a efectos de que el proponente</w:t>
      </w:r>
      <w:r w:rsidR="00A92100">
        <w:rPr>
          <w:rFonts w:ascii="Arial" w:eastAsia="Calibri" w:hAnsi="Arial" w:cs="Arial"/>
          <w:sz w:val="22"/>
          <w:szCs w:val="22"/>
          <w:lang w:val="es-ES_tradnl"/>
        </w:rPr>
        <w:t xml:space="preserve"> </w:t>
      </w:r>
      <w:r w:rsidR="00B4526F" w:rsidRPr="00577AE6">
        <w:rPr>
          <w:rFonts w:ascii="Arial" w:eastAsia="Calibri" w:hAnsi="Arial" w:cs="Arial"/>
          <w:sz w:val="22"/>
          <w:szCs w:val="22"/>
          <w:lang w:val="es-ES_tradnl"/>
        </w:rPr>
        <w:t>–empleador–</w:t>
      </w:r>
      <w:r w:rsidR="00B05586" w:rsidRPr="00577AE6">
        <w:rPr>
          <w:rFonts w:ascii="Arial" w:eastAsia="Calibri" w:hAnsi="Arial" w:cs="Arial"/>
          <w:sz w:val="22"/>
          <w:szCs w:val="22"/>
          <w:lang w:val="es-ES_tradnl"/>
        </w:rPr>
        <w:t xml:space="preserve"> </w:t>
      </w:r>
      <w:r w:rsidR="00F50F80" w:rsidRPr="00577AE6">
        <w:rPr>
          <w:rFonts w:ascii="Arial" w:eastAsia="Calibri" w:hAnsi="Arial" w:cs="Arial"/>
          <w:sz w:val="22"/>
          <w:szCs w:val="22"/>
          <w:lang w:val="es-ES_tradnl"/>
        </w:rPr>
        <w:t>acredite la circunstancia en virtud de la cual aplica la regla de desempate del artículo 35.4</w:t>
      </w:r>
      <w:r w:rsidR="003F060F" w:rsidRPr="00577AE6">
        <w:rPr>
          <w:rFonts w:ascii="Arial" w:eastAsia="Calibri" w:hAnsi="Arial" w:cs="Arial"/>
          <w:sz w:val="22"/>
          <w:szCs w:val="22"/>
          <w:lang w:val="es-ES_tradnl"/>
        </w:rPr>
        <w:t>, comoquiera que estas personas</w:t>
      </w:r>
      <w:r w:rsidR="005D19C3" w:rsidRPr="00577AE6">
        <w:rPr>
          <w:rFonts w:ascii="Arial" w:eastAsia="Calibri" w:hAnsi="Arial" w:cs="Arial"/>
          <w:sz w:val="22"/>
          <w:szCs w:val="22"/>
          <w:lang w:val="es-ES_tradnl"/>
        </w:rPr>
        <w:t>, en estricto se</w:t>
      </w:r>
      <w:r w:rsidR="0059581A" w:rsidRPr="00577AE6">
        <w:rPr>
          <w:rFonts w:ascii="Arial" w:eastAsia="Calibri" w:hAnsi="Arial" w:cs="Arial"/>
          <w:sz w:val="22"/>
          <w:szCs w:val="22"/>
          <w:lang w:val="es-ES_tradnl"/>
        </w:rPr>
        <w:t xml:space="preserve">ntido, </w:t>
      </w:r>
      <w:r w:rsidR="00636D9C" w:rsidRPr="00577AE6">
        <w:rPr>
          <w:rFonts w:ascii="Arial" w:eastAsia="Calibri" w:hAnsi="Arial" w:cs="Arial"/>
          <w:sz w:val="22"/>
          <w:szCs w:val="22"/>
          <w:lang w:val="es-ES_tradnl"/>
        </w:rPr>
        <w:t>no son beneficiarias de la pensión, al no habérseles reconocido o paga</w:t>
      </w:r>
      <w:r w:rsidR="00EF0DB7" w:rsidRPr="00577AE6">
        <w:rPr>
          <w:rFonts w:ascii="Arial" w:eastAsia="Calibri" w:hAnsi="Arial" w:cs="Arial"/>
          <w:sz w:val="22"/>
          <w:szCs w:val="22"/>
          <w:lang w:val="es-ES_tradnl"/>
        </w:rPr>
        <w:t>do</w:t>
      </w:r>
      <w:r w:rsidR="00636D9C" w:rsidRPr="00577AE6">
        <w:rPr>
          <w:rFonts w:ascii="Arial" w:eastAsia="Calibri" w:hAnsi="Arial" w:cs="Arial"/>
          <w:sz w:val="22"/>
          <w:szCs w:val="22"/>
          <w:lang w:val="es-ES_tradnl"/>
        </w:rPr>
        <w:t xml:space="preserve"> dicha prestación.</w:t>
      </w:r>
      <w:r w:rsidR="00627711" w:rsidRPr="00577AE6">
        <w:rPr>
          <w:rFonts w:ascii="Arial" w:eastAsia="Calibri" w:hAnsi="Arial" w:cs="Arial"/>
          <w:sz w:val="22"/>
          <w:szCs w:val="22"/>
          <w:lang w:val="es-ES_tradnl"/>
        </w:rPr>
        <w:t xml:space="preserve"> Caso contrario ocurre </w:t>
      </w:r>
      <w:r w:rsidR="005C5356" w:rsidRPr="00577AE6">
        <w:rPr>
          <w:rFonts w:ascii="Arial" w:eastAsia="Calibri" w:hAnsi="Arial" w:cs="Arial"/>
          <w:sz w:val="22"/>
          <w:szCs w:val="22"/>
          <w:lang w:val="es-ES_tradnl"/>
        </w:rPr>
        <w:t xml:space="preserve">tratándose </w:t>
      </w:r>
      <w:r w:rsidR="00627711" w:rsidRPr="00577AE6">
        <w:rPr>
          <w:rFonts w:ascii="Arial" w:eastAsia="Calibri" w:hAnsi="Arial" w:cs="Arial"/>
          <w:sz w:val="22"/>
          <w:szCs w:val="22"/>
          <w:lang w:val="es-ES_tradnl"/>
        </w:rPr>
        <w:t>de</w:t>
      </w:r>
      <w:r w:rsidR="00D72ACC" w:rsidRPr="00577AE6">
        <w:rPr>
          <w:rFonts w:ascii="Arial" w:eastAsia="Calibri" w:hAnsi="Arial" w:cs="Arial"/>
          <w:sz w:val="22"/>
          <w:szCs w:val="22"/>
          <w:lang w:val="es-ES_tradnl"/>
        </w:rPr>
        <w:t xml:space="preserve"> </w:t>
      </w:r>
      <w:proofErr w:type="spellStart"/>
      <w:r w:rsidR="00627711" w:rsidRPr="00577AE6">
        <w:rPr>
          <w:rFonts w:ascii="Arial" w:eastAsia="Calibri" w:hAnsi="Arial" w:cs="Arial"/>
          <w:sz w:val="22"/>
          <w:szCs w:val="22"/>
          <w:lang w:val="es-ES_tradnl"/>
        </w:rPr>
        <w:t>preprensionado</w:t>
      </w:r>
      <w:r w:rsidR="005C5356" w:rsidRPr="00577AE6">
        <w:rPr>
          <w:rFonts w:ascii="Arial" w:eastAsia="Calibri" w:hAnsi="Arial" w:cs="Arial"/>
          <w:sz w:val="22"/>
          <w:szCs w:val="22"/>
          <w:lang w:val="es-ES_tradnl"/>
        </w:rPr>
        <w:t>s</w:t>
      </w:r>
      <w:proofErr w:type="spellEnd"/>
      <w:r w:rsidR="00627711" w:rsidRPr="00577AE6">
        <w:rPr>
          <w:rFonts w:ascii="Arial" w:eastAsia="Calibri" w:hAnsi="Arial" w:cs="Arial"/>
          <w:sz w:val="22"/>
          <w:szCs w:val="22"/>
          <w:lang w:val="es-ES_tradnl"/>
        </w:rPr>
        <w:t xml:space="preserve"> </w:t>
      </w:r>
      <w:r w:rsidR="00D72ACC" w:rsidRPr="00577AE6">
        <w:rPr>
          <w:rFonts w:ascii="Arial" w:eastAsia="Calibri" w:hAnsi="Arial" w:cs="Arial"/>
          <w:sz w:val="22"/>
          <w:szCs w:val="22"/>
          <w:lang w:val="es-ES_tradnl"/>
        </w:rPr>
        <w:t xml:space="preserve">que hubieren </w:t>
      </w:r>
      <w:r w:rsidR="00627711" w:rsidRPr="00577AE6">
        <w:rPr>
          <w:rFonts w:ascii="Arial" w:eastAsia="Calibri" w:hAnsi="Arial" w:cs="Arial"/>
          <w:sz w:val="22"/>
          <w:szCs w:val="22"/>
          <w:lang w:val="es-ES_tradnl"/>
        </w:rPr>
        <w:t xml:space="preserve">cumplido </w:t>
      </w:r>
      <w:r w:rsidR="005C5356" w:rsidRPr="00577AE6">
        <w:rPr>
          <w:rFonts w:ascii="Arial" w:eastAsia="Calibri" w:hAnsi="Arial" w:cs="Arial"/>
          <w:sz w:val="22"/>
          <w:szCs w:val="22"/>
          <w:lang w:val="es-ES_tradnl"/>
        </w:rPr>
        <w:t xml:space="preserve">todos </w:t>
      </w:r>
      <w:r w:rsidR="00627711" w:rsidRPr="00577AE6">
        <w:rPr>
          <w:rFonts w:ascii="Arial" w:eastAsia="Calibri" w:hAnsi="Arial" w:cs="Arial"/>
          <w:sz w:val="22"/>
          <w:szCs w:val="22"/>
          <w:lang w:val="es-ES_tradnl"/>
        </w:rPr>
        <w:t>los requisitos exigibles para el reconocimiento de la pensión</w:t>
      </w:r>
      <w:r w:rsidR="00A92100">
        <w:rPr>
          <w:rFonts w:ascii="Arial" w:eastAsia="Calibri" w:hAnsi="Arial" w:cs="Arial"/>
          <w:sz w:val="22"/>
          <w:szCs w:val="22"/>
          <w:lang w:val="es-ES_tradnl"/>
        </w:rPr>
        <w:t>,</w:t>
      </w:r>
      <w:r w:rsidR="005C5356" w:rsidRPr="00577AE6">
        <w:rPr>
          <w:rFonts w:ascii="Arial" w:eastAsia="Calibri" w:hAnsi="Arial" w:cs="Arial"/>
          <w:sz w:val="22"/>
          <w:szCs w:val="22"/>
          <w:lang w:val="es-ES_tradnl"/>
        </w:rPr>
        <w:t xml:space="preserve"> salvo </w:t>
      </w:r>
      <w:r w:rsidR="00477663" w:rsidRPr="00577AE6">
        <w:rPr>
          <w:rFonts w:ascii="Arial" w:eastAsia="Calibri" w:hAnsi="Arial" w:cs="Arial"/>
          <w:sz w:val="22"/>
          <w:szCs w:val="22"/>
          <w:lang w:val="es-ES_tradnl"/>
        </w:rPr>
        <w:t>el de</w:t>
      </w:r>
      <w:r w:rsidR="005C5356" w:rsidRPr="00577AE6">
        <w:rPr>
          <w:rFonts w:ascii="Arial" w:eastAsia="Calibri" w:hAnsi="Arial" w:cs="Arial"/>
          <w:sz w:val="22"/>
          <w:szCs w:val="22"/>
          <w:lang w:val="es-ES_tradnl"/>
        </w:rPr>
        <w:t xml:space="preserve"> edad, quienes</w:t>
      </w:r>
      <w:r w:rsidR="00CF2AE3" w:rsidRPr="00577AE6">
        <w:rPr>
          <w:rFonts w:ascii="Arial" w:eastAsia="Calibri" w:hAnsi="Arial" w:cs="Arial"/>
          <w:sz w:val="22"/>
          <w:szCs w:val="22"/>
          <w:lang w:val="es-ES_tradnl"/>
        </w:rPr>
        <w:t>,</w:t>
      </w:r>
      <w:r w:rsidR="001544F3" w:rsidRPr="00577AE6">
        <w:rPr>
          <w:rFonts w:ascii="Arial" w:eastAsia="Calibri" w:hAnsi="Arial" w:cs="Arial"/>
          <w:sz w:val="22"/>
          <w:szCs w:val="22"/>
          <w:lang w:val="es-ES_tradnl"/>
        </w:rPr>
        <w:t xml:space="preserve"> </w:t>
      </w:r>
      <w:r w:rsidR="005C5356" w:rsidRPr="00577AE6">
        <w:rPr>
          <w:rFonts w:ascii="Arial" w:eastAsia="Calibri" w:hAnsi="Arial" w:cs="Arial"/>
          <w:sz w:val="22"/>
          <w:szCs w:val="22"/>
          <w:lang w:val="es-ES_tradnl"/>
        </w:rPr>
        <w:t>a pesar de no ser beneficiarios de pensión, no son</w:t>
      </w:r>
      <w:r w:rsidR="001544F3" w:rsidRPr="00577AE6">
        <w:rPr>
          <w:rFonts w:ascii="Arial" w:eastAsia="Calibri" w:hAnsi="Arial" w:cs="Arial"/>
          <w:sz w:val="22"/>
          <w:szCs w:val="22"/>
          <w:lang w:val="es-ES_tradnl"/>
        </w:rPr>
        <w:t xml:space="preserve"> </w:t>
      </w:r>
      <w:r w:rsidR="005C5356" w:rsidRPr="00577AE6">
        <w:rPr>
          <w:rFonts w:ascii="Arial" w:eastAsia="Calibri" w:hAnsi="Arial" w:cs="Arial"/>
          <w:sz w:val="22"/>
          <w:szCs w:val="22"/>
          <w:lang w:val="es-ES_tradnl"/>
        </w:rPr>
        <w:t>susceptibles</w:t>
      </w:r>
      <w:r w:rsidR="001544F3" w:rsidRPr="00577AE6">
        <w:rPr>
          <w:rFonts w:ascii="Arial" w:eastAsia="Calibri" w:hAnsi="Arial" w:cs="Arial"/>
          <w:sz w:val="22"/>
          <w:szCs w:val="22"/>
          <w:lang w:val="es-ES_tradnl"/>
        </w:rPr>
        <w:t xml:space="preserve"> de ser considerado</w:t>
      </w:r>
      <w:r w:rsidR="00CF2AE3" w:rsidRPr="00577AE6">
        <w:rPr>
          <w:rFonts w:ascii="Arial" w:eastAsia="Calibri" w:hAnsi="Arial" w:cs="Arial"/>
          <w:sz w:val="22"/>
          <w:szCs w:val="22"/>
          <w:lang w:val="es-ES_tradnl"/>
        </w:rPr>
        <w:t>s</w:t>
      </w:r>
      <w:r w:rsidR="001544F3" w:rsidRPr="00577AE6">
        <w:rPr>
          <w:rFonts w:ascii="Arial" w:eastAsia="Calibri" w:hAnsi="Arial" w:cs="Arial"/>
          <w:sz w:val="22"/>
          <w:szCs w:val="22"/>
          <w:lang w:val="es-ES_tradnl"/>
        </w:rPr>
        <w:t xml:space="preserve"> para acreditar lo dispuesto en el artículo 35.4</w:t>
      </w:r>
      <w:r w:rsidR="005C5356" w:rsidRPr="00577AE6">
        <w:rPr>
          <w:rFonts w:ascii="Arial" w:eastAsia="Calibri" w:hAnsi="Arial" w:cs="Arial"/>
          <w:sz w:val="22"/>
          <w:szCs w:val="22"/>
          <w:lang w:val="es-ES_tradnl"/>
        </w:rPr>
        <w:t>, al no haber cumplido este último requisito, lo que los ubica por fuera del supuesto de hecho de dicho factor de desempate</w:t>
      </w:r>
      <w:r w:rsidR="00CF2AE3" w:rsidRPr="00577AE6">
        <w:rPr>
          <w:rStyle w:val="Refdenotaalpie"/>
          <w:rFonts w:ascii="Arial" w:eastAsia="Calibri" w:hAnsi="Arial" w:cs="Arial"/>
          <w:sz w:val="22"/>
          <w:szCs w:val="22"/>
          <w:lang w:val="es-ES_tradnl"/>
        </w:rPr>
        <w:footnoteReference w:id="12"/>
      </w:r>
      <w:r w:rsidR="005C5356" w:rsidRPr="00577AE6">
        <w:rPr>
          <w:rFonts w:ascii="Arial" w:eastAsia="Calibri" w:hAnsi="Arial" w:cs="Arial"/>
          <w:sz w:val="22"/>
          <w:szCs w:val="22"/>
          <w:lang w:val="es-ES_tradnl"/>
        </w:rPr>
        <w:t xml:space="preserve">. </w:t>
      </w:r>
    </w:p>
    <w:p w14:paraId="2EB1FC9F" w14:textId="4FBEC8FF" w:rsidR="00666D6C" w:rsidRPr="00577AE6" w:rsidRDefault="00976FA7" w:rsidP="00666D6C">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lastRenderedPageBreak/>
        <w:t>Por otro lado, e</w:t>
      </w:r>
      <w:r w:rsidR="00FD313C" w:rsidRPr="00577AE6">
        <w:rPr>
          <w:rFonts w:ascii="Arial" w:hAnsi="Arial" w:cs="Arial"/>
          <w:sz w:val="22"/>
          <w:szCs w:val="22"/>
          <w:lang w:val="es-ES_tradnl"/>
        </w:rPr>
        <w:t>l numeral</w:t>
      </w:r>
      <w:r w:rsidRPr="00577AE6">
        <w:rPr>
          <w:rFonts w:ascii="Arial" w:hAnsi="Arial" w:cs="Arial"/>
          <w:sz w:val="22"/>
          <w:szCs w:val="22"/>
          <w:lang w:val="es-ES_tradnl"/>
        </w:rPr>
        <w:t xml:space="preserve"> 4</w:t>
      </w:r>
      <w:r w:rsidR="00FD313C" w:rsidRPr="00577AE6">
        <w:rPr>
          <w:rFonts w:ascii="Arial" w:hAnsi="Arial" w:cs="Arial"/>
          <w:sz w:val="22"/>
          <w:szCs w:val="22"/>
          <w:lang w:val="es-ES_tradnl"/>
        </w:rPr>
        <w:t xml:space="preserve"> </w:t>
      </w:r>
      <w:r w:rsidR="005C3F1E" w:rsidRPr="00577AE6">
        <w:rPr>
          <w:rFonts w:ascii="Arial" w:hAnsi="Arial" w:cs="Arial"/>
          <w:sz w:val="22"/>
          <w:szCs w:val="22"/>
          <w:lang w:val="es-ES_tradnl"/>
        </w:rPr>
        <w:t>dispone</w:t>
      </w:r>
      <w:r w:rsidR="00FD313C" w:rsidRPr="00577AE6">
        <w:rPr>
          <w:rFonts w:ascii="Arial" w:hAnsi="Arial" w:cs="Arial"/>
          <w:sz w:val="22"/>
          <w:szCs w:val="22"/>
          <w:lang w:val="es-ES_tradnl"/>
        </w:rPr>
        <w:t xml:space="preserve"> que en dicho evento la regla de desempate se aplica a favor del «[…] oferente que acredite la vinculación en </w:t>
      </w:r>
      <w:bookmarkStart w:id="4" w:name="_Hlk72755608"/>
      <w:r w:rsidR="00FD313C" w:rsidRPr="00577AE6">
        <w:rPr>
          <w:rFonts w:ascii="Arial" w:hAnsi="Arial" w:cs="Arial"/>
          <w:sz w:val="22"/>
          <w:szCs w:val="22"/>
          <w:lang w:val="es-ES_tradnl"/>
        </w:rPr>
        <w:t>mayor proporción de personas mayores que no sean beneficiarios de la pensión de vejez, familiar o de sobrevivencia y que hayan cumplido el requisito de edad de pensión establecido en la Ley»</w:t>
      </w:r>
      <w:bookmarkEnd w:id="4"/>
      <w:r w:rsidR="00FD313C" w:rsidRPr="00577AE6">
        <w:rPr>
          <w:rFonts w:ascii="Arial" w:hAnsi="Arial" w:cs="Arial"/>
          <w:sz w:val="22"/>
          <w:szCs w:val="22"/>
          <w:lang w:val="es-ES_tradnl"/>
        </w:rPr>
        <w:t xml:space="preserve">. </w:t>
      </w:r>
      <w:bookmarkStart w:id="5" w:name="_Hlk72753138"/>
      <w:r w:rsidR="00FD313C" w:rsidRPr="00577AE6">
        <w:rPr>
          <w:rFonts w:ascii="Arial" w:hAnsi="Arial" w:cs="Arial"/>
          <w:sz w:val="22"/>
          <w:szCs w:val="22"/>
          <w:lang w:val="es-ES_tradnl"/>
        </w:rPr>
        <w:t>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5"/>
      <w:r w:rsidR="00666D6C" w:rsidRPr="00577AE6">
        <w:rPr>
          <w:rFonts w:ascii="Arial" w:hAnsi="Arial" w:cs="Arial"/>
          <w:sz w:val="22"/>
          <w:szCs w:val="22"/>
          <w:lang w:val="es-ES_tradnl"/>
        </w:rPr>
        <w:t>,</w:t>
      </w:r>
      <w:r w:rsidR="00FD313C" w:rsidRPr="00577AE6">
        <w:rPr>
          <w:rFonts w:ascii="Arial" w:hAnsi="Arial" w:cs="Arial"/>
          <w:sz w:val="22"/>
          <w:szCs w:val="22"/>
          <w:lang w:val="es-ES_tradnl"/>
        </w:rPr>
        <w:t xml:space="preserve"> </w:t>
      </w:r>
      <w:r w:rsidR="001D22FA" w:rsidRPr="00577AE6">
        <w:rPr>
          <w:rFonts w:ascii="Arial" w:hAnsi="Arial" w:cs="Arial"/>
          <w:sz w:val="22"/>
          <w:szCs w:val="22"/>
          <w:lang w:val="es-ES_tradnl"/>
        </w:rPr>
        <w:t>añadiendo</w:t>
      </w:r>
      <w:r w:rsidR="00CA2798" w:rsidRPr="00577AE6">
        <w:rPr>
          <w:rFonts w:ascii="Arial" w:hAnsi="Arial" w:cs="Arial"/>
          <w:sz w:val="22"/>
          <w:szCs w:val="22"/>
          <w:lang w:val="es-ES_tradnl"/>
        </w:rPr>
        <w:t xml:space="preserve"> que </w:t>
      </w:r>
      <w:r w:rsidR="00781FFF" w:rsidRPr="00577AE6">
        <w:rPr>
          <w:rFonts w:ascii="Arial" w:hAnsi="Arial" w:cs="Arial"/>
          <w:sz w:val="22"/>
          <w:szCs w:val="22"/>
          <w:lang w:val="es-ES_tradnl"/>
        </w:rPr>
        <w:t>la «</w:t>
      </w:r>
      <w:r w:rsidR="00845007" w:rsidRPr="00577AE6">
        <w:rPr>
          <w:rFonts w:ascii="Arial" w:hAnsi="Arial" w:cs="Arial"/>
          <w:sz w:val="22"/>
          <w:szCs w:val="22"/>
          <w:lang w:val="es-ES_tradnl"/>
        </w:rPr>
        <w:t xml:space="preserve">vinculación en </w:t>
      </w:r>
      <w:r w:rsidR="00781FFF" w:rsidRPr="00577AE6">
        <w:rPr>
          <w:rFonts w:ascii="Arial" w:hAnsi="Arial" w:cs="Arial"/>
          <w:sz w:val="22"/>
          <w:szCs w:val="22"/>
          <w:lang w:val="es-ES_tradnl"/>
        </w:rPr>
        <w:t xml:space="preserve">mayor proporción» debe analizarse respecto </w:t>
      </w:r>
      <w:r w:rsidR="00B740FD" w:rsidRPr="00577AE6">
        <w:rPr>
          <w:rFonts w:ascii="Arial" w:hAnsi="Arial" w:cs="Arial"/>
          <w:sz w:val="22"/>
          <w:szCs w:val="22"/>
          <w:lang w:val="es-ES_tradnl"/>
        </w:rPr>
        <w:t xml:space="preserve">al número de trabajadores de la planta de personal. </w:t>
      </w:r>
    </w:p>
    <w:p w14:paraId="242A60A8" w14:textId="1E57F07F" w:rsidR="00D675BC" w:rsidRPr="00577AE6" w:rsidRDefault="00B740FD" w:rsidP="00046429">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t>Al</w:t>
      </w:r>
      <w:r w:rsidR="00876DB3" w:rsidRPr="00577AE6">
        <w:rPr>
          <w:rFonts w:ascii="Arial" w:hAnsi="Arial" w:cs="Arial"/>
          <w:sz w:val="22"/>
          <w:szCs w:val="22"/>
          <w:lang w:val="es-ES_tradnl"/>
        </w:rPr>
        <w:t xml:space="preserve"> respecto, es necesario tener en cuenta que el artículo </w:t>
      </w:r>
      <w:r w:rsidR="00A24B78" w:rsidRPr="00577AE6">
        <w:rPr>
          <w:rFonts w:ascii="Arial" w:hAnsi="Arial" w:cs="Arial"/>
          <w:sz w:val="22"/>
          <w:szCs w:val="22"/>
          <w:lang w:val="es-ES_tradnl"/>
        </w:rPr>
        <w:t>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034E8BE4" w14:textId="2FBFF29F" w:rsidR="00065A8B" w:rsidRPr="00577AE6" w:rsidRDefault="001F2912" w:rsidP="001F2912">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t>C</w:t>
      </w:r>
      <w:r w:rsidR="00D675BC" w:rsidRPr="00577AE6">
        <w:rPr>
          <w:rFonts w:ascii="Arial" w:hAnsi="Arial" w:cs="Arial"/>
          <w:sz w:val="22"/>
          <w:szCs w:val="22"/>
          <w:lang w:val="es-ES_tradnl"/>
        </w:rPr>
        <w:t xml:space="preserve">onforme a la definición del Diccionario de la RAE, la palabra </w:t>
      </w:r>
      <w:r w:rsidR="0076406B" w:rsidRPr="00577AE6">
        <w:rPr>
          <w:rFonts w:ascii="Arial" w:hAnsi="Arial" w:cs="Arial"/>
          <w:sz w:val="22"/>
          <w:szCs w:val="22"/>
          <w:lang w:val="es-ES_tradnl"/>
        </w:rPr>
        <w:t>«</w:t>
      </w:r>
      <w:r w:rsidR="00D675BC" w:rsidRPr="00577AE6">
        <w:rPr>
          <w:rFonts w:ascii="Arial" w:hAnsi="Arial" w:cs="Arial"/>
          <w:sz w:val="22"/>
          <w:szCs w:val="22"/>
          <w:lang w:val="es-ES_tradnl"/>
        </w:rPr>
        <w:t>proporción</w:t>
      </w:r>
      <w:r w:rsidR="0076406B" w:rsidRPr="00577AE6">
        <w:rPr>
          <w:rFonts w:ascii="Arial" w:hAnsi="Arial" w:cs="Arial"/>
          <w:sz w:val="22"/>
          <w:szCs w:val="22"/>
          <w:lang w:val="es-ES_tradnl"/>
        </w:rPr>
        <w:t>»</w:t>
      </w:r>
      <w:r w:rsidR="00D675BC" w:rsidRPr="00577AE6">
        <w:rPr>
          <w:rFonts w:ascii="Arial" w:hAnsi="Arial" w:cs="Arial"/>
          <w:sz w:val="22"/>
          <w:szCs w:val="22"/>
          <w:lang w:val="es-ES_tradnl"/>
        </w:rPr>
        <w:t xml:space="preserve"> </w:t>
      </w:r>
      <w:r w:rsidR="003B5BC1" w:rsidRPr="00577AE6">
        <w:rPr>
          <w:rFonts w:ascii="Arial" w:hAnsi="Arial" w:cs="Arial"/>
          <w:sz w:val="22"/>
          <w:szCs w:val="22"/>
          <w:lang w:val="es-ES_tradnl"/>
        </w:rPr>
        <w:t>es la</w:t>
      </w:r>
      <w:r w:rsidR="005B7396" w:rsidRPr="00577AE6">
        <w:rPr>
          <w:rFonts w:ascii="Arial" w:hAnsi="Arial" w:cs="Arial"/>
          <w:sz w:val="22"/>
          <w:szCs w:val="22"/>
          <w:lang w:val="es-ES_tradnl"/>
        </w:rPr>
        <w:t xml:space="preserve"> «Igualdad de dos razones»</w:t>
      </w:r>
      <w:r w:rsidR="00CA01EF" w:rsidRPr="00577AE6">
        <w:rPr>
          <w:rFonts w:ascii="Arial" w:hAnsi="Arial" w:cs="Arial"/>
          <w:sz w:val="22"/>
          <w:szCs w:val="22"/>
          <w:lang w:val="es-ES_tradnl"/>
        </w:rPr>
        <w:t>. Esta expresión tiene una definición propia en el campo de la</w:t>
      </w:r>
      <w:r w:rsidR="0076406B" w:rsidRPr="00577AE6">
        <w:rPr>
          <w:rFonts w:ascii="Arial" w:hAnsi="Arial" w:cs="Arial"/>
          <w:sz w:val="22"/>
          <w:szCs w:val="22"/>
          <w:lang w:val="es-ES_tradnl"/>
        </w:rPr>
        <w:t>s</w:t>
      </w:r>
      <w:r w:rsidR="00CA01EF" w:rsidRPr="00577AE6">
        <w:rPr>
          <w:rFonts w:ascii="Arial" w:hAnsi="Arial" w:cs="Arial"/>
          <w:sz w:val="22"/>
          <w:szCs w:val="22"/>
          <w:lang w:val="es-ES_tradnl"/>
        </w:rPr>
        <w:t xml:space="preserve"> matemáticas, pues </w:t>
      </w:r>
      <w:r w:rsidR="003B5BC1" w:rsidRPr="00577AE6">
        <w:rPr>
          <w:rFonts w:ascii="Arial" w:hAnsi="Arial" w:cs="Arial"/>
          <w:sz w:val="22"/>
          <w:szCs w:val="22"/>
          <w:lang w:val="es-ES_tradnl"/>
        </w:rPr>
        <w:t>alude a una relación o razón constante entre diferentes magnitudes que se vayan a medir</w:t>
      </w:r>
      <w:r w:rsidRPr="00577AE6">
        <w:rPr>
          <w:rFonts w:ascii="Arial" w:hAnsi="Arial" w:cs="Arial"/>
          <w:sz w:val="22"/>
          <w:szCs w:val="22"/>
          <w:lang w:val="es-ES_tradnl"/>
        </w:rPr>
        <w:t>.</w:t>
      </w:r>
      <w:r w:rsidR="00783358" w:rsidRPr="00577AE6">
        <w:rPr>
          <w:rFonts w:ascii="Arial" w:hAnsi="Arial" w:cs="Arial"/>
          <w:sz w:val="22"/>
          <w:szCs w:val="22"/>
          <w:lang w:val="es-ES_tradnl"/>
        </w:rPr>
        <w:t xml:space="preserve"> </w:t>
      </w:r>
      <w:r w:rsidRPr="00577AE6">
        <w:rPr>
          <w:rFonts w:ascii="Arial" w:hAnsi="Arial" w:cs="Arial"/>
          <w:sz w:val="22"/>
          <w:szCs w:val="22"/>
          <w:lang w:val="es-ES_tradnl"/>
        </w:rPr>
        <w:t>Por esta raz</w:t>
      </w:r>
      <w:r w:rsidR="0091713D" w:rsidRPr="00577AE6">
        <w:rPr>
          <w:rFonts w:ascii="Arial" w:hAnsi="Arial" w:cs="Arial"/>
          <w:sz w:val="22"/>
          <w:szCs w:val="22"/>
          <w:lang w:val="es-ES_tradnl"/>
        </w:rPr>
        <w:t>ón</w:t>
      </w:r>
      <w:r w:rsidR="00F83CE8" w:rsidRPr="00577AE6">
        <w:rPr>
          <w:rFonts w:ascii="Arial" w:hAnsi="Arial" w:cs="Arial"/>
          <w:sz w:val="22"/>
          <w:szCs w:val="22"/>
          <w:lang w:val="es-ES_tradnl"/>
        </w:rPr>
        <w:t>,</w:t>
      </w:r>
      <w:r w:rsidR="0091713D" w:rsidRPr="00577AE6">
        <w:rPr>
          <w:rFonts w:ascii="Arial" w:hAnsi="Arial" w:cs="Arial"/>
          <w:sz w:val="22"/>
          <w:szCs w:val="22"/>
          <w:lang w:val="es-ES_tradnl"/>
        </w:rPr>
        <w:t xml:space="preserve"> la «[…] mayor proporción de personas mayores que no sean beneficiarios de la pensión de vejez, familiar o de sobrevivencia y que hayan cumplido el requisito de edad de pensión establecido en la Ley»</w:t>
      </w:r>
      <w:r w:rsidR="001B6D85" w:rsidRPr="00577AE6">
        <w:rPr>
          <w:rFonts w:ascii="Arial" w:hAnsi="Arial" w:cs="Arial"/>
          <w:sz w:val="22"/>
          <w:szCs w:val="22"/>
          <w:lang w:val="es-ES_tradnl"/>
        </w:rPr>
        <w:t xml:space="preserve"> no corresponde a un valor absoluto, sino relativo</w:t>
      </w:r>
      <w:r w:rsidR="00065A8B" w:rsidRPr="00577AE6">
        <w:rPr>
          <w:rFonts w:ascii="Arial" w:hAnsi="Arial" w:cs="Arial"/>
          <w:sz w:val="22"/>
          <w:szCs w:val="22"/>
          <w:lang w:val="es-ES_tradnl"/>
        </w:rPr>
        <w:t>.</w:t>
      </w:r>
    </w:p>
    <w:p w14:paraId="16C86277" w14:textId="4BA3B3CB" w:rsidR="00372C2E" w:rsidRPr="00577AE6" w:rsidRDefault="00065A8B" w:rsidP="001F2912">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t xml:space="preserve">En efecto, el factor de desempate </w:t>
      </w:r>
      <w:r w:rsidR="00FE4CDF" w:rsidRPr="00577AE6">
        <w:rPr>
          <w:rFonts w:ascii="Arial" w:hAnsi="Arial" w:cs="Arial"/>
          <w:sz w:val="22"/>
          <w:szCs w:val="22"/>
          <w:lang w:val="es-ES_tradnl"/>
        </w:rPr>
        <w:t>d</w:t>
      </w:r>
      <w:r w:rsidRPr="00577AE6">
        <w:rPr>
          <w:rFonts w:ascii="Arial" w:hAnsi="Arial" w:cs="Arial"/>
          <w:sz w:val="22"/>
          <w:szCs w:val="22"/>
          <w:lang w:val="es-ES_tradnl"/>
        </w:rPr>
        <w:t xml:space="preserve">el artículo 35.4 </w:t>
      </w:r>
      <w:r w:rsidR="0045392F" w:rsidRPr="00577AE6">
        <w:rPr>
          <w:rFonts w:ascii="Arial" w:hAnsi="Arial" w:cs="Arial"/>
          <w:sz w:val="22"/>
          <w:szCs w:val="22"/>
          <w:lang w:val="es-ES_tradnl"/>
        </w:rPr>
        <w:t xml:space="preserve">de la Ley </w:t>
      </w:r>
      <w:r w:rsidR="00FE4CDF" w:rsidRPr="00577AE6">
        <w:rPr>
          <w:rFonts w:ascii="Arial" w:hAnsi="Arial" w:cs="Arial"/>
          <w:sz w:val="22"/>
          <w:szCs w:val="22"/>
          <w:lang w:val="es-ES_tradnl"/>
        </w:rPr>
        <w:t>2069 de 2020</w:t>
      </w:r>
      <w:r w:rsidR="0045392F" w:rsidRPr="00577AE6">
        <w:rPr>
          <w:rFonts w:ascii="Arial" w:hAnsi="Arial" w:cs="Arial"/>
          <w:sz w:val="22"/>
          <w:szCs w:val="22"/>
          <w:lang w:val="es-ES_tradnl"/>
        </w:rPr>
        <w:t xml:space="preserve"> </w:t>
      </w:r>
      <w:r w:rsidR="00F83CE8" w:rsidRPr="00577AE6">
        <w:rPr>
          <w:rFonts w:ascii="Arial" w:hAnsi="Arial" w:cs="Arial"/>
          <w:sz w:val="22"/>
          <w:szCs w:val="22"/>
          <w:lang w:val="es-ES_tradnl"/>
        </w:rPr>
        <w:t>no se refiere a la «</w:t>
      </w:r>
      <w:r w:rsidR="00845007" w:rsidRPr="00577AE6">
        <w:rPr>
          <w:rFonts w:ascii="Arial" w:hAnsi="Arial" w:cs="Arial"/>
          <w:sz w:val="22"/>
          <w:szCs w:val="22"/>
          <w:lang w:val="es-ES_tradnl"/>
        </w:rPr>
        <w:t xml:space="preserve">vinculación en </w:t>
      </w:r>
      <w:r w:rsidR="00F83CE8" w:rsidRPr="00577AE6">
        <w:rPr>
          <w:rFonts w:ascii="Arial" w:hAnsi="Arial" w:cs="Arial"/>
          <w:sz w:val="22"/>
          <w:szCs w:val="22"/>
          <w:lang w:val="es-ES_tradnl"/>
        </w:rPr>
        <w:t>mayor cantidad» de personas mayores</w:t>
      </w:r>
      <w:r w:rsidR="001D632B" w:rsidRPr="00577AE6">
        <w:rPr>
          <w:rFonts w:ascii="Arial" w:hAnsi="Arial" w:cs="Arial"/>
          <w:sz w:val="22"/>
          <w:szCs w:val="22"/>
          <w:lang w:val="es-ES_tradnl"/>
        </w:rPr>
        <w:t xml:space="preserve">. </w:t>
      </w:r>
      <w:r w:rsidR="00E108A7" w:rsidRPr="00577AE6">
        <w:rPr>
          <w:rFonts w:ascii="Arial" w:hAnsi="Arial" w:cs="Arial"/>
          <w:sz w:val="22"/>
          <w:szCs w:val="22"/>
          <w:lang w:val="es-ES_tradnl"/>
        </w:rPr>
        <w:t>En este</w:t>
      </w:r>
      <w:r w:rsidR="00B04FC5" w:rsidRPr="00577AE6">
        <w:rPr>
          <w:rFonts w:ascii="Arial" w:hAnsi="Arial" w:cs="Arial"/>
          <w:sz w:val="22"/>
          <w:szCs w:val="22"/>
          <w:lang w:val="es-ES_tradnl"/>
        </w:rPr>
        <w:t xml:space="preserve"> caso, bastaría comparar el número de personas vin</w:t>
      </w:r>
      <w:r w:rsidR="00E06165" w:rsidRPr="00577AE6">
        <w:rPr>
          <w:rFonts w:ascii="Arial" w:hAnsi="Arial" w:cs="Arial"/>
          <w:sz w:val="22"/>
          <w:szCs w:val="22"/>
          <w:lang w:val="es-ES_tradnl"/>
        </w:rPr>
        <w:t xml:space="preserve">culadas entre cada uno de los proponentes empatados, adjudicando el contrato a aquel </w:t>
      </w:r>
      <w:r w:rsidR="00A32284" w:rsidRPr="00577AE6">
        <w:rPr>
          <w:rFonts w:ascii="Arial" w:hAnsi="Arial" w:cs="Arial"/>
          <w:sz w:val="22"/>
          <w:szCs w:val="22"/>
          <w:lang w:val="es-ES_tradnl"/>
        </w:rPr>
        <w:t>que m</w:t>
      </w:r>
      <w:r w:rsidR="00A92100">
        <w:rPr>
          <w:rFonts w:ascii="Arial" w:hAnsi="Arial" w:cs="Arial"/>
          <w:sz w:val="22"/>
          <w:szCs w:val="22"/>
          <w:lang w:val="es-ES_tradnl"/>
        </w:rPr>
        <w:t>á</w:t>
      </w:r>
      <w:r w:rsidR="00A32284" w:rsidRPr="00577AE6">
        <w:rPr>
          <w:rFonts w:ascii="Arial" w:hAnsi="Arial" w:cs="Arial"/>
          <w:sz w:val="22"/>
          <w:szCs w:val="22"/>
          <w:lang w:val="es-ES_tradnl"/>
        </w:rPr>
        <w:t xml:space="preserve">s tenga. Sin embargo, esta interpretación no es </w:t>
      </w:r>
      <w:r w:rsidR="00A92100">
        <w:rPr>
          <w:rFonts w:ascii="Arial" w:hAnsi="Arial" w:cs="Arial"/>
          <w:sz w:val="22"/>
          <w:szCs w:val="22"/>
          <w:lang w:val="es-ES_tradnl"/>
        </w:rPr>
        <w:t>adecuada</w:t>
      </w:r>
      <w:r w:rsidR="00A92100" w:rsidRPr="00577AE6">
        <w:rPr>
          <w:rFonts w:ascii="Arial" w:hAnsi="Arial" w:cs="Arial"/>
          <w:sz w:val="22"/>
          <w:szCs w:val="22"/>
          <w:lang w:val="es-ES_tradnl"/>
        </w:rPr>
        <w:t xml:space="preserve"> </w:t>
      </w:r>
      <w:r w:rsidR="00A32284" w:rsidRPr="00577AE6">
        <w:rPr>
          <w:rFonts w:ascii="Arial" w:hAnsi="Arial" w:cs="Arial"/>
          <w:sz w:val="22"/>
          <w:szCs w:val="22"/>
          <w:lang w:val="es-ES_tradnl"/>
        </w:rPr>
        <w:t xml:space="preserve">en la medida que la norma se refiere a la </w:t>
      </w:r>
      <w:bookmarkStart w:id="6" w:name="_Hlk72758821"/>
      <w:r w:rsidR="009B5B8C" w:rsidRPr="00577AE6">
        <w:rPr>
          <w:rFonts w:ascii="Arial" w:hAnsi="Arial" w:cs="Arial"/>
          <w:sz w:val="22"/>
          <w:szCs w:val="22"/>
          <w:lang w:val="es-ES_tradnl"/>
        </w:rPr>
        <w:t>«</w:t>
      </w:r>
      <w:r w:rsidR="00E108A7" w:rsidRPr="00577AE6">
        <w:rPr>
          <w:rFonts w:ascii="Arial" w:hAnsi="Arial" w:cs="Arial"/>
          <w:sz w:val="22"/>
          <w:szCs w:val="22"/>
          <w:lang w:val="es-ES_tradnl"/>
        </w:rPr>
        <w:t xml:space="preserve">vinculación en </w:t>
      </w:r>
      <w:r w:rsidR="00A32284" w:rsidRPr="00577AE6">
        <w:rPr>
          <w:rFonts w:ascii="Arial" w:hAnsi="Arial" w:cs="Arial"/>
          <w:sz w:val="22"/>
          <w:szCs w:val="22"/>
          <w:lang w:val="es-ES_tradnl"/>
        </w:rPr>
        <w:t>mayor proporción</w:t>
      </w:r>
      <w:r w:rsidR="009B5B8C" w:rsidRPr="00577AE6">
        <w:rPr>
          <w:rFonts w:ascii="Arial" w:hAnsi="Arial" w:cs="Arial"/>
          <w:sz w:val="22"/>
          <w:szCs w:val="22"/>
          <w:lang w:val="es-ES_tradnl"/>
        </w:rPr>
        <w:t>»</w:t>
      </w:r>
      <w:bookmarkEnd w:id="6"/>
      <w:r w:rsidR="009B5B8C" w:rsidRPr="00577AE6">
        <w:rPr>
          <w:rFonts w:ascii="Arial" w:hAnsi="Arial" w:cs="Arial"/>
          <w:sz w:val="22"/>
          <w:szCs w:val="22"/>
          <w:lang w:val="es-ES_tradnl"/>
        </w:rPr>
        <w:t>, es decir</w:t>
      </w:r>
      <w:r w:rsidR="00A92100">
        <w:rPr>
          <w:rFonts w:ascii="Arial" w:hAnsi="Arial" w:cs="Arial"/>
          <w:sz w:val="22"/>
          <w:szCs w:val="22"/>
          <w:lang w:val="es-ES_tradnl"/>
        </w:rPr>
        <w:t>,</w:t>
      </w:r>
      <w:r w:rsidR="009B5B8C" w:rsidRPr="00577AE6">
        <w:rPr>
          <w:rFonts w:ascii="Arial" w:hAnsi="Arial" w:cs="Arial"/>
          <w:sz w:val="22"/>
          <w:szCs w:val="22"/>
          <w:lang w:val="es-ES_tradnl"/>
        </w:rPr>
        <w:t xml:space="preserve"> el número de personas vinculadas </w:t>
      </w:r>
      <w:r w:rsidR="00104A59" w:rsidRPr="00577AE6">
        <w:rPr>
          <w:rFonts w:ascii="Arial" w:hAnsi="Arial" w:cs="Arial"/>
          <w:sz w:val="22"/>
          <w:szCs w:val="22"/>
          <w:lang w:val="es-ES_tradnl"/>
        </w:rPr>
        <w:t>en relación con</w:t>
      </w:r>
      <w:r w:rsidR="000D3A7A" w:rsidRPr="00577AE6">
        <w:rPr>
          <w:rFonts w:ascii="Arial" w:hAnsi="Arial" w:cs="Arial"/>
          <w:sz w:val="22"/>
          <w:szCs w:val="22"/>
          <w:lang w:val="es-ES_tradnl"/>
        </w:rPr>
        <w:t xml:space="preserve"> la planta de personal de los oferentes</w:t>
      </w:r>
      <w:r w:rsidR="00372C2E" w:rsidRPr="00577AE6">
        <w:rPr>
          <w:rFonts w:ascii="Arial" w:hAnsi="Arial" w:cs="Arial"/>
          <w:sz w:val="22"/>
          <w:szCs w:val="22"/>
          <w:lang w:val="es-ES_tradnl"/>
        </w:rPr>
        <w:t>.</w:t>
      </w:r>
    </w:p>
    <w:p w14:paraId="3DFE580C" w14:textId="65ECF95E" w:rsidR="00D22013" w:rsidRPr="00577AE6" w:rsidRDefault="008375F5" w:rsidP="00046429">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t>H</w:t>
      </w:r>
      <w:r w:rsidR="00372C2E" w:rsidRPr="00577AE6">
        <w:rPr>
          <w:rFonts w:ascii="Arial" w:hAnsi="Arial" w:cs="Arial"/>
          <w:sz w:val="22"/>
          <w:szCs w:val="22"/>
          <w:lang w:val="es-ES_tradnl"/>
        </w:rPr>
        <w:t xml:space="preserve">asta ahora </w:t>
      </w:r>
      <w:r w:rsidR="00323907" w:rsidRPr="00577AE6">
        <w:rPr>
          <w:rFonts w:ascii="Arial" w:hAnsi="Arial" w:cs="Arial"/>
          <w:sz w:val="22"/>
          <w:szCs w:val="22"/>
          <w:lang w:val="es-ES_tradnl"/>
        </w:rPr>
        <w:t>no</w:t>
      </w:r>
      <w:r w:rsidR="008C38D4" w:rsidRPr="00577AE6">
        <w:rPr>
          <w:rFonts w:ascii="Arial" w:hAnsi="Arial" w:cs="Arial"/>
          <w:sz w:val="22"/>
          <w:szCs w:val="22"/>
          <w:lang w:val="es-ES_tradnl"/>
        </w:rPr>
        <w:t xml:space="preserve"> existe un</w:t>
      </w:r>
      <w:r w:rsidRPr="00577AE6">
        <w:rPr>
          <w:rFonts w:ascii="Arial" w:hAnsi="Arial" w:cs="Arial"/>
          <w:sz w:val="22"/>
          <w:szCs w:val="22"/>
          <w:lang w:val="es-ES_tradnl"/>
        </w:rPr>
        <w:t xml:space="preserve"> reglamento </w:t>
      </w:r>
      <w:r w:rsidR="008C38D4" w:rsidRPr="00577AE6">
        <w:rPr>
          <w:rFonts w:ascii="Arial" w:hAnsi="Arial" w:cs="Arial"/>
          <w:sz w:val="22"/>
          <w:szCs w:val="22"/>
          <w:lang w:val="es-ES_tradnl"/>
        </w:rPr>
        <w:t>que defina</w:t>
      </w:r>
      <w:r w:rsidR="00323907" w:rsidRPr="00577AE6">
        <w:rPr>
          <w:rFonts w:ascii="Arial" w:hAnsi="Arial" w:cs="Arial"/>
          <w:sz w:val="22"/>
          <w:szCs w:val="22"/>
          <w:lang w:val="es-ES_tradnl"/>
        </w:rPr>
        <w:t xml:space="preserve"> el concepto</w:t>
      </w:r>
      <w:r w:rsidR="00E108A7" w:rsidRPr="00577AE6">
        <w:rPr>
          <w:rFonts w:ascii="Arial" w:hAnsi="Arial" w:cs="Arial"/>
          <w:sz w:val="22"/>
          <w:szCs w:val="22"/>
          <w:lang w:val="es-ES_tradnl"/>
        </w:rPr>
        <w:t xml:space="preserve"> de «vinculación en mayor proporción»</w:t>
      </w:r>
      <w:r w:rsidRPr="00577AE6">
        <w:rPr>
          <w:rFonts w:ascii="Arial" w:hAnsi="Arial" w:cs="Arial"/>
          <w:sz w:val="22"/>
          <w:szCs w:val="22"/>
          <w:lang w:val="es-ES_tradnl"/>
        </w:rPr>
        <w:t xml:space="preserve">, por lo que </w:t>
      </w:r>
      <w:r w:rsidR="009E6B58" w:rsidRPr="00577AE6">
        <w:rPr>
          <w:rFonts w:ascii="Arial" w:hAnsi="Arial" w:cs="Arial"/>
          <w:sz w:val="22"/>
          <w:szCs w:val="22"/>
          <w:lang w:val="es-ES_tradnl"/>
        </w:rPr>
        <w:t>debe entenderse</w:t>
      </w:r>
      <w:r w:rsidRPr="00577AE6">
        <w:rPr>
          <w:rFonts w:ascii="Arial" w:hAnsi="Arial" w:cs="Arial"/>
          <w:sz w:val="22"/>
          <w:szCs w:val="22"/>
          <w:lang w:val="es-ES_tradnl"/>
        </w:rPr>
        <w:t xml:space="preserve"> </w:t>
      </w:r>
      <w:r w:rsidR="00825E01" w:rsidRPr="00577AE6">
        <w:rPr>
          <w:rFonts w:ascii="Arial" w:hAnsi="Arial" w:cs="Arial"/>
          <w:sz w:val="22"/>
          <w:szCs w:val="22"/>
          <w:lang w:val="es-ES_tradnl"/>
        </w:rPr>
        <w:t xml:space="preserve">conforme a las pautas hermenéuticas del </w:t>
      </w:r>
      <w:r w:rsidR="00381D31" w:rsidRPr="00577AE6">
        <w:rPr>
          <w:rFonts w:ascii="Arial" w:hAnsi="Arial" w:cs="Arial"/>
          <w:sz w:val="22"/>
          <w:szCs w:val="22"/>
          <w:lang w:val="es-ES_tradnl"/>
        </w:rPr>
        <w:t>C</w:t>
      </w:r>
      <w:r w:rsidR="00825E01" w:rsidRPr="00577AE6">
        <w:rPr>
          <w:rFonts w:ascii="Arial" w:hAnsi="Arial" w:cs="Arial"/>
          <w:sz w:val="22"/>
          <w:szCs w:val="22"/>
          <w:lang w:val="es-ES_tradnl"/>
        </w:rPr>
        <w:t xml:space="preserve">ódigo </w:t>
      </w:r>
      <w:r w:rsidR="00381D31" w:rsidRPr="00577AE6">
        <w:rPr>
          <w:rFonts w:ascii="Arial" w:hAnsi="Arial" w:cs="Arial"/>
          <w:sz w:val="22"/>
          <w:szCs w:val="22"/>
          <w:lang w:val="es-ES_tradnl"/>
        </w:rPr>
        <w:t>C</w:t>
      </w:r>
      <w:r w:rsidR="00825E01" w:rsidRPr="00577AE6">
        <w:rPr>
          <w:rFonts w:ascii="Arial" w:hAnsi="Arial" w:cs="Arial"/>
          <w:sz w:val="22"/>
          <w:szCs w:val="22"/>
          <w:lang w:val="es-ES_tradnl"/>
        </w:rPr>
        <w:t>ivil</w:t>
      </w:r>
      <w:r w:rsidR="00372C2E" w:rsidRPr="00577AE6">
        <w:rPr>
          <w:rFonts w:ascii="Arial" w:hAnsi="Arial" w:cs="Arial"/>
          <w:sz w:val="22"/>
          <w:szCs w:val="22"/>
          <w:lang w:val="es-ES_tradnl"/>
        </w:rPr>
        <w:t>.</w:t>
      </w:r>
      <w:r w:rsidR="00A32284" w:rsidRPr="00577AE6">
        <w:rPr>
          <w:rFonts w:ascii="Arial" w:hAnsi="Arial" w:cs="Arial"/>
          <w:sz w:val="22"/>
          <w:szCs w:val="22"/>
          <w:lang w:val="es-ES_tradnl"/>
        </w:rPr>
        <w:t xml:space="preserve"> </w:t>
      </w:r>
      <w:r w:rsidR="00B45EEA" w:rsidRPr="00577AE6">
        <w:rPr>
          <w:rFonts w:ascii="Arial" w:hAnsi="Arial" w:cs="Arial"/>
          <w:sz w:val="22"/>
          <w:szCs w:val="22"/>
          <w:lang w:val="es-ES_tradnl"/>
        </w:rPr>
        <w:t>Por tanto, es necesario precisar el alcance del Concepto C-015 de</w:t>
      </w:r>
      <w:r w:rsidR="00567775" w:rsidRPr="00577AE6">
        <w:rPr>
          <w:rFonts w:ascii="Arial" w:hAnsi="Arial" w:cs="Arial"/>
          <w:sz w:val="22"/>
          <w:szCs w:val="22"/>
          <w:lang w:val="es-ES_tradnl"/>
        </w:rPr>
        <w:t>l 4 de febrero de</w:t>
      </w:r>
      <w:r w:rsidR="00B45EEA" w:rsidRPr="00577AE6">
        <w:rPr>
          <w:rFonts w:ascii="Arial" w:hAnsi="Arial" w:cs="Arial"/>
          <w:sz w:val="22"/>
          <w:szCs w:val="22"/>
          <w:lang w:val="es-ES_tradnl"/>
        </w:rPr>
        <w:t xml:space="preserve"> 2021</w:t>
      </w:r>
      <w:r w:rsidR="00F83CE8" w:rsidRPr="00577AE6">
        <w:rPr>
          <w:rFonts w:ascii="Arial" w:hAnsi="Arial" w:cs="Arial"/>
          <w:sz w:val="22"/>
          <w:szCs w:val="22"/>
          <w:lang w:val="es-ES_tradnl"/>
        </w:rPr>
        <w:t xml:space="preserve"> </w:t>
      </w:r>
      <w:r w:rsidR="00567775" w:rsidRPr="00577AE6">
        <w:rPr>
          <w:rFonts w:ascii="Arial" w:hAnsi="Arial" w:cs="Arial"/>
          <w:sz w:val="22"/>
          <w:szCs w:val="22"/>
          <w:lang w:val="es-ES_tradnl"/>
        </w:rPr>
        <w:t>en el sentido</w:t>
      </w:r>
      <w:r w:rsidR="00CA01EF" w:rsidRPr="00577AE6">
        <w:rPr>
          <w:rFonts w:ascii="Arial" w:hAnsi="Arial" w:cs="Arial"/>
          <w:sz w:val="22"/>
          <w:szCs w:val="22"/>
          <w:lang w:val="es-ES_tradnl"/>
        </w:rPr>
        <w:t xml:space="preserve"> </w:t>
      </w:r>
      <w:r w:rsidR="001A731F" w:rsidRPr="00577AE6">
        <w:rPr>
          <w:rFonts w:ascii="Arial" w:hAnsi="Arial" w:cs="Arial"/>
          <w:sz w:val="22"/>
          <w:szCs w:val="22"/>
          <w:lang w:val="es-ES_tradnl"/>
        </w:rPr>
        <w:t xml:space="preserve">que el artículo 35.4 de la Ley de Emprendimiento se refiere al número de personas vinculadas por el oferente que «no sean beneficiarios de la pensión de vejez, familiar o de sobrevivencia y que hayan cumplido el requisito de edad de pensión </w:t>
      </w:r>
      <w:r w:rsidR="001A731F" w:rsidRPr="00577AE6">
        <w:rPr>
          <w:rFonts w:ascii="Arial" w:hAnsi="Arial" w:cs="Arial"/>
          <w:sz w:val="22"/>
          <w:szCs w:val="22"/>
          <w:lang w:val="es-ES_tradnl"/>
        </w:rPr>
        <w:lastRenderedPageBreak/>
        <w:t xml:space="preserve">establecido en la Ley», precisando que la «vinculación en mayor proporción» debe analizarse respecto al número de trabajadores de la planta de personal. </w:t>
      </w:r>
      <w:r w:rsidR="00876DB3" w:rsidRPr="00577AE6">
        <w:rPr>
          <w:rFonts w:ascii="Arial" w:hAnsi="Arial" w:cs="Arial"/>
          <w:sz w:val="22"/>
          <w:szCs w:val="22"/>
          <w:lang w:val="es-ES_tradnl"/>
        </w:rPr>
        <w:t xml:space="preserve"> </w:t>
      </w:r>
      <w:r w:rsidR="00B740FD" w:rsidRPr="00577AE6">
        <w:rPr>
          <w:rFonts w:ascii="Arial" w:hAnsi="Arial" w:cs="Arial"/>
          <w:sz w:val="22"/>
          <w:szCs w:val="22"/>
          <w:lang w:val="es-ES_tradnl"/>
        </w:rPr>
        <w:t xml:space="preserve"> </w:t>
      </w:r>
      <w:r w:rsidR="00781FFF" w:rsidRPr="00577AE6">
        <w:rPr>
          <w:rFonts w:ascii="Arial" w:hAnsi="Arial" w:cs="Arial"/>
          <w:sz w:val="22"/>
          <w:szCs w:val="22"/>
          <w:lang w:val="es-ES_tradnl"/>
        </w:rPr>
        <w:t xml:space="preserve"> </w:t>
      </w:r>
    </w:p>
    <w:p w14:paraId="391207BA" w14:textId="13A3262C" w:rsidR="00FD313C" w:rsidRPr="00577AE6" w:rsidRDefault="00FD313C" w:rsidP="002B726A">
      <w:pPr>
        <w:spacing w:before="120" w:after="120" w:line="276" w:lineRule="auto"/>
        <w:ind w:firstLine="709"/>
        <w:jc w:val="both"/>
        <w:rPr>
          <w:rFonts w:ascii="Arial" w:hAnsi="Arial" w:cs="Arial"/>
          <w:sz w:val="22"/>
          <w:szCs w:val="22"/>
          <w:lang w:val="es-ES_tradnl"/>
        </w:rPr>
      </w:pPr>
      <w:r w:rsidRPr="00577AE6">
        <w:rPr>
          <w:rFonts w:ascii="Arial" w:hAnsi="Arial" w:cs="Arial"/>
          <w:sz w:val="22"/>
          <w:szCs w:val="22"/>
          <w:lang w:val="es-ES_tradnl"/>
        </w:rPr>
        <w:t>Teniendo en cuenta que el numeral no distingue tipos de oferente</w:t>
      </w:r>
      <w:r w:rsidR="00A92100">
        <w:rPr>
          <w:rFonts w:ascii="Arial" w:hAnsi="Arial" w:cs="Arial"/>
          <w:sz w:val="22"/>
          <w:szCs w:val="22"/>
          <w:lang w:val="es-ES_tradnl"/>
        </w:rPr>
        <w:t>s</w:t>
      </w:r>
      <w:r w:rsidRPr="00577AE6">
        <w:rPr>
          <w:rFonts w:ascii="Arial" w:hAnsi="Arial" w:cs="Arial"/>
          <w:sz w:val="22"/>
          <w:szCs w:val="22"/>
          <w:lang w:val="es-ES_tradnl"/>
        </w:rPr>
        <w:t xml:space="preserve">, </w:t>
      </w:r>
      <w:r w:rsidR="004F5E3D" w:rsidRPr="00577AE6">
        <w:rPr>
          <w:rFonts w:ascii="Arial" w:hAnsi="Arial" w:cs="Arial"/>
          <w:sz w:val="22"/>
          <w:szCs w:val="22"/>
          <w:lang w:val="es-ES_tradnl"/>
        </w:rPr>
        <w:t xml:space="preserve">este </w:t>
      </w:r>
      <w:r w:rsidRPr="00577AE6">
        <w:rPr>
          <w:rFonts w:ascii="Arial" w:hAnsi="Arial" w:cs="Arial"/>
          <w:sz w:val="22"/>
          <w:szCs w:val="22"/>
          <w:lang w:val="es-ES_tradnl"/>
        </w:rPr>
        <w:t>criterio de desempate debe aplicar</w:t>
      </w:r>
      <w:r w:rsidR="004F5E3D" w:rsidRPr="00577AE6">
        <w:rPr>
          <w:rFonts w:ascii="Arial" w:hAnsi="Arial" w:cs="Arial"/>
          <w:sz w:val="22"/>
          <w:szCs w:val="22"/>
          <w:lang w:val="es-ES_tradnl"/>
        </w:rPr>
        <w:t>se</w:t>
      </w:r>
      <w:r w:rsidRPr="00577AE6">
        <w:rPr>
          <w:rFonts w:ascii="Arial" w:hAnsi="Arial" w:cs="Arial"/>
          <w:sz w:val="22"/>
          <w:szCs w:val="22"/>
          <w:lang w:val="es-ES_tradnl"/>
        </w:rPr>
        <w:t xml:space="preserve"> también a proponentes plurales. En este caso el proponente plural debe acreditar la proporción de personas mayores vinculadas a </w:t>
      </w:r>
      <w:r w:rsidR="00A92100">
        <w:rPr>
          <w:rFonts w:ascii="Arial" w:hAnsi="Arial" w:cs="Arial"/>
          <w:sz w:val="22"/>
          <w:szCs w:val="22"/>
          <w:lang w:val="es-ES_tradnl"/>
        </w:rPr>
        <w:t xml:space="preserve">los integrantes de </w:t>
      </w:r>
      <w:r w:rsidRPr="00577AE6">
        <w:rPr>
          <w:rFonts w:ascii="Arial" w:hAnsi="Arial" w:cs="Arial"/>
          <w:sz w:val="22"/>
          <w:szCs w:val="22"/>
          <w:lang w:val="es-ES_tradnl"/>
        </w:rPr>
        <w:t>aquel y que además «no sean beneficiarios de la pensión de vejez, familiar o de sobrevivencia y que hayan cumplido el requisito de edad de pensión establecido en la Ley», para beneficiar</w:t>
      </w:r>
      <w:r w:rsidR="00131810" w:rsidRPr="00577AE6">
        <w:rPr>
          <w:rFonts w:ascii="Arial" w:hAnsi="Arial" w:cs="Arial"/>
          <w:sz w:val="22"/>
          <w:szCs w:val="22"/>
          <w:lang w:val="es-ES_tradnl"/>
        </w:rPr>
        <w:t>se</w:t>
      </w:r>
      <w:r w:rsidRPr="00577AE6">
        <w:rPr>
          <w:rFonts w:ascii="Arial" w:hAnsi="Arial" w:cs="Arial"/>
          <w:sz w:val="22"/>
          <w:szCs w:val="22"/>
          <w:lang w:val="es-ES_tradnl"/>
        </w:rPr>
        <w:t xml:space="preserve"> del factor de desempate. La norma guarda silencio sobre la acreditación de la condición que da lugar </w:t>
      </w:r>
      <w:r w:rsidR="002D4294">
        <w:rPr>
          <w:rFonts w:ascii="Arial" w:hAnsi="Arial" w:cs="Arial"/>
          <w:sz w:val="22"/>
          <w:szCs w:val="22"/>
          <w:lang w:val="es-ES_tradnl"/>
        </w:rPr>
        <w:t xml:space="preserve">a </w:t>
      </w:r>
      <w:r w:rsidRPr="00577AE6">
        <w:rPr>
          <w:rFonts w:ascii="Arial" w:hAnsi="Arial" w:cs="Arial"/>
          <w:sz w:val="22"/>
          <w:szCs w:val="22"/>
          <w:lang w:val="es-ES_tradnl"/>
        </w:rPr>
        <w:t xml:space="preserve">la aplicación del factor de desempate. Por tanto, esta Agencia considera que, sin perjuicio de que el reglamento que expida el </w:t>
      </w:r>
      <w:r w:rsidR="00CD102D" w:rsidRPr="00577AE6">
        <w:rPr>
          <w:rFonts w:ascii="Arial" w:hAnsi="Arial" w:cs="Arial"/>
          <w:sz w:val="22"/>
          <w:szCs w:val="22"/>
          <w:lang w:val="es-ES_tradnl"/>
        </w:rPr>
        <w:t>G</w:t>
      </w:r>
      <w:r w:rsidRPr="00577AE6">
        <w:rPr>
          <w:rFonts w:ascii="Arial" w:hAnsi="Arial" w:cs="Arial"/>
          <w:sz w:val="22"/>
          <w:szCs w:val="22"/>
          <w:lang w:val="es-ES_tradnl"/>
        </w:rPr>
        <w:t>obierno nacional determine un medio de acreditación especial, existe libertad probatoria sobre el tema. En consecuencia, la entidad estatal contratante puede determinar en el pliego de condiciones o documento equivalente cuál será el medio pertinente y conducente que permitirá evidenciar la vinculación de las personas mayores por parte del oferente.</w:t>
      </w:r>
    </w:p>
    <w:p w14:paraId="3206AFB6" w14:textId="6235447E" w:rsidR="002B726A" w:rsidRPr="00577AE6" w:rsidRDefault="002B726A" w:rsidP="002B726A">
      <w:pPr>
        <w:spacing w:line="276" w:lineRule="auto"/>
        <w:ind w:firstLine="708"/>
        <w:jc w:val="both"/>
        <w:rPr>
          <w:rFonts w:ascii="Arial" w:hAnsi="Arial" w:cs="Arial"/>
          <w:sz w:val="22"/>
          <w:lang w:val="es-ES_tradnl"/>
        </w:rPr>
      </w:pPr>
      <w:r w:rsidRPr="00577AE6">
        <w:rPr>
          <w:rFonts w:ascii="Arial" w:hAnsi="Arial" w:cs="Arial"/>
          <w:sz w:val="22"/>
          <w:lang w:val="es-ES_tradnl"/>
        </w:rPr>
        <w:t xml:space="preserve">Dado que el artículo 35.4 de la Ley 2069 de 2020 no dispone la forma en que los proponentes plurales acreditan el factor de desempate, es necesario que –conforme a lo explicado </w:t>
      </w:r>
      <w:r w:rsidRPr="00577AE6">
        <w:rPr>
          <w:rFonts w:ascii="Arial" w:hAnsi="Arial" w:cs="Arial"/>
          <w:i/>
          <w:iCs/>
          <w:sz w:val="22"/>
          <w:lang w:val="es-ES_tradnl"/>
        </w:rPr>
        <w:t>ut supra</w:t>
      </w:r>
      <w:r w:rsidRPr="00577AE6">
        <w:rPr>
          <w:rFonts w:ascii="Arial" w:hAnsi="Arial" w:cs="Arial"/>
          <w:sz w:val="22"/>
          <w:lang w:val="es-ES_tradnl"/>
        </w:rPr>
        <w:t>– este aspecto puntual se defina en el pliego de condiciones, pues ante la ausencia de regulación normativa se activa el ejercicio de potestades discrecionales</w:t>
      </w:r>
      <w:r w:rsidRPr="00577AE6">
        <w:rPr>
          <w:rStyle w:val="Refdenotaalpie"/>
          <w:rFonts w:ascii="Arial" w:hAnsi="Arial" w:cs="Arial"/>
          <w:sz w:val="22"/>
          <w:lang w:eastAsia="es-CO"/>
        </w:rPr>
        <w:footnoteReference w:id="13"/>
      </w:r>
      <w:r w:rsidRPr="00577AE6">
        <w:rPr>
          <w:rFonts w:ascii="Arial" w:hAnsi="Arial" w:cs="Arial"/>
          <w:sz w:val="22"/>
          <w:lang w:val="es-ES_tradnl"/>
        </w:rPr>
        <w:t xml:space="preserve">. Por tanto, la entidad contratante puede definir si la vinculación </w:t>
      </w:r>
      <w:r w:rsidR="007228C0" w:rsidRPr="00577AE6">
        <w:rPr>
          <w:rFonts w:ascii="Arial" w:hAnsi="Arial" w:cs="Arial"/>
          <w:sz w:val="22"/>
          <w:lang w:val="es-ES_tradnl"/>
        </w:rPr>
        <w:t xml:space="preserve">deben acreditarla </w:t>
      </w:r>
      <w:r w:rsidRPr="00577AE6">
        <w:rPr>
          <w:rFonts w:ascii="Arial" w:hAnsi="Arial" w:cs="Arial"/>
          <w:sz w:val="22"/>
          <w:lang w:val="es-ES_tradnl"/>
        </w:rPr>
        <w:t xml:space="preserve">todos o uno de los miembros del consorcio o la unión temporal. </w:t>
      </w:r>
    </w:p>
    <w:p w14:paraId="206B35B7" w14:textId="576DC074" w:rsidR="005E55F4" w:rsidRPr="00577AE6" w:rsidRDefault="007228C0" w:rsidP="00443778">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t xml:space="preserve">Al respecto debe descartarse </w:t>
      </w:r>
      <w:r w:rsidR="00D91D96" w:rsidRPr="00577AE6">
        <w:rPr>
          <w:rFonts w:ascii="Arial" w:hAnsi="Arial" w:cs="Arial"/>
          <w:sz w:val="22"/>
          <w:szCs w:val="22"/>
          <w:lang w:val="es-ES_tradnl"/>
        </w:rPr>
        <w:t xml:space="preserve">la posibilidad de </w:t>
      </w:r>
      <w:r w:rsidR="0038299F" w:rsidRPr="00577AE6">
        <w:rPr>
          <w:rFonts w:ascii="Arial" w:hAnsi="Arial" w:cs="Arial"/>
          <w:sz w:val="22"/>
          <w:szCs w:val="22"/>
          <w:lang w:val="es-ES_tradnl"/>
        </w:rPr>
        <w:t xml:space="preserve">exigir la acreditación del factor </w:t>
      </w:r>
      <w:r w:rsidR="00D91D96" w:rsidRPr="00577AE6">
        <w:rPr>
          <w:rFonts w:ascii="Arial" w:hAnsi="Arial" w:cs="Arial"/>
          <w:sz w:val="22"/>
          <w:szCs w:val="22"/>
          <w:lang w:val="es-ES_tradnl"/>
        </w:rPr>
        <w:t>desempate por</w:t>
      </w:r>
      <w:r w:rsidR="00D87295" w:rsidRPr="00577AE6">
        <w:rPr>
          <w:rFonts w:ascii="Arial" w:hAnsi="Arial" w:cs="Arial"/>
          <w:sz w:val="22"/>
          <w:szCs w:val="22"/>
          <w:lang w:val="es-ES_tradnl"/>
        </w:rPr>
        <w:t xml:space="preserve"> parte del proponente plural</w:t>
      </w:r>
      <w:r w:rsidR="003C0E66" w:rsidRPr="00577AE6">
        <w:rPr>
          <w:rFonts w:ascii="Arial" w:hAnsi="Arial" w:cs="Arial"/>
          <w:sz w:val="22"/>
          <w:szCs w:val="22"/>
          <w:lang w:val="es-ES_tradnl"/>
        </w:rPr>
        <w:t xml:space="preserve"> como ente autónomo distinto </w:t>
      </w:r>
      <w:r w:rsidR="00261B80" w:rsidRPr="00577AE6">
        <w:rPr>
          <w:rFonts w:ascii="Arial" w:hAnsi="Arial" w:cs="Arial"/>
          <w:sz w:val="22"/>
          <w:szCs w:val="22"/>
          <w:lang w:val="es-ES_tradnl"/>
        </w:rPr>
        <w:t xml:space="preserve">de sus integrantes, ya que la naturaleza jurídica de estas figuras asociativas no lo permite. </w:t>
      </w:r>
      <w:r w:rsidR="0038299F" w:rsidRPr="00577AE6">
        <w:rPr>
          <w:rFonts w:ascii="Arial" w:hAnsi="Arial" w:cs="Arial"/>
          <w:sz w:val="22"/>
          <w:szCs w:val="22"/>
          <w:lang w:val="es-ES_tradnl"/>
        </w:rPr>
        <w:t xml:space="preserve"> </w:t>
      </w:r>
      <w:r w:rsidR="00261B80" w:rsidRPr="00577AE6">
        <w:rPr>
          <w:rFonts w:ascii="Arial" w:hAnsi="Arial" w:cs="Arial"/>
          <w:sz w:val="22"/>
          <w:szCs w:val="22"/>
          <w:lang w:val="es-ES_tradnl"/>
        </w:rPr>
        <w:t xml:space="preserve">Esto comoquiera que </w:t>
      </w:r>
      <w:r w:rsidR="00E36CEF" w:rsidRPr="00577AE6">
        <w:rPr>
          <w:rFonts w:ascii="Arial" w:hAnsi="Arial" w:cs="Arial"/>
          <w:sz w:val="22"/>
          <w:szCs w:val="22"/>
          <w:lang w:val="es-ES_tradnl"/>
        </w:rPr>
        <w:t xml:space="preserve">los proponentes plurales no </w:t>
      </w:r>
      <w:r w:rsidR="00C92656" w:rsidRPr="00577AE6">
        <w:rPr>
          <w:rFonts w:ascii="Arial" w:hAnsi="Arial" w:cs="Arial"/>
          <w:sz w:val="22"/>
          <w:szCs w:val="22"/>
          <w:lang w:val="es-ES_tradnl"/>
        </w:rPr>
        <w:t>tien</w:t>
      </w:r>
      <w:r w:rsidR="005A786D" w:rsidRPr="00577AE6">
        <w:rPr>
          <w:rFonts w:ascii="Arial" w:hAnsi="Arial" w:cs="Arial"/>
          <w:sz w:val="22"/>
          <w:szCs w:val="22"/>
          <w:lang w:val="es-ES_tradnl"/>
        </w:rPr>
        <w:t>en</w:t>
      </w:r>
      <w:r w:rsidR="00C92656" w:rsidRPr="00577AE6">
        <w:rPr>
          <w:rFonts w:ascii="Arial" w:hAnsi="Arial" w:cs="Arial"/>
          <w:sz w:val="22"/>
          <w:szCs w:val="22"/>
          <w:lang w:val="es-ES_tradnl"/>
        </w:rPr>
        <w:t xml:space="preserve"> </w:t>
      </w:r>
      <w:r w:rsidR="00E36CEF" w:rsidRPr="00577AE6">
        <w:rPr>
          <w:rFonts w:ascii="Arial" w:hAnsi="Arial" w:cs="Arial"/>
          <w:sz w:val="22"/>
          <w:szCs w:val="22"/>
          <w:lang w:val="es-ES_tradnl"/>
        </w:rPr>
        <w:t>persona</w:t>
      </w:r>
      <w:r w:rsidR="00C92656" w:rsidRPr="00577AE6">
        <w:rPr>
          <w:rFonts w:ascii="Arial" w:hAnsi="Arial" w:cs="Arial"/>
          <w:sz w:val="22"/>
          <w:szCs w:val="22"/>
          <w:lang w:val="es-ES_tradnl"/>
        </w:rPr>
        <w:t>lidad</w:t>
      </w:r>
      <w:r w:rsidR="00E36CEF" w:rsidRPr="00577AE6">
        <w:rPr>
          <w:rFonts w:ascii="Arial" w:hAnsi="Arial" w:cs="Arial"/>
          <w:sz w:val="22"/>
          <w:szCs w:val="22"/>
          <w:lang w:val="es-ES_tradnl"/>
        </w:rPr>
        <w:t xml:space="preserve"> jurídica, </w:t>
      </w:r>
      <w:r w:rsidR="005E55F4" w:rsidRPr="00577AE6">
        <w:rPr>
          <w:rFonts w:ascii="Arial" w:hAnsi="Arial" w:cs="Arial"/>
          <w:sz w:val="22"/>
          <w:szCs w:val="22"/>
          <w:lang w:val="es-ES_tradnl"/>
        </w:rPr>
        <w:t>sino</w:t>
      </w:r>
      <w:r w:rsidR="00C92656" w:rsidRPr="00577AE6">
        <w:rPr>
          <w:rFonts w:ascii="Arial" w:hAnsi="Arial" w:cs="Arial"/>
          <w:sz w:val="22"/>
          <w:szCs w:val="22"/>
          <w:lang w:val="es-ES_tradnl"/>
        </w:rPr>
        <w:t xml:space="preserve"> que se trata de p</w:t>
      </w:r>
      <w:r w:rsidR="005E55F4" w:rsidRPr="00577AE6">
        <w:rPr>
          <w:rFonts w:ascii="Arial" w:hAnsi="Arial" w:cs="Arial"/>
          <w:sz w:val="22"/>
          <w:szCs w:val="22"/>
          <w:lang w:val="es-ES_tradnl"/>
        </w:rPr>
        <w:t>ersonas</w:t>
      </w:r>
      <w:r w:rsidR="00C92656" w:rsidRPr="00577AE6">
        <w:rPr>
          <w:rFonts w:ascii="Arial" w:hAnsi="Arial" w:cs="Arial"/>
          <w:sz w:val="22"/>
          <w:szCs w:val="22"/>
          <w:lang w:val="es-ES_tradnl"/>
        </w:rPr>
        <w:t xml:space="preserve"> naturales y/o jurídicas que, de conformidad con lo dispuesto </w:t>
      </w:r>
      <w:r w:rsidR="006B7109" w:rsidRPr="00577AE6">
        <w:rPr>
          <w:rFonts w:ascii="Arial" w:hAnsi="Arial" w:cs="Arial"/>
          <w:sz w:val="22"/>
          <w:szCs w:val="22"/>
          <w:lang w:val="es-ES_tradnl"/>
        </w:rPr>
        <w:t>en el artículo 7 de la Ley 80 de 1993</w:t>
      </w:r>
      <w:r w:rsidR="00B65F25" w:rsidRPr="00577AE6">
        <w:rPr>
          <w:rStyle w:val="Refdenotaalpie"/>
          <w:rFonts w:ascii="Arial" w:hAnsi="Arial" w:cs="Arial"/>
          <w:sz w:val="22"/>
          <w:szCs w:val="22"/>
          <w:lang w:val="es-ES_tradnl"/>
        </w:rPr>
        <w:footnoteReference w:id="14"/>
      </w:r>
      <w:r w:rsidR="006B7109" w:rsidRPr="00577AE6">
        <w:rPr>
          <w:rFonts w:ascii="Arial" w:hAnsi="Arial" w:cs="Arial"/>
          <w:sz w:val="22"/>
          <w:szCs w:val="22"/>
          <w:lang w:val="es-ES_tradnl"/>
        </w:rPr>
        <w:t>, se asocian para presentar ofertas conjuntas en procesos de selección</w:t>
      </w:r>
      <w:r w:rsidR="00601A47" w:rsidRPr="00577AE6">
        <w:rPr>
          <w:rFonts w:ascii="Arial" w:hAnsi="Arial" w:cs="Arial"/>
          <w:sz w:val="22"/>
          <w:szCs w:val="22"/>
          <w:lang w:val="es-ES_tradnl"/>
        </w:rPr>
        <w:t xml:space="preserve">, tras la </w:t>
      </w:r>
      <w:r w:rsidR="00601A47" w:rsidRPr="00577AE6">
        <w:rPr>
          <w:rFonts w:ascii="Arial" w:hAnsi="Arial" w:cs="Arial"/>
          <w:sz w:val="22"/>
          <w:szCs w:val="22"/>
          <w:lang w:val="es-ES_tradnl"/>
        </w:rPr>
        <w:lastRenderedPageBreak/>
        <w:t>expe</w:t>
      </w:r>
      <w:r w:rsidR="005A786D" w:rsidRPr="00577AE6">
        <w:rPr>
          <w:rFonts w:ascii="Arial" w:hAnsi="Arial" w:cs="Arial"/>
          <w:sz w:val="22"/>
          <w:szCs w:val="22"/>
          <w:lang w:val="es-ES_tradnl"/>
        </w:rPr>
        <w:t>c</w:t>
      </w:r>
      <w:r w:rsidR="00601A47" w:rsidRPr="00577AE6">
        <w:rPr>
          <w:rFonts w:ascii="Arial" w:hAnsi="Arial" w:cs="Arial"/>
          <w:sz w:val="22"/>
          <w:szCs w:val="22"/>
          <w:lang w:val="es-ES_tradnl"/>
        </w:rPr>
        <w:t>t</w:t>
      </w:r>
      <w:r w:rsidR="005A786D" w:rsidRPr="00577AE6">
        <w:rPr>
          <w:rFonts w:ascii="Arial" w:hAnsi="Arial" w:cs="Arial"/>
          <w:sz w:val="22"/>
          <w:szCs w:val="22"/>
          <w:lang w:val="es-ES_tradnl"/>
        </w:rPr>
        <w:t>ati</w:t>
      </w:r>
      <w:r w:rsidR="00601A47" w:rsidRPr="00577AE6">
        <w:rPr>
          <w:rFonts w:ascii="Arial" w:hAnsi="Arial" w:cs="Arial"/>
          <w:sz w:val="22"/>
          <w:szCs w:val="22"/>
          <w:lang w:val="es-ES_tradnl"/>
        </w:rPr>
        <w:t xml:space="preserve">va de que les sea adjudicado un contrato estatal que, eventualmente, </w:t>
      </w:r>
      <w:r w:rsidR="005A786D" w:rsidRPr="00577AE6">
        <w:rPr>
          <w:rFonts w:ascii="Arial" w:hAnsi="Arial" w:cs="Arial"/>
          <w:sz w:val="22"/>
          <w:szCs w:val="22"/>
          <w:lang w:val="es-ES_tradnl"/>
        </w:rPr>
        <w:t>ejecutar</w:t>
      </w:r>
      <w:r w:rsidR="00A92100">
        <w:rPr>
          <w:rFonts w:ascii="Arial" w:hAnsi="Arial" w:cs="Arial"/>
          <w:sz w:val="22"/>
          <w:szCs w:val="22"/>
          <w:lang w:val="es-ES_tradnl"/>
        </w:rPr>
        <w:t>á</w:t>
      </w:r>
      <w:r w:rsidR="005A786D" w:rsidRPr="00577AE6">
        <w:rPr>
          <w:rFonts w:ascii="Arial" w:hAnsi="Arial" w:cs="Arial"/>
          <w:sz w:val="22"/>
          <w:szCs w:val="22"/>
          <w:lang w:val="es-ES_tradnl"/>
        </w:rPr>
        <w:t>n de forma conjunta en los porcentajes de participación o distribución establecidas. En virtud de esto, el artículo 6 de la Ley 80 de 1993</w:t>
      </w:r>
      <w:r w:rsidR="00F26D35" w:rsidRPr="00577AE6">
        <w:rPr>
          <w:rStyle w:val="Refdenotaalpie"/>
          <w:rFonts w:ascii="Arial" w:hAnsi="Arial" w:cs="Arial"/>
          <w:sz w:val="22"/>
          <w:szCs w:val="22"/>
          <w:lang w:val="es-ES_tradnl"/>
        </w:rPr>
        <w:footnoteReference w:id="15"/>
      </w:r>
      <w:r w:rsidR="005A786D" w:rsidRPr="00577AE6">
        <w:rPr>
          <w:rFonts w:ascii="Arial" w:hAnsi="Arial" w:cs="Arial"/>
          <w:sz w:val="22"/>
          <w:szCs w:val="22"/>
          <w:lang w:val="es-ES_tradnl"/>
        </w:rPr>
        <w:t xml:space="preserve"> les otorga capacidad contractual para suscribir el contrato estatal</w:t>
      </w:r>
      <w:r w:rsidR="00F26D35" w:rsidRPr="00577AE6">
        <w:rPr>
          <w:rFonts w:ascii="Arial" w:hAnsi="Arial" w:cs="Arial"/>
          <w:sz w:val="22"/>
          <w:szCs w:val="22"/>
          <w:lang w:val="es-ES_tradnl"/>
        </w:rPr>
        <w:t>, sin que ello signifique que el consorcio constituya una persona jurídica</w:t>
      </w:r>
      <w:r w:rsidR="00546FC2" w:rsidRPr="00577AE6">
        <w:rPr>
          <w:rFonts w:ascii="Arial" w:hAnsi="Arial" w:cs="Arial"/>
          <w:sz w:val="22"/>
          <w:szCs w:val="22"/>
          <w:lang w:val="es-ES_tradnl"/>
        </w:rPr>
        <w:t xml:space="preserve"> diferente de sus integrantes, quienes deberán responder de forma solidaria por las obligaciones contraídas como consorcio o unión temporal</w:t>
      </w:r>
      <w:r w:rsidR="00706C7F" w:rsidRPr="00577AE6">
        <w:rPr>
          <w:rFonts w:ascii="Arial" w:hAnsi="Arial" w:cs="Arial"/>
          <w:sz w:val="22"/>
          <w:szCs w:val="22"/>
          <w:lang w:val="es-ES_tradnl"/>
        </w:rPr>
        <w:t xml:space="preserve">. En </w:t>
      </w:r>
      <w:r w:rsidR="00576A1A">
        <w:rPr>
          <w:rFonts w:ascii="Arial" w:hAnsi="Arial" w:cs="Arial"/>
          <w:sz w:val="22"/>
          <w:szCs w:val="22"/>
          <w:lang w:val="es-ES_tradnl"/>
        </w:rPr>
        <w:t xml:space="preserve">este </w:t>
      </w:r>
      <w:r w:rsidR="00706C7F" w:rsidRPr="00577AE6">
        <w:rPr>
          <w:rFonts w:ascii="Arial" w:hAnsi="Arial" w:cs="Arial"/>
          <w:sz w:val="22"/>
          <w:szCs w:val="22"/>
          <w:lang w:val="es-ES_tradnl"/>
        </w:rPr>
        <w:t>se</w:t>
      </w:r>
      <w:r w:rsidR="002B7010" w:rsidRPr="00577AE6">
        <w:rPr>
          <w:rFonts w:ascii="Arial" w:hAnsi="Arial" w:cs="Arial"/>
          <w:sz w:val="22"/>
          <w:szCs w:val="22"/>
          <w:lang w:val="es-ES_tradnl"/>
        </w:rPr>
        <w:t xml:space="preserve">ntido, son los miembros del consorcio o la unión temporal quienes están llamados a </w:t>
      </w:r>
      <w:r w:rsidR="005374F3" w:rsidRPr="00577AE6">
        <w:rPr>
          <w:rFonts w:ascii="Arial" w:hAnsi="Arial" w:cs="Arial"/>
          <w:sz w:val="22"/>
          <w:szCs w:val="22"/>
          <w:lang w:val="es-ES_tradnl"/>
        </w:rPr>
        <w:t xml:space="preserve">contratar y </w:t>
      </w:r>
      <w:r w:rsidR="002B7010" w:rsidRPr="00577AE6">
        <w:rPr>
          <w:rFonts w:ascii="Arial" w:hAnsi="Arial" w:cs="Arial"/>
          <w:sz w:val="22"/>
          <w:szCs w:val="22"/>
          <w:lang w:val="es-ES_tradnl"/>
        </w:rPr>
        <w:t xml:space="preserve">aportar el personal necesario para ejecutar </w:t>
      </w:r>
      <w:r w:rsidR="009E6FDE" w:rsidRPr="00577AE6">
        <w:rPr>
          <w:rFonts w:ascii="Arial" w:hAnsi="Arial" w:cs="Arial"/>
          <w:sz w:val="22"/>
          <w:szCs w:val="22"/>
          <w:lang w:val="es-ES_tradnl"/>
        </w:rPr>
        <w:t>las obligaciones que le corresponden en virtud del contrato que se les ha adjudicado</w:t>
      </w:r>
      <w:r w:rsidR="005374F3" w:rsidRPr="00577AE6">
        <w:rPr>
          <w:rFonts w:ascii="Arial" w:hAnsi="Arial" w:cs="Arial"/>
          <w:sz w:val="22"/>
          <w:szCs w:val="22"/>
          <w:lang w:val="es-ES_tradnl"/>
        </w:rPr>
        <w:t xml:space="preserve">, </w:t>
      </w:r>
      <w:r w:rsidR="00F7001F" w:rsidRPr="00577AE6">
        <w:rPr>
          <w:rFonts w:ascii="Arial" w:hAnsi="Arial" w:cs="Arial"/>
          <w:sz w:val="22"/>
          <w:szCs w:val="22"/>
          <w:lang w:val="es-ES_tradnl"/>
        </w:rPr>
        <w:t xml:space="preserve">no teniendo </w:t>
      </w:r>
      <w:r w:rsidR="00365028" w:rsidRPr="00577AE6">
        <w:rPr>
          <w:rFonts w:ascii="Arial" w:hAnsi="Arial" w:cs="Arial"/>
          <w:sz w:val="22"/>
          <w:szCs w:val="22"/>
          <w:lang w:val="es-ES_tradnl"/>
        </w:rPr>
        <w:t>el proponente plural</w:t>
      </w:r>
      <w:r w:rsidR="00A92100">
        <w:rPr>
          <w:rFonts w:ascii="Arial" w:hAnsi="Arial" w:cs="Arial"/>
          <w:sz w:val="22"/>
          <w:szCs w:val="22"/>
          <w:lang w:val="es-ES_tradnl"/>
        </w:rPr>
        <w:t xml:space="preserve"> </w:t>
      </w:r>
      <w:r w:rsidR="00365028" w:rsidRPr="00577AE6">
        <w:rPr>
          <w:rFonts w:ascii="Arial" w:hAnsi="Arial" w:cs="Arial"/>
          <w:sz w:val="22"/>
          <w:szCs w:val="22"/>
          <w:lang w:val="es-ES_tradnl"/>
        </w:rPr>
        <w:t xml:space="preserve">–individualmente considerado– </w:t>
      </w:r>
      <w:r w:rsidR="00F7001F" w:rsidRPr="00577AE6">
        <w:rPr>
          <w:rFonts w:ascii="Arial" w:hAnsi="Arial" w:cs="Arial"/>
          <w:sz w:val="22"/>
          <w:szCs w:val="22"/>
          <w:lang w:val="es-ES_tradnl"/>
        </w:rPr>
        <w:t>capacidad para contraer obligaciones laborales</w:t>
      </w:r>
      <w:r w:rsidR="003C3E1B" w:rsidRPr="00577AE6">
        <w:rPr>
          <w:rFonts w:ascii="Arial" w:hAnsi="Arial" w:cs="Arial"/>
          <w:sz w:val="22"/>
          <w:szCs w:val="22"/>
          <w:lang w:val="es-ES_tradnl"/>
        </w:rPr>
        <w:t>, por lo que resulta un contrasentido exigir que se</w:t>
      </w:r>
      <w:r w:rsidR="00261B80" w:rsidRPr="00577AE6">
        <w:rPr>
          <w:rFonts w:ascii="Arial" w:hAnsi="Arial" w:cs="Arial"/>
          <w:sz w:val="22"/>
          <w:szCs w:val="22"/>
          <w:lang w:val="es-ES_tradnl"/>
        </w:rPr>
        <w:t>a</w:t>
      </w:r>
      <w:r w:rsidR="003C3E1B" w:rsidRPr="00577AE6">
        <w:rPr>
          <w:rFonts w:ascii="Arial" w:hAnsi="Arial" w:cs="Arial"/>
          <w:sz w:val="22"/>
          <w:szCs w:val="22"/>
          <w:lang w:val="es-ES_tradnl"/>
        </w:rPr>
        <w:t xml:space="preserve"> este quien acredite el factor de desempate del artículo 35.4</w:t>
      </w:r>
      <w:r w:rsidR="005D141D" w:rsidRPr="00577AE6">
        <w:rPr>
          <w:rFonts w:ascii="Arial" w:hAnsi="Arial" w:cs="Arial"/>
          <w:sz w:val="22"/>
          <w:szCs w:val="22"/>
          <w:lang w:val="es-ES_tradnl"/>
        </w:rPr>
        <w:t>,</w:t>
      </w:r>
      <w:r w:rsidR="00261B80" w:rsidRPr="00577AE6">
        <w:rPr>
          <w:rFonts w:ascii="Arial" w:hAnsi="Arial" w:cs="Arial"/>
          <w:sz w:val="22"/>
          <w:szCs w:val="22"/>
          <w:lang w:val="es-ES_tradnl"/>
        </w:rPr>
        <w:t xml:space="preserve"> ya que </w:t>
      </w:r>
      <w:r w:rsidR="00982460" w:rsidRPr="00577AE6">
        <w:rPr>
          <w:rFonts w:ascii="Arial" w:hAnsi="Arial" w:cs="Arial"/>
          <w:sz w:val="22"/>
          <w:szCs w:val="22"/>
          <w:lang w:val="es-ES_tradnl"/>
        </w:rPr>
        <w:t>jurídicamente no es viable, máxime considerando que el proponente plural</w:t>
      </w:r>
      <w:r w:rsidR="007D2EF0" w:rsidRPr="00577AE6">
        <w:rPr>
          <w:rFonts w:ascii="Arial" w:hAnsi="Arial" w:cs="Arial"/>
          <w:sz w:val="22"/>
          <w:szCs w:val="22"/>
          <w:lang w:val="es-ES_tradnl"/>
        </w:rPr>
        <w:t xml:space="preserve"> se constituye para participar en </w:t>
      </w:r>
      <w:r w:rsidR="005B0146">
        <w:rPr>
          <w:rFonts w:ascii="Arial" w:hAnsi="Arial" w:cs="Arial"/>
          <w:sz w:val="22"/>
          <w:szCs w:val="22"/>
          <w:lang w:val="es-ES_tradnl"/>
        </w:rPr>
        <w:t xml:space="preserve">el </w:t>
      </w:r>
      <w:r w:rsidR="007D2EF0" w:rsidRPr="00577AE6">
        <w:rPr>
          <w:rFonts w:ascii="Arial" w:hAnsi="Arial" w:cs="Arial"/>
          <w:sz w:val="22"/>
          <w:szCs w:val="22"/>
          <w:lang w:val="es-ES_tradnl"/>
        </w:rPr>
        <w:t>proce</w:t>
      </w:r>
      <w:r w:rsidR="005B0146">
        <w:rPr>
          <w:rFonts w:ascii="Arial" w:hAnsi="Arial" w:cs="Arial"/>
          <w:sz w:val="22"/>
          <w:szCs w:val="22"/>
          <w:lang w:val="es-ES_tradnl"/>
        </w:rPr>
        <w:t>dimiento de selección, con la expectativa de ser eventualmente el adjudicatario y ejecutor del contrato</w:t>
      </w:r>
      <w:r w:rsidR="003D3DF0" w:rsidRPr="00577AE6">
        <w:rPr>
          <w:rStyle w:val="Refdenotaalpie"/>
          <w:rFonts w:ascii="Arial" w:hAnsi="Arial" w:cs="Arial"/>
          <w:sz w:val="22"/>
          <w:szCs w:val="22"/>
          <w:lang w:val="es-ES_tradnl"/>
        </w:rPr>
        <w:footnoteReference w:id="16"/>
      </w:r>
      <w:r w:rsidR="005D141D" w:rsidRPr="00577AE6">
        <w:rPr>
          <w:rFonts w:ascii="Arial" w:hAnsi="Arial" w:cs="Arial"/>
          <w:sz w:val="22"/>
          <w:szCs w:val="22"/>
          <w:lang w:val="es-ES_tradnl"/>
        </w:rPr>
        <w:t>.</w:t>
      </w:r>
    </w:p>
    <w:p w14:paraId="2C80AF5D" w14:textId="287D14A2" w:rsidR="00932099" w:rsidRPr="00577AE6" w:rsidRDefault="007D2EF0" w:rsidP="00932099">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lastRenderedPageBreak/>
        <w:t xml:space="preserve">No obstante, lo anterior no significa que los proponentes plurales no puedan acreditar el factor de desempate del artículo 35.4, ya que </w:t>
      </w:r>
      <w:r w:rsidR="00956236" w:rsidRPr="00577AE6">
        <w:rPr>
          <w:rFonts w:ascii="Arial" w:hAnsi="Arial" w:cs="Arial"/>
          <w:sz w:val="22"/>
          <w:szCs w:val="22"/>
          <w:lang w:val="es-ES_tradnl"/>
        </w:rPr>
        <w:t>este factor de desempate puede ser acredito por uno</w:t>
      </w:r>
      <w:r w:rsidR="005B5AA3" w:rsidRPr="00577AE6">
        <w:rPr>
          <w:rFonts w:ascii="Arial" w:hAnsi="Arial" w:cs="Arial"/>
          <w:sz w:val="22"/>
          <w:szCs w:val="22"/>
          <w:lang w:val="es-ES_tradnl"/>
        </w:rPr>
        <w:t>, varios o todos lo</w:t>
      </w:r>
      <w:r w:rsidR="005B0146">
        <w:rPr>
          <w:rFonts w:ascii="Arial" w:hAnsi="Arial" w:cs="Arial"/>
          <w:sz w:val="22"/>
          <w:szCs w:val="22"/>
          <w:lang w:val="es-ES_tradnl"/>
        </w:rPr>
        <w:t>s</w:t>
      </w:r>
      <w:r w:rsidR="005B5AA3" w:rsidRPr="00577AE6">
        <w:rPr>
          <w:rFonts w:ascii="Arial" w:hAnsi="Arial" w:cs="Arial"/>
          <w:sz w:val="22"/>
          <w:szCs w:val="22"/>
          <w:lang w:val="es-ES_tradnl"/>
        </w:rPr>
        <w:t xml:space="preserve"> proponentes. A tales efectos, en tanto no sea reglamentada la acreditación de este factor de desempate, corresponde a la</w:t>
      </w:r>
      <w:r w:rsidR="005B0146">
        <w:rPr>
          <w:rFonts w:ascii="Arial" w:hAnsi="Arial" w:cs="Arial"/>
          <w:sz w:val="22"/>
          <w:szCs w:val="22"/>
          <w:lang w:val="es-ES_tradnl"/>
        </w:rPr>
        <w:t>s</w:t>
      </w:r>
      <w:r w:rsidR="005B5AA3" w:rsidRPr="00577AE6">
        <w:rPr>
          <w:rFonts w:ascii="Arial" w:hAnsi="Arial" w:cs="Arial"/>
          <w:sz w:val="22"/>
          <w:szCs w:val="22"/>
          <w:lang w:val="es-ES_tradnl"/>
        </w:rPr>
        <w:t xml:space="preserve"> entidades</w:t>
      </w:r>
      <w:r w:rsidR="005B0146">
        <w:rPr>
          <w:rFonts w:ascii="Arial" w:hAnsi="Arial" w:cs="Arial"/>
          <w:sz w:val="22"/>
          <w:szCs w:val="22"/>
          <w:lang w:val="es-ES_tradnl"/>
        </w:rPr>
        <w:t xml:space="preserve"> </w:t>
      </w:r>
      <w:r w:rsidR="005B5AA3" w:rsidRPr="00577AE6">
        <w:rPr>
          <w:rFonts w:ascii="Arial" w:hAnsi="Arial" w:cs="Arial"/>
          <w:sz w:val="22"/>
          <w:szCs w:val="22"/>
          <w:lang w:val="es-ES_tradnl"/>
        </w:rPr>
        <w:t xml:space="preserve">estatales en </w:t>
      </w:r>
      <w:r w:rsidR="00932099" w:rsidRPr="00577AE6">
        <w:rPr>
          <w:rFonts w:ascii="Arial" w:hAnsi="Arial" w:cs="Arial"/>
          <w:sz w:val="22"/>
          <w:szCs w:val="22"/>
          <w:lang w:val="es-ES_tradnl"/>
        </w:rPr>
        <w:t>el ejercicio de potestades discrecionales, definir en el pliego de condiciones</w:t>
      </w:r>
      <w:r w:rsidR="005B0146">
        <w:rPr>
          <w:rFonts w:ascii="Arial" w:hAnsi="Arial" w:cs="Arial"/>
          <w:sz w:val="22"/>
          <w:szCs w:val="22"/>
          <w:lang w:val="es-ES_tradnl"/>
        </w:rPr>
        <w:t xml:space="preserve"> </w:t>
      </w:r>
      <w:r w:rsidR="00DF795D" w:rsidRPr="00577AE6">
        <w:rPr>
          <w:rFonts w:ascii="Arial" w:hAnsi="Arial" w:cs="Arial"/>
          <w:sz w:val="22"/>
          <w:szCs w:val="22"/>
          <w:lang w:val="es-ES_tradnl"/>
        </w:rPr>
        <w:t>–o documento equivalente–</w:t>
      </w:r>
      <w:r w:rsidR="00932099" w:rsidRPr="00577AE6">
        <w:rPr>
          <w:rFonts w:ascii="Arial" w:hAnsi="Arial" w:cs="Arial"/>
          <w:sz w:val="22"/>
          <w:szCs w:val="22"/>
          <w:lang w:val="es-ES_tradnl"/>
        </w:rPr>
        <w:t xml:space="preserve"> las reglas según las cuales</w:t>
      </w:r>
      <w:r w:rsidR="00A241F0" w:rsidRPr="00577AE6">
        <w:rPr>
          <w:rFonts w:ascii="Arial" w:hAnsi="Arial" w:cs="Arial"/>
          <w:sz w:val="22"/>
          <w:szCs w:val="22"/>
          <w:lang w:val="es-ES_tradnl"/>
        </w:rPr>
        <w:t xml:space="preserve"> se aplicar</w:t>
      </w:r>
      <w:r w:rsidR="00AA1D77" w:rsidRPr="00577AE6">
        <w:rPr>
          <w:rFonts w:ascii="Arial" w:hAnsi="Arial" w:cs="Arial"/>
          <w:sz w:val="22"/>
          <w:szCs w:val="22"/>
          <w:lang w:val="es-ES_tradnl"/>
        </w:rPr>
        <w:t>á</w:t>
      </w:r>
      <w:r w:rsidR="00A241F0" w:rsidRPr="00577AE6">
        <w:rPr>
          <w:rFonts w:ascii="Arial" w:hAnsi="Arial" w:cs="Arial"/>
          <w:sz w:val="22"/>
          <w:szCs w:val="22"/>
          <w:lang w:val="es-ES_tradnl"/>
        </w:rPr>
        <w:t xml:space="preserve"> el factor de desempate, determinando si corresponde a </w:t>
      </w:r>
      <w:r w:rsidR="00DF795D" w:rsidRPr="00577AE6">
        <w:rPr>
          <w:rFonts w:ascii="Arial" w:hAnsi="Arial" w:cs="Arial"/>
          <w:sz w:val="22"/>
          <w:szCs w:val="22"/>
          <w:lang w:val="es-ES_tradnl"/>
        </w:rPr>
        <w:t>uno, algunos o todos los miembros del proponente plural acreditar la</w:t>
      </w:r>
      <w:r w:rsidR="00AA1D77" w:rsidRPr="00577AE6">
        <w:rPr>
          <w:rFonts w:ascii="Arial" w:hAnsi="Arial" w:cs="Arial"/>
          <w:sz w:val="22"/>
          <w:szCs w:val="22"/>
          <w:lang w:val="es-ES_tradnl"/>
        </w:rPr>
        <w:t>s</w:t>
      </w:r>
      <w:r w:rsidR="00DF795D" w:rsidRPr="00577AE6">
        <w:rPr>
          <w:rFonts w:ascii="Arial" w:hAnsi="Arial" w:cs="Arial"/>
          <w:sz w:val="22"/>
          <w:szCs w:val="22"/>
          <w:lang w:val="es-ES_tradnl"/>
        </w:rPr>
        <w:t xml:space="preserve"> </w:t>
      </w:r>
      <w:r w:rsidR="00AA1D77" w:rsidRPr="00577AE6">
        <w:rPr>
          <w:rFonts w:ascii="Arial" w:hAnsi="Arial" w:cs="Arial"/>
          <w:sz w:val="22"/>
          <w:szCs w:val="22"/>
          <w:lang w:val="es-ES_tradnl"/>
        </w:rPr>
        <w:t>circunstancias requeridas para beneficiarse de la referida regla de desempate.</w:t>
      </w:r>
    </w:p>
    <w:p w14:paraId="2155E112" w14:textId="63C97D0F" w:rsidR="003C0435" w:rsidRPr="00577AE6" w:rsidRDefault="00AA1D77" w:rsidP="003C0435">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t>Por o</w:t>
      </w:r>
      <w:r w:rsidR="003C0435" w:rsidRPr="00577AE6">
        <w:rPr>
          <w:rFonts w:ascii="Arial" w:hAnsi="Arial" w:cs="Arial"/>
          <w:sz w:val="22"/>
          <w:szCs w:val="22"/>
          <w:lang w:val="es-ES_tradnl"/>
        </w:rPr>
        <w:t>tro lado, el artículo 35.4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w:t>
      </w:r>
      <w:r w:rsidR="003C0435" w:rsidRPr="00577AE6">
        <w:rPr>
          <w:rFonts w:ascii="Arial" w:hAnsi="Arial" w:cs="Arial"/>
          <w:sz w:val="22"/>
          <w:szCs w:val="22"/>
        </w:rPr>
        <w:t xml:space="preserve">Para los criterios enunciados que involucren la </w:t>
      </w:r>
      <w:r w:rsidR="003C0435" w:rsidRPr="00577AE6">
        <w:rPr>
          <w:rFonts w:ascii="Arial" w:hAnsi="Arial" w:cs="Arial"/>
          <w:i/>
          <w:iCs/>
          <w:sz w:val="22"/>
          <w:szCs w:val="22"/>
        </w:rPr>
        <w:t>vinculación de capital humano</w:t>
      </w:r>
      <w:r w:rsidR="003C0435" w:rsidRPr="00577AE6">
        <w:rPr>
          <w:rFonts w:ascii="Arial" w:hAnsi="Arial" w:cs="Arial"/>
          <w:sz w:val="22"/>
          <w:szCs w:val="22"/>
        </w:rPr>
        <w:t xml:space="preserve">, el oferente deberá acreditar una antigüedad igual o mayor a un año. Para los casos de constitución inferior a un año </w:t>
      </w:r>
      <w:r w:rsidR="003C0435" w:rsidRPr="00577AE6">
        <w:rPr>
          <w:rFonts w:ascii="Arial" w:hAnsi="Arial" w:cs="Arial"/>
          <w:i/>
          <w:iCs/>
          <w:sz w:val="22"/>
          <w:szCs w:val="22"/>
        </w:rPr>
        <w:t>se tendrá en cuenta a aquellos trabajadores</w:t>
      </w:r>
      <w:r w:rsidR="003C0435" w:rsidRPr="00577AE6">
        <w:rPr>
          <w:rFonts w:ascii="Arial" w:hAnsi="Arial" w:cs="Arial"/>
          <w:sz w:val="22"/>
          <w:szCs w:val="22"/>
        </w:rPr>
        <w:t xml:space="preserve"> que hayan estado vinculados desde el momento de constitución de </w:t>
      </w:r>
      <w:proofErr w:type="gramStart"/>
      <w:r w:rsidR="003C0435" w:rsidRPr="00577AE6">
        <w:rPr>
          <w:rFonts w:ascii="Arial" w:hAnsi="Arial" w:cs="Arial"/>
          <w:sz w:val="22"/>
          <w:szCs w:val="22"/>
        </w:rPr>
        <w:t>la misma</w:t>
      </w:r>
      <w:proofErr w:type="gramEnd"/>
      <w:r w:rsidR="003C0435" w:rsidRPr="00577AE6">
        <w:rPr>
          <w:rFonts w:ascii="Arial" w:hAnsi="Arial" w:cs="Arial"/>
          <w:sz w:val="22"/>
          <w:szCs w:val="22"/>
        </w:rPr>
        <w:t xml:space="preserve">» (Énfasis fuera de texto). Como se observa la norma se refiere a la vinculación de trabajadores, lo cual excluye la posibilidad de acreditar el factor de desempate con prestadores de servicios. </w:t>
      </w:r>
      <w:r w:rsidR="003C0435" w:rsidRPr="00577AE6">
        <w:rPr>
          <w:rFonts w:ascii="Arial" w:hAnsi="Arial" w:cs="Arial"/>
          <w:sz w:val="22"/>
          <w:szCs w:val="22"/>
          <w:lang w:val="es-ES_tradnl"/>
        </w:rPr>
        <w:t xml:space="preserve"> </w:t>
      </w:r>
    </w:p>
    <w:p w14:paraId="1F880CF1" w14:textId="618D534E" w:rsidR="006F37FA" w:rsidRPr="00577AE6" w:rsidRDefault="005D7236" w:rsidP="00FD313C">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t xml:space="preserve">Conforme a lo anterior, en la medida en que </w:t>
      </w:r>
      <w:r w:rsidR="00AD279E" w:rsidRPr="00577AE6">
        <w:rPr>
          <w:rFonts w:ascii="Arial" w:hAnsi="Arial" w:cs="Arial"/>
          <w:sz w:val="22"/>
          <w:szCs w:val="22"/>
          <w:lang w:val="es-ES_tradnl"/>
        </w:rPr>
        <w:t>el factor de desempate</w:t>
      </w:r>
      <w:r w:rsidR="008E2F18" w:rsidRPr="00577AE6">
        <w:rPr>
          <w:rFonts w:ascii="Arial" w:hAnsi="Arial" w:cs="Arial"/>
          <w:sz w:val="22"/>
          <w:szCs w:val="22"/>
          <w:lang w:val="es-ES_tradnl"/>
        </w:rPr>
        <w:t xml:space="preserve"> del artículo 35.4</w:t>
      </w:r>
      <w:r w:rsidR="00AD279E" w:rsidRPr="00577AE6">
        <w:rPr>
          <w:rFonts w:ascii="Arial" w:hAnsi="Arial" w:cs="Arial"/>
          <w:sz w:val="22"/>
          <w:szCs w:val="22"/>
          <w:lang w:val="es-ES_tradnl"/>
        </w:rPr>
        <w:t xml:space="preserve"> debe ser acreditado por los integrantes del proponente plural</w:t>
      </w:r>
      <w:r w:rsidR="008E2F18" w:rsidRPr="00577AE6">
        <w:rPr>
          <w:rFonts w:ascii="Arial" w:hAnsi="Arial" w:cs="Arial"/>
          <w:sz w:val="22"/>
          <w:szCs w:val="22"/>
          <w:lang w:val="es-ES_tradnl"/>
        </w:rPr>
        <w:t xml:space="preserve"> –y no por este como ente autónomo–,</w:t>
      </w:r>
      <w:r w:rsidR="00AD279E" w:rsidRPr="00577AE6">
        <w:rPr>
          <w:rFonts w:ascii="Arial" w:hAnsi="Arial" w:cs="Arial"/>
          <w:sz w:val="22"/>
          <w:szCs w:val="22"/>
          <w:lang w:val="es-ES_tradnl"/>
        </w:rPr>
        <w:t xml:space="preserve"> no existe </w:t>
      </w:r>
      <w:r w:rsidR="008E2F18" w:rsidRPr="00577AE6">
        <w:rPr>
          <w:rFonts w:ascii="Arial" w:hAnsi="Arial" w:cs="Arial"/>
          <w:sz w:val="22"/>
          <w:szCs w:val="22"/>
          <w:lang w:val="es-ES_tradnl"/>
        </w:rPr>
        <w:t>dificultad para que esto</w:t>
      </w:r>
      <w:r w:rsidR="00484E9F" w:rsidRPr="00577AE6">
        <w:rPr>
          <w:rFonts w:ascii="Arial" w:hAnsi="Arial" w:cs="Arial"/>
          <w:sz w:val="22"/>
          <w:szCs w:val="22"/>
          <w:lang w:val="es-ES_tradnl"/>
        </w:rPr>
        <w:t>s</w:t>
      </w:r>
      <w:r w:rsidR="008E2F18" w:rsidRPr="00577AE6">
        <w:rPr>
          <w:rFonts w:ascii="Arial" w:hAnsi="Arial" w:cs="Arial"/>
          <w:sz w:val="22"/>
          <w:szCs w:val="22"/>
          <w:lang w:val="es-ES_tradnl"/>
        </w:rPr>
        <w:t xml:space="preserve"> acrediten la antigüedad exigida por el parágrafo segundo de la norma</w:t>
      </w:r>
      <w:r w:rsidR="00A50449" w:rsidRPr="00577AE6">
        <w:rPr>
          <w:rFonts w:ascii="Arial" w:hAnsi="Arial" w:cs="Arial"/>
          <w:sz w:val="22"/>
          <w:szCs w:val="22"/>
          <w:lang w:val="es-ES_tradnl"/>
        </w:rPr>
        <w:t>, habida cuenta de que los miembros del proponente plural, al ser personas naturales o jurídicas</w:t>
      </w:r>
      <w:r w:rsidR="001E185D" w:rsidRPr="00577AE6">
        <w:rPr>
          <w:rFonts w:ascii="Arial" w:hAnsi="Arial" w:cs="Arial"/>
          <w:sz w:val="22"/>
          <w:szCs w:val="22"/>
          <w:lang w:val="es-ES_tradnl"/>
        </w:rPr>
        <w:t>, s</w:t>
      </w:r>
      <w:r w:rsidR="005B0146">
        <w:rPr>
          <w:rFonts w:ascii="Arial" w:hAnsi="Arial" w:cs="Arial"/>
          <w:sz w:val="22"/>
          <w:szCs w:val="22"/>
          <w:lang w:val="es-ES_tradnl"/>
        </w:rPr>
        <w:t>í</w:t>
      </w:r>
      <w:r w:rsidR="001E185D" w:rsidRPr="00577AE6">
        <w:rPr>
          <w:rFonts w:ascii="Arial" w:hAnsi="Arial" w:cs="Arial"/>
          <w:sz w:val="22"/>
          <w:szCs w:val="22"/>
          <w:lang w:val="es-ES_tradnl"/>
        </w:rPr>
        <w:t xml:space="preserve"> tienen la posibilidad de contraer obligaciones laborales. En ese sentido, </w:t>
      </w:r>
      <w:r w:rsidR="00800F57" w:rsidRPr="00577AE6">
        <w:rPr>
          <w:rFonts w:ascii="Arial" w:hAnsi="Arial" w:cs="Arial"/>
          <w:sz w:val="22"/>
          <w:szCs w:val="22"/>
          <w:lang w:val="es-ES_tradnl"/>
        </w:rPr>
        <w:t>son los miembros del proponente plural a quienes corresponde acreditar la antigüedad de un (1) año de las vi</w:t>
      </w:r>
      <w:r w:rsidR="00811F98" w:rsidRPr="00577AE6">
        <w:rPr>
          <w:rFonts w:ascii="Arial" w:hAnsi="Arial" w:cs="Arial"/>
          <w:sz w:val="22"/>
          <w:szCs w:val="22"/>
          <w:lang w:val="es-ES_tradnl"/>
        </w:rPr>
        <w:t>n</w:t>
      </w:r>
      <w:r w:rsidR="00800F57" w:rsidRPr="00577AE6">
        <w:rPr>
          <w:rFonts w:ascii="Arial" w:hAnsi="Arial" w:cs="Arial"/>
          <w:sz w:val="22"/>
          <w:szCs w:val="22"/>
          <w:lang w:val="es-ES_tradnl"/>
        </w:rPr>
        <w:t>culaciones de persona</w:t>
      </w:r>
      <w:r w:rsidR="00811F98" w:rsidRPr="00577AE6">
        <w:rPr>
          <w:rFonts w:ascii="Arial" w:hAnsi="Arial" w:cs="Arial"/>
          <w:sz w:val="22"/>
          <w:szCs w:val="22"/>
          <w:lang w:val="es-ES_tradnl"/>
        </w:rPr>
        <w:t>s</w:t>
      </w:r>
      <w:r w:rsidR="00800F57" w:rsidRPr="00577AE6">
        <w:rPr>
          <w:rFonts w:ascii="Arial" w:hAnsi="Arial" w:cs="Arial"/>
          <w:sz w:val="22"/>
          <w:szCs w:val="22"/>
          <w:lang w:val="es-ES_tradnl"/>
        </w:rPr>
        <w:t xml:space="preserve"> mayores no beneficiarias de pensión que hubieren </w:t>
      </w:r>
      <w:r w:rsidR="00811F98" w:rsidRPr="00577AE6">
        <w:rPr>
          <w:rFonts w:ascii="Arial" w:hAnsi="Arial" w:cs="Arial"/>
          <w:sz w:val="22"/>
          <w:szCs w:val="22"/>
          <w:lang w:val="es-ES_tradnl"/>
        </w:rPr>
        <w:t xml:space="preserve">cumplido el requisito de edad, o </w:t>
      </w:r>
      <w:r w:rsidR="00C616AC" w:rsidRPr="00577AE6">
        <w:rPr>
          <w:rFonts w:ascii="Arial" w:hAnsi="Arial" w:cs="Arial"/>
          <w:sz w:val="22"/>
          <w:szCs w:val="22"/>
          <w:lang w:val="es-ES_tradnl"/>
        </w:rPr>
        <w:t xml:space="preserve">por lo menos desde la constitución de la persona jurídica, en el caso de que </w:t>
      </w:r>
      <w:r w:rsidR="001F515E" w:rsidRPr="00577AE6">
        <w:rPr>
          <w:rFonts w:ascii="Arial" w:hAnsi="Arial" w:cs="Arial"/>
          <w:sz w:val="22"/>
          <w:szCs w:val="22"/>
          <w:lang w:val="es-ES_tradnl"/>
        </w:rPr>
        <w:t>esta tuviere menos tiempo de creación.</w:t>
      </w:r>
    </w:p>
    <w:p w14:paraId="08005E80" w14:textId="70C4707E" w:rsidR="005F361A" w:rsidRPr="00577AE6" w:rsidRDefault="002A7D84" w:rsidP="00FD5443">
      <w:pPr>
        <w:spacing w:before="120" w:line="276" w:lineRule="auto"/>
        <w:ind w:firstLine="709"/>
        <w:jc w:val="both"/>
        <w:rPr>
          <w:rFonts w:ascii="Arial" w:hAnsi="Arial" w:cs="Arial"/>
          <w:sz w:val="22"/>
          <w:szCs w:val="22"/>
          <w:lang w:val="es-ES_tradnl"/>
        </w:rPr>
      </w:pPr>
      <w:r w:rsidRPr="00577AE6">
        <w:rPr>
          <w:rFonts w:ascii="Arial" w:hAnsi="Arial" w:cs="Arial"/>
          <w:sz w:val="22"/>
          <w:szCs w:val="22"/>
          <w:lang w:val="es-ES_tradnl"/>
        </w:rPr>
        <w:lastRenderedPageBreak/>
        <w:t xml:space="preserve">Finalmente, 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w:t>
      </w:r>
      <w:r w:rsidR="006F37FA" w:rsidRPr="00577AE6">
        <w:rPr>
          <w:rFonts w:ascii="Arial" w:hAnsi="Arial" w:cs="Arial"/>
          <w:sz w:val="22"/>
          <w:szCs w:val="22"/>
          <w:lang w:val="es-ES_tradnl"/>
        </w:rPr>
        <w:t>G</w:t>
      </w:r>
      <w:r w:rsidRPr="00577AE6">
        <w:rPr>
          <w:rFonts w:ascii="Arial" w:hAnsi="Arial" w:cs="Arial"/>
          <w:sz w:val="22"/>
          <w:szCs w:val="22"/>
          <w:lang w:val="es-ES_tradnl"/>
        </w:rPr>
        <w:t>obierno nacional para definir factores que permitan desempatar las ofertas en aquellos casos en que varios oferentes reúnan al tiempo dos o más de los factores previstos en el artículo 35.</w:t>
      </w:r>
    </w:p>
    <w:p w14:paraId="1523A9FF" w14:textId="05C1C9FB" w:rsidR="0016204B" w:rsidRPr="00577AE6" w:rsidRDefault="005B0146" w:rsidP="00AC4AD2">
      <w:pPr>
        <w:spacing w:before="120" w:line="276" w:lineRule="auto"/>
        <w:ind w:firstLine="709"/>
        <w:jc w:val="both"/>
        <w:rPr>
          <w:rFonts w:ascii="Arial" w:hAnsi="Arial" w:cs="Arial"/>
          <w:sz w:val="22"/>
          <w:szCs w:val="22"/>
          <w:lang w:val="es-ES_tradnl"/>
        </w:rPr>
      </w:pPr>
      <w:r>
        <w:rPr>
          <w:rFonts w:ascii="Arial" w:hAnsi="Arial" w:cs="Arial"/>
          <w:sz w:val="22"/>
          <w:szCs w:val="22"/>
          <w:lang w:val="es-ES_tradnl"/>
        </w:rPr>
        <w:t>De otro lado, s</w:t>
      </w:r>
      <w:r w:rsidR="00FD5443" w:rsidRPr="00577AE6">
        <w:rPr>
          <w:rFonts w:ascii="Arial" w:hAnsi="Arial" w:cs="Arial"/>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7B209C" w:rsidRPr="00577AE6">
        <w:rPr>
          <w:rFonts w:ascii="Arial" w:hAnsi="Arial" w:cs="Arial"/>
          <w:sz w:val="22"/>
          <w:szCs w:val="22"/>
          <w:lang w:val="es-ES_tradnl"/>
        </w:rPr>
        <w:t>2069</w:t>
      </w:r>
      <w:r w:rsidR="00FD5443" w:rsidRPr="00577AE6">
        <w:rPr>
          <w:rFonts w:ascii="Arial" w:hAnsi="Arial" w:cs="Arial"/>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577AE6">
        <w:rPr>
          <w:rFonts w:ascii="Arial" w:hAnsi="Arial" w:cs="Arial"/>
          <w:sz w:val="22"/>
          <w:szCs w:val="22"/>
          <w:lang w:val="es-ES_tradnl"/>
        </w:rPr>
        <w:t xml:space="preserve"> </w:t>
      </w:r>
    </w:p>
    <w:p w14:paraId="1F9D5A40" w14:textId="77777777" w:rsidR="00CF1EB8" w:rsidRPr="00577AE6" w:rsidRDefault="00CF1EB8" w:rsidP="00510DE9">
      <w:pPr>
        <w:tabs>
          <w:tab w:val="left" w:pos="0"/>
        </w:tabs>
        <w:jc w:val="both"/>
        <w:rPr>
          <w:rFonts w:ascii="Arial" w:eastAsia="Calibri" w:hAnsi="Arial" w:cs="Arial"/>
          <w:b/>
          <w:sz w:val="22"/>
          <w:lang w:val="es-ES_tradnl"/>
        </w:rPr>
      </w:pPr>
    </w:p>
    <w:p w14:paraId="37CA9805" w14:textId="471FB487" w:rsidR="00DD5B04" w:rsidRPr="00577AE6" w:rsidRDefault="004177A6" w:rsidP="00510DE9">
      <w:pPr>
        <w:tabs>
          <w:tab w:val="left" w:pos="0"/>
        </w:tabs>
        <w:jc w:val="both"/>
        <w:rPr>
          <w:rFonts w:ascii="Arial" w:eastAsia="Calibri" w:hAnsi="Arial" w:cs="Arial"/>
          <w:b/>
          <w:sz w:val="22"/>
          <w:lang w:val="es-ES_tradnl"/>
        </w:rPr>
      </w:pPr>
      <w:r w:rsidRPr="00577AE6">
        <w:rPr>
          <w:rFonts w:ascii="Arial" w:eastAsia="Calibri" w:hAnsi="Arial" w:cs="Arial"/>
          <w:b/>
          <w:sz w:val="22"/>
          <w:lang w:val="es-ES_tradnl"/>
        </w:rPr>
        <w:t>3</w:t>
      </w:r>
      <w:r w:rsidR="00B011A9" w:rsidRPr="00577AE6">
        <w:rPr>
          <w:rFonts w:ascii="Arial" w:eastAsia="Calibri" w:hAnsi="Arial" w:cs="Arial"/>
          <w:b/>
          <w:sz w:val="22"/>
          <w:lang w:val="es-ES_tradnl"/>
        </w:rPr>
        <w:t xml:space="preserve">. </w:t>
      </w:r>
      <w:r w:rsidR="00DD5B04" w:rsidRPr="00577AE6">
        <w:rPr>
          <w:rFonts w:ascii="Arial" w:eastAsia="Calibri" w:hAnsi="Arial" w:cs="Arial"/>
          <w:b/>
          <w:sz w:val="22"/>
          <w:lang w:val="es-ES_tradnl"/>
        </w:rPr>
        <w:t>Respuesta</w:t>
      </w:r>
    </w:p>
    <w:p w14:paraId="6BDFB2E5" w14:textId="77777777" w:rsidR="006817D5" w:rsidRPr="00577AE6" w:rsidRDefault="006817D5" w:rsidP="00DF4511">
      <w:pPr>
        <w:ind w:right="709"/>
        <w:jc w:val="both"/>
        <w:rPr>
          <w:rFonts w:ascii="Arial" w:hAnsi="Arial" w:cs="Arial"/>
          <w:sz w:val="21"/>
          <w:szCs w:val="21"/>
          <w:lang w:val="es-ES_tradnl"/>
        </w:rPr>
      </w:pPr>
    </w:p>
    <w:p w14:paraId="68AE48A4" w14:textId="3BAC66C5" w:rsidR="008220F4" w:rsidRPr="00577AE6" w:rsidRDefault="00E73675" w:rsidP="00046429">
      <w:pPr>
        <w:ind w:left="709" w:right="709"/>
        <w:jc w:val="both"/>
        <w:rPr>
          <w:rFonts w:ascii="Arial" w:hAnsi="Arial" w:cs="Arial"/>
          <w:sz w:val="21"/>
          <w:szCs w:val="21"/>
          <w:lang w:val="es-ES_tradnl"/>
        </w:rPr>
      </w:pPr>
      <w:r w:rsidRPr="00577AE6">
        <w:rPr>
          <w:rFonts w:ascii="Arial" w:eastAsia="Calibri" w:hAnsi="Arial" w:cs="Arial"/>
          <w:sz w:val="21"/>
          <w:szCs w:val="21"/>
        </w:rPr>
        <w:t xml:space="preserve">i) </w:t>
      </w:r>
      <w:proofErr w:type="gramStart"/>
      <w:r w:rsidRPr="00577AE6">
        <w:rPr>
          <w:rFonts w:ascii="Arial" w:eastAsia="Calibri" w:hAnsi="Arial" w:cs="Arial"/>
          <w:sz w:val="21"/>
          <w:szCs w:val="21"/>
        </w:rPr>
        <w:t xml:space="preserve">¿Se puede tener en cuenta a personas vinculadas en la condición de </w:t>
      </w:r>
      <w:proofErr w:type="spellStart"/>
      <w:r w:rsidRPr="00577AE6">
        <w:rPr>
          <w:rFonts w:ascii="Arial" w:eastAsia="Calibri" w:hAnsi="Arial" w:cs="Arial"/>
          <w:i/>
          <w:iCs/>
          <w:sz w:val="21"/>
          <w:szCs w:val="21"/>
        </w:rPr>
        <w:t>prepensionados</w:t>
      </w:r>
      <w:proofErr w:type="spellEnd"/>
      <w:r w:rsidRPr="00577AE6">
        <w:rPr>
          <w:rFonts w:ascii="Arial" w:eastAsia="Calibri" w:hAnsi="Arial" w:cs="Arial"/>
          <w:sz w:val="21"/>
          <w:szCs w:val="21"/>
        </w:rPr>
        <w:t xml:space="preserve"> a efectos de aplicar el factor de desempate del artículo 35.</w:t>
      </w:r>
      <w:proofErr w:type="gramEnd"/>
      <w:r w:rsidRPr="00577AE6">
        <w:rPr>
          <w:rFonts w:ascii="Arial" w:eastAsia="Calibri" w:hAnsi="Arial" w:cs="Arial"/>
          <w:sz w:val="21"/>
          <w:szCs w:val="21"/>
        </w:rPr>
        <w:t xml:space="preserve">4?; </w:t>
      </w:r>
    </w:p>
    <w:p w14:paraId="0125AEF9" w14:textId="2DEEB0F1" w:rsidR="008220F4" w:rsidRPr="00577AE6" w:rsidRDefault="008220F4" w:rsidP="008220F4">
      <w:pPr>
        <w:ind w:left="709" w:right="709"/>
        <w:jc w:val="both"/>
        <w:rPr>
          <w:rFonts w:ascii="Arial" w:hAnsi="Arial" w:cs="Arial"/>
          <w:sz w:val="21"/>
          <w:szCs w:val="21"/>
          <w:lang w:val="es-ES_tradnl"/>
        </w:rPr>
      </w:pPr>
    </w:p>
    <w:p w14:paraId="32B007F0" w14:textId="120B28B9" w:rsidR="00090ADD" w:rsidRPr="00577AE6" w:rsidRDefault="00090ADD" w:rsidP="0071023A">
      <w:pPr>
        <w:spacing w:line="276" w:lineRule="auto"/>
        <w:jc w:val="both"/>
        <w:rPr>
          <w:rFonts w:ascii="Arial" w:hAnsi="Arial" w:cs="Arial"/>
          <w:sz w:val="22"/>
          <w:szCs w:val="22"/>
          <w:lang w:val="es-ES_tradnl"/>
        </w:rPr>
      </w:pPr>
      <w:r w:rsidRPr="00577AE6">
        <w:rPr>
          <w:rFonts w:ascii="Arial" w:hAnsi="Arial" w:cs="Arial"/>
          <w:sz w:val="22"/>
          <w:szCs w:val="22"/>
          <w:lang w:val="es-ES_tradnl"/>
        </w:rPr>
        <w:t xml:space="preserve">De conformidad con lo expuesto, </w:t>
      </w:r>
      <w:r w:rsidR="00D17AB4" w:rsidRPr="00577AE6">
        <w:rPr>
          <w:rFonts w:ascii="Arial" w:hAnsi="Arial" w:cs="Arial"/>
          <w:sz w:val="22"/>
          <w:szCs w:val="22"/>
          <w:lang w:val="es-ES_tradnl"/>
        </w:rPr>
        <w:t xml:space="preserve">las personas </w:t>
      </w:r>
      <w:r w:rsidR="000B4DD8" w:rsidRPr="00577AE6">
        <w:rPr>
          <w:rFonts w:ascii="Arial" w:hAnsi="Arial" w:cs="Arial"/>
          <w:sz w:val="22"/>
          <w:szCs w:val="22"/>
          <w:lang w:val="es-ES_tradnl"/>
        </w:rPr>
        <w:t xml:space="preserve">beneficiarias de estabilidad laboral reforzada, en la condición de </w:t>
      </w:r>
      <w:proofErr w:type="spellStart"/>
      <w:r w:rsidR="000B4DD8" w:rsidRPr="00577AE6">
        <w:rPr>
          <w:rFonts w:ascii="Arial" w:hAnsi="Arial" w:cs="Arial"/>
          <w:sz w:val="22"/>
          <w:szCs w:val="22"/>
          <w:lang w:val="es-ES_tradnl"/>
        </w:rPr>
        <w:t>prepensionados</w:t>
      </w:r>
      <w:proofErr w:type="spellEnd"/>
      <w:r w:rsidR="000B4DD8" w:rsidRPr="00577AE6">
        <w:rPr>
          <w:rFonts w:ascii="Arial" w:hAnsi="Arial" w:cs="Arial"/>
          <w:sz w:val="22"/>
          <w:szCs w:val="22"/>
          <w:lang w:val="es-ES_tradnl"/>
        </w:rPr>
        <w:t>, pueden ser tenidas en cuenta a efectos de a</w:t>
      </w:r>
      <w:r w:rsidR="006C4750" w:rsidRPr="00577AE6">
        <w:rPr>
          <w:rFonts w:ascii="Arial" w:hAnsi="Arial" w:cs="Arial"/>
          <w:sz w:val="22"/>
          <w:szCs w:val="22"/>
          <w:lang w:val="es-ES_tradnl"/>
        </w:rPr>
        <w:t>creditar el factor de desempate del artículo 35.4 de la Ley 2069 de 2020, siempre y cuando ya hubiesen cumplido el requisito de edad</w:t>
      </w:r>
      <w:r w:rsidR="00D33747" w:rsidRPr="00577AE6">
        <w:rPr>
          <w:rFonts w:ascii="Arial" w:hAnsi="Arial" w:cs="Arial"/>
          <w:sz w:val="22"/>
          <w:szCs w:val="22"/>
          <w:lang w:val="es-ES_tradnl"/>
        </w:rPr>
        <w:t xml:space="preserve"> de pensión</w:t>
      </w:r>
      <w:r w:rsidR="00AD2AF4" w:rsidRPr="00577AE6">
        <w:rPr>
          <w:rFonts w:ascii="Arial" w:hAnsi="Arial" w:cs="Arial"/>
          <w:sz w:val="22"/>
          <w:szCs w:val="22"/>
          <w:lang w:val="es-ES_tradnl"/>
        </w:rPr>
        <w:t xml:space="preserve">. </w:t>
      </w:r>
      <w:r w:rsidR="009551D4" w:rsidRPr="00577AE6">
        <w:rPr>
          <w:rFonts w:ascii="Arial" w:hAnsi="Arial" w:cs="Arial"/>
          <w:sz w:val="22"/>
          <w:szCs w:val="22"/>
          <w:lang w:val="es-ES_tradnl"/>
        </w:rPr>
        <w:t xml:space="preserve">Por el contrario, las personas </w:t>
      </w:r>
      <w:proofErr w:type="spellStart"/>
      <w:r w:rsidR="009551D4" w:rsidRPr="00577AE6">
        <w:rPr>
          <w:rFonts w:ascii="Arial" w:hAnsi="Arial" w:cs="Arial"/>
          <w:sz w:val="22"/>
          <w:szCs w:val="22"/>
          <w:lang w:val="es-ES_tradnl"/>
        </w:rPr>
        <w:t>prepensionadas</w:t>
      </w:r>
      <w:proofErr w:type="spellEnd"/>
      <w:r w:rsidR="009551D4" w:rsidRPr="00577AE6">
        <w:rPr>
          <w:rFonts w:ascii="Arial" w:hAnsi="Arial" w:cs="Arial"/>
          <w:sz w:val="22"/>
          <w:szCs w:val="22"/>
          <w:lang w:val="es-ES_tradnl"/>
        </w:rPr>
        <w:t xml:space="preserve"> que no hubieren cumplido el requi</w:t>
      </w:r>
      <w:r w:rsidR="00A00E01" w:rsidRPr="00577AE6">
        <w:rPr>
          <w:rFonts w:ascii="Arial" w:hAnsi="Arial" w:cs="Arial"/>
          <w:sz w:val="22"/>
          <w:szCs w:val="22"/>
          <w:lang w:val="es-ES_tradnl"/>
        </w:rPr>
        <w:t xml:space="preserve">sito de edad de pensión </w:t>
      </w:r>
      <w:r w:rsidR="00E2466C" w:rsidRPr="00577AE6">
        <w:rPr>
          <w:rFonts w:ascii="Arial" w:hAnsi="Arial" w:cs="Arial"/>
          <w:sz w:val="22"/>
          <w:szCs w:val="22"/>
          <w:lang w:val="es-ES_tradnl"/>
        </w:rPr>
        <w:t xml:space="preserve">no </w:t>
      </w:r>
      <w:r w:rsidR="00D33747" w:rsidRPr="00577AE6">
        <w:rPr>
          <w:rFonts w:ascii="Arial" w:hAnsi="Arial" w:cs="Arial"/>
          <w:sz w:val="22"/>
          <w:szCs w:val="22"/>
          <w:lang w:val="es-ES_tradnl"/>
        </w:rPr>
        <w:t xml:space="preserve">son </w:t>
      </w:r>
      <w:r w:rsidR="00E2466C" w:rsidRPr="00577AE6">
        <w:rPr>
          <w:rFonts w:ascii="Arial" w:hAnsi="Arial" w:cs="Arial"/>
          <w:sz w:val="22"/>
          <w:szCs w:val="22"/>
          <w:lang w:val="es-ES_tradnl"/>
        </w:rPr>
        <w:t>susceptibles de ser consideradas para acreditar el mencionado</w:t>
      </w:r>
      <w:r w:rsidR="001731BE" w:rsidRPr="00577AE6">
        <w:rPr>
          <w:rFonts w:ascii="Arial" w:hAnsi="Arial" w:cs="Arial"/>
          <w:sz w:val="22"/>
          <w:szCs w:val="22"/>
          <w:lang w:val="es-ES_tradnl"/>
        </w:rPr>
        <w:t xml:space="preserve"> factor de desempate, al no cumplir con el supuesto de hecho de la norma que exige </w:t>
      </w:r>
      <w:r w:rsidR="00836C79" w:rsidRPr="00577AE6">
        <w:rPr>
          <w:rFonts w:ascii="Arial" w:hAnsi="Arial" w:cs="Arial"/>
          <w:sz w:val="22"/>
          <w:szCs w:val="22"/>
          <w:lang w:val="es-ES_tradnl"/>
        </w:rPr>
        <w:t>dicho requisito.</w:t>
      </w:r>
    </w:p>
    <w:p w14:paraId="4A76B9F9" w14:textId="77777777" w:rsidR="0071023A" w:rsidRPr="00577AE6" w:rsidRDefault="0071023A" w:rsidP="0071023A">
      <w:pPr>
        <w:spacing w:line="276" w:lineRule="auto"/>
        <w:jc w:val="both"/>
        <w:rPr>
          <w:rFonts w:ascii="Arial" w:hAnsi="Arial" w:cs="Arial"/>
          <w:sz w:val="22"/>
          <w:szCs w:val="22"/>
          <w:lang w:val="es-ES_tradnl"/>
        </w:rPr>
      </w:pPr>
    </w:p>
    <w:p w14:paraId="76F11753" w14:textId="726381D3" w:rsidR="0052287C" w:rsidRPr="00577AE6" w:rsidRDefault="0052287C" w:rsidP="00DA2256">
      <w:pPr>
        <w:ind w:left="709" w:right="709"/>
        <w:jc w:val="both"/>
        <w:rPr>
          <w:rFonts w:ascii="Arial" w:hAnsi="Arial" w:cs="Arial"/>
          <w:sz w:val="21"/>
          <w:szCs w:val="21"/>
          <w:lang w:val="es-ES_tradnl"/>
        </w:rPr>
      </w:pPr>
      <w:r w:rsidRPr="00577AE6">
        <w:rPr>
          <w:rFonts w:ascii="Arial" w:eastAsia="Calibri" w:hAnsi="Arial" w:cs="Arial"/>
          <w:sz w:val="21"/>
          <w:szCs w:val="21"/>
        </w:rPr>
        <w:t xml:space="preserve"> </w:t>
      </w:r>
      <w:proofErr w:type="spellStart"/>
      <w:r w:rsidRPr="00577AE6">
        <w:rPr>
          <w:rFonts w:ascii="Arial" w:eastAsia="Calibri" w:hAnsi="Arial" w:cs="Arial"/>
          <w:sz w:val="21"/>
          <w:szCs w:val="21"/>
        </w:rPr>
        <w:t>ii</w:t>
      </w:r>
      <w:proofErr w:type="spellEnd"/>
      <w:r w:rsidRPr="00577AE6">
        <w:rPr>
          <w:rFonts w:ascii="Arial" w:eastAsia="Calibri" w:hAnsi="Arial" w:cs="Arial"/>
          <w:sz w:val="21"/>
          <w:szCs w:val="21"/>
        </w:rPr>
        <w:t xml:space="preserve">) ¿Cuál es la edad a partir de las cual se considera a una persona mayor? ¿Debe entenderse de acuerdo con lo dispuesto en el artículo 36 de la Ley 100 de </w:t>
      </w:r>
      <w:proofErr w:type="gramStart"/>
      <w:r w:rsidRPr="00577AE6">
        <w:rPr>
          <w:rFonts w:ascii="Arial" w:eastAsia="Calibri" w:hAnsi="Arial" w:cs="Arial"/>
          <w:sz w:val="21"/>
          <w:szCs w:val="21"/>
        </w:rPr>
        <w:t>1993?</w:t>
      </w:r>
      <w:r w:rsidRPr="00577AE6">
        <w:rPr>
          <w:rFonts w:ascii="Arial" w:hAnsi="Arial" w:cs="Arial"/>
          <w:sz w:val="21"/>
          <w:szCs w:val="21"/>
          <w:lang w:val="es-ES_tradnl"/>
        </w:rPr>
        <w:t>.</w:t>
      </w:r>
      <w:proofErr w:type="gramEnd"/>
    </w:p>
    <w:p w14:paraId="0EBE7A17" w14:textId="1532155A" w:rsidR="0025242E" w:rsidRPr="00577AE6" w:rsidRDefault="0025242E" w:rsidP="00336651">
      <w:pPr>
        <w:ind w:left="709" w:right="709"/>
        <w:jc w:val="both"/>
        <w:rPr>
          <w:rFonts w:ascii="Arial" w:hAnsi="Arial" w:cs="Arial"/>
          <w:sz w:val="21"/>
          <w:szCs w:val="21"/>
          <w:lang w:val="es-ES_tradnl"/>
        </w:rPr>
      </w:pPr>
    </w:p>
    <w:p w14:paraId="33E44FC8" w14:textId="77777777" w:rsidR="006C2981" w:rsidRPr="00577AE6" w:rsidRDefault="00C94FB2" w:rsidP="006B1E71">
      <w:pPr>
        <w:spacing w:line="276" w:lineRule="auto"/>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En relación con lo previsto en el </w:t>
      </w:r>
      <w:r w:rsidR="006C2981" w:rsidRPr="00577AE6">
        <w:rPr>
          <w:rFonts w:ascii="Arial" w:eastAsia="Calibri" w:hAnsi="Arial" w:cs="Arial"/>
          <w:sz w:val="22"/>
          <w:szCs w:val="22"/>
          <w:lang w:val="es-ES_tradnl"/>
        </w:rPr>
        <w:t>artículo 35.4 de la Ley 2069</w:t>
      </w:r>
      <w:r w:rsidRPr="00577AE6">
        <w:rPr>
          <w:rFonts w:ascii="Arial" w:eastAsia="Calibri" w:hAnsi="Arial" w:cs="Arial"/>
          <w:sz w:val="22"/>
          <w:szCs w:val="22"/>
          <w:lang w:val="es-ES_tradnl"/>
        </w:rPr>
        <w:t xml:space="preserve">, cuando el legislador alude al concepto de «personas mayores» que no sean beneficiarias de la pensión de vejez, familiar o de sobrevivencia y que hayan cumplido la edad para obtenerla, una posible interpretación </w:t>
      </w:r>
      <w:r w:rsidRPr="00577AE6">
        <w:rPr>
          <w:rFonts w:ascii="Arial" w:eastAsia="Calibri" w:hAnsi="Arial" w:cs="Arial"/>
          <w:sz w:val="22"/>
          <w:szCs w:val="22"/>
          <w:lang w:val="es-ES_tradnl"/>
        </w:rPr>
        <w:lastRenderedPageBreak/>
        <w:t xml:space="preserve">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w:t>
      </w:r>
      <w:proofErr w:type="gramStart"/>
      <w:r w:rsidRPr="00577AE6">
        <w:rPr>
          <w:rFonts w:ascii="Arial" w:eastAsia="Calibri" w:hAnsi="Arial" w:cs="Arial"/>
          <w:sz w:val="22"/>
          <w:szCs w:val="22"/>
          <w:lang w:val="es-ES_tradnl"/>
        </w:rPr>
        <w:t>años de edad</w:t>
      </w:r>
      <w:proofErr w:type="gramEnd"/>
      <w:r w:rsidRPr="00577AE6">
        <w:rPr>
          <w:rFonts w:ascii="Arial" w:eastAsia="Calibri" w:hAnsi="Arial" w:cs="Arial"/>
          <w:sz w:val="22"/>
          <w:szCs w:val="22"/>
          <w:lang w:val="es-ES_tradnl"/>
        </w:rPr>
        <w:t xml:space="preserve"> o más», lo cual se puede acreditar con el documento de identidad correspondiente.</w:t>
      </w:r>
    </w:p>
    <w:p w14:paraId="31C21EB5" w14:textId="766E5236" w:rsidR="00C94FB2" w:rsidRPr="00577AE6" w:rsidRDefault="00C94FB2" w:rsidP="00C94FB2">
      <w:pPr>
        <w:spacing w:before="120" w:line="276" w:lineRule="auto"/>
        <w:ind w:firstLine="709"/>
        <w:jc w:val="both"/>
        <w:rPr>
          <w:rFonts w:ascii="Arial" w:eastAsia="Calibri" w:hAnsi="Arial" w:cs="Arial"/>
          <w:sz w:val="22"/>
          <w:szCs w:val="22"/>
          <w:lang w:val="es-ES_tradnl"/>
        </w:rPr>
      </w:pPr>
      <w:r w:rsidRPr="00577AE6">
        <w:rPr>
          <w:rFonts w:ascii="Arial" w:eastAsia="Calibri" w:hAnsi="Arial" w:cs="Arial"/>
          <w:sz w:val="22"/>
          <w:szCs w:val="22"/>
          <w:lang w:val="es-ES_tradnl"/>
        </w:rPr>
        <w:t xml:space="preserve"> </w:t>
      </w:r>
      <w:r w:rsidR="00522E06" w:rsidRPr="00577AE6">
        <w:rPr>
          <w:rFonts w:ascii="Arial" w:eastAsia="Calibri" w:hAnsi="Arial" w:cs="Arial"/>
          <w:sz w:val="22"/>
          <w:szCs w:val="22"/>
          <w:lang w:val="es-ES_tradnl"/>
        </w:rPr>
        <w:t>No obstante</w:t>
      </w:r>
      <w:r w:rsidRPr="00577AE6">
        <w:rPr>
          <w:rFonts w:ascii="Arial" w:eastAsia="Calibri" w:hAnsi="Arial" w:cs="Arial"/>
          <w:sz w:val="22"/>
          <w:szCs w:val="22"/>
          <w:lang w:val="es-ES_tradnl"/>
        </w:rPr>
        <w:t>, sin perjuicio de lo que defina el reglamento, también existe la posibilidad de entender que esta causal aplica a todas las personas que –en el rango de edad correspondiente a cada género– no han alcanzado la pensión, interpretación que está m</w:t>
      </w:r>
      <w:r w:rsidR="005B0146">
        <w:rPr>
          <w:rFonts w:ascii="Arial" w:eastAsia="Calibri" w:hAnsi="Arial" w:cs="Arial"/>
          <w:sz w:val="22"/>
          <w:szCs w:val="22"/>
          <w:lang w:val="es-ES_tradnl"/>
        </w:rPr>
        <w:t>á</w:t>
      </w:r>
      <w:r w:rsidRPr="00577AE6">
        <w:rPr>
          <w:rFonts w:ascii="Arial" w:eastAsia="Calibri" w:hAnsi="Arial" w:cs="Arial"/>
          <w:sz w:val="22"/>
          <w:szCs w:val="22"/>
          <w:lang w:val="es-ES_tradnl"/>
        </w:rPr>
        <w:t>s ajustada al principio de favorabilidad.</w:t>
      </w:r>
      <w:r w:rsidR="006C2981" w:rsidRPr="00577AE6">
        <w:rPr>
          <w:rFonts w:ascii="Arial" w:eastAsia="Calibri" w:hAnsi="Arial" w:cs="Arial"/>
          <w:sz w:val="22"/>
          <w:szCs w:val="22"/>
          <w:lang w:val="es-ES_tradnl"/>
        </w:rPr>
        <w:t xml:space="preserve"> En este caso, el requisito de edad de pensión estará determinado </w:t>
      </w:r>
      <w:r w:rsidR="00522E06" w:rsidRPr="00577AE6">
        <w:rPr>
          <w:rFonts w:ascii="Arial" w:eastAsia="Calibri" w:hAnsi="Arial" w:cs="Arial"/>
          <w:sz w:val="22"/>
          <w:szCs w:val="22"/>
          <w:lang w:val="es-ES_tradnl"/>
        </w:rPr>
        <w:t>lo dispuesto en el artículo 36 de la Ley 100 de 1993</w:t>
      </w:r>
      <w:r w:rsidR="00EA564C" w:rsidRPr="00577AE6">
        <w:rPr>
          <w:rFonts w:ascii="Arial" w:eastAsia="Calibri" w:hAnsi="Arial" w:cs="Arial"/>
          <w:sz w:val="22"/>
          <w:szCs w:val="22"/>
          <w:lang w:val="es-ES_tradnl"/>
        </w:rPr>
        <w:t xml:space="preserve">, o la norma que determine el requisito de edad aplicable a la persona vinculada en virtud del régimen de transición dispuesto en el inciso segundo de dicha norma. </w:t>
      </w:r>
    </w:p>
    <w:p w14:paraId="1FF62C86" w14:textId="77777777" w:rsidR="000B6AFC" w:rsidRPr="00577AE6" w:rsidRDefault="000B6AFC" w:rsidP="00702467">
      <w:pPr>
        <w:ind w:right="709"/>
        <w:jc w:val="both"/>
        <w:rPr>
          <w:rFonts w:ascii="Arial" w:hAnsi="Arial" w:cs="Arial"/>
          <w:sz w:val="22"/>
          <w:szCs w:val="22"/>
          <w:lang w:val="es-ES_tradnl"/>
        </w:rPr>
      </w:pPr>
    </w:p>
    <w:p w14:paraId="2AF37EF8" w14:textId="347D68CE" w:rsidR="008220F4" w:rsidRPr="00577AE6" w:rsidRDefault="004928A6" w:rsidP="00DA2256">
      <w:pPr>
        <w:ind w:left="709" w:right="709"/>
        <w:jc w:val="both"/>
        <w:rPr>
          <w:rFonts w:ascii="Arial" w:eastAsia="Calibri" w:hAnsi="Arial" w:cs="Arial"/>
          <w:sz w:val="21"/>
          <w:szCs w:val="21"/>
        </w:rPr>
      </w:pPr>
      <w:proofErr w:type="spellStart"/>
      <w:proofErr w:type="gramStart"/>
      <w:r w:rsidRPr="00577AE6">
        <w:rPr>
          <w:rFonts w:ascii="Arial" w:eastAsia="Calibri" w:hAnsi="Arial" w:cs="Arial"/>
          <w:sz w:val="21"/>
          <w:szCs w:val="21"/>
        </w:rPr>
        <w:t>iii</w:t>
      </w:r>
      <w:proofErr w:type="spellEnd"/>
      <w:r w:rsidRPr="00577AE6">
        <w:rPr>
          <w:rFonts w:ascii="Arial" w:eastAsia="Calibri" w:hAnsi="Arial" w:cs="Arial"/>
          <w:sz w:val="21"/>
          <w:szCs w:val="21"/>
        </w:rPr>
        <w:t>)¿</w:t>
      </w:r>
      <w:proofErr w:type="gramEnd"/>
      <w:r w:rsidRPr="00577AE6">
        <w:rPr>
          <w:rFonts w:ascii="Arial" w:eastAsia="Calibri" w:hAnsi="Arial" w:cs="Arial"/>
          <w:sz w:val="21"/>
          <w:szCs w:val="21"/>
        </w:rPr>
        <w:t xml:space="preserve">Cómo debe aplicarse el factor de desempate artículo 35.4 a proponentes plurales? ¿Debe acreditarlo el proponente plural o deben hacerlo sus integrantes?; </w:t>
      </w:r>
    </w:p>
    <w:p w14:paraId="4A2A67F3" w14:textId="77777777" w:rsidR="00ED14AD" w:rsidRPr="00577AE6" w:rsidRDefault="00ED14AD" w:rsidP="00DA2256">
      <w:pPr>
        <w:ind w:left="709" w:right="709"/>
        <w:jc w:val="both"/>
        <w:rPr>
          <w:rFonts w:ascii="Arial" w:eastAsia="Calibri" w:hAnsi="Arial" w:cs="Arial"/>
          <w:sz w:val="21"/>
          <w:szCs w:val="21"/>
        </w:rPr>
      </w:pPr>
    </w:p>
    <w:p w14:paraId="65060F14" w14:textId="42231DA0" w:rsidR="00ED14AD" w:rsidRPr="00577AE6" w:rsidRDefault="00ED14AD" w:rsidP="00ED14AD">
      <w:pPr>
        <w:spacing w:after="120" w:line="276" w:lineRule="auto"/>
        <w:jc w:val="both"/>
        <w:rPr>
          <w:rFonts w:ascii="Arial" w:hAnsi="Arial" w:cs="Arial"/>
          <w:sz w:val="22"/>
          <w:szCs w:val="22"/>
          <w:lang w:val="es-ES_tradnl"/>
        </w:rPr>
      </w:pPr>
      <w:r w:rsidRPr="00577AE6">
        <w:rPr>
          <w:rFonts w:ascii="Arial" w:hAnsi="Arial" w:cs="Arial"/>
          <w:sz w:val="22"/>
          <w:szCs w:val="22"/>
          <w:lang w:val="es-ES_tradnl"/>
        </w:rPr>
        <w:t>El numeral 4 del artículo 35 de la Ley 2069 de 2020 guarda silencio sobre la acreditación de la condición que da lugar la aplicación del factor de desempate. Por tanto, esta Agencia considera que, sin perjuicio de que el reglamento que expida el gobierno nacional determine un medio de acreditación especial, existe libertad probatoria sobre el tema. En consecuencia, la entidad estatal contratante puede determinar en el pliego de condiciones o documento equivalente cuál será el medio pertinente y conducente que permitirá evidenciar la vinculación en mayor proporción de personas mayores no beneficiarias de pensión por parte del oferente.</w:t>
      </w:r>
    </w:p>
    <w:p w14:paraId="2BBEB663" w14:textId="515E790F" w:rsidR="00087BED" w:rsidRPr="00577AE6" w:rsidRDefault="008C55FB" w:rsidP="00ED14AD">
      <w:pPr>
        <w:spacing w:line="276" w:lineRule="auto"/>
        <w:ind w:firstLine="708"/>
        <w:jc w:val="both"/>
        <w:rPr>
          <w:rFonts w:ascii="Arial" w:hAnsi="Arial" w:cs="Arial"/>
          <w:sz w:val="22"/>
          <w:szCs w:val="22"/>
          <w:lang w:val="es-ES_tradnl"/>
        </w:rPr>
      </w:pPr>
      <w:r w:rsidRPr="00577AE6">
        <w:rPr>
          <w:rFonts w:ascii="Arial" w:hAnsi="Arial" w:cs="Arial"/>
          <w:sz w:val="22"/>
          <w:szCs w:val="22"/>
          <w:lang w:val="es-ES_tradnl"/>
        </w:rPr>
        <w:t>Teniendo en cuenta que el numeral no distingue tipos de oferente</w:t>
      </w:r>
      <w:r w:rsidR="005B0146">
        <w:rPr>
          <w:rFonts w:ascii="Arial" w:hAnsi="Arial" w:cs="Arial"/>
          <w:sz w:val="22"/>
          <w:szCs w:val="22"/>
          <w:lang w:val="es-ES_tradnl"/>
        </w:rPr>
        <w:t>s</w:t>
      </w:r>
      <w:r w:rsidRPr="00577AE6">
        <w:rPr>
          <w:rFonts w:ascii="Arial" w:hAnsi="Arial" w:cs="Arial"/>
          <w:sz w:val="22"/>
          <w:szCs w:val="22"/>
          <w:lang w:val="es-ES_tradnl"/>
        </w:rPr>
        <w:t>,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w:t>
      </w:r>
      <w:r w:rsidR="00CA64F9" w:rsidRPr="00577AE6">
        <w:rPr>
          <w:rFonts w:ascii="Arial" w:hAnsi="Arial" w:cs="Arial"/>
          <w:sz w:val="22"/>
          <w:szCs w:val="22"/>
          <w:lang w:val="es-ES_tradnl"/>
        </w:rPr>
        <w:t>se</w:t>
      </w:r>
      <w:r w:rsidRPr="00577AE6">
        <w:rPr>
          <w:rFonts w:ascii="Arial" w:hAnsi="Arial" w:cs="Arial"/>
          <w:sz w:val="22"/>
          <w:szCs w:val="22"/>
          <w:lang w:val="es-ES_tradnl"/>
        </w:rPr>
        <w:t xml:space="preserve"> del factor de desempate.</w:t>
      </w:r>
      <w:r w:rsidR="00CA64F9" w:rsidRPr="00577AE6">
        <w:rPr>
          <w:rFonts w:ascii="Arial" w:hAnsi="Arial" w:cs="Arial"/>
          <w:sz w:val="22"/>
          <w:szCs w:val="22"/>
          <w:lang w:val="es-ES_tradnl"/>
        </w:rPr>
        <w:t xml:space="preserve"> </w:t>
      </w:r>
      <w:r w:rsidR="00415337" w:rsidRPr="00577AE6">
        <w:rPr>
          <w:rFonts w:ascii="Arial" w:hAnsi="Arial" w:cs="Arial"/>
          <w:sz w:val="22"/>
          <w:szCs w:val="22"/>
          <w:lang w:val="es-ES_tradnl"/>
        </w:rPr>
        <w:t>Ante el silencio de la norma en señalar el procedimiento de acreditación y evaluación para el caso de las estructuras plurales,</w:t>
      </w:r>
      <w:r w:rsidR="00184553" w:rsidRPr="00577AE6">
        <w:rPr>
          <w:rFonts w:ascii="Arial" w:hAnsi="Arial" w:cs="Arial"/>
          <w:sz w:val="22"/>
          <w:szCs w:val="22"/>
          <w:lang w:val="es-ES_tradnl"/>
        </w:rPr>
        <w:t xml:space="preserve"> así como la ausencia de reglamento que lo haga</w:t>
      </w:r>
      <w:r w:rsidR="007A7E4A" w:rsidRPr="00577AE6">
        <w:rPr>
          <w:rFonts w:ascii="Arial" w:hAnsi="Arial" w:cs="Arial"/>
          <w:sz w:val="22"/>
          <w:szCs w:val="22"/>
          <w:lang w:val="es-ES_tradnl"/>
        </w:rPr>
        <w:t>,</w:t>
      </w:r>
      <w:r w:rsidR="00415337" w:rsidRPr="00577AE6">
        <w:rPr>
          <w:rFonts w:ascii="Arial" w:hAnsi="Arial" w:cs="Arial"/>
          <w:sz w:val="22"/>
          <w:szCs w:val="22"/>
          <w:lang w:val="es-ES_tradnl"/>
        </w:rPr>
        <w:t xml:space="preserve"> esta Agencia considera que las entidades estatales cuentan con discrecionalidad administrativa para definir dicha metodología en el pliego de condiciones o documento equivalente, respetando los principios de igualdad y proporcionalidad.</w:t>
      </w:r>
      <w:r w:rsidR="00184553" w:rsidRPr="00577AE6">
        <w:rPr>
          <w:rFonts w:ascii="Arial" w:hAnsi="Arial" w:cs="Arial"/>
          <w:sz w:val="22"/>
          <w:szCs w:val="22"/>
          <w:lang w:val="es-ES_tradnl"/>
        </w:rPr>
        <w:t xml:space="preserve"> </w:t>
      </w:r>
      <w:r w:rsidR="00ED3428" w:rsidRPr="00577AE6">
        <w:rPr>
          <w:rFonts w:ascii="Arial" w:hAnsi="Arial" w:cs="Arial"/>
          <w:sz w:val="22"/>
          <w:szCs w:val="22"/>
          <w:lang w:val="es-ES_tradnl"/>
        </w:rPr>
        <w:t xml:space="preserve">En ejercicio de dicha potestad </w:t>
      </w:r>
      <w:r w:rsidR="003B1AFF" w:rsidRPr="00577AE6">
        <w:rPr>
          <w:rFonts w:ascii="Arial" w:hAnsi="Arial" w:cs="Arial"/>
          <w:sz w:val="22"/>
          <w:szCs w:val="22"/>
          <w:lang w:val="es-ES_tradnl"/>
        </w:rPr>
        <w:t xml:space="preserve">discrecional, las entidades estatales deberán establecer </w:t>
      </w:r>
      <w:r w:rsidR="00ED14AD" w:rsidRPr="00577AE6">
        <w:rPr>
          <w:rFonts w:ascii="Arial" w:hAnsi="Arial" w:cs="Arial"/>
          <w:sz w:val="22"/>
          <w:szCs w:val="22"/>
          <w:lang w:val="es-ES_tradnl"/>
        </w:rPr>
        <w:t xml:space="preserve">en el pliego de condiciones </w:t>
      </w:r>
      <w:r w:rsidR="003B1AFF" w:rsidRPr="00577AE6">
        <w:rPr>
          <w:rFonts w:ascii="Arial" w:hAnsi="Arial" w:cs="Arial"/>
          <w:sz w:val="22"/>
          <w:szCs w:val="22"/>
          <w:lang w:val="es-ES_tradnl"/>
        </w:rPr>
        <w:t>si el factor de desempate lo deben acreditar uno, varios o todos lo</w:t>
      </w:r>
      <w:r w:rsidR="00F96825" w:rsidRPr="00577AE6">
        <w:rPr>
          <w:rFonts w:ascii="Arial" w:hAnsi="Arial" w:cs="Arial"/>
          <w:sz w:val="22"/>
          <w:szCs w:val="22"/>
          <w:lang w:val="es-ES_tradnl"/>
        </w:rPr>
        <w:t>s</w:t>
      </w:r>
      <w:r w:rsidR="003B1AFF" w:rsidRPr="00577AE6">
        <w:rPr>
          <w:rFonts w:ascii="Arial" w:hAnsi="Arial" w:cs="Arial"/>
          <w:sz w:val="22"/>
          <w:szCs w:val="22"/>
          <w:lang w:val="es-ES_tradnl"/>
        </w:rPr>
        <w:t xml:space="preserve"> miembros del proponente plural.</w:t>
      </w:r>
    </w:p>
    <w:p w14:paraId="0E684977" w14:textId="1F075244" w:rsidR="004928A6" w:rsidRPr="00577AE6" w:rsidRDefault="00ED3428" w:rsidP="00087BED">
      <w:pPr>
        <w:spacing w:line="276" w:lineRule="auto"/>
        <w:jc w:val="both"/>
        <w:rPr>
          <w:rFonts w:ascii="Arial" w:hAnsi="Arial" w:cs="Arial"/>
          <w:sz w:val="22"/>
          <w:szCs w:val="22"/>
          <w:lang w:val="es-ES_tradnl"/>
        </w:rPr>
      </w:pPr>
      <w:r w:rsidRPr="00577AE6">
        <w:rPr>
          <w:rFonts w:ascii="Arial" w:hAnsi="Arial" w:cs="Arial"/>
          <w:sz w:val="22"/>
          <w:szCs w:val="22"/>
          <w:lang w:val="es-ES_tradnl"/>
        </w:rPr>
        <w:tab/>
      </w:r>
    </w:p>
    <w:p w14:paraId="44AB2E1A" w14:textId="65782A88" w:rsidR="004928A6" w:rsidRPr="00577AE6" w:rsidRDefault="004928A6" w:rsidP="00DA2256">
      <w:pPr>
        <w:ind w:left="709" w:right="709"/>
        <w:jc w:val="both"/>
        <w:rPr>
          <w:rFonts w:ascii="Arial" w:eastAsia="Calibri" w:hAnsi="Arial" w:cs="Arial"/>
          <w:sz w:val="21"/>
          <w:szCs w:val="21"/>
        </w:rPr>
      </w:pPr>
      <w:proofErr w:type="spellStart"/>
      <w:r w:rsidRPr="00577AE6">
        <w:rPr>
          <w:rFonts w:ascii="Arial" w:eastAsia="Calibri" w:hAnsi="Arial" w:cs="Arial"/>
          <w:sz w:val="21"/>
          <w:szCs w:val="21"/>
        </w:rPr>
        <w:lastRenderedPageBreak/>
        <w:t>iv</w:t>
      </w:r>
      <w:proofErr w:type="spellEnd"/>
      <w:r w:rsidRPr="00577AE6">
        <w:rPr>
          <w:rFonts w:ascii="Arial" w:eastAsia="Calibri" w:hAnsi="Arial" w:cs="Arial"/>
          <w:sz w:val="21"/>
          <w:szCs w:val="21"/>
        </w:rPr>
        <w:t>) ¿Como aplica lo dispuesto en el parágrafo segundo del artículo 35 para proponentes plurales en relación con el factor de desempate del numeral 4 de dicha norma? ¿Es exigible la antigüedad de un año del correspondiente personal como condición para beneficiarse del factor de desempate?</w:t>
      </w:r>
    </w:p>
    <w:p w14:paraId="4E049320" w14:textId="77777777" w:rsidR="00C87A4B" w:rsidRPr="00577AE6" w:rsidRDefault="00C87A4B" w:rsidP="00DA2256">
      <w:pPr>
        <w:ind w:left="709" w:right="709"/>
        <w:jc w:val="both"/>
        <w:rPr>
          <w:rFonts w:ascii="Arial" w:hAnsi="Arial" w:cs="Arial"/>
          <w:sz w:val="21"/>
          <w:szCs w:val="21"/>
          <w:lang w:val="es-ES_tradnl"/>
        </w:rPr>
      </w:pPr>
    </w:p>
    <w:p w14:paraId="03383D49" w14:textId="0154CC05" w:rsidR="00DE65C9" w:rsidRPr="00577AE6" w:rsidRDefault="00DE65C9" w:rsidP="006B1E71">
      <w:pPr>
        <w:spacing w:before="120" w:line="276" w:lineRule="auto"/>
        <w:jc w:val="both"/>
        <w:rPr>
          <w:rFonts w:ascii="Arial" w:hAnsi="Arial" w:cs="Arial"/>
          <w:sz w:val="22"/>
          <w:szCs w:val="22"/>
          <w:lang w:val="es-ES_tradnl"/>
        </w:rPr>
      </w:pPr>
      <w:r w:rsidRPr="00577AE6">
        <w:rPr>
          <w:rFonts w:ascii="Arial" w:hAnsi="Arial" w:cs="Arial"/>
          <w:sz w:val="22"/>
          <w:szCs w:val="22"/>
          <w:lang w:val="es-ES_tradnl"/>
        </w:rPr>
        <w:t>El artículo 35</w:t>
      </w:r>
      <w:r w:rsidR="003B64CE" w:rsidRPr="00577AE6">
        <w:rPr>
          <w:rFonts w:ascii="Arial" w:hAnsi="Arial" w:cs="Arial"/>
          <w:sz w:val="22"/>
          <w:szCs w:val="22"/>
          <w:lang w:val="es-ES_tradnl"/>
        </w:rPr>
        <w:t>.4</w:t>
      </w:r>
      <w:r w:rsidRPr="00577AE6">
        <w:rPr>
          <w:rFonts w:ascii="Arial" w:hAnsi="Arial" w:cs="Arial"/>
          <w:sz w:val="22"/>
          <w:szCs w:val="22"/>
          <w:lang w:val="es-ES_tradnl"/>
        </w:rPr>
        <w:t xml:space="preserve"> de la Ley 2069 de 2020 exige que la vinculación de personas mayores sea de carácter laboral</w:t>
      </w:r>
      <w:r w:rsidR="0041485B" w:rsidRPr="00577AE6">
        <w:rPr>
          <w:rFonts w:ascii="Arial" w:hAnsi="Arial" w:cs="Arial"/>
          <w:sz w:val="22"/>
          <w:szCs w:val="22"/>
          <w:lang w:val="es-ES_tradnl"/>
        </w:rPr>
        <w:t>.</w:t>
      </w:r>
      <w:r w:rsidRPr="00577AE6">
        <w:rPr>
          <w:rFonts w:ascii="Arial" w:hAnsi="Arial" w:cs="Arial"/>
          <w:sz w:val="22"/>
          <w:szCs w:val="22"/>
          <w:lang w:val="es-ES_tradnl"/>
        </w:rPr>
        <w:t xml:space="preserve"> Para estos efectos, la palabra «vinculación» debe entenderse en concordancia con el parágrafo 2 de la norma en comento, el cual dispone que «</w:t>
      </w:r>
      <w:r w:rsidRPr="00577AE6">
        <w:rPr>
          <w:rFonts w:ascii="Arial" w:hAnsi="Arial" w:cs="Arial"/>
          <w:sz w:val="22"/>
          <w:szCs w:val="22"/>
        </w:rPr>
        <w:t xml:space="preserve">Para los criterios enunciados que involucren la </w:t>
      </w:r>
      <w:r w:rsidRPr="00577AE6">
        <w:rPr>
          <w:rFonts w:ascii="Arial" w:hAnsi="Arial" w:cs="Arial"/>
          <w:i/>
          <w:iCs/>
          <w:sz w:val="22"/>
          <w:szCs w:val="22"/>
        </w:rPr>
        <w:t>vinculación de capital humano</w:t>
      </w:r>
      <w:r w:rsidRPr="00577AE6">
        <w:rPr>
          <w:rFonts w:ascii="Arial" w:hAnsi="Arial" w:cs="Arial"/>
          <w:sz w:val="22"/>
          <w:szCs w:val="22"/>
        </w:rPr>
        <w:t xml:space="preserve">, el oferente deberá acreditar una antigüedad igual o mayor a un año. Para los casos de constitución inferior a un año </w:t>
      </w:r>
      <w:r w:rsidRPr="00577AE6">
        <w:rPr>
          <w:rFonts w:ascii="Arial" w:hAnsi="Arial" w:cs="Arial"/>
          <w:i/>
          <w:iCs/>
          <w:sz w:val="22"/>
          <w:szCs w:val="22"/>
        </w:rPr>
        <w:t>se tendrá en cuenta a aquellos trabajadores</w:t>
      </w:r>
      <w:r w:rsidRPr="00577AE6">
        <w:rPr>
          <w:rFonts w:ascii="Arial" w:hAnsi="Arial" w:cs="Arial"/>
          <w:sz w:val="22"/>
          <w:szCs w:val="22"/>
        </w:rPr>
        <w:t xml:space="preserve"> que hayan estado vinculados desde el momento de constitución de </w:t>
      </w:r>
      <w:proofErr w:type="gramStart"/>
      <w:r w:rsidRPr="00577AE6">
        <w:rPr>
          <w:rFonts w:ascii="Arial" w:hAnsi="Arial" w:cs="Arial"/>
          <w:sz w:val="22"/>
          <w:szCs w:val="22"/>
        </w:rPr>
        <w:t>la misma</w:t>
      </w:r>
      <w:proofErr w:type="gramEnd"/>
      <w:r w:rsidRPr="00577AE6">
        <w:rPr>
          <w:rFonts w:ascii="Arial" w:hAnsi="Arial" w:cs="Arial"/>
          <w:sz w:val="22"/>
          <w:szCs w:val="22"/>
        </w:rPr>
        <w:t xml:space="preserve">» (Énfasis fuera de texto). </w:t>
      </w:r>
      <w:r w:rsidR="00F413F9">
        <w:rPr>
          <w:rFonts w:ascii="Arial" w:hAnsi="Arial" w:cs="Arial"/>
          <w:sz w:val="22"/>
          <w:szCs w:val="22"/>
        </w:rPr>
        <w:t>De igual forma, en t</w:t>
      </w:r>
      <w:r w:rsidR="0041485B" w:rsidRPr="00577AE6">
        <w:rPr>
          <w:rFonts w:ascii="Arial" w:hAnsi="Arial" w:cs="Arial"/>
          <w:sz w:val="22"/>
          <w:szCs w:val="22"/>
        </w:rPr>
        <w:t xml:space="preserve">ratándose de proponentes plurales </w:t>
      </w:r>
      <w:r w:rsidR="003B64CE" w:rsidRPr="00577AE6">
        <w:rPr>
          <w:rFonts w:ascii="Arial" w:hAnsi="Arial" w:cs="Arial"/>
          <w:sz w:val="22"/>
          <w:szCs w:val="22"/>
        </w:rPr>
        <w:t>la antigüedad de la</w:t>
      </w:r>
      <w:r w:rsidR="00727FE9" w:rsidRPr="00577AE6">
        <w:rPr>
          <w:rFonts w:ascii="Arial" w:hAnsi="Arial" w:cs="Arial"/>
          <w:sz w:val="22"/>
          <w:szCs w:val="22"/>
        </w:rPr>
        <w:t>s</w:t>
      </w:r>
      <w:r w:rsidR="003B64CE" w:rsidRPr="00577AE6">
        <w:rPr>
          <w:rFonts w:ascii="Arial" w:hAnsi="Arial" w:cs="Arial"/>
          <w:sz w:val="22"/>
          <w:szCs w:val="22"/>
        </w:rPr>
        <w:t xml:space="preserve"> </w:t>
      </w:r>
      <w:r w:rsidR="0041485B" w:rsidRPr="00577AE6">
        <w:rPr>
          <w:rFonts w:ascii="Arial" w:hAnsi="Arial" w:cs="Arial"/>
          <w:sz w:val="22"/>
          <w:szCs w:val="22"/>
        </w:rPr>
        <w:t>vinculaciones</w:t>
      </w:r>
      <w:r w:rsidR="003B64CE" w:rsidRPr="00577AE6">
        <w:rPr>
          <w:rFonts w:ascii="Arial" w:hAnsi="Arial" w:cs="Arial"/>
          <w:sz w:val="22"/>
          <w:szCs w:val="22"/>
        </w:rPr>
        <w:t xml:space="preserve"> laborales</w:t>
      </w:r>
      <w:r w:rsidR="00727FE9" w:rsidRPr="00577AE6">
        <w:rPr>
          <w:rFonts w:ascii="Arial" w:hAnsi="Arial" w:cs="Arial"/>
          <w:sz w:val="22"/>
          <w:szCs w:val="22"/>
        </w:rPr>
        <w:t xml:space="preserve"> deberá ser acreditada por lo</w:t>
      </w:r>
      <w:r w:rsidR="005B0146">
        <w:rPr>
          <w:rFonts w:ascii="Arial" w:hAnsi="Arial" w:cs="Arial"/>
          <w:sz w:val="22"/>
          <w:szCs w:val="22"/>
        </w:rPr>
        <w:t>s</w:t>
      </w:r>
      <w:r w:rsidR="00727FE9" w:rsidRPr="00577AE6">
        <w:rPr>
          <w:rFonts w:ascii="Arial" w:hAnsi="Arial" w:cs="Arial"/>
          <w:sz w:val="22"/>
          <w:szCs w:val="22"/>
        </w:rPr>
        <w:t xml:space="preserve"> miembros del proponente plural, conforme a las reglas </w:t>
      </w:r>
      <w:r w:rsidR="0041024C" w:rsidRPr="00577AE6">
        <w:rPr>
          <w:rFonts w:ascii="Arial" w:hAnsi="Arial" w:cs="Arial"/>
          <w:sz w:val="22"/>
          <w:szCs w:val="22"/>
        </w:rPr>
        <w:t>establecidas en el pliego de condiciones.</w:t>
      </w:r>
      <w:r w:rsidR="003B64CE" w:rsidRPr="00577AE6">
        <w:rPr>
          <w:rFonts w:ascii="Arial" w:hAnsi="Arial" w:cs="Arial"/>
          <w:sz w:val="22"/>
          <w:szCs w:val="22"/>
        </w:rPr>
        <w:t xml:space="preserve"> </w:t>
      </w:r>
    </w:p>
    <w:p w14:paraId="2D9A8074" w14:textId="77777777" w:rsidR="00702467" w:rsidRPr="00577AE6" w:rsidRDefault="00702467" w:rsidP="00DF76A2">
      <w:pPr>
        <w:spacing w:line="276" w:lineRule="auto"/>
        <w:jc w:val="both"/>
        <w:rPr>
          <w:rFonts w:ascii="Arial" w:hAnsi="Arial" w:cs="Arial"/>
          <w:sz w:val="22"/>
          <w:lang w:val="es-ES_tradnl"/>
        </w:rPr>
      </w:pPr>
    </w:p>
    <w:p w14:paraId="77EE5912" w14:textId="67D95C05" w:rsidR="00DD5B04" w:rsidRPr="00577AE6" w:rsidRDefault="00DD5B04" w:rsidP="00D81054">
      <w:pPr>
        <w:spacing w:line="276" w:lineRule="auto"/>
        <w:jc w:val="both"/>
        <w:rPr>
          <w:rFonts w:ascii="Arial" w:hAnsi="Arial" w:cs="Arial"/>
          <w:sz w:val="22"/>
          <w:szCs w:val="22"/>
          <w:lang w:val="es-ES_tradnl"/>
        </w:rPr>
      </w:pPr>
      <w:r w:rsidRPr="00577AE6">
        <w:rPr>
          <w:rFonts w:ascii="Arial" w:hAnsi="Arial" w:cs="Arial"/>
          <w:sz w:val="22"/>
          <w:lang w:val="es-ES_tradnl"/>
        </w:rPr>
        <w:t>Este concepto tiene el alcance previsto en el artículo 28 del Código de Procedimiento Administrativo y de lo Contencioso Administrativo.</w:t>
      </w:r>
    </w:p>
    <w:p w14:paraId="0DDBEF2B" w14:textId="51071491" w:rsidR="00DD5B04" w:rsidRPr="00577AE6"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577AE6">
        <w:rPr>
          <w:rFonts w:ascii="Arial" w:hAnsi="Arial" w:cs="Arial"/>
          <w:sz w:val="22"/>
          <w:szCs w:val="22"/>
          <w:lang w:val="es-ES_tradnl"/>
        </w:rPr>
        <w:t>Atentamente,</w:t>
      </w:r>
    </w:p>
    <w:p w14:paraId="30AA3DC7" w14:textId="540AAB02" w:rsidR="00921304" w:rsidRPr="00577AE6" w:rsidRDefault="00921304" w:rsidP="00F90C4D">
      <w:pPr>
        <w:pStyle w:val="NormalWeb"/>
        <w:spacing w:before="0" w:beforeAutospacing="0" w:after="0" w:afterAutospacing="0" w:line="276" w:lineRule="auto"/>
        <w:jc w:val="center"/>
        <w:rPr>
          <w:rFonts w:ascii="Arial" w:hAnsi="Arial" w:cs="Arial"/>
          <w:sz w:val="22"/>
          <w:szCs w:val="22"/>
          <w:lang w:val="es-ES_tradnl"/>
        </w:rPr>
      </w:pPr>
    </w:p>
    <w:p w14:paraId="5CBAE239" w14:textId="2D3277FC" w:rsidR="00425C43" w:rsidRPr="00577AE6" w:rsidRDefault="00D81054" w:rsidP="00B37657">
      <w:pPr>
        <w:jc w:val="center"/>
        <w:rPr>
          <w:rFonts w:ascii="Arial" w:hAnsi="Arial" w:cs="Arial"/>
          <w:sz w:val="18"/>
          <w:szCs w:val="20"/>
          <w:lang w:val="es-ES_tradnl" w:eastAsia="es-CO"/>
        </w:rPr>
      </w:pPr>
      <w:r>
        <w:rPr>
          <w:noProof/>
        </w:rPr>
        <w:drawing>
          <wp:inline distT="0" distB="0" distL="0" distR="0" wp14:anchorId="0431B805" wp14:editId="026D5782">
            <wp:extent cx="2498725" cy="124777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a:blip r:embed="rId12"/>
                    <a:srcRect l="6194" r="6194"/>
                    <a:stretch>
                      <a:fillRect/>
                    </a:stretch>
                  </pic:blipFill>
                  <pic:spPr bwMode="auto">
                    <a:xfrm>
                      <a:off x="0" y="0"/>
                      <a:ext cx="2498725" cy="1247775"/>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9730030" w14:textId="217D35F3" w:rsidR="00DD5B04" w:rsidRPr="00577AE6" w:rsidRDefault="00DD5B04" w:rsidP="00B37657">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77AE6" w:rsidRPr="00577AE6" w14:paraId="0C7DC5F7" w14:textId="77777777" w:rsidTr="008F4163">
        <w:trPr>
          <w:trHeight w:val="315"/>
        </w:trPr>
        <w:tc>
          <w:tcPr>
            <w:tcW w:w="812" w:type="dxa"/>
            <w:vAlign w:val="center"/>
            <w:hideMark/>
          </w:tcPr>
          <w:p w14:paraId="5BDB1AC9" w14:textId="77777777" w:rsidR="00DD5B04" w:rsidRPr="00577AE6" w:rsidRDefault="00DD5B04" w:rsidP="00DF76A2">
            <w:pPr>
              <w:jc w:val="both"/>
              <w:rPr>
                <w:rFonts w:ascii="Arial" w:hAnsi="Arial" w:cs="Arial"/>
                <w:sz w:val="16"/>
                <w:szCs w:val="16"/>
                <w:lang w:val="es-ES_tradnl" w:eastAsia="es-ES"/>
              </w:rPr>
            </w:pPr>
            <w:r w:rsidRPr="00577AE6">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1F697AD0" w:rsidR="00DD5B04" w:rsidRPr="00577AE6" w:rsidRDefault="0041024C" w:rsidP="00DF76A2">
            <w:pPr>
              <w:jc w:val="both"/>
              <w:rPr>
                <w:rFonts w:ascii="Arial" w:hAnsi="Arial" w:cs="Arial"/>
                <w:sz w:val="16"/>
                <w:szCs w:val="16"/>
                <w:lang w:val="es-ES_tradnl" w:eastAsia="es-ES"/>
              </w:rPr>
            </w:pPr>
            <w:r w:rsidRPr="00577AE6">
              <w:rPr>
                <w:rFonts w:ascii="Arial" w:hAnsi="Arial" w:cs="Arial"/>
                <w:sz w:val="16"/>
                <w:szCs w:val="16"/>
                <w:lang w:val="es-ES_tradnl" w:eastAsia="es-ES"/>
              </w:rPr>
              <w:t>Alejandro Sarmiento Cantillo</w:t>
            </w:r>
          </w:p>
          <w:p w14:paraId="240C71FD" w14:textId="568F91E0" w:rsidR="00DD5B04" w:rsidRPr="00577AE6" w:rsidRDefault="0041024C" w:rsidP="00DF76A2">
            <w:pPr>
              <w:jc w:val="both"/>
              <w:rPr>
                <w:rFonts w:ascii="Arial" w:hAnsi="Arial" w:cs="Arial"/>
                <w:sz w:val="16"/>
                <w:szCs w:val="16"/>
                <w:lang w:val="es-ES_tradnl" w:eastAsia="es-ES"/>
              </w:rPr>
            </w:pPr>
            <w:r w:rsidRPr="00577AE6">
              <w:rPr>
                <w:rFonts w:ascii="Arial" w:hAnsi="Arial" w:cs="Arial"/>
                <w:sz w:val="16"/>
                <w:szCs w:val="16"/>
                <w:lang w:val="es-ES_tradnl" w:eastAsia="es-ES"/>
              </w:rPr>
              <w:t>Gestor T1-11</w:t>
            </w:r>
            <w:r w:rsidR="00FF0050" w:rsidRPr="00577AE6">
              <w:rPr>
                <w:rFonts w:ascii="Arial" w:hAnsi="Arial" w:cs="Arial"/>
                <w:sz w:val="16"/>
                <w:szCs w:val="16"/>
                <w:lang w:val="es-ES_tradnl" w:eastAsia="es-ES"/>
              </w:rPr>
              <w:t xml:space="preserve"> de la </w:t>
            </w:r>
            <w:r w:rsidR="00DD5B04" w:rsidRPr="00577AE6">
              <w:rPr>
                <w:rFonts w:ascii="Arial" w:hAnsi="Arial" w:cs="Arial"/>
                <w:sz w:val="16"/>
                <w:szCs w:val="16"/>
                <w:lang w:val="es-ES_tradnl" w:eastAsia="es-ES"/>
              </w:rPr>
              <w:t>Subdirección de Gestión Contractual</w:t>
            </w:r>
          </w:p>
        </w:tc>
      </w:tr>
      <w:tr w:rsidR="00577AE6" w:rsidRPr="00577AE6" w14:paraId="2F8FD650" w14:textId="77777777" w:rsidTr="008F4163">
        <w:trPr>
          <w:trHeight w:val="330"/>
        </w:trPr>
        <w:tc>
          <w:tcPr>
            <w:tcW w:w="812" w:type="dxa"/>
            <w:vAlign w:val="center"/>
            <w:hideMark/>
          </w:tcPr>
          <w:p w14:paraId="50203A0B" w14:textId="77777777" w:rsidR="00DD5B04" w:rsidRPr="00577AE6" w:rsidRDefault="00DD5B04" w:rsidP="00DF76A2">
            <w:pPr>
              <w:jc w:val="both"/>
              <w:rPr>
                <w:rFonts w:ascii="Arial" w:hAnsi="Arial" w:cs="Arial"/>
                <w:sz w:val="16"/>
                <w:szCs w:val="16"/>
                <w:lang w:val="es-ES_tradnl" w:eastAsia="es-ES"/>
              </w:rPr>
            </w:pPr>
            <w:r w:rsidRPr="00577AE6">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67692320" w:rsidR="00C05A61" w:rsidRPr="00577AE6" w:rsidRDefault="00702467" w:rsidP="00C05A61">
            <w:pPr>
              <w:jc w:val="both"/>
              <w:rPr>
                <w:rFonts w:ascii="Arial" w:hAnsi="Arial" w:cs="Arial"/>
                <w:sz w:val="16"/>
                <w:szCs w:val="16"/>
                <w:lang w:val="es-ES_tradnl" w:eastAsia="es-ES"/>
              </w:rPr>
            </w:pPr>
            <w:r w:rsidRPr="00577AE6">
              <w:rPr>
                <w:rFonts w:ascii="Arial" w:hAnsi="Arial" w:cs="Arial"/>
                <w:sz w:val="16"/>
                <w:szCs w:val="16"/>
                <w:lang w:val="es-ES_tradnl" w:eastAsia="es-ES"/>
              </w:rPr>
              <w:t>Sebastián Ramírez Grisales</w:t>
            </w:r>
          </w:p>
          <w:p w14:paraId="130B3228" w14:textId="259960A1" w:rsidR="00DD5B04" w:rsidRPr="00577AE6" w:rsidRDefault="00EF5CA8" w:rsidP="00C05A61">
            <w:pPr>
              <w:jc w:val="both"/>
              <w:rPr>
                <w:rFonts w:ascii="Arial" w:hAnsi="Arial" w:cs="Arial"/>
                <w:sz w:val="16"/>
                <w:szCs w:val="16"/>
                <w:lang w:val="es-ES_tradnl" w:eastAsia="es-ES"/>
              </w:rPr>
            </w:pPr>
            <w:r w:rsidRPr="00577AE6">
              <w:rPr>
                <w:rFonts w:ascii="Arial" w:hAnsi="Arial" w:cs="Arial"/>
                <w:sz w:val="16"/>
                <w:szCs w:val="16"/>
                <w:lang w:val="es-ES_tradnl" w:eastAsia="es-ES"/>
              </w:rPr>
              <w:t>Gestor T1</w:t>
            </w:r>
            <w:r w:rsidR="008201DE" w:rsidRPr="00577AE6">
              <w:rPr>
                <w:rFonts w:ascii="Arial" w:hAnsi="Arial" w:cs="Arial"/>
                <w:sz w:val="16"/>
                <w:szCs w:val="16"/>
                <w:lang w:val="es-ES_tradnl" w:eastAsia="es-ES"/>
              </w:rPr>
              <w:t>-</w:t>
            </w:r>
            <w:r w:rsidRPr="00577AE6">
              <w:rPr>
                <w:rFonts w:ascii="Arial" w:hAnsi="Arial" w:cs="Arial"/>
                <w:sz w:val="16"/>
                <w:szCs w:val="16"/>
                <w:lang w:val="es-ES_tradnl" w:eastAsia="es-ES"/>
              </w:rPr>
              <w:t>15</w:t>
            </w:r>
            <w:r w:rsidR="008201DE" w:rsidRPr="00577AE6">
              <w:rPr>
                <w:rFonts w:ascii="Arial" w:hAnsi="Arial" w:cs="Arial"/>
                <w:sz w:val="16"/>
                <w:szCs w:val="16"/>
                <w:lang w:val="es-ES_tradnl" w:eastAsia="es-ES"/>
              </w:rPr>
              <w:t xml:space="preserve"> de la Subdirección de Gestión Contractual</w:t>
            </w:r>
          </w:p>
        </w:tc>
      </w:tr>
      <w:tr w:rsidR="00DD5B04" w:rsidRPr="00577AE6" w14:paraId="0FCBCA4A" w14:textId="77777777" w:rsidTr="008F4163">
        <w:trPr>
          <w:trHeight w:val="300"/>
        </w:trPr>
        <w:tc>
          <w:tcPr>
            <w:tcW w:w="812" w:type="dxa"/>
            <w:vAlign w:val="center"/>
            <w:hideMark/>
          </w:tcPr>
          <w:p w14:paraId="3C1D943A" w14:textId="77777777" w:rsidR="00DD5B04" w:rsidRPr="00577AE6" w:rsidRDefault="00DD5B04" w:rsidP="00DF76A2">
            <w:pPr>
              <w:jc w:val="both"/>
              <w:rPr>
                <w:rFonts w:ascii="Arial" w:hAnsi="Arial" w:cs="Arial"/>
                <w:sz w:val="16"/>
                <w:szCs w:val="16"/>
                <w:lang w:val="es-ES_tradnl" w:eastAsia="es-ES"/>
              </w:rPr>
            </w:pPr>
            <w:r w:rsidRPr="00577AE6">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77AE6" w:rsidRDefault="00C05A61" w:rsidP="00DF76A2">
            <w:pPr>
              <w:jc w:val="both"/>
              <w:rPr>
                <w:rFonts w:ascii="Arial" w:hAnsi="Arial" w:cs="Arial"/>
                <w:sz w:val="16"/>
                <w:szCs w:val="16"/>
                <w:lang w:val="es-ES_tradnl" w:eastAsia="es-ES"/>
              </w:rPr>
            </w:pPr>
            <w:r w:rsidRPr="00577AE6">
              <w:rPr>
                <w:rFonts w:ascii="Arial" w:hAnsi="Arial" w:cs="Arial"/>
                <w:sz w:val="16"/>
                <w:szCs w:val="16"/>
                <w:lang w:val="es-ES_tradnl" w:eastAsia="es-ES"/>
              </w:rPr>
              <w:t xml:space="preserve">Jorge </w:t>
            </w:r>
            <w:r w:rsidR="00647A36" w:rsidRPr="00577AE6">
              <w:rPr>
                <w:rFonts w:ascii="Arial" w:hAnsi="Arial" w:cs="Arial"/>
                <w:sz w:val="16"/>
                <w:szCs w:val="16"/>
                <w:lang w:val="es-ES_tradnl" w:eastAsia="es-ES"/>
              </w:rPr>
              <w:t xml:space="preserve">Augusto </w:t>
            </w:r>
            <w:r w:rsidRPr="00577AE6">
              <w:rPr>
                <w:rFonts w:ascii="Arial" w:hAnsi="Arial" w:cs="Arial"/>
                <w:sz w:val="16"/>
                <w:szCs w:val="16"/>
                <w:lang w:val="es-ES_tradnl" w:eastAsia="es-ES"/>
              </w:rPr>
              <w:t>Tirado Navarro</w:t>
            </w:r>
          </w:p>
          <w:p w14:paraId="1ADC483B" w14:textId="2E3B66D0" w:rsidR="00DD5B04" w:rsidRPr="00577AE6" w:rsidRDefault="00DD5B04" w:rsidP="00DF76A2">
            <w:pPr>
              <w:jc w:val="both"/>
              <w:rPr>
                <w:rFonts w:ascii="Arial" w:hAnsi="Arial" w:cs="Arial"/>
                <w:sz w:val="16"/>
                <w:szCs w:val="16"/>
                <w:lang w:val="es-ES_tradnl" w:eastAsia="es-ES"/>
              </w:rPr>
            </w:pPr>
            <w:r w:rsidRPr="00577AE6">
              <w:rPr>
                <w:rFonts w:ascii="Arial" w:hAnsi="Arial" w:cs="Arial"/>
                <w:sz w:val="16"/>
                <w:szCs w:val="16"/>
                <w:lang w:val="es-ES_tradnl" w:eastAsia="es-ES"/>
              </w:rPr>
              <w:t>Subdirector de Gestión Contractual</w:t>
            </w:r>
            <w:r w:rsidR="008201DE" w:rsidRPr="00577AE6">
              <w:rPr>
                <w:rFonts w:ascii="Arial" w:hAnsi="Arial" w:cs="Arial"/>
                <w:sz w:val="16"/>
                <w:szCs w:val="16"/>
                <w:lang w:val="es-ES_tradnl" w:eastAsia="es-ES"/>
              </w:rPr>
              <w:t xml:space="preserve"> ANCP – CCE</w:t>
            </w:r>
          </w:p>
        </w:tc>
      </w:tr>
    </w:tbl>
    <w:p w14:paraId="35B56F46" w14:textId="77777777" w:rsidR="00746E08" w:rsidRPr="00577AE6" w:rsidRDefault="00746E08" w:rsidP="00215B8E">
      <w:pPr>
        <w:jc w:val="both"/>
        <w:rPr>
          <w:rFonts w:ascii="Arial" w:hAnsi="Arial" w:cs="Arial"/>
          <w:lang w:val="es-ES_tradnl"/>
        </w:rPr>
      </w:pPr>
    </w:p>
    <w:sectPr w:rsidR="00746E08" w:rsidRPr="00577AE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09BA" w14:textId="77777777" w:rsidR="000040F1" w:rsidRDefault="000040F1">
      <w:r>
        <w:separator/>
      </w:r>
    </w:p>
  </w:endnote>
  <w:endnote w:type="continuationSeparator" w:id="0">
    <w:p w14:paraId="155EFF54" w14:textId="77777777" w:rsidR="000040F1" w:rsidRDefault="000040F1">
      <w:r>
        <w:continuationSeparator/>
      </w:r>
    </w:p>
  </w:endnote>
  <w:endnote w:type="continuationNotice" w:id="1">
    <w:p w14:paraId="6239599A" w14:textId="77777777" w:rsidR="000040F1" w:rsidRDefault="00004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F7C6" w14:textId="77777777" w:rsidR="000040F1" w:rsidRDefault="000040F1">
      <w:r>
        <w:separator/>
      </w:r>
    </w:p>
  </w:footnote>
  <w:footnote w:type="continuationSeparator" w:id="0">
    <w:p w14:paraId="0BEEA291" w14:textId="77777777" w:rsidR="000040F1" w:rsidRDefault="000040F1">
      <w:r>
        <w:continuationSeparator/>
      </w:r>
    </w:p>
  </w:footnote>
  <w:footnote w:type="continuationNotice" w:id="1">
    <w:p w14:paraId="7CBA7385" w14:textId="77777777" w:rsidR="000040F1" w:rsidRDefault="000040F1"/>
  </w:footnote>
  <w:footnote w:id="2">
    <w:p w14:paraId="2094CC12"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Consejo de Estado. Sección Tercera. Sentencia del 29 de octubre de 2.015. Consejera Ponente: Stella Conto Díaz Del Castillo. Expediente: 31.918.</w:t>
      </w:r>
    </w:p>
    <w:p w14:paraId="0765A1DD" w14:textId="77777777" w:rsidR="00A96C6A" w:rsidRPr="00A36636" w:rsidRDefault="00A96C6A" w:rsidP="00A96C6A">
      <w:pPr>
        <w:pStyle w:val="Textonotapie"/>
        <w:ind w:firstLine="709"/>
        <w:jc w:val="both"/>
        <w:rPr>
          <w:rFonts w:ascii="Arial" w:hAnsi="Arial" w:cs="Arial"/>
          <w:sz w:val="19"/>
          <w:szCs w:val="19"/>
          <w:lang w:val="es-ES"/>
        </w:rPr>
      </w:pPr>
    </w:p>
  </w:footnote>
  <w:footnote w:id="3">
    <w:p w14:paraId="60FF4E29"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Corte Constitucional. Sentencia T-684A del 14 de septiembre de 2011. Magistrado Ponente: Mauricio González Cuervo.</w:t>
      </w:r>
    </w:p>
    <w:p w14:paraId="3D66618C" w14:textId="77777777" w:rsidR="00A96C6A" w:rsidRPr="00A36636" w:rsidRDefault="00A96C6A" w:rsidP="00A96C6A">
      <w:pPr>
        <w:pStyle w:val="Textonotapie"/>
        <w:ind w:firstLine="709"/>
        <w:jc w:val="both"/>
        <w:rPr>
          <w:rFonts w:ascii="Arial" w:hAnsi="Arial" w:cs="Arial"/>
          <w:sz w:val="19"/>
          <w:szCs w:val="19"/>
          <w:lang w:val="es-ES"/>
        </w:rPr>
      </w:pPr>
    </w:p>
  </w:footnote>
  <w:footnote w:id="4">
    <w:p w14:paraId="25089BCA" w14:textId="3C6C1A7C" w:rsidR="00A96C6A" w:rsidRPr="00A36636" w:rsidRDefault="00A96C6A" w:rsidP="00A96C6A">
      <w:pPr>
        <w:pStyle w:val="Textonotapie"/>
        <w:ind w:firstLine="709"/>
        <w:jc w:val="both"/>
        <w:rPr>
          <w:rFonts w:ascii="Arial" w:hAnsi="Arial" w:cs="Arial"/>
          <w:sz w:val="19"/>
          <w:szCs w:val="19"/>
          <w:lang w:val="es-CO"/>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5">
    <w:p w14:paraId="564D55F2"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2 al 29.</w:t>
      </w:r>
    </w:p>
    <w:p w14:paraId="6FE6FC47" w14:textId="77777777" w:rsidR="00A96C6A" w:rsidRPr="00A36636" w:rsidRDefault="00A96C6A" w:rsidP="00A96C6A">
      <w:pPr>
        <w:pStyle w:val="Textonotapie"/>
        <w:ind w:firstLine="709"/>
        <w:jc w:val="both"/>
        <w:rPr>
          <w:rFonts w:ascii="Arial" w:hAnsi="Arial" w:cs="Arial"/>
          <w:sz w:val="19"/>
          <w:szCs w:val="19"/>
          <w:lang w:val="es-ES"/>
        </w:rPr>
      </w:pPr>
    </w:p>
  </w:footnote>
  <w:footnote w:id="6">
    <w:p w14:paraId="0B69280E"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30 al 36.</w:t>
      </w:r>
    </w:p>
    <w:p w14:paraId="5C326917" w14:textId="77777777" w:rsidR="00A96C6A" w:rsidRPr="00A36636" w:rsidRDefault="00A96C6A" w:rsidP="00A96C6A">
      <w:pPr>
        <w:pStyle w:val="Textonotapie"/>
        <w:ind w:firstLine="709"/>
        <w:jc w:val="both"/>
        <w:rPr>
          <w:rFonts w:ascii="Arial" w:hAnsi="Arial" w:cs="Arial"/>
          <w:sz w:val="19"/>
          <w:szCs w:val="19"/>
          <w:lang w:val="es-ES"/>
        </w:rPr>
      </w:pPr>
    </w:p>
  </w:footnote>
  <w:footnote w:id="7">
    <w:p w14:paraId="14F6868D"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37 al 45.</w:t>
      </w:r>
    </w:p>
    <w:p w14:paraId="509497FA" w14:textId="77777777" w:rsidR="00A96C6A" w:rsidRPr="00A36636" w:rsidRDefault="00A96C6A" w:rsidP="00A96C6A">
      <w:pPr>
        <w:pStyle w:val="Textonotapie"/>
        <w:ind w:firstLine="709"/>
        <w:jc w:val="both"/>
        <w:rPr>
          <w:rFonts w:ascii="Arial" w:hAnsi="Arial" w:cs="Arial"/>
          <w:sz w:val="19"/>
          <w:szCs w:val="19"/>
          <w:lang w:val="es-ES"/>
        </w:rPr>
      </w:pPr>
    </w:p>
  </w:footnote>
  <w:footnote w:id="8">
    <w:p w14:paraId="6F9739F8"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46 al 73.</w:t>
      </w:r>
    </w:p>
    <w:p w14:paraId="1797CB5E" w14:textId="77777777" w:rsidR="00A96C6A" w:rsidRPr="00A36636" w:rsidRDefault="00A96C6A" w:rsidP="00A96C6A">
      <w:pPr>
        <w:pStyle w:val="Textonotapie"/>
        <w:ind w:firstLine="709"/>
        <w:jc w:val="both"/>
        <w:rPr>
          <w:rFonts w:ascii="Arial" w:hAnsi="Arial" w:cs="Arial"/>
          <w:sz w:val="19"/>
          <w:szCs w:val="19"/>
          <w:lang w:val="es-ES"/>
        </w:rPr>
      </w:pPr>
    </w:p>
  </w:footnote>
  <w:footnote w:id="9">
    <w:p w14:paraId="7C7AD47F" w14:textId="347DC538" w:rsidR="00A96C6A"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74 al 83.</w:t>
      </w:r>
    </w:p>
  </w:footnote>
  <w:footnote w:id="10">
    <w:p w14:paraId="2D738759" w14:textId="1A02B64A" w:rsidR="00F91BC7" w:rsidRPr="004A2740" w:rsidRDefault="00F91BC7" w:rsidP="004A2740">
      <w:pPr>
        <w:pStyle w:val="NormalWeb"/>
        <w:spacing w:before="0" w:beforeAutospacing="0" w:after="0" w:afterAutospacing="0"/>
        <w:ind w:firstLine="708"/>
        <w:jc w:val="both"/>
        <w:rPr>
          <w:rFonts w:ascii="Arial" w:hAnsi="Arial" w:cs="Arial"/>
          <w:color w:val="000000"/>
          <w:sz w:val="19"/>
          <w:szCs w:val="19"/>
        </w:rPr>
      </w:pPr>
      <w:r w:rsidRPr="004A2740">
        <w:rPr>
          <w:rStyle w:val="Refdenotaalpie"/>
          <w:rFonts w:ascii="Arial" w:hAnsi="Arial" w:cs="Arial"/>
          <w:sz w:val="19"/>
          <w:szCs w:val="19"/>
        </w:rPr>
        <w:footnoteRef/>
      </w:r>
      <w:r w:rsidR="004A2740" w:rsidRPr="004A2740">
        <w:rPr>
          <w:rFonts w:ascii="Arial" w:hAnsi="Arial" w:cs="Arial"/>
          <w:sz w:val="19"/>
          <w:szCs w:val="19"/>
        </w:rPr>
        <w:t xml:space="preserve"> Ley 100 de 1993.</w:t>
      </w:r>
      <w:r w:rsidRPr="004A2740">
        <w:rPr>
          <w:rFonts w:ascii="Arial" w:hAnsi="Arial" w:cs="Arial"/>
          <w:sz w:val="19"/>
          <w:szCs w:val="19"/>
        </w:rPr>
        <w:t xml:space="preserve"> </w:t>
      </w:r>
      <w:r w:rsidR="004A2740" w:rsidRPr="004A2740">
        <w:rPr>
          <w:rFonts w:ascii="Arial" w:hAnsi="Arial" w:cs="Arial"/>
          <w:sz w:val="19"/>
          <w:szCs w:val="19"/>
        </w:rPr>
        <w:t>«</w:t>
      </w:r>
      <w:r w:rsidR="004A2740" w:rsidRPr="004A2740">
        <w:rPr>
          <w:rStyle w:val="Textoennegrita"/>
          <w:rFonts w:ascii="Arial" w:hAnsi="Arial" w:cs="Arial"/>
          <w:b w:val="0"/>
          <w:bCs w:val="0"/>
          <w:color w:val="000000"/>
          <w:sz w:val="19"/>
          <w:szCs w:val="19"/>
        </w:rPr>
        <w:t>Artículo</w:t>
      </w:r>
      <w:r w:rsidRPr="004A2740">
        <w:rPr>
          <w:rStyle w:val="Textoennegrita"/>
          <w:rFonts w:ascii="Arial" w:hAnsi="Arial" w:cs="Arial"/>
          <w:b w:val="0"/>
          <w:bCs w:val="0"/>
          <w:color w:val="000000"/>
          <w:sz w:val="19"/>
          <w:szCs w:val="19"/>
        </w:rPr>
        <w:t xml:space="preserve"> 33.</w:t>
      </w:r>
      <w:r w:rsidR="004A2740" w:rsidRPr="004A2740">
        <w:rPr>
          <w:rStyle w:val="Textoennegrita"/>
          <w:rFonts w:ascii="Arial" w:hAnsi="Arial" w:cs="Arial"/>
          <w:color w:val="000000"/>
          <w:sz w:val="19"/>
          <w:szCs w:val="19"/>
        </w:rPr>
        <w:t xml:space="preserve"> </w:t>
      </w:r>
      <w:r w:rsidRPr="004A2740">
        <w:rPr>
          <w:rFonts w:ascii="Arial" w:hAnsi="Arial" w:cs="Arial"/>
          <w:color w:val="000000"/>
          <w:sz w:val="19"/>
          <w:szCs w:val="19"/>
        </w:rPr>
        <w:t>Requisitos para Obtener la Pensión de Vejez. Para tener derecho a la pensión de vejez, el afiliado deberá reunir las siguientes condiciones: </w:t>
      </w:r>
    </w:p>
    <w:p w14:paraId="07C6B34D" w14:textId="47CBF054" w:rsidR="00F91BC7" w:rsidRPr="004A2740" w:rsidRDefault="00F91BC7" w:rsidP="004A2740">
      <w:pPr>
        <w:pStyle w:val="NormalWeb"/>
        <w:spacing w:before="0" w:beforeAutospacing="0" w:after="0" w:afterAutospacing="0"/>
        <w:jc w:val="both"/>
        <w:rPr>
          <w:rFonts w:ascii="Arial" w:hAnsi="Arial" w:cs="Arial"/>
          <w:color w:val="000000"/>
          <w:sz w:val="19"/>
          <w:szCs w:val="19"/>
        </w:rPr>
      </w:pPr>
      <w:r w:rsidRPr="004A2740">
        <w:rPr>
          <w:rFonts w:ascii="Arial" w:hAnsi="Arial" w:cs="Arial"/>
          <w:color w:val="000000"/>
          <w:sz w:val="19"/>
          <w:szCs w:val="19"/>
        </w:rPr>
        <w:t>  </w:t>
      </w:r>
      <w:r w:rsidR="004A2740" w:rsidRPr="004A2740">
        <w:rPr>
          <w:rFonts w:ascii="Arial" w:hAnsi="Arial" w:cs="Arial"/>
          <w:color w:val="000000"/>
          <w:sz w:val="19"/>
          <w:szCs w:val="19"/>
        </w:rPr>
        <w:tab/>
        <w:t>»</w:t>
      </w:r>
      <w:r w:rsidRPr="004A2740">
        <w:rPr>
          <w:rFonts w:ascii="Arial" w:hAnsi="Arial" w:cs="Arial"/>
          <w:color w:val="000000"/>
          <w:sz w:val="19"/>
          <w:szCs w:val="19"/>
        </w:rPr>
        <w:t>1. Haber cumplido cincuenta y cinco (55) años de edad si es mujer, o sesenta 60 años de edad si es hombre. </w:t>
      </w:r>
    </w:p>
    <w:p w14:paraId="66D039B0" w14:textId="4D2C7E38" w:rsidR="00F91BC7" w:rsidRPr="004A2740" w:rsidRDefault="00F91BC7" w:rsidP="004A2740">
      <w:pPr>
        <w:pStyle w:val="NormalWeb"/>
        <w:spacing w:before="0" w:beforeAutospacing="0" w:after="0" w:afterAutospacing="0"/>
        <w:jc w:val="both"/>
        <w:rPr>
          <w:rFonts w:ascii="Arial" w:hAnsi="Arial" w:cs="Arial"/>
          <w:color w:val="000000"/>
          <w:sz w:val="19"/>
          <w:szCs w:val="19"/>
        </w:rPr>
      </w:pPr>
      <w:r w:rsidRPr="004A2740">
        <w:rPr>
          <w:rFonts w:ascii="Arial" w:hAnsi="Arial" w:cs="Arial"/>
          <w:color w:val="000000"/>
          <w:sz w:val="19"/>
          <w:szCs w:val="19"/>
        </w:rPr>
        <w:t>  </w:t>
      </w:r>
      <w:r w:rsidR="004A2740" w:rsidRPr="004A2740">
        <w:rPr>
          <w:rFonts w:ascii="Arial" w:hAnsi="Arial" w:cs="Arial"/>
          <w:color w:val="000000"/>
          <w:sz w:val="19"/>
          <w:szCs w:val="19"/>
        </w:rPr>
        <w:tab/>
        <w:t>»</w:t>
      </w:r>
      <w:r w:rsidRPr="004A2740">
        <w:rPr>
          <w:rFonts w:ascii="Arial" w:hAnsi="Arial" w:cs="Arial"/>
          <w:color w:val="000000"/>
          <w:sz w:val="19"/>
          <w:szCs w:val="19"/>
        </w:rPr>
        <w:t>2. Haber cotizado un mínimo de 1.000 semanas en cualquier tiempo. </w:t>
      </w:r>
    </w:p>
    <w:p w14:paraId="4896F5C1" w14:textId="0897A486" w:rsidR="00F91BC7" w:rsidRPr="004A2740" w:rsidRDefault="00F91BC7" w:rsidP="004A2740">
      <w:pPr>
        <w:pStyle w:val="NormalWeb"/>
        <w:spacing w:before="0" w:beforeAutospacing="0" w:after="0" w:afterAutospacing="0"/>
        <w:jc w:val="both"/>
        <w:rPr>
          <w:rFonts w:ascii="Arial" w:hAnsi="Arial" w:cs="Arial"/>
          <w:color w:val="000000"/>
          <w:sz w:val="19"/>
          <w:szCs w:val="19"/>
        </w:rPr>
      </w:pPr>
      <w:r w:rsidRPr="004A2740">
        <w:rPr>
          <w:rFonts w:ascii="Arial" w:hAnsi="Arial" w:cs="Arial"/>
          <w:color w:val="000000"/>
          <w:sz w:val="19"/>
          <w:szCs w:val="19"/>
        </w:rPr>
        <w:t>  </w:t>
      </w:r>
      <w:r w:rsidRPr="004A2740">
        <w:rPr>
          <w:rFonts w:ascii="Arial" w:hAnsi="Arial" w:cs="Arial"/>
          <w:color w:val="000000"/>
          <w:sz w:val="19"/>
          <w:szCs w:val="19"/>
        </w:rPr>
        <w:tab/>
      </w:r>
      <w:r w:rsidRPr="004A2740">
        <w:rPr>
          <w:rStyle w:val="Textoennegrita"/>
          <w:rFonts w:ascii="Arial" w:hAnsi="Arial" w:cs="Arial"/>
          <w:color w:val="000000"/>
          <w:sz w:val="19"/>
          <w:szCs w:val="19"/>
        </w:rPr>
        <w:t>»</w:t>
      </w:r>
      <w:r w:rsidRPr="004A2740">
        <w:rPr>
          <w:rStyle w:val="Textoennegrita"/>
          <w:rFonts w:ascii="Arial" w:hAnsi="Arial" w:cs="Arial"/>
          <w:b w:val="0"/>
          <w:bCs w:val="0"/>
          <w:color w:val="000000"/>
          <w:sz w:val="19"/>
          <w:szCs w:val="19"/>
        </w:rPr>
        <w:t>Parágrafo 1º</w:t>
      </w:r>
      <w:r w:rsidRPr="004A2740">
        <w:rPr>
          <w:rStyle w:val="Textoennegrita"/>
          <w:rFonts w:ascii="Arial" w:hAnsi="Arial" w:cs="Arial"/>
          <w:color w:val="000000"/>
          <w:sz w:val="19"/>
          <w:szCs w:val="19"/>
        </w:rPr>
        <w:t>.</w:t>
      </w:r>
      <w:r w:rsidRPr="004A2740">
        <w:rPr>
          <w:rFonts w:ascii="Arial" w:hAnsi="Arial" w:cs="Arial"/>
          <w:color w:val="000000"/>
          <w:sz w:val="19"/>
          <w:szCs w:val="19"/>
        </w:rPr>
        <w:t> Para efectos del cómputo de las semanas a que se refiere el presente artículo, y en concordancia con lo establecido en el literal f) del artículo 13 se tendrán en cuenta: </w:t>
      </w:r>
    </w:p>
    <w:p w14:paraId="7DF7F1AA" w14:textId="041FC8BB" w:rsidR="00F91BC7" w:rsidRPr="004A2740" w:rsidRDefault="00F91BC7" w:rsidP="004A2740">
      <w:pPr>
        <w:pStyle w:val="NormalWeb"/>
        <w:spacing w:before="0" w:beforeAutospacing="0" w:after="0" w:afterAutospacing="0"/>
        <w:ind w:firstLine="708"/>
        <w:jc w:val="both"/>
        <w:rPr>
          <w:rFonts w:ascii="Arial" w:hAnsi="Arial" w:cs="Arial"/>
          <w:color w:val="000000"/>
          <w:sz w:val="19"/>
          <w:szCs w:val="19"/>
        </w:rPr>
      </w:pPr>
      <w:r w:rsidRPr="004A2740">
        <w:rPr>
          <w:rFonts w:ascii="Arial" w:hAnsi="Arial" w:cs="Arial"/>
          <w:color w:val="000000"/>
          <w:sz w:val="19"/>
          <w:szCs w:val="19"/>
        </w:rPr>
        <w:t>[…]</w:t>
      </w:r>
    </w:p>
    <w:p w14:paraId="70C967FA" w14:textId="5839FFA8" w:rsidR="00F91BC7" w:rsidRPr="004A2740" w:rsidRDefault="00F91BC7" w:rsidP="004A2740">
      <w:pPr>
        <w:pStyle w:val="NormalWeb"/>
        <w:spacing w:before="0" w:beforeAutospacing="0" w:after="0" w:afterAutospacing="0"/>
        <w:ind w:firstLine="708"/>
        <w:jc w:val="both"/>
        <w:rPr>
          <w:rFonts w:ascii="Arial" w:hAnsi="Arial" w:cs="Arial"/>
          <w:color w:val="000000"/>
          <w:sz w:val="19"/>
          <w:szCs w:val="19"/>
        </w:rPr>
      </w:pPr>
      <w:bookmarkStart w:id="3" w:name="ver_1636001"/>
      <w:bookmarkEnd w:id="3"/>
      <w:r w:rsidRPr="004A2740">
        <w:rPr>
          <w:rStyle w:val="Textoennegrita"/>
          <w:rFonts w:ascii="Arial" w:hAnsi="Arial" w:cs="Arial"/>
          <w:b w:val="0"/>
          <w:bCs w:val="0"/>
          <w:color w:val="000000"/>
          <w:sz w:val="19"/>
          <w:szCs w:val="19"/>
        </w:rPr>
        <w:t>»Artículo 36.</w:t>
      </w:r>
      <w:r w:rsidRPr="004A2740">
        <w:rPr>
          <w:rStyle w:val="Textoennegrita"/>
          <w:rFonts w:ascii="Arial" w:hAnsi="Arial" w:cs="Arial"/>
          <w:color w:val="000000"/>
          <w:sz w:val="19"/>
          <w:szCs w:val="19"/>
        </w:rPr>
        <w:t xml:space="preserve"> </w:t>
      </w:r>
      <w:r w:rsidRPr="004A2740">
        <w:rPr>
          <w:rFonts w:ascii="Arial" w:hAnsi="Arial" w:cs="Arial"/>
          <w:color w:val="000000"/>
          <w:sz w:val="19"/>
          <w:szCs w:val="19"/>
        </w:rPr>
        <w:t>Régimen de Transición. La edad para acceder a la pensión de vejez. continuará en cincuenta y cinco (55) años para las mujeres y sesenta (60) para los hombres, hasta el año 2014, fecha en la cual la edad se incrementará en 2 años, es decir, será de 57 años para las mujeres y 62 para los hombres. </w:t>
      </w:r>
    </w:p>
    <w:p w14:paraId="0D96A76B" w14:textId="1FDD49F0" w:rsidR="00F91BC7" w:rsidRPr="004A2740" w:rsidRDefault="00F91BC7" w:rsidP="004A2740">
      <w:pPr>
        <w:pStyle w:val="NormalWeb"/>
        <w:spacing w:before="0" w:beforeAutospacing="0" w:after="0" w:afterAutospacing="0"/>
        <w:jc w:val="both"/>
        <w:rPr>
          <w:rFonts w:ascii="Arial" w:hAnsi="Arial" w:cs="Arial"/>
          <w:color w:val="000000"/>
          <w:sz w:val="19"/>
          <w:szCs w:val="19"/>
        </w:rPr>
      </w:pPr>
      <w:r w:rsidRPr="004A2740">
        <w:rPr>
          <w:rFonts w:ascii="Arial" w:hAnsi="Arial" w:cs="Arial"/>
          <w:color w:val="000000"/>
          <w:sz w:val="19"/>
          <w:szCs w:val="19"/>
        </w:rPr>
        <w:t>  </w:t>
      </w:r>
      <w:r w:rsidR="004A2740" w:rsidRPr="004A2740">
        <w:rPr>
          <w:rFonts w:ascii="Arial" w:hAnsi="Arial" w:cs="Arial"/>
          <w:color w:val="000000"/>
          <w:sz w:val="19"/>
          <w:szCs w:val="19"/>
        </w:rPr>
        <w:tab/>
        <w:t>»</w:t>
      </w:r>
      <w:r w:rsidRPr="004A2740">
        <w:rPr>
          <w:rFonts w:ascii="Arial" w:hAnsi="Arial" w:cs="Arial"/>
          <w:color w:val="000000"/>
          <w:sz w:val="19"/>
          <w:szCs w:val="19"/>
        </w:rPr>
        <w:t>La edad para acceder a la pensión de vejez, el tiempo de servicio o el número de semanas cotizadas, y el monto de la pensión de vejez de las personas que al momento de entrar en vigencia el Sistema tengan 35 o más años de edad si son mujeres o 40 o más años de edad si son hombres, o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w:t>
      </w:r>
      <w:r w:rsidR="004A2740" w:rsidRPr="004A2740">
        <w:rPr>
          <w:rFonts w:ascii="Arial" w:hAnsi="Arial" w:cs="Arial"/>
          <w:color w:val="000000"/>
          <w:sz w:val="19"/>
          <w:szCs w:val="19"/>
        </w:rPr>
        <w:t>»</w:t>
      </w:r>
      <w:r w:rsidRPr="004A2740">
        <w:rPr>
          <w:rFonts w:ascii="Arial" w:hAnsi="Arial" w:cs="Arial"/>
          <w:color w:val="000000"/>
          <w:sz w:val="19"/>
          <w:szCs w:val="19"/>
        </w:rPr>
        <w:t>. </w:t>
      </w:r>
    </w:p>
    <w:p w14:paraId="3A347E40" w14:textId="67A15C8E" w:rsidR="00F91BC7" w:rsidRPr="00F91BC7" w:rsidRDefault="00F91BC7">
      <w:pPr>
        <w:pStyle w:val="Textonotapie"/>
        <w:rPr>
          <w:lang w:val="es-CO"/>
        </w:rPr>
      </w:pPr>
    </w:p>
  </w:footnote>
  <w:footnote w:id="11">
    <w:p w14:paraId="5F329810" w14:textId="6F635F72" w:rsidR="00DC22CA" w:rsidRPr="005171E4" w:rsidRDefault="00636D9C" w:rsidP="00DC22CA">
      <w:pPr>
        <w:shd w:val="clear" w:color="auto" w:fill="FFFFFF"/>
        <w:ind w:firstLine="708"/>
        <w:jc w:val="both"/>
        <w:rPr>
          <w:rFonts w:ascii="Arial" w:hAnsi="Arial" w:cs="Arial"/>
          <w:color w:val="2D2D2D"/>
          <w:sz w:val="19"/>
          <w:szCs w:val="19"/>
          <w:lang w:eastAsia="es-CO"/>
        </w:rPr>
      </w:pPr>
      <w:r w:rsidRPr="00A40C1D">
        <w:rPr>
          <w:rStyle w:val="Refdenotaalpie"/>
          <w:rFonts w:ascii="Arial" w:hAnsi="Arial" w:cs="Arial"/>
          <w:sz w:val="19"/>
          <w:szCs w:val="19"/>
        </w:rPr>
        <w:footnoteRef/>
      </w:r>
      <w:r w:rsidRPr="00A40C1D">
        <w:rPr>
          <w:rFonts w:ascii="Arial" w:hAnsi="Arial" w:cs="Arial"/>
          <w:sz w:val="19"/>
          <w:szCs w:val="19"/>
        </w:rPr>
        <w:t xml:space="preserve"> </w:t>
      </w:r>
      <w:r w:rsidR="00DC22CA" w:rsidRPr="00A40C1D">
        <w:rPr>
          <w:rFonts w:ascii="Arial" w:hAnsi="Arial" w:cs="Arial"/>
          <w:sz w:val="19"/>
          <w:szCs w:val="19"/>
        </w:rPr>
        <w:t>Al respecto la Corte Constitucional ha señalado:</w:t>
      </w:r>
      <w:r w:rsidR="00A40C1D">
        <w:rPr>
          <w:rFonts w:ascii="Arial" w:hAnsi="Arial" w:cs="Arial"/>
          <w:sz w:val="19"/>
          <w:szCs w:val="19"/>
        </w:rPr>
        <w:t xml:space="preserve"> </w:t>
      </w:r>
      <w:r w:rsidR="00DC22CA" w:rsidRPr="00A40C1D">
        <w:rPr>
          <w:rFonts w:ascii="Arial" w:hAnsi="Arial" w:cs="Arial"/>
          <w:color w:val="2D2D2D"/>
          <w:sz w:val="19"/>
          <w:szCs w:val="19"/>
          <w:lang w:eastAsia="es-CO"/>
        </w:rPr>
        <w:t>«</w:t>
      </w:r>
      <w:r w:rsidR="00DC22CA" w:rsidRPr="005171E4">
        <w:rPr>
          <w:rFonts w:ascii="Arial" w:hAnsi="Arial" w:cs="Arial"/>
          <w:color w:val="2D2D2D"/>
          <w:sz w:val="19"/>
          <w:szCs w:val="19"/>
          <w:lang w:eastAsia="es-CO"/>
        </w:rPr>
        <w:t>4.1. La garantía de la estabilidad laboral reforzada implica para el trabajador, en ciertas circunstancias, el poder continuar desempeñando sus funciones siempre que la causa que motivó la suscripción del contrato con el empleador se mantenga vigente y no existan razones que deriven en la inviabilidad de su continuación. Esta figura, definida en la forma que antecede, ha sido aplicada en favor del empleado para proteger otros derechos fundamentales de los que es titular.</w:t>
      </w:r>
      <w:r w:rsidR="00DC22CA" w:rsidRPr="00A40C1D">
        <w:rPr>
          <w:rFonts w:ascii="Arial" w:hAnsi="Arial" w:cs="Arial"/>
          <w:color w:val="2D2D2D"/>
          <w:sz w:val="19"/>
          <w:szCs w:val="19"/>
          <w:lang w:eastAsia="es-CO"/>
        </w:rPr>
        <w:t xml:space="preserve"> […] </w:t>
      </w:r>
      <w:r w:rsidR="00DC22CA" w:rsidRPr="005171E4">
        <w:rPr>
          <w:rFonts w:ascii="Arial" w:hAnsi="Arial" w:cs="Arial"/>
          <w:color w:val="2D2D2D"/>
          <w:sz w:val="19"/>
          <w:szCs w:val="19"/>
          <w:lang w:eastAsia="es-CO"/>
        </w:rPr>
        <w:t xml:space="preserve">acudiendo a tal garantía </w:t>
      </w:r>
      <w:r w:rsidR="00DC22CA" w:rsidRPr="00A40C1D">
        <w:rPr>
          <w:rFonts w:ascii="Arial" w:hAnsi="Arial" w:cs="Arial"/>
          <w:color w:val="2D2D2D"/>
          <w:sz w:val="19"/>
          <w:szCs w:val="19"/>
          <w:lang w:eastAsia="es-CO"/>
        </w:rPr>
        <w:t xml:space="preserve">[…] </w:t>
      </w:r>
      <w:r w:rsidR="00DC22CA" w:rsidRPr="005171E4">
        <w:rPr>
          <w:rFonts w:ascii="Arial" w:hAnsi="Arial" w:cs="Arial"/>
          <w:color w:val="2D2D2D"/>
          <w:sz w:val="19"/>
          <w:szCs w:val="19"/>
          <w:lang w:eastAsia="es-CO"/>
        </w:rPr>
        <w:t>se ha establecido, </w:t>
      </w:r>
      <w:r w:rsidR="00DC22CA" w:rsidRPr="005171E4">
        <w:rPr>
          <w:rFonts w:ascii="Arial" w:hAnsi="Arial" w:cs="Arial"/>
          <w:i/>
          <w:iCs/>
          <w:color w:val="2D2D2D"/>
          <w:sz w:val="19"/>
          <w:szCs w:val="19"/>
          <w:lang w:eastAsia="es-CO"/>
        </w:rPr>
        <w:t>prima facie</w:t>
      </w:r>
      <w:r w:rsidR="00DC22CA" w:rsidRPr="005171E4">
        <w:rPr>
          <w:rFonts w:ascii="Arial" w:hAnsi="Arial" w:cs="Arial"/>
          <w:color w:val="2D2D2D"/>
          <w:sz w:val="19"/>
          <w:szCs w:val="19"/>
          <w:lang w:eastAsia="es-CO"/>
        </w:rPr>
        <w:t>, la imposibilidad de finalizar el contrato de quien está </w:t>
      </w:r>
      <w:r w:rsidR="00DC22CA" w:rsidRPr="005171E4">
        <w:rPr>
          <w:rFonts w:ascii="Arial" w:hAnsi="Arial" w:cs="Arial"/>
          <w:i/>
          <w:iCs/>
          <w:color w:val="2D2D2D"/>
          <w:sz w:val="19"/>
          <w:szCs w:val="19"/>
          <w:lang w:eastAsia="es-CO"/>
        </w:rPr>
        <w:t>ad portas</w:t>
      </w:r>
      <w:r w:rsidR="00DC22CA" w:rsidRPr="005171E4">
        <w:rPr>
          <w:rFonts w:ascii="Arial" w:hAnsi="Arial" w:cs="Arial"/>
          <w:color w:val="2D2D2D"/>
          <w:sz w:val="19"/>
          <w:szCs w:val="19"/>
          <w:lang w:eastAsia="es-CO"/>
        </w:rPr>
        <w:t> de cumplir los requisitos exigidos por ley para pensionarse</w:t>
      </w:r>
      <w:r w:rsidR="00DC22CA" w:rsidRPr="00A40C1D">
        <w:rPr>
          <w:rFonts w:ascii="Arial" w:hAnsi="Arial" w:cs="Arial"/>
          <w:color w:val="2D2D2D"/>
          <w:sz w:val="19"/>
          <w:szCs w:val="19"/>
          <w:lang w:eastAsia="es-CO"/>
        </w:rPr>
        <w:t>.</w:t>
      </w:r>
    </w:p>
    <w:p w14:paraId="03D9E20A" w14:textId="4AE6F1B8" w:rsidR="00636D9C" w:rsidRPr="00636D9C" w:rsidRDefault="00DC22CA" w:rsidP="00A40C1D">
      <w:pPr>
        <w:shd w:val="clear" w:color="auto" w:fill="FFFFFF"/>
        <w:jc w:val="both"/>
      </w:pPr>
      <w:r w:rsidRPr="005171E4">
        <w:rPr>
          <w:rFonts w:ascii="Arial" w:hAnsi="Arial" w:cs="Arial"/>
          <w:color w:val="2D2D2D"/>
          <w:sz w:val="19"/>
          <w:szCs w:val="19"/>
          <w:lang w:eastAsia="es-CO"/>
        </w:rPr>
        <w:t> </w:t>
      </w:r>
      <w:r w:rsidRPr="00A40C1D">
        <w:rPr>
          <w:rFonts w:ascii="Arial" w:hAnsi="Arial" w:cs="Arial"/>
          <w:color w:val="2D2D2D"/>
          <w:sz w:val="19"/>
          <w:szCs w:val="19"/>
          <w:lang w:eastAsia="es-CO"/>
        </w:rPr>
        <w:tab/>
        <w:t>»</w:t>
      </w:r>
      <w:r w:rsidRPr="005171E4">
        <w:rPr>
          <w:rFonts w:ascii="Arial" w:hAnsi="Arial" w:cs="Arial"/>
          <w:color w:val="2D2D2D"/>
          <w:sz w:val="19"/>
          <w:szCs w:val="19"/>
          <w:lang w:eastAsia="es-CO"/>
        </w:rPr>
        <w:t xml:space="preserve">4.3. </w:t>
      </w:r>
      <w:r w:rsidRPr="00A40C1D">
        <w:rPr>
          <w:rFonts w:ascii="Arial" w:hAnsi="Arial" w:cs="Arial"/>
          <w:color w:val="2D2D2D"/>
          <w:sz w:val="19"/>
          <w:szCs w:val="19"/>
          <w:lang w:eastAsia="es-CO"/>
        </w:rPr>
        <w:t xml:space="preserve">[…] </w:t>
      </w:r>
      <w:r w:rsidRPr="005171E4">
        <w:rPr>
          <w:rFonts w:ascii="Arial" w:hAnsi="Arial" w:cs="Arial"/>
          <w:color w:val="2D2D2D"/>
          <w:sz w:val="19"/>
          <w:szCs w:val="19"/>
          <w:lang w:eastAsia="es-CO"/>
        </w:rPr>
        <w:t>la Ley 790 de 2002 –artículo 12–, previó, con ocasión del Programa de Renovación de la Administración Pública a partir del cual algunas entidades de la Rama Ejecutiva serían restructuradas o liquidadas, un mecanismo de salvaguardia especial, denominado </w:t>
      </w:r>
      <w:r w:rsidRPr="005171E4">
        <w:rPr>
          <w:rFonts w:ascii="Arial" w:hAnsi="Arial" w:cs="Arial"/>
          <w:i/>
          <w:iCs/>
          <w:color w:val="2D2D2D"/>
          <w:sz w:val="19"/>
          <w:szCs w:val="19"/>
          <w:lang w:eastAsia="es-CO"/>
        </w:rPr>
        <w:t>retén social</w:t>
      </w:r>
      <w:r w:rsidRPr="005171E4">
        <w:rPr>
          <w:rFonts w:ascii="Arial" w:hAnsi="Arial" w:cs="Arial"/>
          <w:color w:val="2D2D2D"/>
          <w:sz w:val="19"/>
          <w:szCs w:val="19"/>
          <w:lang w:eastAsia="es-CO"/>
        </w:rPr>
        <w:t xml:space="preserve">. Esa protección consistía, fundamentalmente, en que las personas que tenían la expectativa de cumplir con los requisitos establecidos en la ley –edad y semanas cotizadas– para pensionarse en el lapso de los tres años siguientes a la promulgación de la norma debían ser mantenidas, durante el mayor tiempo posible, en sus cargos. </w:t>
      </w:r>
      <w:r w:rsidRPr="00A40C1D">
        <w:rPr>
          <w:rFonts w:ascii="Arial" w:hAnsi="Arial" w:cs="Arial"/>
          <w:color w:val="2D2D2D"/>
          <w:sz w:val="19"/>
          <w:szCs w:val="19"/>
          <w:lang w:eastAsia="es-CO"/>
        </w:rPr>
        <w:t xml:space="preserve">[…] </w:t>
      </w:r>
      <w:r w:rsidRPr="005171E4">
        <w:rPr>
          <w:rFonts w:ascii="Arial" w:hAnsi="Arial" w:cs="Arial"/>
          <w:color w:val="2D2D2D"/>
          <w:sz w:val="19"/>
          <w:szCs w:val="19"/>
          <w:lang w:eastAsia="es-CO"/>
        </w:rPr>
        <w:t xml:space="preserve">No obstante, a pesar de que la protección legal nació para los trabajadores que se encontraban en la situación descrita en el párrafo precedente, esta Corporación ha estimado que la garantía de la estabilidad laboral reforzada para los </w:t>
      </w:r>
      <w:r w:rsidRPr="005171E4">
        <w:rPr>
          <w:rFonts w:ascii="Arial" w:hAnsi="Arial" w:cs="Arial"/>
          <w:color w:val="2D2D2D"/>
          <w:sz w:val="19"/>
          <w:szCs w:val="19"/>
          <w:lang w:eastAsia="es-CO"/>
        </w:rPr>
        <w:t>prepensionados puede aplicarse en otro tipo de contextos u escenarios, como serían aquellos en que se haya desvinculado a un servidor público por razones distintas a la prevista en el artículo 12 de la Ley 790 de 2002, o cuando lo propio haya sucedido con un trabajador vinculado a una entidad de orden privad</w:t>
      </w:r>
      <w:r w:rsidRPr="00A40C1D">
        <w:rPr>
          <w:rFonts w:ascii="Arial" w:hAnsi="Arial" w:cs="Arial"/>
          <w:color w:val="2D2D2D"/>
          <w:sz w:val="19"/>
          <w:szCs w:val="19"/>
          <w:lang w:eastAsia="es-CO"/>
        </w:rPr>
        <w:t>o».</w:t>
      </w:r>
      <w:r w:rsidR="00487D54" w:rsidRPr="00A40C1D">
        <w:rPr>
          <w:rFonts w:ascii="Arial" w:hAnsi="Arial" w:cs="Arial"/>
          <w:color w:val="2D2D2D"/>
          <w:sz w:val="19"/>
          <w:szCs w:val="19"/>
          <w:lang w:eastAsia="es-CO"/>
        </w:rPr>
        <w:t xml:space="preserve"> Sentencia T</w:t>
      </w:r>
      <w:r w:rsidR="00A40C1D" w:rsidRPr="00A40C1D">
        <w:rPr>
          <w:rFonts w:ascii="Arial" w:hAnsi="Arial" w:cs="Arial"/>
          <w:color w:val="2D2D2D"/>
          <w:sz w:val="19"/>
          <w:szCs w:val="19"/>
          <w:lang w:eastAsia="es-CO"/>
        </w:rPr>
        <w:t>-055 del 17 de febrero de 2020. M.P. Luis Guillermo Guerrero Pérez.</w:t>
      </w:r>
    </w:p>
  </w:footnote>
  <w:footnote w:id="12">
    <w:p w14:paraId="13689A23" w14:textId="47D58693" w:rsidR="000C5988" w:rsidRPr="005171E4" w:rsidRDefault="00CF2AE3" w:rsidP="000C5988">
      <w:pPr>
        <w:shd w:val="clear" w:color="auto" w:fill="FFFFFF"/>
        <w:ind w:firstLine="708"/>
        <w:jc w:val="both"/>
        <w:rPr>
          <w:rFonts w:ascii="Arial" w:hAnsi="Arial" w:cs="Arial"/>
          <w:color w:val="2D2D2D"/>
          <w:sz w:val="19"/>
          <w:szCs w:val="19"/>
          <w:lang w:eastAsia="es-CO"/>
        </w:rPr>
      </w:pPr>
      <w:r w:rsidRPr="000C5988">
        <w:rPr>
          <w:rStyle w:val="Refdenotaalpie"/>
          <w:rFonts w:ascii="Arial" w:hAnsi="Arial" w:cs="Arial"/>
          <w:sz w:val="19"/>
          <w:szCs w:val="19"/>
        </w:rPr>
        <w:footnoteRef/>
      </w:r>
      <w:r w:rsidRPr="000C5988">
        <w:rPr>
          <w:rFonts w:ascii="Arial" w:hAnsi="Arial" w:cs="Arial"/>
          <w:sz w:val="19"/>
          <w:szCs w:val="19"/>
        </w:rPr>
        <w:t xml:space="preserve"> </w:t>
      </w:r>
      <w:r w:rsidR="00983107" w:rsidRPr="000C5988">
        <w:rPr>
          <w:rFonts w:ascii="Arial" w:hAnsi="Arial" w:cs="Arial"/>
          <w:sz w:val="19"/>
          <w:szCs w:val="19"/>
        </w:rPr>
        <w:t xml:space="preserve">Para determinar la calidad de </w:t>
      </w:r>
      <w:r w:rsidR="00983107" w:rsidRPr="000C5988">
        <w:rPr>
          <w:rFonts w:ascii="Arial" w:hAnsi="Arial" w:cs="Arial"/>
          <w:sz w:val="19"/>
          <w:szCs w:val="19"/>
        </w:rPr>
        <w:t>prepensionada de una persona</w:t>
      </w:r>
      <w:r w:rsidR="00AF2208" w:rsidRPr="000C5988">
        <w:rPr>
          <w:rFonts w:ascii="Arial" w:hAnsi="Arial" w:cs="Arial"/>
          <w:sz w:val="19"/>
          <w:szCs w:val="19"/>
        </w:rPr>
        <w:t xml:space="preserve"> es importante tener en cuenta el régimen pensional al que se encuentra afiliado, ya que al variar los requisitos </w:t>
      </w:r>
      <w:r w:rsidR="000C5988" w:rsidRPr="000C5988">
        <w:rPr>
          <w:rFonts w:ascii="Arial" w:hAnsi="Arial" w:cs="Arial"/>
          <w:sz w:val="19"/>
          <w:szCs w:val="19"/>
        </w:rPr>
        <w:t>son diferentes las consideraciones a realizar para determinar dicha condición. Al respecto la Corte Constitucional ha señalado: «</w:t>
      </w:r>
      <w:r w:rsidR="000C5988" w:rsidRPr="000C5988">
        <w:rPr>
          <w:rFonts w:ascii="Arial" w:hAnsi="Arial" w:cs="Arial"/>
          <w:color w:val="2D2D2D"/>
          <w:sz w:val="19"/>
          <w:szCs w:val="19"/>
          <w:lang w:eastAsia="es-CO"/>
        </w:rPr>
        <w:t>[E]</w:t>
      </w:r>
      <w:r w:rsidR="000C5988" w:rsidRPr="005171E4">
        <w:rPr>
          <w:rFonts w:ascii="Arial" w:hAnsi="Arial" w:cs="Arial"/>
          <w:color w:val="2D2D2D"/>
          <w:sz w:val="19"/>
          <w:szCs w:val="19"/>
          <w:lang w:eastAsia="es-CO"/>
        </w:rPr>
        <w:t xml:space="preserve">l alcance de esta regla fue delimitado –para quienes se encuentran afiliados al RPM– por la Sala Plena de esta Corporación en              la Sentencia SU-003 de 2018. </w:t>
      </w:r>
      <w:r w:rsidR="000C5988" w:rsidRPr="000C5988">
        <w:rPr>
          <w:rFonts w:ascii="Arial" w:hAnsi="Arial" w:cs="Arial"/>
          <w:color w:val="2D2D2D"/>
          <w:sz w:val="19"/>
          <w:szCs w:val="19"/>
          <w:lang w:eastAsia="es-CO"/>
        </w:rPr>
        <w:t xml:space="preserve">[…] </w:t>
      </w:r>
      <w:r w:rsidR="000C5988" w:rsidRPr="005171E4">
        <w:rPr>
          <w:rFonts w:ascii="Arial" w:hAnsi="Arial" w:cs="Arial"/>
          <w:color w:val="2D2D2D"/>
          <w:sz w:val="19"/>
          <w:szCs w:val="19"/>
          <w:lang w:eastAsia="es-CO"/>
        </w:rPr>
        <w:t>Al abordar de manera directa la cuestión planteada, la Sala Plena consideró que, en tales eventos, la persona no podrá ser beneficiaria del fuero mencionado dado que (i) el requisito de la edad podrá cumplirlo de manera posterior, con o sin vinculación laboral vigente y, en consecuencia, (ii) el empleador, con el despido, no está frustrando el acceso a la prestación de vejez (párrafo 59). Esta interpretación se fundó en que </w:t>
      </w:r>
      <w:r w:rsidR="000C5988" w:rsidRPr="005171E4">
        <w:rPr>
          <w:rFonts w:ascii="Arial" w:hAnsi="Arial" w:cs="Arial"/>
          <w:i/>
          <w:iCs/>
          <w:color w:val="2D2D2D"/>
          <w:sz w:val="19"/>
          <w:szCs w:val="19"/>
          <w:lang w:eastAsia="es-CO"/>
        </w:rPr>
        <w:t>“</w:t>
      </w:r>
      <w:r w:rsidR="000C5988" w:rsidRPr="005171E4">
        <w:rPr>
          <w:rFonts w:ascii="Arial" w:hAnsi="Arial" w:cs="Arial"/>
          <w:i/>
          <w:iCs/>
          <w:color w:val="2D2D2D"/>
          <w:sz w:val="19"/>
          <w:szCs w:val="19"/>
          <w:shd w:val="clear" w:color="auto" w:fill="FFFFFF"/>
          <w:lang w:eastAsia="es-CO"/>
        </w:rPr>
        <w:t>la “prepensión” protege la expectativa del trabajador de obtener su pensión de vejez, ante su posible frustración como consecuencia de una pérdida intempestiva del empleo. Por tanto, ampara la estabilidad en el cargo y la continuidad en la cotización efectiva al Sistema General de Seguridad Social en Pensiones </w:t>
      </w:r>
      <w:r w:rsidR="000C5988" w:rsidRPr="005171E4">
        <w:rPr>
          <w:rFonts w:ascii="Arial" w:hAnsi="Arial" w:cs="Arial"/>
          <w:color w:val="2D2D2D"/>
          <w:sz w:val="19"/>
          <w:szCs w:val="19"/>
          <w:shd w:val="clear" w:color="auto" w:fill="FFFFFF"/>
          <w:lang w:eastAsia="es-CO"/>
        </w:rPr>
        <w:t>(…)</w:t>
      </w:r>
      <w:r w:rsidR="000C5988" w:rsidRPr="005171E4">
        <w:rPr>
          <w:rFonts w:ascii="Arial" w:hAnsi="Arial" w:cs="Arial"/>
          <w:i/>
          <w:iCs/>
          <w:color w:val="2D2D2D"/>
          <w:sz w:val="19"/>
          <w:szCs w:val="19"/>
          <w:shd w:val="clear" w:color="auto" w:fill="FFFFFF"/>
          <w:lang w:eastAsia="es-CO"/>
        </w:rPr>
        <w:t>” </w:t>
      </w:r>
      <w:r w:rsidR="000C5988" w:rsidRPr="005171E4">
        <w:rPr>
          <w:rFonts w:ascii="Arial" w:hAnsi="Arial" w:cs="Arial"/>
          <w:color w:val="2D2D2D"/>
          <w:sz w:val="19"/>
          <w:szCs w:val="19"/>
          <w:lang w:eastAsia="es-CO"/>
        </w:rPr>
        <w:t>(párrafo 62)</w:t>
      </w:r>
      <w:r w:rsidR="000C5988" w:rsidRPr="005171E4">
        <w:rPr>
          <w:rFonts w:ascii="Arial" w:hAnsi="Arial" w:cs="Arial"/>
          <w:color w:val="2D2D2D"/>
          <w:sz w:val="19"/>
          <w:szCs w:val="19"/>
          <w:shd w:val="clear" w:color="auto" w:fill="FFFFFF"/>
          <w:lang w:eastAsia="es-CO"/>
        </w:rPr>
        <w:t xml:space="preserve">. Habida cuenta de esta última consideración, </w:t>
      </w:r>
      <w:r w:rsidR="000C5988" w:rsidRPr="000C5988">
        <w:rPr>
          <w:rFonts w:ascii="Arial" w:hAnsi="Arial" w:cs="Arial"/>
          <w:color w:val="2D2D2D"/>
          <w:sz w:val="19"/>
          <w:szCs w:val="19"/>
          <w:shd w:val="clear" w:color="auto" w:fill="FFFFFF"/>
          <w:lang w:eastAsia="es-CO"/>
        </w:rPr>
        <w:t xml:space="preserve">[…] </w:t>
      </w:r>
      <w:r w:rsidR="000C5988" w:rsidRPr="005171E4">
        <w:rPr>
          <w:rFonts w:ascii="Arial" w:hAnsi="Arial" w:cs="Arial"/>
          <w:color w:val="2D2D2D"/>
          <w:sz w:val="19"/>
          <w:szCs w:val="19"/>
          <w:shd w:val="clear" w:color="auto" w:fill="FFFFFF"/>
          <w:lang w:eastAsia="es-CO"/>
        </w:rPr>
        <w:t>quien asegure ser un prepensionado en el Régimen de Prima Media con Prestación Definid</w:t>
      </w:r>
      <w:r w:rsidR="000C5988" w:rsidRPr="000C5988">
        <w:rPr>
          <w:rFonts w:ascii="Arial" w:hAnsi="Arial" w:cs="Arial"/>
          <w:color w:val="2D2D2D"/>
          <w:sz w:val="19"/>
          <w:szCs w:val="19"/>
          <w:shd w:val="clear" w:color="auto" w:fill="FFFFFF"/>
          <w:lang w:eastAsia="es-CO"/>
        </w:rPr>
        <w:t xml:space="preserve">a […] </w:t>
      </w:r>
      <w:r w:rsidR="000C5988" w:rsidRPr="005171E4">
        <w:rPr>
          <w:rFonts w:ascii="Arial" w:hAnsi="Arial" w:cs="Arial"/>
          <w:color w:val="2D2D2D"/>
          <w:sz w:val="19"/>
          <w:szCs w:val="19"/>
          <w:lang w:eastAsia="es-CO"/>
        </w:rPr>
        <w:t>de conformidad con la postura unificada de la Corte, solo</w:t>
      </w:r>
      <w:r w:rsidR="000C5988" w:rsidRPr="000C5988">
        <w:rPr>
          <w:rFonts w:ascii="Arial" w:hAnsi="Arial" w:cs="Arial"/>
          <w:color w:val="2D2D2D"/>
          <w:sz w:val="19"/>
          <w:szCs w:val="19"/>
          <w:lang w:eastAsia="es-CO"/>
        </w:rPr>
        <w:t xml:space="preserve"> </w:t>
      </w:r>
      <w:r w:rsidR="000C5988" w:rsidRPr="005171E4">
        <w:rPr>
          <w:rFonts w:ascii="Arial" w:hAnsi="Arial" w:cs="Arial"/>
          <w:color w:val="2D2D2D"/>
          <w:sz w:val="19"/>
          <w:szCs w:val="19"/>
          <w:lang w:eastAsia="es-CO"/>
        </w:rPr>
        <w:t>en los supuestos </w:t>
      </w:r>
      <w:r w:rsidR="000C5988" w:rsidRPr="005171E4">
        <w:rPr>
          <w:rFonts w:ascii="Arial" w:hAnsi="Arial" w:cs="Arial"/>
          <w:i/>
          <w:iCs/>
          <w:color w:val="2D2D2D"/>
          <w:sz w:val="19"/>
          <w:szCs w:val="19"/>
          <w:lang w:eastAsia="es-CO"/>
        </w:rPr>
        <w:t>a</w:t>
      </w:r>
      <w:r w:rsidR="000C5988" w:rsidRPr="005171E4">
        <w:rPr>
          <w:rFonts w:ascii="Arial" w:hAnsi="Arial" w:cs="Arial"/>
          <w:color w:val="2D2D2D"/>
          <w:sz w:val="19"/>
          <w:szCs w:val="19"/>
          <w:lang w:eastAsia="es-CO"/>
        </w:rPr>
        <w:t> </w:t>
      </w:r>
      <w:r w:rsidR="000C5988" w:rsidRPr="000C5988">
        <w:rPr>
          <w:rFonts w:ascii="Arial" w:hAnsi="Arial" w:cs="Arial"/>
          <w:color w:val="2D2D2D"/>
          <w:sz w:val="19"/>
          <w:szCs w:val="19"/>
          <w:lang w:eastAsia="es-CO"/>
        </w:rPr>
        <w:t xml:space="preserve">[persona que </w:t>
      </w:r>
      <w:r w:rsidR="000C5988" w:rsidRPr="000C5988">
        <w:rPr>
          <w:rFonts w:ascii="Arial" w:hAnsi="Arial" w:cs="Arial"/>
          <w:color w:val="2D2D2D"/>
          <w:sz w:val="19"/>
          <w:szCs w:val="19"/>
          <w:shd w:val="clear" w:color="auto" w:fill="FFFFFF"/>
          <w:lang w:eastAsia="es-CO"/>
        </w:rPr>
        <w:t>e</w:t>
      </w:r>
      <w:r w:rsidR="000C5988" w:rsidRPr="005171E4">
        <w:rPr>
          <w:rFonts w:ascii="Arial" w:hAnsi="Arial" w:cs="Arial"/>
          <w:color w:val="2D2D2D"/>
          <w:sz w:val="19"/>
          <w:szCs w:val="19"/>
          <w:shd w:val="clear" w:color="auto" w:fill="FFFFFF"/>
          <w:lang w:eastAsia="es-CO"/>
        </w:rPr>
        <w:t>stá a tres años o menos de cumplir edad y semanas cotizadas</w:t>
      </w:r>
      <w:r w:rsidR="000C5988" w:rsidRPr="000C5988">
        <w:rPr>
          <w:rFonts w:ascii="Arial" w:hAnsi="Arial" w:cs="Arial"/>
          <w:color w:val="2D2D2D"/>
          <w:sz w:val="19"/>
          <w:szCs w:val="19"/>
          <w:shd w:val="clear" w:color="auto" w:fill="FFFFFF"/>
          <w:lang w:eastAsia="es-CO"/>
        </w:rPr>
        <w:t>]</w:t>
      </w:r>
      <w:r w:rsidR="000C5988" w:rsidRPr="000C5988">
        <w:rPr>
          <w:rFonts w:ascii="Arial" w:hAnsi="Arial" w:cs="Arial"/>
          <w:color w:val="2D2D2D"/>
          <w:sz w:val="19"/>
          <w:szCs w:val="19"/>
          <w:lang w:eastAsia="es-CO"/>
        </w:rPr>
        <w:t xml:space="preserve"> </w:t>
      </w:r>
      <w:r w:rsidR="000C5988" w:rsidRPr="005171E4">
        <w:rPr>
          <w:rFonts w:ascii="Arial" w:hAnsi="Arial" w:cs="Arial"/>
          <w:color w:val="2D2D2D"/>
          <w:sz w:val="19"/>
          <w:szCs w:val="19"/>
          <w:lang w:eastAsia="es-CO"/>
        </w:rPr>
        <w:t>y </w:t>
      </w:r>
      <w:r w:rsidR="000C5988" w:rsidRPr="005171E4">
        <w:rPr>
          <w:rFonts w:ascii="Arial" w:hAnsi="Arial" w:cs="Arial"/>
          <w:i/>
          <w:iCs/>
          <w:color w:val="2D2D2D"/>
          <w:sz w:val="19"/>
          <w:szCs w:val="19"/>
          <w:lang w:eastAsia="es-CO"/>
        </w:rPr>
        <w:t>c</w:t>
      </w:r>
      <w:r w:rsidR="000C5988" w:rsidRPr="000C5988">
        <w:rPr>
          <w:rFonts w:ascii="Arial" w:hAnsi="Arial" w:cs="Arial"/>
          <w:i/>
          <w:iCs/>
          <w:color w:val="2D2D2D"/>
          <w:sz w:val="19"/>
          <w:szCs w:val="19"/>
          <w:lang w:eastAsia="es-CO"/>
        </w:rPr>
        <w:t xml:space="preserve"> [</w:t>
      </w:r>
      <w:r w:rsidR="000C5988" w:rsidRPr="000C5988">
        <w:rPr>
          <w:rFonts w:ascii="Arial" w:hAnsi="Arial" w:cs="Arial"/>
          <w:color w:val="2D2D2D"/>
          <w:sz w:val="19"/>
          <w:szCs w:val="19"/>
          <w:lang w:eastAsia="es-CO"/>
        </w:rPr>
        <w:t xml:space="preserve">persona que </w:t>
      </w:r>
      <w:r w:rsidR="000C5988" w:rsidRPr="000C5988">
        <w:rPr>
          <w:rFonts w:ascii="Arial" w:hAnsi="Arial" w:cs="Arial"/>
          <w:color w:val="2D2D2D"/>
          <w:sz w:val="19"/>
          <w:szCs w:val="19"/>
          <w:shd w:val="clear" w:color="auto" w:fill="FFFFFF"/>
          <w:lang w:eastAsia="es-CO"/>
        </w:rPr>
        <w:t>e</w:t>
      </w:r>
      <w:r w:rsidR="000C5988" w:rsidRPr="005171E4">
        <w:rPr>
          <w:rFonts w:ascii="Arial" w:hAnsi="Arial" w:cs="Arial"/>
          <w:color w:val="2D2D2D"/>
          <w:sz w:val="19"/>
          <w:szCs w:val="19"/>
          <w:shd w:val="clear" w:color="auto" w:fill="FFFFFF"/>
          <w:lang w:eastAsia="es-CO"/>
        </w:rPr>
        <w:t>stá a tres años o menos de completar las semanas, pero ya cuenta con la edad</w:t>
      </w:r>
      <w:r w:rsidR="000C5988" w:rsidRPr="000C5988">
        <w:rPr>
          <w:rFonts w:ascii="Arial" w:hAnsi="Arial" w:cs="Arial"/>
          <w:color w:val="2D2D2D"/>
          <w:sz w:val="19"/>
          <w:szCs w:val="19"/>
          <w:shd w:val="clear" w:color="auto" w:fill="FFFFFF"/>
          <w:lang w:eastAsia="es-CO"/>
        </w:rPr>
        <w:t xml:space="preserve">] </w:t>
      </w:r>
      <w:r w:rsidR="000C5988" w:rsidRPr="005171E4">
        <w:rPr>
          <w:rFonts w:ascii="Arial" w:hAnsi="Arial" w:cs="Arial"/>
          <w:i/>
          <w:iCs/>
          <w:color w:val="2D2D2D"/>
          <w:sz w:val="19"/>
          <w:szCs w:val="19"/>
          <w:lang w:eastAsia="es-CO"/>
        </w:rPr>
        <w:t> </w:t>
      </w:r>
      <w:r w:rsidR="000C5988" w:rsidRPr="005171E4">
        <w:rPr>
          <w:rFonts w:ascii="Arial" w:hAnsi="Arial" w:cs="Arial"/>
          <w:color w:val="2D2D2D"/>
          <w:sz w:val="19"/>
          <w:szCs w:val="19"/>
          <w:lang w:eastAsia="es-CO"/>
        </w:rPr>
        <w:t>podrá asumirse que la persona cuenta con la condición de prepensionada, pues allí el empleador estaría frustrándole, abiertamente, su derecho a acceder a la pensión de vejez al impedir, con el despido, que continúe efectuando las cotizaciones mínimas requeridas para tal fin.</w:t>
      </w:r>
    </w:p>
    <w:p w14:paraId="09847F2F" w14:textId="0CEB134F" w:rsidR="00CF2AE3" w:rsidRPr="00CF2AE3" w:rsidRDefault="000C5988" w:rsidP="000C5988">
      <w:pPr>
        <w:shd w:val="clear" w:color="auto" w:fill="FFFFFF"/>
        <w:ind w:firstLine="708"/>
        <w:jc w:val="both"/>
      </w:pPr>
      <w:r w:rsidRPr="005171E4">
        <w:rPr>
          <w:rFonts w:ascii="Arial" w:hAnsi="Arial" w:cs="Arial"/>
          <w:color w:val="2D2D2D"/>
          <w:sz w:val="19"/>
          <w:szCs w:val="19"/>
          <w:lang w:eastAsia="es-CO"/>
        </w:rPr>
        <w:t> 4.7. Ahora bien, como ya se manifestó, la Corte ha contemplado la posibilidad de que quien cotice al Régimen de Ahorro Individual con Solidaridad pueda ser considerado un prepensionado. Pero dado que los requisitos para acceder a la prestación de vejez en ese sistema son sustancialmente distintos, la valoración que haga el juez constitucional respecto a la aplicación de la estabilidad laboral reforzada para ese tipo de afiliados debe tener en cuenta ese presupuesto. De manera que podrá gozar de la calidad referida quien se encuentre a tres años o menos de alcanzar el monto mínimo previsto para acreditar el derecho o, acudiendo a la analogía con lo dispuesto para los afiliados al Régimen de Prima Media, quien esté a tres años o menos de completar las semanas que le permitan ser beneficiario de la garantía de la pensión mínima</w:t>
      </w:r>
      <w:r w:rsidRPr="000C5988">
        <w:rPr>
          <w:rFonts w:ascii="Arial" w:hAnsi="Arial" w:cs="Arial"/>
          <w:color w:val="2D2D2D"/>
          <w:sz w:val="19"/>
          <w:szCs w:val="19"/>
          <w:lang w:eastAsia="es-CO"/>
        </w:rPr>
        <w:t>».</w:t>
      </w:r>
      <w:r w:rsidRPr="000C5988">
        <w:t xml:space="preserve"> </w:t>
      </w:r>
      <w:r w:rsidR="00A92100">
        <w:t>(</w:t>
      </w:r>
      <w:r w:rsidRPr="000C5988">
        <w:rPr>
          <w:rFonts w:ascii="Arial" w:hAnsi="Arial" w:cs="Arial"/>
          <w:color w:val="2D2D2D"/>
          <w:sz w:val="19"/>
          <w:szCs w:val="19"/>
          <w:lang w:eastAsia="es-CO"/>
        </w:rPr>
        <w:t>Sentencia T-055 del 17 de febrero de 2020. M.P. Luis Guillermo Guerrero Pérez</w:t>
      </w:r>
      <w:r w:rsidR="00A92100">
        <w:rPr>
          <w:rFonts w:ascii="Arial" w:hAnsi="Arial" w:cs="Arial"/>
          <w:color w:val="2D2D2D"/>
          <w:sz w:val="19"/>
          <w:szCs w:val="19"/>
          <w:lang w:eastAsia="es-CO"/>
        </w:rPr>
        <w:t>)</w:t>
      </w:r>
      <w:r w:rsidRPr="000C5988">
        <w:rPr>
          <w:rFonts w:ascii="Arial" w:hAnsi="Arial" w:cs="Arial"/>
          <w:color w:val="2D2D2D"/>
          <w:sz w:val="19"/>
          <w:szCs w:val="19"/>
          <w:lang w:eastAsia="es-CO"/>
        </w:rPr>
        <w:t>.</w:t>
      </w:r>
    </w:p>
  </w:footnote>
  <w:footnote w:id="13">
    <w:p w14:paraId="458FA28C" w14:textId="77777777" w:rsidR="002B726A" w:rsidRDefault="002B726A" w:rsidP="002B726A">
      <w:pPr>
        <w:pStyle w:val="Textonotapie"/>
        <w:ind w:firstLine="708"/>
        <w:jc w:val="both"/>
        <w:rPr>
          <w:rFonts w:ascii="Arial" w:hAnsi="Arial" w:cs="Arial"/>
          <w:sz w:val="19"/>
          <w:szCs w:val="19"/>
        </w:rPr>
      </w:pPr>
      <w:r w:rsidRPr="00086D17">
        <w:rPr>
          <w:rStyle w:val="Refdenotaalpie"/>
          <w:rFonts w:ascii="Arial" w:hAnsi="Arial" w:cs="Arial"/>
          <w:sz w:val="19"/>
          <w:szCs w:val="19"/>
        </w:rPr>
        <w:footnoteRef/>
      </w:r>
      <w:r w:rsidRPr="00086D17">
        <w:rPr>
          <w:rFonts w:ascii="Arial" w:hAnsi="Arial" w:cs="Arial"/>
          <w:sz w:val="19"/>
          <w:szCs w:val="19"/>
        </w:rPr>
        <w:t xml:space="preserve"> </w:t>
      </w:r>
      <w:r>
        <w:rPr>
          <w:rFonts w:ascii="Arial" w:hAnsi="Arial" w:cs="Arial"/>
          <w:sz w:val="19"/>
          <w:szCs w:val="19"/>
        </w:rPr>
        <w:t>Cfr. GONZÁLEZ LÓPEZ, Edgar. El pliego de condiciones en la contratación estatal: la reforma consagrada en la Ley 1150 de 2007 y sus decretos reglamentarios. Bogotá: Universidad Externando de Colombia, 2012. p. 87 y ss.</w:t>
      </w:r>
    </w:p>
    <w:p w14:paraId="325BAF00" w14:textId="77777777" w:rsidR="002B726A" w:rsidRPr="00086D17" w:rsidRDefault="002B726A" w:rsidP="002B726A">
      <w:pPr>
        <w:pStyle w:val="Textonotapie"/>
        <w:ind w:firstLine="708"/>
        <w:jc w:val="both"/>
        <w:rPr>
          <w:rFonts w:ascii="Arial" w:hAnsi="Arial" w:cs="Arial"/>
          <w:sz w:val="19"/>
          <w:szCs w:val="19"/>
          <w:lang w:val="es-ES"/>
        </w:rPr>
      </w:pPr>
    </w:p>
  </w:footnote>
  <w:footnote w:id="14">
    <w:p w14:paraId="7B043089" w14:textId="6A23076D" w:rsidR="00B65F25" w:rsidRPr="00B65F25" w:rsidRDefault="00B65F25" w:rsidP="00B65F25">
      <w:pPr>
        <w:pStyle w:val="NormalWeb"/>
        <w:spacing w:before="0" w:beforeAutospacing="0" w:after="0" w:afterAutospacing="0"/>
        <w:ind w:firstLine="708"/>
        <w:jc w:val="both"/>
        <w:rPr>
          <w:rFonts w:ascii="Arial" w:hAnsi="Arial" w:cs="Arial"/>
          <w:color w:val="000000"/>
          <w:sz w:val="19"/>
          <w:szCs w:val="19"/>
        </w:rPr>
      </w:pPr>
      <w:r w:rsidRPr="00B65F25">
        <w:rPr>
          <w:rStyle w:val="Refdenotaalpie"/>
          <w:rFonts w:ascii="Arial" w:hAnsi="Arial" w:cs="Arial"/>
          <w:sz w:val="19"/>
          <w:szCs w:val="19"/>
        </w:rPr>
        <w:footnoteRef/>
      </w:r>
      <w:r w:rsidRPr="00B65F25">
        <w:rPr>
          <w:rFonts w:ascii="Arial" w:hAnsi="Arial" w:cs="Arial"/>
          <w:sz w:val="19"/>
          <w:szCs w:val="19"/>
        </w:rPr>
        <w:t xml:space="preserve"> </w:t>
      </w:r>
      <w:bookmarkStart w:id="7" w:name="ver_30161444"/>
      <w:bookmarkStart w:id="8" w:name="ver_1790115"/>
      <w:bookmarkEnd w:id="7"/>
      <w:bookmarkEnd w:id="8"/>
      <w:r w:rsidRPr="00B65F25">
        <w:rPr>
          <w:rFonts w:ascii="Arial" w:hAnsi="Arial" w:cs="Arial"/>
          <w:sz w:val="19"/>
          <w:szCs w:val="19"/>
        </w:rPr>
        <w:t xml:space="preserve"> Ley 80 de 1993: «</w:t>
      </w:r>
      <w:r w:rsidRPr="00B65F25">
        <w:rPr>
          <w:rStyle w:val="Textoennegrita"/>
          <w:rFonts w:ascii="Arial" w:hAnsi="Arial" w:cs="Arial"/>
          <w:b w:val="0"/>
          <w:bCs w:val="0"/>
          <w:color w:val="000000"/>
          <w:sz w:val="19"/>
          <w:szCs w:val="19"/>
        </w:rPr>
        <w:t>Artículo 7o.</w:t>
      </w:r>
      <w:r w:rsidRPr="00B65F25">
        <w:rPr>
          <w:rStyle w:val="Textoennegrita"/>
          <w:rFonts w:ascii="Arial" w:hAnsi="Arial" w:cs="Arial"/>
          <w:color w:val="000000"/>
          <w:sz w:val="19"/>
          <w:szCs w:val="19"/>
        </w:rPr>
        <w:t xml:space="preserve"> </w:t>
      </w:r>
      <w:r w:rsidRPr="00B65F25">
        <w:rPr>
          <w:rStyle w:val="Textoennegrita"/>
          <w:rFonts w:ascii="Arial" w:hAnsi="Arial" w:cs="Arial"/>
          <w:b w:val="0"/>
          <w:bCs w:val="0"/>
          <w:color w:val="000000"/>
          <w:sz w:val="19"/>
          <w:szCs w:val="19"/>
        </w:rPr>
        <w:t>De los consorcios y uniones temporales.</w:t>
      </w:r>
      <w:r w:rsidRPr="00B65F25">
        <w:rPr>
          <w:rFonts w:ascii="Arial" w:hAnsi="Arial" w:cs="Arial"/>
          <w:color w:val="000000"/>
          <w:sz w:val="19"/>
          <w:szCs w:val="19"/>
        </w:rPr>
        <w:t> Para los efectos de esta ley se entiende por: </w:t>
      </w:r>
    </w:p>
    <w:p w14:paraId="6BA899DB" w14:textId="7D66E2A3" w:rsidR="00B65F25" w:rsidRPr="00B65F25" w:rsidRDefault="00B65F25" w:rsidP="00B65F25">
      <w:pPr>
        <w:pStyle w:val="NormalWeb"/>
        <w:spacing w:before="0" w:beforeAutospacing="0" w:after="0" w:afterAutospacing="0"/>
        <w:jc w:val="both"/>
        <w:rPr>
          <w:rFonts w:ascii="Arial" w:hAnsi="Arial" w:cs="Arial"/>
          <w:color w:val="000000"/>
          <w:sz w:val="19"/>
          <w:szCs w:val="19"/>
        </w:rPr>
      </w:pPr>
      <w:r w:rsidRPr="00B65F25">
        <w:rPr>
          <w:rFonts w:ascii="Arial" w:hAnsi="Arial" w:cs="Arial"/>
          <w:color w:val="000000"/>
          <w:sz w:val="19"/>
          <w:szCs w:val="19"/>
        </w:rPr>
        <w:t>  </w:t>
      </w:r>
      <w:r w:rsidRPr="00B65F25">
        <w:rPr>
          <w:rFonts w:ascii="Arial" w:hAnsi="Arial" w:cs="Arial"/>
          <w:color w:val="000000"/>
          <w:sz w:val="19"/>
          <w:szCs w:val="19"/>
        </w:rPr>
        <w:tab/>
        <w:t>»1. </w:t>
      </w:r>
      <w:r w:rsidRPr="00B65F25">
        <w:rPr>
          <w:rStyle w:val="Textoennegrita"/>
          <w:rFonts w:ascii="Arial" w:hAnsi="Arial" w:cs="Arial"/>
          <w:b w:val="0"/>
          <w:bCs w:val="0"/>
          <w:color w:val="000000"/>
          <w:sz w:val="19"/>
          <w:szCs w:val="19"/>
        </w:rPr>
        <w:t>Consorcio:</w:t>
      </w:r>
      <w:r w:rsidRPr="00B65F25">
        <w:rPr>
          <w:rFonts w:ascii="Arial" w:hAnsi="Arial" w:cs="Arial"/>
          <w:color w:val="000000"/>
          <w:sz w:val="19"/>
          <w:szCs w:val="19"/>
        </w:rPr>
        <w:t>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6FB41260" w14:textId="1CCB54A8" w:rsidR="00B65F25" w:rsidRPr="00B65F25" w:rsidRDefault="00B65F25" w:rsidP="00B65F25">
      <w:pPr>
        <w:pStyle w:val="NormalWeb"/>
        <w:spacing w:before="0" w:beforeAutospacing="0" w:after="0" w:afterAutospacing="0"/>
        <w:jc w:val="both"/>
        <w:rPr>
          <w:rFonts w:ascii="Arial" w:hAnsi="Arial" w:cs="Arial"/>
          <w:color w:val="000000"/>
          <w:sz w:val="19"/>
          <w:szCs w:val="19"/>
        </w:rPr>
      </w:pPr>
      <w:r w:rsidRPr="00B65F25">
        <w:rPr>
          <w:rFonts w:ascii="Arial" w:hAnsi="Arial" w:cs="Arial"/>
          <w:color w:val="000000"/>
          <w:sz w:val="19"/>
          <w:szCs w:val="19"/>
        </w:rPr>
        <w:t>  </w:t>
      </w:r>
      <w:r w:rsidRPr="00B65F25">
        <w:rPr>
          <w:rFonts w:ascii="Arial" w:hAnsi="Arial" w:cs="Arial"/>
          <w:color w:val="000000"/>
          <w:sz w:val="19"/>
          <w:szCs w:val="19"/>
        </w:rPr>
        <w:tab/>
        <w:t>»2. </w:t>
      </w:r>
      <w:r w:rsidRPr="00B65F25">
        <w:rPr>
          <w:rStyle w:val="Textoennegrita"/>
          <w:rFonts w:ascii="Arial" w:hAnsi="Arial" w:cs="Arial"/>
          <w:b w:val="0"/>
          <w:bCs w:val="0"/>
          <w:color w:val="000000"/>
          <w:sz w:val="19"/>
          <w:szCs w:val="19"/>
        </w:rPr>
        <w:t>Unión Temporal:</w:t>
      </w:r>
      <w:r w:rsidRPr="00B65F25">
        <w:rPr>
          <w:rFonts w:ascii="Arial" w:hAnsi="Arial" w:cs="Arial"/>
          <w:color w:val="000000"/>
          <w:sz w:val="19"/>
          <w:szCs w:val="19"/>
        </w:rPr>
        <w:t>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1875092F" w14:textId="4A6A1C9C" w:rsidR="00B65F25" w:rsidRPr="00B65F25" w:rsidRDefault="00B65F25" w:rsidP="00B65F25">
      <w:pPr>
        <w:pStyle w:val="NormalWeb"/>
        <w:spacing w:before="0" w:beforeAutospacing="0" w:after="0" w:afterAutospacing="0"/>
        <w:jc w:val="both"/>
        <w:rPr>
          <w:rFonts w:ascii="Arial" w:hAnsi="Arial" w:cs="Arial"/>
          <w:color w:val="000000"/>
          <w:sz w:val="19"/>
          <w:szCs w:val="19"/>
        </w:rPr>
      </w:pPr>
      <w:r w:rsidRPr="00B65F25">
        <w:rPr>
          <w:rFonts w:ascii="Arial" w:hAnsi="Arial" w:cs="Arial"/>
          <w:color w:val="000000"/>
          <w:sz w:val="19"/>
          <w:szCs w:val="19"/>
        </w:rPr>
        <w:t>  </w:t>
      </w:r>
      <w:r w:rsidRPr="00B65F25">
        <w:rPr>
          <w:rFonts w:ascii="Arial" w:hAnsi="Arial" w:cs="Arial"/>
          <w:color w:val="000000"/>
          <w:sz w:val="19"/>
          <w:szCs w:val="19"/>
        </w:rPr>
        <w:tab/>
        <w:t>»</w:t>
      </w:r>
      <w:r w:rsidRPr="00B65F25">
        <w:rPr>
          <w:rStyle w:val="Textoennegrita"/>
          <w:rFonts w:ascii="Arial" w:hAnsi="Arial" w:cs="Arial"/>
          <w:b w:val="0"/>
          <w:bCs w:val="0"/>
          <w:color w:val="000000"/>
          <w:sz w:val="19"/>
          <w:szCs w:val="19"/>
        </w:rPr>
        <w:t>Parágrafo 1o</w:t>
      </w:r>
      <w:r w:rsidRPr="00B65F25">
        <w:rPr>
          <w:rStyle w:val="Textoennegrita"/>
          <w:rFonts w:ascii="Arial" w:hAnsi="Arial" w:cs="Arial"/>
          <w:color w:val="000000"/>
          <w:sz w:val="19"/>
          <w:szCs w:val="19"/>
        </w:rPr>
        <w:t>.</w:t>
      </w:r>
      <w:r w:rsidRPr="00B65F25">
        <w:rPr>
          <w:rFonts w:ascii="Arial" w:hAnsi="Arial" w:cs="Arial"/>
          <w:color w:val="000000"/>
          <w:sz w:val="19"/>
          <w:szCs w:val="19"/>
        </w:rPr>
        <w:t>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14:paraId="357D8231" w14:textId="2A5FB3E9" w:rsidR="00B65F25" w:rsidRPr="00B65F25" w:rsidRDefault="00B65F25" w:rsidP="00B65F25">
      <w:pPr>
        <w:pStyle w:val="NormalWeb"/>
        <w:spacing w:before="0" w:beforeAutospacing="0" w:after="0" w:afterAutospacing="0"/>
        <w:jc w:val="both"/>
        <w:rPr>
          <w:rFonts w:ascii="Arial" w:hAnsi="Arial" w:cs="Arial"/>
          <w:color w:val="000000"/>
          <w:sz w:val="19"/>
          <w:szCs w:val="19"/>
        </w:rPr>
      </w:pPr>
      <w:r w:rsidRPr="00B65F25">
        <w:rPr>
          <w:rFonts w:ascii="Arial" w:hAnsi="Arial" w:cs="Arial"/>
          <w:color w:val="000000"/>
          <w:sz w:val="19"/>
          <w:szCs w:val="19"/>
        </w:rPr>
        <w:t>  </w:t>
      </w:r>
      <w:r w:rsidRPr="00B65F25">
        <w:rPr>
          <w:rFonts w:ascii="Arial" w:hAnsi="Arial" w:cs="Arial"/>
          <w:color w:val="000000"/>
          <w:sz w:val="19"/>
          <w:szCs w:val="19"/>
        </w:rPr>
        <w:tab/>
        <w:t>»Los miembros del consorcio y de la unión temporal deberán designar la persona que, para todos los efectos, representará al consorcio o unión temporal y señalarán las reglas básicas que regulen las relaciones entre ellos y su responsabilidad. </w:t>
      </w:r>
    </w:p>
    <w:p w14:paraId="1754A39B" w14:textId="6076E452" w:rsidR="00B65F25" w:rsidRPr="00B65F25" w:rsidRDefault="00B65F25" w:rsidP="00B65F25">
      <w:pPr>
        <w:pStyle w:val="NormalWeb"/>
        <w:spacing w:before="0" w:beforeAutospacing="0" w:after="0" w:afterAutospacing="0"/>
        <w:jc w:val="both"/>
        <w:rPr>
          <w:rFonts w:ascii="Arial" w:hAnsi="Arial" w:cs="Arial"/>
          <w:color w:val="000000"/>
          <w:sz w:val="19"/>
          <w:szCs w:val="19"/>
        </w:rPr>
      </w:pPr>
      <w:r w:rsidRPr="00B65F25">
        <w:rPr>
          <w:rFonts w:ascii="Arial" w:hAnsi="Arial" w:cs="Arial"/>
          <w:color w:val="000000"/>
          <w:sz w:val="19"/>
          <w:szCs w:val="19"/>
        </w:rPr>
        <w:t>  </w:t>
      </w:r>
      <w:r w:rsidRPr="00B65F25">
        <w:rPr>
          <w:rFonts w:ascii="Arial" w:hAnsi="Arial" w:cs="Arial"/>
          <w:color w:val="000000"/>
          <w:sz w:val="19"/>
          <w:szCs w:val="19"/>
        </w:rPr>
        <w:tab/>
        <w:t>»</w:t>
      </w:r>
      <w:r w:rsidRPr="00B65F25">
        <w:rPr>
          <w:rStyle w:val="Textoennegrita"/>
          <w:rFonts w:ascii="Arial" w:hAnsi="Arial" w:cs="Arial"/>
          <w:b w:val="0"/>
          <w:bCs w:val="0"/>
          <w:color w:val="000000"/>
          <w:sz w:val="19"/>
          <w:szCs w:val="19"/>
        </w:rPr>
        <w:t>Parágrafo 3o.</w:t>
      </w:r>
      <w:r w:rsidRPr="00B65F25">
        <w:rPr>
          <w:rStyle w:val="Textoennegrita"/>
          <w:rFonts w:ascii="Arial" w:hAnsi="Arial" w:cs="Arial"/>
          <w:color w:val="000000"/>
          <w:sz w:val="19"/>
          <w:szCs w:val="19"/>
        </w:rPr>
        <w:t> </w:t>
      </w:r>
      <w:r w:rsidRPr="00B65F25">
        <w:rPr>
          <w:rFonts w:ascii="Arial" w:hAnsi="Arial" w:cs="Arial"/>
          <w:color w:val="000000"/>
          <w:sz w:val="19"/>
          <w:szCs w:val="19"/>
        </w:rPr>
        <w:t>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w:t>
      </w:r>
    </w:p>
    <w:p w14:paraId="0279B93B" w14:textId="25153618" w:rsidR="00B65F25" w:rsidRPr="00B65F25" w:rsidRDefault="00B65F25" w:rsidP="00B65F25">
      <w:pPr>
        <w:pStyle w:val="Textonotapie"/>
        <w:jc w:val="both"/>
        <w:rPr>
          <w:rFonts w:ascii="Arial" w:hAnsi="Arial" w:cs="Arial"/>
          <w:sz w:val="19"/>
          <w:szCs w:val="19"/>
          <w:lang w:val="es-CO"/>
        </w:rPr>
      </w:pPr>
    </w:p>
  </w:footnote>
  <w:footnote w:id="15">
    <w:p w14:paraId="20AC8D69" w14:textId="77777777" w:rsidR="00F26D35" w:rsidRPr="00B65F25" w:rsidRDefault="00F26D35" w:rsidP="00F26D35">
      <w:pPr>
        <w:pStyle w:val="NormalWeb"/>
        <w:spacing w:before="0" w:beforeAutospacing="0" w:after="0" w:afterAutospacing="0"/>
        <w:ind w:firstLine="708"/>
        <w:jc w:val="both"/>
        <w:rPr>
          <w:rFonts w:ascii="Arial" w:hAnsi="Arial" w:cs="Arial"/>
          <w:color w:val="000000"/>
          <w:sz w:val="19"/>
          <w:szCs w:val="19"/>
        </w:rPr>
      </w:pPr>
      <w:r w:rsidRPr="00B65F25">
        <w:rPr>
          <w:rStyle w:val="Refdenotaalpie"/>
          <w:rFonts w:ascii="Arial" w:hAnsi="Arial" w:cs="Arial"/>
          <w:sz w:val="19"/>
          <w:szCs w:val="19"/>
        </w:rPr>
        <w:footnoteRef/>
      </w:r>
      <w:r w:rsidRPr="00B65F25">
        <w:rPr>
          <w:rFonts w:ascii="Arial" w:hAnsi="Arial" w:cs="Arial"/>
          <w:sz w:val="19"/>
          <w:szCs w:val="19"/>
        </w:rPr>
        <w:t xml:space="preserve"> Ley 80 de 1993: «</w:t>
      </w:r>
      <w:r w:rsidRPr="00B65F25">
        <w:rPr>
          <w:rStyle w:val="Textoennegrita"/>
          <w:rFonts w:ascii="Arial" w:hAnsi="Arial" w:cs="Arial"/>
          <w:b w:val="0"/>
          <w:bCs w:val="0"/>
          <w:color w:val="000000"/>
          <w:sz w:val="19"/>
          <w:szCs w:val="19"/>
        </w:rPr>
        <w:t>Artículo 6o. De la capacidad para contratar.</w:t>
      </w:r>
      <w:r w:rsidRPr="00B65F25">
        <w:rPr>
          <w:rFonts w:ascii="Arial" w:hAnsi="Arial" w:cs="Arial"/>
          <w:color w:val="000000"/>
          <w:sz w:val="19"/>
          <w:szCs w:val="19"/>
        </w:rPr>
        <w:t> Pueden celebrar contratos con las entidades estatales las personas consideradas legalmente capaces en las disposiciones vigentes. También podrán celebrar contratos con las entidades estatales, los consorcios y uniones temporales. </w:t>
      </w:r>
    </w:p>
    <w:p w14:paraId="16B9AE51" w14:textId="77777777" w:rsidR="00F26D35" w:rsidRPr="00B65F25" w:rsidRDefault="00F26D35" w:rsidP="00F26D35">
      <w:pPr>
        <w:pStyle w:val="NormalWeb"/>
        <w:spacing w:before="0" w:beforeAutospacing="0" w:after="0" w:afterAutospacing="0"/>
        <w:jc w:val="both"/>
        <w:rPr>
          <w:rFonts w:ascii="Arial" w:hAnsi="Arial" w:cs="Arial"/>
          <w:color w:val="000000"/>
          <w:sz w:val="19"/>
          <w:szCs w:val="19"/>
        </w:rPr>
      </w:pPr>
      <w:r w:rsidRPr="00B65F25">
        <w:rPr>
          <w:rFonts w:ascii="Arial" w:hAnsi="Arial" w:cs="Arial"/>
          <w:color w:val="000000"/>
          <w:sz w:val="19"/>
          <w:szCs w:val="19"/>
        </w:rPr>
        <w:t>  </w:t>
      </w:r>
      <w:r w:rsidRPr="00B65F25">
        <w:rPr>
          <w:rFonts w:ascii="Arial" w:hAnsi="Arial" w:cs="Arial"/>
          <w:color w:val="000000"/>
          <w:sz w:val="19"/>
          <w:szCs w:val="19"/>
        </w:rPr>
        <w:tab/>
        <w:t>»Las personas jurídicas nacionales y extranjeras deberán acreditar que su duración no será inferior a la del plazo del contrato y un año más». </w:t>
      </w:r>
    </w:p>
    <w:p w14:paraId="659FC467" w14:textId="05DAA504" w:rsidR="00F26D35" w:rsidRPr="00B65F25" w:rsidRDefault="00F26D35" w:rsidP="00DB71EC">
      <w:pPr>
        <w:pStyle w:val="NormalWeb"/>
        <w:spacing w:before="0" w:beforeAutospacing="0" w:after="0" w:afterAutospacing="0"/>
        <w:jc w:val="both"/>
      </w:pPr>
      <w:r w:rsidRPr="00B65F25">
        <w:rPr>
          <w:rFonts w:ascii="Arial" w:hAnsi="Arial" w:cs="Arial"/>
          <w:color w:val="000000"/>
          <w:sz w:val="19"/>
          <w:szCs w:val="19"/>
        </w:rPr>
        <w:t>  </w:t>
      </w:r>
    </w:p>
  </w:footnote>
  <w:footnote w:id="16">
    <w:p w14:paraId="60952B16" w14:textId="77777777" w:rsidR="00DB71EC" w:rsidRPr="005D141D" w:rsidRDefault="003D3DF0" w:rsidP="00DB71EC">
      <w:pPr>
        <w:shd w:val="clear" w:color="auto" w:fill="FFFFFF"/>
        <w:ind w:firstLine="708"/>
        <w:jc w:val="both"/>
        <w:rPr>
          <w:rFonts w:ascii="Arial" w:hAnsi="Arial" w:cs="Arial"/>
          <w:sz w:val="19"/>
          <w:szCs w:val="19"/>
        </w:rPr>
      </w:pPr>
      <w:r w:rsidRPr="005D141D">
        <w:rPr>
          <w:rStyle w:val="Refdenotaalpie"/>
          <w:rFonts w:ascii="Arial" w:hAnsi="Arial" w:cs="Arial"/>
          <w:sz w:val="19"/>
          <w:szCs w:val="19"/>
        </w:rPr>
        <w:footnoteRef/>
      </w:r>
      <w:r w:rsidRPr="005D141D">
        <w:rPr>
          <w:rFonts w:ascii="Arial" w:hAnsi="Arial" w:cs="Arial"/>
          <w:sz w:val="19"/>
          <w:szCs w:val="19"/>
        </w:rPr>
        <w:t xml:space="preserve"> </w:t>
      </w:r>
      <w:r w:rsidR="00DB71EC" w:rsidRPr="005D141D">
        <w:rPr>
          <w:rFonts w:ascii="Arial" w:hAnsi="Arial" w:cs="Arial"/>
          <w:sz w:val="19"/>
          <w:szCs w:val="19"/>
        </w:rPr>
        <w:t>Sobre la responsabilidad</w:t>
      </w:r>
      <w:r w:rsidRPr="005D141D">
        <w:rPr>
          <w:rFonts w:ascii="Arial" w:hAnsi="Arial" w:cs="Arial"/>
          <w:sz w:val="19"/>
          <w:szCs w:val="19"/>
        </w:rPr>
        <w:t xml:space="preserve"> </w:t>
      </w:r>
      <w:r w:rsidR="00DB71EC" w:rsidRPr="005D141D">
        <w:rPr>
          <w:rFonts w:ascii="Arial" w:hAnsi="Arial" w:cs="Arial"/>
          <w:sz w:val="19"/>
          <w:szCs w:val="19"/>
        </w:rPr>
        <w:t xml:space="preserve">por las obligaciones laborales asociadas a proponentes plurales, se ha </w:t>
      </w:r>
      <w:r w:rsidR="00DB71EC" w:rsidRPr="005D141D">
        <w:rPr>
          <w:rFonts w:ascii="Arial" w:hAnsi="Arial" w:cs="Arial"/>
          <w:sz w:val="19"/>
          <w:szCs w:val="19"/>
        </w:rPr>
        <w:t xml:space="preserve">prinunciado el Ministerio del Trabajo en ejercicio de su función consultiva. Al respecto ha señalado: «[E]l consorcio no es una sociedad, sino una forma contractual, utilizada ordinariamente como un instrumento de cooperación entre empresas, cuando requieren asumir una tarea económica particularmente importante, pero conservando los consorciados, su independencia jurídica, lo que implica que como tal, el Consorcio no goza de una capacidad jurídica propia e independiente, situación jurídica que le impide ser sujeto de derechos y obligaciones, sino que los mismos estarán solidariamente en cabeza de las sociedades que lo conforman. </w:t>
      </w:r>
    </w:p>
    <w:p w14:paraId="55A2CAE6" w14:textId="77777777" w:rsidR="00DB71EC" w:rsidRPr="005B0869" w:rsidRDefault="00DB71EC" w:rsidP="00DB71EC">
      <w:pPr>
        <w:shd w:val="clear" w:color="auto" w:fill="FFFFFF"/>
        <w:ind w:firstLine="708"/>
        <w:jc w:val="both"/>
        <w:rPr>
          <w:rFonts w:ascii="Arial" w:hAnsi="Arial" w:cs="Arial"/>
          <w:sz w:val="19"/>
          <w:szCs w:val="19"/>
        </w:rPr>
      </w:pPr>
      <w:r w:rsidRPr="005B0869">
        <w:rPr>
          <w:rFonts w:ascii="Arial" w:hAnsi="Arial" w:cs="Arial"/>
          <w:sz w:val="19"/>
          <w:szCs w:val="19"/>
        </w:rPr>
        <w:t xml:space="preserve">»Así las cosas, es de advertir, que no es el consorcio quien contrata personal ni es empleador, sino que cada una de las empresas consorciadas tiene su propia planta de personal y dispondrán de lo necesario para adelantar el objeto constituido. En consecuencia, resulta claro que el consorcio no es una sociedad, sino una forma contractual, utilizada ordinariamente como un instrumento de cooperación entre empresas, cuando requieren asumir una tarea económica particularmente importante, pero conservando los consorciados, su independencia jurídica, lo que implica que como tal, el Consorcio no goza de una capacidad jurídica propia e independiente, situación jurídica que le impide ser sujeto de derechos y obligaciones, sino que los mismos estarán solidariamente en cabeza de las sociedades que lo conforman. </w:t>
      </w:r>
    </w:p>
    <w:p w14:paraId="508CB656" w14:textId="310B0C3B" w:rsidR="003D3DF0" w:rsidRPr="003D3DF0" w:rsidRDefault="005D141D" w:rsidP="005D141D">
      <w:pPr>
        <w:shd w:val="clear" w:color="auto" w:fill="FFFFFF"/>
        <w:ind w:firstLine="708"/>
        <w:jc w:val="both"/>
      </w:pPr>
      <w:r>
        <w:rPr>
          <w:rFonts w:ascii="Arial" w:hAnsi="Arial" w:cs="Arial"/>
          <w:sz w:val="19"/>
          <w:szCs w:val="19"/>
        </w:rPr>
        <w:t>»</w:t>
      </w:r>
      <w:r w:rsidR="00DB71EC" w:rsidRPr="005B0869">
        <w:rPr>
          <w:rFonts w:ascii="Arial" w:hAnsi="Arial" w:cs="Arial"/>
          <w:sz w:val="19"/>
          <w:szCs w:val="19"/>
        </w:rPr>
        <w:t>De tal forma, las obligaciones laborales no reposan en cabeza del consorcio como tal, al no ser una persona jurídica no es sujeto de derechos ni de obligaciones, de tal forma que las obligaciones laborales, están en cabeza de cada una de las sociedades que conforman el Consorcio. Pues estos y las uniones temporales, como se mencionó anteriormente, son el resultado del acuerdo de dos o más personas que de mantenerse conjunta presenten una misma propuesta para licitar, celebrar y ejecutar contratos».</w:t>
      </w:r>
      <w:r w:rsidR="00DB71EC" w:rsidRPr="005171E4">
        <w:rPr>
          <w:rFonts w:ascii="Arial" w:hAnsi="Arial" w:cs="Arial"/>
          <w:color w:val="2D2D2D"/>
          <w:sz w:val="19"/>
          <w:szCs w:val="19"/>
          <w:lang w:eastAsia="es-CO"/>
        </w:rPr>
        <w:t> </w:t>
      </w:r>
      <w:r w:rsidR="00A92100">
        <w:rPr>
          <w:rFonts w:ascii="Arial" w:hAnsi="Arial" w:cs="Arial"/>
          <w:color w:val="2D2D2D"/>
          <w:sz w:val="19"/>
          <w:szCs w:val="19"/>
          <w:lang w:eastAsia="es-CO"/>
        </w:rPr>
        <w:t>(</w:t>
      </w:r>
      <w:r w:rsidR="00DB71EC" w:rsidRPr="005B0869">
        <w:rPr>
          <w:rFonts w:ascii="Arial" w:hAnsi="Arial" w:cs="Arial"/>
          <w:color w:val="2D2D2D"/>
          <w:sz w:val="19"/>
          <w:szCs w:val="19"/>
          <w:lang w:eastAsia="es-CO"/>
        </w:rPr>
        <w:t xml:space="preserve">Ministerio del Trabajo. </w:t>
      </w:r>
      <w:r w:rsidR="00DB71EC" w:rsidRPr="005B0869">
        <w:rPr>
          <w:rFonts w:ascii="Arial" w:hAnsi="Arial" w:cs="Arial"/>
          <w:sz w:val="19"/>
          <w:szCs w:val="19"/>
        </w:rPr>
        <w:t>Grupo Interno de Trabajo de atención a consultas en materia de Seguridad Social Integral. Concepto 54903 del 2 de abril de 2014</w:t>
      </w:r>
      <w:r w:rsidR="00A92100">
        <w:rPr>
          <w:rFonts w:ascii="Arial" w:hAnsi="Arial" w:cs="Arial"/>
          <w:sz w:val="19"/>
          <w:szCs w:val="19"/>
        </w:rPr>
        <w:t>)</w:t>
      </w:r>
      <w:r w:rsidR="00DB71EC" w:rsidRPr="005B086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71440293">
    <w:abstractNumId w:val="9"/>
  </w:num>
  <w:num w:numId="2" w16cid:durableId="166292288">
    <w:abstractNumId w:val="7"/>
  </w:num>
  <w:num w:numId="3" w16cid:durableId="1622032295">
    <w:abstractNumId w:val="12"/>
  </w:num>
  <w:num w:numId="4" w16cid:durableId="2130271924">
    <w:abstractNumId w:val="15"/>
  </w:num>
  <w:num w:numId="5" w16cid:durableId="897473136">
    <w:abstractNumId w:val="19"/>
  </w:num>
  <w:num w:numId="6" w16cid:durableId="179178239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9519113">
    <w:abstractNumId w:val="17"/>
  </w:num>
  <w:num w:numId="8" w16cid:durableId="1498837481">
    <w:abstractNumId w:val="0"/>
  </w:num>
  <w:num w:numId="9" w16cid:durableId="1874802938">
    <w:abstractNumId w:val="3"/>
  </w:num>
  <w:num w:numId="10" w16cid:durableId="1689141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744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271208">
    <w:abstractNumId w:val="8"/>
  </w:num>
  <w:num w:numId="13" w16cid:durableId="1978953950">
    <w:abstractNumId w:val="11"/>
  </w:num>
  <w:num w:numId="14" w16cid:durableId="221215491">
    <w:abstractNumId w:val="6"/>
  </w:num>
  <w:num w:numId="15" w16cid:durableId="14824283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69424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6579430">
    <w:abstractNumId w:val="21"/>
  </w:num>
  <w:num w:numId="18" w16cid:durableId="589974524">
    <w:abstractNumId w:val="13"/>
  </w:num>
  <w:num w:numId="19" w16cid:durableId="500237227">
    <w:abstractNumId w:val="2"/>
  </w:num>
  <w:num w:numId="20" w16cid:durableId="1607691064">
    <w:abstractNumId w:val="22"/>
  </w:num>
  <w:num w:numId="21" w16cid:durableId="923144366">
    <w:abstractNumId w:val="14"/>
  </w:num>
  <w:num w:numId="22" w16cid:durableId="1969165027">
    <w:abstractNumId w:val="5"/>
  </w:num>
  <w:num w:numId="23" w16cid:durableId="991905042">
    <w:abstractNumId w:val="4"/>
  </w:num>
  <w:num w:numId="24" w16cid:durableId="1543787465">
    <w:abstractNumId w:val="20"/>
  </w:num>
  <w:num w:numId="25" w16cid:durableId="15287857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7E"/>
    <w:rsid w:val="00000559"/>
    <w:rsid w:val="0000162E"/>
    <w:rsid w:val="00001A1C"/>
    <w:rsid w:val="00001FFD"/>
    <w:rsid w:val="00002027"/>
    <w:rsid w:val="000020FE"/>
    <w:rsid w:val="00002173"/>
    <w:rsid w:val="000031A8"/>
    <w:rsid w:val="00003C5C"/>
    <w:rsid w:val="00003D39"/>
    <w:rsid w:val="000040D7"/>
    <w:rsid w:val="000040F1"/>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3A"/>
    <w:rsid w:val="00012B9E"/>
    <w:rsid w:val="00012F37"/>
    <w:rsid w:val="00012FBA"/>
    <w:rsid w:val="00013875"/>
    <w:rsid w:val="00013C6B"/>
    <w:rsid w:val="0001406B"/>
    <w:rsid w:val="000143F8"/>
    <w:rsid w:val="00014624"/>
    <w:rsid w:val="0001521B"/>
    <w:rsid w:val="00015392"/>
    <w:rsid w:val="00015B44"/>
    <w:rsid w:val="00016081"/>
    <w:rsid w:val="000165AC"/>
    <w:rsid w:val="00016651"/>
    <w:rsid w:val="000171A2"/>
    <w:rsid w:val="00017B65"/>
    <w:rsid w:val="00020158"/>
    <w:rsid w:val="000207E0"/>
    <w:rsid w:val="000209E2"/>
    <w:rsid w:val="00020F8F"/>
    <w:rsid w:val="00021208"/>
    <w:rsid w:val="0002148B"/>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2E72"/>
    <w:rsid w:val="00043086"/>
    <w:rsid w:val="000430A0"/>
    <w:rsid w:val="00043D3B"/>
    <w:rsid w:val="0004418C"/>
    <w:rsid w:val="00044204"/>
    <w:rsid w:val="0004477A"/>
    <w:rsid w:val="000449D4"/>
    <w:rsid w:val="000455A9"/>
    <w:rsid w:val="0004600D"/>
    <w:rsid w:val="000463B5"/>
    <w:rsid w:val="00046429"/>
    <w:rsid w:val="00046717"/>
    <w:rsid w:val="00046A63"/>
    <w:rsid w:val="00046C09"/>
    <w:rsid w:val="0004716A"/>
    <w:rsid w:val="00047385"/>
    <w:rsid w:val="000473E8"/>
    <w:rsid w:val="000504DE"/>
    <w:rsid w:val="00051074"/>
    <w:rsid w:val="00051A3A"/>
    <w:rsid w:val="00052289"/>
    <w:rsid w:val="000526F0"/>
    <w:rsid w:val="0005273D"/>
    <w:rsid w:val="00052B79"/>
    <w:rsid w:val="00052E4B"/>
    <w:rsid w:val="00052EA0"/>
    <w:rsid w:val="000536A7"/>
    <w:rsid w:val="000536E3"/>
    <w:rsid w:val="00053896"/>
    <w:rsid w:val="00053A00"/>
    <w:rsid w:val="0005474D"/>
    <w:rsid w:val="00055CB9"/>
    <w:rsid w:val="000561F0"/>
    <w:rsid w:val="00056F66"/>
    <w:rsid w:val="0005702F"/>
    <w:rsid w:val="00061010"/>
    <w:rsid w:val="00061D06"/>
    <w:rsid w:val="00062CDD"/>
    <w:rsid w:val="00062DB3"/>
    <w:rsid w:val="00063472"/>
    <w:rsid w:val="000640AF"/>
    <w:rsid w:val="00064940"/>
    <w:rsid w:val="00064CAE"/>
    <w:rsid w:val="00064DB7"/>
    <w:rsid w:val="00064FA6"/>
    <w:rsid w:val="00064FA7"/>
    <w:rsid w:val="00065195"/>
    <w:rsid w:val="0006536C"/>
    <w:rsid w:val="00065A8B"/>
    <w:rsid w:val="0006626E"/>
    <w:rsid w:val="00070AF1"/>
    <w:rsid w:val="000714DE"/>
    <w:rsid w:val="0007254F"/>
    <w:rsid w:val="0007357C"/>
    <w:rsid w:val="00073C30"/>
    <w:rsid w:val="00074305"/>
    <w:rsid w:val="000744D0"/>
    <w:rsid w:val="00074B2A"/>
    <w:rsid w:val="00074EEE"/>
    <w:rsid w:val="000753D5"/>
    <w:rsid w:val="00075B3E"/>
    <w:rsid w:val="00076456"/>
    <w:rsid w:val="00076BD9"/>
    <w:rsid w:val="0007779B"/>
    <w:rsid w:val="000777E7"/>
    <w:rsid w:val="0007790A"/>
    <w:rsid w:val="000779F2"/>
    <w:rsid w:val="0008017B"/>
    <w:rsid w:val="00080ACD"/>
    <w:rsid w:val="000811ED"/>
    <w:rsid w:val="00081D62"/>
    <w:rsid w:val="00082B74"/>
    <w:rsid w:val="00083099"/>
    <w:rsid w:val="00083259"/>
    <w:rsid w:val="00083EDC"/>
    <w:rsid w:val="00084B97"/>
    <w:rsid w:val="0008510E"/>
    <w:rsid w:val="000856DE"/>
    <w:rsid w:val="00085F17"/>
    <w:rsid w:val="00085FB0"/>
    <w:rsid w:val="00085FB3"/>
    <w:rsid w:val="0008686B"/>
    <w:rsid w:val="00086B2A"/>
    <w:rsid w:val="00086ED2"/>
    <w:rsid w:val="00087A64"/>
    <w:rsid w:val="00087BED"/>
    <w:rsid w:val="0009082C"/>
    <w:rsid w:val="00090ADD"/>
    <w:rsid w:val="00090C39"/>
    <w:rsid w:val="000914D6"/>
    <w:rsid w:val="00091569"/>
    <w:rsid w:val="00092CDB"/>
    <w:rsid w:val="00092DCA"/>
    <w:rsid w:val="00093851"/>
    <w:rsid w:val="00094045"/>
    <w:rsid w:val="000942EB"/>
    <w:rsid w:val="00095B70"/>
    <w:rsid w:val="0009617E"/>
    <w:rsid w:val="0009628D"/>
    <w:rsid w:val="0009670F"/>
    <w:rsid w:val="000970E4"/>
    <w:rsid w:val="000979CF"/>
    <w:rsid w:val="000A03C8"/>
    <w:rsid w:val="000A05F2"/>
    <w:rsid w:val="000A06C4"/>
    <w:rsid w:val="000A0861"/>
    <w:rsid w:val="000A0B6F"/>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1C35"/>
    <w:rsid w:val="000B244D"/>
    <w:rsid w:val="000B2A1A"/>
    <w:rsid w:val="000B2B86"/>
    <w:rsid w:val="000B2CFF"/>
    <w:rsid w:val="000B3051"/>
    <w:rsid w:val="000B419B"/>
    <w:rsid w:val="000B4DD8"/>
    <w:rsid w:val="000B5781"/>
    <w:rsid w:val="000B5CB1"/>
    <w:rsid w:val="000B6AFC"/>
    <w:rsid w:val="000B75F4"/>
    <w:rsid w:val="000C0185"/>
    <w:rsid w:val="000C0F81"/>
    <w:rsid w:val="000C128D"/>
    <w:rsid w:val="000C17A3"/>
    <w:rsid w:val="000C1D4B"/>
    <w:rsid w:val="000C2DC4"/>
    <w:rsid w:val="000C3260"/>
    <w:rsid w:val="000C3B77"/>
    <w:rsid w:val="000C3F6D"/>
    <w:rsid w:val="000C4F49"/>
    <w:rsid w:val="000C5861"/>
    <w:rsid w:val="000C5988"/>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A7A"/>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927"/>
    <w:rsid w:val="000E4B94"/>
    <w:rsid w:val="000E4D50"/>
    <w:rsid w:val="000E5768"/>
    <w:rsid w:val="000E5843"/>
    <w:rsid w:val="000E6139"/>
    <w:rsid w:val="000E63B7"/>
    <w:rsid w:val="000E653C"/>
    <w:rsid w:val="000E6BE1"/>
    <w:rsid w:val="000E74E4"/>
    <w:rsid w:val="000E764C"/>
    <w:rsid w:val="000E7E0B"/>
    <w:rsid w:val="000F0136"/>
    <w:rsid w:val="000F078A"/>
    <w:rsid w:val="000F122D"/>
    <w:rsid w:val="000F1450"/>
    <w:rsid w:val="000F14E8"/>
    <w:rsid w:val="000F1BBD"/>
    <w:rsid w:val="000F290F"/>
    <w:rsid w:val="000F4403"/>
    <w:rsid w:val="000F480B"/>
    <w:rsid w:val="000F4E17"/>
    <w:rsid w:val="000F5615"/>
    <w:rsid w:val="000F647D"/>
    <w:rsid w:val="000F6578"/>
    <w:rsid w:val="000F6F92"/>
    <w:rsid w:val="000F7E8F"/>
    <w:rsid w:val="000F7FBB"/>
    <w:rsid w:val="001000FB"/>
    <w:rsid w:val="00100A9E"/>
    <w:rsid w:val="00100F6A"/>
    <w:rsid w:val="00101638"/>
    <w:rsid w:val="00102605"/>
    <w:rsid w:val="00102686"/>
    <w:rsid w:val="00102745"/>
    <w:rsid w:val="00103795"/>
    <w:rsid w:val="00103915"/>
    <w:rsid w:val="001039AA"/>
    <w:rsid w:val="00103EA0"/>
    <w:rsid w:val="00104149"/>
    <w:rsid w:val="00104A5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D7E"/>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810"/>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835"/>
    <w:rsid w:val="00151AEB"/>
    <w:rsid w:val="00151B99"/>
    <w:rsid w:val="00151E79"/>
    <w:rsid w:val="001521B2"/>
    <w:rsid w:val="00152EDD"/>
    <w:rsid w:val="00153491"/>
    <w:rsid w:val="0015361C"/>
    <w:rsid w:val="0015372F"/>
    <w:rsid w:val="00153BFB"/>
    <w:rsid w:val="0015407E"/>
    <w:rsid w:val="0015448E"/>
    <w:rsid w:val="001544F3"/>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1BE"/>
    <w:rsid w:val="001734E3"/>
    <w:rsid w:val="001742BF"/>
    <w:rsid w:val="001742E1"/>
    <w:rsid w:val="00175E49"/>
    <w:rsid w:val="0017649F"/>
    <w:rsid w:val="0017655B"/>
    <w:rsid w:val="00177B3E"/>
    <w:rsid w:val="00177EAA"/>
    <w:rsid w:val="001805C1"/>
    <w:rsid w:val="00180A2E"/>
    <w:rsid w:val="001813AF"/>
    <w:rsid w:val="001826C9"/>
    <w:rsid w:val="001829CD"/>
    <w:rsid w:val="00182F01"/>
    <w:rsid w:val="00184219"/>
    <w:rsid w:val="00184553"/>
    <w:rsid w:val="00184F27"/>
    <w:rsid w:val="0018519B"/>
    <w:rsid w:val="00185966"/>
    <w:rsid w:val="00185A2D"/>
    <w:rsid w:val="00185AFE"/>
    <w:rsid w:val="00185E78"/>
    <w:rsid w:val="0018661D"/>
    <w:rsid w:val="00186850"/>
    <w:rsid w:val="00187177"/>
    <w:rsid w:val="00187ABD"/>
    <w:rsid w:val="00187CE1"/>
    <w:rsid w:val="00190399"/>
    <w:rsid w:val="001904E3"/>
    <w:rsid w:val="0019087A"/>
    <w:rsid w:val="00190B04"/>
    <w:rsid w:val="00191B6A"/>
    <w:rsid w:val="00191C5A"/>
    <w:rsid w:val="00191CEB"/>
    <w:rsid w:val="00191E63"/>
    <w:rsid w:val="00192AF3"/>
    <w:rsid w:val="00192D68"/>
    <w:rsid w:val="00193852"/>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31F"/>
    <w:rsid w:val="001A7591"/>
    <w:rsid w:val="001A75B1"/>
    <w:rsid w:val="001A7B06"/>
    <w:rsid w:val="001A7B43"/>
    <w:rsid w:val="001B0366"/>
    <w:rsid w:val="001B0444"/>
    <w:rsid w:val="001B096B"/>
    <w:rsid w:val="001B0E11"/>
    <w:rsid w:val="001B0F9F"/>
    <w:rsid w:val="001B123C"/>
    <w:rsid w:val="001B1A0D"/>
    <w:rsid w:val="001B1BF1"/>
    <w:rsid w:val="001B21AC"/>
    <w:rsid w:val="001B2456"/>
    <w:rsid w:val="001B2505"/>
    <w:rsid w:val="001B449C"/>
    <w:rsid w:val="001B4AA2"/>
    <w:rsid w:val="001B4ADE"/>
    <w:rsid w:val="001B5530"/>
    <w:rsid w:val="001B5DAE"/>
    <w:rsid w:val="001B5EF8"/>
    <w:rsid w:val="001B6D85"/>
    <w:rsid w:val="001B71E8"/>
    <w:rsid w:val="001C033E"/>
    <w:rsid w:val="001C07C6"/>
    <w:rsid w:val="001C120D"/>
    <w:rsid w:val="001C16DA"/>
    <w:rsid w:val="001C19CD"/>
    <w:rsid w:val="001C22D5"/>
    <w:rsid w:val="001C2515"/>
    <w:rsid w:val="001C26FB"/>
    <w:rsid w:val="001C2BC4"/>
    <w:rsid w:val="001C33C1"/>
    <w:rsid w:val="001C3E30"/>
    <w:rsid w:val="001C3E5C"/>
    <w:rsid w:val="001C48E4"/>
    <w:rsid w:val="001C5072"/>
    <w:rsid w:val="001C5B2A"/>
    <w:rsid w:val="001C600B"/>
    <w:rsid w:val="001C6898"/>
    <w:rsid w:val="001C6DD8"/>
    <w:rsid w:val="001C76FA"/>
    <w:rsid w:val="001C79A4"/>
    <w:rsid w:val="001C7C7B"/>
    <w:rsid w:val="001D068D"/>
    <w:rsid w:val="001D12D1"/>
    <w:rsid w:val="001D15DF"/>
    <w:rsid w:val="001D22FA"/>
    <w:rsid w:val="001D2EEE"/>
    <w:rsid w:val="001D30F3"/>
    <w:rsid w:val="001D31A0"/>
    <w:rsid w:val="001D338E"/>
    <w:rsid w:val="001D4562"/>
    <w:rsid w:val="001D56E9"/>
    <w:rsid w:val="001D632B"/>
    <w:rsid w:val="001D6944"/>
    <w:rsid w:val="001D6CD2"/>
    <w:rsid w:val="001D796A"/>
    <w:rsid w:val="001D7A84"/>
    <w:rsid w:val="001D7C79"/>
    <w:rsid w:val="001E003B"/>
    <w:rsid w:val="001E185D"/>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912"/>
    <w:rsid w:val="001F2A68"/>
    <w:rsid w:val="001F2C47"/>
    <w:rsid w:val="001F2FC2"/>
    <w:rsid w:val="001F4773"/>
    <w:rsid w:val="001F4F91"/>
    <w:rsid w:val="001F5008"/>
    <w:rsid w:val="001F515E"/>
    <w:rsid w:val="001F56AA"/>
    <w:rsid w:val="001F57EB"/>
    <w:rsid w:val="001F58AA"/>
    <w:rsid w:val="001F5A4E"/>
    <w:rsid w:val="001F5EF6"/>
    <w:rsid w:val="001F6560"/>
    <w:rsid w:val="001F657F"/>
    <w:rsid w:val="001F6A4E"/>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22B"/>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4FB0"/>
    <w:rsid w:val="00236016"/>
    <w:rsid w:val="00237065"/>
    <w:rsid w:val="00237589"/>
    <w:rsid w:val="0023758D"/>
    <w:rsid w:val="002375A7"/>
    <w:rsid w:val="0024019A"/>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1E66"/>
    <w:rsid w:val="0025242E"/>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4B9"/>
    <w:rsid w:val="00261560"/>
    <w:rsid w:val="00261715"/>
    <w:rsid w:val="00261B80"/>
    <w:rsid w:val="00261CF9"/>
    <w:rsid w:val="00261EC0"/>
    <w:rsid w:val="0026204F"/>
    <w:rsid w:val="0026231B"/>
    <w:rsid w:val="00263101"/>
    <w:rsid w:val="002631D1"/>
    <w:rsid w:val="00263201"/>
    <w:rsid w:val="00263A37"/>
    <w:rsid w:val="00264266"/>
    <w:rsid w:val="002646A3"/>
    <w:rsid w:val="0026471F"/>
    <w:rsid w:val="0026480D"/>
    <w:rsid w:val="002653A6"/>
    <w:rsid w:val="00265800"/>
    <w:rsid w:val="002661F1"/>
    <w:rsid w:val="00266316"/>
    <w:rsid w:val="00266DB6"/>
    <w:rsid w:val="002711A4"/>
    <w:rsid w:val="00271230"/>
    <w:rsid w:val="00271F13"/>
    <w:rsid w:val="00272945"/>
    <w:rsid w:val="00272E89"/>
    <w:rsid w:val="002736C6"/>
    <w:rsid w:val="00273E9E"/>
    <w:rsid w:val="002742D0"/>
    <w:rsid w:val="0027482E"/>
    <w:rsid w:val="002748F1"/>
    <w:rsid w:val="00274DB5"/>
    <w:rsid w:val="00275BB1"/>
    <w:rsid w:val="00276EF7"/>
    <w:rsid w:val="0027770B"/>
    <w:rsid w:val="00277933"/>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20DF"/>
    <w:rsid w:val="002928A3"/>
    <w:rsid w:val="002929BB"/>
    <w:rsid w:val="002934C9"/>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1FCB"/>
    <w:rsid w:val="002A244B"/>
    <w:rsid w:val="002A28FC"/>
    <w:rsid w:val="002A2B44"/>
    <w:rsid w:val="002A2E4F"/>
    <w:rsid w:val="002A2EA5"/>
    <w:rsid w:val="002A301E"/>
    <w:rsid w:val="002A3555"/>
    <w:rsid w:val="002A3D94"/>
    <w:rsid w:val="002A4736"/>
    <w:rsid w:val="002A4B1C"/>
    <w:rsid w:val="002A55FE"/>
    <w:rsid w:val="002A625C"/>
    <w:rsid w:val="002A6AFB"/>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5DA"/>
    <w:rsid w:val="002B39BE"/>
    <w:rsid w:val="002B3A3B"/>
    <w:rsid w:val="002B438C"/>
    <w:rsid w:val="002B48DB"/>
    <w:rsid w:val="002B4B34"/>
    <w:rsid w:val="002B541A"/>
    <w:rsid w:val="002B5EAB"/>
    <w:rsid w:val="002B5F2E"/>
    <w:rsid w:val="002B6407"/>
    <w:rsid w:val="002B6416"/>
    <w:rsid w:val="002B6459"/>
    <w:rsid w:val="002B6F22"/>
    <w:rsid w:val="002B7010"/>
    <w:rsid w:val="002B7014"/>
    <w:rsid w:val="002B709B"/>
    <w:rsid w:val="002B726A"/>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294"/>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4D8"/>
    <w:rsid w:val="002E3D76"/>
    <w:rsid w:val="002E40A1"/>
    <w:rsid w:val="002E48EC"/>
    <w:rsid w:val="002E4B44"/>
    <w:rsid w:val="002E4ECB"/>
    <w:rsid w:val="002E4F23"/>
    <w:rsid w:val="002E57DC"/>
    <w:rsid w:val="002E61AE"/>
    <w:rsid w:val="002E635A"/>
    <w:rsid w:val="002E6D68"/>
    <w:rsid w:val="002E7847"/>
    <w:rsid w:val="002E79D5"/>
    <w:rsid w:val="002F0073"/>
    <w:rsid w:val="002F1B27"/>
    <w:rsid w:val="002F1C67"/>
    <w:rsid w:val="002F240B"/>
    <w:rsid w:val="002F24DA"/>
    <w:rsid w:val="002F2F50"/>
    <w:rsid w:val="002F33EC"/>
    <w:rsid w:val="002F34E3"/>
    <w:rsid w:val="002F3601"/>
    <w:rsid w:val="002F40E2"/>
    <w:rsid w:val="002F45F6"/>
    <w:rsid w:val="002F5A6F"/>
    <w:rsid w:val="002F60B8"/>
    <w:rsid w:val="002F692F"/>
    <w:rsid w:val="002F7031"/>
    <w:rsid w:val="002F766A"/>
    <w:rsid w:val="002F7961"/>
    <w:rsid w:val="002F7B66"/>
    <w:rsid w:val="00300CB4"/>
    <w:rsid w:val="00300E24"/>
    <w:rsid w:val="0030257B"/>
    <w:rsid w:val="003033BA"/>
    <w:rsid w:val="00303866"/>
    <w:rsid w:val="00303C19"/>
    <w:rsid w:val="003043A3"/>
    <w:rsid w:val="0030462D"/>
    <w:rsid w:val="00304BD4"/>
    <w:rsid w:val="00304D97"/>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5CC"/>
    <w:rsid w:val="00313748"/>
    <w:rsid w:val="00313EA3"/>
    <w:rsid w:val="003151FE"/>
    <w:rsid w:val="00315365"/>
    <w:rsid w:val="00315457"/>
    <w:rsid w:val="003161A4"/>
    <w:rsid w:val="003163CB"/>
    <w:rsid w:val="00316955"/>
    <w:rsid w:val="0031713F"/>
    <w:rsid w:val="0031720A"/>
    <w:rsid w:val="0031749B"/>
    <w:rsid w:val="003174E5"/>
    <w:rsid w:val="00317C9D"/>
    <w:rsid w:val="00317CAF"/>
    <w:rsid w:val="00317CD2"/>
    <w:rsid w:val="00317D99"/>
    <w:rsid w:val="003203BF"/>
    <w:rsid w:val="0032078D"/>
    <w:rsid w:val="00320ADF"/>
    <w:rsid w:val="0032137B"/>
    <w:rsid w:val="00321A70"/>
    <w:rsid w:val="00321BD6"/>
    <w:rsid w:val="00321FA3"/>
    <w:rsid w:val="003227D3"/>
    <w:rsid w:val="00322937"/>
    <w:rsid w:val="00323881"/>
    <w:rsid w:val="00323907"/>
    <w:rsid w:val="00324885"/>
    <w:rsid w:val="003251A8"/>
    <w:rsid w:val="003254B1"/>
    <w:rsid w:val="00325AD9"/>
    <w:rsid w:val="00325D98"/>
    <w:rsid w:val="0032682A"/>
    <w:rsid w:val="00326F76"/>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651"/>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3F65"/>
    <w:rsid w:val="00344760"/>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E83"/>
    <w:rsid w:val="0036076E"/>
    <w:rsid w:val="00360CF3"/>
    <w:rsid w:val="00361A59"/>
    <w:rsid w:val="00363348"/>
    <w:rsid w:val="003634D4"/>
    <w:rsid w:val="00363857"/>
    <w:rsid w:val="00363D59"/>
    <w:rsid w:val="00363F08"/>
    <w:rsid w:val="003640F7"/>
    <w:rsid w:val="00365028"/>
    <w:rsid w:val="003658F2"/>
    <w:rsid w:val="0036594A"/>
    <w:rsid w:val="00365D3A"/>
    <w:rsid w:val="003664FF"/>
    <w:rsid w:val="00366BD2"/>
    <w:rsid w:val="003670B8"/>
    <w:rsid w:val="003704A3"/>
    <w:rsid w:val="003706F2"/>
    <w:rsid w:val="003709E8"/>
    <w:rsid w:val="0037124F"/>
    <w:rsid w:val="003726A3"/>
    <w:rsid w:val="00372C2E"/>
    <w:rsid w:val="00373827"/>
    <w:rsid w:val="0037401C"/>
    <w:rsid w:val="0037507B"/>
    <w:rsid w:val="00375C7C"/>
    <w:rsid w:val="00377027"/>
    <w:rsid w:val="00377135"/>
    <w:rsid w:val="00380272"/>
    <w:rsid w:val="003805DB"/>
    <w:rsid w:val="00380C7F"/>
    <w:rsid w:val="0038152A"/>
    <w:rsid w:val="00381D31"/>
    <w:rsid w:val="0038245D"/>
    <w:rsid w:val="0038299F"/>
    <w:rsid w:val="00382BAD"/>
    <w:rsid w:val="003835FD"/>
    <w:rsid w:val="00383EDF"/>
    <w:rsid w:val="00384C5E"/>
    <w:rsid w:val="00384DF1"/>
    <w:rsid w:val="00384FF3"/>
    <w:rsid w:val="00386456"/>
    <w:rsid w:val="003865A9"/>
    <w:rsid w:val="0039092B"/>
    <w:rsid w:val="00390BD9"/>
    <w:rsid w:val="00390F32"/>
    <w:rsid w:val="0039135E"/>
    <w:rsid w:val="00391E45"/>
    <w:rsid w:val="0039285D"/>
    <w:rsid w:val="0039319C"/>
    <w:rsid w:val="00393577"/>
    <w:rsid w:val="00393CAE"/>
    <w:rsid w:val="003942CF"/>
    <w:rsid w:val="003945F4"/>
    <w:rsid w:val="00394EB5"/>
    <w:rsid w:val="003953B4"/>
    <w:rsid w:val="0039615F"/>
    <w:rsid w:val="003966A0"/>
    <w:rsid w:val="00396A29"/>
    <w:rsid w:val="00397007"/>
    <w:rsid w:val="00397FF0"/>
    <w:rsid w:val="003A0878"/>
    <w:rsid w:val="003A1561"/>
    <w:rsid w:val="003A1D25"/>
    <w:rsid w:val="003A22A2"/>
    <w:rsid w:val="003A2447"/>
    <w:rsid w:val="003A2681"/>
    <w:rsid w:val="003A2AA1"/>
    <w:rsid w:val="003A31A5"/>
    <w:rsid w:val="003A329A"/>
    <w:rsid w:val="003A3603"/>
    <w:rsid w:val="003A36AC"/>
    <w:rsid w:val="003A3851"/>
    <w:rsid w:val="003A39DD"/>
    <w:rsid w:val="003A40DB"/>
    <w:rsid w:val="003A4199"/>
    <w:rsid w:val="003A41C5"/>
    <w:rsid w:val="003A4A8E"/>
    <w:rsid w:val="003A563C"/>
    <w:rsid w:val="003A581E"/>
    <w:rsid w:val="003A5E7E"/>
    <w:rsid w:val="003A6160"/>
    <w:rsid w:val="003A65A5"/>
    <w:rsid w:val="003A65AC"/>
    <w:rsid w:val="003A72F5"/>
    <w:rsid w:val="003A78E5"/>
    <w:rsid w:val="003B0341"/>
    <w:rsid w:val="003B15F3"/>
    <w:rsid w:val="003B1961"/>
    <w:rsid w:val="003B1AFF"/>
    <w:rsid w:val="003B1E57"/>
    <w:rsid w:val="003B1E5C"/>
    <w:rsid w:val="003B2EF3"/>
    <w:rsid w:val="003B48C4"/>
    <w:rsid w:val="003B534F"/>
    <w:rsid w:val="003B5391"/>
    <w:rsid w:val="003B58CE"/>
    <w:rsid w:val="003B5BC1"/>
    <w:rsid w:val="003B64CE"/>
    <w:rsid w:val="003B65D7"/>
    <w:rsid w:val="003B65E0"/>
    <w:rsid w:val="003B6BD4"/>
    <w:rsid w:val="003B6F4D"/>
    <w:rsid w:val="003B6FE7"/>
    <w:rsid w:val="003C0435"/>
    <w:rsid w:val="003C0491"/>
    <w:rsid w:val="003C0C0F"/>
    <w:rsid w:val="003C0D1F"/>
    <w:rsid w:val="003C0E66"/>
    <w:rsid w:val="003C116A"/>
    <w:rsid w:val="003C1AF4"/>
    <w:rsid w:val="003C1CB8"/>
    <w:rsid w:val="003C22DA"/>
    <w:rsid w:val="003C2550"/>
    <w:rsid w:val="003C287F"/>
    <w:rsid w:val="003C3339"/>
    <w:rsid w:val="003C375A"/>
    <w:rsid w:val="003C3E1B"/>
    <w:rsid w:val="003C4317"/>
    <w:rsid w:val="003C4D9F"/>
    <w:rsid w:val="003C5247"/>
    <w:rsid w:val="003C5B02"/>
    <w:rsid w:val="003C5E8A"/>
    <w:rsid w:val="003C606D"/>
    <w:rsid w:val="003C622C"/>
    <w:rsid w:val="003C6505"/>
    <w:rsid w:val="003C73C7"/>
    <w:rsid w:val="003C7CFB"/>
    <w:rsid w:val="003D050B"/>
    <w:rsid w:val="003D0B98"/>
    <w:rsid w:val="003D0C3C"/>
    <w:rsid w:val="003D0DE5"/>
    <w:rsid w:val="003D1351"/>
    <w:rsid w:val="003D15B3"/>
    <w:rsid w:val="003D21C1"/>
    <w:rsid w:val="003D3B15"/>
    <w:rsid w:val="003D3B2E"/>
    <w:rsid w:val="003D3DF0"/>
    <w:rsid w:val="003D3F28"/>
    <w:rsid w:val="003D4101"/>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E7C00"/>
    <w:rsid w:val="003F060E"/>
    <w:rsid w:val="003F060F"/>
    <w:rsid w:val="003F0F7F"/>
    <w:rsid w:val="003F115C"/>
    <w:rsid w:val="003F153A"/>
    <w:rsid w:val="003F1AB4"/>
    <w:rsid w:val="003F300D"/>
    <w:rsid w:val="003F391F"/>
    <w:rsid w:val="003F39C8"/>
    <w:rsid w:val="003F3CD7"/>
    <w:rsid w:val="003F4599"/>
    <w:rsid w:val="003F45E1"/>
    <w:rsid w:val="003F4F6C"/>
    <w:rsid w:val="003F5579"/>
    <w:rsid w:val="003F559E"/>
    <w:rsid w:val="003F6181"/>
    <w:rsid w:val="003F6BFC"/>
    <w:rsid w:val="003F7343"/>
    <w:rsid w:val="003F7D9C"/>
    <w:rsid w:val="00400002"/>
    <w:rsid w:val="00400054"/>
    <w:rsid w:val="004016A3"/>
    <w:rsid w:val="00401B31"/>
    <w:rsid w:val="0040202B"/>
    <w:rsid w:val="0040219D"/>
    <w:rsid w:val="00402DE1"/>
    <w:rsid w:val="00402EEB"/>
    <w:rsid w:val="00403179"/>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24C"/>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85B"/>
    <w:rsid w:val="00414D9A"/>
    <w:rsid w:val="00415194"/>
    <w:rsid w:val="00415337"/>
    <w:rsid w:val="00415816"/>
    <w:rsid w:val="00415B88"/>
    <w:rsid w:val="00415D32"/>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778"/>
    <w:rsid w:val="00443B55"/>
    <w:rsid w:val="00443D27"/>
    <w:rsid w:val="0044500B"/>
    <w:rsid w:val="004451C5"/>
    <w:rsid w:val="00446037"/>
    <w:rsid w:val="00446270"/>
    <w:rsid w:val="0044642F"/>
    <w:rsid w:val="004472D6"/>
    <w:rsid w:val="0044772C"/>
    <w:rsid w:val="00450846"/>
    <w:rsid w:val="00451A52"/>
    <w:rsid w:val="0045271D"/>
    <w:rsid w:val="00452755"/>
    <w:rsid w:val="00452803"/>
    <w:rsid w:val="004529C6"/>
    <w:rsid w:val="00452EAD"/>
    <w:rsid w:val="004533D1"/>
    <w:rsid w:val="004534D1"/>
    <w:rsid w:val="0045392F"/>
    <w:rsid w:val="004540B8"/>
    <w:rsid w:val="00454548"/>
    <w:rsid w:val="00454717"/>
    <w:rsid w:val="00454C0F"/>
    <w:rsid w:val="00454DF8"/>
    <w:rsid w:val="00455004"/>
    <w:rsid w:val="00455047"/>
    <w:rsid w:val="00455354"/>
    <w:rsid w:val="0045558D"/>
    <w:rsid w:val="0045578F"/>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3BC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586C"/>
    <w:rsid w:val="00475C5A"/>
    <w:rsid w:val="00475C9C"/>
    <w:rsid w:val="0047676B"/>
    <w:rsid w:val="00477663"/>
    <w:rsid w:val="0047773C"/>
    <w:rsid w:val="00477C5F"/>
    <w:rsid w:val="00480050"/>
    <w:rsid w:val="0048011C"/>
    <w:rsid w:val="004808DE"/>
    <w:rsid w:val="00480F9A"/>
    <w:rsid w:val="00481912"/>
    <w:rsid w:val="00481AC4"/>
    <w:rsid w:val="00481DC1"/>
    <w:rsid w:val="00482507"/>
    <w:rsid w:val="0048268A"/>
    <w:rsid w:val="00482A64"/>
    <w:rsid w:val="004831FB"/>
    <w:rsid w:val="004835CA"/>
    <w:rsid w:val="004836F8"/>
    <w:rsid w:val="004836FE"/>
    <w:rsid w:val="00484A39"/>
    <w:rsid w:val="00484E9F"/>
    <w:rsid w:val="00484F0F"/>
    <w:rsid w:val="00484F40"/>
    <w:rsid w:val="0048540C"/>
    <w:rsid w:val="004861B4"/>
    <w:rsid w:val="00486226"/>
    <w:rsid w:val="00486BD0"/>
    <w:rsid w:val="00486D00"/>
    <w:rsid w:val="00486FF7"/>
    <w:rsid w:val="00487263"/>
    <w:rsid w:val="0048734F"/>
    <w:rsid w:val="00487D54"/>
    <w:rsid w:val="0049029D"/>
    <w:rsid w:val="0049030C"/>
    <w:rsid w:val="004903C0"/>
    <w:rsid w:val="0049114B"/>
    <w:rsid w:val="004912A8"/>
    <w:rsid w:val="00491577"/>
    <w:rsid w:val="004918E1"/>
    <w:rsid w:val="0049196A"/>
    <w:rsid w:val="0049196E"/>
    <w:rsid w:val="00491D6E"/>
    <w:rsid w:val="0049241A"/>
    <w:rsid w:val="00492844"/>
    <w:rsid w:val="004928A6"/>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2740"/>
    <w:rsid w:val="004A34D2"/>
    <w:rsid w:val="004A3EEA"/>
    <w:rsid w:val="004A4301"/>
    <w:rsid w:val="004A4D93"/>
    <w:rsid w:val="004A546E"/>
    <w:rsid w:val="004A58EE"/>
    <w:rsid w:val="004A59B7"/>
    <w:rsid w:val="004A6051"/>
    <w:rsid w:val="004A623B"/>
    <w:rsid w:val="004A6A04"/>
    <w:rsid w:val="004A6A52"/>
    <w:rsid w:val="004B0A44"/>
    <w:rsid w:val="004B0F0B"/>
    <w:rsid w:val="004B1DA3"/>
    <w:rsid w:val="004B205A"/>
    <w:rsid w:val="004B2197"/>
    <w:rsid w:val="004B298A"/>
    <w:rsid w:val="004B2BB8"/>
    <w:rsid w:val="004B50CB"/>
    <w:rsid w:val="004B578D"/>
    <w:rsid w:val="004B5BE7"/>
    <w:rsid w:val="004B5E2D"/>
    <w:rsid w:val="004B6C07"/>
    <w:rsid w:val="004B74D3"/>
    <w:rsid w:val="004B755E"/>
    <w:rsid w:val="004B788E"/>
    <w:rsid w:val="004B7E5D"/>
    <w:rsid w:val="004C0E59"/>
    <w:rsid w:val="004C1198"/>
    <w:rsid w:val="004C22F7"/>
    <w:rsid w:val="004C2B27"/>
    <w:rsid w:val="004C3929"/>
    <w:rsid w:val="004C4160"/>
    <w:rsid w:val="004C497F"/>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CF"/>
    <w:rsid w:val="004E3B71"/>
    <w:rsid w:val="004E40CE"/>
    <w:rsid w:val="004E455B"/>
    <w:rsid w:val="004E553A"/>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29"/>
    <w:rsid w:val="004F5180"/>
    <w:rsid w:val="004F57C9"/>
    <w:rsid w:val="004F5930"/>
    <w:rsid w:val="004F5970"/>
    <w:rsid w:val="004F5E3D"/>
    <w:rsid w:val="004F5F0C"/>
    <w:rsid w:val="004F6121"/>
    <w:rsid w:val="004F6161"/>
    <w:rsid w:val="004F66BC"/>
    <w:rsid w:val="004F6C26"/>
    <w:rsid w:val="004F7AC9"/>
    <w:rsid w:val="004F7C95"/>
    <w:rsid w:val="0050062F"/>
    <w:rsid w:val="00500E74"/>
    <w:rsid w:val="0050160F"/>
    <w:rsid w:val="0050284E"/>
    <w:rsid w:val="0050306F"/>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5E3"/>
    <w:rsid w:val="0051635C"/>
    <w:rsid w:val="005163F1"/>
    <w:rsid w:val="00516C5B"/>
    <w:rsid w:val="005172DA"/>
    <w:rsid w:val="00517612"/>
    <w:rsid w:val="00517CFB"/>
    <w:rsid w:val="00517F85"/>
    <w:rsid w:val="0052002F"/>
    <w:rsid w:val="00520235"/>
    <w:rsid w:val="0052031D"/>
    <w:rsid w:val="005203F6"/>
    <w:rsid w:val="00520899"/>
    <w:rsid w:val="00520922"/>
    <w:rsid w:val="005209FC"/>
    <w:rsid w:val="00520C09"/>
    <w:rsid w:val="00521A30"/>
    <w:rsid w:val="00521D7C"/>
    <w:rsid w:val="00521EA7"/>
    <w:rsid w:val="005224E5"/>
    <w:rsid w:val="0052287C"/>
    <w:rsid w:val="00522E06"/>
    <w:rsid w:val="0052311A"/>
    <w:rsid w:val="0052370B"/>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8A2"/>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4F3"/>
    <w:rsid w:val="00537672"/>
    <w:rsid w:val="005376B5"/>
    <w:rsid w:val="0053772F"/>
    <w:rsid w:val="00537A70"/>
    <w:rsid w:val="00537B64"/>
    <w:rsid w:val="00537B77"/>
    <w:rsid w:val="00540C4C"/>
    <w:rsid w:val="00541469"/>
    <w:rsid w:val="00541571"/>
    <w:rsid w:val="005419DA"/>
    <w:rsid w:val="00541B1F"/>
    <w:rsid w:val="00541D68"/>
    <w:rsid w:val="00541F98"/>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5FDA"/>
    <w:rsid w:val="00546C9B"/>
    <w:rsid w:val="00546FC2"/>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6AA"/>
    <w:rsid w:val="0056182B"/>
    <w:rsid w:val="00561A88"/>
    <w:rsid w:val="00561AF3"/>
    <w:rsid w:val="00561E0B"/>
    <w:rsid w:val="00562141"/>
    <w:rsid w:val="00562D86"/>
    <w:rsid w:val="00563A40"/>
    <w:rsid w:val="005640CA"/>
    <w:rsid w:val="00564704"/>
    <w:rsid w:val="00564712"/>
    <w:rsid w:val="005657A8"/>
    <w:rsid w:val="00565952"/>
    <w:rsid w:val="00566866"/>
    <w:rsid w:val="005670A5"/>
    <w:rsid w:val="00567285"/>
    <w:rsid w:val="00567723"/>
    <w:rsid w:val="0056772D"/>
    <w:rsid w:val="00567775"/>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96F"/>
    <w:rsid w:val="00576A1A"/>
    <w:rsid w:val="005774FE"/>
    <w:rsid w:val="00577AE6"/>
    <w:rsid w:val="0058040C"/>
    <w:rsid w:val="00580D6D"/>
    <w:rsid w:val="00580FD8"/>
    <w:rsid w:val="005813DE"/>
    <w:rsid w:val="00581796"/>
    <w:rsid w:val="0058195C"/>
    <w:rsid w:val="00581B45"/>
    <w:rsid w:val="00582480"/>
    <w:rsid w:val="00582805"/>
    <w:rsid w:val="0058290E"/>
    <w:rsid w:val="00582CAB"/>
    <w:rsid w:val="00582D04"/>
    <w:rsid w:val="00582FA6"/>
    <w:rsid w:val="005836D5"/>
    <w:rsid w:val="0058375E"/>
    <w:rsid w:val="00584233"/>
    <w:rsid w:val="0058425C"/>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81A"/>
    <w:rsid w:val="00596AF7"/>
    <w:rsid w:val="00596CCE"/>
    <w:rsid w:val="005A1976"/>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6D"/>
    <w:rsid w:val="005A7885"/>
    <w:rsid w:val="005B0146"/>
    <w:rsid w:val="005B12B2"/>
    <w:rsid w:val="005B143B"/>
    <w:rsid w:val="005B19BD"/>
    <w:rsid w:val="005B1E45"/>
    <w:rsid w:val="005B21C4"/>
    <w:rsid w:val="005B2A28"/>
    <w:rsid w:val="005B35AB"/>
    <w:rsid w:val="005B3621"/>
    <w:rsid w:val="005B3EBE"/>
    <w:rsid w:val="005B4948"/>
    <w:rsid w:val="005B501D"/>
    <w:rsid w:val="005B54CC"/>
    <w:rsid w:val="005B5AA3"/>
    <w:rsid w:val="005B71BB"/>
    <w:rsid w:val="005B732A"/>
    <w:rsid w:val="005B7396"/>
    <w:rsid w:val="005B74AD"/>
    <w:rsid w:val="005B7E96"/>
    <w:rsid w:val="005C0429"/>
    <w:rsid w:val="005C06A5"/>
    <w:rsid w:val="005C084F"/>
    <w:rsid w:val="005C0EE9"/>
    <w:rsid w:val="005C169F"/>
    <w:rsid w:val="005C16A8"/>
    <w:rsid w:val="005C1716"/>
    <w:rsid w:val="005C1954"/>
    <w:rsid w:val="005C1C0B"/>
    <w:rsid w:val="005C2011"/>
    <w:rsid w:val="005C3EA3"/>
    <w:rsid w:val="005C3F1E"/>
    <w:rsid w:val="005C44DE"/>
    <w:rsid w:val="005C49A9"/>
    <w:rsid w:val="005C5011"/>
    <w:rsid w:val="005C5241"/>
    <w:rsid w:val="005C529E"/>
    <w:rsid w:val="005C5356"/>
    <w:rsid w:val="005C54DF"/>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41D"/>
    <w:rsid w:val="005D1606"/>
    <w:rsid w:val="005D19C3"/>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5EA"/>
    <w:rsid w:val="005D6651"/>
    <w:rsid w:val="005D691D"/>
    <w:rsid w:val="005D6A72"/>
    <w:rsid w:val="005D6F38"/>
    <w:rsid w:val="005D7236"/>
    <w:rsid w:val="005D791B"/>
    <w:rsid w:val="005D7CF2"/>
    <w:rsid w:val="005D7F92"/>
    <w:rsid w:val="005E062C"/>
    <w:rsid w:val="005E0D7B"/>
    <w:rsid w:val="005E1595"/>
    <w:rsid w:val="005E1F1D"/>
    <w:rsid w:val="005E273D"/>
    <w:rsid w:val="005E3278"/>
    <w:rsid w:val="005E363B"/>
    <w:rsid w:val="005E3736"/>
    <w:rsid w:val="005E4B72"/>
    <w:rsid w:val="005E52C9"/>
    <w:rsid w:val="005E55F4"/>
    <w:rsid w:val="005E781C"/>
    <w:rsid w:val="005F2856"/>
    <w:rsid w:val="005F2D8B"/>
    <w:rsid w:val="005F305B"/>
    <w:rsid w:val="005F3361"/>
    <w:rsid w:val="005F33FE"/>
    <w:rsid w:val="005F361A"/>
    <w:rsid w:val="005F3B47"/>
    <w:rsid w:val="005F4481"/>
    <w:rsid w:val="005F4596"/>
    <w:rsid w:val="005F47AC"/>
    <w:rsid w:val="005F49AF"/>
    <w:rsid w:val="005F4A58"/>
    <w:rsid w:val="005F54DF"/>
    <w:rsid w:val="005F5888"/>
    <w:rsid w:val="005F5984"/>
    <w:rsid w:val="005F5EAB"/>
    <w:rsid w:val="005F6CE2"/>
    <w:rsid w:val="005F6EC8"/>
    <w:rsid w:val="005F6F24"/>
    <w:rsid w:val="005F72E9"/>
    <w:rsid w:val="005F780B"/>
    <w:rsid w:val="0060009C"/>
    <w:rsid w:val="00600473"/>
    <w:rsid w:val="0060139A"/>
    <w:rsid w:val="006013C9"/>
    <w:rsid w:val="00601A47"/>
    <w:rsid w:val="00602931"/>
    <w:rsid w:val="00602B45"/>
    <w:rsid w:val="00603499"/>
    <w:rsid w:val="006035F5"/>
    <w:rsid w:val="00603CC2"/>
    <w:rsid w:val="006047D1"/>
    <w:rsid w:val="006048A4"/>
    <w:rsid w:val="00604A55"/>
    <w:rsid w:val="00604D4E"/>
    <w:rsid w:val="00604E3E"/>
    <w:rsid w:val="00605AC3"/>
    <w:rsid w:val="00606908"/>
    <w:rsid w:val="00606E4E"/>
    <w:rsid w:val="0060776B"/>
    <w:rsid w:val="00607996"/>
    <w:rsid w:val="00607A37"/>
    <w:rsid w:val="00607E9F"/>
    <w:rsid w:val="0061085E"/>
    <w:rsid w:val="006112A7"/>
    <w:rsid w:val="00611398"/>
    <w:rsid w:val="006113B4"/>
    <w:rsid w:val="006115F7"/>
    <w:rsid w:val="0061186D"/>
    <w:rsid w:val="00612322"/>
    <w:rsid w:val="006123C0"/>
    <w:rsid w:val="006129AB"/>
    <w:rsid w:val="00612A0A"/>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093"/>
    <w:rsid w:val="006231AA"/>
    <w:rsid w:val="00623482"/>
    <w:rsid w:val="00623AC2"/>
    <w:rsid w:val="00623C3C"/>
    <w:rsid w:val="00623EBC"/>
    <w:rsid w:val="0062475D"/>
    <w:rsid w:val="00625642"/>
    <w:rsid w:val="00625DF2"/>
    <w:rsid w:val="006266D7"/>
    <w:rsid w:val="00626D42"/>
    <w:rsid w:val="00626EE3"/>
    <w:rsid w:val="006274AD"/>
    <w:rsid w:val="00627519"/>
    <w:rsid w:val="00627532"/>
    <w:rsid w:val="00627711"/>
    <w:rsid w:val="006302A1"/>
    <w:rsid w:val="006302AA"/>
    <w:rsid w:val="006310C3"/>
    <w:rsid w:val="006313DF"/>
    <w:rsid w:val="0063161E"/>
    <w:rsid w:val="00631BB5"/>
    <w:rsid w:val="00631DD0"/>
    <w:rsid w:val="00633DBF"/>
    <w:rsid w:val="00634122"/>
    <w:rsid w:val="0063444B"/>
    <w:rsid w:val="00634BEF"/>
    <w:rsid w:val="00635E32"/>
    <w:rsid w:val="006360FC"/>
    <w:rsid w:val="006361C9"/>
    <w:rsid w:val="00636405"/>
    <w:rsid w:val="006365DE"/>
    <w:rsid w:val="00636BE4"/>
    <w:rsid w:val="00636D9C"/>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C78"/>
    <w:rsid w:val="00647DCC"/>
    <w:rsid w:val="00647E8E"/>
    <w:rsid w:val="00647EFA"/>
    <w:rsid w:val="00647F14"/>
    <w:rsid w:val="00650027"/>
    <w:rsid w:val="00650E89"/>
    <w:rsid w:val="006516E6"/>
    <w:rsid w:val="00651B9C"/>
    <w:rsid w:val="00651C47"/>
    <w:rsid w:val="00652E70"/>
    <w:rsid w:val="00652F29"/>
    <w:rsid w:val="0065339A"/>
    <w:rsid w:val="00653469"/>
    <w:rsid w:val="0065443A"/>
    <w:rsid w:val="00654A38"/>
    <w:rsid w:val="00655301"/>
    <w:rsid w:val="00655371"/>
    <w:rsid w:val="00655507"/>
    <w:rsid w:val="00655891"/>
    <w:rsid w:val="006564A5"/>
    <w:rsid w:val="00656C4B"/>
    <w:rsid w:val="006572A7"/>
    <w:rsid w:val="006573EA"/>
    <w:rsid w:val="006577C9"/>
    <w:rsid w:val="00660301"/>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D6C"/>
    <w:rsid w:val="00666E6C"/>
    <w:rsid w:val="0066707F"/>
    <w:rsid w:val="00667ED8"/>
    <w:rsid w:val="0067064C"/>
    <w:rsid w:val="00670851"/>
    <w:rsid w:val="00670B20"/>
    <w:rsid w:val="00670E12"/>
    <w:rsid w:val="00670F1D"/>
    <w:rsid w:val="00670F27"/>
    <w:rsid w:val="00672E80"/>
    <w:rsid w:val="0067333F"/>
    <w:rsid w:val="006739E4"/>
    <w:rsid w:val="00673ECF"/>
    <w:rsid w:val="0067426B"/>
    <w:rsid w:val="0067449C"/>
    <w:rsid w:val="006745B0"/>
    <w:rsid w:val="00674A1B"/>
    <w:rsid w:val="00674D08"/>
    <w:rsid w:val="00674F1C"/>
    <w:rsid w:val="006754F8"/>
    <w:rsid w:val="00675514"/>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5D1"/>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4C45"/>
    <w:rsid w:val="006A5500"/>
    <w:rsid w:val="006A55EE"/>
    <w:rsid w:val="006A575B"/>
    <w:rsid w:val="006A59DE"/>
    <w:rsid w:val="006A64C6"/>
    <w:rsid w:val="006A6655"/>
    <w:rsid w:val="006A6BF9"/>
    <w:rsid w:val="006A7AB8"/>
    <w:rsid w:val="006A7CB5"/>
    <w:rsid w:val="006A7FD0"/>
    <w:rsid w:val="006B025C"/>
    <w:rsid w:val="006B04DB"/>
    <w:rsid w:val="006B08ED"/>
    <w:rsid w:val="006B1E71"/>
    <w:rsid w:val="006B2170"/>
    <w:rsid w:val="006B2534"/>
    <w:rsid w:val="006B2CB2"/>
    <w:rsid w:val="006B347D"/>
    <w:rsid w:val="006B3E19"/>
    <w:rsid w:val="006B4488"/>
    <w:rsid w:val="006B4D5D"/>
    <w:rsid w:val="006B50C4"/>
    <w:rsid w:val="006B53AE"/>
    <w:rsid w:val="006B58B4"/>
    <w:rsid w:val="006B67AC"/>
    <w:rsid w:val="006B7109"/>
    <w:rsid w:val="006B786A"/>
    <w:rsid w:val="006B7E4E"/>
    <w:rsid w:val="006C003A"/>
    <w:rsid w:val="006C107C"/>
    <w:rsid w:val="006C189C"/>
    <w:rsid w:val="006C1CBD"/>
    <w:rsid w:val="006C1E16"/>
    <w:rsid w:val="006C2454"/>
    <w:rsid w:val="006C2551"/>
    <w:rsid w:val="006C27B9"/>
    <w:rsid w:val="006C2981"/>
    <w:rsid w:val="006C37CA"/>
    <w:rsid w:val="006C39AE"/>
    <w:rsid w:val="006C40D2"/>
    <w:rsid w:val="006C4750"/>
    <w:rsid w:val="006C4B85"/>
    <w:rsid w:val="006C4BBD"/>
    <w:rsid w:val="006C551E"/>
    <w:rsid w:val="006C5B15"/>
    <w:rsid w:val="006C5D32"/>
    <w:rsid w:val="006C5DCB"/>
    <w:rsid w:val="006C6475"/>
    <w:rsid w:val="006C70C4"/>
    <w:rsid w:val="006C741F"/>
    <w:rsid w:val="006D04DA"/>
    <w:rsid w:val="006D0C75"/>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9A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37FA"/>
    <w:rsid w:val="006F4147"/>
    <w:rsid w:val="006F4315"/>
    <w:rsid w:val="006F4CB0"/>
    <w:rsid w:val="006F4F78"/>
    <w:rsid w:val="006F547E"/>
    <w:rsid w:val="006F5CCF"/>
    <w:rsid w:val="006F6F04"/>
    <w:rsid w:val="006F71F5"/>
    <w:rsid w:val="006F72A8"/>
    <w:rsid w:val="006F79BB"/>
    <w:rsid w:val="006F7D99"/>
    <w:rsid w:val="007000A6"/>
    <w:rsid w:val="00700610"/>
    <w:rsid w:val="00700AD7"/>
    <w:rsid w:val="0070138A"/>
    <w:rsid w:val="0070157E"/>
    <w:rsid w:val="00702467"/>
    <w:rsid w:val="007030D4"/>
    <w:rsid w:val="00703279"/>
    <w:rsid w:val="00703B61"/>
    <w:rsid w:val="00703E11"/>
    <w:rsid w:val="00704102"/>
    <w:rsid w:val="0070437C"/>
    <w:rsid w:val="0070461C"/>
    <w:rsid w:val="00704F37"/>
    <w:rsid w:val="00705631"/>
    <w:rsid w:val="00705818"/>
    <w:rsid w:val="00705F62"/>
    <w:rsid w:val="00706321"/>
    <w:rsid w:val="00706813"/>
    <w:rsid w:val="00706C7F"/>
    <w:rsid w:val="0070773F"/>
    <w:rsid w:val="00707A2E"/>
    <w:rsid w:val="00707ED3"/>
    <w:rsid w:val="007101B7"/>
    <w:rsid w:val="0071023A"/>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0222"/>
    <w:rsid w:val="0072138B"/>
    <w:rsid w:val="00721BFF"/>
    <w:rsid w:val="007228C0"/>
    <w:rsid w:val="007232EE"/>
    <w:rsid w:val="00723452"/>
    <w:rsid w:val="00723475"/>
    <w:rsid w:val="007236C4"/>
    <w:rsid w:val="00724635"/>
    <w:rsid w:val="00724F21"/>
    <w:rsid w:val="00725134"/>
    <w:rsid w:val="0072554B"/>
    <w:rsid w:val="0072571F"/>
    <w:rsid w:val="00725AFD"/>
    <w:rsid w:val="00726603"/>
    <w:rsid w:val="007266AC"/>
    <w:rsid w:val="00727B1D"/>
    <w:rsid w:val="00727DDC"/>
    <w:rsid w:val="00727FA4"/>
    <w:rsid w:val="00727FE9"/>
    <w:rsid w:val="00730CD6"/>
    <w:rsid w:val="00730F74"/>
    <w:rsid w:val="0073114B"/>
    <w:rsid w:val="0073131B"/>
    <w:rsid w:val="00732151"/>
    <w:rsid w:val="00732EBC"/>
    <w:rsid w:val="007342AD"/>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626"/>
    <w:rsid w:val="00742332"/>
    <w:rsid w:val="00742886"/>
    <w:rsid w:val="00742A3A"/>
    <w:rsid w:val="00742DD2"/>
    <w:rsid w:val="007437C6"/>
    <w:rsid w:val="007441A2"/>
    <w:rsid w:val="00744E80"/>
    <w:rsid w:val="00745035"/>
    <w:rsid w:val="007450A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0A9"/>
    <w:rsid w:val="007534AD"/>
    <w:rsid w:val="0075350A"/>
    <w:rsid w:val="00753BAC"/>
    <w:rsid w:val="00754A0B"/>
    <w:rsid w:val="00755229"/>
    <w:rsid w:val="007552DB"/>
    <w:rsid w:val="0075549F"/>
    <w:rsid w:val="00755B08"/>
    <w:rsid w:val="00755DD0"/>
    <w:rsid w:val="0075647A"/>
    <w:rsid w:val="007564CA"/>
    <w:rsid w:val="007568E9"/>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06B"/>
    <w:rsid w:val="0076445F"/>
    <w:rsid w:val="00764EC5"/>
    <w:rsid w:val="007651EF"/>
    <w:rsid w:val="00766D49"/>
    <w:rsid w:val="00766ECC"/>
    <w:rsid w:val="007672F3"/>
    <w:rsid w:val="007677B5"/>
    <w:rsid w:val="007678B1"/>
    <w:rsid w:val="007701EE"/>
    <w:rsid w:val="007708A8"/>
    <w:rsid w:val="00772100"/>
    <w:rsid w:val="00772275"/>
    <w:rsid w:val="00772C9A"/>
    <w:rsid w:val="007734E4"/>
    <w:rsid w:val="0077380D"/>
    <w:rsid w:val="00773BC8"/>
    <w:rsid w:val="0077402E"/>
    <w:rsid w:val="007742CB"/>
    <w:rsid w:val="00774549"/>
    <w:rsid w:val="0077466F"/>
    <w:rsid w:val="007752B7"/>
    <w:rsid w:val="007759A8"/>
    <w:rsid w:val="00775C27"/>
    <w:rsid w:val="00775D98"/>
    <w:rsid w:val="00776B16"/>
    <w:rsid w:val="00776B93"/>
    <w:rsid w:val="00776FE5"/>
    <w:rsid w:val="00777101"/>
    <w:rsid w:val="007774E7"/>
    <w:rsid w:val="0077768C"/>
    <w:rsid w:val="00777696"/>
    <w:rsid w:val="00777EDF"/>
    <w:rsid w:val="00777FF4"/>
    <w:rsid w:val="00780251"/>
    <w:rsid w:val="007804FE"/>
    <w:rsid w:val="00780BE0"/>
    <w:rsid w:val="00780F32"/>
    <w:rsid w:val="00781049"/>
    <w:rsid w:val="0078122E"/>
    <w:rsid w:val="00781939"/>
    <w:rsid w:val="00781D29"/>
    <w:rsid w:val="00781FFF"/>
    <w:rsid w:val="007825EF"/>
    <w:rsid w:val="0078286B"/>
    <w:rsid w:val="00782D2C"/>
    <w:rsid w:val="00782FC2"/>
    <w:rsid w:val="00783358"/>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BDD"/>
    <w:rsid w:val="007930D3"/>
    <w:rsid w:val="0079381F"/>
    <w:rsid w:val="00793A57"/>
    <w:rsid w:val="00793B2E"/>
    <w:rsid w:val="007948F5"/>
    <w:rsid w:val="00795647"/>
    <w:rsid w:val="0079569B"/>
    <w:rsid w:val="007963F6"/>
    <w:rsid w:val="00796DC8"/>
    <w:rsid w:val="00796E80"/>
    <w:rsid w:val="0079744F"/>
    <w:rsid w:val="0079776F"/>
    <w:rsid w:val="007979AD"/>
    <w:rsid w:val="00797A9C"/>
    <w:rsid w:val="007A0502"/>
    <w:rsid w:val="007A0BA5"/>
    <w:rsid w:val="007A0EAB"/>
    <w:rsid w:val="007A1E0F"/>
    <w:rsid w:val="007A2341"/>
    <w:rsid w:val="007A2754"/>
    <w:rsid w:val="007A38A1"/>
    <w:rsid w:val="007A3BBE"/>
    <w:rsid w:val="007A4766"/>
    <w:rsid w:val="007A5947"/>
    <w:rsid w:val="007A603C"/>
    <w:rsid w:val="007A717B"/>
    <w:rsid w:val="007A7714"/>
    <w:rsid w:val="007A7753"/>
    <w:rsid w:val="007A7E4A"/>
    <w:rsid w:val="007B0302"/>
    <w:rsid w:val="007B0313"/>
    <w:rsid w:val="007B0854"/>
    <w:rsid w:val="007B0E48"/>
    <w:rsid w:val="007B19DE"/>
    <w:rsid w:val="007B1D1B"/>
    <w:rsid w:val="007B209C"/>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5A65"/>
    <w:rsid w:val="007B6C64"/>
    <w:rsid w:val="007B6EC8"/>
    <w:rsid w:val="007B6F81"/>
    <w:rsid w:val="007B7EA2"/>
    <w:rsid w:val="007C097D"/>
    <w:rsid w:val="007C0AF2"/>
    <w:rsid w:val="007C118E"/>
    <w:rsid w:val="007C1672"/>
    <w:rsid w:val="007C17AE"/>
    <w:rsid w:val="007C24EE"/>
    <w:rsid w:val="007C312A"/>
    <w:rsid w:val="007C3538"/>
    <w:rsid w:val="007C3570"/>
    <w:rsid w:val="007C3F3B"/>
    <w:rsid w:val="007C4097"/>
    <w:rsid w:val="007C4241"/>
    <w:rsid w:val="007C425E"/>
    <w:rsid w:val="007C55FF"/>
    <w:rsid w:val="007C6298"/>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2EF0"/>
    <w:rsid w:val="007D3693"/>
    <w:rsid w:val="007D3C6D"/>
    <w:rsid w:val="007D481A"/>
    <w:rsid w:val="007D4B96"/>
    <w:rsid w:val="007D4ED0"/>
    <w:rsid w:val="007D5648"/>
    <w:rsid w:val="007D58C5"/>
    <w:rsid w:val="007D5DE8"/>
    <w:rsid w:val="007D7CFC"/>
    <w:rsid w:val="007D7E82"/>
    <w:rsid w:val="007E0812"/>
    <w:rsid w:val="007E0825"/>
    <w:rsid w:val="007E18DF"/>
    <w:rsid w:val="007E214A"/>
    <w:rsid w:val="007E238D"/>
    <w:rsid w:val="007E2C36"/>
    <w:rsid w:val="007E350D"/>
    <w:rsid w:val="007E3ACA"/>
    <w:rsid w:val="007E3F4A"/>
    <w:rsid w:val="007E4F0D"/>
    <w:rsid w:val="007E564D"/>
    <w:rsid w:val="007E5C4A"/>
    <w:rsid w:val="007E6135"/>
    <w:rsid w:val="007E64D4"/>
    <w:rsid w:val="007E66E9"/>
    <w:rsid w:val="007E69F2"/>
    <w:rsid w:val="007E7432"/>
    <w:rsid w:val="007E74BF"/>
    <w:rsid w:val="007E7657"/>
    <w:rsid w:val="007E7D2E"/>
    <w:rsid w:val="007F016C"/>
    <w:rsid w:val="007F14D3"/>
    <w:rsid w:val="007F1814"/>
    <w:rsid w:val="007F1D9D"/>
    <w:rsid w:val="007F1E28"/>
    <w:rsid w:val="007F1F63"/>
    <w:rsid w:val="007F22A0"/>
    <w:rsid w:val="007F2902"/>
    <w:rsid w:val="007F2903"/>
    <w:rsid w:val="007F2F90"/>
    <w:rsid w:val="007F3320"/>
    <w:rsid w:val="007F3AC1"/>
    <w:rsid w:val="007F4976"/>
    <w:rsid w:val="007F4B40"/>
    <w:rsid w:val="007F4C94"/>
    <w:rsid w:val="007F5A56"/>
    <w:rsid w:val="007F5D42"/>
    <w:rsid w:val="007F616E"/>
    <w:rsid w:val="007F6B46"/>
    <w:rsid w:val="007F72CB"/>
    <w:rsid w:val="007F736A"/>
    <w:rsid w:val="007F7375"/>
    <w:rsid w:val="007F7635"/>
    <w:rsid w:val="007F785F"/>
    <w:rsid w:val="007F7961"/>
    <w:rsid w:val="007F7AF6"/>
    <w:rsid w:val="007F7E36"/>
    <w:rsid w:val="00800E6D"/>
    <w:rsid w:val="00800F57"/>
    <w:rsid w:val="008014D9"/>
    <w:rsid w:val="0080150F"/>
    <w:rsid w:val="0080153A"/>
    <w:rsid w:val="00801A2A"/>
    <w:rsid w:val="00802041"/>
    <w:rsid w:val="008022C9"/>
    <w:rsid w:val="00802605"/>
    <w:rsid w:val="00802F9E"/>
    <w:rsid w:val="00803700"/>
    <w:rsid w:val="00803D9D"/>
    <w:rsid w:val="0080548A"/>
    <w:rsid w:val="008059C6"/>
    <w:rsid w:val="00805AD7"/>
    <w:rsid w:val="00805BD6"/>
    <w:rsid w:val="00805DE3"/>
    <w:rsid w:val="00807C35"/>
    <w:rsid w:val="00807F35"/>
    <w:rsid w:val="00807F69"/>
    <w:rsid w:val="008100F7"/>
    <w:rsid w:val="00810206"/>
    <w:rsid w:val="0081022B"/>
    <w:rsid w:val="00810A15"/>
    <w:rsid w:val="00810B21"/>
    <w:rsid w:val="0081154C"/>
    <w:rsid w:val="00811898"/>
    <w:rsid w:val="00811CDC"/>
    <w:rsid w:val="00811F98"/>
    <w:rsid w:val="008124D8"/>
    <w:rsid w:val="00813A7B"/>
    <w:rsid w:val="00813F04"/>
    <w:rsid w:val="0081513E"/>
    <w:rsid w:val="00815AA0"/>
    <w:rsid w:val="00815D49"/>
    <w:rsid w:val="00815DA5"/>
    <w:rsid w:val="00816221"/>
    <w:rsid w:val="008165C8"/>
    <w:rsid w:val="008174F3"/>
    <w:rsid w:val="0081766B"/>
    <w:rsid w:val="008201DE"/>
    <w:rsid w:val="008205AC"/>
    <w:rsid w:val="00820705"/>
    <w:rsid w:val="00820CBF"/>
    <w:rsid w:val="00820FA8"/>
    <w:rsid w:val="008212FD"/>
    <w:rsid w:val="00821489"/>
    <w:rsid w:val="0082168D"/>
    <w:rsid w:val="008217B7"/>
    <w:rsid w:val="008220F4"/>
    <w:rsid w:val="0082239B"/>
    <w:rsid w:val="0082292E"/>
    <w:rsid w:val="00822D06"/>
    <w:rsid w:val="00822EC4"/>
    <w:rsid w:val="0082348D"/>
    <w:rsid w:val="008236BE"/>
    <w:rsid w:val="00824183"/>
    <w:rsid w:val="008241CE"/>
    <w:rsid w:val="00825240"/>
    <w:rsid w:val="00825B43"/>
    <w:rsid w:val="00825E01"/>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A50"/>
    <w:rsid w:val="00836C79"/>
    <w:rsid w:val="00836E74"/>
    <w:rsid w:val="00836EAB"/>
    <w:rsid w:val="008375F5"/>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007"/>
    <w:rsid w:val="00845AE3"/>
    <w:rsid w:val="008466A0"/>
    <w:rsid w:val="0084688E"/>
    <w:rsid w:val="00847535"/>
    <w:rsid w:val="00847B6D"/>
    <w:rsid w:val="0085092D"/>
    <w:rsid w:val="008509A5"/>
    <w:rsid w:val="00850B75"/>
    <w:rsid w:val="00850C79"/>
    <w:rsid w:val="00850D82"/>
    <w:rsid w:val="00850F79"/>
    <w:rsid w:val="0085100B"/>
    <w:rsid w:val="008510A1"/>
    <w:rsid w:val="0085192D"/>
    <w:rsid w:val="0085304C"/>
    <w:rsid w:val="008536BB"/>
    <w:rsid w:val="00853A3C"/>
    <w:rsid w:val="008548CA"/>
    <w:rsid w:val="008563B0"/>
    <w:rsid w:val="008567AC"/>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28E"/>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BE5"/>
    <w:rsid w:val="00867C13"/>
    <w:rsid w:val="00867C1D"/>
    <w:rsid w:val="0087033C"/>
    <w:rsid w:val="00870641"/>
    <w:rsid w:val="00870EB7"/>
    <w:rsid w:val="008715ED"/>
    <w:rsid w:val="008717D8"/>
    <w:rsid w:val="00871E3C"/>
    <w:rsid w:val="00871F0F"/>
    <w:rsid w:val="00872F97"/>
    <w:rsid w:val="00874607"/>
    <w:rsid w:val="008747E9"/>
    <w:rsid w:val="00874915"/>
    <w:rsid w:val="00874B89"/>
    <w:rsid w:val="00875403"/>
    <w:rsid w:val="00875434"/>
    <w:rsid w:val="00875C1F"/>
    <w:rsid w:val="00876215"/>
    <w:rsid w:val="0087646C"/>
    <w:rsid w:val="00876815"/>
    <w:rsid w:val="00876DB3"/>
    <w:rsid w:val="00877932"/>
    <w:rsid w:val="008808C7"/>
    <w:rsid w:val="0088106B"/>
    <w:rsid w:val="0088107D"/>
    <w:rsid w:val="0088187A"/>
    <w:rsid w:val="00881E64"/>
    <w:rsid w:val="00882E39"/>
    <w:rsid w:val="00883559"/>
    <w:rsid w:val="00883E91"/>
    <w:rsid w:val="00883F9E"/>
    <w:rsid w:val="00884536"/>
    <w:rsid w:val="008850EB"/>
    <w:rsid w:val="00885228"/>
    <w:rsid w:val="008857E3"/>
    <w:rsid w:val="00886DF2"/>
    <w:rsid w:val="00886FB9"/>
    <w:rsid w:val="00887057"/>
    <w:rsid w:val="00887080"/>
    <w:rsid w:val="0088713B"/>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D9"/>
    <w:rsid w:val="008C11F0"/>
    <w:rsid w:val="008C1918"/>
    <w:rsid w:val="008C1DBA"/>
    <w:rsid w:val="008C24E7"/>
    <w:rsid w:val="008C2500"/>
    <w:rsid w:val="008C2CAC"/>
    <w:rsid w:val="008C38D4"/>
    <w:rsid w:val="008C3C57"/>
    <w:rsid w:val="008C3E2A"/>
    <w:rsid w:val="008C45BD"/>
    <w:rsid w:val="008C4B19"/>
    <w:rsid w:val="008C55FB"/>
    <w:rsid w:val="008C62D4"/>
    <w:rsid w:val="008C6B89"/>
    <w:rsid w:val="008C6B97"/>
    <w:rsid w:val="008C7EF7"/>
    <w:rsid w:val="008D094D"/>
    <w:rsid w:val="008D18AA"/>
    <w:rsid w:val="008D1A2A"/>
    <w:rsid w:val="008D1ADE"/>
    <w:rsid w:val="008D3199"/>
    <w:rsid w:val="008D35D9"/>
    <w:rsid w:val="008D3937"/>
    <w:rsid w:val="008D3B36"/>
    <w:rsid w:val="008D3B85"/>
    <w:rsid w:val="008D462D"/>
    <w:rsid w:val="008D6084"/>
    <w:rsid w:val="008D64AC"/>
    <w:rsid w:val="008D656F"/>
    <w:rsid w:val="008D66CA"/>
    <w:rsid w:val="008D69B1"/>
    <w:rsid w:val="008D7338"/>
    <w:rsid w:val="008D785E"/>
    <w:rsid w:val="008D7978"/>
    <w:rsid w:val="008D7D66"/>
    <w:rsid w:val="008E0012"/>
    <w:rsid w:val="008E0DF7"/>
    <w:rsid w:val="008E0FAD"/>
    <w:rsid w:val="008E11E4"/>
    <w:rsid w:val="008E1252"/>
    <w:rsid w:val="008E1347"/>
    <w:rsid w:val="008E16E0"/>
    <w:rsid w:val="008E1C15"/>
    <w:rsid w:val="008E1C9A"/>
    <w:rsid w:val="008E28BD"/>
    <w:rsid w:val="008E2BE6"/>
    <w:rsid w:val="008E2F18"/>
    <w:rsid w:val="008E30C4"/>
    <w:rsid w:val="008E38B4"/>
    <w:rsid w:val="008E3BA4"/>
    <w:rsid w:val="008E3F17"/>
    <w:rsid w:val="008E44AB"/>
    <w:rsid w:val="008E4C9A"/>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202E"/>
    <w:rsid w:val="0091310F"/>
    <w:rsid w:val="009136D4"/>
    <w:rsid w:val="00914B9A"/>
    <w:rsid w:val="00914C3F"/>
    <w:rsid w:val="00914F33"/>
    <w:rsid w:val="00915BC1"/>
    <w:rsid w:val="00915EFE"/>
    <w:rsid w:val="00915FCE"/>
    <w:rsid w:val="00916AFE"/>
    <w:rsid w:val="00916FC8"/>
    <w:rsid w:val="009170D3"/>
    <w:rsid w:val="0091713D"/>
    <w:rsid w:val="0091759C"/>
    <w:rsid w:val="00920026"/>
    <w:rsid w:val="009203E2"/>
    <w:rsid w:val="00920BF5"/>
    <w:rsid w:val="00920EF3"/>
    <w:rsid w:val="00920F61"/>
    <w:rsid w:val="00921304"/>
    <w:rsid w:val="00921395"/>
    <w:rsid w:val="00921805"/>
    <w:rsid w:val="00921E63"/>
    <w:rsid w:val="009230E7"/>
    <w:rsid w:val="00923396"/>
    <w:rsid w:val="00923F56"/>
    <w:rsid w:val="00923FC0"/>
    <w:rsid w:val="009242A6"/>
    <w:rsid w:val="00924770"/>
    <w:rsid w:val="00924AF3"/>
    <w:rsid w:val="00925346"/>
    <w:rsid w:val="00925743"/>
    <w:rsid w:val="0092579F"/>
    <w:rsid w:val="00927E8D"/>
    <w:rsid w:val="00927F23"/>
    <w:rsid w:val="009307CD"/>
    <w:rsid w:val="00931364"/>
    <w:rsid w:val="00931365"/>
    <w:rsid w:val="00931451"/>
    <w:rsid w:val="009314FA"/>
    <w:rsid w:val="0093194F"/>
    <w:rsid w:val="00931BF3"/>
    <w:rsid w:val="00931C55"/>
    <w:rsid w:val="00932099"/>
    <w:rsid w:val="0093228F"/>
    <w:rsid w:val="00933333"/>
    <w:rsid w:val="0093349A"/>
    <w:rsid w:val="0093360C"/>
    <w:rsid w:val="009338BA"/>
    <w:rsid w:val="00933FCB"/>
    <w:rsid w:val="009346C8"/>
    <w:rsid w:val="00934CEC"/>
    <w:rsid w:val="00934E69"/>
    <w:rsid w:val="00935E70"/>
    <w:rsid w:val="0093609A"/>
    <w:rsid w:val="00936657"/>
    <w:rsid w:val="00937401"/>
    <w:rsid w:val="009376FB"/>
    <w:rsid w:val="00937D6B"/>
    <w:rsid w:val="00940477"/>
    <w:rsid w:val="00940876"/>
    <w:rsid w:val="00940A53"/>
    <w:rsid w:val="00940F3C"/>
    <w:rsid w:val="009410E0"/>
    <w:rsid w:val="00941FA9"/>
    <w:rsid w:val="009439B6"/>
    <w:rsid w:val="00943AF3"/>
    <w:rsid w:val="009444B4"/>
    <w:rsid w:val="00944644"/>
    <w:rsid w:val="00946A24"/>
    <w:rsid w:val="009470D4"/>
    <w:rsid w:val="00947337"/>
    <w:rsid w:val="00947E6E"/>
    <w:rsid w:val="009512FA"/>
    <w:rsid w:val="009516A9"/>
    <w:rsid w:val="00951E57"/>
    <w:rsid w:val="00952350"/>
    <w:rsid w:val="00952505"/>
    <w:rsid w:val="00952A6D"/>
    <w:rsid w:val="00953018"/>
    <w:rsid w:val="009533E2"/>
    <w:rsid w:val="00953554"/>
    <w:rsid w:val="0095385A"/>
    <w:rsid w:val="00954F3A"/>
    <w:rsid w:val="009551D4"/>
    <w:rsid w:val="00955DFD"/>
    <w:rsid w:val="00956236"/>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766C1"/>
    <w:rsid w:val="00976FA7"/>
    <w:rsid w:val="0098022F"/>
    <w:rsid w:val="009810DE"/>
    <w:rsid w:val="00981B91"/>
    <w:rsid w:val="009822D7"/>
    <w:rsid w:val="00982460"/>
    <w:rsid w:val="009827E6"/>
    <w:rsid w:val="00982F84"/>
    <w:rsid w:val="00983107"/>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2658"/>
    <w:rsid w:val="00993013"/>
    <w:rsid w:val="009930AB"/>
    <w:rsid w:val="00993B78"/>
    <w:rsid w:val="00993DB9"/>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A01E4"/>
    <w:rsid w:val="009A0917"/>
    <w:rsid w:val="009A0A33"/>
    <w:rsid w:val="009A0CC0"/>
    <w:rsid w:val="009A0F9B"/>
    <w:rsid w:val="009A10B2"/>
    <w:rsid w:val="009A1351"/>
    <w:rsid w:val="009A1AAB"/>
    <w:rsid w:val="009A2041"/>
    <w:rsid w:val="009A2435"/>
    <w:rsid w:val="009A2EAE"/>
    <w:rsid w:val="009A31F4"/>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5B8C"/>
    <w:rsid w:val="009B663F"/>
    <w:rsid w:val="009B6863"/>
    <w:rsid w:val="009B6A3A"/>
    <w:rsid w:val="009B6D21"/>
    <w:rsid w:val="009B78ED"/>
    <w:rsid w:val="009C0759"/>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E02"/>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9DC"/>
    <w:rsid w:val="009E1CD4"/>
    <w:rsid w:val="009E2391"/>
    <w:rsid w:val="009E2A11"/>
    <w:rsid w:val="009E476A"/>
    <w:rsid w:val="009E4A16"/>
    <w:rsid w:val="009E4E05"/>
    <w:rsid w:val="009E56FF"/>
    <w:rsid w:val="009E5CB1"/>
    <w:rsid w:val="009E5E56"/>
    <w:rsid w:val="009E61EA"/>
    <w:rsid w:val="009E6990"/>
    <w:rsid w:val="009E6B58"/>
    <w:rsid w:val="009E6FDE"/>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8C6"/>
    <w:rsid w:val="009F4990"/>
    <w:rsid w:val="009F4F25"/>
    <w:rsid w:val="009F59C2"/>
    <w:rsid w:val="009F6D8F"/>
    <w:rsid w:val="009F7263"/>
    <w:rsid w:val="009F76EA"/>
    <w:rsid w:val="009F78EB"/>
    <w:rsid w:val="009F7C86"/>
    <w:rsid w:val="009F7DB2"/>
    <w:rsid w:val="009F7EB8"/>
    <w:rsid w:val="009F7F32"/>
    <w:rsid w:val="009F7FEB"/>
    <w:rsid w:val="00A003D5"/>
    <w:rsid w:val="00A0056C"/>
    <w:rsid w:val="00A00E01"/>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16F9"/>
    <w:rsid w:val="00A22025"/>
    <w:rsid w:val="00A22498"/>
    <w:rsid w:val="00A22571"/>
    <w:rsid w:val="00A2298D"/>
    <w:rsid w:val="00A235E1"/>
    <w:rsid w:val="00A241F0"/>
    <w:rsid w:val="00A24560"/>
    <w:rsid w:val="00A24B78"/>
    <w:rsid w:val="00A25B0F"/>
    <w:rsid w:val="00A25BBB"/>
    <w:rsid w:val="00A27FB6"/>
    <w:rsid w:val="00A30121"/>
    <w:rsid w:val="00A30368"/>
    <w:rsid w:val="00A3043A"/>
    <w:rsid w:val="00A30795"/>
    <w:rsid w:val="00A30E02"/>
    <w:rsid w:val="00A30F6A"/>
    <w:rsid w:val="00A31060"/>
    <w:rsid w:val="00A31C3E"/>
    <w:rsid w:val="00A32284"/>
    <w:rsid w:val="00A34538"/>
    <w:rsid w:val="00A34677"/>
    <w:rsid w:val="00A3540F"/>
    <w:rsid w:val="00A35630"/>
    <w:rsid w:val="00A35914"/>
    <w:rsid w:val="00A36189"/>
    <w:rsid w:val="00A36636"/>
    <w:rsid w:val="00A3677A"/>
    <w:rsid w:val="00A37E73"/>
    <w:rsid w:val="00A37FB6"/>
    <w:rsid w:val="00A40736"/>
    <w:rsid w:val="00A409E2"/>
    <w:rsid w:val="00A40C1D"/>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701"/>
    <w:rsid w:val="00A47849"/>
    <w:rsid w:val="00A47FC8"/>
    <w:rsid w:val="00A500B1"/>
    <w:rsid w:val="00A50449"/>
    <w:rsid w:val="00A51906"/>
    <w:rsid w:val="00A52A53"/>
    <w:rsid w:val="00A52EE5"/>
    <w:rsid w:val="00A53037"/>
    <w:rsid w:val="00A532B9"/>
    <w:rsid w:val="00A5351D"/>
    <w:rsid w:val="00A53E79"/>
    <w:rsid w:val="00A54031"/>
    <w:rsid w:val="00A5426D"/>
    <w:rsid w:val="00A54FC2"/>
    <w:rsid w:val="00A55122"/>
    <w:rsid w:val="00A5543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5EA7"/>
    <w:rsid w:val="00A6611E"/>
    <w:rsid w:val="00A668BA"/>
    <w:rsid w:val="00A66FA7"/>
    <w:rsid w:val="00A67170"/>
    <w:rsid w:val="00A6723C"/>
    <w:rsid w:val="00A67E16"/>
    <w:rsid w:val="00A67EB1"/>
    <w:rsid w:val="00A67F1C"/>
    <w:rsid w:val="00A703CC"/>
    <w:rsid w:val="00A70C5C"/>
    <w:rsid w:val="00A710A2"/>
    <w:rsid w:val="00A71EA7"/>
    <w:rsid w:val="00A72804"/>
    <w:rsid w:val="00A730AD"/>
    <w:rsid w:val="00A73855"/>
    <w:rsid w:val="00A73D64"/>
    <w:rsid w:val="00A74216"/>
    <w:rsid w:val="00A74360"/>
    <w:rsid w:val="00A744B4"/>
    <w:rsid w:val="00A751E3"/>
    <w:rsid w:val="00A7536B"/>
    <w:rsid w:val="00A753B9"/>
    <w:rsid w:val="00A7549A"/>
    <w:rsid w:val="00A75504"/>
    <w:rsid w:val="00A75FD7"/>
    <w:rsid w:val="00A77168"/>
    <w:rsid w:val="00A771DB"/>
    <w:rsid w:val="00A7723B"/>
    <w:rsid w:val="00A773C3"/>
    <w:rsid w:val="00A7793C"/>
    <w:rsid w:val="00A77D21"/>
    <w:rsid w:val="00A80085"/>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2100"/>
    <w:rsid w:val="00A93101"/>
    <w:rsid w:val="00A93239"/>
    <w:rsid w:val="00A9413E"/>
    <w:rsid w:val="00A94293"/>
    <w:rsid w:val="00A9496E"/>
    <w:rsid w:val="00A949F0"/>
    <w:rsid w:val="00A94BDE"/>
    <w:rsid w:val="00A94FCA"/>
    <w:rsid w:val="00A95E4C"/>
    <w:rsid w:val="00A96C60"/>
    <w:rsid w:val="00A96C6A"/>
    <w:rsid w:val="00A9740B"/>
    <w:rsid w:val="00A9766C"/>
    <w:rsid w:val="00A977F8"/>
    <w:rsid w:val="00A979DB"/>
    <w:rsid w:val="00A97C93"/>
    <w:rsid w:val="00AA06C6"/>
    <w:rsid w:val="00AA08E7"/>
    <w:rsid w:val="00AA0A06"/>
    <w:rsid w:val="00AA0DE8"/>
    <w:rsid w:val="00AA1351"/>
    <w:rsid w:val="00AA184C"/>
    <w:rsid w:val="00AA1AF4"/>
    <w:rsid w:val="00AA1C84"/>
    <w:rsid w:val="00AA1D77"/>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484F"/>
    <w:rsid w:val="00AC4AD2"/>
    <w:rsid w:val="00AC4B20"/>
    <w:rsid w:val="00AC5395"/>
    <w:rsid w:val="00AC55C7"/>
    <w:rsid w:val="00AC56F2"/>
    <w:rsid w:val="00AC5D9D"/>
    <w:rsid w:val="00AC71C3"/>
    <w:rsid w:val="00AC7F29"/>
    <w:rsid w:val="00AD09F7"/>
    <w:rsid w:val="00AD1EFA"/>
    <w:rsid w:val="00AD2072"/>
    <w:rsid w:val="00AD279E"/>
    <w:rsid w:val="00AD2AF4"/>
    <w:rsid w:val="00AD2DBD"/>
    <w:rsid w:val="00AD2FBF"/>
    <w:rsid w:val="00AD33A1"/>
    <w:rsid w:val="00AD340E"/>
    <w:rsid w:val="00AD3B0C"/>
    <w:rsid w:val="00AD455D"/>
    <w:rsid w:val="00AD463C"/>
    <w:rsid w:val="00AD47C9"/>
    <w:rsid w:val="00AD4F60"/>
    <w:rsid w:val="00AD5044"/>
    <w:rsid w:val="00AD5114"/>
    <w:rsid w:val="00AD6236"/>
    <w:rsid w:val="00AD69D5"/>
    <w:rsid w:val="00AD7619"/>
    <w:rsid w:val="00AD7770"/>
    <w:rsid w:val="00AE15BF"/>
    <w:rsid w:val="00AE1772"/>
    <w:rsid w:val="00AE1990"/>
    <w:rsid w:val="00AE25E8"/>
    <w:rsid w:val="00AE2AD4"/>
    <w:rsid w:val="00AE2CA7"/>
    <w:rsid w:val="00AE2F1D"/>
    <w:rsid w:val="00AE338D"/>
    <w:rsid w:val="00AE4A7D"/>
    <w:rsid w:val="00AE4C81"/>
    <w:rsid w:val="00AE4E63"/>
    <w:rsid w:val="00AE586F"/>
    <w:rsid w:val="00AE62FE"/>
    <w:rsid w:val="00AE6582"/>
    <w:rsid w:val="00AE6DC5"/>
    <w:rsid w:val="00AE7686"/>
    <w:rsid w:val="00AE799A"/>
    <w:rsid w:val="00AF0E81"/>
    <w:rsid w:val="00AF117A"/>
    <w:rsid w:val="00AF134E"/>
    <w:rsid w:val="00AF16CA"/>
    <w:rsid w:val="00AF186E"/>
    <w:rsid w:val="00AF19DF"/>
    <w:rsid w:val="00AF1CF5"/>
    <w:rsid w:val="00AF1D41"/>
    <w:rsid w:val="00AF2208"/>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6A"/>
    <w:rsid w:val="00AF7796"/>
    <w:rsid w:val="00B00C9E"/>
    <w:rsid w:val="00B011A9"/>
    <w:rsid w:val="00B01BAF"/>
    <w:rsid w:val="00B024ED"/>
    <w:rsid w:val="00B026B8"/>
    <w:rsid w:val="00B02EB3"/>
    <w:rsid w:val="00B02F7C"/>
    <w:rsid w:val="00B02FCB"/>
    <w:rsid w:val="00B033F8"/>
    <w:rsid w:val="00B03C1E"/>
    <w:rsid w:val="00B04400"/>
    <w:rsid w:val="00B04493"/>
    <w:rsid w:val="00B04835"/>
    <w:rsid w:val="00B04FC5"/>
    <w:rsid w:val="00B05586"/>
    <w:rsid w:val="00B05A55"/>
    <w:rsid w:val="00B05DE1"/>
    <w:rsid w:val="00B0659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0FDD"/>
    <w:rsid w:val="00B31423"/>
    <w:rsid w:val="00B317AE"/>
    <w:rsid w:val="00B323E0"/>
    <w:rsid w:val="00B32DC0"/>
    <w:rsid w:val="00B32E31"/>
    <w:rsid w:val="00B3346C"/>
    <w:rsid w:val="00B335E4"/>
    <w:rsid w:val="00B33C23"/>
    <w:rsid w:val="00B345B4"/>
    <w:rsid w:val="00B34789"/>
    <w:rsid w:val="00B348B1"/>
    <w:rsid w:val="00B34A28"/>
    <w:rsid w:val="00B35046"/>
    <w:rsid w:val="00B357F4"/>
    <w:rsid w:val="00B35B6A"/>
    <w:rsid w:val="00B36D2B"/>
    <w:rsid w:val="00B36FE9"/>
    <w:rsid w:val="00B37657"/>
    <w:rsid w:val="00B37AFD"/>
    <w:rsid w:val="00B37B07"/>
    <w:rsid w:val="00B4046F"/>
    <w:rsid w:val="00B406B3"/>
    <w:rsid w:val="00B40A36"/>
    <w:rsid w:val="00B41BCA"/>
    <w:rsid w:val="00B41D39"/>
    <w:rsid w:val="00B41EBB"/>
    <w:rsid w:val="00B422C0"/>
    <w:rsid w:val="00B426CA"/>
    <w:rsid w:val="00B426E1"/>
    <w:rsid w:val="00B4387A"/>
    <w:rsid w:val="00B44746"/>
    <w:rsid w:val="00B44854"/>
    <w:rsid w:val="00B44BA5"/>
    <w:rsid w:val="00B4526F"/>
    <w:rsid w:val="00B458D0"/>
    <w:rsid w:val="00B45EEA"/>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08A1"/>
    <w:rsid w:val="00B614F8"/>
    <w:rsid w:val="00B61994"/>
    <w:rsid w:val="00B61B18"/>
    <w:rsid w:val="00B61FD4"/>
    <w:rsid w:val="00B6235B"/>
    <w:rsid w:val="00B62880"/>
    <w:rsid w:val="00B63872"/>
    <w:rsid w:val="00B63CB2"/>
    <w:rsid w:val="00B64246"/>
    <w:rsid w:val="00B64EDB"/>
    <w:rsid w:val="00B65938"/>
    <w:rsid w:val="00B65C8A"/>
    <w:rsid w:val="00B65CE2"/>
    <w:rsid w:val="00B65F25"/>
    <w:rsid w:val="00B660AD"/>
    <w:rsid w:val="00B66109"/>
    <w:rsid w:val="00B66349"/>
    <w:rsid w:val="00B669B3"/>
    <w:rsid w:val="00B67FBF"/>
    <w:rsid w:val="00B70832"/>
    <w:rsid w:val="00B71376"/>
    <w:rsid w:val="00B716D7"/>
    <w:rsid w:val="00B72110"/>
    <w:rsid w:val="00B72B91"/>
    <w:rsid w:val="00B73019"/>
    <w:rsid w:val="00B7315F"/>
    <w:rsid w:val="00B7323A"/>
    <w:rsid w:val="00B7340F"/>
    <w:rsid w:val="00B7353B"/>
    <w:rsid w:val="00B737FB"/>
    <w:rsid w:val="00B73E00"/>
    <w:rsid w:val="00B73E5D"/>
    <w:rsid w:val="00B73EF3"/>
    <w:rsid w:val="00B740FD"/>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474C"/>
    <w:rsid w:val="00B851E4"/>
    <w:rsid w:val="00B854CE"/>
    <w:rsid w:val="00B85681"/>
    <w:rsid w:val="00B857EB"/>
    <w:rsid w:val="00B858AD"/>
    <w:rsid w:val="00B86021"/>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121"/>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5D9"/>
    <w:rsid w:val="00BA3982"/>
    <w:rsid w:val="00BA405F"/>
    <w:rsid w:val="00BA4771"/>
    <w:rsid w:val="00BA482B"/>
    <w:rsid w:val="00BA5027"/>
    <w:rsid w:val="00BA603A"/>
    <w:rsid w:val="00BA665B"/>
    <w:rsid w:val="00BA6FE8"/>
    <w:rsid w:val="00BA732D"/>
    <w:rsid w:val="00BA7370"/>
    <w:rsid w:val="00BA778B"/>
    <w:rsid w:val="00BB0888"/>
    <w:rsid w:val="00BB0DF1"/>
    <w:rsid w:val="00BB0E49"/>
    <w:rsid w:val="00BB0E9B"/>
    <w:rsid w:val="00BB2841"/>
    <w:rsid w:val="00BB2D9E"/>
    <w:rsid w:val="00BB300F"/>
    <w:rsid w:val="00BB32C9"/>
    <w:rsid w:val="00BB35C5"/>
    <w:rsid w:val="00BB4048"/>
    <w:rsid w:val="00BB4C8E"/>
    <w:rsid w:val="00BB5324"/>
    <w:rsid w:val="00BB5614"/>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57B"/>
    <w:rsid w:val="00BE1775"/>
    <w:rsid w:val="00BE18DA"/>
    <w:rsid w:val="00BE1A14"/>
    <w:rsid w:val="00BE2614"/>
    <w:rsid w:val="00BE26C0"/>
    <w:rsid w:val="00BE30E7"/>
    <w:rsid w:val="00BE3442"/>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10ED"/>
    <w:rsid w:val="00BF1DD2"/>
    <w:rsid w:val="00BF23A3"/>
    <w:rsid w:val="00BF2A7E"/>
    <w:rsid w:val="00BF3331"/>
    <w:rsid w:val="00BF3A45"/>
    <w:rsid w:val="00BF436F"/>
    <w:rsid w:val="00BF5C05"/>
    <w:rsid w:val="00BF6A12"/>
    <w:rsid w:val="00BF6FC6"/>
    <w:rsid w:val="00BF7C52"/>
    <w:rsid w:val="00BF7F99"/>
    <w:rsid w:val="00C00713"/>
    <w:rsid w:val="00C009A0"/>
    <w:rsid w:val="00C01330"/>
    <w:rsid w:val="00C0167E"/>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74A"/>
    <w:rsid w:val="00C04BDB"/>
    <w:rsid w:val="00C052C6"/>
    <w:rsid w:val="00C056DF"/>
    <w:rsid w:val="00C05A61"/>
    <w:rsid w:val="00C05FBA"/>
    <w:rsid w:val="00C05FEE"/>
    <w:rsid w:val="00C066B4"/>
    <w:rsid w:val="00C06CCF"/>
    <w:rsid w:val="00C06F8E"/>
    <w:rsid w:val="00C0794D"/>
    <w:rsid w:val="00C10E78"/>
    <w:rsid w:val="00C1159D"/>
    <w:rsid w:val="00C1233E"/>
    <w:rsid w:val="00C123AD"/>
    <w:rsid w:val="00C1276C"/>
    <w:rsid w:val="00C12FB3"/>
    <w:rsid w:val="00C138BC"/>
    <w:rsid w:val="00C13D85"/>
    <w:rsid w:val="00C14575"/>
    <w:rsid w:val="00C14639"/>
    <w:rsid w:val="00C14E82"/>
    <w:rsid w:val="00C14EA6"/>
    <w:rsid w:val="00C14FF6"/>
    <w:rsid w:val="00C15A85"/>
    <w:rsid w:val="00C1637C"/>
    <w:rsid w:val="00C1641B"/>
    <w:rsid w:val="00C1641F"/>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061"/>
    <w:rsid w:val="00C25813"/>
    <w:rsid w:val="00C26C71"/>
    <w:rsid w:val="00C27143"/>
    <w:rsid w:val="00C2725D"/>
    <w:rsid w:val="00C27490"/>
    <w:rsid w:val="00C27556"/>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150"/>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6AC"/>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7"/>
    <w:rsid w:val="00C85FFC"/>
    <w:rsid w:val="00C861FC"/>
    <w:rsid w:val="00C86C87"/>
    <w:rsid w:val="00C87A4B"/>
    <w:rsid w:val="00C9005E"/>
    <w:rsid w:val="00C90111"/>
    <w:rsid w:val="00C9038E"/>
    <w:rsid w:val="00C90539"/>
    <w:rsid w:val="00C9077B"/>
    <w:rsid w:val="00C90CA9"/>
    <w:rsid w:val="00C90F88"/>
    <w:rsid w:val="00C915F2"/>
    <w:rsid w:val="00C917B1"/>
    <w:rsid w:val="00C9193C"/>
    <w:rsid w:val="00C91976"/>
    <w:rsid w:val="00C91B77"/>
    <w:rsid w:val="00C920E2"/>
    <w:rsid w:val="00C92656"/>
    <w:rsid w:val="00C9370F"/>
    <w:rsid w:val="00C93765"/>
    <w:rsid w:val="00C93877"/>
    <w:rsid w:val="00C93D8C"/>
    <w:rsid w:val="00C93E07"/>
    <w:rsid w:val="00C946CC"/>
    <w:rsid w:val="00C94FB2"/>
    <w:rsid w:val="00C959BD"/>
    <w:rsid w:val="00C95DFE"/>
    <w:rsid w:val="00C95F44"/>
    <w:rsid w:val="00C96331"/>
    <w:rsid w:val="00C96D1B"/>
    <w:rsid w:val="00C97106"/>
    <w:rsid w:val="00C978D4"/>
    <w:rsid w:val="00CA0031"/>
    <w:rsid w:val="00CA01EF"/>
    <w:rsid w:val="00CA0413"/>
    <w:rsid w:val="00CA043A"/>
    <w:rsid w:val="00CA0E51"/>
    <w:rsid w:val="00CA1691"/>
    <w:rsid w:val="00CA1A7F"/>
    <w:rsid w:val="00CA2798"/>
    <w:rsid w:val="00CA2834"/>
    <w:rsid w:val="00CA41E7"/>
    <w:rsid w:val="00CA4A99"/>
    <w:rsid w:val="00CA4CCC"/>
    <w:rsid w:val="00CA5173"/>
    <w:rsid w:val="00CA5520"/>
    <w:rsid w:val="00CA5812"/>
    <w:rsid w:val="00CA5984"/>
    <w:rsid w:val="00CA5BD4"/>
    <w:rsid w:val="00CA5C14"/>
    <w:rsid w:val="00CA64F9"/>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051"/>
    <w:rsid w:val="00CC21AC"/>
    <w:rsid w:val="00CC232E"/>
    <w:rsid w:val="00CC2514"/>
    <w:rsid w:val="00CC28EF"/>
    <w:rsid w:val="00CC2D34"/>
    <w:rsid w:val="00CC2F69"/>
    <w:rsid w:val="00CC315F"/>
    <w:rsid w:val="00CC3D38"/>
    <w:rsid w:val="00CC3F2F"/>
    <w:rsid w:val="00CC40C3"/>
    <w:rsid w:val="00CC4CB4"/>
    <w:rsid w:val="00CC4E5D"/>
    <w:rsid w:val="00CC4EF4"/>
    <w:rsid w:val="00CC50AE"/>
    <w:rsid w:val="00CC5198"/>
    <w:rsid w:val="00CC5FFE"/>
    <w:rsid w:val="00CC61B7"/>
    <w:rsid w:val="00CC61CA"/>
    <w:rsid w:val="00CC69EC"/>
    <w:rsid w:val="00CC71D3"/>
    <w:rsid w:val="00CC743D"/>
    <w:rsid w:val="00CD02ED"/>
    <w:rsid w:val="00CD050A"/>
    <w:rsid w:val="00CD1017"/>
    <w:rsid w:val="00CD102D"/>
    <w:rsid w:val="00CD205D"/>
    <w:rsid w:val="00CD2A22"/>
    <w:rsid w:val="00CD2B50"/>
    <w:rsid w:val="00CD3172"/>
    <w:rsid w:val="00CD346C"/>
    <w:rsid w:val="00CD4506"/>
    <w:rsid w:val="00CD520B"/>
    <w:rsid w:val="00CD592E"/>
    <w:rsid w:val="00CD5982"/>
    <w:rsid w:val="00CD5A1A"/>
    <w:rsid w:val="00CD6126"/>
    <w:rsid w:val="00CD6F03"/>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25F"/>
    <w:rsid w:val="00CE65A7"/>
    <w:rsid w:val="00CE68FE"/>
    <w:rsid w:val="00CE69CC"/>
    <w:rsid w:val="00CE6EC4"/>
    <w:rsid w:val="00CE7F26"/>
    <w:rsid w:val="00CF021C"/>
    <w:rsid w:val="00CF1226"/>
    <w:rsid w:val="00CF1ABB"/>
    <w:rsid w:val="00CF1E1D"/>
    <w:rsid w:val="00CF1EB8"/>
    <w:rsid w:val="00CF24FE"/>
    <w:rsid w:val="00CF27BD"/>
    <w:rsid w:val="00CF287F"/>
    <w:rsid w:val="00CF2AE3"/>
    <w:rsid w:val="00CF305E"/>
    <w:rsid w:val="00CF35D0"/>
    <w:rsid w:val="00CF3B57"/>
    <w:rsid w:val="00CF3D61"/>
    <w:rsid w:val="00CF3DD5"/>
    <w:rsid w:val="00CF43E7"/>
    <w:rsid w:val="00CF4AF7"/>
    <w:rsid w:val="00CF4D20"/>
    <w:rsid w:val="00CF73F8"/>
    <w:rsid w:val="00CF7675"/>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DE8"/>
    <w:rsid w:val="00D104C1"/>
    <w:rsid w:val="00D1060D"/>
    <w:rsid w:val="00D10D14"/>
    <w:rsid w:val="00D10D6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B4"/>
    <w:rsid w:val="00D17AD8"/>
    <w:rsid w:val="00D2104A"/>
    <w:rsid w:val="00D21A58"/>
    <w:rsid w:val="00D21BB5"/>
    <w:rsid w:val="00D21FFC"/>
    <w:rsid w:val="00D22013"/>
    <w:rsid w:val="00D223B6"/>
    <w:rsid w:val="00D223E8"/>
    <w:rsid w:val="00D224E1"/>
    <w:rsid w:val="00D22DC8"/>
    <w:rsid w:val="00D23B47"/>
    <w:rsid w:val="00D2477B"/>
    <w:rsid w:val="00D24F93"/>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747"/>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AC2"/>
    <w:rsid w:val="00D4498E"/>
    <w:rsid w:val="00D4515F"/>
    <w:rsid w:val="00D451E8"/>
    <w:rsid w:val="00D466C9"/>
    <w:rsid w:val="00D47275"/>
    <w:rsid w:val="00D504BD"/>
    <w:rsid w:val="00D50EE4"/>
    <w:rsid w:val="00D517F6"/>
    <w:rsid w:val="00D51AB7"/>
    <w:rsid w:val="00D51E15"/>
    <w:rsid w:val="00D52B7E"/>
    <w:rsid w:val="00D52E2F"/>
    <w:rsid w:val="00D52F59"/>
    <w:rsid w:val="00D53445"/>
    <w:rsid w:val="00D536E0"/>
    <w:rsid w:val="00D53E3E"/>
    <w:rsid w:val="00D54620"/>
    <w:rsid w:val="00D55904"/>
    <w:rsid w:val="00D55DFF"/>
    <w:rsid w:val="00D5614E"/>
    <w:rsid w:val="00D5616F"/>
    <w:rsid w:val="00D57940"/>
    <w:rsid w:val="00D60327"/>
    <w:rsid w:val="00D61384"/>
    <w:rsid w:val="00D61526"/>
    <w:rsid w:val="00D61C39"/>
    <w:rsid w:val="00D61F81"/>
    <w:rsid w:val="00D62088"/>
    <w:rsid w:val="00D620A6"/>
    <w:rsid w:val="00D623C0"/>
    <w:rsid w:val="00D62BE6"/>
    <w:rsid w:val="00D63359"/>
    <w:rsid w:val="00D63706"/>
    <w:rsid w:val="00D63766"/>
    <w:rsid w:val="00D63912"/>
    <w:rsid w:val="00D63923"/>
    <w:rsid w:val="00D6451B"/>
    <w:rsid w:val="00D64B57"/>
    <w:rsid w:val="00D650F4"/>
    <w:rsid w:val="00D651A1"/>
    <w:rsid w:val="00D65414"/>
    <w:rsid w:val="00D65DEA"/>
    <w:rsid w:val="00D6650F"/>
    <w:rsid w:val="00D66579"/>
    <w:rsid w:val="00D66CF2"/>
    <w:rsid w:val="00D675BC"/>
    <w:rsid w:val="00D676D3"/>
    <w:rsid w:val="00D67B06"/>
    <w:rsid w:val="00D67BC7"/>
    <w:rsid w:val="00D67C3B"/>
    <w:rsid w:val="00D701F1"/>
    <w:rsid w:val="00D705D3"/>
    <w:rsid w:val="00D70E00"/>
    <w:rsid w:val="00D70F7C"/>
    <w:rsid w:val="00D715AC"/>
    <w:rsid w:val="00D71851"/>
    <w:rsid w:val="00D718CF"/>
    <w:rsid w:val="00D728F5"/>
    <w:rsid w:val="00D72ACC"/>
    <w:rsid w:val="00D72E9D"/>
    <w:rsid w:val="00D73249"/>
    <w:rsid w:val="00D73419"/>
    <w:rsid w:val="00D73881"/>
    <w:rsid w:val="00D73CA9"/>
    <w:rsid w:val="00D751B7"/>
    <w:rsid w:val="00D75232"/>
    <w:rsid w:val="00D7524B"/>
    <w:rsid w:val="00D75396"/>
    <w:rsid w:val="00D759C0"/>
    <w:rsid w:val="00D75E99"/>
    <w:rsid w:val="00D75ED7"/>
    <w:rsid w:val="00D765CE"/>
    <w:rsid w:val="00D766C7"/>
    <w:rsid w:val="00D7692B"/>
    <w:rsid w:val="00D7734F"/>
    <w:rsid w:val="00D7791D"/>
    <w:rsid w:val="00D77B2A"/>
    <w:rsid w:val="00D77D89"/>
    <w:rsid w:val="00D8039E"/>
    <w:rsid w:val="00D8044C"/>
    <w:rsid w:val="00D805D6"/>
    <w:rsid w:val="00D8075E"/>
    <w:rsid w:val="00D80860"/>
    <w:rsid w:val="00D80D4C"/>
    <w:rsid w:val="00D81054"/>
    <w:rsid w:val="00D8184D"/>
    <w:rsid w:val="00D81A7B"/>
    <w:rsid w:val="00D8223C"/>
    <w:rsid w:val="00D82A7D"/>
    <w:rsid w:val="00D82B57"/>
    <w:rsid w:val="00D82CE5"/>
    <w:rsid w:val="00D831E3"/>
    <w:rsid w:val="00D8342C"/>
    <w:rsid w:val="00D84983"/>
    <w:rsid w:val="00D84A13"/>
    <w:rsid w:val="00D84C00"/>
    <w:rsid w:val="00D85494"/>
    <w:rsid w:val="00D8582C"/>
    <w:rsid w:val="00D85D61"/>
    <w:rsid w:val="00D8616D"/>
    <w:rsid w:val="00D8711B"/>
    <w:rsid w:val="00D87295"/>
    <w:rsid w:val="00D87384"/>
    <w:rsid w:val="00D9015D"/>
    <w:rsid w:val="00D90683"/>
    <w:rsid w:val="00D90B2A"/>
    <w:rsid w:val="00D91483"/>
    <w:rsid w:val="00D915C8"/>
    <w:rsid w:val="00D91D96"/>
    <w:rsid w:val="00D9310B"/>
    <w:rsid w:val="00D931F3"/>
    <w:rsid w:val="00D93726"/>
    <w:rsid w:val="00D93F3E"/>
    <w:rsid w:val="00D9405B"/>
    <w:rsid w:val="00D94942"/>
    <w:rsid w:val="00D95145"/>
    <w:rsid w:val="00D95A2A"/>
    <w:rsid w:val="00D96594"/>
    <w:rsid w:val="00D96678"/>
    <w:rsid w:val="00D967CB"/>
    <w:rsid w:val="00D968D4"/>
    <w:rsid w:val="00D96EE0"/>
    <w:rsid w:val="00D97643"/>
    <w:rsid w:val="00D97BD1"/>
    <w:rsid w:val="00D97EF0"/>
    <w:rsid w:val="00DA00C3"/>
    <w:rsid w:val="00DA01E9"/>
    <w:rsid w:val="00DA06B8"/>
    <w:rsid w:val="00DA14A9"/>
    <w:rsid w:val="00DA2256"/>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6CA"/>
    <w:rsid w:val="00DB1745"/>
    <w:rsid w:val="00DB177C"/>
    <w:rsid w:val="00DB19BB"/>
    <w:rsid w:val="00DB1A00"/>
    <w:rsid w:val="00DB1AFF"/>
    <w:rsid w:val="00DB219A"/>
    <w:rsid w:val="00DB3165"/>
    <w:rsid w:val="00DB4292"/>
    <w:rsid w:val="00DB5023"/>
    <w:rsid w:val="00DB52D2"/>
    <w:rsid w:val="00DB6E46"/>
    <w:rsid w:val="00DB7117"/>
    <w:rsid w:val="00DB71EC"/>
    <w:rsid w:val="00DB7760"/>
    <w:rsid w:val="00DB7827"/>
    <w:rsid w:val="00DB7DD4"/>
    <w:rsid w:val="00DC00B4"/>
    <w:rsid w:val="00DC0954"/>
    <w:rsid w:val="00DC0DF8"/>
    <w:rsid w:val="00DC15BA"/>
    <w:rsid w:val="00DC18CD"/>
    <w:rsid w:val="00DC1A68"/>
    <w:rsid w:val="00DC1FE0"/>
    <w:rsid w:val="00DC2072"/>
    <w:rsid w:val="00DC22CA"/>
    <w:rsid w:val="00DC2774"/>
    <w:rsid w:val="00DC30B8"/>
    <w:rsid w:val="00DC478F"/>
    <w:rsid w:val="00DC5882"/>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702"/>
    <w:rsid w:val="00DD7F7D"/>
    <w:rsid w:val="00DE0159"/>
    <w:rsid w:val="00DE064A"/>
    <w:rsid w:val="00DE082D"/>
    <w:rsid w:val="00DE1410"/>
    <w:rsid w:val="00DE20C6"/>
    <w:rsid w:val="00DE3119"/>
    <w:rsid w:val="00DE3C24"/>
    <w:rsid w:val="00DE3FF0"/>
    <w:rsid w:val="00DE4105"/>
    <w:rsid w:val="00DE4BEA"/>
    <w:rsid w:val="00DE5189"/>
    <w:rsid w:val="00DE65C9"/>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511"/>
    <w:rsid w:val="00DF49FF"/>
    <w:rsid w:val="00DF4FFB"/>
    <w:rsid w:val="00DF5236"/>
    <w:rsid w:val="00DF651F"/>
    <w:rsid w:val="00DF6F43"/>
    <w:rsid w:val="00DF71EA"/>
    <w:rsid w:val="00DF752F"/>
    <w:rsid w:val="00DF76A2"/>
    <w:rsid w:val="00DF795D"/>
    <w:rsid w:val="00E00B25"/>
    <w:rsid w:val="00E00B7A"/>
    <w:rsid w:val="00E01677"/>
    <w:rsid w:val="00E01CCE"/>
    <w:rsid w:val="00E02186"/>
    <w:rsid w:val="00E025C2"/>
    <w:rsid w:val="00E026BB"/>
    <w:rsid w:val="00E027C5"/>
    <w:rsid w:val="00E03124"/>
    <w:rsid w:val="00E031C3"/>
    <w:rsid w:val="00E03951"/>
    <w:rsid w:val="00E03DB8"/>
    <w:rsid w:val="00E03F17"/>
    <w:rsid w:val="00E0420C"/>
    <w:rsid w:val="00E04EDD"/>
    <w:rsid w:val="00E05E70"/>
    <w:rsid w:val="00E06165"/>
    <w:rsid w:val="00E064BC"/>
    <w:rsid w:val="00E070C1"/>
    <w:rsid w:val="00E07225"/>
    <w:rsid w:val="00E073FC"/>
    <w:rsid w:val="00E076B4"/>
    <w:rsid w:val="00E07B55"/>
    <w:rsid w:val="00E10579"/>
    <w:rsid w:val="00E108A7"/>
    <w:rsid w:val="00E109DD"/>
    <w:rsid w:val="00E11229"/>
    <w:rsid w:val="00E114CA"/>
    <w:rsid w:val="00E127D1"/>
    <w:rsid w:val="00E13867"/>
    <w:rsid w:val="00E1397F"/>
    <w:rsid w:val="00E13AB8"/>
    <w:rsid w:val="00E1482E"/>
    <w:rsid w:val="00E16382"/>
    <w:rsid w:val="00E1699C"/>
    <w:rsid w:val="00E16E75"/>
    <w:rsid w:val="00E1746D"/>
    <w:rsid w:val="00E179BF"/>
    <w:rsid w:val="00E2012A"/>
    <w:rsid w:val="00E205A2"/>
    <w:rsid w:val="00E2081A"/>
    <w:rsid w:val="00E20BA4"/>
    <w:rsid w:val="00E210D0"/>
    <w:rsid w:val="00E21887"/>
    <w:rsid w:val="00E21CC0"/>
    <w:rsid w:val="00E23137"/>
    <w:rsid w:val="00E23980"/>
    <w:rsid w:val="00E23AB0"/>
    <w:rsid w:val="00E241E9"/>
    <w:rsid w:val="00E2466C"/>
    <w:rsid w:val="00E257C3"/>
    <w:rsid w:val="00E25CB3"/>
    <w:rsid w:val="00E25DA4"/>
    <w:rsid w:val="00E26237"/>
    <w:rsid w:val="00E26CB8"/>
    <w:rsid w:val="00E26D16"/>
    <w:rsid w:val="00E26FCF"/>
    <w:rsid w:val="00E27165"/>
    <w:rsid w:val="00E275D9"/>
    <w:rsid w:val="00E3044A"/>
    <w:rsid w:val="00E30E49"/>
    <w:rsid w:val="00E31A4A"/>
    <w:rsid w:val="00E31B76"/>
    <w:rsid w:val="00E32BA2"/>
    <w:rsid w:val="00E3344A"/>
    <w:rsid w:val="00E33B29"/>
    <w:rsid w:val="00E33B62"/>
    <w:rsid w:val="00E3403D"/>
    <w:rsid w:val="00E344BD"/>
    <w:rsid w:val="00E34548"/>
    <w:rsid w:val="00E34E6C"/>
    <w:rsid w:val="00E353E2"/>
    <w:rsid w:val="00E36345"/>
    <w:rsid w:val="00E36C86"/>
    <w:rsid w:val="00E36CEB"/>
    <w:rsid w:val="00E36CEF"/>
    <w:rsid w:val="00E37A28"/>
    <w:rsid w:val="00E400C7"/>
    <w:rsid w:val="00E40430"/>
    <w:rsid w:val="00E40690"/>
    <w:rsid w:val="00E40AEB"/>
    <w:rsid w:val="00E40E82"/>
    <w:rsid w:val="00E41141"/>
    <w:rsid w:val="00E4143A"/>
    <w:rsid w:val="00E424C8"/>
    <w:rsid w:val="00E4251D"/>
    <w:rsid w:val="00E427EF"/>
    <w:rsid w:val="00E43D00"/>
    <w:rsid w:val="00E43FCB"/>
    <w:rsid w:val="00E443B4"/>
    <w:rsid w:val="00E445E4"/>
    <w:rsid w:val="00E457CB"/>
    <w:rsid w:val="00E45D47"/>
    <w:rsid w:val="00E45DE4"/>
    <w:rsid w:val="00E45E63"/>
    <w:rsid w:val="00E47027"/>
    <w:rsid w:val="00E4759C"/>
    <w:rsid w:val="00E50A7B"/>
    <w:rsid w:val="00E50B0B"/>
    <w:rsid w:val="00E50C57"/>
    <w:rsid w:val="00E510FE"/>
    <w:rsid w:val="00E514BA"/>
    <w:rsid w:val="00E51E25"/>
    <w:rsid w:val="00E51EBC"/>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FB0"/>
    <w:rsid w:val="00E57FEF"/>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67EBC"/>
    <w:rsid w:val="00E70314"/>
    <w:rsid w:val="00E724E7"/>
    <w:rsid w:val="00E72B41"/>
    <w:rsid w:val="00E7347B"/>
    <w:rsid w:val="00E73675"/>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4C30"/>
    <w:rsid w:val="00E95434"/>
    <w:rsid w:val="00E957D3"/>
    <w:rsid w:val="00E96467"/>
    <w:rsid w:val="00E966DA"/>
    <w:rsid w:val="00E96948"/>
    <w:rsid w:val="00E97079"/>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4C"/>
    <w:rsid w:val="00EA5669"/>
    <w:rsid w:val="00EA5CC6"/>
    <w:rsid w:val="00EA63EF"/>
    <w:rsid w:val="00EA7026"/>
    <w:rsid w:val="00EA7CBF"/>
    <w:rsid w:val="00EB0A89"/>
    <w:rsid w:val="00EB0BD8"/>
    <w:rsid w:val="00EB0C9B"/>
    <w:rsid w:val="00EB1573"/>
    <w:rsid w:val="00EB1910"/>
    <w:rsid w:val="00EB1D16"/>
    <w:rsid w:val="00EB2564"/>
    <w:rsid w:val="00EB2D83"/>
    <w:rsid w:val="00EB2E97"/>
    <w:rsid w:val="00EB3416"/>
    <w:rsid w:val="00EB4AE1"/>
    <w:rsid w:val="00EB52F4"/>
    <w:rsid w:val="00EB54E5"/>
    <w:rsid w:val="00EB5694"/>
    <w:rsid w:val="00EB5779"/>
    <w:rsid w:val="00EB5D2F"/>
    <w:rsid w:val="00EB67F1"/>
    <w:rsid w:val="00EB6ADA"/>
    <w:rsid w:val="00EB7132"/>
    <w:rsid w:val="00EB72CD"/>
    <w:rsid w:val="00EB749A"/>
    <w:rsid w:val="00EB76B6"/>
    <w:rsid w:val="00EB7D8A"/>
    <w:rsid w:val="00EC04F7"/>
    <w:rsid w:val="00EC05E2"/>
    <w:rsid w:val="00EC0E84"/>
    <w:rsid w:val="00EC159C"/>
    <w:rsid w:val="00EC1677"/>
    <w:rsid w:val="00EC16E2"/>
    <w:rsid w:val="00EC1CE7"/>
    <w:rsid w:val="00EC1DAE"/>
    <w:rsid w:val="00EC26F1"/>
    <w:rsid w:val="00EC3BA2"/>
    <w:rsid w:val="00EC3C94"/>
    <w:rsid w:val="00EC44DF"/>
    <w:rsid w:val="00EC4EE6"/>
    <w:rsid w:val="00EC4FB9"/>
    <w:rsid w:val="00EC5393"/>
    <w:rsid w:val="00EC5741"/>
    <w:rsid w:val="00EC5DA3"/>
    <w:rsid w:val="00EC6014"/>
    <w:rsid w:val="00EC6565"/>
    <w:rsid w:val="00EC6B3E"/>
    <w:rsid w:val="00EC73DE"/>
    <w:rsid w:val="00EC7637"/>
    <w:rsid w:val="00EC7C07"/>
    <w:rsid w:val="00EC7CF2"/>
    <w:rsid w:val="00ED046C"/>
    <w:rsid w:val="00ED0510"/>
    <w:rsid w:val="00ED053A"/>
    <w:rsid w:val="00ED14AD"/>
    <w:rsid w:val="00ED1F03"/>
    <w:rsid w:val="00ED249D"/>
    <w:rsid w:val="00ED2D27"/>
    <w:rsid w:val="00ED3347"/>
    <w:rsid w:val="00ED3428"/>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6930"/>
    <w:rsid w:val="00EE7B54"/>
    <w:rsid w:val="00EE7C47"/>
    <w:rsid w:val="00EE7C88"/>
    <w:rsid w:val="00EE7C8B"/>
    <w:rsid w:val="00EF0209"/>
    <w:rsid w:val="00EF0DB7"/>
    <w:rsid w:val="00EF0EA4"/>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A6D"/>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D35"/>
    <w:rsid w:val="00F26F33"/>
    <w:rsid w:val="00F272E9"/>
    <w:rsid w:val="00F273D5"/>
    <w:rsid w:val="00F2748A"/>
    <w:rsid w:val="00F2786C"/>
    <w:rsid w:val="00F300A8"/>
    <w:rsid w:val="00F302C6"/>
    <w:rsid w:val="00F30400"/>
    <w:rsid w:val="00F3079E"/>
    <w:rsid w:val="00F31289"/>
    <w:rsid w:val="00F3232D"/>
    <w:rsid w:val="00F32549"/>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3F9"/>
    <w:rsid w:val="00F41596"/>
    <w:rsid w:val="00F41B1D"/>
    <w:rsid w:val="00F41D8B"/>
    <w:rsid w:val="00F42121"/>
    <w:rsid w:val="00F424B3"/>
    <w:rsid w:val="00F428B1"/>
    <w:rsid w:val="00F428B4"/>
    <w:rsid w:val="00F4345D"/>
    <w:rsid w:val="00F4387B"/>
    <w:rsid w:val="00F45921"/>
    <w:rsid w:val="00F45B91"/>
    <w:rsid w:val="00F46639"/>
    <w:rsid w:val="00F46A7B"/>
    <w:rsid w:val="00F476FD"/>
    <w:rsid w:val="00F50183"/>
    <w:rsid w:val="00F50D92"/>
    <w:rsid w:val="00F50F80"/>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388"/>
    <w:rsid w:val="00F605EC"/>
    <w:rsid w:val="00F60F60"/>
    <w:rsid w:val="00F612CE"/>
    <w:rsid w:val="00F6133C"/>
    <w:rsid w:val="00F61405"/>
    <w:rsid w:val="00F62227"/>
    <w:rsid w:val="00F624A7"/>
    <w:rsid w:val="00F62AB6"/>
    <w:rsid w:val="00F630AC"/>
    <w:rsid w:val="00F630B2"/>
    <w:rsid w:val="00F63D62"/>
    <w:rsid w:val="00F63E12"/>
    <w:rsid w:val="00F65A3C"/>
    <w:rsid w:val="00F66009"/>
    <w:rsid w:val="00F66282"/>
    <w:rsid w:val="00F6639E"/>
    <w:rsid w:val="00F670E9"/>
    <w:rsid w:val="00F6749F"/>
    <w:rsid w:val="00F67AF1"/>
    <w:rsid w:val="00F67D8B"/>
    <w:rsid w:val="00F7001F"/>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3CE8"/>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BC7"/>
    <w:rsid w:val="00F91CB2"/>
    <w:rsid w:val="00F927E8"/>
    <w:rsid w:val="00F9289C"/>
    <w:rsid w:val="00F92FC1"/>
    <w:rsid w:val="00F932D1"/>
    <w:rsid w:val="00F93DBC"/>
    <w:rsid w:val="00F93E41"/>
    <w:rsid w:val="00F94536"/>
    <w:rsid w:val="00F94644"/>
    <w:rsid w:val="00F952E4"/>
    <w:rsid w:val="00F9537B"/>
    <w:rsid w:val="00F96079"/>
    <w:rsid w:val="00F960F7"/>
    <w:rsid w:val="00F963FC"/>
    <w:rsid w:val="00F96825"/>
    <w:rsid w:val="00F97CF1"/>
    <w:rsid w:val="00FA015F"/>
    <w:rsid w:val="00FA0FAC"/>
    <w:rsid w:val="00FA10F7"/>
    <w:rsid w:val="00FA1C4A"/>
    <w:rsid w:val="00FA1DA2"/>
    <w:rsid w:val="00FA313F"/>
    <w:rsid w:val="00FA3414"/>
    <w:rsid w:val="00FA347A"/>
    <w:rsid w:val="00FA3B98"/>
    <w:rsid w:val="00FA3CDE"/>
    <w:rsid w:val="00FA49B7"/>
    <w:rsid w:val="00FA5043"/>
    <w:rsid w:val="00FA60C1"/>
    <w:rsid w:val="00FA65A3"/>
    <w:rsid w:val="00FA6BCA"/>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5"/>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22A2"/>
    <w:rsid w:val="00FD2BB8"/>
    <w:rsid w:val="00FD313C"/>
    <w:rsid w:val="00FD3508"/>
    <w:rsid w:val="00FD393C"/>
    <w:rsid w:val="00FD3AFF"/>
    <w:rsid w:val="00FD43BB"/>
    <w:rsid w:val="00FD4AF3"/>
    <w:rsid w:val="00FD5443"/>
    <w:rsid w:val="00FD5DF8"/>
    <w:rsid w:val="00FD6675"/>
    <w:rsid w:val="00FD6DC5"/>
    <w:rsid w:val="00FD72B1"/>
    <w:rsid w:val="00FD798D"/>
    <w:rsid w:val="00FE141E"/>
    <w:rsid w:val="00FE144E"/>
    <w:rsid w:val="00FE1768"/>
    <w:rsid w:val="00FE1DD5"/>
    <w:rsid w:val="00FE24F4"/>
    <w:rsid w:val="00FE2560"/>
    <w:rsid w:val="00FE35D0"/>
    <w:rsid w:val="00FE42ED"/>
    <w:rsid w:val="00FE4CDF"/>
    <w:rsid w:val="00FE4E06"/>
    <w:rsid w:val="00FE55A7"/>
    <w:rsid w:val="00FE5C5A"/>
    <w:rsid w:val="00FE601E"/>
    <w:rsid w:val="00FE6432"/>
    <w:rsid w:val="00FE72A0"/>
    <w:rsid w:val="00FE7A01"/>
    <w:rsid w:val="00FF0050"/>
    <w:rsid w:val="00FF045F"/>
    <w:rsid w:val="00FF0816"/>
    <w:rsid w:val="00FF13D4"/>
    <w:rsid w:val="00FF2053"/>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37F"/>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toctoggle">
    <w:name w:val="toctoggle"/>
    <w:basedOn w:val="Fuentedeprrafopredeter"/>
    <w:rsid w:val="00F9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447">
      <w:bodyDiv w:val="1"/>
      <w:marLeft w:val="0"/>
      <w:marRight w:val="0"/>
      <w:marTop w:val="0"/>
      <w:marBottom w:val="0"/>
      <w:divBdr>
        <w:top w:val="none" w:sz="0" w:space="0" w:color="auto"/>
        <w:left w:val="none" w:sz="0" w:space="0" w:color="auto"/>
        <w:bottom w:val="none" w:sz="0" w:space="0" w:color="auto"/>
        <w:right w:val="none" w:sz="0" w:space="0" w:color="auto"/>
      </w:divBdr>
      <w:divsChild>
        <w:div w:id="261258285">
          <w:marLeft w:val="0"/>
          <w:marRight w:val="0"/>
          <w:marTop w:val="0"/>
          <w:marBottom w:val="0"/>
          <w:divBdr>
            <w:top w:val="none" w:sz="0" w:space="0" w:color="auto"/>
            <w:left w:val="none" w:sz="0" w:space="0" w:color="auto"/>
            <w:bottom w:val="none" w:sz="0" w:space="0" w:color="auto"/>
            <w:right w:val="none" w:sz="0" w:space="0" w:color="auto"/>
          </w:divBdr>
          <w:divsChild>
            <w:div w:id="52581042">
              <w:marLeft w:val="0"/>
              <w:marRight w:val="0"/>
              <w:marTop w:val="0"/>
              <w:marBottom w:val="0"/>
              <w:divBdr>
                <w:top w:val="none" w:sz="0" w:space="0" w:color="auto"/>
                <w:left w:val="none" w:sz="0" w:space="0" w:color="auto"/>
                <w:bottom w:val="none" w:sz="0" w:space="0" w:color="auto"/>
                <w:right w:val="none" w:sz="0" w:space="0" w:color="auto"/>
              </w:divBdr>
              <w:divsChild>
                <w:div w:id="18956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7356397">
      <w:bodyDiv w:val="1"/>
      <w:marLeft w:val="0"/>
      <w:marRight w:val="0"/>
      <w:marTop w:val="0"/>
      <w:marBottom w:val="0"/>
      <w:divBdr>
        <w:top w:val="none" w:sz="0" w:space="0" w:color="auto"/>
        <w:left w:val="none" w:sz="0" w:space="0" w:color="auto"/>
        <w:bottom w:val="none" w:sz="0" w:space="0" w:color="auto"/>
        <w:right w:val="none" w:sz="0" w:space="0" w:color="auto"/>
      </w:divBdr>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2757053">
      <w:bodyDiv w:val="1"/>
      <w:marLeft w:val="0"/>
      <w:marRight w:val="0"/>
      <w:marTop w:val="0"/>
      <w:marBottom w:val="0"/>
      <w:divBdr>
        <w:top w:val="none" w:sz="0" w:space="0" w:color="auto"/>
        <w:left w:val="none" w:sz="0" w:space="0" w:color="auto"/>
        <w:bottom w:val="none" w:sz="0" w:space="0" w:color="auto"/>
        <w:right w:val="none" w:sz="0" w:space="0" w:color="auto"/>
      </w:divBdr>
      <w:divsChild>
        <w:div w:id="907107573">
          <w:marLeft w:val="0"/>
          <w:marRight w:val="0"/>
          <w:marTop w:val="0"/>
          <w:marBottom w:val="0"/>
          <w:divBdr>
            <w:top w:val="none" w:sz="0" w:space="0" w:color="auto"/>
            <w:left w:val="none" w:sz="0" w:space="0" w:color="auto"/>
            <w:bottom w:val="none" w:sz="0" w:space="0" w:color="auto"/>
            <w:right w:val="none" w:sz="0" w:space="0" w:color="auto"/>
          </w:divBdr>
          <w:divsChild>
            <w:div w:id="1634209544">
              <w:marLeft w:val="0"/>
              <w:marRight w:val="0"/>
              <w:marTop w:val="0"/>
              <w:marBottom w:val="0"/>
              <w:divBdr>
                <w:top w:val="none" w:sz="0" w:space="0" w:color="auto"/>
                <w:left w:val="none" w:sz="0" w:space="0" w:color="auto"/>
                <w:bottom w:val="none" w:sz="0" w:space="0" w:color="auto"/>
                <w:right w:val="none" w:sz="0" w:space="0" w:color="auto"/>
              </w:divBdr>
            </w:div>
          </w:divsChild>
        </w:div>
        <w:div w:id="246353157">
          <w:marLeft w:val="0"/>
          <w:marRight w:val="0"/>
          <w:marTop w:val="0"/>
          <w:marBottom w:val="0"/>
          <w:divBdr>
            <w:top w:val="none" w:sz="0" w:space="0" w:color="auto"/>
            <w:left w:val="none" w:sz="0" w:space="0" w:color="auto"/>
            <w:bottom w:val="none" w:sz="0" w:space="0" w:color="auto"/>
            <w:right w:val="none" w:sz="0" w:space="0" w:color="auto"/>
          </w:divBdr>
          <w:divsChild>
            <w:div w:id="10379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6827">
      <w:bodyDiv w:val="1"/>
      <w:marLeft w:val="0"/>
      <w:marRight w:val="0"/>
      <w:marTop w:val="0"/>
      <w:marBottom w:val="0"/>
      <w:divBdr>
        <w:top w:val="none" w:sz="0" w:space="0" w:color="auto"/>
        <w:left w:val="none" w:sz="0" w:space="0" w:color="auto"/>
        <w:bottom w:val="none" w:sz="0" w:space="0" w:color="auto"/>
        <w:right w:val="none" w:sz="0" w:space="0" w:color="auto"/>
      </w:divBdr>
      <w:divsChild>
        <w:div w:id="936668796">
          <w:marLeft w:val="0"/>
          <w:marRight w:val="0"/>
          <w:marTop w:val="0"/>
          <w:marBottom w:val="0"/>
          <w:divBdr>
            <w:top w:val="none" w:sz="0" w:space="0" w:color="auto"/>
            <w:left w:val="none" w:sz="0" w:space="0" w:color="auto"/>
            <w:bottom w:val="none" w:sz="0" w:space="0" w:color="auto"/>
            <w:right w:val="none" w:sz="0" w:space="0" w:color="auto"/>
          </w:divBdr>
          <w:divsChild>
            <w:div w:id="1182931664">
              <w:marLeft w:val="0"/>
              <w:marRight w:val="0"/>
              <w:marTop w:val="0"/>
              <w:marBottom w:val="0"/>
              <w:divBdr>
                <w:top w:val="none" w:sz="0" w:space="0" w:color="auto"/>
                <w:left w:val="none" w:sz="0" w:space="0" w:color="auto"/>
                <w:bottom w:val="none" w:sz="0" w:space="0" w:color="auto"/>
                <w:right w:val="none" w:sz="0" w:space="0" w:color="auto"/>
              </w:divBdr>
              <w:divsChild>
                <w:div w:id="16572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0211">
      <w:bodyDiv w:val="1"/>
      <w:marLeft w:val="0"/>
      <w:marRight w:val="0"/>
      <w:marTop w:val="0"/>
      <w:marBottom w:val="0"/>
      <w:divBdr>
        <w:top w:val="none" w:sz="0" w:space="0" w:color="auto"/>
        <w:left w:val="none" w:sz="0" w:space="0" w:color="auto"/>
        <w:bottom w:val="none" w:sz="0" w:space="0" w:color="auto"/>
        <w:right w:val="none" w:sz="0" w:space="0" w:color="auto"/>
      </w:divBdr>
      <w:divsChild>
        <w:div w:id="890531452">
          <w:marLeft w:val="0"/>
          <w:marRight w:val="0"/>
          <w:marTop w:val="0"/>
          <w:marBottom w:val="0"/>
          <w:divBdr>
            <w:top w:val="none" w:sz="0" w:space="0" w:color="auto"/>
            <w:left w:val="none" w:sz="0" w:space="0" w:color="auto"/>
            <w:bottom w:val="none" w:sz="0" w:space="0" w:color="auto"/>
            <w:right w:val="none" w:sz="0" w:space="0" w:color="auto"/>
          </w:divBdr>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6326598">
      <w:bodyDiv w:val="1"/>
      <w:marLeft w:val="0"/>
      <w:marRight w:val="0"/>
      <w:marTop w:val="0"/>
      <w:marBottom w:val="0"/>
      <w:divBdr>
        <w:top w:val="none" w:sz="0" w:space="0" w:color="auto"/>
        <w:left w:val="none" w:sz="0" w:space="0" w:color="auto"/>
        <w:bottom w:val="none" w:sz="0" w:space="0" w:color="auto"/>
        <w:right w:val="none" w:sz="0" w:space="0" w:color="auto"/>
      </w:divBdr>
      <w:divsChild>
        <w:div w:id="128940166">
          <w:marLeft w:val="0"/>
          <w:marRight w:val="0"/>
          <w:marTop w:val="0"/>
          <w:marBottom w:val="0"/>
          <w:divBdr>
            <w:top w:val="none" w:sz="0" w:space="0" w:color="auto"/>
            <w:left w:val="none" w:sz="0" w:space="0" w:color="auto"/>
            <w:bottom w:val="none" w:sz="0" w:space="0" w:color="auto"/>
            <w:right w:val="none" w:sz="0" w:space="0" w:color="auto"/>
          </w:divBdr>
          <w:divsChild>
            <w:div w:id="1311448340">
              <w:marLeft w:val="0"/>
              <w:marRight w:val="0"/>
              <w:marTop w:val="0"/>
              <w:marBottom w:val="0"/>
              <w:divBdr>
                <w:top w:val="none" w:sz="0" w:space="0" w:color="auto"/>
                <w:left w:val="none" w:sz="0" w:space="0" w:color="auto"/>
                <w:bottom w:val="none" w:sz="0" w:space="0" w:color="auto"/>
                <w:right w:val="none" w:sz="0" w:space="0" w:color="auto"/>
              </w:divBdr>
            </w:div>
          </w:divsChild>
        </w:div>
        <w:div w:id="240995121">
          <w:marLeft w:val="0"/>
          <w:marRight w:val="0"/>
          <w:marTop w:val="0"/>
          <w:marBottom w:val="0"/>
          <w:divBdr>
            <w:top w:val="none" w:sz="0" w:space="0" w:color="auto"/>
            <w:left w:val="none" w:sz="0" w:space="0" w:color="auto"/>
            <w:bottom w:val="none" w:sz="0" w:space="0" w:color="auto"/>
            <w:right w:val="none" w:sz="0" w:space="0" w:color="auto"/>
          </w:divBdr>
          <w:divsChild>
            <w:div w:id="1321469696">
              <w:marLeft w:val="0"/>
              <w:marRight w:val="0"/>
              <w:marTop w:val="0"/>
              <w:marBottom w:val="0"/>
              <w:divBdr>
                <w:top w:val="none" w:sz="0" w:space="0" w:color="auto"/>
                <w:left w:val="none" w:sz="0" w:space="0" w:color="auto"/>
                <w:bottom w:val="none" w:sz="0" w:space="0" w:color="auto"/>
                <w:right w:val="none" w:sz="0" w:space="0" w:color="auto"/>
              </w:divBdr>
            </w:div>
          </w:divsChild>
        </w:div>
        <w:div w:id="163131296">
          <w:marLeft w:val="0"/>
          <w:marRight w:val="0"/>
          <w:marTop w:val="0"/>
          <w:marBottom w:val="0"/>
          <w:divBdr>
            <w:top w:val="none" w:sz="0" w:space="0" w:color="auto"/>
            <w:left w:val="none" w:sz="0" w:space="0" w:color="auto"/>
            <w:bottom w:val="none" w:sz="0" w:space="0" w:color="auto"/>
            <w:right w:val="none" w:sz="0" w:space="0" w:color="auto"/>
          </w:divBdr>
          <w:divsChild>
            <w:div w:id="847864936">
              <w:marLeft w:val="0"/>
              <w:marRight w:val="0"/>
              <w:marTop w:val="0"/>
              <w:marBottom w:val="0"/>
              <w:divBdr>
                <w:top w:val="none" w:sz="0" w:space="0" w:color="auto"/>
                <w:left w:val="none" w:sz="0" w:space="0" w:color="auto"/>
                <w:bottom w:val="none" w:sz="0" w:space="0" w:color="auto"/>
                <w:right w:val="none" w:sz="0" w:space="0" w:color="auto"/>
              </w:divBdr>
            </w:div>
          </w:divsChild>
        </w:div>
        <w:div w:id="1623345530">
          <w:marLeft w:val="0"/>
          <w:marRight w:val="0"/>
          <w:marTop w:val="0"/>
          <w:marBottom w:val="0"/>
          <w:divBdr>
            <w:top w:val="none" w:sz="0" w:space="0" w:color="auto"/>
            <w:left w:val="none" w:sz="0" w:space="0" w:color="auto"/>
            <w:bottom w:val="none" w:sz="0" w:space="0" w:color="auto"/>
            <w:right w:val="none" w:sz="0" w:space="0" w:color="auto"/>
          </w:divBdr>
          <w:divsChild>
            <w:div w:id="6967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043997">
      <w:bodyDiv w:val="1"/>
      <w:marLeft w:val="0"/>
      <w:marRight w:val="0"/>
      <w:marTop w:val="0"/>
      <w:marBottom w:val="0"/>
      <w:divBdr>
        <w:top w:val="none" w:sz="0" w:space="0" w:color="auto"/>
        <w:left w:val="none" w:sz="0" w:space="0" w:color="auto"/>
        <w:bottom w:val="none" w:sz="0" w:space="0" w:color="auto"/>
        <w:right w:val="none" w:sz="0" w:space="0" w:color="auto"/>
      </w:divBdr>
      <w:divsChild>
        <w:div w:id="1845045473">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007750">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BCEC-9C16-4D29-9094-A01FA9A2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Pages>
  <Words>8631</Words>
  <Characters>47476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2022-04-08T21:22:00Z</dcterms:created>
  <dcterms:modified xsi:type="dcterms:W3CDTF">2022-05-04T20:24:00Z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