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572F4" w:rsidRDefault="00B55C69" w:rsidP="001A4314">
      <w:pPr>
        <w:jc w:val="right"/>
        <w:rPr>
          <w:rFonts w:ascii="Arial" w:eastAsia="Calibri" w:hAnsi="Arial" w:cs="Arial"/>
          <w:b/>
          <w:sz w:val="20"/>
          <w:szCs w:val="20"/>
          <w:lang w:val="es-ES_tradnl"/>
        </w:rPr>
      </w:pPr>
      <w:bookmarkStart w:id="0" w:name="_Hlk28946138"/>
      <w:bookmarkStart w:id="1" w:name="_Hlk29548183"/>
      <w:r w:rsidRPr="00A572F4">
        <w:rPr>
          <w:rFonts w:ascii="Arial" w:hAnsi="Arial" w:cs="Arial"/>
          <w:bCs/>
          <w:sz w:val="16"/>
          <w:szCs w:val="16"/>
          <w:lang w:val="es-ES_tradnl" w:eastAsia="es-ES"/>
        </w:rPr>
        <w:t>CCE-DES-FM-17</w:t>
      </w:r>
      <w:bookmarkEnd w:id="0"/>
      <w:bookmarkEnd w:id="1"/>
    </w:p>
    <w:p w14:paraId="55FBD910" w14:textId="77777777" w:rsidR="008536BB" w:rsidRPr="00A572F4" w:rsidRDefault="008536BB" w:rsidP="00B95C30">
      <w:pPr>
        <w:spacing w:line="276" w:lineRule="auto"/>
        <w:jc w:val="both"/>
        <w:rPr>
          <w:rFonts w:ascii="Arial" w:hAnsi="Arial" w:cs="Arial"/>
          <w:noProof/>
          <w:sz w:val="22"/>
          <w:lang w:val="es-ES_tradnl"/>
        </w:rPr>
      </w:pPr>
    </w:p>
    <w:p w14:paraId="6A9E6ADF" w14:textId="169A7A08" w:rsidR="00EC224E" w:rsidRPr="00A572F4" w:rsidRDefault="00EC224E" w:rsidP="00EC224E">
      <w:pPr>
        <w:jc w:val="both"/>
        <w:rPr>
          <w:rFonts w:ascii="Arial" w:eastAsia="Calibri" w:hAnsi="Arial" w:cs="Arial"/>
          <w:b/>
          <w:sz w:val="22"/>
          <w:lang w:val="es-ES_tradnl"/>
        </w:rPr>
      </w:pPr>
      <w:r w:rsidRPr="00A572F4">
        <w:rPr>
          <w:rFonts w:ascii="Arial" w:eastAsia="Calibri" w:hAnsi="Arial" w:cs="Arial"/>
          <w:b/>
          <w:sz w:val="22"/>
          <w:lang w:val="es-ES_tradnl"/>
        </w:rPr>
        <w:t xml:space="preserve">LEY DE EMPRENDIMIENTO – Ley </w:t>
      </w:r>
      <w:r w:rsidR="001F0325" w:rsidRPr="00A572F4">
        <w:rPr>
          <w:rFonts w:ascii="Arial" w:eastAsia="Calibri" w:hAnsi="Arial" w:cs="Arial"/>
          <w:b/>
          <w:sz w:val="22"/>
          <w:lang w:val="es-ES_tradnl"/>
        </w:rPr>
        <w:t>2069</w:t>
      </w:r>
      <w:r w:rsidRPr="00A572F4">
        <w:rPr>
          <w:rFonts w:ascii="Arial" w:eastAsia="Calibri" w:hAnsi="Arial" w:cs="Arial"/>
          <w:b/>
          <w:sz w:val="22"/>
          <w:lang w:val="es-ES_tradnl"/>
        </w:rPr>
        <w:t xml:space="preserve"> de 2020 – Vigencia </w:t>
      </w:r>
    </w:p>
    <w:p w14:paraId="5A76D430" w14:textId="77777777" w:rsidR="00EC224E" w:rsidRPr="00A572F4" w:rsidRDefault="00EC224E" w:rsidP="00EC224E">
      <w:pPr>
        <w:jc w:val="both"/>
        <w:rPr>
          <w:rFonts w:ascii="Arial" w:eastAsia="Calibri" w:hAnsi="Arial" w:cs="Arial"/>
          <w:b/>
          <w:sz w:val="22"/>
          <w:lang w:val="es-ES_tradnl"/>
        </w:rPr>
      </w:pPr>
    </w:p>
    <w:p w14:paraId="0D9471D6" w14:textId="77777777" w:rsidR="00C167F7" w:rsidRPr="00A572F4" w:rsidRDefault="00C167F7" w:rsidP="00C167F7">
      <w:pPr>
        <w:jc w:val="both"/>
        <w:rPr>
          <w:rFonts w:ascii="Arial" w:eastAsia="Calibri" w:hAnsi="Arial" w:cs="Arial"/>
          <w:sz w:val="20"/>
          <w:szCs w:val="20"/>
          <w:lang w:val="es-ES_tradnl"/>
        </w:rPr>
      </w:pPr>
      <w:r w:rsidRPr="00A572F4">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A572F4" w:rsidRDefault="00C167F7" w:rsidP="00C167F7">
      <w:pPr>
        <w:jc w:val="both"/>
        <w:rPr>
          <w:rFonts w:ascii="Arial" w:eastAsia="Calibri" w:hAnsi="Arial" w:cs="Arial"/>
          <w:sz w:val="20"/>
          <w:szCs w:val="20"/>
          <w:lang w:val="es-ES_tradnl"/>
        </w:rPr>
      </w:pPr>
    </w:p>
    <w:p w14:paraId="2DDB93AD" w14:textId="77777777" w:rsidR="00C167F7" w:rsidRPr="00A572F4" w:rsidRDefault="00C167F7" w:rsidP="00C167F7">
      <w:pPr>
        <w:jc w:val="both"/>
        <w:rPr>
          <w:rFonts w:ascii="Arial" w:eastAsia="Calibri" w:hAnsi="Arial" w:cs="Arial"/>
          <w:sz w:val="20"/>
          <w:szCs w:val="20"/>
          <w:lang w:val="es-ES_tradnl"/>
        </w:rPr>
      </w:pPr>
      <w:r w:rsidRPr="00A572F4">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572F4">
        <w:rPr>
          <w:rFonts w:ascii="Arial" w:eastAsia="Calibri" w:hAnsi="Arial" w:cs="Arial"/>
          <w:sz w:val="20"/>
          <w:szCs w:val="20"/>
          <w:lang w:val="es-ES_tradnl"/>
        </w:rPr>
        <w:t>de acuerdo a</w:t>
      </w:r>
      <w:proofErr w:type="gramEnd"/>
      <w:r w:rsidRPr="00A572F4">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A572F4">
        <w:rPr>
          <w:rFonts w:ascii="Arial" w:eastAsia="Calibri" w:hAnsi="Arial" w:cs="Arial"/>
          <w:sz w:val="20"/>
          <w:szCs w:val="20"/>
          <w:lang w:val="es-ES_tradnl"/>
        </w:rPr>
        <w:t>mipymes</w:t>
      </w:r>
      <w:proofErr w:type="spellEnd"/>
      <w:r w:rsidRPr="00A572F4">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2925DEE5" w:rsidR="00EC224E" w:rsidRPr="00A572F4" w:rsidRDefault="00EC224E" w:rsidP="00EC224E">
      <w:pPr>
        <w:jc w:val="both"/>
        <w:rPr>
          <w:rFonts w:ascii="Arial" w:eastAsia="Calibri" w:hAnsi="Arial" w:cs="Arial"/>
          <w:sz w:val="20"/>
          <w:szCs w:val="20"/>
          <w:lang w:val="es-ES_tradnl"/>
        </w:rPr>
      </w:pPr>
    </w:p>
    <w:p w14:paraId="337472BC" w14:textId="2B1758B1" w:rsidR="0038484C" w:rsidRPr="00A572F4" w:rsidRDefault="005E04C5" w:rsidP="00EC224E">
      <w:pPr>
        <w:jc w:val="both"/>
        <w:rPr>
          <w:rFonts w:ascii="Arial" w:eastAsia="Calibri" w:hAnsi="Arial" w:cs="Arial"/>
          <w:b/>
          <w:bCs/>
          <w:sz w:val="22"/>
          <w:szCs w:val="22"/>
          <w:lang w:val="es-ES_tradnl"/>
        </w:rPr>
      </w:pPr>
      <w:r w:rsidRPr="00A572F4">
        <w:rPr>
          <w:rFonts w:ascii="Arial" w:eastAsia="Calibri" w:hAnsi="Arial" w:cs="Arial"/>
          <w:b/>
          <w:bCs/>
          <w:sz w:val="22"/>
          <w:szCs w:val="22"/>
          <w:lang w:val="es-ES_tradnl"/>
        </w:rPr>
        <w:t xml:space="preserve">INTERVENCIÓN DEL REGLAMENTO </w:t>
      </w:r>
      <w:r w:rsidRPr="00A572F4">
        <w:rPr>
          <w:rFonts w:ascii="Arial" w:eastAsia="Calibri" w:hAnsi="Arial" w:cs="Arial"/>
          <w:b/>
          <w:bCs/>
          <w:sz w:val="22"/>
          <w:szCs w:val="22"/>
          <w:lang w:val="es-ES_tradnl"/>
        </w:rPr>
        <w:softHyphen/>
        <w:t xml:space="preserve">– Ley 2069 de 2020 </w:t>
      </w:r>
      <w:r w:rsidRPr="00A572F4">
        <w:rPr>
          <w:rFonts w:ascii="Arial" w:eastAsia="Calibri" w:hAnsi="Arial" w:cs="Arial"/>
          <w:b/>
          <w:bCs/>
          <w:sz w:val="22"/>
          <w:szCs w:val="22"/>
          <w:lang w:val="es-ES_tradnl"/>
        </w:rPr>
        <w:softHyphen/>
      </w:r>
      <w:r w:rsidRPr="00A572F4">
        <w:rPr>
          <w:rFonts w:ascii="Arial" w:eastAsia="Calibri" w:hAnsi="Arial" w:cs="Arial"/>
          <w:b/>
          <w:bCs/>
          <w:sz w:val="22"/>
          <w:szCs w:val="22"/>
          <w:lang w:val="es-ES_tradnl"/>
        </w:rPr>
        <w:softHyphen/>
        <w:t>–</w:t>
      </w:r>
      <w:r w:rsidR="00681C78" w:rsidRPr="00A572F4">
        <w:rPr>
          <w:rFonts w:ascii="Arial" w:eastAsia="Calibri" w:hAnsi="Arial" w:cs="Arial"/>
          <w:b/>
          <w:bCs/>
          <w:sz w:val="22"/>
          <w:szCs w:val="22"/>
          <w:lang w:val="es-ES_tradnl"/>
        </w:rPr>
        <w:t xml:space="preserve"> </w:t>
      </w:r>
      <w:r w:rsidRPr="00A572F4">
        <w:rPr>
          <w:rFonts w:ascii="Arial" w:eastAsia="Calibri" w:hAnsi="Arial" w:cs="Arial"/>
          <w:b/>
          <w:bCs/>
          <w:sz w:val="22"/>
          <w:szCs w:val="22"/>
          <w:lang w:val="es-ES_tradnl"/>
        </w:rPr>
        <w:t>Aplicación directa</w:t>
      </w:r>
    </w:p>
    <w:p w14:paraId="18CC6427" w14:textId="77777777" w:rsidR="005E04C5" w:rsidRPr="00A572F4" w:rsidRDefault="005E04C5" w:rsidP="00EC224E">
      <w:pPr>
        <w:jc w:val="both"/>
        <w:rPr>
          <w:rFonts w:ascii="Arial" w:eastAsia="Calibri" w:hAnsi="Arial" w:cs="Arial"/>
          <w:sz w:val="20"/>
          <w:szCs w:val="20"/>
          <w:lang w:val="es-ES_tradnl"/>
        </w:rPr>
      </w:pPr>
    </w:p>
    <w:p w14:paraId="12BA5048" w14:textId="77777777" w:rsidR="00681C78" w:rsidRPr="00A572F4" w:rsidRDefault="00681C78" w:rsidP="00681C78">
      <w:pPr>
        <w:jc w:val="both"/>
        <w:rPr>
          <w:rFonts w:ascii="Arial" w:eastAsia="Calibri" w:hAnsi="Arial" w:cs="Arial"/>
          <w:sz w:val="20"/>
          <w:szCs w:val="20"/>
          <w:lang w:val="es-ES_tradnl"/>
        </w:rPr>
      </w:pPr>
      <w:r w:rsidRPr="00A572F4">
        <w:rPr>
          <w:rFonts w:ascii="Arial" w:eastAsia="Calibri" w:hAnsi="Arial" w:cs="Arial"/>
          <w:sz w:val="20"/>
          <w:szCs w:val="20"/>
          <w:lang w:val="es-ES_tradnl"/>
        </w:rPr>
        <w:t xml:space="preserve">En la Ley 2069 de 2020 la exigencia de reglamentación como condición de eficacia de su articulado es diversa, o sea, no es similar frente a todos sus enunciados normativos. Verbigracia, los artículos 31, 32, 34 y 36 de la Ley 2069 de 2020 disponen que el gobierno nacional reglamentará i) los criterios diferenciales para </w:t>
      </w:r>
      <w:proofErr w:type="spellStart"/>
      <w:r w:rsidRPr="00A572F4">
        <w:rPr>
          <w:rFonts w:ascii="Arial" w:eastAsia="Calibri" w:hAnsi="Arial" w:cs="Arial"/>
          <w:sz w:val="20"/>
          <w:szCs w:val="20"/>
          <w:lang w:val="es-ES_tradnl"/>
        </w:rPr>
        <w:t>mipymes</w:t>
      </w:r>
      <w:proofErr w:type="spellEnd"/>
      <w:r w:rsidRPr="00A572F4">
        <w:rPr>
          <w:rFonts w:ascii="Arial" w:eastAsia="Calibri" w:hAnsi="Arial" w:cs="Arial"/>
          <w:sz w:val="20"/>
          <w:szCs w:val="20"/>
          <w:lang w:val="es-ES_tradnl"/>
        </w:rPr>
        <w:t xml:space="preserve">, </w:t>
      </w:r>
      <w:proofErr w:type="spellStart"/>
      <w:r w:rsidRPr="00A572F4">
        <w:rPr>
          <w:rFonts w:ascii="Arial" w:eastAsia="Calibri" w:hAnsi="Arial" w:cs="Arial"/>
          <w:sz w:val="20"/>
          <w:szCs w:val="20"/>
          <w:lang w:val="es-ES_tradnl"/>
        </w:rPr>
        <w:t>ii</w:t>
      </w:r>
      <w:proofErr w:type="spellEnd"/>
      <w:r w:rsidRPr="00A572F4">
        <w:rPr>
          <w:rFonts w:ascii="Arial" w:eastAsia="Calibri" w:hAnsi="Arial" w:cs="Arial"/>
          <w:sz w:val="20"/>
          <w:szCs w:val="20"/>
          <w:lang w:val="es-ES_tradnl"/>
        </w:rPr>
        <w:t xml:space="preserve">) la definición de «emprendimientos y empresas de mujeres», </w:t>
      </w:r>
      <w:proofErr w:type="spellStart"/>
      <w:r w:rsidRPr="00A572F4">
        <w:rPr>
          <w:rFonts w:ascii="Arial" w:eastAsia="Calibri" w:hAnsi="Arial" w:cs="Arial"/>
          <w:sz w:val="20"/>
          <w:szCs w:val="20"/>
          <w:lang w:val="es-ES_tradnl"/>
        </w:rPr>
        <w:t>iii</w:t>
      </w:r>
      <w:proofErr w:type="spellEnd"/>
      <w:r w:rsidRPr="00A572F4">
        <w:rPr>
          <w:rFonts w:ascii="Arial" w:eastAsia="Calibri" w:hAnsi="Arial" w:cs="Arial"/>
          <w:sz w:val="20"/>
          <w:szCs w:val="20"/>
          <w:lang w:val="es-ES_tradnl"/>
        </w:rPr>
        <w:t xml:space="preserve">) las convocatorias limitadas a </w:t>
      </w:r>
      <w:proofErr w:type="spellStart"/>
      <w:r w:rsidRPr="00A572F4">
        <w:rPr>
          <w:rFonts w:ascii="Arial" w:eastAsia="Calibri" w:hAnsi="Arial" w:cs="Arial"/>
          <w:sz w:val="20"/>
          <w:szCs w:val="20"/>
          <w:lang w:val="es-ES_tradnl"/>
        </w:rPr>
        <w:t>mipymes</w:t>
      </w:r>
      <w:proofErr w:type="spellEnd"/>
      <w:r w:rsidRPr="00A572F4">
        <w:rPr>
          <w:rFonts w:ascii="Arial" w:eastAsia="Calibri" w:hAnsi="Arial" w:cs="Arial"/>
          <w:sz w:val="20"/>
          <w:szCs w:val="20"/>
          <w:lang w:val="es-ES_tradnl"/>
        </w:rPr>
        <w:t xml:space="preserve"> y el fomento en la ejecución de los contratos estatales por parte de sujetos de especial protección, así como </w:t>
      </w:r>
      <w:proofErr w:type="spellStart"/>
      <w:r w:rsidRPr="00A572F4">
        <w:rPr>
          <w:rFonts w:ascii="Arial" w:eastAsia="Calibri" w:hAnsi="Arial" w:cs="Arial"/>
          <w:sz w:val="20"/>
          <w:szCs w:val="20"/>
          <w:lang w:val="es-ES_tradnl"/>
        </w:rPr>
        <w:t>iv</w:t>
      </w:r>
      <w:proofErr w:type="spellEnd"/>
      <w:r w:rsidRPr="00A572F4">
        <w:rPr>
          <w:rFonts w:ascii="Arial" w:eastAsia="Calibri" w:hAnsi="Arial" w:cs="Arial"/>
          <w:sz w:val="20"/>
          <w:szCs w:val="20"/>
          <w:lang w:val="es-ES_tradnl"/>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20767D2" w14:textId="77777777" w:rsidR="00681C78" w:rsidRPr="00A572F4" w:rsidRDefault="00681C78" w:rsidP="00681C78">
      <w:pPr>
        <w:jc w:val="both"/>
        <w:rPr>
          <w:rFonts w:ascii="Arial" w:eastAsia="Calibri" w:hAnsi="Arial" w:cs="Arial"/>
          <w:sz w:val="20"/>
          <w:szCs w:val="20"/>
          <w:lang w:val="es-ES_tradnl"/>
        </w:rPr>
      </w:pPr>
    </w:p>
    <w:p w14:paraId="3B89D168" w14:textId="31DE7B58" w:rsidR="00681C78" w:rsidRPr="00A572F4" w:rsidRDefault="00681C78" w:rsidP="00681C78">
      <w:pPr>
        <w:jc w:val="both"/>
        <w:rPr>
          <w:rFonts w:ascii="Arial" w:eastAsia="Calibri" w:hAnsi="Arial" w:cs="Arial"/>
          <w:sz w:val="20"/>
          <w:szCs w:val="20"/>
          <w:lang w:val="es-ES_tradnl"/>
        </w:rPr>
      </w:pPr>
      <w:r w:rsidRPr="00A572F4">
        <w:rPr>
          <w:rFonts w:ascii="Arial" w:eastAsia="Calibri" w:hAnsi="Arial" w:cs="Arial"/>
          <w:sz w:val="20"/>
          <w:szCs w:val="20"/>
          <w:lang w:val="es-ES_tradnl"/>
        </w:rPr>
        <w:t xml:space="preserve">La respuesta a la inquietud planteada en el párrafo precedente es de enorme importancia por los efectos prácticos de ambas posiciones. Por un lado, 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w:t>
      </w:r>
      <w:proofErr w:type="gramStart"/>
      <w:r w:rsidRPr="00A572F4">
        <w:rPr>
          <w:rFonts w:ascii="Arial" w:eastAsia="Calibri" w:hAnsi="Arial" w:cs="Arial"/>
          <w:sz w:val="20"/>
          <w:szCs w:val="20"/>
          <w:lang w:val="es-ES_tradnl"/>
        </w:rPr>
        <w:t>discrecional .</w:t>
      </w:r>
      <w:proofErr w:type="gramEnd"/>
      <w:r w:rsidRPr="00A572F4">
        <w:rPr>
          <w:rFonts w:ascii="Arial" w:eastAsia="Calibri" w:hAnsi="Arial" w:cs="Arial"/>
          <w:sz w:val="20"/>
          <w:szCs w:val="20"/>
          <w:lang w:val="es-ES_tradnl"/>
        </w:rPr>
        <w:t xml:space="preserve"> En este contexto, si la expedición de reglamentos no es obligatoria, la ausencia de estos no excusa la inaplicación de la ley, pues contiene unos elementos mínimos que vinculan directamente a los destinatarios.</w:t>
      </w:r>
    </w:p>
    <w:p w14:paraId="186CC8D8" w14:textId="77777777" w:rsidR="00681C78" w:rsidRPr="00A572F4" w:rsidRDefault="00681C78" w:rsidP="00681C78">
      <w:pPr>
        <w:spacing w:line="276" w:lineRule="auto"/>
        <w:jc w:val="both"/>
        <w:rPr>
          <w:rFonts w:ascii="Arial" w:eastAsia="Calibri" w:hAnsi="Arial" w:cs="Arial"/>
          <w:sz w:val="20"/>
          <w:szCs w:val="20"/>
          <w:lang w:val="es-ES_tradnl"/>
        </w:rPr>
      </w:pPr>
    </w:p>
    <w:p w14:paraId="01978866" w14:textId="77777777" w:rsidR="00681C78" w:rsidRPr="00A572F4" w:rsidRDefault="00681C78" w:rsidP="00681C78">
      <w:pPr>
        <w:jc w:val="both"/>
        <w:rPr>
          <w:rFonts w:ascii="Arial" w:eastAsia="Calibri" w:hAnsi="Arial" w:cs="Arial"/>
          <w:b/>
          <w:sz w:val="22"/>
          <w:lang w:val="es-ES_tradnl"/>
        </w:rPr>
      </w:pPr>
      <w:r w:rsidRPr="00A572F4">
        <w:rPr>
          <w:rFonts w:ascii="Arial" w:eastAsia="Calibri" w:hAnsi="Arial" w:cs="Arial"/>
          <w:b/>
          <w:sz w:val="22"/>
          <w:lang w:val="es-ES_tradnl"/>
        </w:rPr>
        <w:lastRenderedPageBreak/>
        <w:t>MIPYMES – Ley 2069 – Artículo 34 – Convocatorias limitadas – Vigencia</w:t>
      </w:r>
    </w:p>
    <w:p w14:paraId="2D5867FB" w14:textId="77777777" w:rsidR="00681C78" w:rsidRPr="00A572F4" w:rsidRDefault="00681C78" w:rsidP="00681C78">
      <w:pPr>
        <w:jc w:val="both"/>
        <w:rPr>
          <w:rFonts w:ascii="Arial" w:eastAsia="Calibri" w:hAnsi="Arial" w:cs="Arial"/>
          <w:sz w:val="20"/>
          <w:szCs w:val="20"/>
          <w:lang w:val="es-ES_tradnl"/>
        </w:rPr>
      </w:pPr>
    </w:p>
    <w:p w14:paraId="3399C122" w14:textId="77777777" w:rsidR="00681C78" w:rsidRPr="00A572F4" w:rsidRDefault="00681C78" w:rsidP="00681C78">
      <w:pPr>
        <w:jc w:val="both"/>
        <w:rPr>
          <w:rFonts w:ascii="Arial" w:eastAsia="Calibri" w:hAnsi="Arial" w:cs="Arial"/>
          <w:sz w:val="20"/>
          <w:szCs w:val="20"/>
          <w:lang w:val="es-ES_tradnl"/>
        </w:rPr>
      </w:pPr>
      <w:r w:rsidRPr="00A572F4">
        <w:rPr>
          <w:rFonts w:ascii="Arial" w:eastAsia="Calibri" w:hAnsi="Arial" w:cs="Arial"/>
          <w:sz w:val="20"/>
          <w:szCs w:val="20"/>
          <w:lang w:val="es-ES_tradnl"/>
        </w:rPr>
        <w:t xml:space="preserv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A572F4">
        <w:rPr>
          <w:rFonts w:ascii="Arial" w:eastAsia="Calibri" w:hAnsi="Arial" w:cs="Arial"/>
          <w:sz w:val="20"/>
          <w:szCs w:val="20"/>
          <w:lang w:val="es-ES_tradnl"/>
        </w:rPr>
        <w:t>esta</w:t>
      </w:r>
      <w:proofErr w:type="spellEnd"/>
      <w:r w:rsidRPr="00A572F4">
        <w:rPr>
          <w:rFonts w:ascii="Arial" w:eastAsia="Calibri" w:hAnsi="Arial" w:cs="Arial"/>
          <w:sz w:val="20"/>
          <w:szCs w:val="20"/>
          <w:lang w:val="es-ES_tradnl"/>
        </w:rPr>
        <w:t xml:space="preserve"> «deroga […] todas las disposiciones que le sean contrarias». Por lo anterior, puede afirmarse que, además del decaimiento del artículo 2.2.1.2.4.2.2. del Decreto 1082 de 2015, debe entenderse derogado.</w:t>
      </w:r>
    </w:p>
    <w:p w14:paraId="2C92F621" w14:textId="77777777" w:rsidR="00681C78" w:rsidRPr="00A572F4" w:rsidRDefault="00681C78" w:rsidP="00681C78">
      <w:pPr>
        <w:jc w:val="both"/>
        <w:rPr>
          <w:rFonts w:ascii="Arial" w:eastAsia="Calibri" w:hAnsi="Arial" w:cs="Arial"/>
          <w:sz w:val="20"/>
          <w:szCs w:val="20"/>
          <w:lang w:val="es-ES_tradnl"/>
        </w:rPr>
      </w:pPr>
    </w:p>
    <w:p w14:paraId="1CF917BC" w14:textId="77777777" w:rsidR="00681C78" w:rsidRPr="00A572F4" w:rsidRDefault="00681C78" w:rsidP="00681C78">
      <w:pPr>
        <w:jc w:val="both"/>
        <w:rPr>
          <w:rFonts w:ascii="Arial" w:eastAsia="Calibri" w:hAnsi="Arial" w:cs="Arial"/>
          <w:b/>
          <w:sz w:val="22"/>
          <w:lang w:val="es-ES_tradnl"/>
        </w:rPr>
      </w:pPr>
      <w:r w:rsidRPr="00A572F4">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A572F4">
        <w:rPr>
          <w:rFonts w:ascii="Arial" w:eastAsia="Calibri" w:hAnsi="Arial" w:cs="Arial"/>
          <w:sz w:val="20"/>
          <w:szCs w:val="20"/>
          <w:lang w:val="es-ES_tradnl"/>
        </w:rPr>
        <w:t>mipymes</w:t>
      </w:r>
      <w:proofErr w:type="spellEnd"/>
      <w:r w:rsidRPr="00A572F4">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A572F4">
        <w:rPr>
          <w:rFonts w:ascii="Arial" w:eastAsia="Calibri" w:hAnsi="Arial" w:cs="Arial"/>
          <w:sz w:val="20"/>
          <w:szCs w:val="20"/>
          <w:lang w:val="es-ES_tradnl"/>
        </w:rPr>
        <w:t>mipymes</w:t>
      </w:r>
      <w:proofErr w:type="spellEnd"/>
      <w:r w:rsidRPr="00A572F4">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572F4">
        <w:rPr>
          <w:rFonts w:ascii="Arial" w:eastAsia="Calibri" w:hAnsi="Arial" w:cs="Arial"/>
          <w:sz w:val="20"/>
          <w:szCs w:val="20"/>
          <w:lang w:val="es-ES_tradnl"/>
        </w:rPr>
        <w:t>mipymes</w:t>
      </w:r>
      <w:proofErr w:type="spellEnd"/>
      <w:r w:rsidRPr="00A572F4">
        <w:rPr>
          <w:rFonts w:ascii="Arial" w:eastAsia="Calibri" w:hAnsi="Arial" w:cs="Arial"/>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5B1703BB" w14:textId="77777777" w:rsidR="00681C78" w:rsidRPr="00A572F4" w:rsidRDefault="00681C78" w:rsidP="00681C78">
      <w:pPr>
        <w:jc w:val="both"/>
        <w:rPr>
          <w:rFonts w:ascii="Arial" w:eastAsia="Calibri" w:hAnsi="Arial" w:cs="Arial"/>
          <w:b/>
          <w:sz w:val="22"/>
          <w:lang w:val="es-ES_tradnl"/>
        </w:rPr>
      </w:pPr>
    </w:p>
    <w:p w14:paraId="1CF703C6" w14:textId="77777777" w:rsidR="00681C78" w:rsidRPr="00A572F4" w:rsidRDefault="00681C78" w:rsidP="00681C78">
      <w:pPr>
        <w:jc w:val="both"/>
        <w:rPr>
          <w:rFonts w:ascii="Arial" w:eastAsia="Calibri" w:hAnsi="Arial" w:cs="Arial"/>
          <w:b/>
          <w:sz w:val="22"/>
          <w:lang w:val="es-ES_tradnl"/>
        </w:rPr>
      </w:pPr>
      <w:r w:rsidRPr="00A572F4">
        <w:rPr>
          <w:rFonts w:ascii="Arial" w:eastAsia="Calibri" w:hAnsi="Arial" w:cs="Arial"/>
          <w:b/>
          <w:sz w:val="22"/>
          <w:lang w:val="es-ES_tradnl"/>
        </w:rPr>
        <w:t xml:space="preserve">PROMOCIÓN DEL DESARROLLO – Contratación estatal – Ley 2069 – Artículo 34 – Subrogación </w:t>
      </w:r>
    </w:p>
    <w:p w14:paraId="4B589533" w14:textId="77777777" w:rsidR="00681C78" w:rsidRPr="00A572F4" w:rsidRDefault="00681C78" w:rsidP="00681C78">
      <w:pPr>
        <w:jc w:val="both"/>
        <w:rPr>
          <w:rFonts w:ascii="Arial" w:eastAsia="Calibri" w:hAnsi="Arial" w:cs="Arial"/>
          <w:sz w:val="20"/>
          <w:szCs w:val="20"/>
          <w:lang w:val="es-ES_tradnl"/>
        </w:rPr>
      </w:pPr>
    </w:p>
    <w:p w14:paraId="2060B04D" w14:textId="77777777" w:rsidR="00681C78" w:rsidRPr="00A572F4" w:rsidRDefault="00681C78" w:rsidP="00681C78">
      <w:pPr>
        <w:jc w:val="both"/>
        <w:rPr>
          <w:rFonts w:ascii="Arial" w:eastAsia="Calibri" w:hAnsi="Arial" w:cs="Arial"/>
          <w:sz w:val="20"/>
          <w:szCs w:val="20"/>
          <w:lang w:val="es-ES_tradnl"/>
        </w:rPr>
      </w:pPr>
      <w:r w:rsidRPr="00A572F4">
        <w:rPr>
          <w:rFonts w:ascii="Arial" w:eastAsia="Calibri" w:hAnsi="Arial" w:cs="Arial"/>
          <w:sz w:val="20"/>
          <w:szCs w:val="20"/>
          <w:lang w:val="es-ES_tradnl"/>
        </w:rPr>
        <w:t>La subrogación es, […],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38584D98" w14:textId="77777777" w:rsidR="00681C78" w:rsidRPr="00A572F4" w:rsidRDefault="00681C78" w:rsidP="00681C78">
      <w:pPr>
        <w:jc w:val="both"/>
        <w:rPr>
          <w:rFonts w:ascii="Arial" w:eastAsia="Calibri" w:hAnsi="Arial" w:cs="Arial"/>
          <w:sz w:val="20"/>
          <w:szCs w:val="20"/>
          <w:lang w:val="es-ES_tradnl"/>
        </w:rPr>
      </w:pPr>
    </w:p>
    <w:p w14:paraId="2EA58EF8" w14:textId="77777777" w:rsidR="00681C78" w:rsidRPr="00A572F4" w:rsidRDefault="00681C78" w:rsidP="00681C78">
      <w:pPr>
        <w:jc w:val="both"/>
        <w:rPr>
          <w:rFonts w:ascii="Arial" w:eastAsia="Calibri" w:hAnsi="Arial" w:cs="Arial"/>
          <w:sz w:val="20"/>
          <w:szCs w:val="20"/>
          <w:lang w:val="es-ES_tradnl"/>
        </w:rPr>
      </w:pPr>
      <w:r w:rsidRPr="00A572F4">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6CC52CFE" w14:textId="4FB998BF" w:rsidR="00C61863" w:rsidRPr="00A572F4" w:rsidRDefault="005E04C5" w:rsidP="00C61863">
      <w:pPr>
        <w:tabs>
          <w:tab w:val="left" w:pos="709"/>
        </w:tabs>
        <w:spacing w:line="276" w:lineRule="auto"/>
        <w:jc w:val="both"/>
        <w:rPr>
          <w:rFonts w:ascii="Arial" w:eastAsia="Calibri" w:hAnsi="Arial" w:cs="Arial"/>
          <w:sz w:val="22"/>
          <w:szCs w:val="22"/>
          <w:lang w:val="es-ES_tradnl"/>
        </w:rPr>
      </w:pPr>
      <w:r w:rsidRPr="00A572F4">
        <w:rPr>
          <w:rFonts w:ascii="Arial" w:eastAsia="Calibri" w:hAnsi="Arial" w:cs="Arial"/>
          <w:sz w:val="22"/>
          <w:szCs w:val="22"/>
          <w:lang w:val="es-ES_tradnl"/>
        </w:rPr>
        <w:tab/>
      </w:r>
    </w:p>
    <w:p w14:paraId="5A5F7171" w14:textId="196287D6" w:rsidR="00C61863" w:rsidRPr="00A572F4" w:rsidRDefault="00C61863" w:rsidP="00C61863">
      <w:pPr>
        <w:spacing w:line="276" w:lineRule="auto"/>
        <w:jc w:val="both"/>
        <w:rPr>
          <w:rFonts w:ascii="Arial" w:hAnsi="Arial" w:cs="Arial"/>
          <w:b/>
          <w:bCs/>
          <w:noProof/>
          <w:sz w:val="22"/>
          <w:lang w:val="es-ES_tradnl"/>
        </w:rPr>
      </w:pPr>
      <w:r w:rsidRPr="00A572F4">
        <w:rPr>
          <w:rFonts w:ascii="Arial" w:hAnsi="Arial" w:cs="Arial"/>
          <w:b/>
          <w:bCs/>
          <w:noProof/>
          <w:sz w:val="22"/>
          <w:lang w:val="es-ES_tradnl"/>
        </w:rPr>
        <w:t xml:space="preserve">FACTORES DE DESEMPATE </w:t>
      </w:r>
      <w:r w:rsidRPr="00A572F4">
        <w:rPr>
          <w:rFonts w:ascii="Arial" w:hAnsi="Arial" w:cs="Arial"/>
          <w:b/>
          <w:bCs/>
          <w:noProof/>
          <w:sz w:val="22"/>
          <w:lang w:val="es-ES_tradnl"/>
        </w:rPr>
        <w:softHyphen/>
        <w:t>– Mínima cuantía –</w:t>
      </w:r>
      <w:r w:rsidR="00681C78" w:rsidRPr="00A572F4">
        <w:rPr>
          <w:rFonts w:ascii="Arial" w:hAnsi="Arial" w:cs="Arial"/>
          <w:b/>
          <w:bCs/>
          <w:noProof/>
          <w:sz w:val="22"/>
          <w:lang w:val="es-ES_tradnl"/>
        </w:rPr>
        <w:t xml:space="preserve"> </w:t>
      </w:r>
      <w:r w:rsidR="005416CA" w:rsidRPr="00A572F4">
        <w:rPr>
          <w:rFonts w:ascii="Arial" w:hAnsi="Arial" w:cs="Arial"/>
          <w:b/>
          <w:bCs/>
          <w:noProof/>
          <w:sz w:val="22"/>
          <w:lang w:val="es-ES_tradnl"/>
        </w:rPr>
        <w:t xml:space="preserve">Subasta inversa – </w:t>
      </w:r>
      <w:r w:rsidRPr="00A572F4">
        <w:rPr>
          <w:rFonts w:ascii="Arial" w:hAnsi="Arial" w:cs="Arial"/>
          <w:b/>
          <w:bCs/>
          <w:noProof/>
          <w:sz w:val="22"/>
          <w:lang w:val="es-ES_tradnl"/>
        </w:rPr>
        <w:t xml:space="preserve">Ley 2069 de 2020 – Factores de desempate – Aplicación – Puntaje </w:t>
      </w:r>
    </w:p>
    <w:p w14:paraId="5AC533C2" w14:textId="77777777" w:rsidR="00C61863" w:rsidRPr="00A572F4" w:rsidRDefault="00C61863" w:rsidP="00C61863">
      <w:pPr>
        <w:tabs>
          <w:tab w:val="left" w:pos="709"/>
        </w:tabs>
        <w:spacing w:line="276" w:lineRule="auto"/>
        <w:jc w:val="both"/>
        <w:rPr>
          <w:rFonts w:ascii="Arial" w:eastAsia="Calibri" w:hAnsi="Arial" w:cs="Arial"/>
          <w:sz w:val="22"/>
          <w:szCs w:val="22"/>
          <w:lang w:val="es-ES_tradnl"/>
        </w:rPr>
      </w:pPr>
    </w:p>
    <w:p w14:paraId="55F1A991" w14:textId="7ED37FA5" w:rsidR="005416CA" w:rsidRPr="00A572F4" w:rsidRDefault="005416CA" w:rsidP="005416CA">
      <w:pPr>
        <w:tabs>
          <w:tab w:val="left" w:pos="709"/>
        </w:tabs>
        <w:jc w:val="both"/>
        <w:rPr>
          <w:rFonts w:ascii="Arial" w:eastAsia="Calibri" w:hAnsi="Arial" w:cs="Arial"/>
          <w:sz w:val="20"/>
          <w:szCs w:val="20"/>
          <w:lang w:val="es-ES_tradnl"/>
        </w:rPr>
      </w:pPr>
      <w:r w:rsidRPr="00A572F4">
        <w:rPr>
          <w:rFonts w:ascii="Arial" w:eastAsia="Calibri" w:hAnsi="Arial" w:cs="Arial"/>
          <w:sz w:val="20"/>
          <w:szCs w:val="20"/>
          <w:lang w:val="es-ES_tradnl"/>
        </w:rPr>
        <w:t xml:space="preserve">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 son aplicables a todas las entidades estatales, </w:t>
      </w:r>
      <w:r w:rsidRPr="00A572F4">
        <w:rPr>
          <w:rFonts w:ascii="Arial" w:eastAsia="Calibri" w:hAnsi="Arial" w:cs="Arial"/>
          <w:sz w:val="20"/>
          <w:szCs w:val="20"/>
          <w:lang w:val="es-ES_tradnl"/>
        </w:rPr>
        <w:lastRenderedPageBreak/>
        <w:t xml:space="preserve">independientemente de su régimen de contratación. 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A572F4">
        <w:rPr>
          <w:rFonts w:ascii="Arial" w:eastAsia="Calibri" w:hAnsi="Arial" w:cs="Arial"/>
          <w:sz w:val="20"/>
          <w:szCs w:val="20"/>
          <w:lang w:val="es-ES_tradnl"/>
        </w:rPr>
        <w:t>secundum</w:t>
      </w:r>
      <w:proofErr w:type="spellEnd"/>
      <w:r w:rsidRPr="00A572F4">
        <w:rPr>
          <w:rFonts w:ascii="Arial" w:eastAsia="Calibri" w:hAnsi="Arial" w:cs="Arial"/>
          <w:sz w:val="20"/>
          <w:szCs w:val="20"/>
          <w:lang w:val="es-ES_tradnl"/>
        </w:rPr>
        <w:t xml:space="preserve"> </w:t>
      </w:r>
      <w:proofErr w:type="spellStart"/>
      <w:r w:rsidRPr="00A572F4">
        <w:rPr>
          <w:rFonts w:ascii="Arial" w:eastAsia="Calibri" w:hAnsi="Arial" w:cs="Arial"/>
          <w:sz w:val="20"/>
          <w:szCs w:val="20"/>
          <w:lang w:val="es-ES_tradnl"/>
        </w:rPr>
        <w:t>legem</w:t>
      </w:r>
      <w:proofErr w:type="spellEnd"/>
      <w:r w:rsidRPr="00A572F4">
        <w:rPr>
          <w:rFonts w:ascii="Arial" w:eastAsia="Calibri" w:hAnsi="Arial" w:cs="Arial"/>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4CCD1553" w14:textId="77777777" w:rsidR="005416CA" w:rsidRPr="00A572F4" w:rsidRDefault="005416CA" w:rsidP="005416CA">
      <w:pPr>
        <w:tabs>
          <w:tab w:val="left" w:pos="709"/>
        </w:tabs>
        <w:jc w:val="both"/>
        <w:rPr>
          <w:rFonts w:ascii="Arial" w:eastAsia="Calibri" w:hAnsi="Arial" w:cs="Arial"/>
          <w:sz w:val="20"/>
          <w:szCs w:val="20"/>
          <w:lang w:val="es-ES_tradnl"/>
        </w:rPr>
      </w:pPr>
    </w:p>
    <w:p w14:paraId="5BF0DB7F" w14:textId="22D304EF" w:rsidR="00C61863" w:rsidRPr="00A572F4" w:rsidRDefault="005416CA" w:rsidP="005416CA">
      <w:pPr>
        <w:tabs>
          <w:tab w:val="left" w:pos="709"/>
        </w:tabs>
        <w:jc w:val="both"/>
        <w:rPr>
          <w:rFonts w:ascii="Arial" w:hAnsi="Arial" w:cs="Arial"/>
          <w:sz w:val="22"/>
          <w:szCs w:val="22"/>
          <w:lang w:val="es-ES_tradnl"/>
        </w:rPr>
      </w:pPr>
      <w:r w:rsidRPr="00A572F4">
        <w:rPr>
          <w:rFonts w:ascii="Arial" w:eastAsia="Calibri" w:hAnsi="Arial" w:cs="Arial"/>
          <w:sz w:val="20"/>
          <w:szCs w:val="20"/>
          <w:lang w:val="es-ES_tradnl"/>
        </w:rPr>
        <w:t xml:space="preserve">Lo explicado en los párrafos precedentes también aplica mutatis mutandis a los factores de desempate previstos en el Decreto Único Reglamentario del Sector Administrativo de Planeación Nacional para los procedimientos de subasta inversa–adelantados en el marco de la modalidad de selección abreviada– y mínima cuantía. A pesar de que numeral 9 del artículo 2.2.1.2.1.2.2 y el 7 del artículo 2.2.1.2.1.5.2 del Decreto 1082 de 2015 establecían unas reglas especiales para el desempate entre ofertas para los referidos procedimientos, ya que el primer inciso del artículo 35 de la Ley 2069 de 2020 no distingue modalidades de selección y regula la institución de los factores de desempate en los procesos de contratación estatal de manera integral. En consecuencia, por tratarse de una norma transversal al sistema de compras y contratación pública, el artículo 35 de la Ley 2069 de 2020 es aplicable a los procedimientos de procedimientos de subasta inversa y mínima cuantía, presentándose tanto la derogación como el decaimiento de los criterios de desempate previstos en los numerales 9 del artículo 2.2.1.2.1.2.2 y 7 del artículo 2.2.1.2.1.5.2 del Decreto 1082 de 2015, para estos procedimientos de selección.             </w:t>
      </w:r>
    </w:p>
    <w:p w14:paraId="666856BF" w14:textId="17495162" w:rsidR="00004173" w:rsidRPr="00A572F4" w:rsidRDefault="00004173" w:rsidP="005E04C5">
      <w:pPr>
        <w:jc w:val="both"/>
        <w:rPr>
          <w:rFonts w:ascii="Arial" w:hAnsi="Arial" w:cs="Arial"/>
          <w:noProof/>
          <w:sz w:val="22"/>
          <w:lang w:val="es-ES_tradnl"/>
        </w:rPr>
      </w:pPr>
    </w:p>
    <w:p w14:paraId="559444FF" w14:textId="3427D45D" w:rsidR="006D58F2" w:rsidRPr="00A572F4" w:rsidRDefault="006D58F2" w:rsidP="00B95C30">
      <w:pPr>
        <w:spacing w:line="276" w:lineRule="auto"/>
        <w:jc w:val="both"/>
        <w:rPr>
          <w:rFonts w:ascii="Arial" w:hAnsi="Arial" w:cs="Arial"/>
          <w:noProof/>
          <w:sz w:val="22"/>
          <w:lang w:val="es-ES_tradnl"/>
        </w:rPr>
      </w:pPr>
    </w:p>
    <w:p w14:paraId="770AB292" w14:textId="7071937B" w:rsidR="006D58F2" w:rsidRPr="00A572F4" w:rsidRDefault="006D58F2" w:rsidP="00B95C30">
      <w:pPr>
        <w:spacing w:line="276" w:lineRule="auto"/>
        <w:jc w:val="both"/>
        <w:rPr>
          <w:rFonts w:ascii="Arial" w:hAnsi="Arial" w:cs="Arial"/>
          <w:noProof/>
          <w:sz w:val="22"/>
          <w:lang w:val="es-ES_tradnl"/>
        </w:rPr>
      </w:pPr>
    </w:p>
    <w:p w14:paraId="5033CD0B" w14:textId="6E4E0678" w:rsidR="006D58F2" w:rsidRPr="00A572F4" w:rsidRDefault="006D58F2" w:rsidP="00B95C30">
      <w:pPr>
        <w:spacing w:line="276" w:lineRule="auto"/>
        <w:jc w:val="both"/>
        <w:rPr>
          <w:rFonts w:ascii="Arial" w:hAnsi="Arial" w:cs="Arial"/>
          <w:noProof/>
          <w:sz w:val="22"/>
          <w:lang w:val="es-ES_tradnl"/>
        </w:rPr>
      </w:pPr>
    </w:p>
    <w:p w14:paraId="425B23E0" w14:textId="77777777" w:rsidR="006D58F2" w:rsidRPr="00A572F4" w:rsidRDefault="006D58F2" w:rsidP="00B95C30">
      <w:pPr>
        <w:spacing w:line="276" w:lineRule="auto"/>
        <w:jc w:val="both"/>
        <w:rPr>
          <w:rFonts w:ascii="Arial" w:hAnsi="Arial" w:cs="Arial"/>
          <w:noProof/>
          <w:sz w:val="22"/>
          <w:lang w:val="es-ES_tradnl"/>
        </w:rPr>
      </w:pPr>
    </w:p>
    <w:p w14:paraId="24A88D3F" w14:textId="692A56A9" w:rsidR="00F53F4F" w:rsidRPr="00A572F4" w:rsidRDefault="00F53F4F" w:rsidP="00B95C30">
      <w:pPr>
        <w:jc w:val="both"/>
        <w:rPr>
          <w:rFonts w:ascii="Arial" w:hAnsi="Arial" w:cs="Arial"/>
          <w:b/>
          <w:sz w:val="22"/>
          <w:lang w:val="es-ES_tradnl"/>
        </w:rPr>
      </w:pPr>
    </w:p>
    <w:p w14:paraId="184B7488" w14:textId="6DBCC181" w:rsidR="00097F53" w:rsidRPr="00A572F4" w:rsidRDefault="00097F53" w:rsidP="00B95C30">
      <w:pPr>
        <w:jc w:val="both"/>
        <w:rPr>
          <w:rFonts w:ascii="Arial" w:hAnsi="Arial" w:cs="Arial"/>
          <w:b/>
          <w:sz w:val="22"/>
          <w:lang w:val="es-ES_tradnl"/>
        </w:rPr>
      </w:pPr>
    </w:p>
    <w:p w14:paraId="7D585357" w14:textId="40823CF2" w:rsidR="00BE3700" w:rsidRPr="00A572F4" w:rsidRDefault="00BE3700" w:rsidP="00B95C30">
      <w:pPr>
        <w:jc w:val="both"/>
        <w:rPr>
          <w:rFonts w:ascii="Arial" w:hAnsi="Arial" w:cs="Arial"/>
          <w:b/>
          <w:sz w:val="22"/>
          <w:lang w:val="es-ES_tradnl"/>
        </w:rPr>
      </w:pPr>
    </w:p>
    <w:p w14:paraId="5F68F1FE" w14:textId="5818948F" w:rsidR="00BE3700" w:rsidRPr="00A572F4" w:rsidRDefault="00BE3700" w:rsidP="00B95C30">
      <w:pPr>
        <w:jc w:val="both"/>
        <w:rPr>
          <w:rFonts w:ascii="Arial" w:hAnsi="Arial" w:cs="Arial"/>
          <w:b/>
          <w:sz w:val="22"/>
          <w:lang w:val="es-ES_tradnl"/>
        </w:rPr>
      </w:pPr>
    </w:p>
    <w:p w14:paraId="42081262" w14:textId="4AB60AAC" w:rsidR="00BE3700" w:rsidRPr="00A572F4" w:rsidRDefault="00BE3700" w:rsidP="00B95C30">
      <w:pPr>
        <w:jc w:val="both"/>
        <w:rPr>
          <w:rFonts w:ascii="Arial" w:hAnsi="Arial" w:cs="Arial"/>
          <w:b/>
          <w:sz w:val="22"/>
          <w:lang w:val="es-ES_tradnl"/>
        </w:rPr>
      </w:pPr>
    </w:p>
    <w:p w14:paraId="44C456DB" w14:textId="3B44D864" w:rsidR="00BE3700" w:rsidRPr="00A572F4" w:rsidRDefault="00BE3700" w:rsidP="00B95C30">
      <w:pPr>
        <w:jc w:val="both"/>
        <w:rPr>
          <w:rFonts w:ascii="Arial" w:hAnsi="Arial" w:cs="Arial"/>
          <w:b/>
          <w:sz w:val="22"/>
          <w:lang w:val="es-ES_tradnl"/>
        </w:rPr>
      </w:pPr>
    </w:p>
    <w:p w14:paraId="5B2E3D15" w14:textId="17EA36C8" w:rsidR="00BE3700" w:rsidRPr="00A572F4" w:rsidRDefault="00BE3700" w:rsidP="00B95C30">
      <w:pPr>
        <w:jc w:val="both"/>
        <w:rPr>
          <w:rFonts w:ascii="Arial" w:hAnsi="Arial" w:cs="Arial"/>
          <w:b/>
          <w:sz w:val="22"/>
          <w:lang w:val="es-ES_tradnl"/>
        </w:rPr>
      </w:pPr>
    </w:p>
    <w:p w14:paraId="0F445C91" w14:textId="4C9FEC35" w:rsidR="00BE3700" w:rsidRPr="00A572F4" w:rsidRDefault="00BE3700" w:rsidP="00B95C30">
      <w:pPr>
        <w:jc w:val="both"/>
        <w:rPr>
          <w:rFonts w:ascii="Arial" w:hAnsi="Arial" w:cs="Arial"/>
          <w:b/>
          <w:sz w:val="22"/>
          <w:lang w:val="es-ES_tradnl"/>
        </w:rPr>
      </w:pPr>
    </w:p>
    <w:p w14:paraId="2E359CAC" w14:textId="59C85025" w:rsidR="00BE3700" w:rsidRPr="00A572F4" w:rsidRDefault="00BE3700" w:rsidP="00B95C30">
      <w:pPr>
        <w:jc w:val="both"/>
        <w:rPr>
          <w:rFonts w:ascii="Arial" w:hAnsi="Arial" w:cs="Arial"/>
          <w:b/>
          <w:sz w:val="22"/>
          <w:lang w:val="es-ES_tradnl"/>
        </w:rPr>
      </w:pPr>
    </w:p>
    <w:p w14:paraId="74B7773A" w14:textId="3D65D977" w:rsidR="00BE3700" w:rsidRPr="00A572F4" w:rsidRDefault="00BE3700" w:rsidP="00B95C30">
      <w:pPr>
        <w:jc w:val="both"/>
        <w:rPr>
          <w:rFonts w:ascii="Arial" w:hAnsi="Arial" w:cs="Arial"/>
          <w:b/>
          <w:sz w:val="22"/>
          <w:lang w:val="es-ES_tradnl"/>
        </w:rPr>
      </w:pPr>
    </w:p>
    <w:p w14:paraId="07548B91" w14:textId="517AEB47" w:rsidR="00BE3700" w:rsidRPr="00A572F4" w:rsidRDefault="00BE3700" w:rsidP="00B95C30">
      <w:pPr>
        <w:jc w:val="both"/>
        <w:rPr>
          <w:rFonts w:ascii="Arial" w:hAnsi="Arial" w:cs="Arial"/>
          <w:b/>
          <w:sz w:val="22"/>
          <w:lang w:val="es-ES_tradnl"/>
        </w:rPr>
      </w:pPr>
    </w:p>
    <w:p w14:paraId="73A0E612" w14:textId="7EA7343A" w:rsidR="00BE3700" w:rsidRPr="00A572F4" w:rsidRDefault="00BE3700" w:rsidP="00B95C30">
      <w:pPr>
        <w:jc w:val="both"/>
        <w:rPr>
          <w:rFonts w:ascii="Arial" w:hAnsi="Arial" w:cs="Arial"/>
          <w:b/>
          <w:sz w:val="22"/>
          <w:lang w:val="es-ES_tradnl"/>
        </w:rPr>
      </w:pPr>
    </w:p>
    <w:p w14:paraId="6F8B804A" w14:textId="55C59463" w:rsidR="00BE3700" w:rsidRPr="00A572F4" w:rsidRDefault="00BE3700" w:rsidP="00B95C30">
      <w:pPr>
        <w:jc w:val="both"/>
        <w:rPr>
          <w:rFonts w:ascii="Arial" w:hAnsi="Arial" w:cs="Arial"/>
          <w:b/>
          <w:sz w:val="22"/>
          <w:lang w:val="es-ES_tradnl"/>
        </w:rPr>
      </w:pPr>
    </w:p>
    <w:p w14:paraId="17DA7D66" w14:textId="340966F5" w:rsidR="00BE3700" w:rsidRPr="00A572F4" w:rsidRDefault="00BE3700" w:rsidP="00B95C30">
      <w:pPr>
        <w:jc w:val="both"/>
        <w:rPr>
          <w:rFonts w:ascii="Arial" w:hAnsi="Arial" w:cs="Arial"/>
          <w:b/>
          <w:sz w:val="22"/>
          <w:lang w:val="es-ES_tradnl"/>
        </w:rPr>
      </w:pPr>
    </w:p>
    <w:p w14:paraId="67BF819E" w14:textId="38DC8894" w:rsidR="00BE3700" w:rsidRPr="00A572F4" w:rsidRDefault="00BE3700" w:rsidP="00B95C30">
      <w:pPr>
        <w:jc w:val="both"/>
        <w:rPr>
          <w:rFonts w:ascii="Arial" w:hAnsi="Arial" w:cs="Arial"/>
          <w:b/>
          <w:sz w:val="22"/>
          <w:lang w:val="es-ES_tradnl"/>
        </w:rPr>
      </w:pPr>
    </w:p>
    <w:p w14:paraId="7F706B1B" w14:textId="16C9E6BE" w:rsidR="00BE3700" w:rsidRPr="00A572F4" w:rsidRDefault="00BE3700" w:rsidP="00B95C30">
      <w:pPr>
        <w:jc w:val="both"/>
        <w:rPr>
          <w:rFonts w:ascii="Arial" w:hAnsi="Arial" w:cs="Arial"/>
          <w:b/>
          <w:sz w:val="22"/>
          <w:lang w:val="es-ES_tradnl"/>
        </w:rPr>
      </w:pPr>
    </w:p>
    <w:p w14:paraId="5AA5CB48" w14:textId="25747534" w:rsidR="00BE3700" w:rsidRPr="00A572F4" w:rsidRDefault="00BE3700" w:rsidP="00B95C30">
      <w:pPr>
        <w:jc w:val="both"/>
        <w:rPr>
          <w:rFonts w:ascii="Arial" w:hAnsi="Arial" w:cs="Arial"/>
          <w:b/>
          <w:sz w:val="22"/>
          <w:lang w:val="es-ES_tradnl"/>
        </w:rPr>
      </w:pPr>
    </w:p>
    <w:p w14:paraId="7FC122E1" w14:textId="275FCD2C" w:rsidR="00BE3700" w:rsidRDefault="00BE3700" w:rsidP="00B95C30">
      <w:pPr>
        <w:jc w:val="both"/>
        <w:rPr>
          <w:rFonts w:ascii="Arial" w:hAnsi="Arial" w:cs="Arial"/>
          <w:b/>
          <w:sz w:val="22"/>
          <w:lang w:val="es-ES_tradnl"/>
        </w:rPr>
      </w:pPr>
    </w:p>
    <w:p w14:paraId="214ECFB4" w14:textId="6782E123" w:rsidR="00CC1821" w:rsidRDefault="00CC1821" w:rsidP="00B95C30">
      <w:pPr>
        <w:jc w:val="both"/>
        <w:rPr>
          <w:rFonts w:ascii="Arial" w:hAnsi="Arial" w:cs="Arial"/>
          <w:b/>
          <w:sz w:val="22"/>
          <w:lang w:val="es-ES_tradnl"/>
        </w:rPr>
      </w:pPr>
    </w:p>
    <w:p w14:paraId="2303F720" w14:textId="33CF682E" w:rsidR="00CC1821" w:rsidRPr="00A572F4" w:rsidRDefault="00CC1821" w:rsidP="00CC1821">
      <w:pPr>
        <w:jc w:val="right"/>
        <w:rPr>
          <w:rFonts w:ascii="Arial" w:hAnsi="Arial" w:cs="Arial"/>
          <w:b/>
          <w:sz w:val="22"/>
          <w:lang w:val="es-ES_tradnl"/>
        </w:rPr>
      </w:pPr>
      <w:r w:rsidRPr="00CC1821">
        <w:rPr>
          <w:rFonts w:ascii="Arial" w:hAnsi="Arial" w:cs="Arial"/>
          <w:b/>
          <w:sz w:val="22"/>
          <w:lang w:val="es-ES_tradnl"/>
        </w:rPr>
        <w:drawing>
          <wp:inline distT="0" distB="0" distL="0" distR="0" wp14:anchorId="36DC8B7F" wp14:editId="006CEDBD">
            <wp:extent cx="3150618" cy="834914"/>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82340" cy="843320"/>
                    </a:xfrm>
                    <a:prstGeom prst="rect">
                      <a:avLst/>
                    </a:prstGeom>
                  </pic:spPr>
                </pic:pic>
              </a:graphicData>
            </a:graphic>
          </wp:inline>
        </w:drawing>
      </w:r>
    </w:p>
    <w:p w14:paraId="1DD9E0DB" w14:textId="4A93ED20" w:rsidR="00C61863" w:rsidRPr="00A572F4" w:rsidRDefault="00C61863" w:rsidP="00B95C30">
      <w:pPr>
        <w:jc w:val="both"/>
        <w:rPr>
          <w:rFonts w:ascii="Arial" w:hAnsi="Arial" w:cs="Arial"/>
          <w:b/>
          <w:sz w:val="22"/>
          <w:lang w:val="es-ES_tradnl"/>
        </w:rPr>
      </w:pPr>
    </w:p>
    <w:p w14:paraId="5F5AE9EF" w14:textId="6CB2CA6C" w:rsidR="00B95C30" w:rsidRPr="00A572F4" w:rsidRDefault="007D24F0" w:rsidP="00EB2ED0">
      <w:pPr>
        <w:jc w:val="both"/>
        <w:rPr>
          <w:rFonts w:ascii="Arial" w:eastAsia="Calibri" w:hAnsi="Arial" w:cs="Arial"/>
          <w:sz w:val="22"/>
          <w:lang w:val="es-ES_tradnl"/>
        </w:rPr>
      </w:pPr>
      <w:bookmarkStart w:id="2" w:name="_Hlk79395594"/>
      <w:r w:rsidRPr="00A572F4">
        <w:rPr>
          <w:rFonts w:ascii="Arial" w:eastAsia="Calibri" w:hAnsi="Arial" w:cs="Arial"/>
          <w:sz w:val="22"/>
          <w:lang w:val="es-ES_tradnl"/>
        </w:rPr>
        <w:t>Doctor</w:t>
      </w:r>
    </w:p>
    <w:p w14:paraId="7AF5E572" w14:textId="294905E3" w:rsidR="00940DBD" w:rsidRPr="00A572F4" w:rsidRDefault="00940DBD" w:rsidP="00940DBD">
      <w:pPr>
        <w:jc w:val="both"/>
        <w:rPr>
          <w:rFonts w:ascii="Arial" w:eastAsia="Calibri" w:hAnsi="Arial" w:cs="Arial"/>
          <w:b/>
          <w:sz w:val="22"/>
          <w:lang w:val="es-ES_tradnl"/>
        </w:rPr>
      </w:pPr>
      <w:r w:rsidRPr="00A572F4">
        <w:rPr>
          <w:rFonts w:ascii="Arial" w:eastAsia="Calibri" w:hAnsi="Arial" w:cs="Arial"/>
          <w:b/>
          <w:sz w:val="22"/>
          <w:lang w:val="es-ES_tradnl"/>
        </w:rPr>
        <w:t>Winston Andrés Martínez Acosta</w:t>
      </w:r>
    </w:p>
    <w:p w14:paraId="23B5F9C9" w14:textId="7BD7A9AB" w:rsidR="00940DBD" w:rsidRPr="00A572F4" w:rsidRDefault="00940DBD" w:rsidP="00940DBD">
      <w:pPr>
        <w:jc w:val="both"/>
        <w:rPr>
          <w:rFonts w:ascii="Arial" w:eastAsia="Calibri" w:hAnsi="Arial" w:cs="Arial"/>
          <w:bCs/>
          <w:sz w:val="22"/>
          <w:lang w:val="es-ES_tradnl"/>
        </w:rPr>
      </w:pPr>
      <w:r w:rsidRPr="00A572F4">
        <w:rPr>
          <w:rFonts w:ascii="Arial" w:eastAsia="Calibri" w:hAnsi="Arial" w:cs="Arial"/>
          <w:bCs/>
          <w:sz w:val="22"/>
          <w:lang w:val="es-ES_tradnl"/>
        </w:rPr>
        <w:t>Secretario General</w:t>
      </w:r>
    </w:p>
    <w:p w14:paraId="10EF67AD" w14:textId="6B924DFE" w:rsidR="007D24F0" w:rsidRPr="00A572F4" w:rsidRDefault="00940DBD" w:rsidP="00940DBD">
      <w:pPr>
        <w:jc w:val="both"/>
        <w:rPr>
          <w:rFonts w:ascii="Arial" w:eastAsia="Calibri" w:hAnsi="Arial" w:cs="Arial"/>
          <w:sz w:val="22"/>
          <w:lang w:val="es-ES_tradnl"/>
        </w:rPr>
      </w:pPr>
      <w:r w:rsidRPr="00A572F4">
        <w:rPr>
          <w:rFonts w:ascii="Arial" w:eastAsia="Calibri" w:hAnsi="Arial" w:cs="Arial"/>
          <w:sz w:val="22"/>
          <w:lang w:val="es-ES_tradnl"/>
        </w:rPr>
        <w:t>Unidad Administrativa Especial Migración Colombia</w:t>
      </w:r>
    </w:p>
    <w:p w14:paraId="09D4AEA8" w14:textId="62B1A724" w:rsidR="00B95C30" w:rsidRPr="00A572F4" w:rsidRDefault="00903679" w:rsidP="00EB2ED0">
      <w:pPr>
        <w:jc w:val="both"/>
        <w:rPr>
          <w:rFonts w:ascii="Arial" w:eastAsia="Calibri" w:hAnsi="Arial" w:cs="Arial"/>
          <w:sz w:val="22"/>
          <w:lang w:val="es-ES_tradnl"/>
        </w:rPr>
      </w:pPr>
      <w:r w:rsidRPr="00A572F4">
        <w:rPr>
          <w:rFonts w:ascii="Arial" w:eastAsia="Calibri" w:hAnsi="Arial" w:cs="Arial"/>
          <w:sz w:val="22"/>
          <w:lang w:val="es-ES_tradnl"/>
        </w:rPr>
        <w:t>Bogotá D.C.</w:t>
      </w:r>
    </w:p>
    <w:p w14:paraId="48E36FCF" w14:textId="26F8F950" w:rsidR="00F53F4F" w:rsidRDefault="00F53F4F" w:rsidP="00EB2ED0">
      <w:pPr>
        <w:jc w:val="both"/>
        <w:rPr>
          <w:rFonts w:ascii="Arial" w:eastAsia="Calibri" w:hAnsi="Arial" w:cs="Arial"/>
          <w:sz w:val="22"/>
          <w:lang w:val="es-ES_tradnl"/>
        </w:rPr>
      </w:pPr>
    </w:p>
    <w:p w14:paraId="38813101" w14:textId="77777777" w:rsidR="00D274C5" w:rsidRPr="00A572F4" w:rsidRDefault="00D274C5" w:rsidP="00EB2ED0">
      <w:pPr>
        <w:jc w:val="both"/>
        <w:rPr>
          <w:rFonts w:ascii="Arial" w:eastAsia="Calibri" w:hAnsi="Arial" w:cs="Arial"/>
          <w:sz w:val="22"/>
          <w:lang w:val="es-ES_tradnl"/>
        </w:rPr>
      </w:pPr>
    </w:p>
    <w:p w14:paraId="12E66182" w14:textId="6B3FF6DF" w:rsidR="00B95C30" w:rsidRPr="00A572F4" w:rsidRDefault="00F53F4F" w:rsidP="00EB2ED0">
      <w:pPr>
        <w:rPr>
          <w:rFonts w:ascii="Arial" w:eastAsia="Calibri" w:hAnsi="Arial" w:cs="Arial"/>
          <w:b/>
          <w:bCs/>
          <w:sz w:val="22"/>
          <w:lang w:val="es-ES_tradnl"/>
        </w:rPr>
      </w:pPr>
      <w:r w:rsidRPr="00A572F4">
        <w:rPr>
          <w:rFonts w:ascii="Arial" w:eastAsia="Calibri" w:hAnsi="Arial" w:cs="Arial"/>
          <w:b/>
          <w:bCs/>
          <w:sz w:val="22"/>
          <w:lang w:val="es-ES_tradnl"/>
        </w:rPr>
        <w:t xml:space="preserve">                                            </w:t>
      </w:r>
      <w:r w:rsidR="00B95C30" w:rsidRPr="00A572F4">
        <w:rPr>
          <w:rFonts w:ascii="Arial" w:eastAsia="Calibri" w:hAnsi="Arial" w:cs="Arial"/>
          <w:b/>
          <w:bCs/>
          <w:sz w:val="22"/>
          <w:lang w:val="es-ES_tradnl"/>
        </w:rPr>
        <w:t xml:space="preserve">Concepto C ‒ </w:t>
      </w:r>
      <w:r w:rsidR="00940DBD" w:rsidRPr="00A572F4">
        <w:rPr>
          <w:rFonts w:ascii="Arial" w:eastAsia="Calibri" w:hAnsi="Arial" w:cs="Arial"/>
          <w:b/>
          <w:bCs/>
          <w:sz w:val="22"/>
          <w:lang w:val="es-ES_tradnl"/>
        </w:rPr>
        <w:t>397</w:t>
      </w:r>
      <w:r w:rsidR="00B95C30" w:rsidRPr="00A572F4">
        <w:rPr>
          <w:rFonts w:ascii="Arial" w:eastAsia="Calibri" w:hAnsi="Arial" w:cs="Arial"/>
          <w:b/>
          <w:bCs/>
          <w:sz w:val="22"/>
          <w:lang w:val="es-ES_tradnl"/>
        </w:rPr>
        <w:t xml:space="preserve"> de 202</w:t>
      </w:r>
      <w:r w:rsidR="005E781C" w:rsidRPr="00A572F4">
        <w:rPr>
          <w:rFonts w:ascii="Arial" w:eastAsia="Calibri" w:hAnsi="Arial" w:cs="Arial"/>
          <w:b/>
          <w:bCs/>
          <w:sz w:val="22"/>
          <w:lang w:val="es-ES_tradnl"/>
        </w:rPr>
        <w:t>1</w:t>
      </w:r>
    </w:p>
    <w:p w14:paraId="1BD594F9" w14:textId="77777777" w:rsidR="00B95C30" w:rsidRPr="00A572F4"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72F4" w:rsidRPr="00A572F4" w14:paraId="19DFC051" w14:textId="77777777" w:rsidTr="008F4163">
        <w:tc>
          <w:tcPr>
            <w:tcW w:w="2689" w:type="dxa"/>
          </w:tcPr>
          <w:p w14:paraId="6BC0D1AC" w14:textId="77777777" w:rsidR="00B95C30" w:rsidRPr="00A572F4" w:rsidRDefault="00B95C30" w:rsidP="00EB2ED0">
            <w:pPr>
              <w:jc w:val="both"/>
              <w:rPr>
                <w:rFonts w:ascii="Arial" w:eastAsia="Calibri" w:hAnsi="Arial" w:cs="Arial"/>
                <w:sz w:val="22"/>
                <w:lang w:val="es-ES_tradnl"/>
              </w:rPr>
            </w:pPr>
            <w:r w:rsidRPr="00A572F4">
              <w:rPr>
                <w:rFonts w:ascii="Arial" w:eastAsia="Calibri" w:hAnsi="Arial" w:cs="Arial"/>
                <w:b/>
                <w:sz w:val="22"/>
                <w:lang w:val="es-ES_tradnl"/>
              </w:rPr>
              <w:t>Temas:</w:t>
            </w:r>
            <w:r w:rsidRPr="00A572F4">
              <w:rPr>
                <w:rFonts w:ascii="Arial" w:eastAsia="Calibri" w:hAnsi="Arial" w:cs="Arial"/>
                <w:sz w:val="22"/>
                <w:lang w:val="es-ES_tradnl"/>
              </w:rPr>
              <w:t xml:space="preserve">                                      </w:t>
            </w:r>
          </w:p>
        </w:tc>
        <w:tc>
          <w:tcPr>
            <w:tcW w:w="6237" w:type="dxa"/>
          </w:tcPr>
          <w:p w14:paraId="5F389CAF" w14:textId="3023F78F" w:rsidR="00B95C30" w:rsidRPr="00A572F4" w:rsidRDefault="00681C78" w:rsidP="00EB2ED0">
            <w:pPr>
              <w:jc w:val="both"/>
              <w:rPr>
                <w:rFonts w:ascii="Arial" w:eastAsia="Calibri" w:hAnsi="Arial" w:cs="Arial"/>
                <w:sz w:val="22"/>
                <w:lang w:val="es-ES_tradnl"/>
              </w:rPr>
            </w:pPr>
            <w:r w:rsidRPr="00A572F4">
              <w:rPr>
                <w:rFonts w:ascii="Arial" w:eastAsia="Calibri" w:hAnsi="Arial" w:cs="Arial"/>
                <w:bCs/>
                <w:sz w:val="22"/>
                <w:lang w:val="es-ES_tradnl"/>
              </w:rPr>
              <w:t>LEY DE EMPRENDIMIENTO – Ley 2069 de 2020 – Vigencia / INTERVENCIÓN DEL REGLAMENTO – Ley 2069 de 2020 – Aplicación directa / MIPYMES – Ley 2069 – Artículo 34 – Convocatorias limitadas – Vigencia / PROMOCIÓN DEL DESARROLLO – Contratación estatal – Ley 2069 – Artículo 34 – Subrogación / FACTORES DE DESEMPATE ¬– Mínima cuantía – Subasta inversa – Ley 2069 de 2020 – Factores de desempate – Aplicación – Puntaje</w:t>
            </w:r>
          </w:p>
        </w:tc>
      </w:tr>
      <w:tr w:rsidR="00A572F4" w:rsidRPr="00A572F4" w14:paraId="27CD52AB" w14:textId="77777777" w:rsidTr="008F4163">
        <w:tc>
          <w:tcPr>
            <w:tcW w:w="2689" w:type="dxa"/>
          </w:tcPr>
          <w:p w14:paraId="37E195A1" w14:textId="1BA218D5" w:rsidR="00B95C30" w:rsidRPr="00A572F4" w:rsidRDefault="00B95C30" w:rsidP="00EB2ED0">
            <w:pPr>
              <w:spacing w:before="120"/>
              <w:jc w:val="both"/>
              <w:rPr>
                <w:rFonts w:ascii="Arial" w:eastAsia="Calibri" w:hAnsi="Arial" w:cs="Arial"/>
                <w:b/>
                <w:sz w:val="22"/>
                <w:lang w:val="es-ES_tradnl"/>
              </w:rPr>
            </w:pPr>
            <w:r w:rsidRPr="00A572F4">
              <w:rPr>
                <w:rFonts w:ascii="Arial" w:eastAsia="Calibri" w:hAnsi="Arial" w:cs="Arial"/>
                <w:b/>
                <w:sz w:val="22"/>
                <w:lang w:val="es-ES_tradnl"/>
              </w:rPr>
              <w:t>Radicación:</w:t>
            </w:r>
            <w:r w:rsidRPr="00A572F4">
              <w:rPr>
                <w:rFonts w:ascii="Arial" w:eastAsia="Calibri" w:hAnsi="Arial" w:cs="Arial"/>
                <w:sz w:val="22"/>
                <w:lang w:val="es-ES_tradnl"/>
              </w:rPr>
              <w:t xml:space="preserve">                              </w:t>
            </w:r>
          </w:p>
        </w:tc>
        <w:tc>
          <w:tcPr>
            <w:tcW w:w="6237" w:type="dxa"/>
          </w:tcPr>
          <w:p w14:paraId="09088B1B" w14:textId="729FF600" w:rsidR="00B95C30" w:rsidRPr="00A572F4" w:rsidRDefault="00B95C30" w:rsidP="00EB2ED0">
            <w:pPr>
              <w:spacing w:before="120"/>
              <w:jc w:val="both"/>
              <w:rPr>
                <w:rFonts w:ascii="Arial" w:eastAsia="Calibri" w:hAnsi="Arial" w:cs="Arial"/>
                <w:sz w:val="22"/>
                <w:lang w:val="es-ES_tradnl"/>
              </w:rPr>
            </w:pPr>
            <w:r w:rsidRPr="00A572F4">
              <w:rPr>
                <w:rFonts w:ascii="Arial" w:eastAsia="Calibri" w:hAnsi="Arial" w:cs="Arial"/>
                <w:sz w:val="22"/>
                <w:lang w:val="es-ES_tradnl"/>
              </w:rPr>
              <w:t xml:space="preserve">Respuesta a consulta # </w:t>
            </w:r>
            <w:r w:rsidR="00940DBD" w:rsidRPr="00A572F4">
              <w:rPr>
                <w:rFonts w:ascii="Arial" w:eastAsia="Calibri" w:hAnsi="Arial" w:cs="Arial"/>
                <w:sz w:val="22"/>
                <w:lang w:val="es-ES_tradnl"/>
              </w:rPr>
              <w:t>P20210624005547</w:t>
            </w:r>
          </w:p>
        </w:tc>
      </w:tr>
    </w:tbl>
    <w:p w14:paraId="61B55CA4" w14:textId="77777777" w:rsidR="00716BB0" w:rsidRPr="00A572F4" w:rsidRDefault="00716BB0" w:rsidP="00EB2ED0">
      <w:pPr>
        <w:jc w:val="both"/>
        <w:rPr>
          <w:rFonts w:ascii="Arial" w:eastAsia="Calibri" w:hAnsi="Arial" w:cs="Arial"/>
          <w:sz w:val="22"/>
          <w:lang w:val="es-ES_tradnl"/>
        </w:rPr>
      </w:pPr>
    </w:p>
    <w:p w14:paraId="4B9B5156" w14:textId="77777777" w:rsidR="00716BB0" w:rsidRPr="00A572F4" w:rsidRDefault="00716BB0" w:rsidP="00EB2ED0">
      <w:pPr>
        <w:jc w:val="both"/>
        <w:rPr>
          <w:rFonts w:ascii="Arial" w:eastAsia="Calibri" w:hAnsi="Arial" w:cs="Arial"/>
          <w:sz w:val="22"/>
          <w:lang w:val="es-ES_tradnl"/>
        </w:rPr>
      </w:pPr>
    </w:p>
    <w:p w14:paraId="1CF4AEA0" w14:textId="2EA29038" w:rsidR="003C3339" w:rsidRPr="00A572F4" w:rsidRDefault="003C3339" w:rsidP="00EB2ED0">
      <w:pPr>
        <w:jc w:val="both"/>
        <w:rPr>
          <w:rFonts w:ascii="Arial" w:eastAsia="Calibri" w:hAnsi="Arial" w:cs="Arial"/>
          <w:sz w:val="22"/>
          <w:lang w:val="es-ES_tradnl"/>
        </w:rPr>
      </w:pPr>
      <w:r w:rsidRPr="00A572F4">
        <w:rPr>
          <w:rFonts w:ascii="Arial" w:eastAsia="Calibri" w:hAnsi="Arial" w:cs="Arial"/>
          <w:sz w:val="22"/>
          <w:lang w:val="es-ES_tradnl"/>
        </w:rPr>
        <w:t>Estimad</w:t>
      </w:r>
      <w:r w:rsidR="00940DBD" w:rsidRPr="00A572F4">
        <w:rPr>
          <w:rFonts w:ascii="Arial" w:eastAsia="Calibri" w:hAnsi="Arial" w:cs="Arial"/>
          <w:sz w:val="22"/>
          <w:lang w:val="es-ES_tradnl"/>
        </w:rPr>
        <w:t>o</w:t>
      </w:r>
      <w:r w:rsidRPr="00A572F4">
        <w:rPr>
          <w:rFonts w:ascii="Arial" w:eastAsia="Calibri" w:hAnsi="Arial" w:cs="Arial"/>
          <w:sz w:val="22"/>
          <w:lang w:val="es-ES_tradnl"/>
        </w:rPr>
        <w:t xml:space="preserve"> </w:t>
      </w:r>
      <w:r w:rsidR="009D23D3" w:rsidRPr="00A572F4">
        <w:rPr>
          <w:rFonts w:ascii="Arial" w:eastAsia="Calibri" w:hAnsi="Arial" w:cs="Arial"/>
          <w:sz w:val="22"/>
          <w:lang w:val="es-ES_tradnl"/>
        </w:rPr>
        <w:t>Doctor</w:t>
      </w:r>
      <w:r w:rsidR="00BE4FBF" w:rsidRPr="00A572F4">
        <w:rPr>
          <w:rFonts w:ascii="Arial" w:eastAsia="Calibri" w:hAnsi="Arial" w:cs="Arial"/>
          <w:sz w:val="22"/>
          <w:lang w:val="es-ES_tradnl"/>
        </w:rPr>
        <w:t xml:space="preserve"> </w:t>
      </w:r>
      <w:r w:rsidR="00940DBD" w:rsidRPr="00A572F4">
        <w:rPr>
          <w:rFonts w:ascii="Arial" w:eastAsia="Calibri" w:hAnsi="Arial" w:cs="Arial"/>
          <w:sz w:val="22"/>
          <w:lang w:val="es-ES_tradnl"/>
        </w:rPr>
        <w:t>Martínez</w:t>
      </w:r>
      <w:r w:rsidRPr="00A572F4">
        <w:rPr>
          <w:rFonts w:ascii="Arial" w:eastAsia="Calibri" w:hAnsi="Arial" w:cs="Arial"/>
          <w:sz w:val="22"/>
          <w:lang w:val="es-ES_tradnl"/>
        </w:rPr>
        <w:t>:</w:t>
      </w:r>
    </w:p>
    <w:p w14:paraId="1EAE5543" w14:textId="77777777" w:rsidR="00DD5B04" w:rsidRPr="00A572F4" w:rsidRDefault="00DD5B04" w:rsidP="00EB2ED0">
      <w:pPr>
        <w:jc w:val="both"/>
        <w:rPr>
          <w:rFonts w:ascii="Arial" w:eastAsia="Calibri" w:hAnsi="Arial" w:cs="Arial"/>
          <w:sz w:val="22"/>
          <w:lang w:val="es-ES_tradnl"/>
        </w:rPr>
      </w:pPr>
    </w:p>
    <w:p w14:paraId="2109B2D3" w14:textId="763ABE65" w:rsidR="00DD5B04" w:rsidRPr="00A572F4" w:rsidRDefault="00DD5B04" w:rsidP="00EB2ED0">
      <w:pPr>
        <w:spacing w:line="276" w:lineRule="auto"/>
        <w:jc w:val="both"/>
        <w:rPr>
          <w:rFonts w:ascii="Arial" w:eastAsia="Calibri" w:hAnsi="Arial" w:cs="Arial"/>
          <w:sz w:val="22"/>
          <w:lang w:val="es-ES_tradnl"/>
        </w:rPr>
      </w:pPr>
      <w:r w:rsidRPr="00A572F4">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572F4">
        <w:rPr>
          <w:rFonts w:ascii="Arial" w:eastAsia="Calibri" w:hAnsi="Arial" w:cs="Arial"/>
          <w:sz w:val="22"/>
          <w:lang w:val="es-ES_tradnl"/>
        </w:rPr>
        <w:t xml:space="preserve"> </w:t>
      </w:r>
      <w:r w:rsidRPr="00A572F4">
        <w:rPr>
          <w:rFonts w:ascii="Arial" w:eastAsia="Calibri" w:hAnsi="Arial" w:cs="Arial"/>
          <w:sz w:val="22"/>
          <w:lang w:val="es-ES_tradnl"/>
        </w:rPr>
        <w:t xml:space="preserve">responde su consulta del </w:t>
      </w:r>
      <w:r w:rsidR="00940DBD" w:rsidRPr="00A572F4">
        <w:rPr>
          <w:rFonts w:ascii="Arial" w:eastAsia="Calibri" w:hAnsi="Arial" w:cs="Arial"/>
          <w:sz w:val="22"/>
          <w:lang w:val="es-ES_tradnl"/>
        </w:rPr>
        <w:t xml:space="preserve">24 </w:t>
      </w:r>
      <w:r w:rsidR="00FD4AF3" w:rsidRPr="00A572F4">
        <w:rPr>
          <w:rFonts w:ascii="Arial" w:eastAsia="Calibri" w:hAnsi="Arial" w:cs="Arial"/>
          <w:sz w:val="22"/>
          <w:lang w:val="es-ES_tradnl"/>
        </w:rPr>
        <w:t xml:space="preserve">de </w:t>
      </w:r>
      <w:r w:rsidR="00940DBD" w:rsidRPr="00A572F4">
        <w:rPr>
          <w:rFonts w:ascii="Arial" w:eastAsia="Calibri" w:hAnsi="Arial" w:cs="Arial"/>
          <w:sz w:val="22"/>
          <w:lang w:val="es-ES_tradnl"/>
        </w:rPr>
        <w:t>junio</w:t>
      </w:r>
      <w:r w:rsidRPr="00A572F4">
        <w:rPr>
          <w:rFonts w:ascii="Arial" w:eastAsia="Calibri" w:hAnsi="Arial" w:cs="Arial"/>
          <w:sz w:val="22"/>
          <w:lang w:val="es-ES_tradnl"/>
        </w:rPr>
        <w:t xml:space="preserve"> de</w:t>
      </w:r>
      <w:r w:rsidR="007E74BF" w:rsidRPr="00A572F4">
        <w:rPr>
          <w:rFonts w:ascii="Arial" w:eastAsia="Calibri" w:hAnsi="Arial" w:cs="Arial"/>
          <w:sz w:val="22"/>
          <w:lang w:val="es-ES_tradnl"/>
        </w:rPr>
        <w:t xml:space="preserve"> </w:t>
      </w:r>
      <w:r w:rsidRPr="00A572F4">
        <w:rPr>
          <w:rFonts w:ascii="Arial" w:eastAsia="Calibri" w:hAnsi="Arial" w:cs="Arial"/>
          <w:sz w:val="22"/>
          <w:lang w:val="es-ES_tradnl"/>
        </w:rPr>
        <w:t>202</w:t>
      </w:r>
      <w:r w:rsidR="00FB0880" w:rsidRPr="00A572F4">
        <w:rPr>
          <w:rFonts w:ascii="Arial" w:eastAsia="Calibri" w:hAnsi="Arial" w:cs="Arial"/>
          <w:sz w:val="22"/>
          <w:lang w:val="es-ES_tradnl"/>
        </w:rPr>
        <w:t>1</w:t>
      </w:r>
      <w:r w:rsidR="008C3C57" w:rsidRPr="00A572F4">
        <w:rPr>
          <w:rFonts w:ascii="Arial" w:eastAsia="Calibri" w:hAnsi="Arial" w:cs="Arial"/>
          <w:sz w:val="22"/>
          <w:lang w:val="es-ES_tradnl"/>
        </w:rPr>
        <w:t>.</w:t>
      </w:r>
      <w:r w:rsidR="009013B8" w:rsidRPr="00A572F4">
        <w:rPr>
          <w:rFonts w:ascii="Arial" w:eastAsia="Calibri" w:hAnsi="Arial" w:cs="Arial"/>
          <w:sz w:val="22"/>
          <w:lang w:val="es-ES_tradnl"/>
        </w:rPr>
        <w:t xml:space="preserve"> </w:t>
      </w:r>
    </w:p>
    <w:p w14:paraId="0C1E0712" w14:textId="77777777" w:rsidR="00DD5B04" w:rsidRPr="00A572F4" w:rsidRDefault="00DD5B04" w:rsidP="00EB2ED0">
      <w:pPr>
        <w:jc w:val="both"/>
        <w:rPr>
          <w:rFonts w:ascii="Arial" w:eastAsia="Calibri" w:hAnsi="Arial" w:cs="Arial"/>
          <w:bCs/>
          <w:sz w:val="22"/>
          <w:lang w:val="es-ES_tradnl"/>
        </w:rPr>
      </w:pPr>
    </w:p>
    <w:p w14:paraId="7701FCC7" w14:textId="77777777" w:rsidR="00DD5B04" w:rsidRPr="00A572F4"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A572F4">
        <w:rPr>
          <w:rFonts w:ascii="Arial" w:eastAsia="Calibri" w:hAnsi="Arial" w:cs="Arial"/>
          <w:b/>
          <w:sz w:val="22"/>
          <w:lang w:val="es-ES_tradnl"/>
        </w:rPr>
        <w:t xml:space="preserve">Problema planteado </w:t>
      </w:r>
    </w:p>
    <w:p w14:paraId="224B43D3" w14:textId="77777777" w:rsidR="00DD5B04" w:rsidRPr="00A572F4" w:rsidRDefault="00DD5B04" w:rsidP="00EB2ED0">
      <w:pPr>
        <w:tabs>
          <w:tab w:val="left" w:pos="426"/>
        </w:tabs>
        <w:jc w:val="both"/>
        <w:rPr>
          <w:rFonts w:ascii="Arial" w:eastAsia="Calibri" w:hAnsi="Arial" w:cs="Arial"/>
          <w:bCs/>
          <w:sz w:val="22"/>
          <w:lang w:val="es-ES_tradnl"/>
        </w:rPr>
      </w:pPr>
    </w:p>
    <w:p w14:paraId="61BDE6CD" w14:textId="05905506" w:rsidR="009E2103" w:rsidRPr="00A572F4" w:rsidRDefault="00D03AD6" w:rsidP="00EB2ED0">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Respecto a la</w:t>
      </w:r>
      <w:r w:rsidR="00940DBD" w:rsidRPr="00A572F4">
        <w:rPr>
          <w:rFonts w:ascii="Arial" w:hAnsi="Arial" w:cs="Arial"/>
          <w:sz w:val="22"/>
          <w:szCs w:val="22"/>
          <w:lang w:val="es-ES_tradnl"/>
        </w:rPr>
        <w:t xml:space="preserve"> Ley 2069 de 2020</w:t>
      </w:r>
      <w:r>
        <w:rPr>
          <w:rFonts w:ascii="Arial" w:hAnsi="Arial" w:cs="Arial"/>
          <w:sz w:val="22"/>
          <w:szCs w:val="22"/>
          <w:lang w:val="es-ES_tradnl"/>
        </w:rPr>
        <w:t>, usted realiza la siguiente pregunta</w:t>
      </w:r>
      <w:r w:rsidR="00B422C0" w:rsidRPr="00A572F4">
        <w:rPr>
          <w:rFonts w:ascii="Arial" w:hAnsi="Arial" w:cs="Arial"/>
          <w:sz w:val="22"/>
          <w:szCs w:val="22"/>
          <w:lang w:val="es-ES_tradnl"/>
        </w:rPr>
        <w:t>:</w:t>
      </w:r>
      <w:r w:rsidR="000B56F9" w:rsidRPr="00A572F4">
        <w:rPr>
          <w:rFonts w:ascii="Arial" w:hAnsi="Arial" w:cs="Arial"/>
          <w:sz w:val="22"/>
          <w:szCs w:val="22"/>
          <w:lang w:val="es-ES_tradnl"/>
        </w:rPr>
        <w:t xml:space="preserve"> </w:t>
      </w:r>
    </w:p>
    <w:p w14:paraId="7D52454A" w14:textId="77777777" w:rsidR="009E2103" w:rsidRPr="00A572F4" w:rsidRDefault="009E2103" w:rsidP="00EB2ED0">
      <w:pPr>
        <w:autoSpaceDE w:val="0"/>
        <w:autoSpaceDN w:val="0"/>
        <w:adjustRightInd w:val="0"/>
        <w:jc w:val="both"/>
        <w:rPr>
          <w:rFonts w:ascii="Arial" w:hAnsi="Arial" w:cs="Arial"/>
          <w:sz w:val="22"/>
          <w:szCs w:val="22"/>
          <w:lang w:val="es-ES_tradnl"/>
        </w:rPr>
      </w:pPr>
    </w:p>
    <w:p w14:paraId="07FC3B51" w14:textId="0D1A6B86" w:rsidR="00940DBD" w:rsidRPr="00940DBD" w:rsidRDefault="000B56F9" w:rsidP="00940DBD">
      <w:pPr>
        <w:pStyle w:val="Default"/>
        <w:ind w:left="709" w:right="709"/>
        <w:jc w:val="both"/>
        <w:rPr>
          <w:color w:val="auto"/>
          <w:sz w:val="21"/>
          <w:szCs w:val="21"/>
        </w:rPr>
      </w:pPr>
      <w:r w:rsidRPr="00A572F4">
        <w:rPr>
          <w:color w:val="auto"/>
          <w:sz w:val="21"/>
          <w:szCs w:val="21"/>
          <w:lang w:val="es-ES_tradnl"/>
        </w:rPr>
        <w:t>«</w:t>
      </w:r>
      <w:r w:rsidR="00940DBD" w:rsidRPr="00A572F4">
        <w:rPr>
          <w:color w:val="auto"/>
          <w:sz w:val="21"/>
          <w:szCs w:val="21"/>
          <w:lang w:val="es-ES_tradnl"/>
        </w:rPr>
        <w:t>[…]</w:t>
      </w:r>
      <w:r w:rsidR="00940DBD" w:rsidRPr="00A572F4">
        <w:rPr>
          <w:color w:val="auto"/>
          <w:sz w:val="21"/>
          <w:szCs w:val="21"/>
        </w:rPr>
        <w:t xml:space="preserve"> </w:t>
      </w:r>
      <w:r w:rsidR="00940DBD" w:rsidRPr="00940DBD">
        <w:rPr>
          <w:color w:val="auto"/>
          <w:sz w:val="21"/>
          <w:szCs w:val="21"/>
        </w:rPr>
        <w:t xml:space="preserve">1. Tratándose de procesos en los cuales por su naturaleza son susceptibles de ser limitados a </w:t>
      </w:r>
      <w:proofErr w:type="spellStart"/>
      <w:r w:rsidR="00940DBD" w:rsidRPr="00940DBD">
        <w:rPr>
          <w:color w:val="auto"/>
          <w:sz w:val="21"/>
          <w:szCs w:val="21"/>
        </w:rPr>
        <w:t>Mipymes</w:t>
      </w:r>
      <w:proofErr w:type="spellEnd"/>
      <w:r w:rsidR="00940DBD" w:rsidRPr="00940DBD">
        <w:rPr>
          <w:color w:val="auto"/>
          <w:sz w:val="21"/>
          <w:szCs w:val="21"/>
        </w:rPr>
        <w:t xml:space="preserve"> y de acuerdo a la cuantía de la contratación establecida por el Ministerio de Comercio </w:t>
      </w:r>
      <w:proofErr w:type="gramStart"/>
      <w:r w:rsidR="00940DBD" w:rsidRPr="00940DBD">
        <w:rPr>
          <w:color w:val="auto"/>
          <w:sz w:val="21"/>
          <w:szCs w:val="21"/>
        </w:rPr>
        <w:t>¿Se debe aplicar lo dispuesto en el artículo 2</w:t>
      </w:r>
      <w:r w:rsidR="00FD0865">
        <w:rPr>
          <w:color w:val="auto"/>
          <w:sz w:val="21"/>
          <w:szCs w:val="21"/>
        </w:rPr>
        <w:t>.</w:t>
      </w:r>
      <w:proofErr w:type="gramEnd"/>
      <w:r w:rsidR="00940DBD" w:rsidRPr="00940DBD">
        <w:rPr>
          <w:color w:val="auto"/>
          <w:sz w:val="21"/>
          <w:szCs w:val="21"/>
        </w:rPr>
        <w:t xml:space="preserve">2.1.2.4.2.2. del Decreto 1082 del 2015, o a lo dispuesto por la ley 2069 del 2020? </w:t>
      </w:r>
      <w:proofErr w:type="gramStart"/>
      <w:r w:rsidR="00940DBD" w:rsidRPr="00940DBD">
        <w:rPr>
          <w:color w:val="auto"/>
          <w:sz w:val="21"/>
          <w:szCs w:val="21"/>
        </w:rPr>
        <w:t>¿Qué sucede con la vigencia del artículo 2.</w:t>
      </w:r>
      <w:proofErr w:type="gramEnd"/>
      <w:r w:rsidR="00940DBD" w:rsidRPr="00940DBD">
        <w:rPr>
          <w:color w:val="auto"/>
          <w:sz w:val="21"/>
          <w:szCs w:val="21"/>
        </w:rPr>
        <w:t xml:space="preserve">2.1.2.4.2.2. del Decreto 1082 de 2015? </w:t>
      </w:r>
    </w:p>
    <w:p w14:paraId="727C3916" w14:textId="77777777" w:rsidR="00940DBD" w:rsidRPr="00940DBD" w:rsidRDefault="00940DBD" w:rsidP="00940DBD">
      <w:pPr>
        <w:autoSpaceDE w:val="0"/>
        <w:autoSpaceDN w:val="0"/>
        <w:adjustRightInd w:val="0"/>
        <w:ind w:left="709" w:right="709"/>
        <w:jc w:val="both"/>
        <w:rPr>
          <w:rFonts w:ascii="Arial" w:eastAsiaTheme="minorHAnsi" w:hAnsi="Arial" w:cs="Arial"/>
          <w:sz w:val="21"/>
          <w:szCs w:val="21"/>
          <w:lang w:eastAsia="en-US"/>
        </w:rPr>
      </w:pPr>
    </w:p>
    <w:p w14:paraId="79D0132C" w14:textId="1C05F8BD" w:rsidR="004275A7" w:rsidRPr="00A572F4" w:rsidRDefault="00940DBD" w:rsidP="00940DBD">
      <w:pPr>
        <w:autoSpaceDE w:val="0"/>
        <w:autoSpaceDN w:val="0"/>
        <w:adjustRightInd w:val="0"/>
        <w:ind w:left="709" w:right="709"/>
        <w:jc w:val="both"/>
        <w:rPr>
          <w:rFonts w:ascii="Arial" w:hAnsi="Arial" w:cs="Arial"/>
          <w:sz w:val="21"/>
          <w:szCs w:val="21"/>
          <w:lang w:val="es-ES_tradnl"/>
        </w:rPr>
      </w:pPr>
      <w:r w:rsidRPr="00940DBD">
        <w:rPr>
          <w:rFonts w:ascii="Arial" w:eastAsiaTheme="minorHAnsi" w:hAnsi="Arial" w:cs="Arial"/>
          <w:sz w:val="21"/>
          <w:szCs w:val="21"/>
          <w:lang w:eastAsia="en-US"/>
        </w:rPr>
        <w:lastRenderedPageBreak/>
        <w:t>2. En los procesos de contratación a los cuales no le son aplicables el factor de puntaje (mínima cuantía y selección abreviada de subasta inversa), ¿son susceptibles de incorporar dentro de la correspondiente invitación y pliego de condiciones, respectivamente, los factores de desempate contenido en el artículo 35 de la ley 2069 de 2020?, o si por con contrario, al no ser procesos que cuenten con factor de puntaje, ¿El mecanismo de desempate se sigue conservando de acuerdo a los criterios de desempate que se venían manejando antes de la entrega en vigencia de la ley 2069 de 2020?</w:t>
      </w:r>
      <w:r w:rsidRPr="00A572F4">
        <w:rPr>
          <w:rFonts w:ascii="Arial" w:eastAsiaTheme="minorHAnsi" w:hAnsi="Arial" w:cs="Arial"/>
          <w:sz w:val="21"/>
          <w:szCs w:val="21"/>
          <w:lang w:eastAsia="en-US"/>
        </w:rPr>
        <w:t xml:space="preserve">» </w:t>
      </w:r>
      <w:r w:rsidR="00055A41" w:rsidRPr="00A572F4">
        <w:rPr>
          <w:rFonts w:ascii="Arial" w:eastAsiaTheme="minorHAnsi" w:hAnsi="Arial" w:cs="Arial"/>
          <w:sz w:val="21"/>
          <w:szCs w:val="21"/>
          <w:lang w:eastAsia="en-US"/>
        </w:rPr>
        <w:t>[sic].</w:t>
      </w:r>
    </w:p>
    <w:p w14:paraId="3830C92C" w14:textId="77777777" w:rsidR="00507066" w:rsidRPr="00A572F4" w:rsidRDefault="00507066" w:rsidP="00EB2ED0">
      <w:pPr>
        <w:spacing w:line="276" w:lineRule="auto"/>
        <w:ind w:left="709" w:right="709"/>
        <w:jc w:val="both"/>
        <w:rPr>
          <w:rFonts w:ascii="Arial" w:hAnsi="Arial" w:cs="Arial"/>
          <w:sz w:val="22"/>
          <w:szCs w:val="22"/>
          <w:lang w:val="es-ES_tradnl"/>
        </w:rPr>
      </w:pPr>
    </w:p>
    <w:p w14:paraId="124D2DCA" w14:textId="77777777" w:rsidR="00DD5B04" w:rsidRPr="00A572F4"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572F4">
        <w:rPr>
          <w:rFonts w:ascii="Arial" w:eastAsia="Calibri" w:hAnsi="Arial" w:cs="Arial"/>
          <w:b/>
          <w:sz w:val="22"/>
          <w:lang w:val="es-ES_tradnl"/>
        </w:rPr>
        <w:t>Consideraciones</w:t>
      </w:r>
    </w:p>
    <w:p w14:paraId="7D050D2E" w14:textId="77777777" w:rsidR="00435703" w:rsidRPr="00A572F4" w:rsidRDefault="00435703" w:rsidP="00EB2ED0">
      <w:pPr>
        <w:jc w:val="both"/>
        <w:rPr>
          <w:rFonts w:ascii="Arial" w:eastAsia="Calibri" w:hAnsi="Arial" w:cs="Arial"/>
          <w:sz w:val="22"/>
          <w:szCs w:val="22"/>
          <w:lang w:val="es-ES_tradnl"/>
        </w:rPr>
      </w:pPr>
    </w:p>
    <w:p w14:paraId="79515D69" w14:textId="1971D9EF" w:rsidR="00212BC8" w:rsidRPr="00A572F4" w:rsidRDefault="008E30C4" w:rsidP="00EB2ED0">
      <w:pPr>
        <w:spacing w:line="276" w:lineRule="auto"/>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La Subdirección de Gestión Contractual responderá </w:t>
      </w:r>
      <w:r w:rsidR="00271230" w:rsidRPr="00A572F4">
        <w:rPr>
          <w:rFonts w:ascii="Arial" w:eastAsia="Calibri" w:hAnsi="Arial" w:cs="Arial"/>
          <w:sz w:val="22"/>
          <w:szCs w:val="22"/>
          <w:lang w:val="es-ES_tradnl"/>
        </w:rPr>
        <w:t>la consulta</w:t>
      </w:r>
      <w:r w:rsidRPr="00A572F4">
        <w:rPr>
          <w:rFonts w:ascii="Arial" w:eastAsia="Calibri" w:hAnsi="Arial" w:cs="Arial"/>
          <w:sz w:val="22"/>
          <w:szCs w:val="22"/>
          <w:lang w:val="es-ES_tradnl"/>
        </w:rPr>
        <w:t xml:space="preserve">, </w:t>
      </w:r>
      <w:r w:rsidR="00271230" w:rsidRPr="00A572F4">
        <w:rPr>
          <w:rFonts w:ascii="Arial" w:eastAsia="Calibri" w:hAnsi="Arial" w:cs="Arial"/>
          <w:sz w:val="22"/>
          <w:szCs w:val="22"/>
          <w:lang w:val="es-ES_tradnl"/>
        </w:rPr>
        <w:t>luego de analizar los</w:t>
      </w:r>
      <w:r w:rsidR="00822EC4" w:rsidRPr="00A572F4">
        <w:rPr>
          <w:rFonts w:ascii="Arial" w:eastAsia="Calibri" w:hAnsi="Arial" w:cs="Arial"/>
          <w:sz w:val="22"/>
          <w:szCs w:val="22"/>
          <w:lang w:val="es-ES_tradnl"/>
        </w:rPr>
        <w:t xml:space="preserve"> siguientes temas: </w:t>
      </w:r>
      <w:r w:rsidR="00833ADA" w:rsidRPr="00A572F4">
        <w:rPr>
          <w:rFonts w:ascii="Arial" w:eastAsia="Calibri" w:hAnsi="Arial" w:cs="Arial"/>
          <w:sz w:val="22"/>
          <w:szCs w:val="22"/>
          <w:lang w:val="es-ES_tradnl"/>
        </w:rPr>
        <w:t>i)</w:t>
      </w:r>
      <w:r w:rsidR="008F40DC" w:rsidRPr="00A572F4">
        <w:rPr>
          <w:rFonts w:ascii="Arial" w:eastAsia="Calibri" w:hAnsi="Arial" w:cs="Arial"/>
          <w:sz w:val="22"/>
          <w:szCs w:val="22"/>
          <w:lang w:val="es-ES_tradnl"/>
        </w:rPr>
        <w:t xml:space="preserve"> </w:t>
      </w:r>
      <w:r w:rsidR="00212BC8" w:rsidRPr="00A572F4">
        <w:rPr>
          <w:rFonts w:ascii="Arial" w:eastAsia="Calibri" w:hAnsi="Arial" w:cs="Arial"/>
          <w:sz w:val="22"/>
          <w:szCs w:val="22"/>
          <w:lang w:val="es-ES_tradnl"/>
        </w:rPr>
        <w:t xml:space="preserve">vigencia y ámbito de aplicación de la Ley 2069 de 2020: impacto sobre la contratación estatal; </w:t>
      </w:r>
      <w:proofErr w:type="spellStart"/>
      <w:r w:rsidR="00055A41" w:rsidRPr="00A572F4">
        <w:rPr>
          <w:rFonts w:ascii="Arial" w:eastAsia="Calibri" w:hAnsi="Arial" w:cs="Arial"/>
          <w:sz w:val="22"/>
          <w:szCs w:val="22"/>
          <w:lang w:val="es-ES_tradnl"/>
        </w:rPr>
        <w:t>ii</w:t>
      </w:r>
      <w:proofErr w:type="spellEnd"/>
      <w:r w:rsidR="00055A41" w:rsidRPr="00A572F4">
        <w:rPr>
          <w:rFonts w:ascii="Arial" w:eastAsia="Calibri" w:hAnsi="Arial" w:cs="Arial"/>
          <w:sz w:val="22"/>
          <w:szCs w:val="22"/>
          <w:lang w:val="es-ES_tradnl"/>
        </w:rPr>
        <w:t xml:space="preserve">) </w:t>
      </w:r>
      <w:r w:rsidR="00212BC8" w:rsidRPr="00A572F4">
        <w:rPr>
          <w:rFonts w:ascii="Arial" w:eastAsia="Calibri" w:hAnsi="Arial" w:cs="Arial"/>
          <w:sz w:val="22"/>
          <w:szCs w:val="22"/>
          <w:lang w:val="es-ES_tradnl"/>
        </w:rPr>
        <w:t xml:space="preserve">intervención del reglamento para la efectividad de la Ley 2069 de 2020 en el sistema de compras públicas: la conclusión no es la misma frente a todos los artículos; </w:t>
      </w:r>
      <w:proofErr w:type="spellStart"/>
      <w:r w:rsidR="00212BC8" w:rsidRPr="00A572F4">
        <w:rPr>
          <w:rFonts w:ascii="Arial" w:eastAsia="Calibri" w:hAnsi="Arial" w:cs="Arial"/>
          <w:sz w:val="22"/>
          <w:szCs w:val="22"/>
          <w:lang w:val="es-ES_tradnl"/>
        </w:rPr>
        <w:t>iii</w:t>
      </w:r>
      <w:proofErr w:type="spellEnd"/>
      <w:r w:rsidR="00DA565E" w:rsidRPr="00A572F4">
        <w:rPr>
          <w:rFonts w:ascii="Arial" w:eastAsia="Calibri" w:hAnsi="Arial" w:cs="Arial"/>
          <w:sz w:val="22"/>
          <w:szCs w:val="22"/>
          <w:lang w:val="es-ES_tradnl"/>
        </w:rPr>
        <w:t xml:space="preserve">) nueva regulación de las convocatorias limitadas a </w:t>
      </w:r>
      <w:proofErr w:type="spellStart"/>
      <w:r w:rsidR="00DA565E" w:rsidRPr="00A572F4">
        <w:rPr>
          <w:rFonts w:ascii="Arial" w:eastAsia="Calibri" w:hAnsi="Arial" w:cs="Arial"/>
          <w:sz w:val="22"/>
          <w:szCs w:val="22"/>
          <w:lang w:val="es-ES_tradnl"/>
        </w:rPr>
        <w:t>mipymes</w:t>
      </w:r>
      <w:proofErr w:type="spellEnd"/>
      <w:r w:rsidR="00DA565E" w:rsidRPr="00A572F4">
        <w:rPr>
          <w:rFonts w:ascii="Arial" w:eastAsia="Calibri" w:hAnsi="Arial" w:cs="Arial"/>
          <w:sz w:val="22"/>
          <w:szCs w:val="22"/>
          <w:lang w:val="es-ES_tradnl"/>
        </w:rPr>
        <w:t>: eficacia y alcance de la potestad reglamentaria</w:t>
      </w:r>
      <w:r w:rsidR="00940DBD" w:rsidRPr="00A572F4">
        <w:rPr>
          <w:rFonts w:ascii="Arial" w:eastAsia="Calibri" w:hAnsi="Arial" w:cs="Arial"/>
          <w:sz w:val="22"/>
          <w:szCs w:val="22"/>
          <w:lang w:val="es-ES_tradnl"/>
        </w:rPr>
        <w:t>; y</w:t>
      </w:r>
      <w:r w:rsidR="00212BC8" w:rsidRPr="00A572F4">
        <w:rPr>
          <w:rFonts w:ascii="Arial" w:eastAsia="Calibri" w:hAnsi="Arial" w:cs="Arial"/>
          <w:sz w:val="22"/>
          <w:szCs w:val="22"/>
          <w:lang w:val="es-ES_tradnl"/>
        </w:rPr>
        <w:t xml:space="preserve"> </w:t>
      </w:r>
      <w:r w:rsidR="00940DBD" w:rsidRPr="00A572F4">
        <w:rPr>
          <w:rFonts w:ascii="Arial" w:eastAsia="Calibri" w:hAnsi="Arial" w:cs="Arial"/>
          <w:sz w:val="22"/>
          <w:szCs w:val="22"/>
          <w:lang w:val="es-ES_tradnl"/>
        </w:rPr>
        <w:t xml:space="preserve">v) </w:t>
      </w:r>
      <w:r w:rsidR="00212BC8" w:rsidRPr="00A572F4">
        <w:rPr>
          <w:rFonts w:ascii="Arial" w:eastAsia="Calibri" w:hAnsi="Arial" w:cs="Arial"/>
          <w:sz w:val="22"/>
          <w:szCs w:val="22"/>
          <w:lang w:val="es-ES_tradnl"/>
        </w:rPr>
        <w:t xml:space="preserve">aplicabilidad de los factores de desempate del artículo 35 de la Ley 2069 de 2015 </w:t>
      </w:r>
      <w:r w:rsidR="00940DBD" w:rsidRPr="00A572F4">
        <w:rPr>
          <w:rFonts w:ascii="Arial" w:eastAsia="Calibri" w:hAnsi="Arial" w:cs="Arial"/>
          <w:sz w:val="22"/>
          <w:szCs w:val="22"/>
          <w:lang w:val="es-ES_tradnl"/>
        </w:rPr>
        <w:t>en las modalidades de</w:t>
      </w:r>
      <w:r w:rsidR="00212BC8" w:rsidRPr="00A572F4">
        <w:rPr>
          <w:rFonts w:ascii="Arial" w:eastAsia="Calibri" w:hAnsi="Arial" w:cs="Arial"/>
          <w:sz w:val="22"/>
          <w:szCs w:val="22"/>
          <w:lang w:val="es-ES_tradnl"/>
        </w:rPr>
        <w:t xml:space="preserve"> </w:t>
      </w:r>
      <w:r w:rsidR="00940DBD" w:rsidRPr="00A572F4">
        <w:rPr>
          <w:rFonts w:ascii="Arial" w:eastAsia="Calibri" w:hAnsi="Arial" w:cs="Arial"/>
          <w:sz w:val="22"/>
          <w:szCs w:val="22"/>
          <w:lang w:val="es-ES_tradnl"/>
        </w:rPr>
        <w:t>subasta inversa y</w:t>
      </w:r>
      <w:r w:rsidR="00212BC8" w:rsidRPr="00A572F4">
        <w:rPr>
          <w:rFonts w:ascii="Arial" w:eastAsia="Calibri" w:hAnsi="Arial" w:cs="Arial"/>
          <w:sz w:val="22"/>
          <w:szCs w:val="22"/>
          <w:lang w:val="es-ES_tradnl"/>
        </w:rPr>
        <w:t xml:space="preserve"> mínima cuantía</w:t>
      </w:r>
      <w:r w:rsidR="00940DBD" w:rsidRPr="00A572F4">
        <w:rPr>
          <w:rFonts w:ascii="Arial" w:eastAsia="Calibri" w:hAnsi="Arial" w:cs="Arial"/>
          <w:sz w:val="22"/>
          <w:szCs w:val="22"/>
          <w:lang w:val="es-ES_tradnl"/>
        </w:rPr>
        <w:t>.</w:t>
      </w:r>
    </w:p>
    <w:p w14:paraId="75DCEC5B" w14:textId="7A23D906" w:rsidR="002638F4" w:rsidRPr="00A572F4" w:rsidRDefault="002638F4" w:rsidP="00EB2ED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y C-306 del 28 de junio de 2021.</w:t>
      </w:r>
    </w:p>
    <w:p w14:paraId="78B9C34C" w14:textId="5BBD7D49" w:rsidR="002638F4" w:rsidRPr="00A572F4" w:rsidRDefault="00E9109D" w:rsidP="002638F4">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Po otro lado, </w:t>
      </w:r>
      <w:r w:rsidR="002638F4" w:rsidRPr="00A572F4">
        <w:rPr>
          <w:rFonts w:ascii="Arial" w:eastAsia="Calibri" w:hAnsi="Arial" w:cs="Arial"/>
          <w:sz w:val="22"/>
          <w:szCs w:val="22"/>
          <w:lang w:val="es-ES_tradnl"/>
        </w:rPr>
        <w:t xml:space="preserve">esta Agencia ha estudiado, en términos generales,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w:t>
      </w:r>
      <w:r w:rsidR="002638F4" w:rsidRPr="00A572F4">
        <w:rPr>
          <w:rFonts w:ascii="Arial" w:eastAsia="Calibri" w:hAnsi="Arial" w:cs="Arial"/>
          <w:sz w:val="22"/>
          <w:szCs w:val="22"/>
          <w:lang w:val="es-ES_tradnl"/>
        </w:rPr>
        <w:lastRenderedPageBreak/>
        <w:t>25 de mayo de 2021, C-338 del 12 de julio de 2021, entre otros</w:t>
      </w:r>
      <w:r w:rsidR="002638F4" w:rsidRPr="00A572F4">
        <w:rPr>
          <w:rStyle w:val="Refdenotaalpie"/>
          <w:rFonts w:ascii="Arial" w:eastAsia="Calibri" w:hAnsi="Arial" w:cs="Arial"/>
          <w:sz w:val="22"/>
          <w:szCs w:val="22"/>
          <w:lang w:val="es-ES_tradnl"/>
        </w:rPr>
        <w:footnoteReference w:id="2"/>
      </w:r>
      <w:r w:rsidR="002638F4" w:rsidRPr="00A572F4">
        <w:rPr>
          <w:rFonts w:ascii="Arial" w:eastAsia="Calibri" w:hAnsi="Arial" w:cs="Arial"/>
          <w:sz w:val="22"/>
          <w:szCs w:val="22"/>
          <w:lang w:val="es-ES_tradnl"/>
        </w:rPr>
        <w:t>. Algunas de las consideraciones de estos conceptos se reiteran a continuación.</w:t>
      </w:r>
    </w:p>
    <w:p w14:paraId="05E36770" w14:textId="77777777" w:rsidR="0099308E" w:rsidRPr="00A572F4" w:rsidRDefault="0099308E" w:rsidP="00EB2ED0">
      <w:pPr>
        <w:spacing w:line="276" w:lineRule="auto"/>
        <w:jc w:val="both"/>
        <w:rPr>
          <w:rFonts w:ascii="Arial" w:eastAsia="Calibri" w:hAnsi="Arial" w:cs="Arial"/>
          <w:b/>
          <w:bCs/>
          <w:sz w:val="22"/>
          <w:szCs w:val="22"/>
          <w:lang w:val="es-ES_tradnl"/>
        </w:rPr>
      </w:pPr>
      <w:r w:rsidRPr="00A572F4">
        <w:rPr>
          <w:rFonts w:ascii="Arial" w:eastAsia="Calibri" w:hAnsi="Arial" w:cs="Arial"/>
          <w:b/>
          <w:bCs/>
          <w:sz w:val="22"/>
          <w:szCs w:val="22"/>
          <w:lang w:val="es-ES_tradnl"/>
        </w:rPr>
        <w:t>2.1. Vigencia y ámbito de aplicación de la Ley 2069 de 2020: impacto sobre la contratación estatal</w:t>
      </w:r>
    </w:p>
    <w:p w14:paraId="0003E020" w14:textId="77777777" w:rsidR="0099308E" w:rsidRPr="00A572F4" w:rsidRDefault="0099308E" w:rsidP="00EB2ED0">
      <w:pPr>
        <w:spacing w:line="276" w:lineRule="auto"/>
        <w:jc w:val="both"/>
        <w:rPr>
          <w:rFonts w:ascii="Arial" w:eastAsia="Calibri" w:hAnsi="Arial" w:cs="Arial"/>
          <w:sz w:val="22"/>
          <w:szCs w:val="22"/>
          <w:lang w:val="es-ES_tradnl"/>
        </w:rPr>
      </w:pPr>
    </w:p>
    <w:p w14:paraId="2FB9D416" w14:textId="6D603F2B" w:rsidR="0099308E" w:rsidRPr="00A572F4" w:rsidRDefault="0099308E" w:rsidP="00EB2ED0">
      <w:pPr>
        <w:spacing w:line="276" w:lineRule="auto"/>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w:t>
      </w:r>
      <w:r w:rsidR="002E1BD8">
        <w:rPr>
          <w:rFonts w:ascii="Arial" w:eastAsia="Calibri" w:hAnsi="Arial" w:cs="Arial"/>
          <w:sz w:val="22"/>
          <w:szCs w:val="22"/>
          <w:lang w:val="es-ES_tradnl"/>
        </w:rPr>
        <w:t>d</w:t>
      </w:r>
      <w:r w:rsidRPr="00A572F4">
        <w:rPr>
          <w:rFonts w:ascii="Arial" w:eastAsia="Calibri" w:hAnsi="Arial" w:cs="Arial"/>
          <w:sz w:val="22"/>
          <w:szCs w:val="22"/>
          <w:lang w:val="es-ES_tradnl"/>
        </w:rPr>
        <w:t>el artículo 189</w:t>
      </w:r>
      <w:r w:rsidR="002E1BD8">
        <w:rPr>
          <w:rFonts w:ascii="Arial" w:eastAsia="Calibri" w:hAnsi="Arial" w:cs="Arial"/>
          <w:sz w:val="22"/>
          <w:szCs w:val="22"/>
          <w:lang w:val="es-ES_tradnl"/>
        </w:rPr>
        <w:t>.</w:t>
      </w:r>
      <w:r w:rsidRPr="00A572F4">
        <w:rPr>
          <w:rFonts w:ascii="Arial" w:eastAsia="Calibri" w:hAnsi="Arial" w:cs="Arial"/>
          <w:sz w:val="22"/>
          <w:szCs w:val="22"/>
          <w:lang w:val="es-ES_tradnl"/>
        </w:rPr>
        <w:t>11 de la Constitución Política, expida el decreto correspondiente que permita la cumplida ejecución de esta Ley.</w:t>
      </w:r>
    </w:p>
    <w:p w14:paraId="070A2D22" w14:textId="2064581F" w:rsidR="0099308E" w:rsidRPr="00A572F4" w:rsidRDefault="0099308E" w:rsidP="00EB2ED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572F4">
        <w:rPr>
          <w:rFonts w:ascii="Arial" w:eastAsia="Calibri" w:hAnsi="Arial" w:cs="Arial"/>
          <w:sz w:val="22"/>
          <w:szCs w:val="22"/>
          <w:lang w:val="es-ES_tradnl"/>
        </w:rPr>
        <w:t>de acuerdo a</w:t>
      </w:r>
      <w:proofErr w:type="gramEnd"/>
      <w:r w:rsidRPr="00A572F4">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mediante la racionalización y simplificación de los trámites y tarifas</w:t>
      </w:r>
      <w:r w:rsidRPr="00A572F4">
        <w:rPr>
          <w:rStyle w:val="Refdenotaalpie"/>
          <w:rFonts w:ascii="Arial" w:eastAsia="Calibri" w:hAnsi="Arial" w:cs="Arial"/>
          <w:sz w:val="22"/>
          <w:szCs w:val="22"/>
          <w:lang w:val="es-ES_tradnl"/>
        </w:rPr>
        <w:footnoteReference w:id="3"/>
      </w:r>
      <w:r w:rsidRPr="00A572F4">
        <w:rPr>
          <w:rFonts w:ascii="Arial" w:eastAsia="Calibri" w:hAnsi="Arial" w:cs="Arial"/>
          <w:sz w:val="22"/>
          <w:szCs w:val="22"/>
          <w:lang w:val="es-ES_tradnl"/>
        </w:rPr>
        <w:t>, así como incentivos a favor de aquellas dentro del sistema de compras y contratación pública</w:t>
      </w:r>
      <w:r w:rsidRPr="00A572F4">
        <w:rPr>
          <w:rStyle w:val="Refdenotaalpie"/>
          <w:rFonts w:ascii="Arial" w:eastAsia="Calibri" w:hAnsi="Arial" w:cs="Arial"/>
          <w:sz w:val="22"/>
          <w:szCs w:val="22"/>
          <w:lang w:val="es-ES_tradnl"/>
        </w:rPr>
        <w:footnoteReference w:id="4"/>
      </w:r>
      <w:r w:rsidRPr="00A572F4">
        <w:rPr>
          <w:rFonts w:ascii="Arial" w:eastAsia="Calibri" w:hAnsi="Arial" w:cs="Arial"/>
          <w:sz w:val="22"/>
          <w:szCs w:val="22"/>
          <w:lang w:val="es-ES_tradnl"/>
        </w:rPr>
        <w:t>. También se consagran mecanismos de acceso al financiamiento</w:t>
      </w:r>
      <w:r w:rsidRPr="00A572F4">
        <w:rPr>
          <w:rStyle w:val="Refdenotaalpie"/>
          <w:rFonts w:ascii="Arial" w:eastAsia="Calibri" w:hAnsi="Arial" w:cs="Arial"/>
          <w:sz w:val="22"/>
          <w:szCs w:val="22"/>
          <w:lang w:val="es-ES_tradnl"/>
        </w:rPr>
        <w:footnoteReference w:id="5"/>
      </w:r>
      <w:r w:rsidRPr="00A572F4">
        <w:rPr>
          <w:rFonts w:ascii="Arial" w:eastAsia="Calibri" w:hAnsi="Arial" w:cs="Arial"/>
          <w:sz w:val="22"/>
          <w:szCs w:val="22"/>
          <w:lang w:val="es-ES_tradnl"/>
        </w:rPr>
        <w:t>, se unifican las fuentes de emprendimiento y de desarrollo empresarial, para fortalecer y promover los distintos sectores de la economía</w:t>
      </w:r>
      <w:r w:rsidRPr="00A572F4">
        <w:rPr>
          <w:rStyle w:val="Refdenotaalpie"/>
          <w:rFonts w:ascii="Arial" w:eastAsia="Calibri" w:hAnsi="Arial" w:cs="Arial"/>
          <w:sz w:val="22"/>
          <w:szCs w:val="22"/>
          <w:lang w:val="es-ES_tradnl"/>
        </w:rPr>
        <w:footnoteReference w:id="6"/>
      </w:r>
      <w:r w:rsidRPr="00A572F4">
        <w:rPr>
          <w:rFonts w:ascii="Arial" w:eastAsia="Calibri" w:hAnsi="Arial" w:cs="Arial"/>
          <w:sz w:val="22"/>
          <w:szCs w:val="22"/>
          <w:lang w:val="es-ES_tradnl"/>
        </w:rPr>
        <w:t xml:space="preserve"> y se prevén medidas de educación para el emprendimiento y la innovación</w:t>
      </w:r>
      <w:r w:rsidRPr="00A572F4">
        <w:rPr>
          <w:rStyle w:val="Refdenotaalpie"/>
          <w:rFonts w:ascii="Arial" w:eastAsia="Calibri" w:hAnsi="Arial" w:cs="Arial"/>
          <w:sz w:val="22"/>
          <w:szCs w:val="22"/>
          <w:lang w:val="es-ES_tradnl"/>
        </w:rPr>
        <w:footnoteReference w:id="7"/>
      </w:r>
      <w:r w:rsidRPr="00A572F4">
        <w:rPr>
          <w:rFonts w:ascii="Arial" w:eastAsia="Calibri" w:hAnsi="Arial" w:cs="Arial"/>
          <w:sz w:val="22"/>
          <w:szCs w:val="22"/>
          <w:lang w:val="es-ES_tradnl"/>
        </w:rPr>
        <w:t>.</w:t>
      </w:r>
    </w:p>
    <w:p w14:paraId="2C722A30" w14:textId="44956EB5" w:rsidR="0099308E" w:rsidRPr="00A572F4" w:rsidRDefault="0099308E" w:rsidP="00EB2ED0">
      <w:pPr>
        <w:spacing w:before="120" w:line="276" w:lineRule="auto"/>
        <w:ind w:firstLine="709"/>
        <w:jc w:val="both"/>
        <w:rPr>
          <w:rFonts w:ascii="Arial" w:eastAsia="Calibri" w:hAnsi="Arial" w:cs="Arial"/>
          <w:sz w:val="22"/>
          <w:szCs w:val="22"/>
          <w:lang w:val="es-ES_tradnl"/>
        </w:rPr>
      </w:pPr>
      <w:bookmarkStart w:id="3" w:name="_Hlk63883948"/>
      <w:r w:rsidRPr="00A572F4">
        <w:rPr>
          <w:rFonts w:ascii="Arial" w:eastAsia="Calibri" w:hAnsi="Arial" w:cs="Arial"/>
          <w:sz w:val="22"/>
          <w:szCs w:val="22"/>
          <w:lang w:val="es-ES_tradnl"/>
        </w:rPr>
        <w:lastRenderedPageBreak/>
        <w:t xml:space="preserve">La Ley 2069 de 2020 guarda </w:t>
      </w:r>
      <w:r w:rsidRPr="00A572F4">
        <w:rPr>
          <w:rFonts w:ascii="Arial" w:eastAsia="Calibri" w:hAnsi="Arial" w:cs="Arial"/>
          <w:bCs/>
          <w:sz w:val="22"/>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4" w:name="_Hlk63692496"/>
      <w:r w:rsidRPr="00A572F4">
        <w:rPr>
          <w:rFonts w:ascii="Arial" w:eastAsia="Calibri" w:hAnsi="Arial" w:cs="Arial"/>
          <w:bCs/>
          <w:sz w:val="22"/>
        </w:rPr>
        <w:t>«Política de formalización empresarial»</w:t>
      </w:r>
      <w:bookmarkEnd w:id="4"/>
      <w:r w:rsidRPr="00A572F4">
        <w:rPr>
          <w:rFonts w:ascii="Arial" w:eastAsia="Calibri" w:hAnsi="Arial" w:cs="Arial"/>
          <w:bCs/>
          <w:sz w:val="22"/>
        </w:rPr>
        <w:t xml:space="preserve"> del Documento CONPES 3956 del 8 de enero de 2019</w:t>
      </w:r>
      <w:r w:rsidRPr="00A572F4">
        <w:rPr>
          <w:rStyle w:val="Refdenotaalpie"/>
          <w:rFonts w:ascii="Arial" w:eastAsia="Calibri" w:hAnsi="Arial" w:cs="Arial"/>
          <w:bCs/>
          <w:sz w:val="22"/>
        </w:rPr>
        <w:footnoteReference w:id="8"/>
      </w:r>
      <w:r w:rsidRPr="00A572F4">
        <w:rPr>
          <w:rFonts w:ascii="Arial" w:eastAsia="Calibri" w:hAnsi="Arial" w:cs="Arial"/>
          <w:bCs/>
          <w:sz w:val="22"/>
        </w:rPr>
        <w:t>.</w:t>
      </w:r>
      <w:bookmarkEnd w:id="3"/>
    </w:p>
    <w:p w14:paraId="32C93171" w14:textId="5E78045C" w:rsidR="0099308E" w:rsidRPr="00A572F4" w:rsidRDefault="0099308E" w:rsidP="00EB2ED0">
      <w:pPr>
        <w:tabs>
          <w:tab w:val="left" w:pos="709"/>
        </w:tabs>
        <w:spacing w:before="120" w:after="120" w:line="276" w:lineRule="auto"/>
        <w:jc w:val="both"/>
        <w:rPr>
          <w:rFonts w:ascii="Arial" w:eastAsia="Calibri" w:hAnsi="Arial" w:cs="Arial"/>
          <w:bCs/>
          <w:sz w:val="22"/>
        </w:rPr>
      </w:pPr>
      <w:r w:rsidRPr="00A572F4">
        <w:rPr>
          <w:rFonts w:ascii="Arial" w:eastAsia="Calibri" w:hAnsi="Arial" w:cs="Arial"/>
          <w:bCs/>
          <w:sz w:val="22"/>
        </w:rPr>
        <w:tab/>
      </w:r>
      <w:r w:rsidR="00F10E78">
        <w:rPr>
          <w:rFonts w:ascii="Arial" w:eastAsia="Calibri" w:hAnsi="Arial" w:cs="Arial"/>
          <w:bCs/>
          <w:sz w:val="22"/>
        </w:rPr>
        <w:t>De esta manera</w:t>
      </w:r>
      <w:r w:rsidRPr="00A572F4">
        <w:rPr>
          <w:rFonts w:ascii="Arial" w:eastAsia="Calibri" w:hAnsi="Arial" w:cs="Arial"/>
          <w:bCs/>
          <w:sz w:val="22"/>
        </w:rPr>
        <w:t xml:space="preserve">, la ley impulsa medidas para i) reducir cargas y trámites para los emprendedores del país, </w:t>
      </w:r>
      <w:proofErr w:type="spellStart"/>
      <w:r w:rsidRPr="00A572F4">
        <w:rPr>
          <w:rFonts w:ascii="Arial" w:eastAsia="Calibri" w:hAnsi="Arial" w:cs="Arial"/>
          <w:bCs/>
          <w:sz w:val="22"/>
        </w:rPr>
        <w:t>ii</w:t>
      </w:r>
      <w:proofErr w:type="spellEnd"/>
      <w:r w:rsidRPr="00A572F4">
        <w:rPr>
          <w:rFonts w:ascii="Arial" w:eastAsia="Calibri" w:hAnsi="Arial" w:cs="Arial"/>
          <w:bCs/>
          <w:sz w:val="22"/>
        </w:rPr>
        <w:t xml:space="preserve">) facilitar su acceso al sistema de compras y contratación pública, </w:t>
      </w:r>
      <w:proofErr w:type="spellStart"/>
      <w:r w:rsidRPr="00A572F4">
        <w:rPr>
          <w:rFonts w:ascii="Arial" w:eastAsia="Calibri" w:hAnsi="Arial" w:cs="Arial"/>
          <w:bCs/>
          <w:sz w:val="22"/>
        </w:rPr>
        <w:t>iii</w:t>
      </w:r>
      <w:proofErr w:type="spellEnd"/>
      <w:r w:rsidRPr="00A572F4">
        <w:rPr>
          <w:rFonts w:ascii="Arial" w:eastAsia="Calibri" w:hAnsi="Arial" w:cs="Arial"/>
          <w:bCs/>
          <w:sz w:val="22"/>
        </w:rPr>
        <w:t xml:space="preserve">) incentivar el crecimiento económico con la llegada de más actores al ecosistema de inversión y financiación, </w:t>
      </w:r>
      <w:proofErr w:type="spellStart"/>
      <w:r w:rsidRPr="00A572F4">
        <w:rPr>
          <w:rFonts w:ascii="Arial" w:eastAsia="Calibri" w:hAnsi="Arial" w:cs="Arial"/>
          <w:bCs/>
          <w:sz w:val="22"/>
        </w:rPr>
        <w:t>iv</w:t>
      </w:r>
      <w:proofErr w:type="spellEnd"/>
      <w:r w:rsidRPr="00A572F4">
        <w:rPr>
          <w:rFonts w:ascii="Arial" w:eastAsia="Calibri" w:hAnsi="Arial" w:cs="Arial"/>
          <w:bCs/>
          <w:sz w:val="22"/>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A572F4">
        <w:rPr>
          <w:rStyle w:val="Refdenotaalpie"/>
          <w:rFonts w:ascii="Arial" w:eastAsia="Calibri" w:hAnsi="Arial" w:cs="Arial"/>
          <w:bCs/>
          <w:sz w:val="22"/>
        </w:rPr>
        <w:footnoteReference w:id="9"/>
      </w:r>
      <w:r w:rsidRPr="00A572F4">
        <w:rPr>
          <w:rFonts w:ascii="Arial" w:eastAsia="Calibri" w:hAnsi="Arial" w:cs="Arial"/>
          <w:bCs/>
          <w:sz w:val="22"/>
        </w:rPr>
        <w:t>.</w:t>
      </w:r>
    </w:p>
    <w:p w14:paraId="6B7A8E82" w14:textId="3D4C1BC2" w:rsidR="0099308E" w:rsidRPr="00A572F4" w:rsidRDefault="0099308E" w:rsidP="00EB2ED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en el procedimiento de mínima cuantía, </w:t>
      </w:r>
      <w:proofErr w:type="spellStart"/>
      <w:r w:rsidRPr="00A572F4">
        <w:rPr>
          <w:rFonts w:ascii="Arial" w:eastAsia="Calibri" w:hAnsi="Arial" w:cs="Arial"/>
          <w:sz w:val="22"/>
          <w:szCs w:val="22"/>
          <w:lang w:val="es-ES_tradnl"/>
        </w:rPr>
        <w:t>ii</w:t>
      </w:r>
      <w:proofErr w:type="spellEnd"/>
      <w:r w:rsidRPr="00A572F4">
        <w:rPr>
          <w:rFonts w:ascii="Arial" w:eastAsia="Calibri" w:hAnsi="Arial" w:cs="Arial"/>
          <w:sz w:val="22"/>
          <w:szCs w:val="22"/>
          <w:lang w:val="es-ES_tradnl"/>
        </w:rPr>
        <w:t xml:space="preserve">) criterios diferenciales para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en el sistema de compras públicas, </w:t>
      </w:r>
      <w:proofErr w:type="spellStart"/>
      <w:r w:rsidRPr="00A572F4">
        <w:rPr>
          <w:rFonts w:ascii="Arial" w:eastAsia="Calibri" w:hAnsi="Arial" w:cs="Arial"/>
          <w:sz w:val="22"/>
          <w:szCs w:val="22"/>
          <w:lang w:val="es-ES_tradnl"/>
        </w:rPr>
        <w:t>iii</w:t>
      </w:r>
      <w:proofErr w:type="spellEnd"/>
      <w:r w:rsidRPr="00A572F4">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A572F4">
        <w:rPr>
          <w:rFonts w:ascii="Arial" w:eastAsia="Calibri" w:hAnsi="Arial" w:cs="Arial"/>
          <w:sz w:val="22"/>
          <w:szCs w:val="22"/>
          <w:lang w:val="es-ES_tradnl"/>
        </w:rPr>
        <w:t>iv</w:t>
      </w:r>
      <w:proofErr w:type="spellEnd"/>
      <w:r w:rsidRPr="00A572F4">
        <w:rPr>
          <w:rFonts w:ascii="Arial" w:eastAsia="Calibri" w:hAnsi="Arial" w:cs="Arial"/>
          <w:sz w:val="22"/>
          <w:szCs w:val="22"/>
          <w:lang w:val="es-ES_tradnl"/>
        </w:rPr>
        <w:t xml:space="preserve">) promoción del acceso de las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al mercado de compras públicas, v) </w:t>
      </w:r>
      <w:r w:rsidRPr="00A572F4">
        <w:rPr>
          <w:rFonts w:ascii="Arial" w:eastAsia="Calibri" w:hAnsi="Arial" w:cs="Arial"/>
          <w:sz w:val="22"/>
          <w:szCs w:val="22"/>
          <w:lang w:val="es-ES_tradnl"/>
        </w:rPr>
        <w:lastRenderedPageBreak/>
        <w:t xml:space="preserve">promoción del desarrollo en la contratación pública, vi) un nuevo régimen de factores de desempate y vi) un llamado a las entidades estatales para que promuevan compras públicas en el marco de la tecnología y la innovación. </w:t>
      </w:r>
    </w:p>
    <w:p w14:paraId="14C1D2B3" w14:textId="2BD1AF41" w:rsidR="0099308E" w:rsidRPr="00A572F4" w:rsidRDefault="0099308E" w:rsidP="00EB2ED0">
      <w:pPr>
        <w:tabs>
          <w:tab w:val="left" w:pos="709"/>
        </w:tabs>
        <w:spacing w:line="276" w:lineRule="auto"/>
        <w:jc w:val="both"/>
        <w:rPr>
          <w:rFonts w:ascii="Arial" w:eastAsia="Calibri" w:hAnsi="Arial" w:cs="Arial"/>
          <w:b/>
          <w:sz w:val="22"/>
        </w:rPr>
      </w:pPr>
      <w:r w:rsidRPr="00A572F4">
        <w:rPr>
          <w:rFonts w:ascii="Arial" w:eastAsia="Calibri" w:hAnsi="Arial" w:cs="Arial"/>
          <w:b/>
          <w:sz w:val="22"/>
        </w:rPr>
        <w:t xml:space="preserve">2.2. Intervención del reglamento para la efectividad de la Ley 2069 de 2020 en el </w:t>
      </w:r>
      <w:bookmarkStart w:id="6" w:name="_Hlk63693402"/>
      <w:r w:rsidRPr="00A572F4">
        <w:rPr>
          <w:rFonts w:ascii="Arial" w:eastAsia="Calibri" w:hAnsi="Arial" w:cs="Arial"/>
          <w:b/>
          <w:sz w:val="22"/>
        </w:rPr>
        <w:t>sistema de compras pública</w:t>
      </w:r>
      <w:bookmarkEnd w:id="6"/>
      <w:r w:rsidRPr="00A572F4">
        <w:rPr>
          <w:rFonts w:ascii="Arial" w:eastAsia="Calibri" w:hAnsi="Arial" w:cs="Arial"/>
          <w:b/>
          <w:sz w:val="22"/>
        </w:rPr>
        <w:t>s</w:t>
      </w:r>
    </w:p>
    <w:p w14:paraId="6ABCDD04" w14:textId="77777777" w:rsidR="0099308E" w:rsidRPr="00A572F4" w:rsidRDefault="0099308E" w:rsidP="00EB2ED0">
      <w:pPr>
        <w:tabs>
          <w:tab w:val="left" w:pos="709"/>
        </w:tabs>
        <w:spacing w:line="276" w:lineRule="auto"/>
        <w:jc w:val="both"/>
        <w:rPr>
          <w:rFonts w:ascii="Arial" w:eastAsia="Calibri" w:hAnsi="Arial" w:cs="Arial"/>
          <w:bCs/>
          <w:sz w:val="22"/>
        </w:rPr>
      </w:pPr>
    </w:p>
    <w:p w14:paraId="6A77C0EF" w14:textId="10F1D414"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sz w:val="22"/>
          <w:lang w:val="es-ES_tradnl"/>
        </w:rPr>
        <w:t xml:space="preserve">En la Ley 2069 de 2020 la exigencia de reglamentación como condición de eficacia de su articulado no es similar frente a todos sus enunciados normativos. </w:t>
      </w:r>
      <w:r w:rsidR="00D35C22">
        <w:rPr>
          <w:rFonts w:ascii="Arial" w:eastAsia="Calibri" w:hAnsi="Arial" w:cs="Arial"/>
          <w:sz w:val="22"/>
          <w:lang w:val="es-ES_tradnl"/>
        </w:rPr>
        <w:t>Por ejemplo</w:t>
      </w:r>
      <w:r w:rsidRPr="00A572F4">
        <w:rPr>
          <w:rFonts w:ascii="Arial" w:eastAsia="Calibri" w:hAnsi="Arial" w:cs="Arial"/>
          <w:sz w:val="22"/>
          <w:lang w:val="es-ES_tradnl"/>
        </w:rPr>
        <w:t>, los artículos 31, 32, 34 y 36 de la Ley 2069 de 2020</w:t>
      </w:r>
      <w:r w:rsidRPr="00A572F4">
        <w:rPr>
          <w:rFonts w:ascii="Arial" w:eastAsia="Calibri" w:hAnsi="Arial" w:cs="Arial"/>
          <w:bCs/>
          <w:sz w:val="22"/>
        </w:rPr>
        <w:t xml:space="preserve"> disponen que el gobierno nacional reglamentará i) los criterios diferenciales para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w:t>
      </w:r>
      <w:proofErr w:type="spellStart"/>
      <w:r w:rsidRPr="00A572F4">
        <w:rPr>
          <w:rFonts w:ascii="Arial" w:eastAsia="Calibri" w:hAnsi="Arial" w:cs="Arial"/>
          <w:bCs/>
          <w:sz w:val="22"/>
        </w:rPr>
        <w:t>ii</w:t>
      </w:r>
      <w:proofErr w:type="spellEnd"/>
      <w:r w:rsidRPr="00A572F4">
        <w:rPr>
          <w:rFonts w:ascii="Arial" w:eastAsia="Calibri" w:hAnsi="Arial" w:cs="Arial"/>
          <w:bCs/>
          <w:sz w:val="22"/>
        </w:rPr>
        <w:t xml:space="preserve">) la definición de «emprendimientos y empresas de mujeres», </w:t>
      </w:r>
      <w:proofErr w:type="spellStart"/>
      <w:r w:rsidRPr="00A572F4">
        <w:rPr>
          <w:rFonts w:ascii="Arial" w:eastAsia="Calibri" w:hAnsi="Arial" w:cs="Arial"/>
          <w:bCs/>
          <w:sz w:val="22"/>
        </w:rPr>
        <w:t>iii</w:t>
      </w:r>
      <w:proofErr w:type="spellEnd"/>
      <w:r w:rsidRPr="00A572F4">
        <w:rPr>
          <w:rFonts w:ascii="Arial" w:eastAsia="Calibri" w:hAnsi="Arial" w:cs="Arial"/>
          <w:bCs/>
          <w:sz w:val="22"/>
        </w:rPr>
        <w:t xml:space="preserve">) las convocatorias limitadas a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y el fomento en la ejecución de los contratos estatales por parte de sujetos de especial protección, así como </w:t>
      </w:r>
      <w:proofErr w:type="spellStart"/>
      <w:r w:rsidRPr="00A572F4">
        <w:rPr>
          <w:rFonts w:ascii="Arial" w:eastAsia="Calibri" w:hAnsi="Arial" w:cs="Arial"/>
          <w:bCs/>
          <w:sz w:val="22"/>
        </w:rPr>
        <w:t>iv</w:t>
      </w:r>
      <w:proofErr w:type="spellEnd"/>
      <w:r w:rsidRPr="00A572F4">
        <w:rPr>
          <w:rFonts w:ascii="Arial" w:eastAsia="Calibri" w:hAnsi="Arial" w:cs="Arial"/>
          <w:bCs/>
          <w:sz w:val="22"/>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F3192E7" w14:textId="4864606B"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La respuesta a la inquietud planteada en el párrafo precedente es importan</w:t>
      </w:r>
      <w:r w:rsidR="002C6D52">
        <w:rPr>
          <w:rFonts w:ascii="Arial" w:eastAsia="Calibri" w:hAnsi="Arial" w:cs="Arial"/>
          <w:bCs/>
          <w:sz w:val="22"/>
        </w:rPr>
        <w:t>te</w:t>
      </w:r>
      <w:r w:rsidRPr="00A572F4">
        <w:rPr>
          <w:rFonts w:ascii="Arial" w:eastAsia="Calibri" w:hAnsi="Arial" w:cs="Arial"/>
          <w:bCs/>
          <w:sz w:val="22"/>
        </w:rPr>
        <w:t xml:space="preserve"> por los efectos prácticos de ambas posiciones. Por un lado, </w:t>
      </w:r>
      <w:bookmarkStart w:id="7" w:name="_Hlk63884320"/>
      <w:r w:rsidRPr="00A572F4">
        <w:rPr>
          <w:rFonts w:ascii="Arial" w:eastAsia="Calibri" w:hAnsi="Arial" w:cs="Arial"/>
          <w:bCs/>
          <w:sz w:val="22"/>
        </w:rPr>
        <w:t xml:space="preserve">quien opte por la </w:t>
      </w:r>
      <w:r w:rsidRPr="00A572F4">
        <w:rPr>
          <w:rFonts w:ascii="Arial" w:eastAsia="Calibri" w:hAnsi="Arial" w:cs="Arial"/>
          <w:bCs/>
          <w:i/>
          <w:iCs/>
          <w:sz w:val="22"/>
        </w:rPr>
        <w:t>tesis de la aplicación directa</w:t>
      </w:r>
      <w:r w:rsidRPr="00A572F4">
        <w:rPr>
          <w:rFonts w:ascii="Arial" w:eastAsia="Calibri" w:hAnsi="Arial" w:cs="Arial"/>
          <w:bCs/>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7"/>
    </w:p>
    <w:p w14:paraId="7BDD67FA"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A572F4">
        <w:rPr>
          <w:rStyle w:val="Refdenotaalpie"/>
          <w:rFonts w:ascii="Arial" w:eastAsia="Calibri" w:hAnsi="Arial" w:cs="Arial"/>
          <w:bCs/>
          <w:sz w:val="22"/>
        </w:rPr>
        <w:footnoteReference w:id="10"/>
      </w:r>
      <w:r w:rsidRPr="00A572F4">
        <w:rPr>
          <w:rFonts w:ascii="Arial" w:eastAsia="Calibri" w:hAnsi="Arial" w:cs="Arial"/>
          <w:bCs/>
          <w:sz w:val="22"/>
        </w:rPr>
        <w:t>. En este contexto, si la expedición de reglamentos no es obligatoria, la ausencia de estos no excusa la inaplicación de la ley, pues contiene unos elementos mínimos que vinculan directamente a los destinatarios.</w:t>
      </w:r>
    </w:p>
    <w:p w14:paraId="77EAEDA2"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 xml:space="preserve">Este es el caso de lo previsto en los artículos 30, 33 y 35 de la Ley de Emprendimiento. En relación con las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y mínima cuantía, </w:t>
      </w:r>
      <w:r w:rsidRPr="00A572F4">
        <w:rPr>
          <w:rFonts w:ascii="Arial" w:eastAsia="Calibri" w:hAnsi="Arial" w:cs="Arial"/>
          <w:bCs/>
          <w:sz w:val="22"/>
          <w:lang w:val="es-ES_tradnl"/>
        </w:rPr>
        <w:t xml:space="preserve">dado que el artículo 30 de la Ley 2069 de 2020 regula aspectos como i) el término mínimo para publicar la invitación, </w:t>
      </w:r>
      <w:proofErr w:type="spellStart"/>
      <w:r w:rsidRPr="00A572F4">
        <w:rPr>
          <w:rFonts w:ascii="Arial" w:eastAsia="Calibri" w:hAnsi="Arial" w:cs="Arial"/>
          <w:bCs/>
          <w:sz w:val="22"/>
          <w:lang w:val="es-ES_tradnl"/>
        </w:rPr>
        <w:t>ii</w:t>
      </w:r>
      <w:proofErr w:type="spellEnd"/>
      <w:r w:rsidRPr="00A572F4">
        <w:rPr>
          <w:rFonts w:ascii="Arial" w:eastAsia="Calibri" w:hAnsi="Arial" w:cs="Arial"/>
          <w:bCs/>
          <w:sz w:val="22"/>
          <w:lang w:val="es-ES_tradnl"/>
        </w:rPr>
        <w:t xml:space="preserve">) el plazo mínimo de recepción de las ofertas, </w:t>
      </w:r>
      <w:proofErr w:type="spellStart"/>
      <w:r w:rsidRPr="00A572F4">
        <w:rPr>
          <w:rFonts w:ascii="Arial" w:eastAsia="Calibri" w:hAnsi="Arial" w:cs="Arial"/>
          <w:bCs/>
          <w:sz w:val="22"/>
          <w:lang w:val="es-ES_tradnl"/>
        </w:rPr>
        <w:t>iii</w:t>
      </w:r>
      <w:proofErr w:type="spellEnd"/>
      <w:r w:rsidRPr="00A572F4">
        <w:rPr>
          <w:rFonts w:ascii="Arial" w:eastAsia="Calibri" w:hAnsi="Arial" w:cs="Arial"/>
          <w:bCs/>
          <w:sz w:val="22"/>
          <w:lang w:val="es-ES_tradnl"/>
        </w:rPr>
        <w:t xml:space="preserve">) el factor de evaluación que define la selección del proponente y </w:t>
      </w:r>
      <w:proofErr w:type="spellStart"/>
      <w:r w:rsidRPr="00A572F4">
        <w:rPr>
          <w:rFonts w:ascii="Arial" w:eastAsia="Calibri" w:hAnsi="Arial" w:cs="Arial"/>
          <w:bCs/>
          <w:sz w:val="22"/>
          <w:lang w:val="es-ES_tradnl"/>
        </w:rPr>
        <w:t>iv</w:t>
      </w:r>
      <w:proofErr w:type="spellEnd"/>
      <w:r w:rsidRPr="00A572F4">
        <w:rPr>
          <w:rFonts w:ascii="Arial" w:eastAsia="Calibri" w:hAnsi="Arial" w:cs="Arial"/>
          <w:bCs/>
          <w:sz w:val="22"/>
          <w:lang w:val="es-ES_tradnl"/>
        </w:rPr>
        <w:t xml:space="preserve">) el perfeccionamiento del contrato, las entidades deben estructurar sus procedimientos de selección de acuerdo con estos parámetros, los cuales </w:t>
      </w:r>
      <w:r w:rsidRPr="00A572F4">
        <w:rPr>
          <w:rFonts w:ascii="Arial" w:eastAsia="Calibri" w:hAnsi="Arial" w:cs="Arial"/>
          <w:bCs/>
          <w:sz w:val="22"/>
          <w:lang w:val="es-ES_tradnl"/>
        </w:rPr>
        <w:lastRenderedPageBreak/>
        <w:t xml:space="preserve">tienen una aplicación inmediata sin que el reglamento condicione la vigencia de la mínima cuantía. Esto </w:t>
      </w:r>
      <w:r w:rsidRPr="00A572F4">
        <w:rPr>
          <w:rFonts w:ascii="Arial" w:eastAsia="Calibri" w:hAnsi="Arial" w:cs="Arial"/>
          <w:bCs/>
          <w:sz w:val="22"/>
        </w:rPr>
        <w:t xml:space="preserve">sin perjuicio de que el Gobierno Nacional, conforme a lo dispuesto en el parágrafo 1 </w:t>
      </w:r>
      <w:r w:rsidRPr="00A572F4">
        <w:rPr>
          <w:rFonts w:ascii="Arial" w:eastAsia="Calibri" w:hAnsi="Arial" w:cs="Arial"/>
          <w:bCs/>
          <w:i/>
          <w:iCs/>
          <w:sz w:val="22"/>
        </w:rPr>
        <w:t>ibidem</w:t>
      </w:r>
      <w:r w:rsidRPr="00A572F4">
        <w:rPr>
          <w:rFonts w:ascii="Arial" w:eastAsia="Calibri" w:hAnsi="Arial" w:cs="Arial"/>
          <w:bCs/>
          <w:sz w:val="22"/>
        </w:rPr>
        <w:t xml:space="preserve">, ejerza la potestad reglamentaria para </w:t>
      </w:r>
      <w:r w:rsidRPr="00A572F4">
        <w:rPr>
          <w:rFonts w:ascii="Arial" w:eastAsia="Calibri" w:hAnsi="Arial" w:cs="Arial"/>
          <w:bCs/>
          <w:sz w:val="22"/>
          <w:lang w:val="es-ES_tradnl"/>
        </w:rPr>
        <w:t xml:space="preserve">regular tanto las particularidades del procedimiento de selección como la posibilidad de realizar estas adquisiciones a </w:t>
      </w:r>
      <w:proofErr w:type="spellStart"/>
      <w:r w:rsidRPr="00A572F4">
        <w:rPr>
          <w:rFonts w:ascii="Arial" w:eastAsia="Calibri" w:hAnsi="Arial" w:cs="Arial"/>
          <w:bCs/>
          <w:sz w:val="22"/>
          <w:lang w:val="es-ES_tradnl"/>
        </w:rPr>
        <w:t>mipymes</w:t>
      </w:r>
      <w:proofErr w:type="spellEnd"/>
      <w:r w:rsidRPr="00A572F4">
        <w:rPr>
          <w:rFonts w:ascii="Arial" w:eastAsia="Calibri" w:hAnsi="Arial" w:cs="Arial"/>
          <w:bCs/>
          <w:sz w:val="22"/>
          <w:lang w:val="es-ES_tradnl"/>
        </w:rPr>
        <w:t xml:space="preserve"> o establecimientos que correspondan a la definición de «gran almacén».</w:t>
      </w:r>
    </w:p>
    <w:p w14:paraId="0AAB5DF6" w14:textId="301EB3F0"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 xml:space="preserve">En lo que se refiere a la promoción del acceso de las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r w:rsidR="00A97AE8" w:rsidRPr="00A572F4">
        <w:rPr>
          <w:rFonts w:ascii="Arial" w:eastAsia="Calibri" w:hAnsi="Arial" w:cs="Arial"/>
          <w:bCs/>
          <w:sz w:val="22"/>
        </w:rPr>
        <w:t xml:space="preserve"> </w:t>
      </w:r>
      <w:r w:rsidR="00A97AE8" w:rsidRPr="00A572F4">
        <w:rPr>
          <w:rFonts w:ascii="Arial" w:hAnsi="Arial" w:cs="Arial"/>
          <w:sz w:val="22"/>
        </w:rPr>
        <w:t xml:space="preserve">Por tanto, conforme al marco normativo que regule el acceso de las </w:t>
      </w:r>
      <w:proofErr w:type="spellStart"/>
      <w:r w:rsidR="00A97AE8" w:rsidRPr="00A572F4">
        <w:rPr>
          <w:rFonts w:ascii="Arial" w:hAnsi="Arial" w:cs="Arial"/>
          <w:sz w:val="22"/>
        </w:rPr>
        <w:t>mipymes</w:t>
      </w:r>
      <w:proofErr w:type="spellEnd"/>
      <w:r w:rsidR="00A97AE8" w:rsidRPr="00A572F4">
        <w:rPr>
          <w:rFonts w:ascii="Arial" w:hAnsi="Arial" w:cs="Arial"/>
          <w:sz w:val="22"/>
        </w:rPr>
        <w:t xml:space="preserve"> al mercado de compras públicas, las entidades deberán adoptar las medidas necesarias para el acatamiento de esta disposición.</w:t>
      </w:r>
    </w:p>
    <w:p w14:paraId="6B404E74"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1D0E98CD"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5408B03C"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6C5DDDBD"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lastRenderedPageBreak/>
        <w:tab/>
      </w:r>
      <w:bookmarkStart w:id="8" w:name="_Hlk63884375"/>
      <w:r w:rsidRPr="00A572F4">
        <w:rPr>
          <w:rFonts w:ascii="Arial" w:eastAsia="Calibri" w:hAnsi="Arial" w:cs="Arial"/>
          <w:bCs/>
          <w:sz w:val="22"/>
        </w:rPr>
        <w:t xml:space="preserve">Ahora bien, la relación entre estas dos (2) fuentes del derecho es totalmente diferente en la </w:t>
      </w:r>
      <w:r w:rsidRPr="00A572F4">
        <w:rPr>
          <w:rFonts w:ascii="Arial" w:eastAsia="Calibri" w:hAnsi="Arial" w:cs="Arial"/>
          <w:bCs/>
          <w:i/>
          <w:iCs/>
          <w:sz w:val="22"/>
        </w:rPr>
        <w:t>tesis de la reglamentación</w:t>
      </w:r>
      <w:r w:rsidRPr="00A572F4">
        <w:rPr>
          <w:rFonts w:ascii="Arial" w:eastAsia="Calibri" w:hAnsi="Arial" w:cs="Arial"/>
          <w:bCs/>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8"/>
      <w:r w:rsidRPr="00A572F4">
        <w:rPr>
          <w:rFonts w:ascii="Arial" w:eastAsia="Calibri" w:hAnsi="Arial" w:cs="Arial"/>
          <w:bCs/>
          <w:sz w:val="22"/>
        </w:rPr>
        <w:t>. Este el caso de los</w:t>
      </w:r>
      <w:r w:rsidRPr="00A572F4">
        <w:rPr>
          <w:rFonts w:ascii="Arial" w:eastAsia="Calibri" w:hAnsi="Arial" w:cs="Arial"/>
          <w:sz w:val="22"/>
          <w:lang w:val="es-ES_tradnl"/>
        </w:rPr>
        <w:t xml:space="preserve"> artículos 31, 32, 34 y 36 de la Ley de Emprendimiento</w:t>
      </w:r>
      <w:r w:rsidRPr="00A572F4">
        <w:rPr>
          <w:rFonts w:ascii="Arial" w:eastAsia="Calibri" w:hAnsi="Arial" w:cs="Arial"/>
          <w:bCs/>
          <w:sz w:val="22"/>
        </w:rPr>
        <w:t xml:space="preserve">. </w:t>
      </w:r>
    </w:p>
    <w:p w14:paraId="681083BC"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En efecto, estas disposiciones contienen un mandato de reglamentación que debe acatar el Gobierno Nacional</w:t>
      </w:r>
      <w:r w:rsidRPr="00A572F4">
        <w:rPr>
          <w:rStyle w:val="Refdenotaalpie"/>
          <w:rFonts w:ascii="Arial" w:eastAsia="Calibri" w:hAnsi="Arial" w:cs="Arial"/>
          <w:bCs/>
          <w:sz w:val="22"/>
        </w:rPr>
        <w:footnoteReference w:id="11"/>
      </w:r>
      <w:r w:rsidRPr="00A572F4">
        <w:rPr>
          <w:rFonts w:ascii="Arial" w:eastAsia="Calibri" w:hAnsi="Arial" w:cs="Arial"/>
          <w:bCs/>
          <w:sz w:val="22"/>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A572F4">
        <w:rPr>
          <w:rFonts w:ascii="Arial" w:eastAsia="Calibri" w:hAnsi="Arial" w:cs="Arial"/>
          <w:bCs/>
          <w:i/>
          <w:iCs/>
          <w:sz w:val="22"/>
        </w:rPr>
        <w:t>laguna técnica</w:t>
      </w:r>
      <w:r w:rsidRPr="00A572F4">
        <w:rPr>
          <w:rFonts w:ascii="Arial" w:eastAsia="Calibri" w:hAnsi="Arial" w:cs="Arial"/>
          <w:bCs/>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A572F4">
        <w:rPr>
          <w:rStyle w:val="Refdenotaalpie"/>
          <w:rFonts w:ascii="Arial" w:eastAsia="Calibri" w:hAnsi="Arial" w:cs="Arial"/>
          <w:bCs/>
          <w:sz w:val="22"/>
        </w:rPr>
        <w:footnoteReference w:id="12"/>
      </w:r>
      <w:r w:rsidRPr="00A572F4">
        <w:rPr>
          <w:rFonts w:ascii="Arial" w:eastAsia="Calibri" w:hAnsi="Arial" w:cs="Arial"/>
          <w:bCs/>
          <w:sz w:val="22"/>
        </w:rPr>
        <w:t>.</w:t>
      </w:r>
    </w:p>
    <w:p w14:paraId="5C9AA8AC" w14:textId="77777777" w:rsidR="0099308E" w:rsidRPr="00A572F4" w:rsidRDefault="0099308E" w:rsidP="00EB2ED0">
      <w:pPr>
        <w:tabs>
          <w:tab w:val="left" w:pos="709"/>
        </w:tabs>
        <w:spacing w:after="120" w:line="276" w:lineRule="auto"/>
        <w:jc w:val="both"/>
        <w:rPr>
          <w:rFonts w:ascii="Arial" w:eastAsia="Calibri" w:hAnsi="Arial" w:cs="Arial"/>
          <w:bCs/>
          <w:sz w:val="22"/>
        </w:rPr>
      </w:pPr>
      <w:r w:rsidRPr="00A572F4">
        <w:rPr>
          <w:rFonts w:ascii="Arial" w:eastAsia="Calibri" w:hAnsi="Arial" w:cs="Arial"/>
          <w:bCs/>
          <w:sz w:val="22"/>
        </w:rPr>
        <w:tab/>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Pr="00A572F4">
        <w:rPr>
          <w:rFonts w:ascii="Arial" w:eastAsia="Calibri" w:hAnsi="Arial" w:cs="Arial"/>
          <w:bCs/>
          <w:i/>
          <w:iCs/>
          <w:sz w:val="22"/>
        </w:rPr>
        <w:t>ibidem</w:t>
      </w:r>
      <w:r w:rsidRPr="00A572F4">
        <w:rPr>
          <w:rFonts w:ascii="Arial" w:eastAsia="Calibri" w:hAnsi="Arial" w:cs="Arial"/>
          <w:bCs/>
          <w:sz w:val="22"/>
        </w:rPr>
        <w:t xml:space="preserve"> antes de su declaratoria de inconstitucionalidad</w:t>
      </w:r>
      <w:r w:rsidRPr="00A572F4">
        <w:rPr>
          <w:rStyle w:val="Refdenotaalpie"/>
          <w:rFonts w:ascii="Arial" w:eastAsia="Calibri" w:hAnsi="Arial" w:cs="Arial"/>
          <w:bCs/>
          <w:sz w:val="22"/>
        </w:rPr>
        <w:footnoteReference w:id="13"/>
      </w:r>
      <w:r w:rsidRPr="00A572F4">
        <w:rPr>
          <w:rFonts w:ascii="Arial" w:eastAsia="Calibri" w:hAnsi="Arial" w:cs="Arial"/>
          <w:bCs/>
          <w:sz w:val="22"/>
        </w:rPr>
        <w:t xml:space="preserve">. Para llegar a esta conclusión, es necesario tener en cuenta que las </w:t>
      </w:r>
      <w:r w:rsidRPr="00A572F4">
        <w:rPr>
          <w:rFonts w:ascii="Arial" w:eastAsia="Calibri" w:hAnsi="Arial" w:cs="Arial"/>
          <w:bCs/>
          <w:sz w:val="22"/>
        </w:rPr>
        <w:lastRenderedPageBreak/>
        <w:t>normas jurídicas, por regla general, producen efectos a partir de su promulgación o publicación. De allí se derivan principios tales como la irretroactividad de la ley y su efecto general inmediato</w:t>
      </w:r>
      <w:r w:rsidRPr="00A572F4">
        <w:rPr>
          <w:rStyle w:val="Refdenotaalpie"/>
          <w:rFonts w:ascii="Arial" w:eastAsia="Calibri" w:hAnsi="Arial" w:cs="Arial"/>
          <w:bCs/>
          <w:sz w:val="22"/>
        </w:rPr>
        <w:footnoteReference w:id="14"/>
      </w:r>
      <w:r w:rsidRPr="00A572F4">
        <w:rPr>
          <w:rFonts w:ascii="Arial" w:eastAsia="Calibri" w:hAnsi="Arial" w:cs="Arial"/>
          <w:bCs/>
          <w:sz w:val="22"/>
        </w:rPr>
        <w:t xml:space="preserve">. </w:t>
      </w:r>
    </w:p>
    <w:p w14:paraId="3445C579" w14:textId="77777777" w:rsidR="0099308E" w:rsidRPr="00A572F4" w:rsidRDefault="0099308E" w:rsidP="00EB2ED0">
      <w:pPr>
        <w:spacing w:after="120" w:line="276" w:lineRule="auto"/>
        <w:ind w:firstLine="709"/>
        <w:jc w:val="both"/>
        <w:rPr>
          <w:rFonts w:ascii="Arial" w:eastAsia="Calibri" w:hAnsi="Arial" w:cs="Arial"/>
          <w:sz w:val="22"/>
          <w:lang w:val="es-ES"/>
        </w:rPr>
      </w:pPr>
      <w:r w:rsidRPr="00A572F4">
        <w:rPr>
          <w:rFonts w:ascii="Arial" w:eastAsia="Calibri" w:hAnsi="Arial" w:cs="Arial"/>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73B57783" w14:textId="77777777" w:rsidR="0099308E" w:rsidRPr="00A572F4" w:rsidRDefault="0099308E" w:rsidP="00EB2ED0">
      <w:pPr>
        <w:spacing w:line="276" w:lineRule="auto"/>
        <w:ind w:firstLine="709"/>
        <w:jc w:val="both"/>
        <w:rPr>
          <w:rFonts w:ascii="Arial" w:eastAsia="Calibri" w:hAnsi="Arial" w:cs="Arial"/>
          <w:sz w:val="22"/>
          <w:lang w:val="es-ES"/>
        </w:rPr>
      </w:pPr>
      <w:r w:rsidRPr="00A572F4">
        <w:rPr>
          <w:rFonts w:ascii="Arial" w:eastAsia="Calibri" w:hAnsi="Arial" w:cs="Arial"/>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3B6E483" w14:textId="77777777" w:rsidR="0099308E" w:rsidRPr="00A572F4" w:rsidRDefault="0099308E" w:rsidP="00EB2ED0">
      <w:pPr>
        <w:spacing w:line="276" w:lineRule="auto"/>
        <w:ind w:left="709" w:right="760"/>
        <w:jc w:val="both"/>
        <w:rPr>
          <w:rFonts w:ascii="Arial" w:eastAsia="Calibri" w:hAnsi="Arial" w:cs="Arial"/>
          <w:sz w:val="22"/>
          <w:lang w:val="es-ES"/>
        </w:rPr>
      </w:pPr>
    </w:p>
    <w:p w14:paraId="6A693C3F" w14:textId="77777777" w:rsidR="0099308E" w:rsidRPr="00A572F4" w:rsidRDefault="0099308E" w:rsidP="00EB2ED0">
      <w:pPr>
        <w:ind w:left="709" w:right="760"/>
        <w:jc w:val="both"/>
        <w:rPr>
          <w:rFonts w:ascii="Arial" w:eastAsia="Calibri" w:hAnsi="Arial" w:cs="Arial"/>
          <w:sz w:val="21"/>
          <w:szCs w:val="21"/>
          <w:lang w:val="es-ES"/>
        </w:rPr>
      </w:pPr>
      <w:r w:rsidRPr="00A572F4">
        <w:rPr>
          <w:rFonts w:ascii="Arial" w:eastAsia="Calibri" w:hAnsi="Arial" w:cs="Arial"/>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A572F4">
        <w:rPr>
          <w:rStyle w:val="Refdenotaalpie"/>
          <w:rFonts w:ascii="Arial" w:eastAsia="Calibri" w:hAnsi="Arial" w:cs="Arial"/>
          <w:sz w:val="21"/>
          <w:szCs w:val="21"/>
          <w:lang w:val="es-ES"/>
        </w:rPr>
        <w:footnoteReference w:id="15"/>
      </w:r>
      <w:r w:rsidRPr="00A572F4">
        <w:rPr>
          <w:rFonts w:ascii="Arial" w:eastAsia="Calibri" w:hAnsi="Arial" w:cs="Arial"/>
          <w:sz w:val="21"/>
          <w:szCs w:val="21"/>
          <w:lang w:val="es-ES"/>
        </w:rPr>
        <w:t>.</w:t>
      </w:r>
    </w:p>
    <w:p w14:paraId="623921BD" w14:textId="77777777" w:rsidR="0099308E" w:rsidRPr="00A572F4" w:rsidRDefault="0099308E" w:rsidP="00EB2ED0">
      <w:pPr>
        <w:spacing w:line="276" w:lineRule="auto"/>
        <w:ind w:left="709" w:right="760"/>
        <w:jc w:val="both"/>
        <w:rPr>
          <w:rFonts w:ascii="Arial" w:eastAsia="Calibri" w:hAnsi="Arial" w:cs="Arial"/>
          <w:sz w:val="22"/>
          <w:lang w:val="es-ES"/>
        </w:rPr>
      </w:pPr>
    </w:p>
    <w:p w14:paraId="44D03C3B" w14:textId="4DD3C70E" w:rsidR="0099308E" w:rsidRPr="00A572F4" w:rsidRDefault="0099308E" w:rsidP="00EB2ED0">
      <w:pPr>
        <w:spacing w:after="120" w:line="276" w:lineRule="auto"/>
        <w:ind w:right="51" w:firstLine="709"/>
        <w:jc w:val="both"/>
        <w:rPr>
          <w:rFonts w:ascii="Arial" w:eastAsia="Calibri" w:hAnsi="Arial" w:cs="Arial"/>
          <w:sz w:val="22"/>
          <w:lang w:val="es-ES"/>
        </w:rPr>
      </w:pPr>
      <w:bookmarkStart w:id="9" w:name="_Hlk63884655"/>
      <w:r w:rsidRPr="00A572F4">
        <w:rPr>
          <w:rFonts w:ascii="Arial" w:eastAsia="Calibri" w:hAnsi="Arial" w:cs="Arial"/>
          <w:sz w:val="22"/>
          <w:lang w:val="es-ES"/>
        </w:rPr>
        <w:t xml:space="preserve">La referencia hecha en una ley a que el gobierno nacional reglamentará la materia indica que el reglamento es indispensable para el cumplimiento de </w:t>
      </w:r>
      <w:r w:rsidR="0021480C" w:rsidRPr="00A572F4">
        <w:rPr>
          <w:rFonts w:ascii="Arial" w:eastAsia="Calibri" w:hAnsi="Arial" w:cs="Arial"/>
          <w:sz w:val="22"/>
          <w:lang w:val="es-ES"/>
        </w:rPr>
        <w:t>esta</w:t>
      </w:r>
      <w:r w:rsidRPr="00A572F4">
        <w:rPr>
          <w:rFonts w:ascii="Arial" w:eastAsia="Calibri" w:hAnsi="Arial" w:cs="Arial"/>
          <w:sz w:val="22"/>
          <w:lang w:val="es-ES"/>
        </w:rPr>
        <w:t xml:space="preserve">. Naturalmente, este reconocimiento no siempre implica que la ley está sometida a condición para </w:t>
      </w:r>
      <w:proofErr w:type="gramStart"/>
      <w:r w:rsidRPr="00A572F4">
        <w:rPr>
          <w:rFonts w:ascii="Arial" w:eastAsia="Calibri" w:hAnsi="Arial" w:cs="Arial"/>
          <w:sz w:val="22"/>
          <w:lang w:val="es-ES"/>
        </w:rPr>
        <w:t xml:space="preserve">entrar en </w:t>
      </w:r>
      <w:r w:rsidRPr="00A572F4">
        <w:rPr>
          <w:rFonts w:ascii="Arial" w:eastAsia="Calibri" w:hAnsi="Arial" w:cs="Arial"/>
          <w:sz w:val="22"/>
          <w:lang w:val="es-ES"/>
        </w:rPr>
        <w:lastRenderedPageBreak/>
        <w:t>vigencia</w:t>
      </w:r>
      <w:proofErr w:type="gramEnd"/>
      <w:r w:rsidRPr="00A572F4">
        <w:rPr>
          <w:rFonts w:ascii="Arial" w:eastAsia="Calibri" w:hAnsi="Arial" w:cs="Arial"/>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9"/>
    <w:p w14:paraId="03A384D8" w14:textId="77777777" w:rsidR="0099308E" w:rsidRPr="00A572F4" w:rsidRDefault="0099308E" w:rsidP="00EB2ED0">
      <w:pPr>
        <w:spacing w:after="120" w:line="276" w:lineRule="auto"/>
        <w:ind w:right="51" w:firstLine="709"/>
        <w:jc w:val="both"/>
        <w:rPr>
          <w:rFonts w:ascii="Arial" w:eastAsia="Calibri" w:hAnsi="Arial" w:cs="Arial"/>
          <w:bCs/>
          <w:sz w:val="22"/>
        </w:rPr>
      </w:pPr>
      <w:r w:rsidRPr="00A572F4">
        <w:rPr>
          <w:rFonts w:ascii="Arial" w:eastAsia="Calibri" w:hAnsi="Arial" w:cs="Arial"/>
          <w:sz w:val="22"/>
          <w:lang w:val="es-ES"/>
        </w:rPr>
        <w:t xml:space="preserve">En tal sentido, el Congreso de la República dispuso la expedición de un decreto reglamentario para detallar el contenido </w:t>
      </w:r>
      <w:r w:rsidRPr="00A572F4">
        <w:rPr>
          <w:rFonts w:ascii="Arial" w:eastAsia="Calibri" w:hAnsi="Arial" w:cs="Arial"/>
          <w:sz w:val="22"/>
          <w:lang w:val="es-ES_tradnl"/>
        </w:rPr>
        <w:t>los artículos 31, 32, 34 y 36 de la Ley 2069 de 2020</w:t>
      </w:r>
      <w:r w:rsidRPr="00A572F4">
        <w:rPr>
          <w:rFonts w:ascii="Arial" w:eastAsia="Calibri" w:hAnsi="Arial" w:cs="Arial"/>
          <w:sz w:val="22"/>
          <w:lang w:val="es-ES"/>
        </w:rPr>
        <w:t xml:space="preserve">. Por ello, en ausencia de desarrollo normativo posterior existe una </w:t>
      </w:r>
      <w:r w:rsidRPr="00A572F4">
        <w:rPr>
          <w:rFonts w:ascii="Arial" w:eastAsia="Calibri" w:hAnsi="Arial" w:cs="Arial"/>
          <w:i/>
          <w:iCs/>
          <w:sz w:val="22"/>
          <w:lang w:val="es-ES"/>
        </w:rPr>
        <w:t>laguna técnica</w:t>
      </w:r>
      <w:r w:rsidRPr="00A572F4">
        <w:rPr>
          <w:rFonts w:ascii="Arial" w:eastAsia="Calibri" w:hAnsi="Arial" w:cs="Arial"/>
          <w:sz w:val="22"/>
          <w:lang w:val="es-ES"/>
        </w:rPr>
        <w:t xml:space="preserve"> que impide aplicar estas disposiciones</w:t>
      </w:r>
      <w:r w:rsidRPr="00A572F4">
        <w:rPr>
          <w:rFonts w:ascii="Arial" w:eastAsia="Calibri" w:hAnsi="Arial" w:cs="Arial"/>
          <w:bCs/>
          <w:sz w:val="22"/>
        </w:rPr>
        <w:t xml:space="preserve">. 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y </w:t>
      </w:r>
      <w:proofErr w:type="spellStart"/>
      <w:r w:rsidRPr="00A572F4">
        <w:rPr>
          <w:rFonts w:ascii="Arial" w:eastAsia="Calibri" w:hAnsi="Arial" w:cs="Arial"/>
          <w:bCs/>
          <w:sz w:val="22"/>
        </w:rPr>
        <w:t>ii</w:t>
      </w:r>
      <w:proofErr w:type="spellEnd"/>
      <w:r w:rsidRPr="00A572F4">
        <w:rPr>
          <w:rFonts w:ascii="Arial" w:eastAsia="Calibri" w:hAnsi="Arial" w:cs="Arial"/>
          <w:bCs/>
          <w:sz w:val="22"/>
        </w:rPr>
        <w:t xml:space="preserve">) las convocatorias limitadas a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así como el fomento en la ejecución de los contratos estatales por parte de sujetos de especial protección</w:t>
      </w:r>
      <w:r w:rsidRPr="00A572F4">
        <w:rPr>
          <w:rStyle w:val="Refdenotaalpie"/>
          <w:rFonts w:ascii="Arial" w:eastAsia="Calibri" w:hAnsi="Arial" w:cs="Arial"/>
          <w:bCs/>
          <w:sz w:val="22"/>
        </w:rPr>
        <w:footnoteReference w:id="16"/>
      </w:r>
      <w:r w:rsidRPr="00A572F4">
        <w:rPr>
          <w:rFonts w:ascii="Arial" w:eastAsia="Calibri" w:hAnsi="Arial" w:cs="Arial"/>
          <w:bCs/>
          <w:sz w:val="22"/>
        </w:rPr>
        <w:t xml:space="preserve">. </w:t>
      </w:r>
    </w:p>
    <w:p w14:paraId="332C0B0A" w14:textId="77777777" w:rsidR="0099308E" w:rsidRPr="00A572F4" w:rsidRDefault="0099308E" w:rsidP="00EB2ED0">
      <w:pPr>
        <w:spacing w:after="120" w:line="276" w:lineRule="auto"/>
        <w:ind w:right="51" w:firstLine="709"/>
        <w:jc w:val="both"/>
        <w:rPr>
          <w:rFonts w:ascii="Arial" w:eastAsia="Calibri" w:hAnsi="Arial" w:cs="Arial"/>
          <w:bCs/>
          <w:sz w:val="22"/>
        </w:rPr>
      </w:pPr>
      <w:r w:rsidRPr="00A572F4">
        <w:rPr>
          <w:rFonts w:ascii="Arial" w:eastAsia="Calibri" w:hAnsi="Arial" w:cs="Arial"/>
          <w:bCs/>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A572F4">
        <w:rPr>
          <w:rFonts w:ascii="Arial" w:eastAsia="Calibri" w:hAnsi="Arial" w:cs="Arial"/>
          <w:sz w:val="22"/>
          <w:lang w:val="es-ES_tradnl"/>
        </w:rPr>
        <w:t>los artículos 31, 32, 34 y 36 de la Ley 2069 de 2020</w:t>
      </w:r>
      <w:r w:rsidRPr="00A572F4">
        <w:rPr>
          <w:rFonts w:ascii="Arial" w:eastAsia="Calibri" w:hAnsi="Arial" w:cs="Arial"/>
          <w:bCs/>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3BB05DCB" w14:textId="77777777" w:rsidR="0099308E" w:rsidRPr="00A572F4" w:rsidRDefault="0099308E" w:rsidP="00EB2ED0">
      <w:pPr>
        <w:spacing w:after="120" w:line="276" w:lineRule="auto"/>
        <w:ind w:right="51" w:firstLine="709"/>
        <w:jc w:val="both"/>
        <w:rPr>
          <w:rFonts w:ascii="Arial" w:eastAsia="Calibri" w:hAnsi="Arial" w:cs="Arial"/>
          <w:bCs/>
          <w:sz w:val="22"/>
        </w:rPr>
      </w:pPr>
      <w:r w:rsidRPr="00A572F4">
        <w:rPr>
          <w:rFonts w:ascii="Arial" w:eastAsia="Calibri" w:hAnsi="Arial" w:cs="Arial"/>
          <w:bCs/>
          <w:sz w:val="22"/>
        </w:rPr>
        <w:t xml:space="preserve">Por tanto, </w:t>
      </w:r>
      <w:bookmarkStart w:id="10" w:name="_Hlk51668471"/>
      <w:r w:rsidRPr="00A572F4">
        <w:rPr>
          <w:rFonts w:ascii="Arial" w:eastAsia="Calibri" w:hAnsi="Arial" w:cs="Arial"/>
          <w:bCs/>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A572F4">
        <w:rPr>
          <w:rStyle w:val="Refdenotaalpie"/>
          <w:rFonts w:ascii="Arial" w:eastAsia="Calibri" w:hAnsi="Arial" w:cs="Arial"/>
          <w:bCs/>
          <w:sz w:val="22"/>
        </w:rPr>
        <w:footnoteReference w:id="17"/>
      </w:r>
      <w:r w:rsidRPr="00A572F4">
        <w:rPr>
          <w:rFonts w:ascii="Arial" w:eastAsia="Calibri" w:hAnsi="Arial" w:cs="Arial"/>
          <w:bCs/>
          <w:sz w:val="22"/>
        </w:rPr>
        <w:t>. En este tipo de situaciones, «[…] las autoridades no tienen -ni tuvieron- la posibilidad de escoger entre expedir el acto o dejar de hacerlo. Es decir, se trata de una potestad reglada, desde el punto de vista de la necesidad de la actuación»</w:t>
      </w:r>
      <w:r w:rsidRPr="00A572F4">
        <w:rPr>
          <w:rStyle w:val="Refdenotaalpie"/>
          <w:rFonts w:ascii="Arial" w:eastAsia="Calibri" w:hAnsi="Arial" w:cs="Arial"/>
          <w:bCs/>
          <w:sz w:val="22"/>
        </w:rPr>
        <w:footnoteReference w:id="18"/>
      </w:r>
      <w:r w:rsidRPr="00A572F4">
        <w:rPr>
          <w:rFonts w:ascii="Arial" w:eastAsia="Calibri" w:hAnsi="Arial" w:cs="Arial"/>
          <w:bCs/>
          <w:sz w:val="22"/>
        </w:rPr>
        <w:t>.</w:t>
      </w:r>
    </w:p>
    <w:p w14:paraId="780B0272" w14:textId="77777777" w:rsidR="0099308E" w:rsidRPr="00A572F4" w:rsidRDefault="0099308E" w:rsidP="00EB2ED0">
      <w:pPr>
        <w:spacing w:line="276" w:lineRule="auto"/>
        <w:ind w:right="51" w:firstLine="709"/>
        <w:jc w:val="both"/>
        <w:rPr>
          <w:rFonts w:ascii="Arial" w:eastAsia="Calibri" w:hAnsi="Arial" w:cs="Arial"/>
          <w:bCs/>
          <w:sz w:val="22"/>
        </w:rPr>
      </w:pPr>
      <w:r w:rsidRPr="00A572F4">
        <w:rPr>
          <w:rFonts w:ascii="Arial" w:eastAsia="Calibri" w:hAnsi="Arial" w:cs="Arial"/>
          <w:bCs/>
          <w:sz w:val="22"/>
        </w:rPr>
        <w:t>En ese orden de ideas, es posible afirmar que</w:t>
      </w:r>
      <w:bookmarkEnd w:id="10"/>
      <w:r w:rsidRPr="00A572F4">
        <w:rPr>
          <w:rFonts w:ascii="Arial" w:eastAsia="Calibri" w:hAnsi="Arial" w:cs="Arial"/>
          <w:bCs/>
          <w:sz w:val="22"/>
        </w:rPr>
        <w:t xml:space="preserve">, </w:t>
      </w:r>
      <w:bookmarkStart w:id="11" w:name="_Hlk63884107"/>
      <w:r w:rsidRPr="00A572F4">
        <w:rPr>
          <w:rFonts w:ascii="Arial" w:eastAsia="Calibri" w:hAnsi="Arial" w:cs="Arial"/>
          <w:bCs/>
          <w:sz w:val="22"/>
        </w:rPr>
        <w:t xml:space="preserve">en </w:t>
      </w:r>
      <w:r w:rsidRPr="00A572F4">
        <w:rPr>
          <w:rFonts w:ascii="Arial" w:eastAsia="Calibri" w:hAnsi="Arial" w:cs="Arial"/>
          <w:sz w:val="22"/>
          <w:lang w:val="es-ES_tradnl"/>
        </w:rPr>
        <w:t>los artículos 31, 32, 34 y 36</w:t>
      </w:r>
      <w:r w:rsidRPr="00A572F4">
        <w:rPr>
          <w:rFonts w:ascii="Arial" w:eastAsia="Calibri" w:hAnsi="Arial" w:cs="Arial"/>
          <w:bCs/>
          <w:sz w:val="22"/>
        </w:rPr>
        <w:t xml:space="preserve">, el Congreso de la República reconoce la necesidad de un reglamento para el efectivo cumplimiento de la </w:t>
      </w:r>
      <w:r w:rsidRPr="00A572F4">
        <w:rPr>
          <w:rFonts w:ascii="Arial" w:eastAsia="Calibri" w:hAnsi="Arial" w:cs="Arial"/>
          <w:sz w:val="22"/>
          <w:lang w:val="es-ES_tradnl"/>
        </w:rPr>
        <w:t>Ley 2069 de 2020</w:t>
      </w:r>
      <w:r w:rsidRPr="00A572F4">
        <w:rPr>
          <w:rFonts w:ascii="Arial" w:eastAsia="Calibri" w:hAnsi="Arial" w:cs="Arial"/>
          <w:bCs/>
          <w:sz w:val="22"/>
        </w:rPr>
        <w:t xml:space="preserve">, lo que demuestra, para el caso concreto, una </w:t>
      </w:r>
      <w:r w:rsidRPr="00A572F4">
        <w:rPr>
          <w:rFonts w:ascii="Arial" w:eastAsia="Calibri" w:hAnsi="Arial" w:cs="Arial"/>
          <w:bCs/>
          <w:sz w:val="22"/>
        </w:rPr>
        <w:lastRenderedPageBreak/>
        <w:t xml:space="preserve">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w:t>
      </w:r>
      <w:proofErr w:type="spellStart"/>
      <w:r w:rsidRPr="00A572F4">
        <w:rPr>
          <w:rFonts w:ascii="Arial" w:eastAsia="Calibri" w:hAnsi="Arial" w:cs="Arial"/>
          <w:bCs/>
          <w:sz w:val="22"/>
        </w:rPr>
        <w:t>ii</w:t>
      </w:r>
      <w:proofErr w:type="spellEnd"/>
      <w:r w:rsidRPr="00A572F4">
        <w:rPr>
          <w:rFonts w:ascii="Arial" w:eastAsia="Calibri" w:hAnsi="Arial" w:cs="Arial"/>
          <w:bCs/>
          <w:sz w:val="22"/>
        </w:rPr>
        <w:t xml:space="preserve">) la definición de «emprendimientos y empresas de mujeres», </w:t>
      </w:r>
      <w:proofErr w:type="spellStart"/>
      <w:r w:rsidRPr="00A572F4">
        <w:rPr>
          <w:rFonts w:ascii="Arial" w:eastAsia="Calibri" w:hAnsi="Arial" w:cs="Arial"/>
          <w:bCs/>
          <w:sz w:val="22"/>
        </w:rPr>
        <w:t>iii</w:t>
      </w:r>
      <w:proofErr w:type="spellEnd"/>
      <w:r w:rsidRPr="00A572F4">
        <w:rPr>
          <w:rFonts w:ascii="Arial" w:eastAsia="Calibri" w:hAnsi="Arial" w:cs="Arial"/>
          <w:bCs/>
          <w:sz w:val="22"/>
        </w:rPr>
        <w:t xml:space="preserve">) las convocatorias limitadas a </w:t>
      </w:r>
      <w:proofErr w:type="spellStart"/>
      <w:r w:rsidRPr="00A572F4">
        <w:rPr>
          <w:rFonts w:ascii="Arial" w:eastAsia="Calibri" w:hAnsi="Arial" w:cs="Arial"/>
          <w:bCs/>
          <w:sz w:val="22"/>
        </w:rPr>
        <w:t>mipymes</w:t>
      </w:r>
      <w:proofErr w:type="spellEnd"/>
      <w:r w:rsidRPr="00A572F4">
        <w:rPr>
          <w:rFonts w:ascii="Arial" w:eastAsia="Calibri" w:hAnsi="Arial" w:cs="Arial"/>
          <w:bCs/>
          <w:sz w:val="22"/>
        </w:rPr>
        <w:t xml:space="preserve"> y el fomento en la ejecución de los contratos estatales por parte de sujetos de especial protección, así como </w:t>
      </w:r>
      <w:proofErr w:type="spellStart"/>
      <w:r w:rsidRPr="00A572F4">
        <w:rPr>
          <w:rFonts w:ascii="Arial" w:eastAsia="Calibri" w:hAnsi="Arial" w:cs="Arial"/>
          <w:bCs/>
          <w:sz w:val="22"/>
        </w:rPr>
        <w:t>iv</w:t>
      </w:r>
      <w:proofErr w:type="spellEnd"/>
      <w:r w:rsidRPr="00A572F4">
        <w:rPr>
          <w:rFonts w:ascii="Arial" w:eastAsia="Calibri" w:hAnsi="Arial" w:cs="Arial"/>
          <w:bCs/>
          <w:sz w:val="22"/>
        </w:rPr>
        <w:t>) la promoción de las compras públicas de tecnología e innovación. A similar conclusión no se llega en relación con el artículo 30 de la Ley 2069 de 2020, porque, como se explicará a continuación, esta norma goza de eficacia directa, sin perjuicio de que el gobierno nacional la reglamente.</w:t>
      </w:r>
    </w:p>
    <w:p w14:paraId="01BB7CA6" w14:textId="77777777" w:rsidR="00AD1B10" w:rsidRPr="00A572F4" w:rsidRDefault="00AD1B10" w:rsidP="00AD1B10">
      <w:pPr>
        <w:spacing w:line="276" w:lineRule="auto"/>
        <w:jc w:val="both"/>
        <w:rPr>
          <w:rFonts w:ascii="Arial" w:eastAsia="Calibri" w:hAnsi="Arial" w:cs="Arial"/>
          <w:sz w:val="22"/>
          <w:szCs w:val="22"/>
          <w:lang w:val="es-ES_tradnl"/>
        </w:rPr>
      </w:pPr>
      <w:bookmarkStart w:id="12" w:name="_Hlk64292850"/>
      <w:bookmarkEnd w:id="11"/>
    </w:p>
    <w:p w14:paraId="10A9A8B3" w14:textId="65B1639C" w:rsidR="00AD1B10" w:rsidRPr="00A572F4" w:rsidRDefault="00AD1B10" w:rsidP="00AD1B10">
      <w:pPr>
        <w:spacing w:line="276" w:lineRule="auto"/>
        <w:jc w:val="both"/>
        <w:rPr>
          <w:rFonts w:ascii="Arial" w:eastAsia="Calibri" w:hAnsi="Arial" w:cs="Arial"/>
          <w:b/>
          <w:bCs/>
          <w:sz w:val="22"/>
          <w:szCs w:val="22"/>
          <w:lang w:val="es-ES_tradnl"/>
        </w:rPr>
      </w:pPr>
      <w:r w:rsidRPr="00A572F4">
        <w:rPr>
          <w:rFonts w:ascii="Arial" w:eastAsia="Calibri" w:hAnsi="Arial" w:cs="Arial"/>
          <w:b/>
          <w:bCs/>
          <w:sz w:val="22"/>
          <w:szCs w:val="22"/>
          <w:lang w:val="es-ES_tradnl"/>
        </w:rPr>
        <w:t>2.</w:t>
      </w:r>
      <w:r w:rsidR="007D12EC" w:rsidRPr="00A572F4">
        <w:rPr>
          <w:rFonts w:ascii="Arial" w:eastAsia="Calibri" w:hAnsi="Arial" w:cs="Arial"/>
          <w:b/>
          <w:bCs/>
          <w:sz w:val="22"/>
          <w:szCs w:val="22"/>
          <w:lang w:val="es-ES_tradnl"/>
        </w:rPr>
        <w:t>3</w:t>
      </w:r>
      <w:r w:rsidRPr="00A572F4">
        <w:rPr>
          <w:rFonts w:ascii="Arial" w:eastAsia="Calibri" w:hAnsi="Arial" w:cs="Arial"/>
          <w:b/>
          <w:bCs/>
          <w:sz w:val="22"/>
          <w:szCs w:val="22"/>
          <w:lang w:val="es-ES_tradnl"/>
        </w:rPr>
        <w:t xml:space="preserve">. Nueva regulación de la promoción del desarrollo en la contratación estatal en el artículo 34 de la Ley 2069 de 2020. Regulación de las convocatorias limitadas a </w:t>
      </w:r>
      <w:proofErr w:type="spellStart"/>
      <w:r w:rsidRPr="00A572F4">
        <w:rPr>
          <w:rFonts w:ascii="Arial" w:eastAsia="Calibri" w:hAnsi="Arial" w:cs="Arial"/>
          <w:b/>
          <w:bCs/>
          <w:sz w:val="22"/>
          <w:szCs w:val="22"/>
          <w:lang w:val="es-ES_tradnl"/>
        </w:rPr>
        <w:t>mipymes</w:t>
      </w:r>
      <w:proofErr w:type="spellEnd"/>
      <w:r w:rsidRPr="00A572F4">
        <w:rPr>
          <w:rFonts w:ascii="Arial" w:eastAsia="Calibri" w:hAnsi="Arial" w:cs="Arial"/>
          <w:b/>
          <w:bCs/>
          <w:sz w:val="22"/>
          <w:szCs w:val="22"/>
          <w:lang w:val="es-ES_tradnl"/>
        </w:rPr>
        <w:t>: eficacia y alcance de la potestad reglamentaria</w:t>
      </w:r>
    </w:p>
    <w:p w14:paraId="678FD9A5" w14:textId="77777777" w:rsidR="00DA565E" w:rsidRPr="00A572F4" w:rsidRDefault="00DA565E" w:rsidP="00AD1B10">
      <w:pPr>
        <w:spacing w:line="276" w:lineRule="auto"/>
        <w:jc w:val="both"/>
        <w:rPr>
          <w:rFonts w:ascii="Arial" w:eastAsia="Calibri" w:hAnsi="Arial" w:cs="Arial"/>
          <w:sz w:val="22"/>
          <w:szCs w:val="22"/>
          <w:lang w:val="es-ES_tradnl"/>
        </w:rPr>
      </w:pPr>
    </w:p>
    <w:p w14:paraId="06ECF8E7" w14:textId="10F6CFD5" w:rsidR="00AD1B10" w:rsidRPr="00A572F4" w:rsidRDefault="00AD1B10" w:rsidP="00AD1B10">
      <w:pPr>
        <w:spacing w:line="276" w:lineRule="auto"/>
        <w:jc w:val="both"/>
        <w:rPr>
          <w:rFonts w:ascii="Arial" w:eastAsia="Calibri" w:hAnsi="Arial" w:cs="Arial"/>
          <w:sz w:val="22"/>
          <w:szCs w:val="22"/>
          <w:lang w:val="es-ES_tradnl"/>
        </w:rPr>
      </w:pPr>
      <w:r w:rsidRPr="00A572F4">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A572F4">
        <w:rPr>
          <w:rStyle w:val="Refdenotaalpie"/>
          <w:rFonts w:ascii="Arial" w:eastAsia="Calibri" w:hAnsi="Arial" w:cs="Arial"/>
          <w:sz w:val="22"/>
          <w:szCs w:val="22"/>
          <w:lang w:val="es-ES_tradnl"/>
        </w:rPr>
        <w:footnoteReference w:id="19"/>
      </w:r>
      <w:r w:rsidRPr="00A572F4">
        <w:rPr>
          <w:rFonts w:ascii="Arial" w:eastAsia="Calibri" w:hAnsi="Arial" w:cs="Arial"/>
          <w:sz w:val="22"/>
          <w:szCs w:val="22"/>
          <w:lang w:val="es-ES_tradnl"/>
        </w:rPr>
        <w:t>, regulación que se resume en los siguientes aspectos:</w:t>
      </w:r>
    </w:p>
    <w:p w14:paraId="4C155AEF" w14:textId="0EAB6710"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en los procesos de contratación. Además, agrega que estas convocatorias se pueden realizar también en el ámbito municipal o departamental en el que se ejecute el contrato. </w:t>
      </w:r>
    </w:p>
    <w:p w14:paraId="6A4E5252"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proofErr w:type="spellStart"/>
      <w:r w:rsidRPr="00A572F4">
        <w:rPr>
          <w:rFonts w:ascii="Arial" w:eastAsia="Calibri" w:hAnsi="Arial" w:cs="Arial"/>
          <w:sz w:val="22"/>
          <w:szCs w:val="22"/>
          <w:lang w:val="es-ES_tradnl"/>
        </w:rPr>
        <w:t>ii</w:t>
      </w:r>
      <w:proofErr w:type="spellEnd"/>
      <w:r w:rsidRPr="00A572F4">
        <w:rPr>
          <w:rFonts w:ascii="Arial" w:eastAsia="Calibri" w:hAnsi="Arial" w:cs="Arial"/>
          <w:sz w:val="22"/>
          <w:szCs w:val="22"/>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hayan manifestado su interés.</w:t>
      </w:r>
    </w:p>
    <w:p w14:paraId="59B90946"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proofErr w:type="spellStart"/>
      <w:r w:rsidRPr="00A572F4">
        <w:rPr>
          <w:rFonts w:ascii="Arial" w:eastAsia="Calibri" w:hAnsi="Arial" w:cs="Arial"/>
          <w:sz w:val="22"/>
          <w:szCs w:val="22"/>
          <w:lang w:val="es-ES_tradnl"/>
        </w:rPr>
        <w:t>iii</w:t>
      </w:r>
      <w:proofErr w:type="spellEnd"/>
      <w:r w:rsidRPr="00A572F4">
        <w:rPr>
          <w:rFonts w:ascii="Arial" w:eastAsia="Calibri" w:hAnsi="Arial" w:cs="Arial"/>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AA5BB71"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proofErr w:type="spellStart"/>
      <w:r w:rsidRPr="00A572F4">
        <w:rPr>
          <w:rFonts w:ascii="Arial" w:eastAsia="Calibri" w:hAnsi="Arial" w:cs="Arial"/>
          <w:sz w:val="22"/>
          <w:szCs w:val="22"/>
          <w:lang w:val="es-ES_tradnl"/>
        </w:rPr>
        <w:t>iv</w:t>
      </w:r>
      <w:proofErr w:type="spellEnd"/>
      <w:r w:rsidRPr="00A572F4">
        <w:rPr>
          <w:rFonts w:ascii="Arial" w:eastAsia="Calibri" w:hAnsi="Arial" w:cs="Arial"/>
          <w:sz w:val="22"/>
          <w:szCs w:val="22"/>
          <w:lang w:val="es-ES_tradnl"/>
        </w:rPr>
        <w:t xml:space="preserve">) Establece que, en el reglamento, el gobierno nacional podría establecer condiciones preferenciales para los bienes y servicios producidos por las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sin perjuicio de los compromisos internacionales vigentes.</w:t>
      </w:r>
    </w:p>
    <w:p w14:paraId="33149EF1"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v)  Aclara que tanto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como las condiciones preferenciales a favor de los bienes y servicios producidos por estas, no es óbice para que deban cumplir las exigencias técnicas y económicas del proceso de selección.</w:t>
      </w:r>
    </w:p>
    <w:p w14:paraId="39224291"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vi) Señala que el reglamento que expida el gobierno nacional, además de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7260854C"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proofErr w:type="spellStart"/>
      <w:r w:rsidRPr="00A572F4">
        <w:rPr>
          <w:rFonts w:ascii="Arial" w:eastAsia="Calibri" w:hAnsi="Arial" w:cs="Arial"/>
          <w:sz w:val="22"/>
          <w:szCs w:val="22"/>
          <w:lang w:val="es-ES_tradnl"/>
        </w:rPr>
        <w:t>vii</w:t>
      </w:r>
      <w:proofErr w:type="spellEnd"/>
      <w:r w:rsidRPr="00A572F4">
        <w:rPr>
          <w:rFonts w:ascii="Arial" w:eastAsia="Calibri" w:hAnsi="Arial" w:cs="Arial"/>
          <w:sz w:val="22"/>
          <w:szCs w:val="22"/>
          <w:lang w:val="es-ES_tradnl"/>
        </w:rPr>
        <w:t xml:space="preserve">) Precisa que la posibilidad de participar en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7BE69F87"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proofErr w:type="spellStart"/>
      <w:r w:rsidRPr="00A572F4">
        <w:rPr>
          <w:rFonts w:ascii="Arial" w:eastAsia="Calibri" w:hAnsi="Arial" w:cs="Arial"/>
          <w:sz w:val="22"/>
          <w:szCs w:val="22"/>
          <w:lang w:val="es-ES_tradnl"/>
        </w:rPr>
        <w:t>viii</w:t>
      </w:r>
      <w:proofErr w:type="spellEnd"/>
      <w:r w:rsidRPr="00A572F4">
        <w:rPr>
          <w:rFonts w:ascii="Arial" w:eastAsia="Calibri" w:hAnsi="Arial" w:cs="Arial"/>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59830609"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w:t>
      </w:r>
      <w:r w:rsidRPr="00A572F4">
        <w:rPr>
          <w:rFonts w:ascii="Arial" w:eastAsia="Calibri" w:hAnsi="Arial" w:cs="Arial"/>
          <w:sz w:val="22"/>
          <w:szCs w:val="22"/>
          <w:lang w:val="es-ES_tradnl"/>
        </w:rPr>
        <w:lastRenderedPageBreak/>
        <w:t xml:space="preserve">norma se produjo el fenómeno de la subrogación, el cual explica la Corte Constitucional en los siguientes términos: </w:t>
      </w:r>
    </w:p>
    <w:p w14:paraId="128B7B30" w14:textId="77777777" w:rsidR="00AD1B10" w:rsidRPr="00A572F4" w:rsidRDefault="00AD1B10" w:rsidP="00AD1B10">
      <w:pPr>
        <w:spacing w:line="276" w:lineRule="auto"/>
        <w:ind w:left="709" w:right="709"/>
        <w:jc w:val="both"/>
        <w:rPr>
          <w:rFonts w:ascii="Arial" w:eastAsia="Calibri" w:hAnsi="Arial" w:cs="Arial"/>
          <w:sz w:val="21"/>
          <w:szCs w:val="21"/>
          <w:lang w:val="es-ES_tradnl"/>
        </w:rPr>
      </w:pPr>
    </w:p>
    <w:p w14:paraId="0C0193D8" w14:textId="77777777" w:rsidR="00AD1B10" w:rsidRPr="00A572F4" w:rsidRDefault="00AD1B10" w:rsidP="00AD1B10">
      <w:pPr>
        <w:ind w:left="709" w:right="709"/>
        <w:jc w:val="both"/>
        <w:rPr>
          <w:rFonts w:ascii="Arial" w:eastAsia="Calibri" w:hAnsi="Arial" w:cs="Arial"/>
          <w:sz w:val="21"/>
          <w:szCs w:val="21"/>
          <w:lang w:val="es-ES_tradnl"/>
        </w:rPr>
      </w:pPr>
      <w:r w:rsidRPr="00A572F4">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A572F4">
        <w:rPr>
          <w:rStyle w:val="Refdenotaalpie"/>
          <w:rFonts w:ascii="Arial" w:eastAsia="Calibri" w:hAnsi="Arial" w:cs="Arial"/>
          <w:sz w:val="21"/>
          <w:szCs w:val="21"/>
          <w:lang w:val="es-ES_tradnl"/>
        </w:rPr>
        <w:footnoteReference w:id="20"/>
      </w:r>
      <w:r w:rsidRPr="00A572F4">
        <w:rPr>
          <w:rFonts w:ascii="Arial" w:eastAsia="Calibri" w:hAnsi="Arial" w:cs="Arial"/>
          <w:sz w:val="21"/>
          <w:szCs w:val="21"/>
          <w:lang w:val="es-ES_tradnl"/>
        </w:rPr>
        <w:t>.</w:t>
      </w:r>
    </w:p>
    <w:p w14:paraId="339169CF" w14:textId="77777777" w:rsidR="00AD1B10" w:rsidRPr="00A572F4" w:rsidRDefault="00AD1B10" w:rsidP="00AD1B10">
      <w:pPr>
        <w:spacing w:line="276" w:lineRule="auto"/>
        <w:ind w:firstLine="709"/>
        <w:jc w:val="both"/>
        <w:rPr>
          <w:rFonts w:ascii="Arial" w:eastAsia="Calibri" w:hAnsi="Arial" w:cs="Arial"/>
          <w:sz w:val="22"/>
          <w:szCs w:val="22"/>
          <w:lang w:val="es-ES_tradnl"/>
        </w:rPr>
      </w:pPr>
    </w:p>
    <w:p w14:paraId="6C9507B5" w14:textId="77777777" w:rsidR="00AD1B10" w:rsidRPr="00A572F4" w:rsidRDefault="00AD1B10" w:rsidP="00AD1B10">
      <w:pPr>
        <w:spacing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C559EF8"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6BC05F71"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En este orden de ideas,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4E1A599A" w14:textId="77777777" w:rsidR="00AD1B10" w:rsidRPr="00A572F4" w:rsidRDefault="00AD1B10" w:rsidP="00AD1B10">
      <w:pPr>
        <w:ind w:left="709" w:right="709"/>
        <w:jc w:val="both"/>
        <w:rPr>
          <w:rFonts w:ascii="Arial" w:eastAsia="Calibri" w:hAnsi="Arial" w:cs="Arial"/>
          <w:sz w:val="21"/>
          <w:szCs w:val="21"/>
          <w:lang w:val="es-ES_tradnl"/>
        </w:rPr>
      </w:pPr>
    </w:p>
    <w:p w14:paraId="63EC43FB" w14:textId="77777777" w:rsidR="00AD1B10" w:rsidRPr="00A572F4" w:rsidRDefault="00AD1B10" w:rsidP="00AD1B10">
      <w:pPr>
        <w:ind w:left="709" w:right="709"/>
        <w:jc w:val="both"/>
        <w:rPr>
          <w:rFonts w:ascii="Arial" w:eastAsia="Calibri" w:hAnsi="Arial" w:cs="Arial"/>
          <w:sz w:val="21"/>
          <w:szCs w:val="21"/>
          <w:lang w:val="es-ES_tradnl"/>
        </w:rPr>
      </w:pPr>
      <w:r w:rsidRPr="00A572F4">
        <w:rPr>
          <w:rFonts w:ascii="Arial" w:eastAsia="Calibri" w:hAnsi="Arial" w:cs="Arial"/>
          <w:sz w:val="21"/>
          <w:szCs w:val="21"/>
          <w:lang w:val="es-ES_tradnl"/>
        </w:rPr>
        <w:t>Adiciónese un parágrafo al artículo 12 de la Ley 1150 de 2007:</w:t>
      </w:r>
    </w:p>
    <w:p w14:paraId="79F8E89E" w14:textId="77777777" w:rsidR="00AD1B10" w:rsidRPr="00A572F4" w:rsidRDefault="00AD1B10" w:rsidP="00AD1B10">
      <w:pPr>
        <w:ind w:right="709"/>
        <w:jc w:val="both"/>
        <w:rPr>
          <w:rFonts w:ascii="Arial" w:eastAsia="Calibri" w:hAnsi="Arial" w:cs="Arial"/>
          <w:sz w:val="21"/>
          <w:szCs w:val="21"/>
          <w:lang w:val="es-ES_tradnl"/>
        </w:rPr>
      </w:pPr>
    </w:p>
    <w:p w14:paraId="5D00FFF0" w14:textId="77777777" w:rsidR="00AD1B10" w:rsidRPr="00A572F4" w:rsidRDefault="00AD1B10" w:rsidP="00AD1B10">
      <w:pPr>
        <w:spacing w:after="120"/>
        <w:ind w:left="709" w:right="709"/>
        <w:jc w:val="both"/>
        <w:rPr>
          <w:rFonts w:ascii="Arial" w:eastAsia="Calibri" w:hAnsi="Arial" w:cs="Arial"/>
          <w:sz w:val="21"/>
          <w:szCs w:val="21"/>
          <w:lang w:val="es-ES_tradnl"/>
        </w:rPr>
      </w:pPr>
      <w:r w:rsidRPr="00A572F4">
        <w:rPr>
          <w:rFonts w:ascii="Arial" w:eastAsia="Calibri" w:hAnsi="Arial" w:cs="Arial"/>
          <w:sz w:val="21"/>
          <w:szCs w:val="21"/>
          <w:lang w:val="es-ES_tradnl"/>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w:t>
      </w:r>
      <w:r w:rsidRPr="00A572F4">
        <w:rPr>
          <w:rFonts w:ascii="Arial" w:eastAsia="Calibri" w:hAnsi="Arial" w:cs="Arial"/>
          <w:sz w:val="21"/>
          <w:szCs w:val="21"/>
          <w:lang w:val="es-ES_tradnl"/>
        </w:rPr>
        <w:lastRenderedPageBreak/>
        <w:t>sobrevivencia y que hayan cumplido el requisito de edad de pensión establecido en la Ley.</w:t>
      </w:r>
    </w:p>
    <w:p w14:paraId="0A6794D9" w14:textId="77777777" w:rsidR="00AD1B10" w:rsidRPr="00A572F4" w:rsidRDefault="00AD1B10" w:rsidP="00AD1B10">
      <w:pPr>
        <w:spacing w:after="120"/>
        <w:ind w:left="709" w:right="709"/>
        <w:jc w:val="both"/>
        <w:rPr>
          <w:rFonts w:ascii="Arial" w:eastAsia="Calibri" w:hAnsi="Arial" w:cs="Arial"/>
          <w:sz w:val="21"/>
          <w:szCs w:val="21"/>
          <w:lang w:val="es-ES_tradnl"/>
        </w:rPr>
      </w:pPr>
      <w:r w:rsidRPr="00A572F4">
        <w:rPr>
          <w:rFonts w:ascii="Arial" w:eastAsia="Calibri" w:hAnsi="Arial" w:cs="Arial"/>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A572F4">
        <w:rPr>
          <w:rFonts w:ascii="Arial" w:eastAsia="Calibri" w:hAnsi="Arial" w:cs="Arial"/>
          <w:sz w:val="21"/>
          <w:szCs w:val="21"/>
          <w:lang w:val="es-ES_tradnl"/>
        </w:rPr>
        <w:t>la misma</w:t>
      </w:r>
      <w:proofErr w:type="gramEnd"/>
      <w:r w:rsidRPr="00A572F4">
        <w:rPr>
          <w:rFonts w:ascii="Arial" w:eastAsia="Calibri" w:hAnsi="Arial" w:cs="Arial"/>
          <w:sz w:val="21"/>
          <w:szCs w:val="21"/>
          <w:lang w:val="es-ES_tradnl"/>
        </w:rPr>
        <w:t>.</w:t>
      </w:r>
    </w:p>
    <w:p w14:paraId="42C60992" w14:textId="77777777" w:rsidR="00AD1B10" w:rsidRPr="00A572F4" w:rsidRDefault="00AD1B10" w:rsidP="00AD1B10">
      <w:pPr>
        <w:spacing w:after="120"/>
        <w:ind w:left="709" w:right="709"/>
        <w:jc w:val="both"/>
        <w:rPr>
          <w:rFonts w:ascii="Arial" w:eastAsia="Calibri" w:hAnsi="Arial" w:cs="Arial"/>
          <w:sz w:val="21"/>
          <w:szCs w:val="21"/>
          <w:lang w:val="es-ES_tradnl"/>
        </w:rPr>
      </w:pPr>
      <w:r w:rsidRPr="00A572F4">
        <w:rPr>
          <w:rFonts w:ascii="Arial" w:eastAsia="Calibri" w:hAnsi="Arial" w:cs="Arial"/>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4269FD7B" w14:textId="77777777" w:rsidR="00AD1B10" w:rsidRPr="00A572F4" w:rsidRDefault="00AD1B10" w:rsidP="00AD1B10">
      <w:pPr>
        <w:ind w:left="709" w:right="709"/>
        <w:jc w:val="both"/>
        <w:rPr>
          <w:rFonts w:ascii="Arial" w:eastAsia="Calibri" w:hAnsi="Arial" w:cs="Arial"/>
          <w:sz w:val="21"/>
          <w:szCs w:val="21"/>
          <w:lang w:val="es-ES_tradnl"/>
        </w:rPr>
      </w:pPr>
      <w:r w:rsidRPr="00A572F4">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772E308C" w14:textId="77777777" w:rsidR="00AD1B10" w:rsidRPr="00A572F4" w:rsidRDefault="00AD1B10" w:rsidP="00AD1B10">
      <w:pPr>
        <w:spacing w:line="276" w:lineRule="auto"/>
        <w:ind w:firstLine="709"/>
        <w:jc w:val="both"/>
        <w:rPr>
          <w:rFonts w:ascii="Arial" w:eastAsia="Calibri" w:hAnsi="Arial" w:cs="Arial"/>
          <w:sz w:val="22"/>
          <w:szCs w:val="22"/>
          <w:lang w:val="es-ES_tradnl"/>
        </w:rPr>
      </w:pPr>
    </w:p>
    <w:p w14:paraId="42095508" w14:textId="77777777" w:rsidR="00AD1B10" w:rsidRPr="00A572F4" w:rsidRDefault="00AD1B10" w:rsidP="00AD1B10">
      <w:pPr>
        <w:spacing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El anterior texto, que según se indicó fue agregado al artículo 12 de la Ley 1150 de 2007 como parágrafo 4, también se ve afectado por el efecto de la subrogación producida por el artículo 34 de la Ley 2069 de 2020, porque en este artículo no dispone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pues no está vigente.</w:t>
      </w:r>
    </w:p>
    <w:p w14:paraId="1ED32131"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del Decreto 1082 de 2015, que, hasta la expedición de la Ley 2069 de 2020, regulaba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24AD207B" w14:textId="7777777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lastRenderedPageBreak/>
        <w:t xml:space="preserve">Si los decretos reglamentarios que profiere el </w:t>
      </w:r>
      <w:proofErr w:type="gramStart"/>
      <w:r w:rsidRPr="00A572F4">
        <w:rPr>
          <w:rFonts w:ascii="Arial" w:eastAsia="Calibri" w:hAnsi="Arial" w:cs="Arial"/>
          <w:sz w:val="22"/>
          <w:szCs w:val="22"/>
          <w:lang w:val="es-ES_tradnl"/>
        </w:rPr>
        <w:t>Presidente</w:t>
      </w:r>
      <w:proofErr w:type="gramEnd"/>
      <w:r w:rsidRPr="00A572F4">
        <w:rPr>
          <w:rFonts w:ascii="Arial" w:eastAsia="Calibri" w:hAnsi="Arial" w:cs="Arial"/>
          <w:sz w:val="22"/>
          <w:szCs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20C3D3B2" w14:textId="5D43050A"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Concretamente, no incluye todos los requisitos que, hasta la </w:t>
      </w:r>
      <w:proofErr w:type="gramStart"/>
      <w:r w:rsidRPr="00A572F4">
        <w:rPr>
          <w:rFonts w:ascii="Arial" w:eastAsia="Calibri" w:hAnsi="Arial" w:cs="Arial"/>
          <w:sz w:val="22"/>
          <w:szCs w:val="22"/>
          <w:lang w:val="es-ES_tradnl"/>
        </w:rPr>
        <w:t>entrada en vigencia</w:t>
      </w:r>
      <w:proofErr w:type="gramEnd"/>
      <w:r w:rsidRPr="00A572F4">
        <w:rPr>
          <w:rFonts w:ascii="Arial" w:eastAsia="Calibri" w:hAnsi="Arial" w:cs="Arial"/>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139D124F" w14:textId="6F2540DF"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0BD40E7C" w14:textId="0336AEF7"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A lo anterior debe agregarse que mientras la nueva disposición legal indica que la convocatoria limitada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debe hacerse cuando por lo menos </w:t>
      </w:r>
      <w:r w:rsidRPr="00A572F4">
        <w:rPr>
          <w:rFonts w:ascii="Arial" w:eastAsia="Calibri" w:hAnsi="Arial" w:cs="Arial"/>
          <w:i/>
          <w:iCs/>
          <w:sz w:val="22"/>
          <w:szCs w:val="22"/>
          <w:lang w:val="es-ES_tradnl"/>
        </w:rPr>
        <w:t>dos (2)</w:t>
      </w:r>
      <w:r w:rsidRPr="00A572F4">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A572F4">
        <w:rPr>
          <w:rFonts w:ascii="Arial" w:eastAsia="Calibri" w:hAnsi="Arial" w:cs="Arial"/>
          <w:i/>
          <w:iCs/>
          <w:sz w:val="22"/>
          <w:szCs w:val="22"/>
          <w:lang w:val="es-ES_tradnl"/>
        </w:rPr>
        <w:t>tres (3)</w:t>
      </w:r>
      <w:r w:rsidRPr="00A572F4">
        <w:rPr>
          <w:rFonts w:ascii="Arial" w:eastAsia="Calibri" w:hAnsi="Arial" w:cs="Arial"/>
          <w:sz w:val="22"/>
          <w:szCs w:val="22"/>
          <w:lang w:val="es-ES_tradnl"/>
        </w:rPr>
        <w:t xml:space="preserve">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a más tardar un día hábil antes de la apertura del proceso de selección.</w:t>
      </w:r>
    </w:p>
    <w:p w14:paraId="613C5DD9" w14:textId="63E2E842"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Las diferencias evidenciadas son suficientes para </w:t>
      </w:r>
      <w:r w:rsidR="00EC76EA">
        <w:rPr>
          <w:rFonts w:ascii="Arial" w:eastAsia="Calibri" w:hAnsi="Arial" w:cs="Arial"/>
          <w:sz w:val="22"/>
          <w:szCs w:val="22"/>
          <w:lang w:val="es-ES_tradnl"/>
        </w:rPr>
        <w:t>de</w:t>
      </w:r>
      <w:r w:rsidRPr="00A572F4">
        <w:rPr>
          <w:rFonts w:ascii="Arial" w:eastAsia="Calibri" w:hAnsi="Arial" w:cs="Arial"/>
          <w:sz w:val="22"/>
          <w:szCs w:val="22"/>
          <w:lang w:val="es-ES_tradnl"/>
        </w:rPr>
        <w:t xml:space="preserve">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w:t>
      </w:r>
      <w:r w:rsidRPr="00A572F4">
        <w:rPr>
          <w:rFonts w:ascii="Arial" w:eastAsia="Calibri" w:hAnsi="Arial" w:cs="Arial"/>
          <w:sz w:val="22"/>
          <w:szCs w:val="22"/>
          <w:lang w:val="es-ES_tradnl"/>
        </w:rPr>
        <w:lastRenderedPageBreak/>
        <w:t xml:space="preserve">aplicarse la consecuencia jurídica prevista en el artículo 84 de la Ley 2069 de 2020, según la cual </w:t>
      </w:r>
      <w:proofErr w:type="spellStart"/>
      <w:r w:rsidRPr="00A572F4">
        <w:rPr>
          <w:rFonts w:ascii="Arial" w:eastAsia="Calibri" w:hAnsi="Arial" w:cs="Arial"/>
          <w:sz w:val="22"/>
          <w:szCs w:val="22"/>
          <w:lang w:val="es-ES_tradnl"/>
        </w:rPr>
        <w:t>esta</w:t>
      </w:r>
      <w:proofErr w:type="spellEnd"/>
      <w:r w:rsidRPr="00A572F4">
        <w:rPr>
          <w:rFonts w:ascii="Arial" w:eastAsia="Calibri" w:hAnsi="Arial" w:cs="Arial"/>
          <w:sz w:val="22"/>
          <w:szCs w:val="22"/>
          <w:lang w:val="es-ES_tradnl"/>
        </w:rPr>
        <w:t xml:space="preserve"> «deroga […] todas las disposiciones que le sean contrarias». Entonces, además del decaimiento del artículo 2.2.1.2.4.2.2. del Decreto 1082 de 2015, debe entenderse que esta norma está derogada.</w:t>
      </w:r>
    </w:p>
    <w:p w14:paraId="63E92D83" w14:textId="6184B6B4" w:rsidR="00AD1B10" w:rsidRPr="00A572F4" w:rsidRDefault="00AD1B10" w:rsidP="00AD1B10">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Por último, no es válido </w:t>
      </w:r>
      <w:r w:rsidR="00F13417">
        <w:rPr>
          <w:rFonts w:ascii="Arial" w:eastAsia="Calibri" w:hAnsi="Arial" w:cs="Arial"/>
          <w:sz w:val="22"/>
          <w:szCs w:val="22"/>
          <w:lang w:val="es-ES_tradnl"/>
        </w:rPr>
        <w:t>argumentar</w:t>
      </w:r>
      <w:r w:rsidR="00F13417" w:rsidRPr="00A572F4">
        <w:rPr>
          <w:rFonts w:ascii="Arial" w:eastAsia="Calibri" w:hAnsi="Arial" w:cs="Arial"/>
          <w:sz w:val="22"/>
          <w:szCs w:val="22"/>
          <w:lang w:val="es-ES_tradnl"/>
        </w:rPr>
        <w:t xml:space="preserve"> </w:t>
      </w:r>
      <w:r w:rsidRPr="00A572F4">
        <w:rPr>
          <w:rFonts w:ascii="Arial" w:eastAsia="Calibri" w:hAnsi="Arial" w:cs="Arial"/>
          <w:sz w:val="22"/>
          <w:szCs w:val="22"/>
          <w:lang w:val="es-ES_tradnl"/>
        </w:rPr>
        <w:t xml:space="preserve">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w:t>
      </w:r>
      <w:r w:rsidR="00755732">
        <w:rPr>
          <w:rFonts w:ascii="Arial" w:eastAsia="Calibri" w:hAnsi="Arial" w:cs="Arial"/>
          <w:sz w:val="22"/>
          <w:szCs w:val="22"/>
          <w:lang w:val="es-ES_tradnl"/>
        </w:rPr>
        <w:t>dispone</w:t>
      </w:r>
      <w:r w:rsidR="00755732" w:rsidRPr="00A572F4">
        <w:rPr>
          <w:rFonts w:ascii="Arial" w:eastAsia="Calibri" w:hAnsi="Arial" w:cs="Arial"/>
          <w:sz w:val="22"/>
          <w:szCs w:val="22"/>
          <w:lang w:val="es-ES_tradnl"/>
        </w:rPr>
        <w:t xml:space="preserve"> </w:t>
      </w:r>
      <w:r w:rsidRPr="00A572F4">
        <w:rPr>
          <w:rFonts w:ascii="Arial" w:eastAsia="Calibri" w:hAnsi="Arial" w:cs="Arial"/>
          <w:sz w:val="22"/>
          <w:szCs w:val="22"/>
          <w:lang w:val="es-ES_tradnl"/>
        </w:rPr>
        <w:t xml:space="preserve">que el gobierno nacional debe definir las condiciones para la aplicación de las reglas recientemente expedidas, que permitan llevar a cabo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4712F150" w14:textId="77777777" w:rsidR="00AD1B10" w:rsidRPr="00A572F4" w:rsidRDefault="00AD1B10" w:rsidP="00EB2ED0">
      <w:pPr>
        <w:tabs>
          <w:tab w:val="left" w:pos="709"/>
        </w:tabs>
        <w:spacing w:line="276" w:lineRule="auto"/>
        <w:jc w:val="both"/>
        <w:rPr>
          <w:rFonts w:ascii="Arial" w:eastAsia="Calibri" w:hAnsi="Arial" w:cs="Arial"/>
          <w:b/>
          <w:sz w:val="22"/>
        </w:rPr>
      </w:pPr>
    </w:p>
    <w:bookmarkEnd w:id="12"/>
    <w:p w14:paraId="0B4D89AB" w14:textId="05D582A6" w:rsidR="00DF071C" w:rsidRPr="00A572F4" w:rsidRDefault="00DF071C" w:rsidP="00EB2ED0">
      <w:pPr>
        <w:pStyle w:val="NormalWeb"/>
        <w:spacing w:before="0" w:beforeAutospacing="0" w:after="0" w:afterAutospacing="0" w:line="276" w:lineRule="auto"/>
        <w:jc w:val="both"/>
        <w:rPr>
          <w:rFonts w:ascii="Arial" w:eastAsia="Calibri" w:hAnsi="Arial" w:cs="Arial"/>
          <w:sz w:val="22"/>
          <w:szCs w:val="22"/>
          <w:lang w:val="es-ES_tradnl"/>
        </w:rPr>
      </w:pPr>
      <w:r w:rsidRPr="00A572F4">
        <w:rPr>
          <w:rFonts w:ascii="Arial" w:eastAsia="Calibri" w:hAnsi="Arial" w:cs="Arial"/>
          <w:b/>
          <w:bCs/>
          <w:sz w:val="22"/>
          <w:szCs w:val="22"/>
          <w:lang w:val="es-ES_tradnl"/>
        </w:rPr>
        <w:t>2.</w:t>
      </w:r>
      <w:r w:rsidR="007D12EC" w:rsidRPr="00A572F4">
        <w:rPr>
          <w:rFonts w:ascii="Arial" w:eastAsia="Calibri" w:hAnsi="Arial" w:cs="Arial"/>
          <w:b/>
          <w:bCs/>
          <w:sz w:val="22"/>
          <w:szCs w:val="22"/>
          <w:lang w:val="es-ES_tradnl"/>
        </w:rPr>
        <w:t>4</w:t>
      </w:r>
      <w:r w:rsidRPr="00A572F4">
        <w:rPr>
          <w:rFonts w:ascii="Arial" w:eastAsia="Calibri" w:hAnsi="Arial" w:cs="Arial"/>
          <w:b/>
          <w:bCs/>
          <w:sz w:val="22"/>
          <w:szCs w:val="22"/>
          <w:lang w:val="es-ES_tradnl"/>
        </w:rPr>
        <w:t>.</w:t>
      </w:r>
      <w:r w:rsidR="004B3152" w:rsidRPr="00A572F4">
        <w:rPr>
          <w:rFonts w:ascii="Arial" w:eastAsia="Calibri" w:hAnsi="Arial" w:cs="Arial"/>
          <w:sz w:val="22"/>
          <w:szCs w:val="22"/>
          <w:lang w:val="es-ES_tradnl"/>
        </w:rPr>
        <w:t xml:space="preserve"> </w:t>
      </w:r>
      <w:r w:rsidR="00F64CE7" w:rsidRPr="00A572F4">
        <w:rPr>
          <w:rFonts w:ascii="Arial" w:eastAsia="Calibri" w:hAnsi="Arial" w:cs="Arial"/>
          <w:b/>
          <w:bCs/>
          <w:sz w:val="22"/>
          <w:szCs w:val="22"/>
          <w:lang w:val="es-ES_tradnl"/>
        </w:rPr>
        <w:t>Aplicabilidad de los factores de desempate del artículo 35 de la Ley 2069 de 2015 a</w:t>
      </w:r>
      <w:r w:rsidR="00175DC6" w:rsidRPr="00A572F4">
        <w:rPr>
          <w:rFonts w:ascii="Arial" w:eastAsia="Calibri" w:hAnsi="Arial" w:cs="Arial"/>
          <w:b/>
          <w:bCs/>
          <w:sz w:val="22"/>
          <w:szCs w:val="22"/>
          <w:lang w:val="es-ES_tradnl"/>
        </w:rPr>
        <w:t xml:space="preserve"> </w:t>
      </w:r>
      <w:r w:rsidR="00F64CE7" w:rsidRPr="00A572F4">
        <w:rPr>
          <w:rFonts w:ascii="Arial" w:eastAsia="Calibri" w:hAnsi="Arial" w:cs="Arial"/>
          <w:b/>
          <w:bCs/>
          <w:sz w:val="22"/>
          <w:szCs w:val="22"/>
          <w:lang w:val="es-ES_tradnl"/>
        </w:rPr>
        <w:t>l</w:t>
      </w:r>
      <w:r w:rsidR="00175DC6" w:rsidRPr="00A572F4">
        <w:rPr>
          <w:rFonts w:ascii="Arial" w:eastAsia="Calibri" w:hAnsi="Arial" w:cs="Arial"/>
          <w:b/>
          <w:bCs/>
          <w:sz w:val="22"/>
          <w:szCs w:val="22"/>
          <w:lang w:val="es-ES_tradnl"/>
        </w:rPr>
        <w:t>os</w:t>
      </w:r>
      <w:r w:rsidR="00F64CE7" w:rsidRPr="00A572F4">
        <w:rPr>
          <w:rFonts w:ascii="Arial" w:eastAsia="Calibri" w:hAnsi="Arial" w:cs="Arial"/>
          <w:b/>
          <w:bCs/>
          <w:sz w:val="22"/>
          <w:szCs w:val="22"/>
          <w:lang w:val="es-ES_tradnl"/>
        </w:rPr>
        <w:t xml:space="preserve"> </w:t>
      </w:r>
      <w:r w:rsidR="00FA4B97" w:rsidRPr="00A572F4">
        <w:rPr>
          <w:rFonts w:ascii="Arial" w:eastAsia="Calibri" w:hAnsi="Arial" w:cs="Arial"/>
          <w:b/>
          <w:bCs/>
          <w:sz w:val="22"/>
          <w:szCs w:val="22"/>
          <w:lang w:val="es-ES_tradnl"/>
        </w:rPr>
        <w:t>procedimiento</w:t>
      </w:r>
      <w:r w:rsidR="00175DC6" w:rsidRPr="00A572F4">
        <w:rPr>
          <w:rFonts w:ascii="Arial" w:eastAsia="Calibri" w:hAnsi="Arial" w:cs="Arial"/>
          <w:b/>
          <w:bCs/>
          <w:sz w:val="22"/>
          <w:szCs w:val="22"/>
          <w:lang w:val="es-ES_tradnl"/>
        </w:rPr>
        <w:t>s</w:t>
      </w:r>
      <w:r w:rsidR="00FA4B97" w:rsidRPr="00A572F4">
        <w:rPr>
          <w:rFonts w:ascii="Arial" w:eastAsia="Calibri" w:hAnsi="Arial" w:cs="Arial"/>
          <w:b/>
          <w:bCs/>
          <w:sz w:val="22"/>
          <w:szCs w:val="22"/>
          <w:lang w:val="es-ES_tradnl"/>
        </w:rPr>
        <w:t xml:space="preserve"> de</w:t>
      </w:r>
      <w:r w:rsidR="00175DC6" w:rsidRPr="00A572F4">
        <w:rPr>
          <w:rFonts w:ascii="Arial" w:eastAsia="Calibri" w:hAnsi="Arial" w:cs="Arial"/>
          <w:b/>
          <w:bCs/>
          <w:sz w:val="22"/>
          <w:szCs w:val="22"/>
          <w:lang w:val="es-ES_tradnl"/>
        </w:rPr>
        <w:t xml:space="preserve"> subasta inversa y</w:t>
      </w:r>
      <w:r w:rsidR="00FA4B97" w:rsidRPr="00A572F4">
        <w:rPr>
          <w:rFonts w:ascii="Arial" w:eastAsia="Calibri" w:hAnsi="Arial" w:cs="Arial"/>
          <w:b/>
          <w:bCs/>
          <w:sz w:val="22"/>
          <w:szCs w:val="22"/>
          <w:lang w:val="es-ES_tradnl"/>
        </w:rPr>
        <w:t xml:space="preserve"> mínima cuantía</w:t>
      </w:r>
      <w:r w:rsidR="00175DC6" w:rsidRPr="00A572F4">
        <w:rPr>
          <w:rFonts w:ascii="Arial" w:eastAsia="Calibri" w:hAnsi="Arial" w:cs="Arial"/>
          <w:b/>
          <w:bCs/>
          <w:sz w:val="22"/>
          <w:szCs w:val="22"/>
          <w:lang w:val="es-ES_tradnl"/>
        </w:rPr>
        <w:t>.</w:t>
      </w:r>
      <w:r w:rsidR="005502B3" w:rsidRPr="00A572F4">
        <w:rPr>
          <w:rFonts w:ascii="Arial" w:eastAsia="Calibri" w:hAnsi="Arial" w:cs="Arial"/>
          <w:b/>
          <w:bCs/>
          <w:sz w:val="22"/>
          <w:szCs w:val="22"/>
          <w:lang w:val="es-ES_tradnl"/>
        </w:rPr>
        <w:t xml:space="preserve"> </w:t>
      </w:r>
    </w:p>
    <w:p w14:paraId="3ED00351" w14:textId="7B8ECDBB" w:rsidR="00682314" w:rsidRPr="00A572F4" w:rsidRDefault="00682314" w:rsidP="00EB2ED0">
      <w:pPr>
        <w:pStyle w:val="NormalWeb"/>
        <w:spacing w:before="0" w:beforeAutospacing="0" w:after="0" w:afterAutospacing="0" w:line="276" w:lineRule="auto"/>
        <w:jc w:val="both"/>
        <w:rPr>
          <w:rFonts w:ascii="Arial" w:eastAsia="Calibri" w:hAnsi="Arial" w:cs="Arial"/>
          <w:sz w:val="22"/>
          <w:szCs w:val="22"/>
          <w:lang w:val="es-ES_tradnl"/>
        </w:rPr>
      </w:pPr>
    </w:p>
    <w:p w14:paraId="6341A596" w14:textId="5D1C9913" w:rsidR="00A62B6D" w:rsidRPr="00A572F4" w:rsidRDefault="007D12EC" w:rsidP="00B97B5E">
      <w:pPr>
        <w:spacing w:line="276" w:lineRule="auto"/>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El artículo 2.2.1.2.1.2.2 del Decreto 1082 de 2015 regulan el procedimiento aplicable para el mecanismo de subasta inversa, en el marco de la modalidad de selección abreviada para la </w:t>
      </w:r>
      <w:r w:rsidRPr="00A572F4">
        <w:rPr>
          <w:rFonts w:ascii="Arial" w:eastAsia="Calibri" w:hAnsi="Arial" w:cs="Arial"/>
          <w:sz w:val="22"/>
          <w:szCs w:val="22"/>
          <w:lang w:val="es-ES_tradnl" w:eastAsia="es-CO"/>
        </w:rPr>
        <w:t>adquisición de bienes y servicios de características técnicas uniformes, regulando en su numeral 9 un factor de desempate aplicable a este procedimiento, según el cual debe preferirse al oferente que presentó el menor precio inicial</w:t>
      </w:r>
      <w:r w:rsidR="00B97B5E" w:rsidRPr="00A572F4">
        <w:rPr>
          <w:rFonts w:ascii="Arial" w:eastAsia="Calibri" w:hAnsi="Arial" w:cs="Arial"/>
          <w:sz w:val="22"/>
          <w:szCs w:val="22"/>
          <w:lang w:val="es-ES_tradnl" w:eastAsia="es-CO"/>
        </w:rPr>
        <w:t xml:space="preserve">, y de persistir el empate se deben aplicarse los factores de desempate de los numerales 1 a 5 del artículo 2.2.1.1.2.2.9 del Decreto 1082 de 2015. Por su parte, </w:t>
      </w:r>
      <w:r w:rsidR="00B97B5E" w:rsidRPr="00A572F4">
        <w:rPr>
          <w:rFonts w:ascii="Arial" w:eastAsia="Calibri" w:hAnsi="Arial" w:cs="Arial"/>
          <w:sz w:val="22"/>
          <w:szCs w:val="22"/>
          <w:lang w:val="es-ES_tradnl"/>
        </w:rPr>
        <w:t>e</w:t>
      </w:r>
      <w:r w:rsidR="000C1D5C" w:rsidRPr="00A572F4">
        <w:rPr>
          <w:rFonts w:ascii="Arial" w:eastAsia="Calibri" w:hAnsi="Arial" w:cs="Arial"/>
          <w:sz w:val="22"/>
          <w:szCs w:val="22"/>
          <w:lang w:val="es-ES_tradnl"/>
        </w:rPr>
        <w:t>l numeral 7 del artículo 2.2.1.2.1.5.2 del Decreto 1082 de 2015</w:t>
      </w:r>
      <w:r w:rsidR="00B97B5E" w:rsidRPr="00A572F4">
        <w:rPr>
          <w:rFonts w:ascii="Arial" w:eastAsia="Calibri" w:hAnsi="Arial" w:cs="Arial"/>
          <w:sz w:val="22"/>
          <w:szCs w:val="22"/>
          <w:lang w:val="es-ES_tradnl"/>
        </w:rPr>
        <w:t>,</w:t>
      </w:r>
      <w:r w:rsidR="000C1D5C" w:rsidRPr="00A572F4">
        <w:rPr>
          <w:rFonts w:ascii="Arial" w:eastAsia="Calibri" w:hAnsi="Arial" w:cs="Arial"/>
          <w:sz w:val="22"/>
          <w:szCs w:val="22"/>
          <w:lang w:val="es-ES_tradnl"/>
        </w:rPr>
        <w:t xml:space="preserve"> consagra un criterio de desempate especial para la modalidad de selección de mínima cuantía, </w:t>
      </w:r>
      <w:r w:rsidR="001E2452" w:rsidRPr="00A572F4">
        <w:rPr>
          <w:rFonts w:ascii="Arial" w:eastAsia="Calibri" w:hAnsi="Arial" w:cs="Arial"/>
          <w:sz w:val="22"/>
          <w:szCs w:val="22"/>
          <w:lang w:val="es-ES_tradnl"/>
        </w:rPr>
        <w:t xml:space="preserve">el cual </w:t>
      </w:r>
      <w:r w:rsidR="000C1D5C" w:rsidRPr="00A572F4">
        <w:rPr>
          <w:rFonts w:ascii="Arial" w:eastAsia="Calibri" w:hAnsi="Arial" w:cs="Arial"/>
          <w:sz w:val="22"/>
          <w:szCs w:val="22"/>
          <w:lang w:val="es-ES_tradnl"/>
        </w:rPr>
        <w:t>consiste en el deber de preferir</w:t>
      </w:r>
      <w:r w:rsidR="001E2452" w:rsidRPr="00A572F4">
        <w:rPr>
          <w:rFonts w:ascii="Arial" w:eastAsia="Calibri" w:hAnsi="Arial" w:cs="Arial"/>
          <w:sz w:val="22"/>
          <w:szCs w:val="22"/>
          <w:lang w:val="es-ES_tradnl"/>
        </w:rPr>
        <w:t xml:space="preserve"> </w:t>
      </w:r>
      <w:r w:rsidR="000C1D5C" w:rsidRPr="00A572F4">
        <w:rPr>
          <w:rFonts w:ascii="Arial" w:eastAsia="Calibri" w:hAnsi="Arial" w:cs="Arial"/>
          <w:sz w:val="22"/>
          <w:szCs w:val="22"/>
          <w:lang w:val="es-ES_tradnl"/>
        </w:rPr>
        <w:t xml:space="preserve">la oferta </w:t>
      </w:r>
      <w:r w:rsidR="00C7541F" w:rsidRPr="00A572F4">
        <w:rPr>
          <w:rFonts w:ascii="Arial" w:eastAsia="Calibri" w:hAnsi="Arial" w:cs="Arial"/>
          <w:sz w:val="22"/>
          <w:szCs w:val="22"/>
          <w:lang w:val="es-ES_tradnl"/>
        </w:rPr>
        <w:t>que presentada primero en el tiempo</w:t>
      </w:r>
      <w:r w:rsidR="000C1D5C" w:rsidRPr="00A572F4">
        <w:rPr>
          <w:rFonts w:ascii="Arial" w:eastAsia="Calibri" w:hAnsi="Arial" w:cs="Arial"/>
          <w:sz w:val="22"/>
          <w:szCs w:val="22"/>
          <w:lang w:val="es-ES_tradnl"/>
        </w:rPr>
        <w:t>.</w:t>
      </w:r>
      <w:r w:rsidR="00A62B6D" w:rsidRPr="00A572F4">
        <w:rPr>
          <w:rFonts w:ascii="Arial" w:eastAsia="Calibri" w:hAnsi="Arial" w:cs="Arial"/>
          <w:sz w:val="22"/>
          <w:szCs w:val="22"/>
          <w:lang w:val="es-ES_tradnl"/>
        </w:rPr>
        <w:t xml:space="preserve"> </w:t>
      </w:r>
      <w:r w:rsidR="00465F67" w:rsidRPr="00A572F4">
        <w:rPr>
          <w:rFonts w:ascii="Arial" w:eastAsia="Calibri" w:hAnsi="Arial" w:cs="Arial"/>
          <w:sz w:val="22"/>
          <w:szCs w:val="22"/>
          <w:lang w:val="es-ES_tradnl"/>
        </w:rPr>
        <w:t xml:space="preserve">Para </w:t>
      </w:r>
      <w:r w:rsidR="00C7541F" w:rsidRPr="00A572F4">
        <w:rPr>
          <w:rFonts w:ascii="Arial" w:eastAsia="Calibri" w:hAnsi="Arial" w:cs="Arial"/>
          <w:sz w:val="22"/>
          <w:szCs w:val="22"/>
          <w:lang w:val="es-ES_tradnl"/>
        </w:rPr>
        <w:t>determinar si está</w:t>
      </w:r>
      <w:r w:rsidR="00170D2F">
        <w:rPr>
          <w:rFonts w:ascii="Arial" w:eastAsia="Calibri" w:hAnsi="Arial" w:cs="Arial"/>
          <w:sz w:val="22"/>
          <w:szCs w:val="22"/>
          <w:lang w:val="es-ES_tradnl"/>
        </w:rPr>
        <w:t>n</w:t>
      </w:r>
      <w:r w:rsidR="00C7541F" w:rsidRPr="00A572F4">
        <w:rPr>
          <w:rFonts w:ascii="Arial" w:eastAsia="Calibri" w:hAnsi="Arial" w:cs="Arial"/>
          <w:sz w:val="22"/>
          <w:szCs w:val="22"/>
          <w:lang w:val="es-ES_tradnl"/>
        </w:rPr>
        <w:t xml:space="preserve"> vigente</w:t>
      </w:r>
      <w:r w:rsidR="00170D2F">
        <w:rPr>
          <w:rFonts w:ascii="Arial" w:eastAsia="Calibri" w:hAnsi="Arial" w:cs="Arial"/>
          <w:sz w:val="22"/>
          <w:szCs w:val="22"/>
          <w:lang w:val="es-ES_tradnl"/>
        </w:rPr>
        <w:t>s</w:t>
      </w:r>
      <w:r w:rsidR="00C7541F" w:rsidRPr="00A572F4">
        <w:rPr>
          <w:rFonts w:ascii="Arial" w:eastAsia="Calibri" w:hAnsi="Arial" w:cs="Arial"/>
          <w:sz w:val="22"/>
          <w:szCs w:val="22"/>
          <w:lang w:val="es-ES_tradnl"/>
        </w:rPr>
        <w:t xml:space="preserve"> est</w:t>
      </w:r>
      <w:r w:rsidR="00170D2F">
        <w:rPr>
          <w:rFonts w:ascii="Arial" w:eastAsia="Calibri" w:hAnsi="Arial" w:cs="Arial"/>
          <w:sz w:val="22"/>
          <w:szCs w:val="22"/>
          <w:lang w:val="es-ES_tradnl"/>
        </w:rPr>
        <w:t>os</w:t>
      </w:r>
      <w:r w:rsidR="00465F67" w:rsidRPr="00A572F4">
        <w:rPr>
          <w:rFonts w:ascii="Arial" w:eastAsia="Calibri" w:hAnsi="Arial" w:cs="Arial"/>
          <w:sz w:val="22"/>
          <w:szCs w:val="22"/>
          <w:lang w:val="es-ES_tradnl"/>
        </w:rPr>
        <w:t xml:space="preserve"> numeral</w:t>
      </w:r>
      <w:r w:rsidR="00170D2F">
        <w:rPr>
          <w:rFonts w:ascii="Arial" w:eastAsia="Calibri" w:hAnsi="Arial" w:cs="Arial"/>
          <w:sz w:val="22"/>
          <w:szCs w:val="22"/>
          <w:lang w:val="es-ES_tradnl"/>
        </w:rPr>
        <w:t>es</w:t>
      </w:r>
      <w:r w:rsidR="00465F67" w:rsidRPr="00A572F4">
        <w:rPr>
          <w:rFonts w:ascii="Arial" w:eastAsia="Calibri" w:hAnsi="Arial" w:cs="Arial"/>
          <w:sz w:val="22"/>
          <w:szCs w:val="22"/>
          <w:lang w:val="es-ES_tradnl"/>
        </w:rPr>
        <w:t xml:space="preserve">, es indispensable </w:t>
      </w:r>
      <w:r w:rsidR="0081082C" w:rsidRPr="00A572F4">
        <w:rPr>
          <w:rFonts w:ascii="Arial" w:eastAsia="Calibri" w:hAnsi="Arial" w:cs="Arial"/>
          <w:sz w:val="22"/>
          <w:szCs w:val="22"/>
          <w:lang w:val="es-ES_tradnl"/>
        </w:rPr>
        <w:t>considerar</w:t>
      </w:r>
      <w:r w:rsidR="00465F67" w:rsidRPr="00A572F4">
        <w:rPr>
          <w:rFonts w:ascii="Arial" w:eastAsia="Calibri" w:hAnsi="Arial" w:cs="Arial"/>
          <w:sz w:val="22"/>
          <w:szCs w:val="22"/>
          <w:lang w:val="es-ES_tradnl"/>
        </w:rPr>
        <w:t xml:space="preserve"> </w:t>
      </w:r>
      <w:r w:rsidR="00466C74" w:rsidRPr="00A572F4">
        <w:rPr>
          <w:rFonts w:ascii="Arial" w:eastAsia="Calibri" w:hAnsi="Arial" w:cs="Arial"/>
          <w:sz w:val="22"/>
          <w:szCs w:val="22"/>
          <w:lang w:val="es-ES_tradnl"/>
        </w:rPr>
        <w:t xml:space="preserve">que el artículo 35 de la Ley 2069 de 2020 </w:t>
      </w:r>
      <w:r w:rsidR="00C7541F" w:rsidRPr="00A572F4">
        <w:rPr>
          <w:rFonts w:ascii="Arial" w:eastAsia="Calibri" w:hAnsi="Arial" w:cs="Arial"/>
          <w:sz w:val="22"/>
          <w:szCs w:val="22"/>
          <w:lang w:val="es-ES_tradnl"/>
        </w:rPr>
        <w:t>regula</w:t>
      </w:r>
      <w:r w:rsidR="00466C74" w:rsidRPr="00A572F4">
        <w:rPr>
          <w:rFonts w:ascii="Arial" w:eastAsia="Calibri" w:hAnsi="Arial" w:cs="Arial"/>
          <w:sz w:val="22"/>
          <w:szCs w:val="22"/>
          <w:lang w:val="es-ES_tradnl"/>
        </w:rPr>
        <w:t xml:space="preserve"> nuevos criterios de desempate</w:t>
      </w:r>
      <w:r w:rsidR="007E0D49" w:rsidRPr="00A572F4">
        <w:rPr>
          <w:rFonts w:ascii="Arial" w:eastAsia="Calibri" w:hAnsi="Arial" w:cs="Arial"/>
          <w:sz w:val="22"/>
          <w:szCs w:val="22"/>
          <w:lang w:val="es-ES_tradnl"/>
        </w:rPr>
        <w:t xml:space="preserve"> aplicables</w:t>
      </w:r>
      <w:r w:rsidR="00AE6188" w:rsidRPr="00A572F4">
        <w:rPr>
          <w:rFonts w:ascii="Arial" w:eastAsia="Calibri" w:hAnsi="Arial" w:cs="Arial"/>
          <w:sz w:val="22"/>
          <w:szCs w:val="22"/>
          <w:lang w:val="es-ES_tradnl"/>
        </w:rPr>
        <w:t xml:space="preserve"> en la</w:t>
      </w:r>
      <w:r w:rsidR="007E0D49" w:rsidRPr="00A572F4">
        <w:rPr>
          <w:rFonts w:ascii="Arial" w:eastAsia="Calibri" w:hAnsi="Arial" w:cs="Arial"/>
          <w:sz w:val="22"/>
          <w:szCs w:val="22"/>
          <w:lang w:val="es-ES_tradnl"/>
        </w:rPr>
        <w:t xml:space="preserve"> contratación estatal</w:t>
      </w:r>
      <w:r w:rsidR="00A54895" w:rsidRPr="00A572F4">
        <w:rPr>
          <w:rFonts w:ascii="Arial" w:eastAsia="Calibri" w:hAnsi="Arial" w:cs="Arial"/>
          <w:sz w:val="22"/>
          <w:szCs w:val="22"/>
          <w:lang w:val="es-ES_tradnl"/>
        </w:rPr>
        <w:t xml:space="preserve">. </w:t>
      </w:r>
    </w:p>
    <w:p w14:paraId="0F59547C" w14:textId="2D296497" w:rsidR="007D7CCB" w:rsidRPr="00A572F4" w:rsidRDefault="00A54895" w:rsidP="00EB2ED0">
      <w:pPr>
        <w:pStyle w:val="NormalWeb"/>
        <w:spacing w:before="0" w:beforeAutospacing="0" w:after="120" w:afterAutospacing="0" w:line="276" w:lineRule="auto"/>
        <w:ind w:firstLine="708"/>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Como </w:t>
      </w:r>
      <w:r w:rsidR="005D30AE" w:rsidRPr="00A572F4">
        <w:rPr>
          <w:rFonts w:ascii="Arial" w:eastAsia="Calibri" w:hAnsi="Arial" w:cs="Arial"/>
          <w:sz w:val="22"/>
          <w:szCs w:val="22"/>
          <w:lang w:val="es-ES_tradnl"/>
        </w:rPr>
        <w:t>se precisó</w:t>
      </w:r>
      <w:r w:rsidRPr="00A572F4">
        <w:rPr>
          <w:rFonts w:ascii="Arial" w:eastAsia="Calibri" w:hAnsi="Arial" w:cs="Arial"/>
          <w:sz w:val="22"/>
          <w:szCs w:val="22"/>
          <w:lang w:val="es-ES_tradnl"/>
        </w:rPr>
        <w:t xml:space="preserve"> en el numeral </w:t>
      </w:r>
      <w:r w:rsidR="00906D34" w:rsidRPr="00A572F4">
        <w:rPr>
          <w:rFonts w:ascii="Arial" w:eastAsia="Calibri" w:hAnsi="Arial" w:cs="Arial"/>
          <w:sz w:val="22"/>
          <w:szCs w:val="22"/>
          <w:lang w:val="es-ES_tradnl"/>
        </w:rPr>
        <w:t>2.</w:t>
      </w:r>
      <w:r w:rsidR="005D30AE" w:rsidRPr="00A572F4">
        <w:rPr>
          <w:rFonts w:ascii="Arial" w:eastAsia="Calibri" w:hAnsi="Arial" w:cs="Arial"/>
          <w:sz w:val="22"/>
          <w:szCs w:val="22"/>
          <w:lang w:val="es-ES_tradnl"/>
        </w:rPr>
        <w:t>2</w:t>
      </w:r>
      <w:r w:rsidR="00906D34" w:rsidRPr="00A572F4">
        <w:rPr>
          <w:rFonts w:ascii="Arial" w:eastAsia="Calibri" w:hAnsi="Arial" w:cs="Arial"/>
          <w:sz w:val="22"/>
          <w:szCs w:val="22"/>
          <w:lang w:val="es-ES_tradnl"/>
        </w:rPr>
        <w:t xml:space="preserve"> del presente concepto</w:t>
      </w:r>
      <w:r w:rsidRPr="00A572F4">
        <w:rPr>
          <w:rFonts w:ascii="Arial" w:eastAsia="Calibri" w:hAnsi="Arial" w:cs="Arial"/>
          <w:sz w:val="22"/>
          <w:szCs w:val="22"/>
          <w:lang w:val="es-ES_tradnl"/>
        </w:rPr>
        <w:t>, los factores de desempate del artículo 35</w:t>
      </w:r>
      <w:r w:rsidR="005D30AE" w:rsidRPr="00A572F4">
        <w:rPr>
          <w:rFonts w:ascii="Arial" w:eastAsia="Calibri" w:hAnsi="Arial" w:cs="Arial"/>
          <w:sz w:val="22"/>
          <w:szCs w:val="22"/>
          <w:lang w:val="es-ES_tradnl"/>
        </w:rPr>
        <w:t xml:space="preserve"> de la Ley de Emprendimiento</w:t>
      </w:r>
      <w:r w:rsidRPr="00A572F4">
        <w:rPr>
          <w:rFonts w:ascii="Arial" w:eastAsia="Calibri" w:hAnsi="Arial" w:cs="Arial"/>
          <w:i/>
          <w:iCs/>
          <w:sz w:val="22"/>
          <w:szCs w:val="22"/>
          <w:lang w:val="es-ES_tradnl"/>
        </w:rPr>
        <w:t xml:space="preserve"> </w:t>
      </w:r>
      <w:r w:rsidRPr="00A572F4">
        <w:rPr>
          <w:rFonts w:ascii="Arial" w:eastAsia="Calibri" w:hAnsi="Arial" w:cs="Arial"/>
          <w:sz w:val="22"/>
          <w:szCs w:val="22"/>
          <w:lang w:val="es-ES_tradnl"/>
        </w:rPr>
        <w:t xml:space="preserve">no solo son aplicables a la contratación de las entidades regidas por el EGCAP, sino también </w:t>
      </w:r>
      <w:r w:rsidR="00DF41DD" w:rsidRPr="00A572F4">
        <w:rPr>
          <w:rFonts w:ascii="Arial" w:eastAsia="Calibri" w:hAnsi="Arial" w:cs="Arial"/>
          <w:sz w:val="22"/>
          <w:szCs w:val="22"/>
          <w:lang w:val="es-ES_tradnl"/>
        </w:rPr>
        <w:t>a los procesos de selección de las entidades exceptuadas</w:t>
      </w:r>
      <w:r w:rsidR="00CA137B" w:rsidRPr="00A572F4">
        <w:rPr>
          <w:rFonts w:ascii="Arial" w:eastAsia="Calibri" w:hAnsi="Arial" w:cs="Arial"/>
          <w:sz w:val="22"/>
          <w:szCs w:val="22"/>
          <w:lang w:val="es-ES_tradnl"/>
        </w:rPr>
        <w:t xml:space="preserve">, </w:t>
      </w:r>
      <w:r w:rsidR="00AC51DF" w:rsidRPr="00A572F4">
        <w:rPr>
          <w:rFonts w:ascii="Arial" w:eastAsia="Calibri" w:hAnsi="Arial" w:cs="Arial"/>
          <w:sz w:val="22"/>
          <w:szCs w:val="22"/>
          <w:lang w:val="es-ES_tradnl"/>
        </w:rPr>
        <w:t>a los que realicen l</w:t>
      </w:r>
      <w:r w:rsidR="00906007" w:rsidRPr="00A572F4">
        <w:rPr>
          <w:rFonts w:ascii="Arial" w:eastAsia="Calibri" w:hAnsi="Arial" w:cs="Arial"/>
          <w:sz w:val="22"/>
          <w:szCs w:val="22"/>
          <w:lang w:val="es-ES_tradnl"/>
        </w:rPr>
        <w:t>o</w:t>
      </w:r>
      <w:r w:rsidR="00AC51DF" w:rsidRPr="00A572F4">
        <w:rPr>
          <w:rFonts w:ascii="Arial" w:eastAsia="Calibri" w:hAnsi="Arial" w:cs="Arial"/>
          <w:sz w:val="22"/>
          <w:szCs w:val="22"/>
          <w:lang w:val="es-ES_tradnl"/>
        </w:rPr>
        <w:t xml:space="preserve">s patrimonios autónomos </w:t>
      </w:r>
      <w:r w:rsidR="001F5EF9" w:rsidRPr="00A572F4">
        <w:rPr>
          <w:rFonts w:ascii="Arial" w:eastAsia="Calibri" w:hAnsi="Arial" w:cs="Arial"/>
          <w:sz w:val="22"/>
          <w:szCs w:val="22"/>
          <w:lang w:val="es-ES_tradnl"/>
        </w:rPr>
        <w:t xml:space="preserve">constituidos por entidades estatales, y en general, en los procesos de selección </w:t>
      </w:r>
      <w:r w:rsidR="004D1653" w:rsidRPr="00A572F4">
        <w:rPr>
          <w:rFonts w:ascii="Arial" w:eastAsia="Calibri" w:hAnsi="Arial" w:cs="Arial"/>
          <w:sz w:val="22"/>
          <w:szCs w:val="22"/>
          <w:lang w:val="es-ES_tradnl"/>
        </w:rPr>
        <w:t xml:space="preserve">realizados con cargo a recursos públicos. </w:t>
      </w:r>
      <w:r w:rsidR="00906D34" w:rsidRPr="00A572F4">
        <w:rPr>
          <w:rFonts w:ascii="Arial" w:eastAsia="Calibri" w:hAnsi="Arial" w:cs="Arial"/>
          <w:sz w:val="22"/>
          <w:szCs w:val="22"/>
          <w:lang w:val="es-ES_tradnl"/>
        </w:rPr>
        <w:t>Debido a que la norma no distingue</w:t>
      </w:r>
      <w:r w:rsidR="00762705" w:rsidRPr="00A572F4">
        <w:rPr>
          <w:rFonts w:ascii="Arial" w:eastAsia="Calibri" w:hAnsi="Arial" w:cs="Arial"/>
          <w:sz w:val="22"/>
          <w:szCs w:val="22"/>
          <w:lang w:val="es-ES_tradnl"/>
        </w:rPr>
        <w:t xml:space="preserve"> entre modalidades o </w:t>
      </w:r>
      <w:r w:rsidR="00762705" w:rsidRPr="00A572F4">
        <w:rPr>
          <w:rFonts w:ascii="Arial" w:eastAsia="Calibri" w:hAnsi="Arial" w:cs="Arial"/>
          <w:sz w:val="22"/>
          <w:szCs w:val="22"/>
          <w:lang w:val="es-ES_tradnl"/>
        </w:rPr>
        <w:lastRenderedPageBreak/>
        <w:t xml:space="preserve">procedimientos, </w:t>
      </w:r>
      <w:r w:rsidR="00353801" w:rsidRPr="00A572F4">
        <w:rPr>
          <w:rFonts w:ascii="Arial" w:eastAsia="Calibri" w:hAnsi="Arial" w:cs="Arial"/>
          <w:sz w:val="22"/>
          <w:szCs w:val="22"/>
          <w:lang w:val="es-ES_tradnl"/>
        </w:rPr>
        <w:t xml:space="preserve">los factores de desempate son aplicables </w:t>
      </w:r>
      <w:r w:rsidR="006E765A" w:rsidRPr="00A572F4">
        <w:rPr>
          <w:rFonts w:ascii="Arial" w:eastAsia="Calibri" w:hAnsi="Arial" w:cs="Arial"/>
          <w:sz w:val="22"/>
          <w:szCs w:val="22"/>
          <w:lang w:val="es-ES_tradnl"/>
        </w:rPr>
        <w:t>en todos los procesos de selección que celebren los sujetos mencionados</w:t>
      </w:r>
      <w:r w:rsidR="007E118A" w:rsidRPr="00A572F4">
        <w:rPr>
          <w:rFonts w:ascii="Arial" w:eastAsia="Calibri" w:hAnsi="Arial" w:cs="Arial"/>
          <w:sz w:val="22"/>
          <w:szCs w:val="22"/>
          <w:lang w:val="es-ES_tradnl"/>
        </w:rPr>
        <w:t>.</w:t>
      </w:r>
    </w:p>
    <w:p w14:paraId="404706C3" w14:textId="118F7AAC" w:rsidR="006B78F2" w:rsidRPr="00A572F4" w:rsidRDefault="00A35E91" w:rsidP="00EB2ED0">
      <w:pPr>
        <w:tabs>
          <w:tab w:val="left" w:pos="0"/>
        </w:tabs>
        <w:spacing w:after="120" w:line="276" w:lineRule="auto"/>
        <w:jc w:val="both"/>
        <w:rPr>
          <w:rFonts w:ascii="Arial" w:hAnsi="Arial" w:cs="Arial"/>
          <w:sz w:val="22"/>
          <w:szCs w:val="22"/>
          <w:lang w:val="es-ES_tradnl"/>
        </w:rPr>
      </w:pPr>
      <w:r w:rsidRPr="00A572F4">
        <w:rPr>
          <w:rFonts w:ascii="Arial" w:eastAsia="Calibri" w:hAnsi="Arial" w:cs="Arial"/>
          <w:sz w:val="22"/>
          <w:szCs w:val="22"/>
          <w:lang w:val="es-ES_tradnl"/>
        </w:rPr>
        <w:tab/>
      </w:r>
      <w:r w:rsidR="002B5392" w:rsidRPr="00A572F4">
        <w:rPr>
          <w:rFonts w:ascii="Arial" w:eastAsia="Calibri" w:hAnsi="Arial" w:cs="Arial"/>
          <w:sz w:val="22"/>
          <w:szCs w:val="22"/>
          <w:lang w:val="es-ES_tradnl"/>
        </w:rPr>
        <w:t xml:space="preserve">En ese sentido, </w:t>
      </w:r>
      <w:r w:rsidR="0037256F" w:rsidRPr="00A572F4">
        <w:rPr>
          <w:rFonts w:ascii="Arial" w:eastAsia="Calibri" w:hAnsi="Arial" w:cs="Arial"/>
          <w:sz w:val="22"/>
          <w:szCs w:val="22"/>
          <w:lang w:val="es-ES_tradnl"/>
        </w:rPr>
        <w:t>la</w:t>
      </w:r>
      <w:r w:rsidR="002B5392" w:rsidRPr="00A572F4">
        <w:rPr>
          <w:rFonts w:ascii="Arial" w:eastAsia="Calibri" w:hAnsi="Arial" w:cs="Arial"/>
          <w:sz w:val="22"/>
          <w:szCs w:val="22"/>
          <w:lang w:val="es-ES_tradnl"/>
        </w:rPr>
        <w:t xml:space="preserve"> Agencia ha estimado que la aplicación del artículo 35 de la Ley 2069 de 2020</w:t>
      </w:r>
      <w:r w:rsidR="00B1498E" w:rsidRPr="00A572F4">
        <w:rPr>
          <w:rFonts w:ascii="Arial" w:eastAsiaTheme="minorHAnsi" w:hAnsi="Arial" w:cs="Arial"/>
          <w:sz w:val="22"/>
          <w:szCs w:val="22"/>
          <w:lang w:eastAsia="en-US"/>
        </w:rPr>
        <w:t xml:space="preserve"> </w:t>
      </w:r>
      <w:r w:rsidR="00B74409" w:rsidRPr="00A572F4">
        <w:rPr>
          <w:rFonts w:ascii="Arial" w:eastAsiaTheme="minorHAnsi" w:hAnsi="Arial" w:cs="Arial"/>
          <w:sz w:val="22"/>
          <w:szCs w:val="22"/>
          <w:lang w:eastAsia="en-US"/>
        </w:rPr>
        <w:t xml:space="preserve">es </w:t>
      </w:r>
      <w:r w:rsidR="00B1498E" w:rsidRPr="00A572F4">
        <w:rPr>
          <w:rFonts w:ascii="Arial" w:eastAsiaTheme="minorHAnsi" w:hAnsi="Arial" w:cs="Arial"/>
          <w:sz w:val="22"/>
          <w:szCs w:val="22"/>
          <w:lang w:eastAsia="en-US"/>
        </w:rPr>
        <w:t>transversal a</w:t>
      </w:r>
      <w:r w:rsidR="00722495" w:rsidRPr="00A572F4">
        <w:rPr>
          <w:rFonts w:ascii="Arial" w:eastAsiaTheme="minorHAnsi" w:hAnsi="Arial" w:cs="Arial"/>
          <w:sz w:val="22"/>
          <w:szCs w:val="22"/>
          <w:lang w:eastAsia="en-US"/>
        </w:rPr>
        <w:t xml:space="preserve"> las distintas modalidades </w:t>
      </w:r>
      <w:r w:rsidR="003C2FB1" w:rsidRPr="00A572F4">
        <w:rPr>
          <w:rFonts w:ascii="Arial" w:eastAsiaTheme="minorHAnsi" w:hAnsi="Arial" w:cs="Arial"/>
          <w:sz w:val="22"/>
          <w:szCs w:val="22"/>
          <w:lang w:eastAsia="en-US"/>
        </w:rPr>
        <w:t>de contratación</w:t>
      </w:r>
      <w:r w:rsidR="00B20E85" w:rsidRPr="00A572F4">
        <w:rPr>
          <w:rFonts w:ascii="Arial" w:eastAsiaTheme="minorHAnsi" w:hAnsi="Arial" w:cs="Arial"/>
          <w:sz w:val="22"/>
          <w:szCs w:val="22"/>
          <w:lang w:eastAsia="en-US"/>
        </w:rPr>
        <w:t xml:space="preserve">. Concretamente, </w:t>
      </w:r>
      <w:r w:rsidR="003C2FB1" w:rsidRPr="00A572F4">
        <w:rPr>
          <w:rFonts w:ascii="Arial" w:eastAsiaTheme="minorHAnsi" w:hAnsi="Arial" w:cs="Arial"/>
          <w:sz w:val="22"/>
          <w:szCs w:val="22"/>
          <w:lang w:eastAsia="en-US"/>
        </w:rPr>
        <w:t>la vigencia de este</w:t>
      </w:r>
      <w:r w:rsidR="005B2C7D" w:rsidRPr="00A572F4">
        <w:rPr>
          <w:rFonts w:ascii="Arial" w:eastAsiaTheme="minorHAnsi" w:hAnsi="Arial" w:cs="Arial"/>
          <w:sz w:val="22"/>
          <w:szCs w:val="22"/>
          <w:lang w:eastAsia="en-US"/>
        </w:rPr>
        <w:t xml:space="preserve"> artículo </w:t>
      </w:r>
      <w:r w:rsidR="007D2DA3" w:rsidRPr="00A572F4">
        <w:rPr>
          <w:rFonts w:ascii="Arial" w:eastAsiaTheme="minorHAnsi" w:hAnsi="Arial" w:cs="Arial"/>
          <w:sz w:val="22"/>
          <w:szCs w:val="22"/>
          <w:lang w:eastAsia="en-US"/>
        </w:rPr>
        <w:t>ha generado la derogatoria</w:t>
      </w:r>
      <w:r w:rsidR="00F064DB" w:rsidRPr="00A572F4">
        <w:rPr>
          <w:rFonts w:ascii="Arial" w:eastAsiaTheme="minorHAnsi" w:hAnsi="Arial" w:cs="Arial"/>
          <w:sz w:val="22"/>
          <w:szCs w:val="22"/>
          <w:lang w:eastAsia="en-US"/>
        </w:rPr>
        <w:t xml:space="preserve"> </w:t>
      </w:r>
      <w:r w:rsidR="007D2DA3" w:rsidRPr="00A572F4">
        <w:rPr>
          <w:rFonts w:ascii="Arial" w:eastAsiaTheme="minorHAnsi" w:hAnsi="Arial" w:cs="Arial"/>
          <w:sz w:val="22"/>
          <w:szCs w:val="22"/>
          <w:lang w:eastAsia="en-US"/>
        </w:rPr>
        <w:t xml:space="preserve">del artículo </w:t>
      </w:r>
      <w:r w:rsidR="00F064DB" w:rsidRPr="00A572F4">
        <w:rPr>
          <w:rFonts w:ascii="Arial" w:eastAsiaTheme="minorHAnsi" w:hAnsi="Arial" w:cs="Arial"/>
          <w:sz w:val="22"/>
          <w:szCs w:val="22"/>
          <w:lang w:eastAsia="en-US"/>
        </w:rPr>
        <w:t>2.2.1.1.2.2.9 del Decreto 1082 de 2015</w:t>
      </w:r>
      <w:r w:rsidR="00207FCD" w:rsidRPr="00A572F4">
        <w:rPr>
          <w:rFonts w:ascii="Arial" w:eastAsiaTheme="minorHAnsi" w:hAnsi="Arial" w:cs="Arial"/>
          <w:sz w:val="22"/>
          <w:szCs w:val="22"/>
          <w:lang w:eastAsia="en-US"/>
        </w:rPr>
        <w:t xml:space="preserve">, conforme a lo dispuesto en artículo 84 de la Ley 2069 de 2020. </w:t>
      </w:r>
      <w:r w:rsidR="00A25833" w:rsidRPr="00A572F4">
        <w:rPr>
          <w:rFonts w:ascii="Arial" w:hAnsi="Arial" w:cs="Arial"/>
          <w:sz w:val="22"/>
          <w:szCs w:val="22"/>
          <w:lang w:val="es-ES_tradnl"/>
        </w:rPr>
        <w:t>Como argumento adicional</w:t>
      </w:r>
      <w:r w:rsidR="00207FCD" w:rsidRPr="00A572F4">
        <w:rPr>
          <w:rFonts w:ascii="Arial" w:hAnsi="Arial" w:cs="Arial"/>
          <w:sz w:val="22"/>
          <w:szCs w:val="22"/>
          <w:lang w:val="es-ES_tradnl"/>
        </w:rPr>
        <w:t xml:space="preserve">, </w:t>
      </w:r>
      <w:r w:rsidR="005B61AD" w:rsidRPr="00A572F4">
        <w:rPr>
          <w:rFonts w:ascii="Arial" w:hAnsi="Arial" w:cs="Arial"/>
          <w:sz w:val="22"/>
          <w:szCs w:val="22"/>
          <w:lang w:val="es-ES_tradnl"/>
        </w:rPr>
        <w:t>se ha sostenido</w:t>
      </w:r>
      <w:r w:rsidR="00A25833" w:rsidRPr="00A572F4">
        <w:rPr>
          <w:rFonts w:ascii="Arial" w:hAnsi="Arial" w:cs="Arial"/>
          <w:sz w:val="22"/>
          <w:szCs w:val="22"/>
          <w:lang w:val="es-ES_tradnl"/>
        </w:rPr>
        <w:t xml:space="preserve"> </w:t>
      </w:r>
      <w:r w:rsidR="000105D9" w:rsidRPr="00A572F4">
        <w:rPr>
          <w:rFonts w:ascii="Arial" w:hAnsi="Arial" w:cs="Arial"/>
          <w:sz w:val="22"/>
          <w:szCs w:val="22"/>
          <w:lang w:val="es-ES_tradnl"/>
        </w:rPr>
        <w:t>la configuración del</w:t>
      </w:r>
      <w:r w:rsidR="00A25833" w:rsidRPr="00A572F4">
        <w:rPr>
          <w:rFonts w:ascii="Arial" w:hAnsi="Arial" w:cs="Arial"/>
          <w:sz w:val="22"/>
          <w:szCs w:val="22"/>
          <w:lang w:val="es-ES_tradnl"/>
        </w:rPr>
        <w:t xml:space="preserve"> fenómeno de la pérdida de fuerza ejecutoria –o decaimiento– de los actos administrativos, </w:t>
      </w:r>
      <w:r w:rsidR="00700CA2" w:rsidRPr="00A572F4">
        <w:rPr>
          <w:rFonts w:ascii="Arial" w:hAnsi="Arial" w:cs="Arial"/>
          <w:sz w:val="22"/>
          <w:szCs w:val="22"/>
          <w:lang w:val="es-ES_tradnl"/>
        </w:rPr>
        <w:t xml:space="preserve">en virtud </w:t>
      </w:r>
      <w:r w:rsidR="00001CC9" w:rsidRPr="00A572F4">
        <w:rPr>
          <w:rFonts w:ascii="Arial" w:hAnsi="Arial" w:cs="Arial"/>
          <w:sz w:val="22"/>
          <w:szCs w:val="22"/>
          <w:lang w:val="es-ES_tradnl"/>
        </w:rPr>
        <w:t>d</w:t>
      </w:r>
      <w:r w:rsidR="00A25833" w:rsidRPr="00A572F4">
        <w:rPr>
          <w:rFonts w:ascii="Arial" w:hAnsi="Arial" w:cs="Arial"/>
          <w:sz w:val="22"/>
          <w:szCs w:val="22"/>
          <w:lang w:val="es-ES_tradnl"/>
        </w:rPr>
        <w:t>el numeral 2 del artículo 91 de la Ley 1437 de 2011</w:t>
      </w:r>
      <w:r w:rsidR="005B61AD" w:rsidRPr="00A572F4">
        <w:rPr>
          <w:rFonts w:ascii="Arial" w:hAnsi="Arial" w:cs="Arial"/>
          <w:sz w:val="22"/>
          <w:szCs w:val="22"/>
          <w:lang w:val="es-ES_tradnl"/>
        </w:rPr>
        <w:t>,</w:t>
      </w:r>
      <w:r w:rsidR="00A25833" w:rsidRPr="00A572F4">
        <w:rPr>
          <w:rFonts w:ascii="Arial" w:hAnsi="Arial" w:cs="Arial"/>
          <w:sz w:val="22"/>
          <w:szCs w:val="22"/>
          <w:lang w:val="es-ES_tradnl"/>
        </w:rPr>
        <w:t xml:space="preserve"> </w:t>
      </w:r>
      <w:r w:rsidR="00101129" w:rsidRPr="00A572F4">
        <w:rPr>
          <w:rFonts w:ascii="Arial" w:hAnsi="Arial" w:cs="Arial"/>
          <w:sz w:val="22"/>
          <w:szCs w:val="22"/>
          <w:lang w:val="es-ES_tradnl"/>
        </w:rPr>
        <w:t xml:space="preserve">considerando que esta última </w:t>
      </w:r>
      <w:r w:rsidR="00A25833" w:rsidRPr="00A572F4">
        <w:rPr>
          <w:rFonts w:ascii="Arial" w:hAnsi="Arial" w:cs="Arial"/>
          <w:sz w:val="22"/>
          <w:szCs w:val="22"/>
          <w:lang w:val="es-ES_tradnl"/>
        </w:rPr>
        <w:t xml:space="preserve">norma señala que los actos administrativos pierden fuerza ejecutoria «Cuando desaparezcan sus fundamentos de hecho o de derecho». </w:t>
      </w:r>
    </w:p>
    <w:p w14:paraId="161D180D" w14:textId="77777777" w:rsidR="00343B9E" w:rsidRPr="00A572F4" w:rsidRDefault="006B78F2" w:rsidP="00343B9E">
      <w:pPr>
        <w:tabs>
          <w:tab w:val="left" w:pos="0"/>
        </w:tabs>
        <w:spacing w:after="120" w:line="276" w:lineRule="auto"/>
        <w:jc w:val="both"/>
        <w:rPr>
          <w:rFonts w:ascii="Arial" w:eastAsiaTheme="minorHAnsi" w:hAnsi="Arial" w:cs="Arial"/>
          <w:sz w:val="22"/>
          <w:szCs w:val="22"/>
          <w:lang w:eastAsia="en-US"/>
        </w:rPr>
      </w:pPr>
      <w:r w:rsidRPr="00A572F4">
        <w:rPr>
          <w:rFonts w:ascii="Arial" w:hAnsi="Arial" w:cs="Arial"/>
          <w:sz w:val="22"/>
          <w:szCs w:val="22"/>
          <w:lang w:val="es-ES_tradnl"/>
        </w:rPr>
        <w:tab/>
      </w:r>
      <w:r w:rsidR="00A25833" w:rsidRPr="00A572F4">
        <w:rPr>
          <w:rFonts w:ascii="Arial" w:hAnsi="Arial" w:cs="Arial"/>
          <w:sz w:val="22"/>
          <w:szCs w:val="22"/>
          <w:lang w:val="es-ES_tradnl"/>
        </w:rPr>
        <w:t xml:space="preserve">Dado que el Decreto 1082 de 2015 es un reglamento </w:t>
      </w:r>
      <w:proofErr w:type="spellStart"/>
      <w:r w:rsidR="00A25833" w:rsidRPr="00A572F4">
        <w:rPr>
          <w:rFonts w:ascii="Arial" w:hAnsi="Arial" w:cs="Arial"/>
          <w:i/>
          <w:iCs/>
          <w:sz w:val="22"/>
          <w:szCs w:val="22"/>
          <w:lang w:val="es-ES_tradnl"/>
        </w:rPr>
        <w:t>secundum</w:t>
      </w:r>
      <w:proofErr w:type="spellEnd"/>
      <w:r w:rsidR="00A25833" w:rsidRPr="00A572F4">
        <w:rPr>
          <w:rFonts w:ascii="Arial" w:hAnsi="Arial" w:cs="Arial"/>
          <w:i/>
          <w:iCs/>
          <w:sz w:val="22"/>
          <w:szCs w:val="22"/>
          <w:lang w:val="es-ES_tradnl"/>
        </w:rPr>
        <w:t xml:space="preserve"> </w:t>
      </w:r>
      <w:proofErr w:type="spellStart"/>
      <w:r w:rsidR="00A25833" w:rsidRPr="00A572F4">
        <w:rPr>
          <w:rFonts w:ascii="Arial" w:hAnsi="Arial" w:cs="Arial"/>
          <w:i/>
          <w:iCs/>
          <w:sz w:val="22"/>
          <w:szCs w:val="22"/>
          <w:lang w:val="es-ES_tradnl"/>
        </w:rPr>
        <w:t>legem</w:t>
      </w:r>
      <w:proofErr w:type="spellEnd"/>
      <w:r w:rsidR="00A25833" w:rsidRPr="00A572F4">
        <w:rPr>
          <w:rFonts w:ascii="Arial" w:hAnsi="Arial" w:cs="Arial"/>
          <w:sz w:val="22"/>
          <w:szCs w:val="22"/>
          <w:lang w:val="es-ES_tradnl"/>
        </w:rPr>
        <w:t xml:space="preserve"> –es decir, que desarrolla una norma de mayor jerarquía–,</w:t>
      </w:r>
      <w:r w:rsidR="00B5534B" w:rsidRPr="00A572F4">
        <w:rPr>
          <w:rFonts w:ascii="Arial" w:hAnsi="Arial" w:cs="Arial"/>
          <w:sz w:val="22"/>
          <w:szCs w:val="22"/>
          <w:lang w:val="es-ES_tradnl"/>
        </w:rPr>
        <w:t xml:space="preserve"> por lo que</w:t>
      </w:r>
      <w:r w:rsidR="00A25833" w:rsidRPr="00A572F4">
        <w:rPr>
          <w:rFonts w:ascii="Arial" w:hAnsi="Arial" w:cs="Arial"/>
          <w:sz w:val="22"/>
          <w:szCs w:val="22"/>
          <w:lang w:val="es-ES_tradnl"/>
        </w:rPr>
        <w:t xml:space="preserve"> la expedición de una ley en sentido formal –es decir, una fuente que condiciona el contenido de este último–, hace que la </w:t>
      </w:r>
      <w:r w:rsidR="00101129" w:rsidRPr="00A572F4">
        <w:rPr>
          <w:rFonts w:ascii="Arial" w:hAnsi="Arial" w:cs="Arial"/>
          <w:sz w:val="22"/>
          <w:szCs w:val="22"/>
          <w:lang w:val="es-ES_tradnl"/>
        </w:rPr>
        <w:t xml:space="preserve">mencionada </w:t>
      </w:r>
      <w:r w:rsidR="00A25833" w:rsidRPr="00A572F4">
        <w:rPr>
          <w:rFonts w:ascii="Arial" w:hAnsi="Arial" w:cs="Arial"/>
          <w:sz w:val="22"/>
          <w:szCs w:val="22"/>
          <w:lang w:val="es-ES_tradnl"/>
        </w:rPr>
        <w:t>disposición reglamentaria decaiga</w:t>
      </w:r>
      <w:r w:rsidR="00735D76" w:rsidRPr="00A572F4">
        <w:rPr>
          <w:rFonts w:ascii="Arial" w:hAnsi="Arial" w:cs="Arial"/>
          <w:sz w:val="22"/>
          <w:szCs w:val="22"/>
          <w:lang w:val="es-ES_tradnl"/>
        </w:rPr>
        <w:t>.</w:t>
      </w:r>
      <w:r w:rsidR="00A25833" w:rsidRPr="00A572F4">
        <w:rPr>
          <w:rFonts w:ascii="Arial" w:hAnsi="Arial" w:cs="Arial"/>
          <w:sz w:val="22"/>
          <w:szCs w:val="22"/>
          <w:lang w:val="es-ES_tradnl"/>
        </w:rPr>
        <w:t xml:space="preserve"> </w:t>
      </w:r>
      <w:r w:rsidR="00845B36" w:rsidRPr="00A572F4">
        <w:rPr>
          <w:rFonts w:ascii="Arial" w:eastAsiaTheme="minorHAnsi" w:hAnsi="Arial" w:cs="Arial"/>
          <w:sz w:val="22"/>
          <w:szCs w:val="22"/>
          <w:lang w:eastAsia="en-US"/>
        </w:rPr>
        <w:t xml:space="preserve"> </w:t>
      </w:r>
      <w:r w:rsidR="00CC7597" w:rsidRPr="00A572F4">
        <w:rPr>
          <w:rFonts w:ascii="Arial" w:eastAsiaTheme="minorHAnsi" w:hAnsi="Arial" w:cs="Arial"/>
          <w:sz w:val="22"/>
          <w:szCs w:val="22"/>
          <w:lang w:eastAsia="en-US"/>
        </w:rPr>
        <w:t xml:space="preserve">Esta </w:t>
      </w:r>
      <w:r w:rsidR="00BB2236" w:rsidRPr="00A572F4">
        <w:rPr>
          <w:rFonts w:ascii="Arial" w:eastAsiaTheme="minorHAnsi" w:hAnsi="Arial" w:cs="Arial"/>
          <w:sz w:val="22"/>
          <w:szCs w:val="22"/>
          <w:lang w:eastAsia="en-US"/>
        </w:rPr>
        <w:t>Agencia ha determinado que</w:t>
      </w:r>
      <w:r w:rsidR="001870F5" w:rsidRPr="00A572F4">
        <w:rPr>
          <w:rFonts w:ascii="Arial" w:eastAsiaTheme="minorHAnsi" w:hAnsi="Arial" w:cs="Arial"/>
          <w:sz w:val="22"/>
          <w:szCs w:val="22"/>
          <w:lang w:eastAsia="en-US"/>
        </w:rPr>
        <w:t xml:space="preserve"> estos </w:t>
      </w:r>
      <w:r w:rsidR="00845B36" w:rsidRPr="00A572F4">
        <w:rPr>
          <w:rFonts w:ascii="Arial" w:eastAsiaTheme="minorHAnsi" w:hAnsi="Arial" w:cs="Arial"/>
          <w:sz w:val="22"/>
          <w:szCs w:val="22"/>
          <w:lang w:eastAsia="en-US"/>
        </w:rPr>
        <w:t xml:space="preserve">argumentos </w:t>
      </w:r>
      <w:r w:rsidR="00B97B5E" w:rsidRPr="00A572F4">
        <w:rPr>
          <w:rFonts w:ascii="Arial" w:eastAsiaTheme="minorHAnsi" w:hAnsi="Arial" w:cs="Arial"/>
          <w:sz w:val="22"/>
          <w:szCs w:val="22"/>
          <w:lang w:eastAsia="en-US"/>
        </w:rPr>
        <w:t xml:space="preserve">no solo </w:t>
      </w:r>
      <w:r w:rsidR="001870F5" w:rsidRPr="00A572F4">
        <w:rPr>
          <w:rFonts w:ascii="Arial" w:eastAsiaTheme="minorHAnsi" w:hAnsi="Arial" w:cs="Arial"/>
          <w:sz w:val="22"/>
          <w:szCs w:val="22"/>
          <w:lang w:eastAsia="en-US"/>
        </w:rPr>
        <w:t xml:space="preserve">son predicables del </w:t>
      </w:r>
      <w:r w:rsidR="00B97B5E" w:rsidRPr="00A572F4">
        <w:rPr>
          <w:rFonts w:ascii="Arial" w:eastAsiaTheme="minorHAnsi" w:hAnsi="Arial" w:cs="Arial"/>
          <w:sz w:val="22"/>
          <w:szCs w:val="22"/>
          <w:lang w:eastAsia="en-US"/>
        </w:rPr>
        <w:t>artículo 2.2.1.1.2.2.9 del Decreto 1082 de 2015, en el que se reglamentaban de manera general los factores de desempate, sino también de otros artículos de dicho reglamento en el que se establecían factores de desempate para algunas modalidades de selección. Este es el caso del numeral 9</w:t>
      </w:r>
      <w:r w:rsidR="00AD0617" w:rsidRPr="00A572F4">
        <w:rPr>
          <w:rFonts w:ascii="Arial" w:eastAsiaTheme="minorHAnsi" w:hAnsi="Arial" w:cs="Arial"/>
          <w:sz w:val="22"/>
          <w:szCs w:val="22"/>
          <w:lang w:eastAsia="en-US"/>
        </w:rPr>
        <w:t xml:space="preserve"> del artículo </w:t>
      </w:r>
      <w:r w:rsidR="00AD0617" w:rsidRPr="00A572F4">
        <w:rPr>
          <w:rFonts w:ascii="Arial" w:eastAsia="Calibri" w:hAnsi="Arial" w:cs="Arial"/>
          <w:sz w:val="22"/>
          <w:szCs w:val="22"/>
          <w:lang w:val="es-ES_tradnl"/>
        </w:rPr>
        <w:t>2.2.1.2.1.2.2, referente al factor de desempate en procedimientos de subasta inversa</w:t>
      </w:r>
      <w:r w:rsidR="00AD0617" w:rsidRPr="00A572F4">
        <w:rPr>
          <w:rStyle w:val="Refdenotaalpie"/>
          <w:rFonts w:ascii="Arial" w:eastAsia="Calibri" w:hAnsi="Arial" w:cs="Arial"/>
          <w:sz w:val="22"/>
          <w:szCs w:val="22"/>
          <w:lang w:val="es-ES_tradnl"/>
        </w:rPr>
        <w:footnoteReference w:id="21"/>
      </w:r>
      <w:r w:rsidR="00AD0617" w:rsidRPr="00A572F4">
        <w:rPr>
          <w:rFonts w:ascii="Arial" w:eastAsia="Calibri" w:hAnsi="Arial" w:cs="Arial"/>
          <w:sz w:val="22"/>
          <w:szCs w:val="22"/>
          <w:lang w:val="es-ES_tradnl"/>
        </w:rPr>
        <w:t xml:space="preserve">, al igual que </w:t>
      </w:r>
      <w:r w:rsidR="00A91C08" w:rsidRPr="00A572F4">
        <w:rPr>
          <w:rFonts w:ascii="Arial" w:eastAsiaTheme="minorHAnsi" w:hAnsi="Arial" w:cs="Arial"/>
          <w:sz w:val="22"/>
          <w:szCs w:val="22"/>
          <w:lang w:eastAsia="en-US"/>
        </w:rPr>
        <w:t xml:space="preserve">el </w:t>
      </w:r>
      <w:r w:rsidR="00AD0617" w:rsidRPr="00A572F4">
        <w:rPr>
          <w:rFonts w:ascii="Arial" w:eastAsiaTheme="minorHAnsi" w:hAnsi="Arial" w:cs="Arial"/>
          <w:sz w:val="22"/>
          <w:szCs w:val="22"/>
          <w:lang w:eastAsia="en-US"/>
        </w:rPr>
        <w:t xml:space="preserve">del </w:t>
      </w:r>
      <w:r w:rsidR="00A91C08" w:rsidRPr="00A572F4">
        <w:rPr>
          <w:rFonts w:ascii="Arial" w:eastAsiaTheme="minorHAnsi" w:hAnsi="Arial" w:cs="Arial"/>
          <w:sz w:val="22"/>
          <w:szCs w:val="22"/>
          <w:lang w:eastAsia="en-US"/>
        </w:rPr>
        <w:t>numeral 7</w:t>
      </w:r>
      <w:r w:rsidR="00CC7597" w:rsidRPr="00A572F4">
        <w:rPr>
          <w:rFonts w:ascii="Arial" w:eastAsiaTheme="minorHAnsi" w:hAnsi="Arial" w:cs="Arial"/>
          <w:sz w:val="22"/>
          <w:szCs w:val="22"/>
          <w:lang w:eastAsia="en-US"/>
        </w:rPr>
        <w:t xml:space="preserve"> del artículo </w:t>
      </w:r>
      <w:r w:rsidR="00CC7597" w:rsidRPr="00A572F4">
        <w:rPr>
          <w:rFonts w:ascii="Arial" w:eastAsia="Calibri" w:hAnsi="Arial" w:cs="Arial"/>
          <w:sz w:val="22"/>
          <w:szCs w:val="22"/>
          <w:lang w:val="es-ES_tradnl"/>
        </w:rPr>
        <w:t>2.2.1.2.1.5.2</w:t>
      </w:r>
      <w:r w:rsidR="004518B0" w:rsidRPr="00A572F4">
        <w:rPr>
          <w:rFonts w:ascii="Arial" w:eastAsiaTheme="minorHAnsi" w:hAnsi="Arial" w:cs="Arial"/>
          <w:sz w:val="22"/>
          <w:szCs w:val="22"/>
          <w:lang w:eastAsia="en-US"/>
        </w:rPr>
        <w:t xml:space="preserve">, </w:t>
      </w:r>
      <w:r w:rsidR="00001CC9" w:rsidRPr="00A572F4">
        <w:rPr>
          <w:rFonts w:ascii="Arial" w:eastAsiaTheme="minorHAnsi" w:hAnsi="Arial" w:cs="Arial"/>
          <w:sz w:val="22"/>
          <w:szCs w:val="22"/>
          <w:lang w:eastAsia="en-US"/>
        </w:rPr>
        <w:t xml:space="preserve">precisando </w:t>
      </w:r>
      <w:r w:rsidR="003D6E60" w:rsidRPr="00A572F4">
        <w:rPr>
          <w:rFonts w:ascii="Arial" w:eastAsiaTheme="minorHAnsi" w:hAnsi="Arial" w:cs="Arial"/>
          <w:sz w:val="22"/>
          <w:szCs w:val="22"/>
          <w:lang w:eastAsia="en-US"/>
        </w:rPr>
        <w:t>que</w:t>
      </w:r>
      <w:r w:rsidR="00AD0617" w:rsidRPr="00A572F4">
        <w:rPr>
          <w:rFonts w:ascii="Arial" w:eastAsiaTheme="minorHAnsi" w:hAnsi="Arial" w:cs="Arial"/>
          <w:sz w:val="22"/>
          <w:szCs w:val="22"/>
          <w:lang w:eastAsia="en-US"/>
        </w:rPr>
        <w:t xml:space="preserve"> ambos casos</w:t>
      </w:r>
      <w:r w:rsidR="003D6E60" w:rsidRPr="00A572F4">
        <w:rPr>
          <w:rFonts w:ascii="Arial" w:eastAsiaTheme="minorHAnsi" w:hAnsi="Arial" w:cs="Arial"/>
          <w:sz w:val="22"/>
          <w:szCs w:val="22"/>
          <w:lang w:eastAsia="en-US"/>
        </w:rPr>
        <w:t xml:space="preserve"> se</w:t>
      </w:r>
      <w:r w:rsidR="001E5C3A" w:rsidRPr="00A572F4">
        <w:rPr>
          <w:rFonts w:ascii="Arial" w:eastAsiaTheme="minorHAnsi" w:hAnsi="Arial" w:cs="Arial"/>
          <w:sz w:val="22"/>
          <w:szCs w:val="22"/>
          <w:lang w:eastAsia="en-US"/>
        </w:rPr>
        <w:t xml:space="preserve"> presenta tanto </w:t>
      </w:r>
      <w:r w:rsidR="004053EC" w:rsidRPr="00A572F4">
        <w:rPr>
          <w:rFonts w:ascii="Arial" w:eastAsiaTheme="minorHAnsi" w:hAnsi="Arial" w:cs="Arial"/>
          <w:sz w:val="22"/>
          <w:szCs w:val="22"/>
          <w:lang w:eastAsia="en-US"/>
        </w:rPr>
        <w:t xml:space="preserve">la </w:t>
      </w:r>
      <w:r w:rsidR="001E5C3A" w:rsidRPr="00A572F4">
        <w:rPr>
          <w:rFonts w:ascii="Arial" w:eastAsiaTheme="minorHAnsi" w:hAnsi="Arial" w:cs="Arial"/>
          <w:sz w:val="22"/>
          <w:szCs w:val="22"/>
          <w:lang w:eastAsia="en-US"/>
        </w:rPr>
        <w:t>derogación como decaimiento</w:t>
      </w:r>
      <w:r w:rsidR="00B97B5E" w:rsidRPr="00A572F4">
        <w:rPr>
          <w:rStyle w:val="Refdenotaalpie"/>
          <w:rFonts w:ascii="Arial" w:eastAsiaTheme="minorHAnsi" w:hAnsi="Arial" w:cs="Arial"/>
          <w:sz w:val="22"/>
          <w:szCs w:val="22"/>
          <w:lang w:eastAsia="en-US"/>
        </w:rPr>
        <w:footnoteReference w:id="22"/>
      </w:r>
      <w:r w:rsidR="001E5C3A" w:rsidRPr="00A572F4">
        <w:rPr>
          <w:rFonts w:ascii="Arial" w:eastAsiaTheme="minorHAnsi" w:hAnsi="Arial" w:cs="Arial"/>
          <w:sz w:val="22"/>
          <w:szCs w:val="22"/>
          <w:lang w:eastAsia="en-US"/>
        </w:rPr>
        <w:t xml:space="preserve">. </w:t>
      </w:r>
    </w:p>
    <w:p w14:paraId="3D8BAC6A" w14:textId="67106544" w:rsidR="005651C7" w:rsidRPr="00A572F4" w:rsidRDefault="001E5C3A" w:rsidP="00EB2ED0">
      <w:pPr>
        <w:tabs>
          <w:tab w:val="left" w:pos="0"/>
        </w:tabs>
        <w:spacing w:after="120" w:line="276" w:lineRule="auto"/>
        <w:jc w:val="both"/>
        <w:rPr>
          <w:rFonts w:ascii="Arial" w:eastAsia="Calibri" w:hAnsi="Arial" w:cs="Arial"/>
          <w:sz w:val="22"/>
          <w:szCs w:val="22"/>
          <w:lang w:val="es-ES_tradnl"/>
        </w:rPr>
      </w:pPr>
      <w:r w:rsidRPr="00A572F4">
        <w:rPr>
          <w:rFonts w:ascii="Arial" w:eastAsiaTheme="minorHAnsi" w:hAnsi="Arial" w:cs="Arial"/>
          <w:sz w:val="22"/>
          <w:szCs w:val="22"/>
          <w:lang w:eastAsia="en-US"/>
        </w:rPr>
        <w:tab/>
        <w:t>Conforme a lo anterior,</w:t>
      </w:r>
      <w:r w:rsidR="0006791B" w:rsidRPr="00A572F4">
        <w:rPr>
          <w:rFonts w:ascii="Arial" w:eastAsiaTheme="minorHAnsi" w:hAnsi="Arial" w:cs="Arial"/>
          <w:sz w:val="22"/>
          <w:szCs w:val="22"/>
          <w:lang w:eastAsia="en-US"/>
        </w:rPr>
        <w:t xml:space="preserve"> </w:t>
      </w:r>
      <w:r w:rsidR="0093110D" w:rsidRPr="00A572F4">
        <w:rPr>
          <w:rFonts w:ascii="Arial" w:eastAsiaTheme="minorHAnsi" w:hAnsi="Arial" w:cs="Arial"/>
          <w:sz w:val="22"/>
          <w:szCs w:val="22"/>
          <w:lang w:eastAsia="en-US"/>
        </w:rPr>
        <w:t>la aplicación del</w:t>
      </w:r>
      <w:r w:rsidR="00316AD8" w:rsidRPr="00A572F4">
        <w:rPr>
          <w:rFonts w:ascii="Arial" w:eastAsiaTheme="minorHAnsi" w:hAnsi="Arial" w:cs="Arial"/>
          <w:sz w:val="22"/>
          <w:szCs w:val="22"/>
          <w:lang w:eastAsia="en-US"/>
        </w:rPr>
        <w:t xml:space="preserve"> artículo 35 de la Ley 2069 de 2020</w:t>
      </w:r>
      <w:r w:rsidR="0093110D" w:rsidRPr="00A572F4">
        <w:rPr>
          <w:rFonts w:ascii="Arial" w:eastAsiaTheme="minorHAnsi" w:hAnsi="Arial" w:cs="Arial"/>
          <w:sz w:val="22"/>
          <w:szCs w:val="22"/>
          <w:lang w:eastAsia="en-US"/>
        </w:rPr>
        <w:t xml:space="preserve"> es transversal a los diferentes actores del sistema de compras públicas, quienes </w:t>
      </w:r>
      <w:r w:rsidR="006B722F" w:rsidRPr="00A572F4">
        <w:rPr>
          <w:rFonts w:ascii="Arial" w:eastAsiaTheme="minorHAnsi" w:hAnsi="Arial" w:cs="Arial"/>
          <w:sz w:val="22"/>
          <w:szCs w:val="22"/>
          <w:lang w:eastAsia="en-US"/>
        </w:rPr>
        <w:t>–</w:t>
      </w:r>
      <w:r w:rsidR="0093110D" w:rsidRPr="00A572F4">
        <w:rPr>
          <w:rFonts w:ascii="Arial" w:eastAsiaTheme="minorHAnsi" w:hAnsi="Arial" w:cs="Arial"/>
          <w:sz w:val="22"/>
          <w:szCs w:val="22"/>
          <w:lang w:eastAsia="en-US"/>
        </w:rPr>
        <w:t>indistintamente de</w:t>
      </w:r>
      <w:r w:rsidR="006B722F" w:rsidRPr="00A572F4">
        <w:rPr>
          <w:rFonts w:ascii="Arial" w:eastAsiaTheme="minorHAnsi" w:hAnsi="Arial" w:cs="Arial"/>
          <w:sz w:val="22"/>
          <w:szCs w:val="22"/>
          <w:lang w:eastAsia="en-US"/>
        </w:rPr>
        <w:t>l</w:t>
      </w:r>
      <w:r w:rsidR="00BF4154" w:rsidRPr="00A572F4">
        <w:rPr>
          <w:rFonts w:ascii="Arial" w:eastAsiaTheme="minorHAnsi" w:hAnsi="Arial" w:cs="Arial"/>
          <w:sz w:val="22"/>
          <w:szCs w:val="22"/>
          <w:lang w:eastAsia="en-US"/>
        </w:rPr>
        <w:t xml:space="preserve"> régimen de </w:t>
      </w:r>
      <w:r w:rsidR="006B722F" w:rsidRPr="00A572F4">
        <w:rPr>
          <w:rFonts w:ascii="Arial" w:eastAsiaTheme="minorHAnsi" w:hAnsi="Arial" w:cs="Arial"/>
          <w:sz w:val="22"/>
          <w:szCs w:val="22"/>
          <w:lang w:eastAsia="en-US"/>
        </w:rPr>
        <w:t>contractual y</w:t>
      </w:r>
      <w:r w:rsidR="003821F1" w:rsidRPr="00A572F4">
        <w:rPr>
          <w:rFonts w:ascii="Arial" w:eastAsiaTheme="minorHAnsi" w:hAnsi="Arial" w:cs="Arial"/>
          <w:sz w:val="22"/>
          <w:szCs w:val="22"/>
          <w:lang w:eastAsia="en-US"/>
        </w:rPr>
        <w:t xml:space="preserve"> el proceso de selección</w:t>
      </w:r>
      <w:r w:rsidR="006B722F" w:rsidRPr="00A572F4">
        <w:rPr>
          <w:rFonts w:ascii="Arial" w:eastAsiaTheme="minorHAnsi" w:hAnsi="Arial" w:cs="Arial"/>
          <w:sz w:val="22"/>
          <w:szCs w:val="22"/>
          <w:lang w:eastAsia="en-US"/>
        </w:rPr>
        <w:t>–</w:t>
      </w:r>
      <w:r w:rsidR="003821F1" w:rsidRPr="00A572F4">
        <w:rPr>
          <w:rFonts w:ascii="Arial" w:eastAsiaTheme="minorHAnsi" w:hAnsi="Arial" w:cs="Arial"/>
          <w:sz w:val="22"/>
          <w:szCs w:val="22"/>
          <w:lang w:eastAsia="en-US"/>
        </w:rPr>
        <w:t xml:space="preserve"> deben aplicar los criterios de desempate de </w:t>
      </w:r>
      <w:r w:rsidR="006B722F" w:rsidRPr="00A572F4">
        <w:rPr>
          <w:rFonts w:ascii="Arial" w:eastAsiaTheme="minorHAnsi" w:hAnsi="Arial" w:cs="Arial"/>
          <w:sz w:val="22"/>
          <w:szCs w:val="22"/>
          <w:lang w:eastAsia="en-US"/>
        </w:rPr>
        <w:t xml:space="preserve">esta </w:t>
      </w:r>
      <w:r w:rsidR="003821F1" w:rsidRPr="00A572F4">
        <w:rPr>
          <w:rFonts w:ascii="Arial" w:eastAsiaTheme="minorHAnsi" w:hAnsi="Arial" w:cs="Arial"/>
          <w:sz w:val="22"/>
          <w:szCs w:val="22"/>
          <w:lang w:eastAsia="en-US"/>
        </w:rPr>
        <w:t>norma, lo cual</w:t>
      </w:r>
      <w:r w:rsidR="00C37BD9" w:rsidRPr="00A572F4">
        <w:rPr>
          <w:rFonts w:ascii="Arial" w:eastAsiaTheme="minorHAnsi" w:hAnsi="Arial" w:cs="Arial"/>
          <w:sz w:val="22"/>
          <w:szCs w:val="22"/>
          <w:lang w:eastAsia="en-US"/>
        </w:rPr>
        <w:t xml:space="preserve"> aplica a</w:t>
      </w:r>
      <w:r w:rsidR="00B97B5E" w:rsidRPr="00A572F4">
        <w:rPr>
          <w:rFonts w:ascii="Arial" w:eastAsiaTheme="minorHAnsi" w:hAnsi="Arial" w:cs="Arial"/>
          <w:sz w:val="22"/>
          <w:szCs w:val="22"/>
          <w:lang w:eastAsia="en-US"/>
        </w:rPr>
        <w:t xml:space="preserve"> los</w:t>
      </w:r>
      <w:r w:rsidR="00C37BD9" w:rsidRPr="00A572F4">
        <w:rPr>
          <w:rFonts w:ascii="Arial" w:eastAsiaTheme="minorHAnsi" w:hAnsi="Arial" w:cs="Arial"/>
          <w:sz w:val="22"/>
          <w:szCs w:val="22"/>
          <w:lang w:eastAsia="en-US"/>
        </w:rPr>
        <w:t xml:space="preserve"> procedimiento</w:t>
      </w:r>
      <w:r w:rsidR="00B97B5E" w:rsidRPr="00A572F4">
        <w:rPr>
          <w:rFonts w:ascii="Arial" w:eastAsiaTheme="minorHAnsi" w:hAnsi="Arial" w:cs="Arial"/>
          <w:sz w:val="22"/>
          <w:szCs w:val="22"/>
          <w:lang w:eastAsia="en-US"/>
        </w:rPr>
        <w:t>s de subasta inversa y</w:t>
      </w:r>
      <w:r w:rsidR="00C37BD9" w:rsidRPr="00A572F4">
        <w:rPr>
          <w:rFonts w:ascii="Arial" w:eastAsiaTheme="minorHAnsi" w:hAnsi="Arial" w:cs="Arial"/>
          <w:sz w:val="22"/>
          <w:szCs w:val="22"/>
          <w:lang w:eastAsia="en-US"/>
        </w:rPr>
        <w:t xml:space="preserve"> de mínima cuantía. </w:t>
      </w:r>
      <w:r w:rsidR="00495553" w:rsidRPr="00A572F4">
        <w:rPr>
          <w:rFonts w:ascii="Arial" w:eastAsiaTheme="minorHAnsi" w:hAnsi="Arial" w:cs="Arial"/>
          <w:sz w:val="22"/>
          <w:szCs w:val="22"/>
          <w:lang w:eastAsia="en-US"/>
        </w:rPr>
        <w:t>Conforme al</w:t>
      </w:r>
      <w:r w:rsidR="00C37BD9" w:rsidRPr="00A572F4">
        <w:rPr>
          <w:rFonts w:ascii="Arial" w:eastAsiaTheme="minorHAnsi" w:hAnsi="Arial" w:cs="Arial"/>
          <w:sz w:val="22"/>
          <w:szCs w:val="22"/>
          <w:lang w:eastAsia="en-US"/>
        </w:rPr>
        <w:t xml:space="preserve"> ámbito de aplicación, </w:t>
      </w:r>
      <w:r w:rsidR="005474DA" w:rsidRPr="00A572F4">
        <w:rPr>
          <w:rFonts w:ascii="Arial" w:eastAsiaTheme="minorHAnsi" w:hAnsi="Arial" w:cs="Arial"/>
          <w:sz w:val="22"/>
          <w:szCs w:val="22"/>
          <w:lang w:eastAsia="en-US"/>
        </w:rPr>
        <w:t>la regulación de</w:t>
      </w:r>
      <w:r w:rsidR="003D2E69" w:rsidRPr="00A572F4">
        <w:rPr>
          <w:rFonts w:ascii="Arial" w:eastAsiaTheme="minorHAnsi" w:hAnsi="Arial" w:cs="Arial"/>
          <w:sz w:val="22"/>
          <w:szCs w:val="22"/>
          <w:lang w:eastAsia="en-US"/>
        </w:rPr>
        <w:t>l tema en la Ley de Emprendimiento</w:t>
      </w:r>
      <w:r w:rsidR="00C37BD9" w:rsidRPr="00A572F4">
        <w:rPr>
          <w:rFonts w:ascii="Arial" w:eastAsiaTheme="minorHAnsi" w:hAnsi="Arial" w:cs="Arial"/>
          <w:sz w:val="22"/>
          <w:szCs w:val="22"/>
          <w:lang w:eastAsia="en-US"/>
        </w:rPr>
        <w:t xml:space="preserve"> ha generado la derogatoria y decaimiento </w:t>
      </w:r>
      <w:r w:rsidR="005357FA" w:rsidRPr="00A572F4">
        <w:rPr>
          <w:rFonts w:ascii="Arial" w:eastAsiaTheme="minorHAnsi" w:hAnsi="Arial" w:cs="Arial"/>
          <w:sz w:val="22"/>
          <w:szCs w:val="22"/>
          <w:lang w:eastAsia="en-US"/>
        </w:rPr>
        <w:t>del numeral</w:t>
      </w:r>
      <w:r w:rsidR="00B97B5E" w:rsidRPr="00A572F4">
        <w:rPr>
          <w:rFonts w:ascii="Arial" w:eastAsiaTheme="minorHAnsi" w:hAnsi="Arial" w:cs="Arial"/>
          <w:sz w:val="22"/>
          <w:szCs w:val="22"/>
          <w:lang w:eastAsia="en-US"/>
        </w:rPr>
        <w:t xml:space="preserve"> 9 del artículo </w:t>
      </w:r>
      <w:r w:rsidR="00B97B5E" w:rsidRPr="00A572F4">
        <w:rPr>
          <w:rFonts w:ascii="Arial" w:eastAsia="Calibri" w:hAnsi="Arial" w:cs="Arial"/>
          <w:sz w:val="22"/>
          <w:szCs w:val="22"/>
          <w:lang w:val="es-ES_tradnl"/>
        </w:rPr>
        <w:t xml:space="preserve">2.2.1.2.1.2.2, y del </w:t>
      </w:r>
      <w:r w:rsidR="005357FA" w:rsidRPr="00A572F4">
        <w:rPr>
          <w:rFonts w:ascii="Arial" w:eastAsiaTheme="minorHAnsi" w:hAnsi="Arial" w:cs="Arial"/>
          <w:sz w:val="22"/>
          <w:szCs w:val="22"/>
          <w:lang w:eastAsia="en-US"/>
        </w:rPr>
        <w:t>7 del artículo</w:t>
      </w:r>
      <w:r w:rsidR="002A725A" w:rsidRPr="00A572F4">
        <w:rPr>
          <w:rFonts w:ascii="Arial" w:eastAsiaTheme="minorHAnsi" w:hAnsi="Arial" w:cs="Arial"/>
          <w:sz w:val="22"/>
          <w:szCs w:val="22"/>
          <w:lang w:eastAsia="en-US"/>
        </w:rPr>
        <w:t xml:space="preserve"> </w:t>
      </w:r>
      <w:r w:rsidR="002A725A" w:rsidRPr="00A572F4">
        <w:rPr>
          <w:rFonts w:ascii="Arial" w:eastAsia="Calibri" w:hAnsi="Arial" w:cs="Arial"/>
          <w:sz w:val="22"/>
          <w:szCs w:val="22"/>
          <w:lang w:val="es-ES_tradnl"/>
        </w:rPr>
        <w:t>2.2.1.2.1.5.2</w:t>
      </w:r>
      <w:r w:rsidR="00463B3C" w:rsidRPr="00A572F4">
        <w:rPr>
          <w:rFonts w:ascii="Arial" w:eastAsia="Calibri" w:hAnsi="Arial" w:cs="Arial"/>
          <w:sz w:val="22"/>
          <w:szCs w:val="22"/>
          <w:lang w:val="es-ES_tradnl"/>
        </w:rPr>
        <w:t xml:space="preserve"> del Decreto 1082 de 2015</w:t>
      </w:r>
      <w:r w:rsidR="00127278" w:rsidRPr="00A572F4">
        <w:rPr>
          <w:rFonts w:ascii="Arial" w:eastAsia="Calibri" w:hAnsi="Arial" w:cs="Arial"/>
          <w:sz w:val="22"/>
          <w:szCs w:val="22"/>
          <w:lang w:val="es-ES_tradnl"/>
        </w:rPr>
        <w:t>.</w:t>
      </w:r>
      <w:r w:rsidR="00E47EFD" w:rsidRPr="00A572F4">
        <w:rPr>
          <w:rFonts w:ascii="Arial" w:eastAsia="Calibri" w:hAnsi="Arial" w:cs="Arial"/>
          <w:sz w:val="22"/>
          <w:szCs w:val="22"/>
          <w:lang w:val="es-ES_tradnl"/>
        </w:rPr>
        <w:t xml:space="preserve"> Esto</w:t>
      </w:r>
      <w:r w:rsidR="0067645B" w:rsidRPr="00A572F4">
        <w:rPr>
          <w:rFonts w:ascii="Arial" w:eastAsia="Calibri" w:hAnsi="Arial" w:cs="Arial"/>
          <w:sz w:val="22"/>
          <w:szCs w:val="22"/>
          <w:lang w:val="es-ES_tradnl"/>
        </w:rPr>
        <w:t xml:space="preserve"> significa que</w:t>
      </w:r>
      <w:r w:rsidR="00EC1F36" w:rsidRPr="00A572F4">
        <w:rPr>
          <w:rFonts w:ascii="Arial" w:eastAsia="Calibri" w:hAnsi="Arial" w:cs="Arial"/>
          <w:sz w:val="22"/>
          <w:szCs w:val="22"/>
          <w:lang w:val="es-ES_tradnl"/>
        </w:rPr>
        <w:t>, con excepción de</w:t>
      </w:r>
      <w:r w:rsidR="00343B9E" w:rsidRPr="00A572F4">
        <w:rPr>
          <w:rFonts w:ascii="Arial" w:eastAsia="Calibri" w:hAnsi="Arial" w:cs="Arial"/>
          <w:sz w:val="22"/>
          <w:szCs w:val="22"/>
          <w:lang w:val="es-ES_tradnl"/>
        </w:rPr>
        <w:t xml:space="preserve"> </w:t>
      </w:r>
      <w:r w:rsidR="00EC1F36" w:rsidRPr="00A572F4">
        <w:rPr>
          <w:rFonts w:ascii="Arial" w:eastAsia="Calibri" w:hAnsi="Arial" w:cs="Arial"/>
          <w:sz w:val="22"/>
          <w:szCs w:val="22"/>
          <w:lang w:val="es-ES_tradnl"/>
        </w:rPr>
        <w:t>l</w:t>
      </w:r>
      <w:r w:rsidR="00343B9E" w:rsidRPr="00A572F4">
        <w:rPr>
          <w:rFonts w:ascii="Arial" w:eastAsia="Calibri" w:hAnsi="Arial" w:cs="Arial"/>
          <w:sz w:val="22"/>
          <w:szCs w:val="22"/>
          <w:lang w:val="es-ES_tradnl"/>
        </w:rPr>
        <w:t>os</w:t>
      </w:r>
      <w:r w:rsidR="00EC1F36" w:rsidRPr="00A572F4">
        <w:rPr>
          <w:rFonts w:ascii="Arial" w:eastAsia="Calibri" w:hAnsi="Arial" w:cs="Arial"/>
          <w:sz w:val="22"/>
          <w:szCs w:val="22"/>
          <w:lang w:val="es-ES_tradnl"/>
        </w:rPr>
        <w:t xml:space="preserve"> numeral</w:t>
      </w:r>
      <w:r w:rsidR="00343B9E" w:rsidRPr="00A572F4">
        <w:rPr>
          <w:rFonts w:ascii="Arial" w:eastAsia="Calibri" w:hAnsi="Arial" w:cs="Arial"/>
          <w:sz w:val="22"/>
          <w:szCs w:val="22"/>
          <w:lang w:val="es-ES_tradnl"/>
        </w:rPr>
        <w:t>es</w:t>
      </w:r>
      <w:r w:rsidR="00EC1F36" w:rsidRPr="00A572F4">
        <w:rPr>
          <w:rFonts w:ascii="Arial" w:eastAsia="Calibri" w:hAnsi="Arial" w:cs="Arial"/>
          <w:sz w:val="22"/>
          <w:szCs w:val="22"/>
          <w:lang w:val="es-ES_tradnl"/>
        </w:rPr>
        <w:t xml:space="preserve"> citado</w:t>
      </w:r>
      <w:r w:rsidR="00343B9E" w:rsidRPr="00A572F4">
        <w:rPr>
          <w:rFonts w:ascii="Arial" w:eastAsia="Calibri" w:hAnsi="Arial" w:cs="Arial"/>
          <w:sz w:val="22"/>
          <w:szCs w:val="22"/>
          <w:lang w:val="es-ES_tradnl"/>
        </w:rPr>
        <w:t>s</w:t>
      </w:r>
      <w:r w:rsidR="00EC1F36" w:rsidRPr="00A572F4">
        <w:rPr>
          <w:rFonts w:ascii="Arial" w:eastAsia="Calibri" w:hAnsi="Arial" w:cs="Arial"/>
          <w:sz w:val="22"/>
          <w:szCs w:val="22"/>
          <w:lang w:val="es-ES_tradnl"/>
        </w:rPr>
        <w:t>,</w:t>
      </w:r>
      <w:r w:rsidR="003D2E69" w:rsidRPr="00A572F4">
        <w:rPr>
          <w:rFonts w:ascii="Arial" w:eastAsia="Calibri" w:hAnsi="Arial" w:cs="Arial"/>
          <w:sz w:val="22"/>
          <w:szCs w:val="22"/>
          <w:lang w:val="es-ES_tradnl"/>
        </w:rPr>
        <w:t xml:space="preserve"> es posible</w:t>
      </w:r>
      <w:r w:rsidR="00303629" w:rsidRPr="00A572F4">
        <w:rPr>
          <w:rFonts w:ascii="Arial" w:eastAsia="Calibri" w:hAnsi="Arial" w:cs="Arial"/>
          <w:sz w:val="22"/>
          <w:szCs w:val="22"/>
          <w:lang w:val="es-ES_tradnl"/>
        </w:rPr>
        <w:t xml:space="preserve"> adelantar procesos de </w:t>
      </w:r>
      <w:r w:rsidR="00303629" w:rsidRPr="00A572F4">
        <w:rPr>
          <w:rFonts w:ascii="Arial" w:eastAsia="Calibri" w:hAnsi="Arial" w:cs="Arial"/>
          <w:sz w:val="22"/>
          <w:szCs w:val="22"/>
          <w:lang w:val="es-ES_tradnl"/>
        </w:rPr>
        <w:lastRenderedPageBreak/>
        <w:t>selección</w:t>
      </w:r>
      <w:r w:rsidR="00343B9E" w:rsidRPr="00A572F4">
        <w:rPr>
          <w:rFonts w:ascii="Arial" w:eastAsia="Calibri" w:hAnsi="Arial" w:cs="Arial"/>
          <w:sz w:val="22"/>
          <w:szCs w:val="22"/>
          <w:lang w:val="es-ES_tradnl"/>
        </w:rPr>
        <w:t xml:space="preserve"> mediante el mecanismo de subasta inversa, al igual que en la modalidad </w:t>
      </w:r>
      <w:r w:rsidR="008414F0" w:rsidRPr="00A572F4">
        <w:rPr>
          <w:rFonts w:ascii="Arial" w:eastAsia="Calibri" w:hAnsi="Arial" w:cs="Arial"/>
          <w:sz w:val="22"/>
          <w:szCs w:val="22"/>
          <w:lang w:val="es-ES_tradnl"/>
        </w:rPr>
        <w:t>de mínima</w:t>
      </w:r>
      <w:r w:rsidR="00E32279" w:rsidRPr="00A572F4">
        <w:rPr>
          <w:rFonts w:ascii="Arial" w:eastAsia="Calibri" w:hAnsi="Arial" w:cs="Arial"/>
          <w:sz w:val="22"/>
          <w:szCs w:val="22"/>
          <w:lang w:val="es-ES_tradnl"/>
        </w:rPr>
        <w:t xml:space="preserve"> cuantía</w:t>
      </w:r>
      <w:r w:rsidR="00343B9E" w:rsidRPr="00A572F4">
        <w:rPr>
          <w:rFonts w:ascii="Arial" w:eastAsia="Calibri" w:hAnsi="Arial" w:cs="Arial"/>
          <w:sz w:val="22"/>
          <w:szCs w:val="22"/>
          <w:lang w:val="es-ES_tradnl"/>
        </w:rPr>
        <w:t>,</w:t>
      </w:r>
      <w:r w:rsidR="00E31FCF" w:rsidRPr="00A572F4">
        <w:rPr>
          <w:rFonts w:ascii="Arial" w:eastAsia="Calibri" w:hAnsi="Arial" w:cs="Arial"/>
          <w:sz w:val="22"/>
          <w:szCs w:val="22"/>
          <w:lang w:val="es-ES_tradnl"/>
        </w:rPr>
        <w:t xml:space="preserve"> </w:t>
      </w:r>
      <w:r w:rsidR="00343B9E" w:rsidRPr="00A572F4">
        <w:rPr>
          <w:rFonts w:ascii="Arial" w:eastAsia="Calibri" w:hAnsi="Arial" w:cs="Arial"/>
          <w:sz w:val="22"/>
          <w:szCs w:val="22"/>
          <w:lang w:val="es-ES_tradnl"/>
        </w:rPr>
        <w:t>siguiendo los</w:t>
      </w:r>
      <w:r w:rsidR="00E32279" w:rsidRPr="00A572F4">
        <w:rPr>
          <w:rFonts w:ascii="Arial" w:eastAsia="Calibri" w:hAnsi="Arial" w:cs="Arial"/>
          <w:sz w:val="22"/>
          <w:szCs w:val="22"/>
          <w:lang w:val="es-ES_tradnl"/>
        </w:rPr>
        <w:t xml:space="preserve"> procedimiento</w:t>
      </w:r>
      <w:r w:rsidR="00343B9E" w:rsidRPr="00A572F4">
        <w:rPr>
          <w:rFonts w:ascii="Arial" w:eastAsia="Calibri" w:hAnsi="Arial" w:cs="Arial"/>
          <w:sz w:val="22"/>
          <w:szCs w:val="22"/>
          <w:lang w:val="es-ES_tradnl"/>
        </w:rPr>
        <w:t>s de los artículos 2.2.1.2.1.2.2 y</w:t>
      </w:r>
      <w:r w:rsidR="00652E9C">
        <w:rPr>
          <w:rFonts w:ascii="Arial" w:eastAsia="Calibri" w:hAnsi="Arial" w:cs="Arial"/>
          <w:sz w:val="22"/>
          <w:szCs w:val="22"/>
          <w:lang w:val="es-ES_tradnl"/>
        </w:rPr>
        <w:t xml:space="preserve"> </w:t>
      </w:r>
      <w:r w:rsidR="00343B9E" w:rsidRPr="00A572F4">
        <w:rPr>
          <w:rFonts w:ascii="Arial" w:eastAsia="Calibri" w:hAnsi="Arial" w:cs="Arial"/>
          <w:sz w:val="22"/>
          <w:szCs w:val="22"/>
          <w:lang w:val="es-ES_tradnl"/>
        </w:rPr>
        <w:t>2.2.1.2.1.5.2</w:t>
      </w:r>
      <w:r w:rsidR="009B48F8" w:rsidRPr="00A572F4">
        <w:rPr>
          <w:rFonts w:ascii="Arial" w:eastAsia="Calibri" w:hAnsi="Arial" w:cs="Arial"/>
          <w:sz w:val="22"/>
          <w:szCs w:val="22"/>
          <w:lang w:val="es-ES_tradnl"/>
        </w:rPr>
        <w:t>,</w:t>
      </w:r>
      <w:r w:rsidR="00343B9E" w:rsidRPr="00A572F4">
        <w:rPr>
          <w:rFonts w:ascii="Arial" w:eastAsia="Calibri" w:hAnsi="Arial" w:cs="Arial"/>
          <w:sz w:val="22"/>
          <w:szCs w:val="22"/>
          <w:lang w:val="es-ES_tradnl"/>
        </w:rPr>
        <w:t xml:space="preserve"> respectivamente,</w:t>
      </w:r>
      <w:r w:rsidR="009B48F8" w:rsidRPr="00A572F4">
        <w:rPr>
          <w:rFonts w:ascii="Arial" w:eastAsia="Calibri" w:hAnsi="Arial" w:cs="Arial"/>
          <w:sz w:val="22"/>
          <w:szCs w:val="22"/>
          <w:lang w:val="es-ES_tradnl"/>
        </w:rPr>
        <w:t xml:space="preserve"> </w:t>
      </w:r>
      <w:r w:rsidR="00E31FCF" w:rsidRPr="00A572F4">
        <w:rPr>
          <w:rFonts w:ascii="Arial" w:eastAsia="Calibri" w:hAnsi="Arial" w:cs="Arial"/>
          <w:sz w:val="22"/>
          <w:szCs w:val="22"/>
          <w:lang w:val="es-ES_tradnl"/>
        </w:rPr>
        <w:t>para lo</w:t>
      </w:r>
      <w:r w:rsidR="009B48F8" w:rsidRPr="00A572F4">
        <w:rPr>
          <w:rFonts w:ascii="Arial" w:eastAsia="Calibri" w:hAnsi="Arial" w:cs="Arial"/>
          <w:sz w:val="22"/>
          <w:szCs w:val="22"/>
          <w:lang w:val="es-ES_tradnl"/>
        </w:rPr>
        <w:t xml:space="preserve"> cual </w:t>
      </w:r>
      <w:r w:rsidR="00E31FCF" w:rsidRPr="00A572F4">
        <w:rPr>
          <w:rFonts w:ascii="Arial" w:eastAsia="Calibri" w:hAnsi="Arial" w:cs="Arial"/>
          <w:sz w:val="22"/>
          <w:szCs w:val="22"/>
          <w:lang w:val="es-ES_tradnl"/>
        </w:rPr>
        <w:t xml:space="preserve">–en caso de empate– </w:t>
      </w:r>
      <w:r w:rsidR="009B48F8" w:rsidRPr="00A572F4">
        <w:rPr>
          <w:rFonts w:ascii="Arial" w:eastAsia="Calibri" w:hAnsi="Arial" w:cs="Arial"/>
          <w:sz w:val="22"/>
          <w:szCs w:val="22"/>
          <w:lang w:val="es-ES_tradnl"/>
        </w:rPr>
        <w:t>debe</w:t>
      </w:r>
      <w:r w:rsidR="00343B9E" w:rsidRPr="00A572F4">
        <w:rPr>
          <w:rFonts w:ascii="Arial" w:eastAsia="Calibri" w:hAnsi="Arial" w:cs="Arial"/>
          <w:sz w:val="22"/>
          <w:szCs w:val="22"/>
          <w:lang w:val="es-ES_tradnl"/>
        </w:rPr>
        <w:t>rá</w:t>
      </w:r>
      <w:r w:rsidR="009B48F8" w:rsidRPr="00A572F4">
        <w:rPr>
          <w:rFonts w:ascii="Arial" w:eastAsia="Calibri" w:hAnsi="Arial" w:cs="Arial"/>
          <w:sz w:val="22"/>
          <w:szCs w:val="22"/>
          <w:lang w:val="es-ES_tradnl"/>
        </w:rPr>
        <w:t xml:space="preserve"> aplicar</w:t>
      </w:r>
      <w:r w:rsidR="008D3FFE" w:rsidRPr="00A572F4">
        <w:rPr>
          <w:rFonts w:ascii="Arial" w:eastAsia="Calibri" w:hAnsi="Arial" w:cs="Arial"/>
          <w:sz w:val="22"/>
          <w:szCs w:val="22"/>
          <w:lang w:val="es-ES_tradnl"/>
        </w:rPr>
        <w:t>se</w:t>
      </w:r>
      <w:r w:rsidR="009B48F8" w:rsidRPr="00A572F4">
        <w:rPr>
          <w:rFonts w:ascii="Arial" w:eastAsia="Calibri" w:hAnsi="Arial" w:cs="Arial"/>
          <w:sz w:val="22"/>
          <w:szCs w:val="22"/>
          <w:lang w:val="es-ES_tradnl"/>
        </w:rPr>
        <w:t xml:space="preserve"> el artículo 35 de la Ley 2069 de 2020</w:t>
      </w:r>
      <w:r w:rsidR="00540048">
        <w:rPr>
          <w:rFonts w:ascii="Arial" w:eastAsia="Calibri" w:hAnsi="Arial" w:cs="Arial"/>
          <w:sz w:val="22"/>
          <w:szCs w:val="22"/>
          <w:lang w:val="es-ES_tradnl"/>
        </w:rPr>
        <w:t xml:space="preserve"> </w:t>
      </w:r>
      <w:r w:rsidR="00540048" w:rsidRPr="00A572F4">
        <w:rPr>
          <w:rFonts w:ascii="Arial" w:eastAsia="Calibri" w:hAnsi="Arial" w:cs="Arial"/>
          <w:sz w:val="22"/>
          <w:szCs w:val="22"/>
          <w:lang w:val="es-ES_tradnl"/>
        </w:rPr>
        <w:t>en ambos casos</w:t>
      </w:r>
      <w:r w:rsidR="008D3FFE" w:rsidRPr="00A572F4">
        <w:rPr>
          <w:rFonts w:ascii="Arial" w:eastAsia="Calibri" w:hAnsi="Arial" w:cs="Arial"/>
          <w:sz w:val="22"/>
          <w:szCs w:val="22"/>
          <w:lang w:val="es-ES_tradnl"/>
        </w:rPr>
        <w:t>.</w:t>
      </w:r>
    </w:p>
    <w:p w14:paraId="4E673C3B" w14:textId="5D17AF7B" w:rsidR="007E7E0E" w:rsidRPr="00A572F4" w:rsidRDefault="00127278" w:rsidP="00522759">
      <w:pPr>
        <w:tabs>
          <w:tab w:val="left" w:pos="0"/>
        </w:tabs>
        <w:spacing w:after="120" w:line="276" w:lineRule="auto"/>
        <w:jc w:val="both"/>
        <w:rPr>
          <w:rFonts w:ascii="Arial" w:eastAsia="Calibri" w:hAnsi="Arial" w:cs="Arial"/>
          <w:bCs/>
          <w:sz w:val="22"/>
          <w:szCs w:val="22"/>
        </w:rPr>
      </w:pPr>
      <w:r w:rsidRPr="00A572F4">
        <w:rPr>
          <w:rFonts w:ascii="Arial" w:eastAsia="Calibri" w:hAnsi="Arial" w:cs="Arial"/>
          <w:sz w:val="22"/>
          <w:szCs w:val="22"/>
          <w:lang w:val="es-ES_tradnl"/>
        </w:rPr>
        <w:tab/>
      </w:r>
      <w:r w:rsidR="00343B9E" w:rsidRPr="00A572F4">
        <w:rPr>
          <w:rFonts w:ascii="Arial" w:eastAsia="Calibri" w:hAnsi="Arial" w:cs="Arial"/>
          <w:sz w:val="22"/>
          <w:szCs w:val="22"/>
          <w:lang w:val="es-ES_tradnl"/>
        </w:rPr>
        <w:t>El hecho de que en estos procedimientos la determinación de la oferta más favorable no esté mediada por el uso de «puntaje»</w:t>
      </w:r>
      <w:r w:rsidR="00522759" w:rsidRPr="00A572F4">
        <w:rPr>
          <w:rFonts w:ascii="Arial" w:eastAsia="Calibri" w:hAnsi="Arial" w:cs="Arial"/>
          <w:sz w:val="22"/>
          <w:szCs w:val="22"/>
          <w:lang w:val="es-ES_tradnl"/>
        </w:rPr>
        <w:t>, y que el artículo 35 de la Ley 2069 de 2020 sea aplicable en «</w:t>
      </w:r>
      <w:r w:rsidR="00522759" w:rsidRPr="00A572F4">
        <w:rPr>
          <w:rFonts w:ascii="Arial" w:hAnsi="Arial" w:cs="Arial"/>
          <w:sz w:val="22"/>
          <w:szCs w:val="22"/>
        </w:rPr>
        <w:t>[..] caso de empate en el puntaje total de dos o más ofertas […]»,</w:t>
      </w:r>
      <w:r w:rsidR="00522759" w:rsidRPr="00A572F4">
        <w:rPr>
          <w:rFonts w:ascii="Arial" w:eastAsia="Calibri" w:hAnsi="Arial" w:cs="Arial"/>
          <w:sz w:val="22"/>
          <w:szCs w:val="22"/>
          <w:lang w:val="es-ES_tradnl"/>
        </w:rPr>
        <w:t xml:space="preserve"> no significa que dicha noma no deba aplica</w:t>
      </w:r>
      <w:r w:rsidR="00CF40C1">
        <w:rPr>
          <w:rFonts w:ascii="Arial" w:eastAsia="Calibri" w:hAnsi="Arial" w:cs="Arial"/>
          <w:sz w:val="22"/>
          <w:szCs w:val="22"/>
          <w:lang w:val="es-ES_tradnl"/>
        </w:rPr>
        <w:t>rse</w:t>
      </w:r>
      <w:r w:rsidR="00522759" w:rsidRPr="00A572F4">
        <w:rPr>
          <w:rFonts w:ascii="Arial" w:eastAsia="Calibri" w:hAnsi="Arial" w:cs="Arial"/>
          <w:sz w:val="22"/>
          <w:szCs w:val="22"/>
          <w:lang w:val="es-ES_tradnl"/>
        </w:rPr>
        <w:t xml:space="preserve"> en los referidos procedimientos</w:t>
      </w:r>
      <w:r w:rsidR="00E92C2D" w:rsidRPr="00A572F4">
        <w:rPr>
          <w:rFonts w:ascii="Arial" w:eastAsia="Calibri" w:hAnsi="Arial" w:cs="Arial"/>
          <w:bCs/>
          <w:sz w:val="22"/>
          <w:szCs w:val="22"/>
        </w:rPr>
        <w:t>.</w:t>
      </w:r>
      <w:r w:rsidR="00522759" w:rsidRPr="00A572F4">
        <w:rPr>
          <w:rFonts w:ascii="Arial" w:eastAsia="Calibri" w:hAnsi="Arial" w:cs="Arial"/>
          <w:bCs/>
          <w:sz w:val="22"/>
          <w:szCs w:val="22"/>
        </w:rPr>
        <w:t xml:space="preserve"> </w:t>
      </w:r>
      <w:r w:rsidR="00522759" w:rsidRPr="00A572F4">
        <w:rPr>
          <w:rFonts w:ascii="Arial" w:eastAsia="Calibri" w:hAnsi="Arial" w:cs="Arial"/>
          <w:sz w:val="22"/>
          <w:szCs w:val="22"/>
          <w:lang w:val="es-ES_tradnl"/>
        </w:rPr>
        <w:t xml:space="preserve">Esto </w:t>
      </w:r>
      <w:r w:rsidR="00DA4265">
        <w:rPr>
          <w:rFonts w:ascii="Arial" w:eastAsia="Calibri" w:hAnsi="Arial" w:cs="Arial"/>
          <w:sz w:val="22"/>
          <w:szCs w:val="22"/>
          <w:lang w:val="es-ES_tradnl"/>
        </w:rPr>
        <w:t>dado</w:t>
      </w:r>
      <w:r w:rsidR="00DA4265" w:rsidRPr="00A572F4">
        <w:rPr>
          <w:rFonts w:ascii="Arial" w:eastAsia="Calibri" w:hAnsi="Arial" w:cs="Arial"/>
          <w:sz w:val="22"/>
          <w:szCs w:val="22"/>
          <w:lang w:val="es-ES_tradnl"/>
        </w:rPr>
        <w:t xml:space="preserve"> </w:t>
      </w:r>
      <w:r w:rsidR="00522759" w:rsidRPr="00A572F4">
        <w:rPr>
          <w:rFonts w:ascii="Arial" w:eastAsia="Calibri" w:hAnsi="Arial" w:cs="Arial"/>
          <w:sz w:val="22"/>
          <w:szCs w:val="22"/>
          <w:lang w:val="es-ES_tradnl"/>
        </w:rPr>
        <w:t>que una interpretación exegética del artículo 35, según la cual este solo es aplicable en los procedimientos en los que se use el «puntaje» como mecanismo de evaluación,</w:t>
      </w:r>
      <w:r w:rsidR="004076A7" w:rsidRPr="00A572F4">
        <w:rPr>
          <w:rFonts w:ascii="Arial" w:eastAsia="Calibri" w:hAnsi="Arial" w:cs="Arial"/>
          <w:sz w:val="22"/>
          <w:szCs w:val="22"/>
          <w:lang w:val="es-ES_tradnl"/>
        </w:rPr>
        <w:t xml:space="preserve"> </w:t>
      </w:r>
      <w:r w:rsidR="006333F8" w:rsidRPr="00A572F4">
        <w:rPr>
          <w:rFonts w:ascii="Arial" w:eastAsia="Calibri" w:hAnsi="Arial" w:cs="Arial"/>
          <w:sz w:val="22"/>
          <w:szCs w:val="22"/>
          <w:lang w:val="es-ES_tradnl"/>
        </w:rPr>
        <w:t xml:space="preserve">no corresponde con la finalidad transversal de </w:t>
      </w:r>
      <w:r w:rsidR="00EB6A67" w:rsidRPr="00A572F4">
        <w:rPr>
          <w:rFonts w:ascii="Arial" w:eastAsia="Calibri" w:hAnsi="Arial" w:cs="Arial"/>
          <w:sz w:val="22"/>
          <w:szCs w:val="22"/>
          <w:lang w:val="es-ES_tradnl"/>
        </w:rPr>
        <w:t xml:space="preserve">la </w:t>
      </w:r>
      <w:r w:rsidR="00522759" w:rsidRPr="00A572F4">
        <w:rPr>
          <w:rFonts w:ascii="Arial" w:eastAsia="Calibri" w:hAnsi="Arial" w:cs="Arial"/>
          <w:sz w:val="22"/>
          <w:szCs w:val="22"/>
          <w:lang w:val="es-ES_tradnl"/>
        </w:rPr>
        <w:t>noma</w:t>
      </w:r>
      <w:r w:rsidR="00F60CFE" w:rsidRPr="00A572F4">
        <w:rPr>
          <w:rFonts w:ascii="Arial" w:eastAsia="Calibri" w:hAnsi="Arial" w:cs="Arial"/>
          <w:sz w:val="22"/>
          <w:szCs w:val="22"/>
          <w:lang w:val="es-ES_tradnl"/>
        </w:rPr>
        <w:t>. E</w:t>
      </w:r>
      <w:r w:rsidR="00522759" w:rsidRPr="00A572F4">
        <w:rPr>
          <w:rFonts w:ascii="Arial" w:eastAsia="Calibri" w:hAnsi="Arial" w:cs="Arial"/>
          <w:sz w:val="22"/>
          <w:szCs w:val="22"/>
          <w:lang w:val="es-ES_tradnl"/>
        </w:rPr>
        <w:t>llo</w:t>
      </w:r>
      <w:r w:rsidR="00F60CFE" w:rsidRPr="00A572F4">
        <w:rPr>
          <w:rFonts w:ascii="Arial" w:eastAsia="Calibri" w:hAnsi="Arial" w:cs="Arial"/>
          <w:sz w:val="22"/>
          <w:szCs w:val="22"/>
          <w:lang w:val="es-ES_tradnl"/>
        </w:rPr>
        <w:t xml:space="preserve"> en la medida</w:t>
      </w:r>
      <w:r w:rsidR="00522759" w:rsidRPr="00A572F4">
        <w:rPr>
          <w:rFonts w:ascii="Arial" w:eastAsia="Calibri" w:hAnsi="Arial" w:cs="Arial"/>
          <w:sz w:val="22"/>
          <w:szCs w:val="22"/>
          <w:lang w:val="es-ES_tradnl"/>
        </w:rPr>
        <w:t xml:space="preserve"> en</w:t>
      </w:r>
      <w:r w:rsidR="00F60CFE" w:rsidRPr="00A572F4">
        <w:rPr>
          <w:rFonts w:ascii="Arial" w:eastAsia="Calibri" w:hAnsi="Arial" w:cs="Arial"/>
          <w:sz w:val="22"/>
          <w:szCs w:val="22"/>
          <w:lang w:val="es-ES_tradnl"/>
        </w:rPr>
        <w:t xml:space="preserve"> que</w:t>
      </w:r>
      <w:r w:rsidR="007D1774" w:rsidRPr="00A572F4">
        <w:rPr>
          <w:rFonts w:ascii="Arial" w:eastAsia="Calibri" w:hAnsi="Arial" w:cs="Arial"/>
          <w:sz w:val="22"/>
          <w:szCs w:val="22"/>
          <w:lang w:val="es-ES_tradnl"/>
        </w:rPr>
        <w:t xml:space="preserve"> </w:t>
      </w:r>
      <w:r w:rsidR="00225CDE" w:rsidRPr="00A572F4">
        <w:rPr>
          <w:rFonts w:ascii="Arial" w:eastAsia="Calibri" w:hAnsi="Arial" w:cs="Arial"/>
          <w:sz w:val="22"/>
          <w:szCs w:val="22"/>
          <w:lang w:val="es-ES_tradnl"/>
        </w:rPr>
        <w:t>los factores de desempate de la Ley de Emprendimiento</w:t>
      </w:r>
      <w:r w:rsidR="00BB2FC4" w:rsidRPr="00A572F4">
        <w:rPr>
          <w:rFonts w:ascii="Arial" w:eastAsia="Calibri" w:hAnsi="Arial" w:cs="Arial"/>
          <w:sz w:val="22"/>
          <w:szCs w:val="22"/>
          <w:lang w:val="es-ES_tradnl"/>
        </w:rPr>
        <w:t xml:space="preserve"> </w:t>
      </w:r>
      <w:r w:rsidR="00F60CFE" w:rsidRPr="00A572F4">
        <w:rPr>
          <w:rFonts w:ascii="Arial" w:eastAsia="Calibri" w:hAnsi="Arial" w:cs="Arial"/>
          <w:sz w:val="22"/>
          <w:szCs w:val="22"/>
          <w:lang w:val="es-ES_tradnl"/>
        </w:rPr>
        <w:t>están concebidos para</w:t>
      </w:r>
      <w:r w:rsidR="002649F3" w:rsidRPr="00A572F4">
        <w:rPr>
          <w:rFonts w:ascii="Arial" w:eastAsia="Calibri" w:hAnsi="Arial" w:cs="Arial"/>
          <w:sz w:val="22"/>
          <w:szCs w:val="22"/>
          <w:lang w:val="es-ES_tradnl"/>
        </w:rPr>
        <w:t xml:space="preserve"> </w:t>
      </w:r>
      <w:r w:rsidR="002649F3" w:rsidRPr="00A572F4">
        <w:rPr>
          <w:rFonts w:ascii="Arial" w:eastAsia="Calibri" w:hAnsi="Arial" w:cs="Arial"/>
          <w:bCs/>
          <w:sz w:val="22"/>
          <w:szCs w:val="22"/>
        </w:rPr>
        <w:t>«[…]</w:t>
      </w:r>
      <w:r w:rsidR="002649F3" w:rsidRPr="00A572F4">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BB12EA" w:rsidRPr="00A572F4">
        <w:rPr>
          <w:rFonts w:ascii="Arial" w:hAnsi="Arial" w:cs="Arial"/>
          <w:sz w:val="22"/>
          <w:szCs w:val="22"/>
        </w:rPr>
        <w:t xml:space="preserve"> </w:t>
      </w:r>
      <w:r w:rsidR="002649F3" w:rsidRPr="00A572F4">
        <w:rPr>
          <w:rFonts w:ascii="Arial" w:hAnsi="Arial" w:cs="Arial"/>
          <w:sz w:val="22"/>
          <w:szCs w:val="22"/>
        </w:rPr>
        <w:t>[…]</w:t>
      </w:r>
      <w:r w:rsidR="002649F3" w:rsidRPr="00A572F4">
        <w:rPr>
          <w:rFonts w:ascii="Arial" w:eastAsia="Calibri" w:hAnsi="Arial" w:cs="Arial"/>
          <w:bCs/>
          <w:sz w:val="22"/>
          <w:szCs w:val="22"/>
        </w:rPr>
        <w:t>»</w:t>
      </w:r>
      <w:r w:rsidR="007D1774" w:rsidRPr="00A572F4">
        <w:rPr>
          <w:rFonts w:ascii="Arial" w:eastAsia="Calibri" w:hAnsi="Arial" w:cs="Arial"/>
          <w:bCs/>
          <w:sz w:val="22"/>
          <w:szCs w:val="22"/>
        </w:rPr>
        <w:t>.</w:t>
      </w:r>
    </w:p>
    <w:p w14:paraId="0B672F1C" w14:textId="23D5FE1A" w:rsidR="00D82C77" w:rsidRPr="00A572F4" w:rsidRDefault="00D82C77" w:rsidP="00EB2ED0">
      <w:pPr>
        <w:tabs>
          <w:tab w:val="left" w:pos="0"/>
        </w:tabs>
        <w:spacing w:after="120" w:line="276" w:lineRule="auto"/>
        <w:jc w:val="both"/>
        <w:rPr>
          <w:rFonts w:ascii="Arial" w:eastAsia="Calibri" w:hAnsi="Arial" w:cs="Arial"/>
          <w:bCs/>
          <w:sz w:val="22"/>
          <w:szCs w:val="22"/>
        </w:rPr>
      </w:pPr>
      <w:r w:rsidRPr="00A572F4">
        <w:rPr>
          <w:rFonts w:ascii="Arial" w:eastAsia="Calibri" w:hAnsi="Arial" w:cs="Arial"/>
          <w:bCs/>
          <w:sz w:val="22"/>
          <w:szCs w:val="22"/>
        </w:rPr>
        <w:tab/>
      </w:r>
      <w:r w:rsidR="00F60CFE" w:rsidRPr="00A572F4">
        <w:rPr>
          <w:rFonts w:ascii="Arial" w:eastAsia="Calibri" w:hAnsi="Arial" w:cs="Arial"/>
          <w:bCs/>
          <w:sz w:val="22"/>
          <w:szCs w:val="22"/>
        </w:rPr>
        <w:t>Por lo anterior</w:t>
      </w:r>
      <w:r w:rsidR="0020797E" w:rsidRPr="00A572F4">
        <w:rPr>
          <w:rFonts w:ascii="Arial" w:eastAsia="Calibri" w:hAnsi="Arial" w:cs="Arial"/>
          <w:bCs/>
          <w:sz w:val="22"/>
          <w:szCs w:val="22"/>
        </w:rPr>
        <w:t xml:space="preserve">, se considera que el alcance de la expresión </w:t>
      </w:r>
      <w:r w:rsidR="0020797E" w:rsidRPr="00A572F4">
        <w:rPr>
          <w:rFonts w:ascii="Arial" w:eastAsia="Calibri" w:hAnsi="Arial" w:cs="Arial"/>
          <w:bCs/>
          <w:i/>
          <w:iCs/>
          <w:sz w:val="22"/>
          <w:szCs w:val="22"/>
        </w:rPr>
        <w:t xml:space="preserve">puntaje total, </w:t>
      </w:r>
      <w:r w:rsidR="0020797E" w:rsidRPr="00A572F4">
        <w:rPr>
          <w:rFonts w:ascii="Arial" w:eastAsia="Calibri" w:hAnsi="Arial" w:cs="Arial"/>
          <w:bCs/>
          <w:sz w:val="22"/>
          <w:szCs w:val="22"/>
        </w:rPr>
        <w:t>contenida en el artículo 35</w:t>
      </w:r>
      <w:r w:rsidR="000E54A9" w:rsidRPr="00A572F4">
        <w:rPr>
          <w:rFonts w:ascii="Arial" w:eastAsia="Calibri" w:hAnsi="Arial" w:cs="Arial"/>
          <w:bCs/>
          <w:sz w:val="22"/>
          <w:szCs w:val="22"/>
        </w:rPr>
        <w:t xml:space="preserve"> de la Ley 2069 de 2020, </w:t>
      </w:r>
      <w:r w:rsidR="00091957" w:rsidRPr="00A572F4">
        <w:rPr>
          <w:rFonts w:ascii="Arial" w:eastAsia="Calibri" w:hAnsi="Arial" w:cs="Arial"/>
          <w:bCs/>
          <w:sz w:val="22"/>
          <w:szCs w:val="22"/>
        </w:rPr>
        <w:t>debe interpretarse sistemáticamente</w:t>
      </w:r>
      <w:r w:rsidR="00BE7CE9" w:rsidRPr="00A572F4">
        <w:rPr>
          <w:rFonts w:ascii="Arial" w:eastAsia="Calibri" w:hAnsi="Arial" w:cs="Arial"/>
          <w:bCs/>
          <w:sz w:val="22"/>
          <w:szCs w:val="22"/>
        </w:rPr>
        <w:t xml:space="preserve">, </w:t>
      </w:r>
      <w:r w:rsidR="00091957" w:rsidRPr="00A572F4">
        <w:rPr>
          <w:rFonts w:ascii="Arial" w:eastAsia="Calibri" w:hAnsi="Arial" w:cs="Arial"/>
          <w:bCs/>
          <w:sz w:val="22"/>
          <w:szCs w:val="22"/>
        </w:rPr>
        <w:t>propiciando</w:t>
      </w:r>
      <w:r w:rsidR="00460B4F" w:rsidRPr="00A572F4">
        <w:rPr>
          <w:rFonts w:ascii="Arial" w:eastAsia="Calibri" w:hAnsi="Arial" w:cs="Arial"/>
          <w:bCs/>
          <w:sz w:val="22"/>
          <w:szCs w:val="22"/>
        </w:rPr>
        <w:t xml:space="preserve"> u</w:t>
      </w:r>
      <w:r w:rsidR="007E526E" w:rsidRPr="00A572F4">
        <w:rPr>
          <w:rFonts w:ascii="Arial" w:eastAsia="Calibri" w:hAnsi="Arial" w:cs="Arial"/>
          <w:bCs/>
          <w:sz w:val="22"/>
          <w:szCs w:val="22"/>
        </w:rPr>
        <w:t xml:space="preserve">na aplicación normativa </w:t>
      </w:r>
      <w:r w:rsidR="00460B4F" w:rsidRPr="00A572F4">
        <w:rPr>
          <w:rFonts w:ascii="Arial" w:eastAsia="Calibri" w:hAnsi="Arial" w:cs="Arial"/>
          <w:bCs/>
          <w:sz w:val="22"/>
          <w:szCs w:val="22"/>
        </w:rPr>
        <w:t xml:space="preserve">coherente </w:t>
      </w:r>
      <w:r w:rsidR="000829AE" w:rsidRPr="00A572F4">
        <w:rPr>
          <w:rFonts w:ascii="Arial" w:eastAsia="Calibri" w:hAnsi="Arial" w:cs="Arial"/>
          <w:bCs/>
          <w:sz w:val="22"/>
          <w:szCs w:val="22"/>
        </w:rPr>
        <w:t>con</w:t>
      </w:r>
      <w:r w:rsidR="00BE7CE9" w:rsidRPr="00A572F4">
        <w:rPr>
          <w:rFonts w:ascii="Arial" w:eastAsia="Calibri" w:hAnsi="Arial" w:cs="Arial"/>
          <w:bCs/>
          <w:sz w:val="22"/>
          <w:szCs w:val="22"/>
        </w:rPr>
        <w:t xml:space="preserve"> otras</w:t>
      </w:r>
      <w:r w:rsidR="000829AE" w:rsidRPr="00A572F4">
        <w:rPr>
          <w:rFonts w:ascii="Arial" w:eastAsia="Calibri" w:hAnsi="Arial" w:cs="Arial"/>
          <w:bCs/>
          <w:sz w:val="22"/>
          <w:szCs w:val="22"/>
        </w:rPr>
        <w:t xml:space="preserve"> disposiciones d</w:t>
      </w:r>
      <w:r w:rsidR="00BE7CE9" w:rsidRPr="00A572F4">
        <w:rPr>
          <w:rFonts w:ascii="Arial" w:eastAsia="Calibri" w:hAnsi="Arial" w:cs="Arial"/>
          <w:bCs/>
          <w:sz w:val="22"/>
          <w:szCs w:val="22"/>
        </w:rPr>
        <w:t>el sistema de compra pública</w:t>
      </w:r>
      <w:r w:rsidR="00B06530" w:rsidRPr="00A572F4">
        <w:rPr>
          <w:rFonts w:ascii="Arial" w:eastAsia="Calibri" w:hAnsi="Arial" w:cs="Arial"/>
          <w:bCs/>
          <w:sz w:val="22"/>
          <w:szCs w:val="22"/>
        </w:rPr>
        <w:t xml:space="preserve"> y</w:t>
      </w:r>
      <w:r w:rsidR="00BB401E" w:rsidRPr="00A572F4">
        <w:rPr>
          <w:rFonts w:ascii="Arial" w:eastAsia="Calibri" w:hAnsi="Arial" w:cs="Arial"/>
          <w:bCs/>
          <w:sz w:val="22"/>
          <w:szCs w:val="22"/>
        </w:rPr>
        <w:t xml:space="preserve"> que satisfaga</w:t>
      </w:r>
      <w:r w:rsidR="00B06530" w:rsidRPr="00A572F4">
        <w:rPr>
          <w:rFonts w:ascii="Arial" w:eastAsia="Calibri" w:hAnsi="Arial" w:cs="Arial"/>
          <w:bCs/>
          <w:sz w:val="22"/>
          <w:szCs w:val="22"/>
        </w:rPr>
        <w:t>n</w:t>
      </w:r>
      <w:r w:rsidR="00BB401E" w:rsidRPr="00A572F4">
        <w:rPr>
          <w:rFonts w:ascii="Arial" w:eastAsia="Calibri" w:hAnsi="Arial" w:cs="Arial"/>
          <w:bCs/>
          <w:sz w:val="22"/>
          <w:szCs w:val="22"/>
        </w:rPr>
        <w:t xml:space="preserve"> </w:t>
      </w:r>
      <w:r w:rsidR="00185C79" w:rsidRPr="00A572F4">
        <w:rPr>
          <w:rFonts w:ascii="Arial" w:eastAsia="Calibri" w:hAnsi="Arial" w:cs="Arial"/>
          <w:bCs/>
          <w:sz w:val="22"/>
          <w:szCs w:val="22"/>
        </w:rPr>
        <w:t xml:space="preserve">la </w:t>
      </w:r>
      <w:r w:rsidR="00BB401E" w:rsidRPr="00A572F4">
        <w:rPr>
          <w:rFonts w:ascii="Arial" w:eastAsia="Calibri" w:hAnsi="Arial" w:cs="Arial"/>
          <w:bCs/>
          <w:sz w:val="22"/>
          <w:szCs w:val="22"/>
        </w:rPr>
        <w:t>finalidad transversal</w:t>
      </w:r>
      <w:r w:rsidR="00B06530" w:rsidRPr="00A572F4">
        <w:rPr>
          <w:rFonts w:ascii="Arial" w:eastAsia="Calibri" w:hAnsi="Arial" w:cs="Arial"/>
          <w:bCs/>
          <w:sz w:val="22"/>
          <w:szCs w:val="22"/>
        </w:rPr>
        <w:t xml:space="preserve"> de la norma</w:t>
      </w:r>
      <w:r w:rsidR="00BB401E" w:rsidRPr="00A572F4">
        <w:rPr>
          <w:rFonts w:ascii="Arial" w:eastAsia="Calibri" w:hAnsi="Arial" w:cs="Arial"/>
          <w:bCs/>
          <w:sz w:val="22"/>
          <w:szCs w:val="22"/>
        </w:rPr>
        <w:t xml:space="preserve">. </w:t>
      </w:r>
      <w:r w:rsidR="00B06530" w:rsidRPr="00A572F4">
        <w:rPr>
          <w:rFonts w:ascii="Arial" w:eastAsia="Calibri" w:hAnsi="Arial" w:cs="Arial"/>
          <w:bCs/>
          <w:sz w:val="22"/>
          <w:szCs w:val="22"/>
        </w:rPr>
        <w:t>Con este</w:t>
      </w:r>
      <w:r w:rsidR="00B2306B" w:rsidRPr="00A572F4">
        <w:rPr>
          <w:rFonts w:ascii="Arial" w:eastAsia="Calibri" w:hAnsi="Arial" w:cs="Arial"/>
          <w:bCs/>
          <w:sz w:val="22"/>
          <w:szCs w:val="22"/>
        </w:rPr>
        <w:t xml:space="preserve"> propósito, es necesario acudir al artículo 5 de la Ley 1150 de 2007, el cual regula</w:t>
      </w:r>
      <w:r w:rsidR="00AE7388" w:rsidRPr="00A572F4">
        <w:rPr>
          <w:rFonts w:ascii="Arial" w:eastAsia="Calibri" w:hAnsi="Arial" w:cs="Arial"/>
          <w:bCs/>
          <w:sz w:val="22"/>
          <w:szCs w:val="22"/>
        </w:rPr>
        <w:t xml:space="preserve"> el deber de selección objetiva</w:t>
      </w:r>
      <w:r w:rsidR="00CE1641" w:rsidRPr="00A572F4">
        <w:rPr>
          <w:rFonts w:ascii="Arial" w:eastAsia="Calibri" w:hAnsi="Arial" w:cs="Arial"/>
          <w:bCs/>
          <w:sz w:val="22"/>
          <w:szCs w:val="22"/>
        </w:rPr>
        <w:t>, conforme al cual debe</w:t>
      </w:r>
      <w:r w:rsidR="00185C79" w:rsidRPr="00A572F4">
        <w:rPr>
          <w:rFonts w:ascii="Arial" w:eastAsia="Calibri" w:hAnsi="Arial" w:cs="Arial"/>
          <w:bCs/>
          <w:sz w:val="22"/>
          <w:szCs w:val="22"/>
        </w:rPr>
        <w:t xml:space="preserve"> determinarse cu</w:t>
      </w:r>
      <w:r w:rsidR="00CE48E7" w:rsidRPr="00A572F4">
        <w:rPr>
          <w:rFonts w:ascii="Arial" w:eastAsia="Calibri" w:hAnsi="Arial" w:cs="Arial"/>
          <w:bCs/>
          <w:sz w:val="22"/>
          <w:szCs w:val="22"/>
        </w:rPr>
        <w:t>á</w:t>
      </w:r>
      <w:r w:rsidR="00185C79" w:rsidRPr="00A572F4">
        <w:rPr>
          <w:rFonts w:ascii="Arial" w:eastAsia="Calibri" w:hAnsi="Arial" w:cs="Arial"/>
          <w:bCs/>
          <w:sz w:val="22"/>
          <w:szCs w:val="22"/>
        </w:rPr>
        <w:t>l e</w:t>
      </w:r>
      <w:r w:rsidR="00512BC0" w:rsidRPr="00A572F4">
        <w:rPr>
          <w:rFonts w:ascii="Arial" w:eastAsia="Calibri" w:hAnsi="Arial" w:cs="Arial"/>
          <w:bCs/>
          <w:sz w:val="22"/>
          <w:szCs w:val="22"/>
        </w:rPr>
        <w:t>s</w:t>
      </w:r>
      <w:r w:rsidR="00185C79" w:rsidRPr="00A572F4">
        <w:rPr>
          <w:rFonts w:ascii="Arial" w:eastAsia="Calibri" w:hAnsi="Arial" w:cs="Arial"/>
          <w:bCs/>
          <w:sz w:val="22"/>
          <w:szCs w:val="22"/>
        </w:rPr>
        <w:t xml:space="preserve"> la oferta más favorable para la entidad y los fines de </w:t>
      </w:r>
      <w:r w:rsidR="00512BC0" w:rsidRPr="00A572F4">
        <w:rPr>
          <w:rFonts w:ascii="Arial" w:eastAsia="Calibri" w:hAnsi="Arial" w:cs="Arial"/>
          <w:bCs/>
          <w:sz w:val="22"/>
          <w:szCs w:val="22"/>
        </w:rPr>
        <w:t>la contratación.</w:t>
      </w:r>
    </w:p>
    <w:p w14:paraId="6C13F6AD" w14:textId="70B3ED21" w:rsidR="00CE1641" w:rsidRPr="00A572F4" w:rsidRDefault="00CE1641" w:rsidP="00EB2ED0">
      <w:pPr>
        <w:tabs>
          <w:tab w:val="left" w:pos="0"/>
        </w:tabs>
        <w:spacing w:after="120" w:line="276" w:lineRule="auto"/>
        <w:jc w:val="both"/>
        <w:rPr>
          <w:rFonts w:ascii="Arial" w:eastAsia="Calibri" w:hAnsi="Arial" w:cs="Arial"/>
          <w:bCs/>
          <w:sz w:val="22"/>
          <w:szCs w:val="22"/>
        </w:rPr>
      </w:pPr>
      <w:r w:rsidRPr="00A572F4">
        <w:rPr>
          <w:rFonts w:ascii="Arial" w:eastAsia="Calibri" w:hAnsi="Arial" w:cs="Arial"/>
          <w:bCs/>
          <w:sz w:val="22"/>
          <w:szCs w:val="22"/>
        </w:rPr>
        <w:tab/>
      </w:r>
      <w:r w:rsidR="00310439" w:rsidRPr="00A572F4">
        <w:rPr>
          <w:rFonts w:ascii="Arial" w:eastAsia="Calibri" w:hAnsi="Arial" w:cs="Arial"/>
          <w:bCs/>
          <w:sz w:val="22"/>
          <w:szCs w:val="22"/>
        </w:rPr>
        <w:t>De acuerdo con el</w:t>
      </w:r>
      <w:r w:rsidRPr="00A572F4">
        <w:rPr>
          <w:rFonts w:ascii="Arial" w:eastAsia="Calibri" w:hAnsi="Arial" w:cs="Arial"/>
          <w:bCs/>
          <w:sz w:val="22"/>
          <w:szCs w:val="22"/>
        </w:rPr>
        <w:t xml:space="preserve"> artículo 5</w:t>
      </w:r>
      <w:r w:rsidR="002A0BC3" w:rsidRPr="00A572F4">
        <w:rPr>
          <w:rFonts w:ascii="Arial" w:eastAsia="Calibri" w:hAnsi="Arial" w:cs="Arial"/>
          <w:bCs/>
          <w:sz w:val="22"/>
          <w:szCs w:val="22"/>
        </w:rPr>
        <w:t xml:space="preserve"> de la Ley 1150 de 2007, </w:t>
      </w:r>
      <w:r w:rsidR="00310439" w:rsidRPr="00A572F4">
        <w:rPr>
          <w:rFonts w:ascii="Arial" w:eastAsia="Calibri" w:hAnsi="Arial" w:cs="Arial"/>
          <w:bCs/>
          <w:sz w:val="22"/>
          <w:szCs w:val="22"/>
        </w:rPr>
        <w:t>el deber de selección objetiva supone que las entidades escojan en los procesos de selección</w:t>
      </w:r>
      <w:r w:rsidR="00083480" w:rsidRPr="00A572F4">
        <w:rPr>
          <w:rFonts w:ascii="Arial" w:eastAsia="Calibri" w:hAnsi="Arial" w:cs="Arial"/>
          <w:bCs/>
          <w:sz w:val="22"/>
          <w:szCs w:val="22"/>
        </w:rPr>
        <w:t xml:space="preserve"> el «[…] ofrecimiento más favorable a la entidad y a los fines que ella busca </w:t>
      </w:r>
      <w:r w:rsidR="00083480" w:rsidRPr="00A572F4">
        <w:rPr>
          <w:rFonts w:ascii="Arial" w:hAnsi="Arial" w:cs="Arial"/>
          <w:sz w:val="22"/>
          <w:szCs w:val="22"/>
        </w:rPr>
        <w:t>[…]</w:t>
      </w:r>
      <w:r w:rsidR="00083480" w:rsidRPr="00A572F4">
        <w:rPr>
          <w:rFonts w:ascii="Arial" w:eastAsia="Calibri" w:hAnsi="Arial" w:cs="Arial"/>
          <w:bCs/>
          <w:sz w:val="22"/>
          <w:szCs w:val="22"/>
        </w:rPr>
        <w:t>»</w:t>
      </w:r>
      <w:r w:rsidR="001679EF" w:rsidRPr="00A572F4">
        <w:rPr>
          <w:rStyle w:val="Refdenotaalpie"/>
          <w:rFonts w:ascii="Arial" w:eastAsia="Calibri" w:hAnsi="Arial" w:cs="Arial"/>
          <w:bCs/>
          <w:sz w:val="22"/>
          <w:szCs w:val="22"/>
        </w:rPr>
        <w:footnoteReference w:id="23"/>
      </w:r>
      <w:r w:rsidR="00083480" w:rsidRPr="00A572F4">
        <w:rPr>
          <w:rFonts w:ascii="Arial" w:eastAsia="Calibri" w:hAnsi="Arial" w:cs="Arial"/>
          <w:bCs/>
          <w:sz w:val="22"/>
          <w:szCs w:val="22"/>
        </w:rPr>
        <w:t>.</w:t>
      </w:r>
      <w:r w:rsidR="00C065A4" w:rsidRPr="00A572F4">
        <w:rPr>
          <w:rFonts w:ascii="Arial" w:eastAsia="Calibri" w:hAnsi="Arial" w:cs="Arial"/>
          <w:bCs/>
          <w:sz w:val="22"/>
          <w:szCs w:val="22"/>
        </w:rPr>
        <w:t xml:space="preserve"> </w:t>
      </w:r>
      <w:r w:rsidR="00853CE0">
        <w:rPr>
          <w:rFonts w:ascii="Arial" w:eastAsia="Calibri" w:hAnsi="Arial" w:cs="Arial"/>
          <w:bCs/>
          <w:sz w:val="22"/>
          <w:szCs w:val="22"/>
        </w:rPr>
        <w:t>Esta</w:t>
      </w:r>
      <w:r w:rsidR="00C065A4" w:rsidRPr="00A572F4">
        <w:rPr>
          <w:rFonts w:ascii="Arial" w:eastAsia="Calibri" w:hAnsi="Arial" w:cs="Arial"/>
          <w:bCs/>
          <w:sz w:val="22"/>
          <w:szCs w:val="22"/>
        </w:rPr>
        <w:t xml:space="preserve"> favorabilidad debe </w:t>
      </w:r>
      <w:r w:rsidR="00367ABB" w:rsidRPr="00A572F4">
        <w:rPr>
          <w:rFonts w:ascii="Arial" w:eastAsia="Calibri" w:hAnsi="Arial" w:cs="Arial"/>
          <w:bCs/>
          <w:sz w:val="22"/>
          <w:szCs w:val="22"/>
        </w:rPr>
        <w:lastRenderedPageBreak/>
        <w:t>determinarse</w:t>
      </w:r>
      <w:r w:rsidR="00C065A4" w:rsidRPr="00A572F4">
        <w:rPr>
          <w:rFonts w:ascii="Arial" w:eastAsia="Calibri" w:hAnsi="Arial" w:cs="Arial"/>
          <w:bCs/>
          <w:sz w:val="22"/>
          <w:szCs w:val="22"/>
        </w:rPr>
        <w:t xml:space="preserve"> a partir</w:t>
      </w:r>
      <w:r w:rsidR="00CE48E7" w:rsidRPr="00A572F4">
        <w:rPr>
          <w:rFonts w:ascii="Arial" w:eastAsia="Calibri" w:hAnsi="Arial" w:cs="Arial"/>
          <w:bCs/>
          <w:sz w:val="22"/>
          <w:szCs w:val="22"/>
        </w:rPr>
        <w:t xml:space="preserve"> de</w:t>
      </w:r>
      <w:r w:rsidR="00C065A4" w:rsidRPr="00A572F4">
        <w:rPr>
          <w:rFonts w:ascii="Arial" w:eastAsia="Calibri" w:hAnsi="Arial" w:cs="Arial"/>
          <w:bCs/>
          <w:sz w:val="22"/>
          <w:szCs w:val="22"/>
        </w:rPr>
        <w:t xml:space="preserve"> criterio</w:t>
      </w:r>
      <w:r w:rsidR="00C025CC" w:rsidRPr="00A572F4">
        <w:rPr>
          <w:rFonts w:ascii="Arial" w:eastAsia="Calibri" w:hAnsi="Arial" w:cs="Arial"/>
          <w:bCs/>
          <w:sz w:val="22"/>
          <w:szCs w:val="22"/>
        </w:rPr>
        <w:t xml:space="preserve">s que pueden variar </w:t>
      </w:r>
      <w:proofErr w:type="gramStart"/>
      <w:r w:rsidR="00C025CC" w:rsidRPr="00A572F4">
        <w:rPr>
          <w:rFonts w:ascii="Arial" w:eastAsia="Calibri" w:hAnsi="Arial" w:cs="Arial"/>
          <w:bCs/>
          <w:sz w:val="22"/>
          <w:szCs w:val="22"/>
        </w:rPr>
        <w:t xml:space="preserve">de acuerdo </w:t>
      </w:r>
      <w:r w:rsidR="00F22F81" w:rsidRPr="00A572F4">
        <w:rPr>
          <w:rFonts w:ascii="Arial" w:eastAsia="Calibri" w:hAnsi="Arial" w:cs="Arial"/>
          <w:bCs/>
          <w:sz w:val="22"/>
          <w:szCs w:val="22"/>
        </w:rPr>
        <w:t>al</w:t>
      </w:r>
      <w:proofErr w:type="gramEnd"/>
      <w:r w:rsidR="00F22F81" w:rsidRPr="00A572F4">
        <w:rPr>
          <w:rFonts w:ascii="Arial" w:eastAsia="Calibri" w:hAnsi="Arial" w:cs="Arial"/>
          <w:bCs/>
          <w:sz w:val="22"/>
          <w:szCs w:val="22"/>
        </w:rPr>
        <w:t xml:space="preserve"> objeto contractual</w:t>
      </w:r>
      <w:r w:rsidR="00C025CC" w:rsidRPr="00A572F4">
        <w:rPr>
          <w:rFonts w:ascii="Arial" w:eastAsia="Calibri" w:hAnsi="Arial" w:cs="Arial"/>
          <w:bCs/>
          <w:sz w:val="22"/>
          <w:szCs w:val="22"/>
        </w:rPr>
        <w:t xml:space="preserve"> o la modalidad de selección aplicable</w:t>
      </w:r>
      <w:r w:rsidR="00D81E3C" w:rsidRPr="00A572F4">
        <w:rPr>
          <w:rFonts w:ascii="Arial" w:eastAsia="Calibri" w:hAnsi="Arial" w:cs="Arial"/>
          <w:bCs/>
          <w:sz w:val="22"/>
          <w:szCs w:val="22"/>
        </w:rPr>
        <w:t>, los cuales, en todo caso, para que la selección sea objetiva, deben estar señalados en el pliego de condiciones o documento equivalente.</w:t>
      </w:r>
      <w:r w:rsidR="009E2C0F" w:rsidRPr="00A572F4">
        <w:rPr>
          <w:rFonts w:ascii="Arial" w:eastAsia="Calibri" w:hAnsi="Arial" w:cs="Arial"/>
          <w:bCs/>
          <w:sz w:val="22"/>
          <w:szCs w:val="22"/>
        </w:rPr>
        <w:t xml:space="preserve"> </w:t>
      </w:r>
    </w:p>
    <w:p w14:paraId="7AE775F5" w14:textId="3DBB0B77" w:rsidR="00F62172" w:rsidRPr="00A572F4" w:rsidRDefault="009E2C0F" w:rsidP="00EB2ED0">
      <w:pPr>
        <w:tabs>
          <w:tab w:val="left" w:pos="0"/>
        </w:tabs>
        <w:spacing w:after="120" w:line="276" w:lineRule="auto"/>
        <w:jc w:val="both"/>
        <w:rPr>
          <w:rFonts w:ascii="Arial" w:eastAsia="Calibri" w:hAnsi="Arial" w:cs="Arial"/>
          <w:bCs/>
          <w:sz w:val="22"/>
          <w:szCs w:val="22"/>
        </w:rPr>
      </w:pPr>
      <w:r w:rsidRPr="00A572F4">
        <w:rPr>
          <w:rFonts w:ascii="Arial" w:eastAsia="Calibri" w:hAnsi="Arial" w:cs="Arial"/>
          <w:bCs/>
          <w:sz w:val="22"/>
          <w:szCs w:val="22"/>
        </w:rPr>
        <w:tab/>
        <w:t xml:space="preserve">Al respecto, el numeral 1 del artículo 5 de la Ley 1150 de 2007 </w:t>
      </w:r>
      <w:r w:rsidR="00AC7356">
        <w:rPr>
          <w:rFonts w:ascii="Arial" w:eastAsia="Calibri" w:hAnsi="Arial" w:cs="Arial"/>
          <w:bCs/>
          <w:sz w:val="22"/>
          <w:szCs w:val="22"/>
        </w:rPr>
        <w:t xml:space="preserve">regula </w:t>
      </w:r>
      <w:r w:rsidR="00894039" w:rsidRPr="00A572F4">
        <w:rPr>
          <w:rFonts w:ascii="Arial" w:eastAsia="Calibri" w:hAnsi="Arial" w:cs="Arial"/>
          <w:bCs/>
          <w:sz w:val="22"/>
          <w:szCs w:val="22"/>
        </w:rPr>
        <w:t xml:space="preserve">los </w:t>
      </w:r>
      <w:r w:rsidR="009A4C64" w:rsidRPr="00A572F4">
        <w:rPr>
          <w:rFonts w:ascii="Arial" w:eastAsia="Calibri" w:hAnsi="Arial" w:cs="Arial"/>
          <w:bCs/>
          <w:sz w:val="22"/>
          <w:szCs w:val="22"/>
        </w:rPr>
        <w:t xml:space="preserve">requisitos </w:t>
      </w:r>
      <w:r w:rsidR="00660B1A" w:rsidRPr="00A572F4">
        <w:rPr>
          <w:rFonts w:ascii="Arial" w:eastAsia="Calibri" w:hAnsi="Arial" w:cs="Arial"/>
          <w:bCs/>
          <w:sz w:val="22"/>
          <w:szCs w:val="22"/>
        </w:rPr>
        <w:t xml:space="preserve">exigibles en la </w:t>
      </w:r>
      <w:r w:rsidR="002F1549" w:rsidRPr="00A572F4">
        <w:rPr>
          <w:rFonts w:ascii="Arial" w:eastAsia="Calibri" w:hAnsi="Arial" w:cs="Arial"/>
          <w:bCs/>
          <w:sz w:val="22"/>
          <w:szCs w:val="22"/>
        </w:rPr>
        <w:t xml:space="preserve">generalidad de procesos de selección adelantados conforme al EGCAP, tales </w:t>
      </w:r>
      <w:r w:rsidR="009A4C64" w:rsidRPr="00A572F4">
        <w:rPr>
          <w:rFonts w:ascii="Arial" w:eastAsia="Calibri" w:hAnsi="Arial" w:cs="Arial"/>
          <w:bCs/>
          <w:sz w:val="22"/>
          <w:szCs w:val="22"/>
        </w:rPr>
        <w:t xml:space="preserve">como </w:t>
      </w:r>
      <w:r w:rsidR="00660B1A" w:rsidRPr="00A572F4">
        <w:rPr>
          <w:rFonts w:ascii="Arial" w:eastAsia="Calibri" w:hAnsi="Arial" w:cs="Arial"/>
          <w:bCs/>
          <w:sz w:val="22"/>
          <w:szCs w:val="22"/>
        </w:rPr>
        <w:t>la capacidad jurídica</w:t>
      </w:r>
      <w:r w:rsidR="002F1549" w:rsidRPr="00A572F4">
        <w:rPr>
          <w:rFonts w:ascii="Arial" w:eastAsia="Calibri" w:hAnsi="Arial" w:cs="Arial"/>
          <w:bCs/>
          <w:sz w:val="22"/>
          <w:szCs w:val="22"/>
        </w:rPr>
        <w:t xml:space="preserve">, </w:t>
      </w:r>
      <w:r w:rsidR="00660B1A" w:rsidRPr="00A572F4">
        <w:rPr>
          <w:rFonts w:ascii="Arial" w:eastAsia="Calibri" w:hAnsi="Arial" w:cs="Arial"/>
          <w:bCs/>
          <w:sz w:val="22"/>
          <w:szCs w:val="22"/>
        </w:rPr>
        <w:t>las condiciones de experiencia,</w:t>
      </w:r>
      <w:r w:rsidR="00865FC6" w:rsidRPr="00A572F4">
        <w:rPr>
          <w:rFonts w:ascii="Arial" w:eastAsia="Calibri" w:hAnsi="Arial" w:cs="Arial"/>
          <w:bCs/>
          <w:sz w:val="22"/>
          <w:szCs w:val="22"/>
        </w:rPr>
        <w:t xml:space="preserve"> la</w:t>
      </w:r>
      <w:r w:rsidR="00660B1A" w:rsidRPr="00A572F4">
        <w:rPr>
          <w:rFonts w:ascii="Arial" w:eastAsia="Calibri" w:hAnsi="Arial" w:cs="Arial"/>
          <w:bCs/>
          <w:sz w:val="22"/>
          <w:szCs w:val="22"/>
        </w:rPr>
        <w:t xml:space="preserve"> capacidad financiera y de organización</w:t>
      </w:r>
      <w:r w:rsidR="00865FC6" w:rsidRPr="00A572F4">
        <w:rPr>
          <w:rFonts w:ascii="Arial" w:eastAsia="Calibri" w:hAnsi="Arial" w:cs="Arial"/>
          <w:bCs/>
          <w:sz w:val="22"/>
          <w:szCs w:val="22"/>
        </w:rPr>
        <w:t>, denomi</w:t>
      </w:r>
      <w:r w:rsidR="00FA4048" w:rsidRPr="00A572F4">
        <w:rPr>
          <w:rFonts w:ascii="Arial" w:eastAsia="Calibri" w:hAnsi="Arial" w:cs="Arial"/>
          <w:bCs/>
          <w:sz w:val="22"/>
          <w:szCs w:val="22"/>
        </w:rPr>
        <w:t>n</w:t>
      </w:r>
      <w:r w:rsidR="00865FC6" w:rsidRPr="00A572F4">
        <w:rPr>
          <w:rFonts w:ascii="Arial" w:eastAsia="Calibri" w:hAnsi="Arial" w:cs="Arial"/>
          <w:bCs/>
          <w:sz w:val="22"/>
          <w:szCs w:val="22"/>
        </w:rPr>
        <w:t>ados requisitos habilitantes,</w:t>
      </w:r>
      <w:r w:rsidR="00894039" w:rsidRPr="00A572F4">
        <w:rPr>
          <w:rFonts w:ascii="Arial" w:eastAsia="Calibri" w:hAnsi="Arial" w:cs="Arial"/>
          <w:bCs/>
          <w:sz w:val="22"/>
          <w:szCs w:val="22"/>
        </w:rPr>
        <w:t xml:space="preserve"> los cuales</w:t>
      </w:r>
      <w:r w:rsidR="00865FC6" w:rsidRPr="00A572F4">
        <w:rPr>
          <w:rFonts w:ascii="Arial" w:eastAsia="Calibri" w:hAnsi="Arial" w:cs="Arial"/>
          <w:bCs/>
          <w:sz w:val="22"/>
          <w:szCs w:val="22"/>
        </w:rPr>
        <w:t xml:space="preserve"> </w:t>
      </w:r>
      <w:r w:rsidR="00894039" w:rsidRPr="00A572F4">
        <w:rPr>
          <w:rFonts w:ascii="Arial" w:eastAsia="Calibri" w:hAnsi="Arial" w:cs="Arial"/>
          <w:bCs/>
          <w:sz w:val="22"/>
          <w:szCs w:val="22"/>
        </w:rPr>
        <w:t>–</w:t>
      </w:r>
      <w:r w:rsidR="00865FC6" w:rsidRPr="00A572F4">
        <w:rPr>
          <w:rFonts w:ascii="Arial" w:eastAsia="Calibri" w:hAnsi="Arial" w:cs="Arial"/>
          <w:bCs/>
          <w:sz w:val="22"/>
          <w:szCs w:val="22"/>
        </w:rPr>
        <w:t>por expresa disposición</w:t>
      </w:r>
      <w:r w:rsidR="00894039" w:rsidRPr="00A572F4">
        <w:rPr>
          <w:rFonts w:ascii="Arial" w:eastAsia="Calibri" w:hAnsi="Arial" w:cs="Arial"/>
          <w:bCs/>
          <w:sz w:val="22"/>
          <w:szCs w:val="22"/>
        </w:rPr>
        <w:t xml:space="preserve"> </w:t>
      </w:r>
      <w:r w:rsidR="00894039" w:rsidRPr="00A572F4">
        <w:rPr>
          <w:rFonts w:ascii="Arial" w:eastAsia="Calibri" w:hAnsi="Arial" w:cs="Arial"/>
          <w:bCs/>
          <w:sz w:val="22"/>
          <w:szCs w:val="22"/>
        </w:rPr>
        <w:lastRenderedPageBreak/>
        <w:t>legal–</w:t>
      </w:r>
      <w:r w:rsidR="00865FC6" w:rsidRPr="00A572F4">
        <w:rPr>
          <w:rFonts w:ascii="Arial" w:eastAsia="Calibri" w:hAnsi="Arial" w:cs="Arial"/>
          <w:bCs/>
          <w:sz w:val="22"/>
          <w:szCs w:val="22"/>
        </w:rPr>
        <w:t xml:space="preserve"> </w:t>
      </w:r>
      <w:r w:rsidR="00FA4048" w:rsidRPr="00A572F4">
        <w:rPr>
          <w:rFonts w:ascii="Arial" w:eastAsia="Calibri" w:hAnsi="Arial" w:cs="Arial"/>
          <w:bCs/>
          <w:sz w:val="22"/>
          <w:szCs w:val="22"/>
        </w:rPr>
        <w:t xml:space="preserve">no otorgan puntaje. </w:t>
      </w:r>
      <w:r w:rsidR="0087267F">
        <w:rPr>
          <w:rFonts w:ascii="Arial" w:eastAsia="Calibri" w:hAnsi="Arial" w:cs="Arial"/>
          <w:bCs/>
          <w:sz w:val="22"/>
          <w:szCs w:val="22"/>
        </w:rPr>
        <w:t>Lo anterior</w:t>
      </w:r>
      <w:r w:rsidR="00306D1E" w:rsidRPr="00A572F4">
        <w:rPr>
          <w:rFonts w:ascii="Arial" w:eastAsia="Calibri" w:hAnsi="Arial" w:cs="Arial"/>
          <w:bCs/>
          <w:sz w:val="22"/>
          <w:szCs w:val="22"/>
        </w:rPr>
        <w:t>,</w:t>
      </w:r>
      <w:r w:rsidR="0087267F">
        <w:rPr>
          <w:rFonts w:ascii="Arial" w:eastAsia="Calibri" w:hAnsi="Arial" w:cs="Arial"/>
          <w:bCs/>
          <w:sz w:val="22"/>
          <w:szCs w:val="22"/>
        </w:rPr>
        <w:t xml:space="preserve"> ya que</w:t>
      </w:r>
      <w:r w:rsidR="00306D1E" w:rsidRPr="00A572F4">
        <w:rPr>
          <w:rFonts w:ascii="Arial" w:eastAsia="Calibri" w:hAnsi="Arial" w:cs="Arial"/>
          <w:bCs/>
          <w:sz w:val="22"/>
          <w:szCs w:val="22"/>
        </w:rPr>
        <w:t xml:space="preserve"> </w:t>
      </w:r>
      <w:r w:rsidR="005E6342" w:rsidRPr="00A572F4">
        <w:rPr>
          <w:rFonts w:ascii="Arial" w:eastAsia="Calibri" w:hAnsi="Arial" w:cs="Arial"/>
          <w:bCs/>
          <w:sz w:val="22"/>
          <w:szCs w:val="22"/>
        </w:rPr>
        <w:t>no se refieren a la oferta</w:t>
      </w:r>
      <w:r w:rsidR="00F62172" w:rsidRPr="00A572F4">
        <w:rPr>
          <w:rFonts w:ascii="Arial" w:eastAsia="Calibri" w:hAnsi="Arial" w:cs="Arial"/>
          <w:bCs/>
          <w:sz w:val="22"/>
          <w:szCs w:val="22"/>
        </w:rPr>
        <w:t xml:space="preserve"> mism</w:t>
      </w:r>
      <w:r w:rsidR="00512BC0" w:rsidRPr="00A572F4">
        <w:rPr>
          <w:rFonts w:ascii="Arial" w:eastAsia="Calibri" w:hAnsi="Arial" w:cs="Arial"/>
          <w:bCs/>
          <w:sz w:val="22"/>
          <w:szCs w:val="22"/>
        </w:rPr>
        <w:t>a</w:t>
      </w:r>
      <w:r w:rsidR="00F62172" w:rsidRPr="00A572F4">
        <w:rPr>
          <w:rFonts w:ascii="Arial" w:eastAsia="Calibri" w:hAnsi="Arial" w:cs="Arial"/>
          <w:bCs/>
          <w:sz w:val="22"/>
          <w:szCs w:val="22"/>
        </w:rPr>
        <w:t xml:space="preserve"> sino </w:t>
      </w:r>
      <w:r w:rsidR="00AF1FBF" w:rsidRPr="00A572F4">
        <w:rPr>
          <w:rFonts w:ascii="Arial" w:eastAsia="Calibri" w:hAnsi="Arial" w:cs="Arial"/>
          <w:bCs/>
          <w:sz w:val="22"/>
          <w:szCs w:val="22"/>
        </w:rPr>
        <w:t>l</w:t>
      </w:r>
      <w:r w:rsidR="00F62172" w:rsidRPr="00A572F4">
        <w:rPr>
          <w:rFonts w:ascii="Arial" w:eastAsia="Calibri" w:hAnsi="Arial" w:cs="Arial"/>
          <w:bCs/>
          <w:sz w:val="22"/>
          <w:szCs w:val="22"/>
        </w:rPr>
        <w:t>a idoneidad del oferente para asumir adecuadamente la ejecución del contrato</w:t>
      </w:r>
      <w:r w:rsidR="00AF1FBF" w:rsidRPr="00A572F4">
        <w:rPr>
          <w:rStyle w:val="Refdenotaalpie"/>
          <w:rFonts w:ascii="Arial" w:eastAsia="Calibri" w:hAnsi="Arial" w:cs="Arial"/>
          <w:bCs/>
          <w:sz w:val="22"/>
          <w:szCs w:val="22"/>
        </w:rPr>
        <w:footnoteReference w:id="24"/>
      </w:r>
      <w:r w:rsidR="00AF1FBF" w:rsidRPr="00A572F4">
        <w:rPr>
          <w:rFonts w:ascii="Arial" w:eastAsia="Calibri" w:hAnsi="Arial" w:cs="Arial"/>
          <w:bCs/>
          <w:sz w:val="22"/>
          <w:szCs w:val="22"/>
        </w:rPr>
        <w:t>.</w:t>
      </w:r>
      <w:r w:rsidR="00A928D0" w:rsidRPr="00A572F4">
        <w:rPr>
          <w:rFonts w:ascii="Arial" w:eastAsia="Calibri" w:hAnsi="Arial" w:cs="Arial"/>
          <w:bCs/>
          <w:sz w:val="22"/>
          <w:szCs w:val="22"/>
        </w:rPr>
        <w:t xml:space="preserve"> Los oferentes </w:t>
      </w:r>
      <w:r w:rsidR="0002504E" w:rsidRPr="00A572F4">
        <w:rPr>
          <w:rFonts w:ascii="Arial" w:eastAsia="Calibri" w:hAnsi="Arial" w:cs="Arial"/>
          <w:bCs/>
          <w:sz w:val="22"/>
          <w:szCs w:val="22"/>
        </w:rPr>
        <w:t xml:space="preserve">que cumplan estos requisitos habilitantes son considerados idóneos para ejecutar el objeto contractual, </w:t>
      </w:r>
      <w:r w:rsidR="001A1766" w:rsidRPr="00A572F4">
        <w:rPr>
          <w:rFonts w:ascii="Arial" w:eastAsia="Calibri" w:hAnsi="Arial" w:cs="Arial"/>
          <w:bCs/>
          <w:sz w:val="22"/>
          <w:szCs w:val="22"/>
        </w:rPr>
        <w:t>de manera</w:t>
      </w:r>
      <w:r w:rsidR="0002504E" w:rsidRPr="00A572F4">
        <w:rPr>
          <w:rFonts w:ascii="Arial" w:eastAsia="Calibri" w:hAnsi="Arial" w:cs="Arial"/>
          <w:bCs/>
          <w:sz w:val="22"/>
          <w:szCs w:val="22"/>
        </w:rPr>
        <w:t xml:space="preserve"> que sus ofertas </w:t>
      </w:r>
      <w:r w:rsidR="002B76F5" w:rsidRPr="00A572F4">
        <w:rPr>
          <w:rFonts w:ascii="Arial" w:eastAsia="Calibri" w:hAnsi="Arial" w:cs="Arial"/>
          <w:bCs/>
          <w:sz w:val="22"/>
          <w:szCs w:val="22"/>
        </w:rPr>
        <w:t xml:space="preserve">pueden ser consideradas en la evaluación dirigida a determinar </w:t>
      </w:r>
      <w:r w:rsidR="001A1766" w:rsidRPr="00A572F4">
        <w:rPr>
          <w:rFonts w:ascii="Arial" w:eastAsia="Calibri" w:hAnsi="Arial" w:cs="Arial"/>
          <w:bCs/>
          <w:sz w:val="22"/>
          <w:szCs w:val="22"/>
        </w:rPr>
        <w:t>cuál</w:t>
      </w:r>
      <w:r w:rsidR="002B76F5" w:rsidRPr="00A572F4">
        <w:rPr>
          <w:rFonts w:ascii="Arial" w:eastAsia="Calibri" w:hAnsi="Arial" w:cs="Arial"/>
          <w:bCs/>
          <w:sz w:val="22"/>
          <w:szCs w:val="22"/>
        </w:rPr>
        <w:t xml:space="preserve"> es la </w:t>
      </w:r>
      <w:r w:rsidR="00512BC0" w:rsidRPr="00A572F4">
        <w:rPr>
          <w:rFonts w:ascii="Arial" w:eastAsia="Calibri" w:hAnsi="Arial" w:cs="Arial"/>
          <w:bCs/>
          <w:sz w:val="22"/>
          <w:szCs w:val="22"/>
        </w:rPr>
        <w:t xml:space="preserve">más </w:t>
      </w:r>
      <w:r w:rsidR="002B76F5" w:rsidRPr="00A572F4">
        <w:rPr>
          <w:rFonts w:ascii="Arial" w:eastAsia="Calibri" w:hAnsi="Arial" w:cs="Arial"/>
          <w:bCs/>
          <w:sz w:val="22"/>
          <w:szCs w:val="22"/>
        </w:rPr>
        <w:t>favorable para la entidad y los fines de la contratación.</w:t>
      </w:r>
    </w:p>
    <w:p w14:paraId="3A672258" w14:textId="4BB3B4BD" w:rsidR="00DB1142" w:rsidRPr="00A572F4" w:rsidRDefault="00871B2E" w:rsidP="00EB2ED0">
      <w:pPr>
        <w:tabs>
          <w:tab w:val="left" w:pos="0"/>
        </w:tabs>
        <w:spacing w:after="120" w:line="276" w:lineRule="auto"/>
        <w:jc w:val="both"/>
        <w:rPr>
          <w:rFonts w:ascii="Arial" w:hAnsi="Arial" w:cs="Arial"/>
          <w:sz w:val="22"/>
          <w:szCs w:val="22"/>
        </w:rPr>
      </w:pPr>
      <w:r w:rsidRPr="00A572F4">
        <w:rPr>
          <w:rFonts w:ascii="Arial" w:eastAsia="Calibri" w:hAnsi="Arial" w:cs="Arial"/>
          <w:bCs/>
          <w:sz w:val="22"/>
          <w:szCs w:val="22"/>
        </w:rPr>
        <w:tab/>
      </w:r>
      <w:r w:rsidR="005107E3" w:rsidRPr="00A572F4">
        <w:rPr>
          <w:rFonts w:ascii="Arial" w:eastAsia="Calibri" w:hAnsi="Arial" w:cs="Arial"/>
          <w:bCs/>
          <w:sz w:val="22"/>
          <w:szCs w:val="22"/>
        </w:rPr>
        <w:t xml:space="preserve">En contraposición </w:t>
      </w:r>
      <w:r w:rsidR="00A50238" w:rsidRPr="00A572F4">
        <w:rPr>
          <w:rFonts w:ascii="Arial" w:eastAsia="Calibri" w:hAnsi="Arial" w:cs="Arial"/>
          <w:bCs/>
          <w:sz w:val="22"/>
          <w:szCs w:val="22"/>
        </w:rPr>
        <w:t>a</w:t>
      </w:r>
      <w:r w:rsidR="005107E3" w:rsidRPr="00A572F4">
        <w:rPr>
          <w:rFonts w:ascii="Arial" w:eastAsia="Calibri" w:hAnsi="Arial" w:cs="Arial"/>
          <w:bCs/>
          <w:sz w:val="22"/>
          <w:szCs w:val="22"/>
        </w:rPr>
        <w:t xml:space="preserve"> </w:t>
      </w:r>
      <w:r w:rsidR="00A50238" w:rsidRPr="00A572F4">
        <w:rPr>
          <w:rFonts w:ascii="Arial" w:eastAsia="Calibri" w:hAnsi="Arial" w:cs="Arial"/>
          <w:bCs/>
          <w:sz w:val="22"/>
          <w:szCs w:val="22"/>
        </w:rPr>
        <w:t>los requisitos habilitantes</w:t>
      </w:r>
      <w:r w:rsidR="005107E3" w:rsidRPr="00A572F4">
        <w:rPr>
          <w:rFonts w:ascii="Arial" w:eastAsia="Calibri" w:hAnsi="Arial" w:cs="Arial"/>
          <w:bCs/>
          <w:sz w:val="22"/>
          <w:szCs w:val="22"/>
        </w:rPr>
        <w:t>, el artículo 5 de la Ley 1150 de 2007</w:t>
      </w:r>
      <w:r w:rsidR="001A1766" w:rsidRPr="00A572F4">
        <w:rPr>
          <w:rFonts w:ascii="Arial" w:eastAsia="Calibri" w:hAnsi="Arial" w:cs="Arial"/>
          <w:bCs/>
          <w:sz w:val="22"/>
          <w:szCs w:val="22"/>
        </w:rPr>
        <w:t xml:space="preserve"> regula los</w:t>
      </w:r>
      <w:r w:rsidR="00A50238" w:rsidRPr="00A572F4">
        <w:rPr>
          <w:rFonts w:ascii="Arial" w:eastAsia="Calibri" w:hAnsi="Arial" w:cs="Arial"/>
          <w:bCs/>
          <w:sz w:val="22"/>
          <w:szCs w:val="22"/>
        </w:rPr>
        <w:t xml:space="preserve"> factores </w:t>
      </w:r>
      <w:r w:rsidR="008641D5" w:rsidRPr="00A572F4">
        <w:rPr>
          <w:rFonts w:ascii="Arial" w:eastAsia="Calibri" w:hAnsi="Arial" w:cs="Arial"/>
          <w:bCs/>
          <w:sz w:val="22"/>
          <w:szCs w:val="22"/>
        </w:rPr>
        <w:t xml:space="preserve">dirigidos a determinar </w:t>
      </w:r>
      <w:r w:rsidR="00C77E99" w:rsidRPr="00A572F4">
        <w:rPr>
          <w:rFonts w:ascii="Arial" w:eastAsia="Calibri" w:hAnsi="Arial" w:cs="Arial"/>
          <w:bCs/>
          <w:sz w:val="22"/>
          <w:szCs w:val="22"/>
        </w:rPr>
        <w:t>cuál</w:t>
      </w:r>
      <w:r w:rsidR="008641D5" w:rsidRPr="00A572F4">
        <w:rPr>
          <w:rFonts w:ascii="Arial" w:eastAsia="Calibri" w:hAnsi="Arial" w:cs="Arial"/>
          <w:bCs/>
          <w:sz w:val="22"/>
          <w:szCs w:val="22"/>
        </w:rPr>
        <w:t xml:space="preserve"> es la propuesta más favorable</w:t>
      </w:r>
      <w:r w:rsidR="00512BC0" w:rsidRPr="00A572F4">
        <w:rPr>
          <w:rFonts w:ascii="Arial" w:eastAsia="Calibri" w:hAnsi="Arial" w:cs="Arial"/>
          <w:bCs/>
          <w:sz w:val="22"/>
          <w:szCs w:val="22"/>
        </w:rPr>
        <w:t>.</w:t>
      </w:r>
      <w:r w:rsidR="008641D5" w:rsidRPr="00A572F4">
        <w:rPr>
          <w:rFonts w:ascii="Arial" w:eastAsia="Calibri" w:hAnsi="Arial" w:cs="Arial"/>
          <w:bCs/>
          <w:sz w:val="22"/>
          <w:szCs w:val="22"/>
        </w:rPr>
        <w:t xml:space="preserve"> En ese sentido, el inciso primero </w:t>
      </w:r>
      <w:r w:rsidR="00A17CA5" w:rsidRPr="00A572F4">
        <w:rPr>
          <w:rFonts w:ascii="Arial" w:eastAsia="Calibri" w:hAnsi="Arial" w:cs="Arial"/>
          <w:bCs/>
          <w:sz w:val="22"/>
          <w:szCs w:val="22"/>
        </w:rPr>
        <w:t>dispone los</w:t>
      </w:r>
      <w:r w:rsidR="008641D5" w:rsidRPr="00A572F4">
        <w:rPr>
          <w:rFonts w:ascii="Arial" w:eastAsia="Calibri" w:hAnsi="Arial" w:cs="Arial"/>
          <w:bCs/>
          <w:sz w:val="22"/>
          <w:szCs w:val="22"/>
        </w:rPr>
        <w:t xml:space="preserve"> </w:t>
      </w:r>
      <w:r w:rsidR="00C77E99" w:rsidRPr="00A572F4">
        <w:rPr>
          <w:rFonts w:ascii="Arial" w:eastAsia="Calibri" w:hAnsi="Arial" w:cs="Arial"/>
          <w:bCs/>
          <w:sz w:val="22"/>
          <w:szCs w:val="22"/>
        </w:rPr>
        <w:t>factores de escogencia y calificación que debe</w:t>
      </w:r>
      <w:r w:rsidR="008E6F19" w:rsidRPr="00A572F4">
        <w:rPr>
          <w:rFonts w:ascii="Arial" w:eastAsia="Calibri" w:hAnsi="Arial" w:cs="Arial"/>
          <w:bCs/>
          <w:sz w:val="22"/>
          <w:szCs w:val="22"/>
        </w:rPr>
        <w:t xml:space="preserve">n </w:t>
      </w:r>
      <w:r w:rsidR="00A17CA5" w:rsidRPr="00A572F4">
        <w:rPr>
          <w:rFonts w:ascii="Arial" w:eastAsia="Calibri" w:hAnsi="Arial" w:cs="Arial"/>
          <w:bCs/>
          <w:sz w:val="22"/>
          <w:szCs w:val="22"/>
        </w:rPr>
        <w:t>indicarse</w:t>
      </w:r>
      <w:r w:rsidR="008E6F19" w:rsidRPr="00A572F4">
        <w:rPr>
          <w:rFonts w:ascii="Arial" w:eastAsia="Calibri" w:hAnsi="Arial" w:cs="Arial"/>
          <w:bCs/>
          <w:sz w:val="22"/>
          <w:szCs w:val="22"/>
        </w:rPr>
        <w:t xml:space="preserve"> en los pliegos de condiciones. </w:t>
      </w:r>
      <w:r w:rsidR="00A17CA5" w:rsidRPr="00A572F4">
        <w:rPr>
          <w:rFonts w:ascii="Arial" w:eastAsia="Calibri" w:hAnsi="Arial" w:cs="Arial"/>
          <w:bCs/>
          <w:sz w:val="22"/>
          <w:szCs w:val="22"/>
        </w:rPr>
        <w:t>E</w:t>
      </w:r>
      <w:r w:rsidR="00793C6A" w:rsidRPr="00A572F4">
        <w:rPr>
          <w:rFonts w:ascii="Arial" w:eastAsia="Calibri" w:hAnsi="Arial" w:cs="Arial"/>
          <w:bCs/>
          <w:sz w:val="22"/>
          <w:szCs w:val="22"/>
        </w:rPr>
        <w:t xml:space="preserve">l numeral 2 de </w:t>
      </w:r>
      <w:r w:rsidR="00DE5716" w:rsidRPr="00A572F4">
        <w:rPr>
          <w:rFonts w:ascii="Arial" w:eastAsia="Calibri" w:hAnsi="Arial" w:cs="Arial"/>
          <w:bCs/>
          <w:sz w:val="22"/>
          <w:szCs w:val="22"/>
        </w:rPr>
        <w:t>esta</w:t>
      </w:r>
      <w:r w:rsidR="00793C6A" w:rsidRPr="00A572F4">
        <w:rPr>
          <w:rFonts w:ascii="Arial" w:eastAsia="Calibri" w:hAnsi="Arial" w:cs="Arial"/>
          <w:bCs/>
          <w:sz w:val="22"/>
          <w:szCs w:val="22"/>
        </w:rPr>
        <w:t xml:space="preserve"> norma</w:t>
      </w:r>
      <w:r w:rsidR="00DE5716" w:rsidRPr="00A572F4">
        <w:rPr>
          <w:rFonts w:ascii="Arial" w:eastAsia="Calibri" w:hAnsi="Arial" w:cs="Arial"/>
          <w:bCs/>
          <w:sz w:val="22"/>
          <w:szCs w:val="22"/>
        </w:rPr>
        <w:t xml:space="preserve"> </w:t>
      </w:r>
      <w:r w:rsidR="00793C6A" w:rsidRPr="00A572F4">
        <w:rPr>
          <w:rFonts w:ascii="Arial" w:eastAsia="Calibri" w:hAnsi="Arial" w:cs="Arial"/>
          <w:bCs/>
          <w:sz w:val="22"/>
          <w:szCs w:val="22"/>
        </w:rPr>
        <w:t>establece que la oferta más favorable</w:t>
      </w:r>
      <w:r w:rsidR="00FF5914" w:rsidRPr="00A572F4">
        <w:rPr>
          <w:rFonts w:ascii="Arial" w:eastAsia="Calibri" w:hAnsi="Arial" w:cs="Arial"/>
          <w:bCs/>
          <w:sz w:val="22"/>
          <w:szCs w:val="22"/>
        </w:rPr>
        <w:t xml:space="preserve"> es aquella que</w:t>
      </w:r>
      <w:r w:rsidR="00C144E4" w:rsidRPr="00A572F4">
        <w:rPr>
          <w:rFonts w:ascii="Arial" w:eastAsia="Calibri" w:hAnsi="Arial" w:cs="Arial"/>
          <w:bCs/>
          <w:sz w:val="22"/>
          <w:szCs w:val="22"/>
        </w:rPr>
        <w:t xml:space="preserve"> resulte ser la más ventajosa para la entidad, </w:t>
      </w:r>
      <w:r w:rsidR="00B50C5B" w:rsidRPr="00A572F4">
        <w:rPr>
          <w:rFonts w:ascii="Arial" w:eastAsia="Calibri" w:hAnsi="Arial" w:cs="Arial"/>
          <w:bCs/>
          <w:sz w:val="22"/>
          <w:szCs w:val="22"/>
        </w:rPr>
        <w:t>una vez se realice</w:t>
      </w:r>
      <w:r w:rsidR="00C144E4" w:rsidRPr="00A572F4">
        <w:rPr>
          <w:rFonts w:ascii="Arial" w:eastAsia="Calibri" w:hAnsi="Arial" w:cs="Arial"/>
          <w:bCs/>
          <w:sz w:val="22"/>
          <w:szCs w:val="22"/>
        </w:rPr>
        <w:t xml:space="preserve"> la ponderación</w:t>
      </w:r>
      <w:r w:rsidR="00FF5914" w:rsidRPr="00A572F4">
        <w:rPr>
          <w:rFonts w:ascii="Arial" w:eastAsia="Calibri" w:hAnsi="Arial" w:cs="Arial"/>
          <w:bCs/>
          <w:sz w:val="22"/>
          <w:szCs w:val="22"/>
        </w:rPr>
        <w:t xml:space="preserve"> precisa y detallada </w:t>
      </w:r>
      <w:r w:rsidR="00C144E4" w:rsidRPr="00A572F4">
        <w:rPr>
          <w:rFonts w:ascii="Arial" w:eastAsia="Calibri" w:hAnsi="Arial" w:cs="Arial"/>
          <w:bCs/>
          <w:sz w:val="22"/>
          <w:szCs w:val="22"/>
        </w:rPr>
        <w:t xml:space="preserve">de </w:t>
      </w:r>
      <w:r w:rsidR="00793C6A" w:rsidRPr="00A572F4">
        <w:rPr>
          <w:rFonts w:ascii="Arial" w:hAnsi="Arial" w:cs="Arial"/>
          <w:sz w:val="22"/>
          <w:szCs w:val="22"/>
        </w:rPr>
        <w:t>los factores técnicos y económicos de escogencia</w:t>
      </w:r>
      <w:r w:rsidR="00FB47C3" w:rsidRPr="00A572F4">
        <w:rPr>
          <w:rFonts w:ascii="Arial" w:hAnsi="Arial" w:cs="Arial"/>
          <w:sz w:val="22"/>
          <w:szCs w:val="22"/>
        </w:rPr>
        <w:t xml:space="preserve">, </w:t>
      </w:r>
      <w:r w:rsidR="00C144E4" w:rsidRPr="00A572F4">
        <w:rPr>
          <w:rFonts w:ascii="Arial" w:hAnsi="Arial" w:cs="Arial"/>
          <w:sz w:val="22"/>
          <w:szCs w:val="22"/>
        </w:rPr>
        <w:t>de acuerdo con</w:t>
      </w:r>
      <w:r w:rsidR="000D6B6C" w:rsidRPr="00A572F4">
        <w:rPr>
          <w:rFonts w:ascii="Arial" w:hAnsi="Arial" w:cs="Arial"/>
          <w:sz w:val="22"/>
          <w:szCs w:val="22"/>
        </w:rPr>
        <w:t xml:space="preserve"> los</w:t>
      </w:r>
      <w:r w:rsidR="00C144E4" w:rsidRPr="00A572F4">
        <w:rPr>
          <w:rFonts w:ascii="Arial" w:hAnsi="Arial" w:cs="Arial"/>
          <w:sz w:val="22"/>
          <w:szCs w:val="22"/>
        </w:rPr>
        <w:t xml:space="preserve"> parámetros establecidos en los pliegos de condiciones o equivalentes</w:t>
      </w:r>
      <w:r w:rsidR="000D6B6C" w:rsidRPr="00A572F4">
        <w:rPr>
          <w:rFonts w:ascii="Arial" w:hAnsi="Arial" w:cs="Arial"/>
          <w:sz w:val="22"/>
          <w:szCs w:val="22"/>
        </w:rPr>
        <w:t xml:space="preserve"> que permiten la comparación de ofertas.</w:t>
      </w:r>
      <w:r w:rsidR="00BD2640" w:rsidRPr="00A572F4">
        <w:rPr>
          <w:rFonts w:ascii="Arial" w:hAnsi="Arial" w:cs="Arial"/>
          <w:sz w:val="22"/>
          <w:szCs w:val="22"/>
        </w:rPr>
        <w:t xml:space="preserve"> </w:t>
      </w:r>
      <w:r w:rsidR="00512BC0" w:rsidRPr="00A572F4">
        <w:rPr>
          <w:rFonts w:ascii="Arial" w:hAnsi="Arial" w:cs="Arial"/>
          <w:sz w:val="22"/>
          <w:szCs w:val="22"/>
        </w:rPr>
        <w:t xml:space="preserve"> Este</w:t>
      </w:r>
      <w:r w:rsidR="004622A6" w:rsidRPr="00A572F4">
        <w:rPr>
          <w:rFonts w:ascii="Arial" w:hAnsi="Arial" w:cs="Arial"/>
          <w:sz w:val="22"/>
          <w:szCs w:val="22"/>
        </w:rPr>
        <w:t xml:space="preserve"> numeral </w:t>
      </w:r>
      <w:r w:rsidR="00BE5487" w:rsidRPr="00A572F4">
        <w:rPr>
          <w:rFonts w:ascii="Arial" w:hAnsi="Arial" w:cs="Arial"/>
          <w:sz w:val="22"/>
          <w:szCs w:val="22"/>
        </w:rPr>
        <w:t>2</w:t>
      </w:r>
      <w:r w:rsidR="004622A6" w:rsidRPr="00A572F4">
        <w:rPr>
          <w:rFonts w:ascii="Arial" w:hAnsi="Arial" w:cs="Arial"/>
          <w:sz w:val="22"/>
          <w:szCs w:val="22"/>
        </w:rPr>
        <w:t xml:space="preserve"> </w:t>
      </w:r>
      <w:r w:rsidR="00DE5716" w:rsidRPr="00A572F4">
        <w:rPr>
          <w:rFonts w:ascii="Arial" w:hAnsi="Arial" w:cs="Arial"/>
          <w:sz w:val="22"/>
          <w:szCs w:val="22"/>
        </w:rPr>
        <w:t>se divide</w:t>
      </w:r>
      <w:r w:rsidR="004622A6" w:rsidRPr="00A572F4">
        <w:rPr>
          <w:rFonts w:ascii="Arial" w:hAnsi="Arial" w:cs="Arial"/>
          <w:sz w:val="22"/>
          <w:szCs w:val="22"/>
        </w:rPr>
        <w:t xml:space="preserve"> en dos </w:t>
      </w:r>
      <w:r w:rsidR="00BE5487" w:rsidRPr="00A572F4">
        <w:rPr>
          <w:rFonts w:ascii="Arial" w:hAnsi="Arial" w:cs="Arial"/>
          <w:sz w:val="22"/>
          <w:szCs w:val="22"/>
        </w:rPr>
        <w:t>literales, cada uno de los cuales</w:t>
      </w:r>
      <w:r w:rsidR="002113CF" w:rsidRPr="00A572F4">
        <w:rPr>
          <w:rFonts w:ascii="Arial" w:hAnsi="Arial" w:cs="Arial"/>
          <w:sz w:val="22"/>
          <w:szCs w:val="22"/>
        </w:rPr>
        <w:t xml:space="preserve"> </w:t>
      </w:r>
      <w:r w:rsidR="00F246FF" w:rsidRPr="00A572F4">
        <w:rPr>
          <w:rFonts w:ascii="Arial" w:hAnsi="Arial" w:cs="Arial"/>
          <w:sz w:val="22"/>
          <w:szCs w:val="22"/>
        </w:rPr>
        <w:t>hace referencia a los mecanismos por los que pueden optar las entidades para ponderar los</w:t>
      </w:r>
      <w:r w:rsidR="009512EA" w:rsidRPr="00A572F4">
        <w:rPr>
          <w:rFonts w:ascii="Arial" w:hAnsi="Arial" w:cs="Arial"/>
          <w:sz w:val="22"/>
          <w:szCs w:val="22"/>
        </w:rPr>
        <w:t xml:space="preserve"> elementos de calidad y preci</w:t>
      </w:r>
      <w:r w:rsidR="00B32D71" w:rsidRPr="00A572F4">
        <w:rPr>
          <w:rFonts w:ascii="Arial" w:hAnsi="Arial" w:cs="Arial"/>
          <w:sz w:val="22"/>
          <w:szCs w:val="22"/>
        </w:rPr>
        <w:t>o</w:t>
      </w:r>
      <w:r w:rsidR="00F246FF" w:rsidRPr="00A572F4">
        <w:rPr>
          <w:rFonts w:ascii="Arial" w:hAnsi="Arial" w:cs="Arial"/>
          <w:sz w:val="22"/>
          <w:szCs w:val="22"/>
        </w:rPr>
        <w:t xml:space="preserve"> de las ofertas</w:t>
      </w:r>
      <w:r w:rsidR="00B32D71" w:rsidRPr="00A572F4">
        <w:rPr>
          <w:rFonts w:ascii="Arial" w:hAnsi="Arial" w:cs="Arial"/>
          <w:sz w:val="22"/>
          <w:szCs w:val="22"/>
        </w:rPr>
        <w:t xml:space="preserve">. El literal a) </w:t>
      </w:r>
      <w:r w:rsidR="00DE5716" w:rsidRPr="00A572F4">
        <w:rPr>
          <w:rFonts w:ascii="Arial" w:hAnsi="Arial" w:cs="Arial"/>
          <w:sz w:val="22"/>
          <w:szCs w:val="22"/>
        </w:rPr>
        <w:t>alude</w:t>
      </w:r>
      <w:r w:rsidR="00B32D71" w:rsidRPr="00A572F4">
        <w:rPr>
          <w:rFonts w:ascii="Arial" w:hAnsi="Arial" w:cs="Arial"/>
          <w:sz w:val="22"/>
          <w:szCs w:val="22"/>
        </w:rPr>
        <w:t xml:space="preserve"> a la po</w:t>
      </w:r>
      <w:r w:rsidR="00C205EF" w:rsidRPr="00A572F4">
        <w:rPr>
          <w:rFonts w:ascii="Arial" w:hAnsi="Arial" w:cs="Arial"/>
          <w:sz w:val="22"/>
          <w:szCs w:val="22"/>
        </w:rPr>
        <w:t>n</w:t>
      </w:r>
      <w:r w:rsidR="00B32D71" w:rsidRPr="00A572F4">
        <w:rPr>
          <w:rFonts w:ascii="Arial" w:hAnsi="Arial" w:cs="Arial"/>
          <w:sz w:val="22"/>
          <w:szCs w:val="22"/>
        </w:rPr>
        <w:t>deración de lo</w:t>
      </w:r>
      <w:r w:rsidR="00C205EF" w:rsidRPr="00A572F4">
        <w:rPr>
          <w:rFonts w:ascii="Arial" w:hAnsi="Arial" w:cs="Arial"/>
          <w:sz w:val="22"/>
          <w:szCs w:val="22"/>
        </w:rPr>
        <w:t xml:space="preserve">s referidos elementos mediante puntajes </w:t>
      </w:r>
      <w:r w:rsidR="00906166" w:rsidRPr="00A572F4">
        <w:rPr>
          <w:rFonts w:ascii="Arial" w:hAnsi="Arial" w:cs="Arial"/>
          <w:sz w:val="22"/>
          <w:szCs w:val="22"/>
        </w:rPr>
        <w:t>o</w:t>
      </w:r>
      <w:r w:rsidR="00C205EF" w:rsidRPr="00A572F4">
        <w:rPr>
          <w:rFonts w:ascii="Arial" w:hAnsi="Arial" w:cs="Arial"/>
          <w:sz w:val="22"/>
          <w:szCs w:val="22"/>
        </w:rPr>
        <w:t xml:space="preserve"> f</w:t>
      </w:r>
      <w:r w:rsidR="00DE5716" w:rsidRPr="00A572F4">
        <w:rPr>
          <w:rFonts w:ascii="Arial" w:hAnsi="Arial" w:cs="Arial"/>
          <w:sz w:val="22"/>
          <w:szCs w:val="22"/>
        </w:rPr>
        <w:t>ó</w:t>
      </w:r>
      <w:r w:rsidR="00C205EF" w:rsidRPr="00A572F4">
        <w:rPr>
          <w:rFonts w:ascii="Arial" w:hAnsi="Arial" w:cs="Arial"/>
          <w:sz w:val="22"/>
          <w:szCs w:val="22"/>
        </w:rPr>
        <w:t>rmulas</w:t>
      </w:r>
      <w:r w:rsidR="00DE5716" w:rsidRPr="00A572F4">
        <w:rPr>
          <w:rFonts w:ascii="Arial" w:hAnsi="Arial" w:cs="Arial"/>
          <w:sz w:val="22"/>
          <w:szCs w:val="22"/>
        </w:rPr>
        <w:t>,</w:t>
      </w:r>
      <w:r w:rsidR="00C205EF" w:rsidRPr="00A572F4">
        <w:rPr>
          <w:rFonts w:ascii="Arial" w:hAnsi="Arial" w:cs="Arial"/>
          <w:sz w:val="22"/>
          <w:szCs w:val="22"/>
        </w:rPr>
        <w:t xml:space="preserve"> </w:t>
      </w:r>
      <w:r w:rsidR="00F246FF" w:rsidRPr="00A572F4">
        <w:rPr>
          <w:rFonts w:ascii="Arial" w:hAnsi="Arial" w:cs="Arial"/>
          <w:sz w:val="22"/>
          <w:szCs w:val="22"/>
        </w:rPr>
        <w:t>mientras que el literal</w:t>
      </w:r>
      <w:r w:rsidR="00C205EF" w:rsidRPr="00A572F4">
        <w:rPr>
          <w:rFonts w:ascii="Arial" w:hAnsi="Arial" w:cs="Arial"/>
          <w:sz w:val="22"/>
          <w:szCs w:val="22"/>
        </w:rPr>
        <w:t xml:space="preserve"> b)</w:t>
      </w:r>
      <w:r w:rsidR="00F246FF" w:rsidRPr="00A572F4">
        <w:rPr>
          <w:rFonts w:ascii="Arial" w:hAnsi="Arial" w:cs="Arial"/>
          <w:sz w:val="22"/>
          <w:szCs w:val="22"/>
        </w:rPr>
        <w:t xml:space="preserve"> se refie</w:t>
      </w:r>
      <w:r w:rsidR="00C403CD" w:rsidRPr="00A572F4">
        <w:rPr>
          <w:rFonts w:ascii="Arial" w:hAnsi="Arial" w:cs="Arial"/>
          <w:sz w:val="22"/>
          <w:szCs w:val="22"/>
        </w:rPr>
        <w:t>re</w:t>
      </w:r>
      <w:r w:rsidR="00C205EF" w:rsidRPr="00A572F4">
        <w:rPr>
          <w:rFonts w:ascii="Arial" w:hAnsi="Arial" w:cs="Arial"/>
          <w:sz w:val="22"/>
          <w:szCs w:val="22"/>
        </w:rPr>
        <w:t xml:space="preserve"> </w:t>
      </w:r>
      <w:r w:rsidR="0061512C" w:rsidRPr="00A572F4">
        <w:rPr>
          <w:rFonts w:ascii="Arial" w:hAnsi="Arial" w:cs="Arial"/>
          <w:sz w:val="22"/>
          <w:szCs w:val="22"/>
        </w:rPr>
        <w:t xml:space="preserve">la elección de la oferta </w:t>
      </w:r>
      <w:r w:rsidR="006A0ADE" w:rsidRPr="00A572F4">
        <w:rPr>
          <w:rFonts w:ascii="Arial" w:hAnsi="Arial" w:cs="Arial"/>
          <w:sz w:val="22"/>
          <w:szCs w:val="22"/>
        </w:rPr>
        <w:t>que represent</w:t>
      </w:r>
      <w:r w:rsidR="00C403CD" w:rsidRPr="00A572F4">
        <w:rPr>
          <w:rFonts w:ascii="Arial" w:hAnsi="Arial" w:cs="Arial"/>
          <w:sz w:val="22"/>
          <w:szCs w:val="22"/>
        </w:rPr>
        <w:t>e</w:t>
      </w:r>
      <w:r w:rsidR="006A0ADE" w:rsidRPr="00A572F4">
        <w:rPr>
          <w:rFonts w:ascii="Arial" w:hAnsi="Arial" w:cs="Arial"/>
          <w:sz w:val="22"/>
          <w:szCs w:val="22"/>
        </w:rPr>
        <w:t xml:space="preserve"> la mejor relación costo</w:t>
      </w:r>
      <w:r w:rsidR="000D241E">
        <w:rPr>
          <w:rFonts w:ascii="Arial" w:hAnsi="Arial" w:cs="Arial"/>
          <w:sz w:val="22"/>
          <w:szCs w:val="22"/>
        </w:rPr>
        <w:t>-</w:t>
      </w:r>
      <w:r w:rsidR="006A0ADE" w:rsidRPr="00A572F4">
        <w:rPr>
          <w:rFonts w:ascii="Arial" w:hAnsi="Arial" w:cs="Arial"/>
          <w:sz w:val="22"/>
          <w:szCs w:val="22"/>
        </w:rPr>
        <w:t>benefici</w:t>
      </w:r>
      <w:r w:rsidR="00C403CD" w:rsidRPr="00A572F4">
        <w:rPr>
          <w:rFonts w:ascii="Arial" w:hAnsi="Arial" w:cs="Arial"/>
          <w:sz w:val="22"/>
          <w:szCs w:val="22"/>
        </w:rPr>
        <w:t>o</w:t>
      </w:r>
      <w:r w:rsidR="00B86C04" w:rsidRPr="00A572F4">
        <w:rPr>
          <w:rFonts w:ascii="Arial" w:hAnsi="Arial" w:cs="Arial"/>
          <w:sz w:val="22"/>
          <w:szCs w:val="22"/>
        </w:rPr>
        <w:t xml:space="preserve"> para la entidad</w:t>
      </w:r>
      <w:r w:rsidR="00280754" w:rsidRPr="00A572F4">
        <w:rPr>
          <w:rFonts w:ascii="Arial" w:hAnsi="Arial" w:cs="Arial"/>
          <w:sz w:val="22"/>
          <w:szCs w:val="22"/>
        </w:rPr>
        <w:t xml:space="preserve">. </w:t>
      </w:r>
    </w:p>
    <w:p w14:paraId="00F9FBC5" w14:textId="2FF33BD5" w:rsidR="00E8617F" w:rsidRPr="00A572F4" w:rsidRDefault="00DB1142" w:rsidP="00EB2ED0">
      <w:pPr>
        <w:tabs>
          <w:tab w:val="left" w:pos="0"/>
        </w:tabs>
        <w:spacing w:after="120" w:line="276" w:lineRule="auto"/>
        <w:jc w:val="both"/>
        <w:rPr>
          <w:rFonts w:ascii="Arial" w:hAnsi="Arial" w:cs="Arial"/>
          <w:sz w:val="22"/>
          <w:szCs w:val="22"/>
        </w:rPr>
      </w:pPr>
      <w:r w:rsidRPr="00A572F4">
        <w:rPr>
          <w:rFonts w:ascii="Arial" w:hAnsi="Arial" w:cs="Arial"/>
          <w:sz w:val="22"/>
          <w:szCs w:val="22"/>
        </w:rPr>
        <w:tab/>
      </w:r>
      <w:r w:rsidR="002F6FF9" w:rsidRPr="00A572F4">
        <w:rPr>
          <w:rFonts w:ascii="Arial" w:hAnsi="Arial" w:cs="Arial"/>
          <w:sz w:val="22"/>
          <w:szCs w:val="22"/>
        </w:rPr>
        <w:t>Por su parte, el numeral 3 establece que en los procesos de selección</w:t>
      </w:r>
      <w:r w:rsidR="00133ED2" w:rsidRPr="00A572F4">
        <w:rPr>
          <w:rFonts w:ascii="Arial" w:hAnsi="Arial" w:cs="Arial"/>
          <w:sz w:val="22"/>
          <w:szCs w:val="22"/>
        </w:rPr>
        <w:t xml:space="preserve"> de bienes y servicios de características técnicas uniformes y de común utilización</w:t>
      </w:r>
      <w:r w:rsidR="009767BE" w:rsidRPr="00A572F4">
        <w:rPr>
          <w:rFonts w:ascii="Arial" w:hAnsi="Arial" w:cs="Arial"/>
          <w:sz w:val="22"/>
          <w:szCs w:val="22"/>
        </w:rPr>
        <w:t xml:space="preserve"> el único factor de evaluación</w:t>
      </w:r>
      <w:r w:rsidR="00245B9E" w:rsidRPr="00A572F4">
        <w:rPr>
          <w:rFonts w:ascii="Arial" w:hAnsi="Arial" w:cs="Arial"/>
          <w:sz w:val="22"/>
          <w:szCs w:val="22"/>
        </w:rPr>
        <w:t xml:space="preserve"> </w:t>
      </w:r>
      <w:r w:rsidR="005C514F" w:rsidRPr="00A572F4">
        <w:rPr>
          <w:rFonts w:ascii="Arial" w:hAnsi="Arial" w:cs="Arial"/>
          <w:sz w:val="22"/>
          <w:szCs w:val="22"/>
        </w:rPr>
        <w:t>consiste en</w:t>
      </w:r>
      <w:r w:rsidR="00245B9E" w:rsidRPr="00A572F4">
        <w:rPr>
          <w:rFonts w:ascii="Arial" w:hAnsi="Arial" w:cs="Arial"/>
          <w:sz w:val="22"/>
          <w:szCs w:val="22"/>
        </w:rPr>
        <w:t xml:space="preserve"> el menor precio.</w:t>
      </w:r>
      <w:r w:rsidR="00C403CD" w:rsidRPr="00A572F4">
        <w:rPr>
          <w:rFonts w:ascii="Arial" w:hAnsi="Arial" w:cs="Arial"/>
          <w:sz w:val="22"/>
          <w:szCs w:val="22"/>
        </w:rPr>
        <w:t xml:space="preserve"> Por último, el numeral </w:t>
      </w:r>
      <w:r w:rsidR="00604622" w:rsidRPr="00A572F4">
        <w:rPr>
          <w:rFonts w:ascii="Arial" w:hAnsi="Arial" w:cs="Arial"/>
          <w:sz w:val="22"/>
          <w:szCs w:val="22"/>
        </w:rPr>
        <w:t>4</w:t>
      </w:r>
      <w:r w:rsidR="00601055" w:rsidRPr="00A572F4">
        <w:rPr>
          <w:rFonts w:ascii="Arial" w:hAnsi="Arial" w:cs="Arial"/>
          <w:sz w:val="22"/>
          <w:szCs w:val="22"/>
        </w:rPr>
        <w:t>, referente a procedimientos para selección de consultores,</w:t>
      </w:r>
      <w:r w:rsidR="00CA424D" w:rsidRPr="00A572F4">
        <w:rPr>
          <w:rFonts w:ascii="Arial" w:hAnsi="Arial" w:cs="Arial"/>
          <w:sz w:val="22"/>
          <w:szCs w:val="22"/>
        </w:rPr>
        <w:t xml:space="preserve"> </w:t>
      </w:r>
      <w:r w:rsidR="00966948" w:rsidRPr="00A572F4">
        <w:rPr>
          <w:rFonts w:ascii="Arial" w:hAnsi="Arial" w:cs="Arial"/>
          <w:sz w:val="22"/>
          <w:szCs w:val="22"/>
        </w:rPr>
        <w:t>señala que debe hacer</w:t>
      </w:r>
      <w:r w:rsidR="00EC6044" w:rsidRPr="00A572F4">
        <w:rPr>
          <w:rFonts w:ascii="Arial" w:hAnsi="Arial" w:cs="Arial"/>
          <w:sz w:val="22"/>
          <w:szCs w:val="22"/>
        </w:rPr>
        <w:t>se</w:t>
      </w:r>
      <w:r w:rsidR="00966948" w:rsidRPr="00A572F4">
        <w:rPr>
          <w:rFonts w:ascii="Arial" w:hAnsi="Arial" w:cs="Arial"/>
          <w:sz w:val="22"/>
          <w:szCs w:val="22"/>
        </w:rPr>
        <w:t xml:space="preserve"> uso de factores </w:t>
      </w:r>
      <w:r w:rsidR="002B645D" w:rsidRPr="00A572F4">
        <w:rPr>
          <w:rFonts w:ascii="Arial" w:hAnsi="Arial" w:cs="Arial"/>
          <w:sz w:val="22"/>
          <w:szCs w:val="22"/>
        </w:rPr>
        <w:t xml:space="preserve">de </w:t>
      </w:r>
      <w:r w:rsidR="00966948" w:rsidRPr="00A572F4">
        <w:rPr>
          <w:rFonts w:ascii="Arial" w:hAnsi="Arial" w:cs="Arial"/>
          <w:sz w:val="22"/>
          <w:szCs w:val="22"/>
        </w:rPr>
        <w:t>calificación, para</w:t>
      </w:r>
      <w:r w:rsidR="00601055" w:rsidRPr="00A572F4">
        <w:rPr>
          <w:rFonts w:ascii="Arial" w:hAnsi="Arial" w:cs="Arial"/>
          <w:sz w:val="22"/>
          <w:szCs w:val="22"/>
        </w:rPr>
        <w:t xml:space="preserve"> valorar los aspectos técnicos de la oferta</w:t>
      </w:r>
      <w:r w:rsidR="00EC6044" w:rsidRPr="00A572F4">
        <w:rPr>
          <w:rFonts w:ascii="Arial" w:hAnsi="Arial" w:cs="Arial"/>
          <w:sz w:val="22"/>
          <w:szCs w:val="22"/>
        </w:rPr>
        <w:t xml:space="preserve">, permitiendo que entre ellos se </w:t>
      </w:r>
      <w:r w:rsidR="005C514F" w:rsidRPr="00A572F4">
        <w:rPr>
          <w:rFonts w:ascii="Arial" w:hAnsi="Arial" w:cs="Arial"/>
          <w:sz w:val="22"/>
          <w:szCs w:val="22"/>
        </w:rPr>
        <w:t xml:space="preserve">pondere </w:t>
      </w:r>
      <w:r w:rsidR="00EC6044" w:rsidRPr="00A572F4">
        <w:rPr>
          <w:rFonts w:ascii="Arial" w:hAnsi="Arial" w:cs="Arial"/>
          <w:sz w:val="22"/>
          <w:szCs w:val="22"/>
        </w:rPr>
        <w:t>la experiencia.</w:t>
      </w:r>
    </w:p>
    <w:p w14:paraId="36E6F7E3" w14:textId="4952FC03" w:rsidR="000F4141" w:rsidRPr="00A572F4" w:rsidRDefault="008C3F27" w:rsidP="00EB2ED0">
      <w:pPr>
        <w:tabs>
          <w:tab w:val="left" w:pos="0"/>
        </w:tabs>
        <w:spacing w:line="276" w:lineRule="auto"/>
        <w:jc w:val="both"/>
        <w:rPr>
          <w:rFonts w:ascii="Arial" w:eastAsiaTheme="minorHAnsi" w:hAnsi="Arial" w:cs="Arial"/>
          <w:sz w:val="22"/>
          <w:szCs w:val="22"/>
          <w:lang w:eastAsia="en-US"/>
        </w:rPr>
      </w:pPr>
      <w:r w:rsidRPr="00A572F4">
        <w:rPr>
          <w:rFonts w:ascii="Arial" w:hAnsi="Arial" w:cs="Arial"/>
          <w:sz w:val="22"/>
          <w:szCs w:val="22"/>
        </w:rPr>
        <w:tab/>
        <w:t>Conform</w:t>
      </w:r>
      <w:r w:rsidR="001D6F14" w:rsidRPr="00A572F4">
        <w:rPr>
          <w:rFonts w:ascii="Arial" w:hAnsi="Arial" w:cs="Arial"/>
          <w:sz w:val="22"/>
          <w:szCs w:val="22"/>
        </w:rPr>
        <w:t>e a</w:t>
      </w:r>
      <w:r w:rsidRPr="00A572F4">
        <w:rPr>
          <w:rFonts w:ascii="Arial" w:hAnsi="Arial" w:cs="Arial"/>
          <w:sz w:val="22"/>
          <w:szCs w:val="22"/>
        </w:rPr>
        <w:t xml:space="preserve"> lo anterior, el artículo 5 de la Ley 1150 de 2007, alude a diferentes conceptos como </w:t>
      </w:r>
      <w:r w:rsidR="001D3F00" w:rsidRPr="00A572F4">
        <w:rPr>
          <w:rFonts w:ascii="Arial" w:hAnsi="Arial" w:cs="Arial"/>
          <w:sz w:val="22"/>
          <w:szCs w:val="22"/>
        </w:rPr>
        <w:t>factores de escogencia</w:t>
      </w:r>
      <w:r w:rsidR="00DB1142" w:rsidRPr="00A572F4">
        <w:rPr>
          <w:rFonts w:ascii="Arial" w:hAnsi="Arial" w:cs="Arial"/>
          <w:sz w:val="22"/>
          <w:szCs w:val="22"/>
        </w:rPr>
        <w:t>,</w:t>
      </w:r>
      <w:r w:rsidR="00A622EA" w:rsidRPr="00A572F4">
        <w:rPr>
          <w:rFonts w:ascii="Arial" w:hAnsi="Arial" w:cs="Arial"/>
          <w:sz w:val="22"/>
          <w:szCs w:val="22"/>
        </w:rPr>
        <w:t xml:space="preserve"> de</w:t>
      </w:r>
      <w:r w:rsidR="0048478C" w:rsidRPr="00A572F4">
        <w:rPr>
          <w:rFonts w:ascii="Arial" w:hAnsi="Arial" w:cs="Arial"/>
          <w:sz w:val="22"/>
          <w:szCs w:val="22"/>
        </w:rPr>
        <w:t xml:space="preserve"> calificación</w:t>
      </w:r>
      <w:r w:rsidR="001D3F00" w:rsidRPr="00A572F4">
        <w:rPr>
          <w:rFonts w:ascii="Arial" w:hAnsi="Arial" w:cs="Arial"/>
          <w:sz w:val="22"/>
          <w:szCs w:val="22"/>
        </w:rPr>
        <w:t>,</w:t>
      </w:r>
      <w:r w:rsidR="003F051D" w:rsidRPr="00A572F4">
        <w:rPr>
          <w:rFonts w:ascii="Arial" w:hAnsi="Arial" w:cs="Arial"/>
          <w:sz w:val="22"/>
          <w:szCs w:val="22"/>
        </w:rPr>
        <w:t xml:space="preserve"> </w:t>
      </w:r>
      <w:r w:rsidR="0048478C" w:rsidRPr="00A572F4">
        <w:rPr>
          <w:rFonts w:ascii="Arial" w:hAnsi="Arial" w:cs="Arial"/>
          <w:sz w:val="22"/>
          <w:szCs w:val="22"/>
        </w:rPr>
        <w:t>técnicos y económicos</w:t>
      </w:r>
      <w:r w:rsidR="00FD72E7" w:rsidRPr="00A572F4">
        <w:rPr>
          <w:rFonts w:ascii="Arial" w:hAnsi="Arial" w:cs="Arial"/>
          <w:sz w:val="22"/>
          <w:szCs w:val="22"/>
        </w:rPr>
        <w:t xml:space="preserve"> de escogencia</w:t>
      </w:r>
      <w:r w:rsidR="00DB732A" w:rsidRPr="00A572F4">
        <w:rPr>
          <w:rFonts w:ascii="Arial" w:hAnsi="Arial" w:cs="Arial"/>
          <w:sz w:val="22"/>
          <w:szCs w:val="22"/>
        </w:rPr>
        <w:t xml:space="preserve">, </w:t>
      </w:r>
      <w:r w:rsidR="00274522" w:rsidRPr="00A572F4">
        <w:rPr>
          <w:rFonts w:ascii="Arial" w:hAnsi="Arial" w:cs="Arial"/>
          <w:sz w:val="22"/>
          <w:szCs w:val="22"/>
        </w:rPr>
        <w:t>de evaluación</w:t>
      </w:r>
      <w:r w:rsidR="00996851" w:rsidRPr="00A572F4">
        <w:rPr>
          <w:rFonts w:ascii="Arial" w:hAnsi="Arial" w:cs="Arial"/>
          <w:sz w:val="22"/>
          <w:szCs w:val="22"/>
        </w:rPr>
        <w:t xml:space="preserve"> y calificación. </w:t>
      </w:r>
      <w:r w:rsidR="00906166" w:rsidRPr="00A572F4">
        <w:rPr>
          <w:rFonts w:ascii="Arial" w:hAnsi="Arial" w:cs="Arial"/>
          <w:sz w:val="22"/>
          <w:szCs w:val="22"/>
        </w:rPr>
        <w:t>Además</w:t>
      </w:r>
      <w:r w:rsidR="00996851" w:rsidRPr="00A572F4">
        <w:rPr>
          <w:rFonts w:ascii="Arial" w:hAnsi="Arial" w:cs="Arial"/>
          <w:sz w:val="22"/>
          <w:szCs w:val="22"/>
        </w:rPr>
        <w:t xml:space="preserve">, el </w:t>
      </w:r>
      <w:r w:rsidR="00B94017" w:rsidRPr="00A572F4">
        <w:rPr>
          <w:rFonts w:ascii="Arial" w:hAnsi="Arial" w:cs="Arial"/>
          <w:sz w:val="22"/>
          <w:szCs w:val="22"/>
        </w:rPr>
        <w:t xml:space="preserve">artículo </w:t>
      </w:r>
      <w:r w:rsidR="00666D4B" w:rsidRPr="00A572F4">
        <w:rPr>
          <w:rFonts w:ascii="Arial" w:hAnsi="Arial" w:cs="Arial"/>
          <w:sz w:val="22"/>
          <w:szCs w:val="22"/>
        </w:rPr>
        <w:t>alude a</w:t>
      </w:r>
      <w:r w:rsidR="00B94017" w:rsidRPr="00A572F4">
        <w:rPr>
          <w:rFonts w:ascii="Arial" w:hAnsi="Arial" w:cs="Arial"/>
          <w:sz w:val="22"/>
          <w:szCs w:val="22"/>
        </w:rPr>
        <w:t xml:space="preserve"> unos factores que no otorgan puntaje </w:t>
      </w:r>
      <w:r w:rsidR="003945C3" w:rsidRPr="00A572F4">
        <w:rPr>
          <w:rFonts w:ascii="Arial" w:hAnsi="Arial" w:cs="Arial"/>
          <w:sz w:val="22"/>
          <w:szCs w:val="22"/>
        </w:rPr>
        <w:t xml:space="preserve">y de </w:t>
      </w:r>
      <w:r w:rsidR="00666D4B" w:rsidRPr="00A572F4">
        <w:rPr>
          <w:rFonts w:ascii="Arial" w:hAnsi="Arial" w:cs="Arial"/>
          <w:sz w:val="22"/>
          <w:szCs w:val="22"/>
        </w:rPr>
        <w:t>otros</w:t>
      </w:r>
      <w:r w:rsidR="003945C3" w:rsidRPr="00A572F4">
        <w:rPr>
          <w:rFonts w:ascii="Arial" w:hAnsi="Arial" w:cs="Arial"/>
          <w:sz w:val="22"/>
          <w:szCs w:val="22"/>
        </w:rPr>
        <w:t xml:space="preserve"> que inciden en la comparación de ofertas. </w:t>
      </w:r>
      <w:r w:rsidR="00A622EA" w:rsidRPr="00A572F4">
        <w:rPr>
          <w:rFonts w:ascii="Arial" w:hAnsi="Arial" w:cs="Arial"/>
          <w:sz w:val="22"/>
          <w:szCs w:val="22"/>
        </w:rPr>
        <w:t>En línea con esto</w:t>
      </w:r>
      <w:r w:rsidR="00581FDB" w:rsidRPr="00A572F4">
        <w:rPr>
          <w:rFonts w:ascii="Arial" w:hAnsi="Arial" w:cs="Arial"/>
          <w:sz w:val="22"/>
          <w:szCs w:val="22"/>
        </w:rPr>
        <w:t xml:space="preserve"> último</w:t>
      </w:r>
      <w:r w:rsidR="00A622EA" w:rsidRPr="00A572F4">
        <w:rPr>
          <w:rFonts w:ascii="Arial" w:hAnsi="Arial" w:cs="Arial"/>
          <w:sz w:val="22"/>
          <w:szCs w:val="22"/>
        </w:rPr>
        <w:t>,</w:t>
      </w:r>
      <w:r w:rsidR="000572DE" w:rsidRPr="00A572F4">
        <w:rPr>
          <w:rFonts w:ascii="Arial" w:hAnsi="Arial" w:cs="Arial"/>
          <w:sz w:val="22"/>
          <w:szCs w:val="22"/>
        </w:rPr>
        <w:t xml:space="preserve"> la doctrina </w:t>
      </w:r>
      <w:r w:rsidR="00666D4B" w:rsidRPr="00A572F4">
        <w:rPr>
          <w:rFonts w:ascii="Arial" w:hAnsi="Arial" w:cs="Arial"/>
          <w:sz w:val="22"/>
          <w:szCs w:val="22"/>
        </w:rPr>
        <w:t>define los</w:t>
      </w:r>
      <w:r w:rsidR="000F4141" w:rsidRPr="00A572F4">
        <w:rPr>
          <w:rFonts w:ascii="Arial" w:hAnsi="Arial" w:cs="Arial"/>
          <w:sz w:val="22"/>
          <w:szCs w:val="22"/>
        </w:rPr>
        <w:t xml:space="preserve"> requisitos o factores ponderables</w:t>
      </w:r>
      <w:r w:rsidR="0024790F" w:rsidRPr="00A572F4">
        <w:rPr>
          <w:rFonts w:ascii="Arial" w:hAnsi="Arial" w:cs="Arial"/>
          <w:sz w:val="22"/>
          <w:szCs w:val="22"/>
        </w:rPr>
        <w:t xml:space="preserve"> como </w:t>
      </w:r>
      <w:r w:rsidR="0024790F" w:rsidRPr="00A572F4">
        <w:rPr>
          <w:rFonts w:ascii="Arial" w:hAnsi="Arial" w:cs="Arial"/>
          <w:sz w:val="22"/>
          <w:szCs w:val="22"/>
          <w:lang w:val="es-ES_tradnl"/>
        </w:rPr>
        <w:t>«[…]</w:t>
      </w:r>
      <w:r w:rsidR="0024790F" w:rsidRPr="00A572F4">
        <w:rPr>
          <w:rFonts w:ascii="Arial" w:eastAsiaTheme="minorHAnsi" w:hAnsi="Arial" w:cs="Arial"/>
          <w:sz w:val="22"/>
          <w:szCs w:val="22"/>
          <w:lang w:eastAsia="en-US"/>
        </w:rPr>
        <w:t xml:space="preserve"> </w:t>
      </w:r>
      <w:r w:rsidR="0024790F" w:rsidRPr="00A572F4">
        <w:rPr>
          <w:rFonts w:ascii="Arial" w:hAnsi="Arial" w:cs="Arial"/>
          <w:sz w:val="22"/>
          <w:szCs w:val="22"/>
        </w:rPr>
        <w:t xml:space="preserve">aquellas condiciones de la oferta y no de quien la presenta, que sí entrarán a ser evaluadas por la Administración y </w:t>
      </w:r>
      <w:proofErr w:type="gramStart"/>
      <w:r w:rsidR="0024790F" w:rsidRPr="00A572F4">
        <w:rPr>
          <w:rFonts w:ascii="Arial" w:hAnsi="Arial" w:cs="Arial"/>
          <w:sz w:val="22"/>
          <w:szCs w:val="22"/>
        </w:rPr>
        <w:t>que</w:t>
      </w:r>
      <w:proofErr w:type="gramEnd"/>
      <w:r w:rsidR="0024790F" w:rsidRPr="00A572F4">
        <w:rPr>
          <w:rFonts w:ascii="Arial" w:hAnsi="Arial" w:cs="Arial"/>
          <w:sz w:val="22"/>
          <w:szCs w:val="22"/>
        </w:rPr>
        <w:t xml:space="preserve"> en consecuencia, darán lugar a la escogencia objetiva de la mejor propuesta para la entidad</w:t>
      </w:r>
      <w:r w:rsidR="0024790F" w:rsidRPr="00A572F4">
        <w:rPr>
          <w:rFonts w:ascii="Arial" w:eastAsiaTheme="minorHAnsi" w:hAnsi="Arial" w:cs="Arial"/>
          <w:sz w:val="22"/>
          <w:szCs w:val="22"/>
          <w:lang w:eastAsia="en-US"/>
        </w:rPr>
        <w:t>»</w:t>
      </w:r>
      <w:r w:rsidR="000D2C93" w:rsidRPr="00A572F4">
        <w:rPr>
          <w:rStyle w:val="Refdenotaalpie"/>
          <w:rFonts w:ascii="Arial" w:hAnsi="Arial" w:cs="Arial"/>
          <w:sz w:val="22"/>
          <w:szCs w:val="22"/>
        </w:rPr>
        <w:footnoteReference w:id="25"/>
      </w:r>
      <w:r w:rsidR="0024790F" w:rsidRPr="00A572F4">
        <w:rPr>
          <w:rFonts w:ascii="Arial" w:eastAsiaTheme="minorHAnsi" w:hAnsi="Arial" w:cs="Arial"/>
          <w:sz w:val="22"/>
          <w:szCs w:val="22"/>
          <w:lang w:eastAsia="en-US"/>
        </w:rPr>
        <w:t>.</w:t>
      </w:r>
      <w:r w:rsidR="000374FB" w:rsidRPr="00A572F4">
        <w:rPr>
          <w:rFonts w:ascii="Arial" w:eastAsiaTheme="minorHAnsi" w:hAnsi="Arial" w:cs="Arial"/>
          <w:sz w:val="22"/>
          <w:szCs w:val="22"/>
          <w:lang w:eastAsia="en-US"/>
        </w:rPr>
        <w:t xml:space="preserve"> Todas estas categorías designa</w:t>
      </w:r>
      <w:r w:rsidR="00420547" w:rsidRPr="00A572F4">
        <w:rPr>
          <w:rFonts w:ascii="Arial" w:eastAsiaTheme="minorHAnsi" w:hAnsi="Arial" w:cs="Arial"/>
          <w:sz w:val="22"/>
          <w:szCs w:val="22"/>
          <w:lang w:eastAsia="en-US"/>
        </w:rPr>
        <w:t>n los</w:t>
      </w:r>
      <w:r w:rsidR="000374FB" w:rsidRPr="00A572F4">
        <w:rPr>
          <w:rFonts w:ascii="Arial" w:eastAsiaTheme="minorHAnsi" w:hAnsi="Arial" w:cs="Arial"/>
          <w:sz w:val="22"/>
          <w:szCs w:val="22"/>
          <w:lang w:eastAsia="en-US"/>
        </w:rPr>
        <w:t xml:space="preserve"> </w:t>
      </w:r>
      <w:r w:rsidR="00371563" w:rsidRPr="00A572F4">
        <w:rPr>
          <w:rFonts w:ascii="Arial" w:hAnsi="Arial" w:cs="Arial"/>
          <w:sz w:val="22"/>
          <w:szCs w:val="22"/>
          <w:lang w:val="es-ES_tradnl"/>
        </w:rPr>
        <w:t>«[…]</w:t>
      </w:r>
      <w:r w:rsidR="00371563" w:rsidRPr="00A572F4">
        <w:rPr>
          <w:rFonts w:ascii="Arial" w:eastAsiaTheme="minorHAnsi" w:hAnsi="Arial" w:cs="Arial"/>
          <w:sz w:val="22"/>
          <w:szCs w:val="22"/>
          <w:lang w:eastAsia="en-US"/>
        </w:rPr>
        <w:t xml:space="preserve"> </w:t>
      </w:r>
      <w:r w:rsidR="000374FB" w:rsidRPr="00A572F4">
        <w:rPr>
          <w:rFonts w:ascii="Arial" w:eastAsiaTheme="minorHAnsi" w:hAnsi="Arial" w:cs="Arial"/>
          <w:sz w:val="22"/>
          <w:szCs w:val="22"/>
          <w:lang w:eastAsia="en-US"/>
        </w:rPr>
        <w:t xml:space="preserve">factores a los cuales cabe otorgarles puntajes o que pueden ser ponderados, precisamente, pues estos </w:t>
      </w:r>
      <w:r w:rsidR="000374FB" w:rsidRPr="00A572F4">
        <w:rPr>
          <w:rFonts w:ascii="Arial" w:eastAsiaTheme="minorHAnsi" w:hAnsi="Arial" w:cs="Arial"/>
          <w:sz w:val="22"/>
          <w:szCs w:val="22"/>
          <w:lang w:eastAsia="en-US"/>
        </w:rPr>
        <w:lastRenderedPageBreak/>
        <w:t>son los factores que en últimas permiten una comparación de ofertas y una diferenciación entre ellas</w:t>
      </w:r>
      <w:r w:rsidR="00371563" w:rsidRPr="00A572F4">
        <w:rPr>
          <w:rFonts w:ascii="Arial" w:eastAsiaTheme="minorHAnsi" w:hAnsi="Arial" w:cs="Arial"/>
          <w:sz w:val="22"/>
          <w:szCs w:val="22"/>
          <w:lang w:eastAsia="en-US"/>
        </w:rPr>
        <w:t>»</w:t>
      </w:r>
      <w:r w:rsidR="00987E4B" w:rsidRPr="00A572F4">
        <w:rPr>
          <w:rStyle w:val="Refdenotaalpie"/>
          <w:rFonts w:ascii="Arial" w:eastAsiaTheme="minorHAnsi" w:hAnsi="Arial" w:cs="Arial"/>
          <w:sz w:val="22"/>
          <w:szCs w:val="22"/>
          <w:lang w:eastAsia="en-US"/>
        </w:rPr>
        <w:footnoteReference w:id="26"/>
      </w:r>
      <w:r w:rsidR="000374FB" w:rsidRPr="00A572F4">
        <w:rPr>
          <w:rFonts w:ascii="Arial" w:eastAsiaTheme="minorHAnsi" w:hAnsi="Arial" w:cs="Arial"/>
          <w:sz w:val="22"/>
          <w:szCs w:val="22"/>
          <w:lang w:eastAsia="en-US"/>
        </w:rPr>
        <w:t>.</w:t>
      </w:r>
      <w:r w:rsidR="00E26950" w:rsidRPr="00A572F4">
        <w:rPr>
          <w:rFonts w:ascii="Arial" w:eastAsiaTheme="minorHAnsi" w:hAnsi="Arial" w:cs="Arial"/>
          <w:sz w:val="22"/>
          <w:szCs w:val="22"/>
          <w:lang w:eastAsia="en-US"/>
        </w:rPr>
        <w:t xml:space="preserve"> Conforme a esto, </w:t>
      </w:r>
      <w:r w:rsidR="00096D15" w:rsidRPr="00A572F4">
        <w:rPr>
          <w:rFonts w:ascii="Arial" w:eastAsiaTheme="minorHAnsi" w:hAnsi="Arial" w:cs="Arial"/>
          <w:sz w:val="22"/>
          <w:szCs w:val="22"/>
          <w:lang w:eastAsia="en-US"/>
        </w:rPr>
        <w:t>la doctrina explica que</w:t>
      </w:r>
      <w:r w:rsidR="00D30FEA" w:rsidRPr="00A572F4">
        <w:rPr>
          <w:rFonts w:ascii="Arial" w:eastAsiaTheme="minorHAnsi" w:hAnsi="Arial" w:cs="Arial"/>
          <w:sz w:val="22"/>
          <w:szCs w:val="22"/>
          <w:lang w:eastAsia="en-US"/>
        </w:rPr>
        <w:t>:</w:t>
      </w:r>
    </w:p>
    <w:p w14:paraId="601D283A" w14:textId="77777777" w:rsidR="00705806" w:rsidRPr="00A572F4" w:rsidRDefault="00705806" w:rsidP="00EB2ED0">
      <w:pPr>
        <w:tabs>
          <w:tab w:val="left" w:pos="0"/>
        </w:tabs>
        <w:ind w:left="709" w:right="709"/>
        <w:jc w:val="both"/>
        <w:rPr>
          <w:rFonts w:ascii="Arial" w:eastAsia="Calibri" w:hAnsi="Arial" w:cs="Arial"/>
          <w:bCs/>
          <w:sz w:val="21"/>
          <w:szCs w:val="21"/>
        </w:rPr>
      </w:pPr>
    </w:p>
    <w:p w14:paraId="050FBF7A" w14:textId="5A03D55D" w:rsidR="00E26950" w:rsidRPr="00A572F4" w:rsidRDefault="00E26950" w:rsidP="00EB2ED0">
      <w:pPr>
        <w:tabs>
          <w:tab w:val="left" w:pos="0"/>
        </w:tabs>
        <w:spacing w:after="120"/>
        <w:ind w:left="709" w:right="709"/>
        <w:jc w:val="both"/>
        <w:rPr>
          <w:rFonts w:ascii="Arial" w:eastAsia="Calibri" w:hAnsi="Arial" w:cs="Arial"/>
          <w:bCs/>
          <w:sz w:val="21"/>
          <w:szCs w:val="21"/>
        </w:rPr>
      </w:pPr>
      <w:r w:rsidRPr="00A572F4">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B69612A" w14:textId="77777777" w:rsidR="00493870" w:rsidRPr="00A572F4" w:rsidRDefault="00493870" w:rsidP="00EB2ED0">
      <w:pPr>
        <w:tabs>
          <w:tab w:val="left" w:pos="0"/>
        </w:tabs>
        <w:ind w:left="709" w:right="709"/>
        <w:jc w:val="both"/>
        <w:rPr>
          <w:rFonts w:ascii="Arial" w:eastAsia="Calibri" w:hAnsi="Arial" w:cs="Arial"/>
          <w:bCs/>
          <w:sz w:val="21"/>
          <w:szCs w:val="21"/>
        </w:rPr>
      </w:pPr>
      <w:r w:rsidRPr="00A572F4">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4C14DDD" w14:textId="77777777" w:rsidR="00493870" w:rsidRPr="00A572F4" w:rsidRDefault="00493870" w:rsidP="00EB2ED0">
      <w:pPr>
        <w:tabs>
          <w:tab w:val="left" w:pos="0"/>
        </w:tabs>
        <w:spacing w:after="120"/>
        <w:ind w:left="709" w:right="709"/>
        <w:jc w:val="both"/>
        <w:rPr>
          <w:rFonts w:ascii="Arial" w:eastAsia="Calibri" w:hAnsi="Arial" w:cs="Arial"/>
          <w:bCs/>
          <w:sz w:val="21"/>
          <w:szCs w:val="21"/>
        </w:rPr>
      </w:pPr>
      <w:r w:rsidRPr="00A572F4">
        <w:rPr>
          <w:rFonts w:ascii="Arial" w:eastAsia="Calibri" w:hAnsi="Arial" w:cs="Arial"/>
          <w:bCs/>
          <w:sz w:val="21"/>
          <w:szCs w:val="21"/>
        </w:rPr>
        <w:t>[…]</w:t>
      </w:r>
    </w:p>
    <w:p w14:paraId="66D50DAB" w14:textId="65628AC6" w:rsidR="00493870" w:rsidRPr="00A572F4" w:rsidRDefault="00493870" w:rsidP="00EB2ED0">
      <w:pPr>
        <w:tabs>
          <w:tab w:val="left" w:pos="0"/>
        </w:tabs>
        <w:ind w:left="709" w:right="709"/>
        <w:jc w:val="both"/>
        <w:rPr>
          <w:rFonts w:ascii="Arial" w:eastAsia="Calibri" w:hAnsi="Arial" w:cs="Arial"/>
          <w:bCs/>
          <w:sz w:val="21"/>
          <w:szCs w:val="21"/>
        </w:rPr>
      </w:pPr>
      <w:r w:rsidRPr="00A572F4">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A572F4">
        <w:rPr>
          <w:rStyle w:val="Refdenotaalpie"/>
          <w:rFonts w:ascii="Arial" w:eastAsia="Calibri" w:hAnsi="Arial" w:cs="Arial"/>
          <w:bCs/>
          <w:sz w:val="21"/>
          <w:szCs w:val="21"/>
        </w:rPr>
        <w:footnoteReference w:id="27"/>
      </w:r>
      <w:r w:rsidRPr="00A572F4">
        <w:rPr>
          <w:rFonts w:ascii="Arial" w:eastAsia="Calibri" w:hAnsi="Arial" w:cs="Arial"/>
          <w:bCs/>
          <w:sz w:val="21"/>
          <w:szCs w:val="21"/>
        </w:rPr>
        <w:t>.</w:t>
      </w:r>
    </w:p>
    <w:p w14:paraId="21F59504" w14:textId="77777777" w:rsidR="00493870" w:rsidRPr="00A572F4" w:rsidRDefault="00493870" w:rsidP="00EB2ED0">
      <w:pPr>
        <w:tabs>
          <w:tab w:val="left" w:pos="0"/>
        </w:tabs>
        <w:ind w:left="709" w:right="709"/>
        <w:jc w:val="both"/>
        <w:rPr>
          <w:rFonts w:ascii="Arial" w:eastAsia="Calibri" w:hAnsi="Arial" w:cs="Arial"/>
          <w:bCs/>
          <w:sz w:val="21"/>
          <w:szCs w:val="21"/>
        </w:rPr>
      </w:pPr>
    </w:p>
    <w:p w14:paraId="28AA5F8D" w14:textId="54E3E4C7" w:rsidR="00C71304" w:rsidRPr="00A572F4" w:rsidRDefault="00FB551D" w:rsidP="00EB2ED0">
      <w:pPr>
        <w:tabs>
          <w:tab w:val="left" w:pos="0"/>
        </w:tabs>
        <w:spacing w:after="120" w:line="276" w:lineRule="auto"/>
        <w:jc w:val="both"/>
        <w:rPr>
          <w:rFonts w:ascii="Arial" w:eastAsia="Calibri" w:hAnsi="Arial" w:cs="Arial"/>
          <w:bCs/>
          <w:sz w:val="22"/>
          <w:szCs w:val="22"/>
        </w:rPr>
      </w:pPr>
      <w:r w:rsidRPr="00A572F4">
        <w:rPr>
          <w:rFonts w:ascii="Arial" w:eastAsia="Calibri" w:hAnsi="Arial" w:cs="Arial"/>
          <w:bCs/>
          <w:sz w:val="22"/>
          <w:szCs w:val="22"/>
        </w:rPr>
        <w:tab/>
        <w:t xml:space="preserve">De acuerdo </w:t>
      </w:r>
      <w:r w:rsidR="00FA4E49" w:rsidRPr="00A572F4">
        <w:rPr>
          <w:rFonts w:ascii="Arial" w:eastAsia="Calibri" w:hAnsi="Arial" w:cs="Arial"/>
          <w:bCs/>
          <w:sz w:val="22"/>
          <w:szCs w:val="22"/>
        </w:rPr>
        <w:t>con</w:t>
      </w:r>
      <w:r w:rsidRPr="00A572F4">
        <w:rPr>
          <w:rFonts w:ascii="Arial" w:eastAsia="Calibri" w:hAnsi="Arial" w:cs="Arial"/>
          <w:bCs/>
          <w:sz w:val="22"/>
          <w:szCs w:val="22"/>
        </w:rPr>
        <w:t xml:space="preserve"> lo anterior, es posible asimilar las</w:t>
      </w:r>
      <w:r w:rsidR="00D30041" w:rsidRPr="00A572F4">
        <w:rPr>
          <w:rFonts w:ascii="Arial" w:eastAsia="Calibri" w:hAnsi="Arial" w:cs="Arial"/>
          <w:bCs/>
          <w:sz w:val="22"/>
          <w:szCs w:val="22"/>
        </w:rPr>
        <w:t xml:space="preserve"> diferentes categorí</w:t>
      </w:r>
      <w:r w:rsidR="00BC244D" w:rsidRPr="00A572F4">
        <w:rPr>
          <w:rFonts w:ascii="Arial" w:eastAsia="Calibri" w:hAnsi="Arial" w:cs="Arial"/>
          <w:bCs/>
          <w:sz w:val="22"/>
          <w:szCs w:val="22"/>
        </w:rPr>
        <w:t xml:space="preserve">as a las que hace referencia el artículo 5 de la Ley 1150 de 2007, cuando alude a los factores que, a diferencia de los requisitos habilitantes, determinan la oferta más favorable para la entidad, y que por lo tanto debe </w:t>
      </w:r>
      <w:r w:rsidR="00E17ABB" w:rsidRPr="00A572F4">
        <w:rPr>
          <w:rFonts w:ascii="Arial" w:eastAsia="Calibri" w:hAnsi="Arial" w:cs="Arial"/>
          <w:bCs/>
          <w:sz w:val="22"/>
          <w:szCs w:val="22"/>
        </w:rPr>
        <w:t xml:space="preserve">hacer </w:t>
      </w:r>
      <w:r w:rsidR="00983310" w:rsidRPr="00A572F4">
        <w:rPr>
          <w:rFonts w:ascii="Arial" w:eastAsia="Calibri" w:hAnsi="Arial" w:cs="Arial"/>
          <w:bCs/>
          <w:sz w:val="22"/>
          <w:szCs w:val="22"/>
        </w:rPr>
        <w:t xml:space="preserve">adjudicatario </w:t>
      </w:r>
      <w:r w:rsidR="00E17ABB" w:rsidRPr="00A572F4">
        <w:rPr>
          <w:rFonts w:ascii="Arial" w:eastAsia="Calibri" w:hAnsi="Arial" w:cs="Arial"/>
          <w:bCs/>
          <w:sz w:val="22"/>
          <w:szCs w:val="22"/>
        </w:rPr>
        <w:t>a quien la presentó</w:t>
      </w:r>
      <w:r w:rsidR="00AF6CBB" w:rsidRPr="00A572F4">
        <w:rPr>
          <w:rFonts w:ascii="Arial" w:eastAsia="Calibri" w:hAnsi="Arial" w:cs="Arial"/>
          <w:bCs/>
          <w:sz w:val="22"/>
          <w:szCs w:val="22"/>
        </w:rPr>
        <w:t xml:space="preserve"> en debida forma</w:t>
      </w:r>
      <w:r w:rsidR="00E17ABB" w:rsidRPr="00A572F4">
        <w:rPr>
          <w:rFonts w:ascii="Arial" w:eastAsia="Calibri" w:hAnsi="Arial" w:cs="Arial"/>
          <w:bCs/>
          <w:sz w:val="22"/>
          <w:szCs w:val="22"/>
        </w:rPr>
        <w:t>.</w:t>
      </w:r>
      <w:r w:rsidR="00183515" w:rsidRPr="00A572F4">
        <w:rPr>
          <w:rFonts w:ascii="Arial" w:eastAsia="Calibri" w:hAnsi="Arial" w:cs="Arial"/>
          <w:bCs/>
          <w:sz w:val="22"/>
          <w:szCs w:val="22"/>
        </w:rPr>
        <w:t xml:space="preserve"> Es frente a estos factores que la entidad concibe </w:t>
      </w:r>
      <w:r w:rsidR="001275E8" w:rsidRPr="00A572F4">
        <w:rPr>
          <w:rFonts w:ascii="Arial" w:eastAsia="Calibri" w:hAnsi="Arial" w:cs="Arial"/>
          <w:bCs/>
          <w:sz w:val="22"/>
          <w:szCs w:val="22"/>
        </w:rPr>
        <w:t>el otorgamiento de puntajes, como mecanismos para ponderar y comparar los ofrecimientos</w:t>
      </w:r>
      <w:r w:rsidR="00876BF7" w:rsidRPr="00A572F4">
        <w:rPr>
          <w:rFonts w:ascii="Arial" w:eastAsia="Calibri" w:hAnsi="Arial" w:cs="Arial"/>
          <w:bCs/>
          <w:sz w:val="22"/>
          <w:szCs w:val="22"/>
        </w:rPr>
        <w:t>,</w:t>
      </w:r>
      <w:r w:rsidR="00493870" w:rsidRPr="00A572F4">
        <w:rPr>
          <w:rFonts w:ascii="Arial" w:eastAsia="Calibri" w:hAnsi="Arial" w:cs="Arial"/>
          <w:bCs/>
          <w:sz w:val="22"/>
          <w:szCs w:val="22"/>
        </w:rPr>
        <w:t xml:space="preserve"> </w:t>
      </w:r>
      <w:r w:rsidR="00402ACD" w:rsidRPr="00A572F4">
        <w:rPr>
          <w:rFonts w:ascii="Arial" w:eastAsia="Calibri" w:hAnsi="Arial" w:cs="Arial"/>
          <w:bCs/>
          <w:sz w:val="22"/>
          <w:szCs w:val="22"/>
        </w:rPr>
        <w:t>con el fin de determinar objetivamente</w:t>
      </w:r>
      <w:r w:rsidR="00876BF7" w:rsidRPr="00A572F4">
        <w:rPr>
          <w:rFonts w:ascii="Arial" w:eastAsia="Calibri" w:hAnsi="Arial" w:cs="Arial"/>
          <w:bCs/>
          <w:sz w:val="22"/>
          <w:szCs w:val="22"/>
        </w:rPr>
        <w:t xml:space="preserve"> </w:t>
      </w:r>
      <w:r w:rsidR="00493870" w:rsidRPr="00A572F4">
        <w:rPr>
          <w:rFonts w:ascii="Arial" w:eastAsia="Calibri" w:hAnsi="Arial" w:cs="Arial"/>
          <w:bCs/>
          <w:sz w:val="22"/>
          <w:szCs w:val="22"/>
        </w:rPr>
        <w:t xml:space="preserve">la oferta más favorable, aplicando para ello las reglas establecidas en el pliego </w:t>
      </w:r>
      <w:r w:rsidR="000F0CCE" w:rsidRPr="00A572F4">
        <w:rPr>
          <w:rFonts w:ascii="Arial" w:eastAsia="Calibri" w:hAnsi="Arial" w:cs="Arial"/>
          <w:bCs/>
          <w:sz w:val="22"/>
          <w:szCs w:val="22"/>
        </w:rPr>
        <w:t>o documento equivalente</w:t>
      </w:r>
      <w:r w:rsidR="002B18E0" w:rsidRPr="00A572F4">
        <w:rPr>
          <w:rFonts w:ascii="Arial" w:eastAsia="Calibri" w:hAnsi="Arial" w:cs="Arial"/>
          <w:bCs/>
          <w:sz w:val="22"/>
          <w:szCs w:val="22"/>
        </w:rPr>
        <w:t xml:space="preserve"> para la ponderación de las ofertas. </w:t>
      </w:r>
    </w:p>
    <w:p w14:paraId="75A9DF40" w14:textId="1E0E2DF5" w:rsidR="00B3529F" w:rsidRPr="00A572F4" w:rsidRDefault="00C71304" w:rsidP="00EB2ED0">
      <w:pPr>
        <w:tabs>
          <w:tab w:val="left" w:pos="0"/>
        </w:tabs>
        <w:spacing w:after="120" w:line="276" w:lineRule="auto"/>
        <w:jc w:val="both"/>
        <w:rPr>
          <w:rFonts w:ascii="Arial" w:eastAsia="Calibri" w:hAnsi="Arial" w:cs="Arial"/>
          <w:bCs/>
          <w:sz w:val="22"/>
          <w:szCs w:val="22"/>
        </w:rPr>
      </w:pPr>
      <w:r w:rsidRPr="00A572F4">
        <w:rPr>
          <w:rFonts w:ascii="Arial" w:eastAsia="Calibri" w:hAnsi="Arial" w:cs="Arial"/>
          <w:bCs/>
          <w:sz w:val="22"/>
          <w:szCs w:val="22"/>
        </w:rPr>
        <w:tab/>
      </w:r>
      <w:r w:rsidR="00642D9F" w:rsidRPr="00A572F4">
        <w:rPr>
          <w:rFonts w:ascii="Arial" w:eastAsia="Calibri" w:hAnsi="Arial" w:cs="Arial"/>
          <w:bCs/>
          <w:sz w:val="22"/>
          <w:szCs w:val="22"/>
        </w:rPr>
        <w:t xml:space="preserve">En ese sentido, la asignación de puntaje es </w:t>
      </w:r>
      <w:r w:rsidR="00B94C02" w:rsidRPr="00A572F4">
        <w:rPr>
          <w:rFonts w:ascii="Arial" w:eastAsia="Calibri" w:hAnsi="Arial" w:cs="Arial"/>
          <w:bCs/>
          <w:sz w:val="22"/>
          <w:szCs w:val="22"/>
        </w:rPr>
        <w:t xml:space="preserve">un </w:t>
      </w:r>
      <w:r w:rsidR="00642D9F" w:rsidRPr="00A572F4">
        <w:rPr>
          <w:rFonts w:ascii="Arial" w:eastAsia="Calibri" w:hAnsi="Arial" w:cs="Arial"/>
          <w:bCs/>
          <w:sz w:val="22"/>
          <w:szCs w:val="22"/>
        </w:rPr>
        <w:t>mecanismo</w:t>
      </w:r>
      <w:r w:rsidR="00A13EEC" w:rsidRPr="00A572F4">
        <w:rPr>
          <w:rFonts w:ascii="Arial" w:eastAsia="Calibri" w:hAnsi="Arial" w:cs="Arial"/>
          <w:bCs/>
          <w:sz w:val="22"/>
          <w:szCs w:val="22"/>
        </w:rPr>
        <w:t xml:space="preserve"> </w:t>
      </w:r>
      <w:r w:rsidR="00AF6CBB" w:rsidRPr="00A572F4">
        <w:rPr>
          <w:rFonts w:ascii="Arial" w:eastAsia="Calibri" w:hAnsi="Arial" w:cs="Arial"/>
          <w:bCs/>
          <w:sz w:val="22"/>
          <w:szCs w:val="22"/>
        </w:rPr>
        <w:t xml:space="preserve">mediante </w:t>
      </w:r>
      <w:r w:rsidR="00A13EEC" w:rsidRPr="00A572F4">
        <w:rPr>
          <w:rFonts w:ascii="Arial" w:eastAsia="Calibri" w:hAnsi="Arial" w:cs="Arial"/>
          <w:bCs/>
          <w:sz w:val="22"/>
          <w:szCs w:val="22"/>
        </w:rPr>
        <w:t xml:space="preserve">el cual </w:t>
      </w:r>
      <w:r w:rsidR="00B94C02" w:rsidRPr="00A572F4">
        <w:rPr>
          <w:rFonts w:ascii="Arial" w:eastAsia="Calibri" w:hAnsi="Arial" w:cs="Arial"/>
          <w:bCs/>
          <w:sz w:val="22"/>
          <w:szCs w:val="22"/>
        </w:rPr>
        <w:t>las entidades</w:t>
      </w:r>
      <w:r w:rsidR="00A13EEC" w:rsidRPr="00A572F4">
        <w:rPr>
          <w:rFonts w:ascii="Arial" w:eastAsia="Calibri" w:hAnsi="Arial" w:cs="Arial"/>
          <w:bCs/>
          <w:sz w:val="22"/>
          <w:szCs w:val="22"/>
        </w:rPr>
        <w:t xml:space="preserve"> pondera</w:t>
      </w:r>
      <w:r w:rsidR="000F0CCE" w:rsidRPr="00A572F4">
        <w:rPr>
          <w:rFonts w:ascii="Arial" w:eastAsia="Calibri" w:hAnsi="Arial" w:cs="Arial"/>
          <w:bCs/>
          <w:sz w:val="22"/>
          <w:szCs w:val="22"/>
        </w:rPr>
        <w:t>n</w:t>
      </w:r>
      <w:r w:rsidR="00A13EEC" w:rsidRPr="00A572F4">
        <w:rPr>
          <w:rFonts w:ascii="Arial" w:eastAsia="Calibri" w:hAnsi="Arial" w:cs="Arial"/>
          <w:bCs/>
          <w:sz w:val="22"/>
          <w:szCs w:val="22"/>
        </w:rPr>
        <w:t xml:space="preserve"> los factores de calificación</w:t>
      </w:r>
      <w:r w:rsidR="00B94C02" w:rsidRPr="00A572F4">
        <w:rPr>
          <w:rFonts w:ascii="Arial" w:eastAsia="Calibri" w:hAnsi="Arial" w:cs="Arial"/>
          <w:bCs/>
          <w:sz w:val="22"/>
          <w:szCs w:val="22"/>
        </w:rPr>
        <w:t xml:space="preserve"> </w:t>
      </w:r>
      <w:r w:rsidR="00D37EAD" w:rsidRPr="00A572F4">
        <w:rPr>
          <w:rFonts w:ascii="Arial" w:eastAsia="Calibri" w:hAnsi="Arial" w:cs="Arial"/>
          <w:bCs/>
          <w:sz w:val="22"/>
          <w:szCs w:val="22"/>
        </w:rPr>
        <w:t>ꟷ</w:t>
      </w:r>
      <w:r w:rsidR="00B94C02" w:rsidRPr="00A572F4">
        <w:rPr>
          <w:rFonts w:ascii="Arial" w:eastAsia="Calibri" w:hAnsi="Arial" w:cs="Arial"/>
          <w:bCs/>
          <w:i/>
          <w:iCs/>
          <w:sz w:val="22"/>
          <w:szCs w:val="22"/>
        </w:rPr>
        <w:t>v</w:t>
      </w:r>
      <w:r w:rsidR="002D3E4A" w:rsidRPr="00A572F4">
        <w:rPr>
          <w:rFonts w:ascii="Arial" w:eastAsia="Calibri" w:hAnsi="Arial" w:cs="Arial"/>
          <w:bCs/>
          <w:i/>
          <w:iCs/>
          <w:sz w:val="22"/>
          <w:szCs w:val="22"/>
        </w:rPr>
        <w:t>.g.</w:t>
      </w:r>
      <w:r w:rsidR="002D3E4A" w:rsidRPr="00A572F4">
        <w:rPr>
          <w:rFonts w:ascii="Arial" w:eastAsia="Calibri" w:hAnsi="Arial" w:cs="Arial"/>
          <w:bCs/>
          <w:sz w:val="22"/>
          <w:szCs w:val="22"/>
        </w:rPr>
        <w:t xml:space="preserve"> t</w:t>
      </w:r>
      <w:r w:rsidR="00B94C02" w:rsidRPr="00A572F4">
        <w:rPr>
          <w:rFonts w:ascii="Arial" w:eastAsia="Calibri" w:hAnsi="Arial" w:cs="Arial"/>
          <w:bCs/>
          <w:sz w:val="22"/>
          <w:szCs w:val="22"/>
        </w:rPr>
        <w:t xml:space="preserve">écnicos y económicos, de calidad y </w:t>
      </w:r>
      <w:r w:rsidR="00B94C02" w:rsidRPr="00A572F4">
        <w:rPr>
          <w:rFonts w:ascii="Arial" w:eastAsia="Calibri" w:hAnsi="Arial" w:cs="Arial"/>
          <w:bCs/>
          <w:sz w:val="22"/>
          <w:szCs w:val="22"/>
        </w:rPr>
        <w:lastRenderedPageBreak/>
        <w:t>precio</w:t>
      </w:r>
      <w:r w:rsidR="00B94C02" w:rsidRPr="00A572F4">
        <w:rPr>
          <w:rFonts w:ascii="Arial" w:eastAsia="Calibri" w:hAnsi="Arial" w:cs="Arial"/>
          <w:bCs/>
          <w:sz w:val="22"/>
          <w:szCs w:val="22"/>
        </w:rPr>
        <w:softHyphen/>
      </w:r>
      <w:r w:rsidR="00F540A3" w:rsidRPr="00A572F4">
        <w:rPr>
          <w:rFonts w:ascii="Arial" w:eastAsia="Calibri" w:hAnsi="Arial" w:cs="Arial"/>
          <w:bCs/>
          <w:sz w:val="22"/>
          <w:szCs w:val="22"/>
        </w:rPr>
        <w:t xml:space="preserve">, </w:t>
      </w:r>
      <w:r w:rsidR="000F0CCE" w:rsidRPr="00A572F4">
        <w:rPr>
          <w:rFonts w:ascii="Arial" w:eastAsia="Calibri" w:hAnsi="Arial" w:cs="Arial"/>
          <w:bCs/>
          <w:sz w:val="22"/>
          <w:szCs w:val="22"/>
        </w:rPr>
        <w:t>etc.</w:t>
      </w:r>
      <w:r w:rsidR="00D37EAD" w:rsidRPr="00A572F4">
        <w:rPr>
          <w:rFonts w:ascii="Arial" w:eastAsia="Calibri" w:hAnsi="Arial" w:cs="Arial"/>
          <w:bCs/>
          <w:sz w:val="22"/>
          <w:szCs w:val="22"/>
        </w:rPr>
        <w:t xml:space="preserve">ꟷ </w:t>
      </w:r>
      <w:r w:rsidR="00A13EEC" w:rsidRPr="00A572F4">
        <w:rPr>
          <w:rFonts w:ascii="Arial" w:eastAsia="Calibri" w:hAnsi="Arial" w:cs="Arial"/>
          <w:bCs/>
          <w:sz w:val="22"/>
          <w:szCs w:val="22"/>
        </w:rPr>
        <w:t>en un determinado proceso de selecci</w:t>
      </w:r>
      <w:r w:rsidR="002D3E4A" w:rsidRPr="00A572F4">
        <w:rPr>
          <w:rFonts w:ascii="Arial" w:eastAsia="Calibri" w:hAnsi="Arial" w:cs="Arial"/>
          <w:bCs/>
          <w:sz w:val="22"/>
          <w:szCs w:val="22"/>
        </w:rPr>
        <w:t>ón</w:t>
      </w:r>
      <w:r w:rsidR="008005A1" w:rsidRPr="00A572F4">
        <w:rPr>
          <w:rFonts w:ascii="Arial" w:eastAsia="Calibri" w:hAnsi="Arial" w:cs="Arial"/>
          <w:bCs/>
          <w:sz w:val="22"/>
          <w:szCs w:val="22"/>
        </w:rPr>
        <w:t>, como se desprende del</w:t>
      </w:r>
      <w:r w:rsidR="00687DAD" w:rsidRPr="00A572F4">
        <w:rPr>
          <w:rFonts w:ascii="Arial" w:eastAsia="Calibri" w:hAnsi="Arial" w:cs="Arial"/>
          <w:bCs/>
          <w:sz w:val="22"/>
          <w:szCs w:val="22"/>
        </w:rPr>
        <w:t xml:space="preserve"> literal a) del</w:t>
      </w:r>
      <w:r w:rsidR="008005A1" w:rsidRPr="00A572F4">
        <w:rPr>
          <w:rFonts w:ascii="Arial" w:eastAsia="Calibri" w:hAnsi="Arial" w:cs="Arial"/>
          <w:bCs/>
          <w:sz w:val="22"/>
          <w:szCs w:val="22"/>
        </w:rPr>
        <w:t xml:space="preserve"> </w:t>
      </w:r>
      <w:r w:rsidR="002E7B84" w:rsidRPr="00A572F4">
        <w:rPr>
          <w:rFonts w:ascii="Arial" w:eastAsia="Calibri" w:hAnsi="Arial" w:cs="Arial"/>
          <w:bCs/>
          <w:sz w:val="22"/>
          <w:szCs w:val="22"/>
        </w:rPr>
        <w:t>numeral 2</w:t>
      </w:r>
      <w:r w:rsidR="00C73AC2" w:rsidRPr="00A572F4">
        <w:rPr>
          <w:rFonts w:ascii="Arial" w:eastAsia="Calibri" w:hAnsi="Arial" w:cs="Arial"/>
          <w:bCs/>
          <w:sz w:val="22"/>
          <w:szCs w:val="22"/>
        </w:rPr>
        <w:t xml:space="preserve"> del artículo </w:t>
      </w:r>
      <w:r w:rsidR="002E7B84" w:rsidRPr="00A572F4">
        <w:rPr>
          <w:rFonts w:ascii="Arial" w:eastAsia="Calibri" w:hAnsi="Arial" w:cs="Arial"/>
          <w:bCs/>
          <w:sz w:val="22"/>
          <w:szCs w:val="22"/>
        </w:rPr>
        <w:t>5</w:t>
      </w:r>
      <w:r w:rsidR="00C73AC2" w:rsidRPr="00A572F4">
        <w:rPr>
          <w:rFonts w:ascii="Arial" w:eastAsia="Calibri" w:hAnsi="Arial" w:cs="Arial"/>
          <w:bCs/>
          <w:sz w:val="22"/>
          <w:szCs w:val="22"/>
        </w:rPr>
        <w:t xml:space="preserve"> de la Ley 1150 de 200</w:t>
      </w:r>
      <w:r w:rsidR="00B147B3" w:rsidRPr="00A572F4">
        <w:rPr>
          <w:rFonts w:ascii="Arial" w:eastAsia="Calibri" w:hAnsi="Arial" w:cs="Arial"/>
          <w:bCs/>
          <w:sz w:val="22"/>
          <w:szCs w:val="22"/>
        </w:rPr>
        <w:t xml:space="preserve">7, en el que expresamente se alude al puntaje. </w:t>
      </w:r>
      <w:r w:rsidR="00443259" w:rsidRPr="00A572F4">
        <w:rPr>
          <w:rFonts w:ascii="Arial" w:eastAsia="Calibri" w:hAnsi="Arial" w:cs="Arial"/>
          <w:bCs/>
          <w:sz w:val="22"/>
          <w:szCs w:val="22"/>
        </w:rPr>
        <w:t>Sin embargo</w:t>
      </w:r>
      <w:r w:rsidR="00045D5B" w:rsidRPr="00A572F4">
        <w:rPr>
          <w:rFonts w:ascii="Arial" w:eastAsia="Calibri" w:hAnsi="Arial" w:cs="Arial"/>
          <w:bCs/>
          <w:sz w:val="22"/>
          <w:szCs w:val="22"/>
        </w:rPr>
        <w:t>, no es este el único mecanismo de ponderación que tiene</w:t>
      </w:r>
      <w:r w:rsidR="00FD694E" w:rsidRPr="00A572F4">
        <w:rPr>
          <w:rFonts w:ascii="Arial" w:eastAsia="Calibri" w:hAnsi="Arial" w:cs="Arial"/>
          <w:bCs/>
          <w:sz w:val="22"/>
          <w:szCs w:val="22"/>
        </w:rPr>
        <w:t>n</w:t>
      </w:r>
      <w:r w:rsidR="00045D5B" w:rsidRPr="00A572F4">
        <w:rPr>
          <w:rFonts w:ascii="Arial" w:eastAsia="Calibri" w:hAnsi="Arial" w:cs="Arial"/>
          <w:bCs/>
          <w:sz w:val="22"/>
          <w:szCs w:val="22"/>
        </w:rPr>
        <w:t xml:space="preserve"> </w:t>
      </w:r>
      <w:r w:rsidR="00687DAD" w:rsidRPr="00A572F4">
        <w:rPr>
          <w:rFonts w:ascii="Arial" w:eastAsia="Calibri" w:hAnsi="Arial" w:cs="Arial"/>
          <w:bCs/>
          <w:sz w:val="22"/>
          <w:szCs w:val="22"/>
        </w:rPr>
        <w:t xml:space="preserve">a </w:t>
      </w:r>
      <w:r w:rsidR="00045D5B" w:rsidRPr="00A572F4">
        <w:rPr>
          <w:rFonts w:ascii="Arial" w:eastAsia="Calibri" w:hAnsi="Arial" w:cs="Arial"/>
          <w:bCs/>
          <w:sz w:val="22"/>
          <w:szCs w:val="22"/>
        </w:rPr>
        <w:t>su alcance las entidades estatales para determinar</w:t>
      </w:r>
      <w:r w:rsidR="00572959" w:rsidRPr="00A572F4">
        <w:rPr>
          <w:rFonts w:ascii="Arial" w:eastAsia="Calibri" w:hAnsi="Arial" w:cs="Arial"/>
          <w:bCs/>
          <w:sz w:val="22"/>
          <w:szCs w:val="22"/>
        </w:rPr>
        <w:t xml:space="preserve"> el ofrecimiento más favorable, ya que el propio </w:t>
      </w:r>
      <w:r w:rsidR="00585E80" w:rsidRPr="00A572F4">
        <w:rPr>
          <w:rFonts w:ascii="Arial" w:eastAsia="Calibri" w:hAnsi="Arial" w:cs="Arial"/>
          <w:bCs/>
          <w:sz w:val="22"/>
          <w:szCs w:val="22"/>
        </w:rPr>
        <w:t xml:space="preserve">literal </w:t>
      </w:r>
      <w:r w:rsidRPr="00A572F4">
        <w:rPr>
          <w:rFonts w:ascii="Arial" w:eastAsia="Calibri" w:hAnsi="Arial" w:cs="Arial"/>
          <w:bCs/>
          <w:sz w:val="22"/>
          <w:szCs w:val="22"/>
        </w:rPr>
        <w:t>b</w:t>
      </w:r>
      <w:r w:rsidR="00585E80" w:rsidRPr="00A572F4">
        <w:rPr>
          <w:rFonts w:ascii="Arial" w:eastAsia="Calibri" w:hAnsi="Arial" w:cs="Arial"/>
          <w:bCs/>
          <w:sz w:val="22"/>
          <w:szCs w:val="22"/>
        </w:rPr>
        <w:t>) del</w:t>
      </w:r>
      <w:r w:rsidR="00572959" w:rsidRPr="00A572F4">
        <w:rPr>
          <w:rFonts w:ascii="Arial" w:eastAsia="Calibri" w:hAnsi="Arial" w:cs="Arial"/>
          <w:bCs/>
          <w:sz w:val="22"/>
          <w:szCs w:val="22"/>
        </w:rPr>
        <w:t xml:space="preserve"> artículo 5</w:t>
      </w:r>
      <w:r w:rsidR="00443259" w:rsidRPr="00A572F4">
        <w:rPr>
          <w:rFonts w:ascii="Arial" w:eastAsia="Calibri" w:hAnsi="Arial" w:cs="Arial"/>
          <w:bCs/>
          <w:sz w:val="22"/>
          <w:szCs w:val="22"/>
        </w:rPr>
        <w:t>.</w:t>
      </w:r>
      <w:r w:rsidR="00FD694E" w:rsidRPr="00A572F4">
        <w:rPr>
          <w:rFonts w:ascii="Arial" w:eastAsia="Calibri" w:hAnsi="Arial" w:cs="Arial"/>
          <w:bCs/>
          <w:sz w:val="22"/>
          <w:szCs w:val="22"/>
        </w:rPr>
        <w:t>2</w:t>
      </w:r>
      <w:r w:rsidR="00572959" w:rsidRPr="00A572F4">
        <w:rPr>
          <w:rFonts w:ascii="Arial" w:eastAsia="Calibri" w:hAnsi="Arial" w:cs="Arial"/>
          <w:bCs/>
          <w:sz w:val="22"/>
          <w:szCs w:val="22"/>
        </w:rPr>
        <w:t xml:space="preserve"> </w:t>
      </w:r>
      <w:r w:rsidR="00585E80" w:rsidRPr="00A572F4">
        <w:rPr>
          <w:rFonts w:ascii="Arial" w:eastAsia="Calibri" w:hAnsi="Arial" w:cs="Arial"/>
          <w:bCs/>
          <w:sz w:val="22"/>
          <w:szCs w:val="22"/>
        </w:rPr>
        <w:t xml:space="preserve">posibilita que </w:t>
      </w:r>
      <w:r w:rsidR="00412110" w:rsidRPr="00A572F4">
        <w:rPr>
          <w:rFonts w:ascii="Arial" w:eastAsia="Calibri" w:hAnsi="Arial" w:cs="Arial"/>
          <w:bCs/>
          <w:sz w:val="22"/>
          <w:szCs w:val="22"/>
        </w:rPr>
        <w:t xml:space="preserve">el ofrecimiento más favorable se </w:t>
      </w:r>
      <w:r w:rsidR="00FD694E" w:rsidRPr="00A572F4">
        <w:rPr>
          <w:rFonts w:ascii="Arial" w:eastAsia="Calibri" w:hAnsi="Arial" w:cs="Arial"/>
          <w:bCs/>
          <w:sz w:val="22"/>
          <w:szCs w:val="22"/>
        </w:rPr>
        <w:t xml:space="preserve">determine </w:t>
      </w:r>
      <w:r w:rsidR="00C4330B" w:rsidRPr="00A572F4">
        <w:rPr>
          <w:rFonts w:ascii="Arial" w:eastAsia="Calibri" w:hAnsi="Arial" w:cs="Arial"/>
          <w:bCs/>
          <w:sz w:val="22"/>
          <w:szCs w:val="22"/>
        </w:rPr>
        <w:t>con</w:t>
      </w:r>
      <w:r w:rsidR="00412110" w:rsidRPr="00A572F4">
        <w:rPr>
          <w:rFonts w:ascii="Arial" w:eastAsia="Calibri" w:hAnsi="Arial" w:cs="Arial"/>
          <w:bCs/>
          <w:sz w:val="22"/>
          <w:szCs w:val="22"/>
        </w:rPr>
        <w:t xml:space="preserve"> un</w:t>
      </w:r>
      <w:r w:rsidR="00FD694E" w:rsidRPr="00A572F4">
        <w:rPr>
          <w:rFonts w:ascii="Arial" w:eastAsia="Calibri" w:hAnsi="Arial" w:cs="Arial"/>
          <w:bCs/>
          <w:sz w:val="22"/>
          <w:szCs w:val="22"/>
        </w:rPr>
        <w:t xml:space="preserve"> análisis</w:t>
      </w:r>
      <w:r w:rsidR="00412110" w:rsidRPr="00A572F4">
        <w:rPr>
          <w:rFonts w:ascii="Arial" w:eastAsia="Calibri" w:hAnsi="Arial" w:cs="Arial"/>
          <w:bCs/>
          <w:sz w:val="22"/>
          <w:szCs w:val="22"/>
        </w:rPr>
        <w:t xml:space="preserve"> </w:t>
      </w:r>
      <w:r w:rsidR="00FD694E" w:rsidRPr="00A572F4">
        <w:rPr>
          <w:rFonts w:ascii="Arial" w:eastAsia="Calibri" w:hAnsi="Arial" w:cs="Arial"/>
          <w:bCs/>
          <w:sz w:val="22"/>
          <w:szCs w:val="22"/>
        </w:rPr>
        <w:t xml:space="preserve">de la </w:t>
      </w:r>
      <w:r w:rsidR="00412110" w:rsidRPr="00A572F4">
        <w:rPr>
          <w:rFonts w:ascii="Arial" w:eastAsia="Calibri" w:hAnsi="Arial" w:cs="Arial"/>
          <w:bCs/>
          <w:sz w:val="22"/>
          <w:szCs w:val="22"/>
        </w:rPr>
        <w:t xml:space="preserve">relación </w:t>
      </w:r>
      <w:r w:rsidR="001716D9" w:rsidRPr="00A572F4">
        <w:rPr>
          <w:rFonts w:ascii="Arial" w:eastAsia="Calibri" w:hAnsi="Arial" w:cs="Arial"/>
          <w:bCs/>
          <w:sz w:val="22"/>
          <w:szCs w:val="22"/>
        </w:rPr>
        <w:t>costo</w:t>
      </w:r>
      <w:r w:rsidR="00FD694E" w:rsidRPr="00A572F4">
        <w:rPr>
          <w:rFonts w:ascii="Arial" w:eastAsia="Calibri" w:hAnsi="Arial" w:cs="Arial"/>
          <w:bCs/>
          <w:sz w:val="22"/>
          <w:szCs w:val="22"/>
        </w:rPr>
        <w:t>-</w:t>
      </w:r>
      <w:r w:rsidR="001716D9" w:rsidRPr="00A572F4">
        <w:rPr>
          <w:rFonts w:ascii="Arial" w:eastAsia="Calibri" w:hAnsi="Arial" w:cs="Arial"/>
          <w:bCs/>
          <w:sz w:val="22"/>
          <w:szCs w:val="22"/>
        </w:rPr>
        <w:t xml:space="preserve">beneficio, evento en </w:t>
      </w:r>
      <w:r w:rsidR="00AF6CBB" w:rsidRPr="00A572F4">
        <w:rPr>
          <w:rFonts w:ascii="Arial" w:eastAsia="Calibri" w:hAnsi="Arial" w:cs="Arial"/>
          <w:bCs/>
          <w:sz w:val="22"/>
          <w:szCs w:val="22"/>
        </w:rPr>
        <w:t>e</w:t>
      </w:r>
      <w:r w:rsidR="001716D9" w:rsidRPr="00A572F4">
        <w:rPr>
          <w:rFonts w:ascii="Arial" w:eastAsia="Calibri" w:hAnsi="Arial" w:cs="Arial"/>
          <w:bCs/>
          <w:sz w:val="22"/>
          <w:szCs w:val="22"/>
        </w:rPr>
        <w:t>l no ha</w:t>
      </w:r>
      <w:r w:rsidR="00AF6CBB" w:rsidRPr="00A572F4">
        <w:rPr>
          <w:rFonts w:ascii="Arial" w:eastAsia="Calibri" w:hAnsi="Arial" w:cs="Arial"/>
          <w:bCs/>
          <w:sz w:val="22"/>
          <w:szCs w:val="22"/>
        </w:rPr>
        <w:t xml:space="preserve">bría </w:t>
      </w:r>
      <w:r w:rsidR="001716D9" w:rsidRPr="00A572F4">
        <w:rPr>
          <w:rFonts w:ascii="Arial" w:eastAsia="Calibri" w:hAnsi="Arial" w:cs="Arial"/>
          <w:bCs/>
          <w:sz w:val="22"/>
          <w:szCs w:val="22"/>
        </w:rPr>
        <w:t>necesidad de acudir a sistemas de asignación de puntaje.</w:t>
      </w:r>
      <w:r w:rsidR="00687DAD" w:rsidRPr="00A572F4">
        <w:rPr>
          <w:rFonts w:ascii="Arial" w:eastAsia="Calibri" w:hAnsi="Arial" w:cs="Arial"/>
          <w:bCs/>
          <w:sz w:val="22"/>
          <w:szCs w:val="22"/>
        </w:rPr>
        <w:t xml:space="preserve"> </w:t>
      </w:r>
      <w:r w:rsidR="00FD694E" w:rsidRPr="00A572F4">
        <w:rPr>
          <w:rFonts w:ascii="Arial" w:eastAsia="Calibri" w:hAnsi="Arial" w:cs="Arial"/>
          <w:bCs/>
          <w:sz w:val="22"/>
          <w:szCs w:val="22"/>
        </w:rPr>
        <w:t xml:space="preserve">A estos se suman, los procesos de selección de bienes y servicios de características técnicas uniformes y de común utilización, así como los de mínima cuantía, en los que </w:t>
      </w:r>
      <w:r w:rsidR="00DA0C85" w:rsidRPr="00A572F4">
        <w:rPr>
          <w:rFonts w:ascii="Arial" w:eastAsia="Calibri" w:hAnsi="Arial" w:cs="Arial"/>
          <w:bCs/>
          <w:sz w:val="22"/>
          <w:szCs w:val="22"/>
        </w:rPr>
        <w:t xml:space="preserve">–según los artículos 5.3 y 2.5 de la Ley 1150 de 2007– </w:t>
      </w:r>
      <w:r w:rsidR="00FD694E" w:rsidRPr="00A572F4">
        <w:rPr>
          <w:rFonts w:ascii="Arial" w:eastAsia="Calibri" w:hAnsi="Arial" w:cs="Arial"/>
          <w:bCs/>
          <w:sz w:val="22"/>
          <w:szCs w:val="22"/>
        </w:rPr>
        <w:t>el único factor de selección es el menor precio ofertado, por lo que no hay lugar a ponderación mediante puntajes.</w:t>
      </w:r>
    </w:p>
    <w:p w14:paraId="6DFCF23E" w14:textId="270B9400" w:rsidR="00BC71AD" w:rsidRPr="00A572F4" w:rsidRDefault="00B3529F" w:rsidP="00EB2ED0">
      <w:pPr>
        <w:spacing w:after="120" w:line="276" w:lineRule="auto"/>
        <w:jc w:val="both"/>
        <w:rPr>
          <w:rFonts w:ascii="Arial" w:hAnsi="Arial" w:cs="Arial"/>
          <w:sz w:val="22"/>
          <w:szCs w:val="22"/>
          <w:lang w:eastAsia="es-CO"/>
        </w:rPr>
      </w:pPr>
      <w:r w:rsidRPr="00A572F4">
        <w:rPr>
          <w:rFonts w:ascii="Arial" w:eastAsia="Calibri" w:hAnsi="Arial" w:cs="Arial"/>
          <w:bCs/>
          <w:sz w:val="22"/>
          <w:szCs w:val="22"/>
        </w:rPr>
        <w:tab/>
      </w:r>
      <w:r w:rsidR="00AF20DA" w:rsidRPr="00A572F4">
        <w:rPr>
          <w:rFonts w:ascii="Arial" w:eastAsia="Calibri" w:hAnsi="Arial" w:cs="Arial"/>
          <w:bCs/>
          <w:sz w:val="22"/>
          <w:szCs w:val="22"/>
        </w:rPr>
        <w:t xml:space="preserve">Es necesario destacar, que las reglas para </w:t>
      </w:r>
      <w:r w:rsidR="00FD694E" w:rsidRPr="00A572F4">
        <w:rPr>
          <w:rFonts w:ascii="Arial" w:eastAsia="Calibri" w:hAnsi="Arial" w:cs="Arial"/>
          <w:bCs/>
          <w:sz w:val="22"/>
          <w:szCs w:val="22"/>
        </w:rPr>
        <w:t>establecer</w:t>
      </w:r>
      <w:r w:rsidR="00AF20DA" w:rsidRPr="00A572F4">
        <w:rPr>
          <w:rFonts w:ascii="Arial" w:eastAsia="Calibri" w:hAnsi="Arial" w:cs="Arial"/>
          <w:bCs/>
          <w:sz w:val="22"/>
          <w:szCs w:val="22"/>
        </w:rPr>
        <w:t xml:space="preserve"> </w:t>
      </w:r>
      <w:r w:rsidR="00161AAD" w:rsidRPr="00A572F4">
        <w:rPr>
          <w:rFonts w:ascii="Arial" w:eastAsia="Calibri" w:hAnsi="Arial" w:cs="Arial"/>
          <w:bCs/>
          <w:sz w:val="22"/>
          <w:szCs w:val="22"/>
        </w:rPr>
        <w:t>la oferta más favorable conforme al artículo 5 de la Ley 1150 de 2007, se encuentra</w:t>
      </w:r>
      <w:r w:rsidR="00FD694E" w:rsidRPr="00A572F4">
        <w:rPr>
          <w:rFonts w:ascii="Arial" w:eastAsia="Calibri" w:hAnsi="Arial" w:cs="Arial"/>
          <w:bCs/>
          <w:sz w:val="22"/>
          <w:szCs w:val="22"/>
        </w:rPr>
        <w:t>n</w:t>
      </w:r>
      <w:r w:rsidR="00161AAD" w:rsidRPr="00A572F4">
        <w:rPr>
          <w:rFonts w:ascii="Arial" w:eastAsia="Calibri" w:hAnsi="Arial" w:cs="Arial"/>
          <w:bCs/>
          <w:sz w:val="22"/>
          <w:szCs w:val="22"/>
        </w:rPr>
        <w:t xml:space="preserve"> reglamentad</w:t>
      </w:r>
      <w:r w:rsidR="00FD694E" w:rsidRPr="00A572F4">
        <w:rPr>
          <w:rFonts w:ascii="Arial" w:eastAsia="Calibri" w:hAnsi="Arial" w:cs="Arial"/>
          <w:bCs/>
          <w:sz w:val="22"/>
          <w:szCs w:val="22"/>
        </w:rPr>
        <w:t>a</w:t>
      </w:r>
      <w:r w:rsidR="00161AAD" w:rsidRPr="00A572F4">
        <w:rPr>
          <w:rFonts w:ascii="Arial" w:eastAsia="Calibri" w:hAnsi="Arial" w:cs="Arial"/>
          <w:bCs/>
          <w:sz w:val="22"/>
          <w:szCs w:val="22"/>
        </w:rPr>
        <w:t xml:space="preserve">s en el artículo </w:t>
      </w:r>
      <w:r w:rsidR="00362668" w:rsidRPr="00A572F4">
        <w:rPr>
          <w:rFonts w:ascii="Arial" w:eastAsia="Calibri" w:hAnsi="Arial" w:cs="Arial"/>
          <w:bCs/>
          <w:sz w:val="22"/>
          <w:szCs w:val="22"/>
        </w:rPr>
        <w:t xml:space="preserve">2.2.1.1.2.2.2 del Decreto 1082 de 2015. Este artículo </w:t>
      </w:r>
      <w:r w:rsidR="000E3965" w:rsidRPr="00A572F4">
        <w:rPr>
          <w:rFonts w:ascii="Arial" w:eastAsia="Calibri" w:hAnsi="Arial" w:cs="Arial"/>
          <w:bCs/>
          <w:sz w:val="22"/>
          <w:szCs w:val="22"/>
        </w:rPr>
        <w:t>desarrolla</w:t>
      </w:r>
      <w:r w:rsidR="00A0109F" w:rsidRPr="00A572F4">
        <w:rPr>
          <w:rFonts w:ascii="Arial" w:eastAsia="Calibri" w:hAnsi="Arial" w:cs="Arial"/>
          <w:bCs/>
          <w:sz w:val="22"/>
          <w:szCs w:val="22"/>
        </w:rPr>
        <w:t xml:space="preserve"> los </w:t>
      </w:r>
      <w:r w:rsidR="007B1D33" w:rsidRPr="00A572F4">
        <w:rPr>
          <w:rFonts w:ascii="Arial" w:eastAsia="Calibri" w:hAnsi="Arial" w:cs="Arial"/>
          <w:bCs/>
          <w:sz w:val="22"/>
          <w:szCs w:val="22"/>
        </w:rPr>
        <w:t xml:space="preserve">mecanismos de ponderación </w:t>
      </w:r>
      <w:r w:rsidR="00A0109F" w:rsidRPr="00A572F4">
        <w:rPr>
          <w:rFonts w:ascii="Arial" w:eastAsia="Calibri" w:hAnsi="Arial" w:cs="Arial"/>
          <w:bCs/>
          <w:sz w:val="22"/>
          <w:szCs w:val="22"/>
        </w:rPr>
        <w:t>previstos en</w:t>
      </w:r>
      <w:r w:rsidR="007B1D33" w:rsidRPr="00A572F4">
        <w:rPr>
          <w:rFonts w:ascii="Arial" w:eastAsia="Calibri" w:hAnsi="Arial" w:cs="Arial"/>
          <w:bCs/>
          <w:sz w:val="22"/>
          <w:szCs w:val="22"/>
        </w:rPr>
        <w:t xml:space="preserve"> los literales a) y b) del artículo 5</w:t>
      </w:r>
      <w:r w:rsidR="007B1D33" w:rsidRPr="00A572F4">
        <w:rPr>
          <w:rFonts w:ascii="Arial" w:eastAsia="Calibri" w:hAnsi="Arial" w:cs="Arial"/>
          <w:bCs/>
          <w:sz w:val="22"/>
          <w:szCs w:val="22"/>
        </w:rPr>
        <w:softHyphen/>
      </w:r>
      <w:r w:rsidR="00A0109F" w:rsidRPr="00A572F4">
        <w:rPr>
          <w:rFonts w:ascii="Arial" w:eastAsia="Calibri" w:hAnsi="Arial" w:cs="Arial"/>
          <w:bCs/>
          <w:sz w:val="22"/>
          <w:szCs w:val="22"/>
        </w:rPr>
        <w:t>.</w:t>
      </w:r>
      <w:r w:rsidR="007B1D33" w:rsidRPr="00A572F4">
        <w:rPr>
          <w:rFonts w:ascii="Arial" w:eastAsia="Calibri" w:hAnsi="Arial" w:cs="Arial"/>
          <w:bCs/>
          <w:sz w:val="22"/>
          <w:szCs w:val="22"/>
        </w:rPr>
        <w:t xml:space="preserve">2 de la Ley 1150 de 2007, </w:t>
      </w:r>
      <w:r w:rsidR="00A0109F" w:rsidRPr="00A572F4">
        <w:rPr>
          <w:rFonts w:ascii="Arial" w:eastAsia="Calibri" w:hAnsi="Arial" w:cs="Arial"/>
          <w:bCs/>
          <w:sz w:val="22"/>
          <w:szCs w:val="22"/>
        </w:rPr>
        <w:t xml:space="preserve">disponiendo </w:t>
      </w:r>
      <w:r w:rsidR="007B1D33" w:rsidRPr="00A572F4">
        <w:rPr>
          <w:rFonts w:ascii="Arial" w:eastAsia="Calibri" w:hAnsi="Arial" w:cs="Arial"/>
          <w:bCs/>
          <w:sz w:val="22"/>
          <w:szCs w:val="22"/>
        </w:rPr>
        <w:t xml:space="preserve">unas pautas para </w:t>
      </w:r>
      <w:r w:rsidR="00904782" w:rsidRPr="00A572F4">
        <w:rPr>
          <w:rFonts w:ascii="Arial" w:eastAsia="Calibri" w:hAnsi="Arial" w:cs="Arial"/>
          <w:bCs/>
          <w:sz w:val="22"/>
          <w:szCs w:val="22"/>
        </w:rPr>
        <w:t>la p</w:t>
      </w:r>
      <w:r w:rsidR="00904782" w:rsidRPr="00A572F4">
        <w:rPr>
          <w:rFonts w:ascii="Arial" w:hAnsi="Arial" w:cs="Arial"/>
          <w:sz w:val="22"/>
          <w:szCs w:val="22"/>
        </w:rPr>
        <w:t xml:space="preserve">onderación de los elementos de calidad y precio que representen la mejor relación de costo-beneficio. </w:t>
      </w:r>
      <w:r w:rsidR="004C0BF9" w:rsidRPr="00A572F4">
        <w:rPr>
          <w:rFonts w:ascii="Arial" w:hAnsi="Arial" w:cs="Arial"/>
          <w:sz w:val="22"/>
          <w:szCs w:val="22"/>
        </w:rPr>
        <w:t xml:space="preserve">Conforme a </w:t>
      </w:r>
      <w:r w:rsidR="002D4F3D" w:rsidRPr="00A572F4">
        <w:rPr>
          <w:rFonts w:ascii="Arial" w:hAnsi="Arial" w:cs="Arial"/>
          <w:sz w:val="22"/>
          <w:szCs w:val="22"/>
        </w:rPr>
        <w:t>este</w:t>
      </w:r>
      <w:r w:rsidR="004C0BF9" w:rsidRPr="00A572F4">
        <w:rPr>
          <w:rFonts w:ascii="Arial" w:hAnsi="Arial" w:cs="Arial"/>
          <w:sz w:val="22"/>
          <w:szCs w:val="22"/>
        </w:rPr>
        <w:t xml:space="preserve"> artículo, la oferta más favorable en estos casos debe determinarse </w:t>
      </w:r>
      <w:r w:rsidR="006765DF" w:rsidRPr="00A572F4">
        <w:rPr>
          <w:rFonts w:ascii="Arial" w:hAnsi="Arial" w:cs="Arial"/>
          <w:sz w:val="22"/>
          <w:szCs w:val="22"/>
        </w:rPr>
        <w:t>ponderando</w:t>
      </w:r>
      <w:r w:rsidR="001D50DB" w:rsidRPr="00A572F4">
        <w:rPr>
          <w:rFonts w:ascii="Arial" w:hAnsi="Arial" w:cs="Arial"/>
          <w:sz w:val="22"/>
          <w:szCs w:val="22"/>
        </w:rPr>
        <w:t xml:space="preserve"> en las ofertas:</w:t>
      </w:r>
      <w:r w:rsidR="006765DF" w:rsidRPr="00A572F4">
        <w:rPr>
          <w:rFonts w:ascii="Arial" w:hAnsi="Arial" w:cs="Arial"/>
          <w:sz w:val="22"/>
          <w:szCs w:val="22"/>
        </w:rPr>
        <w:t xml:space="preserve"> i) </w:t>
      </w:r>
      <w:r w:rsidR="001D50DB" w:rsidRPr="00A572F4">
        <w:rPr>
          <w:rFonts w:ascii="Arial" w:hAnsi="Arial" w:cs="Arial"/>
          <w:sz w:val="22"/>
          <w:szCs w:val="22"/>
          <w:lang w:eastAsia="es-CO"/>
        </w:rPr>
        <w:t>l</w:t>
      </w:r>
      <w:r w:rsidR="006765DF" w:rsidRPr="00A572F4">
        <w:rPr>
          <w:rFonts w:ascii="Arial" w:hAnsi="Arial" w:cs="Arial"/>
          <w:sz w:val="22"/>
          <w:szCs w:val="22"/>
          <w:lang w:eastAsia="es-CO"/>
        </w:rPr>
        <w:t>as condiciones técnicas y económicas mínimas</w:t>
      </w:r>
      <w:r w:rsidR="00B541E7">
        <w:rPr>
          <w:rFonts w:ascii="Arial" w:hAnsi="Arial" w:cs="Arial"/>
          <w:sz w:val="22"/>
          <w:szCs w:val="22"/>
          <w:lang w:eastAsia="es-CO"/>
        </w:rPr>
        <w:t>,</w:t>
      </w:r>
      <w:r w:rsidR="006765DF" w:rsidRPr="00A572F4">
        <w:rPr>
          <w:rFonts w:ascii="Arial" w:hAnsi="Arial" w:cs="Arial"/>
          <w:sz w:val="22"/>
          <w:szCs w:val="22"/>
          <w:lang w:eastAsia="es-CO"/>
        </w:rPr>
        <w:t xml:space="preserve"> </w:t>
      </w:r>
      <w:proofErr w:type="spellStart"/>
      <w:r w:rsidR="006765DF" w:rsidRPr="00A572F4">
        <w:rPr>
          <w:rFonts w:ascii="Arial" w:hAnsi="Arial" w:cs="Arial"/>
          <w:sz w:val="22"/>
          <w:szCs w:val="22"/>
          <w:lang w:eastAsia="es-CO"/>
        </w:rPr>
        <w:t>ii</w:t>
      </w:r>
      <w:proofErr w:type="spellEnd"/>
      <w:r w:rsidR="006765DF" w:rsidRPr="00A572F4">
        <w:rPr>
          <w:rFonts w:ascii="Arial" w:hAnsi="Arial" w:cs="Arial"/>
          <w:sz w:val="22"/>
          <w:szCs w:val="22"/>
          <w:lang w:eastAsia="es-CO"/>
        </w:rPr>
        <w:t xml:space="preserve">) </w:t>
      </w:r>
      <w:r w:rsidR="001D50DB" w:rsidRPr="00A572F4">
        <w:rPr>
          <w:rFonts w:ascii="Arial" w:hAnsi="Arial" w:cs="Arial"/>
          <w:sz w:val="22"/>
          <w:szCs w:val="22"/>
          <w:lang w:eastAsia="es-CO"/>
        </w:rPr>
        <w:t>l</w:t>
      </w:r>
      <w:r w:rsidR="006765DF" w:rsidRPr="00A572F4">
        <w:rPr>
          <w:rFonts w:ascii="Arial" w:hAnsi="Arial" w:cs="Arial"/>
          <w:sz w:val="22"/>
          <w:szCs w:val="22"/>
          <w:lang w:eastAsia="es-CO"/>
        </w:rPr>
        <w:t>as condiciones técnicas adicionales que representan ventajas de calidad o de funcionamiento</w:t>
      </w:r>
      <w:r w:rsidR="00B541E7">
        <w:rPr>
          <w:rFonts w:ascii="Arial" w:hAnsi="Arial" w:cs="Arial"/>
          <w:sz w:val="22"/>
          <w:szCs w:val="22"/>
          <w:lang w:eastAsia="es-CO"/>
        </w:rPr>
        <w:t>,</w:t>
      </w:r>
      <w:r w:rsidR="001D50DB" w:rsidRPr="00A572F4">
        <w:rPr>
          <w:rFonts w:ascii="Arial" w:hAnsi="Arial" w:cs="Arial"/>
          <w:sz w:val="22"/>
          <w:szCs w:val="22"/>
          <w:lang w:eastAsia="es-CO"/>
        </w:rPr>
        <w:t xml:space="preserve"> </w:t>
      </w:r>
      <w:proofErr w:type="spellStart"/>
      <w:r w:rsidR="001D50DB" w:rsidRPr="00A572F4">
        <w:rPr>
          <w:rFonts w:ascii="Arial" w:hAnsi="Arial" w:cs="Arial"/>
          <w:sz w:val="22"/>
          <w:szCs w:val="22"/>
          <w:lang w:eastAsia="es-CO"/>
        </w:rPr>
        <w:t>iii</w:t>
      </w:r>
      <w:proofErr w:type="spellEnd"/>
      <w:r w:rsidR="001D50DB" w:rsidRPr="00A572F4">
        <w:rPr>
          <w:rFonts w:ascii="Arial" w:hAnsi="Arial" w:cs="Arial"/>
          <w:sz w:val="22"/>
          <w:szCs w:val="22"/>
          <w:lang w:eastAsia="es-CO"/>
        </w:rPr>
        <w:t>) las condiciones económicas adicionales que representen ventajas en términos de economía, eficiencia y eficacia</w:t>
      </w:r>
      <w:r w:rsidR="00B541E7">
        <w:rPr>
          <w:rFonts w:ascii="Arial" w:hAnsi="Arial" w:cs="Arial"/>
          <w:sz w:val="22"/>
          <w:szCs w:val="22"/>
          <w:lang w:eastAsia="es-CO"/>
        </w:rPr>
        <w:t>,</w:t>
      </w:r>
      <w:r w:rsidR="00312E92" w:rsidRPr="00A572F4">
        <w:rPr>
          <w:rFonts w:ascii="Arial" w:hAnsi="Arial" w:cs="Arial"/>
          <w:sz w:val="22"/>
          <w:szCs w:val="22"/>
          <w:lang w:eastAsia="es-CO"/>
        </w:rPr>
        <w:t xml:space="preserve"> y </w:t>
      </w:r>
      <w:proofErr w:type="spellStart"/>
      <w:r w:rsidR="00312E92" w:rsidRPr="00A572F4">
        <w:rPr>
          <w:rFonts w:ascii="Arial" w:hAnsi="Arial" w:cs="Arial"/>
          <w:sz w:val="22"/>
          <w:szCs w:val="22"/>
          <w:lang w:eastAsia="es-CO"/>
        </w:rPr>
        <w:t>iv</w:t>
      </w:r>
      <w:proofErr w:type="spellEnd"/>
      <w:r w:rsidR="00312E92" w:rsidRPr="00A572F4">
        <w:rPr>
          <w:rFonts w:ascii="Arial" w:hAnsi="Arial" w:cs="Arial"/>
          <w:sz w:val="22"/>
          <w:szCs w:val="22"/>
          <w:lang w:eastAsia="es-CO"/>
        </w:rPr>
        <w:t xml:space="preserve">) el valor en dinero que la </w:t>
      </w:r>
      <w:r w:rsidR="00FD694E" w:rsidRPr="00A572F4">
        <w:rPr>
          <w:rFonts w:ascii="Arial" w:hAnsi="Arial" w:cs="Arial"/>
          <w:sz w:val="22"/>
          <w:szCs w:val="22"/>
          <w:lang w:eastAsia="es-CO"/>
        </w:rPr>
        <w:t>e</w:t>
      </w:r>
      <w:r w:rsidR="00312E92" w:rsidRPr="00A572F4">
        <w:rPr>
          <w:rFonts w:ascii="Arial" w:hAnsi="Arial" w:cs="Arial"/>
          <w:sz w:val="22"/>
          <w:szCs w:val="22"/>
          <w:lang w:eastAsia="es-CO"/>
        </w:rPr>
        <w:t xml:space="preserve">ntidad </w:t>
      </w:r>
      <w:r w:rsidR="00FD694E" w:rsidRPr="00A572F4">
        <w:rPr>
          <w:rFonts w:ascii="Arial" w:hAnsi="Arial" w:cs="Arial"/>
          <w:sz w:val="22"/>
          <w:szCs w:val="22"/>
          <w:lang w:eastAsia="es-CO"/>
        </w:rPr>
        <w:t>e</w:t>
      </w:r>
      <w:r w:rsidR="00312E92" w:rsidRPr="00A572F4">
        <w:rPr>
          <w:rFonts w:ascii="Arial" w:hAnsi="Arial" w:cs="Arial"/>
          <w:sz w:val="22"/>
          <w:szCs w:val="22"/>
          <w:lang w:eastAsia="es-CO"/>
        </w:rPr>
        <w:t>statal asigna a cada ofrecimiento técnico o económico adicional</w:t>
      </w:r>
      <w:r w:rsidR="00BC71AD" w:rsidRPr="00A572F4">
        <w:rPr>
          <w:rFonts w:ascii="Arial" w:hAnsi="Arial" w:cs="Arial"/>
          <w:sz w:val="22"/>
          <w:szCs w:val="22"/>
          <w:lang w:eastAsia="es-CO"/>
        </w:rPr>
        <w:t xml:space="preserve">. Teniendo en cuenta estos elementos, la entidad estatal debe calcular la relación costo-beneficio de cada oferta </w:t>
      </w:r>
      <w:r w:rsidR="00F84A9E" w:rsidRPr="00A572F4">
        <w:rPr>
          <w:rFonts w:ascii="Arial" w:eastAsia="Calibri" w:hAnsi="Arial" w:cs="Arial"/>
          <w:bCs/>
          <w:sz w:val="22"/>
          <w:szCs w:val="22"/>
        </w:rPr>
        <w:t xml:space="preserve">«[…] </w:t>
      </w:r>
      <w:r w:rsidR="00BC71AD" w:rsidRPr="00A572F4">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84A9E" w:rsidRPr="00A572F4">
        <w:rPr>
          <w:rFonts w:ascii="Arial" w:eastAsia="Calibri" w:hAnsi="Arial" w:cs="Arial"/>
          <w:bCs/>
          <w:sz w:val="22"/>
          <w:szCs w:val="22"/>
        </w:rPr>
        <w:t xml:space="preserve"> </w:t>
      </w:r>
      <w:r w:rsidR="00F84A9E" w:rsidRPr="00A572F4">
        <w:rPr>
          <w:rFonts w:ascii="Arial" w:hAnsi="Arial" w:cs="Arial"/>
          <w:sz w:val="22"/>
          <w:szCs w:val="22"/>
        </w:rPr>
        <w:t>[…]</w:t>
      </w:r>
      <w:r w:rsidR="00F84A9E" w:rsidRPr="00A572F4">
        <w:rPr>
          <w:rFonts w:ascii="Arial" w:eastAsia="Calibri" w:hAnsi="Arial" w:cs="Arial"/>
          <w:bCs/>
          <w:sz w:val="22"/>
          <w:szCs w:val="22"/>
        </w:rPr>
        <w:t>»</w:t>
      </w:r>
      <w:r w:rsidR="000E3965" w:rsidRPr="00A572F4">
        <w:rPr>
          <w:rStyle w:val="Refdenotaalpie"/>
          <w:rFonts w:ascii="Arial" w:hAnsi="Arial" w:cs="Arial"/>
          <w:sz w:val="22"/>
          <w:szCs w:val="22"/>
          <w:lang w:eastAsia="es-CO"/>
        </w:rPr>
        <w:footnoteReference w:id="28"/>
      </w:r>
      <w:r w:rsidR="00F84A9E" w:rsidRPr="00A572F4">
        <w:rPr>
          <w:rFonts w:ascii="Arial" w:eastAsia="Calibri" w:hAnsi="Arial" w:cs="Arial"/>
          <w:bCs/>
          <w:sz w:val="22"/>
          <w:szCs w:val="22"/>
        </w:rPr>
        <w:t>.</w:t>
      </w:r>
    </w:p>
    <w:p w14:paraId="7650568A" w14:textId="0BE3DFAA" w:rsidR="002C0275" w:rsidRPr="00A572F4" w:rsidRDefault="000F6420" w:rsidP="00EB2ED0">
      <w:pPr>
        <w:spacing w:after="120" w:line="276" w:lineRule="auto"/>
        <w:jc w:val="both"/>
        <w:rPr>
          <w:rFonts w:ascii="Arial" w:hAnsi="Arial" w:cs="Arial"/>
          <w:sz w:val="22"/>
          <w:szCs w:val="22"/>
          <w:lang w:eastAsia="es-CO"/>
        </w:rPr>
      </w:pPr>
      <w:r w:rsidRPr="00A572F4">
        <w:rPr>
          <w:rFonts w:ascii="Arial" w:hAnsi="Arial" w:cs="Arial"/>
          <w:sz w:val="22"/>
          <w:szCs w:val="22"/>
          <w:lang w:eastAsia="es-CO"/>
        </w:rPr>
        <w:lastRenderedPageBreak/>
        <w:tab/>
      </w:r>
      <w:r w:rsidR="00FA44B1" w:rsidRPr="00A572F4">
        <w:rPr>
          <w:rFonts w:ascii="Arial" w:hAnsi="Arial" w:cs="Arial"/>
          <w:sz w:val="22"/>
          <w:szCs w:val="22"/>
          <w:lang w:eastAsia="es-CO"/>
        </w:rPr>
        <w:t>Conforme a lo anterior, el deber de selección objetiva está ligado a la determinación de</w:t>
      </w:r>
      <w:r w:rsidR="002E02B7" w:rsidRPr="00A572F4">
        <w:rPr>
          <w:rFonts w:ascii="Arial" w:hAnsi="Arial" w:cs="Arial"/>
          <w:sz w:val="22"/>
          <w:szCs w:val="22"/>
          <w:lang w:eastAsia="es-CO"/>
        </w:rPr>
        <w:t xml:space="preserve">l ofrecimiento más favorable, </w:t>
      </w:r>
      <w:r w:rsidR="009D0AF9" w:rsidRPr="00A572F4">
        <w:rPr>
          <w:rFonts w:ascii="Arial" w:hAnsi="Arial" w:cs="Arial"/>
          <w:sz w:val="22"/>
          <w:szCs w:val="22"/>
          <w:lang w:eastAsia="es-CO"/>
        </w:rPr>
        <w:t>cuyo contenido debe ser precisado a partir de las diferentes alternativas</w:t>
      </w:r>
      <w:r w:rsidR="000323FA" w:rsidRPr="00A572F4">
        <w:rPr>
          <w:rFonts w:ascii="Arial" w:hAnsi="Arial" w:cs="Arial"/>
          <w:sz w:val="22"/>
          <w:szCs w:val="22"/>
          <w:lang w:eastAsia="es-CO"/>
        </w:rPr>
        <w:t xml:space="preserve"> </w:t>
      </w:r>
      <w:r w:rsidR="001910D9" w:rsidRPr="00A572F4">
        <w:rPr>
          <w:rFonts w:ascii="Arial" w:hAnsi="Arial" w:cs="Arial"/>
          <w:sz w:val="22"/>
          <w:szCs w:val="22"/>
          <w:lang w:eastAsia="es-CO"/>
        </w:rPr>
        <w:t>d</w:t>
      </w:r>
      <w:r w:rsidR="009D0AF9" w:rsidRPr="00A572F4">
        <w:rPr>
          <w:rFonts w:ascii="Arial" w:hAnsi="Arial" w:cs="Arial"/>
          <w:sz w:val="22"/>
          <w:szCs w:val="22"/>
          <w:lang w:eastAsia="es-CO"/>
        </w:rPr>
        <w:t>el artículo 5 de la Ley 1150 de 2007</w:t>
      </w:r>
      <w:r w:rsidR="000323FA" w:rsidRPr="00A572F4">
        <w:rPr>
          <w:rFonts w:ascii="Arial" w:hAnsi="Arial" w:cs="Arial"/>
          <w:sz w:val="22"/>
          <w:szCs w:val="22"/>
          <w:lang w:eastAsia="es-CO"/>
        </w:rPr>
        <w:t>, reglamenta</w:t>
      </w:r>
      <w:r w:rsidR="001910D9" w:rsidRPr="00A572F4">
        <w:rPr>
          <w:rFonts w:ascii="Arial" w:hAnsi="Arial" w:cs="Arial"/>
          <w:sz w:val="22"/>
          <w:szCs w:val="22"/>
          <w:lang w:eastAsia="es-CO"/>
        </w:rPr>
        <w:t>do por</w:t>
      </w:r>
      <w:r w:rsidR="000323FA" w:rsidRPr="00A572F4">
        <w:rPr>
          <w:rFonts w:ascii="Arial" w:hAnsi="Arial" w:cs="Arial"/>
          <w:sz w:val="22"/>
          <w:szCs w:val="22"/>
          <w:lang w:eastAsia="es-CO"/>
        </w:rPr>
        <w:t xml:space="preserve"> el artículo 2.2.1.1.2.2.2 del Decreto 1082 de 2015</w:t>
      </w:r>
      <w:r w:rsidR="00C7356F" w:rsidRPr="00A572F4">
        <w:rPr>
          <w:rFonts w:ascii="Arial" w:hAnsi="Arial" w:cs="Arial"/>
          <w:sz w:val="22"/>
          <w:szCs w:val="22"/>
          <w:lang w:eastAsia="es-CO"/>
        </w:rPr>
        <w:t>, que en todo caso deben reflejarse en el pliego de condiciones</w:t>
      </w:r>
      <w:r w:rsidR="001910D9" w:rsidRPr="00A572F4">
        <w:rPr>
          <w:rFonts w:ascii="Arial" w:hAnsi="Arial" w:cs="Arial"/>
          <w:sz w:val="22"/>
          <w:szCs w:val="22"/>
          <w:lang w:eastAsia="es-CO"/>
        </w:rPr>
        <w:t xml:space="preserve"> o documento equivalente</w:t>
      </w:r>
      <w:r w:rsidR="00C7356F" w:rsidRPr="00A572F4">
        <w:rPr>
          <w:rFonts w:ascii="Arial" w:hAnsi="Arial" w:cs="Arial"/>
          <w:sz w:val="22"/>
          <w:szCs w:val="22"/>
          <w:lang w:eastAsia="es-CO"/>
        </w:rPr>
        <w:t xml:space="preserve"> para el respectivo proceso de selección.</w:t>
      </w:r>
      <w:r w:rsidR="00CB3C5E" w:rsidRPr="00A572F4">
        <w:rPr>
          <w:rFonts w:ascii="Arial" w:hAnsi="Arial" w:cs="Arial"/>
          <w:sz w:val="22"/>
          <w:szCs w:val="22"/>
          <w:lang w:eastAsia="es-CO"/>
        </w:rPr>
        <w:t xml:space="preserve"> </w:t>
      </w:r>
      <w:r w:rsidR="00815E70" w:rsidRPr="00A572F4">
        <w:rPr>
          <w:rFonts w:ascii="Arial" w:hAnsi="Arial" w:cs="Arial"/>
          <w:sz w:val="22"/>
          <w:szCs w:val="22"/>
          <w:lang w:eastAsia="es-CO"/>
        </w:rPr>
        <w:t xml:space="preserve">Estas </w:t>
      </w:r>
      <w:r w:rsidR="008D15D4" w:rsidRPr="00A572F4">
        <w:rPr>
          <w:rFonts w:ascii="Arial" w:hAnsi="Arial" w:cs="Arial"/>
          <w:sz w:val="22"/>
          <w:szCs w:val="22"/>
          <w:lang w:eastAsia="es-CO"/>
        </w:rPr>
        <w:t>disposiciones establecen</w:t>
      </w:r>
      <w:r w:rsidR="00FD694E" w:rsidRPr="00A572F4">
        <w:rPr>
          <w:rFonts w:ascii="Arial" w:hAnsi="Arial" w:cs="Arial"/>
          <w:sz w:val="22"/>
          <w:szCs w:val="22"/>
          <w:lang w:eastAsia="es-CO"/>
        </w:rPr>
        <w:t xml:space="preserve"> que en los</w:t>
      </w:r>
      <w:r w:rsidR="00CB3C5E" w:rsidRPr="00A572F4">
        <w:rPr>
          <w:rFonts w:ascii="Arial" w:hAnsi="Arial" w:cs="Arial"/>
          <w:sz w:val="22"/>
          <w:szCs w:val="22"/>
          <w:lang w:eastAsia="es-CO"/>
        </w:rPr>
        <w:t xml:space="preserve"> procesos de selección deben </w:t>
      </w:r>
      <w:r w:rsidR="00075567" w:rsidRPr="00A572F4">
        <w:rPr>
          <w:rFonts w:ascii="Arial" w:hAnsi="Arial" w:cs="Arial"/>
          <w:sz w:val="22"/>
          <w:szCs w:val="22"/>
          <w:lang w:eastAsia="es-CO"/>
        </w:rPr>
        <w:t>evaluarse, fuera de los requisitos habilitantes,</w:t>
      </w:r>
      <w:r w:rsidR="00CB3C5E" w:rsidRPr="00A572F4">
        <w:rPr>
          <w:rFonts w:ascii="Arial" w:hAnsi="Arial" w:cs="Arial"/>
          <w:sz w:val="22"/>
          <w:szCs w:val="22"/>
          <w:lang w:eastAsia="es-CO"/>
        </w:rPr>
        <w:t xml:space="preserve"> </w:t>
      </w:r>
      <w:r w:rsidR="00900861" w:rsidRPr="00A572F4">
        <w:rPr>
          <w:rFonts w:ascii="Arial" w:hAnsi="Arial" w:cs="Arial"/>
          <w:sz w:val="22"/>
          <w:szCs w:val="22"/>
          <w:lang w:eastAsia="es-CO"/>
        </w:rPr>
        <w:t>los</w:t>
      </w:r>
      <w:r w:rsidR="003419D7" w:rsidRPr="00A572F4">
        <w:rPr>
          <w:rFonts w:ascii="Arial" w:hAnsi="Arial" w:cs="Arial"/>
          <w:sz w:val="22"/>
          <w:szCs w:val="22"/>
          <w:lang w:eastAsia="es-CO"/>
        </w:rPr>
        <w:t xml:space="preserve"> factores de calificación, valoración</w:t>
      </w:r>
      <w:r w:rsidR="00337357" w:rsidRPr="00A572F4">
        <w:rPr>
          <w:rFonts w:ascii="Arial" w:hAnsi="Arial" w:cs="Arial"/>
          <w:sz w:val="22"/>
          <w:szCs w:val="22"/>
          <w:lang w:eastAsia="es-CO"/>
        </w:rPr>
        <w:t xml:space="preserve"> o</w:t>
      </w:r>
      <w:r w:rsidR="00075567" w:rsidRPr="00A572F4">
        <w:rPr>
          <w:rFonts w:ascii="Arial" w:hAnsi="Arial" w:cs="Arial"/>
          <w:sz w:val="22"/>
          <w:szCs w:val="22"/>
          <w:lang w:eastAsia="es-CO"/>
        </w:rPr>
        <w:t xml:space="preserve"> evaluación</w:t>
      </w:r>
      <w:r w:rsidR="00A90546" w:rsidRPr="00A572F4">
        <w:rPr>
          <w:rFonts w:ascii="Arial" w:hAnsi="Arial" w:cs="Arial"/>
          <w:sz w:val="22"/>
          <w:szCs w:val="22"/>
          <w:lang w:eastAsia="es-CO"/>
        </w:rPr>
        <w:t xml:space="preserve">. </w:t>
      </w:r>
      <w:r w:rsidR="008D15D4" w:rsidRPr="00A572F4">
        <w:rPr>
          <w:rFonts w:ascii="Arial" w:hAnsi="Arial" w:cs="Arial"/>
          <w:sz w:val="22"/>
          <w:szCs w:val="22"/>
          <w:lang w:eastAsia="es-CO"/>
        </w:rPr>
        <w:t xml:space="preserve">Estos </w:t>
      </w:r>
      <w:r w:rsidR="00900861" w:rsidRPr="00A572F4">
        <w:rPr>
          <w:rFonts w:ascii="Arial" w:hAnsi="Arial" w:cs="Arial"/>
          <w:sz w:val="22"/>
          <w:szCs w:val="22"/>
          <w:lang w:eastAsia="es-CO"/>
        </w:rPr>
        <w:t>pueden pondera</w:t>
      </w:r>
      <w:r w:rsidR="00B47428" w:rsidRPr="00A572F4">
        <w:rPr>
          <w:rFonts w:ascii="Arial" w:hAnsi="Arial" w:cs="Arial"/>
          <w:sz w:val="22"/>
          <w:szCs w:val="22"/>
          <w:lang w:eastAsia="es-CO"/>
        </w:rPr>
        <w:t>r</w:t>
      </w:r>
      <w:r w:rsidR="00900861" w:rsidRPr="00A572F4">
        <w:rPr>
          <w:rFonts w:ascii="Arial" w:hAnsi="Arial" w:cs="Arial"/>
          <w:sz w:val="22"/>
          <w:szCs w:val="22"/>
          <w:lang w:eastAsia="es-CO"/>
        </w:rPr>
        <w:t>s</w:t>
      </w:r>
      <w:r w:rsidR="00B47428" w:rsidRPr="00A572F4">
        <w:rPr>
          <w:rFonts w:ascii="Arial" w:hAnsi="Arial" w:cs="Arial"/>
          <w:sz w:val="22"/>
          <w:szCs w:val="22"/>
          <w:lang w:eastAsia="es-CO"/>
        </w:rPr>
        <w:t>e</w:t>
      </w:r>
      <w:r w:rsidR="00900861" w:rsidRPr="00A572F4">
        <w:rPr>
          <w:rFonts w:ascii="Arial" w:hAnsi="Arial" w:cs="Arial"/>
          <w:sz w:val="22"/>
          <w:szCs w:val="22"/>
          <w:lang w:eastAsia="es-CO"/>
        </w:rPr>
        <w:t xml:space="preserve"> </w:t>
      </w:r>
      <w:r w:rsidR="00476D6A" w:rsidRPr="00A572F4">
        <w:rPr>
          <w:rFonts w:ascii="Arial" w:hAnsi="Arial" w:cs="Arial"/>
          <w:sz w:val="22"/>
          <w:szCs w:val="22"/>
          <w:lang w:eastAsia="es-CO"/>
        </w:rPr>
        <w:t xml:space="preserve">mediante la asignación de puntaje, por lo que la norma </w:t>
      </w:r>
      <w:r w:rsidR="00B47428" w:rsidRPr="00A572F4">
        <w:rPr>
          <w:rFonts w:ascii="Arial" w:hAnsi="Arial" w:cs="Arial"/>
          <w:sz w:val="22"/>
          <w:szCs w:val="22"/>
          <w:lang w:eastAsia="es-CO"/>
        </w:rPr>
        <w:t>se refiere a</w:t>
      </w:r>
      <w:r w:rsidR="00476D6A" w:rsidRPr="00A572F4">
        <w:rPr>
          <w:rFonts w:ascii="Arial" w:hAnsi="Arial" w:cs="Arial"/>
          <w:sz w:val="22"/>
          <w:szCs w:val="22"/>
          <w:lang w:eastAsia="es-CO"/>
        </w:rPr>
        <w:t xml:space="preserve"> factores que no otorgan puntaje</w:t>
      </w:r>
      <w:r w:rsidR="00CF1AE3" w:rsidRPr="00A572F4">
        <w:rPr>
          <w:rFonts w:ascii="Arial" w:hAnsi="Arial" w:cs="Arial"/>
          <w:sz w:val="22"/>
          <w:szCs w:val="22"/>
          <w:lang w:eastAsia="es-CO"/>
        </w:rPr>
        <w:t xml:space="preserve"> para diferenciar los requisitos habilitantes de los mencionados factores de calificación</w:t>
      </w:r>
      <w:r w:rsidR="00A90546" w:rsidRPr="00A572F4">
        <w:rPr>
          <w:rFonts w:ascii="Arial" w:hAnsi="Arial" w:cs="Arial"/>
          <w:sz w:val="22"/>
          <w:szCs w:val="22"/>
          <w:lang w:eastAsia="es-CO"/>
        </w:rPr>
        <w:t>. Lo anterior,</w:t>
      </w:r>
      <w:r w:rsidR="00CF1AE3" w:rsidRPr="00A572F4">
        <w:rPr>
          <w:rFonts w:ascii="Arial" w:hAnsi="Arial" w:cs="Arial"/>
          <w:sz w:val="22"/>
          <w:szCs w:val="22"/>
          <w:lang w:eastAsia="es-CO"/>
        </w:rPr>
        <w:t xml:space="preserve"> </w:t>
      </w:r>
      <w:r w:rsidR="00130635" w:rsidRPr="00A572F4">
        <w:rPr>
          <w:rFonts w:ascii="Arial" w:hAnsi="Arial" w:cs="Arial"/>
          <w:sz w:val="22"/>
          <w:szCs w:val="22"/>
          <w:lang w:eastAsia="es-CO"/>
        </w:rPr>
        <w:t xml:space="preserve">bajo el entendido que son estos últimos los que determinan la oferta más favorable para la entidad </w:t>
      </w:r>
      <w:r w:rsidR="00D74364" w:rsidRPr="00A572F4">
        <w:rPr>
          <w:rFonts w:ascii="Arial" w:hAnsi="Arial" w:cs="Arial"/>
          <w:sz w:val="22"/>
          <w:szCs w:val="22"/>
          <w:lang w:eastAsia="es-CO"/>
        </w:rPr>
        <w:t xml:space="preserve">y </w:t>
      </w:r>
      <w:r w:rsidR="00601624" w:rsidRPr="00A572F4">
        <w:rPr>
          <w:rFonts w:ascii="Arial" w:hAnsi="Arial" w:cs="Arial"/>
          <w:sz w:val="22"/>
          <w:szCs w:val="22"/>
          <w:lang w:eastAsia="es-CO"/>
        </w:rPr>
        <w:t xml:space="preserve">la </w:t>
      </w:r>
      <w:r w:rsidR="00D74364" w:rsidRPr="00A572F4">
        <w:rPr>
          <w:rFonts w:ascii="Arial" w:hAnsi="Arial" w:cs="Arial"/>
          <w:sz w:val="22"/>
          <w:szCs w:val="22"/>
          <w:lang w:eastAsia="es-CO"/>
        </w:rPr>
        <w:t>que en consecuencia debe elegi</w:t>
      </w:r>
      <w:r w:rsidR="00B47428" w:rsidRPr="00A572F4">
        <w:rPr>
          <w:rFonts w:ascii="Arial" w:hAnsi="Arial" w:cs="Arial"/>
          <w:sz w:val="22"/>
          <w:szCs w:val="22"/>
          <w:lang w:eastAsia="es-CO"/>
        </w:rPr>
        <w:t>rse</w:t>
      </w:r>
      <w:r w:rsidR="00D74364" w:rsidRPr="00A572F4">
        <w:rPr>
          <w:rFonts w:ascii="Arial" w:hAnsi="Arial" w:cs="Arial"/>
          <w:sz w:val="22"/>
          <w:szCs w:val="22"/>
          <w:lang w:eastAsia="es-CO"/>
        </w:rPr>
        <w:t xml:space="preserve">. </w:t>
      </w:r>
    </w:p>
    <w:p w14:paraId="7E83BEFA" w14:textId="6413D1F9" w:rsidR="0060009C" w:rsidRPr="00A572F4" w:rsidRDefault="00902CC9" w:rsidP="00EB2ED0">
      <w:pPr>
        <w:tabs>
          <w:tab w:val="left" w:pos="0"/>
        </w:tabs>
        <w:spacing w:after="120" w:line="276" w:lineRule="auto"/>
        <w:jc w:val="both"/>
        <w:rPr>
          <w:rFonts w:ascii="Arial" w:eastAsia="Calibri" w:hAnsi="Arial" w:cs="Arial"/>
          <w:bCs/>
          <w:sz w:val="22"/>
          <w:lang w:val="es-ES_tradnl"/>
        </w:rPr>
      </w:pPr>
      <w:r w:rsidRPr="00A572F4">
        <w:rPr>
          <w:rFonts w:ascii="Arial" w:eastAsia="Calibri" w:hAnsi="Arial" w:cs="Arial"/>
          <w:b/>
          <w:sz w:val="22"/>
          <w:lang w:val="es-ES_tradnl"/>
        </w:rPr>
        <w:tab/>
      </w:r>
      <w:r w:rsidR="003467FE" w:rsidRPr="00A572F4">
        <w:rPr>
          <w:rFonts w:ascii="Arial" w:eastAsia="Calibri" w:hAnsi="Arial" w:cs="Arial"/>
          <w:bCs/>
          <w:sz w:val="22"/>
          <w:lang w:val="es-ES_tradnl"/>
        </w:rPr>
        <w:t xml:space="preserve">Considerando </w:t>
      </w:r>
      <w:r w:rsidR="00B1189E" w:rsidRPr="00A572F4">
        <w:rPr>
          <w:rFonts w:ascii="Arial" w:eastAsia="Calibri" w:hAnsi="Arial" w:cs="Arial"/>
          <w:bCs/>
          <w:sz w:val="22"/>
          <w:lang w:val="es-ES_tradnl"/>
        </w:rPr>
        <w:t>la explicación precedente</w:t>
      </w:r>
      <w:r w:rsidR="003467FE" w:rsidRPr="00A572F4">
        <w:rPr>
          <w:rFonts w:ascii="Arial" w:eastAsia="Calibri" w:hAnsi="Arial" w:cs="Arial"/>
          <w:bCs/>
          <w:sz w:val="22"/>
          <w:lang w:val="es-ES_tradnl"/>
        </w:rPr>
        <w:t>,</w:t>
      </w:r>
      <w:r w:rsidR="00841275" w:rsidRPr="00A572F4">
        <w:rPr>
          <w:rFonts w:ascii="Arial" w:eastAsia="Calibri" w:hAnsi="Arial" w:cs="Arial"/>
          <w:bCs/>
          <w:sz w:val="22"/>
          <w:lang w:val="es-ES_tradnl"/>
        </w:rPr>
        <w:t xml:space="preserve"> </w:t>
      </w:r>
      <w:r w:rsidR="00EF3CD4" w:rsidRPr="00A572F4">
        <w:rPr>
          <w:rFonts w:ascii="Arial" w:eastAsia="Calibri" w:hAnsi="Arial" w:cs="Arial"/>
          <w:bCs/>
          <w:sz w:val="22"/>
          <w:lang w:val="es-ES_tradnl"/>
        </w:rPr>
        <w:t xml:space="preserve">asumir </w:t>
      </w:r>
      <w:r w:rsidR="00B1189E" w:rsidRPr="00A572F4">
        <w:rPr>
          <w:rFonts w:ascii="Arial" w:eastAsia="Calibri" w:hAnsi="Arial" w:cs="Arial"/>
          <w:bCs/>
          <w:sz w:val="22"/>
          <w:lang w:val="es-ES_tradnl"/>
        </w:rPr>
        <w:t>que</w:t>
      </w:r>
      <w:r w:rsidR="00841275" w:rsidRPr="00A572F4">
        <w:rPr>
          <w:rFonts w:ascii="Arial" w:eastAsia="Calibri" w:hAnsi="Arial" w:cs="Arial"/>
          <w:bCs/>
          <w:sz w:val="22"/>
          <w:lang w:val="es-ES_tradnl"/>
        </w:rPr>
        <w:t xml:space="preserve"> </w:t>
      </w:r>
      <w:r w:rsidR="000D2C83" w:rsidRPr="00A572F4">
        <w:rPr>
          <w:rFonts w:ascii="Arial" w:eastAsia="Calibri" w:hAnsi="Arial" w:cs="Arial"/>
          <w:bCs/>
          <w:sz w:val="22"/>
          <w:lang w:val="es-ES_tradnl"/>
        </w:rPr>
        <w:t>los factores de desempate del artículo 35 de la Ley 2069 de 2020</w:t>
      </w:r>
      <w:r w:rsidR="00BB0156" w:rsidRPr="00A572F4">
        <w:rPr>
          <w:rFonts w:ascii="Arial" w:eastAsia="Calibri" w:hAnsi="Arial" w:cs="Arial"/>
          <w:bCs/>
          <w:sz w:val="22"/>
          <w:lang w:val="es-ES_tradnl"/>
        </w:rPr>
        <w:t xml:space="preserve"> </w:t>
      </w:r>
      <w:r w:rsidR="00B1189E" w:rsidRPr="00A572F4">
        <w:rPr>
          <w:rFonts w:ascii="Arial" w:eastAsia="Calibri" w:hAnsi="Arial" w:cs="Arial"/>
          <w:bCs/>
          <w:sz w:val="22"/>
          <w:lang w:val="es-ES_tradnl"/>
        </w:rPr>
        <w:t>únicamente</w:t>
      </w:r>
      <w:r w:rsidR="00BB0156" w:rsidRPr="00A572F4">
        <w:rPr>
          <w:rFonts w:ascii="Arial" w:eastAsia="Calibri" w:hAnsi="Arial" w:cs="Arial"/>
          <w:bCs/>
          <w:sz w:val="22"/>
          <w:lang w:val="es-ES_tradnl"/>
        </w:rPr>
        <w:t xml:space="preserve"> son aplicables a </w:t>
      </w:r>
      <w:r w:rsidR="00D975DD" w:rsidRPr="00A572F4">
        <w:rPr>
          <w:rFonts w:ascii="Arial" w:eastAsia="Calibri" w:hAnsi="Arial" w:cs="Arial"/>
          <w:bCs/>
          <w:sz w:val="22"/>
          <w:lang w:val="es-ES_tradnl"/>
        </w:rPr>
        <w:t xml:space="preserve">los </w:t>
      </w:r>
      <w:r w:rsidR="00BB0156" w:rsidRPr="00A572F4">
        <w:rPr>
          <w:rFonts w:ascii="Arial" w:eastAsia="Calibri" w:hAnsi="Arial" w:cs="Arial"/>
          <w:bCs/>
          <w:sz w:val="22"/>
          <w:lang w:val="es-ES_tradnl"/>
        </w:rPr>
        <w:t>proc</w:t>
      </w:r>
      <w:r w:rsidR="00D975DD" w:rsidRPr="00A572F4">
        <w:rPr>
          <w:rFonts w:ascii="Arial" w:eastAsia="Calibri" w:hAnsi="Arial" w:cs="Arial"/>
          <w:bCs/>
          <w:sz w:val="22"/>
          <w:lang w:val="es-ES_tradnl"/>
        </w:rPr>
        <w:t>esos de selección</w:t>
      </w:r>
      <w:r w:rsidR="00BB0156" w:rsidRPr="00A572F4">
        <w:rPr>
          <w:rFonts w:ascii="Arial" w:eastAsia="Calibri" w:hAnsi="Arial" w:cs="Arial"/>
          <w:bCs/>
          <w:sz w:val="22"/>
          <w:lang w:val="es-ES_tradnl"/>
        </w:rPr>
        <w:t xml:space="preserve"> en los que se empleen sistemas de asignación de puntaje para determinar </w:t>
      </w:r>
      <w:r w:rsidR="00EF3CD4" w:rsidRPr="00A572F4">
        <w:rPr>
          <w:rFonts w:ascii="Arial" w:eastAsia="Calibri" w:hAnsi="Arial" w:cs="Arial"/>
          <w:bCs/>
          <w:sz w:val="22"/>
          <w:lang w:val="es-ES_tradnl"/>
        </w:rPr>
        <w:t>la oferta más favorable</w:t>
      </w:r>
      <w:r w:rsidR="00482157" w:rsidRPr="00A572F4">
        <w:rPr>
          <w:rFonts w:ascii="Arial" w:eastAsia="Calibri" w:hAnsi="Arial" w:cs="Arial"/>
          <w:bCs/>
          <w:sz w:val="22"/>
          <w:lang w:val="es-ES_tradnl"/>
        </w:rPr>
        <w:t>, conduciría a entender que</w:t>
      </w:r>
      <w:r w:rsidR="00BC2BC5" w:rsidRPr="00A572F4">
        <w:rPr>
          <w:rFonts w:ascii="Arial" w:eastAsia="Calibri" w:hAnsi="Arial" w:cs="Arial"/>
          <w:bCs/>
          <w:sz w:val="22"/>
          <w:lang w:val="es-ES_tradnl"/>
        </w:rPr>
        <w:t xml:space="preserve"> estos no </w:t>
      </w:r>
      <w:r w:rsidR="00F311A1" w:rsidRPr="00A572F4">
        <w:rPr>
          <w:rFonts w:ascii="Arial" w:eastAsia="Calibri" w:hAnsi="Arial" w:cs="Arial"/>
          <w:bCs/>
          <w:sz w:val="22"/>
          <w:lang w:val="es-ES_tradnl"/>
        </w:rPr>
        <w:t>rigen</w:t>
      </w:r>
      <w:r w:rsidR="009928AF" w:rsidRPr="00A572F4">
        <w:rPr>
          <w:rFonts w:ascii="Arial" w:eastAsia="Calibri" w:hAnsi="Arial" w:cs="Arial"/>
          <w:bCs/>
          <w:sz w:val="22"/>
          <w:lang w:val="es-ES_tradnl"/>
        </w:rPr>
        <w:t xml:space="preserve"> en otros</w:t>
      </w:r>
      <w:r w:rsidR="00F311A1" w:rsidRPr="00A572F4">
        <w:rPr>
          <w:rFonts w:ascii="Arial" w:eastAsia="Calibri" w:hAnsi="Arial" w:cs="Arial"/>
          <w:bCs/>
          <w:sz w:val="22"/>
          <w:lang w:val="es-ES_tradnl"/>
        </w:rPr>
        <w:t xml:space="preserve"> procedimientos de selección</w:t>
      </w:r>
      <w:r w:rsidR="005A6886" w:rsidRPr="00A572F4">
        <w:rPr>
          <w:rFonts w:ascii="Arial" w:eastAsia="Calibri" w:hAnsi="Arial" w:cs="Arial"/>
          <w:bCs/>
          <w:sz w:val="22"/>
          <w:lang w:val="es-ES_tradnl"/>
        </w:rPr>
        <w:t xml:space="preserve">. Esto </w:t>
      </w:r>
      <w:r w:rsidR="00F311A1" w:rsidRPr="00A572F4">
        <w:rPr>
          <w:rFonts w:ascii="Arial" w:eastAsia="Calibri" w:hAnsi="Arial" w:cs="Arial"/>
          <w:bCs/>
          <w:sz w:val="22"/>
          <w:lang w:val="es-ES_tradnl"/>
        </w:rPr>
        <w:t xml:space="preserve">dado </w:t>
      </w:r>
      <w:r w:rsidR="005A6886" w:rsidRPr="00A572F4">
        <w:rPr>
          <w:rFonts w:ascii="Arial" w:eastAsia="Calibri" w:hAnsi="Arial" w:cs="Arial"/>
          <w:bCs/>
          <w:sz w:val="22"/>
          <w:lang w:val="es-ES_tradnl"/>
        </w:rPr>
        <w:t>que</w:t>
      </w:r>
      <w:r w:rsidR="00F311A1" w:rsidRPr="00A572F4">
        <w:rPr>
          <w:rFonts w:ascii="Arial" w:eastAsia="Calibri" w:hAnsi="Arial" w:cs="Arial"/>
          <w:bCs/>
          <w:sz w:val="22"/>
          <w:lang w:val="es-ES_tradnl"/>
        </w:rPr>
        <w:t xml:space="preserve"> no</w:t>
      </w:r>
      <w:r w:rsidR="00B455BD" w:rsidRPr="00A572F4">
        <w:rPr>
          <w:rFonts w:ascii="Arial" w:eastAsia="Calibri" w:hAnsi="Arial" w:cs="Arial"/>
          <w:bCs/>
          <w:sz w:val="22"/>
          <w:lang w:val="es-ES_tradnl"/>
        </w:rPr>
        <w:t xml:space="preserve"> habría lugar</w:t>
      </w:r>
      <w:r w:rsidR="00BC2BC5" w:rsidRPr="00A572F4">
        <w:rPr>
          <w:rFonts w:ascii="Arial" w:eastAsia="Calibri" w:hAnsi="Arial" w:cs="Arial"/>
          <w:bCs/>
          <w:sz w:val="22"/>
          <w:lang w:val="es-ES_tradnl"/>
        </w:rPr>
        <w:t xml:space="preserve"> </w:t>
      </w:r>
      <w:r w:rsidR="00B455BD" w:rsidRPr="00A572F4">
        <w:rPr>
          <w:rFonts w:ascii="Arial" w:eastAsia="Calibri" w:hAnsi="Arial" w:cs="Arial"/>
          <w:bCs/>
          <w:sz w:val="22"/>
          <w:lang w:val="es-ES_tradnl"/>
        </w:rPr>
        <w:t xml:space="preserve">a aplicar los referidos factores de desempate </w:t>
      </w:r>
      <w:r w:rsidR="00BC2BC5" w:rsidRPr="00A572F4">
        <w:rPr>
          <w:rFonts w:ascii="Arial" w:eastAsia="Calibri" w:hAnsi="Arial" w:cs="Arial"/>
          <w:bCs/>
          <w:sz w:val="22"/>
          <w:lang w:val="es-ES_tradnl"/>
        </w:rPr>
        <w:t xml:space="preserve">en </w:t>
      </w:r>
      <w:r w:rsidR="00810179" w:rsidRPr="00A572F4">
        <w:rPr>
          <w:rFonts w:ascii="Arial" w:eastAsia="Calibri" w:hAnsi="Arial" w:cs="Arial"/>
          <w:bCs/>
          <w:sz w:val="22"/>
          <w:lang w:val="es-ES_tradnl"/>
        </w:rPr>
        <w:t>procedimiento</w:t>
      </w:r>
      <w:r w:rsidR="00B455BD" w:rsidRPr="00A572F4">
        <w:rPr>
          <w:rFonts w:ascii="Arial" w:eastAsia="Calibri" w:hAnsi="Arial" w:cs="Arial"/>
          <w:bCs/>
          <w:sz w:val="22"/>
          <w:lang w:val="es-ES_tradnl"/>
        </w:rPr>
        <w:t>s</w:t>
      </w:r>
      <w:r w:rsidR="00810179" w:rsidRPr="00A572F4">
        <w:rPr>
          <w:rFonts w:ascii="Arial" w:eastAsia="Calibri" w:hAnsi="Arial" w:cs="Arial"/>
          <w:bCs/>
          <w:sz w:val="22"/>
          <w:lang w:val="es-ES_tradnl"/>
        </w:rPr>
        <w:t xml:space="preserve"> en </w:t>
      </w:r>
      <w:r w:rsidR="00B455BD" w:rsidRPr="00A572F4">
        <w:rPr>
          <w:rFonts w:ascii="Arial" w:eastAsia="Calibri" w:hAnsi="Arial" w:cs="Arial"/>
          <w:bCs/>
          <w:sz w:val="22"/>
          <w:lang w:val="es-ES_tradnl"/>
        </w:rPr>
        <w:t>los</w:t>
      </w:r>
      <w:r w:rsidR="00810179" w:rsidRPr="00A572F4">
        <w:rPr>
          <w:rFonts w:ascii="Arial" w:eastAsia="Calibri" w:hAnsi="Arial" w:cs="Arial"/>
          <w:bCs/>
          <w:sz w:val="22"/>
          <w:lang w:val="es-ES_tradnl"/>
        </w:rPr>
        <w:t xml:space="preserve"> que no se comparen las ofertas usando puntajes,</w:t>
      </w:r>
      <w:r w:rsidR="00E15DE3" w:rsidRPr="00A572F4">
        <w:rPr>
          <w:rFonts w:ascii="Arial" w:eastAsia="Calibri" w:hAnsi="Arial" w:cs="Arial"/>
          <w:bCs/>
          <w:sz w:val="22"/>
          <w:lang w:val="es-ES_tradnl"/>
        </w:rPr>
        <w:t xml:space="preserve"> como es el caso de los procesos en los que </w:t>
      </w:r>
      <w:r w:rsidR="00230E35" w:rsidRPr="00A572F4">
        <w:rPr>
          <w:rFonts w:ascii="Arial" w:eastAsia="Calibri" w:hAnsi="Arial" w:cs="Arial"/>
          <w:bCs/>
          <w:sz w:val="22"/>
          <w:lang w:val="es-ES_tradnl"/>
        </w:rPr>
        <w:t xml:space="preserve">ponderan </w:t>
      </w:r>
      <w:r w:rsidR="00E70C98" w:rsidRPr="00A572F4">
        <w:rPr>
          <w:rFonts w:ascii="Arial" w:eastAsia="Calibri" w:hAnsi="Arial" w:cs="Arial"/>
          <w:bCs/>
          <w:sz w:val="22"/>
          <w:lang w:val="es-ES_tradnl"/>
        </w:rPr>
        <w:t xml:space="preserve">condiciones técnicas y económicas </w:t>
      </w:r>
      <w:r w:rsidR="00CD710A" w:rsidRPr="00A572F4">
        <w:rPr>
          <w:rFonts w:ascii="Arial" w:eastAsia="Calibri" w:hAnsi="Arial" w:cs="Arial"/>
          <w:bCs/>
          <w:sz w:val="22"/>
          <w:lang w:val="es-ES_tradnl"/>
        </w:rPr>
        <w:t>mínimas</w:t>
      </w:r>
      <w:r w:rsidR="00E70C98" w:rsidRPr="00A572F4">
        <w:rPr>
          <w:rFonts w:ascii="Arial" w:eastAsia="Calibri" w:hAnsi="Arial" w:cs="Arial"/>
          <w:bCs/>
          <w:sz w:val="22"/>
          <w:lang w:val="es-ES_tradnl"/>
        </w:rPr>
        <w:t xml:space="preserve"> y adicionales para escoger la oferta que represente la mejor relación costo beneficio</w:t>
      </w:r>
      <w:r w:rsidR="00AD5523" w:rsidRPr="00A572F4">
        <w:rPr>
          <w:rFonts w:ascii="Arial" w:eastAsia="Calibri" w:hAnsi="Arial" w:cs="Arial"/>
          <w:bCs/>
          <w:sz w:val="22"/>
          <w:lang w:val="es-ES_tradnl"/>
        </w:rPr>
        <w:t>, procedimientos en los que también es posible que se presenten empate</w:t>
      </w:r>
      <w:r w:rsidR="001971FD" w:rsidRPr="00A572F4">
        <w:rPr>
          <w:rFonts w:ascii="Arial" w:eastAsia="Calibri" w:hAnsi="Arial" w:cs="Arial"/>
          <w:bCs/>
          <w:sz w:val="22"/>
          <w:lang w:val="es-ES_tradnl"/>
        </w:rPr>
        <w:t>s</w:t>
      </w:r>
      <w:r w:rsidR="00AD5523" w:rsidRPr="00A572F4">
        <w:rPr>
          <w:rFonts w:ascii="Arial" w:eastAsia="Calibri" w:hAnsi="Arial" w:cs="Arial"/>
          <w:bCs/>
          <w:sz w:val="22"/>
          <w:lang w:val="es-ES_tradnl"/>
        </w:rPr>
        <w:t>.</w:t>
      </w:r>
      <w:r w:rsidR="00E70C98" w:rsidRPr="00A572F4">
        <w:rPr>
          <w:rFonts w:ascii="Arial" w:eastAsia="Calibri" w:hAnsi="Arial" w:cs="Arial"/>
          <w:bCs/>
          <w:sz w:val="22"/>
          <w:lang w:val="es-ES_tradnl"/>
        </w:rPr>
        <w:t xml:space="preserve"> </w:t>
      </w:r>
    </w:p>
    <w:p w14:paraId="0D1A830E" w14:textId="17EEDE4F" w:rsidR="001E747D" w:rsidRPr="00A572F4" w:rsidRDefault="00AA5E49" w:rsidP="00EB2ED0">
      <w:pPr>
        <w:tabs>
          <w:tab w:val="left" w:pos="0"/>
        </w:tabs>
        <w:spacing w:after="120" w:line="276" w:lineRule="auto"/>
        <w:jc w:val="both"/>
        <w:rPr>
          <w:rFonts w:ascii="Arial" w:eastAsia="Calibri" w:hAnsi="Arial" w:cs="Arial"/>
          <w:bCs/>
          <w:sz w:val="22"/>
          <w:lang w:val="es-ES_tradnl"/>
        </w:rPr>
      </w:pPr>
      <w:r w:rsidRPr="00A572F4">
        <w:rPr>
          <w:rFonts w:ascii="Arial" w:eastAsia="Calibri" w:hAnsi="Arial" w:cs="Arial"/>
          <w:bCs/>
          <w:sz w:val="22"/>
          <w:lang w:val="es-ES_tradnl"/>
        </w:rPr>
        <w:tab/>
      </w:r>
      <w:r w:rsidR="001971FD" w:rsidRPr="00A572F4">
        <w:rPr>
          <w:rFonts w:ascii="Arial" w:eastAsia="Calibri" w:hAnsi="Arial" w:cs="Arial"/>
          <w:bCs/>
          <w:sz w:val="22"/>
          <w:lang w:val="es-ES_tradnl"/>
        </w:rPr>
        <w:t>Lo anterior</w:t>
      </w:r>
      <w:r w:rsidR="00314A22" w:rsidRPr="00A572F4">
        <w:rPr>
          <w:rFonts w:ascii="Arial" w:eastAsia="Calibri" w:hAnsi="Arial" w:cs="Arial"/>
          <w:bCs/>
          <w:sz w:val="22"/>
          <w:lang w:val="es-ES_tradnl"/>
        </w:rPr>
        <w:t xml:space="preserve"> implica que l</w:t>
      </w:r>
      <w:r w:rsidR="00F719FD" w:rsidRPr="00A572F4">
        <w:rPr>
          <w:rFonts w:ascii="Arial" w:eastAsia="Calibri" w:hAnsi="Arial" w:cs="Arial"/>
          <w:bCs/>
          <w:sz w:val="22"/>
          <w:lang w:val="es-ES_tradnl"/>
        </w:rPr>
        <w:t>as entidades estatales</w:t>
      </w:r>
      <w:r w:rsidR="00314A22" w:rsidRPr="00A572F4">
        <w:rPr>
          <w:rFonts w:ascii="Arial" w:eastAsia="Calibri" w:hAnsi="Arial" w:cs="Arial"/>
          <w:bCs/>
          <w:sz w:val="22"/>
          <w:lang w:val="es-ES_tradnl"/>
        </w:rPr>
        <w:t xml:space="preserve"> </w:t>
      </w:r>
      <w:r w:rsidR="008C6754" w:rsidRPr="00A572F4">
        <w:rPr>
          <w:rFonts w:ascii="Arial" w:eastAsia="Calibri" w:hAnsi="Arial" w:cs="Arial"/>
          <w:bCs/>
          <w:sz w:val="22"/>
          <w:lang w:val="es-ES_tradnl"/>
        </w:rPr>
        <w:t xml:space="preserve">tendrían </w:t>
      </w:r>
      <w:r w:rsidR="004F44D8" w:rsidRPr="00A572F4">
        <w:rPr>
          <w:rFonts w:ascii="Arial" w:eastAsia="Calibri" w:hAnsi="Arial" w:cs="Arial"/>
          <w:bCs/>
          <w:sz w:val="22"/>
          <w:lang w:val="es-ES_tradnl"/>
        </w:rPr>
        <w:t>a su alcance la posibilidad de determinar si aplica o no el artículo 35</w:t>
      </w:r>
      <w:r w:rsidR="008C6754" w:rsidRPr="00A572F4">
        <w:rPr>
          <w:rFonts w:ascii="Arial" w:eastAsia="Calibri" w:hAnsi="Arial" w:cs="Arial"/>
          <w:bCs/>
          <w:sz w:val="22"/>
          <w:lang w:val="es-ES_tradnl"/>
        </w:rPr>
        <w:t xml:space="preserve"> de la Ley de Emprendimiento</w:t>
      </w:r>
      <w:r w:rsidR="004F44D8" w:rsidRPr="00A572F4">
        <w:rPr>
          <w:rFonts w:ascii="Arial" w:eastAsia="Calibri" w:hAnsi="Arial" w:cs="Arial"/>
          <w:bCs/>
          <w:sz w:val="22"/>
          <w:lang w:val="es-ES_tradnl"/>
        </w:rPr>
        <w:t xml:space="preserve">, </w:t>
      </w:r>
      <w:r w:rsidR="00812C9E" w:rsidRPr="00A572F4">
        <w:rPr>
          <w:rFonts w:ascii="Arial" w:eastAsia="Calibri" w:hAnsi="Arial" w:cs="Arial"/>
          <w:bCs/>
          <w:sz w:val="22"/>
          <w:lang w:val="es-ES_tradnl"/>
        </w:rPr>
        <w:t xml:space="preserve">ya que al </w:t>
      </w:r>
      <w:r w:rsidR="008D15D4" w:rsidRPr="00A572F4">
        <w:rPr>
          <w:rFonts w:ascii="Arial" w:eastAsia="Calibri" w:hAnsi="Arial" w:cs="Arial"/>
          <w:bCs/>
          <w:sz w:val="22"/>
          <w:lang w:val="es-ES_tradnl"/>
        </w:rPr>
        <w:t>elaborar</w:t>
      </w:r>
      <w:r w:rsidR="00F719FD" w:rsidRPr="00A572F4">
        <w:rPr>
          <w:rFonts w:ascii="Arial" w:eastAsia="Calibri" w:hAnsi="Arial" w:cs="Arial"/>
          <w:bCs/>
          <w:sz w:val="22"/>
          <w:lang w:val="es-ES_tradnl"/>
        </w:rPr>
        <w:t xml:space="preserve"> los pliegos de condiciones </w:t>
      </w:r>
      <w:r w:rsidR="000A03F2" w:rsidRPr="00A572F4">
        <w:rPr>
          <w:rFonts w:ascii="Arial" w:eastAsia="Calibri" w:hAnsi="Arial" w:cs="Arial"/>
          <w:bCs/>
          <w:sz w:val="22"/>
          <w:lang w:val="es-ES_tradnl"/>
        </w:rPr>
        <w:t>est</w:t>
      </w:r>
      <w:r w:rsidR="00812C9E" w:rsidRPr="00A572F4">
        <w:rPr>
          <w:rFonts w:ascii="Arial" w:eastAsia="Calibri" w:hAnsi="Arial" w:cs="Arial"/>
          <w:bCs/>
          <w:sz w:val="22"/>
          <w:lang w:val="es-ES_tradnl"/>
        </w:rPr>
        <w:t>án</w:t>
      </w:r>
      <w:r w:rsidR="000A03F2" w:rsidRPr="00A572F4">
        <w:rPr>
          <w:rFonts w:ascii="Arial" w:eastAsia="Calibri" w:hAnsi="Arial" w:cs="Arial"/>
          <w:bCs/>
          <w:sz w:val="22"/>
          <w:lang w:val="es-ES_tradnl"/>
        </w:rPr>
        <w:t xml:space="preserve"> faculta</w:t>
      </w:r>
      <w:r w:rsidR="002E6A50" w:rsidRPr="00A572F4">
        <w:rPr>
          <w:rFonts w:ascii="Arial" w:eastAsia="Calibri" w:hAnsi="Arial" w:cs="Arial"/>
          <w:bCs/>
          <w:sz w:val="22"/>
          <w:lang w:val="es-ES_tradnl"/>
        </w:rPr>
        <w:t>da</w:t>
      </w:r>
      <w:r w:rsidR="000A03F2" w:rsidRPr="00A572F4">
        <w:rPr>
          <w:rFonts w:ascii="Arial" w:eastAsia="Calibri" w:hAnsi="Arial" w:cs="Arial"/>
          <w:bCs/>
          <w:sz w:val="22"/>
          <w:lang w:val="es-ES_tradnl"/>
        </w:rPr>
        <w:t>s para</w:t>
      </w:r>
      <w:r w:rsidR="00812C9E" w:rsidRPr="00A572F4">
        <w:rPr>
          <w:rFonts w:ascii="Arial" w:eastAsia="Calibri" w:hAnsi="Arial" w:cs="Arial"/>
          <w:bCs/>
          <w:sz w:val="22"/>
          <w:lang w:val="es-ES_tradnl"/>
        </w:rPr>
        <w:t xml:space="preserve"> </w:t>
      </w:r>
      <w:r w:rsidR="0071041A" w:rsidRPr="00A572F4">
        <w:rPr>
          <w:rFonts w:ascii="Arial" w:eastAsia="Calibri" w:hAnsi="Arial" w:cs="Arial"/>
          <w:bCs/>
          <w:sz w:val="22"/>
          <w:lang w:val="es-ES_tradnl"/>
        </w:rPr>
        <w:t>prescindir</w:t>
      </w:r>
      <w:r w:rsidR="00812C9E" w:rsidRPr="00A572F4">
        <w:rPr>
          <w:rFonts w:ascii="Arial" w:eastAsia="Calibri" w:hAnsi="Arial" w:cs="Arial"/>
          <w:bCs/>
          <w:sz w:val="22"/>
          <w:lang w:val="es-ES_tradnl"/>
        </w:rPr>
        <w:t xml:space="preserve"> de la asignación de puntaje,</w:t>
      </w:r>
      <w:r w:rsidR="000A03F2" w:rsidRPr="00A572F4">
        <w:rPr>
          <w:rFonts w:ascii="Arial" w:eastAsia="Calibri" w:hAnsi="Arial" w:cs="Arial"/>
          <w:bCs/>
          <w:sz w:val="22"/>
          <w:lang w:val="es-ES_tradnl"/>
        </w:rPr>
        <w:t xml:space="preserve"> opta</w:t>
      </w:r>
      <w:r w:rsidR="00812C9E" w:rsidRPr="00A572F4">
        <w:rPr>
          <w:rFonts w:ascii="Arial" w:eastAsia="Calibri" w:hAnsi="Arial" w:cs="Arial"/>
          <w:bCs/>
          <w:sz w:val="22"/>
          <w:lang w:val="es-ES_tradnl"/>
        </w:rPr>
        <w:t>ndo</w:t>
      </w:r>
      <w:r w:rsidR="0071041A" w:rsidRPr="00A572F4">
        <w:rPr>
          <w:rFonts w:ascii="Arial" w:eastAsia="Calibri" w:hAnsi="Arial" w:cs="Arial"/>
          <w:bCs/>
          <w:sz w:val="22"/>
          <w:lang w:val="es-ES_tradnl"/>
        </w:rPr>
        <w:t>,</w:t>
      </w:r>
      <w:r w:rsidR="000A03F2" w:rsidRPr="00A572F4">
        <w:rPr>
          <w:rFonts w:ascii="Arial" w:eastAsia="Calibri" w:hAnsi="Arial" w:cs="Arial"/>
          <w:bCs/>
          <w:sz w:val="22"/>
          <w:lang w:val="es-ES_tradnl"/>
        </w:rPr>
        <w:t xml:space="preserve"> por</w:t>
      </w:r>
      <w:r w:rsidR="0071041A" w:rsidRPr="00A572F4">
        <w:rPr>
          <w:rFonts w:ascii="Arial" w:eastAsia="Calibri" w:hAnsi="Arial" w:cs="Arial"/>
          <w:bCs/>
          <w:sz w:val="22"/>
          <w:lang w:val="es-ES_tradnl"/>
        </w:rPr>
        <w:t xml:space="preserve"> ejemplo, por</w:t>
      </w:r>
      <w:r w:rsidR="000A03F2" w:rsidRPr="00A572F4">
        <w:rPr>
          <w:rFonts w:ascii="Arial" w:eastAsia="Calibri" w:hAnsi="Arial" w:cs="Arial"/>
          <w:bCs/>
          <w:sz w:val="22"/>
          <w:lang w:val="es-ES_tradnl"/>
        </w:rPr>
        <w:t xml:space="preserve"> alternativas </w:t>
      </w:r>
      <w:r w:rsidR="00DD65ED" w:rsidRPr="00A572F4">
        <w:rPr>
          <w:rFonts w:ascii="Arial" w:eastAsia="Calibri" w:hAnsi="Arial" w:cs="Arial"/>
          <w:bCs/>
          <w:sz w:val="22"/>
          <w:lang w:val="es-ES_tradnl"/>
        </w:rPr>
        <w:t>en las que se valore la relación costo beneficio</w:t>
      </w:r>
      <w:r w:rsidR="003C4B46" w:rsidRPr="00A572F4">
        <w:rPr>
          <w:rFonts w:ascii="Arial" w:eastAsia="Calibri" w:hAnsi="Arial" w:cs="Arial"/>
          <w:bCs/>
          <w:sz w:val="22"/>
          <w:lang w:val="es-ES_tradnl"/>
        </w:rPr>
        <w:t xml:space="preserve">, lo que relevaría </w:t>
      </w:r>
      <w:r w:rsidR="002E6A50" w:rsidRPr="00A572F4">
        <w:rPr>
          <w:rFonts w:ascii="Arial" w:eastAsia="Calibri" w:hAnsi="Arial" w:cs="Arial"/>
          <w:bCs/>
          <w:sz w:val="22"/>
          <w:lang w:val="es-ES_tradnl"/>
        </w:rPr>
        <w:t xml:space="preserve">a la entidad de aplicar </w:t>
      </w:r>
      <w:r w:rsidR="004C74BD" w:rsidRPr="00A572F4">
        <w:rPr>
          <w:rFonts w:ascii="Arial" w:eastAsia="Calibri" w:hAnsi="Arial" w:cs="Arial"/>
          <w:bCs/>
          <w:sz w:val="22"/>
          <w:lang w:val="es-ES_tradnl"/>
        </w:rPr>
        <w:t>los factores de desempate</w:t>
      </w:r>
      <w:r w:rsidR="00314A22" w:rsidRPr="00A572F4">
        <w:rPr>
          <w:rFonts w:ascii="Arial" w:eastAsia="Calibri" w:hAnsi="Arial" w:cs="Arial"/>
          <w:bCs/>
          <w:sz w:val="22"/>
          <w:lang w:val="es-ES_tradnl"/>
        </w:rPr>
        <w:t>.</w:t>
      </w:r>
      <w:r w:rsidR="00AE7CF1" w:rsidRPr="00A572F4">
        <w:rPr>
          <w:rFonts w:ascii="Arial" w:eastAsia="Calibri" w:hAnsi="Arial" w:cs="Arial"/>
          <w:bCs/>
          <w:sz w:val="22"/>
          <w:lang w:val="es-ES_tradnl"/>
        </w:rPr>
        <w:t xml:space="preserve"> </w:t>
      </w:r>
      <w:r w:rsidR="002B3FBF" w:rsidRPr="00A572F4">
        <w:rPr>
          <w:rFonts w:ascii="Arial" w:eastAsia="Calibri" w:hAnsi="Arial" w:cs="Arial"/>
          <w:bCs/>
          <w:sz w:val="22"/>
          <w:lang w:val="es-ES_tradnl"/>
        </w:rPr>
        <w:t>Esta</w:t>
      </w:r>
      <w:r w:rsidR="00AE7CF1" w:rsidRPr="00A572F4">
        <w:rPr>
          <w:rFonts w:ascii="Arial" w:eastAsia="Calibri" w:hAnsi="Arial" w:cs="Arial"/>
          <w:bCs/>
          <w:sz w:val="22"/>
          <w:lang w:val="es-ES_tradnl"/>
        </w:rPr>
        <w:t xml:space="preserve"> consecuencia también se aprecia </w:t>
      </w:r>
      <w:r w:rsidR="005F5935" w:rsidRPr="00A572F4">
        <w:rPr>
          <w:rFonts w:ascii="Arial" w:eastAsia="Calibri" w:hAnsi="Arial" w:cs="Arial"/>
          <w:bCs/>
          <w:sz w:val="22"/>
          <w:lang w:val="es-ES_tradnl"/>
        </w:rPr>
        <w:t>en caso de las entidades exceptuadas</w:t>
      </w:r>
      <w:r w:rsidR="009C0783" w:rsidRPr="00A572F4">
        <w:rPr>
          <w:rFonts w:ascii="Arial" w:eastAsia="Calibri" w:hAnsi="Arial" w:cs="Arial"/>
          <w:bCs/>
          <w:sz w:val="22"/>
          <w:lang w:val="es-ES_tradnl"/>
        </w:rPr>
        <w:t>, quienes al no estar sujetas al artículo 5 de la Ley 1150 de 2007</w:t>
      </w:r>
      <w:r w:rsidR="005F7112" w:rsidRPr="00A572F4">
        <w:rPr>
          <w:rFonts w:ascii="Arial" w:eastAsia="Calibri" w:hAnsi="Arial" w:cs="Arial"/>
          <w:bCs/>
          <w:sz w:val="22"/>
          <w:lang w:val="es-ES_tradnl"/>
        </w:rPr>
        <w:t xml:space="preserve">, tienen a su alcance </w:t>
      </w:r>
      <w:r w:rsidR="00E85D69" w:rsidRPr="00A572F4">
        <w:rPr>
          <w:rFonts w:ascii="Arial" w:eastAsia="Calibri" w:hAnsi="Arial" w:cs="Arial"/>
          <w:bCs/>
          <w:sz w:val="22"/>
          <w:lang w:val="es-ES_tradnl"/>
        </w:rPr>
        <w:t xml:space="preserve">la posibilidad de </w:t>
      </w:r>
      <w:r w:rsidR="005F7112" w:rsidRPr="00A572F4">
        <w:rPr>
          <w:rFonts w:ascii="Arial" w:eastAsia="Calibri" w:hAnsi="Arial" w:cs="Arial"/>
          <w:bCs/>
          <w:sz w:val="22"/>
          <w:lang w:val="es-ES_tradnl"/>
        </w:rPr>
        <w:t xml:space="preserve">configurar procesos de selección </w:t>
      </w:r>
      <w:r w:rsidR="00057CBB" w:rsidRPr="00A572F4">
        <w:rPr>
          <w:rFonts w:ascii="Arial" w:eastAsia="Calibri" w:hAnsi="Arial" w:cs="Arial"/>
          <w:bCs/>
          <w:sz w:val="22"/>
          <w:lang w:val="es-ES_tradnl"/>
        </w:rPr>
        <w:t>en los que no se utilice</w:t>
      </w:r>
      <w:r w:rsidR="008013FB" w:rsidRPr="00A572F4">
        <w:rPr>
          <w:rFonts w:ascii="Arial" w:eastAsia="Calibri" w:hAnsi="Arial" w:cs="Arial"/>
          <w:bCs/>
          <w:sz w:val="22"/>
          <w:lang w:val="es-ES_tradnl"/>
        </w:rPr>
        <w:t>n</w:t>
      </w:r>
      <w:r w:rsidR="00057CBB" w:rsidRPr="00A572F4">
        <w:rPr>
          <w:rFonts w:ascii="Arial" w:eastAsia="Calibri" w:hAnsi="Arial" w:cs="Arial"/>
          <w:bCs/>
          <w:sz w:val="22"/>
          <w:lang w:val="es-ES_tradnl"/>
        </w:rPr>
        <w:t xml:space="preserve"> puntaje</w:t>
      </w:r>
      <w:r w:rsidR="008013FB" w:rsidRPr="00A572F4">
        <w:rPr>
          <w:rFonts w:ascii="Arial" w:eastAsia="Calibri" w:hAnsi="Arial" w:cs="Arial"/>
          <w:bCs/>
          <w:sz w:val="22"/>
          <w:lang w:val="es-ES_tradnl"/>
        </w:rPr>
        <w:t>s</w:t>
      </w:r>
      <w:r w:rsidR="00057CBB" w:rsidRPr="00A572F4">
        <w:rPr>
          <w:rFonts w:ascii="Arial" w:eastAsia="Calibri" w:hAnsi="Arial" w:cs="Arial"/>
          <w:bCs/>
          <w:sz w:val="22"/>
          <w:lang w:val="es-ES_tradnl"/>
        </w:rPr>
        <w:t xml:space="preserve"> para escoger la oferta ganadora,</w:t>
      </w:r>
      <w:r w:rsidR="001E747D" w:rsidRPr="00A572F4">
        <w:rPr>
          <w:rFonts w:ascii="Arial" w:eastAsia="Calibri" w:hAnsi="Arial" w:cs="Arial"/>
          <w:bCs/>
          <w:sz w:val="22"/>
          <w:lang w:val="es-ES_tradnl"/>
        </w:rPr>
        <w:t xml:space="preserve"> </w:t>
      </w:r>
      <w:r w:rsidR="007363DC" w:rsidRPr="00A572F4">
        <w:rPr>
          <w:rFonts w:ascii="Arial" w:eastAsia="Calibri" w:hAnsi="Arial" w:cs="Arial"/>
          <w:bCs/>
          <w:sz w:val="22"/>
          <w:lang w:val="es-ES_tradnl"/>
        </w:rPr>
        <w:t>inaplicando</w:t>
      </w:r>
      <w:r w:rsidR="001E747D" w:rsidRPr="00A572F4">
        <w:rPr>
          <w:rFonts w:ascii="Arial" w:eastAsia="Calibri" w:hAnsi="Arial" w:cs="Arial"/>
          <w:bCs/>
          <w:sz w:val="22"/>
          <w:lang w:val="es-ES_tradnl"/>
        </w:rPr>
        <w:t xml:space="preserve"> de los factores de desempate del artículo 35</w:t>
      </w:r>
      <w:r w:rsidR="008013FB" w:rsidRPr="00A572F4">
        <w:rPr>
          <w:rFonts w:ascii="Arial" w:eastAsia="Calibri" w:hAnsi="Arial" w:cs="Arial"/>
          <w:bCs/>
          <w:sz w:val="22"/>
          <w:lang w:val="es-ES_tradnl"/>
        </w:rPr>
        <w:t xml:space="preserve"> de la Ley 2069 de 2020.</w:t>
      </w:r>
    </w:p>
    <w:p w14:paraId="1DE74688" w14:textId="0924883F" w:rsidR="00AA5E49" w:rsidRPr="00A572F4" w:rsidRDefault="00A056D2" w:rsidP="00EB2ED0">
      <w:pPr>
        <w:tabs>
          <w:tab w:val="left" w:pos="0"/>
        </w:tabs>
        <w:spacing w:after="120" w:line="276" w:lineRule="auto"/>
        <w:jc w:val="both"/>
        <w:rPr>
          <w:rFonts w:ascii="Arial" w:eastAsia="Calibri" w:hAnsi="Arial" w:cs="Arial"/>
          <w:bCs/>
          <w:sz w:val="22"/>
          <w:lang w:val="es-ES_tradnl"/>
        </w:rPr>
      </w:pPr>
      <w:r w:rsidRPr="00A572F4">
        <w:rPr>
          <w:rFonts w:ascii="Arial" w:eastAsia="Calibri" w:hAnsi="Arial" w:cs="Arial"/>
          <w:bCs/>
          <w:sz w:val="22"/>
          <w:lang w:val="es-ES_tradnl"/>
        </w:rPr>
        <w:lastRenderedPageBreak/>
        <w:tab/>
        <w:t xml:space="preserve">Conforme a estas consideraciones, el entendimiento literal de la expresión </w:t>
      </w:r>
      <w:r w:rsidRPr="00A572F4">
        <w:rPr>
          <w:rFonts w:ascii="Arial" w:eastAsia="Calibri" w:hAnsi="Arial" w:cs="Arial"/>
          <w:bCs/>
          <w:i/>
          <w:iCs/>
          <w:sz w:val="22"/>
          <w:lang w:val="es-ES_tradnl"/>
        </w:rPr>
        <w:t>puntaje total</w:t>
      </w:r>
      <w:r w:rsidR="002036BA" w:rsidRPr="00A572F4">
        <w:rPr>
          <w:rFonts w:ascii="Arial" w:eastAsia="Calibri" w:hAnsi="Arial" w:cs="Arial"/>
          <w:bCs/>
          <w:sz w:val="22"/>
          <w:lang w:val="es-ES_tradnl"/>
        </w:rPr>
        <w:t xml:space="preserve"> contenida en el artículo 35 de la 2069 de 2020, priva </w:t>
      </w:r>
      <w:r w:rsidR="008627DE" w:rsidRPr="00A572F4">
        <w:rPr>
          <w:rFonts w:ascii="Arial" w:eastAsia="Calibri" w:hAnsi="Arial" w:cs="Arial"/>
          <w:bCs/>
          <w:sz w:val="22"/>
          <w:lang w:val="es-ES_tradnl"/>
        </w:rPr>
        <w:t>esta</w:t>
      </w:r>
      <w:r w:rsidR="002036BA" w:rsidRPr="00A572F4">
        <w:rPr>
          <w:rFonts w:ascii="Arial" w:eastAsia="Calibri" w:hAnsi="Arial" w:cs="Arial"/>
          <w:bCs/>
          <w:sz w:val="22"/>
          <w:lang w:val="es-ES_tradnl"/>
        </w:rPr>
        <w:t xml:space="preserve"> norma de un</w:t>
      </w:r>
      <w:r w:rsidR="00290805" w:rsidRPr="00A572F4">
        <w:rPr>
          <w:rFonts w:ascii="Arial" w:eastAsia="Calibri" w:hAnsi="Arial" w:cs="Arial"/>
          <w:bCs/>
          <w:sz w:val="22"/>
          <w:lang w:val="es-ES_tradnl"/>
        </w:rPr>
        <w:t xml:space="preserve">a gran parte de su </w:t>
      </w:r>
      <w:r w:rsidR="00B75628" w:rsidRPr="00A572F4">
        <w:rPr>
          <w:rFonts w:ascii="Arial" w:eastAsia="Calibri" w:hAnsi="Arial" w:cs="Arial"/>
          <w:bCs/>
          <w:sz w:val="22"/>
          <w:lang w:val="es-ES_tradnl"/>
        </w:rPr>
        <w:t>obligatoriedad</w:t>
      </w:r>
      <w:r w:rsidR="00290805" w:rsidRPr="00A572F4">
        <w:rPr>
          <w:rFonts w:ascii="Arial" w:eastAsia="Calibri" w:hAnsi="Arial" w:cs="Arial"/>
          <w:bCs/>
          <w:sz w:val="22"/>
          <w:lang w:val="es-ES_tradnl"/>
        </w:rPr>
        <w:t>,</w:t>
      </w:r>
      <w:r w:rsidR="00F8740F" w:rsidRPr="00A572F4">
        <w:rPr>
          <w:rFonts w:ascii="Arial" w:eastAsia="Calibri" w:hAnsi="Arial" w:cs="Arial"/>
          <w:bCs/>
          <w:sz w:val="22"/>
          <w:lang w:val="es-ES_tradnl"/>
        </w:rPr>
        <w:t xml:space="preserve"> al permitir que</w:t>
      </w:r>
      <w:r w:rsidR="00290805" w:rsidRPr="00A572F4">
        <w:rPr>
          <w:rFonts w:ascii="Arial" w:eastAsia="Calibri" w:hAnsi="Arial" w:cs="Arial"/>
          <w:bCs/>
          <w:sz w:val="22"/>
          <w:lang w:val="es-ES_tradnl"/>
        </w:rPr>
        <w:t xml:space="preserve"> los </w:t>
      </w:r>
      <w:r w:rsidR="00F8740F" w:rsidRPr="00A572F4">
        <w:rPr>
          <w:rFonts w:ascii="Arial" w:eastAsia="Calibri" w:hAnsi="Arial" w:cs="Arial"/>
          <w:bCs/>
          <w:sz w:val="22"/>
          <w:lang w:val="es-ES_tradnl"/>
        </w:rPr>
        <w:t xml:space="preserve">destinatarios </w:t>
      </w:r>
      <w:r w:rsidR="003A3EA0" w:rsidRPr="00A572F4">
        <w:rPr>
          <w:rFonts w:ascii="Arial" w:eastAsia="Calibri" w:hAnsi="Arial" w:cs="Arial"/>
          <w:bCs/>
          <w:sz w:val="22"/>
          <w:lang w:val="es-ES_tradnl"/>
        </w:rPr>
        <w:t>elud</w:t>
      </w:r>
      <w:r w:rsidR="00136DD8" w:rsidRPr="00A572F4">
        <w:rPr>
          <w:rFonts w:ascii="Arial" w:eastAsia="Calibri" w:hAnsi="Arial" w:cs="Arial"/>
          <w:bCs/>
          <w:sz w:val="22"/>
          <w:lang w:val="es-ES_tradnl"/>
        </w:rPr>
        <w:t>an</w:t>
      </w:r>
      <w:r w:rsidR="003A3EA0" w:rsidRPr="00A572F4">
        <w:rPr>
          <w:rFonts w:ascii="Arial" w:eastAsia="Calibri" w:hAnsi="Arial" w:cs="Arial"/>
          <w:bCs/>
          <w:sz w:val="22"/>
          <w:lang w:val="es-ES_tradnl"/>
        </w:rPr>
        <w:t xml:space="preserve"> su aplicación. </w:t>
      </w:r>
      <w:r w:rsidR="0092557B" w:rsidRPr="00A572F4">
        <w:rPr>
          <w:rFonts w:ascii="Arial" w:eastAsia="Calibri" w:hAnsi="Arial" w:cs="Arial"/>
          <w:bCs/>
          <w:sz w:val="22"/>
          <w:lang w:val="es-ES_tradnl"/>
        </w:rPr>
        <w:t xml:space="preserve">Esto </w:t>
      </w:r>
      <w:r w:rsidR="006C5215" w:rsidRPr="00A572F4">
        <w:rPr>
          <w:rFonts w:ascii="Arial" w:eastAsia="Calibri" w:hAnsi="Arial" w:cs="Arial"/>
          <w:bCs/>
          <w:sz w:val="22"/>
          <w:lang w:val="es-ES_tradnl"/>
        </w:rPr>
        <w:t>implica que la</w:t>
      </w:r>
      <w:r w:rsidR="0092557B" w:rsidRPr="00A572F4">
        <w:rPr>
          <w:rFonts w:ascii="Arial" w:eastAsia="Calibri" w:hAnsi="Arial" w:cs="Arial"/>
          <w:bCs/>
          <w:sz w:val="22"/>
          <w:lang w:val="es-ES_tradnl"/>
        </w:rPr>
        <w:t xml:space="preserve"> finalidad transversal del artículo 35 de la Ley 2069 de 2020</w:t>
      </w:r>
      <w:r w:rsidR="00BF6990" w:rsidRPr="00A572F4">
        <w:rPr>
          <w:rFonts w:ascii="Arial" w:eastAsia="Calibri" w:hAnsi="Arial" w:cs="Arial"/>
          <w:bCs/>
          <w:sz w:val="22"/>
          <w:lang w:val="es-ES_tradnl"/>
        </w:rPr>
        <w:t xml:space="preserve"> quedaría cercenada por </w:t>
      </w:r>
      <w:r w:rsidR="0071340B" w:rsidRPr="00A572F4">
        <w:rPr>
          <w:rFonts w:ascii="Arial" w:eastAsia="Calibri" w:hAnsi="Arial" w:cs="Arial"/>
          <w:bCs/>
          <w:sz w:val="22"/>
          <w:lang w:val="es-ES_tradnl"/>
        </w:rPr>
        <w:t xml:space="preserve">su </w:t>
      </w:r>
      <w:r w:rsidR="00BF6990" w:rsidRPr="00A572F4">
        <w:rPr>
          <w:rFonts w:ascii="Arial" w:eastAsia="Calibri" w:hAnsi="Arial" w:cs="Arial"/>
          <w:bCs/>
          <w:sz w:val="22"/>
          <w:lang w:val="es-ES_tradnl"/>
        </w:rPr>
        <w:t xml:space="preserve">interpretación exegética, </w:t>
      </w:r>
      <w:r w:rsidR="00B75628" w:rsidRPr="00A572F4">
        <w:rPr>
          <w:rFonts w:ascii="Arial" w:eastAsia="Calibri" w:hAnsi="Arial" w:cs="Arial"/>
          <w:bCs/>
          <w:sz w:val="22"/>
          <w:lang w:val="es-ES_tradnl"/>
        </w:rPr>
        <w:t>generando consecuencias absurdas como las descritas en el párrafo precedente</w:t>
      </w:r>
      <w:r w:rsidR="009E3BEE" w:rsidRPr="00A572F4">
        <w:rPr>
          <w:rFonts w:ascii="Arial" w:eastAsia="Calibri" w:hAnsi="Arial" w:cs="Arial"/>
          <w:bCs/>
          <w:sz w:val="22"/>
          <w:lang w:val="es-ES_tradnl"/>
        </w:rPr>
        <w:t>.</w:t>
      </w:r>
      <w:r w:rsidR="00511368" w:rsidRPr="00A572F4">
        <w:rPr>
          <w:rFonts w:ascii="Arial" w:eastAsia="Calibri" w:hAnsi="Arial" w:cs="Arial"/>
          <w:bCs/>
          <w:sz w:val="22"/>
          <w:lang w:val="es-ES_tradnl"/>
        </w:rPr>
        <w:t xml:space="preserve">  </w:t>
      </w:r>
    </w:p>
    <w:p w14:paraId="400AE1BF" w14:textId="3D96FCBB" w:rsidR="008D15D4" w:rsidRPr="00A572F4" w:rsidRDefault="009D28E8" w:rsidP="00EB2ED0">
      <w:pPr>
        <w:tabs>
          <w:tab w:val="left" w:pos="0"/>
        </w:tabs>
        <w:spacing w:after="120" w:line="276" w:lineRule="auto"/>
        <w:jc w:val="both"/>
        <w:rPr>
          <w:rFonts w:ascii="Arial" w:hAnsi="Arial" w:cs="Arial"/>
          <w:sz w:val="22"/>
          <w:szCs w:val="22"/>
        </w:rPr>
      </w:pPr>
      <w:r w:rsidRPr="00A572F4">
        <w:rPr>
          <w:rFonts w:ascii="Arial" w:eastAsia="Calibri" w:hAnsi="Arial" w:cs="Arial"/>
          <w:bCs/>
          <w:sz w:val="22"/>
          <w:szCs w:val="22"/>
          <w:lang w:val="es-ES_tradnl"/>
        </w:rPr>
        <w:tab/>
        <w:t xml:space="preserve">En consideración a lo anterior, </w:t>
      </w:r>
      <w:r w:rsidR="00111026" w:rsidRPr="00A572F4">
        <w:rPr>
          <w:rFonts w:ascii="Arial" w:eastAsia="Calibri" w:hAnsi="Arial" w:cs="Arial"/>
          <w:bCs/>
          <w:sz w:val="22"/>
          <w:szCs w:val="22"/>
          <w:lang w:val="es-ES_tradnl"/>
        </w:rPr>
        <w:t>la</w:t>
      </w:r>
      <w:r w:rsidRPr="00A572F4">
        <w:rPr>
          <w:rFonts w:ascii="Arial" w:eastAsia="Calibri" w:hAnsi="Arial" w:cs="Arial"/>
          <w:bCs/>
          <w:sz w:val="22"/>
          <w:szCs w:val="22"/>
          <w:lang w:val="es-ES_tradnl"/>
        </w:rPr>
        <w:t xml:space="preserve"> Agencia</w:t>
      </w:r>
      <w:r w:rsidR="00F5237A" w:rsidRPr="00A572F4">
        <w:rPr>
          <w:rFonts w:ascii="Arial" w:eastAsia="Calibri" w:hAnsi="Arial" w:cs="Arial"/>
          <w:bCs/>
          <w:sz w:val="22"/>
          <w:szCs w:val="22"/>
          <w:lang w:val="es-ES_tradnl"/>
        </w:rPr>
        <w:t xml:space="preserve"> </w:t>
      </w:r>
      <w:r w:rsidR="0085694D" w:rsidRPr="00A572F4">
        <w:rPr>
          <w:rFonts w:ascii="Arial" w:eastAsia="Calibri" w:hAnsi="Arial" w:cs="Arial"/>
          <w:bCs/>
          <w:sz w:val="22"/>
          <w:szCs w:val="22"/>
          <w:lang w:val="es-ES_tradnl"/>
        </w:rPr>
        <w:t xml:space="preserve">no </w:t>
      </w:r>
      <w:r w:rsidR="006C219B" w:rsidRPr="00A572F4">
        <w:rPr>
          <w:rFonts w:ascii="Arial" w:eastAsia="Calibri" w:hAnsi="Arial" w:cs="Arial"/>
          <w:bCs/>
          <w:sz w:val="22"/>
          <w:szCs w:val="22"/>
          <w:lang w:val="es-ES_tradnl"/>
        </w:rPr>
        <w:t>comparte la posición según la cual el artículo 35</w:t>
      </w:r>
      <w:r w:rsidR="00111026" w:rsidRPr="00A572F4">
        <w:rPr>
          <w:rFonts w:ascii="Arial" w:eastAsia="Calibri" w:hAnsi="Arial" w:cs="Arial"/>
          <w:bCs/>
          <w:sz w:val="22"/>
          <w:szCs w:val="22"/>
          <w:lang w:val="es-ES_tradnl"/>
        </w:rPr>
        <w:t xml:space="preserve"> de la Ley de Emprendimiento</w:t>
      </w:r>
      <w:r w:rsidR="0047072B" w:rsidRPr="00A572F4">
        <w:rPr>
          <w:rFonts w:ascii="Arial" w:eastAsia="Calibri" w:hAnsi="Arial" w:cs="Arial"/>
          <w:bCs/>
          <w:i/>
          <w:iCs/>
          <w:sz w:val="22"/>
          <w:szCs w:val="22"/>
          <w:lang w:val="es-ES_tradnl"/>
        </w:rPr>
        <w:t>,</w:t>
      </w:r>
      <w:r w:rsidR="0047072B" w:rsidRPr="00A572F4">
        <w:rPr>
          <w:rFonts w:ascii="Arial" w:eastAsia="Calibri" w:hAnsi="Arial" w:cs="Arial"/>
          <w:bCs/>
          <w:sz w:val="22"/>
          <w:szCs w:val="22"/>
          <w:lang w:val="es-ES_tradnl"/>
        </w:rPr>
        <w:t xml:space="preserve"> solo es aplicable en caso de empate en el puntaje total entre dos o más ofertas.</w:t>
      </w:r>
      <w:r w:rsidR="005E717E" w:rsidRPr="00A572F4">
        <w:rPr>
          <w:rFonts w:ascii="Arial" w:eastAsia="Calibri" w:hAnsi="Arial" w:cs="Arial"/>
          <w:bCs/>
          <w:sz w:val="22"/>
          <w:szCs w:val="22"/>
          <w:lang w:val="es-ES_tradnl"/>
        </w:rPr>
        <w:t xml:space="preserve"> Por el contrario,</w:t>
      </w:r>
      <w:r w:rsidR="00DB3445" w:rsidRPr="00A572F4">
        <w:rPr>
          <w:rFonts w:ascii="Arial" w:eastAsia="Calibri" w:hAnsi="Arial" w:cs="Arial"/>
          <w:bCs/>
          <w:sz w:val="22"/>
          <w:szCs w:val="22"/>
          <w:lang w:val="es-ES_tradnl"/>
        </w:rPr>
        <w:t xml:space="preserve"> </w:t>
      </w:r>
      <w:bookmarkStart w:id="13" w:name="_Hlk69752682"/>
      <w:r w:rsidR="00DB3445" w:rsidRPr="00A572F4">
        <w:rPr>
          <w:rFonts w:ascii="Arial" w:eastAsia="Calibri" w:hAnsi="Arial" w:cs="Arial"/>
          <w:bCs/>
          <w:sz w:val="22"/>
          <w:szCs w:val="22"/>
          <w:lang w:val="es-ES_tradnl"/>
        </w:rPr>
        <w:t>debe interpreta</w:t>
      </w:r>
      <w:r w:rsidR="00111026" w:rsidRPr="00A572F4">
        <w:rPr>
          <w:rFonts w:ascii="Arial" w:eastAsia="Calibri" w:hAnsi="Arial" w:cs="Arial"/>
          <w:bCs/>
          <w:sz w:val="22"/>
          <w:szCs w:val="22"/>
          <w:lang w:val="es-ES_tradnl"/>
        </w:rPr>
        <w:t>rse</w:t>
      </w:r>
      <w:r w:rsidR="00DB3445" w:rsidRPr="00A572F4">
        <w:rPr>
          <w:rFonts w:ascii="Arial" w:eastAsia="Calibri" w:hAnsi="Arial" w:cs="Arial"/>
          <w:bCs/>
          <w:sz w:val="22"/>
          <w:szCs w:val="22"/>
          <w:lang w:val="es-ES_tradnl"/>
        </w:rPr>
        <w:t xml:space="preserve"> de manera sistemática con las demás disposiciones del EGCAP, particularmente, </w:t>
      </w:r>
      <w:r w:rsidR="0079281A" w:rsidRPr="00A572F4">
        <w:rPr>
          <w:rFonts w:ascii="Arial" w:eastAsia="Calibri" w:hAnsi="Arial" w:cs="Arial"/>
          <w:bCs/>
          <w:sz w:val="22"/>
          <w:szCs w:val="22"/>
          <w:lang w:val="es-ES_tradnl"/>
        </w:rPr>
        <w:t xml:space="preserve">con el artículo 5 de la Ley 1150 </w:t>
      </w:r>
      <w:r w:rsidR="00DA565E" w:rsidRPr="00A572F4">
        <w:rPr>
          <w:rFonts w:ascii="Arial" w:eastAsia="Calibri" w:hAnsi="Arial" w:cs="Arial"/>
          <w:bCs/>
          <w:sz w:val="22"/>
          <w:szCs w:val="22"/>
          <w:lang w:val="es-ES_tradnl"/>
        </w:rPr>
        <w:t>de</w:t>
      </w:r>
      <w:r w:rsidR="0079281A" w:rsidRPr="00A572F4">
        <w:rPr>
          <w:rFonts w:ascii="Arial" w:eastAsia="Calibri" w:hAnsi="Arial" w:cs="Arial"/>
          <w:bCs/>
          <w:sz w:val="22"/>
          <w:szCs w:val="22"/>
          <w:lang w:val="es-ES_tradnl"/>
        </w:rPr>
        <w:t xml:space="preserve"> 2007. Conforme </w:t>
      </w:r>
      <w:r w:rsidR="008D15D4" w:rsidRPr="00A572F4">
        <w:rPr>
          <w:rFonts w:ascii="Arial" w:eastAsia="Calibri" w:hAnsi="Arial" w:cs="Arial"/>
          <w:bCs/>
          <w:sz w:val="22"/>
          <w:szCs w:val="22"/>
          <w:lang w:val="es-ES_tradnl"/>
        </w:rPr>
        <w:t xml:space="preserve">a </w:t>
      </w:r>
      <w:r w:rsidR="00C113D8" w:rsidRPr="00A572F4">
        <w:rPr>
          <w:rFonts w:ascii="Arial" w:eastAsia="Calibri" w:hAnsi="Arial" w:cs="Arial"/>
          <w:bCs/>
          <w:sz w:val="22"/>
          <w:szCs w:val="22"/>
          <w:lang w:val="es-ES_tradnl"/>
        </w:rPr>
        <w:t>esta idea</w:t>
      </w:r>
      <w:r w:rsidR="008D15D4" w:rsidRPr="00A572F4">
        <w:rPr>
          <w:rFonts w:ascii="Arial" w:eastAsia="Calibri" w:hAnsi="Arial" w:cs="Arial"/>
          <w:bCs/>
          <w:sz w:val="22"/>
          <w:szCs w:val="22"/>
          <w:lang w:val="es-ES_tradnl"/>
        </w:rPr>
        <w:t xml:space="preserve"> interpretación</w:t>
      </w:r>
      <w:r w:rsidR="0079281A" w:rsidRPr="00A572F4">
        <w:rPr>
          <w:rFonts w:ascii="Arial" w:eastAsia="Calibri" w:hAnsi="Arial" w:cs="Arial"/>
          <w:bCs/>
          <w:sz w:val="22"/>
          <w:szCs w:val="22"/>
          <w:lang w:val="es-ES_tradnl"/>
        </w:rPr>
        <w:t xml:space="preserve">, la expresión </w:t>
      </w:r>
      <w:r w:rsidR="00F1689D" w:rsidRPr="00A572F4">
        <w:rPr>
          <w:rFonts w:ascii="Arial" w:hAnsi="Arial" w:cs="Arial"/>
          <w:i/>
          <w:iCs/>
          <w:sz w:val="22"/>
          <w:szCs w:val="22"/>
        </w:rPr>
        <w:t>empate en el puntaje total</w:t>
      </w:r>
      <w:r w:rsidR="00F1689D" w:rsidRPr="00A572F4">
        <w:rPr>
          <w:rFonts w:ascii="Arial" w:hAnsi="Arial" w:cs="Arial"/>
          <w:sz w:val="22"/>
          <w:szCs w:val="22"/>
        </w:rPr>
        <w:t xml:space="preserve"> </w:t>
      </w:r>
      <w:r w:rsidR="00A832DB" w:rsidRPr="00A572F4">
        <w:rPr>
          <w:rFonts w:ascii="Arial" w:hAnsi="Arial" w:cs="Arial"/>
          <w:sz w:val="22"/>
          <w:szCs w:val="22"/>
        </w:rPr>
        <w:t xml:space="preserve">apunta a </w:t>
      </w:r>
      <w:r w:rsidR="005255D6" w:rsidRPr="00A572F4">
        <w:rPr>
          <w:rFonts w:ascii="Arial" w:hAnsi="Arial" w:cs="Arial"/>
          <w:sz w:val="22"/>
          <w:szCs w:val="22"/>
        </w:rPr>
        <w:t xml:space="preserve">las </w:t>
      </w:r>
      <w:r w:rsidR="00A832DB" w:rsidRPr="00A572F4">
        <w:rPr>
          <w:rFonts w:ascii="Arial" w:hAnsi="Arial" w:cs="Arial"/>
          <w:sz w:val="22"/>
          <w:szCs w:val="22"/>
        </w:rPr>
        <w:t xml:space="preserve">situaciones </w:t>
      </w:r>
      <w:r w:rsidR="002A0928" w:rsidRPr="00A572F4">
        <w:rPr>
          <w:rFonts w:ascii="Arial" w:hAnsi="Arial" w:cs="Arial"/>
          <w:sz w:val="22"/>
          <w:szCs w:val="22"/>
        </w:rPr>
        <w:t>en l</w:t>
      </w:r>
      <w:r w:rsidR="00E04D00" w:rsidRPr="00A572F4">
        <w:rPr>
          <w:rFonts w:ascii="Arial" w:hAnsi="Arial" w:cs="Arial"/>
          <w:sz w:val="22"/>
          <w:szCs w:val="22"/>
        </w:rPr>
        <w:t xml:space="preserve">a evaluación </w:t>
      </w:r>
      <w:r w:rsidR="008B1C27" w:rsidRPr="00A572F4">
        <w:rPr>
          <w:rFonts w:ascii="Arial" w:hAnsi="Arial" w:cs="Arial"/>
          <w:sz w:val="22"/>
          <w:szCs w:val="22"/>
        </w:rPr>
        <w:t>final</w:t>
      </w:r>
      <w:r w:rsidR="007D242C" w:rsidRPr="00A572F4">
        <w:rPr>
          <w:rFonts w:ascii="Arial" w:hAnsi="Arial" w:cs="Arial"/>
          <w:sz w:val="22"/>
          <w:szCs w:val="22"/>
        </w:rPr>
        <w:t xml:space="preserve"> de las ofertas</w:t>
      </w:r>
      <w:r w:rsidR="008B1C27" w:rsidRPr="00A572F4">
        <w:rPr>
          <w:rFonts w:ascii="Arial" w:hAnsi="Arial" w:cs="Arial"/>
          <w:sz w:val="22"/>
          <w:szCs w:val="22"/>
        </w:rPr>
        <w:t xml:space="preserve"> en las que</w:t>
      </w:r>
      <w:r w:rsidR="002A0928" w:rsidRPr="00A572F4">
        <w:rPr>
          <w:rFonts w:ascii="Arial" w:hAnsi="Arial" w:cs="Arial"/>
          <w:sz w:val="22"/>
          <w:szCs w:val="22"/>
        </w:rPr>
        <w:t>,</w:t>
      </w:r>
      <w:r w:rsidR="008B1C27" w:rsidRPr="00A572F4">
        <w:rPr>
          <w:rFonts w:ascii="Arial" w:hAnsi="Arial" w:cs="Arial"/>
          <w:sz w:val="22"/>
          <w:szCs w:val="22"/>
        </w:rPr>
        <w:t xml:space="preserve"> </w:t>
      </w:r>
      <w:r w:rsidR="00C113D8" w:rsidRPr="00A572F4">
        <w:rPr>
          <w:rFonts w:ascii="Arial" w:hAnsi="Arial" w:cs="Arial"/>
          <w:sz w:val="22"/>
          <w:szCs w:val="22"/>
        </w:rPr>
        <w:t>realizándose la</w:t>
      </w:r>
      <w:r w:rsidR="002A0928" w:rsidRPr="00A572F4">
        <w:rPr>
          <w:rFonts w:ascii="Arial" w:hAnsi="Arial" w:cs="Arial"/>
          <w:sz w:val="22"/>
          <w:szCs w:val="22"/>
        </w:rPr>
        <w:t xml:space="preserve"> comparación </w:t>
      </w:r>
      <w:r w:rsidR="00FA4168" w:rsidRPr="00A572F4">
        <w:rPr>
          <w:rFonts w:ascii="Arial" w:hAnsi="Arial" w:cs="Arial"/>
          <w:sz w:val="22"/>
          <w:szCs w:val="22"/>
        </w:rPr>
        <w:t>de acuerdo con</w:t>
      </w:r>
      <w:r w:rsidR="00672E16" w:rsidRPr="00A572F4">
        <w:rPr>
          <w:rFonts w:ascii="Arial" w:hAnsi="Arial" w:cs="Arial"/>
          <w:sz w:val="22"/>
          <w:szCs w:val="22"/>
        </w:rPr>
        <w:t xml:space="preserve"> </w:t>
      </w:r>
      <w:r w:rsidR="008B1C27" w:rsidRPr="00A572F4">
        <w:rPr>
          <w:rFonts w:ascii="Arial" w:hAnsi="Arial" w:cs="Arial"/>
          <w:sz w:val="22"/>
          <w:szCs w:val="22"/>
        </w:rPr>
        <w:t>los factores de calificación, evaluación</w:t>
      </w:r>
      <w:r w:rsidR="00665C4C" w:rsidRPr="00A572F4">
        <w:rPr>
          <w:rFonts w:ascii="Arial" w:hAnsi="Arial" w:cs="Arial"/>
          <w:sz w:val="22"/>
          <w:szCs w:val="22"/>
        </w:rPr>
        <w:t xml:space="preserve"> o</w:t>
      </w:r>
      <w:r w:rsidR="008B1C27" w:rsidRPr="00A572F4">
        <w:rPr>
          <w:rFonts w:ascii="Arial" w:hAnsi="Arial" w:cs="Arial"/>
          <w:sz w:val="22"/>
          <w:szCs w:val="22"/>
        </w:rPr>
        <w:t xml:space="preserve"> ponderación</w:t>
      </w:r>
      <w:r w:rsidR="00BA0A51" w:rsidRPr="00A572F4">
        <w:rPr>
          <w:rFonts w:ascii="Arial" w:hAnsi="Arial" w:cs="Arial"/>
          <w:sz w:val="22"/>
          <w:szCs w:val="22"/>
        </w:rPr>
        <w:t xml:space="preserve"> </w:t>
      </w:r>
      <w:r w:rsidR="00672E16" w:rsidRPr="00A572F4">
        <w:rPr>
          <w:rFonts w:ascii="Arial" w:hAnsi="Arial" w:cs="Arial"/>
          <w:sz w:val="22"/>
          <w:szCs w:val="22"/>
        </w:rPr>
        <w:t xml:space="preserve">aplicables al respectivo procedimiento, se presenta un empate entre </w:t>
      </w:r>
      <w:r w:rsidR="007E327F" w:rsidRPr="00A572F4">
        <w:rPr>
          <w:rFonts w:ascii="Arial" w:hAnsi="Arial" w:cs="Arial"/>
          <w:sz w:val="22"/>
          <w:szCs w:val="22"/>
        </w:rPr>
        <w:t xml:space="preserve">dos o más </w:t>
      </w:r>
      <w:r w:rsidR="00CD614A" w:rsidRPr="00A572F4">
        <w:rPr>
          <w:rFonts w:ascii="Arial" w:hAnsi="Arial" w:cs="Arial"/>
          <w:sz w:val="22"/>
          <w:szCs w:val="22"/>
        </w:rPr>
        <w:t>propuestas</w:t>
      </w:r>
      <w:r w:rsidR="000F045A" w:rsidRPr="00A572F4">
        <w:rPr>
          <w:rFonts w:ascii="Arial" w:hAnsi="Arial" w:cs="Arial"/>
          <w:sz w:val="22"/>
          <w:szCs w:val="22"/>
        </w:rPr>
        <w:t xml:space="preserve">. </w:t>
      </w:r>
    </w:p>
    <w:p w14:paraId="7E9C2098" w14:textId="340E9583" w:rsidR="005F5935" w:rsidRPr="00A572F4" w:rsidRDefault="008D15D4" w:rsidP="00EB2ED0">
      <w:pPr>
        <w:tabs>
          <w:tab w:val="left" w:pos="0"/>
        </w:tabs>
        <w:spacing w:after="120" w:line="276" w:lineRule="auto"/>
        <w:jc w:val="both"/>
        <w:rPr>
          <w:rFonts w:ascii="Arial" w:hAnsi="Arial" w:cs="Arial"/>
          <w:sz w:val="22"/>
          <w:szCs w:val="22"/>
        </w:rPr>
      </w:pPr>
      <w:r w:rsidRPr="00A572F4">
        <w:rPr>
          <w:rFonts w:ascii="Arial" w:hAnsi="Arial" w:cs="Arial"/>
          <w:sz w:val="22"/>
          <w:szCs w:val="22"/>
        </w:rPr>
        <w:tab/>
      </w:r>
      <w:r w:rsidR="006407A5" w:rsidRPr="00A572F4">
        <w:rPr>
          <w:rFonts w:ascii="Arial" w:hAnsi="Arial" w:cs="Arial"/>
          <w:sz w:val="22"/>
          <w:szCs w:val="22"/>
        </w:rPr>
        <w:t xml:space="preserve">En ese entendido, </w:t>
      </w:r>
      <w:r w:rsidR="007969E1" w:rsidRPr="00A572F4">
        <w:rPr>
          <w:rFonts w:ascii="Arial" w:hAnsi="Arial" w:cs="Arial"/>
          <w:sz w:val="22"/>
          <w:szCs w:val="22"/>
        </w:rPr>
        <w:t xml:space="preserve">con independencia </w:t>
      </w:r>
      <w:r w:rsidR="006407A5" w:rsidRPr="00A572F4">
        <w:rPr>
          <w:rFonts w:ascii="Arial" w:hAnsi="Arial" w:cs="Arial"/>
          <w:sz w:val="22"/>
          <w:szCs w:val="22"/>
        </w:rPr>
        <w:t>de que la ponderación emple</w:t>
      </w:r>
      <w:r w:rsidR="00BE2661" w:rsidRPr="00A572F4">
        <w:rPr>
          <w:rFonts w:ascii="Arial" w:hAnsi="Arial" w:cs="Arial"/>
          <w:sz w:val="22"/>
          <w:szCs w:val="22"/>
        </w:rPr>
        <w:t>e</w:t>
      </w:r>
      <w:r w:rsidR="00023A0B" w:rsidRPr="00A572F4">
        <w:rPr>
          <w:rFonts w:ascii="Arial" w:hAnsi="Arial" w:cs="Arial"/>
          <w:sz w:val="22"/>
          <w:szCs w:val="22"/>
        </w:rPr>
        <w:t xml:space="preserve"> </w:t>
      </w:r>
      <w:r w:rsidR="006407A5" w:rsidRPr="00A572F4">
        <w:rPr>
          <w:rFonts w:ascii="Arial" w:hAnsi="Arial" w:cs="Arial"/>
          <w:sz w:val="22"/>
          <w:szCs w:val="22"/>
        </w:rPr>
        <w:t>puntajes</w:t>
      </w:r>
      <w:r w:rsidR="00B24007" w:rsidRPr="00A572F4">
        <w:rPr>
          <w:rFonts w:ascii="Arial" w:hAnsi="Arial" w:cs="Arial"/>
          <w:sz w:val="22"/>
          <w:szCs w:val="22"/>
        </w:rPr>
        <w:t xml:space="preserve">, </w:t>
      </w:r>
      <w:r w:rsidR="006407A5" w:rsidRPr="00A572F4">
        <w:rPr>
          <w:rFonts w:ascii="Arial" w:hAnsi="Arial" w:cs="Arial"/>
          <w:sz w:val="22"/>
          <w:szCs w:val="22"/>
        </w:rPr>
        <w:t xml:space="preserve"> f</w:t>
      </w:r>
      <w:r w:rsidR="00B24007" w:rsidRPr="00A572F4">
        <w:rPr>
          <w:rFonts w:ascii="Arial" w:hAnsi="Arial" w:cs="Arial"/>
          <w:sz w:val="22"/>
          <w:szCs w:val="22"/>
        </w:rPr>
        <w:t>ó</w:t>
      </w:r>
      <w:r w:rsidR="006407A5" w:rsidRPr="00A572F4">
        <w:rPr>
          <w:rFonts w:ascii="Arial" w:hAnsi="Arial" w:cs="Arial"/>
          <w:sz w:val="22"/>
          <w:szCs w:val="22"/>
        </w:rPr>
        <w:t>rmulas</w:t>
      </w:r>
      <w:r w:rsidR="00023A0B" w:rsidRPr="00A572F4">
        <w:rPr>
          <w:rFonts w:ascii="Arial" w:hAnsi="Arial" w:cs="Arial"/>
          <w:sz w:val="22"/>
          <w:szCs w:val="22"/>
        </w:rPr>
        <w:t>,</w:t>
      </w:r>
      <w:r w:rsidR="00B24007" w:rsidRPr="00A572F4">
        <w:rPr>
          <w:rFonts w:ascii="Arial" w:hAnsi="Arial" w:cs="Arial"/>
          <w:sz w:val="22"/>
          <w:szCs w:val="22"/>
        </w:rPr>
        <w:t xml:space="preserve"> criterios de relación co</w:t>
      </w:r>
      <w:r w:rsidR="00D15727" w:rsidRPr="00A572F4">
        <w:rPr>
          <w:rFonts w:ascii="Arial" w:hAnsi="Arial" w:cs="Arial"/>
          <w:sz w:val="22"/>
          <w:szCs w:val="22"/>
        </w:rPr>
        <w:t>s</w:t>
      </w:r>
      <w:r w:rsidR="00B24007" w:rsidRPr="00A572F4">
        <w:rPr>
          <w:rFonts w:ascii="Arial" w:hAnsi="Arial" w:cs="Arial"/>
          <w:sz w:val="22"/>
          <w:szCs w:val="22"/>
        </w:rPr>
        <w:t>to – beneficio</w:t>
      </w:r>
      <w:r w:rsidR="00023A0B" w:rsidRPr="00A572F4">
        <w:rPr>
          <w:rFonts w:ascii="Arial" w:hAnsi="Arial" w:cs="Arial"/>
          <w:sz w:val="22"/>
          <w:szCs w:val="22"/>
        </w:rPr>
        <w:t xml:space="preserve"> o de que el único criterio de evaluación sea el menor precio, </w:t>
      </w:r>
      <w:r w:rsidR="008B36BE" w:rsidRPr="00A572F4">
        <w:rPr>
          <w:rFonts w:ascii="Arial" w:hAnsi="Arial" w:cs="Arial"/>
          <w:sz w:val="22"/>
          <w:szCs w:val="22"/>
        </w:rPr>
        <w:t xml:space="preserve">deben aplicarse los factores de desempate </w:t>
      </w:r>
      <w:r w:rsidR="00F22E8B" w:rsidRPr="00A572F4">
        <w:rPr>
          <w:rFonts w:ascii="Arial" w:hAnsi="Arial" w:cs="Arial"/>
          <w:sz w:val="22"/>
          <w:szCs w:val="22"/>
        </w:rPr>
        <w:t>d</w:t>
      </w:r>
      <w:r w:rsidR="00032C89" w:rsidRPr="00A572F4">
        <w:rPr>
          <w:rFonts w:ascii="Arial" w:hAnsi="Arial" w:cs="Arial"/>
          <w:sz w:val="22"/>
          <w:szCs w:val="22"/>
        </w:rPr>
        <w:t>el artículo 35 de la Ley 2069 de 2020</w:t>
      </w:r>
      <w:r w:rsidR="007969E1" w:rsidRPr="00A572F4">
        <w:rPr>
          <w:rFonts w:ascii="Arial" w:hAnsi="Arial" w:cs="Arial"/>
          <w:sz w:val="22"/>
          <w:szCs w:val="22"/>
        </w:rPr>
        <w:t xml:space="preserve"> </w:t>
      </w:r>
      <w:r w:rsidR="00071CFC" w:rsidRPr="00A572F4">
        <w:rPr>
          <w:rFonts w:ascii="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032C89" w:rsidRPr="00A572F4">
        <w:rPr>
          <w:rFonts w:ascii="Arial" w:hAnsi="Arial" w:cs="Arial"/>
          <w:sz w:val="22"/>
          <w:szCs w:val="22"/>
        </w:rPr>
        <w:t>.</w:t>
      </w:r>
    </w:p>
    <w:bookmarkEnd w:id="13"/>
    <w:p w14:paraId="005DA4CA" w14:textId="1967B850" w:rsidR="000F6420" w:rsidRPr="00A572F4" w:rsidRDefault="00032C89" w:rsidP="00EB2ED0">
      <w:pPr>
        <w:tabs>
          <w:tab w:val="left" w:pos="0"/>
        </w:tabs>
        <w:spacing w:line="276" w:lineRule="auto"/>
        <w:jc w:val="both"/>
        <w:rPr>
          <w:rFonts w:ascii="Arial" w:eastAsia="Calibri" w:hAnsi="Arial" w:cs="Arial"/>
          <w:bCs/>
          <w:sz w:val="22"/>
          <w:lang w:val="es-ES_tradnl"/>
        </w:rPr>
      </w:pPr>
      <w:r w:rsidRPr="00A572F4">
        <w:rPr>
          <w:rFonts w:ascii="Arial" w:eastAsia="Calibri" w:hAnsi="Arial" w:cs="Arial"/>
          <w:bCs/>
          <w:sz w:val="22"/>
          <w:szCs w:val="22"/>
          <w:lang w:val="es-ES_tradnl"/>
        </w:rPr>
        <w:tab/>
      </w:r>
      <w:r w:rsidR="00D827B5" w:rsidRPr="00A572F4">
        <w:rPr>
          <w:rFonts w:ascii="Arial" w:eastAsia="Calibri" w:hAnsi="Arial" w:cs="Arial"/>
          <w:bCs/>
          <w:sz w:val="22"/>
          <w:szCs w:val="22"/>
          <w:lang w:val="es-ES_tradnl"/>
        </w:rPr>
        <w:t>Esta interpretación garantiza que el artículo 35 de la Ley 2069 de 2020</w:t>
      </w:r>
      <w:r w:rsidR="008453BA" w:rsidRPr="00A572F4">
        <w:rPr>
          <w:rFonts w:ascii="Arial" w:eastAsia="Calibri" w:hAnsi="Arial" w:cs="Arial"/>
          <w:bCs/>
          <w:sz w:val="22"/>
          <w:szCs w:val="22"/>
          <w:lang w:val="es-ES_tradnl"/>
        </w:rPr>
        <w:t xml:space="preserve"> cumpla la finalidad transversal con la que fue concebido,</w:t>
      </w:r>
      <w:r w:rsidR="006129AF" w:rsidRPr="00A572F4">
        <w:rPr>
          <w:rFonts w:ascii="Arial" w:eastAsia="Calibri" w:hAnsi="Arial" w:cs="Arial"/>
          <w:bCs/>
          <w:sz w:val="22"/>
          <w:szCs w:val="22"/>
          <w:lang w:val="es-ES_tradnl"/>
        </w:rPr>
        <w:t xml:space="preserve"> </w:t>
      </w:r>
      <w:r w:rsidR="005B6C2A" w:rsidRPr="00A572F4">
        <w:rPr>
          <w:rFonts w:ascii="Arial" w:eastAsia="Calibri" w:hAnsi="Arial" w:cs="Arial"/>
          <w:bCs/>
          <w:sz w:val="22"/>
          <w:szCs w:val="22"/>
          <w:lang w:val="es-ES_tradnl"/>
        </w:rPr>
        <w:t xml:space="preserve">a diferencia de </w:t>
      </w:r>
      <w:r w:rsidR="006129AF" w:rsidRPr="00A572F4">
        <w:rPr>
          <w:rFonts w:ascii="Arial" w:eastAsia="Calibri" w:hAnsi="Arial" w:cs="Arial"/>
          <w:bCs/>
          <w:sz w:val="22"/>
          <w:szCs w:val="22"/>
          <w:lang w:val="es-ES_tradnl"/>
        </w:rPr>
        <w:t>la interpretación literal del mismo, que priva a la nor</w:t>
      </w:r>
      <w:r w:rsidR="005945A4" w:rsidRPr="00A572F4">
        <w:rPr>
          <w:rFonts w:ascii="Arial" w:eastAsia="Calibri" w:hAnsi="Arial" w:cs="Arial"/>
          <w:bCs/>
          <w:sz w:val="22"/>
          <w:szCs w:val="22"/>
          <w:lang w:val="es-ES_tradnl"/>
        </w:rPr>
        <w:t xml:space="preserve">ma de una gran parte de su ámbito aplicación. En ese sentido, la interpretación sistemática </w:t>
      </w:r>
      <w:r w:rsidR="00071CFC" w:rsidRPr="00A572F4">
        <w:rPr>
          <w:rFonts w:ascii="Arial" w:eastAsia="Calibri" w:hAnsi="Arial" w:cs="Arial"/>
          <w:bCs/>
          <w:sz w:val="22"/>
          <w:szCs w:val="22"/>
          <w:lang w:val="es-ES_tradnl"/>
        </w:rPr>
        <w:t>está</w:t>
      </w:r>
      <w:r w:rsidR="00641B12" w:rsidRPr="00A572F4">
        <w:rPr>
          <w:rFonts w:ascii="Arial" w:eastAsia="Calibri" w:hAnsi="Arial" w:cs="Arial"/>
          <w:bCs/>
          <w:sz w:val="22"/>
          <w:szCs w:val="22"/>
          <w:lang w:val="es-ES_tradnl"/>
        </w:rPr>
        <w:t xml:space="preserve"> respalda</w:t>
      </w:r>
      <w:r w:rsidR="00C32A60" w:rsidRPr="00A572F4">
        <w:rPr>
          <w:rFonts w:ascii="Arial" w:eastAsia="Calibri" w:hAnsi="Arial" w:cs="Arial"/>
          <w:bCs/>
          <w:sz w:val="22"/>
          <w:szCs w:val="22"/>
          <w:lang w:val="es-ES_tradnl"/>
        </w:rPr>
        <w:t>da</w:t>
      </w:r>
      <w:r w:rsidR="00641B12" w:rsidRPr="00A572F4">
        <w:rPr>
          <w:rFonts w:ascii="Arial" w:eastAsia="Calibri" w:hAnsi="Arial" w:cs="Arial"/>
          <w:bCs/>
          <w:sz w:val="22"/>
          <w:szCs w:val="22"/>
          <w:lang w:val="es-ES_tradnl"/>
        </w:rPr>
        <w:t xml:space="preserve"> por </w:t>
      </w:r>
      <w:r w:rsidR="000F6787" w:rsidRPr="00A572F4">
        <w:rPr>
          <w:rFonts w:ascii="Arial" w:eastAsia="Calibri" w:hAnsi="Arial" w:cs="Arial"/>
          <w:bCs/>
          <w:sz w:val="22"/>
          <w:szCs w:val="22"/>
          <w:lang w:val="es-ES_tradnl"/>
        </w:rPr>
        <w:t xml:space="preserve">la aplicación del </w:t>
      </w:r>
      <w:r w:rsidR="00641B12" w:rsidRPr="00A572F4">
        <w:rPr>
          <w:rFonts w:ascii="Arial" w:eastAsia="Calibri" w:hAnsi="Arial" w:cs="Arial"/>
          <w:bCs/>
          <w:sz w:val="22"/>
          <w:szCs w:val="22"/>
          <w:lang w:val="es-ES_tradnl"/>
        </w:rPr>
        <w:t xml:space="preserve">principio </w:t>
      </w:r>
      <w:r w:rsidR="00C32A60" w:rsidRPr="00A572F4">
        <w:rPr>
          <w:rFonts w:ascii="Arial" w:eastAsia="Calibri" w:hAnsi="Arial" w:cs="Arial"/>
          <w:bCs/>
          <w:sz w:val="22"/>
          <w:szCs w:val="22"/>
          <w:lang w:val="es-ES_tradnl"/>
        </w:rPr>
        <w:t xml:space="preserve">hermenéutico </w:t>
      </w:r>
      <w:r w:rsidR="00641B12" w:rsidRPr="00A572F4">
        <w:rPr>
          <w:rFonts w:ascii="Arial" w:eastAsia="Calibri" w:hAnsi="Arial" w:cs="Arial"/>
          <w:bCs/>
          <w:sz w:val="22"/>
          <w:szCs w:val="22"/>
          <w:lang w:val="es-ES_tradnl"/>
        </w:rPr>
        <w:t>del</w:t>
      </w:r>
      <w:r w:rsidR="009E6BA8" w:rsidRPr="00A572F4">
        <w:rPr>
          <w:rFonts w:ascii="Arial" w:eastAsia="Calibri" w:hAnsi="Arial" w:cs="Arial"/>
          <w:bCs/>
          <w:i/>
          <w:iCs/>
          <w:sz w:val="22"/>
          <w:szCs w:val="22"/>
          <w:lang w:val="es-ES_tradnl"/>
        </w:rPr>
        <w:t xml:space="preserve"> efecto útil de las normas</w:t>
      </w:r>
      <w:r w:rsidR="009E6BA8" w:rsidRPr="00A572F4">
        <w:rPr>
          <w:rStyle w:val="Refdenotaalpie"/>
          <w:rFonts w:ascii="Arial" w:eastAsiaTheme="minorHAnsi" w:hAnsi="Arial" w:cs="Arial"/>
          <w:sz w:val="22"/>
          <w:szCs w:val="22"/>
          <w:lang w:eastAsia="en-US"/>
        </w:rPr>
        <w:footnoteReference w:id="29"/>
      </w:r>
      <w:r w:rsidR="009E6BA8" w:rsidRPr="00A572F4">
        <w:rPr>
          <w:rFonts w:ascii="Arial" w:eastAsiaTheme="minorHAnsi" w:hAnsi="Arial" w:cs="Arial"/>
          <w:sz w:val="22"/>
          <w:szCs w:val="22"/>
          <w:lang w:eastAsia="en-US"/>
        </w:rPr>
        <w:t>.</w:t>
      </w:r>
      <w:r w:rsidR="001419D7" w:rsidRPr="00A572F4">
        <w:rPr>
          <w:rFonts w:ascii="Arial" w:eastAsia="Calibri" w:hAnsi="Arial" w:cs="Arial"/>
          <w:b/>
          <w:sz w:val="22"/>
          <w:lang w:val="es-ES_tradnl"/>
        </w:rPr>
        <w:t xml:space="preserve"> </w:t>
      </w:r>
      <w:r w:rsidR="00BA5D36" w:rsidRPr="00A572F4">
        <w:rPr>
          <w:rFonts w:ascii="Arial" w:eastAsia="Calibri" w:hAnsi="Arial" w:cs="Arial"/>
          <w:bCs/>
          <w:sz w:val="22"/>
          <w:lang w:val="es-ES_tradnl"/>
        </w:rPr>
        <w:t>Por tanto</w:t>
      </w:r>
      <w:r w:rsidR="009E788D" w:rsidRPr="00A572F4">
        <w:rPr>
          <w:rFonts w:ascii="Arial" w:eastAsia="Calibri" w:hAnsi="Arial" w:cs="Arial"/>
          <w:bCs/>
          <w:sz w:val="22"/>
          <w:lang w:val="es-ES_tradnl"/>
        </w:rPr>
        <w:t>,</w:t>
      </w:r>
      <w:r w:rsidR="00B80F98" w:rsidRPr="00A572F4">
        <w:rPr>
          <w:rFonts w:ascii="Arial" w:eastAsia="Calibri" w:hAnsi="Arial" w:cs="Arial"/>
          <w:bCs/>
          <w:sz w:val="22"/>
          <w:lang w:val="es-ES_tradnl"/>
        </w:rPr>
        <w:t xml:space="preserve"> </w:t>
      </w:r>
      <w:r w:rsidR="005B6C2A" w:rsidRPr="00A572F4">
        <w:rPr>
          <w:rFonts w:ascii="Arial" w:eastAsia="Calibri" w:hAnsi="Arial" w:cs="Arial"/>
          <w:bCs/>
          <w:sz w:val="22"/>
          <w:lang w:val="es-ES_tradnl"/>
        </w:rPr>
        <w:t>los fac</w:t>
      </w:r>
      <w:r w:rsidR="00037510" w:rsidRPr="00A572F4">
        <w:rPr>
          <w:rFonts w:ascii="Arial" w:eastAsia="Calibri" w:hAnsi="Arial" w:cs="Arial"/>
          <w:bCs/>
          <w:sz w:val="22"/>
          <w:lang w:val="es-ES_tradnl"/>
        </w:rPr>
        <w:t xml:space="preserve">tores de desempate </w:t>
      </w:r>
      <w:r w:rsidR="001419D7" w:rsidRPr="00A572F4">
        <w:rPr>
          <w:rFonts w:ascii="Arial" w:eastAsia="Calibri" w:hAnsi="Arial" w:cs="Arial"/>
          <w:bCs/>
          <w:sz w:val="22"/>
          <w:lang w:val="es-ES_tradnl"/>
        </w:rPr>
        <w:t>de la Ley de Emprendimiento aplican</w:t>
      </w:r>
      <w:r w:rsidR="00037510" w:rsidRPr="00A572F4">
        <w:rPr>
          <w:rFonts w:ascii="Arial" w:eastAsia="Calibri" w:hAnsi="Arial" w:cs="Arial"/>
          <w:bCs/>
          <w:sz w:val="22"/>
          <w:lang w:val="es-ES_tradnl"/>
        </w:rPr>
        <w:t xml:space="preserve"> </w:t>
      </w:r>
      <w:r w:rsidR="00BD3EC3" w:rsidRPr="00A572F4">
        <w:rPr>
          <w:rFonts w:ascii="Arial" w:eastAsia="Calibri" w:hAnsi="Arial" w:cs="Arial"/>
          <w:bCs/>
          <w:sz w:val="22"/>
          <w:lang w:val="es-ES_tradnl"/>
        </w:rPr>
        <w:t>a todos los procesos de selección de las entidades estatales</w:t>
      </w:r>
      <w:r w:rsidR="00147FCE" w:rsidRPr="00A572F4">
        <w:rPr>
          <w:rFonts w:ascii="Arial" w:eastAsia="Calibri" w:hAnsi="Arial" w:cs="Arial"/>
          <w:bCs/>
          <w:sz w:val="22"/>
          <w:lang w:val="es-ES_tradnl"/>
        </w:rPr>
        <w:t xml:space="preserve"> </w:t>
      </w:r>
      <w:r w:rsidR="00B76E53" w:rsidRPr="00A572F4">
        <w:rPr>
          <w:rFonts w:ascii="Arial" w:eastAsia="Calibri" w:hAnsi="Arial" w:cs="Arial"/>
          <w:bCs/>
          <w:sz w:val="22"/>
          <w:lang w:val="es-ES_tradnl"/>
        </w:rPr>
        <w:t xml:space="preserve">sin importar su régimen </w:t>
      </w:r>
      <w:r w:rsidR="00FA4408" w:rsidRPr="00A572F4">
        <w:rPr>
          <w:rFonts w:ascii="Arial" w:eastAsia="Calibri" w:hAnsi="Arial" w:cs="Arial"/>
          <w:bCs/>
          <w:sz w:val="22"/>
          <w:lang w:val="es-ES_tradnl"/>
        </w:rPr>
        <w:t>contractual</w:t>
      </w:r>
      <w:r w:rsidR="00BD3EC3" w:rsidRPr="00A572F4">
        <w:rPr>
          <w:rFonts w:ascii="Arial" w:eastAsia="Calibri" w:hAnsi="Arial" w:cs="Arial"/>
          <w:bCs/>
          <w:sz w:val="22"/>
          <w:lang w:val="es-ES_tradnl"/>
        </w:rPr>
        <w:t xml:space="preserve">, en los que </w:t>
      </w:r>
      <w:r w:rsidR="00B77271" w:rsidRPr="00A572F4">
        <w:rPr>
          <w:rFonts w:ascii="Arial" w:eastAsia="Calibri" w:hAnsi="Arial" w:cs="Arial"/>
          <w:bCs/>
          <w:sz w:val="22"/>
          <w:lang w:val="es-ES_tradnl"/>
        </w:rPr>
        <w:t xml:space="preserve">se </w:t>
      </w:r>
      <w:r w:rsidR="00BD3EC3" w:rsidRPr="00A572F4">
        <w:rPr>
          <w:rFonts w:ascii="Arial" w:eastAsia="Calibri" w:hAnsi="Arial" w:cs="Arial"/>
          <w:bCs/>
          <w:sz w:val="22"/>
          <w:lang w:val="es-ES_tradnl"/>
        </w:rPr>
        <w:t>present</w:t>
      </w:r>
      <w:r w:rsidR="00B77271" w:rsidRPr="00A572F4">
        <w:rPr>
          <w:rFonts w:ascii="Arial" w:eastAsia="Calibri" w:hAnsi="Arial" w:cs="Arial"/>
          <w:bCs/>
          <w:sz w:val="22"/>
          <w:lang w:val="es-ES_tradnl"/>
        </w:rPr>
        <w:t>e</w:t>
      </w:r>
      <w:r w:rsidR="00BD3EC3" w:rsidRPr="00A572F4">
        <w:rPr>
          <w:rFonts w:ascii="Arial" w:eastAsia="Calibri" w:hAnsi="Arial" w:cs="Arial"/>
          <w:bCs/>
          <w:sz w:val="22"/>
          <w:lang w:val="es-ES_tradnl"/>
        </w:rPr>
        <w:t xml:space="preserve"> </w:t>
      </w:r>
      <w:r w:rsidR="00151CD6" w:rsidRPr="00A572F4">
        <w:rPr>
          <w:rFonts w:ascii="Arial" w:eastAsia="Calibri" w:hAnsi="Arial" w:cs="Arial"/>
          <w:bCs/>
          <w:sz w:val="22"/>
          <w:lang w:val="es-ES_tradnl"/>
        </w:rPr>
        <w:t>esta situación</w:t>
      </w:r>
      <w:r w:rsidR="00BD3EC3" w:rsidRPr="00A572F4">
        <w:rPr>
          <w:rFonts w:ascii="Arial" w:eastAsia="Calibri" w:hAnsi="Arial" w:cs="Arial"/>
          <w:bCs/>
          <w:sz w:val="22"/>
          <w:lang w:val="es-ES_tradnl"/>
        </w:rPr>
        <w:t xml:space="preserve"> </w:t>
      </w:r>
      <w:r w:rsidR="00147FCE" w:rsidRPr="00A572F4">
        <w:rPr>
          <w:rFonts w:ascii="Arial" w:eastAsia="Calibri" w:hAnsi="Arial" w:cs="Arial"/>
          <w:bCs/>
          <w:sz w:val="22"/>
          <w:lang w:val="es-ES_tradnl"/>
        </w:rPr>
        <w:t>entre varias ofertas</w:t>
      </w:r>
      <w:r w:rsidR="009D3D06" w:rsidRPr="00A572F4">
        <w:rPr>
          <w:rFonts w:ascii="Arial" w:eastAsia="Calibri" w:hAnsi="Arial" w:cs="Arial"/>
          <w:bCs/>
          <w:sz w:val="22"/>
          <w:lang w:val="es-ES_tradnl"/>
        </w:rPr>
        <w:t xml:space="preserve">, una vez comparadas las mismas ponderando los factores de evaluación </w:t>
      </w:r>
      <w:r w:rsidR="00B076C1" w:rsidRPr="00A572F4">
        <w:rPr>
          <w:rFonts w:ascii="Arial" w:eastAsia="Calibri" w:hAnsi="Arial" w:cs="Arial"/>
          <w:bCs/>
          <w:sz w:val="22"/>
          <w:lang w:val="es-ES_tradnl"/>
        </w:rPr>
        <w:t xml:space="preserve">de acuerdo con </w:t>
      </w:r>
      <w:r w:rsidR="009D3D06" w:rsidRPr="00A572F4">
        <w:rPr>
          <w:rFonts w:ascii="Arial" w:eastAsia="Calibri" w:hAnsi="Arial" w:cs="Arial"/>
          <w:bCs/>
          <w:sz w:val="22"/>
          <w:lang w:val="es-ES_tradnl"/>
        </w:rPr>
        <w:t>las reglas establecidas en el pliego de condiciones</w:t>
      </w:r>
      <w:r w:rsidR="00151CD6" w:rsidRPr="00A572F4">
        <w:rPr>
          <w:rFonts w:ascii="Arial" w:eastAsia="Calibri" w:hAnsi="Arial" w:cs="Arial"/>
          <w:bCs/>
          <w:sz w:val="22"/>
          <w:lang w:val="es-ES_tradnl"/>
        </w:rPr>
        <w:t xml:space="preserve"> o documento equivalente</w:t>
      </w:r>
      <w:r w:rsidR="002530E2" w:rsidRPr="00A572F4">
        <w:rPr>
          <w:rFonts w:ascii="Arial" w:eastAsia="Calibri" w:hAnsi="Arial" w:cs="Arial"/>
          <w:bCs/>
          <w:sz w:val="22"/>
          <w:lang w:val="es-ES_tradnl"/>
        </w:rPr>
        <w:t>.</w:t>
      </w:r>
      <w:r w:rsidR="00F82421" w:rsidRPr="00A572F4">
        <w:rPr>
          <w:rFonts w:ascii="Arial" w:eastAsia="Calibri" w:hAnsi="Arial" w:cs="Arial"/>
          <w:bCs/>
          <w:sz w:val="22"/>
          <w:lang w:val="es-ES_tradnl"/>
        </w:rPr>
        <w:t xml:space="preserve"> Bajo este criterio</w:t>
      </w:r>
      <w:r w:rsidR="00151CD6" w:rsidRPr="00A572F4">
        <w:rPr>
          <w:rFonts w:ascii="Arial" w:eastAsia="Calibri" w:hAnsi="Arial" w:cs="Arial"/>
          <w:bCs/>
          <w:sz w:val="22"/>
          <w:lang w:val="es-ES_tradnl"/>
        </w:rPr>
        <w:t>, l</w:t>
      </w:r>
      <w:r w:rsidR="001419D7" w:rsidRPr="00A572F4">
        <w:rPr>
          <w:rFonts w:ascii="Arial" w:eastAsia="Calibri" w:hAnsi="Arial" w:cs="Arial"/>
          <w:bCs/>
          <w:sz w:val="22"/>
          <w:lang w:val="es-ES_tradnl"/>
        </w:rPr>
        <w:t>a norma</w:t>
      </w:r>
      <w:r w:rsidR="00FA4408" w:rsidRPr="00A572F4">
        <w:rPr>
          <w:rFonts w:ascii="Arial" w:eastAsia="Calibri" w:hAnsi="Arial" w:cs="Arial"/>
          <w:bCs/>
          <w:sz w:val="22"/>
          <w:lang w:val="es-ES_tradnl"/>
        </w:rPr>
        <w:t xml:space="preserve"> citada se extiende al</w:t>
      </w:r>
      <w:r w:rsidR="00DA565E" w:rsidRPr="00A572F4">
        <w:rPr>
          <w:rFonts w:ascii="Arial" w:eastAsia="Calibri" w:hAnsi="Arial" w:cs="Arial"/>
          <w:bCs/>
          <w:sz w:val="22"/>
          <w:lang w:val="es-ES_tradnl"/>
        </w:rPr>
        <w:t xml:space="preserve"> mecanismo de subasta inversa, así como al</w:t>
      </w:r>
      <w:r w:rsidR="00FA4408" w:rsidRPr="00A572F4">
        <w:rPr>
          <w:rFonts w:ascii="Arial" w:eastAsia="Calibri" w:hAnsi="Arial" w:cs="Arial"/>
          <w:bCs/>
          <w:sz w:val="22"/>
          <w:lang w:val="es-ES_tradnl"/>
        </w:rPr>
        <w:t xml:space="preserve"> procedimiento de mínima cuantía</w:t>
      </w:r>
      <w:r w:rsidR="00CD7B8B" w:rsidRPr="00A572F4">
        <w:rPr>
          <w:rFonts w:ascii="Arial" w:eastAsia="Calibri" w:hAnsi="Arial" w:cs="Arial"/>
          <w:bCs/>
          <w:sz w:val="22"/>
          <w:lang w:val="es-ES_tradnl"/>
        </w:rPr>
        <w:t>,</w:t>
      </w:r>
      <w:r w:rsidR="00FA4408" w:rsidRPr="00A572F4">
        <w:rPr>
          <w:rFonts w:ascii="Arial" w:eastAsia="Calibri" w:hAnsi="Arial" w:cs="Arial"/>
          <w:bCs/>
          <w:sz w:val="22"/>
          <w:lang w:val="es-ES_tradnl"/>
        </w:rPr>
        <w:t xml:space="preserve"> </w:t>
      </w:r>
      <w:r w:rsidR="00F82421" w:rsidRPr="00A572F4">
        <w:rPr>
          <w:rFonts w:ascii="Arial" w:eastAsia="Calibri" w:hAnsi="Arial" w:cs="Arial"/>
          <w:bCs/>
          <w:sz w:val="22"/>
          <w:lang w:val="es-ES_tradnl"/>
        </w:rPr>
        <w:t xml:space="preserve">por lo que </w:t>
      </w:r>
      <w:r w:rsidR="002012BE" w:rsidRPr="00A572F4">
        <w:rPr>
          <w:rFonts w:ascii="Arial" w:eastAsia="Calibri" w:hAnsi="Arial" w:cs="Arial"/>
          <w:bCs/>
          <w:sz w:val="22"/>
          <w:lang w:val="es-ES_tradnl"/>
        </w:rPr>
        <w:t xml:space="preserve">han perdido vigencia </w:t>
      </w:r>
      <w:r w:rsidR="00DA565E" w:rsidRPr="00A572F4">
        <w:rPr>
          <w:rFonts w:ascii="Arial" w:eastAsia="Calibri" w:hAnsi="Arial" w:cs="Arial"/>
          <w:bCs/>
          <w:sz w:val="22"/>
          <w:lang w:val="es-ES_tradnl"/>
        </w:rPr>
        <w:t>los numerales 9 del artículo</w:t>
      </w:r>
      <w:r w:rsidR="00CD7B8B" w:rsidRPr="00A572F4">
        <w:rPr>
          <w:rFonts w:ascii="Arial" w:eastAsia="Calibri" w:hAnsi="Arial" w:cs="Arial"/>
          <w:bCs/>
          <w:sz w:val="22"/>
          <w:lang w:val="es-ES_tradnl"/>
        </w:rPr>
        <w:t xml:space="preserve"> </w:t>
      </w:r>
      <w:r w:rsidR="00DA565E" w:rsidRPr="00A572F4">
        <w:rPr>
          <w:rFonts w:ascii="Arial" w:eastAsia="Calibri" w:hAnsi="Arial" w:cs="Arial"/>
          <w:sz w:val="22"/>
          <w:szCs w:val="22"/>
          <w:lang w:val="es-ES_tradnl"/>
        </w:rPr>
        <w:t xml:space="preserve">2.2.1.2.1.2.2 y </w:t>
      </w:r>
      <w:r w:rsidR="00CD7B8B" w:rsidRPr="00A572F4">
        <w:rPr>
          <w:rFonts w:ascii="Arial" w:eastAsia="Calibri" w:hAnsi="Arial" w:cs="Arial"/>
          <w:bCs/>
          <w:sz w:val="22"/>
          <w:lang w:val="es-ES_tradnl"/>
        </w:rPr>
        <w:t>7 del artículo 2.2.1.2.1.5.2 del Decreto 1082 de 2015.</w:t>
      </w:r>
      <w:r w:rsidR="00F82421" w:rsidRPr="00A572F4">
        <w:rPr>
          <w:rFonts w:ascii="Arial" w:eastAsia="Calibri" w:hAnsi="Arial" w:cs="Arial"/>
          <w:bCs/>
          <w:sz w:val="22"/>
          <w:lang w:val="es-ES_tradnl"/>
        </w:rPr>
        <w:t xml:space="preserve"> </w:t>
      </w:r>
      <w:r w:rsidR="001419D7" w:rsidRPr="00A572F4">
        <w:rPr>
          <w:rFonts w:ascii="Arial" w:eastAsia="Calibri" w:hAnsi="Arial" w:cs="Arial"/>
          <w:bCs/>
          <w:sz w:val="22"/>
          <w:lang w:val="es-ES_tradnl"/>
        </w:rPr>
        <w:t xml:space="preserve"> </w:t>
      </w:r>
      <w:r w:rsidR="002530E2" w:rsidRPr="00A572F4">
        <w:rPr>
          <w:rFonts w:ascii="Arial" w:eastAsia="Calibri" w:hAnsi="Arial" w:cs="Arial"/>
          <w:bCs/>
          <w:sz w:val="22"/>
          <w:lang w:val="es-ES_tradnl"/>
        </w:rPr>
        <w:t xml:space="preserve"> </w:t>
      </w:r>
    </w:p>
    <w:p w14:paraId="10DEB5EA" w14:textId="77777777" w:rsidR="00681C78" w:rsidRPr="00A572F4" w:rsidRDefault="00681C78" w:rsidP="00EB2ED0">
      <w:pPr>
        <w:tabs>
          <w:tab w:val="left" w:pos="0"/>
        </w:tabs>
        <w:jc w:val="both"/>
        <w:rPr>
          <w:rFonts w:ascii="Arial" w:eastAsia="Calibri" w:hAnsi="Arial" w:cs="Arial"/>
          <w:b/>
          <w:sz w:val="22"/>
          <w:lang w:val="es-ES_tradnl"/>
        </w:rPr>
      </w:pPr>
    </w:p>
    <w:p w14:paraId="37CA9805" w14:textId="122A5ECE" w:rsidR="00DD5B04" w:rsidRPr="00A572F4" w:rsidRDefault="004177A6" w:rsidP="00EB2ED0">
      <w:pPr>
        <w:tabs>
          <w:tab w:val="left" w:pos="0"/>
        </w:tabs>
        <w:jc w:val="both"/>
        <w:rPr>
          <w:rFonts w:ascii="Arial" w:eastAsia="Calibri" w:hAnsi="Arial" w:cs="Arial"/>
          <w:b/>
          <w:sz w:val="22"/>
          <w:lang w:val="es-ES_tradnl"/>
        </w:rPr>
      </w:pPr>
      <w:r w:rsidRPr="00A572F4">
        <w:rPr>
          <w:rFonts w:ascii="Arial" w:eastAsia="Calibri" w:hAnsi="Arial" w:cs="Arial"/>
          <w:b/>
          <w:sz w:val="22"/>
          <w:lang w:val="es-ES_tradnl"/>
        </w:rPr>
        <w:t>3</w:t>
      </w:r>
      <w:r w:rsidR="00B011A9" w:rsidRPr="00A572F4">
        <w:rPr>
          <w:rFonts w:ascii="Arial" w:eastAsia="Calibri" w:hAnsi="Arial" w:cs="Arial"/>
          <w:b/>
          <w:sz w:val="22"/>
          <w:lang w:val="es-ES_tradnl"/>
        </w:rPr>
        <w:t xml:space="preserve">. </w:t>
      </w:r>
      <w:r w:rsidR="00DD5B04" w:rsidRPr="00A572F4">
        <w:rPr>
          <w:rFonts w:ascii="Arial" w:eastAsia="Calibri" w:hAnsi="Arial" w:cs="Arial"/>
          <w:b/>
          <w:sz w:val="22"/>
          <w:lang w:val="es-ES_tradnl"/>
        </w:rPr>
        <w:t>Respuesta</w:t>
      </w:r>
      <w:r w:rsidR="002A7D84" w:rsidRPr="00A572F4">
        <w:rPr>
          <w:rFonts w:ascii="Arial" w:eastAsia="Calibri" w:hAnsi="Arial" w:cs="Arial"/>
          <w:b/>
          <w:sz w:val="22"/>
          <w:lang w:val="es-ES_tradnl"/>
        </w:rPr>
        <w:t>s</w:t>
      </w:r>
    </w:p>
    <w:p w14:paraId="12DCA9F3" w14:textId="77777777" w:rsidR="004B25D8" w:rsidRPr="00A572F4" w:rsidRDefault="004B25D8" w:rsidP="00EB2ED0">
      <w:pPr>
        <w:ind w:right="709"/>
        <w:jc w:val="both"/>
        <w:rPr>
          <w:rFonts w:ascii="Arial" w:hAnsi="Arial" w:cs="Arial"/>
          <w:sz w:val="21"/>
          <w:szCs w:val="21"/>
          <w:lang w:val="es-ES_tradnl"/>
        </w:rPr>
      </w:pPr>
    </w:p>
    <w:p w14:paraId="280E4002" w14:textId="3B16A3D0" w:rsidR="002638F4" w:rsidRPr="00940DBD" w:rsidRDefault="002638F4" w:rsidP="002638F4">
      <w:pPr>
        <w:pStyle w:val="Default"/>
        <w:ind w:left="709" w:right="709"/>
        <w:jc w:val="both"/>
        <w:rPr>
          <w:color w:val="auto"/>
          <w:sz w:val="21"/>
          <w:szCs w:val="21"/>
        </w:rPr>
      </w:pPr>
      <w:r w:rsidRPr="00A572F4">
        <w:rPr>
          <w:color w:val="auto"/>
          <w:sz w:val="21"/>
          <w:szCs w:val="21"/>
          <w:lang w:val="es-ES_tradnl"/>
        </w:rPr>
        <w:t>«[…]</w:t>
      </w:r>
      <w:r w:rsidRPr="00A572F4">
        <w:rPr>
          <w:color w:val="auto"/>
          <w:sz w:val="21"/>
          <w:szCs w:val="21"/>
        </w:rPr>
        <w:t xml:space="preserve"> </w:t>
      </w:r>
      <w:r w:rsidRPr="00940DBD">
        <w:rPr>
          <w:color w:val="auto"/>
          <w:sz w:val="21"/>
          <w:szCs w:val="21"/>
        </w:rPr>
        <w:t xml:space="preserve">1. Tratándose de procesos en los cuales por su naturaleza son susceptibles de ser limitados a </w:t>
      </w:r>
      <w:proofErr w:type="spellStart"/>
      <w:r w:rsidRPr="00940DBD">
        <w:rPr>
          <w:color w:val="auto"/>
          <w:sz w:val="21"/>
          <w:szCs w:val="21"/>
        </w:rPr>
        <w:t>Mipymes</w:t>
      </w:r>
      <w:proofErr w:type="spellEnd"/>
      <w:r w:rsidRPr="00940DBD">
        <w:rPr>
          <w:color w:val="auto"/>
          <w:sz w:val="21"/>
          <w:szCs w:val="21"/>
        </w:rPr>
        <w:t xml:space="preserve"> y de acuerdo a la cuantía de la contratación establecida por el Ministerio de Comercio </w:t>
      </w:r>
      <w:proofErr w:type="gramStart"/>
      <w:r w:rsidRPr="00940DBD">
        <w:rPr>
          <w:color w:val="auto"/>
          <w:sz w:val="21"/>
          <w:szCs w:val="21"/>
        </w:rPr>
        <w:t>¿Se debe aplicar lo dispuesto en el artículo 2</w:t>
      </w:r>
      <w:r w:rsidR="0050459C">
        <w:rPr>
          <w:color w:val="auto"/>
          <w:sz w:val="21"/>
          <w:szCs w:val="21"/>
        </w:rPr>
        <w:t>.</w:t>
      </w:r>
      <w:proofErr w:type="gramEnd"/>
      <w:r w:rsidRPr="00940DBD">
        <w:rPr>
          <w:color w:val="auto"/>
          <w:sz w:val="21"/>
          <w:szCs w:val="21"/>
        </w:rPr>
        <w:t xml:space="preserve">2.1.2.4.2.2. del Decreto 1082 del 2015, o a lo dispuesto por la ley 2069 del 2020? </w:t>
      </w:r>
      <w:proofErr w:type="gramStart"/>
      <w:r w:rsidRPr="00940DBD">
        <w:rPr>
          <w:color w:val="auto"/>
          <w:sz w:val="21"/>
          <w:szCs w:val="21"/>
        </w:rPr>
        <w:t>¿Qué sucede con la vigencia del artículo 2.</w:t>
      </w:r>
      <w:proofErr w:type="gramEnd"/>
      <w:r w:rsidRPr="00940DBD">
        <w:rPr>
          <w:color w:val="auto"/>
          <w:sz w:val="21"/>
          <w:szCs w:val="21"/>
        </w:rPr>
        <w:t xml:space="preserve">2.1.2.4.2.2. del Decreto 1082 de 2015? </w:t>
      </w:r>
      <w:r w:rsidRPr="00A572F4">
        <w:rPr>
          <w:color w:val="auto"/>
          <w:sz w:val="21"/>
          <w:szCs w:val="21"/>
        </w:rPr>
        <w:t>[…]»</w:t>
      </w:r>
      <w:r w:rsidR="0050459C">
        <w:rPr>
          <w:color w:val="auto"/>
          <w:sz w:val="21"/>
          <w:szCs w:val="21"/>
        </w:rPr>
        <w:t>.</w:t>
      </w:r>
    </w:p>
    <w:p w14:paraId="5185BA93" w14:textId="12538BAC" w:rsidR="002638F4" w:rsidRPr="00A572F4" w:rsidRDefault="002638F4" w:rsidP="00EB2ED0">
      <w:pPr>
        <w:spacing w:line="276" w:lineRule="auto"/>
        <w:ind w:left="709" w:right="709"/>
        <w:jc w:val="both"/>
        <w:rPr>
          <w:rFonts w:ascii="Arial" w:hAnsi="Arial" w:cs="Arial"/>
          <w:sz w:val="22"/>
          <w:szCs w:val="22"/>
          <w:lang w:val="es-ES_tradnl"/>
        </w:rPr>
      </w:pPr>
    </w:p>
    <w:p w14:paraId="1B1098C0" w14:textId="219E678D" w:rsidR="002638F4" w:rsidRPr="00A572F4" w:rsidRDefault="002638F4" w:rsidP="00963A67">
      <w:pPr>
        <w:spacing w:line="276" w:lineRule="auto"/>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De las consideraciones </w:t>
      </w:r>
      <w:r w:rsidR="00301BB8">
        <w:rPr>
          <w:rFonts w:ascii="Arial" w:eastAsia="Calibri" w:hAnsi="Arial" w:cs="Arial"/>
          <w:sz w:val="22"/>
          <w:szCs w:val="22"/>
          <w:lang w:val="es-ES_tradnl"/>
        </w:rPr>
        <w:t>anteriores</w:t>
      </w:r>
      <w:r w:rsidRPr="00A572F4">
        <w:rPr>
          <w:rFonts w:ascii="Arial" w:eastAsia="Calibri" w:hAnsi="Arial" w:cs="Arial"/>
          <w:sz w:val="22"/>
          <w:szCs w:val="22"/>
          <w:lang w:val="es-ES_tradnl"/>
        </w:rPr>
        <w:t xml:space="preserve">, puede concluirse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A572F4">
        <w:rPr>
          <w:rFonts w:ascii="Arial" w:eastAsia="Calibri" w:hAnsi="Arial" w:cs="Arial"/>
          <w:sz w:val="22"/>
          <w:szCs w:val="22"/>
          <w:lang w:val="es-ES_tradnl"/>
        </w:rPr>
        <w:t>esta</w:t>
      </w:r>
      <w:proofErr w:type="spellEnd"/>
      <w:r w:rsidRPr="00A572F4">
        <w:rPr>
          <w:rFonts w:ascii="Arial" w:eastAsia="Calibri" w:hAnsi="Arial" w:cs="Arial"/>
          <w:sz w:val="22"/>
          <w:szCs w:val="22"/>
          <w:lang w:val="es-ES_tradnl"/>
        </w:rPr>
        <w:t xml:space="preserve"> «deroga […] todas las disposiciones que le sean contrarias». Por ello, puede afirmarse que, además del decaimiento del artículo 2.2.1.2.4.2.2. del Decreto 1082 de 2015, debe entenderse derogado.</w:t>
      </w:r>
    </w:p>
    <w:p w14:paraId="66C0C2C2" w14:textId="34E21488" w:rsidR="002638F4" w:rsidRPr="00A572F4" w:rsidRDefault="002638F4" w:rsidP="002638F4">
      <w:pPr>
        <w:spacing w:before="120" w:line="276" w:lineRule="auto"/>
        <w:ind w:firstLine="709"/>
        <w:jc w:val="both"/>
        <w:rPr>
          <w:rFonts w:ascii="Arial" w:eastAsia="Calibri" w:hAnsi="Arial" w:cs="Arial"/>
          <w:sz w:val="22"/>
          <w:szCs w:val="22"/>
          <w:lang w:val="es-ES_tradnl"/>
        </w:rPr>
      </w:pPr>
      <w:r w:rsidRPr="00A572F4">
        <w:rPr>
          <w:rFonts w:ascii="Arial" w:eastAsia="Calibri" w:hAnsi="Arial" w:cs="Arial"/>
          <w:sz w:val="22"/>
          <w:szCs w:val="22"/>
          <w:lang w:val="es-ES_tradnl"/>
        </w:rPr>
        <w:t xml:space="preserve">Además, no es </w:t>
      </w:r>
      <w:r w:rsidR="009177F5">
        <w:rPr>
          <w:rFonts w:ascii="Arial" w:eastAsia="Calibri" w:hAnsi="Arial" w:cs="Arial"/>
          <w:sz w:val="22"/>
          <w:szCs w:val="22"/>
          <w:lang w:val="es-ES_tradnl"/>
        </w:rPr>
        <w:t xml:space="preserve">posible argumentar </w:t>
      </w:r>
      <w:r w:rsidRPr="00A572F4">
        <w:rPr>
          <w:rFonts w:ascii="Arial" w:eastAsia="Calibri" w:hAnsi="Arial" w:cs="Arial"/>
          <w:sz w:val="22"/>
          <w:szCs w:val="22"/>
          <w:lang w:val="es-ES_tradnl"/>
        </w:rPr>
        <w:t xml:space="preserve">que los apartados normativos del artículo 2.2.1.2.4.2.2 del Decreto 1082 de 2015 que no sean contrarios a la nueva regulación contenida en el artículo 34 de la Ley 2069 de 2020 pueden seguirse aplicando. Esta afirmación no </w:t>
      </w:r>
      <w:r w:rsidR="00811C6D">
        <w:rPr>
          <w:rFonts w:ascii="Arial" w:eastAsia="Calibri" w:hAnsi="Arial" w:cs="Arial"/>
          <w:sz w:val="22"/>
          <w:szCs w:val="22"/>
          <w:lang w:val="es-ES_tradnl"/>
        </w:rPr>
        <w:t>se comparte</w:t>
      </w:r>
      <w:r w:rsidRPr="00A572F4">
        <w:rPr>
          <w:rFonts w:ascii="Arial" w:eastAsia="Calibri" w:hAnsi="Arial" w:cs="Arial"/>
          <w:sz w:val="22"/>
          <w:szCs w:val="22"/>
          <w:lang w:val="es-ES_tradnl"/>
        </w:rPr>
        <w:t xml:space="preserve">, porque el artículo 34, reiteradamente, señala que el gobierno nacional debe definir las condiciones para la aplicación de las reglas recientemente expedidas, que permitan llevar a cabo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572F4">
        <w:rPr>
          <w:rFonts w:ascii="Arial" w:eastAsia="Calibri" w:hAnsi="Arial" w:cs="Arial"/>
          <w:sz w:val="22"/>
          <w:szCs w:val="22"/>
          <w:lang w:val="es-ES_tradnl"/>
        </w:rPr>
        <w:t>mipymes</w:t>
      </w:r>
      <w:proofErr w:type="spellEnd"/>
      <w:r w:rsidRPr="00A572F4">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2E7FDF88" w14:textId="77777777" w:rsidR="002638F4" w:rsidRPr="00A572F4" w:rsidRDefault="002638F4" w:rsidP="002638F4">
      <w:pPr>
        <w:autoSpaceDE w:val="0"/>
        <w:autoSpaceDN w:val="0"/>
        <w:adjustRightInd w:val="0"/>
        <w:ind w:left="709" w:right="709"/>
        <w:jc w:val="both"/>
        <w:rPr>
          <w:rFonts w:ascii="Arial" w:eastAsiaTheme="minorHAnsi" w:hAnsi="Arial" w:cs="Arial"/>
          <w:sz w:val="21"/>
          <w:szCs w:val="21"/>
          <w:lang w:eastAsia="en-US"/>
        </w:rPr>
      </w:pPr>
    </w:p>
    <w:p w14:paraId="29C7CF29" w14:textId="212BF5C2" w:rsidR="002638F4" w:rsidRPr="00A572F4" w:rsidRDefault="002638F4" w:rsidP="002638F4">
      <w:pPr>
        <w:autoSpaceDE w:val="0"/>
        <w:autoSpaceDN w:val="0"/>
        <w:adjustRightInd w:val="0"/>
        <w:ind w:left="709" w:right="709"/>
        <w:jc w:val="both"/>
        <w:rPr>
          <w:rFonts w:ascii="Arial" w:hAnsi="Arial" w:cs="Arial"/>
          <w:sz w:val="21"/>
          <w:szCs w:val="21"/>
          <w:lang w:val="es-ES_tradnl"/>
        </w:rPr>
      </w:pPr>
      <w:r w:rsidRPr="00A572F4">
        <w:rPr>
          <w:rFonts w:ascii="Arial" w:eastAsiaTheme="minorHAnsi" w:hAnsi="Arial" w:cs="Arial"/>
          <w:sz w:val="21"/>
          <w:szCs w:val="21"/>
          <w:lang w:eastAsia="en-US"/>
        </w:rPr>
        <w:t xml:space="preserve">«[…] </w:t>
      </w:r>
      <w:r w:rsidRPr="00940DBD">
        <w:rPr>
          <w:rFonts w:ascii="Arial" w:eastAsiaTheme="minorHAnsi" w:hAnsi="Arial" w:cs="Arial"/>
          <w:sz w:val="21"/>
          <w:szCs w:val="21"/>
          <w:lang w:eastAsia="en-US"/>
        </w:rPr>
        <w:t>2. En los procesos de contratación a los cuales no le son aplicables el factor de puntaje (mínima cuantía y selección abreviada de subasta inversa), ¿son susceptibles de incorporar dentro de la correspondiente invitación y pliego de condiciones, respectivamente, los factores de desempate contenido en el artículo 35 de la ley 2069 de 2020?, o si por con contrario, al no ser procesos que cuenten con factor de puntaje, ¿El mecanismo de desempate se sigue conservando de acuerdo a los criterios de desempate que se venían manejando antes de la entrega en vigencia de la ley 2069 de 2020?</w:t>
      </w:r>
      <w:r w:rsidRPr="00A572F4">
        <w:rPr>
          <w:rFonts w:ascii="Arial" w:eastAsiaTheme="minorHAnsi" w:hAnsi="Arial" w:cs="Arial"/>
          <w:sz w:val="21"/>
          <w:szCs w:val="21"/>
          <w:lang w:eastAsia="en-US"/>
        </w:rPr>
        <w:t>» [sic].</w:t>
      </w:r>
    </w:p>
    <w:p w14:paraId="5BE6368E" w14:textId="77777777" w:rsidR="002638F4" w:rsidRPr="00A572F4" w:rsidRDefault="002638F4" w:rsidP="00EB2ED0">
      <w:pPr>
        <w:spacing w:line="276" w:lineRule="auto"/>
        <w:ind w:left="709" w:right="709"/>
        <w:jc w:val="both"/>
        <w:rPr>
          <w:rFonts w:ascii="Arial" w:hAnsi="Arial" w:cs="Arial"/>
          <w:sz w:val="22"/>
          <w:szCs w:val="22"/>
          <w:lang w:val="es-ES_tradnl"/>
        </w:rPr>
      </w:pPr>
    </w:p>
    <w:p w14:paraId="3EFF9271" w14:textId="77777777" w:rsidR="002638F4" w:rsidRPr="00A572F4" w:rsidRDefault="002638F4" w:rsidP="002638F4">
      <w:pPr>
        <w:spacing w:line="276" w:lineRule="auto"/>
        <w:jc w:val="both"/>
        <w:rPr>
          <w:rFonts w:ascii="Arial" w:eastAsia="Calibri" w:hAnsi="Arial" w:cs="Arial"/>
          <w:sz w:val="22"/>
          <w:szCs w:val="22"/>
          <w:lang w:val="es-ES_tradnl"/>
        </w:rPr>
      </w:pPr>
      <w:bookmarkStart w:id="14" w:name="_Hlk69487468"/>
      <w:bookmarkStart w:id="15" w:name="_Hlk79145750"/>
      <w:r w:rsidRPr="00A572F4">
        <w:rPr>
          <w:rFonts w:ascii="Arial" w:eastAsia="Calibri" w:hAnsi="Arial" w:cs="Arial"/>
          <w:sz w:val="22"/>
          <w:szCs w:val="22"/>
          <w:lang w:val="es-ES_tradnl"/>
        </w:rPr>
        <w:lastRenderedPageBreak/>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A572F4" w:rsidDel="0018007F">
        <w:rPr>
          <w:rFonts w:ascii="Arial" w:eastAsia="Calibri" w:hAnsi="Arial" w:cs="Arial"/>
          <w:sz w:val="22"/>
          <w:szCs w:val="22"/>
          <w:lang w:val="es-ES_tradnl"/>
        </w:rPr>
        <w:t xml:space="preserve"> </w:t>
      </w:r>
      <w:r w:rsidRPr="00A572F4">
        <w:rPr>
          <w:rFonts w:ascii="Arial" w:eastAsia="Calibri" w:hAnsi="Arial" w:cs="Arial"/>
          <w:sz w:val="22"/>
          <w:szCs w:val="22"/>
          <w:lang w:val="es-ES_tradnl"/>
        </w:rPr>
        <w:t>son aplicables a todas las entidades estatales, independientemente de su régimen de contratación.</w:t>
      </w:r>
    </w:p>
    <w:p w14:paraId="6DA1DDFA" w14:textId="603A6D43" w:rsidR="002638F4" w:rsidRPr="00A572F4" w:rsidRDefault="002638F4" w:rsidP="002638F4">
      <w:pPr>
        <w:spacing w:before="120" w:line="276" w:lineRule="auto"/>
        <w:ind w:firstLine="709"/>
        <w:jc w:val="both"/>
        <w:rPr>
          <w:rFonts w:ascii="Arial" w:hAnsi="Arial" w:cs="Arial"/>
          <w:sz w:val="22"/>
          <w:szCs w:val="22"/>
          <w:lang w:val="es-ES_tradnl"/>
        </w:rPr>
      </w:pPr>
      <w:r w:rsidRPr="00A572F4">
        <w:rPr>
          <w:rFonts w:ascii="Arial" w:hAnsi="Arial" w:cs="Arial"/>
          <w:sz w:val="22"/>
          <w:szCs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w:t>
      </w:r>
      <w:r w:rsidR="00291E40" w:rsidRPr="00963A67">
        <w:rPr>
          <w:rFonts w:ascii="Arial" w:hAnsi="Arial" w:cs="Arial"/>
          <w:i/>
          <w:iCs/>
          <w:sz w:val="22"/>
          <w:szCs w:val="22"/>
          <w:lang w:val="es-ES_tradnl"/>
        </w:rPr>
        <w:t>ibidem</w:t>
      </w:r>
      <w:r w:rsidRPr="00A572F4">
        <w:rPr>
          <w:rFonts w:ascii="Arial" w:hAnsi="Arial" w:cs="Arial"/>
          <w:sz w:val="22"/>
          <w:szCs w:val="22"/>
          <w:lang w:val="es-ES_tradnl"/>
        </w:rPr>
        <w:t xml:space="preserve"> </w:t>
      </w:r>
      <w:r w:rsidR="00291E40">
        <w:rPr>
          <w:rFonts w:ascii="Arial" w:hAnsi="Arial" w:cs="Arial"/>
          <w:sz w:val="22"/>
          <w:szCs w:val="22"/>
          <w:lang w:val="es-ES_tradnl"/>
        </w:rPr>
        <w:t xml:space="preserve">dispone </w:t>
      </w:r>
      <w:r w:rsidRPr="00A572F4">
        <w:rPr>
          <w:rFonts w:ascii="Arial" w:hAnsi="Arial" w:cs="Arial"/>
          <w:sz w:val="22"/>
          <w:szCs w:val="22"/>
          <w:lang w:val="es-ES_tradnl"/>
        </w:rPr>
        <w:t xml:space="preserve">que «rige a partir del momento de su promulgación», es decir, desde el 31 de diciembre de 2020, sino además porque la misma disposición señala que la Ley 2069 de 2020 deroga «[…] todas las disposiciones que le sean contrarias». </w:t>
      </w:r>
    </w:p>
    <w:p w14:paraId="75CDB35B" w14:textId="77777777" w:rsidR="002638F4" w:rsidRPr="00A572F4" w:rsidRDefault="002638F4" w:rsidP="002638F4">
      <w:pPr>
        <w:spacing w:before="120" w:line="276" w:lineRule="auto"/>
        <w:ind w:firstLine="709"/>
        <w:jc w:val="both"/>
        <w:rPr>
          <w:rFonts w:ascii="Arial" w:hAnsi="Arial" w:cs="Arial"/>
          <w:sz w:val="22"/>
          <w:szCs w:val="22"/>
          <w:lang w:val="es-ES_tradnl"/>
        </w:rPr>
      </w:pPr>
      <w:r w:rsidRPr="00A572F4">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A572F4">
        <w:rPr>
          <w:rFonts w:ascii="Arial" w:hAnsi="Arial" w:cs="Arial"/>
          <w:i/>
          <w:iCs/>
          <w:sz w:val="22"/>
          <w:szCs w:val="22"/>
          <w:lang w:val="es-ES_tradnl"/>
        </w:rPr>
        <w:t>secundum</w:t>
      </w:r>
      <w:proofErr w:type="spellEnd"/>
      <w:r w:rsidRPr="00A572F4">
        <w:rPr>
          <w:rFonts w:ascii="Arial" w:hAnsi="Arial" w:cs="Arial"/>
          <w:i/>
          <w:iCs/>
          <w:sz w:val="22"/>
          <w:szCs w:val="22"/>
          <w:lang w:val="es-ES_tradnl"/>
        </w:rPr>
        <w:t xml:space="preserve"> </w:t>
      </w:r>
      <w:proofErr w:type="spellStart"/>
      <w:r w:rsidRPr="00A572F4">
        <w:rPr>
          <w:rFonts w:ascii="Arial" w:hAnsi="Arial" w:cs="Arial"/>
          <w:i/>
          <w:iCs/>
          <w:sz w:val="22"/>
          <w:szCs w:val="22"/>
          <w:lang w:val="es-ES_tradnl"/>
        </w:rPr>
        <w:t>legem</w:t>
      </w:r>
      <w:proofErr w:type="spellEnd"/>
      <w:r w:rsidRPr="00A572F4">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p w14:paraId="6F66ADDB" w14:textId="5CA87BA7" w:rsidR="002638F4" w:rsidRPr="00A572F4" w:rsidRDefault="002638F4" w:rsidP="002638F4">
      <w:pPr>
        <w:spacing w:before="120" w:line="276" w:lineRule="auto"/>
        <w:ind w:firstLine="709"/>
        <w:jc w:val="both"/>
        <w:rPr>
          <w:rFonts w:ascii="Arial" w:hAnsi="Arial" w:cs="Arial"/>
          <w:sz w:val="22"/>
          <w:szCs w:val="22"/>
          <w:lang w:val="es-ES_tradnl"/>
        </w:rPr>
      </w:pPr>
      <w:r w:rsidRPr="00A572F4">
        <w:rPr>
          <w:rFonts w:ascii="Arial" w:hAnsi="Arial" w:cs="Arial"/>
          <w:sz w:val="22"/>
          <w:szCs w:val="22"/>
          <w:lang w:val="es-ES_tradnl"/>
        </w:rPr>
        <w:t xml:space="preserve">Lo explicado en los párrafos precedentes también aplica </w:t>
      </w:r>
      <w:r w:rsidRPr="00A572F4">
        <w:rPr>
          <w:rFonts w:ascii="Arial" w:hAnsi="Arial" w:cs="Arial"/>
          <w:i/>
          <w:iCs/>
          <w:sz w:val="22"/>
          <w:szCs w:val="22"/>
          <w:lang w:val="es-ES_tradnl"/>
        </w:rPr>
        <w:t>mutatis mutandis</w:t>
      </w:r>
      <w:r w:rsidRPr="00A572F4">
        <w:rPr>
          <w:rFonts w:ascii="Arial" w:hAnsi="Arial" w:cs="Arial"/>
          <w:sz w:val="22"/>
          <w:szCs w:val="22"/>
          <w:lang w:val="es-ES_tradnl"/>
        </w:rPr>
        <w:t xml:space="preserve"> a los factores de desempate previstos en el Decreto Único Reglamentario del Sector Administrativo de Planeación Nacional para los</w:t>
      </w:r>
      <w:r w:rsidR="005416CA" w:rsidRPr="00A572F4">
        <w:rPr>
          <w:rFonts w:ascii="Arial" w:hAnsi="Arial" w:cs="Arial"/>
          <w:sz w:val="22"/>
          <w:szCs w:val="22"/>
          <w:lang w:val="es-ES_tradnl"/>
        </w:rPr>
        <w:t xml:space="preserve"> procedimientos de subasta inversa–adelantados en el marco de la modalidad de selección abreviada– y</w:t>
      </w:r>
      <w:r w:rsidRPr="00A572F4">
        <w:rPr>
          <w:rFonts w:ascii="Arial" w:hAnsi="Arial" w:cs="Arial"/>
          <w:sz w:val="22"/>
          <w:szCs w:val="22"/>
          <w:lang w:val="es-ES_tradnl"/>
        </w:rPr>
        <w:t xml:space="preserve"> mínima cuantía. A pesar de que numeral </w:t>
      </w:r>
      <w:r w:rsidR="005416CA" w:rsidRPr="00A572F4">
        <w:rPr>
          <w:rFonts w:ascii="Arial" w:hAnsi="Arial" w:cs="Arial"/>
          <w:sz w:val="22"/>
          <w:szCs w:val="22"/>
          <w:lang w:val="es-ES_tradnl"/>
        </w:rPr>
        <w:t>9</w:t>
      </w:r>
      <w:r w:rsidRPr="00A572F4">
        <w:rPr>
          <w:rFonts w:ascii="Arial" w:hAnsi="Arial" w:cs="Arial"/>
          <w:sz w:val="22"/>
          <w:szCs w:val="22"/>
          <w:lang w:val="es-ES_tradnl"/>
        </w:rPr>
        <w:t xml:space="preserve"> del </w:t>
      </w:r>
      <w:r w:rsidR="005416CA" w:rsidRPr="00A572F4">
        <w:rPr>
          <w:rFonts w:ascii="Arial" w:eastAsia="Calibri" w:hAnsi="Arial" w:cs="Arial"/>
          <w:bCs/>
          <w:sz w:val="22"/>
          <w:lang w:val="es-ES_tradnl"/>
        </w:rPr>
        <w:t xml:space="preserve">artículo </w:t>
      </w:r>
      <w:r w:rsidR="005416CA" w:rsidRPr="00A572F4">
        <w:rPr>
          <w:rFonts w:ascii="Arial" w:eastAsia="Calibri" w:hAnsi="Arial" w:cs="Arial"/>
          <w:sz w:val="22"/>
          <w:szCs w:val="22"/>
          <w:lang w:val="es-ES_tradnl"/>
        </w:rPr>
        <w:t>2.2.1.2.1.2.2</w:t>
      </w:r>
      <w:r w:rsidRPr="00A572F4">
        <w:rPr>
          <w:rFonts w:ascii="Arial" w:hAnsi="Arial" w:cs="Arial"/>
          <w:sz w:val="22"/>
          <w:szCs w:val="22"/>
          <w:lang w:val="es-ES_tradnl"/>
        </w:rPr>
        <w:t xml:space="preserve"> y el </w:t>
      </w:r>
      <w:r w:rsidR="005416CA" w:rsidRPr="00A572F4">
        <w:rPr>
          <w:rFonts w:ascii="Arial" w:hAnsi="Arial" w:cs="Arial"/>
          <w:sz w:val="22"/>
          <w:szCs w:val="22"/>
          <w:lang w:val="es-ES_tradnl"/>
        </w:rPr>
        <w:t>7</w:t>
      </w:r>
      <w:r w:rsidRPr="00A572F4">
        <w:rPr>
          <w:rFonts w:ascii="Arial" w:hAnsi="Arial" w:cs="Arial"/>
          <w:sz w:val="22"/>
          <w:szCs w:val="22"/>
          <w:lang w:val="es-ES_tradnl"/>
        </w:rPr>
        <w:t xml:space="preserve"> del artículo </w:t>
      </w:r>
      <w:r w:rsidR="005416CA" w:rsidRPr="00A572F4">
        <w:rPr>
          <w:rFonts w:ascii="Arial" w:hAnsi="Arial" w:cs="Arial"/>
          <w:sz w:val="22"/>
          <w:szCs w:val="22"/>
          <w:lang w:val="es-ES_tradnl"/>
        </w:rPr>
        <w:t>2.2.1.2.1.5.2</w:t>
      </w:r>
      <w:r w:rsidRPr="00A572F4">
        <w:rPr>
          <w:rFonts w:ascii="Arial" w:hAnsi="Arial" w:cs="Arial"/>
          <w:sz w:val="22"/>
          <w:szCs w:val="22"/>
          <w:lang w:val="es-ES_tradnl"/>
        </w:rPr>
        <w:t xml:space="preserve"> del Decreto 1082 de 2015 establecían unas reglas especiales para el desempate entre ofertas para los referidos procedimientos,</w:t>
      </w:r>
      <w:r w:rsidR="005416CA" w:rsidRPr="00A572F4">
        <w:rPr>
          <w:rFonts w:ascii="Arial" w:hAnsi="Arial" w:cs="Arial"/>
          <w:sz w:val="22"/>
          <w:szCs w:val="22"/>
          <w:lang w:val="es-ES_tradnl"/>
        </w:rPr>
        <w:t xml:space="preserve"> ya que</w:t>
      </w:r>
      <w:r w:rsidRPr="00A572F4">
        <w:rPr>
          <w:rFonts w:ascii="Arial" w:hAnsi="Arial" w:cs="Arial"/>
          <w:sz w:val="22"/>
          <w:szCs w:val="22"/>
          <w:lang w:val="es-ES_tradnl"/>
        </w:rPr>
        <w:t xml:space="preserve"> el primer inciso del artículo 35 de la Ley 2069 de 2020 no distingue modalidades de selección y regula la institución de los factores de desempate en los procesos de contratación estatal de manera integral.</w:t>
      </w:r>
    </w:p>
    <w:p w14:paraId="3AE1826C" w14:textId="77777777" w:rsidR="00E447A0" w:rsidRDefault="002638F4" w:rsidP="002638F4">
      <w:pPr>
        <w:spacing w:before="120" w:line="276" w:lineRule="auto"/>
        <w:ind w:firstLine="709"/>
        <w:jc w:val="both"/>
        <w:rPr>
          <w:rFonts w:ascii="Arial" w:hAnsi="Arial" w:cs="Arial"/>
          <w:sz w:val="22"/>
          <w:szCs w:val="22"/>
          <w:lang w:val="es-ES_tradnl"/>
        </w:rPr>
      </w:pPr>
      <w:r w:rsidRPr="00A572F4">
        <w:rPr>
          <w:rFonts w:ascii="Arial" w:hAnsi="Arial" w:cs="Arial"/>
          <w:sz w:val="22"/>
          <w:szCs w:val="22"/>
          <w:lang w:val="es-ES_tradnl"/>
        </w:rPr>
        <w:t xml:space="preserve">En consecuencia, por tratarse de una norma transversal al sistema de compras y contratación pública, el artículo 35 de la Ley 2069 de 2020 es aplicable a los procedimientos de </w:t>
      </w:r>
      <w:r w:rsidR="005416CA" w:rsidRPr="00A572F4">
        <w:rPr>
          <w:rFonts w:ascii="Arial" w:hAnsi="Arial" w:cs="Arial"/>
          <w:sz w:val="22"/>
          <w:szCs w:val="22"/>
          <w:lang w:val="es-ES_tradnl"/>
        </w:rPr>
        <w:t>procedimientos de subasta inversa y mínima cuantía</w:t>
      </w:r>
      <w:r w:rsidRPr="00A572F4">
        <w:rPr>
          <w:rFonts w:ascii="Arial" w:hAnsi="Arial" w:cs="Arial"/>
          <w:sz w:val="22"/>
          <w:szCs w:val="22"/>
          <w:lang w:val="es-ES_tradnl"/>
        </w:rPr>
        <w:t xml:space="preserve">, presentándose tanto la derogación como el decaimiento de los criterios de desempate previstos en </w:t>
      </w:r>
      <w:r w:rsidR="005416CA" w:rsidRPr="00A572F4">
        <w:rPr>
          <w:rFonts w:ascii="Arial" w:hAnsi="Arial" w:cs="Arial"/>
          <w:sz w:val="22"/>
          <w:szCs w:val="22"/>
          <w:lang w:val="es-ES_tradnl"/>
        </w:rPr>
        <w:t>los</w:t>
      </w:r>
      <w:r w:rsidRPr="00A572F4">
        <w:rPr>
          <w:rFonts w:ascii="Arial" w:hAnsi="Arial" w:cs="Arial"/>
          <w:sz w:val="22"/>
          <w:szCs w:val="22"/>
          <w:lang w:val="es-ES_tradnl"/>
        </w:rPr>
        <w:t xml:space="preserve"> numeral</w:t>
      </w:r>
      <w:r w:rsidR="005416CA" w:rsidRPr="00A572F4">
        <w:rPr>
          <w:rFonts w:ascii="Arial" w:hAnsi="Arial" w:cs="Arial"/>
          <w:sz w:val="22"/>
          <w:szCs w:val="22"/>
          <w:lang w:val="es-ES_tradnl"/>
        </w:rPr>
        <w:t xml:space="preserve">es 9 del </w:t>
      </w:r>
      <w:r w:rsidR="005416CA" w:rsidRPr="00A572F4">
        <w:rPr>
          <w:rFonts w:ascii="Arial" w:eastAsia="Calibri" w:hAnsi="Arial" w:cs="Arial"/>
          <w:bCs/>
          <w:sz w:val="22"/>
          <w:lang w:val="es-ES_tradnl"/>
        </w:rPr>
        <w:t xml:space="preserve">artículo </w:t>
      </w:r>
      <w:r w:rsidR="005416CA" w:rsidRPr="00A572F4">
        <w:rPr>
          <w:rFonts w:ascii="Arial" w:eastAsia="Calibri" w:hAnsi="Arial" w:cs="Arial"/>
          <w:sz w:val="22"/>
          <w:szCs w:val="22"/>
          <w:lang w:val="es-ES_tradnl"/>
        </w:rPr>
        <w:t>2.2.1.2.1.2.2</w:t>
      </w:r>
      <w:r w:rsidR="005416CA" w:rsidRPr="00A572F4">
        <w:rPr>
          <w:rFonts w:ascii="Arial" w:hAnsi="Arial" w:cs="Arial"/>
          <w:sz w:val="22"/>
          <w:szCs w:val="22"/>
          <w:lang w:val="es-ES_tradnl"/>
        </w:rPr>
        <w:t xml:space="preserve"> y 7</w:t>
      </w:r>
      <w:r w:rsidRPr="00A572F4">
        <w:rPr>
          <w:rFonts w:ascii="Arial" w:hAnsi="Arial" w:cs="Arial"/>
          <w:sz w:val="22"/>
          <w:szCs w:val="22"/>
          <w:lang w:val="es-ES_tradnl"/>
        </w:rPr>
        <w:t xml:space="preserve"> del artículo 2.2.1.2.1.5.2</w:t>
      </w:r>
      <w:r w:rsidR="005416CA" w:rsidRPr="00A572F4">
        <w:rPr>
          <w:rFonts w:ascii="Arial" w:hAnsi="Arial" w:cs="Arial"/>
          <w:sz w:val="22"/>
          <w:szCs w:val="22"/>
          <w:lang w:val="es-ES_tradnl"/>
        </w:rPr>
        <w:t xml:space="preserve"> </w:t>
      </w:r>
      <w:r w:rsidRPr="00A572F4">
        <w:rPr>
          <w:rFonts w:ascii="Arial" w:hAnsi="Arial" w:cs="Arial"/>
          <w:sz w:val="22"/>
          <w:szCs w:val="22"/>
          <w:lang w:val="es-ES_tradnl"/>
        </w:rPr>
        <w:t>del Decreto 1082 de 2015</w:t>
      </w:r>
      <w:r w:rsidR="005416CA" w:rsidRPr="00A572F4">
        <w:rPr>
          <w:rFonts w:ascii="Arial" w:hAnsi="Arial" w:cs="Arial"/>
          <w:sz w:val="22"/>
          <w:szCs w:val="22"/>
          <w:lang w:val="es-ES_tradnl"/>
        </w:rPr>
        <w:t xml:space="preserve">, </w:t>
      </w:r>
      <w:r w:rsidRPr="00A572F4">
        <w:rPr>
          <w:rFonts w:ascii="Arial" w:hAnsi="Arial" w:cs="Arial"/>
          <w:sz w:val="22"/>
          <w:szCs w:val="22"/>
          <w:lang w:val="es-ES_tradnl"/>
        </w:rPr>
        <w:t xml:space="preserve">para estos procedimientos de selección.      </w:t>
      </w:r>
    </w:p>
    <w:p w14:paraId="405CCC13" w14:textId="0D50753D" w:rsidR="00681C78" w:rsidRPr="00CC1821" w:rsidRDefault="00AA0856" w:rsidP="00CC1821">
      <w:pPr>
        <w:spacing w:before="120" w:after="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E</w:t>
      </w:r>
      <w:r w:rsidR="00E447A0">
        <w:rPr>
          <w:rFonts w:ascii="Arial" w:hAnsi="Arial" w:cs="Arial"/>
          <w:color w:val="000000" w:themeColor="text1"/>
          <w:sz w:val="22"/>
          <w:szCs w:val="22"/>
          <w:lang w:val="es-ES_tradnl"/>
        </w:rPr>
        <w:t>sta</w:t>
      </w:r>
      <w:r>
        <w:rPr>
          <w:rFonts w:ascii="Arial" w:hAnsi="Arial" w:cs="Arial"/>
          <w:color w:val="000000" w:themeColor="text1"/>
          <w:sz w:val="22"/>
          <w:szCs w:val="22"/>
          <w:lang w:val="es-ES_tradnl"/>
        </w:rPr>
        <w:t>s</w:t>
      </w:r>
      <w:r w:rsidR="00E447A0">
        <w:rPr>
          <w:rFonts w:ascii="Arial" w:hAnsi="Arial" w:cs="Arial"/>
          <w:color w:val="000000" w:themeColor="text1"/>
          <w:sz w:val="22"/>
          <w:szCs w:val="22"/>
          <w:lang w:val="es-ES_tradnl"/>
        </w:rPr>
        <w:t xml:space="preserve"> norma</w:t>
      </w:r>
      <w:r>
        <w:rPr>
          <w:rFonts w:ascii="Arial" w:hAnsi="Arial" w:cs="Arial"/>
          <w:color w:val="000000" w:themeColor="text1"/>
          <w:sz w:val="22"/>
          <w:szCs w:val="22"/>
          <w:lang w:val="es-ES_tradnl"/>
        </w:rPr>
        <w:t>s</w:t>
      </w:r>
      <w:r w:rsidR="00E447A0">
        <w:rPr>
          <w:rFonts w:ascii="Arial" w:hAnsi="Arial" w:cs="Arial"/>
          <w:color w:val="000000" w:themeColor="text1"/>
          <w:sz w:val="22"/>
          <w:szCs w:val="22"/>
          <w:lang w:val="es-ES_tradnl"/>
        </w:rPr>
        <w:t xml:space="preserve"> debe</w:t>
      </w:r>
      <w:r>
        <w:rPr>
          <w:rFonts w:ascii="Arial" w:hAnsi="Arial" w:cs="Arial"/>
          <w:color w:val="000000" w:themeColor="text1"/>
          <w:sz w:val="22"/>
          <w:szCs w:val="22"/>
          <w:lang w:val="es-ES_tradnl"/>
        </w:rPr>
        <w:t>n</w:t>
      </w:r>
      <w:r w:rsidR="00E447A0" w:rsidRPr="0056510A">
        <w:rPr>
          <w:rFonts w:ascii="Arial" w:hAnsi="Arial" w:cs="Arial"/>
          <w:color w:val="000000" w:themeColor="text1"/>
          <w:sz w:val="22"/>
          <w:szCs w:val="22"/>
          <w:lang w:val="es-ES_tradnl"/>
        </w:rPr>
        <w:t xml:space="preserve"> interpretarse de manera sistemática con las demás disposiciones del EGCAP, particularmente, con el artículo 5 de la Ley 1150 de 2007. Conforme esta idea, la expresión </w:t>
      </w:r>
      <w:r w:rsidR="00E447A0" w:rsidRPr="00395970">
        <w:rPr>
          <w:rFonts w:ascii="Arial" w:hAnsi="Arial" w:cs="Arial"/>
          <w:i/>
          <w:iCs/>
          <w:color w:val="000000" w:themeColor="text1"/>
          <w:sz w:val="22"/>
          <w:szCs w:val="22"/>
          <w:lang w:val="es-ES_tradnl"/>
        </w:rPr>
        <w:t>empate en el puntaje total</w:t>
      </w:r>
      <w:r w:rsidR="00E447A0" w:rsidRPr="0056510A">
        <w:rPr>
          <w:rFonts w:ascii="Arial" w:hAnsi="Arial" w:cs="Arial"/>
          <w:color w:val="000000" w:themeColor="text1"/>
          <w:sz w:val="22"/>
          <w:szCs w:val="22"/>
          <w:lang w:val="es-ES_tradnl"/>
        </w:rPr>
        <w:t xml:space="preserve"> apunta a las situaciones en la evaluación final de las ofertas en las que, realizándose la comparación de acuerdo con los factores de calificación, evaluación o ponderación aplicables al respectivo procedimiento, </w:t>
      </w:r>
      <w:r w:rsidR="00E447A0" w:rsidRPr="0056510A">
        <w:rPr>
          <w:rFonts w:ascii="Arial" w:hAnsi="Arial" w:cs="Arial"/>
          <w:color w:val="000000" w:themeColor="text1"/>
          <w:sz w:val="22"/>
          <w:szCs w:val="22"/>
          <w:lang w:val="es-ES_tradnl"/>
        </w:rPr>
        <w:lastRenderedPageBreak/>
        <w:t>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bookmarkEnd w:id="14"/>
      <w:bookmarkEnd w:id="15"/>
    </w:p>
    <w:p w14:paraId="35405C2F" w14:textId="77777777" w:rsidR="0080376A" w:rsidRPr="00A572F4" w:rsidRDefault="00DD5B04" w:rsidP="00EB2ED0">
      <w:pPr>
        <w:spacing w:line="276" w:lineRule="auto"/>
        <w:jc w:val="both"/>
        <w:rPr>
          <w:rFonts w:ascii="Arial" w:hAnsi="Arial" w:cs="Arial"/>
          <w:sz w:val="22"/>
          <w:szCs w:val="22"/>
          <w:lang w:val="es-ES_tradnl"/>
        </w:rPr>
      </w:pPr>
      <w:r w:rsidRPr="00A572F4">
        <w:rPr>
          <w:rFonts w:ascii="Arial" w:hAnsi="Arial" w:cs="Arial"/>
          <w:sz w:val="22"/>
          <w:szCs w:val="22"/>
          <w:lang w:val="es-ES_tradnl"/>
        </w:rPr>
        <w:t>Este concepto tiene el alcance previsto en el artículo 28 del Código de Procedimiento Administrativo y de lo Contencioso Administrativo.</w:t>
      </w:r>
    </w:p>
    <w:p w14:paraId="2CCA8B64" w14:textId="6DE90BCD" w:rsidR="0080376A" w:rsidRPr="00A572F4" w:rsidRDefault="0080376A" w:rsidP="00EB2ED0">
      <w:pPr>
        <w:spacing w:line="276" w:lineRule="auto"/>
        <w:rPr>
          <w:rFonts w:ascii="Arial" w:hAnsi="Arial" w:cs="Arial"/>
          <w:sz w:val="22"/>
          <w:szCs w:val="22"/>
          <w:lang w:eastAsia="es-CO"/>
        </w:rPr>
      </w:pPr>
    </w:p>
    <w:p w14:paraId="011D45FA" w14:textId="1F259EE0" w:rsidR="0080376A" w:rsidRPr="00A572F4" w:rsidRDefault="0080376A" w:rsidP="00EB2ED0">
      <w:pPr>
        <w:spacing w:line="276" w:lineRule="auto"/>
        <w:rPr>
          <w:rFonts w:ascii="Arial" w:hAnsi="Arial" w:cs="Arial"/>
          <w:sz w:val="22"/>
          <w:szCs w:val="22"/>
        </w:rPr>
      </w:pPr>
      <w:r w:rsidRPr="00A572F4">
        <w:rPr>
          <w:rFonts w:ascii="Arial" w:hAnsi="Arial" w:cs="Arial"/>
          <w:sz w:val="22"/>
          <w:szCs w:val="22"/>
          <w:lang w:eastAsia="es-CO"/>
        </w:rPr>
        <w:t>Atentamente,</w:t>
      </w:r>
    </w:p>
    <w:p w14:paraId="110E7C14" w14:textId="4F7D1BC4" w:rsidR="0080376A" w:rsidRPr="00A572F4" w:rsidRDefault="00CC1821" w:rsidP="00CC1821">
      <w:pPr>
        <w:spacing w:after="18"/>
        <w:jc w:val="center"/>
        <w:rPr>
          <w:rFonts w:ascii="Arial" w:hAnsi="Arial" w:cs="Arial"/>
          <w:lang w:eastAsia="es-CO"/>
        </w:rPr>
      </w:pPr>
      <w:r w:rsidRPr="00E97533">
        <w:rPr>
          <w:rFonts w:ascii="Arial" w:hAnsi="Arial" w:cs="Arial"/>
          <w:noProof/>
          <w:sz w:val="18"/>
          <w:szCs w:val="18"/>
          <w:lang w:val="es-ES" w:eastAsia="es-ES"/>
        </w:rPr>
        <w:drawing>
          <wp:inline distT="0" distB="0" distL="0" distR="0" wp14:anchorId="0D9F04C0" wp14:editId="2885E55C">
            <wp:extent cx="2562216" cy="913765"/>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799" cy="931448"/>
                    </a:xfrm>
                    <a:prstGeom prst="rect">
                      <a:avLst/>
                    </a:prstGeom>
                  </pic:spPr>
                </pic:pic>
              </a:graphicData>
            </a:graphic>
          </wp:inline>
        </w:drawing>
      </w:r>
    </w:p>
    <w:p w14:paraId="73BAD691" w14:textId="1C845272" w:rsidR="0080376A" w:rsidRPr="00A572F4" w:rsidRDefault="0080376A" w:rsidP="00EB2ED0">
      <w:pPr>
        <w:spacing w:after="18"/>
        <w:jc w:val="center"/>
        <w:rPr>
          <w:rFonts w:ascii="Arial" w:hAnsi="Arial" w:cs="Arial"/>
          <w:lang w:eastAsia="es-CO"/>
        </w:rPr>
      </w:pPr>
    </w:p>
    <w:p w14:paraId="61C66791" w14:textId="1C9C76D8" w:rsidR="0080376A" w:rsidRPr="00A572F4" w:rsidRDefault="0080376A" w:rsidP="00EB2ED0">
      <w:pPr>
        <w:spacing w:after="18"/>
        <w:jc w:val="center"/>
        <w:rPr>
          <w:rFonts w:ascii="Arial" w:hAnsi="Arial" w:cs="Arial"/>
          <w:lang w:eastAsia="es-CO"/>
        </w:rPr>
      </w:pPr>
    </w:p>
    <w:p w14:paraId="353D05CB" w14:textId="77777777" w:rsidR="0080376A" w:rsidRPr="00A572F4"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A572F4" w:rsidRPr="00A572F4" w14:paraId="03974E28" w14:textId="77777777" w:rsidTr="00631B91">
        <w:trPr>
          <w:trHeight w:val="286"/>
        </w:trPr>
        <w:tc>
          <w:tcPr>
            <w:tcW w:w="886" w:type="dxa"/>
            <w:vAlign w:val="center"/>
            <w:hideMark/>
          </w:tcPr>
          <w:p w14:paraId="01140129"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Alejandro Sarmiento Cantillo</w:t>
            </w:r>
          </w:p>
          <w:p w14:paraId="1886B9EC"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Gestor T1-11 de la Subdirección de Gestión Contractual</w:t>
            </w:r>
          </w:p>
        </w:tc>
      </w:tr>
      <w:tr w:rsidR="00A572F4" w:rsidRPr="00A572F4" w14:paraId="1C6D880D" w14:textId="77777777" w:rsidTr="00631B91">
        <w:trPr>
          <w:trHeight w:val="299"/>
        </w:trPr>
        <w:tc>
          <w:tcPr>
            <w:tcW w:w="886" w:type="dxa"/>
            <w:vAlign w:val="center"/>
          </w:tcPr>
          <w:p w14:paraId="5E9E0994"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Juan David Montoya Penagos</w:t>
            </w:r>
          </w:p>
          <w:p w14:paraId="5B170026"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 xml:space="preserve">Gestor T1-15 de la Subdirección de Gestión Contractual  </w:t>
            </w:r>
          </w:p>
        </w:tc>
      </w:tr>
      <w:tr w:rsidR="00A572F4" w:rsidRPr="00A572F4" w14:paraId="69EA51B1" w14:textId="77777777" w:rsidTr="00631B91">
        <w:trPr>
          <w:trHeight w:val="272"/>
        </w:trPr>
        <w:tc>
          <w:tcPr>
            <w:tcW w:w="886" w:type="dxa"/>
            <w:vAlign w:val="center"/>
            <w:hideMark/>
          </w:tcPr>
          <w:p w14:paraId="310910D2"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Jorge Augusto Tirado Navarro</w:t>
            </w:r>
          </w:p>
          <w:p w14:paraId="3019D417" w14:textId="633936DE" w:rsidR="0080376A" w:rsidRPr="00A572F4" w:rsidRDefault="0080376A" w:rsidP="00EB2ED0">
            <w:pPr>
              <w:rPr>
                <w:rFonts w:ascii="Arial" w:hAnsi="Arial" w:cs="Arial"/>
                <w:sz w:val="14"/>
                <w:szCs w:val="14"/>
                <w:lang w:eastAsia="es-ES"/>
              </w:rPr>
            </w:pPr>
            <w:r w:rsidRPr="00A572F4">
              <w:rPr>
                <w:rFonts w:ascii="Arial" w:hAnsi="Arial" w:cs="Arial"/>
                <w:sz w:val="14"/>
                <w:szCs w:val="14"/>
                <w:lang w:eastAsia="es-ES"/>
              </w:rPr>
              <w:t>Subdirector de Gestión Contractual</w:t>
            </w:r>
            <w:r w:rsidR="008C3903" w:rsidRPr="00A572F4">
              <w:rPr>
                <w:rFonts w:ascii="Arial" w:hAnsi="Arial" w:cs="Arial"/>
                <w:sz w:val="14"/>
                <w:szCs w:val="14"/>
                <w:lang w:eastAsia="es-ES"/>
              </w:rPr>
              <w:t xml:space="preserve"> ANCP – CCE</w:t>
            </w:r>
          </w:p>
        </w:tc>
      </w:tr>
    </w:tbl>
    <w:p w14:paraId="5D4CDD3F" w14:textId="77777777" w:rsidR="0080376A" w:rsidRPr="00A572F4" w:rsidRDefault="0080376A" w:rsidP="00EB2ED0">
      <w:pPr>
        <w:rPr>
          <w:rFonts w:ascii="Arial" w:hAnsi="Arial" w:cs="Arial"/>
          <w:lang w:eastAsia="es-ES"/>
        </w:rPr>
      </w:pPr>
    </w:p>
    <w:bookmarkEnd w:id="2"/>
    <w:p w14:paraId="35B56F46" w14:textId="68D0B3F1" w:rsidR="00746E08" w:rsidRPr="00A572F4" w:rsidRDefault="00746E08" w:rsidP="00EB2ED0">
      <w:pPr>
        <w:spacing w:line="276" w:lineRule="auto"/>
        <w:jc w:val="both"/>
        <w:rPr>
          <w:rFonts w:ascii="Arial" w:hAnsi="Arial" w:cs="Arial"/>
          <w:lang w:val="es-ES_tradnl"/>
        </w:rPr>
      </w:pPr>
    </w:p>
    <w:sectPr w:rsidR="00746E08" w:rsidRPr="00A572F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597A" w14:textId="77777777" w:rsidR="004F4BF9" w:rsidRDefault="004F4BF9">
      <w:r>
        <w:separator/>
      </w:r>
    </w:p>
  </w:endnote>
  <w:endnote w:type="continuationSeparator" w:id="0">
    <w:p w14:paraId="47F32535" w14:textId="77777777" w:rsidR="004F4BF9" w:rsidRDefault="004F4BF9">
      <w:r>
        <w:continuationSeparator/>
      </w:r>
    </w:p>
  </w:endnote>
  <w:endnote w:type="continuationNotice" w:id="1">
    <w:p w14:paraId="23CDECD3" w14:textId="77777777" w:rsidR="004F4BF9" w:rsidRDefault="004F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FD02" w14:textId="77777777" w:rsidR="004F4BF9" w:rsidRDefault="004F4BF9">
      <w:r>
        <w:separator/>
      </w:r>
    </w:p>
  </w:footnote>
  <w:footnote w:type="continuationSeparator" w:id="0">
    <w:p w14:paraId="7FB74F2E" w14:textId="77777777" w:rsidR="004F4BF9" w:rsidRDefault="004F4BF9">
      <w:r>
        <w:continuationSeparator/>
      </w:r>
    </w:p>
  </w:footnote>
  <w:footnote w:type="continuationNotice" w:id="1">
    <w:p w14:paraId="6FFAFAED" w14:textId="77777777" w:rsidR="004F4BF9" w:rsidRDefault="004F4BF9"/>
  </w:footnote>
  <w:footnote w:id="2">
    <w:p w14:paraId="79AE3BCB" w14:textId="3C7E8499" w:rsidR="002638F4" w:rsidRDefault="002638F4" w:rsidP="002638F4">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CB1B294" w14:textId="77777777" w:rsidR="00963A67" w:rsidRDefault="00963A67" w:rsidP="002638F4">
      <w:pPr>
        <w:pStyle w:val="Textonotapie"/>
        <w:ind w:firstLine="708"/>
        <w:jc w:val="both"/>
        <w:rPr>
          <w:rFonts w:ascii="Arial" w:hAnsi="Arial" w:cs="Arial"/>
          <w:sz w:val="19"/>
          <w:szCs w:val="19"/>
          <w:lang w:val="es-CO"/>
        </w:rPr>
      </w:pPr>
    </w:p>
  </w:footnote>
  <w:footnote w:id="3">
    <w:p w14:paraId="632CD27C"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4993CEFD" w14:textId="77777777" w:rsidR="007B1929" w:rsidRPr="008640C4" w:rsidRDefault="007B1929" w:rsidP="0099308E">
      <w:pPr>
        <w:pStyle w:val="Textonotapie"/>
        <w:ind w:firstLine="709"/>
        <w:jc w:val="both"/>
        <w:rPr>
          <w:rFonts w:ascii="Arial" w:hAnsi="Arial" w:cs="Arial"/>
          <w:sz w:val="19"/>
          <w:szCs w:val="19"/>
          <w:lang w:val="es-ES"/>
        </w:rPr>
      </w:pPr>
    </w:p>
  </w:footnote>
  <w:footnote w:id="4">
    <w:p w14:paraId="4678A7FC"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1DD153DA" w14:textId="77777777" w:rsidR="007B1929" w:rsidRPr="008640C4" w:rsidRDefault="007B1929" w:rsidP="0099308E">
      <w:pPr>
        <w:pStyle w:val="Textonotapie"/>
        <w:ind w:firstLine="709"/>
        <w:jc w:val="both"/>
        <w:rPr>
          <w:rFonts w:ascii="Arial" w:hAnsi="Arial" w:cs="Arial"/>
          <w:sz w:val="19"/>
          <w:szCs w:val="19"/>
          <w:lang w:val="es-ES"/>
        </w:rPr>
      </w:pPr>
    </w:p>
  </w:footnote>
  <w:footnote w:id="5">
    <w:p w14:paraId="028A9BDB"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1A89C2E1" w14:textId="77777777" w:rsidR="007B1929" w:rsidRPr="008640C4" w:rsidRDefault="007B1929" w:rsidP="0099308E">
      <w:pPr>
        <w:pStyle w:val="Textonotapie"/>
        <w:ind w:firstLine="709"/>
        <w:jc w:val="both"/>
        <w:rPr>
          <w:rFonts w:ascii="Arial" w:hAnsi="Arial" w:cs="Arial"/>
          <w:sz w:val="19"/>
          <w:szCs w:val="19"/>
          <w:lang w:val="es-ES"/>
        </w:rPr>
      </w:pPr>
    </w:p>
  </w:footnote>
  <w:footnote w:id="6">
    <w:p w14:paraId="3205EC8F"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28510AFC" w14:textId="77777777" w:rsidR="007B1929" w:rsidRPr="008640C4" w:rsidRDefault="007B1929" w:rsidP="0099308E">
      <w:pPr>
        <w:pStyle w:val="Textonotapie"/>
        <w:ind w:firstLine="709"/>
        <w:jc w:val="both"/>
        <w:rPr>
          <w:rFonts w:ascii="Arial" w:hAnsi="Arial" w:cs="Arial"/>
          <w:sz w:val="19"/>
          <w:szCs w:val="19"/>
          <w:lang w:val="es-ES"/>
        </w:rPr>
      </w:pPr>
    </w:p>
  </w:footnote>
  <w:footnote w:id="7">
    <w:p w14:paraId="481F21A4" w14:textId="77777777" w:rsidR="007B1929" w:rsidRPr="008640C4" w:rsidRDefault="007B1929" w:rsidP="0099308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D5A5DFA" w14:textId="77777777" w:rsidR="007B1929" w:rsidRPr="008640C4" w:rsidRDefault="007B1929" w:rsidP="0099308E">
      <w:pPr>
        <w:pStyle w:val="Textonotapie"/>
        <w:ind w:firstLine="709"/>
        <w:jc w:val="both"/>
        <w:rPr>
          <w:rFonts w:ascii="Arial" w:hAnsi="Arial" w:cs="Arial"/>
          <w:sz w:val="19"/>
          <w:szCs w:val="19"/>
          <w:lang w:val="es-ES"/>
        </w:rPr>
      </w:pPr>
    </w:p>
  </w:footnote>
  <w:footnote w:id="8">
    <w:p w14:paraId="3ED43203" w14:textId="77777777" w:rsidR="007B1929" w:rsidRPr="001F5C3E" w:rsidRDefault="007B1929" w:rsidP="0099308E">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6D8F7008" w14:textId="77777777" w:rsidR="007B1929" w:rsidRPr="00AA2812" w:rsidRDefault="007B1929" w:rsidP="0099308E">
      <w:pPr>
        <w:pStyle w:val="Textonotapie"/>
        <w:ind w:firstLine="708"/>
        <w:jc w:val="both"/>
        <w:rPr>
          <w:rFonts w:ascii="Arial" w:hAnsi="Arial" w:cs="Arial"/>
          <w:sz w:val="19"/>
          <w:szCs w:val="19"/>
          <w:lang w:val="es-ES"/>
        </w:rPr>
      </w:pPr>
    </w:p>
  </w:footnote>
  <w:footnote w:id="9">
    <w:p w14:paraId="32C9E608" w14:textId="77777777" w:rsidR="007B1929" w:rsidRPr="00A1541C" w:rsidRDefault="007B1929" w:rsidP="0099308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5" w:name="_Hlk63862868"/>
      <w:r>
        <w:rPr>
          <w:rFonts w:ascii="Arial" w:hAnsi="Arial" w:cs="Arial"/>
          <w:sz w:val="19"/>
          <w:szCs w:val="19"/>
        </w:rPr>
        <w:t xml:space="preserve">CONGRESO DE LA REPÚBLICA. Gaceta No. 670 del 11 de agosto de 2020. Exposición de motivos del Proyecto de Ley No. 122 de 2020 Cámara. p. 13. </w:t>
      </w:r>
      <w:bookmarkEnd w:id="5"/>
    </w:p>
  </w:footnote>
  <w:footnote w:id="10">
    <w:p w14:paraId="068A95F4" w14:textId="77777777" w:rsidR="007B1929" w:rsidRPr="00614771" w:rsidRDefault="007B1929" w:rsidP="0099308E">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1">
    <w:p w14:paraId="0DA76B57" w14:textId="77777777" w:rsidR="007B1929" w:rsidRDefault="007B1929" w:rsidP="0099308E">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ACD96D5" w14:textId="77777777" w:rsidR="007B1929" w:rsidRPr="00DA1F59" w:rsidRDefault="007B1929" w:rsidP="0099308E">
      <w:pPr>
        <w:pStyle w:val="Textonotapie"/>
        <w:ind w:firstLine="708"/>
        <w:jc w:val="both"/>
        <w:rPr>
          <w:rFonts w:ascii="Arial" w:hAnsi="Arial" w:cs="Arial"/>
          <w:sz w:val="19"/>
          <w:szCs w:val="19"/>
          <w:lang w:val="es-ES"/>
        </w:rPr>
      </w:pPr>
    </w:p>
  </w:footnote>
  <w:footnote w:id="12">
    <w:p w14:paraId="6C206C5A" w14:textId="77777777" w:rsidR="007B1929" w:rsidRDefault="007B1929" w:rsidP="0099308E">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32E9A604" w14:textId="77777777" w:rsidR="007B1929" w:rsidRPr="00122311" w:rsidRDefault="007B1929" w:rsidP="0099308E">
      <w:pPr>
        <w:pStyle w:val="Textonotapie"/>
        <w:ind w:firstLine="708"/>
        <w:jc w:val="both"/>
        <w:rPr>
          <w:rFonts w:ascii="Arial" w:hAnsi="Arial" w:cs="Arial"/>
          <w:sz w:val="19"/>
          <w:szCs w:val="19"/>
        </w:rPr>
      </w:pPr>
    </w:p>
  </w:footnote>
  <w:footnote w:id="13">
    <w:p w14:paraId="4892C1E4" w14:textId="77777777" w:rsidR="007B1929" w:rsidRPr="006B567C" w:rsidRDefault="007B1929" w:rsidP="0099308E">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sidRPr="00092D39">
        <w:rPr>
          <w:rFonts w:ascii="Arial" w:hAnsi="Arial" w:cs="Arial"/>
          <w:sz w:val="19"/>
          <w:szCs w:val="19"/>
        </w:rPr>
        <w:t xml:space="preserve">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852C30">
          <w:rPr>
            <w:rStyle w:val="Hipervnculo"/>
            <w:rFonts w:ascii="Arial" w:hAnsi="Arial" w:cs="Arial"/>
            <w:color w:val="0E63A8" w:themeColor="text2"/>
            <w:sz w:val="19"/>
            <w:szCs w:val="19"/>
          </w:rPr>
          <w:t>https://www.beltranpardo.com/wp-content/uploads/2021/02/CorteConstitucional_Inexequibilidadpar%C3%A1grafo2Art6L2014.pdf</w:t>
        </w:r>
      </w:hyperlink>
      <w:r w:rsidRPr="00092D39">
        <w:rPr>
          <w:rFonts w:ascii="Arial" w:hAnsi="Arial" w:cs="Arial"/>
          <w:sz w:val="19"/>
          <w:szCs w:val="19"/>
        </w:rPr>
        <w:t>).</w:t>
      </w:r>
      <w:r>
        <w:rPr>
          <w:rFonts w:ascii="Arial" w:hAnsi="Arial" w:cs="Arial"/>
          <w:sz w:val="19"/>
          <w:szCs w:val="19"/>
        </w:rPr>
        <w:t xml:space="preserve">  </w:t>
      </w:r>
    </w:p>
    <w:p w14:paraId="41252AE2" w14:textId="77777777" w:rsidR="007B1929" w:rsidRPr="00E611D3" w:rsidRDefault="007B1929" w:rsidP="0099308E">
      <w:pPr>
        <w:pStyle w:val="Textonotapie"/>
        <w:ind w:firstLine="708"/>
        <w:jc w:val="both"/>
        <w:rPr>
          <w:rFonts w:ascii="Arial" w:hAnsi="Arial" w:cs="Arial"/>
          <w:sz w:val="19"/>
          <w:szCs w:val="19"/>
          <w:lang w:val="es-ES"/>
        </w:rPr>
      </w:pPr>
    </w:p>
  </w:footnote>
  <w:footnote w:id="14">
    <w:p w14:paraId="49EAFEE3" w14:textId="77777777" w:rsidR="007B1929" w:rsidRPr="0040085D" w:rsidRDefault="007B1929" w:rsidP="0099308E">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5">
    <w:p w14:paraId="57411BB0" w14:textId="77777777" w:rsidR="007B1929" w:rsidRDefault="007B1929" w:rsidP="0099308E">
      <w:pPr>
        <w:pStyle w:val="Textonotapie"/>
        <w:ind w:firstLine="708"/>
        <w:jc w:val="both"/>
        <w:rPr>
          <w:rFonts w:ascii="Arial" w:hAnsi="Arial" w:cs="Arial"/>
          <w:sz w:val="19"/>
          <w:szCs w:val="19"/>
        </w:rPr>
      </w:pPr>
    </w:p>
    <w:p w14:paraId="025812B2" w14:textId="0BE6584D" w:rsidR="007B1929" w:rsidRPr="00002995" w:rsidRDefault="007B1929" w:rsidP="0099308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 w:id="16">
    <w:p w14:paraId="07D1D9F6" w14:textId="1ED62DF5" w:rsidR="007B1929" w:rsidRDefault="007B1929" w:rsidP="0099308E">
      <w:pPr>
        <w:pStyle w:val="Textonotapie"/>
        <w:ind w:firstLine="708"/>
        <w:jc w:val="both"/>
        <w:rPr>
          <w:rFonts w:ascii="Arial" w:hAnsi="Arial" w:cs="Arial"/>
          <w:sz w:val="19"/>
          <w:szCs w:val="19"/>
        </w:rPr>
      </w:pPr>
      <w:r w:rsidRPr="002267EA">
        <w:rPr>
          <w:rStyle w:val="Refdenotaalpie"/>
          <w:rFonts w:ascii="Arial" w:hAnsi="Arial" w:cs="Arial"/>
          <w:sz w:val="19"/>
          <w:szCs w:val="19"/>
        </w:rPr>
        <w:footnoteRef/>
      </w:r>
      <w:r w:rsidRPr="002267EA">
        <w:rPr>
          <w:rFonts w:ascii="Arial" w:hAnsi="Arial" w:cs="Arial"/>
          <w:sz w:val="19"/>
          <w:szCs w:val="19"/>
        </w:rPr>
        <w:t xml:space="preserve"> CONGRESO DE LA REPÚBLICA. Gaceta No. 670 del 11 de agosto de 2020. Exposición de motivos del Proyecto de Ley No. 122 de 2020 Cámara. pp. 3-4.</w:t>
      </w:r>
    </w:p>
    <w:p w14:paraId="19ADDB62" w14:textId="77777777" w:rsidR="00681C78" w:rsidRPr="005716A8" w:rsidRDefault="00681C78" w:rsidP="0099308E">
      <w:pPr>
        <w:pStyle w:val="Textonotapie"/>
        <w:ind w:firstLine="708"/>
        <w:jc w:val="both"/>
        <w:rPr>
          <w:rFonts w:ascii="Arial" w:hAnsi="Arial" w:cs="Arial"/>
          <w:sz w:val="19"/>
          <w:szCs w:val="19"/>
          <w:lang w:val="es-ES"/>
        </w:rPr>
      </w:pPr>
    </w:p>
  </w:footnote>
  <w:footnote w:id="17">
    <w:p w14:paraId="4CF4B5C0" w14:textId="77777777" w:rsidR="007B1929" w:rsidRDefault="007B1929" w:rsidP="0099308E">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62ED5ED4" w14:textId="77777777" w:rsidR="007B1929" w:rsidRPr="00AC3DCF" w:rsidRDefault="007B1929" w:rsidP="0099308E">
      <w:pPr>
        <w:pStyle w:val="Textonotapie"/>
        <w:ind w:firstLine="708"/>
        <w:jc w:val="both"/>
        <w:rPr>
          <w:rFonts w:ascii="Arial" w:hAnsi="Arial" w:cs="Arial"/>
          <w:sz w:val="19"/>
          <w:szCs w:val="19"/>
          <w:lang w:val="es-ES"/>
        </w:rPr>
      </w:pPr>
    </w:p>
  </w:footnote>
  <w:footnote w:id="18">
    <w:p w14:paraId="475BC587" w14:textId="77777777" w:rsidR="007B1929" w:rsidRPr="00AC3DCF" w:rsidRDefault="007B1929" w:rsidP="0099308E">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19">
    <w:p w14:paraId="0383F913" w14:textId="77777777" w:rsidR="00AD1B10" w:rsidRPr="001F29DD" w:rsidRDefault="00AD1B10" w:rsidP="00AD1B10">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78F6F264" w14:textId="77777777" w:rsidR="00AD1B10" w:rsidRPr="001F29DD" w:rsidRDefault="00AD1B10" w:rsidP="00AD1B1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34BDD1C7" w14:textId="77777777" w:rsidR="00AD1B10" w:rsidRPr="001F29DD" w:rsidRDefault="00AD1B10" w:rsidP="00AD1B1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7125850C" w14:textId="77777777" w:rsidR="00AD1B10" w:rsidRPr="001F29DD" w:rsidRDefault="00AD1B10" w:rsidP="00AD1B1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476E21AF" w14:textId="77777777" w:rsidR="00AD1B10" w:rsidRPr="001F29DD" w:rsidRDefault="00AD1B10" w:rsidP="00AD1B1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670F0805" w14:textId="77777777" w:rsidR="00AD1B10" w:rsidRPr="001F29DD" w:rsidRDefault="00AD1B10" w:rsidP="00AD1B1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46B392AA" w14:textId="77777777" w:rsidR="00AD1B10" w:rsidRPr="001F29DD" w:rsidRDefault="00AD1B10" w:rsidP="00AD1B1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C4646F6" w14:textId="3DC60E1A" w:rsidR="00AD1B10" w:rsidRPr="001F29DD" w:rsidRDefault="00AD1B10" w:rsidP="00681C78">
      <w:pPr>
        <w:ind w:firstLine="709"/>
        <w:jc w:val="both"/>
        <w:rPr>
          <w:rFonts w:ascii="Arial" w:hAnsi="Arial" w:cs="Arial"/>
          <w:sz w:val="19"/>
          <w:szCs w:val="19"/>
          <w:lang w:val="es-ES_tradnl"/>
        </w:rPr>
      </w:pPr>
      <w:r w:rsidRPr="001F29DD">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footnote>
  <w:footnote w:id="20">
    <w:p w14:paraId="3BAAB99E" w14:textId="15C315B0" w:rsidR="00AD1B10" w:rsidRPr="001F29DD" w:rsidRDefault="00AD1B10" w:rsidP="00681C78">
      <w:pPr>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Corte Constitucional. Sentencia C-502 de 2012. Magistrada Ponente: </w:t>
      </w:r>
      <w:r w:rsidRPr="001F29DD">
        <w:rPr>
          <w:rFonts w:ascii="Arial" w:eastAsiaTheme="minorHAnsi" w:hAnsi="Arial" w:cs="Arial"/>
          <w:sz w:val="19"/>
          <w:szCs w:val="19"/>
          <w:lang w:val="es-ES" w:eastAsia="en-US"/>
        </w:rPr>
        <w:t>Adriana Mar</w:t>
      </w:r>
      <w:r>
        <w:rPr>
          <w:rFonts w:ascii="Arial" w:eastAsiaTheme="minorHAnsi" w:hAnsi="Arial" w:cs="Arial"/>
          <w:sz w:val="19"/>
          <w:szCs w:val="19"/>
          <w:lang w:val="es-ES" w:eastAsia="en-US"/>
        </w:rPr>
        <w:t>í</w:t>
      </w:r>
      <w:r w:rsidRPr="001F29DD">
        <w:rPr>
          <w:rFonts w:ascii="Arial" w:eastAsiaTheme="minorHAnsi" w:hAnsi="Arial" w:cs="Arial"/>
          <w:sz w:val="19"/>
          <w:szCs w:val="19"/>
          <w:lang w:val="es-ES" w:eastAsia="en-US"/>
        </w:rPr>
        <w:t>a Guillén Arango</w:t>
      </w:r>
      <w:r>
        <w:rPr>
          <w:rFonts w:ascii="Arial" w:eastAsiaTheme="minorHAnsi" w:hAnsi="Arial" w:cs="Arial"/>
          <w:sz w:val="19"/>
          <w:szCs w:val="19"/>
          <w:lang w:val="es-ES" w:eastAsia="en-US"/>
        </w:rPr>
        <w:t>.</w:t>
      </w:r>
    </w:p>
  </w:footnote>
  <w:footnote w:id="21">
    <w:p w14:paraId="3FDAFDCA" w14:textId="3A9D1D95" w:rsidR="00AD0617" w:rsidRDefault="00AD0617" w:rsidP="00AD0617">
      <w:pPr>
        <w:pStyle w:val="Textonotapie"/>
        <w:ind w:firstLine="708"/>
        <w:jc w:val="both"/>
        <w:rPr>
          <w:rFonts w:ascii="Arial" w:hAnsi="Arial" w:cs="Arial"/>
          <w:sz w:val="19"/>
          <w:szCs w:val="19"/>
        </w:rPr>
      </w:pPr>
      <w:r w:rsidRPr="00AD0617">
        <w:rPr>
          <w:rStyle w:val="Refdenotaalpie"/>
          <w:rFonts w:ascii="Arial" w:hAnsi="Arial" w:cs="Arial"/>
          <w:sz w:val="19"/>
          <w:szCs w:val="19"/>
        </w:rPr>
        <w:footnoteRef/>
      </w:r>
      <w:r w:rsidRPr="00AD0617">
        <w:rPr>
          <w:rFonts w:ascii="Arial" w:hAnsi="Arial" w:cs="Arial"/>
          <w:sz w:val="19"/>
          <w:szCs w:val="19"/>
        </w:rPr>
        <w:t xml:space="preserve"> Sobre este tema revisar los siguientes conceptos expedidos por esta Agencia: C-098 del 23 de febrero de 2021, C-101 del 24 de marzo de 2021, C-117 del 26 de marzo de 2021, C-181 del 28 de abril de 2021, C-100 del 3 de mayo de 2021, C-195 del 4 de mayo de 2021 y C-198 del 5 de mayo de 2021.</w:t>
      </w:r>
      <w:r>
        <w:rPr>
          <w:rFonts w:ascii="Arial" w:hAnsi="Arial" w:cs="Arial"/>
          <w:sz w:val="19"/>
          <w:szCs w:val="19"/>
        </w:rPr>
        <w:t xml:space="preserve"> Estos y otros conceptos pueden ser consultados en la plataforma de relatoría de Colombia Compra Eficiente disponible en: </w:t>
      </w:r>
      <w:hyperlink r:id="rId3" w:history="1">
        <w:r w:rsidR="00343B9E" w:rsidRPr="00343B9E">
          <w:rPr>
            <w:rStyle w:val="Hipervnculo"/>
            <w:rFonts w:ascii="Arial" w:hAnsi="Arial" w:cs="Arial"/>
            <w:color w:val="0E63A8" w:themeColor="text2"/>
            <w:sz w:val="19"/>
            <w:szCs w:val="19"/>
          </w:rPr>
          <w:t>https://relatoria.colombiacompra.gov.co/busqueda/conceptos</w:t>
        </w:r>
      </w:hyperlink>
    </w:p>
    <w:p w14:paraId="460BCAA6" w14:textId="77777777" w:rsidR="00AD0617" w:rsidRPr="00AD0617" w:rsidRDefault="00AD0617" w:rsidP="00AD0617">
      <w:pPr>
        <w:pStyle w:val="Textonotapie"/>
        <w:ind w:firstLine="708"/>
        <w:jc w:val="both"/>
        <w:rPr>
          <w:rFonts w:ascii="Arial" w:hAnsi="Arial" w:cs="Arial"/>
          <w:sz w:val="19"/>
          <w:szCs w:val="19"/>
          <w:lang w:val="es-CO"/>
        </w:rPr>
      </w:pPr>
    </w:p>
  </w:footnote>
  <w:footnote w:id="22">
    <w:p w14:paraId="779183E9" w14:textId="6B718361" w:rsidR="00B97B5E" w:rsidRPr="00343B9E" w:rsidRDefault="00B97B5E" w:rsidP="00343B9E">
      <w:pPr>
        <w:pStyle w:val="Textonotapie"/>
        <w:ind w:firstLine="708"/>
        <w:jc w:val="both"/>
        <w:rPr>
          <w:rFonts w:ascii="Arial" w:hAnsi="Arial" w:cs="Arial"/>
          <w:sz w:val="19"/>
          <w:szCs w:val="19"/>
          <w:lang w:val="es-CO"/>
        </w:rPr>
      </w:pPr>
      <w:r w:rsidRPr="00343B9E">
        <w:rPr>
          <w:rStyle w:val="Refdenotaalpie"/>
          <w:rFonts w:ascii="Arial" w:hAnsi="Arial" w:cs="Arial"/>
          <w:sz w:val="19"/>
          <w:szCs w:val="19"/>
        </w:rPr>
        <w:footnoteRef/>
      </w:r>
      <w:r w:rsidR="00343B9E" w:rsidRPr="00343B9E">
        <w:rPr>
          <w:rFonts w:ascii="Arial" w:hAnsi="Arial" w:cs="Arial"/>
          <w:sz w:val="19"/>
          <w:szCs w:val="19"/>
        </w:rPr>
        <w:t xml:space="preserve"> Al respecto los conceptos: C-007 del 16 de febrero de 2021, C-138 del 7 de abril de 2021, C-164 del 14 de abril de 2021, C-166 del 23 de abril de 2021, C-181 del 28 de abril de 2021, C-192 del 29 de abril de 2021, C-100 del 3 de mayo de 2021, C-195 del 4 de mayo de 2021 y C-198 del 5 de mayo de 2021, también disponibles en la plataforma de relatoría de esta Agencia.</w:t>
      </w:r>
    </w:p>
  </w:footnote>
  <w:footnote w:id="23">
    <w:p w14:paraId="690EE671" w14:textId="22974CEC" w:rsidR="007B1929" w:rsidRPr="007B1929" w:rsidRDefault="007B1929" w:rsidP="003D41B1">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7A53366A" w14:textId="0F96ADD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2825693" w14:textId="5899981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7AC87B12" w14:textId="206DB77A"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755DB24D" w14:textId="6A14370E"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34A8DFCF" w14:textId="528A84F1"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6052EDD5" w14:textId="2E3A1BA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85CFA8" w14:textId="5422DBD3"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1196C83F" w14:textId="432DDCA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 </w:t>
      </w:r>
    </w:p>
    <w:p w14:paraId="156073C3" w14:textId="03AADB5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1°.</w:t>
      </w:r>
      <w:r w:rsidRPr="007B1929">
        <w:rPr>
          <w:rFonts w:ascii="Arial" w:hAnsi="Arial" w:cs="Arial"/>
          <w:b/>
          <w:bCs/>
          <w:sz w:val="19"/>
          <w:szCs w:val="19"/>
          <w:lang w:eastAsia="es-CO"/>
        </w:rPr>
        <w:t> </w:t>
      </w:r>
      <w:r w:rsidRPr="007B1929">
        <w:rPr>
          <w:rFonts w:ascii="Arial" w:hAnsi="Arial" w:cs="Arial"/>
          <w:sz w:val="19"/>
          <w:szCs w:val="19"/>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045B0B2" w14:textId="6C2BFCD3"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Durante el término otorgado para subsanar las ofertas, los proponentes no podrán acreditar circunstancias ocurridas con posterioridad al cierre del proceso. </w:t>
      </w:r>
    </w:p>
    <w:p w14:paraId="7CBFAA4B" w14:textId="1E9F9BE2"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2°. Las certificaciones de sistemas de gestión de calidad no serán objeto de calificación, ni podrán establecerse como documento habilitante para participar en licitaciones o concursos. </w:t>
      </w:r>
    </w:p>
    <w:p w14:paraId="5FF50D3C" w14:textId="7E20C0B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3°. La no entrega de la garantía de seriedad junto con la propuesta no será subsanable y será causal de rechazo de la misma. </w:t>
      </w:r>
    </w:p>
    <w:p w14:paraId="570998BA" w14:textId="57B60D1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4°.</w:t>
      </w:r>
      <w:r w:rsidRPr="007B1929">
        <w:rPr>
          <w:rFonts w:ascii="Arial" w:hAnsi="Arial" w:cs="Arial"/>
          <w:b/>
          <w:bCs/>
          <w:sz w:val="19"/>
          <w:szCs w:val="19"/>
          <w:lang w:eastAsia="es-CO"/>
        </w:rPr>
        <w:t> </w:t>
      </w:r>
      <w:r w:rsidRPr="007B1929">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0BB8761D" w14:textId="752C1B04" w:rsidR="007B1929" w:rsidRDefault="007B1929" w:rsidP="00681C78">
      <w:pPr>
        <w:jc w:val="both"/>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5°. En los procesos de contratación, las entidades estatales deberán aceptar la experiencia adquirida por los proponentes a través de la ejecución de contratos con particulares</w:t>
      </w:r>
      <w:r w:rsidRPr="007B1929">
        <w:rPr>
          <w:rFonts w:ascii="Arial" w:eastAsia="Calibri" w:hAnsi="Arial" w:cs="Arial"/>
          <w:bCs/>
          <w:sz w:val="19"/>
          <w:szCs w:val="19"/>
        </w:rPr>
        <w:t>».</w:t>
      </w:r>
      <w:r>
        <w:t xml:space="preserve"> </w:t>
      </w:r>
    </w:p>
    <w:p w14:paraId="38156476" w14:textId="77777777" w:rsidR="00170D2F" w:rsidRPr="001679EF" w:rsidRDefault="00170D2F" w:rsidP="00681C78">
      <w:pPr>
        <w:jc w:val="both"/>
      </w:pPr>
    </w:p>
  </w:footnote>
  <w:footnote w:id="24">
    <w:p w14:paraId="2BF86794" w14:textId="73D886D5" w:rsidR="007B1929" w:rsidRDefault="007B1929" w:rsidP="002647F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54B981E7" w14:textId="77777777" w:rsidR="007B1929" w:rsidRPr="00705806" w:rsidRDefault="007B1929" w:rsidP="002647FD">
      <w:pPr>
        <w:pStyle w:val="Textonotapie"/>
        <w:ind w:firstLine="708"/>
        <w:jc w:val="both"/>
        <w:rPr>
          <w:rFonts w:ascii="Arial" w:hAnsi="Arial" w:cs="Arial"/>
          <w:sz w:val="19"/>
          <w:szCs w:val="19"/>
          <w:lang w:val="es-CO"/>
        </w:rPr>
      </w:pPr>
    </w:p>
  </w:footnote>
  <w:footnote w:id="25">
    <w:p w14:paraId="03DE0F17" w14:textId="28AE0037" w:rsidR="00212BC8" w:rsidRDefault="007B1929" w:rsidP="00E13AE1">
      <w:pPr>
        <w:pStyle w:val="Textonotapie"/>
        <w:ind w:firstLine="708"/>
        <w:jc w:val="both"/>
        <w:rPr>
          <w:rFonts w:ascii="Arial" w:eastAsia="Calibri" w:hAnsi="Arial" w:cs="Arial"/>
          <w:sz w:val="19"/>
          <w:szCs w:val="19"/>
          <w:lang w:val="es-ES_tradnl"/>
        </w:rPr>
      </w:pPr>
      <w:r w:rsidRPr="00420547">
        <w:rPr>
          <w:rStyle w:val="Refdenotaalpie"/>
          <w:rFonts w:ascii="Arial" w:hAnsi="Arial" w:cs="Arial"/>
          <w:sz w:val="19"/>
          <w:szCs w:val="19"/>
        </w:rPr>
        <w:footnoteRef/>
      </w:r>
      <w:r w:rsidRPr="00420547">
        <w:rPr>
          <w:rFonts w:ascii="Arial" w:hAnsi="Arial" w:cs="Arial"/>
          <w:sz w:val="19"/>
          <w:szCs w:val="19"/>
        </w:rPr>
        <w:t xml:space="preserve"> </w:t>
      </w:r>
      <w:r w:rsidRPr="007B1929">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364AF880" w14:textId="77777777" w:rsidR="00170D2F" w:rsidRPr="00420547" w:rsidRDefault="00170D2F" w:rsidP="00E13AE1">
      <w:pPr>
        <w:pStyle w:val="Textonotapie"/>
        <w:ind w:firstLine="708"/>
        <w:jc w:val="both"/>
        <w:rPr>
          <w:rFonts w:ascii="Arial" w:hAnsi="Arial" w:cs="Arial"/>
          <w:sz w:val="19"/>
          <w:szCs w:val="19"/>
          <w:lang w:val="es-CO"/>
        </w:rPr>
      </w:pPr>
    </w:p>
  </w:footnote>
  <w:footnote w:id="26">
    <w:p w14:paraId="38C229EE" w14:textId="2E82E09D" w:rsidR="007B1929" w:rsidRDefault="007B1929" w:rsidP="000C7648">
      <w:pPr>
        <w:pStyle w:val="Textonotapie"/>
        <w:ind w:firstLine="708"/>
        <w:jc w:val="both"/>
        <w:rPr>
          <w:rFonts w:ascii="Arial" w:hAnsi="Arial" w:cs="Arial"/>
          <w:sz w:val="19"/>
          <w:szCs w:val="19"/>
        </w:rPr>
      </w:pPr>
      <w:r w:rsidRPr="00705806">
        <w:rPr>
          <w:rStyle w:val="Refdenotaalpie"/>
          <w:rFonts w:ascii="Arial" w:hAnsi="Arial" w:cs="Arial"/>
          <w:sz w:val="19"/>
          <w:szCs w:val="19"/>
        </w:rPr>
        <w:footnoteRef/>
      </w:r>
      <w:r w:rsidRPr="00705806">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6DEFBCD3" w14:textId="77777777" w:rsidR="007B1929" w:rsidRPr="00705806" w:rsidRDefault="007B1929" w:rsidP="000C7648">
      <w:pPr>
        <w:pStyle w:val="Textonotapie"/>
        <w:ind w:firstLine="708"/>
        <w:jc w:val="both"/>
        <w:rPr>
          <w:rFonts w:ascii="Arial" w:hAnsi="Arial" w:cs="Arial"/>
          <w:sz w:val="19"/>
          <w:szCs w:val="19"/>
          <w:lang w:val="es-CO"/>
        </w:rPr>
      </w:pPr>
    </w:p>
  </w:footnote>
  <w:footnote w:id="27">
    <w:p w14:paraId="167A5907" w14:textId="77777777" w:rsidR="007B1929" w:rsidRPr="00705806" w:rsidRDefault="007B1929" w:rsidP="00493870">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i/>
          <w:iCs/>
          <w:sz w:val="19"/>
          <w:szCs w:val="19"/>
        </w:rPr>
        <w:t xml:space="preserve"> </w:t>
      </w:r>
      <w:r w:rsidRPr="00705806">
        <w:rPr>
          <w:rFonts w:ascii="Arial" w:hAnsi="Arial" w:cs="Arial"/>
          <w:i/>
          <w:iCs/>
          <w:sz w:val="19"/>
          <w:szCs w:val="19"/>
          <w:lang w:val="es-CO"/>
        </w:rPr>
        <w:t>Ibídem.</w:t>
      </w:r>
    </w:p>
  </w:footnote>
  <w:footnote w:id="28">
    <w:p w14:paraId="740A1CFC" w14:textId="77777777" w:rsidR="007B1929" w:rsidRPr="00C93A42" w:rsidRDefault="007B1929" w:rsidP="000E3965">
      <w:pPr>
        <w:ind w:firstLine="708"/>
        <w:jc w:val="both"/>
        <w:rPr>
          <w:rFonts w:ascii="Arial" w:hAnsi="Arial" w:cs="Arial"/>
          <w:sz w:val="19"/>
          <w:szCs w:val="19"/>
          <w:lang w:eastAsia="es-CO"/>
        </w:rPr>
      </w:pPr>
      <w:r w:rsidRPr="00C93A42">
        <w:rPr>
          <w:rStyle w:val="Refdenotaalpie"/>
          <w:rFonts w:ascii="Arial" w:hAnsi="Arial" w:cs="Arial"/>
          <w:sz w:val="19"/>
          <w:szCs w:val="19"/>
        </w:rPr>
        <w:footnoteRef/>
      </w:r>
      <w:r w:rsidRPr="00C93A42">
        <w:rPr>
          <w:rFonts w:ascii="Arial" w:hAnsi="Arial" w:cs="Arial"/>
          <w:sz w:val="19"/>
          <w:szCs w:val="19"/>
        </w:rPr>
        <w:t xml:space="preserve"> Decreto 1082 de 2015 </w:t>
      </w:r>
      <w:r w:rsidRPr="00C93A42">
        <w:rPr>
          <w:rFonts w:ascii="Arial" w:eastAsia="Calibri" w:hAnsi="Arial" w:cs="Arial"/>
          <w:bCs/>
          <w:sz w:val="19"/>
          <w:szCs w:val="19"/>
        </w:rPr>
        <w:t>«</w:t>
      </w:r>
      <w:r w:rsidRPr="00C93A42">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4306D8F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8BE91CF"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1. Las condiciones técnicas y económicas mínimas de la oferta. </w:t>
      </w:r>
    </w:p>
    <w:p w14:paraId="41ECABBC"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2F8516C0"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C69A38"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117215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F67265B" w14:textId="77777777" w:rsidR="007B1929" w:rsidRPr="00C93A42" w:rsidRDefault="007B1929" w:rsidP="000E3965">
      <w:pPr>
        <w:jc w:val="both"/>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adjudicar al oferente que presentó la oferta con la mejor relación costo-beneficio y suscribir el contrato por el precio total ofrecido</w:t>
      </w:r>
      <w:r w:rsidRPr="00C93A42">
        <w:rPr>
          <w:rFonts w:ascii="Arial" w:eastAsia="Calibri" w:hAnsi="Arial" w:cs="Arial"/>
          <w:bCs/>
          <w:sz w:val="19"/>
          <w:szCs w:val="19"/>
        </w:rPr>
        <w:t>»</w:t>
      </w:r>
      <w:r w:rsidRPr="00C93A42">
        <w:rPr>
          <w:rFonts w:ascii="Arial" w:hAnsi="Arial" w:cs="Arial"/>
          <w:sz w:val="19"/>
          <w:szCs w:val="19"/>
          <w:lang w:eastAsia="es-CO"/>
        </w:rPr>
        <w:t>. </w:t>
      </w:r>
    </w:p>
  </w:footnote>
  <w:footnote w:id="29">
    <w:p w14:paraId="320D8222" w14:textId="16463427" w:rsidR="007B1929" w:rsidRPr="00576186" w:rsidRDefault="007B1929" w:rsidP="00DF24C4">
      <w:pPr>
        <w:pStyle w:val="Textonotapie"/>
        <w:ind w:firstLine="708"/>
        <w:jc w:val="both"/>
        <w:rPr>
          <w:rFonts w:ascii="Arial" w:hAnsi="Arial" w:cs="Arial"/>
          <w:sz w:val="19"/>
          <w:szCs w:val="19"/>
          <w:lang w:val="es-CO"/>
        </w:rPr>
      </w:pPr>
      <w:r w:rsidRPr="00576186">
        <w:rPr>
          <w:rStyle w:val="Refdenotaalpie"/>
          <w:rFonts w:ascii="Arial" w:hAnsi="Arial" w:cs="Arial"/>
          <w:sz w:val="19"/>
          <w:szCs w:val="19"/>
        </w:rPr>
        <w:footnoteRef/>
      </w:r>
      <w:r w:rsidRPr="00576186">
        <w:rPr>
          <w:rFonts w:ascii="Arial" w:hAnsi="Arial" w:cs="Arial"/>
          <w:sz w:val="19"/>
          <w:szCs w:val="19"/>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576186">
        <w:rPr>
          <w:rFonts w:ascii="Arial" w:hAnsi="Arial" w:cs="Arial"/>
          <w:sz w:val="19"/>
          <w:szCs w:val="19"/>
          <w:lang w:val="es-CO"/>
        </w:rPr>
        <w:t xml:space="preserve">CORTE CONSTITUCIONAL. Sentencia C-569 del 8 de junio de 2004. M.P. (E). </w:t>
      </w:r>
      <w:r w:rsidRPr="007B1929">
        <w:rPr>
          <w:rFonts w:ascii="Arial" w:hAnsi="Arial" w:cs="Arial"/>
          <w:sz w:val="19"/>
          <w:szCs w:val="19"/>
          <w:shd w:val="clear" w:color="auto" w:fill="FFFFFF"/>
        </w:rPr>
        <w:t>Rodrigo Uprimny Yepes).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20726105">
    <w:abstractNumId w:val="9"/>
  </w:num>
  <w:num w:numId="2" w16cid:durableId="2045596377">
    <w:abstractNumId w:val="7"/>
  </w:num>
  <w:num w:numId="3" w16cid:durableId="1896771983">
    <w:abstractNumId w:val="12"/>
  </w:num>
  <w:num w:numId="4" w16cid:durableId="302976277">
    <w:abstractNumId w:val="15"/>
  </w:num>
  <w:num w:numId="5" w16cid:durableId="122700743">
    <w:abstractNumId w:val="19"/>
  </w:num>
  <w:num w:numId="6" w16cid:durableId="740166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079531">
    <w:abstractNumId w:val="17"/>
  </w:num>
  <w:num w:numId="8" w16cid:durableId="1893803386">
    <w:abstractNumId w:val="0"/>
  </w:num>
  <w:num w:numId="9" w16cid:durableId="1165515789">
    <w:abstractNumId w:val="3"/>
  </w:num>
  <w:num w:numId="10" w16cid:durableId="127482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839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156283">
    <w:abstractNumId w:val="8"/>
  </w:num>
  <w:num w:numId="13" w16cid:durableId="349112335">
    <w:abstractNumId w:val="11"/>
  </w:num>
  <w:num w:numId="14" w16cid:durableId="1942028288">
    <w:abstractNumId w:val="6"/>
  </w:num>
  <w:num w:numId="15" w16cid:durableId="50459267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56939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24028">
    <w:abstractNumId w:val="21"/>
  </w:num>
  <w:num w:numId="18" w16cid:durableId="1169565564">
    <w:abstractNumId w:val="13"/>
  </w:num>
  <w:num w:numId="19" w16cid:durableId="1742215772">
    <w:abstractNumId w:val="2"/>
  </w:num>
  <w:num w:numId="20" w16cid:durableId="1888637262">
    <w:abstractNumId w:val="22"/>
  </w:num>
  <w:num w:numId="21" w16cid:durableId="1412890789">
    <w:abstractNumId w:val="14"/>
  </w:num>
  <w:num w:numId="22" w16cid:durableId="741291552">
    <w:abstractNumId w:val="5"/>
  </w:num>
  <w:num w:numId="23" w16cid:durableId="1771006404">
    <w:abstractNumId w:val="4"/>
  </w:num>
  <w:num w:numId="24" w16cid:durableId="1511410225">
    <w:abstractNumId w:val="20"/>
  </w:num>
  <w:num w:numId="25" w16cid:durableId="1589457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617E"/>
    <w:rsid w:val="0009628D"/>
    <w:rsid w:val="0009670F"/>
    <w:rsid w:val="00096D15"/>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362F"/>
    <w:rsid w:val="000A3B49"/>
    <w:rsid w:val="000A45E2"/>
    <w:rsid w:val="000A467C"/>
    <w:rsid w:val="000A46FE"/>
    <w:rsid w:val="000A47E6"/>
    <w:rsid w:val="000A52C0"/>
    <w:rsid w:val="000A5AAF"/>
    <w:rsid w:val="000A5ACE"/>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8D9"/>
    <w:rsid w:val="001870F5"/>
    <w:rsid w:val="00187177"/>
    <w:rsid w:val="00187ABD"/>
    <w:rsid w:val="001904E3"/>
    <w:rsid w:val="0019087A"/>
    <w:rsid w:val="00190F38"/>
    <w:rsid w:val="001910D9"/>
    <w:rsid w:val="00191C5A"/>
    <w:rsid w:val="00191CEB"/>
    <w:rsid w:val="00191E63"/>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A69"/>
    <w:rsid w:val="001B0F9F"/>
    <w:rsid w:val="001B123C"/>
    <w:rsid w:val="001B1A0D"/>
    <w:rsid w:val="001B1BF1"/>
    <w:rsid w:val="001B21AC"/>
    <w:rsid w:val="001B2456"/>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E003B"/>
    <w:rsid w:val="001E1CC4"/>
    <w:rsid w:val="001E1D38"/>
    <w:rsid w:val="001E2452"/>
    <w:rsid w:val="001E28A0"/>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AC4"/>
    <w:rsid w:val="00201F1E"/>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961"/>
    <w:rsid w:val="002F7B66"/>
    <w:rsid w:val="00300CB4"/>
    <w:rsid w:val="00300E24"/>
    <w:rsid w:val="00301BB8"/>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F10"/>
    <w:rsid w:val="003D65E0"/>
    <w:rsid w:val="003D6B8F"/>
    <w:rsid w:val="003D6E60"/>
    <w:rsid w:val="003D7566"/>
    <w:rsid w:val="003E0224"/>
    <w:rsid w:val="003E09BB"/>
    <w:rsid w:val="003E13D2"/>
    <w:rsid w:val="003E159D"/>
    <w:rsid w:val="003E20EA"/>
    <w:rsid w:val="003E210C"/>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F33"/>
    <w:rsid w:val="0047480D"/>
    <w:rsid w:val="0047586C"/>
    <w:rsid w:val="00475C5A"/>
    <w:rsid w:val="00475C9C"/>
    <w:rsid w:val="0047676B"/>
    <w:rsid w:val="00476D6A"/>
    <w:rsid w:val="004774C3"/>
    <w:rsid w:val="0047773C"/>
    <w:rsid w:val="00477C06"/>
    <w:rsid w:val="00477C5F"/>
    <w:rsid w:val="00480050"/>
    <w:rsid w:val="0048011C"/>
    <w:rsid w:val="004808DE"/>
    <w:rsid w:val="00480F9A"/>
    <w:rsid w:val="00481912"/>
    <w:rsid w:val="00481AC4"/>
    <w:rsid w:val="00481DC1"/>
    <w:rsid w:val="00482157"/>
    <w:rsid w:val="00482507"/>
    <w:rsid w:val="0048268A"/>
    <w:rsid w:val="00482A64"/>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4BF9"/>
    <w:rsid w:val="004F5180"/>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306F"/>
    <w:rsid w:val="00503534"/>
    <w:rsid w:val="00503A17"/>
    <w:rsid w:val="005042E8"/>
    <w:rsid w:val="0050459C"/>
    <w:rsid w:val="00505892"/>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412"/>
    <w:rsid w:val="005864B9"/>
    <w:rsid w:val="00586564"/>
    <w:rsid w:val="005866C4"/>
    <w:rsid w:val="00590F1A"/>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0B21"/>
    <w:rsid w:val="005F2D8B"/>
    <w:rsid w:val="005F305B"/>
    <w:rsid w:val="005F3361"/>
    <w:rsid w:val="005F361A"/>
    <w:rsid w:val="005F370A"/>
    <w:rsid w:val="005F3B47"/>
    <w:rsid w:val="005F3E43"/>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6DB"/>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983"/>
    <w:rsid w:val="008C62D4"/>
    <w:rsid w:val="008C6754"/>
    <w:rsid w:val="008C6B89"/>
    <w:rsid w:val="008C6B97"/>
    <w:rsid w:val="008C7EF7"/>
    <w:rsid w:val="008C7F13"/>
    <w:rsid w:val="008D094D"/>
    <w:rsid w:val="008D0ECE"/>
    <w:rsid w:val="008D15D4"/>
    <w:rsid w:val="008D18AA"/>
    <w:rsid w:val="008D19D9"/>
    <w:rsid w:val="008D1A2A"/>
    <w:rsid w:val="008D1ADE"/>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9B5"/>
    <w:rsid w:val="00962A50"/>
    <w:rsid w:val="00962C93"/>
    <w:rsid w:val="00963550"/>
    <w:rsid w:val="00963A67"/>
    <w:rsid w:val="00964138"/>
    <w:rsid w:val="009648D6"/>
    <w:rsid w:val="00964B3F"/>
    <w:rsid w:val="00964C98"/>
    <w:rsid w:val="00966948"/>
    <w:rsid w:val="00971441"/>
    <w:rsid w:val="00971555"/>
    <w:rsid w:val="009715D4"/>
    <w:rsid w:val="009715E1"/>
    <w:rsid w:val="0097179A"/>
    <w:rsid w:val="00971B0A"/>
    <w:rsid w:val="00972AB2"/>
    <w:rsid w:val="009731F4"/>
    <w:rsid w:val="009732A4"/>
    <w:rsid w:val="00973AB3"/>
    <w:rsid w:val="00973C05"/>
    <w:rsid w:val="0097494E"/>
    <w:rsid w:val="00974999"/>
    <w:rsid w:val="00974B58"/>
    <w:rsid w:val="00974CBD"/>
    <w:rsid w:val="00974EF6"/>
    <w:rsid w:val="00975445"/>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096"/>
    <w:rsid w:val="00A832DB"/>
    <w:rsid w:val="00A83BEF"/>
    <w:rsid w:val="00A83C21"/>
    <w:rsid w:val="00A84443"/>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60"/>
    <w:rsid w:val="00A9740B"/>
    <w:rsid w:val="00A9766C"/>
    <w:rsid w:val="00A977F8"/>
    <w:rsid w:val="00A979DB"/>
    <w:rsid w:val="00A97A40"/>
    <w:rsid w:val="00A97AE8"/>
    <w:rsid w:val="00A97C93"/>
    <w:rsid w:val="00AA06C6"/>
    <w:rsid w:val="00AA085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38D"/>
    <w:rsid w:val="00AF0E81"/>
    <w:rsid w:val="00AF117A"/>
    <w:rsid w:val="00AF134E"/>
    <w:rsid w:val="00AF16CA"/>
    <w:rsid w:val="00AF186E"/>
    <w:rsid w:val="00AF19DF"/>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57"/>
    <w:rsid w:val="00B37AFD"/>
    <w:rsid w:val="00B37B07"/>
    <w:rsid w:val="00B4046F"/>
    <w:rsid w:val="00B406B3"/>
    <w:rsid w:val="00B40A36"/>
    <w:rsid w:val="00B41BCA"/>
    <w:rsid w:val="00B41D39"/>
    <w:rsid w:val="00B41E2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17"/>
    <w:rsid w:val="00B94498"/>
    <w:rsid w:val="00B94BD3"/>
    <w:rsid w:val="00B94C02"/>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821"/>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368E"/>
    <w:rsid w:val="00D03AC3"/>
    <w:rsid w:val="00D03AD6"/>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30041"/>
    <w:rsid w:val="00D30FEA"/>
    <w:rsid w:val="00D312DC"/>
    <w:rsid w:val="00D314CB"/>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28ED"/>
    <w:rsid w:val="00D9310B"/>
    <w:rsid w:val="00D931F3"/>
    <w:rsid w:val="00D93726"/>
    <w:rsid w:val="00D93F3E"/>
    <w:rsid w:val="00D9405B"/>
    <w:rsid w:val="00D94942"/>
    <w:rsid w:val="00D9514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24E7"/>
    <w:rsid w:val="00E72B41"/>
    <w:rsid w:val="00E7347B"/>
    <w:rsid w:val="00E73792"/>
    <w:rsid w:val="00E73D03"/>
    <w:rsid w:val="00E7471C"/>
    <w:rsid w:val="00E7498A"/>
    <w:rsid w:val="00E7514E"/>
    <w:rsid w:val="00E76537"/>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53F3"/>
    <w:rsid w:val="00E8556F"/>
    <w:rsid w:val="00E85D69"/>
    <w:rsid w:val="00E8617F"/>
    <w:rsid w:val="00E86556"/>
    <w:rsid w:val="00E86D35"/>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D92"/>
    <w:rsid w:val="00F51765"/>
    <w:rsid w:val="00F51A51"/>
    <w:rsid w:val="00F51BC6"/>
    <w:rsid w:val="00F51CB4"/>
    <w:rsid w:val="00F52200"/>
    <w:rsid w:val="00F52324"/>
    <w:rsid w:val="00F5237A"/>
    <w:rsid w:val="00F52950"/>
    <w:rsid w:val="00F52C9D"/>
    <w:rsid w:val="00F533F1"/>
    <w:rsid w:val="00F5345B"/>
    <w:rsid w:val="00F53F4F"/>
    <w:rsid w:val="00F540A3"/>
    <w:rsid w:val="00F54EA2"/>
    <w:rsid w:val="00F55185"/>
    <w:rsid w:val="00F5525F"/>
    <w:rsid w:val="00F55679"/>
    <w:rsid w:val="00F561E3"/>
    <w:rsid w:val="00F56466"/>
    <w:rsid w:val="00F565E6"/>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78A"/>
    <w:rsid w:val="00F64CE7"/>
    <w:rsid w:val="00F65A3C"/>
    <w:rsid w:val="00F66009"/>
    <w:rsid w:val="00F66282"/>
    <w:rsid w:val="00F6639E"/>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31C"/>
    <w:rsid w:val="00FB7628"/>
    <w:rsid w:val="00FB7651"/>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29</Pages>
  <Words>11072</Words>
  <Characters>60899</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2022-04-12T17:07:00Z</dcterms:created>
  <dcterms:modified xsi:type="dcterms:W3CDTF">2022-04-12T17:07:00Z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